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C32070" w14:paraId="6674DB34" w14:textId="77777777" w:rsidTr="00F363FE">
        <w:tc>
          <w:tcPr>
            <w:tcW w:w="6512" w:type="dxa"/>
          </w:tcPr>
          <w:p w14:paraId="32AB3F10" w14:textId="2D24F431" w:rsidR="007B0AA0" w:rsidRPr="00C32070" w:rsidRDefault="007B0AA0" w:rsidP="00F363FE">
            <w:pPr>
              <w:spacing w:before="60" w:after="60" w:line="260" w:lineRule="exact"/>
              <w:rPr>
                <w:b/>
                <w:bCs/>
                <w:rtl/>
                <w:lang w:bidi="ar-EG"/>
              </w:rPr>
            </w:pPr>
            <w:r w:rsidRPr="00C32070">
              <w:rPr>
                <w:b/>
                <w:bCs/>
                <w:rtl/>
                <w:lang w:bidi="ar-EG"/>
              </w:rPr>
              <w:t>بند جدول الأعمال:</w:t>
            </w:r>
            <w:r w:rsidR="00907B08" w:rsidRPr="00C32070">
              <w:rPr>
                <w:b/>
                <w:bCs/>
                <w:rtl/>
                <w:lang w:bidi="ar-EG"/>
              </w:rPr>
              <w:t xml:space="preserve"> </w:t>
            </w:r>
            <w:r w:rsidR="00516087" w:rsidRPr="00C32070">
              <w:rPr>
                <w:b/>
                <w:bCs/>
                <w:lang w:bidi="ar-EG"/>
              </w:rPr>
              <w:t>ADM 2</w:t>
            </w:r>
          </w:p>
        </w:tc>
        <w:tc>
          <w:tcPr>
            <w:tcW w:w="3117" w:type="dxa"/>
          </w:tcPr>
          <w:p w14:paraId="6E9F0AF9" w14:textId="150AA62B" w:rsidR="007B0AA0" w:rsidRPr="00C32070" w:rsidRDefault="007B0AA0" w:rsidP="00F363FE">
            <w:pPr>
              <w:spacing w:before="60" w:after="60" w:line="260" w:lineRule="exact"/>
              <w:rPr>
                <w:b/>
                <w:bCs/>
                <w:lang w:bidi="ar-EG"/>
              </w:rPr>
            </w:pPr>
            <w:r w:rsidRPr="00C32070">
              <w:rPr>
                <w:b/>
                <w:bCs/>
                <w:rtl/>
                <w:lang w:bidi="ar-EG"/>
              </w:rPr>
              <w:t xml:space="preserve">الوثيقة </w:t>
            </w:r>
            <w:r w:rsidRPr="00C32070">
              <w:rPr>
                <w:b/>
                <w:bCs/>
                <w:lang w:bidi="ar-EG"/>
              </w:rPr>
              <w:t>C2</w:t>
            </w:r>
            <w:r w:rsidR="00B6080B" w:rsidRPr="00C32070">
              <w:rPr>
                <w:b/>
                <w:bCs/>
                <w:lang w:bidi="ar-EG"/>
              </w:rPr>
              <w:t>4</w:t>
            </w:r>
            <w:r w:rsidRPr="00C32070">
              <w:rPr>
                <w:b/>
                <w:bCs/>
                <w:lang w:bidi="ar-EG"/>
              </w:rPr>
              <w:t>/</w:t>
            </w:r>
            <w:r w:rsidR="00516087" w:rsidRPr="00C32070">
              <w:rPr>
                <w:b/>
                <w:bCs/>
                <w:lang w:bidi="ar-EG"/>
              </w:rPr>
              <w:t>43</w:t>
            </w:r>
            <w:r w:rsidRPr="00C32070">
              <w:rPr>
                <w:b/>
                <w:bCs/>
                <w:lang w:bidi="ar-EG"/>
              </w:rPr>
              <w:t>-A</w:t>
            </w:r>
          </w:p>
        </w:tc>
      </w:tr>
      <w:tr w:rsidR="007B0AA0" w:rsidRPr="00C32070" w14:paraId="7593C537" w14:textId="77777777" w:rsidTr="00F363FE">
        <w:tc>
          <w:tcPr>
            <w:tcW w:w="6512" w:type="dxa"/>
          </w:tcPr>
          <w:p w14:paraId="2C0A57B2" w14:textId="77777777" w:rsidR="007B0AA0" w:rsidRPr="00C32070" w:rsidRDefault="007B0AA0" w:rsidP="00F363FE">
            <w:pPr>
              <w:spacing w:before="60" w:after="60" w:line="260" w:lineRule="exact"/>
              <w:rPr>
                <w:b/>
                <w:bCs/>
                <w:rtl/>
                <w:lang w:bidi="ar-EG"/>
              </w:rPr>
            </w:pPr>
          </w:p>
        </w:tc>
        <w:tc>
          <w:tcPr>
            <w:tcW w:w="3117" w:type="dxa"/>
          </w:tcPr>
          <w:p w14:paraId="23D32088" w14:textId="20B9795D" w:rsidR="007B0AA0" w:rsidRPr="00C32070" w:rsidRDefault="00516087" w:rsidP="00F363FE">
            <w:pPr>
              <w:spacing w:before="60" w:after="60" w:line="260" w:lineRule="exact"/>
              <w:rPr>
                <w:b/>
                <w:bCs/>
                <w:rtl/>
                <w:lang w:bidi="ar-EG"/>
              </w:rPr>
            </w:pPr>
            <w:r w:rsidRPr="00C32070">
              <w:rPr>
                <w:b/>
                <w:bCs/>
                <w:lang w:bidi="ar-EG"/>
              </w:rPr>
              <w:t>28</w:t>
            </w:r>
            <w:r w:rsidR="007B0AA0" w:rsidRPr="00C32070">
              <w:rPr>
                <w:b/>
                <w:bCs/>
                <w:rtl/>
                <w:lang w:bidi="ar-EG"/>
              </w:rPr>
              <w:t xml:space="preserve"> </w:t>
            </w:r>
            <w:r w:rsidRPr="00C32070">
              <w:rPr>
                <w:b/>
                <w:bCs/>
                <w:rtl/>
                <w:lang w:bidi="ar-EG"/>
              </w:rPr>
              <w:t>مايو</w:t>
            </w:r>
            <w:r w:rsidR="007B0AA0" w:rsidRPr="00C32070">
              <w:rPr>
                <w:b/>
                <w:bCs/>
                <w:rtl/>
                <w:lang w:bidi="ar-EG"/>
              </w:rPr>
              <w:t xml:space="preserve"> </w:t>
            </w:r>
            <w:r w:rsidR="007B0AA0" w:rsidRPr="00C32070">
              <w:rPr>
                <w:b/>
                <w:bCs/>
                <w:lang w:bidi="ar-EG"/>
              </w:rPr>
              <w:t>202</w:t>
            </w:r>
            <w:r w:rsidR="00B6080B" w:rsidRPr="00C32070">
              <w:rPr>
                <w:b/>
                <w:bCs/>
                <w:lang w:bidi="ar-EG"/>
              </w:rPr>
              <w:t>4</w:t>
            </w:r>
          </w:p>
        </w:tc>
      </w:tr>
      <w:tr w:rsidR="007B0AA0" w:rsidRPr="00C32070" w14:paraId="04A2A039" w14:textId="77777777" w:rsidTr="00F363FE">
        <w:tc>
          <w:tcPr>
            <w:tcW w:w="6512" w:type="dxa"/>
          </w:tcPr>
          <w:p w14:paraId="4101B795" w14:textId="77777777" w:rsidR="007B0AA0" w:rsidRPr="00C32070" w:rsidRDefault="007B0AA0" w:rsidP="00F363FE">
            <w:pPr>
              <w:spacing w:before="60" w:after="60" w:line="260" w:lineRule="exact"/>
              <w:rPr>
                <w:b/>
                <w:bCs/>
                <w:lang w:bidi="ar-EG"/>
              </w:rPr>
            </w:pPr>
          </w:p>
        </w:tc>
        <w:tc>
          <w:tcPr>
            <w:tcW w:w="3117" w:type="dxa"/>
          </w:tcPr>
          <w:p w14:paraId="79EC987B" w14:textId="14260183" w:rsidR="007B0AA0" w:rsidRPr="00C32070" w:rsidRDefault="007B0AA0" w:rsidP="00F363FE">
            <w:pPr>
              <w:spacing w:before="60" w:after="60" w:line="260" w:lineRule="exact"/>
              <w:rPr>
                <w:b/>
                <w:bCs/>
                <w:rtl/>
                <w:lang w:bidi="ar-EG"/>
              </w:rPr>
            </w:pPr>
            <w:r w:rsidRPr="00C32070">
              <w:rPr>
                <w:b/>
                <w:bCs/>
                <w:rtl/>
                <w:lang w:bidi="ar-EG"/>
              </w:rPr>
              <w:t xml:space="preserve">الأصل: </w:t>
            </w:r>
            <w:r w:rsidR="00516087" w:rsidRPr="00C32070">
              <w:rPr>
                <w:b/>
                <w:bCs/>
                <w:rtl/>
                <w:lang w:bidi="ar-EG"/>
              </w:rPr>
              <w:t>بالإنكليزية</w:t>
            </w:r>
          </w:p>
        </w:tc>
      </w:tr>
      <w:tr w:rsidR="007B0AA0" w:rsidRPr="00C32070" w14:paraId="67D9C7EB" w14:textId="77777777" w:rsidTr="00F363FE">
        <w:tc>
          <w:tcPr>
            <w:tcW w:w="6512" w:type="dxa"/>
          </w:tcPr>
          <w:p w14:paraId="6DE94FCB" w14:textId="77777777" w:rsidR="007B0AA0" w:rsidRPr="00C32070" w:rsidRDefault="007B0AA0" w:rsidP="00F363FE">
            <w:pPr>
              <w:spacing w:before="60" w:after="60" w:line="260" w:lineRule="exact"/>
              <w:rPr>
                <w:lang w:bidi="ar-EG"/>
              </w:rPr>
            </w:pPr>
          </w:p>
        </w:tc>
        <w:tc>
          <w:tcPr>
            <w:tcW w:w="3117" w:type="dxa"/>
          </w:tcPr>
          <w:p w14:paraId="2AA71B94" w14:textId="77777777" w:rsidR="007B0AA0" w:rsidRPr="00C32070" w:rsidRDefault="007B0AA0" w:rsidP="00F363FE">
            <w:pPr>
              <w:spacing w:before="60" w:after="60" w:line="260" w:lineRule="exact"/>
              <w:rPr>
                <w:rtl/>
                <w:lang w:bidi="ar-EG"/>
              </w:rPr>
            </w:pPr>
          </w:p>
        </w:tc>
      </w:tr>
      <w:tr w:rsidR="007B0AA0" w:rsidRPr="00C32070" w14:paraId="6A0A6900" w14:textId="77777777" w:rsidTr="00DB3336">
        <w:tc>
          <w:tcPr>
            <w:tcW w:w="9629" w:type="dxa"/>
            <w:gridSpan w:val="2"/>
          </w:tcPr>
          <w:p w14:paraId="28D76354" w14:textId="4975E466" w:rsidR="007B0AA0" w:rsidRPr="00C32070" w:rsidRDefault="00BB66D7" w:rsidP="007B0AA0">
            <w:pPr>
              <w:pStyle w:val="Source"/>
              <w:jc w:val="left"/>
              <w:rPr>
                <w:rtl/>
                <w:lang w:bidi="ar-EG"/>
              </w:rPr>
            </w:pPr>
            <w:r w:rsidRPr="00C32070">
              <w:rPr>
                <w:rtl/>
                <w:lang w:bidi="ar-EG"/>
              </w:rPr>
              <w:t>تقرير من الأمينة العامة</w:t>
            </w:r>
          </w:p>
        </w:tc>
      </w:tr>
      <w:tr w:rsidR="007B0AA0" w:rsidRPr="00C32070" w14:paraId="243FFBEB" w14:textId="77777777" w:rsidTr="007B0AA0">
        <w:tc>
          <w:tcPr>
            <w:tcW w:w="9629" w:type="dxa"/>
            <w:gridSpan w:val="2"/>
            <w:tcBorders>
              <w:bottom w:val="single" w:sz="4" w:space="0" w:color="auto"/>
            </w:tcBorders>
          </w:tcPr>
          <w:p w14:paraId="2C6B1CE3" w14:textId="44644297" w:rsidR="007B0AA0" w:rsidRPr="00C32070" w:rsidRDefault="00406CA1" w:rsidP="007B0AA0">
            <w:pPr>
              <w:pStyle w:val="Subtitle0"/>
            </w:pPr>
            <w:r w:rsidRPr="00C32070">
              <w:rPr>
                <w:rtl/>
              </w:rPr>
              <w:t xml:space="preserve">تقرير الإدارة المالية عن الحسابات غير المراجعة </w:t>
            </w:r>
            <w:r w:rsidR="00BB66D7" w:rsidRPr="00C32070">
              <w:rPr>
                <w:rtl/>
              </w:rPr>
              <w:t>عن السنة المالية 2023</w:t>
            </w:r>
          </w:p>
        </w:tc>
      </w:tr>
      <w:tr w:rsidR="007B0AA0" w:rsidRPr="00C32070" w14:paraId="4BA19C6E" w14:textId="77777777" w:rsidTr="007B0AA0">
        <w:tc>
          <w:tcPr>
            <w:tcW w:w="9629" w:type="dxa"/>
            <w:gridSpan w:val="2"/>
            <w:tcBorders>
              <w:top w:val="single" w:sz="4" w:space="0" w:color="auto"/>
              <w:bottom w:val="single" w:sz="4" w:space="0" w:color="auto"/>
            </w:tcBorders>
          </w:tcPr>
          <w:p w14:paraId="45B03CD7" w14:textId="77777777" w:rsidR="007B0AA0" w:rsidRPr="00C32070" w:rsidRDefault="007B0AA0" w:rsidP="007B0AA0">
            <w:pPr>
              <w:rPr>
                <w:b/>
                <w:bCs/>
                <w:rtl/>
              </w:rPr>
            </w:pPr>
            <w:r w:rsidRPr="00C32070">
              <w:rPr>
                <w:b/>
                <w:bCs/>
                <w:rtl/>
              </w:rPr>
              <w:t>الغرض</w:t>
            </w:r>
          </w:p>
          <w:p w14:paraId="221DF1B1" w14:textId="505E5CF8" w:rsidR="00BB66D7" w:rsidRPr="00C32070" w:rsidRDefault="00BB66D7" w:rsidP="001A7A93">
            <w:pPr>
              <w:rPr>
                <w:rtl/>
              </w:rPr>
            </w:pPr>
            <w:r w:rsidRPr="00C32070">
              <w:rPr>
                <w:rtl/>
              </w:rPr>
              <w:t xml:space="preserve">يُطلب من الأمين العام، بموجب الرقم </w:t>
            </w:r>
            <w:r w:rsidR="009E59A4" w:rsidRPr="00C32070">
              <w:t>101</w:t>
            </w:r>
            <w:r w:rsidRPr="00C32070">
              <w:rPr>
                <w:rtl/>
              </w:rPr>
              <w:t xml:space="preserve"> من اتفاقية الاتحاد الدولي للاتصالات والمادة </w:t>
            </w:r>
            <w:r w:rsidR="009E59A4" w:rsidRPr="00C32070">
              <w:t>30</w:t>
            </w:r>
            <w:r w:rsidRPr="00C32070">
              <w:rPr>
                <w:rtl/>
              </w:rPr>
              <w:t xml:space="preserve"> من اللوائح المالية للاتحاد، أن</w:t>
            </w:r>
            <w:r w:rsidR="001A7A93" w:rsidRPr="00C32070">
              <w:rPr>
                <w:rtl/>
                <w:lang w:bidi="ar-EG"/>
              </w:rPr>
              <w:t> </w:t>
            </w:r>
            <w:r w:rsidRPr="00C32070">
              <w:rPr>
                <w:rtl/>
              </w:rPr>
              <w:t>يقدم تقريراً عن الإدارة المالية إلى المجلس كل عام.</w:t>
            </w:r>
          </w:p>
          <w:p w14:paraId="151ACF1D" w14:textId="07350F2B" w:rsidR="007B0AA0" w:rsidRPr="00C32070" w:rsidRDefault="00BB66D7" w:rsidP="001A7A93">
            <w:pPr>
              <w:rPr>
                <w:rtl/>
              </w:rPr>
            </w:pPr>
            <w:r w:rsidRPr="00C32070">
              <w:rPr>
                <w:rtl/>
              </w:rPr>
              <w:t xml:space="preserve">ويغطي تقرير الإدارة المالية عن السنة المالية </w:t>
            </w:r>
            <w:r w:rsidR="009E59A4" w:rsidRPr="00C32070">
              <w:t>2023</w:t>
            </w:r>
            <w:r w:rsidRPr="00C32070">
              <w:rPr>
                <w:rtl/>
              </w:rPr>
              <w:t>:</w:t>
            </w:r>
          </w:p>
          <w:p w14:paraId="36FF93E1" w14:textId="41D62F9E" w:rsidR="00BB66D7" w:rsidRPr="00C32070" w:rsidRDefault="00BB66D7" w:rsidP="00BB66D7">
            <w:pPr>
              <w:pStyle w:val="enumlev1"/>
              <w:rPr>
                <w:rtl/>
              </w:rPr>
            </w:pPr>
            <w:r w:rsidRPr="00C32070">
              <w:sym w:font="Wingdings 2" w:char="F097"/>
            </w:r>
            <w:r w:rsidRPr="00C32070">
              <w:rPr>
                <w:rtl/>
              </w:rPr>
              <w:tab/>
            </w:r>
            <w:r w:rsidR="003E7480" w:rsidRPr="00C32070">
              <w:rPr>
                <w:rtl/>
                <w:lang w:bidi="ar-EG"/>
              </w:rPr>
              <w:t xml:space="preserve">الحسابات غير المراجعة للسنة المالية </w:t>
            </w:r>
            <w:r w:rsidR="003E7480" w:rsidRPr="00C32070">
              <w:rPr>
                <w:lang w:bidi="ar-EG"/>
              </w:rPr>
              <w:t>2023</w:t>
            </w:r>
            <w:r w:rsidR="003E7480" w:rsidRPr="00C32070">
              <w:rPr>
                <w:rtl/>
                <w:lang w:bidi="ar-EG"/>
              </w:rPr>
              <w:t xml:space="preserve"> لميزانية الاتحاد والأموال من خارج الميزانية.</w:t>
            </w:r>
          </w:p>
          <w:p w14:paraId="40883831" w14:textId="77777777" w:rsidR="007B0AA0" w:rsidRPr="00C32070" w:rsidRDefault="007B0AA0" w:rsidP="007B0AA0">
            <w:pPr>
              <w:rPr>
                <w:b/>
                <w:bCs/>
                <w:rtl/>
              </w:rPr>
            </w:pPr>
            <w:r w:rsidRPr="00C32070">
              <w:rPr>
                <w:b/>
                <w:bCs/>
                <w:rtl/>
              </w:rPr>
              <w:t>الإجراء المطلوب من المجلس</w:t>
            </w:r>
          </w:p>
          <w:p w14:paraId="44E09388" w14:textId="40379E0D" w:rsidR="007B0AA0" w:rsidRPr="00C32070" w:rsidRDefault="00AB70C0" w:rsidP="00AB70C0">
            <w:pPr>
              <w:rPr>
                <w:lang w:bidi="ar-EG"/>
              </w:rPr>
            </w:pPr>
            <w:r w:rsidRPr="00C32070">
              <w:rPr>
                <w:rtl/>
                <w:lang w:bidi="ar-EG"/>
              </w:rPr>
              <w:t>يقدَّم</w:t>
            </w:r>
            <w:r w:rsidR="003E7480" w:rsidRPr="00C32070">
              <w:rPr>
                <w:rtl/>
                <w:lang w:bidi="ar-EG"/>
              </w:rPr>
              <w:t xml:space="preserve"> تقرير الإدارة المالية عن </w:t>
            </w:r>
            <w:r w:rsidRPr="00C32070">
              <w:rPr>
                <w:rtl/>
              </w:rPr>
              <w:t xml:space="preserve">السنة المالية </w:t>
            </w:r>
            <w:r w:rsidRPr="00C32070">
              <w:rPr>
                <w:lang w:bidi="ar-EG"/>
              </w:rPr>
              <w:t>2023</w:t>
            </w:r>
            <w:r w:rsidR="002F5E41">
              <w:rPr>
                <w:rFonts w:hint="cs"/>
                <w:rtl/>
                <w:lang w:bidi="ar-EG"/>
              </w:rPr>
              <w:t xml:space="preserve"> </w:t>
            </w:r>
            <w:r w:rsidR="003E7480" w:rsidRPr="00C32070">
              <w:rPr>
                <w:rtl/>
                <w:lang w:bidi="ar-EG"/>
              </w:rPr>
              <w:t xml:space="preserve">إلى المجلس </w:t>
            </w:r>
            <w:r w:rsidR="003E7480" w:rsidRPr="00C32070">
              <w:rPr>
                <w:b/>
                <w:bCs/>
                <w:rtl/>
                <w:lang w:bidi="ar-EG"/>
              </w:rPr>
              <w:t xml:space="preserve">للنظر </w:t>
            </w:r>
            <w:r w:rsidRPr="00C32070">
              <w:rPr>
                <w:b/>
                <w:bCs/>
                <w:rtl/>
                <w:lang w:bidi="ar-EG"/>
              </w:rPr>
              <w:t>فيه.</w:t>
            </w:r>
            <w:r w:rsidRPr="00C32070">
              <w:rPr>
                <w:rtl/>
                <w:lang w:bidi="ar-EG"/>
              </w:rPr>
              <w:t xml:space="preserve"> </w:t>
            </w:r>
            <w:r w:rsidR="003E7480" w:rsidRPr="00C32070">
              <w:rPr>
                <w:rtl/>
                <w:lang w:bidi="ar-EG"/>
              </w:rPr>
              <w:t>و</w:t>
            </w:r>
            <w:r w:rsidRPr="00C32070">
              <w:rPr>
                <w:rtl/>
                <w:lang w:bidi="ar-EG"/>
              </w:rPr>
              <w:t xml:space="preserve">سيقدَّم التقرير المراجَع </w:t>
            </w:r>
            <w:r w:rsidRPr="00C32070">
              <w:rPr>
                <w:b/>
                <w:bCs/>
                <w:rtl/>
                <w:lang w:bidi="ar-EG"/>
              </w:rPr>
              <w:t>ل</w:t>
            </w:r>
            <w:r w:rsidR="003E7480" w:rsidRPr="00C32070">
              <w:rPr>
                <w:b/>
                <w:bCs/>
                <w:rtl/>
                <w:lang w:bidi="ar-EG"/>
              </w:rPr>
              <w:t>لموافقة عليه عن طريق المراسلة</w:t>
            </w:r>
            <w:r w:rsidR="003E7480" w:rsidRPr="00C32070">
              <w:rPr>
                <w:rtl/>
                <w:lang w:bidi="ar-EG"/>
              </w:rPr>
              <w:t xml:space="preserve"> </w:t>
            </w:r>
            <w:r w:rsidRPr="00C32070">
              <w:rPr>
                <w:rtl/>
                <w:lang w:bidi="ar-EG"/>
              </w:rPr>
              <w:t>عند</w:t>
            </w:r>
            <w:r w:rsidR="009E59A4" w:rsidRPr="00C32070">
              <w:rPr>
                <w:rtl/>
                <w:lang w:bidi="ar-EG"/>
              </w:rPr>
              <w:t xml:space="preserve"> </w:t>
            </w:r>
            <w:r w:rsidR="003E7480" w:rsidRPr="00C32070">
              <w:rPr>
                <w:rtl/>
                <w:lang w:bidi="ar-EG"/>
              </w:rPr>
              <w:t>استلام رأي مراجع</w:t>
            </w:r>
            <w:r w:rsidR="00406CA1" w:rsidRPr="00C32070">
              <w:rPr>
                <w:rtl/>
                <w:lang w:bidi="ar-EG"/>
              </w:rPr>
              <w:t>ة</w:t>
            </w:r>
            <w:r w:rsidR="003E7480" w:rsidRPr="00C32070">
              <w:rPr>
                <w:rtl/>
                <w:lang w:bidi="ar-EG"/>
              </w:rPr>
              <w:t xml:space="preserve"> الحسابات في سبتمبر </w:t>
            </w:r>
            <w:r w:rsidR="003E7480" w:rsidRPr="00C32070">
              <w:rPr>
                <w:lang w:bidi="ar-EG"/>
              </w:rPr>
              <w:t>2024</w:t>
            </w:r>
            <w:r w:rsidR="003E7480" w:rsidRPr="00C32070">
              <w:rPr>
                <w:rtl/>
                <w:lang w:bidi="ar-EG"/>
              </w:rPr>
              <w:t>.</w:t>
            </w:r>
          </w:p>
          <w:p w14:paraId="039E5388" w14:textId="505A1ACC" w:rsidR="00BB66D7" w:rsidRPr="00C32070" w:rsidRDefault="00BB66D7" w:rsidP="00AB70C0">
            <w:pPr>
              <w:rPr>
                <w:rtl/>
              </w:rPr>
            </w:pPr>
            <w:r w:rsidRPr="00C32070">
              <w:rPr>
                <w:rtl/>
              </w:rPr>
              <w:t>وسيُرس</w:t>
            </w:r>
            <w:r w:rsidR="00AB70C0" w:rsidRPr="00C32070">
              <w:rPr>
                <w:rtl/>
              </w:rPr>
              <w:t>َ</w:t>
            </w:r>
            <w:r w:rsidRPr="00C32070">
              <w:rPr>
                <w:rtl/>
              </w:rPr>
              <w:t xml:space="preserve">ل التقرير بعد أن </w:t>
            </w:r>
            <w:r w:rsidR="00AB70C0" w:rsidRPr="00C32070">
              <w:rPr>
                <w:rtl/>
              </w:rPr>
              <w:t>يوافق عليه</w:t>
            </w:r>
            <w:r w:rsidR="001A7A93" w:rsidRPr="00C32070">
              <w:rPr>
                <w:rtl/>
              </w:rPr>
              <w:t xml:space="preserve"> </w:t>
            </w:r>
            <w:r w:rsidRPr="00C32070">
              <w:rPr>
                <w:rtl/>
              </w:rPr>
              <w:t>المجلس، إلى</w:t>
            </w:r>
            <w:r w:rsidR="00AB70C0" w:rsidRPr="00C32070">
              <w:rPr>
                <w:rtl/>
              </w:rPr>
              <w:t xml:space="preserve"> جميع</w:t>
            </w:r>
            <w:r w:rsidRPr="00C32070">
              <w:rPr>
                <w:rtl/>
              </w:rPr>
              <w:t xml:space="preserve"> الدول الأعضاء وأعضاء القطاعات.</w:t>
            </w:r>
          </w:p>
          <w:p w14:paraId="7ACB9B51" w14:textId="77777777" w:rsidR="007B0AA0" w:rsidRPr="00040A6A" w:rsidRDefault="007B0AA0" w:rsidP="007B0AA0">
            <w:pPr>
              <w:rPr>
                <w:rFonts w:ascii="Traditional Arabic" w:hAnsi="Traditional Arabic" w:cs="Traditional Arabic"/>
                <w:sz w:val="30"/>
                <w:szCs w:val="30"/>
                <w:rtl/>
              </w:rPr>
            </w:pPr>
            <w:r w:rsidRPr="00040A6A">
              <w:rPr>
                <w:rFonts w:ascii="Traditional Arabic" w:hAnsi="Traditional Arabic" w:cs="Traditional Arabic" w:hint="cs"/>
                <w:sz w:val="30"/>
                <w:szCs w:val="30"/>
                <w:rtl/>
              </w:rPr>
              <w:t>___________</w:t>
            </w:r>
          </w:p>
          <w:p w14:paraId="7012679C" w14:textId="77777777" w:rsidR="007B0AA0" w:rsidRPr="00C32070" w:rsidRDefault="007B0AA0" w:rsidP="007B0AA0">
            <w:pPr>
              <w:rPr>
                <w:b/>
                <w:bCs/>
                <w:rtl/>
              </w:rPr>
            </w:pPr>
            <w:r w:rsidRPr="00C32070">
              <w:rPr>
                <w:b/>
                <w:bCs/>
                <w:rtl/>
              </w:rPr>
              <w:t>المراجع</w:t>
            </w:r>
          </w:p>
          <w:p w14:paraId="1192FF52" w14:textId="19E2B9F4" w:rsidR="00987B84" w:rsidRPr="00C32070" w:rsidRDefault="00987B84" w:rsidP="00987B84">
            <w:pPr>
              <w:rPr>
                <w:rtl/>
                <w:lang w:bidi="ar-EG"/>
              </w:rPr>
            </w:pPr>
            <w:r w:rsidRPr="00C32070">
              <w:rPr>
                <w:i/>
                <w:iCs/>
                <w:rtl/>
                <w:lang w:bidi="ar-EG"/>
              </w:rPr>
              <w:t xml:space="preserve">الاتفاقية: الرقم </w:t>
            </w:r>
            <w:hyperlink r:id="rId8" w:history="1">
              <w:r w:rsidR="009E59A4" w:rsidRPr="00C32070">
                <w:rPr>
                  <w:rStyle w:val="Hyperlink"/>
                  <w:i/>
                  <w:iCs/>
                  <w:lang w:bidi="ar-EG"/>
                </w:rPr>
                <w:t>101</w:t>
              </w:r>
            </w:hyperlink>
          </w:p>
          <w:p w14:paraId="0D1DCF2D" w14:textId="11DE6748" w:rsidR="007B0AA0" w:rsidRPr="00C32070" w:rsidRDefault="00987B84" w:rsidP="001348EF">
            <w:pPr>
              <w:spacing w:after="120"/>
              <w:rPr>
                <w:i/>
                <w:iCs/>
                <w:rtl/>
              </w:rPr>
            </w:pPr>
            <w:r w:rsidRPr="00C32070">
              <w:rPr>
                <w:i/>
                <w:iCs/>
                <w:rtl/>
                <w:lang w:bidi="ar-EG"/>
              </w:rPr>
              <w:t xml:space="preserve">اللوائح المالية للاتحاد: </w:t>
            </w:r>
            <w:hyperlink r:id="rId9" w:history="1">
              <w:r w:rsidRPr="00C32070">
                <w:rPr>
                  <w:rStyle w:val="Hyperlink"/>
                  <w:i/>
                  <w:iCs/>
                  <w:rtl/>
                  <w:lang w:bidi="ar-EG"/>
                </w:rPr>
                <w:t xml:space="preserve">المادة </w:t>
              </w:r>
              <w:r w:rsidR="009E59A4" w:rsidRPr="00C32070">
                <w:rPr>
                  <w:rStyle w:val="Hyperlink"/>
                  <w:i/>
                  <w:iCs/>
                  <w:lang w:bidi="ar-EG"/>
                </w:rPr>
                <w:t>30</w:t>
              </w:r>
            </w:hyperlink>
          </w:p>
        </w:tc>
      </w:tr>
    </w:tbl>
    <w:p w14:paraId="3A521696" w14:textId="77777777" w:rsidR="00DB21A5" w:rsidRPr="00C32070" w:rsidRDefault="00DB21A5" w:rsidP="00907B08">
      <w:pPr>
        <w:rPr>
          <w:rtl/>
          <w:lang w:bidi="ar-EG"/>
        </w:rPr>
        <w:sectPr w:rsidR="00DB21A5" w:rsidRPr="00C32070" w:rsidSect="00DB3336">
          <w:headerReference w:type="default" r:id="rId10"/>
          <w:footerReference w:type="default" r:id="rId11"/>
          <w:headerReference w:type="first" r:id="rId12"/>
          <w:footerReference w:type="first" r:id="rId13"/>
          <w:type w:val="oddPage"/>
          <w:pgSz w:w="11907" w:h="16840" w:code="9"/>
          <w:pgMar w:top="1418" w:right="1134" w:bottom="1134" w:left="1134" w:header="709" w:footer="709" w:gutter="0"/>
          <w:cols w:space="708"/>
          <w:docGrid w:linePitch="360"/>
        </w:sectPr>
      </w:pPr>
    </w:p>
    <w:p w14:paraId="65A03502" w14:textId="7855D7AB" w:rsidR="00F50E3F" w:rsidRPr="00C32070" w:rsidRDefault="00987B84" w:rsidP="00636EA7">
      <w:pPr>
        <w:pStyle w:val="Annexref"/>
      </w:pPr>
      <w:r w:rsidRPr="00C32070">
        <w:rPr>
          <w:rtl/>
        </w:rPr>
        <w:lastRenderedPageBreak/>
        <w:t>تقرير الإدارة المالية</w:t>
      </w:r>
    </w:p>
    <w:p w14:paraId="103FA812" w14:textId="07C6355A" w:rsidR="00987B84" w:rsidRPr="00C32070" w:rsidRDefault="00987B84" w:rsidP="00617D8F">
      <w:pPr>
        <w:jc w:val="center"/>
        <w:rPr>
          <w:lang w:bidi="ar-EG"/>
        </w:rPr>
      </w:pPr>
      <w:r w:rsidRPr="00C32070">
        <w:rPr>
          <w:rtl/>
          <w:lang w:bidi="ar-EG"/>
        </w:rPr>
        <w:t>جدول المحتويات</w:t>
      </w:r>
    </w:p>
    <w:p w14:paraId="74525083" w14:textId="297344A8" w:rsidR="005476CA" w:rsidRDefault="00974219" w:rsidP="005476CA">
      <w:pPr>
        <w:pStyle w:val="TOC1"/>
        <w:rPr>
          <w:rFonts w:asciiTheme="minorHAnsi" w:hAnsiTheme="minorHAnsi" w:cstheme="minorBidi"/>
          <w:noProof/>
          <w:lang w:val="en-GB" w:eastAsia="en-GB"/>
        </w:rPr>
      </w:pPr>
      <w:r w:rsidRPr="00C32070">
        <w:rPr>
          <w:rtl/>
          <w:lang w:bidi="ar-EG"/>
        </w:rPr>
        <w:fldChar w:fldCharType="begin"/>
      </w:r>
      <w:r w:rsidRPr="00C32070">
        <w:rPr>
          <w:rtl/>
          <w:lang w:bidi="ar-EG"/>
        </w:rPr>
        <w:instrText xml:space="preserve"> </w:instrText>
      </w:r>
      <w:r w:rsidRPr="00C32070">
        <w:rPr>
          <w:lang w:bidi="ar-EG"/>
        </w:rPr>
        <w:instrText>TOC</w:instrText>
      </w:r>
      <w:r w:rsidRPr="00C32070">
        <w:rPr>
          <w:rtl/>
          <w:lang w:bidi="ar-EG"/>
        </w:rPr>
        <w:instrText xml:space="preserve"> \</w:instrText>
      </w:r>
      <w:r w:rsidRPr="00C32070">
        <w:rPr>
          <w:lang w:bidi="ar-EG"/>
        </w:rPr>
        <w:instrText>h \z \t "Heading 1,1,Heading 2,2,Heading 5,1,Annex No,1</w:instrText>
      </w:r>
      <w:r w:rsidRPr="00C32070">
        <w:rPr>
          <w:rtl/>
          <w:lang w:bidi="ar-EG"/>
        </w:rPr>
        <w:instrText xml:space="preserve">" </w:instrText>
      </w:r>
      <w:r w:rsidRPr="00C32070">
        <w:rPr>
          <w:rtl/>
          <w:lang w:bidi="ar-EG"/>
        </w:rPr>
        <w:fldChar w:fldCharType="separate"/>
      </w:r>
      <w:hyperlink w:anchor="_Toc168657539" w:history="1">
        <w:r w:rsidR="005476CA" w:rsidRPr="00F71B65">
          <w:rPr>
            <w:rStyle w:val="Hyperlink"/>
            <w:noProof/>
            <w:rtl/>
          </w:rPr>
          <w:t xml:space="preserve">مقدمة للبيانات المالية لعام </w:t>
        </w:r>
        <w:r w:rsidR="005476CA" w:rsidRPr="00F71B65">
          <w:rPr>
            <w:rStyle w:val="Hyperlink"/>
            <w:noProof/>
          </w:rPr>
          <w:t>2023</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_Toc168657539 \h </w:instrText>
        </w:r>
        <w:r w:rsidR="005476CA">
          <w:rPr>
            <w:noProof/>
            <w:webHidden/>
          </w:rPr>
        </w:r>
        <w:r w:rsidR="005476CA">
          <w:rPr>
            <w:noProof/>
            <w:webHidden/>
          </w:rPr>
          <w:fldChar w:fldCharType="separate"/>
        </w:r>
        <w:r w:rsidR="005476CA">
          <w:rPr>
            <w:noProof/>
            <w:webHidden/>
            <w:rtl/>
          </w:rPr>
          <w:t>4</w:t>
        </w:r>
        <w:r w:rsidR="005476CA">
          <w:rPr>
            <w:noProof/>
            <w:webHidden/>
          </w:rPr>
          <w:fldChar w:fldCharType="end"/>
        </w:r>
      </w:hyperlink>
    </w:p>
    <w:p w14:paraId="14E7B312" w14:textId="461DB1A7" w:rsidR="005476CA" w:rsidRDefault="001607AB" w:rsidP="005476CA">
      <w:pPr>
        <w:pStyle w:val="TOC1"/>
        <w:tabs>
          <w:tab w:val="clear" w:pos="1134"/>
        </w:tabs>
        <w:rPr>
          <w:rFonts w:asciiTheme="minorHAnsi" w:hAnsiTheme="minorHAnsi" w:cstheme="minorBidi"/>
          <w:noProof/>
          <w:lang w:val="en-GB" w:eastAsia="en-GB"/>
        </w:rPr>
      </w:pPr>
      <w:hyperlink w:anchor="_Toc168657540" w:history="1">
        <w:r w:rsidR="005476CA" w:rsidRPr="00F71B65">
          <w:rPr>
            <w:rStyle w:val="Hyperlink"/>
            <w:noProof/>
            <w:rtl/>
          </w:rPr>
          <w:t>مقدمة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_Toc168657540 \h </w:instrText>
        </w:r>
        <w:r w:rsidR="005476CA">
          <w:rPr>
            <w:noProof/>
            <w:webHidden/>
          </w:rPr>
        </w:r>
        <w:r w:rsidR="005476CA">
          <w:rPr>
            <w:noProof/>
            <w:webHidden/>
          </w:rPr>
          <w:fldChar w:fldCharType="separate"/>
        </w:r>
        <w:r w:rsidR="005476CA">
          <w:rPr>
            <w:noProof/>
            <w:webHidden/>
            <w:rtl/>
          </w:rPr>
          <w:t>6</w:t>
        </w:r>
        <w:r w:rsidR="005476CA">
          <w:rPr>
            <w:noProof/>
            <w:webHidden/>
          </w:rPr>
          <w:fldChar w:fldCharType="end"/>
        </w:r>
      </w:hyperlink>
    </w:p>
    <w:p w14:paraId="17CD6839" w14:textId="7C353E96" w:rsidR="005476CA" w:rsidRDefault="001607AB" w:rsidP="005476CA">
      <w:pPr>
        <w:pStyle w:val="TOC1"/>
        <w:rPr>
          <w:rFonts w:asciiTheme="minorHAnsi" w:hAnsiTheme="minorHAnsi" w:cstheme="minorBidi"/>
          <w:noProof/>
          <w:lang w:val="en-GB" w:eastAsia="en-GB"/>
        </w:rPr>
      </w:pPr>
      <w:hyperlink w:anchor="_Toc168657541" w:history="1">
        <w:r w:rsidR="005476CA" w:rsidRPr="00F71B65">
          <w:rPr>
            <w:rStyle w:val="Hyperlink"/>
            <w:noProof/>
            <w:rtl/>
          </w:rPr>
          <w:t xml:space="preserve">أبرز نقاط تقرير الإدارة المالية لعام </w:t>
        </w:r>
        <w:r w:rsidR="005476CA" w:rsidRPr="00F71B65">
          <w:rPr>
            <w:rStyle w:val="Hyperlink"/>
            <w:noProof/>
            <w:lang w:bidi="ar-EG"/>
          </w:rPr>
          <w:t>2023</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_Toc168657541 \h </w:instrText>
        </w:r>
        <w:r w:rsidR="005476CA">
          <w:rPr>
            <w:noProof/>
            <w:webHidden/>
          </w:rPr>
        </w:r>
        <w:r w:rsidR="005476CA">
          <w:rPr>
            <w:noProof/>
            <w:webHidden/>
          </w:rPr>
          <w:fldChar w:fldCharType="separate"/>
        </w:r>
        <w:r w:rsidR="005476CA">
          <w:rPr>
            <w:noProof/>
            <w:webHidden/>
            <w:rtl/>
          </w:rPr>
          <w:t>6</w:t>
        </w:r>
        <w:r w:rsidR="005476CA">
          <w:rPr>
            <w:noProof/>
            <w:webHidden/>
          </w:rPr>
          <w:fldChar w:fldCharType="end"/>
        </w:r>
      </w:hyperlink>
    </w:p>
    <w:p w14:paraId="3E240C67" w14:textId="564D4C06" w:rsidR="005476CA" w:rsidRDefault="001607AB" w:rsidP="005476CA">
      <w:pPr>
        <w:pStyle w:val="TOC1"/>
        <w:rPr>
          <w:rFonts w:asciiTheme="minorHAnsi" w:hAnsiTheme="minorHAnsi" w:cstheme="minorBidi"/>
          <w:noProof/>
          <w:lang w:val="en-GB" w:eastAsia="en-GB"/>
        </w:rPr>
      </w:pPr>
      <w:hyperlink w:anchor="_Toc168657542" w:history="1">
        <w:r w:rsidR="005476CA" w:rsidRPr="00F71B65">
          <w:rPr>
            <w:rStyle w:val="Hyperlink"/>
            <w:noProof/>
            <w:rtl/>
          </w:rPr>
          <w:t xml:space="preserve">بيان عن الرقابة الداخلية لعام </w:t>
        </w:r>
        <w:r w:rsidR="005476CA" w:rsidRPr="00F71B65">
          <w:rPr>
            <w:rStyle w:val="Hyperlink"/>
            <w:noProof/>
          </w:rPr>
          <w:t>2023</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_Toc168657542 \h </w:instrText>
        </w:r>
        <w:r w:rsidR="005476CA">
          <w:rPr>
            <w:noProof/>
            <w:webHidden/>
          </w:rPr>
        </w:r>
        <w:r w:rsidR="005476CA">
          <w:rPr>
            <w:noProof/>
            <w:webHidden/>
          </w:rPr>
          <w:fldChar w:fldCharType="separate"/>
        </w:r>
        <w:r w:rsidR="005476CA">
          <w:rPr>
            <w:noProof/>
            <w:webHidden/>
            <w:rtl/>
          </w:rPr>
          <w:t>14</w:t>
        </w:r>
        <w:r w:rsidR="005476CA">
          <w:rPr>
            <w:noProof/>
            <w:webHidden/>
          </w:rPr>
          <w:fldChar w:fldCharType="end"/>
        </w:r>
      </w:hyperlink>
    </w:p>
    <w:p w14:paraId="07FCA004" w14:textId="6E6A5C51" w:rsidR="005476CA" w:rsidRDefault="001607AB" w:rsidP="005476CA">
      <w:pPr>
        <w:pStyle w:val="TOC1"/>
        <w:rPr>
          <w:rFonts w:asciiTheme="minorHAnsi" w:hAnsiTheme="minorHAnsi" w:cstheme="minorBidi"/>
          <w:noProof/>
          <w:lang w:val="en-GB" w:eastAsia="en-GB"/>
        </w:rPr>
      </w:pPr>
      <w:hyperlink w:anchor="_Toc168657543" w:history="1">
        <w:r w:rsidR="005476CA" w:rsidRPr="00F71B65">
          <w:rPr>
            <w:rStyle w:val="Hyperlink"/>
            <w:noProof/>
            <w:rtl/>
            <w:lang w:bidi="ar-EG"/>
          </w:rPr>
          <w:t>رأي مراجع الحسابات الخارجي</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_Toc168657543 \h </w:instrText>
        </w:r>
        <w:r w:rsidR="005476CA">
          <w:rPr>
            <w:noProof/>
            <w:webHidden/>
          </w:rPr>
        </w:r>
        <w:r w:rsidR="005476CA">
          <w:rPr>
            <w:noProof/>
            <w:webHidden/>
          </w:rPr>
          <w:fldChar w:fldCharType="separate"/>
        </w:r>
        <w:r w:rsidR="005476CA">
          <w:rPr>
            <w:noProof/>
            <w:webHidden/>
            <w:rtl/>
          </w:rPr>
          <w:t>18</w:t>
        </w:r>
        <w:r w:rsidR="005476CA">
          <w:rPr>
            <w:noProof/>
            <w:webHidden/>
          </w:rPr>
          <w:fldChar w:fldCharType="end"/>
        </w:r>
      </w:hyperlink>
    </w:p>
    <w:p w14:paraId="01936FB5" w14:textId="01647CFA" w:rsidR="005476CA" w:rsidRDefault="001607AB" w:rsidP="005476CA">
      <w:pPr>
        <w:pStyle w:val="TOC1"/>
        <w:rPr>
          <w:rFonts w:asciiTheme="minorHAnsi" w:hAnsiTheme="minorHAnsi" w:cstheme="minorBidi"/>
          <w:noProof/>
          <w:lang w:val="en-GB" w:eastAsia="en-GB"/>
        </w:rPr>
      </w:pPr>
      <w:hyperlink w:anchor="_Toc168657544" w:history="1">
        <w:r w:rsidR="005476CA" w:rsidRPr="005476CA">
          <w:rPr>
            <w:rStyle w:val="Hyperlink"/>
            <w:b/>
            <w:bCs/>
            <w:noProof/>
            <w:rtl/>
            <w:lang w:val="en-GB"/>
          </w:rPr>
          <w:t>البيانات</w:t>
        </w:r>
        <w:r w:rsidR="005476CA" w:rsidRPr="00F71B65">
          <w:rPr>
            <w:rStyle w:val="Hyperlink"/>
            <w:noProof/>
            <w:rtl/>
            <w:lang w:val="en-GB"/>
          </w:rPr>
          <w:t xml:space="preserve"> </w:t>
        </w:r>
        <w:r w:rsidR="005476CA" w:rsidRPr="005476CA">
          <w:rPr>
            <w:rStyle w:val="Hyperlink"/>
            <w:b/>
            <w:bCs/>
            <w:noProof/>
            <w:rtl/>
            <w:lang w:val="en-GB"/>
          </w:rPr>
          <w:t>المالية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_Toc168657544 \h </w:instrText>
        </w:r>
        <w:r w:rsidR="005476CA">
          <w:rPr>
            <w:noProof/>
            <w:webHidden/>
          </w:rPr>
        </w:r>
        <w:r w:rsidR="005476CA">
          <w:rPr>
            <w:noProof/>
            <w:webHidden/>
          </w:rPr>
          <w:fldChar w:fldCharType="separate"/>
        </w:r>
        <w:r w:rsidR="005476CA">
          <w:rPr>
            <w:noProof/>
            <w:webHidden/>
            <w:rtl/>
          </w:rPr>
          <w:t>19</w:t>
        </w:r>
        <w:r w:rsidR="005476CA">
          <w:rPr>
            <w:noProof/>
            <w:webHidden/>
          </w:rPr>
          <w:fldChar w:fldCharType="end"/>
        </w:r>
      </w:hyperlink>
    </w:p>
    <w:p w14:paraId="16C51D47" w14:textId="071B2584" w:rsidR="005476CA" w:rsidRDefault="001607AB" w:rsidP="005476CA">
      <w:pPr>
        <w:pStyle w:val="TOC1"/>
        <w:rPr>
          <w:rFonts w:asciiTheme="minorHAnsi" w:hAnsiTheme="minorHAnsi" w:cstheme="minorBidi"/>
          <w:noProof/>
          <w:lang w:val="en-GB" w:eastAsia="en-GB"/>
        </w:rPr>
      </w:pPr>
      <w:hyperlink w:anchor="_Toc168657550" w:history="1">
        <w:r w:rsidR="005476CA" w:rsidRPr="00F71B65">
          <w:rPr>
            <w:rStyle w:val="Hyperlink"/>
            <w:noProof/>
            <w:rtl/>
          </w:rPr>
          <w:t>ملاحظات بشأن البيانات المالية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_Toc168657550 \h </w:instrText>
        </w:r>
        <w:r w:rsidR="005476CA">
          <w:rPr>
            <w:noProof/>
            <w:webHidden/>
          </w:rPr>
        </w:r>
        <w:r w:rsidR="005476CA">
          <w:rPr>
            <w:noProof/>
            <w:webHidden/>
          </w:rPr>
          <w:fldChar w:fldCharType="separate"/>
        </w:r>
        <w:r w:rsidR="005476CA">
          <w:rPr>
            <w:noProof/>
            <w:webHidden/>
            <w:rtl/>
          </w:rPr>
          <w:t>24</w:t>
        </w:r>
        <w:r w:rsidR="005476CA">
          <w:rPr>
            <w:noProof/>
            <w:webHidden/>
          </w:rPr>
          <w:fldChar w:fldCharType="end"/>
        </w:r>
      </w:hyperlink>
    </w:p>
    <w:p w14:paraId="2300D854" w14:textId="377AF041" w:rsidR="005476CA" w:rsidRDefault="001607AB" w:rsidP="005476CA">
      <w:pPr>
        <w:pStyle w:val="TOC1"/>
        <w:rPr>
          <w:rFonts w:asciiTheme="minorHAnsi" w:hAnsiTheme="minorHAnsi" w:cstheme="minorBidi"/>
          <w:noProof/>
          <w:lang w:val="en-GB" w:eastAsia="en-GB"/>
        </w:rPr>
      </w:pPr>
      <w:hyperlink w:anchor="_Toc168657551" w:history="1">
        <w:r w:rsidR="005476CA" w:rsidRPr="00F71B65">
          <w:rPr>
            <w:rStyle w:val="Hyperlink"/>
            <w:noProof/>
            <w:rtl/>
          </w:rPr>
          <w:t xml:space="preserve">الملاحظة </w:t>
        </w:r>
        <w:r w:rsidR="005476CA" w:rsidRPr="00F71B65">
          <w:rPr>
            <w:rStyle w:val="Hyperlink"/>
            <w:noProof/>
          </w:rPr>
          <w:t>1</w:t>
        </w:r>
        <w:r w:rsidR="005476CA">
          <w:rPr>
            <w:rFonts w:asciiTheme="minorHAnsi" w:hAnsiTheme="minorHAnsi" w:cstheme="minorBidi"/>
            <w:noProof/>
            <w:lang w:val="en-GB" w:eastAsia="en-GB"/>
          </w:rPr>
          <w:tab/>
        </w:r>
        <w:r w:rsidR="005476CA" w:rsidRPr="00F71B65">
          <w:rPr>
            <w:rStyle w:val="Hyperlink"/>
            <w:noProof/>
            <w:rtl/>
          </w:rPr>
          <w:t>أهداف الاتحاد</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_Toc168657551 \h </w:instrText>
        </w:r>
        <w:r w:rsidR="005476CA">
          <w:rPr>
            <w:noProof/>
            <w:webHidden/>
          </w:rPr>
        </w:r>
        <w:r w:rsidR="005476CA">
          <w:rPr>
            <w:noProof/>
            <w:webHidden/>
          </w:rPr>
          <w:fldChar w:fldCharType="separate"/>
        </w:r>
        <w:r w:rsidR="005476CA">
          <w:rPr>
            <w:noProof/>
            <w:webHidden/>
            <w:rtl/>
          </w:rPr>
          <w:t>24</w:t>
        </w:r>
        <w:r w:rsidR="005476CA">
          <w:rPr>
            <w:noProof/>
            <w:webHidden/>
          </w:rPr>
          <w:fldChar w:fldCharType="end"/>
        </w:r>
      </w:hyperlink>
    </w:p>
    <w:p w14:paraId="7277D672" w14:textId="025FAE8B" w:rsidR="005476CA" w:rsidRDefault="001607AB" w:rsidP="005476CA">
      <w:pPr>
        <w:pStyle w:val="TOC1"/>
        <w:rPr>
          <w:rFonts w:asciiTheme="minorHAnsi" w:hAnsiTheme="minorHAnsi" w:cstheme="minorBidi"/>
          <w:noProof/>
          <w:lang w:val="en-GB" w:eastAsia="en-GB"/>
        </w:rPr>
      </w:pPr>
      <w:hyperlink w:anchor="_Toc168657552" w:history="1">
        <w:r w:rsidR="005476CA" w:rsidRPr="00F71B65">
          <w:rPr>
            <w:rStyle w:val="Hyperlink"/>
            <w:noProof/>
            <w:rtl/>
          </w:rPr>
          <w:t xml:space="preserve">الملاحظة </w:t>
        </w:r>
        <w:r w:rsidR="005476CA" w:rsidRPr="00F71B65">
          <w:rPr>
            <w:rStyle w:val="Hyperlink"/>
            <w:noProof/>
          </w:rPr>
          <w:t>2</w:t>
        </w:r>
        <w:r w:rsidR="005476CA">
          <w:rPr>
            <w:rFonts w:asciiTheme="minorHAnsi" w:hAnsiTheme="minorHAnsi" w:cstheme="minorBidi"/>
            <w:noProof/>
            <w:lang w:val="en-GB" w:eastAsia="en-GB"/>
          </w:rPr>
          <w:tab/>
        </w:r>
        <w:r w:rsidR="005476CA" w:rsidRPr="00F71B65">
          <w:rPr>
            <w:rStyle w:val="Hyperlink"/>
            <w:noProof/>
            <w:rtl/>
          </w:rPr>
          <w:t>أساس الإعداد والعرض</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_Toc168657552 \h </w:instrText>
        </w:r>
        <w:r w:rsidR="005476CA">
          <w:rPr>
            <w:noProof/>
            <w:webHidden/>
          </w:rPr>
        </w:r>
        <w:r w:rsidR="005476CA">
          <w:rPr>
            <w:noProof/>
            <w:webHidden/>
          </w:rPr>
          <w:fldChar w:fldCharType="separate"/>
        </w:r>
        <w:r w:rsidR="005476CA">
          <w:rPr>
            <w:noProof/>
            <w:webHidden/>
            <w:rtl/>
          </w:rPr>
          <w:t>26</w:t>
        </w:r>
        <w:r w:rsidR="005476CA">
          <w:rPr>
            <w:noProof/>
            <w:webHidden/>
          </w:rPr>
          <w:fldChar w:fldCharType="end"/>
        </w:r>
      </w:hyperlink>
    </w:p>
    <w:p w14:paraId="7A6ABBA3" w14:textId="2BB7B9DA" w:rsidR="005476CA" w:rsidRDefault="001607AB" w:rsidP="005476CA">
      <w:pPr>
        <w:pStyle w:val="TOC1"/>
        <w:rPr>
          <w:rFonts w:asciiTheme="minorHAnsi" w:hAnsiTheme="minorHAnsi" w:cstheme="minorBidi"/>
          <w:noProof/>
          <w:lang w:val="en-GB" w:eastAsia="en-GB"/>
        </w:rPr>
      </w:pPr>
      <w:hyperlink w:anchor="_Toc168657553" w:history="1">
        <w:r w:rsidR="005476CA" w:rsidRPr="00F71B65">
          <w:rPr>
            <w:rStyle w:val="Hyperlink"/>
            <w:noProof/>
            <w:rtl/>
          </w:rPr>
          <w:t>الملاحظة 3</w:t>
        </w:r>
        <w:r w:rsidR="005476CA">
          <w:rPr>
            <w:rFonts w:asciiTheme="minorHAnsi" w:hAnsiTheme="minorHAnsi" w:cstheme="minorBidi"/>
            <w:noProof/>
            <w:lang w:val="en-GB" w:eastAsia="en-GB"/>
          </w:rPr>
          <w:tab/>
        </w:r>
        <w:r w:rsidR="005476CA" w:rsidRPr="00F71B65">
          <w:rPr>
            <w:rStyle w:val="Hyperlink"/>
            <w:noProof/>
            <w:rtl/>
          </w:rPr>
          <w:t>سياسات محاسبية مهمة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_Toc168657553 \h </w:instrText>
        </w:r>
        <w:r w:rsidR="005476CA">
          <w:rPr>
            <w:noProof/>
            <w:webHidden/>
          </w:rPr>
        </w:r>
        <w:r w:rsidR="005476CA">
          <w:rPr>
            <w:noProof/>
            <w:webHidden/>
          </w:rPr>
          <w:fldChar w:fldCharType="separate"/>
        </w:r>
        <w:r w:rsidR="005476CA">
          <w:rPr>
            <w:noProof/>
            <w:webHidden/>
            <w:rtl/>
          </w:rPr>
          <w:t>28</w:t>
        </w:r>
        <w:r w:rsidR="005476CA">
          <w:rPr>
            <w:noProof/>
            <w:webHidden/>
          </w:rPr>
          <w:fldChar w:fldCharType="end"/>
        </w:r>
      </w:hyperlink>
    </w:p>
    <w:p w14:paraId="6BAD4F87" w14:textId="4261B23F" w:rsidR="005476CA" w:rsidRDefault="001607AB" w:rsidP="005476CA">
      <w:pPr>
        <w:pStyle w:val="TOC2"/>
        <w:rPr>
          <w:rFonts w:asciiTheme="minorHAnsi" w:hAnsiTheme="minorHAnsi" w:cstheme="minorBidi"/>
          <w:noProof/>
          <w:lang w:val="en-GB" w:eastAsia="en-GB"/>
        </w:rPr>
      </w:pPr>
      <w:hyperlink w:anchor="_Toc168657554" w:history="1">
        <w:r w:rsidR="005476CA" w:rsidRPr="00F71B65">
          <w:rPr>
            <w:rStyle w:val="Hyperlink"/>
            <w:noProof/>
            <w:rtl/>
            <w:lang w:bidi="ar-EG"/>
          </w:rPr>
          <w:t>1.3</w:t>
        </w:r>
        <w:r w:rsidR="005476CA">
          <w:rPr>
            <w:rFonts w:asciiTheme="minorHAnsi" w:hAnsiTheme="minorHAnsi" w:cstheme="minorBidi"/>
            <w:noProof/>
            <w:lang w:val="en-GB" w:eastAsia="en-GB"/>
          </w:rPr>
          <w:tab/>
        </w:r>
        <w:r w:rsidR="005476CA" w:rsidRPr="00F71B65">
          <w:rPr>
            <w:rStyle w:val="Hyperlink"/>
            <w:noProof/>
            <w:rtl/>
            <w:lang w:bidi="ar-EG"/>
          </w:rPr>
          <w:t>سعر صرف العملة الوظيفية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_Toc168657554 \h </w:instrText>
        </w:r>
        <w:r w:rsidR="005476CA">
          <w:rPr>
            <w:noProof/>
            <w:webHidden/>
          </w:rPr>
        </w:r>
        <w:r w:rsidR="005476CA">
          <w:rPr>
            <w:noProof/>
            <w:webHidden/>
          </w:rPr>
          <w:fldChar w:fldCharType="separate"/>
        </w:r>
        <w:r w:rsidR="005476CA">
          <w:rPr>
            <w:noProof/>
            <w:webHidden/>
            <w:rtl/>
          </w:rPr>
          <w:t>28</w:t>
        </w:r>
        <w:r w:rsidR="005476CA">
          <w:rPr>
            <w:noProof/>
            <w:webHidden/>
          </w:rPr>
          <w:fldChar w:fldCharType="end"/>
        </w:r>
      </w:hyperlink>
    </w:p>
    <w:p w14:paraId="72D0DCDC" w14:textId="38FFE165" w:rsidR="005476CA" w:rsidRDefault="001607AB" w:rsidP="005476CA">
      <w:pPr>
        <w:pStyle w:val="TOC2"/>
        <w:rPr>
          <w:rFonts w:asciiTheme="minorHAnsi" w:hAnsiTheme="minorHAnsi" w:cstheme="minorBidi"/>
          <w:noProof/>
          <w:lang w:val="en-GB" w:eastAsia="en-GB"/>
        </w:rPr>
      </w:pPr>
      <w:hyperlink w:anchor="_Toc168657555" w:history="1">
        <w:r w:rsidR="005476CA" w:rsidRPr="00F71B65">
          <w:rPr>
            <w:rStyle w:val="Hyperlink"/>
            <w:noProof/>
            <w:rtl/>
            <w:lang w:bidi="ar-EG"/>
          </w:rPr>
          <w:t>2.3</w:t>
        </w:r>
        <w:r w:rsidR="005476CA">
          <w:rPr>
            <w:rFonts w:asciiTheme="minorHAnsi" w:hAnsiTheme="minorHAnsi" w:cstheme="minorBidi"/>
            <w:noProof/>
            <w:lang w:val="en-GB" w:eastAsia="en-GB"/>
          </w:rPr>
          <w:tab/>
        </w:r>
        <w:r w:rsidR="005476CA" w:rsidRPr="00F71B65">
          <w:rPr>
            <w:rStyle w:val="Hyperlink"/>
            <w:noProof/>
            <w:rtl/>
            <w:lang w:bidi="ar-EG"/>
          </w:rPr>
          <w:t>الصكوك المالية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_Toc168657555 \h </w:instrText>
        </w:r>
        <w:r w:rsidR="005476CA">
          <w:rPr>
            <w:noProof/>
            <w:webHidden/>
          </w:rPr>
        </w:r>
        <w:r w:rsidR="005476CA">
          <w:rPr>
            <w:noProof/>
            <w:webHidden/>
          </w:rPr>
          <w:fldChar w:fldCharType="separate"/>
        </w:r>
        <w:r w:rsidR="005476CA">
          <w:rPr>
            <w:noProof/>
            <w:webHidden/>
            <w:rtl/>
          </w:rPr>
          <w:t>28</w:t>
        </w:r>
        <w:r w:rsidR="005476CA">
          <w:rPr>
            <w:noProof/>
            <w:webHidden/>
          </w:rPr>
          <w:fldChar w:fldCharType="end"/>
        </w:r>
      </w:hyperlink>
    </w:p>
    <w:p w14:paraId="51B5D6A3" w14:textId="4B76B69C" w:rsidR="005476CA" w:rsidRDefault="001607AB" w:rsidP="005476CA">
      <w:pPr>
        <w:pStyle w:val="TOC2"/>
        <w:rPr>
          <w:rFonts w:asciiTheme="minorHAnsi" w:hAnsiTheme="minorHAnsi" w:cstheme="minorBidi"/>
          <w:noProof/>
          <w:lang w:val="en-GB" w:eastAsia="en-GB"/>
        </w:rPr>
      </w:pPr>
      <w:hyperlink w:anchor="_Toc168657556" w:history="1">
        <w:r w:rsidR="005476CA" w:rsidRPr="00F71B65">
          <w:rPr>
            <w:rStyle w:val="Hyperlink"/>
            <w:noProof/>
            <w:lang w:bidi="ar-EG"/>
          </w:rPr>
          <w:t>3</w:t>
        </w:r>
        <w:r w:rsidR="005476CA" w:rsidRPr="00F71B65">
          <w:rPr>
            <w:rStyle w:val="Hyperlink"/>
            <w:noProof/>
            <w:rtl/>
            <w:lang w:bidi="ar-EG"/>
          </w:rPr>
          <w:t>.3</w:t>
        </w:r>
        <w:r w:rsidR="005476CA">
          <w:rPr>
            <w:rFonts w:asciiTheme="minorHAnsi" w:hAnsiTheme="minorHAnsi" w:cstheme="minorBidi"/>
            <w:noProof/>
            <w:lang w:val="en-GB" w:eastAsia="en-GB"/>
          </w:rPr>
          <w:tab/>
        </w:r>
        <w:r w:rsidR="005476CA" w:rsidRPr="00F71B65">
          <w:rPr>
            <w:rStyle w:val="Hyperlink"/>
            <w:noProof/>
            <w:rtl/>
            <w:lang w:bidi="ar-EG"/>
          </w:rPr>
          <w:t xml:space="preserve"> إقرار معيار محاسبي دولي جديد للقطاع العام</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_Toc168657556 \h </w:instrText>
        </w:r>
        <w:r w:rsidR="005476CA">
          <w:rPr>
            <w:noProof/>
            <w:webHidden/>
          </w:rPr>
        </w:r>
        <w:r w:rsidR="005476CA">
          <w:rPr>
            <w:noProof/>
            <w:webHidden/>
          </w:rPr>
          <w:fldChar w:fldCharType="separate"/>
        </w:r>
        <w:r w:rsidR="005476CA">
          <w:rPr>
            <w:noProof/>
            <w:webHidden/>
            <w:rtl/>
          </w:rPr>
          <w:t>29</w:t>
        </w:r>
        <w:r w:rsidR="005476CA">
          <w:rPr>
            <w:noProof/>
            <w:webHidden/>
          </w:rPr>
          <w:fldChar w:fldCharType="end"/>
        </w:r>
      </w:hyperlink>
    </w:p>
    <w:p w14:paraId="47F808A6" w14:textId="24484D20" w:rsidR="005476CA" w:rsidRDefault="001607AB" w:rsidP="005476CA">
      <w:pPr>
        <w:pStyle w:val="TOC2"/>
        <w:rPr>
          <w:rFonts w:asciiTheme="minorHAnsi" w:hAnsiTheme="minorHAnsi" w:cstheme="minorBidi"/>
          <w:noProof/>
          <w:lang w:val="en-GB" w:eastAsia="en-GB"/>
        </w:rPr>
      </w:pPr>
      <w:hyperlink w:anchor="_Toc168657557" w:history="1">
        <w:r w:rsidR="005476CA" w:rsidRPr="00F71B65">
          <w:rPr>
            <w:rStyle w:val="Hyperlink"/>
            <w:noProof/>
            <w:lang w:bidi="ar-EG"/>
          </w:rPr>
          <w:t>4.3</w:t>
        </w:r>
        <w:r w:rsidR="005476CA">
          <w:rPr>
            <w:rFonts w:asciiTheme="minorHAnsi" w:hAnsiTheme="minorHAnsi" w:cstheme="minorBidi"/>
            <w:noProof/>
            <w:lang w:val="en-GB" w:eastAsia="en-GB"/>
          </w:rPr>
          <w:tab/>
        </w:r>
        <w:r w:rsidR="005476CA" w:rsidRPr="00F71B65">
          <w:rPr>
            <w:rStyle w:val="Hyperlink"/>
            <w:noProof/>
            <w:rtl/>
            <w:lang w:bidi="ar-EG"/>
          </w:rPr>
          <w:t>المخزونات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_Toc168657557 \h </w:instrText>
        </w:r>
        <w:r w:rsidR="005476CA">
          <w:rPr>
            <w:noProof/>
            <w:webHidden/>
          </w:rPr>
        </w:r>
        <w:r w:rsidR="005476CA">
          <w:rPr>
            <w:noProof/>
            <w:webHidden/>
          </w:rPr>
          <w:fldChar w:fldCharType="separate"/>
        </w:r>
        <w:r w:rsidR="005476CA">
          <w:rPr>
            <w:noProof/>
            <w:webHidden/>
            <w:rtl/>
          </w:rPr>
          <w:t>32</w:t>
        </w:r>
        <w:r w:rsidR="005476CA">
          <w:rPr>
            <w:noProof/>
            <w:webHidden/>
          </w:rPr>
          <w:fldChar w:fldCharType="end"/>
        </w:r>
      </w:hyperlink>
    </w:p>
    <w:p w14:paraId="1170B58E" w14:textId="04C37EEC" w:rsidR="005476CA" w:rsidRDefault="001607AB" w:rsidP="005476CA">
      <w:pPr>
        <w:pStyle w:val="TOC2"/>
        <w:rPr>
          <w:rFonts w:asciiTheme="minorHAnsi" w:hAnsiTheme="minorHAnsi" w:cstheme="minorBidi"/>
          <w:noProof/>
          <w:lang w:val="en-GB" w:eastAsia="en-GB"/>
        </w:rPr>
      </w:pPr>
      <w:hyperlink w:anchor="_Toc168657558" w:history="1">
        <w:r w:rsidR="005476CA" w:rsidRPr="00F71B65">
          <w:rPr>
            <w:rStyle w:val="Hyperlink"/>
            <w:noProof/>
            <w:lang w:bidi="ar-EG"/>
          </w:rPr>
          <w:t>5.3</w:t>
        </w:r>
        <w:r w:rsidR="005476CA">
          <w:rPr>
            <w:rFonts w:asciiTheme="minorHAnsi" w:hAnsiTheme="minorHAnsi" w:cstheme="minorBidi"/>
            <w:noProof/>
            <w:lang w:val="en-GB" w:eastAsia="en-GB"/>
          </w:rPr>
          <w:tab/>
        </w:r>
        <w:r w:rsidR="005476CA" w:rsidRPr="00F71B65">
          <w:rPr>
            <w:rStyle w:val="Hyperlink"/>
            <w:noProof/>
            <w:rtl/>
            <w:lang w:bidi="ar-EG"/>
          </w:rPr>
          <w:t>الممتلكات والمنشآت والمعدات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_Toc168657558 \h </w:instrText>
        </w:r>
        <w:r w:rsidR="005476CA">
          <w:rPr>
            <w:noProof/>
            <w:webHidden/>
          </w:rPr>
        </w:r>
        <w:r w:rsidR="005476CA">
          <w:rPr>
            <w:noProof/>
            <w:webHidden/>
          </w:rPr>
          <w:fldChar w:fldCharType="separate"/>
        </w:r>
        <w:r w:rsidR="005476CA">
          <w:rPr>
            <w:noProof/>
            <w:webHidden/>
            <w:rtl/>
          </w:rPr>
          <w:t>32</w:t>
        </w:r>
        <w:r w:rsidR="005476CA">
          <w:rPr>
            <w:noProof/>
            <w:webHidden/>
          </w:rPr>
          <w:fldChar w:fldCharType="end"/>
        </w:r>
      </w:hyperlink>
    </w:p>
    <w:p w14:paraId="2BF1B59F" w14:textId="5AE8E359" w:rsidR="005476CA" w:rsidRDefault="001607AB" w:rsidP="005476CA">
      <w:pPr>
        <w:pStyle w:val="TOC2"/>
        <w:rPr>
          <w:rFonts w:asciiTheme="minorHAnsi" w:hAnsiTheme="minorHAnsi" w:cstheme="minorBidi"/>
          <w:noProof/>
          <w:lang w:val="en-GB" w:eastAsia="en-GB"/>
        </w:rPr>
      </w:pPr>
      <w:hyperlink w:anchor="_Toc168657559" w:history="1">
        <w:r w:rsidR="005476CA" w:rsidRPr="00F71B65">
          <w:rPr>
            <w:rStyle w:val="Hyperlink"/>
            <w:noProof/>
            <w:lang w:bidi="ar-EG"/>
          </w:rPr>
          <w:t>6.3</w:t>
        </w:r>
        <w:r w:rsidR="005476CA">
          <w:rPr>
            <w:rFonts w:asciiTheme="minorHAnsi" w:hAnsiTheme="minorHAnsi" w:cstheme="minorBidi"/>
            <w:noProof/>
            <w:lang w:val="en-GB" w:eastAsia="en-GB"/>
          </w:rPr>
          <w:tab/>
        </w:r>
        <w:r w:rsidR="005476CA" w:rsidRPr="00F71B65">
          <w:rPr>
            <w:rStyle w:val="Hyperlink"/>
            <w:noProof/>
            <w:rtl/>
            <w:lang w:bidi="ar-EG"/>
          </w:rPr>
          <w:t>الأصول غير المادية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_Toc168657559 \h </w:instrText>
        </w:r>
        <w:r w:rsidR="005476CA">
          <w:rPr>
            <w:noProof/>
            <w:webHidden/>
          </w:rPr>
        </w:r>
        <w:r w:rsidR="005476CA">
          <w:rPr>
            <w:noProof/>
            <w:webHidden/>
          </w:rPr>
          <w:fldChar w:fldCharType="separate"/>
        </w:r>
        <w:r w:rsidR="005476CA">
          <w:rPr>
            <w:noProof/>
            <w:webHidden/>
            <w:rtl/>
          </w:rPr>
          <w:t>33</w:t>
        </w:r>
        <w:r w:rsidR="005476CA">
          <w:rPr>
            <w:noProof/>
            <w:webHidden/>
          </w:rPr>
          <w:fldChar w:fldCharType="end"/>
        </w:r>
      </w:hyperlink>
    </w:p>
    <w:p w14:paraId="72D14E9B" w14:textId="3366AF57" w:rsidR="005476CA" w:rsidRDefault="001607AB" w:rsidP="005476CA">
      <w:pPr>
        <w:pStyle w:val="TOC2"/>
        <w:rPr>
          <w:rFonts w:asciiTheme="minorHAnsi" w:hAnsiTheme="minorHAnsi" w:cstheme="minorBidi"/>
          <w:noProof/>
          <w:lang w:val="en-GB" w:eastAsia="en-GB"/>
        </w:rPr>
      </w:pPr>
      <w:hyperlink w:anchor="_Toc168657560" w:history="1">
        <w:r w:rsidR="005476CA" w:rsidRPr="00F71B65">
          <w:rPr>
            <w:rStyle w:val="Hyperlink"/>
            <w:noProof/>
            <w:lang w:bidi="ar-EG"/>
          </w:rPr>
          <w:t>7.3</w:t>
        </w:r>
        <w:r w:rsidR="005476CA">
          <w:rPr>
            <w:rFonts w:asciiTheme="minorHAnsi" w:hAnsiTheme="minorHAnsi" w:cstheme="minorBidi"/>
            <w:noProof/>
            <w:lang w:val="en-GB" w:eastAsia="en-GB"/>
          </w:rPr>
          <w:tab/>
        </w:r>
        <w:r w:rsidR="005476CA" w:rsidRPr="00F71B65">
          <w:rPr>
            <w:rStyle w:val="Hyperlink"/>
            <w:noProof/>
            <w:rtl/>
            <w:lang w:bidi="ar-EG"/>
          </w:rPr>
          <w:t>أرصدة المؤونة الاحتياطية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_Toc168657560 \h </w:instrText>
        </w:r>
        <w:r w:rsidR="005476CA">
          <w:rPr>
            <w:noProof/>
            <w:webHidden/>
          </w:rPr>
        </w:r>
        <w:r w:rsidR="005476CA">
          <w:rPr>
            <w:noProof/>
            <w:webHidden/>
          </w:rPr>
          <w:fldChar w:fldCharType="separate"/>
        </w:r>
        <w:r w:rsidR="005476CA">
          <w:rPr>
            <w:noProof/>
            <w:webHidden/>
            <w:rtl/>
          </w:rPr>
          <w:t>34</w:t>
        </w:r>
        <w:r w:rsidR="005476CA">
          <w:rPr>
            <w:noProof/>
            <w:webHidden/>
          </w:rPr>
          <w:fldChar w:fldCharType="end"/>
        </w:r>
      </w:hyperlink>
    </w:p>
    <w:p w14:paraId="62C172D6" w14:textId="05616690" w:rsidR="005476CA" w:rsidRDefault="001607AB" w:rsidP="005476CA">
      <w:pPr>
        <w:pStyle w:val="TOC2"/>
        <w:rPr>
          <w:rFonts w:asciiTheme="minorHAnsi" w:hAnsiTheme="minorHAnsi" w:cstheme="minorBidi"/>
          <w:noProof/>
          <w:lang w:val="en-GB" w:eastAsia="en-GB"/>
        </w:rPr>
      </w:pPr>
      <w:hyperlink w:anchor="_Toc168657561" w:history="1">
        <w:r w:rsidR="005476CA" w:rsidRPr="00F71B65">
          <w:rPr>
            <w:rStyle w:val="Hyperlink"/>
            <w:noProof/>
            <w:lang w:bidi="ar-EG"/>
          </w:rPr>
          <w:t>8.3</w:t>
        </w:r>
        <w:r w:rsidR="005476CA">
          <w:rPr>
            <w:rFonts w:asciiTheme="minorHAnsi" w:hAnsiTheme="minorHAnsi" w:cstheme="minorBidi"/>
            <w:noProof/>
            <w:lang w:val="en-GB" w:eastAsia="en-GB"/>
          </w:rPr>
          <w:tab/>
        </w:r>
        <w:r w:rsidR="005476CA" w:rsidRPr="00F71B65">
          <w:rPr>
            <w:rStyle w:val="Hyperlink"/>
            <w:noProof/>
            <w:rtl/>
            <w:lang w:bidi="ar-EG"/>
          </w:rPr>
          <w:t>الأصول والخصوم المشروطة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_Toc168657561 \h </w:instrText>
        </w:r>
        <w:r w:rsidR="005476CA">
          <w:rPr>
            <w:noProof/>
            <w:webHidden/>
          </w:rPr>
        </w:r>
        <w:r w:rsidR="005476CA">
          <w:rPr>
            <w:noProof/>
            <w:webHidden/>
          </w:rPr>
          <w:fldChar w:fldCharType="separate"/>
        </w:r>
        <w:r w:rsidR="005476CA">
          <w:rPr>
            <w:noProof/>
            <w:webHidden/>
            <w:rtl/>
          </w:rPr>
          <w:t>34</w:t>
        </w:r>
        <w:r w:rsidR="005476CA">
          <w:rPr>
            <w:noProof/>
            <w:webHidden/>
          </w:rPr>
          <w:fldChar w:fldCharType="end"/>
        </w:r>
      </w:hyperlink>
    </w:p>
    <w:p w14:paraId="325F768D" w14:textId="04A86082" w:rsidR="005476CA" w:rsidRDefault="001607AB" w:rsidP="005476CA">
      <w:pPr>
        <w:pStyle w:val="TOC2"/>
        <w:rPr>
          <w:rFonts w:asciiTheme="minorHAnsi" w:hAnsiTheme="minorHAnsi" w:cstheme="minorBidi"/>
          <w:noProof/>
          <w:lang w:val="en-GB" w:eastAsia="en-GB"/>
        </w:rPr>
      </w:pPr>
      <w:hyperlink w:anchor="_Toc168657562" w:history="1">
        <w:r w:rsidR="005476CA" w:rsidRPr="00F71B65">
          <w:rPr>
            <w:rStyle w:val="Hyperlink"/>
            <w:noProof/>
            <w:lang w:bidi="ar-EG"/>
          </w:rPr>
          <w:t>9.3</w:t>
        </w:r>
        <w:r w:rsidR="005476CA">
          <w:rPr>
            <w:rFonts w:asciiTheme="minorHAnsi" w:hAnsiTheme="minorHAnsi" w:cstheme="minorBidi"/>
            <w:noProof/>
            <w:lang w:val="en-GB" w:eastAsia="en-GB"/>
          </w:rPr>
          <w:tab/>
        </w:r>
        <w:r w:rsidR="005476CA" w:rsidRPr="00F71B65">
          <w:rPr>
            <w:rStyle w:val="Hyperlink"/>
            <w:noProof/>
            <w:rtl/>
            <w:lang w:bidi="ar-EG"/>
          </w:rPr>
          <w:t>استحقاقات الموظفين</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_Toc168657562 \h </w:instrText>
        </w:r>
        <w:r w:rsidR="005476CA">
          <w:rPr>
            <w:noProof/>
            <w:webHidden/>
          </w:rPr>
        </w:r>
        <w:r w:rsidR="005476CA">
          <w:rPr>
            <w:noProof/>
            <w:webHidden/>
          </w:rPr>
          <w:fldChar w:fldCharType="separate"/>
        </w:r>
        <w:r w:rsidR="005476CA">
          <w:rPr>
            <w:noProof/>
            <w:webHidden/>
            <w:rtl/>
          </w:rPr>
          <w:t>34</w:t>
        </w:r>
        <w:r w:rsidR="005476CA">
          <w:rPr>
            <w:noProof/>
            <w:webHidden/>
          </w:rPr>
          <w:fldChar w:fldCharType="end"/>
        </w:r>
      </w:hyperlink>
    </w:p>
    <w:p w14:paraId="1353CDE7" w14:textId="4A8B0590" w:rsidR="005476CA" w:rsidRDefault="001607AB" w:rsidP="005476CA">
      <w:pPr>
        <w:pStyle w:val="TOC2"/>
        <w:rPr>
          <w:rFonts w:asciiTheme="minorHAnsi" w:hAnsiTheme="minorHAnsi" w:cstheme="minorBidi"/>
          <w:noProof/>
          <w:lang w:val="en-GB" w:eastAsia="en-GB"/>
        </w:rPr>
      </w:pPr>
      <w:hyperlink w:anchor="_Toc168657563" w:history="1">
        <w:r w:rsidR="005476CA" w:rsidRPr="00F71B65">
          <w:rPr>
            <w:rStyle w:val="Hyperlink"/>
            <w:noProof/>
            <w:rtl/>
            <w:lang w:bidi="ar-EG"/>
          </w:rPr>
          <w:t>10.3</w:t>
        </w:r>
        <w:r w:rsidR="005476CA">
          <w:rPr>
            <w:rFonts w:asciiTheme="minorHAnsi" w:hAnsiTheme="minorHAnsi" w:cstheme="minorBidi"/>
            <w:noProof/>
            <w:lang w:val="en-GB" w:eastAsia="en-GB"/>
          </w:rPr>
          <w:tab/>
        </w:r>
        <w:r w:rsidR="005476CA" w:rsidRPr="00F71B65">
          <w:rPr>
            <w:rStyle w:val="Hyperlink"/>
            <w:noProof/>
            <w:rtl/>
            <w:lang w:bidi="ar-EG"/>
          </w:rPr>
          <w:t>قيد الإيرادات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_Toc168657563 \h </w:instrText>
        </w:r>
        <w:r w:rsidR="005476CA">
          <w:rPr>
            <w:noProof/>
            <w:webHidden/>
          </w:rPr>
        </w:r>
        <w:r w:rsidR="005476CA">
          <w:rPr>
            <w:noProof/>
            <w:webHidden/>
          </w:rPr>
          <w:fldChar w:fldCharType="separate"/>
        </w:r>
        <w:r w:rsidR="005476CA">
          <w:rPr>
            <w:noProof/>
            <w:webHidden/>
            <w:rtl/>
          </w:rPr>
          <w:t>35</w:t>
        </w:r>
        <w:r w:rsidR="005476CA">
          <w:rPr>
            <w:noProof/>
            <w:webHidden/>
          </w:rPr>
          <w:fldChar w:fldCharType="end"/>
        </w:r>
      </w:hyperlink>
    </w:p>
    <w:p w14:paraId="110EBFC2" w14:textId="526130D7" w:rsidR="005476CA" w:rsidRDefault="001607AB" w:rsidP="005476CA">
      <w:pPr>
        <w:pStyle w:val="TOC2"/>
        <w:rPr>
          <w:rFonts w:asciiTheme="minorHAnsi" w:hAnsiTheme="minorHAnsi" w:cstheme="minorBidi"/>
          <w:noProof/>
          <w:lang w:val="en-GB" w:eastAsia="en-GB"/>
        </w:rPr>
      </w:pPr>
      <w:hyperlink w:anchor="_Toc168657564" w:history="1">
        <w:r w:rsidR="005476CA" w:rsidRPr="00F71B65">
          <w:rPr>
            <w:rStyle w:val="Hyperlink"/>
            <w:noProof/>
            <w:rtl/>
            <w:lang w:bidi="ar-EG"/>
          </w:rPr>
          <w:t>11.3</w:t>
        </w:r>
        <w:r w:rsidR="005476CA">
          <w:rPr>
            <w:rFonts w:asciiTheme="minorHAnsi" w:hAnsiTheme="minorHAnsi" w:cstheme="minorBidi"/>
            <w:noProof/>
            <w:lang w:val="en-GB" w:eastAsia="en-GB"/>
          </w:rPr>
          <w:tab/>
        </w:r>
        <w:r w:rsidR="005476CA" w:rsidRPr="00F71B65">
          <w:rPr>
            <w:rStyle w:val="Hyperlink"/>
            <w:noProof/>
            <w:rtl/>
            <w:lang w:bidi="ar-EG"/>
          </w:rPr>
          <w:t>الإبلاغ بحسب الأبواب</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_Toc168657564 \h </w:instrText>
        </w:r>
        <w:r w:rsidR="005476CA">
          <w:rPr>
            <w:noProof/>
            <w:webHidden/>
          </w:rPr>
        </w:r>
        <w:r w:rsidR="005476CA">
          <w:rPr>
            <w:noProof/>
            <w:webHidden/>
          </w:rPr>
          <w:fldChar w:fldCharType="separate"/>
        </w:r>
        <w:r w:rsidR="005476CA">
          <w:rPr>
            <w:noProof/>
            <w:webHidden/>
            <w:rtl/>
          </w:rPr>
          <w:t>36</w:t>
        </w:r>
        <w:r w:rsidR="005476CA">
          <w:rPr>
            <w:noProof/>
            <w:webHidden/>
          </w:rPr>
          <w:fldChar w:fldCharType="end"/>
        </w:r>
      </w:hyperlink>
    </w:p>
    <w:p w14:paraId="7DDF28B9" w14:textId="759B858A" w:rsidR="005476CA" w:rsidRDefault="001607AB" w:rsidP="005476CA">
      <w:pPr>
        <w:pStyle w:val="TOC2"/>
        <w:rPr>
          <w:rFonts w:asciiTheme="minorHAnsi" w:hAnsiTheme="minorHAnsi" w:cstheme="minorBidi"/>
          <w:noProof/>
          <w:lang w:val="en-GB" w:eastAsia="en-GB"/>
        </w:rPr>
      </w:pPr>
      <w:hyperlink w:anchor="_Toc168657565" w:history="1">
        <w:r w:rsidR="005476CA" w:rsidRPr="00F71B65">
          <w:rPr>
            <w:rStyle w:val="Hyperlink"/>
            <w:noProof/>
            <w:rtl/>
            <w:lang w:bidi="ar-EG"/>
          </w:rPr>
          <w:t>12.3</w:t>
        </w:r>
        <w:r w:rsidR="005476CA">
          <w:rPr>
            <w:rFonts w:asciiTheme="minorHAnsi" w:hAnsiTheme="minorHAnsi" w:cstheme="minorBidi"/>
            <w:noProof/>
            <w:lang w:val="en-GB" w:eastAsia="en-GB"/>
          </w:rPr>
          <w:tab/>
        </w:r>
        <w:r w:rsidR="005476CA" w:rsidRPr="00F71B65">
          <w:rPr>
            <w:rStyle w:val="Hyperlink"/>
            <w:noProof/>
            <w:rtl/>
            <w:lang w:bidi="ar-EG"/>
          </w:rPr>
          <w:t>بيان المقارنة – المبالغ المدرجة في الميزانية والمبالغ الفعلية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_Toc168657565 \h </w:instrText>
        </w:r>
        <w:r w:rsidR="005476CA">
          <w:rPr>
            <w:noProof/>
            <w:webHidden/>
          </w:rPr>
        </w:r>
        <w:r w:rsidR="005476CA">
          <w:rPr>
            <w:noProof/>
            <w:webHidden/>
          </w:rPr>
          <w:fldChar w:fldCharType="separate"/>
        </w:r>
        <w:r w:rsidR="005476CA">
          <w:rPr>
            <w:noProof/>
            <w:webHidden/>
            <w:rtl/>
          </w:rPr>
          <w:t>37</w:t>
        </w:r>
        <w:r w:rsidR="005476CA">
          <w:rPr>
            <w:noProof/>
            <w:webHidden/>
          </w:rPr>
          <w:fldChar w:fldCharType="end"/>
        </w:r>
      </w:hyperlink>
    </w:p>
    <w:p w14:paraId="752A4AB3" w14:textId="6A5EEC60" w:rsidR="005476CA" w:rsidRDefault="001607AB" w:rsidP="005476CA">
      <w:pPr>
        <w:pStyle w:val="TOC1"/>
        <w:rPr>
          <w:rFonts w:asciiTheme="minorHAnsi" w:hAnsiTheme="minorHAnsi" w:cstheme="minorBidi"/>
          <w:noProof/>
          <w:lang w:val="en-GB" w:eastAsia="en-GB"/>
        </w:rPr>
      </w:pPr>
      <w:hyperlink w:anchor="_Toc168657566" w:history="1">
        <w:r w:rsidR="005476CA" w:rsidRPr="00F71B65">
          <w:rPr>
            <w:rStyle w:val="Hyperlink"/>
            <w:noProof/>
            <w:rtl/>
          </w:rPr>
          <w:t xml:space="preserve">الملاحظة </w:t>
        </w:r>
        <w:r w:rsidR="005476CA" w:rsidRPr="00F71B65">
          <w:rPr>
            <w:rStyle w:val="Hyperlink"/>
            <w:noProof/>
          </w:rPr>
          <w:t>4</w:t>
        </w:r>
        <w:r w:rsidR="005476CA">
          <w:rPr>
            <w:rFonts w:asciiTheme="minorHAnsi" w:hAnsiTheme="minorHAnsi" w:cstheme="minorBidi"/>
            <w:noProof/>
            <w:lang w:val="en-GB" w:eastAsia="en-GB"/>
          </w:rPr>
          <w:tab/>
        </w:r>
        <w:r w:rsidR="005476CA" w:rsidRPr="00F71B65">
          <w:rPr>
            <w:rStyle w:val="Hyperlink"/>
            <w:noProof/>
            <w:rtl/>
          </w:rPr>
          <w:t>إدارة صافي الأصول</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_Toc168657566 \h </w:instrText>
        </w:r>
        <w:r w:rsidR="005476CA">
          <w:rPr>
            <w:noProof/>
            <w:webHidden/>
          </w:rPr>
        </w:r>
        <w:r w:rsidR="005476CA">
          <w:rPr>
            <w:noProof/>
            <w:webHidden/>
          </w:rPr>
          <w:fldChar w:fldCharType="separate"/>
        </w:r>
        <w:r w:rsidR="005476CA">
          <w:rPr>
            <w:noProof/>
            <w:webHidden/>
            <w:rtl/>
          </w:rPr>
          <w:t>37</w:t>
        </w:r>
        <w:r w:rsidR="005476CA">
          <w:rPr>
            <w:noProof/>
            <w:webHidden/>
          </w:rPr>
          <w:fldChar w:fldCharType="end"/>
        </w:r>
      </w:hyperlink>
    </w:p>
    <w:p w14:paraId="72809ADA" w14:textId="569F18C8" w:rsidR="005476CA" w:rsidRDefault="001607AB" w:rsidP="005476CA">
      <w:pPr>
        <w:pStyle w:val="TOC1"/>
        <w:rPr>
          <w:rFonts w:asciiTheme="minorHAnsi" w:hAnsiTheme="minorHAnsi" w:cstheme="minorBidi"/>
          <w:noProof/>
          <w:lang w:val="en-GB" w:eastAsia="en-GB"/>
        </w:rPr>
      </w:pPr>
      <w:hyperlink w:anchor="_Toc168657567" w:history="1">
        <w:r w:rsidR="005476CA" w:rsidRPr="00F71B65">
          <w:rPr>
            <w:rStyle w:val="Hyperlink"/>
            <w:noProof/>
            <w:rtl/>
          </w:rPr>
          <w:t xml:space="preserve">الملاحظة </w:t>
        </w:r>
        <w:r w:rsidR="005476CA" w:rsidRPr="00F71B65">
          <w:rPr>
            <w:rStyle w:val="Hyperlink"/>
            <w:noProof/>
          </w:rPr>
          <w:t>5</w:t>
        </w:r>
        <w:r w:rsidR="005476CA">
          <w:rPr>
            <w:rFonts w:asciiTheme="minorHAnsi" w:hAnsiTheme="minorHAnsi" w:cstheme="minorBidi"/>
            <w:noProof/>
            <w:lang w:val="en-GB" w:eastAsia="en-GB"/>
          </w:rPr>
          <w:tab/>
        </w:r>
        <w:r w:rsidR="005476CA" w:rsidRPr="00F71B65">
          <w:rPr>
            <w:rStyle w:val="Hyperlink"/>
            <w:noProof/>
            <w:rtl/>
          </w:rPr>
          <w:t>المخاطر المالية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_Toc168657567 \h </w:instrText>
        </w:r>
        <w:r w:rsidR="005476CA">
          <w:rPr>
            <w:noProof/>
            <w:webHidden/>
          </w:rPr>
        </w:r>
        <w:r w:rsidR="005476CA">
          <w:rPr>
            <w:noProof/>
            <w:webHidden/>
          </w:rPr>
          <w:fldChar w:fldCharType="separate"/>
        </w:r>
        <w:r w:rsidR="005476CA">
          <w:rPr>
            <w:noProof/>
            <w:webHidden/>
            <w:rtl/>
          </w:rPr>
          <w:t>41</w:t>
        </w:r>
        <w:r w:rsidR="005476CA">
          <w:rPr>
            <w:noProof/>
            <w:webHidden/>
          </w:rPr>
          <w:fldChar w:fldCharType="end"/>
        </w:r>
      </w:hyperlink>
    </w:p>
    <w:p w14:paraId="4AC197B4" w14:textId="30869ECD" w:rsidR="005476CA" w:rsidRDefault="001607AB" w:rsidP="005476CA">
      <w:pPr>
        <w:pStyle w:val="TOC1"/>
        <w:rPr>
          <w:rFonts w:asciiTheme="minorHAnsi" w:hAnsiTheme="minorHAnsi" w:cstheme="minorBidi"/>
          <w:noProof/>
          <w:lang w:val="en-GB" w:eastAsia="en-GB"/>
        </w:rPr>
      </w:pPr>
      <w:hyperlink w:anchor="_Toc168657568" w:history="1">
        <w:r w:rsidR="005476CA" w:rsidRPr="00F71B65">
          <w:rPr>
            <w:rStyle w:val="Hyperlink"/>
            <w:noProof/>
            <w:rtl/>
          </w:rPr>
          <w:t xml:space="preserve">الملاحظة </w:t>
        </w:r>
        <w:r w:rsidR="005476CA" w:rsidRPr="00F71B65">
          <w:rPr>
            <w:rStyle w:val="Hyperlink"/>
            <w:noProof/>
          </w:rPr>
          <w:t>6</w:t>
        </w:r>
        <w:r w:rsidR="005476CA">
          <w:rPr>
            <w:rFonts w:asciiTheme="minorHAnsi" w:hAnsiTheme="minorHAnsi" w:cstheme="minorBidi"/>
            <w:noProof/>
            <w:lang w:val="en-GB" w:eastAsia="en-GB"/>
          </w:rPr>
          <w:tab/>
        </w:r>
        <w:r w:rsidR="005476CA" w:rsidRPr="00F71B65">
          <w:rPr>
            <w:rStyle w:val="Hyperlink"/>
            <w:noProof/>
            <w:rtl/>
          </w:rPr>
          <w:t>الاجتهادات والتقديرات المحاسبية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_Toc168657568 \h </w:instrText>
        </w:r>
        <w:r w:rsidR="005476CA">
          <w:rPr>
            <w:noProof/>
            <w:webHidden/>
          </w:rPr>
        </w:r>
        <w:r w:rsidR="005476CA">
          <w:rPr>
            <w:noProof/>
            <w:webHidden/>
          </w:rPr>
          <w:fldChar w:fldCharType="separate"/>
        </w:r>
        <w:r w:rsidR="005476CA">
          <w:rPr>
            <w:noProof/>
            <w:webHidden/>
            <w:rtl/>
          </w:rPr>
          <w:t>43</w:t>
        </w:r>
        <w:r w:rsidR="005476CA">
          <w:rPr>
            <w:noProof/>
            <w:webHidden/>
          </w:rPr>
          <w:fldChar w:fldCharType="end"/>
        </w:r>
      </w:hyperlink>
    </w:p>
    <w:p w14:paraId="7FE5ADA0" w14:textId="3786F8C3" w:rsidR="005476CA" w:rsidRDefault="001607AB" w:rsidP="005476CA">
      <w:pPr>
        <w:pStyle w:val="TOC1"/>
        <w:rPr>
          <w:rFonts w:asciiTheme="minorHAnsi" w:hAnsiTheme="minorHAnsi" w:cstheme="minorBidi"/>
          <w:noProof/>
          <w:lang w:val="en-GB" w:eastAsia="en-GB"/>
        </w:rPr>
      </w:pPr>
      <w:hyperlink w:anchor="_Toc168657569" w:history="1">
        <w:r w:rsidR="005476CA" w:rsidRPr="00F71B65">
          <w:rPr>
            <w:rStyle w:val="Hyperlink"/>
            <w:noProof/>
            <w:rtl/>
          </w:rPr>
          <w:t xml:space="preserve">الملاحظة </w:t>
        </w:r>
        <w:r w:rsidR="005476CA" w:rsidRPr="00F71B65">
          <w:rPr>
            <w:rStyle w:val="Hyperlink"/>
            <w:noProof/>
          </w:rPr>
          <w:t>7</w:t>
        </w:r>
        <w:r w:rsidR="005476CA">
          <w:rPr>
            <w:rFonts w:asciiTheme="minorHAnsi" w:hAnsiTheme="minorHAnsi" w:cstheme="minorBidi"/>
            <w:noProof/>
            <w:lang w:val="en-GB" w:eastAsia="en-GB"/>
          </w:rPr>
          <w:tab/>
        </w:r>
        <w:r w:rsidR="005476CA" w:rsidRPr="00F71B65">
          <w:rPr>
            <w:rStyle w:val="Hyperlink"/>
            <w:noProof/>
            <w:rtl/>
          </w:rPr>
          <w:t>الرصيد النقدي وما يعادله</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_Toc168657569 \h </w:instrText>
        </w:r>
        <w:r w:rsidR="005476CA">
          <w:rPr>
            <w:noProof/>
            <w:webHidden/>
          </w:rPr>
        </w:r>
        <w:r w:rsidR="005476CA">
          <w:rPr>
            <w:noProof/>
            <w:webHidden/>
          </w:rPr>
          <w:fldChar w:fldCharType="separate"/>
        </w:r>
        <w:r w:rsidR="005476CA">
          <w:rPr>
            <w:noProof/>
            <w:webHidden/>
            <w:rtl/>
          </w:rPr>
          <w:t>44</w:t>
        </w:r>
        <w:r w:rsidR="005476CA">
          <w:rPr>
            <w:noProof/>
            <w:webHidden/>
          </w:rPr>
          <w:fldChar w:fldCharType="end"/>
        </w:r>
      </w:hyperlink>
    </w:p>
    <w:p w14:paraId="2942E024" w14:textId="500225F5" w:rsidR="005476CA" w:rsidRDefault="001607AB" w:rsidP="005476CA">
      <w:pPr>
        <w:pStyle w:val="TOC1"/>
        <w:rPr>
          <w:rFonts w:asciiTheme="minorHAnsi" w:hAnsiTheme="minorHAnsi" w:cstheme="minorBidi"/>
          <w:noProof/>
          <w:lang w:val="en-GB" w:eastAsia="en-GB"/>
        </w:rPr>
      </w:pPr>
      <w:hyperlink w:anchor="_Toc168657570" w:history="1">
        <w:r w:rsidR="005476CA" w:rsidRPr="00F71B65">
          <w:rPr>
            <w:rStyle w:val="Hyperlink"/>
            <w:noProof/>
            <w:rtl/>
          </w:rPr>
          <w:t xml:space="preserve">الملاحظة </w:t>
        </w:r>
        <w:r w:rsidR="005476CA" w:rsidRPr="00F71B65">
          <w:rPr>
            <w:rStyle w:val="Hyperlink"/>
            <w:noProof/>
          </w:rPr>
          <w:t>8</w:t>
        </w:r>
        <w:r w:rsidR="005476CA">
          <w:rPr>
            <w:rFonts w:asciiTheme="minorHAnsi" w:hAnsiTheme="minorHAnsi" w:cstheme="minorBidi"/>
            <w:noProof/>
            <w:lang w:val="en-GB" w:eastAsia="en-GB"/>
          </w:rPr>
          <w:tab/>
        </w:r>
        <w:r w:rsidR="005476CA" w:rsidRPr="00F71B65">
          <w:rPr>
            <w:rStyle w:val="Hyperlink"/>
            <w:noProof/>
            <w:rtl/>
          </w:rPr>
          <w:t>الاستثمارات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_Toc168657570 \h </w:instrText>
        </w:r>
        <w:r w:rsidR="005476CA">
          <w:rPr>
            <w:noProof/>
            <w:webHidden/>
          </w:rPr>
        </w:r>
        <w:r w:rsidR="005476CA">
          <w:rPr>
            <w:noProof/>
            <w:webHidden/>
          </w:rPr>
          <w:fldChar w:fldCharType="separate"/>
        </w:r>
        <w:r w:rsidR="005476CA">
          <w:rPr>
            <w:noProof/>
            <w:webHidden/>
            <w:rtl/>
          </w:rPr>
          <w:t>44</w:t>
        </w:r>
        <w:r w:rsidR="005476CA">
          <w:rPr>
            <w:noProof/>
            <w:webHidden/>
          </w:rPr>
          <w:fldChar w:fldCharType="end"/>
        </w:r>
      </w:hyperlink>
    </w:p>
    <w:p w14:paraId="059D993A" w14:textId="7D770F07" w:rsidR="005476CA" w:rsidRDefault="001607AB" w:rsidP="005476CA">
      <w:pPr>
        <w:pStyle w:val="TOC1"/>
        <w:rPr>
          <w:rFonts w:asciiTheme="minorHAnsi" w:hAnsiTheme="minorHAnsi" w:cstheme="minorBidi"/>
          <w:noProof/>
          <w:lang w:val="en-GB" w:eastAsia="en-GB"/>
        </w:rPr>
      </w:pPr>
      <w:hyperlink w:anchor="_Toc168657571" w:history="1">
        <w:r w:rsidR="005476CA" w:rsidRPr="00F71B65">
          <w:rPr>
            <w:rStyle w:val="Hyperlink"/>
            <w:noProof/>
            <w:rtl/>
          </w:rPr>
          <w:t xml:space="preserve">الملاحظة </w:t>
        </w:r>
        <w:r w:rsidR="005476CA" w:rsidRPr="00F71B65">
          <w:rPr>
            <w:rStyle w:val="Hyperlink"/>
            <w:noProof/>
          </w:rPr>
          <w:t>9</w:t>
        </w:r>
        <w:r w:rsidR="005476CA">
          <w:rPr>
            <w:rFonts w:asciiTheme="minorHAnsi" w:hAnsiTheme="minorHAnsi" w:cstheme="minorBidi"/>
            <w:noProof/>
            <w:lang w:val="en-GB" w:eastAsia="en-GB"/>
          </w:rPr>
          <w:tab/>
        </w:r>
        <w:r w:rsidR="005476CA" w:rsidRPr="00F71B65">
          <w:rPr>
            <w:rStyle w:val="Hyperlink"/>
            <w:noProof/>
            <w:rtl/>
          </w:rPr>
          <w:t>الذمم المدينة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_Toc168657571 \h </w:instrText>
        </w:r>
        <w:r w:rsidR="005476CA">
          <w:rPr>
            <w:noProof/>
            <w:webHidden/>
          </w:rPr>
        </w:r>
        <w:r w:rsidR="005476CA">
          <w:rPr>
            <w:noProof/>
            <w:webHidden/>
          </w:rPr>
          <w:fldChar w:fldCharType="separate"/>
        </w:r>
        <w:r w:rsidR="005476CA">
          <w:rPr>
            <w:noProof/>
            <w:webHidden/>
            <w:rtl/>
          </w:rPr>
          <w:t>45</w:t>
        </w:r>
        <w:r w:rsidR="005476CA">
          <w:rPr>
            <w:noProof/>
            <w:webHidden/>
          </w:rPr>
          <w:fldChar w:fldCharType="end"/>
        </w:r>
      </w:hyperlink>
    </w:p>
    <w:p w14:paraId="0A0BF8E0" w14:textId="5B887661" w:rsidR="005476CA" w:rsidRDefault="001607AB" w:rsidP="005476CA">
      <w:pPr>
        <w:pStyle w:val="TOC1"/>
        <w:rPr>
          <w:rFonts w:asciiTheme="minorHAnsi" w:hAnsiTheme="minorHAnsi" w:cstheme="minorBidi"/>
          <w:noProof/>
          <w:lang w:val="en-GB" w:eastAsia="en-GB"/>
        </w:rPr>
      </w:pPr>
      <w:hyperlink w:anchor="_Toc168657572" w:history="1">
        <w:r w:rsidR="005476CA" w:rsidRPr="00F71B65">
          <w:rPr>
            <w:rStyle w:val="Hyperlink"/>
            <w:noProof/>
            <w:rtl/>
          </w:rPr>
          <w:t xml:space="preserve">الملاحظة </w:t>
        </w:r>
        <w:r w:rsidR="005476CA" w:rsidRPr="00F71B65">
          <w:rPr>
            <w:rStyle w:val="Hyperlink"/>
            <w:noProof/>
          </w:rPr>
          <w:t>10</w:t>
        </w:r>
        <w:r w:rsidR="005476CA">
          <w:rPr>
            <w:rFonts w:asciiTheme="minorHAnsi" w:hAnsiTheme="minorHAnsi" w:cstheme="minorBidi"/>
            <w:noProof/>
            <w:lang w:val="en-GB" w:eastAsia="en-GB"/>
          </w:rPr>
          <w:tab/>
        </w:r>
        <w:r w:rsidR="005476CA" w:rsidRPr="00F71B65">
          <w:rPr>
            <w:rStyle w:val="Hyperlink"/>
            <w:noProof/>
            <w:rtl/>
          </w:rPr>
          <w:t>الذمم المدينة الأخرى</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_Toc168657572 \h </w:instrText>
        </w:r>
        <w:r w:rsidR="005476CA">
          <w:rPr>
            <w:noProof/>
            <w:webHidden/>
          </w:rPr>
        </w:r>
        <w:r w:rsidR="005476CA">
          <w:rPr>
            <w:noProof/>
            <w:webHidden/>
          </w:rPr>
          <w:fldChar w:fldCharType="separate"/>
        </w:r>
        <w:r w:rsidR="005476CA">
          <w:rPr>
            <w:noProof/>
            <w:webHidden/>
            <w:rtl/>
          </w:rPr>
          <w:t>45</w:t>
        </w:r>
        <w:r w:rsidR="005476CA">
          <w:rPr>
            <w:noProof/>
            <w:webHidden/>
          </w:rPr>
          <w:fldChar w:fldCharType="end"/>
        </w:r>
      </w:hyperlink>
    </w:p>
    <w:p w14:paraId="085762B3" w14:textId="1D324460" w:rsidR="005476CA" w:rsidRDefault="001607AB" w:rsidP="005476CA">
      <w:pPr>
        <w:pStyle w:val="TOC1"/>
        <w:rPr>
          <w:rFonts w:asciiTheme="minorHAnsi" w:hAnsiTheme="minorHAnsi" w:cstheme="minorBidi"/>
          <w:noProof/>
          <w:lang w:val="en-GB" w:eastAsia="en-GB"/>
        </w:rPr>
      </w:pPr>
      <w:hyperlink w:anchor="_Toc168657573" w:history="1">
        <w:r w:rsidR="005476CA" w:rsidRPr="00F71B65">
          <w:rPr>
            <w:rStyle w:val="Hyperlink"/>
            <w:noProof/>
            <w:rtl/>
          </w:rPr>
          <w:t xml:space="preserve">الملاحظة </w:t>
        </w:r>
        <w:r w:rsidR="005476CA" w:rsidRPr="00F71B65">
          <w:rPr>
            <w:rStyle w:val="Hyperlink"/>
            <w:noProof/>
          </w:rPr>
          <w:t>11</w:t>
        </w:r>
        <w:r w:rsidR="005476CA">
          <w:rPr>
            <w:rFonts w:asciiTheme="minorHAnsi" w:hAnsiTheme="minorHAnsi" w:cstheme="minorBidi"/>
            <w:noProof/>
            <w:lang w:val="en-GB" w:eastAsia="en-GB"/>
          </w:rPr>
          <w:tab/>
        </w:r>
        <w:r w:rsidR="005476CA" w:rsidRPr="00F71B65">
          <w:rPr>
            <w:rStyle w:val="Hyperlink"/>
            <w:noProof/>
            <w:rtl/>
          </w:rPr>
          <w:t>الممتلكات والمنشآت والمعدات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_Toc168657573 \h </w:instrText>
        </w:r>
        <w:r w:rsidR="005476CA">
          <w:rPr>
            <w:noProof/>
            <w:webHidden/>
          </w:rPr>
        </w:r>
        <w:r w:rsidR="005476CA">
          <w:rPr>
            <w:noProof/>
            <w:webHidden/>
          </w:rPr>
          <w:fldChar w:fldCharType="separate"/>
        </w:r>
        <w:r w:rsidR="005476CA">
          <w:rPr>
            <w:noProof/>
            <w:webHidden/>
            <w:rtl/>
          </w:rPr>
          <w:t>46</w:t>
        </w:r>
        <w:r w:rsidR="005476CA">
          <w:rPr>
            <w:noProof/>
            <w:webHidden/>
          </w:rPr>
          <w:fldChar w:fldCharType="end"/>
        </w:r>
      </w:hyperlink>
    </w:p>
    <w:p w14:paraId="1B721EC8" w14:textId="2C75E840" w:rsidR="005476CA" w:rsidRDefault="001607AB" w:rsidP="005476CA">
      <w:pPr>
        <w:pStyle w:val="TOC1"/>
        <w:rPr>
          <w:rFonts w:asciiTheme="minorHAnsi" w:hAnsiTheme="minorHAnsi" w:cstheme="minorBidi"/>
          <w:noProof/>
          <w:lang w:val="en-GB" w:eastAsia="en-GB"/>
        </w:rPr>
      </w:pPr>
      <w:hyperlink w:anchor="_Toc168657574" w:history="1">
        <w:r w:rsidR="005476CA" w:rsidRPr="00F71B65">
          <w:rPr>
            <w:rStyle w:val="Hyperlink"/>
            <w:noProof/>
            <w:rtl/>
          </w:rPr>
          <w:t xml:space="preserve">الملاحظة </w:t>
        </w:r>
        <w:r w:rsidR="005476CA" w:rsidRPr="00F71B65">
          <w:rPr>
            <w:rStyle w:val="Hyperlink"/>
            <w:noProof/>
          </w:rPr>
          <w:t>12</w:t>
        </w:r>
        <w:r w:rsidR="005476CA">
          <w:rPr>
            <w:rFonts w:asciiTheme="minorHAnsi" w:hAnsiTheme="minorHAnsi" w:cstheme="minorBidi"/>
            <w:noProof/>
            <w:lang w:val="en-GB" w:eastAsia="en-GB"/>
          </w:rPr>
          <w:tab/>
        </w:r>
        <w:r w:rsidR="005476CA" w:rsidRPr="00F71B65">
          <w:rPr>
            <w:rStyle w:val="Hyperlink"/>
            <w:noProof/>
            <w:rtl/>
          </w:rPr>
          <w:t>الأصول غير المادية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_Toc168657574 \h </w:instrText>
        </w:r>
        <w:r w:rsidR="005476CA">
          <w:rPr>
            <w:noProof/>
            <w:webHidden/>
          </w:rPr>
        </w:r>
        <w:r w:rsidR="005476CA">
          <w:rPr>
            <w:noProof/>
            <w:webHidden/>
          </w:rPr>
          <w:fldChar w:fldCharType="separate"/>
        </w:r>
        <w:r w:rsidR="005476CA">
          <w:rPr>
            <w:noProof/>
            <w:webHidden/>
            <w:rtl/>
          </w:rPr>
          <w:t>47</w:t>
        </w:r>
        <w:r w:rsidR="005476CA">
          <w:rPr>
            <w:noProof/>
            <w:webHidden/>
          </w:rPr>
          <w:fldChar w:fldCharType="end"/>
        </w:r>
      </w:hyperlink>
    </w:p>
    <w:p w14:paraId="0413A983" w14:textId="425B9CC4" w:rsidR="005476CA" w:rsidRDefault="001607AB" w:rsidP="005476CA">
      <w:pPr>
        <w:pStyle w:val="TOC1"/>
        <w:rPr>
          <w:rFonts w:asciiTheme="minorHAnsi" w:hAnsiTheme="minorHAnsi" w:cstheme="minorBidi"/>
          <w:noProof/>
          <w:lang w:val="en-GB" w:eastAsia="en-GB"/>
        </w:rPr>
      </w:pPr>
      <w:hyperlink w:anchor="_Toc168657575" w:history="1">
        <w:r w:rsidR="005476CA" w:rsidRPr="00F71B65">
          <w:rPr>
            <w:rStyle w:val="Hyperlink"/>
            <w:noProof/>
            <w:rtl/>
          </w:rPr>
          <w:t>الملاحظة 13</w:t>
        </w:r>
        <w:r w:rsidR="005476CA">
          <w:rPr>
            <w:rFonts w:asciiTheme="minorHAnsi" w:hAnsiTheme="minorHAnsi" w:cstheme="minorBidi"/>
            <w:noProof/>
            <w:lang w:val="en-GB" w:eastAsia="en-GB"/>
          </w:rPr>
          <w:tab/>
        </w:r>
        <w:r w:rsidR="005476CA" w:rsidRPr="00F71B65">
          <w:rPr>
            <w:rStyle w:val="Hyperlink"/>
            <w:noProof/>
            <w:rtl/>
          </w:rPr>
          <w:t>الأصول قيد الإنشاء</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_Toc168657575 \h </w:instrText>
        </w:r>
        <w:r w:rsidR="005476CA">
          <w:rPr>
            <w:noProof/>
            <w:webHidden/>
          </w:rPr>
        </w:r>
        <w:r w:rsidR="005476CA">
          <w:rPr>
            <w:noProof/>
            <w:webHidden/>
          </w:rPr>
          <w:fldChar w:fldCharType="separate"/>
        </w:r>
        <w:r w:rsidR="005476CA">
          <w:rPr>
            <w:noProof/>
            <w:webHidden/>
            <w:rtl/>
          </w:rPr>
          <w:t>48</w:t>
        </w:r>
        <w:r w:rsidR="005476CA">
          <w:rPr>
            <w:noProof/>
            <w:webHidden/>
          </w:rPr>
          <w:fldChar w:fldCharType="end"/>
        </w:r>
      </w:hyperlink>
    </w:p>
    <w:p w14:paraId="015ACBAE" w14:textId="4F99E9E9" w:rsidR="005476CA" w:rsidRDefault="001607AB" w:rsidP="005476CA">
      <w:pPr>
        <w:pStyle w:val="TOC1"/>
        <w:rPr>
          <w:rFonts w:asciiTheme="minorHAnsi" w:hAnsiTheme="minorHAnsi" w:cstheme="minorBidi"/>
          <w:noProof/>
          <w:lang w:val="en-GB" w:eastAsia="en-GB"/>
        </w:rPr>
      </w:pPr>
      <w:hyperlink w:anchor="_Toc168657576" w:history="1">
        <w:r w:rsidR="005476CA" w:rsidRPr="00F71B65">
          <w:rPr>
            <w:rStyle w:val="Hyperlink"/>
            <w:noProof/>
            <w:rtl/>
          </w:rPr>
          <w:t xml:space="preserve">الملاحظة </w:t>
        </w:r>
        <w:r w:rsidR="005476CA" w:rsidRPr="00F71B65">
          <w:rPr>
            <w:rStyle w:val="Hyperlink"/>
            <w:noProof/>
          </w:rPr>
          <w:t>14</w:t>
        </w:r>
        <w:r w:rsidR="005476CA">
          <w:rPr>
            <w:rFonts w:asciiTheme="minorHAnsi" w:hAnsiTheme="minorHAnsi" w:cstheme="minorBidi"/>
            <w:noProof/>
            <w:lang w:val="en-GB" w:eastAsia="en-GB"/>
          </w:rPr>
          <w:tab/>
        </w:r>
        <w:r w:rsidR="005476CA" w:rsidRPr="00F71B65">
          <w:rPr>
            <w:rStyle w:val="Hyperlink"/>
            <w:noProof/>
            <w:rtl/>
          </w:rPr>
          <w:t>الذمم الدائنة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_Toc168657576 \h </w:instrText>
        </w:r>
        <w:r w:rsidR="005476CA">
          <w:rPr>
            <w:noProof/>
            <w:webHidden/>
          </w:rPr>
        </w:r>
        <w:r w:rsidR="005476CA">
          <w:rPr>
            <w:noProof/>
            <w:webHidden/>
          </w:rPr>
          <w:fldChar w:fldCharType="separate"/>
        </w:r>
        <w:r w:rsidR="005476CA">
          <w:rPr>
            <w:noProof/>
            <w:webHidden/>
            <w:rtl/>
          </w:rPr>
          <w:t>48</w:t>
        </w:r>
        <w:r w:rsidR="005476CA">
          <w:rPr>
            <w:noProof/>
            <w:webHidden/>
          </w:rPr>
          <w:fldChar w:fldCharType="end"/>
        </w:r>
      </w:hyperlink>
    </w:p>
    <w:p w14:paraId="13447176" w14:textId="5EAF8043" w:rsidR="005476CA" w:rsidRDefault="001607AB" w:rsidP="005476CA">
      <w:pPr>
        <w:pStyle w:val="TOC1"/>
        <w:rPr>
          <w:rFonts w:asciiTheme="minorHAnsi" w:hAnsiTheme="minorHAnsi" w:cstheme="minorBidi"/>
          <w:noProof/>
          <w:lang w:val="en-GB" w:eastAsia="en-GB"/>
        </w:rPr>
      </w:pPr>
      <w:hyperlink w:anchor="_Toc168657577" w:history="1">
        <w:r w:rsidR="005476CA" w:rsidRPr="00F71B65">
          <w:rPr>
            <w:rStyle w:val="Hyperlink"/>
            <w:noProof/>
            <w:rtl/>
          </w:rPr>
          <w:t xml:space="preserve">الملاحظة </w:t>
        </w:r>
        <w:r w:rsidR="005476CA" w:rsidRPr="00F71B65">
          <w:rPr>
            <w:rStyle w:val="Hyperlink"/>
            <w:noProof/>
          </w:rPr>
          <w:t>15</w:t>
        </w:r>
        <w:r w:rsidR="005476CA">
          <w:rPr>
            <w:rFonts w:asciiTheme="minorHAnsi" w:hAnsiTheme="minorHAnsi" w:cstheme="minorBidi"/>
            <w:noProof/>
            <w:lang w:val="en-GB" w:eastAsia="en-GB"/>
          </w:rPr>
          <w:tab/>
        </w:r>
        <w:r w:rsidR="005476CA" w:rsidRPr="00F71B65">
          <w:rPr>
            <w:rStyle w:val="Hyperlink"/>
            <w:noProof/>
            <w:rtl/>
          </w:rPr>
          <w:t>المساهمات الواردة سلفاً والإيرادات المؤجلة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_Toc168657577 \h </w:instrText>
        </w:r>
        <w:r w:rsidR="005476CA">
          <w:rPr>
            <w:noProof/>
            <w:webHidden/>
          </w:rPr>
        </w:r>
        <w:r w:rsidR="005476CA">
          <w:rPr>
            <w:noProof/>
            <w:webHidden/>
          </w:rPr>
          <w:fldChar w:fldCharType="separate"/>
        </w:r>
        <w:r w:rsidR="005476CA">
          <w:rPr>
            <w:noProof/>
            <w:webHidden/>
            <w:rtl/>
          </w:rPr>
          <w:t>49</w:t>
        </w:r>
        <w:r w:rsidR="005476CA">
          <w:rPr>
            <w:noProof/>
            <w:webHidden/>
          </w:rPr>
          <w:fldChar w:fldCharType="end"/>
        </w:r>
      </w:hyperlink>
    </w:p>
    <w:p w14:paraId="43C16587" w14:textId="0DD86468" w:rsidR="005476CA" w:rsidRDefault="001607AB" w:rsidP="005476CA">
      <w:pPr>
        <w:pStyle w:val="TOC1"/>
        <w:rPr>
          <w:rFonts w:asciiTheme="minorHAnsi" w:hAnsiTheme="minorHAnsi" w:cstheme="minorBidi"/>
          <w:noProof/>
          <w:lang w:val="en-GB" w:eastAsia="en-GB"/>
        </w:rPr>
      </w:pPr>
      <w:hyperlink w:anchor="_Toc168657578" w:history="1">
        <w:r w:rsidR="005476CA" w:rsidRPr="00F71B65">
          <w:rPr>
            <w:rStyle w:val="Hyperlink"/>
            <w:noProof/>
            <w:rtl/>
          </w:rPr>
          <w:t xml:space="preserve">الملاحظة </w:t>
        </w:r>
        <w:r w:rsidR="005476CA" w:rsidRPr="00F71B65">
          <w:rPr>
            <w:rStyle w:val="Hyperlink"/>
            <w:noProof/>
          </w:rPr>
          <w:t>16</w:t>
        </w:r>
        <w:r w:rsidR="005476CA">
          <w:rPr>
            <w:rFonts w:asciiTheme="minorHAnsi" w:hAnsiTheme="minorHAnsi" w:cstheme="minorBidi"/>
            <w:noProof/>
            <w:lang w:val="en-GB" w:eastAsia="en-GB"/>
          </w:rPr>
          <w:tab/>
        </w:r>
        <w:r w:rsidR="005476CA" w:rsidRPr="00F71B65">
          <w:rPr>
            <w:rStyle w:val="Hyperlink"/>
            <w:noProof/>
            <w:rtl/>
          </w:rPr>
          <w:t>القروض والديون المالية الأخرى</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_Toc168657578 \h </w:instrText>
        </w:r>
        <w:r w:rsidR="005476CA">
          <w:rPr>
            <w:noProof/>
            <w:webHidden/>
          </w:rPr>
        </w:r>
        <w:r w:rsidR="005476CA">
          <w:rPr>
            <w:noProof/>
            <w:webHidden/>
          </w:rPr>
          <w:fldChar w:fldCharType="separate"/>
        </w:r>
        <w:r w:rsidR="005476CA">
          <w:rPr>
            <w:noProof/>
            <w:webHidden/>
            <w:rtl/>
          </w:rPr>
          <w:t>50</w:t>
        </w:r>
        <w:r w:rsidR="005476CA">
          <w:rPr>
            <w:noProof/>
            <w:webHidden/>
          </w:rPr>
          <w:fldChar w:fldCharType="end"/>
        </w:r>
      </w:hyperlink>
    </w:p>
    <w:p w14:paraId="6D60D115" w14:textId="4190A9FF" w:rsidR="005476CA" w:rsidRDefault="001607AB" w:rsidP="005476CA">
      <w:pPr>
        <w:pStyle w:val="TOC1"/>
        <w:rPr>
          <w:rFonts w:asciiTheme="minorHAnsi" w:hAnsiTheme="minorHAnsi" w:cstheme="minorBidi"/>
          <w:noProof/>
          <w:lang w:val="en-GB" w:eastAsia="en-GB"/>
        </w:rPr>
      </w:pPr>
      <w:hyperlink w:anchor="_Toc168657579" w:history="1">
        <w:r w:rsidR="005476CA" w:rsidRPr="00F71B65">
          <w:rPr>
            <w:rStyle w:val="Hyperlink"/>
            <w:noProof/>
            <w:rtl/>
          </w:rPr>
          <w:t>الملاحظة 17</w:t>
        </w:r>
        <w:r w:rsidR="005476CA">
          <w:rPr>
            <w:rFonts w:asciiTheme="minorHAnsi" w:hAnsiTheme="minorHAnsi" w:cstheme="minorBidi"/>
            <w:noProof/>
            <w:lang w:val="en-GB" w:eastAsia="en-GB"/>
          </w:rPr>
          <w:tab/>
        </w:r>
        <w:r w:rsidR="005476CA" w:rsidRPr="00F71B65">
          <w:rPr>
            <w:rStyle w:val="Hyperlink"/>
            <w:noProof/>
            <w:rtl/>
          </w:rPr>
          <w:t>استحقاقات الموظفين</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_Toc168657579 \h </w:instrText>
        </w:r>
        <w:r w:rsidR="005476CA">
          <w:rPr>
            <w:noProof/>
            <w:webHidden/>
          </w:rPr>
        </w:r>
        <w:r w:rsidR="005476CA">
          <w:rPr>
            <w:noProof/>
            <w:webHidden/>
          </w:rPr>
          <w:fldChar w:fldCharType="separate"/>
        </w:r>
        <w:r w:rsidR="005476CA">
          <w:rPr>
            <w:noProof/>
            <w:webHidden/>
            <w:rtl/>
          </w:rPr>
          <w:t>50</w:t>
        </w:r>
        <w:r w:rsidR="005476CA">
          <w:rPr>
            <w:noProof/>
            <w:webHidden/>
          </w:rPr>
          <w:fldChar w:fldCharType="end"/>
        </w:r>
      </w:hyperlink>
    </w:p>
    <w:p w14:paraId="3641FD7A" w14:textId="65D668A9" w:rsidR="005476CA" w:rsidRDefault="001607AB" w:rsidP="005476CA">
      <w:pPr>
        <w:pStyle w:val="TOC2"/>
        <w:rPr>
          <w:rFonts w:asciiTheme="minorHAnsi" w:hAnsiTheme="minorHAnsi" w:cstheme="minorBidi"/>
          <w:noProof/>
          <w:lang w:val="en-GB" w:eastAsia="en-GB"/>
        </w:rPr>
      </w:pPr>
      <w:hyperlink w:anchor="_Toc168657580" w:history="1">
        <w:r w:rsidR="005476CA" w:rsidRPr="00F71B65">
          <w:rPr>
            <w:rStyle w:val="Hyperlink"/>
            <w:noProof/>
            <w:lang w:bidi="ar-EG"/>
          </w:rPr>
          <w:t>1.17</w:t>
        </w:r>
        <w:r w:rsidR="005476CA">
          <w:rPr>
            <w:rFonts w:asciiTheme="minorHAnsi" w:hAnsiTheme="minorHAnsi" w:cstheme="minorBidi"/>
            <w:noProof/>
            <w:lang w:val="en-GB" w:eastAsia="en-GB"/>
          </w:rPr>
          <w:tab/>
        </w:r>
        <w:r w:rsidR="005476CA" w:rsidRPr="00F71B65">
          <w:rPr>
            <w:rStyle w:val="Hyperlink"/>
            <w:noProof/>
            <w:rtl/>
            <w:lang w:bidi="ar-EG"/>
          </w:rPr>
          <w:t>التأمين الصحي بعد نهاية الخدمة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_Toc168657580 \h </w:instrText>
        </w:r>
        <w:r w:rsidR="005476CA">
          <w:rPr>
            <w:noProof/>
            <w:webHidden/>
          </w:rPr>
        </w:r>
        <w:r w:rsidR="005476CA">
          <w:rPr>
            <w:noProof/>
            <w:webHidden/>
          </w:rPr>
          <w:fldChar w:fldCharType="separate"/>
        </w:r>
        <w:r w:rsidR="005476CA">
          <w:rPr>
            <w:noProof/>
            <w:webHidden/>
            <w:rtl/>
          </w:rPr>
          <w:t>51</w:t>
        </w:r>
        <w:r w:rsidR="005476CA">
          <w:rPr>
            <w:noProof/>
            <w:webHidden/>
          </w:rPr>
          <w:fldChar w:fldCharType="end"/>
        </w:r>
      </w:hyperlink>
    </w:p>
    <w:p w14:paraId="1CA60C10" w14:textId="6D7A111B" w:rsidR="005476CA" w:rsidRDefault="001607AB" w:rsidP="005476CA">
      <w:pPr>
        <w:pStyle w:val="TOC2"/>
        <w:rPr>
          <w:rFonts w:asciiTheme="minorHAnsi" w:hAnsiTheme="minorHAnsi" w:cstheme="minorBidi"/>
          <w:noProof/>
          <w:lang w:val="en-GB" w:eastAsia="en-GB"/>
        </w:rPr>
      </w:pPr>
      <w:hyperlink w:anchor="_Toc168657581" w:history="1">
        <w:r w:rsidR="005476CA" w:rsidRPr="00F71B65">
          <w:rPr>
            <w:rStyle w:val="Hyperlink"/>
            <w:noProof/>
            <w:lang w:bidi="ar-EG"/>
          </w:rPr>
          <w:t>2.17</w:t>
        </w:r>
        <w:r w:rsidR="005476CA">
          <w:rPr>
            <w:rFonts w:asciiTheme="minorHAnsi" w:hAnsiTheme="minorHAnsi" w:cstheme="minorBidi"/>
            <w:noProof/>
            <w:lang w:val="en-GB" w:eastAsia="en-GB"/>
          </w:rPr>
          <w:tab/>
        </w:r>
        <w:r w:rsidR="005476CA" w:rsidRPr="00F71B65">
          <w:rPr>
            <w:rStyle w:val="Hyperlink"/>
            <w:noProof/>
            <w:rtl/>
            <w:lang w:bidi="ar-EG"/>
          </w:rPr>
          <w:t>منحة الإعادة إلى الوطن</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_Toc168657581 \h </w:instrText>
        </w:r>
        <w:r w:rsidR="005476CA">
          <w:rPr>
            <w:noProof/>
            <w:webHidden/>
          </w:rPr>
        </w:r>
        <w:r w:rsidR="005476CA">
          <w:rPr>
            <w:noProof/>
            <w:webHidden/>
          </w:rPr>
          <w:fldChar w:fldCharType="separate"/>
        </w:r>
        <w:r w:rsidR="005476CA">
          <w:rPr>
            <w:noProof/>
            <w:webHidden/>
            <w:rtl/>
          </w:rPr>
          <w:t>54</w:t>
        </w:r>
        <w:r w:rsidR="005476CA">
          <w:rPr>
            <w:noProof/>
            <w:webHidden/>
          </w:rPr>
          <w:fldChar w:fldCharType="end"/>
        </w:r>
      </w:hyperlink>
    </w:p>
    <w:p w14:paraId="29297404" w14:textId="7EEF205B" w:rsidR="005476CA" w:rsidRDefault="001607AB" w:rsidP="005476CA">
      <w:pPr>
        <w:pStyle w:val="TOC2"/>
        <w:rPr>
          <w:rFonts w:asciiTheme="minorHAnsi" w:hAnsiTheme="minorHAnsi" w:cstheme="minorBidi"/>
          <w:noProof/>
          <w:lang w:val="en-GB" w:eastAsia="en-GB"/>
        </w:rPr>
      </w:pPr>
      <w:hyperlink w:anchor="_Toc168657582" w:history="1">
        <w:r w:rsidR="005476CA" w:rsidRPr="00F71B65">
          <w:rPr>
            <w:rStyle w:val="Hyperlink"/>
            <w:noProof/>
            <w:lang w:val="ru-RU" w:bidi="ar-EG"/>
          </w:rPr>
          <w:t>3.</w:t>
        </w:r>
        <w:r w:rsidR="005476CA" w:rsidRPr="00F71B65">
          <w:rPr>
            <w:rStyle w:val="Hyperlink"/>
            <w:noProof/>
            <w:lang w:bidi="ar-EG"/>
          </w:rPr>
          <w:t>17</w:t>
        </w:r>
        <w:r w:rsidR="005476CA">
          <w:rPr>
            <w:rFonts w:asciiTheme="minorHAnsi" w:hAnsiTheme="minorHAnsi" w:cstheme="minorBidi"/>
            <w:noProof/>
            <w:lang w:val="en-GB" w:eastAsia="en-GB"/>
          </w:rPr>
          <w:tab/>
        </w:r>
        <w:r w:rsidR="005476CA" w:rsidRPr="00F71B65">
          <w:rPr>
            <w:rStyle w:val="Hyperlink"/>
            <w:noProof/>
            <w:rtl/>
            <w:lang w:bidi="ar-EG"/>
          </w:rPr>
          <w:t>استحقاقات الموظفين بموجب خطة المعاشات التقاعدية لموظفي الأمم المتحدة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_Toc168657582 \h </w:instrText>
        </w:r>
        <w:r w:rsidR="005476CA">
          <w:rPr>
            <w:noProof/>
            <w:webHidden/>
          </w:rPr>
        </w:r>
        <w:r w:rsidR="005476CA">
          <w:rPr>
            <w:noProof/>
            <w:webHidden/>
          </w:rPr>
          <w:fldChar w:fldCharType="separate"/>
        </w:r>
        <w:r w:rsidR="005476CA">
          <w:rPr>
            <w:noProof/>
            <w:webHidden/>
            <w:rtl/>
          </w:rPr>
          <w:t>54</w:t>
        </w:r>
        <w:r w:rsidR="005476CA">
          <w:rPr>
            <w:noProof/>
            <w:webHidden/>
          </w:rPr>
          <w:fldChar w:fldCharType="end"/>
        </w:r>
      </w:hyperlink>
    </w:p>
    <w:p w14:paraId="36548BC1" w14:textId="36B94476" w:rsidR="005476CA" w:rsidRDefault="001607AB" w:rsidP="005476CA">
      <w:pPr>
        <w:pStyle w:val="TOC1"/>
        <w:rPr>
          <w:rFonts w:asciiTheme="minorHAnsi" w:hAnsiTheme="minorHAnsi" w:cstheme="minorBidi"/>
          <w:noProof/>
          <w:lang w:val="en-GB" w:eastAsia="en-GB"/>
        </w:rPr>
      </w:pPr>
      <w:hyperlink w:anchor="_Toc168657583" w:history="1">
        <w:r w:rsidR="005476CA" w:rsidRPr="00F71B65">
          <w:rPr>
            <w:rStyle w:val="Hyperlink"/>
            <w:noProof/>
            <w:rtl/>
          </w:rPr>
          <w:t xml:space="preserve">الملاحظة </w:t>
        </w:r>
        <w:r w:rsidR="005476CA" w:rsidRPr="00F71B65">
          <w:rPr>
            <w:rStyle w:val="Hyperlink"/>
            <w:noProof/>
          </w:rPr>
          <w:t>18</w:t>
        </w:r>
        <w:r w:rsidR="005476CA">
          <w:rPr>
            <w:rFonts w:asciiTheme="minorHAnsi" w:hAnsiTheme="minorHAnsi" w:cstheme="minorBidi"/>
            <w:noProof/>
            <w:lang w:val="en-GB" w:eastAsia="en-GB"/>
          </w:rPr>
          <w:tab/>
        </w:r>
        <w:r w:rsidR="005476CA" w:rsidRPr="00F71B65">
          <w:rPr>
            <w:rStyle w:val="Hyperlink"/>
            <w:noProof/>
            <w:rtl/>
          </w:rPr>
          <w:t>الحسابات الاحتياطية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_Toc168657583 \h </w:instrText>
        </w:r>
        <w:r w:rsidR="005476CA">
          <w:rPr>
            <w:noProof/>
            <w:webHidden/>
          </w:rPr>
        </w:r>
        <w:r w:rsidR="005476CA">
          <w:rPr>
            <w:noProof/>
            <w:webHidden/>
          </w:rPr>
          <w:fldChar w:fldCharType="separate"/>
        </w:r>
        <w:r w:rsidR="005476CA">
          <w:rPr>
            <w:noProof/>
            <w:webHidden/>
            <w:rtl/>
          </w:rPr>
          <w:t>56</w:t>
        </w:r>
        <w:r w:rsidR="005476CA">
          <w:rPr>
            <w:noProof/>
            <w:webHidden/>
          </w:rPr>
          <w:fldChar w:fldCharType="end"/>
        </w:r>
      </w:hyperlink>
    </w:p>
    <w:p w14:paraId="64823DD5" w14:textId="7C843104" w:rsidR="005476CA" w:rsidRDefault="001607AB" w:rsidP="005476CA">
      <w:pPr>
        <w:pStyle w:val="TOC1"/>
        <w:rPr>
          <w:rFonts w:asciiTheme="minorHAnsi" w:hAnsiTheme="minorHAnsi" w:cstheme="minorBidi"/>
          <w:noProof/>
          <w:lang w:val="en-GB" w:eastAsia="en-GB"/>
        </w:rPr>
      </w:pPr>
      <w:hyperlink w:anchor="_Toc168657584" w:history="1">
        <w:r w:rsidR="005476CA" w:rsidRPr="00F71B65">
          <w:rPr>
            <w:rStyle w:val="Hyperlink"/>
            <w:noProof/>
            <w:rtl/>
          </w:rPr>
          <w:t>الملاحظة 19</w:t>
        </w:r>
        <w:r w:rsidR="005476CA">
          <w:rPr>
            <w:rFonts w:asciiTheme="minorHAnsi" w:hAnsiTheme="minorHAnsi" w:cstheme="minorBidi"/>
            <w:noProof/>
            <w:lang w:val="en-GB" w:eastAsia="en-GB"/>
          </w:rPr>
          <w:tab/>
        </w:r>
        <w:r w:rsidR="005476CA" w:rsidRPr="00F71B65">
          <w:rPr>
            <w:rStyle w:val="Hyperlink"/>
            <w:noProof/>
            <w:rtl/>
          </w:rPr>
          <w:t>الديون الأخرى</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_Toc168657584 \h </w:instrText>
        </w:r>
        <w:r w:rsidR="005476CA">
          <w:rPr>
            <w:noProof/>
            <w:webHidden/>
          </w:rPr>
        </w:r>
        <w:r w:rsidR="005476CA">
          <w:rPr>
            <w:noProof/>
            <w:webHidden/>
          </w:rPr>
          <w:fldChar w:fldCharType="separate"/>
        </w:r>
        <w:r w:rsidR="005476CA">
          <w:rPr>
            <w:noProof/>
            <w:webHidden/>
            <w:rtl/>
          </w:rPr>
          <w:t>56</w:t>
        </w:r>
        <w:r w:rsidR="005476CA">
          <w:rPr>
            <w:noProof/>
            <w:webHidden/>
          </w:rPr>
          <w:fldChar w:fldCharType="end"/>
        </w:r>
      </w:hyperlink>
    </w:p>
    <w:p w14:paraId="738B0298" w14:textId="76595199" w:rsidR="005476CA" w:rsidRDefault="001607AB" w:rsidP="005476CA">
      <w:pPr>
        <w:pStyle w:val="TOC1"/>
        <w:rPr>
          <w:rFonts w:asciiTheme="minorHAnsi" w:hAnsiTheme="minorHAnsi" w:cstheme="minorBidi"/>
          <w:noProof/>
          <w:lang w:val="en-GB" w:eastAsia="en-GB"/>
        </w:rPr>
      </w:pPr>
      <w:hyperlink w:anchor="_Toc168657585" w:history="1">
        <w:r w:rsidR="005476CA" w:rsidRPr="00F71B65">
          <w:rPr>
            <w:rStyle w:val="Hyperlink"/>
            <w:noProof/>
            <w:rtl/>
          </w:rPr>
          <w:t>الملاحظة 20</w:t>
        </w:r>
        <w:r w:rsidR="005476CA">
          <w:rPr>
            <w:rFonts w:asciiTheme="minorHAnsi" w:hAnsiTheme="minorHAnsi" w:cstheme="minorBidi"/>
            <w:noProof/>
            <w:lang w:val="en-GB" w:eastAsia="en-GB"/>
          </w:rPr>
          <w:tab/>
        </w:r>
        <w:r w:rsidR="005476CA" w:rsidRPr="00F71B65">
          <w:rPr>
            <w:rStyle w:val="Hyperlink"/>
            <w:noProof/>
            <w:rtl/>
          </w:rPr>
          <w:t>الأموال الخارجة عن الميزانية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_Toc168657585 \h </w:instrText>
        </w:r>
        <w:r w:rsidR="005476CA">
          <w:rPr>
            <w:noProof/>
            <w:webHidden/>
          </w:rPr>
        </w:r>
        <w:r w:rsidR="005476CA">
          <w:rPr>
            <w:noProof/>
            <w:webHidden/>
          </w:rPr>
          <w:fldChar w:fldCharType="separate"/>
        </w:r>
        <w:r w:rsidR="005476CA">
          <w:rPr>
            <w:noProof/>
            <w:webHidden/>
            <w:rtl/>
          </w:rPr>
          <w:t>56</w:t>
        </w:r>
        <w:r w:rsidR="005476CA">
          <w:rPr>
            <w:noProof/>
            <w:webHidden/>
          </w:rPr>
          <w:fldChar w:fldCharType="end"/>
        </w:r>
      </w:hyperlink>
    </w:p>
    <w:p w14:paraId="36EF88D7" w14:textId="5B9C5131" w:rsidR="005476CA" w:rsidRDefault="001607AB" w:rsidP="005476CA">
      <w:pPr>
        <w:pStyle w:val="TOC1"/>
        <w:rPr>
          <w:rFonts w:asciiTheme="minorHAnsi" w:hAnsiTheme="minorHAnsi" w:cstheme="minorBidi"/>
          <w:noProof/>
          <w:lang w:val="en-GB" w:eastAsia="en-GB"/>
        </w:rPr>
      </w:pPr>
      <w:hyperlink w:anchor="_Toc168657586" w:history="1">
        <w:r w:rsidR="005476CA" w:rsidRPr="00F71B65">
          <w:rPr>
            <w:rStyle w:val="Hyperlink"/>
            <w:noProof/>
            <w:rtl/>
          </w:rPr>
          <w:t>الملاحظة 21</w:t>
        </w:r>
        <w:r w:rsidR="005476CA">
          <w:rPr>
            <w:rFonts w:asciiTheme="minorHAnsi" w:hAnsiTheme="minorHAnsi" w:cstheme="minorBidi"/>
            <w:noProof/>
            <w:lang w:val="en-GB" w:eastAsia="en-GB"/>
          </w:rPr>
          <w:tab/>
        </w:r>
        <w:r w:rsidR="005476CA" w:rsidRPr="00F71B65">
          <w:rPr>
            <w:rStyle w:val="Hyperlink"/>
            <w:noProof/>
            <w:rtl/>
          </w:rPr>
          <w:t>الإيرادات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_Toc168657586 \h </w:instrText>
        </w:r>
        <w:r w:rsidR="005476CA">
          <w:rPr>
            <w:noProof/>
            <w:webHidden/>
          </w:rPr>
        </w:r>
        <w:r w:rsidR="005476CA">
          <w:rPr>
            <w:noProof/>
            <w:webHidden/>
          </w:rPr>
          <w:fldChar w:fldCharType="separate"/>
        </w:r>
        <w:r w:rsidR="005476CA">
          <w:rPr>
            <w:noProof/>
            <w:webHidden/>
            <w:rtl/>
          </w:rPr>
          <w:t>57</w:t>
        </w:r>
        <w:r w:rsidR="005476CA">
          <w:rPr>
            <w:noProof/>
            <w:webHidden/>
          </w:rPr>
          <w:fldChar w:fldCharType="end"/>
        </w:r>
      </w:hyperlink>
    </w:p>
    <w:p w14:paraId="1E617141" w14:textId="16E3B353" w:rsidR="005476CA" w:rsidRDefault="001607AB" w:rsidP="005476CA">
      <w:pPr>
        <w:pStyle w:val="TOC1"/>
        <w:rPr>
          <w:rFonts w:asciiTheme="minorHAnsi" w:hAnsiTheme="minorHAnsi" w:cstheme="minorBidi"/>
          <w:noProof/>
          <w:lang w:val="en-GB" w:eastAsia="en-GB"/>
        </w:rPr>
      </w:pPr>
      <w:hyperlink w:anchor="_Toc168657587" w:history="1">
        <w:r w:rsidR="005476CA" w:rsidRPr="00F71B65">
          <w:rPr>
            <w:rStyle w:val="Hyperlink"/>
            <w:noProof/>
            <w:rtl/>
          </w:rPr>
          <w:t xml:space="preserve">الملاحظة </w:t>
        </w:r>
        <w:r w:rsidR="005476CA" w:rsidRPr="00F71B65">
          <w:rPr>
            <w:rStyle w:val="Hyperlink"/>
            <w:noProof/>
          </w:rPr>
          <w:t>22</w:t>
        </w:r>
        <w:r w:rsidR="005476CA">
          <w:rPr>
            <w:rFonts w:asciiTheme="minorHAnsi" w:hAnsiTheme="minorHAnsi" w:cstheme="minorBidi"/>
            <w:noProof/>
            <w:lang w:val="en-GB" w:eastAsia="en-GB"/>
          </w:rPr>
          <w:tab/>
        </w:r>
        <w:r w:rsidR="005476CA" w:rsidRPr="00F71B65">
          <w:rPr>
            <w:rStyle w:val="Hyperlink"/>
            <w:noProof/>
            <w:rtl/>
          </w:rPr>
          <w:t>النفقات</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_Toc168657587 \h </w:instrText>
        </w:r>
        <w:r w:rsidR="005476CA">
          <w:rPr>
            <w:noProof/>
            <w:webHidden/>
          </w:rPr>
        </w:r>
        <w:r w:rsidR="005476CA">
          <w:rPr>
            <w:noProof/>
            <w:webHidden/>
          </w:rPr>
          <w:fldChar w:fldCharType="separate"/>
        </w:r>
        <w:r w:rsidR="005476CA">
          <w:rPr>
            <w:noProof/>
            <w:webHidden/>
            <w:rtl/>
          </w:rPr>
          <w:t>59</w:t>
        </w:r>
        <w:r w:rsidR="005476CA">
          <w:rPr>
            <w:noProof/>
            <w:webHidden/>
          </w:rPr>
          <w:fldChar w:fldCharType="end"/>
        </w:r>
      </w:hyperlink>
    </w:p>
    <w:p w14:paraId="1B429997" w14:textId="3863278F" w:rsidR="005476CA" w:rsidRDefault="001607AB" w:rsidP="005476CA">
      <w:pPr>
        <w:pStyle w:val="TOC1"/>
        <w:rPr>
          <w:rFonts w:asciiTheme="minorHAnsi" w:hAnsiTheme="minorHAnsi" w:cstheme="minorBidi"/>
          <w:noProof/>
          <w:lang w:val="en-GB" w:eastAsia="en-GB"/>
        </w:rPr>
      </w:pPr>
      <w:hyperlink w:anchor="_Toc168657588" w:history="1">
        <w:r w:rsidR="005476CA" w:rsidRPr="00F71B65">
          <w:rPr>
            <w:rStyle w:val="Hyperlink"/>
            <w:noProof/>
            <w:rtl/>
          </w:rPr>
          <w:t xml:space="preserve">الملاحظة </w:t>
        </w:r>
        <w:r w:rsidR="005476CA" w:rsidRPr="00F71B65">
          <w:rPr>
            <w:rStyle w:val="Hyperlink"/>
            <w:noProof/>
          </w:rPr>
          <w:t>23</w:t>
        </w:r>
        <w:r w:rsidR="005476CA">
          <w:rPr>
            <w:rFonts w:asciiTheme="minorHAnsi" w:hAnsiTheme="minorHAnsi" w:cstheme="minorBidi"/>
            <w:noProof/>
            <w:lang w:val="en-GB" w:eastAsia="en-GB"/>
          </w:rPr>
          <w:tab/>
        </w:r>
        <w:r w:rsidR="005476CA" w:rsidRPr="00F71B65">
          <w:rPr>
            <w:rStyle w:val="Hyperlink"/>
            <w:noProof/>
            <w:rtl/>
          </w:rPr>
          <w:t xml:space="preserve">الإبلاغ بحسب الأبواب – بيان الأداء المالي </w:t>
        </w:r>
        <w:r w:rsidR="005476CA" w:rsidRPr="00F71B65">
          <w:rPr>
            <w:rStyle w:val="Hyperlink"/>
            <w:noProof/>
          </w:rPr>
          <w:t>2023</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_Toc168657588 \h </w:instrText>
        </w:r>
        <w:r w:rsidR="005476CA">
          <w:rPr>
            <w:noProof/>
            <w:webHidden/>
          </w:rPr>
        </w:r>
        <w:r w:rsidR="005476CA">
          <w:rPr>
            <w:noProof/>
            <w:webHidden/>
          </w:rPr>
          <w:fldChar w:fldCharType="separate"/>
        </w:r>
        <w:r w:rsidR="005476CA">
          <w:rPr>
            <w:noProof/>
            <w:webHidden/>
            <w:rtl/>
          </w:rPr>
          <w:t>61</w:t>
        </w:r>
        <w:r w:rsidR="005476CA">
          <w:rPr>
            <w:noProof/>
            <w:webHidden/>
          </w:rPr>
          <w:fldChar w:fldCharType="end"/>
        </w:r>
      </w:hyperlink>
    </w:p>
    <w:p w14:paraId="650AFA90" w14:textId="4EF15976" w:rsidR="005476CA" w:rsidRDefault="001607AB" w:rsidP="005476CA">
      <w:pPr>
        <w:pStyle w:val="TOC1"/>
        <w:rPr>
          <w:rFonts w:asciiTheme="minorHAnsi" w:hAnsiTheme="minorHAnsi" w:cstheme="minorBidi"/>
          <w:noProof/>
          <w:lang w:val="en-GB" w:eastAsia="en-GB"/>
        </w:rPr>
      </w:pPr>
      <w:hyperlink w:anchor="_Toc168657589" w:history="1">
        <w:r w:rsidR="005476CA" w:rsidRPr="00F71B65">
          <w:rPr>
            <w:rStyle w:val="Hyperlink"/>
            <w:noProof/>
            <w:rtl/>
          </w:rPr>
          <w:t xml:space="preserve">الملاحظة </w:t>
        </w:r>
        <w:r w:rsidR="005476CA" w:rsidRPr="00F71B65">
          <w:rPr>
            <w:rStyle w:val="Hyperlink"/>
            <w:noProof/>
          </w:rPr>
          <w:t>24</w:t>
        </w:r>
        <w:r w:rsidR="005476CA">
          <w:rPr>
            <w:rFonts w:asciiTheme="minorHAnsi" w:hAnsiTheme="minorHAnsi" w:cstheme="minorBidi"/>
            <w:noProof/>
            <w:lang w:val="en-GB" w:eastAsia="en-GB"/>
          </w:rPr>
          <w:tab/>
        </w:r>
        <w:r w:rsidR="005476CA" w:rsidRPr="00F71B65">
          <w:rPr>
            <w:rStyle w:val="Hyperlink"/>
            <w:noProof/>
            <w:rtl/>
          </w:rPr>
          <w:t>التوفيق بين المبالغ المدرجة في الميزانية والمبالغ الفعلية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_Toc168657589 \h </w:instrText>
        </w:r>
        <w:r w:rsidR="005476CA">
          <w:rPr>
            <w:noProof/>
            <w:webHidden/>
          </w:rPr>
        </w:r>
        <w:r w:rsidR="005476CA">
          <w:rPr>
            <w:noProof/>
            <w:webHidden/>
          </w:rPr>
          <w:fldChar w:fldCharType="separate"/>
        </w:r>
        <w:r w:rsidR="005476CA">
          <w:rPr>
            <w:noProof/>
            <w:webHidden/>
            <w:rtl/>
          </w:rPr>
          <w:t>63</w:t>
        </w:r>
        <w:r w:rsidR="005476CA">
          <w:rPr>
            <w:noProof/>
            <w:webHidden/>
          </w:rPr>
          <w:fldChar w:fldCharType="end"/>
        </w:r>
      </w:hyperlink>
    </w:p>
    <w:p w14:paraId="713B55CE" w14:textId="1C01ECC5" w:rsidR="005476CA" w:rsidRDefault="001607AB" w:rsidP="005476CA">
      <w:pPr>
        <w:pStyle w:val="TOC1"/>
        <w:rPr>
          <w:rFonts w:asciiTheme="minorHAnsi" w:hAnsiTheme="minorHAnsi" w:cstheme="minorBidi"/>
          <w:noProof/>
          <w:lang w:val="en-GB" w:eastAsia="en-GB"/>
        </w:rPr>
      </w:pPr>
      <w:hyperlink w:anchor="_Toc168657590" w:history="1">
        <w:r w:rsidR="005476CA" w:rsidRPr="00F71B65">
          <w:rPr>
            <w:rStyle w:val="Hyperlink"/>
            <w:noProof/>
            <w:rtl/>
          </w:rPr>
          <w:t xml:space="preserve">الملاحظة </w:t>
        </w:r>
        <w:r w:rsidR="005476CA" w:rsidRPr="00F71B65">
          <w:rPr>
            <w:rStyle w:val="Hyperlink"/>
            <w:noProof/>
          </w:rPr>
          <w:t>25</w:t>
        </w:r>
        <w:r w:rsidR="005476CA">
          <w:rPr>
            <w:rFonts w:asciiTheme="minorHAnsi" w:hAnsiTheme="minorHAnsi" w:cstheme="minorBidi"/>
            <w:noProof/>
            <w:lang w:val="en-GB" w:eastAsia="en-GB"/>
          </w:rPr>
          <w:tab/>
        </w:r>
        <w:r w:rsidR="005476CA" w:rsidRPr="00F71B65">
          <w:rPr>
            <w:rStyle w:val="Hyperlink"/>
            <w:noProof/>
            <w:rtl/>
          </w:rPr>
          <w:t>الكشوف المتعلقة بالأطراف المتكافلة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_Toc168657590 \h </w:instrText>
        </w:r>
        <w:r w:rsidR="005476CA">
          <w:rPr>
            <w:noProof/>
            <w:webHidden/>
          </w:rPr>
        </w:r>
        <w:r w:rsidR="005476CA">
          <w:rPr>
            <w:noProof/>
            <w:webHidden/>
          </w:rPr>
          <w:fldChar w:fldCharType="separate"/>
        </w:r>
        <w:r w:rsidR="005476CA">
          <w:rPr>
            <w:noProof/>
            <w:webHidden/>
            <w:rtl/>
          </w:rPr>
          <w:t>65</w:t>
        </w:r>
        <w:r w:rsidR="005476CA">
          <w:rPr>
            <w:noProof/>
            <w:webHidden/>
          </w:rPr>
          <w:fldChar w:fldCharType="end"/>
        </w:r>
      </w:hyperlink>
    </w:p>
    <w:p w14:paraId="0C57A478" w14:textId="10E5006F" w:rsidR="005476CA" w:rsidRDefault="001607AB" w:rsidP="005476CA">
      <w:pPr>
        <w:pStyle w:val="TOC1"/>
        <w:rPr>
          <w:rFonts w:asciiTheme="minorHAnsi" w:hAnsiTheme="minorHAnsi" w:cstheme="minorBidi"/>
          <w:noProof/>
          <w:lang w:val="en-GB" w:eastAsia="en-GB"/>
        </w:rPr>
      </w:pPr>
      <w:hyperlink w:anchor="_Toc168657591" w:history="1">
        <w:r w:rsidR="005476CA" w:rsidRPr="00F71B65">
          <w:rPr>
            <w:rStyle w:val="Hyperlink"/>
            <w:noProof/>
            <w:rtl/>
          </w:rPr>
          <w:t xml:space="preserve">الملاحظة </w:t>
        </w:r>
        <w:r w:rsidR="005476CA" w:rsidRPr="00F71B65">
          <w:rPr>
            <w:rStyle w:val="Hyperlink"/>
            <w:noProof/>
          </w:rPr>
          <w:t>26</w:t>
        </w:r>
        <w:r w:rsidR="005476CA">
          <w:rPr>
            <w:rFonts w:asciiTheme="minorHAnsi" w:hAnsiTheme="minorHAnsi" w:cstheme="minorBidi"/>
            <w:noProof/>
            <w:lang w:val="en-GB" w:eastAsia="en-GB"/>
          </w:rPr>
          <w:tab/>
        </w:r>
        <w:r w:rsidR="005476CA" w:rsidRPr="00F71B65">
          <w:rPr>
            <w:rStyle w:val="Hyperlink"/>
            <w:noProof/>
            <w:rtl/>
          </w:rPr>
          <w:t>الالتزامات المستقبلية</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_Toc168657591 \h </w:instrText>
        </w:r>
        <w:r w:rsidR="005476CA">
          <w:rPr>
            <w:noProof/>
            <w:webHidden/>
          </w:rPr>
        </w:r>
        <w:r w:rsidR="005476CA">
          <w:rPr>
            <w:noProof/>
            <w:webHidden/>
          </w:rPr>
          <w:fldChar w:fldCharType="separate"/>
        </w:r>
        <w:r w:rsidR="005476CA">
          <w:rPr>
            <w:noProof/>
            <w:webHidden/>
            <w:rtl/>
          </w:rPr>
          <w:t>65</w:t>
        </w:r>
        <w:r w:rsidR="005476CA">
          <w:rPr>
            <w:noProof/>
            <w:webHidden/>
          </w:rPr>
          <w:fldChar w:fldCharType="end"/>
        </w:r>
      </w:hyperlink>
    </w:p>
    <w:p w14:paraId="194D40F9" w14:textId="3C4E6503" w:rsidR="005476CA" w:rsidRDefault="001607AB" w:rsidP="005476CA">
      <w:pPr>
        <w:pStyle w:val="TOC1"/>
        <w:rPr>
          <w:rFonts w:asciiTheme="minorHAnsi" w:hAnsiTheme="minorHAnsi" w:cstheme="minorBidi"/>
          <w:noProof/>
          <w:lang w:val="en-GB" w:eastAsia="en-GB"/>
        </w:rPr>
      </w:pPr>
      <w:hyperlink w:anchor="_Toc168657592" w:history="1">
        <w:r w:rsidR="005476CA" w:rsidRPr="00F71B65">
          <w:rPr>
            <w:rStyle w:val="Hyperlink"/>
            <w:noProof/>
            <w:rtl/>
          </w:rPr>
          <w:t xml:space="preserve">الملاحظة </w:t>
        </w:r>
        <w:r w:rsidR="005476CA" w:rsidRPr="00F71B65">
          <w:rPr>
            <w:rStyle w:val="Hyperlink"/>
            <w:noProof/>
          </w:rPr>
          <w:t>27</w:t>
        </w:r>
        <w:r w:rsidR="005476CA">
          <w:rPr>
            <w:rFonts w:asciiTheme="minorHAnsi" w:hAnsiTheme="minorHAnsi" w:cstheme="minorBidi"/>
            <w:noProof/>
            <w:lang w:val="en-GB" w:eastAsia="en-GB"/>
          </w:rPr>
          <w:tab/>
        </w:r>
        <w:r w:rsidR="005476CA" w:rsidRPr="00F71B65">
          <w:rPr>
            <w:rStyle w:val="Hyperlink"/>
            <w:noProof/>
            <w:rtl/>
          </w:rPr>
          <w:t>تقييم تراجع قيمة مشروع المبنى الجديد للاتحاد</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_Toc168657592 \h </w:instrText>
        </w:r>
        <w:r w:rsidR="005476CA">
          <w:rPr>
            <w:noProof/>
            <w:webHidden/>
          </w:rPr>
        </w:r>
        <w:r w:rsidR="005476CA">
          <w:rPr>
            <w:noProof/>
            <w:webHidden/>
          </w:rPr>
          <w:fldChar w:fldCharType="separate"/>
        </w:r>
        <w:r w:rsidR="005476CA">
          <w:rPr>
            <w:noProof/>
            <w:webHidden/>
            <w:rtl/>
          </w:rPr>
          <w:t>65</w:t>
        </w:r>
        <w:r w:rsidR="005476CA">
          <w:rPr>
            <w:noProof/>
            <w:webHidden/>
          </w:rPr>
          <w:fldChar w:fldCharType="end"/>
        </w:r>
      </w:hyperlink>
    </w:p>
    <w:p w14:paraId="43C25ED5" w14:textId="2685F0E5" w:rsidR="005476CA" w:rsidRDefault="001607AB" w:rsidP="005476CA">
      <w:pPr>
        <w:pStyle w:val="TOC1"/>
        <w:rPr>
          <w:rFonts w:asciiTheme="minorHAnsi" w:hAnsiTheme="minorHAnsi" w:cstheme="minorBidi"/>
          <w:noProof/>
          <w:lang w:val="en-GB" w:eastAsia="en-GB"/>
        </w:rPr>
      </w:pPr>
      <w:hyperlink w:anchor="_Toc168657593" w:history="1">
        <w:r w:rsidR="005476CA" w:rsidRPr="00F71B65">
          <w:rPr>
            <w:rStyle w:val="Hyperlink"/>
            <w:noProof/>
            <w:rtl/>
          </w:rPr>
          <w:t xml:space="preserve">الملاحظة </w:t>
        </w:r>
        <w:r w:rsidR="005476CA" w:rsidRPr="00F71B65">
          <w:rPr>
            <w:rStyle w:val="Hyperlink"/>
            <w:noProof/>
          </w:rPr>
          <w:t>28</w:t>
        </w:r>
        <w:r w:rsidR="005476CA">
          <w:rPr>
            <w:rFonts w:asciiTheme="minorHAnsi" w:hAnsiTheme="minorHAnsi" w:cstheme="minorBidi"/>
            <w:noProof/>
            <w:lang w:val="en-GB" w:eastAsia="en-GB"/>
          </w:rPr>
          <w:tab/>
        </w:r>
        <w:r w:rsidR="005476CA" w:rsidRPr="00F71B65">
          <w:rPr>
            <w:rStyle w:val="Hyperlink"/>
            <w:noProof/>
            <w:rtl/>
          </w:rPr>
          <w:t>الأحداث بعد تاريخ الإبلاغ</w:t>
        </w:r>
        <w:r w:rsidR="005476CA">
          <w:rPr>
            <w:noProof/>
            <w:webHidden/>
          </w:rPr>
          <w:tab/>
        </w:r>
        <w:r w:rsidR="005476CA">
          <w:rPr>
            <w:noProof/>
            <w:webHidden/>
          </w:rPr>
          <w:tab/>
        </w:r>
        <w:r w:rsidR="005476CA">
          <w:rPr>
            <w:noProof/>
            <w:webHidden/>
          </w:rPr>
          <w:fldChar w:fldCharType="begin"/>
        </w:r>
        <w:r w:rsidR="005476CA">
          <w:rPr>
            <w:noProof/>
            <w:webHidden/>
          </w:rPr>
          <w:instrText xml:space="preserve"> PAGEREF _Toc168657593 \h </w:instrText>
        </w:r>
        <w:r w:rsidR="005476CA">
          <w:rPr>
            <w:noProof/>
            <w:webHidden/>
          </w:rPr>
        </w:r>
        <w:r w:rsidR="005476CA">
          <w:rPr>
            <w:noProof/>
            <w:webHidden/>
          </w:rPr>
          <w:fldChar w:fldCharType="separate"/>
        </w:r>
        <w:r w:rsidR="005476CA">
          <w:rPr>
            <w:noProof/>
            <w:webHidden/>
            <w:rtl/>
          </w:rPr>
          <w:t>66</w:t>
        </w:r>
        <w:r w:rsidR="005476CA">
          <w:rPr>
            <w:noProof/>
            <w:webHidden/>
          </w:rPr>
          <w:fldChar w:fldCharType="end"/>
        </w:r>
      </w:hyperlink>
    </w:p>
    <w:p w14:paraId="43C0CCC6" w14:textId="12BCEB12" w:rsidR="00987B84" w:rsidRPr="00C32070" w:rsidRDefault="00974219" w:rsidP="005476CA">
      <w:pPr>
        <w:rPr>
          <w:rtl/>
          <w:lang w:bidi="ar-EG"/>
        </w:rPr>
      </w:pPr>
      <w:r w:rsidRPr="00C32070">
        <w:rPr>
          <w:rtl/>
          <w:lang w:bidi="ar-EG"/>
        </w:rPr>
        <w:fldChar w:fldCharType="end"/>
      </w:r>
      <w:r w:rsidR="00987B84" w:rsidRPr="00C32070">
        <w:rPr>
          <w:rtl/>
          <w:lang w:bidi="ar-EG"/>
        </w:rPr>
        <w:br w:type="page"/>
      </w:r>
    </w:p>
    <w:p w14:paraId="7942D212" w14:textId="3D4F4085" w:rsidR="00987B84" w:rsidRPr="00C32070" w:rsidRDefault="003E7480" w:rsidP="003E6D9E">
      <w:pPr>
        <w:pStyle w:val="Heading1"/>
      </w:pPr>
      <w:bookmarkStart w:id="0" w:name="_Toc168329259"/>
      <w:bookmarkStart w:id="1" w:name="_Toc168329301"/>
      <w:bookmarkStart w:id="2" w:name="_Toc168657539"/>
      <w:r w:rsidRPr="00C32070">
        <w:rPr>
          <w:rtl/>
        </w:rPr>
        <w:lastRenderedPageBreak/>
        <w:t xml:space="preserve">مقدمة </w:t>
      </w:r>
      <w:r w:rsidR="00657495" w:rsidRPr="00C32070">
        <w:rPr>
          <w:rtl/>
        </w:rPr>
        <w:t xml:space="preserve">للبيانات </w:t>
      </w:r>
      <w:r w:rsidRPr="00C32070">
        <w:rPr>
          <w:rtl/>
        </w:rPr>
        <w:t>المالية</w:t>
      </w:r>
      <w:r w:rsidR="009E59A4" w:rsidRPr="00C32070">
        <w:rPr>
          <w:rtl/>
        </w:rPr>
        <w:t xml:space="preserve"> لعام</w:t>
      </w:r>
      <w:r w:rsidRPr="00C32070">
        <w:rPr>
          <w:rtl/>
        </w:rPr>
        <w:t xml:space="preserve"> </w:t>
      </w:r>
      <w:r w:rsidRPr="00C32070">
        <w:t>2023</w:t>
      </w:r>
      <w:bookmarkEnd w:id="0"/>
      <w:bookmarkEnd w:id="1"/>
      <w:bookmarkEnd w:id="2"/>
    </w:p>
    <w:p w14:paraId="784C662C" w14:textId="77777777" w:rsidR="003E7480" w:rsidRPr="00C32070" w:rsidRDefault="003E7480" w:rsidP="003724DE">
      <w:pPr>
        <w:rPr>
          <w:lang w:bidi="ar-EG"/>
        </w:rPr>
      </w:pPr>
      <w:r w:rsidRPr="00C32070">
        <w:rPr>
          <w:rtl/>
          <w:lang w:bidi="ar-EG"/>
        </w:rPr>
        <w:t xml:space="preserve">كان عام </w:t>
      </w:r>
      <w:r w:rsidRPr="00C32070">
        <w:rPr>
          <w:lang w:bidi="ar-EG"/>
        </w:rPr>
        <w:t>2023</w:t>
      </w:r>
      <w:r w:rsidRPr="00C32070">
        <w:rPr>
          <w:rtl/>
          <w:lang w:bidi="ar-EG"/>
        </w:rPr>
        <w:t xml:space="preserve"> هو العام الذي صعدت فيه التكنولوجيا الرقمية إلى قمة جدول الأعمال العالمي.</w:t>
      </w:r>
    </w:p>
    <w:p w14:paraId="4E1ADC0C" w14:textId="7A5D13D4" w:rsidR="003E7480" w:rsidRPr="00C32070" w:rsidRDefault="003E7480" w:rsidP="003724DE">
      <w:pPr>
        <w:rPr>
          <w:lang w:bidi="ar-EG"/>
        </w:rPr>
      </w:pPr>
      <w:r w:rsidRPr="00C32070">
        <w:rPr>
          <w:rtl/>
          <w:lang w:bidi="ar-EG"/>
        </w:rPr>
        <w:t>ومن قمتي مجموعة السبع ومجموعة العشرين إلى مؤتمر الأمم المتحدة الثالث المعني بأقل البلدان نموا</w:t>
      </w:r>
      <w:r w:rsidR="00C50E6E" w:rsidRPr="00C32070">
        <w:rPr>
          <w:rtl/>
          <w:lang w:bidi="ar-EG"/>
        </w:rPr>
        <w:t>ً</w:t>
      </w:r>
      <w:r w:rsidRPr="00C32070">
        <w:rPr>
          <w:rtl/>
          <w:lang w:bidi="ar-EG"/>
        </w:rPr>
        <w:t xml:space="preserve"> </w:t>
      </w:r>
      <w:r w:rsidR="00C50E6E" w:rsidRPr="00C32070">
        <w:rPr>
          <w:lang w:bidi="ar-EG"/>
        </w:rPr>
        <w:t>(</w:t>
      </w:r>
      <w:r w:rsidRPr="00C32070">
        <w:rPr>
          <w:lang w:bidi="ar-EG"/>
        </w:rPr>
        <w:t>LDC-III</w:t>
      </w:r>
      <w:r w:rsidR="00C50E6E" w:rsidRPr="00C32070">
        <w:rPr>
          <w:lang w:bidi="ar-EG"/>
        </w:rPr>
        <w:t>)</w:t>
      </w:r>
      <w:r w:rsidRPr="00C32070">
        <w:rPr>
          <w:rtl/>
          <w:lang w:bidi="ar-EG"/>
        </w:rPr>
        <w:t xml:space="preserve"> والمؤتمر العالمي الأخير للاتصالات الراديوية</w:t>
      </w:r>
      <w:r w:rsidR="00B14EB9" w:rsidRPr="00C32070">
        <w:rPr>
          <w:rtl/>
          <w:lang w:bidi="ar-EG"/>
        </w:rPr>
        <w:t xml:space="preserve"> عام </w:t>
      </w:r>
      <w:r w:rsidR="00B14EB9" w:rsidRPr="00C32070">
        <w:rPr>
          <w:lang w:val="en-CA" w:bidi="ar-EG"/>
        </w:rPr>
        <w:t>2023</w:t>
      </w:r>
      <w:r w:rsidRPr="00C32070">
        <w:rPr>
          <w:rtl/>
          <w:lang w:bidi="ar-EG"/>
        </w:rPr>
        <w:t xml:space="preserve"> </w:t>
      </w:r>
      <w:r w:rsidR="00C50E6E" w:rsidRPr="00C32070">
        <w:rPr>
          <w:lang w:bidi="ar-EG"/>
        </w:rPr>
        <w:t>(</w:t>
      </w:r>
      <w:r w:rsidRPr="00C32070">
        <w:rPr>
          <w:lang w:bidi="ar-EG"/>
        </w:rPr>
        <w:t>WRC-23</w:t>
      </w:r>
      <w:r w:rsidR="00C50E6E" w:rsidRPr="00C32070">
        <w:rPr>
          <w:lang w:bidi="ar-EG"/>
        </w:rPr>
        <w:t>)</w:t>
      </w:r>
      <w:r w:rsidRPr="00C32070">
        <w:rPr>
          <w:rtl/>
          <w:lang w:bidi="ar-EG"/>
        </w:rPr>
        <w:t xml:space="preserve">، كانت التكنولوجيات الرقمية في </w:t>
      </w:r>
      <w:r w:rsidR="00C50E6E" w:rsidRPr="00C32070">
        <w:rPr>
          <w:rtl/>
          <w:lang w:bidi="ar-EG"/>
        </w:rPr>
        <w:t>الصدارة</w:t>
      </w:r>
      <w:r w:rsidRPr="00C32070">
        <w:rPr>
          <w:rtl/>
          <w:lang w:bidi="ar-EG"/>
        </w:rPr>
        <w:t xml:space="preserve"> وفي المركز.</w:t>
      </w:r>
    </w:p>
    <w:p w14:paraId="68AA1365" w14:textId="51EC5EAA" w:rsidR="003E7480" w:rsidRPr="00C32070" w:rsidRDefault="003E7480" w:rsidP="003724DE">
      <w:pPr>
        <w:rPr>
          <w:lang w:bidi="ar-EG"/>
        </w:rPr>
      </w:pPr>
      <w:r w:rsidRPr="00C32070">
        <w:rPr>
          <w:rtl/>
          <w:lang w:bidi="ar-EG"/>
        </w:rPr>
        <w:t xml:space="preserve">ولم يسبق لهذه التكنولوجيات أن امتلكت مثل هذا القدر من الإمكانات </w:t>
      </w:r>
      <w:r w:rsidR="00C50E6E" w:rsidRPr="00C32070">
        <w:rPr>
          <w:rtl/>
          <w:lang w:bidi="ar-EG"/>
        </w:rPr>
        <w:t>للتصدي ل</w:t>
      </w:r>
      <w:r w:rsidRPr="00C32070">
        <w:rPr>
          <w:rtl/>
          <w:lang w:bidi="ar-EG"/>
        </w:rPr>
        <w:t>لتحديات الأكثر إلحاحا</w:t>
      </w:r>
      <w:r w:rsidR="00C50E6E" w:rsidRPr="00C32070">
        <w:rPr>
          <w:rtl/>
          <w:lang w:bidi="ar-EG"/>
        </w:rPr>
        <w:t>ً</w:t>
      </w:r>
      <w:r w:rsidRPr="00C32070">
        <w:rPr>
          <w:rtl/>
          <w:lang w:bidi="ar-EG"/>
        </w:rPr>
        <w:t xml:space="preserve"> في العالم وتسريع التقدم نحو أهداف التنمية المستدامة</w:t>
      </w:r>
      <w:r w:rsidR="00921AFB" w:rsidRPr="00C32070">
        <w:rPr>
          <w:rtl/>
          <w:lang w:bidi="ar-EG"/>
        </w:rPr>
        <w:t xml:space="preserve"> (</w:t>
      </w:r>
      <w:r w:rsidR="00921AFB" w:rsidRPr="00C32070">
        <w:rPr>
          <w:lang w:bidi="ar-EG"/>
        </w:rPr>
        <w:t>SDG</w:t>
      </w:r>
      <w:r w:rsidR="00921AFB" w:rsidRPr="00C32070">
        <w:rPr>
          <w:rtl/>
          <w:lang w:bidi="ar-EG"/>
        </w:rPr>
        <w:t>).</w:t>
      </w:r>
    </w:p>
    <w:p w14:paraId="084ED28B" w14:textId="1E40F58D" w:rsidR="003E7480" w:rsidRPr="00C32070" w:rsidRDefault="003E7480" w:rsidP="003724DE">
      <w:pPr>
        <w:rPr>
          <w:rtl/>
          <w:lang w:bidi="ar-EG"/>
        </w:rPr>
      </w:pPr>
      <w:r w:rsidRPr="00C32070">
        <w:rPr>
          <w:rtl/>
          <w:lang w:bidi="ar-EG"/>
        </w:rPr>
        <w:t xml:space="preserve">وباعتباره وكالة الأمم المتحدة المعنية بالتكنولوجيات الرقمية، </w:t>
      </w:r>
      <w:r w:rsidR="00C50E6E" w:rsidRPr="00C32070">
        <w:rPr>
          <w:rtl/>
          <w:lang w:bidi="ar-EG"/>
        </w:rPr>
        <w:t>كان</w:t>
      </w:r>
      <w:r w:rsidRPr="00C32070">
        <w:rPr>
          <w:rtl/>
          <w:lang w:bidi="ar-EG"/>
        </w:rPr>
        <w:t xml:space="preserve"> ال</w:t>
      </w:r>
      <w:r w:rsidR="00C50E6E" w:rsidRPr="00C32070">
        <w:rPr>
          <w:rtl/>
          <w:lang w:bidi="ar-EG"/>
        </w:rPr>
        <w:t>اتحاد</w:t>
      </w:r>
      <w:r w:rsidRPr="00C32070">
        <w:rPr>
          <w:rtl/>
          <w:lang w:bidi="ar-EG"/>
        </w:rPr>
        <w:t xml:space="preserve"> </w:t>
      </w:r>
      <w:r w:rsidR="00C50E6E" w:rsidRPr="00C32070">
        <w:rPr>
          <w:rtl/>
          <w:lang w:bidi="ar-EG"/>
        </w:rPr>
        <w:t>ع</w:t>
      </w:r>
      <w:r w:rsidRPr="00C32070">
        <w:rPr>
          <w:rtl/>
          <w:lang w:bidi="ar-EG"/>
        </w:rPr>
        <w:t xml:space="preserve">لى مستوى </w:t>
      </w:r>
      <w:r w:rsidR="00C50E6E" w:rsidRPr="00C32070">
        <w:rPr>
          <w:rtl/>
          <w:lang w:bidi="ar-EG"/>
        </w:rPr>
        <w:t>المسؤولية</w:t>
      </w:r>
      <w:r w:rsidRPr="00C32070">
        <w:rPr>
          <w:rtl/>
          <w:lang w:bidi="ar-EG"/>
        </w:rPr>
        <w:t xml:space="preserve">. </w:t>
      </w:r>
      <w:r w:rsidR="00C50E6E" w:rsidRPr="00C32070">
        <w:rPr>
          <w:rtl/>
          <w:lang w:bidi="ar-EG"/>
        </w:rPr>
        <w:t xml:space="preserve">وتتمثل </w:t>
      </w:r>
      <w:r w:rsidRPr="00C32070">
        <w:rPr>
          <w:rtl/>
          <w:lang w:bidi="ar-EG"/>
        </w:rPr>
        <w:t xml:space="preserve">القوة الدافعة للاتحاد </w:t>
      </w:r>
      <w:r w:rsidR="00C50E6E" w:rsidRPr="00C32070">
        <w:rPr>
          <w:rtl/>
          <w:lang w:bidi="ar-EG"/>
        </w:rPr>
        <w:t>ف</w:t>
      </w:r>
      <w:r w:rsidRPr="00C32070">
        <w:rPr>
          <w:rtl/>
          <w:lang w:bidi="ar-EG"/>
        </w:rPr>
        <w:t xml:space="preserve">ي الخطة الاستراتيجية للاتحاد للفترة </w:t>
      </w:r>
      <w:r w:rsidRPr="00C32070">
        <w:rPr>
          <w:lang w:bidi="ar-EG"/>
        </w:rPr>
        <w:t>2024</w:t>
      </w:r>
      <w:r w:rsidRPr="00C32070">
        <w:rPr>
          <w:rtl/>
          <w:lang w:bidi="ar-EG"/>
        </w:rPr>
        <w:t>-</w:t>
      </w:r>
      <w:r w:rsidRPr="00C32070">
        <w:rPr>
          <w:lang w:bidi="ar-EG"/>
        </w:rPr>
        <w:t>2027</w:t>
      </w:r>
      <w:r w:rsidRPr="00C32070">
        <w:rPr>
          <w:rtl/>
          <w:lang w:bidi="ar-EG"/>
        </w:rPr>
        <w:t>، التي اعت</w:t>
      </w:r>
      <w:r w:rsidR="00406CA1" w:rsidRPr="00C32070">
        <w:rPr>
          <w:rtl/>
          <w:lang w:bidi="ar-EG"/>
        </w:rPr>
        <w:t>ُ</w:t>
      </w:r>
      <w:r w:rsidRPr="00C32070">
        <w:rPr>
          <w:rtl/>
          <w:lang w:bidi="ar-EG"/>
        </w:rPr>
        <w:t>مد</w:t>
      </w:r>
      <w:r w:rsidR="00406CA1" w:rsidRPr="00C32070">
        <w:rPr>
          <w:rtl/>
          <w:lang w:bidi="ar-EG"/>
        </w:rPr>
        <w:t>ت</w:t>
      </w:r>
      <w:r w:rsidRPr="00C32070">
        <w:rPr>
          <w:rtl/>
          <w:lang w:bidi="ar-EG"/>
        </w:rPr>
        <w:t xml:space="preserve"> </w:t>
      </w:r>
      <w:r w:rsidR="00406CA1" w:rsidRPr="00C32070">
        <w:rPr>
          <w:rtl/>
          <w:lang w:bidi="ar-EG"/>
        </w:rPr>
        <w:t xml:space="preserve">في </w:t>
      </w:r>
      <w:r w:rsidRPr="00C32070">
        <w:rPr>
          <w:rtl/>
          <w:lang w:bidi="ar-EG"/>
        </w:rPr>
        <w:t xml:space="preserve">مؤتمر المندوبين المفوضين للاتحاد عام </w:t>
      </w:r>
      <w:r w:rsidRPr="00C32070">
        <w:rPr>
          <w:lang w:bidi="ar-EG"/>
        </w:rPr>
        <w:t>2022</w:t>
      </w:r>
      <w:r w:rsidRPr="00C32070">
        <w:rPr>
          <w:rtl/>
          <w:lang w:bidi="ar-EG"/>
        </w:rPr>
        <w:t>. و</w:t>
      </w:r>
      <w:r w:rsidR="00C50E6E" w:rsidRPr="00C32070">
        <w:rPr>
          <w:rtl/>
          <w:lang w:bidi="ar-EG"/>
        </w:rPr>
        <w:t xml:space="preserve">تكمن </w:t>
      </w:r>
      <w:r w:rsidRPr="00C32070">
        <w:rPr>
          <w:rtl/>
          <w:lang w:bidi="ar-EG"/>
        </w:rPr>
        <w:t>في</w:t>
      </w:r>
      <w:r w:rsidR="00921AFB" w:rsidRPr="00C32070">
        <w:rPr>
          <w:lang w:bidi="ar-EG"/>
        </w:rPr>
        <w:t> </w:t>
      </w:r>
      <w:r w:rsidRPr="00C32070">
        <w:rPr>
          <w:rtl/>
          <w:lang w:bidi="ar-EG"/>
        </w:rPr>
        <w:t>جوهر</w:t>
      </w:r>
      <w:r w:rsidR="00C50E6E" w:rsidRPr="00C32070">
        <w:rPr>
          <w:rtl/>
          <w:lang w:bidi="ar-EG"/>
        </w:rPr>
        <w:t xml:space="preserve"> هذه الاستراتيجية</w:t>
      </w:r>
      <w:r w:rsidRPr="00C32070">
        <w:rPr>
          <w:rtl/>
          <w:lang w:bidi="ar-EG"/>
        </w:rPr>
        <w:t xml:space="preserve"> التوصيلية العالمية والتحول الرقمي المستدام.</w:t>
      </w:r>
    </w:p>
    <w:p w14:paraId="52EFE2C1" w14:textId="77777777" w:rsidR="003E7480" w:rsidRPr="00C32070" w:rsidRDefault="003E7480" w:rsidP="003724DE">
      <w:pPr>
        <w:rPr>
          <w:rtl/>
          <w:lang w:bidi="ar-EG"/>
        </w:rPr>
      </w:pPr>
      <w:r w:rsidRPr="00C32070">
        <w:rPr>
          <w:rtl/>
          <w:lang w:bidi="ar-EG"/>
        </w:rPr>
        <w:t xml:space="preserve">وتضمنت أبرز النقاط لعام </w:t>
      </w:r>
      <w:r w:rsidRPr="00C32070">
        <w:rPr>
          <w:lang w:bidi="ar-EG"/>
        </w:rPr>
        <w:t>2023</w:t>
      </w:r>
      <w:r w:rsidRPr="00C32070">
        <w:rPr>
          <w:rtl/>
          <w:lang w:bidi="ar-EG"/>
        </w:rPr>
        <w:t xml:space="preserve"> ما يلي:</w:t>
      </w:r>
    </w:p>
    <w:p w14:paraId="5F196B9F" w14:textId="275197C6" w:rsidR="00987B84" w:rsidRPr="00C32070" w:rsidRDefault="00987B84" w:rsidP="002F5E41">
      <w:pPr>
        <w:pStyle w:val="enumlev1"/>
        <w:rPr>
          <w:bCs/>
          <w:rtl/>
          <w:lang w:val="en-GB"/>
        </w:rPr>
      </w:pPr>
      <w:r w:rsidRPr="00C32070">
        <w:rPr>
          <w:b/>
          <w:lang w:val="en-GB"/>
        </w:rPr>
        <w:t>1</w:t>
      </w:r>
      <w:r w:rsidRPr="00C32070">
        <w:rPr>
          <w:b/>
          <w:lang w:val="en-GB"/>
        </w:rPr>
        <w:tab/>
      </w:r>
      <w:r w:rsidR="003E7480" w:rsidRPr="00C32070">
        <w:rPr>
          <w:b/>
          <w:bCs/>
          <w:rtl/>
        </w:rPr>
        <w:t>مواءمة الشمول الرقمي مع وتيرة التحول الرقمي.</w:t>
      </w:r>
      <w:r w:rsidR="003E7480" w:rsidRPr="00C32070">
        <w:rPr>
          <w:rtl/>
        </w:rPr>
        <w:t xml:space="preserve"> </w:t>
      </w:r>
      <w:r w:rsidR="003846B6" w:rsidRPr="00C32070">
        <w:rPr>
          <w:rtl/>
        </w:rPr>
        <w:t xml:space="preserve">يقزِّم </w:t>
      </w:r>
      <w:r w:rsidR="003E7480" w:rsidRPr="00C32070">
        <w:rPr>
          <w:rtl/>
        </w:rPr>
        <w:t>التقدم السريع والابتكار في مجال الذكاء الاصطناعي</w:t>
      </w:r>
      <w:r w:rsidR="002F5E41">
        <w:rPr>
          <w:rFonts w:hint="cs"/>
          <w:rtl/>
        </w:rPr>
        <w:t> </w:t>
      </w:r>
      <w:r w:rsidR="002F5E41">
        <w:t>(AI)</w:t>
      </w:r>
      <w:r w:rsidR="003E7480" w:rsidRPr="00C32070">
        <w:rPr>
          <w:rtl/>
        </w:rPr>
        <w:t xml:space="preserve"> التوليدي والحوسبة وغيرها من المجالات التقدم المحرز في سد الفجوة الرقمية. وفي حين زاد استخدام الإنترنت على مستوى العالم وفي</w:t>
      </w:r>
      <w:r w:rsidR="00921AFB" w:rsidRPr="00C32070">
        <w:t> </w:t>
      </w:r>
      <w:r w:rsidR="003E7480" w:rsidRPr="00C32070">
        <w:rPr>
          <w:rtl/>
        </w:rPr>
        <w:t xml:space="preserve">كل </w:t>
      </w:r>
      <w:r w:rsidR="00B14EB9" w:rsidRPr="00C32070">
        <w:rPr>
          <w:rtl/>
        </w:rPr>
        <w:t>إقليم</w:t>
      </w:r>
      <w:r w:rsidR="003E7480" w:rsidRPr="00C32070">
        <w:rPr>
          <w:rtl/>
        </w:rPr>
        <w:t xml:space="preserve">، لا يزال </w:t>
      </w:r>
      <w:r w:rsidR="003E7480" w:rsidRPr="00C32070">
        <w:t>2</w:t>
      </w:r>
      <w:r w:rsidR="00A01ADF" w:rsidRPr="00C32070">
        <w:t>,</w:t>
      </w:r>
      <w:r w:rsidR="003E7480" w:rsidRPr="00C32070">
        <w:t>6</w:t>
      </w:r>
      <w:r w:rsidR="003E7480" w:rsidRPr="00C32070">
        <w:rPr>
          <w:rtl/>
        </w:rPr>
        <w:t xml:space="preserve"> مليار شخص غير م</w:t>
      </w:r>
      <w:r w:rsidR="00676A59" w:rsidRPr="00C32070">
        <w:rPr>
          <w:rtl/>
        </w:rPr>
        <w:t>و</w:t>
      </w:r>
      <w:r w:rsidR="003E7480" w:rsidRPr="00C32070">
        <w:rPr>
          <w:rtl/>
        </w:rPr>
        <w:t>صلين بالإنترنت في جميع أنحاء العالم</w:t>
      </w:r>
      <w:r w:rsidR="003434FC" w:rsidRPr="00C32070">
        <w:rPr>
          <w:rtl/>
        </w:rPr>
        <w:t xml:space="preserve"> - </w:t>
      </w:r>
      <w:r w:rsidR="00B14EB9" w:rsidRPr="00C32070">
        <w:rPr>
          <w:rtl/>
        </w:rPr>
        <w:t>وهناك تفاوتات</w:t>
      </w:r>
      <w:r w:rsidR="003E7480" w:rsidRPr="00C32070">
        <w:rPr>
          <w:rtl/>
        </w:rPr>
        <w:t xml:space="preserve"> مستمرة بين البلدان مرتفعة </w:t>
      </w:r>
      <w:r w:rsidR="00B14EB9" w:rsidRPr="00C32070">
        <w:rPr>
          <w:rtl/>
        </w:rPr>
        <w:t xml:space="preserve">الدخل </w:t>
      </w:r>
      <w:r w:rsidR="003E7480" w:rsidRPr="00C32070">
        <w:rPr>
          <w:rtl/>
        </w:rPr>
        <w:t xml:space="preserve">ومنخفضة الدخل، والمناطق الريفية والحضرية، والرجال والنساء. ولم تركز جهود الاتحاد على البنية التحتية فحسب، بل ركزت أيضاً على القدرة على تحمل التكاليف والمهارات والسلامة وجميع العناصر الأخرى التي تجعل التوصيلية </w:t>
      </w:r>
      <w:r w:rsidR="00B14EB9" w:rsidRPr="00C32070">
        <w:rPr>
          <w:rtl/>
        </w:rPr>
        <w:t>هادفة</w:t>
      </w:r>
      <w:r w:rsidR="003E7480" w:rsidRPr="00C32070">
        <w:rPr>
          <w:rtl/>
        </w:rPr>
        <w:t>.</w:t>
      </w:r>
    </w:p>
    <w:p w14:paraId="49A6424E" w14:textId="36298170" w:rsidR="00987B84" w:rsidRPr="00C32070" w:rsidRDefault="00987B84" w:rsidP="002F5E41">
      <w:pPr>
        <w:pStyle w:val="enumlev1"/>
        <w:rPr>
          <w:bCs/>
          <w:rtl/>
          <w:lang w:val="en-GB"/>
        </w:rPr>
      </w:pPr>
      <w:r w:rsidRPr="00C32070">
        <w:rPr>
          <w:bCs/>
          <w:rtl/>
          <w:lang w:val="en-GB"/>
        </w:rPr>
        <w:t>2</w:t>
      </w:r>
      <w:r w:rsidRPr="00C32070">
        <w:rPr>
          <w:lang w:val="en-GB"/>
        </w:rPr>
        <w:tab/>
      </w:r>
      <w:r w:rsidR="003E7480" w:rsidRPr="00C32070">
        <w:rPr>
          <w:bCs/>
          <w:rtl/>
        </w:rPr>
        <w:t>تسخير إمكانات الاتصالات الراديوية إلى أقصى حد.</w:t>
      </w:r>
      <w:r w:rsidRPr="00C32070">
        <w:rPr>
          <w:bCs/>
          <w:rtl/>
          <w:lang w:val="en-GB"/>
        </w:rPr>
        <w:t xml:space="preserve"> </w:t>
      </w:r>
      <w:r w:rsidRPr="00C32070">
        <w:rPr>
          <w:rtl/>
          <w:lang w:val="en-GB"/>
        </w:rPr>
        <w:t>حدد الاتفاق</w:t>
      </w:r>
      <w:r w:rsidR="00B14EB9" w:rsidRPr="00C32070">
        <w:rPr>
          <w:rtl/>
          <w:lang w:val="en-GB"/>
        </w:rPr>
        <w:t xml:space="preserve"> الذي تم التوصل إليه في المؤتمر </w:t>
      </w:r>
      <w:r w:rsidR="00B14EB9" w:rsidRPr="00C32070">
        <w:rPr>
          <w:lang w:val="en-GB"/>
        </w:rPr>
        <w:t>WRC</w:t>
      </w:r>
      <w:r w:rsidR="00B14EB9" w:rsidRPr="00C32070">
        <w:rPr>
          <w:lang w:val="en-GB"/>
        </w:rPr>
        <w:noBreakHyphen/>
        <w:t>23</w:t>
      </w:r>
      <w:r w:rsidRPr="00C32070">
        <w:rPr>
          <w:rtl/>
          <w:lang w:val="en-GB"/>
        </w:rPr>
        <w:t xml:space="preserve"> </w:t>
      </w:r>
      <w:r w:rsidR="00B14EB9" w:rsidRPr="00C32070">
        <w:rPr>
          <w:rtl/>
          <w:lang w:val="en-GB"/>
        </w:rPr>
        <w:t>بشأن</w:t>
      </w:r>
      <w:r w:rsidRPr="00C32070">
        <w:rPr>
          <w:rtl/>
          <w:lang w:val="en-GB"/>
        </w:rPr>
        <w:t xml:space="preserve"> تحديث لوائح الراديو موارد جديدة من الطيف لدعم الابتكار التكنولوجي، وتوسيع التوصيلية العالمية، وزيادة النفاذ إلى الموارد الراديوية الفضائية واستعمالها المنصف، وتعزيز السلامة في البحر والجو والبر.</w:t>
      </w:r>
      <w:r w:rsidRPr="00C32070">
        <w:rPr>
          <w:bCs/>
          <w:rtl/>
          <w:lang w:val="en-GB"/>
        </w:rPr>
        <w:t xml:space="preserve"> </w:t>
      </w:r>
      <w:r w:rsidR="003E7480" w:rsidRPr="00C32070">
        <w:rPr>
          <w:rtl/>
        </w:rPr>
        <w:t>وتوفر هذه النتائج اليقين القانوني والاستقرار التنظيمي اللازم</w:t>
      </w:r>
      <w:r w:rsidR="00B14EB9" w:rsidRPr="00C32070">
        <w:rPr>
          <w:rtl/>
        </w:rPr>
        <w:t>ين</w:t>
      </w:r>
      <w:r w:rsidR="003E7480" w:rsidRPr="00C32070">
        <w:rPr>
          <w:rtl/>
        </w:rPr>
        <w:t xml:space="preserve"> لازدهار الاستثمار والابتكار في وقت </w:t>
      </w:r>
      <w:r w:rsidR="00B14EB9" w:rsidRPr="00C32070">
        <w:rPr>
          <w:rtl/>
        </w:rPr>
        <w:t>تعتبر فيه</w:t>
      </w:r>
      <w:r w:rsidR="003E7480" w:rsidRPr="00C32070">
        <w:rPr>
          <w:rtl/>
        </w:rPr>
        <w:t xml:space="preserve"> </w:t>
      </w:r>
      <w:r w:rsidR="00B14EB9" w:rsidRPr="00C32070">
        <w:rPr>
          <w:rtl/>
        </w:rPr>
        <w:t xml:space="preserve">إدارة </w:t>
      </w:r>
      <w:r w:rsidR="003E7480" w:rsidRPr="00C32070">
        <w:rPr>
          <w:rtl/>
        </w:rPr>
        <w:t xml:space="preserve">طيف الترددات الراديوية والمدارات </w:t>
      </w:r>
      <w:proofErr w:type="spellStart"/>
      <w:r w:rsidR="003E7480" w:rsidRPr="00C32070">
        <w:rPr>
          <w:rtl/>
        </w:rPr>
        <w:t>الساتلية</w:t>
      </w:r>
      <w:proofErr w:type="spellEnd"/>
      <w:r w:rsidR="003E7480" w:rsidRPr="00C32070">
        <w:rPr>
          <w:rtl/>
        </w:rPr>
        <w:t xml:space="preserve"> المرتبطة به </w:t>
      </w:r>
      <w:r w:rsidR="00B14EB9" w:rsidRPr="00C32070">
        <w:rPr>
          <w:rtl/>
        </w:rPr>
        <w:t>بشكل منصف</w:t>
      </w:r>
      <w:r w:rsidR="003E7480" w:rsidRPr="00C32070">
        <w:rPr>
          <w:rtl/>
        </w:rPr>
        <w:t xml:space="preserve"> أساسية لمستقبل رقمي يعمل </w:t>
      </w:r>
      <w:r w:rsidR="003846B6" w:rsidRPr="00C32070">
        <w:rPr>
          <w:rtl/>
        </w:rPr>
        <w:t xml:space="preserve">لخير </w:t>
      </w:r>
      <w:r w:rsidR="003E7480" w:rsidRPr="00C32070">
        <w:rPr>
          <w:rtl/>
        </w:rPr>
        <w:t>جميع الناس والكوكب.</w:t>
      </w:r>
    </w:p>
    <w:p w14:paraId="0A4A8AB3" w14:textId="715773AF" w:rsidR="00987B84" w:rsidRPr="00C32070" w:rsidRDefault="00987B84" w:rsidP="002F5E41">
      <w:pPr>
        <w:pStyle w:val="enumlev1"/>
        <w:rPr>
          <w:bCs/>
          <w:rtl/>
          <w:lang w:val="en-GB"/>
        </w:rPr>
      </w:pPr>
      <w:r w:rsidRPr="00C32070">
        <w:rPr>
          <w:bCs/>
          <w:rtl/>
          <w:lang w:val="en-GB"/>
        </w:rPr>
        <w:t>3</w:t>
      </w:r>
      <w:r w:rsidRPr="00C32070">
        <w:rPr>
          <w:b/>
          <w:lang w:val="en-GB"/>
        </w:rPr>
        <w:tab/>
      </w:r>
      <w:r w:rsidR="00D577CE" w:rsidRPr="00C32070">
        <w:rPr>
          <w:b/>
          <w:bCs/>
          <w:rtl/>
        </w:rPr>
        <w:t xml:space="preserve">تحصيل </w:t>
      </w:r>
      <w:r w:rsidR="003E7480" w:rsidRPr="00C32070">
        <w:rPr>
          <w:b/>
          <w:bCs/>
          <w:rtl/>
        </w:rPr>
        <w:t xml:space="preserve">القيمة الحقيقية للمعايير. </w:t>
      </w:r>
      <w:r w:rsidR="003E7480" w:rsidRPr="00C32070">
        <w:rPr>
          <w:rtl/>
        </w:rPr>
        <w:t xml:space="preserve">تعترف جميع مبادرات حوكمة الذكاء الاصطناعي بالمعايير باعتبارها عنصراً حاسماً. وهذا هو أحدث </w:t>
      </w:r>
      <w:r w:rsidR="00C96991" w:rsidRPr="00C32070">
        <w:rPr>
          <w:rtl/>
        </w:rPr>
        <w:t>دليل</w:t>
      </w:r>
      <w:r w:rsidR="003E7480" w:rsidRPr="00C32070">
        <w:rPr>
          <w:rtl/>
        </w:rPr>
        <w:t xml:space="preserve"> على زيادة الاهتمام </w:t>
      </w:r>
      <w:r w:rsidR="00C83C28" w:rsidRPr="00C32070">
        <w:rPr>
          <w:rtl/>
        </w:rPr>
        <w:t>بالتقييس</w:t>
      </w:r>
      <w:r w:rsidR="003E7480" w:rsidRPr="00C32070">
        <w:rPr>
          <w:rtl/>
        </w:rPr>
        <w:t xml:space="preserve"> في الحكومة والصناعة و</w:t>
      </w:r>
      <w:r w:rsidR="00C83C28" w:rsidRPr="00C32070">
        <w:rPr>
          <w:rtl/>
        </w:rPr>
        <w:t>الهيئات</w:t>
      </w:r>
      <w:r w:rsidR="003E7480" w:rsidRPr="00C32070">
        <w:rPr>
          <w:rtl/>
        </w:rPr>
        <w:t xml:space="preserve"> الأكاديمية والمجتمع المدني. ويستجيب ال</w:t>
      </w:r>
      <w:r w:rsidR="00C50E6E" w:rsidRPr="00C32070">
        <w:rPr>
          <w:rtl/>
        </w:rPr>
        <w:t>اتحاد</w:t>
      </w:r>
      <w:r w:rsidR="003E7480" w:rsidRPr="00C32070">
        <w:rPr>
          <w:rtl/>
        </w:rPr>
        <w:t xml:space="preserve"> لهذه الحاجة بمعايير لدعم التحول الرقمي من الطاقة إلى الرعاية الصحية، ومن خلال دمج وجهات نظر مختلفة من حقوق الإنسان إلى الاستدامة. و</w:t>
      </w:r>
      <w:r w:rsidR="00C83C28" w:rsidRPr="00C32070">
        <w:rPr>
          <w:rtl/>
        </w:rPr>
        <w:t xml:space="preserve">تجعل </w:t>
      </w:r>
      <w:r w:rsidR="003E7480" w:rsidRPr="00C32070">
        <w:rPr>
          <w:rtl/>
        </w:rPr>
        <w:t>معايير الاتحاد التكنولوجيات الرقمية أكثر اتصالاً وكفاءة و</w:t>
      </w:r>
      <w:r w:rsidR="00C83C28" w:rsidRPr="00C32070">
        <w:rPr>
          <w:rtl/>
        </w:rPr>
        <w:t xml:space="preserve">ميسورة </w:t>
      </w:r>
      <w:proofErr w:type="gramStart"/>
      <w:r w:rsidR="00C83C28" w:rsidRPr="00C32070">
        <w:rPr>
          <w:rtl/>
        </w:rPr>
        <w:t>التكلفة</w:t>
      </w:r>
      <w:proofErr w:type="gramEnd"/>
      <w:r w:rsidR="003E7480" w:rsidRPr="00C32070">
        <w:rPr>
          <w:rtl/>
        </w:rPr>
        <w:t xml:space="preserve"> وآمنة و</w:t>
      </w:r>
      <w:r w:rsidR="00C83C28" w:rsidRPr="00C32070">
        <w:rPr>
          <w:rtl/>
        </w:rPr>
        <w:t>قابلة ل</w:t>
      </w:r>
      <w:r w:rsidR="003E7480" w:rsidRPr="00C32070">
        <w:rPr>
          <w:rtl/>
        </w:rPr>
        <w:t>ل</w:t>
      </w:r>
      <w:r w:rsidR="00C83C28" w:rsidRPr="00C32070">
        <w:rPr>
          <w:rtl/>
        </w:rPr>
        <w:t>نفاذ</w:t>
      </w:r>
      <w:r w:rsidR="003E7480" w:rsidRPr="00C32070">
        <w:rPr>
          <w:rtl/>
        </w:rPr>
        <w:t xml:space="preserve"> و</w:t>
      </w:r>
      <w:r w:rsidR="00C83C28" w:rsidRPr="00C32070">
        <w:rPr>
          <w:rtl/>
        </w:rPr>
        <w:t>م</w:t>
      </w:r>
      <w:r w:rsidR="003E7480" w:rsidRPr="00C32070">
        <w:rPr>
          <w:rtl/>
        </w:rPr>
        <w:t xml:space="preserve">ستدامة. </w:t>
      </w:r>
      <w:r w:rsidR="00C83C28" w:rsidRPr="00C32070">
        <w:rPr>
          <w:rtl/>
        </w:rPr>
        <w:t>وهي</w:t>
      </w:r>
      <w:r w:rsidR="003E7480" w:rsidRPr="00C32070">
        <w:rPr>
          <w:rtl/>
        </w:rPr>
        <w:t xml:space="preserve"> أدوات قوية لتسريع التقدم نحو أهداف التنمية المستدامة.</w:t>
      </w:r>
    </w:p>
    <w:p w14:paraId="68B798C4" w14:textId="0A58E01C" w:rsidR="00987B84" w:rsidRPr="00C32070" w:rsidRDefault="00987B84" w:rsidP="002F5E41">
      <w:pPr>
        <w:pStyle w:val="enumlev1"/>
        <w:rPr>
          <w:bCs/>
          <w:rtl/>
          <w:lang w:val="en-GB"/>
        </w:rPr>
      </w:pPr>
      <w:r w:rsidRPr="00C32070">
        <w:rPr>
          <w:bCs/>
          <w:rtl/>
          <w:lang w:val="en-GB"/>
        </w:rPr>
        <w:t>4</w:t>
      </w:r>
      <w:r w:rsidRPr="00C32070">
        <w:rPr>
          <w:b/>
          <w:lang w:val="en-GB"/>
        </w:rPr>
        <w:tab/>
      </w:r>
      <w:r w:rsidR="00C83C28" w:rsidRPr="00C32070">
        <w:rPr>
          <w:b/>
          <w:bCs/>
          <w:rtl/>
        </w:rPr>
        <w:t>التفكير في ال</w:t>
      </w:r>
      <w:r w:rsidR="003E7480" w:rsidRPr="00C32070">
        <w:rPr>
          <w:b/>
          <w:bCs/>
          <w:rtl/>
        </w:rPr>
        <w:t>تنمية أولاً</w:t>
      </w:r>
      <w:r w:rsidR="003E7480" w:rsidRPr="00C32070">
        <w:rPr>
          <w:rtl/>
        </w:rPr>
        <w:t xml:space="preserve">. إن عدم المساواة بين من يملكون ومن لا يملكون في العالم الرقمي آخذ في الاتساع. ففي البلدان المرتفعة الدخل، على سبيل المثال، تغطي </w:t>
      </w:r>
      <w:r w:rsidR="00D577CE" w:rsidRPr="00C32070">
        <w:rPr>
          <w:rtl/>
        </w:rPr>
        <w:t xml:space="preserve">شبكة الجيل الخامس </w:t>
      </w:r>
      <w:r w:rsidR="003E7480" w:rsidRPr="00C32070">
        <w:rPr>
          <w:rtl/>
        </w:rPr>
        <w:t xml:space="preserve">ما يقرب من </w:t>
      </w:r>
      <w:r w:rsidR="003E7480" w:rsidRPr="00C32070">
        <w:t>90</w:t>
      </w:r>
      <w:r w:rsidR="003E7480" w:rsidRPr="00C32070">
        <w:rPr>
          <w:rtl/>
        </w:rPr>
        <w:t xml:space="preserve"> في </w:t>
      </w:r>
      <w:proofErr w:type="gramStart"/>
      <w:r w:rsidR="003E7480" w:rsidRPr="00C32070">
        <w:rPr>
          <w:rtl/>
        </w:rPr>
        <w:t>المائة</w:t>
      </w:r>
      <w:proofErr w:type="gramEnd"/>
      <w:r w:rsidR="003E7480" w:rsidRPr="00C32070">
        <w:rPr>
          <w:rtl/>
        </w:rPr>
        <w:t xml:space="preserve"> من السكان، في حين </w:t>
      </w:r>
      <w:r w:rsidR="00BF7FC9" w:rsidRPr="00C32070">
        <w:rPr>
          <w:rtl/>
        </w:rPr>
        <w:t xml:space="preserve">تكاد </w:t>
      </w:r>
      <w:r w:rsidR="003E7480" w:rsidRPr="00C32070">
        <w:rPr>
          <w:rtl/>
        </w:rPr>
        <w:t xml:space="preserve">هذه الخدمة </w:t>
      </w:r>
      <w:r w:rsidR="00BF7FC9" w:rsidRPr="00C32070">
        <w:rPr>
          <w:rtl/>
        </w:rPr>
        <w:t>تغيب</w:t>
      </w:r>
      <w:r w:rsidR="003E7480" w:rsidRPr="00C32070">
        <w:rPr>
          <w:rtl/>
        </w:rPr>
        <w:t xml:space="preserve"> في البلدان منخفضة الدخل. </w:t>
      </w:r>
      <w:r w:rsidR="00C83C28" w:rsidRPr="00C32070">
        <w:rPr>
          <w:rtl/>
        </w:rPr>
        <w:t>و</w:t>
      </w:r>
      <w:r w:rsidR="003E7480" w:rsidRPr="00C32070">
        <w:rPr>
          <w:rtl/>
        </w:rPr>
        <w:t xml:space="preserve">جهود الاتحاد في مجال الشبكات والبنية التحتية الرقمية، والسياسات والتنظيم، والإحصاءات، والتطبيقات الرقمية والشمول، والأمن السيبراني، وتنمية القدرات، والمخلفات الإلكترونية، والاتصالات في حالات الطوارئ، وغيرها من القضايا الأساسية </w:t>
      </w:r>
      <w:r w:rsidR="00C83C28" w:rsidRPr="00C32070">
        <w:rPr>
          <w:rtl/>
        </w:rPr>
        <w:t>تتناول</w:t>
      </w:r>
      <w:r w:rsidR="003E7480" w:rsidRPr="00C32070">
        <w:rPr>
          <w:rtl/>
        </w:rPr>
        <w:t xml:space="preserve"> جميع أبعاد التنمية المستدامة</w:t>
      </w:r>
      <w:r w:rsidR="003434FC" w:rsidRPr="00C32070">
        <w:rPr>
          <w:rtl/>
        </w:rPr>
        <w:t xml:space="preserve"> - </w:t>
      </w:r>
      <w:r w:rsidR="003E7480" w:rsidRPr="00C32070">
        <w:rPr>
          <w:rtl/>
        </w:rPr>
        <w:t>الاقتصادية والاجتماعية والبيئية. و</w:t>
      </w:r>
      <w:r w:rsidR="00C83C28" w:rsidRPr="00C32070">
        <w:rPr>
          <w:rtl/>
        </w:rPr>
        <w:t>بالتالي</w:t>
      </w:r>
      <w:r w:rsidR="003E7480" w:rsidRPr="00C32070">
        <w:rPr>
          <w:rtl/>
        </w:rPr>
        <w:t>، فإن ال</w:t>
      </w:r>
      <w:r w:rsidR="00C50E6E" w:rsidRPr="00C32070">
        <w:rPr>
          <w:rtl/>
        </w:rPr>
        <w:t>اتحاد</w:t>
      </w:r>
      <w:r w:rsidR="003E7480" w:rsidRPr="00C32070">
        <w:rPr>
          <w:rtl/>
        </w:rPr>
        <w:t xml:space="preserve"> يرافق البلدان أينما كانت في رحلة تحول</w:t>
      </w:r>
      <w:r w:rsidR="0069504E" w:rsidRPr="00C32070">
        <w:rPr>
          <w:rtl/>
        </w:rPr>
        <w:t>ها</w:t>
      </w:r>
      <w:r w:rsidR="003E7480" w:rsidRPr="00C32070">
        <w:rPr>
          <w:rtl/>
        </w:rPr>
        <w:t xml:space="preserve"> الرقمي.</w:t>
      </w:r>
    </w:p>
    <w:p w14:paraId="666C89B1" w14:textId="2F450C45" w:rsidR="00987B84" w:rsidRPr="00C32070" w:rsidRDefault="00987B84" w:rsidP="002F5E41">
      <w:pPr>
        <w:pStyle w:val="enumlev1"/>
        <w:rPr>
          <w:bCs/>
          <w:spacing w:val="-1"/>
          <w:rtl/>
          <w:lang w:val="en-GB"/>
        </w:rPr>
      </w:pPr>
      <w:r w:rsidRPr="00C32070">
        <w:rPr>
          <w:bCs/>
          <w:spacing w:val="-1"/>
          <w:rtl/>
          <w:lang w:val="en-GB"/>
        </w:rPr>
        <w:t>5</w:t>
      </w:r>
      <w:r w:rsidRPr="00C32070">
        <w:rPr>
          <w:b/>
          <w:spacing w:val="-1"/>
          <w:lang w:val="en-GB"/>
        </w:rPr>
        <w:tab/>
      </w:r>
      <w:r w:rsidR="003E7480" w:rsidRPr="00C32070">
        <w:rPr>
          <w:b/>
          <w:bCs/>
          <w:spacing w:val="-1"/>
          <w:rtl/>
        </w:rPr>
        <w:t>تحقيق التوازن الصحيح بين فوائد ومخاطر التكنولوجيات الناشئة.</w:t>
      </w:r>
      <w:r w:rsidR="003E7480" w:rsidRPr="00C32070">
        <w:rPr>
          <w:spacing w:val="-1"/>
          <w:rtl/>
        </w:rPr>
        <w:t xml:space="preserve"> أظهرت خطة التسريع الرقمي لأهداف التنمية المستدامة التي أطلقها ال</w:t>
      </w:r>
      <w:r w:rsidR="00C50E6E" w:rsidRPr="00C32070">
        <w:rPr>
          <w:spacing w:val="-1"/>
          <w:rtl/>
        </w:rPr>
        <w:t>اتحاد</w:t>
      </w:r>
      <w:r w:rsidR="003E7480" w:rsidRPr="00C32070">
        <w:rPr>
          <w:spacing w:val="-1"/>
          <w:rtl/>
        </w:rPr>
        <w:t xml:space="preserve"> وبرنامج الأمم المتحدة الإنمائي </w:t>
      </w:r>
      <w:r w:rsidR="00C83C28" w:rsidRPr="00C32070">
        <w:rPr>
          <w:spacing w:val="-1"/>
        </w:rPr>
        <w:t>(</w:t>
      </w:r>
      <w:r w:rsidR="003E7480" w:rsidRPr="00C32070">
        <w:rPr>
          <w:spacing w:val="-1"/>
        </w:rPr>
        <w:t>UNDP</w:t>
      </w:r>
      <w:r w:rsidR="00C83C28" w:rsidRPr="00C32070">
        <w:rPr>
          <w:spacing w:val="-1"/>
        </w:rPr>
        <w:t>)</w:t>
      </w:r>
      <w:r w:rsidR="003E7480" w:rsidRPr="00C32070">
        <w:rPr>
          <w:spacing w:val="-1"/>
          <w:rtl/>
        </w:rPr>
        <w:t xml:space="preserve"> في سبتمبر </w:t>
      </w:r>
      <w:r w:rsidR="003E7480" w:rsidRPr="00C32070">
        <w:rPr>
          <w:spacing w:val="-1"/>
        </w:rPr>
        <w:t>2023</w:t>
      </w:r>
      <w:r w:rsidR="003E7480" w:rsidRPr="00C32070">
        <w:rPr>
          <w:spacing w:val="-1"/>
          <w:rtl/>
        </w:rPr>
        <w:t xml:space="preserve"> أن الحلول الرقمية التي تغير قواعد اللعبة مثل الذكاء الاصطناعي يمكن أن تساهم بشكل مباشر في تحقيق </w:t>
      </w:r>
      <w:r w:rsidR="003E7480" w:rsidRPr="00C32070">
        <w:rPr>
          <w:spacing w:val="-1"/>
        </w:rPr>
        <w:t>70</w:t>
      </w:r>
      <w:r w:rsidR="003E7480" w:rsidRPr="00C32070">
        <w:rPr>
          <w:spacing w:val="-1"/>
          <w:rtl/>
        </w:rPr>
        <w:t xml:space="preserve"> </w:t>
      </w:r>
      <w:r w:rsidR="00C83C28" w:rsidRPr="00C32070">
        <w:rPr>
          <w:spacing w:val="-1"/>
          <w:rtl/>
        </w:rPr>
        <w:t xml:space="preserve">في </w:t>
      </w:r>
      <w:proofErr w:type="gramStart"/>
      <w:r w:rsidR="00C83C28" w:rsidRPr="00C32070">
        <w:rPr>
          <w:spacing w:val="-1"/>
          <w:rtl/>
        </w:rPr>
        <w:t>المائة</w:t>
      </w:r>
      <w:proofErr w:type="gramEnd"/>
      <w:r w:rsidR="003E7480" w:rsidRPr="00C32070">
        <w:rPr>
          <w:spacing w:val="-1"/>
          <w:rtl/>
        </w:rPr>
        <w:t xml:space="preserve"> من الغايات </w:t>
      </w:r>
      <w:r w:rsidR="00C83C28" w:rsidRPr="00C32070">
        <w:rPr>
          <w:spacing w:val="-1"/>
          <w:rtl/>
        </w:rPr>
        <w:t>في إطار</w:t>
      </w:r>
      <w:r w:rsidR="003E7480" w:rsidRPr="00C32070">
        <w:rPr>
          <w:spacing w:val="-1"/>
          <w:rtl/>
        </w:rPr>
        <w:t xml:space="preserve"> أهداف التنمية المستدامة السبعة عشر</w:t>
      </w:r>
      <w:r w:rsidR="00BF7FC9" w:rsidRPr="00C32070">
        <w:rPr>
          <w:spacing w:val="-1"/>
          <w:rtl/>
        </w:rPr>
        <w:t>ة</w:t>
      </w:r>
      <w:r w:rsidR="003E7480" w:rsidRPr="00C32070">
        <w:rPr>
          <w:spacing w:val="-1"/>
          <w:rtl/>
        </w:rPr>
        <w:t xml:space="preserve">. ومن خلال منصة الذكاء الاصطناعي </w:t>
      </w:r>
      <w:r w:rsidR="00BF7FC9" w:rsidRPr="00C32070">
        <w:rPr>
          <w:spacing w:val="-1"/>
          <w:rtl/>
        </w:rPr>
        <w:t>للمصلحة</w:t>
      </w:r>
      <w:r w:rsidR="003E7480" w:rsidRPr="00C32070">
        <w:rPr>
          <w:spacing w:val="-1"/>
          <w:rtl/>
        </w:rPr>
        <w:t xml:space="preserve"> العام</w:t>
      </w:r>
      <w:r w:rsidR="00BF7FC9" w:rsidRPr="00C32070">
        <w:rPr>
          <w:spacing w:val="-1"/>
          <w:rtl/>
        </w:rPr>
        <w:t>ة</w:t>
      </w:r>
      <w:r w:rsidR="003E7480" w:rsidRPr="00C32070">
        <w:rPr>
          <w:spacing w:val="-1"/>
          <w:rtl/>
        </w:rPr>
        <w:t xml:space="preserve"> ومبادرات حوكمة الذكاء الاصطناعي، كثف ال</w:t>
      </w:r>
      <w:r w:rsidR="00C50E6E" w:rsidRPr="00C32070">
        <w:rPr>
          <w:spacing w:val="-1"/>
          <w:rtl/>
        </w:rPr>
        <w:t>اتحاد</w:t>
      </w:r>
      <w:r w:rsidR="003E7480" w:rsidRPr="00C32070">
        <w:rPr>
          <w:spacing w:val="-1"/>
          <w:rtl/>
        </w:rPr>
        <w:t xml:space="preserve"> جهوده لضمان تطوير الذكاء الاصطناعي ونشره </w:t>
      </w:r>
      <w:r w:rsidR="00C83C28" w:rsidRPr="00C32070">
        <w:rPr>
          <w:spacing w:val="-1"/>
          <w:rtl/>
        </w:rPr>
        <w:t>بطريقة</w:t>
      </w:r>
      <w:r w:rsidR="003E7480" w:rsidRPr="00C32070">
        <w:rPr>
          <w:spacing w:val="-1"/>
          <w:rtl/>
        </w:rPr>
        <w:t xml:space="preserve"> مسؤول</w:t>
      </w:r>
      <w:r w:rsidR="00C83C28" w:rsidRPr="00C32070">
        <w:rPr>
          <w:spacing w:val="-1"/>
          <w:rtl/>
        </w:rPr>
        <w:t>ة</w:t>
      </w:r>
      <w:r w:rsidR="003E7480" w:rsidRPr="00C32070">
        <w:rPr>
          <w:spacing w:val="-1"/>
          <w:rtl/>
        </w:rPr>
        <w:t xml:space="preserve"> دون </w:t>
      </w:r>
      <w:r w:rsidR="00C83C28" w:rsidRPr="00C32070">
        <w:rPr>
          <w:spacing w:val="-1"/>
          <w:rtl/>
        </w:rPr>
        <w:t>كبح</w:t>
      </w:r>
      <w:r w:rsidR="003E7480" w:rsidRPr="00C32070">
        <w:rPr>
          <w:spacing w:val="-1"/>
          <w:rtl/>
        </w:rPr>
        <w:t xml:space="preserve"> الابتكار. </w:t>
      </w:r>
      <w:r w:rsidR="00C83C28" w:rsidRPr="00C32070">
        <w:rPr>
          <w:spacing w:val="-1"/>
          <w:rtl/>
        </w:rPr>
        <w:t>وتعتبر</w:t>
      </w:r>
      <w:r w:rsidR="003E7480" w:rsidRPr="00C32070">
        <w:rPr>
          <w:spacing w:val="-1"/>
          <w:rtl/>
        </w:rPr>
        <w:t xml:space="preserve"> المعايير التقنية وبناء القدرات حجر الزاوية لمستقبل رقمي شامل</w:t>
      </w:r>
      <w:r w:rsidR="00C83C28" w:rsidRPr="00C32070">
        <w:rPr>
          <w:spacing w:val="-1"/>
          <w:rtl/>
        </w:rPr>
        <w:t xml:space="preserve"> للجميع</w:t>
      </w:r>
      <w:r w:rsidR="003E7480" w:rsidRPr="00C32070">
        <w:rPr>
          <w:spacing w:val="-1"/>
          <w:rtl/>
        </w:rPr>
        <w:t xml:space="preserve">، حيث تعمل التكنولوجيات الناشئة على تمكين الجميع، وليس مجرد قلة </w:t>
      </w:r>
      <w:r w:rsidR="00BF7FC9" w:rsidRPr="00C32070">
        <w:rPr>
          <w:spacing w:val="-1"/>
          <w:rtl/>
        </w:rPr>
        <w:t>ذات حظوة</w:t>
      </w:r>
      <w:r w:rsidR="003E7480" w:rsidRPr="00C32070">
        <w:rPr>
          <w:spacing w:val="-1"/>
          <w:rtl/>
        </w:rPr>
        <w:t>.</w:t>
      </w:r>
    </w:p>
    <w:p w14:paraId="6CEB3A1E" w14:textId="6F0ACF3C" w:rsidR="00987B84" w:rsidRPr="00C32070" w:rsidRDefault="00987B84" w:rsidP="002F5E41">
      <w:pPr>
        <w:pStyle w:val="enumlev1"/>
        <w:rPr>
          <w:bCs/>
          <w:rtl/>
          <w:lang w:val="en-GB"/>
        </w:rPr>
      </w:pPr>
      <w:r w:rsidRPr="00C32070">
        <w:rPr>
          <w:bCs/>
          <w:rtl/>
          <w:lang w:val="en-GB"/>
        </w:rPr>
        <w:t>6</w:t>
      </w:r>
      <w:r w:rsidRPr="00C32070">
        <w:rPr>
          <w:b/>
          <w:lang w:val="en-GB"/>
        </w:rPr>
        <w:tab/>
      </w:r>
      <w:r w:rsidR="003E7480" w:rsidRPr="00C32070">
        <w:rPr>
          <w:b/>
          <w:bCs/>
          <w:rtl/>
        </w:rPr>
        <w:t>تعزيز المشاركة في عمليات الأمم المتحدة وخارجها.</w:t>
      </w:r>
      <w:r w:rsidR="003E7480" w:rsidRPr="00C32070">
        <w:rPr>
          <w:rtl/>
        </w:rPr>
        <w:t xml:space="preserve"> شارك الاتحاد بنشاط</w:t>
      </w:r>
      <w:r w:rsidR="00325748" w:rsidRPr="00C32070">
        <w:rPr>
          <w:rtl/>
        </w:rPr>
        <w:t xml:space="preserve">، طوال عام </w:t>
      </w:r>
      <w:r w:rsidR="00325748" w:rsidRPr="00C32070">
        <w:t>2023</w:t>
      </w:r>
      <w:r w:rsidR="00325748" w:rsidRPr="00C32070">
        <w:rPr>
          <w:rtl/>
        </w:rPr>
        <w:t xml:space="preserve">، </w:t>
      </w:r>
      <w:r w:rsidR="003E7480" w:rsidRPr="00C32070">
        <w:rPr>
          <w:rtl/>
        </w:rPr>
        <w:t xml:space="preserve">في عمليات الأمم المتحدة الرئيسية - بدءاً من برنامج عمل الدوحة لصالح أقل البلدان نمواً وحتى مناقشات الاتفاق الرقمي العالمي الجارية. وقد أسفرت هذه المشاركة القوية عن مبادرات تاريخية مع وكالات الأمم المتحدة الشقيقة، مثل مبادرة </w:t>
      </w:r>
      <w:r w:rsidR="00325748" w:rsidRPr="00C32070">
        <w:rPr>
          <w:rtl/>
        </w:rPr>
        <w:t>الإنذار</w:t>
      </w:r>
      <w:r w:rsidR="003E7480" w:rsidRPr="00C32070">
        <w:rPr>
          <w:rtl/>
        </w:rPr>
        <w:t xml:space="preserve"> المبكر للجميع، ومبادرة </w:t>
      </w:r>
      <w:r w:rsidR="00325748" w:rsidRPr="00C32070">
        <w:rPr>
          <w:rtl/>
        </w:rPr>
        <w:t>التوصيلية</w:t>
      </w:r>
      <w:r w:rsidR="003E7480" w:rsidRPr="00C32070">
        <w:rPr>
          <w:rtl/>
        </w:rPr>
        <w:t xml:space="preserve"> من أجل اللاجئين، والمبادرة العالمية للذكاء الاصطناعي من أجل الصحة. </w:t>
      </w:r>
      <w:r w:rsidR="00325748" w:rsidRPr="00C32070">
        <w:rPr>
          <w:rtl/>
        </w:rPr>
        <w:t xml:space="preserve">كما عمل </w:t>
      </w:r>
      <w:r w:rsidR="00325748" w:rsidRPr="00C32070">
        <w:rPr>
          <w:rtl/>
        </w:rPr>
        <w:lastRenderedPageBreak/>
        <w:t xml:space="preserve">الاتحاد خلال اجتماع </w:t>
      </w:r>
      <w:r w:rsidR="003E7480" w:rsidRPr="00C32070">
        <w:rPr>
          <w:rtl/>
        </w:rPr>
        <w:t xml:space="preserve">مجموعة العشرين في العام الماضي </w:t>
      </w:r>
      <w:r w:rsidR="00325748" w:rsidRPr="00C32070">
        <w:rPr>
          <w:rtl/>
        </w:rPr>
        <w:t>ك</w:t>
      </w:r>
      <w:r w:rsidR="003E7480" w:rsidRPr="00C32070">
        <w:rPr>
          <w:rtl/>
        </w:rPr>
        <w:t>شريك</w:t>
      </w:r>
      <w:r w:rsidR="00325748" w:rsidRPr="00C32070">
        <w:rPr>
          <w:rtl/>
        </w:rPr>
        <w:t xml:space="preserve"> </w:t>
      </w:r>
      <w:r w:rsidR="005B06BB" w:rsidRPr="00C32070">
        <w:rPr>
          <w:rtl/>
        </w:rPr>
        <w:t xml:space="preserve">معرفي </w:t>
      </w:r>
      <w:r w:rsidR="003E7480" w:rsidRPr="00C32070">
        <w:rPr>
          <w:rtl/>
        </w:rPr>
        <w:t>في مساري التنمية والاقتصاد الرقمي و</w:t>
      </w:r>
      <w:r w:rsidR="00325748" w:rsidRPr="00C32070">
        <w:rPr>
          <w:rtl/>
        </w:rPr>
        <w:t>شارك بنشاط</w:t>
      </w:r>
      <w:r w:rsidR="003E7480" w:rsidRPr="00C32070">
        <w:rPr>
          <w:rtl/>
        </w:rPr>
        <w:t xml:space="preserve"> في مسار اقتصاد الفضاء.</w:t>
      </w:r>
    </w:p>
    <w:p w14:paraId="1721838B" w14:textId="5FDD189A" w:rsidR="00987B84" w:rsidRPr="00C32070" w:rsidRDefault="00987B84" w:rsidP="002F5E41">
      <w:pPr>
        <w:pStyle w:val="enumlev1"/>
        <w:rPr>
          <w:bCs/>
          <w:rtl/>
          <w:lang w:val="en-GB"/>
        </w:rPr>
      </w:pPr>
      <w:r w:rsidRPr="00C32070">
        <w:rPr>
          <w:bCs/>
          <w:rtl/>
          <w:lang w:val="en-GB"/>
        </w:rPr>
        <w:t>7</w:t>
      </w:r>
      <w:r w:rsidRPr="00C32070">
        <w:rPr>
          <w:b/>
          <w:lang w:val="en-GB"/>
        </w:rPr>
        <w:tab/>
      </w:r>
      <w:r w:rsidR="003E7480" w:rsidRPr="00C32070">
        <w:rPr>
          <w:b/>
          <w:bCs/>
          <w:rtl/>
        </w:rPr>
        <w:t xml:space="preserve">إطلاق عنان قوة الشراكات. </w:t>
      </w:r>
      <w:r w:rsidR="00325748" w:rsidRPr="00C32070">
        <w:rPr>
          <w:rtl/>
        </w:rPr>
        <w:t>يُع</w:t>
      </w:r>
      <w:r w:rsidR="003E7480" w:rsidRPr="00C32070">
        <w:rPr>
          <w:rtl/>
        </w:rPr>
        <w:t xml:space="preserve">د مستوى الالتزام الذي شهدناه في عام </w:t>
      </w:r>
      <w:r w:rsidR="003E7480" w:rsidRPr="00C32070">
        <w:t>2023</w:t>
      </w:r>
      <w:r w:rsidR="003E7480" w:rsidRPr="00C32070">
        <w:rPr>
          <w:rtl/>
        </w:rPr>
        <w:t xml:space="preserve"> تجاه </w:t>
      </w:r>
      <w:r w:rsidR="00BC1653" w:rsidRPr="00C32070">
        <w:rPr>
          <w:rtl/>
        </w:rPr>
        <w:t xml:space="preserve">الائتلاف </w:t>
      </w:r>
      <w:r w:rsidR="00325748" w:rsidRPr="00C32070">
        <w:rPr>
          <w:rtl/>
        </w:rPr>
        <w:t>الرقمي</w:t>
      </w:r>
      <w:r w:rsidR="003E7480" w:rsidRPr="00C32070">
        <w:rPr>
          <w:rtl/>
        </w:rPr>
        <w:t xml:space="preserve"> </w:t>
      </w:r>
      <w:r w:rsidR="003E7480" w:rsidRPr="00C32070">
        <w:t>Partner2Connect</w:t>
      </w:r>
      <w:r w:rsidR="003E7480" w:rsidRPr="00C32070">
        <w:rPr>
          <w:rtl/>
        </w:rPr>
        <w:t xml:space="preserve"> و</w:t>
      </w:r>
      <w:r w:rsidR="003E7480" w:rsidRPr="00C32070">
        <w:t>Giga</w:t>
      </w:r>
      <w:r w:rsidR="003E7480" w:rsidRPr="00C32070">
        <w:rPr>
          <w:rtl/>
        </w:rPr>
        <w:t xml:space="preserve"> وغيرها من الشراكات الرئيسية </w:t>
      </w:r>
      <w:r w:rsidR="00325748" w:rsidRPr="00C32070">
        <w:rPr>
          <w:rtl/>
        </w:rPr>
        <w:t xml:space="preserve">متعددة </w:t>
      </w:r>
      <w:r w:rsidR="003E7480" w:rsidRPr="00C32070">
        <w:rPr>
          <w:rtl/>
        </w:rPr>
        <w:t xml:space="preserve">أصحاب المصلحة جزءاً </w:t>
      </w:r>
      <w:r w:rsidR="00BC1653" w:rsidRPr="00C32070">
        <w:rPr>
          <w:rtl/>
        </w:rPr>
        <w:t>أساسياً</w:t>
      </w:r>
      <w:r w:rsidR="003E7480" w:rsidRPr="00C32070">
        <w:rPr>
          <w:rtl/>
        </w:rPr>
        <w:t xml:space="preserve"> من الخطة ال</w:t>
      </w:r>
      <w:r w:rsidR="00325748" w:rsidRPr="00C32070">
        <w:rPr>
          <w:rtl/>
        </w:rPr>
        <w:t>ا</w:t>
      </w:r>
      <w:r w:rsidR="003E7480" w:rsidRPr="00C32070">
        <w:rPr>
          <w:rtl/>
        </w:rPr>
        <w:t xml:space="preserve">ستراتيجية للاتحاد. وتقربنا هذه الشراكات من تحقيق </w:t>
      </w:r>
      <w:r w:rsidR="00325748" w:rsidRPr="00C32070">
        <w:rPr>
          <w:rtl/>
        </w:rPr>
        <w:t>التوصيلية</w:t>
      </w:r>
      <w:r w:rsidR="003E7480" w:rsidRPr="00C32070">
        <w:rPr>
          <w:rtl/>
        </w:rPr>
        <w:t xml:space="preserve"> الشامل</w:t>
      </w:r>
      <w:r w:rsidR="00325748" w:rsidRPr="00C32070">
        <w:rPr>
          <w:rtl/>
        </w:rPr>
        <w:t>ة</w:t>
      </w:r>
      <w:r w:rsidR="003E7480" w:rsidRPr="00C32070">
        <w:rPr>
          <w:rtl/>
        </w:rPr>
        <w:t xml:space="preserve"> والتحول الرقمي المستدام وتعطي الأمل للملايين الذين ما زالوا يجدون أنفسهم على الجانب الخطأ من الفجوة الرقمية.</w:t>
      </w:r>
    </w:p>
    <w:p w14:paraId="3BDE627E" w14:textId="41FF8A93" w:rsidR="003E7480" w:rsidRPr="00C32070" w:rsidRDefault="00325748" w:rsidP="003E6D9E">
      <w:pPr>
        <w:rPr>
          <w:lang w:bidi="ar-EG"/>
        </w:rPr>
      </w:pPr>
      <w:r w:rsidRPr="00C32070">
        <w:rPr>
          <w:rtl/>
          <w:lang w:bidi="ar-EG"/>
        </w:rPr>
        <w:t>و</w:t>
      </w:r>
      <w:r w:rsidR="003E7480" w:rsidRPr="00C32070">
        <w:rPr>
          <w:rtl/>
          <w:lang w:bidi="ar-EG"/>
        </w:rPr>
        <w:t xml:space="preserve">إذا كان عام </w:t>
      </w:r>
      <w:r w:rsidR="003E7480" w:rsidRPr="00C32070">
        <w:rPr>
          <w:lang w:bidi="ar-EG"/>
        </w:rPr>
        <w:t>2023</w:t>
      </w:r>
      <w:r w:rsidR="003E7480" w:rsidRPr="00C32070">
        <w:rPr>
          <w:rtl/>
          <w:lang w:bidi="ar-EG"/>
        </w:rPr>
        <w:t xml:space="preserve"> هو العام الذي صعدت فيه التكنولوجيا الرقمية إلى قمة جدول الأعمال العالمي، فقد يكون عام </w:t>
      </w:r>
      <w:r w:rsidR="003E7480" w:rsidRPr="00C32070">
        <w:rPr>
          <w:lang w:bidi="ar-EG"/>
        </w:rPr>
        <w:t>2024</w:t>
      </w:r>
      <w:r w:rsidR="003E7480" w:rsidRPr="00C32070">
        <w:rPr>
          <w:rtl/>
          <w:lang w:bidi="ar-EG"/>
        </w:rPr>
        <w:t xml:space="preserve"> هو العام الذي تهيمن فيه التكنولوجيا الرقمية على جدول الأعمال - حيث تقدم قمة الأمم المتحدة للمستقبل فرصة لا تتكرر إلا مر</w:t>
      </w:r>
      <w:r w:rsidR="00585FE5" w:rsidRPr="00C32070">
        <w:rPr>
          <w:rtl/>
          <w:lang w:bidi="ar-EG"/>
        </w:rPr>
        <w:t xml:space="preserve">ةً </w:t>
      </w:r>
      <w:r w:rsidR="003E7480" w:rsidRPr="00C32070">
        <w:rPr>
          <w:rtl/>
          <w:lang w:bidi="ar-EG"/>
        </w:rPr>
        <w:t xml:space="preserve">واحدة في كل جيل لخلق مستقبل رقمي </w:t>
      </w:r>
      <w:r w:rsidRPr="00C32070">
        <w:rPr>
          <w:rtl/>
          <w:lang w:bidi="ar-EG"/>
        </w:rPr>
        <w:t>أكثر شمولاً وأمناً</w:t>
      </w:r>
      <w:r w:rsidR="003E7480" w:rsidRPr="00C32070">
        <w:rPr>
          <w:rtl/>
          <w:lang w:bidi="ar-EG"/>
        </w:rPr>
        <w:t xml:space="preserve"> و</w:t>
      </w:r>
      <w:r w:rsidRPr="00C32070">
        <w:rPr>
          <w:rtl/>
          <w:lang w:bidi="ar-EG"/>
        </w:rPr>
        <w:t>استدامة</w:t>
      </w:r>
      <w:r w:rsidR="003E7480" w:rsidRPr="00C32070">
        <w:rPr>
          <w:rtl/>
          <w:lang w:bidi="ar-EG"/>
        </w:rPr>
        <w:t xml:space="preserve"> للجميع.</w:t>
      </w:r>
    </w:p>
    <w:p w14:paraId="53A51D91" w14:textId="4F4EF8BE" w:rsidR="00987B84" w:rsidRPr="00C32070" w:rsidRDefault="00325748" w:rsidP="003E6D9E">
      <w:pPr>
        <w:rPr>
          <w:rtl/>
          <w:lang w:bidi="ar-EG"/>
        </w:rPr>
      </w:pPr>
      <w:r w:rsidRPr="00C32070">
        <w:rPr>
          <w:rtl/>
          <w:lang w:bidi="ar-EG"/>
        </w:rPr>
        <w:t>و</w:t>
      </w:r>
      <w:r w:rsidR="003E7480" w:rsidRPr="00C32070">
        <w:rPr>
          <w:rtl/>
          <w:lang w:bidi="ar-EG"/>
        </w:rPr>
        <w:t>ستجد</w:t>
      </w:r>
      <w:r w:rsidRPr="00C32070">
        <w:rPr>
          <w:rtl/>
          <w:lang w:bidi="ar-EG"/>
        </w:rPr>
        <w:t>ون</w:t>
      </w:r>
      <w:r w:rsidR="003E7480" w:rsidRPr="00C32070">
        <w:rPr>
          <w:rtl/>
          <w:lang w:bidi="ar-EG"/>
        </w:rPr>
        <w:t xml:space="preserve"> أدناه التحليل الوارد في تقرير الإدارة المالية للاتحاد لعام </w:t>
      </w:r>
      <w:r w:rsidR="003E7480" w:rsidRPr="00C32070">
        <w:rPr>
          <w:lang w:bidi="ar-EG"/>
        </w:rPr>
        <w:t>2023</w:t>
      </w:r>
      <w:r w:rsidR="003E7480" w:rsidRPr="00C32070">
        <w:rPr>
          <w:rtl/>
          <w:lang w:bidi="ar-EG"/>
        </w:rPr>
        <w:t xml:space="preserve">. وسيوفر تقرير الاتحاد القادم بشأن تنفيذ الخطة الاستراتيجية للاتحاد وأنشطته (الوثيقة </w:t>
      </w:r>
      <w:hyperlink r:id="rId14" w:history="1">
        <w:r w:rsidR="003E7480" w:rsidRPr="00434B05">
          <w:rPr>
            <w:rStyle w:val="Hyperlink"/>
            <w:lang w:bidi="ar-EG"/>
          </w:rPr>
          <w:t>C24/35</w:t>
        </w:r>
      </w:hyperlink>
      <w:r w:rsidR="003E7480" w:rsidRPr="00C32070">
        <w:rPr>
          <w:rtl/>
          <w:lang w:bidi="ar-EG"/>
        </w:rPr>
        <w:t xml:space="preserve">) المزيد من التفاصيل التشغيلية، </w:t>
      </w:r>
      <w:r w:rsidRPr="00C32070">
        <w:rPr>
          <w:rtl/>
          <w:lang w:bidi="ar-EG"/>
        </w:rPr>
        <w:t>ب</w:t>
      </w:r>
      <w:r w:rsidR="003E7480" w:rsidRPr="00C32070">
        <w:rPr>
          <w:rtl/>
          <w:lang w:bidi="ar-EG"/>
        </w:rPr>
        <w:t xml:space="preserve">ما </w:t>
      </w:r>
      <w:r w:rsidR="00BC1653" w:rsidRPr="00C32070">
        <w:rPr>
          <w:rtl/>
          <w:lang w:bidi="ar-EG"/>
        </w:rPr>
        <w:t xml:space="preserve">يعبِّر عن </w:t>
      </w:r>
      <w:r w:rsidR="003E7480" w:rsidRPr="00C32070">
        <w:rPr>
          <w:rtl/>
          <w:lang w:bidi="ar-EG"/>
        </w:rPr>
        <w:t>التزام المنظمة الثابت برؤى تعتمد على البيانات واستراتيجيات موجهة نحو النتائج.</w:t>
      </w:r>
    </w:p>
    <w:p w14:paraId="07EF01E1" w14:textId="3F94095A" w:rsidR="00C24881" w:rsidRPr="00C32070" w:rsidRDefault="00C24881" w:rsidP="00A75188">
      <w:pPr>
        <w:tabs>
          <w:tab w:val="clear" w:pos="794"/>
        </w:tabs>
        <w:spacing w:before="0" w:after="160" w:line="259" w:lineRule="auto"/>
        <w:jc w:val="left"/>
        <w:rPr>
          <w:rtl/>
          <w:lang w:bidi="ar-EG"/>
        </w:rPr>
      </w:pPr>
      <w:r w:rsidRPr="00C32070">
        <w:rPr>
          <w:rtl/>
          <w:lang w:bidi="ar-EG"/>
        </w:rPr>
        <w:br w:type="page"/>
      </w:r>
    </w:p>
    <w:p w14:paraId="2D75A43E" w14:textId="2FA68A81" w:rsidR="00A57BC8" w:rsidRPr="00C32070" w:rsidRDefault="00A57BC8" w:rsidP="00A57BC8">
      <w:pPr>
        <w:pStyle w:val="Heading1"/>
        <w:rPr>
          <w:rtl/>
        </w:rPr>
      </w:pPr>
      <w:bookmarkStart w:id="3" w:name="_Toc168329260"/>
      <w:bookmarkStart w:id="4" w:name="_Toc168329302"/>
      <w:bookmarkStart w:id="5" w:name="_Toc168657540"/>
      <w:r w:rsidRPr="00C32070">
        <w:rPr>
          <w:rtl/>
        </w:rPr>
        <w:lastRenderedPageBreak/>
        <w:t>مقدمة</w:t>
      </w:r>
      <w:bookmarkEnd w:id="3"/>
      <w:bookmarkEnd w:id="4"/>
      <w:bookmarkEnd w:id="5"/>
    </w:p>
    <w:p w14:paraId="152AADE0" w14:textId="269B958F" w:rsidR="00A57BC8" w:rsidRPr="00C32070" w:rsidRDefault="00A57BC8" w:rsidP="003E6D9E">
      <w:pPr>
        <w:rPr>
          <w:lang w:bidi="ar-EG"/>
        </w:rPr>
      </w:pPr>
      <w:r w:rsidRPr="00C32070">
        <w:rPr>
          <w:lang w:bidi="ar-EG"/>
        </w:rPr>
        <w:t>1</w:t>
      </w:r>
      <w:r w:rsidRPr="00C32070">
        <w:rPr>
          <w:lang w:bidi="ar-EG"/>
        </w:rPr>
        <w:tab/>
      </w:r>
      <w:r w:rsidRPr="00C32070">
        <w:rPr>
          <w:rtl/>
          <w:lang w:bidi="ar-SY"/>
        </w:rPr>
        <w:t xml:space="preserve">تقدَّم البيانات المالية وتقرير الإدارة المالية للسنة المنتهية في </w:t>
      </w:r>
      <w:r w:rsidR="00A03A9F" w:rsidRPr="00C32070">
        <w:rPr>
          <w:lang w:bidi="ar-SY"/>
        </w:rPr>
        <w:t>31</w:t>
      </w:r>
      <w:r w:rsidRPr="00C32070">
        <w:rPr>
          <w:rtl/>
          <w:lang w:bidi="ar-SY"/>
        </w:rPr>
        <w:t xml:space="preserve"> ديسمبر </w:t>
      </w:r>
      <w:r w:rsidRPr="00C32070">
        <w:rPr>
          <w:lang w:bidi="ar-SY"/>
        </w:rPr>
        <w:t>2023</w:t>
      </w:r>
      <w:r w:rsidRPr="00C32070">
        <w:rPr>
          <w:rtl/>
          <w:lang w:bidi="ar-SY"/>
        </w:rPr>
        <w:t xml:space="preserve"> وفقاً للمادة </w:t>
      </w:r>
      <w:r w:rsidR="00A03A9F" w:rsidRPr="00C32070">
        <w:rPr>
          <w:lang w:bidi="ar-SY"/>
        </w:rPr>
        <w:t>30</w:t>
      </w:r>
      <w:r w:rsidRPr="00C32070">
        <w:rPr>
          <w:rtl/>
          <w:lang w:bidi="ar-SY"/>
        </w:rPr>
        <w:t xml:space="preserve"> من اللوائح المالية للاتحاد – طبعة عام </w:t>
      </w:r>
      <w:r w:rsidR="00A03A9F" w:rsidRPr="00C32070">
        <w:rPr>
          <w:lang w:bidi="ar-SY"/>
        </w:rPr>
        <w:t>2018</w:t>
      </w:r>
      <w:r w:rsidRPr="00C32070">
        <w:rPr>
          <w:rtl/>
          <w:lang w:bidi="ar-SY"/>
        </w:rPr>
        <w:t>.</w:t>
      </w:r>
    </w:p>
    <w:p w14:paraId="215D2B91" w14:textId="35063290" w:rsidR="00A57BC8" w:rsidRPr="00C32070" w:rsidRDefault="00A57BC8" w:rsidP="003E6D9E">
      <w:pPr>
        <w:rPr>
          <w:lang w:bidi="ar-EG"/>
        </w:rPr>
      </w:pPr>
      <w:r w:rsidRPr="00C32070">
        <w:rPr>
          <w:lang w:bidi="ar-EG"/>
        </w:rPr>
        <w:t>2</w:t>
      </w:r>
      <w:r w:rsidRPr="00C32070">
        <w:rPr>
          <w:lang w:bidi="ar-EG"/>
        </w:rPr>
        <w:tab/>
      </w:r>
      <w:r w:rsidR="00A03A9F" w:rsidRPr="00C32070">
        <w:rPr>
          <w:rtl/>
          <w:lang w:bidi="ar-EG"/>
        </w:rPr>
        <w:t>و</w:t>
      </w:r>
      <w:r w:rsidRPr="00C32070">
        <w:rPr>
          <w:rtl/>
          <w:lang w:bidi="ar-SY"/>
        </w:rPr>
        <w:t>تُعد البيانات المالية وفقاً للمعايير المحاسبية الدولية للقطاع العام (</w:t>
      </w:r>
      <w:r w:rsidRPr="00C32070">
        <w:rPr>
          <w:lang w:bidi="ar-EG"/>
        </w:rPr>
        <w:t>IPSAS</w:t>
      </w:r>
      <w:r w:rsidRPr="00C32070">
        <w:rPr>
          <w:rtl/>
          <w:lang w:bidi="ar-SY"/>
        </w:rPr>
        <w:t xml:space="preserve">) وتغطي جميع عمليات المنظمة، بما في ذلك العمليات الممولة من الميزانية العادية والإيرادات من خارج الميزانية ومن التشغيل </w:t>
      </w:r>
      <w:r w:rsidR="00B60F20" w:rsidRPr="00C32070">
        <w:rPr>
          <w:rtl/>
          <w:lang w:bidi="ar-SY"/>
        </w:rPr>
        <w:t>والاستثمارات المالية</w:t>
      </w:r>
      <w:r w:rsidRPr="00C32070">
        <w:rPr>
          <w:rtl/>
          <w:lang w:bidi="ar-SY"/>
        </w:rPr>
        <w:t>.</w:t>
      </w:r>
    </w:p>
    <w:p w14:paraId="0E5D0E34" w14:textId="49CE81E6" w:rsidR="00A57BC8" w:rsidRPr="00C32070" w:rsidRDefault="00A57BC8" w:rsidP="00A57BC8">
      <w:pPr>
        <w:pStyle w:val="enumlev1"/>
        <w:rPr>
          <w:rtl/>
        </w:rPr>
      </w:pPr>
      <w:r w:rsidRPr="00C32070">
        <w:rPr>
          <w:rtl/>
        </w:rPr>
        <w:t xml:space="preserve"> </w:t>
      </w:r>
      <w:proofErr w:type="gramStart"/>
      <w:r w:rsidRPr="00C32070">
        <w:rPr>
          <w:rtl/>
        </w:rPr>
        <w:t>أ )</w:t>
      </w:r>
      <w:proofErr w:type="gramEnd"/>
      <w:r w:rsidRPr="00C32070">
        <w:rPr>
          <w:rtl/>
        </w:rPr>
        <w:tab/>
        <w:t xml:space="preserve">تحدد اللوائح المالية فترة مالية </w:t>
      </w:r>
      <w:r w:rsidR="001E6AC7" w:rsidRPr="00C32070">
        <w:rPr>
          <w:rtl/>
        </w:rPr>
        <w:t xml:space="preserve">لمدة </w:t>
      </w:r>
      <w:r w:rsidRPr="00C32070">
        <w:rPr>
          <w:rtl/>
        </w:rPr>
        <w:t>سنتين؛ ومع ذلك، وفقاً للمعايير المحاسبية الدولية للقطاع العام (</w:t>
      </w:r>
      <w:r w:rsidRPr="00C32070">
        <w:t>IPSAS</w:t>
      </w:r>
      <w:r w:rsidRPr="00C32070">
        <w:rPr>
          <w:rtl/>
        </w:rPr>
        <w:t>)، يُتطلب عرض البيانات المالية السنوية. وتُعد ميزانية الاتحاد لفترة السنتين في إطار ميزانية قائمة على النتائج، ويشمل نطاقها ما يلي:</w:t>
      </w:r>
    </w:p>
    <w:p w14:paraId="22F6A108" w14:textId="0FAF3519" w:rsidR="00A57BC8" w:rsidRPr="00C32070" w:rsidRDefault="00A57BC8" w:rsidP="00A57BC8">
      <w:pPr>
        <w:pStyle w:val="enumlev2"/>
        <w:rPr>
          <w:rtl/>
          <w:lang w:bidi="ar-SY"/>
        </w:rPr>
      </w:pPr>
      <w:r w:rsidRPr="00C32070">
        <w:rPr>
          <w:rtl/>
          <w:lang w:bidi="ar-SY"/>
        </w:rPr>
        <w:t>’1‘</w:t>
      </w:r>
      <w:r w:rsidRPr="00C32070">
        <w:rPr>
          <w:rtl/>
          <w:lang w:bidi="ar-SY"/>
        </w:rPr>
        <w:tab/>
        <w:t>الميزانية العادية</w:t>
      </w:r>
      <w:r w:rsidR="00A03A9F" w:rsidRPr="00C32070">
        <w:rPr>
          <w:rtl/>
          <w:lang w:bidi="ar-SY"/>
        </w:rPr>
        <w:t>، والتي تشمل</w:t>
      </w:r>
      <w:r w:rsidRPr="00C32070">
        <w:rPr>
          <w:rtl/>
          <w:lang w:bidi="ar-SY"/>
        </w:rPr>
        <w:t xml:space="preserve"> مساهمات الدول الأعضاء وكذلك مساهمات أعضاء القطاعات والمنتسبين</w:t>
      </w:r>
      <w:r w:rsidR="00A03A9F" w:rsidRPr="00C32070">
        <w:rPr>
          <w:rtl/>
          <w:lang w:bidi="ar-SY"/>
        </w:rPr>
        <w:t xml:space="preserve"> والهيئات الأكاديمية</w:t>
      </w:r>
      <w:r w:rsidRPr="00C32070">
        <w:rPr>
          <w:rtl/>
          <w:lang w:bidi="ar-SY"/>
        </w:rPr>
        <w:t>؛</w:t>
      </w:r>
    </w:p>
    <w:p w14:paraId="04D72470" w14:textId="2F82BC0A" w:rsidR="00A57BC8" w:rsidRPr="00C32070" w:rsidRDefault="00A57BC8" w:rsidP="00A57BC8">
      <w:pPr>
        <w:pStyle w:val="enumlev2"/>
        <w:rPr>
          <w:lang w:bidi="ar-SY"/>
        </w:rPr>
      </w:pPr>
      <w:r w:rsidRPr="00C32070">
        <w:rPr>
          <w:rtl/>
          <w:lang w:bidi="ar-SY"/>
        </w:rPr>
        <w:t>’2‘</w:t>
      </w:r>
      <w:r w:rsidRPr="00C32070">
        <w:rPr>
          <w:rtl/>
          <w:lang w:bidi="ar-SY"/>
        </w:rPr>
        <w:tab/>
      </w:r>
      <w:r w:rsidR="0095572F" w:rsidRPr="00C32070">
        <w:rPr>
          <w:rtl/>
          <w:lang w:bidi="ar-EG"/>
        </w:rPr>
        <w:t>إيرادات التشغيل الأخرى، والتي تشمل</w:t>
      </w:r>
      <w:r w:rsidRPr="00C32070">
        <w:rPr>
          <w:rtl/>
          <w:lang w:bidi="ar-EG"/>
        </w:rPr>
        <w:t xml:space="preserve"> </w:t>
      </w:r>
      <w:r w:rsidRPr="00C32070">
        <w:rPr>
          <w:rtl/>
          <w:lang w:bidi="ar-SY"/>
        </w:rPr>
        <w:t xml:space="preserve">إيرادات استرداد التكاليف (بما في ذلك المنشورات وبطاقات التبليغ عن الشبكات </w:t>
      </w:r>
      <w:proofErr w:type="spellStart"/>
      <w:r w:rsidRPr="00C32070">
        <w:rPr>
          <w:rtl/>
          <w:lang w:bidi="ar-SY"/>
        </w:rPr>
        <w:t>الساتلية</w:t>
      </w:r>
      <w:proofErr w:type="spellEnd"/>
      <w:r w:rsidR="00585FE5" w:rsidRPr="00C32070">
        <w:rPr>
          <w:rtl/>
          <w:lang w:bidi="ar-SY"/>
        </w:rPr>
        <w:t>)</w:t>
      </w:r>
      <w:r w:rsidRPr="00C32070">
        <w:rPr>
          <w:rtl/>
          <w:lang w:bidi="ar-SY"/>
        </w:rPr>
        <w:t xml:space="preserve"> والإيرادات المتأتية من الفوائد والأنشطة الأخرى المدرة للإيرادات؛</w:t>
      </w:r>
    </w:p>
    <w:p w14:paraId="6A8C75F6" w14:textId="4F94CAC9" w:rsidR="00A57BC8" w:rsidRPr="00C32070" w:rsidRDefault="00A57BC8" w:rsidP="00A57BC8">
      <w:pPr>
        <w:pStyle w:val="enumlev2"/>
        <w:rPr>
          <w:rtl/>
          <w:lang w:bidi="ar-SY"/>
        </w:rPr>
      </w:pPr>
      <w:r w:rsidRPr="00C32070">
        <w:rPr>
          <w:rtl/>
          <w:lang w:bidi="ar-SY"/>
        </w:rPr>
        <w:t>’</w:t>
      </w:r>
      <w:r w:rsidRPr="00C32070">
        <w:rPr>
          <w:lang w:bidi="ar-SY"/>
        </w:rPr>
        <w:t>3</w:t>
      </w:r>
      <w:r w:rsidRPr="00C32070">
        <w:rPr>
          <w:rtl/>
          <w:lang w:bidi="ar-SY"/>
        </w:rPr>
        <w:t>‘</w:t>
      </w:r>
      <w:r w:rsidRPr="00C32070">
        <w:rPr>
          <w:rtl/>
          <w:lang w:bidi="ar-SY"/>
        </w:rPr>
        <w:tab/>
        <w:t>السحب، عند الضرورة، من حساب الاحتياطي.</w:t>
      </w:r>
    </w:p>
    <w:p w14:paraId="29965834" w14:textId="10FC5AF3" w:rsidR="00A57BC8" w:rsidRPr="00C32070" w:rsidRDefault="00A57BC8" w:rsidP="001E6AC7">
      <w:pPr>
        <w:pStyle w:val="enumlev1"/>
        <w:rPr>
          <w:rtl/>
        </w:rPr>
      </w:pPr>
      <w:r w:rsidRPr="00C32070">
        <w:rPr>
          <w:rtl/>
        </w:rPr>
        <w:t>ب)</w:t>
      </w:r>
      <w:r w:rsidRPr="00C32070">
        <w:rPr>
          <w:rtl/>
        </w:rPr>
        <w:tab/>
      </w:r>
      <w:r w:rsidR="0095572F" w:rsidRPr="00C32070">
        <w:rPr>
          <w:rtl/>
          <w:lang w:bidi="ar-EG"/>
        </w:rPr>
        <w:t xml:space="preserve">ولا </w:t>
      </w:r>
      <w:r w:rsidR="001E6AC7" w:rsidRPr="00C32070">
        <w:rPr>
          <w:rtl/>
          <w:lang w:bidi="ar-EG"/>
        </w:rPr>
        <w:t>يبلَّغ،</w:t>
      </w:r>
      <w:r w:rsidR="001E6AC7" w:rsidRPr="00C32070">
        <w:rPr>
          <w:rtl/>
          <w:lang w:bidi="ar-SA"/>
        </w:rPr>
        <w:t xml:space="preserve"> في إطار ميزانية الاتحاد،</w:t>
      </w:r>
      <w:r w:rsidR="0095572F" w:rsidRPr="00C32070">
        <w:rPr>
          <w:rtl/>
          <w:lang w:bidi="ar-EG"/>
        </w:rPr>
        <w:t xml:space="preserve"> عن الإيرادات الأخرى،</w:t>
      </w:r>
      <w:r w:rsidRPr="00C32070">
        <w:rPr>
          <w:rtl/>
        </w:rPr>
        <w:t xml:space="preserve"> بما فيها الأموال </w:t>
      </w:r>
      <w:r w:rsidR="009548EB" w:rsidRPr="00C32070">
        <w:rPr>
          <w:rtl/>
        </w:rPr>
        <w:t xml:space="preserve">من </w:t>
      </w:r>
      <w:r w:rsidRPr="00C32070">
        <w:rPr>
          <w:rtl/>
        </w:rPr>
        <w:t>خارج الميزانية.</w:t>
      </w:r>
    </w:p>
    <w:p w14:paraId="07C283B5" w14:textId="7C212E59" w:rsidR="00A57BC8" w:rsidRPr="00C32070" w:rsidRDefault="00A57BC8" w:rsidP="001E6AC7">
      <w:pPr>
        <w:rPr>
          <w:rtl/>
          <w:lang w:bidi="ar-SY"/>
        </w:rPr>
      </w:pPr>
      <w:r w:rsidRPr="00C32070">
        <w:rPr>
          <w:rtl/>
          <w:lang w:bidi="ar-EG"/>
        </w:rPr>
        <w:t>3</w:t>
      </w:r>
      <w:r w:rsidRPr="00C32070">
        <w:rPr>
          <w:lang w:bidi="ar-EG"/>
        </w:rPr>
        <w:tab/>
      </w:r>
      <w:r w:rsidRPr="00C32070">
        <w:rPr>
          <w:rtl/>
          <w:lang w:bidi="ar-EG"/>
        </w:rPr>
        <w:t>والإبلاغ عن البيانات المالية على أساس المعايير المحاسبية الدولية للقطاع العام (</w:t>
      </w:r>
      <w:r w:rsidRPr="00C32070">
        <w:rPr>
          <w:lang w:bidi="ar-EG"/>
        </w:rPr>
        <w:t>IPSAS</w:t>
      </w:r>
      <w:r w:rsidRPr="00C32070">
        <w:rPr>
          <w:rtl/>
          <w:lang w:bidi="ar-EG"/>
        </w:rPr>
        <w:t xml:space="preserve">) </w:t>
      </w:r>
      <w:r w:rsidR="001E6AC7" w:rsidRPr="00C32070">
        <w:rPr>
          <w:rtl/>
          <w:lang w:bidi="ar-EG"/>
        </w:rPr>
        <w:t xml:space="preserve">لا يؤثر </w:t>
      </w:r>
      <w:r w:rsidRPr="00C32070">
        <w:rPr>
          <w:rtl/>
          <w:lang w:bidi="ar-EG"/>
        </w:rPr>
        <w:t>على إعداد ميزانية الاتحاد على أساس النتائج أو الإبلاغ عنها، والتي يستمر عرضها على أساس نقدي معدَّل. ونظراً لاختلاف أساس الميزانية والبيانات المالية، ترد تسوية بين الميزانية وبيان الأداء المالي للمعايير المحاسبية الدولية للقطاع العام في إطار البيان الخامس: بيان المقارنة</w:t>
      </w:r>
      <w:r w:rsidR="00E83CDB" w:rsidRPr="00C32070">
        <w:rPr>
          <w:rtl/>
          <w:lang w:bidi="ar-EG"/>
        </w:rPr>
        <w:t xml:space="preserve"> - </w:t>
      </w:r>
      <w:r w:rsidRPr="00C32070">
        <w:rPr>
          <w:rtl/>
          <w:lang w:bidi="ar-EG"/>
        </w:rPr>
        <w:t xml:space="preserve">بين الميزانية والمبالغ الفعلية في الملاحظة </w:t>
      </w:r>
      <w:r w:rsidR="00A03A9F" w:rsidRPr="00C32070">
        <w:rPr>
          <w:lang w:bidi="ar-EG"/>
        </w:rPr>
        <w:t>24</w:t>
      </w:r>
      <w:r w:rsidRPr="00C32070">
        <w:rPr>
          <w:rtl/>
          <w:lang w:bidi="ar-EG"/>
        </w:rPr>
        <w:t xml:space="preserve"> من البيانات المالية.</w:t>
      </w:r>
    </w:p>
    <w:p w14:paraId="4C436ECD" w14:textId="79BF2E3A" w:rsidR="00A57BC8" w:rsidRPr="00C32070" w:rsidRDefault="00A57BC8" w:rsidP="00235E89">
      <w:pPr>
        <w:pStyle w:val="Heading1"/>
        <w:rPr>
          <w:rtl/>
          <w:lang w:bidi="ar-SY"/>
        </w:rPr>
      </w:pPr>
      <w:bookmarkStart w:id="6" w:name="_Toc452156573"/>
      <w:bookmarkStart w:id="7" w:name="_Toc168329261"/>
      <w:bookmarkStart w:id="8" w:name="_Toc168329303"/>
      <w:bookmarkStart w:id="9" w:name="_Toc168657541"/>
      <w:r w:rsidRPr="00C32070">
        <w:rPr>
          <w:rtl/>
        </w:rPr>
        <w:t>أبرز نقاط تقرير الإدارة المالية</w:t>
      </w:r>
      <w:bookmarkEnd w:id="6"/>
      <w:r w:rsidR="00A03A9F" w:rsidRPr="00C32070">
        <w:rPr>
          <w:rtl/>
        </w:rPr>
        <w:t xml:space="preserve"> لعام</w:t>
      </w:r>
      <w:r w:rsidRPr="00C32070">
        <w:rPr>
          <w:rtl/>
        </w:rPr>
        <w:t xml:space="preserve"> </w:t>
      </w:r>
      <w:r w:rsidR="00235E89" w:rsidRPr="00C32070">
        <w:rPr>
          <w:lang w:bidi="ar-EG"/>
        </w:rPr>
        <w:t>2023</w:t>
      </w:r>
      <w:bookmarkEnd w:id="7"/>
      <w:bookmarkEnd w:id="8"/>
      <w:bookmarkEnd w:id="9"/>
    </w:p>
    <w:p w14:paraId="51FE8337" w14:textId="18D88A26" w:rsidR="00A57BC8" w:rsidRPr="00C32070" w:rsidRDefault="00A57BC8" w:rsidP="003E6D9E">
      <w:pPr>
        <w:rPr>
          <w:rtl/>
          <w:lang w:bidi="ar-SY"/>
        </w:rPr>
      </w:pPr>
      <w:r w:rsidRPr="00C32070">
        <w:rPr>
          <w:lang w:bidi="ar-EG"/>
        </w:rPr>
        <w:t>4</w:t>
      </w:r>
      <w:r w:rsidRPr="00C32070">
        <w:rPr>
          <w:rtl/>
          <w:lang w:bidi="ar-SY"/>
        </w:rPr>
        <w:tab/>
        <w:t xml:space="preserve">تُمسك حسابات الاتحاد بالفرنكات السويسرية. وتشمل البيانات المالية المعروضة </w:t>
      </w:r>
      <w:r w:rsidR="00A03A9F" w:rsidRPr="00C32070">
        <w:rPr>
          <w:rtl/>
          <w:lang w:bidi="ar-SY"/>
        </w:rPr>
        <w:t>جميع مصادر الأموال للاتحاد، بما في ذلك الميزانية العادية والأموال</w:t>
      </w:r>
      <w:r w:rsidRPr="00C32070">
        <w:rPr>
          <w:rtl/>
          <w:lang w:bidi="ar-SY"/>
        </w:rPr>
        <w:t xml:space="preserve"> </w:t>
      </w:r>
      <w:r w:rsidR="009548EB" w:rsidRPr="00C32070">
        <w:rPr>
          <w:rtl/>
          <w:lang w:bidi="ar-SY"/>
        </w:rPr>
        <w:t xml:space="preserve">من </w:t>
      </w:r>
      <w:r w:rsidRPr="00C32070">
        <w:rPr>
          <w:rtl/>
          <w:lang w:bidi="ar-SY"/>
        </w:rPr>
        <w:t>خارج</w:t>
      </w:r>
      <w:r w:rsidR="009548EB" w:rsidRPr="00C32070">
        <w:rPr>
          <w:rtl/>
          <w:lang w:bidi="ar-SY"/>
        </w:rPr>
        <w:t xml:space="preserve"> </w:t>
      </w:r>
      <w:r w:rsidRPr="00C32070">
        <w:rPr>
          <w:rtl/>
          <w:lang w:bidi="ar-SY"/>
        </w:rPr>
        <w:t>الميزانية.</w:t>
      </w:r>
    </w:p>
    <w:p w14:paraId="2BFCBF88" w14:textId="52A01B12" w:rsidR="00A57BC8" w:rsidRPr="00C32070" w:rsidRDefault="00A57BC8" w:rsidP="003724DE">
      <w:pPr>
        <w:spacing w:after="120"/>
        <w:rPr>
          <w:rtl/>
          <w:lang w:bidi="ar-EG"/>
        </w:rPr>
      </w:pPr>
      <w:r w:rsidRPr="00C32070">
        <w:rPr>
          <w:lang w:bidi="ar-EG"/>
        </w:rPr>
        <w:t>5</w:t>
      </w:r>
      <w:r w:rsidRPr="00C32070">
        <w:rPr>
          <w:rtl/>
          <w:lang w:bidi="ar-EG"/>
        </w:rPr>
        <w:tab/>
      </w:r>
      <w:r w:rsidR="00A03A9F" w:rsidRPr="00C32070">
        <w:rPr>
          <w:rtl/>
          <w:lang w:bidi="ar-EG"/>
        </w:rPr>
        <w:t>و</w:t>
      </w:r>
      <w:r w:rsidRPr="00C32070">
        <w:rPr>
          <w:rtl/>
          <w:lang w:bidi="ar-EG"/>
        </w:rPr>
        <w:t xml:space="preserve">يلخص </w:t>
      </w:r>
      <w:r w:rsidR="00235E89" w:rsidRPr="00C32070">
        <w:rPr>
          <w:rtl/>
          <w:lang w:bidi="ar-EG"/>
        </w:rPr>
        <w:t>الشكل</w:t>
      </w:r>
      <w:r w:rsidRPr="00C32070">
        <w:rPr>
          <w:rtl/>
          <w:lang w:bidi="ar-EG"/>
        </w:rPr>
        <w:t xml:space="preserve"> </w:t>
      </w:r>
      <w:r w:rsidRPr="00C32070">
        <w:rPr>
          <w:lang w:bidi="ar-EG"/>
        </w:rPr>
        <w:t>1</w:t>
      </w:r>
      <w:r w:rsidRPr="00C32070">
        <w:rPr>
          <w:rtl/>
          <w:lang w:bidi="ar-EG"/>
        </w:rPr>
        <w:t xml:space="preserve"> أدناه الوضع المالي للاتحاد </w:t>
      </w:r>
      <w:bookmarkStart w:id="10" w:name="_Hlk160098519"/>
      <w:r w:rsidRPr="00C32070">
        <w:rPr>
          <w:rtl/>
          <w:lang w:bidi="ar-EG"/>
        </w:rPr>
        <w:t xml:space="preserve">عام </w:t>
      </w:r>
      <w:bookmarkEnd w:id="10"/>
      <w:r w:rsidR="00A03A9F" w:rsidRPr="00C32070">
        <w:rPr>
          <w:lang w:bidi="ar-EG"/>
        </w:rPr>
        <w:t>2023</w:t>
      </w:r>
      <w:r w:rsidRPr="00C32070">
        <w:rPr>
          <w:rtl/>
          <w:lang w:bidi="ar-EG"/>
        </w:rPr>
        <w:t xml:space="preserve"> بالمقارنة مع </w:t>
      </w:r>
      <w:r w:rsidR="00653E83" w:rsidRPr="00C32070">
        <w:rPr>
          <w:rtl/>
          <w:lang w:bidi="ar-EG"/>
        </w:rPr>
        <w:t>العام</w:t>
      </w:r>
      <w:r w:rsidR="009548EB" w:rsidRPr="00C32070">
        <w:rPr>
          <w:rtl/>
          <w:lang w:bidi="ar-EG"/>
        </w:rPr>
        <w:t xml:space="preserve"> السابق</w:t>
      </w:r>
      <w:r w:rsidRPr="00C32070">
        <w:rPr>
          <w:rtl/>
          <w:lang w:bidi="ar-EG"/>
        </w:rPr>
        <w:t xml:space="preserve"> </w:t>
      </w:r>
      <w:r w:rsidR="00A03A9F" w:rsidRPr="00C32070">
        <w:rPr>
          <w:lang w:bidi="ar-EG"/>
        </w:rPr>
        <w:t>2022</w:t>
      </w:r>
      <w:r w:rsidRPr="00C32070">
        <w:rPr>
          <w:rtl/>
          <w:lang w:bidi="ar-EG"/>
        </w:rPr>
        <w:t>.</w:t>
      </w:r>
    </w:p>
    <w:p w14:paraId="1A4C8320" w14:textId="344D3527" w:rsidR="00A57BC8" w:rsidRPr="00C32070" w:rsidRDefault="00235E89" w:rsidP="00235E89">
      <w:pPr>
        <w:pStyle w:val="Figuretitle"/>
        <w:rPr>
          <w:rtl/>
          <w:lang w:bidi="ar-EG"/>
        </w:rPr>
      </w:pPr>
      <w:r w:rsidRPr="00C32070">
        <w:rPr>
          <w:rtl/>
          <w:lang w:bidi="ar-SY"/>
        </w:rPr>
        <w:t>الشكل</w:t>
      </w:r>
      <w:r w:rsidR="00A57BC8" w:rsidRPr="00C32070">
        <w:rPr>
          <w:rtl/>
          <w:lang w:bidi="ar-SY"/>
        </w:rPr>
        <w:t xml:space="preserve"> </w:t>
      </w:r>
      <w:r w:rsidR="00A03A9F" w:rsidRPr="00C32070">
        <w:rPr>
          <w:lang w:bidi="ar-SY"/>
        </w:rPr>
        <w:t>1</w:t>
      </w:r>
      <w:r w:rsidR="00A57BC8" w:rsidRPr="00C32070">
        <w:rPr>
          <w:rtl/>
          <w:lang w:bidi="ar-SY"/>
        </w:rPr>
        <w:t xml:space="preserve"> - الوضع المالي للسنتين </w:t>
      </w:r>
      <w:r w:rsidR="00A03A9F" w:rsidRPr="00C32070">
        <w:rPr>
          <w:lang w:bidi="ar-SY"/>
        </w:rPr>
        <w:t>2023</w:t>
      </w:r>
      <w:r w:rsidR="00A57BC8" w:rsidRPr="00C32070">
        <w:rPr>
          <w:rtl/>
          <w:lang w:bidi="ar-SY"/>
        </w:rPr>
        <w:t xml:space="preserve"> و</w:t>
      </w:r>
      <w:r w:rsidR="00A03A9F" w:rsidRPr="00C32070">
        <w:rPr>
          <w:lang w:bidi="ar-SY"/>
        </w:rPr>
        <w:t>2022</w:t>
      </w:r>
    </w:p>
    <w:p w14:paraId="2D378B20" w14:textId="51F35546" w:rsidR="00987B84" w:rsidRPr="00C32070" w:rsidRDefault="004719C1" w:rsidP="00235E89">
      <w:pPr>
        <w:pStyle w:val="Figure"/>
        <w:rPr>
          <w:rtl/>
          <w:lang w:bidi="ar-EG"/>
        </w:rPr>
      </w:pPr>
      <w:r w:rsidRPr="00C32070">
        <w:rPr>
          <w:lang w:bidi="ar-EG"/>
        </w:rPr>
        <w:drawing>
          <wp:inline distT="0" distB="0" distL="0" distR="0" wp14:anchorId="6A4F80E2" wp14:editId="56467820">
            <wp:extent cx="4803775" cy="3139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3775" cy="3139440"/>
                    </a:xfrm>
                    <a:prstGeom prst="rect">
                      <a:avLst/>
                    </a:prstGeom>
                    <a:noFill/>
                  </pic:spPr>
                </pic:pic>
              </a:graphicData>
            </a:graphic>
          </wp:inline>
        </w:drawing>
      </w:r>
    </w:p>
    <w:p w14:paraId="1D2792B5" w14:textId="606D334C" w:rsidR="00235E89" w:rsidRPr="00C32070" w:rsidRDefault="00235E89" w:rsidP="003E6D9E">
      <w:pPr>
        <w:rPr>
          <w:rtl/>
          <w:lang w:bidi="ar-EG"/>
        </w:rPr>
      </w:pPr>
      <w:r w:rsidRPr="00C32070">
        <w:rPr>
          <w:rtl/>
          <w:lang w:bidi="ar-EG"/>
        </w:rPr>
        <w:lastRenderedPageBreak/>
        <w:t>6</w:t>
      </w:r>
      <w:r w:rsidRPr="00C32070">
        <w:rPr>
          <w:rtl/>
          <w:lang w:bidi="ar-EG"/>
        </w:rPr>
        <w:tab/>
      </w:r>
      <w:r w:rsidR="00A03A9F" w:rsidRPr="00C32070">
        <w:rPr>
          <w:rtl/>
          <w:lang w:bidi="ar-EG"/>
        </w:rPr>
        <w:t>و</w:t>
      </w:r>
      <w:r w:rsidRPr="00C32070">
        <w:rPr>
          <w:rtl/>
          <w:lang w:bidi="ar-EG"/>
        </w:rPr>
        <w:t xml:space="preserve">كما ذُكر في الشكل </w:t>
      </w:r>
      <w:r w:rsidR="00A03A9F" w:rsidRPr="00C32070">
        <w:rPr>
          <w:lang w:bidi="ar-EG"/>
        </w:rPr>
        <w:t>1</w:t>
      </w:r>
      <w:r w:rsidRPr="00C32070">
        <w:rPr>
          <w:rtl/>
          <w:lang w:bidi="ar-EG"/>
        </w:rPr>
        <w:t xml:space="preserve"> أعلاه، هناك انخفاض في إجمالي الإيرادات </w:t>
      </w:r>
      <w:r w:rsidR="009548EB" w:rsidRPr="00C32070">
        <w:rPr>
          <w:rtl/>
          <w:lang w:bidi="ar-EG"/>
        </w:rPr>
        <w:t xml:space="preserve">في </w:t>
      </w:r>
      <w:r w:rsidRPr="00C32070">
        <w:rPr>
          <w:rtl/>
          <w:lang w:bidi="ar-EG"/>
        </w:rPr>
        <w:t xml:space="preserve">عام </w:t>
      </w:r>
      <w:r w:rsidR="00A03A9F" w:rsidRPr="00C32070">
        <w:rPr>
          <w:lang w:bidi="ar-EG"/>
        </w:rPr>
        <w:t>2023</w:t>
      </w:r>
      <w:r w:rsidRPr="00C32070">
        <w:rPr>
          <w:rtl/>
          <w:lang w:bidi="ar-EG"/>
        </w:rPr>
        <w:t xml:space="preserve"> مقارنة بعام </w:t>
      </w:r>
      <w:r w:rsidR="00A03A9F" w:rsidRPr="00C32070">
        <w:rPr>
          <w:lang w:bidi="ar-EG"/>
        </w:rPr>
        <w:t>2022</w:t>
      </w:r>
      <w:r w:rsidRPr="00C32070">
        <w:rPr>
          <w:rtl/>
          <w:lang w:bidi="ar-EG"/>
        </w:rPr>
        <w:t xml:space="preserve"> بمقدار </w:t>
      </w:r>
      <w:r w:rsidR="00A03A9F" w:rsidRPr="00C32070">
        <w:rPr>
          <w:lang w:bidi="ar-EG"/>
        </w:rPr>
        <w:t>6,1</w:t>
      </w:r>
      <w:r w:rsidRPr="00C32070">
        <w:rPr>
          <w:rtl/>
          <w:lang w:bidi="ar-EG"/>
        </w:rPr>
        <w:t xml:space="preserve"> مليون فرنك سويسري. </w:t>
      </w:r>
      <w:r w:rsidR="00A03A9F" w:rsidRPr="00C32070">
        <w:rPr>
          <w:rtl/>
          <w:lang w:bidi="ar-EG"/>
        </w:rPr>
        <w:t>و</w:t>
      </w:r>
      <w:r w:rsidR="0095572F" w:rsidRPr="00C32070">
        <w:rPr>
          <w:rtl/>
          <w:lang w:bidi="ar-EG"/>
        </w:rPr>
        <w:t xml:space="preserve">الدافع الرئيسي للزيادة في تكاليف التمويل بمقدار </w:t>
      </w:r>
      <w:r w:rsidR="0095572F" w:rsidRPr="00C32070">
        <w:rPr>
          <w:lang w:bidi="ar-EG"/>
        </w:rPr>
        <w:t>14</w:t>
      </w:r>
      <w:r w:rsidR="00732E58">
        <w:rPr>
          <w:lang w:bidi="ar-EG"/>
        </w:rPr>
        <w:t>,</w:t>
      </w:r>
      <w:r w:rsidR="0095572F" w:rsidRPr="00C32070">
        <w:rPr>
          <w:lang w:bidi="ar-EG"/>
        </w:rPr>
        <w:t>8</w:t>
      </w:r>
      <w:r w:rsidR="0095572F" w:rsidRPr="00C32070">
        <w:rPr>
          <w:rtl/>
          <w:lang w:bidi="ar-EG"/>
        </w:rPr>
        <w:t xml:space="preserve"> مليون فرنك سويسري، </w:t>
      </w:r>
      <w:r w:rsidR="009548EB" w:rsidRPr="00C32070">
        <w:rPr>
          <w:rtl/>
          <w:lang w:bidi="ar-EG"/>
        </w:rPr>
        <w:t>تقابله</w:t>
      </w:r>
      <w:r w:rsidR="0095572F" w:rsidRPr="00C32070">
        <w:rPr>
          <w:rtl/>
          <w:lang w:bidi="ar-EG"/>
        </w:rPr>
        <w:t xml:space="preserve"> جزئياً الزيادة في إيرادات المنشورات (</w:t>
      </w:r>
      <w:r w:rsidR="00A03A9F" w:rsidRPr="00C32070">
        <w:rPr>
          <w:lang w:bidi="ar-EG"/>
        </w:rPr>
        <w:t>2,1</w:t>
      </w:r>
      <w:r w:rsidR="0095572F" w:rsidRPr="00C32070">
        <w:rPr>
          <w:rtl/>
          <w:lang w:bidi="ar-EG"/>
        </w:rPr>
        <w:t xml:space="preserve"> مليون فرنك سويسري)، وفي الإيرادات الأخرى (</w:t>
      </w:r>
      <w:r w:rsidR="00A03A9F" w:rsidRPr="00C32070">
        <w:rPr>
          <w:lang w:bidi="ar-EG"/>
        </w:rPr>
        <w:t>5,2</w:t>
      </w:r>
      <w:r w:rsidR="0095572F" w:rsidRPr="00C32070">
        <w:rPr>
          <w:rtl/>
          <w:lang w:bidi="ar-EG"/>
        </w:rPr>
        <w:t xml:space="preserve"> مليون فرنك سويسري)، وفي إيرادات الأموال من خارج الميزانية (</w:t>
      </w:r>
      <w:r w:rsidR="0095572F" w:rsidRPr="00C32070">
        <w:rPr>
          <w:lang w:bidi="ar-EG"/>
        </w:rPr>
        <w:t>1</w:t>
      </w:r>
      <w:r w:rsidR="005C3986" w:rsidRPr="00C32070">
        <w:rPr>
          <w:lang w:bidi="ar-EG"/>
        </w:rPr>
        <w:t>,1</w:t>
      </w:r>
      <w:r w:rsidR="0095572F" w:rsidRPr="00C32070">
        <w:rPr>
          <w:rtl/>
          <w:lang w:bidi="ar-EG"/>
        </w:rPr>
        <w:t xml:space="preserve"> مليون فرنك سويسري) و</w:t>
      </w:r>
      <w:r w:rsidR="005C3986" w:rsidRPr="00C32070">
        <w:rPr>
          <w:rtl/>
          <w:lang w:bidi="ar-EG"/>
        </w:rPr>
        <w:t xml:space="preserve">إيرادات </w:t>
      </w:r>
      <w:r w:rsidR="009548EB" w:rsidRPr="00C32070">
        <w:rPr>
          <w:rtl/>
          <w:lang w:bidi="ar-EG"/>
        </w:rPr>
        <w:t>بطاقات التبليغ</w:t>
      </w:r>
      <w:r w:rsidR="005C3986" w:rsidRPr="00C32070">
        <w:rPr>
          <w:rtl/>
          <w:lang w:bidi="ar-EG"/>
        </w:rPr>
        <w:t xml:space="preserve"> عن </w:t>
      </w:r>
      <w:r w:rsidR="0095572F" w:rsidRPr="00C32070">
        <w:rPr>
          <w:rtl/>
          <w:lang w:bidi="ar-EG"/>
        </w:rPr>
        <w:t xml:space="preserve">الشبكات </w:t>
      </w:r>
      <w:proofErr w:type="spellStart"/>
      <w:r w:rsidR="0095572F" w:rsidRPr="00C32070">
        <w:rPr>
          <w:rtl/>
          <w:lang w:bidi="ar-EG"/>
        </w:rPr>
        <w:t>الساتلية</w:t>
      </w:r>
      <w:proofErr w:type="spellEnd"/>
      <w:r w:rsidR="005C3986" w:rsidRPr="00C32070">
        <w:rPr>
          <w:rtl/>
          <w:lang w:bidi="ar-EG"/>
        </w:rPr>
        <w:t xml:space="preserve"> </w:t>
      </w:r>
      <w:r w:rsidR="0095572F" w:rsidRPr="00C32070">
        <w:rPr>
          <w:rtl/>
          <w:lang w:bidi="ar-EG"/>
        </w:rPr>
        <w:t>(</w:t>
      </w:r>
      <w:r w:rsidR="0095572F" w:rsidRPr="00C32070">
        <w:rPr>
          <w:lang w:bidi="ar-EG"/>
        </w:rPr>
        <w:t>0</w:t>
      </w:r>
      <w:r w:rsidR="005C3986" w:rsidRPr="00C32070">
        <w:rPr>
          <w:lang w:bidi="ar-EG"/>
        </w:rPr>
        <w:t>,</w:t>
      </w:r>
      <w:r w:rsidR="0095572F" w:rsidRPr="00C32070">
        <w:rPr>
          <w:lang w:bidi="ar-EG"/>
        </w:rPr>
        <w:t>3</w:t>
      </w:r>
      <w:r w:rsidR="0095572F" w:rsidRPr="00C32070">
        <w:rPr>
          <w:rtl/>
          <w:lang w:bidi="ar-EG"/>
        </w:rPr>
        <w:t xml:space="preserve"> مليون فرنك سويسري). وظلت النفقات </w:t>
      </w:r>
      <w:r w:rsidR="005C3986" w:rsidRPr="00C32070">
        <w:rPr>
          <w:rtl/>
          <w:lang w:bidi="ar-EG"/>
        </w:rPr>
        <w:t xml:space="preserve">في </w:t>
      </w:r>
      <w:r w:rsidR="0095572F" w:rsidRPr="00C32070">
        <w:rPr>
          <w:rtl/>
          <w:lang w:bidi="ar-EG"/>
        </w:rPr>
        <w:t xml:space="preserve">عام </w:t>
      </w:r>
      <w:r w:rsidR="0095572F" w:rsidRPr="00C32070">
        <w:rPr>
          <w:lang w:bidi="ar-EG"/>
        </w:rPr>
        <w:t>2023</w:t>
      </w:r>
      <w:r w:rsidR="0095572F" w:rsidRPr="00C32070">
        <w:rPr>
          <w:rtl/>
          <w:lang w:bidi="ar-EG"/>
        </w:rPr>
        <w:t xml:space="preserve"> مستقرة إلى حد ما </w:t>
      </w:r>
      <w:r w:rsidR="007A062D" w:rsidRPr="00C32070">
        <w:rPr>
          <w:rtl/>
          <w:lang w:bidi="ar-EG"/>
        </w:rPr>
        <w:t xml:space="preserve">بواقع </w:t>
      </w:r>
      <w:r w:rsidR="0095572F" w:rsidRPr="00C32070">
        <w:rPr>
          <w:lang w:bidi="ar-EG"/>
        </w:rPr>
        <w:t>197</w:t>
      </w:r>
      <w:r w:rsidR="005C3986" w:rsidRPr="00C32070">
        <w:rPr>
          <w:lang w:bidi="ar-EG"/>
        </w:rPr>
        <w:t>,</w:t>
      </w:r>
      <w:r w:rsidR="0095572F" w:rsidRPr="00C32070">
        <w:rPr>
          <w:lang w:bidi="ar-EG"/>
        </w:rPr>
        <w:t>2</w:t>
      </w:r>
      <w:r w:rsidR="0095572F" w:rsidRPr="00C32070">
        <w:rPr>
          <w:rtl/>
          <w:lang w:bidi="ar-EG"/>
        </w:rPr>
        <w:t xml:space="preserve"> مليون فرنك سويسري </w:t>
      </w:r>
      <w:r w:rsidR="005C3986" w:rsidRPr="00C32070">
        <w:rPr>
          <w:rtl/>
          <w:lang w:bidi="ar-EG"/>
        </w:rPr>
        <w:t>بال</w:t>
      </w:r>
      <w:r w:rsidR="0095572F" w:rsidRPr="00C32070">
        <w:rPr>
          <w:rtl/>
          <w:lang w:bidi="ar-EG"/>
        </w:rPr>
        <w:t>مقارنة</w:t>
      </w:r>
      <w:r w:rsidR="005C3986" w:rsidRPr="00C32070">
        <w:rPr>
          <w:rtl/>
          <w:lang w:bidi="ar-EG"/>
        </w:rPr>
        <w:t xml:space="preserve"> مع</w:t>
      </w:r>
      <w:r w:rsidR="0095572F" w:rsidRPr="00C32070">
        <w:rPr>
          <w:rtl/>
          <w:lang w:bidi="ar-EG"/>
        </w:rPr>
        <w:t xml:space="preserve"> </w:t>
      </w:r>
      <w:r w:rsidR="0095572F" w:rsidRPr="00C32070">
        <w:rPr>
          <w:lang w:bidi="ar-EG"/>
        </w:rPr>
        <w:t>196</w:t>
      </w:r>
      <w:r w:rsidR="005C3986" w:rsidRPr="00C32070">
        <w:rPr>
          <w:lang w:bidi="ar-EG"/>
        </w:rPr>
        <w:t>,</w:t>
      </w:r>
      <w:r w:rsidR="0095572F" w:rsidRPr="00C32070">
        <w:rPr>
          <w:lang w:bidi="ar-EG"/>
        </w:rPr>
        <w:t>8</w:t>
      </w:r>
      <w:r w:rsidR="0095572F" w:rsidRPr="00C32070">
        <w:rPr>
          <w:rtl/>
          <w:lang w:bidi="ar-EG"/>
        </w:rPr>
        <w:t xml:space="preserve"> مليون فرنك سويسري في</w:t>
      </w:r>
      <w:r w:rsidR="004B1702" w:rsidRPr="00C32070">
        <w:rPr>
          <w:rtl/>
          <w:lang w:bidi="ar-EG"/>
        </w:rPr>
        <w:t> </w:t>
      </w:r>
      <w:r w:rsidR="0095572F" w:rsidRPr="00C32070">
        <w:rPr>
          <w:rtl/>
          <w:lang w:bidi="ar-EG"/>
        </w:rPr>
        <w:t xml:space="preserve">عام </w:t>
      </w:r>
      <w:r w:rsidR="0095572F" w:rsidRPr="00C32070">
        <w:rPr>
          <w:lang w:bidi="ar-EG"/>
        </w:rPr>
        <w:t>2022</w:t>
      </w:r>
      <w:r w:rsidR="0095572F" w:rsidRPr="00C32070">
        <w:rPr>
          <w:rtl/>
          <w:lang w:bidi="ar-EG"/>
        </w:rPr>
        <w:t xml:space="preserve">، كنتيجة صافية للزيادة في التكاليف غير المتعلقة بالموظفين، والتي </w:t>
      </w:r>
      <w:r w:rsidR="005C3986" w:rsidRPr="00C32070">
        <w:rPr>
          <w:rtl/>
          <w:lang w:bidi="ar-EG"/>
        </w:rPr>
        <w:t>قابلها</w:t>
      </w:r>
      <w:r w:rsidR="0095572F" w:rsidRPr="00C32070">
        <w:rPr>
          <w:rtl/>
          <w:lang w:bidi="ar-EG"/>
        </w:rPr>
        <w:t xml:space="preserve"> جزئياً انخفاض في تكاليف الموظفين. وتوفر الأقسام التالية مزيداً من التحليل للإيرادات والنفقات.</w:t>
      </w:r>
    </w:p>
    <w:p w14:paraId="1233E553" w14:textId="0B6C46F1" w:rsidR="00235E89" w:rsidRPr="00C32070" w:rsidRDefault="00235E89" w:rsidP="003E6D9E">
      <w:pPr>
        <w:rPr>
          <w:rtl/>
          <w:lang w:bidi="ar-EG"/>
        </w:rPr>
      </w:pPr>
      <w:r w:rsidRPr="00C32070">
        <w:rPr>
          <w:rtl/>
          <w:lang w:bidi="ar-EG"/>
        </w:rPr>
        <w:t>7</w:t>
      </w:r>
      <w:r w:rsidRPr="00C32070">
        <w:rPr>
          <w:rtl/>
          <w:lang w:bidi="ar-EG"/>
        </w:rPr>
        <w:tab/>
        <w:t xml:space="preserve">وانخفضت أصول المنظمة بمقدار </w:t>
      </w:r>
      <w:r w:rsidR="005C3986" w:rsidRPr="00C32070">
        <w:rPr>
          <w:lang w:bidi="ar-EG"/>
        </w:rPr>
        <w:t>9,4</w:t>
      </w:r>
      <w:r w:rsidRPr="00C32070">
        <w:rPr>
          <w:rtl/>
          <w:lang w:bidi="ar-EG"/>
        </w:rPr>
        <w:t xml:space="preserve"> مليون فرنك سويسري، ويرجع ذلك في الغالب إلى </w:t>
      </w:r>
      <w:r w:rsidR="004F0206" w:rsidRPr="00C32070">
        <w:rPr>
          <w:rtl/>
          <w:lang w:bidi="ar-EG"/>
        </w:rPr>
        <w:t xml:space="preserve">الانخفاضات في </w:t>
      </w:r>
      <w:r w:rsidR="005C3986" w:rsidRPr="00C32070">
        <w:rPr>
          <w:rtl/>
          <w:lang w:bidi="ar-EG"/>
        </w:rPr>
        <w:t xml:space="preserve">النقد ومكافئات النقد </w:t>
      </w:r>
      <w:r w:rsidRPr="00C32070">
        <w:rPr>
          <w:rtl/>
          <w:lang w:bidi="ar-EG"/>
        </w:rPr>
        <w:t xml:space="preserve">والاستثمارات </w:t>
      </w:r>
      <w:r w:rsidR="005C3986" w:rsidRPr="00C32070">
        <w:rPr>
          <w:rtl/>
          <w:lang w:bidi="ar-EG"/>
        </w:rPr>
        <w:t>و</w:t>
      </w:r>
      <w:r w:rsidR="00262C27" w:rsidRPr="00C32070">
        <w:rPr>
          <w:rtl/>
          <w:lang w:bidi="ar-EG"/>
        </w:rPr>
        <w:t>الذمم المدينة</w:t>
      </w:r>
      <w:r w:rsidR="005C3986" w:rsidRPr="00C32070">
        <w:rPr>
          <w:rtl/>
          <w:lang w:bidi="ar-EG"/>
        </w:rPr>
        <w:t>، وقابلتها</w:t>
      </w:r>
      <w:r w:rsidRPr="00C32070">
        <w:rPr>
          <w:rtl/>
          <w:lang w:bidi="ar-EG"/>
        </w:rPr>
        <w:t xml:space="preserve"> </w:t>
      </w:r>
      <w:r w:rsidR="0095572F" w:rsidRPr="00C32070">
        <w:rPr>
          <w:rtl/>
          <w:lang w:bidi="ar-EG"/>
        </w:rPr>
        <w:t xml:space="preserve">زيادة في الأصول قيد الإنشاء قدرها </w:t>
      </w:r>
      <w:r w:rsidR="0095572F" w:rsidRPr="00C32070">
        <w:rPr>
          <w:lang w:bidi="ar-EG"/>
        </w:rPr>
        <w:t>7</w:t>
      </w:r>
      <w:r w:rsidR="005C3986" w:rsidRPr="00C32070">
        <w:rPr>
          <w:lang w:bidi="ar-EG"/>
        </w:rPr>
        <w:t>,</w:t>
      </w:r>
      <w:r w:rsidR="0095572F" w:rsidRPr="00C32070">
        <w:rPr>
          <w:lang w:bidi="ar-EG"/>
        </w:rPr>
        <w:t>2</w:t>
      </w:r>
      <w:r w:rsidR="0095572F" w:rsidRPr="00C32070">
        <w:rPr>
          <w:rtl/>
          <w:lang w:bidi="ar-EG"/>
        </w:rPr>
        <w:t xml:space="preserve"> مليون فرنك سويسري. </w:t>
      </w:r>
      <w:r w:rsidR="004F0206" w:rsidRPr="00C32070">
        <w:rPr>
          <w:rtl/>
          <w:lang w:bidi="ar-EG"/>
        </w:rPr>
        <w:t>وزادت</w:t>
      </w:r>
      <w:r w:rsidR="0095572F" w:rsidRPr="00C32070">
        <w:rPr>
          <w:rtl/>
          <w:lang w:bidi="ar-EG"/>
        </w:rPr>
        <w:t xml:space="preserve"> </w:t>
      </w:r>
      <w:r w:rsidR="005C3986" w:rsidRPr="00C32070">
        <w:rPr>
          <w:rtl/>
          <w:lang w:bidi="ar-EG"/>
        </w:rPr>
        <w:t>الخصوم</w:t>
      </w:r>
      <w:r w:rsidR="0095572F" w:rsidRPr="00C32070">
        <w:rPr>
          <w:rtl/>
          <w:lang w:bidi="ar-EG"/>
        </w:rPr>
        <w:t xml:space="preserve"> </w:t>
      </w:r>
      <w:r w:rsidR="004F0206" w:rsidRPr="00C32070">
        <w:rPr>
          <w:rtl/>
          <w:lang w:bidi="ar-EG"/>
        </w:rPr>
        <w:t>بمقدار</w:t>
      </w:r>
      <w:r w:rsidR="0095572F" w:rsidRPr="00C32070">
        <w:rPr>
          <w:rtl/>
          <w:lang w:bidi="ar-EG"/>
        </w:rPr>
        <w:t xml:space="preserve"> </w:t>
      </w:r>
      <w:r w:rsidR="0095572F" w:rsidRPr="00C32070">
        <w:rPr>
          <w:lang w:bidi="ar-EG"/>
        </w:rPr>
        <w:t>35</w:t>
      </w:r>
      <w:r w:rsidR="005C3986" w:rsidRPr="00C32070">
        <w:rPr>
          <w:lang w:bidi="ar-EG"/>
        </w:rPr>
        <w:t>,</w:t>
      </w:r>
      <w:r w:rsidR="0095572F" w:rsidRPr="00C32070">
        <w:rPr>
          <w:lang w:bidi="ar-EG"/>
        </w:rPr>
        <w:t>0</w:t>
      </w:r>
      <w:r w:rsidR="0095572F" w:rsidRPr="00C32070">
        <w:rPr>
          <w:rtl/>
          <w:lang w:bidi="ar-EG"/>
        </w:rPr>
        <w:t xml:space="preserve"> مليون فرنك سويسري، مدفوعة بالزيادة في قيمة صندوق التأمين الصحي بعد انتهاء </w:t>
      </w:r>
      <w:r w:rsidR="005C3986" w:rsidRPr="00C32070">
        <w:rPr>
          <w:rtl/>
          <w:lang w:bidi="ar-EG"/>
        </w:rPr>
        <w:t>الخدمة</w:t>
      </w:r>
      <w:r w:rsidR="0095572F" w:rsidRPr="00C32070">
        <w:rPr>
          <w:rtl/>
          <w:lang w:bidi="ar-EG"/>
        </w:rPr>
        <w:t xml:space="preserve"> </w:t>
      </w:r>
      <w:r w:rsidR="005C3986" w:rsidRPr="00C32070">
        <w:rPr>
          <w:lang w:bidi="ar-EG"/>
        </w:rPr>
        <w:t>(</w:t>
      </w:r>
      <w:r w:rsidR="0095572F" w:rsidRPr="00C32070">
        <w:rPr>
          <w:lang w:bidi="ar-EG"/>
        </w:rPr>
        <w:t>ASHI</w:t>
      </w:r>
      <w:r w:rsidR="005C3986" w:rsidRPr="00C32070">
        <w:rPr>
          <w:lang w:bidi="ar-EG"/>
        </w:rPr>
        <w:t>)</w:t>
      </w:r>
      <w:r w:rsidR="0095572F" w:rsidRPr="00C32070">
        <w:rPr>
          <w:rtl/>
          <w:lang w:bidi="ar-EG"/>
        </w:rPr>
        <w:t xml:space="preserve"> وصافي القيمة الحالية للقروض، </w:t>
      </w:r>
      <w:r w:rsidR="005C3986" w:rsidRPr="00C32070">
        <w:rPr>
          <w:rtl/>
          <w:lang w:bidi="ar-EG"/>
        </w:rPr>
        <w:t>نتيجة ل</w:t>
      </w:r>
      <w:r w:rsidR="0095572F" w:rsidRPr="00C32070">
        <w:rPr>
          <w:rtl/>
          <w:lang w:bidi="ar-EG"/>
        </w:rPr>
        <w:t>لتغيرات في أسعار الخصم.</w:t>
      </w:r>
    </w:p>
    <w:p w14:paraId="2DAC7194" w14:textId="0D96EB2F" w:rsidR="00D037E1" w:rsidRPr="00C32070" w:rsidRDefault="00235E89" w:rsidP="003E6D9E">
      <w:pPr>
        <w:rPr>
          <w:rtl/>
          <w:lang w:bidi="ar-EG"/>
        </w:rPr>
      </w:pPr>
      <w:r w:rsidRPr="00C32070">
        <w:rPr>
          <w:rtl/>
          <w:lang w:bidi="ar-EG"/>
        </w:rPr>
        <w:t>8</w:t>
      </w:r>
      <w:r w:rsidRPr="00C32070">
        <w:rPr>
          <w:rtl/>
          <w:lang w:bidi="ar-EG"/>
        </w:rPr>
        <w:tab/>
        <w:t xml:space="preserve">والعجز المشار إليه </w:t>
      </w:r>
      <w:r w:rsidR="005C3986" w:rsidRPr="00C32070">
        <w:rPr>
          <w:rtl/>
          <w:lang w:bidi="ar-EG"/>
        </w:rPr>
        <w:t>لعام</w:t>
      </w:r>
      <w:r w:rsidRPr="00C32070">
        <w:rPr>
          <w:rtl/>
          <w:lang w:bidi="ar-EG"/>
        </w:rPr>
        <w:t xml:space="preserve"> </w:t>
      </w:r>
      <w:r w:rsidR="005C3986" w:rsidRPr="00C32070">
        <w:rPr>
          <w:lang w:val="en-CA" w:bidi="ar-EG"/>
        </w:rPr>
        <w:t>2023</w:t>
      </w:r>
      <w:r w:rsidR="005C3986" w:rsidRPr="00C32070">
        <w:rPr>
          <w:rtl/>
          <w:lang w:bidi="ar-EG"/>
        </w:rPr>
        <w:t xml:space="preserve"> و</w:t>
      </w:r>
      <w:r w:rsidR="0095572F" w:rsidRPr="00C32070">
        <w:rPr>
          <w:rtl/>
          <w:lang w:bidi="ar-EG"/>
        </w:rPr>
        <w:t xml:space="preserve">البالغ </w:t>
      </w:r>
      <w:r w:rsidR="0095572F" w:rsidRPr="00C32070">
        <w:rPr>
          <w:lang w:bidi="ar-EG"/>
        </w:rPr>
        <w:t>24</w:t>
      </w:r>
      <w:r w:rsidR="005C3986" w:rsidRPr="00C32070">
        <w:rPr>
          <w:lang w:bidi="ar-EG"/>
        </w:rPr>
        <w:t>,</w:t>
      </w:r>
      <w:r w:rsidR="0095572F" w:rsidRPr="00C32070">
        <w:rPr>
          <w:lang w:bidi="ar-EG"/>
        </w:rPr>
        <w:t>8</w:t>
      </w:r>
      <w:r w:rsidR="0095572F" w:rsidRPr="00C32070">
        <w:rPr>
          <w:rtl/>
          <w:lang w:bidi="ar-EG"/>
        </w:rPr>
        <w:t xml:space="preserve"> مليون فرنك سويسري (مقارنة</w:t>
      </w:r>
      <w:r w:rsidR="004B1702" w:rsidRPr="00C32070">
        <w:rPr>
          <w:rtl/>
          <w:lang w:bidi="ar-EG"/>
        </w:rPr>
        <w:t>ً</w:t>
      </w:r>
      <w:r w:rsidR="0095572F" w:rsidRPr="00C32070">
        <w:rPr>
          <w:rtl/>
          <w:lang w:bidi="ar-EG"/>
        </w:rPr>
        <w:t xml:space="preserve"> بعجز قدره </w:t>
      </w:r>
      <w:r w:rsidR="0095572F" w:rsidRPr="00C32070">
        <w:rPr>
          <w:lang w:bidi="ar-EG"/>
        </w:rPr>
        <w:t>18</w:t>
      </w:r>
      <w:r w:rsidR="005C3986" w:rsidRPr="00C32070">
        <w:rPr>
          <w:lang w:bidi="ar-EG"/>
        </w:rPr>
        <w:t>,</w:t>
      </w:r>
      <w:r w:rsidR="0095572F" w:rsidRPr="00C32070">
        <w:rPr>
          <w:lang w:bidi="ar-EG"/>
        </w:rPr>
        <w:t>3</w:t>
      </w:r>
      <w:r w:rsidR="0095572F" w:rsidRPr="00C32070">
        <w:rPr>
          <w:rtl/>
          <w:lang w:bidi="ar-EG"/>
        </w:rPr>
        <w:t xml:space="preserve"> مليون فرنك سويسري في عام </w:t>
      </w:r>
      <w:r w:rsidR="0095572F" w:rsidRPr="00C32070">
        <w:rPr>
          <w:lang w:bidi="ar-EG"/>
        </w:rPr>
        <w:t>2022</w:t>
      </w:r>
      <w:r w:rsidR="0095572F" w:rsidRPr="00C32070">
        <w:rPr>
          <w:rtl/>
          <w:lang w:bidi="ar-EG"/>
        </w:rPr>
        <w:t xml:space="preserve">) هو النتيجة الصافية لتجاوز النفقات الإجمالية </w:t>
      </w:r>
      <w:r w:rsidR="005C3986" w:rsidRPr="00C32070">
        <w:rPr>
          <w:rtl/>
          <w:lang w:bidi="ar-EG"/>
        </w:rPr>
        <w:t>ل</w:t>
      </w:r>
      <w:r w:rsidR="0095572F" w:rsidRPr="00C32070">
        <w:rPr>
          <w:rtl/>
          <w:lang w:bidi="ar-EG"/>
        </w:rPr>
        <w:t xml:space="preserve">إيرادات </w:t>
      </w:r>
      <w:r w:rsidR="002A1410" w:rsidRPr="00C32070">
        <w:rPr>
          <w:rtl/>
          <w:lang w:bidi="ar-EG"/>
        </w:rPr>
        <w:t>السنة ل</w:t>
      </w:r>
      <w:r w:rsidR="005C3986" w:rsidRPr="00C32070">
        <w:rPr>
          <w:rtl/>
          <w:lang w:bidi="ar-EG"/>
        </w:rPr>
        <w:t xml:space="preserve">لاتحاد </w:t>
      </w:r>
      <w:r w:rsidR="0095572F" w:rsidRPr="00C32070">
        <w:rPr>
          <w:rtl/>
          <w:lang w:bidi="ar-EG"/>
        </w:rPr>
        <w:t xml:space="preserve">ككل. ومع ذلك، من الجدير بالذكر أن الاتحاد أنهى العام بفائض قدره </w:t>
      </w:r>
      <w:r w:rsidR="0095572F" w:rsidRPr="00C32070">
        <w:rPr>
          <w:lang w:bidi="ar-EG"/>
        </w:rPr>
        <w:t>1</w:t>
      </w:r>
      <w:r w:rsidR="005C3986" w:rsidRPr="00C32070">
        <w:rPr>
          <w:lang w:bidi="ar-EG"/>
        </w:rPr>
        <w:t>,</w:t>
      </w:r>
      <w:r w:rsidR="0095572F" w:rsidRPr="00C32070">
        <w:rPr>
          <w:lang w:bidi="ar-EG"/>
        </w:rPr>
        <w:t>4</w:t>
      </w:r>
      <w:r w:rsidR="0095572F" w:rsidRPr="00C32070">
        <w:rPr>
          <w:rtl/>
          <w:lang w:bidi="ar-EG"/>
        </w:rPr>
        <w:t xml:space="preserve"> مليون فرنك سويسري فيما يتعلق بتنفيذ الميزانية، وهو ما </w:t>
      </w:r>
      <w:r w:rsidR="004C1C57" w:rsidRPr="00C32070">
        <w:rPr>
          <w:rtl/>
          <w:lang w:bidi="ar-EG"/>
        </w:rPr>
        <w:t xml:space="preserve">ورد </w:t>
      </w:r>
      <w:r w:rsidR="0095572F" w:rsidRPr="00C32070">
        <w:rPr>
          <w:rtl/>
          <w:lang w:bidi="ar-EG"/>
        </w:rPr>
        <w:t xml:space="preserve">توثيقه بالتفصيل في البيان الخامس ووصفه بمزيد من التفصيل في الملاحظة </w:t>
      </w:r>
      <w:r w:rsidR="0095572F" w:rsidRPr="00C32070">
        <w:rPr>
          <w:lang w:bidi="ar-EG"/>
        </w:rPr>
        <w:t>24</w:t>
      </w:r>
      <w:r w:rsidR="0095572F" w:rsidRPr="00C32070">
        <w:rPr>
          <w:rtl/>
          <w:lang w:bidi="ar-EG"/>
        </w:rPr>
        <w:t xml:space="preserve"> من البيانات المالية.</w:t>
      </w:r>
    </w:p>
    <w:p w14:paraId="35413D34" w14:textId="18527057" w:rsidR="00C24881" w:rsidRPr="00C32070" w:rsidRDefault="003E397F" w:rsidP="00F72B70">
      <w:pPr>
        <w:pStyle w:val="Headingb"/>
      </w:pPr>
      <w:r w:rsidRPr="00C32070">
        <w:rPr>
          <w:rtl/>
        </w:rPr>
        <w:t>الأداء المالي</w:t>
      </w:r>
    </w:p>
    <w:p w14:paraId="7D1D494E" w14:textId="2EC3EE2C" w:rsidR="00C24881" w:rsidRPr="00C32070" w:rsidRDefault="00A75188" w:rsidP="00F72B70">
      <w:pPr>
        <w:pStyle w:val="Headingb"/>
      </w:pPr>
      <w:r w:rsidRPr="00C32070">
        <w:rPr>
          <w:rtl/>
        </w:rPr>
        <w:t>الإيرادات</w:t>
      </w:r>
    </w:p>
    <w:p w14:paraId="7A5BA16C" w14:textId="07DF46A1" w:rsidR="00C24881" w:rsidRPr="00C32070" w:rsidRDefault="003E397F" w:rsidP="003724DE">
      <w:pPr>
        <w:spacing w:after="120"/>
      </w:pPr>
      <w:r w:rsidRPr="00C32070">
        <w:t>9</w:t>
      </w:r>
      <w:r w:rsidRPr="00C32070">
        <w:tab/>
      </w:r>
      <w:r w:rsidR="0095572F" w:rsidRPr="00C32070">
        <w:rPr>
          <w:rtl/>
          <w:lang w:bidi="ar-EG"/>
        </w:rPr>
        <w:t xml:space="preserve">بلغت إيرادات الاتحاد في عام </w:t>
      </w:r>
      <w:r w:rsidR="0095572F" w:rsidRPr="00C32070">
        <w:rPr>
          <w:lang w:bidi="ar-EG"/>
        </w:rPr>
        <w:t>2023</w:t>
      </w:r>
      <w:r w:rsidR="0095572F" w:rsidRPr="00C32070">
        <w:rPr>
          <w:rtl/>
          <w:lang w:bidi="ar-EG"/>
        </w:rPr>
        <w:t xml:space="preserve"> ما قيمته </w:t>
      </w:r>
      <w:r w:rsidR="0095572F" w:rsidRPr="00C32070">
        <w:rPr>
          <w:lang w:bidi="ar-EG"/>
        </w:rPr>
        <w:t>172</w:t>
      </w:r>
      <w:r w:rsidR="0069764E" w:rsidRPr="00C32070">
        <w:rPr>
          <w:lang w:bidi="ar-EG"/>
        </w:rPr>
        <w:t>,</w:t>
      </w:r>
      <w:r w:rsidR="0095572F" w:rsidRPr="00C32070">
        <w:rPr>
          <w:lang w:bidi="ar-EG"/>
        </w:rPr>
        <w:t>4</w:t>
      </w:r>
      <w:r w:rsidR="0095572F" w:rsidRPr="00C32070">
        <w:rPr>
          <w:rtl/>
          <w:lang w:bidi="ar-EG"/>
        </w:rPr>
        <w:t xml:space="preserve"> مليون فرنك سويسري، </w:t>
      </w:r>
      <w:r w:rsidR="00D0049C" w:rsidRPr="00C32070">
        <w:rPr>
          <w:rtl/>
          <w:lang w:bidi="ar-EG"/>
        </w:rPr>
        <w:t>بال</w:t>
      </w:r>
      <w:r w:rsidR="0095572F" w:rsidRPr="00C32070">
        <w:rPr>
          <w:rtl/>
          <w:lang w:bidi="ar-EG"/>
        </w:rPr>
        <w:t>مقارنة</w:t>
      </w:r>
      <w:r w:rsidR="00D0049C" w:rsidRPr="00C32070">
        <w:rPr>
          <w:rtl/>
          <w:lang w:bidi="ar-EG"/>
        </w:rPr>
        <w:t xml:space="preserve"> مع</w:t>
      </w:r>
      <w:r w:rsidR="0095572F" w:rsidRPr="00C32070">
        <w:rPr>
          <w:rtl/>
          <w:lang w:bidi="ar-EG"/>
        </w:rPr>
        <w:t xml:space="preserve"> </w:t>
      </w:r>
      <w:r w:rsidR="0095572F" w:rsidRPr="00C32070">
        <w:rPr>
          <w:lang w:bidi="ar-EG"/>
        </w:rPr>
        <w:t>178</w:t>
      </w:r>
      <w:r w:rsidR="0069764E" w:rsidRPr="00C32070">
        <w:rPr>
          <w:lang w:bidi="ar-EG"/>
        </w:rPr>
        <w:t>,</w:t>
      </w:r>
      <w:r w:rsidR="0095572F" w:rsidRPr="00C32070">
        <w:rPr>
          <w:lang w:bidi="ar-EG"/>
        </w:rPr>
        <w:t>5</w:t>
      </w:r>
      <w:r w:rsidR="0095572F" w:rsidRPr="00C32070">
        <w:rPr>
          <w:rtl/>
          <w:lang w:bidi="ar-EG"/>
        </w:rPr>
        <w:t xml:space="preserve"> مليون فرنك سويسري في عام </w:t>
      </w:r>
      <w:r w:rsidR="0095572F" w:rsidRPr="00C32070">
        <w:rPr>
          <w:lang w:bidi="ar-EG"/>
        </w:rPr>
        <w:t>2022</w:t>
      </w:r>
      <w:r w:rsidR="0095572F" w:rsidRPr="00C32070">
        <w:rPr>
          <w:rtl/>
          <w:lang w:bidi="ar-EG"/>
        </w:rPr>
        <w:t xml:space="preserve">. ويبين الجدول </w:t>
      </w:r>
      <w:r w:rsidR="0095572F" w:rsidRPr="00C32070">
        <w:rPr>
          <w:lang w:bidi="ar-EG"/>
        </w:rPr>
        <w:t>1</w:t>
      </w:r>
      <w:r w:rsidR="0095572F" w:rsidRPr="00C32070">
        <w:rPr>
          <w:rtl/>
          <w:lang w:bidi="ar-EG"/>
        </w:rPr>
        <w:t xml:space="preserve"> </w:t>
      </w:r>
      <w:r w:rsidR="00D0049C" w:rsidRPr="00C32070">
        <w:rPr>
          <w:rtl/>
          <w:lang w:bidi="ar-EG"/>
        </w:rPr>
        <w:t xml:space="preserve">أدناه </w:t>
      </w:r>
      <w:r w:rsidR="0095572F" w:rsidRPr="00C32070">
        <w:rPr>
          <w:rtl/>
          <w:lang w:bidi="ar-EG"/>
        </w:rPr>
        <w:t xml:space="preserve">المصادر الرئيسية للإيرادات لكل من عامي </w:t>
      </w:r>
      <w:r w:rsidR="0095572F" w:rsidRPr="00C32070">
        <w:rPr>
          <w:lang w:bidi="ar-EG"/>
        </w:rPr>
        <w:t>202</w:t>
      </w:r>
      <w:r w:rsidR="00DF5ED0" w:rsidRPr="00C32070">
        <w:rPr>
          <w:lang w:bidi="ar-EG"/>
        </w:rPr>
        <w:t>3</w:t>
      </w:r>
      <w:r w:rsidR="00D0049C" w:rsidRPr="00C32070">
        <w:rPr>
          <w:rtl/>
          <w:lang w:bidi="ar-EG"/>
        </w:rPr>
        <w:t xml:space="preserve"> و</w:t>
      </w:r>
      <w:r w:rsidR="0095572F" w:rsidRPr="00C32070">
        <w:rPr>
          <w:lang w:bidi="ar-EG"/>
        </w:rPr>
        <w:t>202</w:t>
      </w:r>
      <w:r w:rsidR="00DF5ED0" w:rsidRPr="00C32070">
        <w:rPr>
          <w:lang w:bidi="ar-EG"/>
        </w:rPr>
        <w:t>2</w:t>
      </w:r>
      <w:r w:rsidR="0095572F" w:rsidRPr="00C32070">
        <w:rPr>
          <w:rtl/>
          <w:lang w:bidi="ar-EG"/>
        </w:rPr>
        <w:t xml:space="preserve">. وزادت إيرادات المساهمات المقررة والمساهمات من خارج الميزانية بمقدار </w:t>
      </w:r>
      <w:r w:rsidR="0095572F" w:rsidRPr="00C32070">
        <w:rPr>
          <w:lang w:bidi="ar-EG"/>
        </w:rPr>
        <w:t>0</w:t>
      </w:r>
      <w:r w:rsidR="0069764E" w:rsidRPr="00C32070">
        <w:rPr>
          <w:lang w:bidi="ar-EG"/>
        </w:rPr>
        <w:t>,</w:t>
      </w:r>
      <w:r w:rsidR="0095572F" w:rsidRPr="00C32070">
        <w:rPr>
          <w:lang w:bidi="ar-EG"/>
        </w:rPr>
        <w:t>8</w:t>
      </w:r>
      <w:r w:rsidR="0095572F" w:rsidRPr="00C32070">
        <w:rPr>
          <w:rtl/>
          <w:lang w:bidi="ar-EG"/>
        </w:rPr>
        <w:t xml:space="preserve"> مليون فرنك سويسري. وزادت الإيرادات من المنشورات وبطاقات التبليغ عن الشبكات </w:t>
      </w:r>
      <w:proofErr w:type="spellStart"/>
      <w:r w:rsidR="0095572F" w:rsidRPr="00C32070">
        <w:rPr>
          <w:rtl/>
          <w:lang w:bidi="ar-EG"/>
        </w:rPr>
        <w:t>الساتلية</w:t>
      </w:r>
      <w:proofErr w:type="spellEnd"/>
      <w:r w:rsidR="0095572F" w:rsidRPr="00C32070">
        <w:rPr>
          <w:rtl/>
          <w:lang w:bidi="ar-EG"/>
        </w:rPr>
        <w:t xml:space="preserve"> بمقدار </w:t>
      </w:r>
      <w:r w:rsidR="0095572F" w:rsidRPr="00C32070">
        <w:rPr>
          <w:lang w:bidi="ar-EG"/>
        </w:rPr>
        <w:t>2</w:t>
      </w:r>
      <w:r w:rsidR="0069764E" w:rsidRPr="00C32070">
        <w:rPr>
          <w:lang w:bidi="ar-EG"/>
        </w:rPr>
        <w:t>,</w:t>
      </w:r>
      <w:r w:rsidR="0095572F" w:rsidRPr="00C32070">
        <w:rPr>
          <w:lang w:bidi="ar-EG"/>
        </w:rPr>
        <w:t>4</w:t>
      </w:r>
      <w:r w:rsidR="0095572F" w:rsidRPr="00C32070">
        <w:rPr>
          <w:rtl/>
          <w:lang w:bidi="ar-EG"/>
        </w:rPr>
        <w:t xml:space="preserve"> مليون فرنك سويسري. </w:t>
      </w:r>
      <w:r w:rsidR="00D0049C" w:rsidRPr="00C32070">
        <w:rPr>
          <w:rtl/>
          <w:lang w:bidi="ar-EG"/>
        </w:rPr>
        <w:t>و</w:t>
      </w:r>
      <w:r w:rsidR="0095572F" w:rsidRPr="00C32070">
        <w:rPr>
          <w:rtl/>
          <w:lang w:bidi="ar-EG"/>
        </w:rPr>
        <w:t xml:space="preserve">زادت الإيرادات الأخرى بمقدار </w:t>
      </w:r>
      <w:r w:rsidR="0095572F" w:rsidRPr="00C32070">
        <w:rPr>
          <w:lang w:bidi="ar-EG"/>
        </w:rPr>
        <w:t>5</w:t>
      </w:r>
      <w:r w:rsidR="00D0049C" w:rsidRPr="00C32070">
        <w:rPr>
          <w:lang w:bidi="ar-EG"/>
        </w:rPr>
        <w:t>,</w:t>
      </w:r>
      <w:r w:rsidR="0095572F" w:rsidRPr="00C32070">
        <w:rPr>
          <w:lang w:bidi="ar-EG"/>
        </w:rPr>
        <w:t>2</w:t>
      </w:r>
      <w:r w:rsidR="0095572F" w:rsidRPr="00C32070">
        <w:rPr>
          <w:rtl/>
          <w:lang w:bidi="ar-EG"/>
        </w:rPr>
        <w:t xml:space="preserve"> مليون فرنك سويسري بينما زادت إيرادات التمويل/(ال</w:t>
      </w:r>
      <w:r w:rsidR="00D0049C" w:rsidRPr="00C32070">
        <w:rPr>
          <w:rtl/>
          <w:lang w:bidi="ar-EG"/>
        </w:rPr>
        <w:t>تكاليف</w:t>
      </w:r>
      <w:r w:rsidR="0095572F" w:rsidRPr="00C32070">
        <w:rPr>
          <w:rtl/>
          <w:lang w:bidi="ar-EG"/>
        </w:rPr>
        <w:t xml:space="preserve">) بمقدار </w:t>
      </w:r>
      <w:r w:rsidR="0095572F" w:rsidRPr="00C32070">
        <w:rPr>
          <w:lang w:bidi="ar-EG"/>
        </w:rPr>
        <w:t>14</w:t>
      </w:r>
      <w:r w:rsidR="0069764E" w:rsidRPr="00C32070">
        <w:rPr>
          <w:lang w:bidi="ar-EG"/>
        </w:rPr>
        <w:t>,</w:t>
      </w:r>
      <w:r w:rsidR="0095572F" w:rsidRPr="00C32070">
        <w:rPr>
          <w:lang w:bidi="ar-EG"/>
        </w:rPr>
        <w:t>8</w:t>
      </w:r>
      <w:r w:rsidR="0095572F" w:rsidRPr="00C32070">
        <w:rPr>
          <w:rtl/>
          <w:lang w:bidi="ar-EG"/>
        </w:rPr>
        <w:t xml:space="preserve"> مليون فرنك سويسري (مقارنة بعام </w:t>
      </w:r>
      <w:r w:rsidR="0095572F" w:rsidRPr="00C32070">
        <w:rPr>
          <w:lang w:bidi="ar-EG"/>
        </w:rPr>
        <w:t>2022</w:t>
      </w:r>
      <w:r w:rsidR="0095572F" w:rsidRPr="00C32070">
        <w:rPr>
          <w:rtl/>
          <w:lang w:bidi="ar-EG"/>
        </w:rPr>
        <w:t xml:space="preserve">). وعلى الرغم من الدخل المالي البالغ </w:t>
      </w:r>
      <w:r w:rsidR="0095572F" w:rsidRPr="00C32070">
        <w:rPr>
          <w:lang w:bidi="ar-EG"/>
        </w:rPr>
        <w:t>4</w:t>
      </w:r>
      <w:r w:rsidR="0069764E" w:rsidRPr="00C32070">
        <w:rPr>
          <w:lang w:bidi="ar-EG"/>
        </w:rPr>
        <w:t>,</w:t>
      </w:r>
      <w:r w:rsidR="0095572F" w:rsidRPr="00C32070">
        <w:rPr>
          <w:lang w:bidi="ar-EG"/>
        </w:rPr>
        <w:t>6</w:t>
      </w:r>
      <w:r w:rsidR="0095572F" w:rsidRPr="00C32070">
        <w:rPr>
          <w:rtl/>
          <w:lang w:bidi="ar-EG"/>
        </w:rPr>
        <w:t xml:space="preserve"> مليون فرنك سويسري من الاستثمارات قصيرة الأجل </w:t>
      </w:r>
      <w:r w:rsidR="00D0049C" w:rsidRPr="00C32070">
        <w:rPr>
          <w:rtl/>
          <w:lang w:bidi="ar-EG"/>
        </w:rPr>
        <w:t>المنفذة</w:t>
      </w:r>
      <w:r w:rsidR="0095572F" w:rsidRPr="00C32070">
        <w:rPr>
          <w:rtl/>
          <w:lang w:bidi="ar-EG"/>
        </w:rPr>
        <w:t xml:space="preserve"> خلال العام، فإن الأداء المالي العام للمنظمة </w:t>
      </w:r>
      <w:r w:rsidR="00D0049C" w:rsidRPr="00C32070">
        <w:rPr>
          <w:rtl/>
          <w:lang w:bidi="ar-EG"/>
        </w:rPr>
        <w:t>سالب</w:t>
      </w:r>
      <w:r w:rsidR="0095572F" w:rsidRPr="00C32070">
        <w:rPr>
          <w:rtl/>
          <w:lang w:bidi="ar-EG"/>
        </w:rPr>
        <w:t xml:space="preserve"> بسبب العاملين التاليين: خسائر صرف العملات الأجنبية المحق</w:t>
      </w:r>
      <w:r w:rsidR="004C1C57" w:rsidRPr="00C32070">
        <w:rPr>
          <w:rtl/>
          <w:lang w:bidi="ar-EG"/>
        </w:rPr>
        <w:t>َ</w:t>
      </w:r>
      <w:r w:rsidR="0095572F" w:rsidRPr="00C32070">
        <w:rPr>
          <w:rtl/>
          <w:lang w:bidi="ar-EG"/>
        </w:rPr>
        <w:t>قة على الاستثمارات قصيرة الأجل (</w:t>
      </w:r>
      <w:r w:rsidR="0095572F" w:rsidRPr="00C32070">
        <w:rPr>
          <w:lang w:bidi="ar-EG"/>
        </w:rPr>
        <w:t>3</w:t>
      </w:r>
      <w:r w:rsidR="0069764E" w:rsidRPr="00C32070">
        <w:rPr>
          <w:lang w:bidi="ar-EG"/>
        </w:rPr>
        <w:t>,</w:t>
      </w:r>
      <w:r w:rsidR="0095572F" w:rsidRPr="00C32070">
        <w:rPr>
          <w:lang w:bidi="ar-EG"/>
        </w:rPr>
        <w:t>6</w:t>
      </w:r>
      <w:r w:rsidR="0095572F" w:rsidRPr="00C32070">
        <w:rPr>
          <w:rtl/>
          <w:lang w:bidi="ar-EG"/>
        </w:rPr>
        <w:t xml:space="preserve"> مليون فرنك سويسري) </w:t>
      </w:r>
      <w:r w:rsidR="00D0049C" w:rsidRPr="00C32070">
        <w:rPr>
          <w:rtl/>
          <w:lang w:bidi="ar-EG"/>
        </w:rPr>
        <w:t>نتيجة ارتفاع قيمة</w:t>
      </w:r>
      <w:r w:rsidR="0095572F" w:rsidRPr="00C32070">
        <w:rPr>
          <w:rtl/>
          <w:lang w:bidi="ar-EG"/>
        </w:rPr>
        <w:t xml:space="preserve"> الفرنك السويسري </w:t>
      </w:r>
      <w:r w:rsidR="00D0049C" w:rsidRPr="00C32070">
        <w:rPr>
          <w:rtl/>
          <w:lang w:bidi="ar-EG"/>
        </w:rPr>
        <w:t xml:space="preserve">مقابل </w:t>
      </w:r>
      <w:r w:rsidR="0095572F" w:rsidRPr="00C32070">
        <w:rPr>
          <w:rtl/>
          <w:lang w:bidi="ar-EG"/>
        </w:rPr>
        <w:t xml:space="preserve">الدولار الأمريكي واليورو في عام </w:t>
      </w:r>
      <w:r w:rsidR="0095572F" w:rsidRPr="00C32070">
        <w:rPr>
          <w:lang w:bidi="ar-EG"/>
        </w:rPr>
        <w:t>2023</w:t>
      </w:r>
      <w:r w:rsidR="0095572F" w:rsidRPr="00C32070">
        <w:rPr>
          <w:rtl/>
          <w:lang w:bidi="ar-EG"/>
        </w:rPr>
        <w:t>؛ والتعرض لخسائر غير محق</w:t>
      </w:r>
      <w:r w:rsidR="004C1C57" w:rsidRPr="00C32070">
        <w:rPr>
          <w:rtl/>
          <w:lang w:bidi="ar-EG"/>
        </w:rPr>
        <w:t>َ</w:t>
      </w:r>
      <w:r w:rsidR="0095572F" w:rsidRPr="00C32070">
        <w:rPr>
          <w:rtl/>
          <w:lang w:bidi="ar-EG"/>
        </w:rPr>
        <w:t xml:space="preserve">قة على استثمارات بقيمة </w:t>
      </w:r>
      <w:r w:rsidR="0095572F" w:rsidRPr="00C32070">
        <w:rPr>
          <w:lang w:bidi="ar-EG"/>
        </w:rPr>
        <w:t>2</w:t>
      </w:r>
      <w:r w:rsidR="0069764E" w:rsidRPr="00C32070">
        <w:rPr>
          <w:lang w:bidi="ar-EG"/>
        </w:rPr>
        <w:t>,</w:t>
      </w:r>
      <w:r w:rsidR="0095572F" w:rsidRPr="00C32070">
        <w:rPr>
          <w:lang w:bidi="ar-EG"/>
        </w:rPr>
        <w:t>6</w:t>
      </w:r>
      <w:r w:rsidR="0095572F" w:rsidRPr="00C32070">
        <w:rPr>
          <w:rtl/>
          <w:lang w:bidi="ar-EG"/>
        </w:rPr>
        <w:t xml:space="preserve"> مليون فرنك سويسري في </w:t>
      </w:r>
      <w:r w:rsidR="0095572F" w:rsidRPr="00C32070">
        <w:rPr>
          <w:lang w:bidi="ar-EG"/>
        </w:rPr>
        <w:t>31</w:t>
      </w:r>
      <w:r w:rsidR="0095572F" w:rsidRPr="00C32070">
        <w:rPr>
          <w:rtl/>
          <w:lang w:bidi="ar-EG"/>
        </w:rPr>
        <w:t xml:space="preserve"> ديسمبر </w:t>
      </w:r>
      <w:r w:rsidR="0095572F" w:rsidRPr="00C32070">
        <w:rPr>
          <w:lang w:bidi="ar-EG"/>
        </w:rPr>
        <w:t>2023</w:t>
      </w:r>
      <w:r w:rsidR="0095572F" w:rsidRPr="00C32070">
        <w:rPr>
          <w:rtl/>
          <w:lang w:bidi="ar-EG"/>
        </w:rPr>
        <w:t xml:space="preserve"> </w:t>
      </w:r>
      <w:r w:rsidR="00D0049C" w:rsidRPr="00C32070">
        <w:rPr>
          <w:rtl/>
          <w:lang w:bidi="ar-EG"/>
        </w:rPr>
        <w:t>يحين أج</w:t>
      </w:r>
      <w:r w:rsidR="00223F0C" w:rsidRPr="00C32070">
        <w:rPr>
          <w:rtl/>
          <w:lang w:bidi="ar-EG"/>
        </w:rPr>
        <w:t>ل</w:t>
      </w:r>
      <w:r w:rsidR="0095572F" w:rsidRPr="00C32070">
        <w:rPr>
          <w:rtl/>
          <w:lang w:bidi="ar-EG"/>
        </w:rPr>
        <w:t xml:space="preserve"> استحقاقها في</w:t>
      </w:r>
      <w:r w:rsidR="00D0049C" w:rsidRPr="00C32070">
        <w:rPr>
          <w:rtl/>
          <w:lang w:bidi="ar-EG"/>
        </w:rPr>
        <w:t xml:space="preserve"> عام</w:t>
      </w:r>
      <w:r w:rsidR="0095572F" w:rsidRPr="00C32070">
        <w:rPr>
          <w:rtl/>
          <w:lang w:bidi="ar-EG"/>
        </w:rPr>
        <w:t xml:space="preserve"> </w:t>
      </w:r>
      <w:r w:rsidR="0095572F" w:rsidRPr="00C32070">
        <w:rPr>
          <w:lang w:bidi="ar-EG"/>
        </w:rPr>
        <w:t>2024</w:t>
      </w:r>
      <w:r w:rsidR="0095572F" w:rsidRPr="00C32070">
        <w:rPr>
          <w:rtl/>
          <w:lang w:bidi="ar-EG"/>
        </w:rPr>
        <w:t>.</w:t>
      </w:r>
    </w:p>
    <w:p w14:paraId="3CEADC3C" w14:textId="104E6210" w:rsidR="003E397F" w:rsidRDefault="003E397F" w:rsidP="003E397F">
      <w:pPr>
        <w:pStyle w:val="Tabletitle"/>
        <w:rPr>
          <w:rtl/>
        </w:rPr>
      </w:pPr>
      <w:r w:rsidRPr="00C32070">
        <w:rPr>
          <w:rtl/>
        </w:rPr>
        <w:lastRenderedPageBreak/>
        <w:t>الجدول 1 - مصادر الإيرادات</w:t>
      </w:r>
      <w:r w:rsidR="00D0049C" w:rsidRPr="00C32070">
        <w:rPr>
          <w:rtl/>
        </w:rPr>
        <w:t xml:space="preserve"> في</w:t>
      </w:r>
      <w:r w:rsidRPr="00C32070">
        <w:rPr>
          <w:rtl/>
        </w:rPr>
        <w:t xml:space="preserve"> عامَي 2023 و2022</w:t>
      </w:r>
    </w:p>
    <w:p w14:paraId="2A14CC51" w14:textId="7841E6F4" w:rsidR="00732E58" w:rsidRPr="00C32070" w:rsidRDefault="00732E58" w:rsidP="00EA4A10">
      <w:pPr>
        <w:pStyle w:val="Figure"/>
        <w:rPr>
          <w:rtl/>
          <w:lang w:bidi="ar-EG"/>
        </w:rPr>
      </w:pPr>
      <w:r w:rsidRPr="00732E58">
        <w:rPr>
          <w:rtl/>
        </w:rPr>
        <w:drawing>
          <wp:inline distT="0" distB="0" distL="0" distR="0" wp14:anchorId="06BB4623" wp14:editId="5217DB38">
            <wp:extent cx="5729605"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9605" cy="3657600"/>
                    </a:xfrm>
                    <a:prstGeom prst="rect">
                      <a:avLst/>
                    </a:prstGeom>
                    <a:noFill/>
                    <a:ln>
                      <a:noFill/>
                    </a:ln>
                  </pic:spPr>
                </pic:pic>
              </a:graphicData>
            </a:graphic>
          </wp:inline>
        </w:drawing>
      </w:r>
    </w:p>
    <w:p w14:paraId="6D03A348" w14:textId="1EDC4748" w:rsidR="00A72F5F" w:rsidRPr="00C32070" w:rsidRDefault="00A72F5F" w:rsidP="00A72F5F">
      <w:pPr>
        <w:pStyle w:val="Figuretitle"/>
        <w:rPr>
          <w:lang w:bidi="ar-SY"/>
        </w:rPr>
      </w:pPr>
      <w:r w:rsidRPr="00C32070">
        <w:rPr>
          <w:rtl/>
        </w:rPr>
        <w:t xml:space="preserve">الشكل </w:t>
      </w:r>
      <w:r w:rsidRPr="00C32070">
        <w:t>2</w:t>
      </w:r>
      <w:r w:rsidRPr="00C32070">
        <w:rPr>
          <w:rtl/>
        </w:rPr>
        <w:t xml:space="preserve"> - </w:t>
      </w:r>
      <w:r w:rsidR="00223F0C" w:rsidRPr="00C32070">
        <w:rPr>
          <w:rtl/>
        </w:rPr>
        <w:t>توزيع</w:t>
      </w:r>
      <w:r w:rsidRPr="00C32070">
        <w:rPr>
          <w:rtl/>
        </w:rPr>
        <w:t xml:space="preserve"> تحليل الإيرادات لعام </w:t>
      </w:r>
      <w:r w:rsidRPr="00C32070">
        <w:t>2023</w:t>
      </w:r>
    </w:p>
    <w:p w14:paraId="1D60FA64" w14:textId="43C7BADF" w:rsidR="00C24881" w:rsidRPr="00C32070" w:rsidRDefault="00862DA6" w:rsidP="00A72F5F">
      <w:pPr>
        <w:pStyle w:val="Figure"/>
        <w:rPr>
          <w:sz w:val="24"/>
          <w:szCs w:val="24"/>
        </w:rPr>
      </w:pPr>
      <w:r w:rsidRPr="00C32070">
        <w:rPr>
          <w:sz w:val="24"/>
          <w:szCs w:val="24"/>
        </w:rPr>
        <w:drawing>
          <wp:inline distT="0" distB="0" distL="0" distR="0" wp14:anchorId="707B1F89" wp14:editId="57CD484C">
            <wp:extent cx="6104450" cy="37210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2199" cy="3725751"/>
                    </a:xfrm>
                    <a:prstGeom prst="rect">
                      <a:avLst/>
                    </a:prstGeom>
                    <a:noFill/>
                  </pic:spPr>
                </pic:pic>
              </a:graphicData>
            </a:graphic>
          </wp:inline>
        </w:drawing>
      </w:r>
    </w:p>
    <w:p w14:paraId="12C94F87" w14:textId="63307627" w:rsidR="00A72F5F" w:rsidRPr="00C32070" w:rsidRDefault="00A72F5F" w:rsidP="003E6D9E">
      <w:pPr>
        <w:rPr>
          <w:spacing w:val="-2"/>
        </w:rPr>
      </w:pPr>
      <w:r w:rsidRPr="00C32070">
        <w:rPr>
          <w:spacing w:val="-2"/>
        </w:rPr>
        <w:t>10</w:t>
      </w:r>
      <w:r w:rsidRPr="00C32070">
        <w:rPr>
          <w:spacing w:val="-2"/>
        </w:rPr>
        <w:tab/>
      </w:r>
      <w:r w:rsidRPr="00C32070">
        <w:rPr>
          <w:spacing w:val="-2"/>
          <w:rtl/>
          <w:lang w:bidi="ar-SY"/>
        </w:rPr>
        <w:t xml:space="preserve">وكما يتضح من الشكل </w:t>
      </w:r>
      <w:r w:rsidRPr="00C32070">
        <w:rPr>
          <w:spacing w:val="-2"/>
          <w:lang w:bidi="ar-SY"/>
        </w:rPr>
        <w:t>2</w:t>
      </w:r>
      <w:r w:rsidRPr="00C32070">
        <w:rPr>
          <w:spacing w:val="-2"/>
          <w:rtl/>
          <w:lang w:bidi="ar-SY"/>
        </w:rPr>
        <w:t xml:space="preserve"> أعلاه، فإن المصدر الرئيسي لإيرادات </w:t>
      </w:r>
      <w:r w:rsidR="00D0049C" w:rsidRPr="00C32070">
        <w:rPr>
          <w:spacing w:val="-2"/>
          <w:rtl/>
          <w:lang w:bidi="ar-SY"/>
        </w:rPr>
        <w:t xml:space="preserve">الاتحاد </w:t>
      </w:r>
      <w:r w:rsidRPr="00C32070">
        <w:rPr>
          <w:spacing w:val="-2"/>
          <w:rtl/>
          <w:lang w:bidi="ar-SY"/>
        </w:rPr>
        <w:t xml:space="preserve">هو المساهمات المقررة التي تمثل </w:t>
      </w:r>
      <w:r w:rsidRPr="00C32070">
        <w:rPr>
          <w:spacing w:val="-2"/>
          <w:lang w:bidi="ar-SY"/>
        </w:rPr>
        <w:t>71</w:t>
      </w:r>
      <w:r w:rsidRPr="00C32070">
        <w:rPr>
          <w:spacing w:val="-2"/>
          <w:rtl/>
          <w:lang w:bidi="ar-SY"/>
        </w:rPr>
        <w:t xml:space="preserve"> في المائة تليها إيرادات </w:t>
      </w:r>
      <w:r w:rsidR="00D0049C" w:rsidRPr="00C32070">
        <w:rPr>
          <w:spacing w:val="-2"/>
          <w:rtl/>
          <w:lang w:bidi="ar-SY"/>
        </w:rPr>
        <w:t xml:space="preserve">التشغيل الأخرى </w:t>
      </w:r>
      <w:r w:rsidRPr="00C32070">
        <w:rPr>
          <w:spacing w:val="-2"/>
          <w:rtl/>
          <w:lang w:bidi="ar-SY"/>
        </w:rPr>
        <w:t xml:space="preserve">التي تمثل </w:t>
      </w:r>
      <w:r w:rsidRPr="00C32070">
        <w:rPr>
          <w:spacing w:val="-2"/>
          <w:lang w:bidi="ar-SY"/>
        </w:rPr>
        <w:t>18</w:t>
      </w:r>
      <w:r w:rsidRPr="00C32070">
        <w:rPr>
          <w:spacing w:val="-2"/>
          <w:rtl/>
          <w:lang w:bidi="ar-SY"/>
        </w:rPr>
        <w:t xml:space="preserve"> في المائة وتشمل مبيعات المنشورات وبطاقات التبليغ عن الشبكات </w:t>
      </w:r>
      <w:proofErr w:type="spellStart"/>
      <w:r w:rsidRPr="00C32070">
        <w:rPr>
          <w:spacing w:val="-2"/>
          <w:rtl/>
          <w:lang w:bidi="ar-SY"/>
        </w:rPr>
        <w:t>الساتلية</w:t>
      </w:r>
      <w:proofErr w:type="spellEnd"/>
      <w:r w:rsidRPr="00C32070">
        <w:rPr>
          <w:spacing w:val="-2"/>
          <w:rtl/>
          <w:lang w:bidi="ar-SY"/>
        </w:rPr>
        <w:t xml:space="preserve"> (</w:t>
      </w:r>
      <w:r w:rsidRPr="00C32070">
        <w:rPr>
          <w:spacing w:val="-2"/>
          <w:lang w:bidi="ar-SY"/>
        </w:rPr>
        <w:t>SNF</w:t>
      </w:r>
      <w:r w:rsidRPr="00C32070">
        <w:rPr>
          <w:spacing w:val="-2"/>
          <w:rtl/>
          <w:lang w:bidi="ar-SY"/>
        </w:rPr>
        <w:t>).</w:t>
      </w:r>
    </w:p>
    <w:p w14:paraId="4FFC9A1A" w14:textId="5BE7D010" w:rsidR="00A72F5F" w:rsidRPr="00C32070" w:rsidRDefault="00A72F5F" w:rsidP="003E6D9E">
      <w:r w:rsidRPr="00C32070">
        <w:lastRenderedPageBreak/>
        <w:t>11</w:t>
      </w:r>
      <w:r w:rsidRPr="00C32070">
        <w:tab/>
      </w:r>
      <w:r w:rsidR="0095572F" w:rsidRPr="00C32070">
        <w:rPr>
          <w:rtl/>
          <w:lang w:bidi="ar-EG"/>
        </w:rPr>
        <w:t xml:space="preserve">وتشكل المساهمات من خارج الميزانية المعترف بها لعام </w:t>
      </w:r>
      <w:r w:rsidR="0095572F" w:rsidRPr="00C32070">
        <w:rPr>
          <w:lang w:bidi="ar-EG"/>
        </w:rPr>
        <w:t>2023</w:t>
      </w:r>
      <w:r w:rsidR="0095572F" w:rsidRPr="00C32070">
        <w:rPr>
          <w:rtl/>
          <w:lang w:bidi="ar-EG"/>
        </w:rPr>
        <w:t xml:space="preserve"> نسبة </w:t>
      </w:r>
      <w:r w:rsidR="00E27010" w:rsidRPr="00C32070">
        <w:rPr>
          <w:lang w:val="en-CA" w:bidi="ar-EG"/>
        </w:rPr>
        <w:t>%</w:t>
      </w:r>
      <w:r w:rsidR="0095572F" w:rsidRPr="00C32070">
        <w:rPr>
          <w:lang w:bidi="ar-EG"/>
        </w:rPr>
        <w:t>11</w:t>
      </w:r>
      <w:r w:rsidR="0095572F" w:rsidRPr="00C32070">
        <w:rPr>
          <w:rtl/>
          <w:lang w:bidi="ar-EG"/>
        </w:rPr>
        <w:t xml:space="preserve"> من إجمالي الإيرادات (</w:t>
      </w:r>
      <w:r w:rsidR="0095572F" w:rsidRPr="00C32070">
        <w:rPr>
          <w:lang w:bidi="ar-EG"/>
        </w:rPr>
        <w:t>18</w:t>
      </w:r>
      <w:r w:rsidR="00E27010" w:rsidRPr="00C32070">
        <w:rPr>
          <w:lang w:bidi="ar-EG"/>
        </w:rPr>
        <w:t>,</w:t>
      </w:r>
      <w:r w:rsidR="0095572F" w:rsidRPr="00C32070">
        <w:rPr>
          <w:lang w:bidi="ar-EG"/>
        </w:rPr>
        <w:t>7</w:t>
      </w:r>
      <w:r w:rsidR="0095572F" w:rsidRPr="00C32070">
        <w:rPr>
          <w:rtl/>
          <w:lang w:bidi="ar-EG"/>
        </w:rPr>
        <w:t xml:space="preserve"> مليون فرنك سويسري) (</w:t>
      </w:r>
      <w:r w:rsidR="0095572F" w:rsidRPr="00C32070">
        <w:rPr>
          <w:lang w:bidi="ar-EG"/>
        </w:rPr>
        <w:t>17</w:t>
      </w:r>
      <w:r w:rsidR="00E27010" w:rsidRPr="00C32070">
        <w:rPr>
          <w:lang w:bidi="ar-EG"/>
        </w:rPr>
        <w:t>,</w:t>
      </w:r>
      <w:r w:rsidR="0095572F" w:rsidRPr="00C32070">
        <w:rPr>
          <w:lang w:bidi="ar-EG"/>
        </w:rPr>
        <w:t>9</w:t>
      </w:r>
      <w:r w:rsidR="0095572F" w:rsidRPr="00C32070">
        <w:rPr>
          <w:rtl/>
          <w:lang w:bidi="ar-EG"/>
        </w:rPr>
        <w:t xml:space="preserve"> مليون فرنك سويسري في عام </w:t>
      </w:r>
      <w:r w:rsidR="0095572F" w:rsidRPr="00C32070">
        <w:rPr>
          <w:lang w:bidi="ar-EG"/>
        </w:rPr>
        <w:t>2022</w:t>
      </w:r>
      <w:r w:rsidR="0095572F" w:rsidRPr="00C32070">
        <w:rPr>
          <w:rtl/>
          <w:lang w:bidi="ar-EG"/>
        </w:rPr>
        <w:t xml:space="preserve">). ويعود سبب الزيادة إلى زيادة معدل تنفيذ </w:t>
      </w:r>
      <w:r w:rsidR="0012546F" w:rsidRPr="00C32070">
        <w:rPr>
          <w:rtl/>
          <w:lang w:bidi="ar-EG"/>
        </w:rPr>
        <w:t xml:space="preserve">الصناديق </w:t>
      </w:r>
      <w:proofErr w:type="spellStart"/>
      <w:r w:rsidR="0012546F" w:rsidRPr="00C32070">
        <w:rPr>
          <w:rtl/>
          <w:lang w:bidi="ar-EG"/>
        </w:rPr>
        <w:t>الاستئمانية</w:t>
      </w:r>
      <w:proofErr w:type="spellEnd"/>
      <w:r w:rsidR="0012546F" w:rsidRPr="00C32070">
        <w:rPr>
          <w:rtl/>
          <w:lang w:bidi="ar-EG"/>
        </w:rPr>
        <w:t xml:space="preserve"> </w:t>
      </w:r>
      <w:r w:rsidR="0095572F" w:rsidRPr="00C32070">
        <w:rPr>
          <w:rtl/>
          <w:lang w:bidi="ar-EG"/>
        </w:rPr>
        <w:t xml:space="preserve">في عام </w:t>
      </w:r>
      <w:r w:rsidR="0095572F" w:rsidRPr="00C32070">
        <w:rPr>
          <w:lang w:bidi="ar-EG"/>
        </w:rPr>
        <w:t>2023</w:t>
      </w:r>
      <w:r w:rsidR="0095572F" w:rsidRPr="00C32070">
        <w:rPr>
          <w:rtl/>
          <w:lang w:bidi="ar-EG"/>
        </w:rPr>
        <w:t xml:space="preserve"> مقارنة بعام </w:t>
      </w:r>
      <w:r w:rsidR="0095572F" w:rsidRPr="00C32070">
        <w:rPr>
          <w:lang w:bidi="ar-EG"/>
        </w:rPr>
        <w:t>2022</w:t>
      </w:r>
      <w:r w:rsidR="0095572F" w:rsidRPr="00C32070">
        <w:rPr>
          <w:rtl/>
          <w:lang w:bidi="ar-EG"/>
        </w:rPr>
        <w:t>.</w:t>
      </w:r>
    </w:p>
    <w:p w14:paraId="1C6E9C20" w14:textId="20C25B28" w:rsidR="00A72F5F" w:rsidRPr="00C32070" w:rsidRDefault="00A72F5F" w:rsidP="003E6D9E">
      <w:r w:rsidRPr="00C32070">
        <w:t>12</w:t>
      </w:r>
      <w:r w:rsidRPr="00C32070">
        <w:tab/>
      </w:r>
      <w:r w:rsidRPr="00C32070">
        <w:rPr>
          <w:rtl/>
          <w:lang w:bidi="ar-SY"/>
        </w:rPr>
        <w:t xml:space="preserve">وحقق تنفيذ مشاريع الصناديق </w:t>
      </w:r>
      <w:proofErr w:type="spellStart"/>
      <w:r w:rsidRPr="00C32070">
        <w:rPr>
          <w:rtl/>
          <w:lang w:bidi="ar-SY"/>
        </w:rPr>
        <w:t>الاستئمانية</w:t>
      </w:r>
      <w:proofErr w:type="spellEnd"/>
      <w:r w:rsidRPr="00C32070">
        <w:rPr>
          <w:rtl/>
          <w:lang w:bidi="ar-SY"/>
        </w:rPr>
        <w:t xml:space="preserve"> (</w:t>
      </w:r>
      <w:r w:rsidRPr="00C32070">
        <w:rPr>
          <w:lang w:bidi="ar-SY"/>
        </w:rPr>
        <w:t>FIT</w:t>
      </w:r>
      <w:r w:rsidRPr="00C32070">
        <w:rPr>
          <w:rtl/>
          <w:lang w:bidi="ar-SY"/>
        </w:rPr>
        <w:t xml:space="preserve">) إيرادات بلغت </w:t>
      </w:r>
      <w:r w:rsidRPr="00C32070">
        <w:rPr>
          <w:lang w:bidi="ar-SY"/>
        </w:rPr>
        <w:t>1,014</w:t>
      </w:r>
      <w:r w:rsidRPr="00C32070">
        <w:rPr>
          <w:rtl/>
          <w:lang w:bidi="ar-SY"/>
        </w:rPr>
        <w:t xml:space="preserve"> فرنك سويسري في عام </w:t>
      </w:r>
      <w:r w:rsidR="00E27010" w:rsidRPr="00C32070">
        <w:rPr>
          <w:lang w:bidi="ar-SY"/>
        </w:rPr>
        <w:t>2023</w:t>
      </w:r>
      <w:r w:rsidRPr="00C32070">
        <w:rPr>
          <w:rtl/>
          <w:lang w:bidi="ar-SY"/>
        </w:rPr>
        <w:t xml:space="preserve"> (</w:t>
      </w:r>
      <w:r w:rsidRPr="00C32070">
        <w:rPr>
          <w:lang w:bidi="ar-SY"/>
        </w:rPr>
        <w:t>0,941</w:t>
      </w:r>
      <w:r w:rsidR="007C1BD2" w:rsidRPr="00C32070">
        <w:rPr>
          <w:rtl/>
          <w:lang w:bidi="ar-EG"/>
        </w:rPr>
        <w:t> </w:t>
      </w:r>
      <w:r w:rsidR="00E27010" w:rsidRPr="00C32070">
        <w:rPr>
          <w:rtl/>
          <w:lang w:bidi="ar-EG"/>
        </w:rPr>
        <w:t xml:space="preserve">مليون </w:t>
      </w:r>
      <w:r w:rsidRPr="00C32070">
        <w:rPr>
          <w:rtl/>
          <w:lang w:bidi="ar-SY"/>
        </w:rPr>
        <w:t xml:space="preserve">فرنك سويسري في عام </w:t>
      </w:r>
      <w:r w:rsidRPr="00C32070">
        <w:rPr>
          <w:lang w:bidi="ar-SY"/>
        </w:rPr>
        <w:t>2022</w:t>
      </w:r>
      <w:r w:rsidRPr="00C32070">
        <w:rPr>
          <w:rtl/>
          <w:lang w:bidi="ar-SY"/>
        </w:rPr>
        <w:t>) كتكاليف دعم.</w:t>
      </w:r>
    </w:p>
    <w:p w14:paraId="5A68471F" w14:textId="77777777" w:rsidR="00A72F5F" w:rsidRPr="00C32070" w:rsidRDefault="00A72F5F" w:rsidP="00F72B70">
      <w:pPr>
        <w:pStyle w:val="Headingb"/>
        <w:rPr>
          <w:lang w:bidi="ar-SY"/>
        </w:rPr>
      </w:pPr>
      <w:r w:rsidRPr="00C32070">
        <w:rPr>
          <w:rtl/>
        </w:rPr>
        <w:t>النفقات</w:t>
      </w:r>
    </w:p>
    <w:p w14:paraId="10EC0A7D" w14:textId="286A6E97" w:rsidR="0095572F" w:rsidRPr="00C32070" w:rsidRDefault="00A72F5F" w:rsidP="003724DE">
      <w:pPr>
        <w:spacing w:after="120"/>
        <w:rPr>
          <w:rtl/>
          <w:lang w:bidi="ar-SY"/>
        </w:rPr>
      </w:pPr>
      <w:r w:rsidRPr="00C32070">
        <w:rPr>
          <w:rtl/>
        </w:rPr>
        <w:t>13</w:t>
      </w:r>
      <w:r w:rsidRPr="00C32070">
        <w:tab/>
      </w:r>
      <w:r w:rsidRPr="00C32070">
        <w:rPr>
          <w:rtl/>
        </w:rPr>
        <w:t xml:space="preserve">في </w:t>
      </w:r>
      <w:bookmarkStart w:id="11" w:name="_Hlk160115643"/>
      <w:r w:rsidRPr="00C32070">
        <w:rPr>
          <w:rtl/>
        </w:rPr>
        <w:t xml:space="preserve">عام </w:t>
      </w:r>
      <w:bookmarkEnd w:id="11"/>
      <w:r w:rsidR="00CA1703" w:rsidRPr="00C32070">
        <w:rPr>
          <w:rtl/>
        </w:rPr>
        <w:t>2023</w:t>
      </w:r>
      <w:r w:rsidRPr="00C32070">
        <w:rPr>
          <w:rtl/>
        </w:rPr>
        <w:t xml:space="preserve">، بلغت نفقات الاتحاد </w:t>
      </w:r>
      <w:r w:rsidRPr="00C32070">
        <w:t>197,2</w:t>
      </w:r>
      <w:r w:rsidRPr="00C32070">
        <w:rPr>
          <w:rtl/>
          <w:lang w:bidi="ar-EG"/>
        </w:rPr>
        <w:t xml:space="preserve"> </w:t>
      </w:r>
      <w:r w:rsidRPr="00C32070">
        <w:rPr>
          <w:rtl/>
        </w:rPr>
        <w:t>مليون فرنك سويسري (</w:t>
      </w:r>
      <w:r w:rsidR="00D856DB" w:rsidRPr="00C32070">
        <w:t>196,8</w:t>
      </w:r>
      <w:r w:rsidRPr="00C32070">
        <w:rPr>
          <w:rtl/>
        </w:rPr>
        <w:t xml:space="preserve"> مليون فرنك سويسري في عام </w:t>
      </w:r>
      <w:r w:rsidRPr="00C32070">
        <w:t>2022</w:t>
      </w:r>
      <w:r w:rsidRPr="00C32070">
        <w:rPr>
          <w:rtl/>
        </w:rPr>
        <w:t xml:space="preserve">) مما يمثل زيادة بنسبة </w:t>
      </w:r>
      <w:r w:rsidRPr="00C32070">
        <w:t>0,2</w:t>
      </w:r>
      <w:r w:rsidRPr="00C32070">
        <w:rPr>
          <w:rtl/>
        </w:rPr>
        <w:t xml:space="preserve">% مقارنة بعام </w:t>
      </w:r>
      <w:r w:rsidR="00E27010" w:rsidRPr="00C32070">
        <w:t>2022</w:t>
      </w:r>
      <w:r w:rsidRPr="00C32070">
        <w:rPr>
          <w:rtl/>
        </w:rPr>
        <w:t xml:space="preserve">. ويبين الجدول </w:t>
      </w:r>
      <w:r w:rsidR="00D856DB" w:rsidRPr="00C32070">
        <w:t>2</w:t>
      </w:r>
      <w:r w:rsidRPr="00C32070">
        <w:rPr>
          <w:rtl/>
        </w:rPr>
        <w:t xml:space="preserve"> مقارنة النفقات لعام </w:t>
      </w:r>
      <w:r w:rsidR="00E27010" w:rsidRPr="00C32070">
        <w:t>2023</w:t>
      </w:r>
      <w:r w:rsidRPr="00C32070">
        <w:rPr>
          <w:rtl/>
        </w:rPr>
        <w:t xml:space="preserve"> مقارنة بعام </w:t>
      </w:r>
      <w:r w:rsidR="00D856DB" w:rsidRPr="00C32070">
        <w:t>2022</w:t>
      </w:r>
      <w:r w:rsidRPr="00C32070">
        <w:rPr>
          <w:rtl/>
        </w:rPr>
        <w:t xml:space="preserve">. ويلاحَظ أن أكبر النفقات، وهي نفقات الموظفين في عام </w:t>
      </w:r>
      <w:r w:rsidR="00D856DB" w:rsidRPr="00C32070">
        <w:t>2023</w:t>
      </w:r>
      <w:r w:rsidRPr="00C32070">
        <w:rPr>
          <w:rtl/>
        </w:rPr>
        <w:t xml:space="preserve">، ظلت </w:t>
      </w:r>
      <w:r w:rsidR="00E27010" w:rsidRPr="00C32070">
        <w:rPr>
          <w:rtl/>
          <w:lang w:bidi="ar-EG"/>
        </w:rPr>
        <w:t>أقل قليلاً مما كانت عليه في عام</w:t>
      </w:r>
      <w:r w:rsidRPr="00C32070">
        <w:rPr>
          <w:rtl/>
        </w:rPr>
        <w:t xml:space="preserve"> </w:t>
      </w:r>
      <w:r w:rsidR="00D856DB" w:rsidRPr="00C32070">
        <w:t>2022</w:t>
      </w:r>
      <w:r w:rsidR="00D856DB" w:rsidRPr="00C32070">
        <w:rPr>
          <w:rtl/>
          <w:lang w:bidi="ar-EG"/>
        </w:rPr>
        <w:t xml:space="preserve"> </w:t>
      </w:r>
      <w:r w:rsidR="00E27010" w:rsidRPr="00C32070">
        <w:rPr>
          <w:rtl/>
          <w:lang w:bidi="ar-EG"/>
        </w:rPr>
        <w:t xml:space="preserve">وتقابلها الزيادات في النفقات غير المتعلقة بالموظفين في </w:t>
      </w:r>
      <w:r w:rsidRPr="00C32070">
        <w:rPr>
          <w:rtl/>
        </w:rPr>
        <w:t xml:space="preserve">عام </w:t>
      </w:r>
      <w:r w:rsidR="00E27010" w:rsidRPr="00C32070">
        <w:t>2023</w:t>
      </w:r>
      <w:r w:rsidR="00E27010" w:rsidRPr="00C32070">
        <w:rPr>
          <w:rtl/>
        </w:rPr>
        <w:t>.</w:t>
      </w:r>
      <w:r w:rsidRPr="00C32070">
        <w:rPr>
          <w:rtl/>
        </w:rPr>
        <w:t xml:space="preserve"> </w:t>
      </w:r>
      <w:r w:rsidR="0095572F" w:rsidRPr="00C32070">
        <w:rPr>
          <w:rtl/>
          <w:lang w:bidi="ar-EG"/>
        </w:rPr>
        <w:t xml:space="preserve">وتتعلق الزيادة الرئيسية لعام </w:t>
      </w:r>
      <w:r w:rsidR="0095572F" w:rsidRPr="00C32070">
        <w:rPr>
          <w:lang w:bidi="ar-EG"/>
        </w:rPr>
        <w:t>2023</w:t>
      </w:r>
      <w:r w:rsidR="0095572F" w:rsidRPr="00C32070">
        <w:rPr>
          <w:rtl/>
          <w:lang w:bidi="ar-EG"/>
        </w:rPr>
        <w:t xml:space="preserve"> بنفقات السفر التي زادت إلى </w:t>
      </w:r>
      <w:r w:rsidR="0095572F" w:rsidRPr="00C32070">
        <w:rPr>
          <w:lang w:bidi="ar-EG"/>
        </w:rPr>
        <w:t>7</w:t>
      </w:r>
      <w:r w:rsidR="00E27010" w:rsidRPr="00C32070">
        <w:rPr>
          <w:lang w:bidi="ar-EG"/>
        </w:rPr>
        <w:t>,</w:t>
      </w:r>
      <w:r w:rsidR="0095572F" w:rsidRPr="00C32070">
        <w:rPr>
          <w:lang w:bidi="ar-EG"/>
        </w:rPr>
        <w:t>8</w:t>
      </w:r>
      <w:r w:rsidR="0095572F" w:rsidRPr="00C32070">
        <w:rPr>
          <w:rtl/>
          <w:lang w:bidi="ar-EG"/>
        </w:rPr>
        <w:t xml:space="preserve"> مليون فرنك سويسري متجاوزة مستوى ما قبل </w:t>
      </w:r>
      <w:r w:rsidR="0012546F" w:rsidRPr="00C32070">
        <w:rPr>
          <w:rtl/>
          <w:lang w:bidi="ar-EG"/>
        </w:rPr>
        <w:t>جائحة كوفيد-</w:t>
      </w:r>
      <w:r w:rsidR="0095572F" w:rsidRPr="00C32070">
        <w:rPr>
          <w:lang w:bidi="ar-EG"/>
        </w:rPr>
        <w:t>19</w:t>
      </w:r>
      <w:r w:rsidR="0095572F" w:rsidRPr="00C32070">
        <w:rPr>
          <w:rtl/>
          <w:lang w:bidi="ar-EG"/>
        </w:rPr>
        <w:t xml:space="preserve"> البالغ </w:t>
      </w:r>
      <w:r w:rsidR="0095572F" w:rsidRPr="00C32070">
        <w:rPr>
          <w:lang w:bidi="ar-EG"/>
        </w:rPr>
        <w:t>7</w:t>
      </w:r>
      <w:r w:rsidR="00E27010" w:rsidRPr="00C32070">
        <w:rPr>
          <w:lang w:bidi="ar-EG"/>
        </w:rPr>
        <w:t>,</w:t>
      </w:r>
      <w:r w:rsidR="0095572F" w:rsidRPr="00C32070">
        <w:rPr>
          <w:lang w:bidi="ar-EG"/>
        </w:rPr>
        <w:t>7</w:t>
      </w:r>
      <w:r w:rsidR="0095572F" w:rsidRPr="00C32070">
        <w:rPr>
          <w:rtl/>
          <w:lang w:bidi="ar-EG"/>
        </w:rPr>
        <w:t xml:space="preserve"> مليون فرنك سويسري. ويرجع ذلك في الغالب إلى المؤتمرات التي ع</w:t>
      </w:r>
      <w:r w:rsidR="0012546F" w:rsidRPr="00C32070">
        <w:rPr>
          <w:rtl/>
          <w:lang w:bidi="ar-EG"/>
        </w:rPr>
        <w:t>ُ</w:t>
      </w:r>
      <w:r w:rsidR="0095572F" w:rsidRPr="00C32070">
        <w:rPr>
          <w:rtl/>
          <w:lang w:bidi="ar-EG"/>
        </w:rPr>
        <w:t>قد</w:t>
      </w:r>
      <w:r w:rsidR="0012546F" w:rsidRPr="00C32070">
        <w:rPr>
          <w:rtl/>
          <w:lang w:bidi="ar-EG"/>
        </w:rPr>
        <w:t>ت</w:t>
      </w:r>
      <w:r w:rsidR="0095572F" w:rsidRPr="00C32070">
        <w:rPr>
          <w:rtl/>
          <w:lang w:bidi="ar-EG"/>
        </w:rPr>
        <w:t xml:space="preserve"> خلال العام.</w:t>
      </w:r>
    </w:p>
    <w:p w14:paraId="57BB89E3" w14:textId="26249421" w:rsidR="00A72F5F" w:rsidRPr="00C32070" w:rsidRDefault="00A72F5F" w:rsidP="00D673DE">
      <w:pPr>
        <w:pStyle w:val="Tabletitle"/>
        <w:rPr>
          <w:rtl/>
          <w:lang w:bidi="ar-EG"/>
        </w:rPr>
      </w:pPr>
      <w:r w:rsidRPr="00C32070">
        <w:rPr>
          <w:rtl/>
          <w:lang w:bidi="ar-SA"/>
        </w:rPr>
        <w:t xml:space="preserve">الجدول </w:t>
      </w:r>
      <w:r w:rsidRPr="00C32070">
        <w:rPr>
          <w:lang w:bidi="ar-SA"/>
        </w:rPr>
        <w:t>2</w:t>
      </w:r>
      <w:r w:rsidRPr="00C32070">
        <w:rPr>
          <w:rtl/>
          <w:lang w:bidi="ar-SA"/>
        </w:rPr>
        <w:t xml:space="preserve"> - مقارنة نفقات عامَي </w:t>
      </w:r>
      <w:r w:rsidRPr="00C32070">
        <w:rPr>
          <w:lang w:bidi="ar-SA"/>
        </w:rPr>
        <w:t>2023</w:t>
      </w:r>
      <w:r w:rsidRPr="00C32070">
        <w:rPr>
          <w:rtl/>
          <w:lang w:bidi="ar-SA"/>
        </w:rPr>
        <w:t xml:space="preserve"> و2022</w:t>
      </w:r>
    </w:p>
    <w:p w14:paraId="4D2D6860" w14:textId="6A12735A" w:rsidR="00EA4A10" w:rsidRDefault="00EA4A10" w:rsidP="00EA4A10">
      <w:pPr>
        <w:pStyle w:val="Figure"/>
        <w:rPr>
          <w:rtl/>
        </w:rPr>
      </w:pPr>
      <w:r w:rsidRPr="00EA4A10">
        <w:rPr>
          <w:rtl/>
        </w:rPr>
        <w:drawing>
          <wp:inline distT="0" distB="0" distL="0" distR="0" wp14:anchorId="12FFFC38" wp14:editId="4DD11B55">
            <wp:extent cx="5729605" cy="2563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9605" cy="2563495"/>
                    </a:xfrm>
                    <a:prstGeom prst="rect">
                      <a:avLst/>
                    </a:prstGeom>
                    <a:noFill/>
                    <a:ln>
                      <a:noFill/>
                    </a:ln>
                  </pic:spPr>
                </pic:pic>
              </a:graphicData>
            </a:graphic>
          </wp:inline>
        </w:drawing>
      </w:r>
    </w:p>
    <w:p w14:paraId="7D51BEDF" w14:textId="57F7816F" w:rsidR="00E27010" w:rsidRPr="00C32070" w:rsidRDefault="00DA3BDE" w:rsidP="003E6D9E">
      <w:pPr>
        <w:rPr>
          <w:rtl/>
          <w:lang w:bidi="ar-SY"/>
        </w:rPr>
      </w:pPr>
      <w:r w:rsidRPr="00C32070">
        <w:t>14</w:t>
      </w:r>
      <w:r w:rsidRPr="00C32070">
        <w:tab/>
      </w:r>
      <w:r w:rsidR="00E27010" w:rsidRPr="00C32070">
        <w:rPr>
          <w:rtl/>
          <w:lang w:bidi="ar-EG"/>
        </w:rPr>
        <w:t xml:space="preserve">ويبين الشكل </w:t>
      </w:r>
      <w:r w:rsidR="00E27010" w:rsidRPr="00C32070">
        <w:rPr>
          <w:lang w:bidi="ar-EG"/>
        </w:rPr>
        <w:t>3</w:t>
      </w:r>
      <w:r w:rsidR="00E27010" w:rsidRPr="00C32070">
        <w:rPr>
          <w:rtl/>
          <w:lang w:bidi="ar-EG"/>
        </w:rPr>
        <w:t xml:space="preserve">، مقارنة النفقات في عام </w:t>
      </w:r>
      <w:r w:rsidR="00E27010" w:rsidRPr="00C32070">
        <w:rPr>
          <w:lang w:bidi="ar-EG"/>
        </w:rPr>
        <w:t>2023</w:t>
      </w:r>
      <w:r w:rsidR="00E27010" w:rsidRPr="00C32070">
        <w:rPr>
          <w:rtl/>
          <w:lang w:bidi="ar-EG"/>
        </w:rPr>
        <w:t xml:space="preserve">، توزيع النفقات حسب الطبيعة، مما يسلط الضوء على المستوى المرتفع لتكاليف الموظفين في الاتحاد والتي تمثل </w:t>
      </w:r>
      <w:r w:rsidR="00E27010" w:rsidRPr="00C32070">
        <w:rPr>
          <w:lang w:val="en-CA" w:bidi="ar-EG"/>
        </w:rPr>
        <w:t>%</w:t>
      </w:r>
      <w:r w:rsidR="00E27010" w:rsidRPr="00C32070">
        <w:rPr>
          <w:lang w:bidi="ar-EG"/>
        </w:rPr>
        <w:t>76</w:t>
      </w:r>
      <w:r w:rsidR="00E27010" w:rsidRPr="00C32070">
        <w:rPr>
          <w:rtl/>
          <w:lang w:bidi="ar-EG"/>
        </w:rPr>
        <w:t xml:space="preserve"> من جميع التكاليف. وتمثل الخدمات التعاقدية ثاني أكبر فئة من حيث النفقات </w:t>
      </w:r>
      <w:r w:rsidR="0012546F" w:rsidRPr="00C32070">
        <w:rPr>
          <w:rtl/>
          <w:lang w:bidi="ar-EG"/>
        </w:rPr>
        <w:t>إذ تبلغ</w:t>
      </w:r>
      <w:r w:rsidR="00E27010" w:rsidRPr="00C32070">
        <w:rPr>
          <w:rtl/>
          <w:lang w:bidi="ar-EG"/>
        </w:rPr>
        <w:t xml:space="preserve"> </w:t>
      </w:r>
      <w:r w:rsidR="00E27010" w:rsidRPr="00C32070">
        <w:rPr>
          <w:lang w:val="en-CA" w:bidi="ar-EG"/>
        </w:rPr>
        <w:t>%</w:t>
      </w:r>
      <w:r w:rsidR="00E27010" w:rsidRPr="00C32070">
        <w:rPr>
          <w:lang w:bidi="ar-EG"/>
        </w:rPr>
        <w:t>11</w:t>
      </w:r>
      <w:r w:rsidR="00E27010" w:rsidRPr="00C32070">
        <w:rPr>
          <w:rtl/>
          <w:lang w:bidi="ar-EG"/>
        </w:rPr>
        <w:t xml:space="preserve"> </w:t>
      </w:r>
      <w:r w:rsidR="0012546F" w:rsidRPr="00C32070">
        <w:rPr>
          <w:rtl/>
          <w:lang w:bidi="ar-EG"/>
        </w:rPr>
        <w:t xml:space="preserve">وهي نسبة مقارنة لنسبة </w:t>
      </w:r>
      <w:r w:rsidR="00E27010" w:rsidRPr="00C32070">
        <w:rPr>
          <w:rtl/>
          <w:lang w:bidi="ar-EG"/>
        </w:rPr>
        <w:t xml:space="preserve">عام </w:t>
      </w:r>
      <w:r w:rsidR="00E27010" w:rsidRPr="00C32070">
        <w:rPr>
          <w:lang w:bidi="ar-EG"/>
        </w:rPr>
        <w:t>2022</w:t>
      </w:r>
      <w:r w:rsidR="00E27010" w:rsidRPr="00C32070">
        <w:rPr>
          <w:rtl/>
          <w:lang w:bidi="ar-EG"/>
        </w:rPr>
        <w:t xml:space="preserve">. وارتفعت النفقات الأخرى في عام </w:t>
      </w:r>
      <w:r w:rsidR="00E27010" w:rsidRPr="00C32070">
        <w:rPr>
          <w:lang w:bidi="ar-EG"/>
        </w:rPr>
        <w:t>2023</w:t>
      </w:r>
      <w:r w:rsidR="00E27010" w:rsidRPr="00C32070">
        <w:rPr>
          <w:rtl/>
          <w:lang w:bidi="ar-EG"/>
        </w:rPr>
        <w:t xml:space="preserve"> بسبب زيادة </w:t>
      </w:r>
      <w:r w:rsidR="0012546F" w:rsidRPr="00C32070">
        <w:rPr>
          <w:rtl/>
          <w:lang w:bidi="ar-EG"/>
        </w:rPr>
        <w:t>ال</w:t>
      </w:r>
      <w:r w:rsidR="00E27010" w:rsidRPr="00C32070">
        <w:rPr>
          <w:rtl/>
          <w:lang w:bidi="ar-EG"/>
        </w:rPr>
        <w:t xml:space="preserve">مخصص </w:t>
      </w:r>
      <w:r w:rsidR="0012546F" w:rsidRPr="00C32070">
        <w:rPr>
          <w:rtl/>
          <w:lang w:bidi="ar-EG"/>
        </w:rPr>
        <w:t>المتعلقة ب</w:t>
      </w:r>
      <w:r w:rsidR="00262C27" w:rsidRPr="00C32070">
        <w:rPr>
          <w:rtl/>
          <w:lang w:bidi="ar-EG"/>
        </w:rPr>
        <w:t>الذمم المدينة</w:t>
      </w:r>
      <w:r w:rsidR="00E27010" w:rsidRPr="00C32070">
        <w:rPr>
          <w:rtl/>
          <w:lang w:bidi="ar-EG"/>
        </w:rPr>
        <w:t xml:space="preserve"> المشكوك في تحصيلها.</w:t>
      </w:r>
    </w:p>
    <w:p w14:paraId="721344A4" w14:textId="5AE1EE0F" w:rsidR="00DA3BDE" w:rsidRPr="00C32070" w:rsidRDefault="00DA3BDE" w:rsidP="00DA3BDE">
      <w:pPr>
        <w:pStyle w:val="Figuretitle"/>
        <w:rPr>
          <w:lang w:bidi="ar-SY"/>
        </w:rPr>
      </w:pPr>
      <w:r w:rsidRPr="00C32070">
        <w:rPr>
          <w:rtl/>
          <w:lang w:bidi="ar-SY"/>
        </w:rPr>
        <w:lastRenderedPageBreak/>
        <w:t xml:space="preserve">الشكل 3 - تكوين النفقات </w:t>
      </w:r>
      <w:r w:rsidR="00E27010" w:rsidRPr="00C32070">
        <w:rPr>
          <w:rtl/>
          <w:lang w:bidi="ar-SY"/>
        </w:rPr>
        <w:t xml:space="preserve">في </w:t>
      </w:r>
      <w:r w:rsidRPr="00C32070">
        <w:rPr>
          <w:rtl/>
          <w:lang w:bidi="ar-SY"/>
        </w:rPr>
        <w:t>عام 2023 (197,2 مليون فرنك سويسري)</w:t>
      </w:r>
    </w:p>
    <w:p w14:paraId="401B6B4F" w14:textId="519AE2C0" w:rsidR="00C24881" w:rsidRPr="00C32070" w:rsidRDefault="00D20BEC" w:rsidP="009B439F">
      <w:pPr>
        <w:pStyle w:val="Figure"/>
        <w:rPr>
          <w:lang w:bidi="ar-SY"/>
        </w:rPr>
      </w:pPr>
      <w:r w:rsidRPr="00C32070">
        <w:rPr>
          <w:lang w:bidi="ar-SY"/>
        </w:rPr>
        <w:drawing>
          <wp:inline distT="0" distB="0" distL="0" distR="0" wp14:anchorId="07863481" wp14:editId="5B61F51B">
            <wp:extent cx="6005195" cy="3877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5195" cy="3877310"/>
                    </a:xfrm>
                    <a:prstGeom prst="rect">
                      <a:avLst/>
                    </a:prstGeom>
                    <a:noFill/>
                  </pic:spPr>
                </pic:pic>
              </a:graphicData>
            </a:graphic>
          </wp:inline>
        </w:drawing>
      </w:r>
    </w:p>
    <w:p w14:paraId="27DA8B54" w14:textId="77777777" w:rsidR="00172D5C" w:rsidRPr="00C32070" w:rsidRDefault="00172D5C" w:rsidP="00F72B70">
      <w:pPr>
        <w:pStyle w:val="Headingb"/>
      </w:pPr>
      <w:r w:rsidRPr="00C32070">
        <w:rPr>
          <w:rtl/>
        </w:rPr>
        <w:t>الوضع المالي</w:t>
      </w:r>
    </w:p>
    <w:p w14:paraId="4DFE0C79" w14:textId="464B99B2" w:rsidR="0095572F" w:rsidRPr="00C32070" w:rsidRDefault="002463DD" w:rsidP="003724DE">
      <w:pPr>
        <w:spacing w:after="120"/>
        <w:rPr>
          <w:lang w:bidi="ar-SY"/>
        </w:rPr>
      </w:pPr>
      <w:r w:rsidRPr="00C32070">
        <w:rPr>
          <w:rtl/>
          <w:lang w:bidi="ar-EG"/>
        </w:rPr>
        <w:t>15</w:t>
      </w:r>
      <w:r w:rsidRPr="00C32070">
        <w:rPr>
          <w:rtl/>
          <w:lang w:bidi="ar-EG"/>
        </w:rPr>
        <w:tab/>
      </w:r>
      <w:r w:rsidR="0095572F" w:rsidRPr="00C32070">
        <w:rPr>
          <w:rtl/>
          <w:lang w:bidi="ar-EG"/>
        </w:rPr>
        <w:t xml:space="preserve">في </w:t>
      </w:r>
      <w:r w:rsidR="0095572F" w:rsidRPr="00C32070">
        <w:rPr>
          <w:lang w:bidi="ar-EG"/>
        </w:rPr>
        <w:t>31</w:t>
      </w:r>
      <w:r w:rsidR="0095572F" w:rsidRPr="00C32070">
        <w:rPr>
          <w:rtl/>
          <w:lang w:bidi="ar-EG"/>
        </w:rPr>
        <w:t xml:space="preserve"> ديسمبر </w:t>
      </w:r>
      <w:r w:rsidR="0095572F" w:rsidRPr="00C32070">
        <w:rPr>
          <w:lang w:bidi="ar-EG"/>
        </w:rPr>
        <w:t>2023</w:t>
      </w:r>
      <w:r w:rsidR="0095572F" w:rsidRPr="00C32070">
        <w:rPr>
          <w:rtl/>
          <w:lang w:bidi="ar-EG"/>
        </w:rPr>
        <w:t xml:space="preserve">، كان لدى المنظمة أصول صافية </w:t>
      </w:r>
      <w:r w:rsidR="00E27010" w:rsidRPr="00C32070">
        <w:rPr>
          <w:rtl/>
          <w:lang w:bidi="ar-EG"/>
        </w:rPr>
        <w:t xml:space="preserve">بقيمة </w:t>
      </w:r>
      <w:r w:rsidR="00036275" w:rsidRPr="00C32070">
        <w:rPr>
          <w:rtl/>
          <w:lang w:bidi="ar-EG"/>
        </w:rPr>
        <w:t>سالبة</w:t>
      </w:r>
      <w:r w:rsidR="0095572F" w:rsidRPr="00C32070">
        <w:rPr>
          <w:rtl/>
          <w:lang w:bidi="ar-EG"/>
        </w:rPr>
        <w:t xml:space="preserve"> قدرها </w:t>
      </w:r>
      <w:r w:rsidR="0095572F" w:rsidRPr="00C32070">
        <w:rPr>
          <w:lang w:bidi="ar-EG"/>
        </w:rPr>
        <w:t>257</w:t>
      </w:r>
      <w:r w:rsidR="00E27010" w:rsidRPr="00C32070">
        <w:rPr>
          <w:lang w:bidi="ar-EG"/>
        </w:rPr>
        <w:t>,</w:t>
      </w:r>
      <w:r w:rsidR="0095572F" w:rsidRPr="00C32070">
        <w:rPr>
          <w:lang w:bidi="ar-EG"/>
        </w:rPr>
        <w:t>4</w:t>
      </w:r>
      <w:r w:rsidR="0095572F" w:rsidRPr="00C32070">
        <w:rPr>
          <w:rtl/>
          <w:lang w:bidi="ar-EG"/>
        </w:rPr>
        <w:t xml:space="preserve"> مليون فرنك سويسري، </w:t>
      </w:r>
      <w:r w:rsidR="00036275" w:rsidRPr="00C32070">
        <w:rPr>
          <w:rtl/>
          <w:lang w:bidi="ar-EG"/>
        </w:rPr>
        <w:t>ب</w:t>
      </w:r>
      <w:r w:rsidR="0095572F" w:rsidRPr="00C32070">
        <w:rPr>
          <w:rtl/>
          <w:lang w:bidi="ar-EG"/>
        </w:rPr>
        <w:t xml:space="preserve">إجمالي أصول قدره </w:t>
      </w:r>
      <w:r w:rsidR="00EF43C1">
        <w:rPr>
          <w:lang w:bidi="ar-EG"/>
        </w:rPr>
        <w:t>305,8</w:t>
      </w:r>
      <w:r w:rsidR="0095572F" w:rsidRPr="00C32070">
        <w:rPr>
          <w:rtl/>
          <w:lang w:bidi="ar-EG"/>
        </w:rPr>
        <w:t xml:space="preserve"> مليون فرنك سويسري وإجمالي خصوم قدره </w:t>
      </w:r>
      <w:r w:rsidR="0095572F" w:rsidRPr="00C32070">
        <w:rPr>
          <w:lang w:bidi="ar-EG"/>
        </w:rPr>
        <w:t>565</w:t>
      </w:r>
      <w:r w:rsidR="00E27010" w:rsidRPr="00C32070">
        <w:rPr>
          <w:lang w:bidi="ar-EG"/>
        </w:rPr>
        <w:t>,</w:t>
      </w:r>
      <w:r w:rsidR="0095572F" w:rsidRPr="00C32070">
        <w:rPr>
          <w:lang w:bidi="ar-EG"/>
        </w:rPr>
        <w:t>9</w:t>
      </w:r>
      <w:r w:rsidR="0095572F" w:rsidRPr="00C32070">
        <w:rPr>
          <w:rtl/>
          <w:lang w:bidi="ar-EG"/>
        </w:rPr>
        <w:t xml:space="preserve"> مليون فرنك سويسري كما هو موضح في الجدول </w:t>
      </w:r>
      <w:r w:rsidR="0095572F" w:rsidRPr="00C32070">
        <w:rPr>
          <w:lang w:bidi="ar-EG"/>
        </w:rPr>
        <w:t>3</w:t>
      </w:r>
      <w:r w:rsidR="0095572F" w:rsidRPr="00C32070">
        <w:rPr>
          <w:rtl/>
          <w:lang w:bidi="ar-EG"/>
        </w:rPr>
        <w:t xml:space="preserve"> أدناه. </w:t>
      </w:r>
      <w:r w:rsidR="00036275" w:rsidRPr="00C32070">
        <w:rPr>
          <w:rtl/>
          <w:lang w:bidi="ar-EG"/>
        </w:rPr>
        <w:t>و</w:t>
      </w:r>
      <w:r w:rsidR="0095572F" w:rsidRPr="00C32070">
        <w:rPr>
          <w:rtl/>
          <w:lang w:bidi="ar-EG"/>
        </w:rPr>
        <w:t xml:space="preserve">انخفض صافي الأصول بمقدار </w:t>
      </w:r>
      <w:r w:rsidR="0095572F" w:rsidRPr="00C32070">
        <w:rPr>
          <w:lang w:bidi="ar-EG"/>
        </w:rPr>
        <w:t>44</w:t>
      </w:r>
      <w:r w:rsidR="00E27010" w:rsidRPr="00C32070">
        <w:rPr>
          <w:lang w:bidi="ar-EG"/>
        </w:rPr>
        <w:t>,</w:t>
      </w:r>
      <w:r w:rsidR="0095572F" w:rsidRPr="00C32070">
        <w:rPr>
          <w:lang w:bidi="ar-EG"/>
        </w:rPr>
        <w:t>4</w:t>
      </w:r>
      <w:r w:rsidR="0095572F" w:rsidRPr="00C32070">
        <w:rPr>
          <w:rtl/>
          <w:lang w:bidi="ar-EG"/>
        </w:rPr>
        <w:t xml:space="preserve"> مليون فرنك سويسري مقارنة</w:t>
      </w:r>
      <w:r w:rsidR="00BB4268" w:rsidRPr="00C32070">
        <w:rPr>
          <w:rtl/>
          <w:lang w:bidi="ar-EG"/>
        </w:rPr>
        <w:t>ً</w:t>
      </w:r>
      <w:r w:rsidR="0095572F" w:rsidRPr="00C32070">
        <w:rPr>
          <w:rtl/>
          <w:lang w:bidi="ar-EG"/>
        </w:rPr>
        <w:t xml:space="preserve"> بعام </w:t>
      </w:r>
      <w:r w:rsidR="0095572F" w:rsidRPr="00C32070">
        <w:rPr>
          <w:lang w:bidi="ar-EG"/>
        </w:rPr>
        <w:t>2022</w:t>
      </w:r>
      <w:r w:rsidR="0095572F" w:rsidRPr="00C32070">
        <w:rPr>
          <w:rtl/>
          <w:lang w:bidi="ar-EG"/>
        </w:rPr>
        <w:t xml:space="preserve">. ويعزى هذا </w:t>
      </w:r>
      <w:r w:rsidR="00912DAC" w:rsidRPr="00C32070">
        <w:rPr>
          <w:rtl/>
          <w:lang w:bidi="ar-EG"/>
        </w:rPr>
        <w:t>بقدر</w:t>
      </w:r>
      <w:r w:rsidR="0095572F" w:rsidRPr="00C32070">
        <w:rPr>
          <w:rtl/>
          <w:lang w:bidi="ar-EG"/>
        </w:rPr>
        <w:t xml:space="preserve"> كبير إلى التغييرات في </w:t>
      </w:r>
      <w:r w:rsidR="00036275" w:rsidRPr="00C32070">
        <w:rPr>
          <w:rtl/>
          <w:lang w:bidi="ar-EG"/>
        </w:rPr>
        <w:t>أسعار</w:t>
      </w:r>
      <w:r w:rsidR="0095572F" w:rsidRPr="00C32070">
        <w:rPr>
          <w:rtl/>
          <w:lang w:bidi="ar-EG"/>
        </w:rPr>
        <w:t xml:space="preserve"> الخصم والافتراضات المستخدمة لتقييم التأمين الصحي بعد انتهاء الخدمة عام </w:t>
      </w:r>
      <w:r w:rsidR="0095572F" w:rsidRPr="00C32070">
        <w:rPr>
          <w:lang w:bidi="ar-EG"/>
        </w:rPr>
        <w:t>2023</w:t>
      </w:r>
      <w:r w:rsidR="0095572F" w:rsidRPr="00C32070">
        <w:rPr>
          <w:rtl/>
          <w:lang w:bidi="ar-EG"/>
        </w:rPr>
        <w:t xml:space="preserve"> مقارنة</w:t>
      </w:r>
      <w:r w:rsidR="00BB4268" w:rsidRPr="00C32070">
        <w:rPr>
          <w:rtl/>
          <w:lang w:bidi="ar-EG"/>
        </w:rPr>
        <w:t>ً</w:t>
      </w:r>
      <w:r w:rsidR="0095572F" w:rsidRPr="00C32070">
        <w:rPr>
          <w:rtl/>
          <w:lang w:bidi="ar-EG"/>
        </w:rPr>
        <w:t xml:space="preserve"> بعام </w:t>
      </w:r>
      <w:r w:rsidR="0095572F" w:rsidRPr="00C32070">
        <w:rPr>
          <w:lang w:bidi="ar-EG"/>
        </w:rPr>
        <w:t>2022</w:t>
      </w:r>
      <w:r w:rsidR="0095572F" w:rsidRPr="00C32070">
        <w:rPr>
          <w:rtl/>
          <w:lang w:bidi="ar-EG"/>
        </w:rPr>
        <w:t>. وقد أدت هذه التغييرات إلى</w:t>
      </w:r>
      <w:r w:rsidR="00BB4268" w:rsidRPr="00C32070">
        <w:rPr>
          <w:rtl/>
          <w:lang w:bidi="ar-EG"/>
        </w:rPr>
        <w:t> </w:t>
      </w:r>
      <w:r w:rsidR="0095572F" w:rsidRPr="00C32070">
        <w:rPr>
          <w:rtl/>
          <w:lang w:bidi="ar-EG"/>
        </w:rPr>
        <w:t xml:space="preserve">زيادة في </w:t>
      </w:r>
      <w:r w:rsidR="00EA7A17" w:rsidRPr="00C32070">
        <w:rPr>
          <w:rtl/>
          <w:lang w:bidi="ar-EG"/>
        </w:rPr>
        <w:t xml:space="preserve">خصوم </w:t>
      </w:r>
      <w:r w:rsidR="0095572F" w:rsidRPr="00C32070">
        <w:rPr>
          <w:rtl/>
          <w:lang w:bidi="ar-EG"/>
        </w:rPr>
        <w:t xml:space="preserve">التأمين الصحي بعد انتهاء الخدمة </w:t>
      </w:r>
      <w:r w:rsidR="00EA7A17" w:rsidRPr="00C32070">
        <w:rPr>
          <w:rtl/>
          <w:lang w:bidi="ar-EG"/>
        </w:rPr>
        <w:t>قدرها</w:t>
      </w:r>
      <w:r w:rsidR="0095572F" w:rsidRPr="00C32070">
        <w:rPr>
          <w:rtl/>
          <w:lang w:bidi="ar-EG"/>
        </w:rPr>
        <w:t xml:space="preserve"> </w:t>
      </w:r>
      <w:r w:rsidR="0095572F" w:rsidRPr="00C32070">
        <w:rPr>
          <w:lang w:bidi="ar-EG"/>
        </w:rPr>
        <w:t>(ASHI)</w:t>
      </w:r>
      <w:r w:rsidR="0012546F" w:rsidRPr="00C32070">
        <w:rPr>
          <w:rtl/>
          <w:lang w:bidi="ar-EG"/>
        </w:rPr>
        <w:t xml:space="preserve"> </w:t>
      </w:r>
      <w:r w:rsidR="0095572F" w:rsidRPr="00C32070">
        <w:rPr>
          <w:lang w:bidi="ar-EG"/>
        </w:rPr>
        <w:t>31,2</w:t>
      </w:r>
      <w:r w:rsidR="0095572F" w:rsidRPr="00C32070">
        <w:rPr>
          <w:rtl/>
          <w:lang w:bidi="ar-EG"/>
        </w:rPr>
        <w:t xml:space="preserve"> مليون فرنك سويسري، من </w:t>
      </w:r>
      <w:r w:rsidR="0095572F" w:rsidRPr="00C32070">
        <w:rPr>
          <w:lang w:bidi="ar-EG"/>
        </w:rPr>
        <w:t>344</w:t>
      </w:r>
      <w:r w:rsidR="00E27010" w:rsidRPr="00C32070">
        <w:rPr>
          <w:lang w:bidi="ar-EG"/>
        </w:rPr>
        <w:t>,</w:t>
      </w:r>
      <w:r w:rsidR="0095572F" w:rsidRPr="00C32070">
        <w:rPr>
          <w:lang w:bidi="ar-EG"/>
        </w:rPr>
        <w:t>1</w:t>
      </w:r>
      <w:r w:rsidR="0095572F" w:rsidRPr="00C32070">
        <w:rPr>
          <w:rtl/>
          <w:lang w:bidi="ar-EG"/>
        </w:rPr>
        <w:t xml:space="preserve"> مليون فرنك سويسري إلى </w:t>
      </w:r>
      <w:r w:rsidR="0095572F" w:rsidRPr="00C32070">
        <w:rPr>
          <w:lang w:bidi="ar-EG"/>
        </w:rPr>
        <w:t>375</w:t>
      </w:r>
      <w:r w:rsidR="00E27010" w:rsidRPr="00C32070">
        <w:rPr>
          <w:lang w:bidi="ar-EG"/>
        </w:rPr>
        <w:t>,</w:t>
      </w:r>
      <w:r w:rsidR="0095572F" w:rsidRPr="00C32070">
        <w:rPr>
          <w:lang w:bidi="ar-EG"/>
        </w:rPr>
        <w:t>3</w:t>
      </w:r>
      <w:r w:rsidR="0095572F" w:rsidRPr="00C32070">
        <w:rPr>
          <w:rtl/>
          <w:lang w:bidi="ar-EG"/>
        </w:rPr>
        <w:t xml:space="preserve"> مليون فرنك سويسري. </w:t>
      </w:r>
      <w:r w:rsidR="0012546F" w:rsidRPr="00C32070">
        <w:rPr>
          <w:rtl/>
          <w:lang w:bidi="ar-EG"/>
        </w:rPr>
        <w:t>وتعتبر</w:t>
      </w:r>
      <w:r w:rsidR="0095572F" w:rsidRPr="00C32070">
        <w:rPr>
          <w:rtl/>
          <w:lang w:bidi="ar-EG"/>
        </w:rPr>
        <w:t xml:space="preserve"> معالجة </w:t>
      </w:r>
      <w:r w:rsidR="0012546F" w:rsidRPr="00C32070">
        <w:rPr>
          <w:rtl/>
          <w:lang w:bidi="ar-EG"/>
        </w:rPr>
        <w:t>ال</w:t>
      </w:r>
      <w:r w:rsidR="0095572F" w:rsidRPr="00C32070">
        <w:rPr>
          <w:rtl/>
          <w:lang w:bidi="ar-EG"/>
        </w:rPr>
        <w:t xml:space="preserve">نموذج </w:t>
      </w:r>
      <w:r w:rsidR="0012546F" w:rsidRPr="00C32070">
        <w:rPr>
          <w:rtl/>
          <w:lang w:bidi="ar-EG"/>
        </w:rPr>
        <w:t>ل</w:t>
      </w:r>
      <w:r w:rsidR="0095572F" w:rsidRPr="00C32070">
        <w:rPr>
          <w:rtl/>
          <w:lang w:bidi="ar-EG"/>
        </w:rPr>
        <w:t>استحقاقات الموظفين طويلة الأجل مطلبا</w:t>
      </w:r>
      <w:r w:rsidR="00EA7A17" w:rsidRPr="00C32070">
        <w:rPr>
          <w:rtl/>
          <w:lang w:bidi="ar-EG"/>
        </w:rPr>
        <w:t>ً</w:t>
      </w:r>
      <w:r w:rsidR="0095572F" w:rsidRPr="00C32070">
        <w:rPr>
          <w:rtl/>
          <w:lang w:bidi="ar-EG"/>
        </w:rPr>
        <w:t xml:space="preserve"> حاسما</w:t>
      </w:r>
      <w:r w:rsidR="00EA7A17" w:rsidRPr="00C32070">
        <w:rPr>
          <w:rtl/>
          <w:lang w:bidi="ar-EG"/>
        </w:rPr>
        <w:t>ً</w:t>
      </w:r>
      <w:r w:rsidR="0095572F" w:rsidRPr="00C32070">
        <w:rPr>
          <w:rtl/>
          <w:lang w:bidi="ar-EG"/>
        </w:rPr>
        <w:t xml:space="preserve"> لتغيير هذا الاتجاه.</w:t>
      </w:r>
    </w:p>
    <w:p w14:paraId="0DBBFAF2" w14:textId="124C5340" w:rsidR="00172D5C" w:rsidRPr="00C32070" w:rsidRDefault="00172D5C" w:rsidP="00172D5C">
      <w:pPr>
        <w:pStyle w:val="Tabletitle"/>
        <w:rPr>
          <w:lang w:val="en"/>
        </w:rPr>
      </w:pPr>
      <w:r w:rsidRPr="00C32070">
        <w:rPr>
          <w:rtl/>
          <w:lang w:bidi="ar"/>
        </w:rPr>
        <w:t>الجدول</w:t>
      </w:r>
      <w:r w:rsidR="00AB17A0" w:rsidRPr="00C32070">
        <w:rPr>
          <w:rtl/>
          <w:lang w:val="en"/>
        </w:rPr>
        <w:t xml:space="preserve"> 3 - </w:t>
      </w:r>
      <w:r w:rsidRPr="00C32070">
        <w:rPr>
          <w:rtl/>
          <w:lang w:bidi="ar"/>
        </w:rPr>
        <w:t>ملخص</w:t>
      </w:r>
      <w:r w:rsidRPr="00C32070">
        <w:rPr>
          <w:lang w:val="en"/>
        </w:rPr>
        <w:t xml:space="preserve"> </w:t>
      </w:r>
      <w:r w:rsidRPr="00C32070">
        <w:rPr>
          <w:rtl/>
          <w:lang w:bidi="ar"/>
        </w:rPr>
        <w:t>الأصول</w:t>
      </w:r>
      <w:r w:rsidRPr="00C32070">
        <w:rPr>
          <w:lang w:val="en"/>
        </w:rPr>
        <w:t xml:space="preserve"> </w:t>
      </w:r>
      <w:r w:rsidRPr="00C32070">
        <w:rPr>
          <w:rtl/>
          <w:lang w:bidi="ar"/>
        </w:rPr>
        <w:t>والخصوم</w:t>
      </w:r>
      <w:r w:rsidRPr="00C32070">
        <w:rPr>
          <w:lang w:val="en"/>
        </w:rPr>
        <w:t xml:space="preserve"> </w:t>
      </w:r>
      <w:r w:rsidRPr="00C32070">
        <w:rPr>
          <w:rtl/>
          <w:lang w:bidi="ar"/>
        </w:rPr>
        <w:t>وصافي</w:t>
      </w:r>
      <w:r w:rsidRPr="00C32070">
        <w:rPr>
          <w:lang w:val="en"/>
        </w:rPr>
        <w:t xml:space="preserve"> </w:t>
      </w:r>
      <w:r w:rsidRPr="00C32070">
        <w:rPr>
          <w:rtl/>
          <w:lang w:bidi="ar"/>
        </w:rPr>
        <w:t>الأصول</w:t>
      </w:r>
    </w:p>
    <w:p w14:paraId="5CB7C9C1" w14:textId="0A425531" w:rsidR="00EF43C1" w:rsidRDefault="00EF43C1" w:rsidP="00EF43C1">
      <w:pPr>
        <w:pStyle w:val="Figure"/>
      </w:pPr>
      <w:r w:rsidRPr="00EF43C1">
        <w:rPr>
          <w:rtl/>
        </w:rPr>
        <w:drawing>
          <wp:inline distT="0" distB="0" distL="0" distR="0" wp14:anchorId="0DCBF78A" wp14:editId="283166D2">
            <wp:extent cx="5729605" cy="15538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9605" cy="1553845"/>
                    </a:xfrm>
                    <a:prstGeom prst="rect">
                      <a:avLst/>
                    </a:prstGeom>
                    <a:noFill/>
                    <a:ln>
                      <a:noFill/>
                    </a:ln>
                  </pic:spPr>
                </pic:pic>
              </a:graphicData>
            </a:graphic>
          </wp:inline>
        </w:drawing>
      </w:r>
    </w:p>
    <w:p w14:paraId="17594393" w14:textId="2DF2F543" w:rsidR="005170C2" w:rsidRPr="00C32070" w:rsidRDefault="005170C2" w:rsidP="00F72B70">
      <w:pPr>
        <w:pStyle w:val="Headingb"/>
      </w:pPr>
      <w:r w:rsidRPr="00C32070">
        <w:rPr>
          <w:rtl/>
        </w:rPr>
        <w:t>الأصول</w:t>
      </w:r>
    </w:p>
    <w:p w14:paraId="568227C2" w14:textId="2697496F" w:rsidR="005170C2" w:rsidRPr="00C32070" w:rsidRDefault="005170C2" w:rsidP="005170C2">
      <w:pPr>
        <w:rPr>
          <w:lang w:bidi="ar-SY"/>
        </w:rPr>
      </w:pPr>
      <w:r w:rsidRPr="00C32070">
        <w:rPr>
          <w:lang w:bidi="ar-SY"/>
        </w:rPr>
        <w:t>16</w:t>
      </w:r>
      <w:r w:rsidRPr="00C32070">
        <w:rPr>
          <w:lang w:bidi="ar-SY"/>
        </w:rPr>
        <w:tab/>
      </w:r>
      <w:r w:rsidR="00EA7A17" w:rsidRPr="00C32070">
        <w:rPr>
          <w:rtl/>
          <w:lang w:bidi="ar-SY"/>
        </w:rPr>
        <w:t>تتجاوز</w:t>
      </w:r>
      <w:r w:rsidRPr="00C32070">
        <w:rPr>
          <w:rtl/>
          <w:lang w:bidi="ar-SY"/>
        </w:rPr>
        <w:t xml:space="preserve"> الأصول الجارية الخصوم الجارية</w:t>
      </w:r>
      <w:r w:rsidR="00EA7A17" w:rsidRPr="00C32070">
        <w:rPr>
          <w:rtl/>
          <w:lang w:bidi="ar-SY"/>
        </w:rPr>
        <w:t xml:space="preserve"> بمقدار</w:t>
      </w:r>
      <w:r w:rsidRPr="00C32070">
        <w:rPr>
          <w:rtl/>
          <w:lang w:bidi="ar-SY"/>
        </w:rPr>
        <w:t xml:space="preserve"> </w:t>
      </w:r>
      <w:r w:rsidRPr="00C32070">
        <w:rPr>
          <w:lang w:bidi="ar-SY"/>
        </w:rPr>
        <w:t>118,5</w:t>
      </w:r>
      <w:r w:rsidRPr="00C32070">
        <w:rPr>
          <w:rtl/>
          <w:lang w:bidi="ar-SY"/>
        </w:rPr>
        <w:t xml:space="preserve"> مليون فرنك سويسري (</w:t>
      </w:r>
      <w:r w:rsidR="00EA7A17" w:rsidRPr="00C32070">
        <w:rPr>
          <w:rtl/>
          <w:lang w:bidi="ar-SY"/>
        </w:rPr>
        <w:t>بالمقارنة مع</w:t>
      </w:r>
      <w:r w:rsidRPr="00C32070">
        <w:rPr>
          <w:rtl/>
          <w:lang w:bidi="ar-SY"/>
        </w:rPr>
        <w:t xml:space="preserve"> </w:t>
      </w:r>
      <w:r w:rsidRPr="00C32070">
        <w:rPr>
          <w:lang w:bidi="ar-SY"/>
        </w:rPr>
        <w:t>128,4</w:t>
      </w:r>
      <w:r w:rsidRPr="00C32070">
        <w:rPr>
          <w:rtl/>
          <w:lang w:bidi="ar-SY"/>
        </w:rPr>
        <w:t xml:space="preserve"> مليون فرنك سويسري</w:t>
      </w:r>
      <w:r w:rsidR="007D357D" w:rsidRPr="00C32070">
        <w:rPr>
          <w:rtl/>
          <w:lang w:bidi="ar-SY"/>
        </w:rPr>
        <w:t xml:space="preserve"> في</w:t>
      </w:r>
      <w:r w:rsidR="0012546F" w:rsidRPr="00C32070">
        <w:rPr>
          <w:rtl/>
          <w:lang w:bidi="ar-SY"/>
        </w:rPr>
        <w:t xml:space="preserve"> عام</w:t>
      </w:r>
      <w:r w:rsidR="007D357D" w:rsidRPr="00C32070">
        <w:rPr>
          <w:rtl/>
          <w:lang w:bidi="ar-SY"/>
        </w:rPr>
        <w:t xml:space="preserve"> </w:t>
      </w:r>
      <w:r w:rsidR="0012546F" w:rsidRPr="00C32070">
        <w:rPr>
          <w:lang w:bidi="ar-SY"/>
        </w:rPr>
        <w:t>2022</w:t>
      </w:r>
      <w:r w:rsidRPr="00C32070">
        <w:rPr>
          <w:rtl/>
          <w:lang w:bidi="ar-SY"/>
        </w:rPr>
        <w:t>)</w:t>
      </w:r>
      <w:r w:rsidR="0012546F" w:rsidRPr="00C32070">
        <w:rPr>
          <w:rtl/>
          <w:lang w:bidi="ar-SY"/>
        </w:rPr>
        <w:t xml:space="preserve"> ويرجع ذلك في معظمه إلى الحجم الكبير من النقد ومكافئات النقد</w:t>
      </w:r>
      <w:r w:rsidR="00EA7A17" w:rsidRPr="00C32070">
        <w:rPr>
          <w:rtl/>
          <w:lang w:bidi="ar-SY"/>
        </w:rPr>
        <w:t xml:space="preserve">. وفي </w:t>
      </w:r>
      <w:r w:rsidR="00EA7A17" w:rsidRPr="00C32070">
        <w:rPr>
          <w:lang w:val="en-CA" w:bidi="ar-SY"/>
        </w:rPr>
        <w:t>31</w:t>
      </w:r>
      <w:r w:rsidR="00EA7A17" w:rsidRPr="00C32070">
        <w:rPr>
          <w:rtl/>
          <w:lang w:bidi="ar-EG"/>
        </w:rPr>
        <w:t xml:space="preserve"> ديسمبر </w:t>
      </w:r>
      <w:r w:rsidR="00EA7A17" w:rsidRPr="00C32070">
        <w:rPr>
          <w:lang w:val="en-CA" w:bidi="ar-EG"/>
        </w:rPr>
        <w:t>2023</w:t>
      </w:r>
      <w:r w:rsidR="00EA7A17" w:rsidRPr="00C32070">
        <w:rPr>
          <w:rtl/>
          <w:lang w:bidi="ar-EG"/>
        </w:rPr>
        <w:t>، بلغت قيمة النقد ومكافئات النقد</w:t>
      </w:r>
      <w:r w:rsidR="00EA7A17" w:rsidRPr="00C32070">
        <w:rPr>
          <w:rtl/>
          <w:lang w:bidi="ar-SY"/>
        </w:rPr>
        <w:t xml:space="preserve"> </w:t>
      </w:r>
      <w:r w:rsidR="00EA7A17" w:rsidRPr="00C32070">
        <w:rPr>
          <w:lang w:bidi="ar-SY"/>
        </w:rPr>
        <w:t>155,9</w:t>
      </w:r>
      <w:r w:rsidR="00EA7A17" w:rsidRPr="00C32070">
        <w:rPr>
          <w:rtl/>
          <w:lang w:bidi="ar-SY"/>
        </w:rPr>
        <w:t> مليون</w:t>
      </w:r>
      <w:r w:rsidR="00EA7A17" w:rsidRPr="00C32070">
        <w:rPr>
          <w:rtl/>
          <w:lang w:bidi="ar-EG"/>
        </w:rPr>
        <w:t xml:space="preserve"> فرنك سويسري</w:t>
      </w:r>
      <w:r w:rsidRPr="00C32070">
        <w:rPr>
          <w:rtl/>
          <w:lang w:bidi="ar-SY"/>
        </w:rPr>
        <w:t xml:space="preserve"> </w:t>
      </w:r>
      <w:r w:rsidR="00294258" w:rsidRPr="00C32070">
        <w:rPr>
          <w:rtl/>
          <w:lang w:bidi="ar-SY"/>
        </w:rPr>
        <w:t>بالمقارنة مع</w:t>
      </w:r>
      <w:r w:rsidRPr="00C32070">
        <w:rPr>
          <w:rtl/>
          <w:lang w:bidi="ar-SY"/>
        </w:rPr>
        <w:t xml:space="preserve"> </w:t>
      </w:r>
      <w:r w:rsidR="00EA7A17" w:rsidRPr="00C32070">
        <w:rPr>
          <w:lang w:val="en-CA" w:bidi="ar-EG"/>
        </w:rPr>
        <w:t>193,9</w:t>
      </w:r>
      <w:r w:rsidRPr="00C32070">
        <w:rPr>
          <w:rtl/>
          <w:lang w:bidi="ar-SY"/>
        </w:rPr>
        <w:t xml:space="preserve"> مليون فرنك سويسري </w:t>
      </w:r>
      <w:r w:rsidR="00EA7A17" w:rsidRPr="00C32070">
        <w:rPr>
          <w:rtl/>
          <w:lang w:bidi="ar-SY"/>
        </w:rPr>
        <w:t xml:space="preserve">في </w:t>
      </w:r>
      <w:r w:rsidRPr="00C32070">
        <w:rPr>
          <w:rtl/>
          <w:lang w:bidi="ar-SY"/>
        </w:rPr>
        <w:t xml:space="preserve">عام </w:t>
      </w:r>
      <w:r w:rsidR="00EA7A17" w:rsidRPr="00EF43C1">
        <w:rPr>
          <w:lang w:bidi="ar-SY"/>
        </w:rPr>
        <w:t>2022</w:t>
      </w:r>
      <w:r w:rsidRPr="00C32070">
        <w:rPr>
          <w:rtl/>
          <w:lang w:bidi="ar-SY"/>
        </w:rPr>
        <w:t>.</w:t>
      </w:r>
    </w:p>
    <w:p w14:paraId="5A3C10A5" w14:textId="0521B551" w:rsidR="005170C2" w:rsidRPr="00C32070" w:rsidRDefault="005170C2" w:rsidP="00F72B70">
      <w:pPr>
        <w:pStyle w:val="Headingb"/>
      </w:pPr>
      <w:r w:rsidRPr="00C32070">
        <w:rPr>
          <w:rtl/>
        </w:rPr>
        <w:lastRenderedPageBreak/>
        <w:t xml:space="preserve">المساهمات المقررة - </w:t>
      </w:r>
      <w:r w:rsidR="00262C27" w:rsidRPr="00C32070">
        <w:rPr>
          <w:rtl/>
        </w:rPr>
        <w:t>الذمم المدينة</w:t>
      </w:r>
    </w:p>
    <w:p w14:paraId="4D577B9B" w14:textId="533AD029" w:rsidR="005170C2" w:rsidRPr="00C32070" w:rsidRDefault="005170C2" w:rsidP="003E6D9E">
      <w:pPr>
        <w:rPr>
          <w:lang w:bidi="ar-SY"/>
        </w:rPr>
      </w:pPr>
      <w:r w:rsidRPr="00C32070">
        <w:rPr>
          <w:lang w:bidi="ar-SY"/>
        </w:rPr>
        <w:t>17</w:t>
      </w:r>
      <w:r w:rsidRPr="00C32070">
        <w:rPr>
          <w:lang w:bidi="ar-SY"/>
        </w:rPr>
        <w:tab/>
      </w:r>
      <w:r w:rsidRPr="00C32070">
        <w:rPr>
          <w:rtl/>
        </w:rPr>
        <w:t>يؤثر تحصيل المساهمات المقررة تأثيراً مباشراً على حالة السيولة</w:t>
      </w:r>
      <w:r w:rsidR="00D364D5" w:rsidRPr="00C32070">
        <w:rPr>
          <w:rtl/>
        </w:rPr>
        <w:t xml:space="preserve"> في الاتحاد</w:t>
      </w:r>
      <w:r w:rsidRPr="00C32070">
        <w:rPr>
          <w:rtl/>
        </w:rPr>
        <w:t xml:space="preserve">، ومن ثم فهو بالغ الأهمية للتنفيذ السلس للميزانية </w:t>
      </w:r>
      <w:proofErr w:type="spellStart"/>
      <w:r w:rsidRPr="00C32070">
        <w:rPr>
          <w:rtl/>
        </w:rPr>
        <w:t>البرنامجية</w:t>
      </w:r>
      <w:proofErr w:type="spellEnd"/>
      <w:r w:rsidRPr="00C32070">
        <w:rPr>
          <w:rtl/>
        </w:rPr>
        <w:t xml:space="preserve"> العادية المعتمَدة </w:t>
      </w:r>
      <w:r w:rsidR="00D364D5" w:rsidRPr="00C32070">
        <w:rPr>
          <w:rtl/>
        </w:rPr>
        <w:t>للاتحاد</w:t>
      </w:r>
      <w:r w:rsidRPr="00C32070">
        <w:rPr>
          <w:rtl/>
        </w:rPr>
        <w:t>.</w:t>
      </w:r>
      <w:r w:rsidRPr="00C32070">
        <w:rPr>
          <w:rtl/>
          <w:lang w:bidi="ar"/>
        </w:rPr>
        <w:t xml:space="preserve"> وفي</w:t>
      </w:r>
      <w:r w:rsidRPr="00C32070">
        <w:rPr>
          <w:lang w:val="en"/>
        </w:rPr>
        <w:t xml:space="preserve"> </w:t>
      </w:r>
      <w:r w:rsidRPr="00C32070">
        <w:rPr>
          <w:rtl/>
          <w:lang w:bidi="ar"/>
        </w:rPr>
        <w:t>حين</w:t>
      </w:r>
      <w:r w:rsidRPr="00C32070">
        <w:rPr>
          <w:lang w:val="en"/>
        </w:rPr>
        <w:t xml:space="preserve"> </w:t>
      </w:r>
      <w:r w:rsidRPr="00C32070">
        <w:rPr>
          <w:rtl/>
          <w:lang w:bidi="ar"/>
        </w:rPr>
        <w:t>يوافق</w:t>
      </w:r>
      <w:r w:rsidRPr="00C32070">
        <w:rPr>
          <w:lang w:val="en"/>
        </w:rPr>
        <w:t xml:space="preserve"> </w:t>
      </w:r>
      <w:r w:rsidRPr="00C32070">
        <w:rPr>
          <w:rtl/>
          <w:lang w:bidi="ar"/>
        </w:rPr>
        <w:t>مؤتمر</w:t>
      </w:r>
      <w:r w:rsidRPr="00C32070">
        <w:rPr>
          <w:lang w:val="en"/>
        </w:rPr>
        <w:t xml:space="preserve"> </w:t>
      </w:r>
      <w:r w:rsidRPr="00C32070">
        <w:rPr>
          <w:rtl/>
          <w:lang w:bidi="ar"/>
        </w:rPr>
        <w:t>المندوبين</w:t>
      </w:r>
      <w:r w:rsidRPr="00C32070">
        <w:rPr>
          <w:lang w:val="en"/>
        </w:rPr>
        <w:t xml:space="preserve"> </w:t>
      </w:r>
      <w:r w:rsidRPr="00C32070">
        <w:rPr>
          <w:rtl/>
          <w:lang w:bidi="ar"/>
        </w:rPr>
        <w:t>المفوضين</w:t>
      </w:r>
      <w:r w:rsidRPr="00C32070">
        <w:rPr>
          <w:lang w:val="en"/>
        </w:rPr>
        <w:t xml:space="preserve"> </w:t>
      </w:r>
      <w:r w:rsidRPr="00C32070">
        <w:rPr>
          <w:rtl/>
          <w:lang w:bidi="ar"/>
        </w:rPr>
        <w:t>على</w:t>
      </w:r>
      <w:r w:rsidRPr="00C32070">
        <w:rPr>
          <w:lang w:val="en"/>
        </w:rPr>
        <w:t xml:space="preserve"> </w:t>
      </w:r>
      <w:r w:rsidRPr="00C32070">
        <w:rPr>
          <w:rtl/>
          <w:lang w:bidi="ar"/>
        </w:rPr>
        <w:t>تشغيل</w:t>
      </w:r>
      <w:r w:rsidRPr="00C32070">
        <w:rPr>
          <w:lang w:val="en"/>
        </w:rPr>
        <w:t xml:space="preserve"> </w:t>
      </w:r>
      <w:r w:rsidRPr="00C32070">
        <w:rPr>
          <w:rtl/>
          <w:lang w:bidi="ar"/>
        </w:rPr>
        <w:t>الصندوق</w:t>
      </w:r>
      <w:r w:rsidRPr="00C32070">
        <w:rPr>
          <w:lang w:val="en"/>
        </w:rPr>
        <w:t xml:space="preserve"> </w:t>
      </w:r>
      <w:r w:rsidRPr="00C32070">
        <w:rPr>
          <w:rtl/>
          <w:lang w:bidi="ar"/>
        </w:rPr>
        <w:t>الاحتياطي</w:t>
      </w:r>
      <w:r w:rsidRPr="00C32070">
        <w:rPr>
          <w:lang w:val="en"/>
        </w:rPr>
        <w:t xml:space="preserve"> </w:t>
      </w:r>
      <w:r w:rsidRPr="00C32070">
        <w:rPr>
          <w:rtl/>
        </w:rPr>
        <w:t>ب</w:t>
      </w:r>
      <w:r w:rsidRPr="00C32070">
        <w:rPr>
          <w:rtl/>
          <w:lang w:bidi="ar"/>
        </w:rPr>
        <w:t>مستوى</w:t>
      </w:r>
      <w:r w:rsidRPr="00C32070">
        <w:rPr>
          <w:lang w:val="en"/>
        </w:rPr>
        <w:t xml:space="preserve"> </w:t>
      </w:r>
      <w:r w:rsidRPr="00C32070">
        <w:rPr>
          <w:rtl/>
          <w:lang w:bidi="ar"/>
        </w:rPr>
        <w:t>لا</w:t>
      </w:r>
      <w:r w:rsidRPr="00C32070">
        <w:rPr>
          <w:lang w:val="en"/>
        </w:rPr>
        <w:t xml:space="preserve"> </w:t>
      </w:r>
      <w:r w:rsidRPr="00C32070">
        <w:rPr>
          <w:rtl/>
          <w:lang w:bidi="ar"/>
        </w:rPr>
        <w:t>يقل</w:t>
      </w:r>
      <w:r w:rsidRPr="00C32070">
        <w:rPr>
          <w:lang w:val="en"/>
        </w:rPr>
        <w:t xml:space="preserve"> </w:t>
      </w:r>
      <w:r w:rsidRPr="00C32070">
        <w:rPr>
          <w:rtl/>
          <w:lang w:bidi="ar"/>
        </w:rPr>
        <w:t xml:space="preserve">عن </w:t>
      </w:r>
      <w:r w:rsidRPr="00C32070">
        <w:rPr>
          <w:lang w:val="en"/>
        </w:rPr>
        <w:t>6</w:t>
      </w:r>
      <w:r w:rsidRPr="00C32070">
        <w:rPr>
          <w:rtl/>
          <w:lang w:bidi="ar"/>
        </w:rPr>
        <w:t>% (</w:t>
      </w:r>
      <w:r w:rsidRPr="00C32070">
        <w:rPr>
          <w:rtl/>
        </w:rPr>
        <w:t xml:space="preserve">10 ملايين فرنك سويسري)، فإن ذلك لا يمثل سوى </w:t>
      </w:r>
      <w:r w:rsidR="00EF43C1">
        <w:rPr>
          <w:rFonts w:hint="cs"/>
          <w:rtl/>
        </w:rPr>
        <w:t>ثلاث</w:t>
      </w:r>
      <w:r w:rsidRPr="00C32070">
        <w:rPr>
          <w:rtl/>
        </w:rPr>
        <w:t xml:space="preserve"> أسابيع من النفقات</w:t>
      </w:r>
      <w:r w:rsidR="00D364D5" w:rsidRPr="00C32070">
        <w:rPr>
          <w:rtl/>
        </w:rPr>
        <w:t xml:space="preserve">، ويعتبر </w:t>
      </w:r>
      <w:r w:rsidR="00A402CB" w:rsidRPr="00C32070">
        <w:rPr>
          <w:rtl/>
          <w:lang w:bidi="ar-EG"/>
        </w:rPr>
        <w:t>أساسي</w:t>
      </w:r>
      <w:r w:rsidR="00D364D5" w:rsidRPr="00C32070">
        <w:rPr>
          <w:rtl/>
          <w:lang w:bidi="ar-EG"/>
        </w:rPr>
        <w:t>اً</w:t>
      </w:r>
      <w:r w:rsidR="00A402CB" w:rsidRPr="00C32070">
        <w:rPr>
          <w:rtl/>
          <w:lang w:bidi="ar-EG"/>
        </w:rPr>
        <w:t xml:space="preserve"> للحفاظ </w:t>
      </w:r>
      <w:r w:rsidR="00A402CB" w:rsidRPr="00C32070">
        <w:rPr>
          <w:rtl/>
          <w:lang w:bidi="ar"/>
        </w:rPr>
        <w:t>على</w:t>
      </w:r>
      <w:r w:rsidR="00A402CB" w:rsidRPr="00C32070">
        <w:rPr>
          <w:lang w:val="en"/>
        </w:rPr>
        <w:t xml:space="preserve"> </w:t>
      </w:r>
      <w:r w:rsidR="00A402CB" w:rsidRPr="00C32070">
        <w:rPr>
          <w:rtl/>
          <w:lang w:bidi="ar"/>
        </w:rPr>
        <w:t>قدرة</w:t>
      </w:r>
      <w:r w:rsidR="00A402CB" w:rsidRPr="00C32070">
        <w:rPr>
          <w:lang w:val="en"/>
        </w:rPr>
        <w:t xml:space="preserve"> </w:t>
      </w:r>
      <w:r w:rsidR="00A402CB" w:rsidRPr="00C32070">
        <w:rPr>
          <w:rtl/>
          <w:lang w:bidi="ar"/>
        </w:rPr>
        <w:t>المنظمة</w:t>
      </w:r>
      <w:r w:rsidR="00A402CB" w:rsidRPr="00C32070">
        <w:rPr>
          <w:lang w:val="en"/>
        </w:rPr>
        <w:t xml:space="preserve"> </w:t>
      </w:r>
      <w:r w:rsidR="00A402CB" w:rsidRPr="00C32070">
        <w:rPr>
          <w:rtl/>
          <w:lang w:bidi="ar"/>
        </w:rPr>
        <w:t>على العمل</w:t>
      </w:r>
      <w:r w:rsidR="00A402CB" w:rsidRPr="00C32070">
        <w:rPr>
          <w:rtl/>
          <w:lang w:bidi="ar-EG"/>
        </w:rPr>
        <w:t xml:space="preserve">. </w:t>
      </w:r>
      <w:r w:rsidR="00A402CB" w:rsidRPr="00C32070">
        <w:rPr>
          <w:rtl/>
        </w:rPr>
        <w:t>و</w:t>
      </w:r>
      <w:r w:rsidRPr="00C32070">
        <w:rPr>
          <w:rtl/>
        </w:rPr>
        <w:t xml:space="preserve">يبلغ صندوق الاحتياطي حالياً </w:t>
      </w:r>
      <w:r w:rsidRPr="00C32070">
        <w:t>26,3</w:t>
      </w:r>
      <w:r w:rsidRPr="00C32070">
        <w:rPr>
          <w:rtl/>
        </w:rPr>
        <w:t xml:space="preserve"> مليون فرنك سويسري، وهو ما يمثل حالياً </w:t>
      </w:r>
      <w:r w:rsidRPr="00C32070">
        <w:t>9</w:t>
      </w:r>
      <w:r w:rsidRPr="00C32070">
        <w:rPr>
          <w:rtl/>
        </w:rPr>
        <w:t xml:space="preserve"> أسابيع من</w:t>
      </w:r>
      <w:r w:rsidR="00FA1C48" w:rsidRPr="00C32070">
        <w:rPr>
          <w:rtl/>
        </w:rPr>
        <w:t> </w:t>
      </w:r>
      <w:r w:rsidRPr="00C32070">
        <w:rPr>
          <w:rtl/>
        </w:rPr>
        <w:t xml:space="preserve">نفقات </w:t>
      </w:r>
      <w:r w:rsidR="00674731" w:rsidRPr="00C32070">
        <w:rPr>
          <w:rtl/>
        </w:rPr>
        <w:t>ال</w:t>
      </w:r>
      <w:r w:rsidR="00A402CB" w:rsidRPr="00C32070">
        <w:rPr>
          <w:rtl/>
        </w:rPr>
        <w:t>ميزانية البرامج</w:t>
      </w:r>
      <w:r w:rsidR="00674731" w:rsidRPr="00C32070">
        <w:rPr>
          <w:rtl/>
        </w:rPr>
        <w:t>ية</w:t>
      </w:r>
      <w:r w:rsidR="00A402CB" w:rsidRPr="00C32070">
        <w:rPr>
          <w:rtl/>
        </w:rPr>
        <w:t xml:space="preserve"> </w:t>
      </w:r>
      <w:r w:rsidRPr="00C32070">
        <w:rPr>
          <w:rtl/>
        </w:rPr>
        <w:t xml:space="preserve">لعام </w:t>
      </w:r>
      <w:r w:rsidR="00D364D5" w:rsidRPr="00C32070">
        <w:t>2023</w:t>
      </w:r>
      <w:r w:rsidRPr="00C32070">
        <w:rPr>
          <w:rtl/>
        </w:rPr>
        <w:t>.</w:t>
      </w:r>
      <w:r w:rsidRPr="00C32070">
        <w:rPr>
          <w:rtl/>
          <w:lang w:bidi="ar"/>
        </w:rPr>
        <w:t xml:space="preserve"> </w:t>
      </w:r>
      <w:r w:rsidRPr="00C32070">
        <w:rPr>
          <w:rtl/>
        </w:rPr>
        <w:t>و</w:t>
      </w:r>
      <w:r w:rsidRPr="00C32070">
        <w:rPr>
          <w:rtl/>
          <w:lang w:val="en" w:bidi="ar"/>
        </w:rPr>
        <w:t>بلغ</w:t>
      </w:r>
      <w:r w:rsidRPr="00C32070">
        <w:rPr>
          <w:lang w:val="en" w:bidi="ar"/>
        </w:rPr>
        <w:t xml:space="preserve"> </w:t>
      </w:r>
      <w:r w:rsidRPr="00C32070">
        <w:rPr>
          <w:rtl/>
          <w:lang w:bidi="ar"/>
        </w:rPr>
        <w:t>معدل</w:t>
      </w:r>
      <w:r w:rsidRPr="00C32070">
        <w:rPr>
          <w:lang w:val="en" w:bidi="ar"/>
        </w:rPr>
        <w:t xml:space="preserve"> </w:t>
      </w:r>
      <w:r w:rsidRPr="00C32070">
        <w:rPr>
          <w:rtl/>
          <w:lang w:bidi="ar"/>
        </w:rPr>
        <w:t>التحصيل</w:t>
      </w:r>
      <w:r w:rsidRPr="00C32070">
        <w:rPr>
          <w:lang w:val="en" w:bidi="ar"/>
        </w:rPr>
        <w:t xml:space="preserve"> </w:t>
      </w:r>
      <w:r w:rsidRPr="00C32070">
        <w:rPr>
          <w:rtl/>
          <w:lang w:bidi="ar"/>
        </w:rPr>
        <w:t>للسنة</w:t>
      </w:r>
      <w:r w:rsidRPr="00C32070">
        <w:rPr>
          <w:lang w:val="en" w:bidi="ar"/>
        </w:rPr>
        <w:t xml:space="preserve"> </w:t>
      </w:r>
      <w:r w:rsidRPr="00C32070">
        <w:rPr>
          <w:rtl/>
          <w:lang w:bidi="ar"/>
        </w:rPr>
        <w:t>المنتهية</w:t>
      </w:r>
      <w:r w:rsidRPr="00C32070">
        <w:rPr>
          <w:lang w:val="en" w:bidi="ar"/>
        </w:rPr>
        <w:t xml:space="preserve"> </w:t>
      </w:r>
      <w:r w:rsidRPr="00C32070">
        <w:rPr>
          <w:rtl/>
          <w:lang w:bidi="ar"/>
        </w:rPr>
        <w:t>في</w:t>
      </w:r>
      <w:r w:rsidRPr="00C32070">
        <w:rPr>
          <w:lang w:val="en" w:bidi="ar"/>
        </w:rPr>
        <w:t xml:space="preserve"> 31 </w:t>
      </w:r>
      <w:r w:rsidRPr="00C32070">
        <w:rPr>
          <w:rtl/>
          <w:lang w:bidi="ar"/>
        </w:rPr>
        <w:t>ديسمبر</w:t>
      </w:r>
      <w:r w:rsidRPr="00C32070">
        <w:rPr>
          <w:lang w:val="en" w:bidi="ar"/>
        </w:rPr>
        <w:t xml:space="preserve"> 2023 </w:t>
      </w:r>
      <w:r w:rsidRPr="00C32070">
        <w:rPr>
          <w:rtl/>
          <w:lang w:bidi="ar"/>
        </w:rPr>
        <w:t xml:space="preserve">حوالي </w:t>
      </w:r>
      <w:r w:rsidRPr="00C32070">
        <w:rPr>
          <w:lang w:val="en" w:bidi="ar"/>
        </w:rPr>
        <w:t>92</w:t>
      </w:r>
      <w:r w:rsidRPr="00C32070">
        <w:rPr>
          <w:rtl/>
          <w:lang w:bidi="ar"/>
        </w:rPr>
        <w:t>%</w:t>
      </w:r>
      <w:r w:rsidR="00FA1C48" w:rsidRPr="00C32070">
        <w:rPr>
          <w:rtl/>
          <w:lang w:bidi="ar"/>
        </w:rPr>
        <w:t xml:space="preserve"> </w:t>
      </w:r>
      <w:r w:rsidRPr="00C32070">
        <w:rPr>
          <w:rtl/>
          <w:lang w:bidi="ar"/>
        </w:rPr>
        <w:t>مقارنة</w:t>
      </w:r>
      <w:r w:rsidR="00FA1C48" w:rsidRPr="00C32070">
        <w:rPr>
          <w:rtl/>
          <w:lang w:bidi="ar"/>
        </w:rPr>
        <w:t>ً</w:t>
      </w:r>
      <w:r w:rsidRPr="00C32070">
        <w:rPr>
          <w:lang w:val="en" w:bidi="ar"/>
        </w:rPr>
        <w:t xml:space="preserve"> </w:t>
      </w:r>
      <w:r w:rsidRPr="00C32070">
        <w:rPr>
          <w:rtl/>
          <w:lang w:bidi="ar"/>
        </w:rPr>
        <w:t xml:space="preserve">بنسبة </w:t>
      </w:r>
      <w:r w:rsidRPr="00C32070">
        <w:rPr>
          <w:lang w:val="en" w:bidi="ar"/>
        </w:rPr>
        <w:t>93</w:t>
      </w:r>
      <w:r w:rsidRPr="00C32070">
        <w:rPr>
          <w:rtl/>
          <w:lang w:bidi="ar"/>
        </w:rPr>
        <w:t>%</w:t>
      </w:r>
      <w:r w:rsidRPr="00C32070">
        <w:rPr>
          <w:lang w:val="en" w:bidi="ar"/>
        </w:rPr>
        <w:t xml:space="preserve"> </w:t>
      </w:r>
      <w:r w:rsidRPr="00C32070">
        <w:rPr>
          <w:rtl/>
          <w:lang w:bidi="ar"/>
        </w:rPr>
        <w:t>في</w:t>
      </w:r>
      <w:r w:rsidRPr="00C32070">
        <w:rPr>
          <w:lang w:val="en" w:bidi="ar"/>
        </w:rPr>
        <w:t xml:space="preserve"> </w:t>
      </w:r>
      <w:r w:rsidRPr="00C32070">
        <w:rPr>
          <w:rtl/>
          <w:lang w:bidi="ar"/>
        </w:rPr>
        <w:t xml:space="preserve">ديسمبر </w:t>
      </w:r>
      <w:r w:rsidRPr="00C32070">
        <w:rPr>
          <w:lang w:val="en" w:bidi="ar"/>
        </w:rPr>
        <w:t>2022</w:t>
      </w:r>
      <w:r w:rsidRPr="00C32070">
        <w:rPr>
          <w:rtl/>
          <w:lang w:val="en" w:bidi="ar"/>
        </w:rPr>
        <w:t>.</w:t>
      </w:r>
    </w:p>
    <w:p w14:paraId="302DD834" w14:textId="371ED85E" w:rsidR="005170C2" w:rsidRPr="00C32070" w:rsidRDefault="005170C2" w:rsidP="003E6D9E">
      <w:pPr>
        <w:rPr>
          <w:lang w:bidi="ar-SY"/>
        </w:rPr>
      </w:pPr>
      <w:r w:rsidRPr="00C32070">
        <w:t>18</w:t>
      </w:r>
      <w:r w:rsidRPr="00C32070">
        <w:rPr>
          <w:rtl/>
        </w:rPr>
        <w:tab/>
        <w:t xml:space="preserve">وتُستحق المساهمات الإجمالية المقررة وتُسدَد </w:t>
      </w:r>
      <w:r w:rsidR="00D364D5" w:rsidRPr="00C32070">
        <w:rPr>
          <w:rtl/>
        </w:rPr>
        <w:t>للاتحاد</w:t>
      </w:r>
      <w:r w:rsidRPr="00C32070">
        <w:rPr>
          <w:rtl/>
        </w:rPr>
        <w:t xml:space="preserve"> </w:t>
      </w:r>
      <w:r w:rsidRPr="00C32070">
        <w:rPr>
          <w:rtl/>
          <w:lang w:bidi="ar"/>
        </w:rPr>
        <w:t>وفقاً</w:t>
      </w:r>
      <w:r w:rsidRPr="00C32070">
        <w:rPr>
          <w:lang w:val="en" w:bidi="ar-SY"/>
        </w:rPr>
        <w:t xml:space="preserve"> </w:t>
      </w:r>
      <w:r w:rsidRPr="00C32070">
        <w:rPr>
          <w:rtl/>
          <w:lang w:bidi="ar"/>
        </w:rPr>
        <w:t>لدستو</w:t>
      </w:r>
      <w:r w:rsidR="00D364D5" w:rsidRPr="00C32070">
        <w:rPr>
          <w:rtl/>
          <w:lang w:bidi="ar"/>
        </w:rPr>
        <w:t>ره و</w:t>
      </w:r>
      <w:r w:rsidRPr="00C32070">
        <w:rPr>
          <w:rtl/>
          <w:lang w:bidi="ar"/>
        </w:rPr>
        <w:t>لوائحه</w:t>
      </w:r>
      <w:r w:rsidRPr="00C32070">
        <w:rPr>
          <w:lang w:val="en" w:bidi="ar-SY"/>
        </w:rPr>
        <w:t xml:space="preserve"> </w:t>
      </w:r>
      <w:r w:rsidRPr="00C32070">
        <w:rPr>
          <w:rtl/>
          <w:lang w:bidi="ar"/>
        </w:rPr>
        <w:t>المالية</w:t>
      </w:r>
      <w:r w:rsidRPr="00C32070">
        <w:rPr>
          <w:rtl/>
        </w:rPr>
        <w:t>.</w:t>
      </w:r>
      <w:r w:rsidRPr="00C32070">
        <w:rPr>
          <w:rtl/>
          <w:lang w:bidi="ar"/>
        </w:rPr>
        <w:t xml:space="preserve"> ولكن</w:t>
      </w:r>
      <w:r w:rsidRPr="00C32070">
        <w:rPr>
          <w:lang w:val="en"/>
        </w:rPr>
        <w:t xml:space="preserve"> </w:t>
      </w:r>
      <w:r w:rsidRPr="00C32070">
        <w:rPr>
          <w:rtl/>
          <w:lang w:bidi="ar"/>
        </w:rPr>
        <w:t>عملاً</w:t>
      </w:r>
      <w:r w:rsidRPr="00C32070">
        <w:rPr>
          <w:lang w:val="en"/>
        </w:rPr>
        <w:t xml:space="preserve"> </w:t>
      </w:r>
      <w:r w:rsidRPr="00C32070">
        <w:rPr>
          <w:rtl/>
        </w:rPr>
        <w:t>ب</w:t>
      </w:r>
      <w:r w:rsidRPr="00C32070">
        <w:rPr>
          <w:rtl/>
          <w:lang w:bidi="ar"/>
        </w:rPr>
        <w:t>ما</w:t>
      </w:r>
      <w:r w:rsidRPr="00C32070">
        <w:rPr>
          <w:lang w:val="en"/>
        </w:rPr>
        <w:t xml:space="preserve"> </w:t>
      </w:r>
      <w:r w:rsidRPr="00C32070">
        <w:rPr>
          <w:rtl/>
          <w:lang w:bidi="ar"/>
        </w:rPr>
        <w:t>تقتضيه</w:t>
      </w:r>
      <w:r w:rsidR="00EF43C1">
        <w:rPr>
          <w:rFonts w:hint="cs"/>
          <w:rtl/>
          <w:lang w:val="en"/>
        </w:rPr>
        <w:t xml:space="preserve"> </w:t>
      </w:r>
      <w:r w:rsidRPr="00C32070">
        <w:rPr>
          <w:rtl/>
          <w:lang w:bidi="ar"/>
        </w:rPr>
        <w:t>المعايير</w:t>
      </w:r>
      <w:r w:rsidRPr="00C32070">
        <w:rPr>
          <w:lang w:val="en"/>
        </w:rPr>
        <w:t xml:space="preserve"> </w:t>
      </w:r>
      <w:r w:rsidRPr="00C32070">
        <w:rPr>
          <w:rtl/>
          <w:lang w:bidi="ar"/>
        </w:rPr>
        <w:t>المحاسبية الدولية للقطاع العام،</w:t>
      </w:r>
      <w:r w:rsidRPr="00C32070">
        <w:rPr>
          <w:lang w:val="en"/>
        </w:rPr>
        <w:t xml:space="preserve"> </w:t>
      </w:r>
      <w:r w:rsidRPr="00C32070">
        <w:rPr>
          <w:rtl/>
          <w:lang w:bidi="ar"/>
        </w:rPr>
        <w:t>يخصَص</w:t>
      </w:r>
      <w:r w:rsidRPr="00C32070">
        <w:rPr>
          <w:lang w:val="en"/>
        </w:rPr>
        <w:t xml:space="preserve"> </w:t>
      </w:r>
      <w:r w:rsidRPr="00C32070">
        <w:rPr>
          <w:rtl/>
          <w:lang w:bidi="ar"/>
        </w:rPr>
        <w:t>بدل</w:t>
      </w:r>
      <w:r w:rsidRPr="00C32070">
        <w:rPr>
          <w:lang w:val="en"/>
        </w:rPr>
        <w:t xml:space="preserve"> </w:t>
      </w:r>
      <w:r w:rsidRPr="00C32070">
        <w:rPr>
          <w:rtl/>
          <w:lang w:bidi="ar"/>
        </w:rPr>
        <w:t>عندما</w:t>
      </w:r>
      <w:r w:rsidRPr="00C32070">
        <w:rPr>
          <w:lang w:val="en"/>
        </w:rPr>
        <w:t xml:space="preserve"> </w:t>
      </w:r>
      <w:r w:rsidRPr="00C32070">
        <w:rPr>
          <w:rtl/>
          <w:lang w:bidi="ar"/>
        </w:rPr>
        <w:t>لا</w:t>
      </w:r>
      <w:r w:rsidRPr="00C32070">
        <w:rPr>
          <w:lang w:val="en"/>
        </w:rPr>
        <w:t xml:space="preserve"> </w:t>
      </w:r>
      <w:r w:rsidRPr="00C32070">
        <w:rPr>
          <w:rtl/>
          <w:lang w:bidi="ar"/>
        </w:rPr>
        <w:t>يُتوقع</w:t>
      </w:r>
      <w:r w:rsidRPr="00C32070">
        <w:rPr>
          <w:lang w:val="en"/>
        </w:rPr>
        <w:t xml:space="preserve"> </w:t>
      </w:r>
      <w:r w:rsidRPr="00C32070">
        <w:rPr>
          <w:rtl/>
          <w:lang w:bidi="ar"/>
        </w:rPr>
        <w:t>دفع</w:t>
      </w:r>
      <w:r w:rsidRPr="00C32070">
        <w:rPr>
          <w:lang w:val="en"/>
        </w:rPr>
        <w:t xml:space="preserve"> </w:t>
      </w:r>
      <w:r w:rsidRPr="00C32070">
        <w:rPr>
          <w:rtl/>
          <w:lang w:bidi="ar"/>
        </w:rPr>
        <w:t>المساهمات</w:t>
      </w:r>
      <w:r w:rsidR="00D364D5" w:rsidRPr="00C32070">
        <w:rPr>
          <w:rtl/>
          <w:lang w:bidi="ar"/>
        </w:rPr>
        <w:t xml:space="preserve"> وفقاً للوائح والقواعد المالية</w:t>
      </w:r>
      <w:r w:rsidR="00D364D5" w:rsidRPr="00C32070">
        <w:rPr>
          <w:rtl/>
          <w:lang w:val="en"/>
        </w:rPr>
        <w:t>.</w:t>
      </w:r>
    </w:p>
    <w:p w14:paraId="69CC1622" w14:textId="77777777" w:rsidR="005170C2" w:rsidRPr="00C32070" w:rsidRDefault="005170C2" w:rsidP="00F72B70">
      <w:pPr>
        <w:pStyle w:val="Headingb"/>
        <w:rPr>
          <w:lang w:bidi="ar-SY"/>
        </w:rPr>
      </w:pPr>
      <w:r w:rsidRPr="00C32070">
        <w:rPr>
          <w:rtl/>
        </w:rPr>
        <w:t>الخصوم</w:t>
      </w:r>
    </w:p>
    <w:p w14:paraId="557A0EFC" w14:textId="48584D0F" w:rsidR="005170C2" w:rsidRPr="00C32070" w:rsidRDefault="005170C2" w:rsidP="003E6D9E">
      <w:pPr>
        <w:rPr>
          <w:lang w:bidi="ar-SY"/>
        </w:rPr>
      </w:pPr>
      <w:r w:rsidRPr="00C32070">
        <w:rPr>
          <w:lang w:bidi="ar-SY"/>
        </w:rPr>
        <w:t>19</w:t>
      </w:r>
      <w:r w:rsidRPr="00C32070">
        <w:rPr>
          <w:lang w:bidi="ar-SY"/>
        </w:rPr>
        <w:tab/>
      </w:r>
      <w:r w:rsidRPr="00C32070">
        <w:rPr>
          <w:rtl/>
          <w:lang w:bidi="ar-SY"/>
        </w:rPr>
        <w:t>بلغ</w:t>
      </w:r>
      <w:r w:rsidR="00A402CB" w:rsidRPr="00C32070">
        <w:rPr>
          <w:rtl/>
          <w:lang w:bidi="ar-EG"/>
        </w:rPr>
        <w:t>ت</w:t>
      </w:r>
      <w:r w:rsidRPr="00C32070">
        <w:rPr>
          <w:rtl/>
          <w:lang w:bidi="ar-SY"/>
        </w:rPr>
        <w:t xml:space="preserve"> الخصوم في </w:t>
      </w:r>
      <w:r w:rsidR="00A402CB" w:rsidRPr="00C32070">
        <w:rPr>
          <w:lang w:bidi="ar-SY"/>
        </w:rPr>
        <w:t>31</w:t>
      </w:r>
      <w:r w:rsidRPr="00C32070">
        <w:rPr>
          <w:rtl/>
          <w:lang w:bidi="ar-SY"/>
        </w:rPr>
        <w:t xml:space="preserve"> ديسمبر </w:t>
      </w:r>
      <w:r w:rsidRPr="00C32070">
        <w:rPr>
          <w:lang w:bidi="ar-SY"/>
        </w:rPr>
        <w:t>2023</w:t>
      </w:r>
      <w:r w:rsidRPr="00C32070">
        <w:rPr>
          <w:rtl/>
          <w:lang w:bidi="ar-SY"/>
        </w:rPr>
        <w:t xml:space="preserve"> </w:t>
      </w:r>
      <w:r w:rsidR="00A402CB" w:rsidRPr="00C32070">
        <w:rPr>
          <w:rtl/>
          <w:lang w:bidi="ar-SY"/>
        </w:rPr>
        <w:t xml:space="preserve">ما مجموعه </w:t>
      </w:r>
      <w:r w:rsidRPr="00C32070">
        <w:rPr>
          <w:lang w:bidi="ar-SY"/>
        </w:rPr>
        <w:t>565,9</w:t>
      </w:r>
      <w:r w:rsidRPr="00C32070">
        <w:rPr>
          <w:rtl/>
          <w:lang w:bidi="ar-EG"/>
        </w:rPr>
        <w:t xml:space="preserve"> </w:t>
      </w:r>
      <w:r w:rsidRPr="00C32070">
        <w:rPr>
          <w:rtl/>
          <w:lang w:bidi="ar-SY"/>
        </w:rPr>
        <w:t>مليون فرنك سويسري (</w:t>
      </w:r>
      <w:r w:rsidR="00A402CB" w:rsidRPr="00C32070">
        <w:rPr>
          <w:rtl/>
          <w:lang w:bidi="ar-SY"/>
        </w:rPr>
        <w:t xml:space="preserve">بالمقارنة مع </w:t>
      </w:r>
      <w:r w:rsidRPr="00C32070">
        <w:rPr>
          <w:lang w:bidi="ar-SY"/>
        </w:rPr>
        <w:t>530,9</w:t>
      </w:r>
      <w:r w:rsidRPr="00C32070">
        <w:rPr>
          <w:rtl/>
          <w:lang w:bidi="ar-EG"/>
        </w:rPr>
        <w:t xml:space="preserve"> </w:t>
      </w:r>
      <w:r w:rsidRPr="00C32070">
        <w:rPr>
          <w:rtl/>
          <w:lang w:bidi="ar-SY"/>
        </w:rPr>
        <w:t xml:space="preserve">مليون فرنك سويسري في </w:t>
      </w:r>
      <w:r w:rsidR="00A402CB" w:rsidRPr="00C32070">
        <w:rPr>
          <w:lang w:bidi="ar-SY"/>
        </w:rPr>
        <w:t>31</w:t>
      </w:r>
      <w:r w:rsidRPr="00C32070">
        <w:rPr>
          <w:rtl/>
          <w:lang w:bidi="ar-SY"/>
        </w:rPr>
        <w:t xml:space="preserve"> ديسمبر </w:t>
      </w:r>
      <w:r w:rsidRPr="00C32070">
        <w:rPr>
          <w:lang w:bidi="ar-SY"/>
        </w:rPr>
        <w:t>2022</w:t>
      </w:r>
      <w:r w:rsidRPr="00C32070">
        <w:rPr>
          <w:rtl/>
          <w:lang w:bidi="ar-SY"/>
        </w:rPr>
        <w:t>).</w:t>
      </w:r>
    </w:p>
    <w:p w14:paraId="469DC452" w14:textId="143D3889" w:rsidR="005170C2" w:rsidRPr="00C32070" w:rsidRDefault="005170C2" w:rsidP="00F72B70">
      <w:pPr>
        <w:pStyle w:val="Headingb"/>
        <w:rPr>
          <w:lang w:bidi="ar-SY"/>
        </w:rPr>
      </w:pPr>
      <w:r w:rsidRPr="00C32070">
        <w:rPr>
          <w:rtl/>
        </w:rPr>
        <w:t>استحقاقات للموظفين</w:t>
      </w:r>
    </w:p>
    <w:p w14:paraId="2D815169" w14:textId="4B9D8E36" w:rsidR="005170C2" w:rsidRPr="00C32070" w:rsidRDefault="005170C2" w:rsidP="003E6D9E">
      <w:pPr>
        <w:rPr>
          <w:rtl/>
          <w:lang w:bidi="ar-SY"/>
        </w:rPr>
      </w:pPr>
      <w:r w:rsidRPr="00C32070">
        <w:rPr>
          <w:lang w:bidi="ar-SY"/>
        </w:rPr>
        <w:t>20</w:t>
      </w:r>
      <w:r w:rsidRPr="00C32070">
        <w:rPr>
          <w:lang w:bidi="ar-SY"/>
        </w:rPr>
        <w:tab/>
      </w:r>
      <w:r w:rsidRPr="00C32070">
        <w:rPr>
          <w:rtl/>
        </w:rPr>
        <w:t xml:space="preserve">تمثلت أهم الخصوم في الاستحقاقات المستحقة للموظفين والمتقاعدين في المستقبل. </w:t>
      </w:r>
      <w:r w:rsidRPr="00C32070">
        <w:rPr>
          <w:rtl/>
          <w:lang w:bidi="ar-SY"/>
        </w:rPr>
        <w:t xml:space="preserve">ومثلت خصوم التأمين الصحي بعد </w:t>
      </w:r>
      <w:r w:rsidR="003E6D9E" w:rsidRPr="00C32070">
        <w:rPr>
          <w:rtl/>
          <w:lang w:bidi="ar-SY"/>
        </w:rPr>
        <w:t>إنهاء</w:t>
      </w:r>
      <w:r w:rsidRPr="00C32070">
        <w:rPr>
          <w:rtl/>
          <w:lang w:bidi="ar-SY"/>
        </w:rPr>
        <w:t xml:space="preserve"> الخدمة (</w:t>
      </w:r>
      <w:r w:rsidRPr="00C32070">
        <w:rPr>
          <w:lang w:bidi="ar-SY"/>
        </w:rPr>
        <w:t>ASHI</w:t>
      </w:r>
      <w:r w:rsidRPr="00C32070">
        <w:rPr>
          <w:rtl/>
          <w:lang w:bidi="ar-SY"/>
        </w:rPr>
        <w:t xml:space="preserve">) وحدها </w:t>
      </w:r>
      <w:r w:rsidRPr="00C32070">
        <w:rPr>
          <w:lang w:bidi="ar-SY"/>
        </w:rPr>
        <w:t>71</w:t>
      </w:r>
      <w:r w:rsidRPr="00C32070">
        <w:rPr>
          <w:rtl/>
          <w:lang w:bidi="ar-SY"/>
        </w:rPr>
        <w:t xml:space="preserve">% من إجمالي خصوم الاتحاد في </w:t>
      </w:r>
      <w:r w:rsidR="00D364D5" w:rsidRPr="00C32070">
        <w:rPr>
          <w:lang w:bidi="ar-SY"/>
        </w:rPr>
        <w:t>31</w:t>
      </w:r>
      <w:r w:rsidRPr="00C32070">
        <w:rPr>
          <w:rtl/>
          <w:lang w:bidi="ar-SY"/>
        </w:rPr>
        <w:t xml:space="preserve"> ديسمبر </w:t>
      </w:r>
      <w:r w:rsidRPr="00C32070">
        <w:rPr>
          <w:lang w:bidi="ar-SY"/>
        </w:rPr>
        <w:t>2023</w:t>
      </w:r>
      <w:r w:rsidRPr="00C32070">
        <w:rPr>
          <w:rtl/>
          <w:lang w:bidi="ar-SY"/>
        </w:rPr>
        <w:t xml:space="preserve">. ولكن خصوم التأمين الصحي بعد انتهاء الخدمة </w:t>
      </w:r>
      <w:r w:rsidR="00746147" w:rsidRPr="00C32070">
        <w:rPr>
          <w:rtl/>
          <w:lang w:bidi="ar-SY"/>
        </w:rPr>
        <w:t>زادت</w:t>
      </w:r>
      <w:r w:rsidRPr="00C32070">
        <w:rPr>
          <w:rtl/>
          <w:lang w:bidi="ar-SY"/>
        </w:rPr>
        <w:t xml:space="preserve"> بمقدار </w:t>
      </w:r>
      <w:r w:rsidRPr="00C32070">
        <w:rPr>
          <w:lang w:bidi="ar-SY"/>
        </w:rPr>
        <w:t>30,4</w:t>
      </w:r>
      <w:r w:rsidRPr="00C32070">
        <w:rPr>
          <w:rtl/>
          <w:lang w:bidi="ar-SY"/>
        </w:rPr>
        <w:t xml:space="preserve"> مليون فرنك سويسري </w:t>
      </w:r>
      <w:r w:rsidR="00746147" w:rsidRPr="00C32070">
        <w:rPr>
          <w:rtl/>
          <w:lang w:bidi="ar-SY"/>
        </w:rPr>
        <w:t xml:space="preserve">في عام </w:t>
      </w:r>
      <w:r w:rsidR="00746147" w:rsidRPr="00C32070">
        <w:rPr>
          <w:lang w:bidi="ar-SY"/>
        </w:rPr>
        <w:t>2023</w:t>
      </w:r>
      <w:r w:rsidR="00746147" w:rsidRPr="00C32070">
        <w:rPr>
          <w:rtl/>
          <w:lang w:bidi="ar-SY"/>
        </w:rPr>
        <w:t xml:space="preserve"> </w:t>
      </w:r>
      <w:r w:rsidRPr="00C32070">
        <w:rPr>
          <w:rtl/>
          <w:lang w:bidi="ar-SY"/>
        </w:rPr>
        <w:t>مقارنة</w:t>
      </w:r>
      <w:r w:rsidR="00FA1C48" w:rsidRPr="00C32070">
        <w:rPr>
          <w:rtl/>
          <w:lang w:bidi="ar-SY"/>
        </w:rPr>
        <w:t>ً</w:t>
      </w:r>
      <w:r w:rsidRPr="00C32070">
        <w:rPr>
          <w:rtl/>
          <w:lang w:bidi="ar-SY"/>
        </w:rPr>
        <w:t xml:space="preserve"> بعام </w:t>
      </w:r>
      <w:r w:rsidRPr="00C32070">
        <w:rPr>
          <w:lang w:bidi="ar-SY"/>
        </w:rPr>
        <w:t>2022</w:t>
      </w:r>
      <w:r w:rsidRPr="00C32070">
        <w:rPr>
          <w:rtl/>
          <w:lang w:bidi="ar-SY"/>
        </w:rPr>
        <w:t xml:space="preserve">. ويعزى ذلك في </w:t>
      </w:r>
      <w:r w:rsidR="00D364D5" w:rsidRPr="00C32070">
        <w:rPr>
          <w:rtl/>
          <w:lang w:bidi="ar-SY"/>
        </w:rPr>
        <w:t>معظمه</w:t>
      </w:r>
      <w:r w:rsidRPr="00C32070">
        <w:rPr>
          <w:rtl/>
          <w:lang w:bidi="ar-SY"/>
        </w:rPr>
        <w:t xml:space="preserve"> إلى </w:t>
      </w:r>
      <w:r w:rsidR="00746147" w:rsidRPr="00C32070">
        <w:rPr>
          <w:rtl/>
          <w:lang w:bidi="ar-SY"/>
        </w:rPr>
        <w:t>انخفاض</w:t>
      </w:r>
      <w:r w:rsidRPr="00C32070">
        <w:rPr>
          <w:rtl/>
          <w:lang w:bidi="ar-SY"/>
        </w:rPr>
        <w:t xml:space="preserve"> سعر الخصم.</w:t>
      </w:r>
    </w:p>
    <w:p w14:paraId="551CF7E5" w14:textId="26143E61" w:rsidR="005170C2" w:rsidRPr="00C32070" w:rsidRDefault="005170C2" w:rsidP="003E6D9E">
      <w:pPr>
        <w:rPr>
          <w:rtl/>
          <w:lang w:bidi="ar-SY"/>
        </w:rPr>
      </w:pPr>
      <w:r w:rsidRPr="00C32070">
        <w:rPr>
          <w:lang w:bidi="ar-SY"/>
        </w:rPr>
        <w:t>21</w:t>
      </w:r>
      <w:r w:rsidRPr="00C32070">
        <w:rPr>
          <w:lang w:bidi="ar-SY"/>
        </w:rPr>
        <w:tab/>
      </w:r>
      <w:r w:rsidRPr="00C32070">
        <w:rPr>
          <w:rtl/>
          <w:lang w:bidi="ar-SY"/>
        </w:rPr>
        <w:t>ويمول الاتحاد المدفوعات المستحَقة بموجب التزاماته المتعلقة بالتأمين الصحي بعد انتهاء الخدمة على أساس الدفع أولاً بأول.</w:t>
      </w:r>
      <w:r w:rsidRPr="00C32070">
        <w:rPr>
          <w:rtl/>
        </w:rPr>
        <w:t xml:space="preserve"> و</w:t>
      </w:r>
      <w:r w:rsidRPr="00C32070">
        <w:rPr>
          <w:rtl/>
          <w:lang w:bidi="ar-SY"/>
        </w:rPr>
        <w:t xml:space="preserve">يتضمن القرار </w:t>
      </w:r>
      <w:r w:rsidR="00654CC7" w:rsidRPr="00C32070">
        <w:rPr>
          <w:lang w:bidi="ar-SY"/>
        </w:rPr>
        <w:t>1405</w:t>
      </w:r>
      <w:r w:rsidRPr="00C32070">
        <w:rPr>
          <w:rtl/>
          <w:lang w:bidi="ar-SY"/>
        </w:rPr>
        <w:t xml:space="preserve"> بشأن ميزانية </w:t>
      </w:r>
      <w:r w:rsidR="00654CC7" w:rsidRPr="00C32070">
        <w:rPr>
          <w:lang w:bidi="ar-SY"/>
        </w:rPr>
        <w:t>2023-2022</w:t>
      </w:r>
      <w:r w:rsidRPr="00C32070">
        <w:rPr>
          <w:rtl/>
          <w:lang w:bidi="ar-SY"/>
        </w:rPr>
        <w:t xml:space="preserve"> سحب مليون فرنك سويسري كل </w:t>
      </w:r>
      <w:r w:rsidR="00746147" w:rsidRPr="00C32070">
        <w:rPr>
          <w:rtl/>
          <w:lang w:bidi="ar-SY"/>
        </w:rPr>
        <w:t>فترة سنتين</w:t>
      </w:r>
      <w:r w:rsidRPr="00C32070">
        <w:rPr>
          <w:rtl/>
          <w:lang w:bidi="ar-SY"/>
        </w:rPr>
        <w:t xml:space="preserve"> من حساب الاحتياطي لتمويل الخصوم طويلة الأجل</w:t>
      </w:r>
      <w:r w:rsidR="00654CC7" w:rsidRPr="00C32070">
        <w:rPr>
          <w:rtl/>
          <w:lang w:bidi="ar-EG"/>
        </w:rPr>
        <w:t xml:space="preserve"> هذه</w:t>
      </w:r>
      <w:r w:rsidRPr="00C32070">
        <w:rPr>
          <w:rtl/>
          <w:lang w:bidi="ar-SY"/>
        </w:rPr>
        <w:t>. ووفقاً ل</w:t>
      </w:r>
      <w:r w:rsidR="00654CC7" w:rsidRPr="00C32070">
        <w:rPr>
          <w:rtl/>
          <w:lang w:bidi="ar-SY"/>
        </w:rPr>
        <w:t>ل</w:t>
      </w:r>
      <w:r w:rsidRPr="00C32070">
        <w:rPr>
          <w:rtl/>
          <w:lang w:bidi="ar-SY"/>
        </w:rPr>
        <w:t xml:space="preserve">معيار </w:t>
      </w:r>
      <w:r w:rsidRPr="00C32070">
        <w:rPr>
          <w:lang w:bidi="ar-SY"/>
        </w:rPr>
        <w:t>39</w:t>
      </w:r>
      <w:r w:rsidR="00654CC7" w:rsidRPr="00C32070">
        <w:rPr>
          <w:rtl/>
          <w:lang w:bidi="ar-SY"/>
        </w:rPr>
        <w:t xml:space="preserve"> من </w:t>
      </w:r>
      <w:r w:rsidR="00654CC7" w:rsidRPr="00C32070">
        <w:rPr>
          <w:rtl/>
          <w:lang w:bidi="ar"/>
        </w:rPr>
        <w:t>المعايير المحاسبية الدولية للقطاع العام</w:t>
      </w:r>
      <w:r w:rsidRPr="00C32070">
        <w:rPr>
          <w:rtl/>
          <w:lang w:bidi="ar-SY"/>
        </w:rPr>
        <w:t xml:space="preserve">، لم تُجرَ مقاصة لأصول الخطة مقابل الخصوم، بل تجمَّع مبلغ </w:t>
      </w:r>
      <w:r w:rsidR="00654CC7" w:rsidRPr="00C32070">
        <w:rPr>
          <w:lang w:bidi="ar-SY"/>
        </w:rPr>
        <w:t>14</w:t>
      </w:r>
      <w:r w:rsidRPr="00C32070">
        <w:rPr>
          <w:rtl/>
          <w:lang w:bidi="ar-SY"/>
        </w:rPr>
        <w:t xml:space="preserve"> مليون فرنك سويسري في الحساب الخاص للتأمين الصحي بعد نهاية الخدمة</w:t>
      </w:r>
      <w:r w:rsidR="00EF43C1">
        <w:rPr>
          <w:rFonts w:hint="cs"/>
          <w:rtl/>
          <w:lang w:bidi="ar-SY"/>
        </w:rPr>
        <w:t> </w:t>
      </w:r>
      <w:r w:rsidRPr="00C32070">
        <w:rPr>
          <w:rtl/>
          <w:lang w:bidi="ar-SY"/>
        </w:rPr>
        <w:t>(</w:t>
      </w:r>
      <w:r w:rsidRPr="00C32070">
        <w:rPr>
          <w:lang w:bidi="ar-SY"/>
        </w:rPr>
        <w:t>ASHI</w:t>
      </w:r>
      <w:r w:rsidRPr="00C32070">
        <w:rPr>
          <w:rtl/>
          <w:lang w:bidi="ar-SY"/>
        </w:rPr>
        <w:t xml:space="preserve">) حتى </w:t>
      </w:r>
      <w:r w:rsidR="00654CC7" w:rsidRPr="00C32070">
        <w:rPr>
          <w:lang w:bidi="ar-SY"/>
        </w:rPr>
        <w:t>31</w:t>
      </w:r>
      <w:r w:rsidRPr="00C32070">
        <w:rPr>
          <w:rtl/>
          <w:lang w:bidi="ar-SY"/>
        </w:rPr>
        <w:t xml:space="preserve"> ديسمبر </w:t>
      </w:r>
      <w:r w:rsidRPr="00C32070">
        <w:rPr>
          <w:lang w:bidi="ar-SY"/>
        </w:rPr>
        <w:t>2023</w:t>
      </w:r>
      <w:r w:rsidRPr="00C32070">
        <w:rPr>
          <w:rtl/>
          <w:lang w:bidi="ar-SY"/>
        </w:rPr>
        <w:t xml:space="preserve"> لتغطية </w:t>
      </w:r>
      <w:bookmarkStart w:id="12" w:name="_Hlk160361056"/>
      <w:r w:rsidRPr="00C32070">
        <w:rPr>
          <w:rtl/>
          <w:lang w:bidi="ar-SY"/>
        </w:rPr>
        <w:t xml:space="preserve">الخصوم </w:t>
      </w:r>
      <w:bookmarkEnd w:id="12"/>
      <w:r w:rsidRPr="00C32070">
        <w:rPr>
          <w:rtl/>
          <w:lang w:bidi="ar-SY"/>
        </w:rPr>
        <w:t>المستقبلية.</w:t>
      </w:r>
    </w:p>
    <w:p w14:paraId="535EE25C" w14:textId="77777777" w:rsidR="005170C2" w:rsidRPr="00C32070" w:rsidRDefault="005170C2" w:rsidP="00F72B70">
      <w:pPr>
        <w:pStyle w:val="Headingb"/>
      </w:pPr>
      <w:r w:rsidRPr="00C32070">
        <w:rPr>
          <w:rtl/>
        </w:rPr>
        <w:t>القروض طويلة الأجل</w:t>
      </w:r>
    </w:p>
    <w:p w14:paraId="7A1EB8E9" w14:textId="05D58FCF" w:rsidR="005170C2" w:rsidRPr="00C32070" w:rsidRDefault="005170C2" w:rsidP="003E6D9E">
      <w:pPr>
        <w:rPr>
          <w:lang w:bidi="ar-EG"/>
        </w:rPr>
      </w:pPr>
      <w:r w:rsidRPr="00C32070">
        <w:rPr>
          <w:lang w:bidi="ar-SY"/>
        </w:rPr>
        <w:t>22</w:t>
      </w:r>
      <w:r w:rsidRPr="00C32070">
        <w:rPr>
          <w:lang w:bidi="ar-SY"/>
        </w:rPr>
        <w:tab/>
      </w:r>
      <w:r w:rsidRPr="00C32070">
        <w:rPr>
          <w:rtl/>
          <w:lang w:bidi="ar-SY"/>
        </w:rPr>
        <w:t xml:space="preserve">لدى الاتحاد حالياً أربعة </w:t>
      </w:r>
      <w:bookmarkStart w:id="13" w:name="_Hlk160382493"/>
      <w:r w:rsidRPr="00C32070">
        <w:rPr>
          <w:rtl/>
          <w:lang w:bidi="ar-SY"/>
        </w:rPr>
        <w:t xml:space="preserve">قروض </w:t>
      </w:r>
      <w:bookmarkEnd w:id="13"/>
      <w:r w:rsidRPr="00C32070">
        <w:rPr>
          <w:rtl/>
          <w:lang w:bidi="ar-SY"/>
        </w:rPr>
        <w:t>بدون فوائد مع مؤسسة مباني المنظمات الدولية (</w:t>
      </w:r>
      <w:r w:rsidRPr="00C32070">
        <w:rPr>
          <w:lang w:bidi="ar-SY"/>
        </w:rPr>
        <w:t>FIPOI</w:t>
      </w:r>
      <w:r w:rsidRPr="00C32070">
        <w:rPr>
          <w:rtl/>
          <w:lang w:bidi="ar-SY"/>
        </w:rPr>
        <w:t xml:space="preserve">). وحتى </w:t>
      </w:r>
      <w:r w:rsidR="00347A41" w:rsidRPr="00C32070">
        <w:rPr>
          <w:lang w:bidi="ar-SY"/>
        </w:rPr>
        <w:t>31</w:t>
      </w:r>
      <w:r w:rsidRPr="00C32070">
        <w:rPr>
          <w:rtl/>
          <w:lang w:bidi="ar-SY"/>
        </w:rPr>
        <w:t xml:space="preserve"> ديسمبر </w:t>
      </w:r>
      <w:r w:rsidRPr="00C32070">
        <w:rPr>
          <w:lang w:bidi="ar-SY"/>
        </w:rPr>
        <w:t>2023</w:t>
      </w:r>
      <w:r w:rsidRPr="00C32070">
        <w:rPr>
          <w:rtl/>
          <w:lang w:bidi="ar-SY"/>
        </w:rPr>
        <w:t xml:space="preserve">، يرد بيان ثلاثة من هذه القروض في البيانات المالية بالقيمة العادلة. وليس للقرض الرابع جدول سداد بعد، وبالتالي تقدر قيمته </w:t>
      </w:r>
      <w:r w:rsidR="00347A41" w:rsidRPr="00C32070">
        <w:rPr>
          <w:rtl/>
          <w:lang w:bidi="ar-SY"/>
        </w:rPr>
        <w:t>بالتكلفة المستهلكة</w:t>
      </w:r>
      <w:r w:rsidRPr="00C32070">
        <w:rPr>
          <w:rtl/>
          <w:lang w:bidi="ar-SY"/>
        </w:rPr>
        <w:t xml:space="preserve"> إلى أن تبدأ عمليات السداد بموجب هذا القرض</w:t>
      </w:r>
      <w:r w:rsidRPr="00C32070">
        <w:rPr>
          <w:rtl/>
          <w:lang w:bidi="ar-EG"/>
        </w:rPr>
        <w:t xml:space="preserve">. </w:t>
      </w:r>
      <w:r w:rsidR="00347A41" w:rsidRPr="00C32070">
        <w:rPr>
          <w:rtl/>
          <w:lang w:bidi="ar-EG"/>
        </w:rPr>
        <w:t xml:space="preserve">ويرد مزيد من المعلومات في الملاحظة </w:t>
      </w:r>
      <w:r w:rsidR="00347A41" w:rsidRPr="00C32070">
        <w:rPr>
          <w:lang w:bidi="ar-EG"/>
        </w:rPr>
        <w:t>16</w:t>
      </w:r>
      <w:r w:rsidR="00347A41" w:rsidRPr="00C32070">
        <w:rPr>
          <w:rtl/>
          <w:lang w:bidi="ar-EG"/>
        </w:rPr>
        <w:t xml:space="preserve">. وتشير التقديرات إلى أن الفوائد التي حصل عليها الاتحاد نتيجة للقروض المقدمة بدون فائدة بمبلغ </w:t>
      </w:r>
      <w:r w:rsidR="00347A41" w:rsidRPr="00C32070">
        <w:rPr>
          <w:lang w:bidi="ar-EG"/>
        </w:rPr>
        <w:t>0,93</w:t>
      </w:r>
      <w:r w:rsidR="00347A41" w:rsidRPr="00C32070">
        <w:rPr>
          <w:rtl/>
          <w:lang w:bidi="ar-EG"/>
        </w:rPr>
        <w:t xml:space="preserve"> مليون فرنك سويسري في عام </w:t>
      </w:r>
      <w:r w:rsidR="00347A41" w:rsidRPr="00C32070">
        <w:rPr>
          <w:lang w:bidi="ar-EG"/>
        </w:rPr>
        <w:t>2023</w:t>
      </w:r>
      <w:r w:rsidR="00347A41" w:rsidRPr="00C32070">
        <w:rPr>
          <w:rtl/>
          <w:lang w:bidi="ar-EG"/>
        </w:rPr>
        <w:t>.</w:t>
      </w:r>
    </w:p>
    <w:p w14:paraId="71BA9FD1" w14:textId="77777777" w:rsidR="005170C2" w:rsidRPr="00C32070" w:rsidRDefault="005170C2" w:rsidP="00F72B70">
      <w:pPr>
        <w:pStyle w:val="Headingb"/>
      </w:pPr>
      <w:r w:rsidRPr="00C32070">
        <w:rPr>
          <w:rtl/>
        </w:rPr>
        <w:t>نتيجة الميزانية مقابل نتيجة المعايير المحاسبية الدولية للقطاع العام (</w:t>
      </w:r>
      <w:r w:rsidRPr="00C32070">
        <w:t>IPSAS</w:t>
      </w:r>
      <w:r w:rsidRPr="00C32070">
        <w:rPr>
          <w:rtl/>
        </w:rPr>
        <w:t>)</w:t>
      </w:r>
    </w:p>
    <w:p w14:paraId="1F921A27" w14:textId="214045D0" w:rsidR="005170C2" w:rsidRPr="00C32070" w:rsidRDefault="00E279C6" w:rsidP="003E6D9E">
      <w:pPr>
        <w:rPr>
          <w:lang w:bidi="ar-SY"/>
        </w:rPr>
      </w:pPr>
      <w:r w:rsidRPr="00C32070">
        <w:rPr>
          <w:lang w:bidi="ar-SY"/>
        </w:rPr>
        <w:t>23</w:t>
      </w:r>
      <w:r w:rsidR="005170C2" w:rsidRPr="00C32070">
        <w:rPr>
          <w:lang w:bidi="ar-SY"/>
        </w:rPr>
        <w:tab/>
      </w:r>
      <w:r w:rsidR="005170C2" w:rsidRPr="00C32070">
        <w:rPr>
          <w:rtl/>
          <w:lang w:bidi="ar-SY"/>
        </w:rPr>
        <w:t xml:space="preserve">يُعَد البيان الخامس من البيانات المالية استناداً إلى الميزانية العادية لإطار ميزانية الاتحاد ويقدم عرضاً لاستخدام الميزانية العادية المعتمَدة على أساس نقدي معدَّل. وعلى هذا الأساس، تجاوزت المنظمة الإنفاق من الميزانية العادية المعتمدة بمقدار </w:t>
      </w:r>
      <w:r w:rsidRPr="00C32070">
        <w:rPr>
          <w:lang w:bidi="ar-SY"/>
        </w:rPr>
        <w:t>1,4</w:t>
      </w:r>
      <w:r w:rsidR="005170C2" w:rsidRPr="00C32070">
        <w:rPr>
          <w:rtl/>
          <w:lang w:bidi="ar-SY"/>
        </w:rPr>
        <w:t xml:space="preserve"> مليون فرنك سويسري</w:t>
      </w:r>
      <w:r w:rsidRPr="00C32070">
        <w:rPr>
          <w:lang w:bidi="ar-SY"/>
        </w:rPr>
        <w:t>.</w:t>
      </w:r>
    </w:p>
    <w:p w14:paraId="4301FC25" w14:textId="1CF5463C" w:rsidR="005170C2" w:rsidRPr="00C32070" w:rsidRDefault="00E279C6" w:rsidP="003E6D9E">
      <w:pPr>
        <w:rPr>
          <w:lang w:val="en" w:bidi="ar-SY"/>
        </w:rPr>
      </w:pPr>
      <w:r w:rsidRPr="00C32070">
        <w:rPr>
          <w:lang w:bidi="ar-SY"/>
        </w:rPr>
        <w:t>24</w:t>
      </w:r>
      <w:r w:rsidR="005170C2" w:rsidRPr="00C32070">
        <w:rPr>
          <w:lang w:bidi="ar-SY"/>
        </w:rPr>
        <w:tab/>
      </w:r>
      <w:r w:rsidR="005170C2" w:rsidRPr="00C32070">
        <w:rPr>
          <w:rtl/>
          <w:lang w:bidi="ar"/>
        </w:rPr>
        <w:t>وترد</w:t>
      </w:r>
      <w:r w:rsidR="005170C2" w:rsidRPr="00C32070">
        <w:rPr>
          <w:lang w:val="en" w:bidi="ar-SY"/>
        </w:rPr>
        <w:t xml:space="preserve"> </w:t>
      </w:r>
      <w:r w:rsidR="005170C2" w:rsidRPr="00C32070">
        <w:rPr>
          <w:rtl/>
          <w:lang w:bidi="ar"/>
        </w:rPr>
        <w:t>في</w:t>
      </w:r>
      <w:r w:rsidR="005170C2" w:rsidRPr="00C32070">
        <w:rPr>
          <w:lang w:val="en" w:bidi="ar-SY"/>
        </w:rPr>
        <w:t xml:space="preserve"> </w:t>
      </w:r>
      <w:r w:rsidR="005170C2" w:rsidRPr="00C32070">
        <w:rPr>
          <w:rtl/>
          <w:lang w:bidi="ar"/>
        </w:rPr>
        <w:t>البيانات</w:t>
      </w:r>
      <w:r w:rsidR="005170C2" w:rsidRPr="00C32070">
        <w:rPr>
          <w:lang w:val="en" w:bidi="ar-SY"/>
        </w:rPr>
        <w:t xml:space="preserve"> </w:t>
      </w:r>
      <w:r w:rsidR="005170C2" w:rsidRPr="00C32070">
        <w:rPr>
          <w:rtl/>
          <w:lang w:bidi="ar"/>
        </w:rPr>
        <w:t>المالية</w:t>
      </w:r>
      <w:r w:rsidR="005170C2" w:rsidRPr="00C32070">
        <w:rPr>
          <w:lang w:val="en" w:bidi="ar-SY"/>
        </w:rPr>
        <w:t xml:space="preserve"> </w:t>
      </w:r>
      <w:r w:rsidR="005170C2" w:rsidRPr="00C32070">
        <w:rPr>
          <w:rtl/>
          <w:lang w:bidi="ar"/>
        </w:rPr>
        <w:t>تسوية</w:t>
      </w:r>
      <w:r w:rsidR="005170C2" w:rsidRPr="00C32070">
        <w:rPr>
          <w:lang w:val="en" w:bidi="ar-SY"/>
        </w:rPr>
        <w:t xml:space="preserve"> </w:t>
      </w:r>
      <w:r w:rsidR="005170C2" w:rsidRPr="00C32070">
        <w:rPr>
          <w:rtl/>
          <w:lang w:bidi="ar"/>
        </w:rPr>
        <w:t>بين</w:t>
      </w:r>
      <w:r w:rsidR="005170C2" w:rsidRPr="00C32070">
        <w:rPr>
          <w:lang w:val="en" w:bidi="ar-SY"/>
        </w:rPr>
        <w:t xml:space="preserve"> </w:t>
      </w:r>
      <w:r w:rsidR="005170C2" w:rsidRPr="00C32070">
        <w:rPr>
          <w:rtl/>
          <w:lang w:bidi="ar"/>
        </w:rPr>
        <w:t>النتيجة</w:t>
      </w:r>
      <w:r w:rsidR="005170C2" w:rsidRPr="00C32070">
        <w:rPr>
          <w:lang w:val="en" w:bidi="ar-SY"/>
        </w:rPr>
        <w:t xml:space="preserve"> </w:t>
      </w:r>
      <w:r w:rsidR="005170C2" w:rsidRPr="00C32070">
        <w:rPr>
          <w:rtl/>
          <w:lang w:bidi="ar"/>
        </w:rPr>
        <w:t>المدرجة</w:t>
      </w:r>
      <w:r w:rsidR="005170C2" w:rsidRPr="00C32070">
        <w:rPr>
          <w:lang w:val="en" w:bidi="ar-SY"/>
        </w:rPr>
        <w:t xml:space="preserve"> </w:t>
      </w:r>
      <w:r w:rsidR="005170C2" w:rsidRPr="00C32070">
        <w:rPr>
          <w:rtl/>
          <w:lang w:bidi="ar"/>
        </w:rPr>
        <w:t>في</w:t>
      </w:r>
      <w:r w:rsidR="005170C2" w:rsidRPr="00C32070">
        <w:rPr>
          <w:lang w:val="en" w:bidi="ar-SY"/>
        </w:rPr>
        <w:t xml:space="preserve"> </w:t>
      </w:r>
      <w:r w:rsidR="005170C2" w:rsidRPr="00C32070">
        <w:rPr>
          <w:rtl/>
          <w:lang w:bidi="ar"/>
        </w:rPr>
        <w:t>الميزانية</w:t>
      </w:r>
      <w:r w:rsidR="005170C2" w:rsidRPr="00C32070">
        <w:rPr>
          <w:lang w:val="en" w:bidi="ar-SY"/>
        </w:rPr>
        <w:t xml:space="preserve"> </w:t>
      </w:r>
      <w:r w:rsidR="005170C2" w:rsidRPr="00C32070">
        <w:rPr>
          <w:rtl/>
          <w:lang w:bidi="ar"/>
        </w:rPr>
        <w:t>والنتيجة</w:t>
      </w:r>
      <w:r w:rsidR="005170C2" w:rsidRPr="00C32070">
        <w:rPr>
          <w:lang w:val="en" w:bidi="ar-SY"/>
        </w:rPr>
        <w:t xml:space="preserve"> </w:t>
      </w:r>
      <w:r w:rsidR="005170C2" w:rsidRPr="00C32070">
        <w:rPr>
          <w:rtl/>
          <w:lang w:bidi="ar"/>
        </w:rPr>
        <w:t>المدرجة</w:t>
      </w:r>
      <w:r w:rsidR="005170C2" w:rsidRPr="00C32070">
        <w:rPr>
          <w:lang w:val="en" w:bidi="ar-SY"/>
        </w:rPr>
        <w:t xml:space="preserve"> </w:t>
      </w:r>
      <w:r w:rsidR="005170C2" w:rsidRPr="00C32070">
        <w:rPr>
          <w:rtl/>
          <w:lang w:bidi="ar"/>
        </w:rPr>
        <w:t>في</w:t>
      </w:r>
      <w:r w:rsidR="005170C2" w:rsidRPr="00C32070">
        <w:rPr>
          <w:lang w:val="en" w:bidi="ar-SY"/>
        </w:rPr>
        <w:t xml:space="preserve"> </w:t>
      </w:r>
      <w:r w:rsidR="005170C2" w:rsidRPr="00C32070">
        <w:rPr>
          <w:rtl/>
          <w:lang w:bidi="ar"/>
        </w:rPr>
        <w:t xml:space="preserve">المعايير المحاسبية الدولية للقطاع العام </w:t>
      </w:r>
      <w:r w:rsidR="005170C2" w:rsidRPr="00C32070">
        <w:rPr>
          <w:rtl/>
          <w:lang w:bidi="ar-SY"/>
        </w:rPr>
        <w:t xml:space="preserve">(البيان الخامس). ومن المهم الإشارة إلى أن بيان الأداء المالي (البيان الثاني) يشمل مجالات أخرى مثل المساهمات </w:t>
      </w:r>
      <w:r w:rsidR="00347A41" w:rsidRPr="00C32070">
        <w:rPr>
          <w:rtl/>
          <w:lang w:bidi="ar-SY"/>
        </w:rPr>
        <w:t>من خارج الميزانية</w:t>
      </w:r>
      <w:r w:rsidR="005170C2" w:rsidRPr="00C32070">
        <w:rPr>
          <w:rtl/>
          <w:lang w:bidi="ar-SY"/>
        </w:rPr>
        <w:t xml:space="preserve"> </w:t>
      </w:r>
      <w:r w:rsidR="00347A41" w:rsidRPr="00C32070">
        <w:rPr>
          <w:rtl/>
          <w:lang w:bidi="ar-SY"/>
        </w:rPr>
        <w:t>والإهلاك</w:t>
      </w:r>
      <w:r w:rsidR="005170C2" w:rsidRPr="00C32070">
        <w:rPr>
          <w:rtl/>
          <w:lang w:bidi="ar-SY"/>
        </w:rPr>
        <w:t xml:space="preserve"> والاختلافات الأخرى في الكيانات غير المدرجة في الميزانية.</w:t>
      </w:r>
      <w:r w:rsidR="005170C2" w:rsidRPr="00C32070">
        <w:rPr>
          <w:rtl/>
          <w:lang w:bidi="ar"/>
        </w:rPr>
        <w:t xml:space="preserve"> ويبرز</w:t>
      </w:r>
      <w:r w:rsidR="005170C2" w:rsidRPr="00C32070">
        <w:rPr>
          <w:lang w:val="en" w:bidi="ar-SY"/>
        </w:rPr>
        <w:t xml:space="preserve"> </w:t>
      </w:r>
      <w:r w:rsidR="005170C2" w:rsidRPr="00C32070">
        <w:rPr>
          <w:rtl/>
          <w:lang w:bidi="ar"/>
        </w:rPr>
        <w:t>البيان</w:t>
      </w:r>
      <w:r w:rsidR="005170C2" w:rsidRPr="00C32070">
        <w:rPr>
          <w:lang w:val="en" w:bidi="ar-SY"/>
        </w:rPr>
        <w:t xml:space="preserve"> </w:t>
      </w:r>
      <w:r w:rsidR="005170C2" w:rsidRPr="00C32070">
        <w:rPr>
          <w:rtl/>
          <w:lang w:bidi="ar"/>
        </w:rPr>
        <w:t>الخامس</w:t>
      </w:r>
      <w:r w:rsidR="005170C2" w:rsidRPr="00C32070">
        <w:rPr>
          <w:lang w:val="en" w:bidi="ar-SY"/>
        </w:rPr>
        <w:t xml:space="preserve"> </w:t>
      </w:r>
      <w:r w:rsidR="005170C2" w:rsidRPr="00C32070">
        <w:rPr>
          <w:rtl/>
          <w:lang w:bidi="ar"/>
        </w:rPr>
        <w:t>الاختلافات</w:t>
      </w:r>
      <w:r w:rsidR="005170C2" w:rsidRPr="00C32070">
        <w:rPr>
          <w:lang w:val="en" w:bidi="ar-SY"/>
        </w:rPr>
        <w:t xml:space="preserve"> </w:t>
      </w:r>
      <w:r w:rsidR="005170C2" w:rsidRPr="00C32070">
        <w:rPr>
          <w:rtl/>
          <w:lang w:bidi="ar"/>
        </w:rPr>
        <w:t>الرئيسية</w:t>
      </w:r>
      <w:r w:rsidR="00EF43C1">
        <w:rPr>
          <w:rFonts w:hint="cs"/>
          <w:rtl/>
          <w:lang w:val="en" w:bidi="ar-SY"/>
        </w:rPr>
        <w:t xml:space="preserve"> </w:t>
      </w:r>
      <w:r w:rsidR="005170C2" w:rsidRPr="00C32070">
        <w:rPr>
          <w:rtl/>
          <w:lang w:bidi="ar"/>
        </w:rPr>
        <w:t>في</w:t>
      </w:r>
      <w:r w:rsidR="005170C2" w:rsidRPr="00C32070">
        <w:rPr>
          <w:rtl/>
          <w:lang w:val="en" w:bidi="ar-SY"/>
        </w:rPr>
        <w:t> </w:t>
      </w:r>
      <w:r w:rsidR="005170C2" w:rsidRPr="00C32070">
        <w:rPr>
          <w:rtl/>
          <w:lang w:bidi="ar"/>
        </w:rPr>
        <w:t>ميزانية</w:t>
      </w:r>
      <w:r w:rsidR="005170C2" w:rsidRPr="00C32070">
        <w:rPr>
          <w:lang w:val="en" w:bidi="ar-SY"/>
        </w:rPr>
        <w:t xml:space="preserve"> </w:t>
      </w:r>
      <w:r w:rsidR="005170C2" w:rsidRPr="00C32070">
        <w:rPr>
          <w:rtl/>
          <w:lang w:bidi="ar"/>
        </w:rPr>
        <w:t>المنظمة</w:t>
      </w:r>
      <w:r w:rsidR="005170C2" w:rsidRPr="00C32070">
        <w:rPr>
          <w:lang w:val="en" w:bidi="ar-SY"/>
        </w:rPr>
        <w:t xml:space="preserve"> </w:t>
      </w:r>
      <w:r w:rsidR="005170C2" w:rsidRPr="00C32070">
        <w:rPr>
          <w:rtl/>
          <w:lang w:bidi="ar"/>
        </w:rPr>
        <w:t>بالنسبة</w:t>
      </w:r>
      <w:r w:rsidR="005170C2" w:rsidRPr="00C32070">
        <w:rPr>
          <w:lang w:val="en" w:bidi="ar-SY"/>
        </w:rPr>
        <w:t xml:space="preserve"> </w:t>
      </w:r>
      <w:r w:rsidR="005170C2" w:rsidRPr="00C32070">
        <w:rPr>
          <w:rtl/>
          <w:lang w:bidi="ar"/>
        </w:rPr>
        <w:t>للإيرادات</w:t>
      </w:r>
      <w:r w:rsidR="005170C2" w:rsidRPr="00C32070">
        <w:rPr>
          <w:lang w:val="en" w:bidi="ar-SY"/>
        </w:rPr>
        <w:t xml:space="preserve"> </w:t>
      </w:r>
      <w:r w:rsidR="005170C2" w:rsidRPr="00C32070">
        <w:rPr>
          <w:rtl/>
          <w:lang w:bidi="ar"/>
        </w:rPr>
        <w:t>وال</w:t>
      </w:r>
      <w:r w:rsidR="00347A41" w:rsidRPr="00C32070">
        <w:rPr>
          <w:rtl/>
          <w:lang w:bidi="ar"/>
        </w:rPr>
        <w:t>نفقات</w:t>
      </w:r>
      <w:r w:rsidR="005170C2" w:rsidRPr="00C32070">
        <w:rPr>
          <w:lang w:val="en" w:bidi="ar-SY"/>
        </w:rPr>
        <w:t xml:space="preserve"> </w:t>
      </w:r>
      <w:r w:rsidR="005170C2" w:rsidRPr="00C32070">
        <w:rPr>
          <w:rtl/>
          <w:lang w:bidi="ar"/>
        </w:rPr>
        <w:t>الإجمالية</w:t>
      </w:r>
      <w:r w:rsidR="005170C2" w:rsidRPr="00C32070">
        <w:rPr>
          <w:lang w:val="en" w:bidi="ar-SY"/>
        </w:rPr>
        <w:t>.</w:t>
      </w:r>
    </w:p>
    <w:p w14:paraId="3E32F733" w14:textId="77777777" w:rsidR="005170C2" w:rsidRPr="00C32070" w:rsidRDefault="005170C2" w:rsidP="00F72B70">
      <w:pPr>
        <w:pStyle w:val="Headingb"/>
        <w:rPr>
          <w:lang w:bidi="ar-SY"/>
        </w:rPr>
      </w:pPr>
      <w:bookmarkStart w:id="14" w:name="_Toc452156580"/>
      <w:r w:rsidRPr="00C32070">
        <w:rPr>
          <w:rtl/>
        </w:rPr>
        <w:t>المسؤولية</w:t>
      </w:r>
      <w:bookmarkEnd w:id="14"/>
    </w:p>
    <w:p w14:paraId="44423E9D" w14:textId="5824BD9F" w:rsidR="005170C2" w:rsidRPr="00C32070" w:rsidRDefault="001C0D85" w:rsidP="003E6D9E">
      <w:pPr>
        <w:rPr>
          <w:lang w:bidi="ar-SY"/>
        </w:rPr>
      </w:pPr>
      <w:r w:rsidRPr="00C32070">
        <w:rPr>
          <w:lang w:bidi="ar-SY"/>
        </w:rPr>
        <w:t>25</w:t>
      </w:r>
      <w:r w:rsidR="005170C2" w:rsidRPr="00C32070">
        <w:rPr>
          <w:lang w:bidi="ar-SY"/>
        </w:rPr>
        <w:tab/>
      </w:r>
      <w:r w:rsidR="00347A41" w:rsidRPr="00C32070">
        <w:rPr>
          <w:rtl/>
          <w:lang w:bidi="ar-SY"/>
        </w:rPr>
        <w:t>على النحو المنصوص عليه في ا</w:t>
      </w:r>
      <w:r w:rsidR="005170C2" w:rsidRPr="00C32070">
        <w:rPr>
          <w:rtl/>
          <w:lang w:bidi="ar-SY"/>
        </w:rPr>
        <w:t xml:space="preserve">لمادة </w:t>
      </w:r>
      <w:r w:rsidR="005170C2" w:rsidRPr="00C32070">
        <w:t>30</w:t>
      </w:r>
      <w:r w:rsidR="005170C2" w:rsidRPr="00C32070">
        <w:rPr>
          <w:rtl/>
          <w:lang w:bidi="ar-SY"/>
        </w:rPr>
        <w:t xml:space="preserve"> من اللوائح المالية للاتحاد، </w:t>
      </w:r>
      <w:r w:rsidR="00347A41" w:rsidRPr="00C32070">
        <w:rPr>
          <w:rtl/>
          <w:lang w:bidi="ar-SY"/>
        </w:rPr>
        <w:t>أُعدت</w:t>
      </w:r>
      <w:r w:rsidR="005170C2" w:rsidRPr="00C32070">
        <w:rPr>
          <w:rtl/>
          <w:lang w:bidi="ar-SY"/>
        </w:rPr>
        <w:t xml:space="preserve"> البيانات المالية </w:t>
      </w:r>
      <w:r w:rsidR="00347A41" w:rsidRPr="00C32070">
        <w:rPr>
          <w:rtl/>
          <w:lang w:bidi="ar-SY"/>
        </w:rPr>
        <w:t>التالية وفقاً للمعايير المحاسبية الدولية للقطاع العام</w:t>
      </w:r>
      <w:r w:rsidR="00D037E1" w:rsidRPr="00C32070">
        <w:rPr>
          <w:rtl/>
          <w:lang w:bidi="ar-SY"/>
        </w:rPr>
        <w:t>.</w:t>
      </w:r>
      <w:r w:rsidR="00347A41" w:rsidRPr="00C32070">
        <w:rPr>
          <w:rtl/>
          <w:lang w:bidi="ar-SY"/>
        </w:rPr>
        <w:t xml:space="preserve"> وتشكل </w:t>
      </w:r>
      <w:r w:rsidR="005170C2" w:rsidRPr="00C32070">
        <w:rPr>
          <w:rtl/>
          <w:lang w:bidi="ar-SY"/>
        </w:rPr>
        <w:t xml:space="preserve">البيانات المالية والملاحظات المتصلة بها جزءاً </w:t>
      </w:r>
      <w:r w:rsidR="0048585A" w:rsidRPr="00C32070">
        <w:rPr>
          <w:rtl/>
          <w:lang w:bidi="ar-SY"/>
        </w:rPr>
        <w:t>أساسياً</w:t>
      </w:r>
      <w:r w:rsidR="0048585A" w:rsidRPr="00C32070">
        <w:rPr>
          <w:rtl/>
          <w:lang w:bidi="ar-EG"/>
        </w:rPr>
        <w:t xml:space="preserve"> </w:t>
      </w:r>
      <w:r w:rsidR="005170C2" w:rsidRPr="00C32070">
        <w:rPr>
          <w:rtl/>
          <w:lang w:bidi="ar-SY"/>
        </w:rPr>
        <w:t xml:space="preserve">من هذه الوثيقة، </w:t>
      </w:r>
      <w:r w:rsidR="00347A41" w:rsidRPr="00C32070">
        <w:rPr>
          <w:rtl/>
          <w:lang w:bidi="ar-SY"/>
        </w:rPr>
        <w:t xml:space="preserve">وتعرض </w:t>
      </w:r>
      <w:r w:rsidR="005170C2" w:rsidRPr="00C32070">
        <w:rPr>
          <w:rtl/>
          <w:lang w:bidi="ar-SY"/>
        </w:rPr>
        <w:t>صورة دقيقة للوضع المالي للاتحاد في </w:t>
      </w:r>
      <w:r w:rsidR="005170C2" w:rsidRPr="00C32070">
        <w:t>31</w:t>
      </w:r>
      <w:r w:rsidR="005170C2" w:rsidRPr="00C32070">
        <w:rPr>
          <w:rtl/>
          <w:lang w:bidi="ar-SY"/>
        </w:rPr>
        <w:t xml:space="preserve"> ديسمبر </w:t>
      </w:r>
      <w:r w:rsidRPr="00C32070">
        <w:t>2023</w:t>
      </w:r>
      <w:r w:rsidR="005170C2" w:rsidRPr="00C32070">
        <w:rPr>
          <w:rtl/>
          <w:lang w:bidi="ar-SY"/>
        </w:rPr>
        <w:t>.</w:t>
      </w:r>
    </w:p>
    <w:p w14:paraId="3C68D3C5" w14:textId="7B2684FB" w:rsidR="005170C2" w:rsidRPr="00C32070" w:rsidRDefault="005170C2" w:rsidP="003E6D9E">
      <w:pPr>
        <w:pStyle w:val="enumlev1"/>
        <w:rPr>
          <w:rtl/>
        </w:rPr>
      </w:pPr>
      <w:bookmarkStart w:id="15" w:name="_Toc520365393"/>
      <w:r w:rsidRPr="00C32070">
        <w:rPr>
          <w:rtl/>
        </w:rPr>
        <w:lastRenderedPageBreak/>
        <w:t>أولاً</w:t>
      </w:r>
      <w:r w:rsidRPr="00C32070">
        <w:rPr>
          <w:rtl/>
        </w:rPr>
        <w:tab/>
        <w:t>بيان الوضع المالي في </w:t>
      </w:r>
      <w:r w:rsidRPr="00C32070">
        <w:t>31</w:t>
      </w:r>
      <w:r w:rsidRPr="00C32070">
        <w:rPr>
          <w:rtl/>
        </w:rPr>
        <w:t xml:space="preserve"> ديسمبر </w:t>
      </w:r>
      <w:bookmarkEnd w:id="15"/>
      <w:r w:rsidR="001C0D85" w:rsidRPr="00C32070">
        <w:t>2023</w:t>
      </w:r>
    </w:p>
    <w:p w14:paraId="1C90F207" w14:textId="7C6D36CE" w:rsidR="005170C2" w:rsidRPr="00C32070" w:rsidRDefault="005170C2" w:rsidP="003E6D9E">
      <w:pPr>
        <w:pStyle w:val="enumlev1"/>
        <w:rPr>
          <w:rtl/>
        </w:rPr>
      </w:pPr>
      <w:bookmarkStart w:id="16" w:name="_Toc520365394"/>
      <w:r w:rsidRPr="00C32070">
        <w:rPr>
          <w:rtl/>
        </w:rPr>
        <w:t>ثانياً</w:t>
      </w:r>
      <w:r w:rsidRPr="00C32070">
        <w:rPr>
          <w:rtl/>
        </w:rPr>
        <w:tab/>
        <w:t xml:space="preserve">بيان الأداء المالي </w:t>
      </w:r>
      <w:bookmarkStart w:id="17" w:name="_Hlk160390474"/>
      <w:r w:rsidRPr="00C32070">
        <w:rPr>
          <w:rtl/>
        </w:rPr>
        <w:t xml:space="preserve">للسنة </w:t>
      </w:r>
      <w:bookmarkEnd w:id="17"/>
      <w:r w:rsidRPr="00C32070">
        <w:rPr>
          <w:rtl/>
        </w:rPr>
        <w:t>المنتهية في </w:t>
      </w:r>
      <w:r w:rsidRPr="00C32070">
        <w:t>31</w:t>
      </w:r>
      <w:r w:rsidRPr="00C32070">
        <w:rPr>
          <w:rtl/>
        </w:rPr>
        <w:t xml:space="preserve"> ديسمبر </w:t>
      </w:r>
      <w:bookmarkEnd w:id="16"/>
      <w:r w:rsidR="001C0D85" w:rsidRPr="00C32070">
        <w:t>2023</w:t>
      </w:r>
    </w:p>
    <w:p w14:paraId="7FA1B8A0" w14:textId="038D2ADC" w:rsidR="005170C2" w:rsidRPr="00C32070" w:rsidRDefault="005170C2" w:rsidP="003E6D9E">
      <w:pPr>
        <w:pStyle w:val="enumlev1"/>
        <w:rPr>
          <w:rtl/>
        </w:rPr>
      </w:pPr>
      <w:bookmarkStart w:id="18" w:name="_Toc520365395"/>
      <w:r w:rsidRPr="00C32070">
        <w:rPr>
          <w:rtl/>
        </w:rPr>
        <w:t>ثالثاً</w:t>
      </w:r>
      <w:r w:rsidRPr="00C32070">
        <w:rPr>
          <w:rtl/>
        </w:rPr>
        <w:tab/>
        <w:t xml:space="preserve">بيان </w:t>
      </w:r>
      <w:r w:rsidR="00347A41" w:rsidRPr="00C32070">
        <w:rPr>
          <w:rtl/>
        </w:rPr>
        <w:t>التغيرات</w:t>
      </w:r>
      <w:r w:rsidRPr="00C32070">
        <w:rPr>
          <w:rtl/>
        </w:rPr>
        <w:t xml:space="preserve"> في صافي الأصول للسنة المنتهية في </w:t>
      </w:r>
      <w:r w:rsidRPr="00C32070">
        <w:t>31</w:t>
      </w:r>
      <w:r w:rsidRPr="00C32070">
        <w:rPr>
          <w:rtl/>
        </w:rPr>
        <w:t xml:space="preserve"> ديسمبر </w:t>
      </w:r>
      <w:bookmarkEnd w:id="18"/>
      <w:r w:rsidR="001C0D85" w:rsidRPr="00C32070">
        <w:t>2023</w:t>
      </w:r>
    </w:p>
    <w:p w14:paraId="7A34DA44" w14:textId="46C6CD3F" w:rsidR="005170C2" w:rsidRPr="00C32070" w:rsidRDefault="005170C2" w:rsidP="003E6D9E">
      <w:pPr>
        <w:pStyle w:val="enumlev1"/>
        <w:rPr>
          <w:rtl/>
        </w:rPr>
      </w:pPr>
      <w:bookmarkStart w:id="19" w:name="_Toc520365396"/>
      <w:r w:rsidRPr="00C32070">
        <w:rPr>
          <w:rtl/>
        </w:rPr>
        <w:t>رابعاً</w:t>
      </w:r>
      <w:r w:rsidRPr="00C32070">
        <w:rPr>
          <w:rtl/>
        </w:rPr>
        <w:tab/>
        <w:t>بيان التدفقات النقدية للسنة المنتهية في </w:t>
      </w:r>
      <w:r w:rsidRPr="00C32070">
        <w:t>31</w:t>
      </w:r>
      <w:r w:rsidRPr="00C32070">
        <w:rPr>
          <w:rtl/>
        </w:rPr>
        <w:t xml:space="preserve"> ديسمبر </w:t>
      </w:r>
      <w:bookmarkEnd w:id="19"/>
      <w:r w:rsidR="001C0D85" w:rsidRPr="00C32070">
        <w:t>2023</w:t>
      </w:r>
    </w:p>
    <w:p w14:paraId="58A6648D" w14:textId="3F115338" w:rsidR="005170C2" w:rsidRPr="00C32070" w:rsidRDefault="005170C2" w:rsidP="003E6D9E">
      <w:pPr>
        <w:pStyle w:val="enumlev1"/>
        <w:rPr>
          <w:rtl/>
        </w:rPr>
      </w:pPr>
      <w:bookmarkStart w:id="20" w:name="_Toc520365397"/>
      <w:r w:rsidRPr="00C32070">
        <w:rPr>
          <w:rtl/>
        </w:rPr>
        <w:t>خامساً</w:t>
      </w:r>
      <w:r w:rsidRPr="00C32070">
        <w:rPr>
          <w:rtl/>
        </w:rPr>
        <w:tab/>
        <w:t xml:space="preserve">بيان مقارنة المبالغ المدرجة في الميزانية والمبالغ الفعلية </w:t>
      </w:r>
      <w:bookmarkEnd w:id="20"/>
      <w:r w:rsidRPr="00C32070">
        <w:rPr>
          <w:rtl/>
        </w:rPr>
        <w:t xml:space="preserve">للسنة المنتهية في 31 ديسمبر </w:t>
      </w:r>
      <w:r w:rsidR="001C0D85" w:rsidRPr="00C32070">
        <w:t>2023</w:t>
      </w:r>
    </w:p>
    <w:p w14:paraId="026C6D30" w14:textId="77777777" w:rsidR="005170C2" w:rsidRPr="00C32070" w:rsidRDefault="005170C2" w:rsidP="00F72B70">
      <w:pPr>
        <w:pStyle w:val="Headingb"/>
      </w:pPr>
      <w:r w:rsidRPr="00C32070">
        <w:rPr>
          <w:rtl/>
        </w:rPr>
        <w:t>المراجعة الخارجية لحسابات الاتحاد</w:t>
      </w:r>
    </w:p>
    <w:p w14:paraId="14A57680" w14:textId="1CB73128" w:rsidR="005170C2" w:rsidRPr="00C32070" w:rsidRDefault="00B702D9" w:rsidP="003E6D9E">
      <w:r w:rsidRPr="00C32070">
        <w:t>26</w:t>
      </w:r>
      <w:r w:rsidR="005170C2" w:rsidRPr="00C32070">
        <w:tab/>
      </w:r>
      <w:r w:rsidR="005170C2" w:rsidRPr="00C32070">
        <w:rPr>
          <w:rtl/>
        </w:rPr>
        <w:t xml:space="preserve">عملاً بالمادة </w:t>
      </w:r>
      <w:r w:rsidR="00347A41" w:rsidRPr="00C32070">
        <w:t>28</w:t>
      </w:r>
      <w:r w:rsidR="005170C2" w:rsidRPr="00C32070">
        <w:rPr>
          <w:rtl/>
        </w:rPr>
        <w:t xml:space="preserve"> من اللوائح المالية والقواعد المالية، </w:t>
      </w:r>
      <w:r w:rsidR="00654CC7" w:rsidRPr="00C32070">
        <w:rPr>
          <w:rtl/>
        </w:rPr>
        <w:t>ووفقاً ل</w:t>
      </w:r>
      <w:r w:rsidR="005170C2" w:rsidRPr="00C32070">
        <w:rPr>
          <w:rtl/>
        </w:rPr>
        <w:t xml:space="preserve">لمقرر </w:t>
      </w:r>
      <w:r w:rsidR="00347A41" w:rsidRPr="00C32070">
        <w:t>621</w:t>
      </w:r>
      <w:r w:rsidR="005170C2" w:rsidRPr="00C32070">
        <w:rPr>
          <w:rtl/>
        </w:rPr>
        <w:t xml:space="preserve"> الصادر عن المجلس في دورته لعام </w:t>
      </w:r>
      <w:r w:rsidR="00347A41" w:rsidRPr="00C32070">
        <w:t>2020</w:t>
      </w:r>
      <w:r w:rsidR="005170C2" w:rsidRPr="00C32070">
        <w:rPr>
          <w:rtl/>
        </w:rPr>
        <w:t xml:space="preserve"> خلال جلسته التشاورية الافتراضية الثانية، عُيِّن المكتب الوطني لمراجعة الحسابات في المملكة المتحدة لبريطانيا العظمى وأيرلندا الشمالية، كمراجع خارجي لحسابات الاتحاد، على نحو ما قرره مؤتمر المندوبين المفوضين ولمدة أربع سنوات</w:t>
      </w:r>
    </w:p>
    <w:p w14:paraId="2ABFB87D" w14:textId="77777777" w:rsidR="005170C2" w:rsidRPr="00C32070" w:rsidRDefault="005170C2" w:rsidP="005170C2">
      <w:pPr>
        <w:tabs>
          <w:tab w:val="clear" w:pos="794"/>
        </w:tabs>
        <w:spacing w:before="0" w:after="160" w:line="259" w:lineRule="auto"/>
        <w:jc w:val="left"/>
        <w:rPr>
          <w:rtl/>
        </w:rPr>
      </w:pPr>
      <w:r w:rsidRPr="00C32070">
        <w:rPr>
          <w:rtl/>
        </w:rPr>
        <w:br w:type="page"/>
      </w:r>
    </w:p>
    <w:p w14:paraId="18154F6E" w14:textId="77777777" w:rsidR="005170C2" w:rsidRPr="00C32070" w:rsidRDefault="005170C2" w:rsidP="005170C2">
      <w:pPr>
        <w:pStyle w:val="Figure"/>
      </w:pPr>
      <w:r w:rsidRPr="00C32070">
        <w:lastRenderedPageBreak/>
        <w:drawing>
          <wp:inline distT="0" distB="0" distL="0" distR="0" wp14:anchorId="524AA8E4" wp14:editId="153E1583">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0494F566" w14:textId="088EA551" w:rsidR="005170C2" w:rsidRPr="00C32070" w:rsidRDefault="005170C2" w:rsidP="00EF43C1">
      <w:pPr>
        <w:pStyle w:val="Title1"/>
        <w:spacing w:before="2560"/>
        <w:rPr>
          <w:b/>
          <w:bCs/>
          <w:rtl/>
        </w:rPr>
      </w:pPr>
      <w:bookmarkStart w:id="21" w:name="_Toc397499182"/>
      <w:bookmarkStart w:id="22" w:name="_Toc397499890"/>
      <w:bookmarkStart w:id="23" w:name="_Toc419483224"/>
      <w:bookmarkStart w:id="24" w:name="_Toc452156138"/>
      <w:bookmarkStart w:id="25" w:name="_Toc452156583"/>
      <w:bookmarkStart w:id="26" w:name="_Toc511402196"/>
      <w:bookmarkStart w:id="27" w:name="_Toc520370545"/>
      <w:bookmarkStart w:id="28" w:name="_Toc9599201"/>
      <w:bookmarkStart w:id="29" w:name="_Toc9614681"/>
      <w:bookmarkStart w:id="30" w:name="_Toc9614753"/>
      <w:bookmarkStart w:id="31" w:name="_Toc42013340"/>
      <w:bookmarkStart w:id="32" w:name="_Toc42013513"/>
      <w:bookmarkStart w:id="33" w:name="_Toc42013893"/>
      <w:bookmarkStart w:id="34" w:name="_Toc42014509"/>
      <w:bookmarkStart w:id="35" w:name="_Toc74060889"/>
      <w:bookmarkStart w:id="36" w:name="_Toc74061030"/>
      <w:bookmarkStart w:id="37" w:name="_Toc74061152"/>
      <w:bookmarkStart w:id="38" w:name="_Toc74061266"/>
      <w:bookmarkStart w:id="39" w:name="_Toc74061541"/>
      <w:bookmarkStart w:id="40" w:name="_Toc112250624"/>
      <w:bookmarkStart w:id="41" w:name="_Toc112318079"/>
      <w:bookmarkStart w:id="42" w:name="_Toc112318649"/>
      <w:r w:rsidRPr="00C32070">
        <w:rPr>
          <w:b/>
          <w:bCs/>
          <w:rtl/>
        </w:rPr>
        <w:t xml:space="preserve">بيان عن الرقابة الداخلية لعام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B702D9" w:rsidRPr="00C32070">
        <w:rPr>
          <w:b/>
          <w:bCs/>
        </w:rPr>
        <w:t>2023</w:t>
      </w:r>
    </w:p>
    <w:p w14:paraId="6196F3A3" w14:textId="11C0428F" w:rsidR="005170C2" w:rsidRPr="00EF43C1" w:rsidRDefault="005170C2" w:rsidP="00EF43C1">
      <w:pPr>
        <w:pStyle w:val="Title2"/>
        <w:spacing w:before="1320"/>
        <w:rPr>
          <w:b/>
          <w:bCs/>
          <w:lang w:bidi="ar-SY"/>
        </w:rPr>
      </w:pPr>
      <w:r w:rsidRPr="00EF43C1">
        <w:rPr>
          <w:b/>
          <w:bCs/>
          <w:rtl/>
          <w:lang w:bidi="ar-SY"/>
        </w:rPr>
        <w:t>ال</w:t>
      </w:r>
      <w:r w:rsidR="00C50E6E" w:rsidRPr="00EF43C1">
        <w:rPr>
          <w:b/>
          <w:bCs/>
          <w:rtl/>
          <w:lang w:bidi="ar-SY"/>
        </w:rPr>
        <w:t>اتحاد</w:t>
      </w:r>
      <w:r w:rsidR="00654CC7" w:rsidRPr="00EF43C1">
        <w:rPr>
          <w:b/>
          <w:bCs/>
          <w:rtl/>
          <w:lang w:bidi="ar-SY"/>
        </w:rPr>
        <w:t xml:space="preserve"> الدولي للاتصالات</w:t>
      </w:r>
      <w:r w:rsidRPr="00EF43C1">
        <w:rPr>
          <w:b/>
          <w:bCs/>
          <w:rtl/>
          <w:lang w:bidi="ar-SY"/>
        </w:rPr>
        <w:t>، جنيف</w:t>
      </w:r>
    </w:p>
    <w:p w14:paraId="770DAD25" w14:textId="77777777" w:rsidR="005170C2" w:rsidRPr="00C32070" w:rsidRDefault="005170C2" w:rsidP="005170C2">
      <w:pPr>
        <w:tabs>
          <w:tab w:val="clear" w:pos="794"/>
        </w:tabs>
        <w:spacing w:before="0" w:after="160" w:line="259" w:lineRule="auto"/>
        <w:jc w:val="left"/>
        <w:rPr>
          <w:rtl/>
        </w:rPr>
      </w:pPr>
      <w:r w:rsidRPr="00C32070">
        <w:rPr>
          <w:rtl/>
        </w:rPr>
        <w:br w:type="page"/>
      </w:r>
    </w:p>
    <w:p w14:paraId="62B86B16" w14:textId="40D89AAB" w:rsidR="005170C2" w:rsidRPr="00C32070" w:rsidRDefault="005170C2" w:rsidP="003E6D9E">
      <w:pPr>
        <w:pStyle w:val="Heading1"/>
        <w:jc w:val="center"/>
        <w:rPr>
          <w:color w:val="0070C0"/>
        </w:rPr>
      </w:pPr>
      <w:bookmarkStart w:id="43" w:name="_Toc162520610"/>
      <w:bookmarkStart w:id="44" w:name="_Toc168329262"/>
      <w:bookmarkStart w:id="45" w:name="_Toc168329304"/>
      <w:bookmarkStart w:id="46" w:name="_Toc168657542"/>
      <w:r w:rsidRPr="00C32070">
        <w:rPr>
          <w:color w:val="0070C0"/>
          <w:rtl/>
        </w:rPr>
        <w:lastRenderedPageBreak/>
        <w:t xml:space="preserve">بيان </w:t>
      </w:r>
      <w:r w:rsidR="002218B1" w:rsidRPr="00C32070">
        <w:rPr>
          <w:color w:val="0070C0"/>
          <w:rtl/>
        </w:rPr>
        <w:t>عن</w:t>
      </w:r>
      <w:r w:rsidRPr="00C32070">
        <w:rPr>
          <w:color w:val="0070C0"/>
          <w:rtl/>
        </w:rPr>
        <w:t xml:space="preserve"> الرقابة الداخلية لعام </w:t>
      </w:r>
      <w:bookmarkEnd w:id="43"/>
      <w:r w:rsidR="00B702D9" w:rsidRPr="00C32070">
        <w:rPr>
          <w:color w:val="0070C0"/>
        </w:rPr>
        <w:t>2023</w:t>
      </w:r>
      <w:bookmarkEnd w:id="44"/>
      <w:bookmarkEnd w:id="45"/>
      <w:bookmarkEnd w:id="46"/>
    </w:p>
    <w:p w14:paraId="57F11491" w14:textId="77777777" w:rsidR="005170C2" w:rsidRPr="00C32070" w:rsidRDefault="005170C2" w:rsidP="00F72B70">
      <w:pPr>
        <w:pStyle w:val="Headingb"/>
        <w:rPr>
          <w:color w:val="4472C4"/>
          <w:rtl/>
          <w:lang w:val="en-GB" w:eastAsia="en-US"/>
        </w:rPr>
      </w:pPr>
      <w:bookmarkStart w:id="47" w:name="_Toc358646811"/>
      <w:bookmarkStart w:id="48" w:name="_Toc358647123"/>
      <w:bookmarkStart w:id="49" w:name="_Toc358647182"/>
      <w:bookmarkStart w:id="50" w:name="_Toc358648391"/>
      <w:bookmarkStart w:id="51" w:name="_Toc358648590"/>
      <w:bookmarkStart w:id="52" w:name="_Toc452156584"/>
      <w:r w:rsidRPr="00C32070">
        <w:rPr>
          <w:color w:val="4472C4"/>
          <w:rtl/>
          <w:lang w:val="en-GB" w:eastAsia="en-US"/>
        </w:rPr>
        <w:t>نطاق المسؤولية</w:t>
      </w:r>
      <w:bookmarkEnd w:id="47"/>
      <w:bookmarkEnd w:id="48"/>
      <w:bookmarkEnd w:id="49"/>
      <w:bookmarkEnd w:id="50"/>
      <w:bookmarkEnd w:id="51"/>
      <w:bookmarkEnd w:id="52"/>
    </w:p>
    <w:p w14:paraId="56AED5E4" w14:textId="2FE2ECB5" w:rsidR="005170C2" w:rsidRPr="00C32070" w:rsidRDefault="005170C2" w:rsidP="00A75188">
      <w:pPr>
        <w:rPr>
          <w:lang w:eastAsia="en-US" w:bidi="ar-EG"/>
        </w:rPr>
      </w:pPr>
      <w:r w:rsidRPr="00C32070">
        <w:rPr>
          <w:rtl/>
          <w:lang w:eastAsia="en-US"/>
        </w:rPr>
        <w:t>أتولى، بصفتي الأمينة العامة، عهدة إدارة ال</w:t>
      </w:r>
      <w:r w:rsidR="00C50E6E" w:rsidRPr="00C32070">
        <w:rPr>
          <w:rtl/>
          <w:lang w:eastAsia="en-US"/>
        </w:rPr>
        <w:t>اتحاد</w:t>
      </w:r>
      <w:r w:rsidR="002218B1" w:rsidRPr="00C32070">
        <w:rPr>
          <w:rtl/>
          <w:lang w:eastAsia="en-US"/>
        </w:rPr>
        <w:t>، و</w:t>
      </w:r>
      <w:r w:rsidRPr="00C32070">
        <w:rPr>
          <w:rtl/>
          <w:lang w:eastAsia="en-US"/>
        </w:rPr>
        <w:t xml:space="preserve">تنفيذ ولايته وبرامجه وأنشطته الأخرى. </w:t>
      </w:r>
      <w:r w:rsidRPr="00C32070">
        <w:rPr>
          <w:rtl/>
        </w:rPr>
        <w:t>و</w:t>
      </w:r>
      <w:r w:rsidR="002218B1" w:rsidRPr="00C32070">
        <w:rPr>
          <w:rtl/>
        </w:rPr>
        <w:t>و</w:t>
      </w:r>
      <w:r w:rsidRPr="00C32070">
        <w:rPr>
          <w:rtl/>
        </w:rPr>
        <w:t>فقاً للمسؤوليات المسندة إلي، ولا</w:t>
      </w:r>
      <w:r w:rsidR="0001419C" w:rsidRPr="00C32070">
        <w:t> </w:t>
      </w:r>
      <w:r w:rsidRPr="00C32070">
        <w:rPr>
          <w:rtl/>
        </w:rPr>
        <w:t xml:space="preserve">سيما في أحكام الرقمين </w:t>
      </w:r>
      <w:r w:rsidR="009A5733" w:rsidRPr="00C32070">
        <w:t>73</w:t>
      </w:r>
      <w:r w:rsidRPr="00C32070">
        <w:rPr>
          <w:rtl/>
        </w:rPr>
        <w:t xml:space="preserve"> مكرراً و</w:t>
      </w:r>
      <w:r w:rsidR="009A5733" w:rsidRPr="00C32070">
        <w:t>75</w:t>
      </w:r>
      <w:r w:rsidRPr="00C32070">
        <w:rPr>
          <w:rtl/>
        </w:rPr>
        <w:t xml:space="preserve"> من الدستور (المادة </w:t>
      </w:r>
      <w:r w:rsidR="009A5733" w:rsidRPr="00C32070">
        <w:t>11</w:t>
      </w:r>
      <w:r w:rsidRPr="00C32070">
        <w:rPr>
          <w:rtl/>
        </w:rPr>
        <w:t xml:space="preserve">)، وفي المواد </w:t>
      </w:r>
      <w:r w:rsidR="009A5733" w:rsidRPr="00C32070">
        <w:t>1</w:t>
      </w:r>
      <w:r w:rsidRPr="00C32070">
        <w:rPr>
          <w:rtl/>
        </w:rPr>
        <w:t xml:space="preserve"> و</w:t>
      </w:r>
      <w:r w:rsidR="009A5733" w:rsidRPr="00C32070">
        <w:t>10</w:t>
      </w:r>
      <w:r w:rsidRPr="00C32070">
        <w:rPr>
          <w:rtl/>
        </w:rPr>
        <w:t xml:space="preserve"> و</w:t>
      </w:r>
      <w:r w:rsidR="009A5733" w:rsidRPr="00C32070">
        <w:t>16</w:t>
      </w:r>
      <w:r w:rsidRPr="00C32070">
        <w:rPr>
          <w:rtl/>
        </w:rPr>
        <w:t xml:space="preserve"> و</w:t>
      </w:r>
      <w:r w:rsidR="009A5733" w:rsidRPr="00C32070">
        <w:t>28</w:t>
      </w:r>
      <w:r w:rsidRPr="00C32070">
        <w:rPr>
          <w:rtl/>
        </w:rPr>
        <w:t xml:space="preserve"> و</w:t>
      </w:r>
      <w:r w:rsidR="009A5733" w:rsidRPr="00C32070">
        <w:t>29</w:t>
      </w:r>
      <w:r w:rsidRPr="00C32070">
        <w:rPr>
          <w:rtl/>
        </w:rPr>
        <w:t xml:space="preserve"> و</w:t>
      </w:r>
      <w:r w:rsidR="009A5733" w:rsidRPr="00C32070">
        <w:t>30</w:t>
      </w:r>
      <w:r w:rsidRPr="00C32070">
        <w:rPr>
          <w:rtl/>
        </w:rPr>
        <w:t xml:space="preserve"> من اللوائح المالية والقواعد المالية التي تنطوي على الحفاظ على نظام من الضوابط الداخلية السليمة المصممة لتوفير ضمانات معقولة لتحقيق الأهداف فضلاً عن المساعدة على ضمان الإبلاغ المالي وغير المالي الموثوق، وفعالية وكفاءة العمليات والالتزام باللوائح والقواعد والأوامر الإدارية والسياسات، بما في ذلك ما يتعلق بمنع الأنشطة الاحتيالية واكتشافها</w:t>
      </w:r>
      <w:r w:rsidR="002218B1" w:rsidRPr="00C32070">
        <w:rPr>
          <w:rtl/>
        </w:rPr>
        <w:t>.</w:t>
      </w:r>
    </w:p>
    <w:p w14:paraId="1FFC4E44" w14:textId="17A6EF61" w:rsidR="0095572F" w:rsidRPr="00C32070" w:rsidRDefault="0095572F" w:rsidP="00F72B70">
      <w:pPr>
        <w:pStyle w:val="Headingb"/>
        <w:rPr>
          <w:color w:val="4472C4"/>
          <w:rtl/>
          <w:lang w:val="en-GB" w:eastAsia="en-US"/>
        </w:rPr>
      </w:pPr>
      <w:r w:rsidRPr="00C32070">
        <w:rPr>
          <w:color w:val="4472C4"/>
          <w:rtl/>
          <w:lang w:val="en-GB" w:eastAsia="en-US"/>
        </w:rPr>
        <w:t xml:space="preserve">إطار الرقابة </w:t>
      </w:r>
      <w:r w:rsidR="006D7646" w:rsidRPr="00C32070">
        <w:rPr>
          <w:color w:val="4472C4"/>
          <w:rtl/>
          <w:lang w:val="en-GB" w:eastAsia="en-US"/>
        </w:rPr>
        <w:t xml:space="preserve">واستعراض </w:t>
      </w:r>
      <w:r w:rsidRPr="00C32070">
        <w:rPr>
          <w:color w:val="4472C4"/>
          <w:rtl/>
          <w:lang w:val="en-GB" w:eastAsia="en-US"/>
        </w:rPr>
        <w:t>الفعالية</w:t>
      </w:r>
    </w:p>
    <w:p w14:paraId="2D53474B" w14:textId="7A3A0E5D" w:rsidR="0095572F" w:rsidRPr="00C32070" w:rsidRDefault="0095572F" w:rsidP="00A75188">
      <w:pPr>
        <w:rPr>
          <w:rtl/>
          <w:lang w:bidi="ar-EG"/>
        </w:rPr>
      </w:pPr>
      <w:r w:rsidRPr="00C32070">
        <w:rPr>
          <w:rtl/>
          <w:lang w:bidi="ar-EG"/>
        </w:rPr>
        <w:t>بصفتي الأمين</w:t>
      </w:r>
      <w:r w:rsidR="009A5733" w:rsidRPr="00C32070">
        <w:rPr>
          <w:rtl/>
          <w:lang w:bidi="ar-EG"/>
        </w:rPr>
        <w:t>ة</w:t>
      </w:r>
      <w:r w:rsidRPr="00C32070">
        <w:rPr>
          <w:rtl/>
          <w:lang w:bidi="ar-EG"/>
        </w:rPr>
        <w:t xml:space="preserve"> العام</w:t>
      </w:r>
      <w:r w:rsidR="009A5733" w:rsidRPr="00C32070">
        <w:rPr>
          <w:rtl/>
          <w:lang w:bidi="ar-EG"/>
        </w:rPr>
        <w:t>ة</w:t>
      </w:r>
      <w:r w:rsidRPr="00C32070">
        <w:rPr>
          <w:rtl/>
          <w:lang w:bidi="ar-EG"/>
        </w:rPr>
        <w:t xml:space="preserve"> لل</w:t>
      </w:r>
      <w:r w:rsidR="00C50E6E" w:rsidRPr="00C32070">
        <w:rPr>
          <w:rtl/>
          <w:lang w:bidi="ar-EG"/>
        </w:rPr>
        <w:t>اتحاد</w:t>
      </w:r>
      <w:r w:rsidRPr="00C32070">
        <w:rPr>
          <w:rtl/>
          <w:lang w:bidi="ar-EG"/>
        </w:rPr>
        <w:t>، فإنني أدرك الطبيعة الدينامية للبيئة العالمية التي يعمل فيها الاتحاد. وقد اتخذت خطوات لضمان تحسين الضوابط الداخلية لل</w:t>
      </w:r>
      <w:r w:rsidR="00C50E6E" w:rsidRPr="00C32070">
        <w:rPr>
          <w:rtl/>
          <w:lang w:bidi="ar-EG"/>
        </w:rPr>
        <w:t>اتحاد</w:t>
      </w:r>
      <w:r w:rsidRPr="00C32070">
        <w:rPr>
          <w:rtl/>
          <w:lang w:bidi="ar-EG"/>
        </w:rPr>
        <w:t xml:space="preserve"> وتكيف</w:t>
      </w:r>
      <w:r w:rsidR="006D7646" w:rsidRPr="00C32070">
        <w:rPr>
          <w:rtl/>
          <w:lang w:bidi="ar-EG"/>
        </w:rPr>
        <w:t>ها</w:t>
      </w:r>
      <w:r w:rsidRPr="00C32070">
        <w:rPr>
          <w:rtl/>
          <w:lang w:bidi="ar-EG"/>
        </w:rPr>
        <w:t xml:space="preserve"> مع التحديات الناشئة. وينطوي ذلك على اتباع نهج منظم </w:t>
      </w:r>
      <w:r w:rsidR="009A5733" w:rsidRPr="00C32070">
        <w:rPr>
          <w:rtl/>
          <w:lang w:bidi="ar-EG"/>
        </w:rPr>
        <w:t>لإدراج</w:t>
      </w:r>
      <w:r w:rsidRPr="00C32070">
        <w:rPr>
          <w:rtl/>
          <w:lang w:bidi="ar-EG"/>
        </w:rPr>
        <w:t xml:space="preserve"> إدارة المخاطر بشكل أفضل في </w:t>
      </w:r>
      <w:r w:rsidR="009A5733" w:rsidRPr="00C32070">
        <w:rPr>
          <w:rtl/>
          <w:lang w:bidi="ar-EG"/>
        </w:rPr>
        <w:t>أساليب العمل</w:t>
      </w:r>
      <w:r w:rsidRPr="00C32070">
        <w:rPr>
          <w:rtl/>
          <w:lang w:bidi="ar-EG"/>
        </w:rPr>
        <w:t xml:space="preserve">، وتعزيز أنظمة المعلومات </w:t>
      </w:r>
      <w:r w:rsidR="009A5733" w:rsidRPr="00C32070">
        <w:rPr>
          <w:rtl/>
          <w:lang w:bidi="ar-EG"/>
        </w:rPr>
        <w:t>في الاتحاد</w:t>
      </w:r>
      <w:r w:rsidRPr="00C32070">
        <w:rPr>
          <w:rtl/>
          <w:lang w:bidi="ar-EG"/>
        </w:rPr>
        <w:t>، وتعزيز ثقافة المساءلة والشفافية.</w:t>
      </w:r>
    </w:p>
    <w:p w14:paraId="6EE2D1C0" w14:textId="2045F37C" w:rsidR="0095572F" w:rsidRPr="00C32070" w:rsidRDefault="0095572F" w:rsidP="00A75188">
      <w:pPr>
        <w:rPr>
          <w:lang w:bidi="ar-EG"/>
        </w:rPr>
      </w:pPr>
      <w:r w:rsidRPr="00C32070">
        <w:rPr>
          <w:rtl/>
          <w:lang w:bidi="ar-EG"/>
        </w:rPr>
        <w:t xml:space="preserve">وتسترشد هذه الجهود </w:t>
      </w:r>
      <w:r w:rsidR="009A5733" w:rsidRPr="00C32070">
        <w:rPr>
          <w:rtl/>
          <w:lang w:bidi="ar-EG"/>
        </w:rPr>
        <w:t xml:space="preserve">بالإطار المتكامل للرقابة الداخلية الذي وضعته لجنة المنظمات الراعية التابعة للجنة </w:t>
      </w:r>
      <w:proofErr w:type="spellStart"/>
      <w:r w:rsidR="009A5733" w:rsidRPr="00C32070">
        <w:rPr>
          <w:rtl/>
          <w:lang w:bidi="ar-EG"/>
        </w:rPr>
        <w:t>تريدواي</w:t>
      </w:r>
      <w:proofErr w:type="spellEnd"/>
      <w:r w:rsidR="009A5733" w:rsidRPr="00C32070">
        <w:rPr>
          <w:rtl/>
          <w:lang w:bidi="ar-EG"/>
        </w:rPr>
        <w:t xml:space="preserve"> </w:t>
      </w:r>
      <w:r w:rsidR="009A5733" w:rsidRPr="00C32070">
        <w:rPr>
          <w:lang w:bidi="ar-EG"/>
        </w:rPr>
        <w:t>(</w:t>
      </w:r>
      <w:r w:rsidRPr="00C32070">
        <w:rPr>
          <w:lang w:bidi="ar-EG"/>
        </w:rPr>
        <w:t>COSO</w:t>
      </w:r>
      <w:r w:rsidR="009A5733" w:rsidRPr="00C32070">
        <w:rPr>
          <w:lang w:bidi="ar-EG"/>
        </w:rPr>
        <w:t>)</w:t>
      </w:r>
      <w:r w:rsidRPr="00C32070">
        <w:rPr>
          <w:rtl/>
          <w:lang w:bidi="ar-EG"/>
        </w:rPr>
        <w:t xml:space="preserve">. ويوفر </w:t>
      </w:r>
      <w:r w:rsidR="009A5733" w:rsidRPr="00C32070">
        <w:rPr>
          <w:rtl/>
          <w:lang w:bidi="ar-EG"/>
        </w:rPr>
        <w:t>ال</w:t>
      </w:r>
      <w:r w:rsidRPr="00C32070">
        <w:rPr>
          <w:rtl/>
          <w:lang w:bidi="ar-EG"/>
        </w:rPr>
        <w:t xml:space="preserve">إطار </w:t>
      </w:r>
      <w:r w:rsidRPr="00C32070">
        <w:rPr>
          <w:lang w:bidi="ar-EG"/>
        </w:rPr>
        <w:t>COSO</w:t>
      </w:r>
      <w:r w:rsidRPr="00C32070">
        <w:rPr>
          <w:rtl/>
          <w:lang w:bidi="ar-EG"/>
        </w:rPr>
        <w:t xml:space="preserve"> نموذجاً شاملاً للحوكمة التنظيمية الفعالة وإدارة المخاطر، مع التركيز على خمس مكونات مترابطة: بيئة الرقابة، وتقييم المخاطر، وأنشطة </w:t>
      </w:r>
      <w:r w:rsidR="00CD7669" w:rsidRPr="00C32070">
        <w:rPr>
          <w:rtl/>
          <w:lang w:bidi="ar-EG"/>
        </w:rPr>
        <w:t>الضبط</w:t>
      </w:r>
      <w:r w:rsidRPr="00C32070">
        <w:rPr>
          <w:rtl/>
          <w:lang w:bidi="ar-EG"/>
        </w:rPr>
        <w:t>، والمعلومات والاتصالات، وأنشطة المراقبة.</w:t>
      </w:r>
    </w:p>
    <w:p w14:paraId="1B5621FC" w14:textId="77777777" w:rsidR="0095572F" w:rsidRPr="00C32070" w:rsidRDefault="0095572F" w:rsidP="00F72B70">
      <w:pPr>
        <w:pStyle w:val="Headingb"/>
        <w:rPr>
          <w:rtl/>
        </w:rPr>
      </w:pPr>
      <w:r w:rsidRPr="00C32070">
        <w:rPr>
          <w:rtl/>
        </w:rPr>
        <w:t xml:space="preserve">تعزيز الضوابط الداخلية منذ يناير </w:t>
      </w:r>
      <w:r w:rsidRPr="00C32070">
        <w:t>2023</w:t>
      </w:r>
    </w:p>
    <w:p w14:paraId="526289D3" w14:textId="31B61618" w:rsidR="0095572F" w:rsidRPr="00C32070" w:rsidRDefault="0095572F" w:rsidP="00A75188">
      <w:pPr>
        <w:rPr>
          <w:rtl/>
          <w:lang w:bidi="ar-EG"/>
        </w:rPr>
      </w:pPr>
      <w:r w:rsidRPr="00C32070">
        <w:rPr>
          <w:rtl/>
          <w:lang w:bidi="ar-EG"/>
        </w:rPr>
        <w:t>عند</w:t>
      </w:r>
      <w:r w:rsidR="009A5733" w:rsidRPr="00C32070">
        <w:rPr>
          <w:rtl/>
          <w:lang w:bidi="ar-EG"/>
        </w:rPr>
        <w:t>ما</w:t>
      </w:r>
      <w:r w:rsidRPr="00C32070">
        <w:rPr>
          <w:rtl/>
          <w:lang w:bidi="ar-EG"/>
        </w:rPr>
        <w:t xml:space="preserve"> تولي</w:t>
      </w:r>
      <w:r w:rsidR="009A5733" w:rsidRPr="00C32070">
        <w:rPr>
          <w:rtl/>
          <w:lang w:bidi="ar-EG"/>
        </w:rPr>
        <w:t>ت</w:t>
      </w:r>
      <w:r w:rsidRPr="00C32070">
        <w:rPr>
          <w:rtl/>
          <w:lang w:bidi="ar-EG"/>
        </w:rPr>
        <w:t xml:space="preserve"> منصب الأمين</w:t>
      </w:r>
      <w:r w:rsidR="009A5733" w:rsidRPr="00C32070">
        <w:rPr>
          <w:rtl/>
          <w:lang w:bidi="ar-EG"/>
        </w:rPr>
        <w:t>ة</w:t>
      </w:r>
      <w:r w:rsidRPr="00C32070">
        <w:rPr>
          <w:rtl/>
          <w:lang w:bidi="ar-EG"/>
        </w:rPr>
        <w:t xml:space="preserve"> العام</w:t>
      </w:r>
      <w:r w:rsidR="009A5733" w:rsidRPr="00C32070">
        <w:rPr>
          <w:rtl/>
          <w:lang w:bidi="ar-EG"/>
        </w:rPr>
        <w:t>ة</w:t>
      </w:r>
      <w:r w:rsidRPr="00C32070">
        <w:rPr>
          <w:rtl/>
          <w:lang w:bidi="ar-EG"/>
        </w:rPr>
        <w:t xml:space="preserve"> في </w:t>
      </w:r>
      <w:r w:rsidRPr="00C32070">
        <w:rPr>
          <w:lang w:bidi="ar-EG"/>
        </w:rPr>
        <w:t>1</w:t>
      </w:r>
      <w:r w:rsidRPr="00C32070">
        <w:rPr>
          <w:rtl/>
          <w:lang w:bidi="ar-EG"/>
        </w:rPr>
        <w:t xml:space="preserve"> يناير </w:t>
      </w:r>
      <w:r w:rsidRPr="00C32070">
        <w:rPr>
          <w:lang w:bidi="ar-EG"/>
        </w:rPr>
        <w:t>2023</w:t>
      </w:r>
      <w:r w:rsidRPr="00C32070">
        <w:rPr>
          <w:rtl/>
          <w:lang w:bidi="ar-EG"/>
        </w:rPr>
        <w:t>، بدأت جهود</w:t>
      </w:r>
      <w:r w:rsidR="009A5733" w:rsidRPr="00C32070">
        <w:rPr>
          <w:rtl/>
          <w:lang w:bidi="ar-EG"/>
        </w:rPr>
        <w:t>اً</w:t>
      </w:r>
      <w:r w:rsidRPr="00C32070">
        <w:rPr>
          <w:rtl/>
          <w:lang w:bidi="ar-EG"/>
        </w:rPr>
        <w:t xml:space="preserve"> لتحسين الضوابط الداخلية للاتحاد </w:t>
      </w:r>
      <w:r w:rsidR="009A5733" w:rsidRPr="00C32070">
        <w:rPr>
          <w:rtl/>
          <w:lang w:bidi="ar-EG"/>
        </w:rPr>
        <w:t>لتلبية</w:t>
      </w:r>
      <w:r w:rsidRPr="00C32070">
        <w:rPr>
          <w:rtl/>
          <w:lang w:bidi="ar-EG"/>
        </w:rPr>
        <w:t xml:space="preserve"> احتياجاتنا التنظيمية المتطورة بشكل أفضل. ويعكف ال</w:t>
      </w:r>
      <w:r w:rsidR="00C50E6E" w:rsidRPr="00C32070">
        <w:rPr>
          <w:rtl/>
          <w:lang w:bidi="ar-EG"/>
        </w:rPr>
        <w:t>اتحاد</w:t>
      </w:r>
      <w:r w:rsidRPr="00C32070">
        <w:rPr>
          <w:rtl/>
          <w:lang w:bidi="ar-EG"/>
        </w:rPr>
        <w:t xml:space="preserve"> على مواصلة تطوير خطة التحول </w:t>
      </w:r>
      <w:r w:rsidR="009A5733" w:rsidRPr="00C32070">
        <w:rPr>
          <w:rtl/>
          <w:lang w:bidi="ar-EG"/>
        </w:rPr>
        <w:t>الموافق عليها</w:t>
      </w:r>
      <w:r w:rsidRPr="00C32070">
        <w:rPr>
          <w:rtl/>
          <w:lang w:bidi="ar-EG"/>
        </w:rPr>
        <w:t xml:space="preserve"> في يوليو </w:t>
      </w:r>
      <w:r w:rsidRPr="00C32070">
        <w:rPr>
          <w:lang w:bidi="ar-EG"/>
        </w:rPr>
        <w:t>2023</w:t>
      </w:r>
      <w:r w:rsidRPr="00C32070">
        <w:rPr>
          <w:rtl/>
          <w:lang w:bidi="ar-EG"/>
        </w:rPr>
        <w:t xml:space="preserve"> </w:t>
      </w:r>
      <w:r w:rsidR="00CD7669" w:rsidRPr="00C32070">
        <w:rPr>
          <w:rtl/>
          <w:lang w:bidi="ar-EG"/>
        </w:rPr>
        <w:t>ب</w:t>
      </w:r>
      <w:r w:rsidRPr="00C32070">
        <w:rPr>
          <w:rtl/>
          <w:lang w:bidi="ar-EG"/>
        </w:rPr>
        <w:t>خارطة طريق تهدف إلى</w:t>
      </w:r>
      <w:r w:rsidR="0001419C" w:rsidRPr="00C32070">
        <w:rPr>
          <w:rtl/>
          <w:lang w:bidi="ar-EG"/>
        </w:rPr>
        <w:t> </w:t>
      </w:r>
      <w:r w:rsidRPr="00C32070">
        <w:rPr>
          <w:rtl/>
          <w:lang w:bidi="ar-EG"/>
        </w:rPr>
        <w:t>تحسين العمليات الإدارية وأنظمة الدعم والضوابط الداخلية طوال فترة ولايتي.</w:t>
      </w:r>
    </w:p>
    <w:p w14:paraId="294E5638" w14:textId="10B99091" w:rsidR="0095572F" w:rsidRPr="00C32070" w:rsidRDefault="0095572F" w:rsidP="00F72B70">
      <w:pPr>
        <w:pStyle w:val="Headingb"/>
        <w:rPr>
          <w:rtl/>
        </w:rPr>
      </w:pPr>
      <w:r w:rsidRPr="00C32070">
        <w:rPr>
          <w:rtl/>
        </w:rPr>
        <w:t>إنشاء وحدة الرقابة</w:t>
      </w:r>
      <w:r w:rsidR="009A5733" w:rsidRPr="00C32070">
        <w:rPr>
          <w:rtl/>
        </w:rPr>
        <w:t xml:space="preserve"> وعملها</w:t>
      </w:r>
    </w:p>
    <w:p w14:paraId="3D4E71C5" w14:textId="6D88778C" w:rsidR="0095572F" w:rsidRPr="00C32070" w:rsidRDefault="0095572F" w:rsidP="00561D71">
      <w:pPr>
        <w:rPr>
          <w:rtl/>
        </w:rPr>
      </w:pPr>
      <w:r w:rsidRPr="00C32070">
        <w:rPr>
          <w:rtl/>
        </w:rPr>
        <w:t xml:space="preserve">في سبتمبر </w:t>
      </w:r>
      <w:r w:rsidRPr="00C32070">
        <w:t>2023</w:t>
      </w:r>
      <w:r w:rsidRPr="00C32070">
        <w:rPr>
          <w:rtl/>
        </w:rPr>
        <w:t>، وبعد موافقة مجلس ال</w:t>
      </w:r>
      <w:r w:rsidR="00C50E6E" w:rsidRPr="00C32070">
        <w:rPr>
          <w:rtl/>
        </w:rPr>
        <w:t>اتحاد</w:t>
      </w:r>
      <w:r w:rsidRPr="00C32070">
        <w:rPr>
          <w:rtl/>
        </w:rPr>
        <w:t xml:space="preserve">، قمت بإنشاء وحدة الرقابة، التي تشمل </w:t>
      </w:r>
      <w:r w:rsidR="004D2986" w:rsidRPr="00C32070">
        <w:rPr>
          <w:rtl/>
        </w:rPr>
        <w:t>وظائف</w:t>
      </w:r>
      <w:r w:rsidRPr="00C32070">
        <w:rPr>
          <w:rtl/>
        </w:rPr>
        <w:t xml:space="preserve"> </w:t>
      </w:r>
      <w:r w:rsidR="004D2986" w:rsidRPr="00C32070">
        <w:rPr>
          <w:rtl/>
        </w:rPr>
        <w:t xml:space="preserve">المراجعة </w:t>
      </w:r>
      <w:r w:rsidRPr="00C32070">
        <w:rPr>
          <w:rtl/>
        </w:rPr>
        <w:t>والتحقيق</w:t>
      </w:r>
      <w:r w:rsidR="004D2986" w:rsidRPr="00C32070">
        <w:rPr>
          <w:rtl/>
        </w:rPr>
        <w:t xml:space="preserve"> الداخلية</w:t>
      </w:r>
      <w:r w:rsidRPr="00C32070">
        <w:rPr>
          <w:rtl/>
        </w:rPr>
        <w:t xml:space="preserve">. </w:t>
      </w:r>
      <w:r w:rsidR="00CD7669" w:rsidRPr="00C32070">
        <w:rPr>
          <w:rtl/>
        </w:rPr>
        <w:t>وستضاف</w:t>
      </w:r>
      <w:r w:rsidRPr="00C32070">
        <w:rPr>
          <w:rtl/>
        </w:rPr>
        <w:t xml:space="preserve"> وظيفة تقييم في عام </w:t>
      </w:r>
      <w:r w:rsidRPr="00C32070">
        <w:t>2024</w:t>
      </w:r>
      <w:r w:rsidRPr="00C32070">
        <w:rPr>
          <w:rtl/>
        </w:rPr>
        <w:t xml:space="preserve">. وتوفر وحدة الرقابة، وخاصة وظيفة المراجعة الداخلية، ضمانات مستقلة </w:t>
      </w:r>
      <w:r w:rsidR="004D2986" w:rsidRPr="00C32070">
        <w:rPr>
          <w:rtl/>
        </w:rPr>
        <w:t>بشأن</w:t>
      </w:r>
      <w:r w:rsidRPr="00C32070">
        <w:rPr>
          <w:rtl/>
        </w:rPr>
        <w:t xml:space="preserve"> فعالية نظام الرقابة الداخلية </w:t>
      </w:r>
      <w:r w:rsidR="004D2986" w:rsidRPr="00C32070">
        <w:rPr>
          <w:rtl/>
        </w:rPr>
        <w:t>في الاتحاد</w:t>
      </w:r>
      <w:r w:rsidRPr="00C32070">
        <w:rPr>
          <w:rtl/>
        </w:rPr>
        <w:t xml:space="preserve"> وستساهم في تعزيز الشفافية والمساءلة. وفيما يتعلق بوظيفة التحقيقات، </w:t>
      </w:r>
      <w:r w:rsidR="00CD7669" w:rsidRPr="00C32070">
        <w:rPr>
          <w:rtl/>
        </w:rPr>
        <w:t>كُلِّفت</w:t>
      </w:r>
      <w:r w:rsidRPr="00C32070">
        <w:rPr>
          <w:rtl/>
        </w:rPr>
        <w:t xml:space="preserve"> وحدة الرقابة بالتحقيق في ست قضايا خلال عام </w:t>
      </w:r>
      <w:r w:rsidRPr="00C32070">
        <w:t>2023</w:t>
      </w:r>
      <w:r w:rsidRPr="00C32070">
        <w:rPr>
          <w:rtl/>
        </w:rPr>
        <w:t xml:space="preserve">. ومن بين القضايا الست، تم البت في ثلاث قضايا، وأُغلقت قضية واحدة منها بسبب </w:t>
      </w:r>
      <w:r w:rsidR="004D2986" w:rsidRPr="00C32070">
        <w:rPr>
          <w:rtl/>
        </w:rPr>
        <w:t>عدم إثباتها بأدلة</w:t>
      </w:r>
      <w:r w:rsidRPr="00C32070">
        <w:rPr>
          <w:rtl/>
        </w:rPr>
        <w:t xml:space="preserve">. أما </w:t>
      </w:r>
      <w:r w:rsidR="004D2986" w:rsidRPr="00C32070">
        <w:rPr>
          <w:rtl/>
        </w:rPr>
        <w:t>القضايا</w:t>
      </w:r>
      <w:r w:rsidRPr="00C32070">
        <w:rPr>
          <w:rtl/>
        </w:rPr>
        <w:t xml:space="preserve"> الثلاث المتبقية فهي قيد التحقيق. و</w:t>
      </w:r>
      <w:r w:rsidR="004D2986" w:rsidRPr="00C32070">
        <w:rPr>
          <w:rtl/>
        </w:rPr>
        <w:t>ليس ل</w:t>
      </w:r>
      <w:r w:rsidRPr="00C32070">
        <w:rPr>
          <w:rtl/>
        </w:rPr>
        <w:t xml:space="preserve">خمس من </w:t>
      </w:r>
      <w:r w:rsidR="004D2986" w:rsidRPr="00C32070">
        <w:rPr>
          <w:rtl/>
        </w:rPr>
        <w:t>القضايا</w:t>
      </w:r>
      <w:r w:rsidRPr="00C32070">
        <w:rPr>
          <w:rtl/>
        </w:rPr>
        <w:t xml:space="preserve"> الست أي </w:t>
      </w:r>
      <w:r w:rsidR="004D2986" w:rsidRPr="00C32070">
        <w:rPr>
          <w:rtl/>
        </w:rPr>
        <w:t>تأثير</w:t>
      </w:r>
      <w:r w:rsidRPr="00C32070">
        <w:rPr>
          <w:rtl/>
        </w:rPr>
        <w:t xml:space="preserve"> مالي. وهناك </w:t>
      </w:r>
      <w:r w:rsidR="004D2986" w:rsidRPr="00C32070">
        <w:rPr>
          <w:rtl/>
        </w:rPr>
        <w:t>قضية</w:t>
      </w:r>
      <w:r w:rsidRPr="00C32070">
        <w:rPr>
          <w:rtl/>
        </w:rPr>
        <w:t xml:space="preserve"> واحدة لها تأثير مالي </w:t>
      </w:r>
      <w:r w:rsidR="004D2986" w:rsidRPr="00C32070">
        <w:rPr>
          <w:rtl/>
        </w:rPr>
        <w:t>صغير</w:t>
      </w:r>
      <w:r w:rsidRPr="00C32070">
        <w:rPr>
          <w:rtl/>
        </w:rPr>
        <w:t xml:space="preserve"> </w:t>
      </w:r>
      <w:r w:rsidR="00CD7669" w:rsidRPr="00C32070">
        <w:rPr>
          <w:rtl/>
        </w:rPr>
        <w:t xml:space="preserve">وقد </w:t>
      </w:r>
      <w:r w:rsidR="00561D71">
        <w:rPr>
          <w:rFonts w:hint="cs"/>
          <w:rtl/>
        </w:rPr>
        <w:t>أُ</w:t>
      </w:r>
      <w:r w:rsidR="00CD7669" w:rsidRPr="00C32070">
        <w:rPr>
          <w:rtl/>
        </w:rPr>
        <w:t>بلغ</w:t>
      </w:r>
      <w:r w:rsidRPr="00C32070">
        <w:rPr>
          <w:rtl/>
        </w:rPr>
        <w:t xml:space="preserve"> مراجع الحسابات الخارجي </w:t>
      </w:r>
      <w:r w:rsidR="00561D71">
        <w:rPr>
          <w:rFonts w:hint="cs"/>
          <w:rtl/>
        </w:rPr>
        <w:t xml:space="preserve">بها </w:t>
      </w:r>
      <w:r w:rsidRPr="00C32070">
        <w:rPr>
          <w:rtl/>
        </w:rPr>
        <w:t xml:space="preserve">خلال عام </w:t>
      </w:r>
      <w:r w:rsidRPr="00C32070">
        <w:t>2023</w:t>
      </w:r>
      <w:r w:rsidRPr="00C32070">
        <w:rPr>
          <w:rtl/>
        </w:rPr>
        <w:t>.</w:t>
      </w:r>
    </w:p>
    <w:p w14:paraId="1BF841FA" w14:textId="77777777" w:rsidR="0095572F" w:rsidRPr="00C32070" w:rsidRDefault="0095572F" w:rsidP="00F72B70">
      <w:pPr>
        <w:pStyle w:val="Headingb"/>
        <w:rPr>
          <w:rtl/>
        </w:rPr>
      </w:pPr>
      <w:r w:rsidRPr="00C32070">
        <w:rPr>
          <w:rtl/>
        </w:rPr>
        <w:t>المسؤوليات والمساءلة</w:t>
      </w:r>
    </w:p>
    <w:p w14:paraId="1E07D456" w14:textId="27B80617" w:rsidR="0095572F" w:rsidRPr="00C32070" w:rsidRDefault="0095572F" w:rsidP="00A75188">
      <w:pPr>
        <w:rPr>
          <w:rtl/>
          <w:lang w:bidi="ar-EG"/>
        </w:rPr>
      </w:pPr>
      <w:r w:rsidRPr="00C32070">
        <w:rPr>
          <w:rtl/>
          <w:lang w:bidi="ar-EG"/>
        </w:rPr>
        <w:t xml:space="preserve">تماشياً مع </w:t>
      </w:r>
      <w:r w:rsidR="004D2986" w:rsidRPr="00C32070">
        <w:rPr>
          <w:rtl/>
          <w:lang w:bidi="ar-EG"/>
        </w:rPr>
        <w:t>اللوائح</w:t>
      </w:r>
      <w:r w:rsidRPr="00C32070">
        <w:rPr>
          <w:rtl/>
          <w:lang w:bidi="ar-EG"/>
        </w:rPr>
        <w:t xml:space="preserve"> المالي</w:t>
      </w:r>
      <w:r w:rsidR="004D2986" w:rsidRPr="00C32070">
        <w:rPr>
          <w:rtl/>
          <w:lang w:bidi="ar-EG"/>
        </w:rPr>
        <w:t>ة</w:t>
      </w:r>
      <w:r w:rsidRPr="00C32070">
        <w:rPr>
          <w:rtl/>
          <w:lang w:bidi="ar-EG"/>
        </w:rPr>
        <w:t xml:space="preserve"> </w:t>
      </w:r>
      <w:r w:rsidR="004D2986" w:rsidRPr="00C32070">
        <w:rPr>
          <w:rtl/>
          <w:lang w:bidi="ar-EG"/>
        </w:rPr>
        <w:t>والقواعد</w:t>
      </w:r>
      <w:r w:rsidRPr="00C32070">
        <w:rPr>
          <w:rtl/>
          <w:lang w:bidi="ar-EG"/>
        </w:rPr>
        <w:t xml:space="preserve"> </w:t>
      </w:r>
      <w:r w:rsidR="004D2986" w:rsidRPr="00C32070">
        <w:rPr>
          <w:rtl/>
          <w:lang w:bidi="ar-EG"/>
        </w:rPr>
        <w:t xml:space="preserve">المالية والنظام </w:t>
      </w:r>
      <w:r w:rsidRPr="00C32070">
        <w:rPr>
          <w:rtl/>
          <w:lang w:bidi="ar-EG"/>
        </w:rPr>
        <w:t>الأساسي</w:t>
      </w:r>
      <w:r w:rsidR="004D2986" w:rsidRPr="00C32070">
        <w:rPr>
          <w:rtl/>
          <w:lang w:bidi="ar-EG"/>
        </w:rPr>
        <w:t xml:space="preserve"> والنظام الإداري</w:t>
      </w:r>
      <w:r w:rsidRPr="00C32070">
        <w:rPr>
          <w:rtl/>
          <w:lang w:bidi="ar-EG"/>
        </w:rPr>
        <w:t xml:space="preserve"> للموظفين، فوضت السلطة والمساءلة إلى المسؤولين المنتخبين والإدارة العليا، لضمان مساهمة كل موظف في الاتحاد في بيئة الرقابة الداخلية القوية </w:t>
      </w:r>
      <w:r w:rsidR="004D2986" w:rsidRPr="00C32070">
        <w:rPr>
          <w:rtl/>
          <w:lang w:bidi="ar-EG"/>
        </w:rPr>
        <w:t>في الاتحاد</w:t>
      </w:r>
      <w:r w:rsidRPr="00C32070">
        <w:rPr>
          <w:rtl/>
          <w:lang w:bidi="ar-EG"/>
        </w:rPr>
        <w:t xml:space="preserve">. </w:t>
      </w:r>
      <w:r w:rsidR="004D2986" w:rsidRPr="00C32070">
        <w:rPr>
          <w:rtl/>
          <w:lang w:bidi="ar-EG"/>
        </w:rPr>
        <w:t>ويُكل</w:t>
      </w:r>
      <w:r w:rsidR="00001BF6" w:rsidRPr="00C32070">
        <w:rPr>
          <w:rtl/>
          <w:lang w:bidi="ar-EG"/>
        </w:rPr>
        <w:t>َّ</w:t>
      </w:r>
      <w:r w:rsidR="004D2986" w:rsidRPr="00C32070">
        <w:rPr>
          <w:rtl/>
          <w:lang w:bidi="ar-EG"/>
        </w:rPr>
        <w:t xml:space="preserve">ف </w:t>
      </w:r>
      <w:r w:rsidRPr="00C32070">
        <w:rPr>
          <w:rtl/>
          <w:lang w:bidi="ar-EG"/>
        </w:rPr>
        <w:t xml:space="preserve">المسؤولون المنتخبون والإدارة العليا </w:t>
      </w:r>
      <w:r w:rsidR="004D2986" w:rsidRPr="00C32070">
        <w:rPr>
          <w:rtl/>
          <w:lang w:bidi="ar-EG"/>
        </w:rPr>
        <w:t>ب</w:t>
      </w:r>
      <w:r w:rsidRPr="00C32070">
        <w:rPr>
          <w:rtl/>
          <w:lang w:bidi="ar-EG"/>
        </w:rPr>
        <w:t xml:space="preserve">تطبيق </w:t>
      </w:r>
      <w:r w:rsidR="004D2986" w:rsidRPr="00C32070">
        <w:rPr>
          <w:rtl/>
          <w:lang w:bidi="ar-EG"/>
        </w:rPr>
        <w:t>ا</w:t>
      </w:r>
      <w:r w:rsidRPr="00C32070">
        <w:rPr>
          <w:rtl/>
          <w:lang w:bidi="ar-EG"/>
        </w:rPr>
        <w:t xml:space="preserve">لضوابط الداخلية </w:t>
      </w:r>
      <w:r w:rsidR="004D2986" w:rsidRPr="00C32070">
        <w:rPr>
          <w:rtl/>
          <w:lang w:bidi="ar-EG"/>
        </w:rPr>
        <w:t xml:space="preserve">بشكل فعال </w:t>
      </w:r>
      <w:r w:rsidRPr="00C32070">
        <w:rPr>
          <w:rtl/>
          <w:lang w:bidi="ar-EG"/>
        </w:rPr>
        <w:t xml:space="preserve">ضمن مجالات سلطتهم. </w:t>
      </w:r>
      <w:r w:rsidR="00001BF6" w:rsidRPr="00C32070">
        <w:rPr>
          <w:rtl/>
          <w:lang w:bidi="ar-EG"/>
        </w:rPr>
        <w:t>ويُضمن</w:t>
      </w:r>
      <w:r w:rsidRPr="00C32070">
        <w:rPr>
          <w:rtl/>
          <w:lang w:bidi="ar-EG"/>
        </w:rPr>
        <w:t xml:space="preserve"> الامتثال من خلال </w:t>
      </w:r>
      <w:r w:rsidR="00177A0E" w:rsidRPr="00C32070">
        <w:rPr>
          <w:rtl/>
          <w:lang w:bidi="ar-EG"/>
        </w:rPr>
        <w:t>رسائل</w:t>
      </w:r>
      <w:r w:rsidR="00A057B0" w:rsidRPr="00C32070">
        <w:rPr>
          <w:rtl/>
          <w:lang w:bidi="ar-EG"/>
        </w:rPr>
        <w:t xml:space="preserve"> الإشهاد</w:t>
      </w:r>
      <w:r w:rsidRPr="00C32070">
        <w:rPr>
          <w:rtl/>
          <w:lang w:bidi="ar-EG"/>
        </w:rPr>
        <w:t xml:space="preserve"> </w:t>
      </w:r>
      <w:r w:rsidR="00177A0E" w:rsidRPr="00C32070">
        <w:rPr>
          <w:rtl/>
          <w:lang w:bidi="ar-EG"/>
        </w:rPr>
        <w:t>الداخلية ال</w:t>
      </w:r>
      <w:r w:rsidRPr="00C32070">
        <w:rPr>
          <w:rtl/>
          <w:lang w:bidi="ar-EG"/>
        </w:rPr>
        <w:t xml:space="preserve">موقعة من المسؤولين المنتخبين والإدارة العليا، </w:t>
      </w:r>
      <w:r w:rsidR="00A057B0" w:rsidRPr="00C32070">
        <w:rPr>
          <w:rtl/>
          <w:lang w:bidi="ar-EG"/>
        </w:rPr>
        <w:t xml:space="preserve">وهي </w:t>
      </w:r>
      <w:r w:rsidR="00177A0E" w:rsidRPr="00C32070">
        <w:rPr>
          <w:rtl/>
          <w:lang w:bidi="ar-EG"/>
        </w:rPr>
        <w:t>تؤكد</w:t>
      </w:r>
      <w:r w:rsidRPr="00C32070">
        <w:rPr>
          <w:rtl/>
          <w:lang w:bidi="ar-EG"/>
        </w:rPr>
        <w:t xml:space="preserve"> التزامهم </w:t>
      </w:r>
      <w:r w:rsidR="00177A0E" w:rsidRPr="00C32070">
        <w:rPr>
          <w:rtl/>
          <w:lang w:bidi="ar-EG"/>
        </w:rPr>
        <w:t>بالرقابة</w:t>
      </w:r>
      <w:r w:rsidRPr="00C32070">
        <w:rPr>
          <w:rtl/>
          <w:lang w:bidi="ar-EG"/>
        </w:rPr>
        <w:t xml:space="preserve"> الداخلية</w:t>
      </w:r>
      <w:r w:rsidR="00A057B0" w:rsidRPr="00C32070">
        <w:rPr>
          <w:rtl/>
          <w:lang w:bidi="ar-EG"/>
        </w:rPr>
        <w:t xml:space="preserve"> لدينا</w:t>
      </w:r>
      <w:r w:rsidRPr="00C32070">
        <w:rPr>
          <w:rtl/>
          <w:lang w:bidi="ar-EG"/>
        </w:rPr>
        <w:t xml:space="preserve"> واستخدام</w:t>
      </w:r>
      <w:r w:rsidR="00A057B0" w:rsidRPr="00C32070">
        <w:rPr>
          <w:rtl/>
          <w:lang w:bidi="ar-EG"/>
        </w:rPr>
        <w:t>نا</w:t>
      </w:r>
      <w:r w:rsidRPr="00C32070">
        <w:rPr>
          <w:rtl/>
          <w:lang w:bidi="ar-EG"/>
        </w:rPr>
        <w:t xml:space="preserve"> </w:t>
      </w:r>
      <w:r w:rsidR="00A057B0" w:rsidRPr="00C32070">
        <w:rPr>
          <w:rtl/>
          <w:lang w:bidi="ar-EG"/>
        </w:rPr>
        <w:t>ل</w:t>
      </w:r>
      <w:r w:rsidRPr="00C32070">
        <w:rPr>
          <w:rtl/>
          <w:lang w:bidi="ar-EG"/>
        </w:rPr>
        <w:t>أموال الاتحاد. و</w:t>
      </w:r>
      <w:r w:rsidR="004D2986" w:rsidRPr="00C32070">
        <w:rPr>
          <w:rtl/>
          <w:lang w:bidi="ar-EG"/>
        </w:rPr>
        <w:t xml:space="preserve">قد </w:t>
      </w:r>
      <w:r w:rsidRPr="00C32070">
        <w:rPr>
          <w:rtl/>
          <w:lang w:bidi="ar-EG"/>
        </w:rPr>
        <w:t>نفذ ال</w:t>
      </w:r>
      <w:r w:rsidR="00C50E6E" w:rsidRPr="00C32070">
        <w:rPr>
          <w:rtl/>
          <w:lang w:bidi="ar-EG"/>
        </w:rPr>
        <w:t>اتحاد</w:t>
      </w:r>
      <w:r w:rsidRPr="00C32070">
        <w:rPr>
          <w:rtl/>
          <w:lang w:bidi="ar-EG"/>
        </w:rPr>
        <w:t xml:space="preserve"> استبياناً للتقييم الذاتي ركز على أهداف الرقابة الداخلية. وفي عام </w:t>
      </w:r>
      <w:r w:rsidRPr="00C32070">
        <w:rPr>
          <w:lang w:bidi="ar-EG"/>
        </w:rPr>
        <w:t>2024</w:t>
      </w:r>
      <w:r w:rsidRPr="00C32070">
        <w:rPr>
          <w:rtl/>
          <w:lang w:bidi="ar-EG"/>
        </w:rPr>
        <w:t xml:space="preserve">، سنواصل </w:t>
      </w:r>
      <w:r w:rsidR="00A057B0" w:rsidRPr="00C32070">
        <w:rPr>
          <w:rtl/>
          <w:lang w:bidi="ar-EG"/>
        </w:rPr>
        <w:t xml:space="preserve">استعراض </w:t>
      </w:r>
      <w:r w:rsidRPr="00C32070">
        <w:rPr>
          <w:rtl/>
          <w:lang w:bidi="ar-EG"/>
        </w:rPr>
        <w:t xml:space="preserve">استبيانات التقييم الذاتي </w:t>
      </w:r>
      <w:r w:rsidR="00177A0E" w:rsidRPr="00C32070">
        <w:rPr>
          <w:rtl/>
          <w:lang w:bidi="ar-EG"/>
        </w:rPr>
        <w:t>ورسائل</w:t>
      </w:r>
      <w:r w:rsidR="00A057B0" w:rsidRPr="00C32070">
        <w:rPr>
          <w:rtl/>
          <w:lang w:bidi="ar-EG"/>
        </w:rPr>
        <w:t xml:space="preserve"> الإشهاد</w:t>
      </w:r>
      <w:r w:rsidR="00177A0E" w:rsidRPr="00C32070">
        <w:rPr>
          <w:rtl/>
          <w:lang w:bidi="ar-EG"/>
        </w:rPr>
        <w:t xml:space="preserve"> الداخلية </w:t>
      </w:r>
      <w:r w:rsidRPr="00C32070">
        <w:rPr>
          <w:rtl/>
          <w:lang w:bidi="ar-EG"/>
        </w:rPr>
        <w:t>لتقديم تع</w:t>
      </w:r>
      <w:r w:rsidR="004D2986" w:rsidRPr="00C32070">
        <w:rPr>
          <w:rtl/>
          <w:lang w:bidi="ar-EG"/>
        </w:rPr>
        <w:t>قيب</w:t>
      </w:r>
      <w:r w:rsidRPr="00C32070">
        <w:rPr>
          <w:rtl/>
          <w:lang w:bidi="ar-EG"/>
        </w:rPr>
        <w:t xml:space="preserve">ات إلى الإدارة العليا </w:t>
      </w:r>
      <w:r w:rsidR="004D2986" w:rsidRPr="00C32070">
        <w:rPr>
          <w:rtl/>
          <w:lang w:bidi="ar-EG"/>
        </w:rPr>
        <w:t>بشأن</w:t>
      </w:r>
      <w:r w:rsidRPr="00C32070">
        <w:rPr>
          <w:rtl/>
          <w:lang w:bidi="ar-EG"/>
        </w:rPr>
        <w:t xml:space="preserve"> المجالات التي يمكن تحسينها.</w:t>
      </w:r>
    </w:p>
    <w:p w14:paraId="2D69A9C8" w14:textId="23CC0ECF" w:rsidR="0095572F" w:rsidRPr="00C32070" w:rsidRDefault="0095572F" w:rsidP="00F72B70">
      <w:pPr>
        <w:pStyle w:val="Headingb"/>
        <w:rPr>
          <w:rtl/>
        </w:rPr>
      </w:pPr>
      <w:r w:rsidRPr="00C32070">
        <w:rPr>
          <w:rtl/>
        </w:rPr>
        <w:t>نموذج وإطار جديد</w:t>
      </w:r>
      <w:r w:rsidR="004D2986" w:rsidRPr="00C32070">
        <w:rPr>
          <w:rtl/>
        </w:rPr>
        <w:t>ان</w:t>
      </w:r>
      <w:r w:rsidRPr="00C32070">
        <w:rPr>
          <w:rtl/>
        </w:rPr>
        <w:t xml:space="preserve"> للمساءلة في ال</w:t>
      </w:r>
      <w:r w:rsidR="00C50E6E" w:rsidRPr="00C32070">
        <w:rPr>
          <w:rtl/>
        </w:rPr>
        <w:t>اتحاد</w:t>
      </w:r>
    </w:p>
    <w:p w14:paraId="49A31C85" w14:textId="59CE72B3" w:rsidR="0095572F" w:rsidRPr="00C32070" w:rsidRDefault="00E92D47" w:rsidP="00A75188">
      <w:pPr>
        <w:rPr>
          <w:rtl/>
          <w:lang w:bidi="ar-EG"/>
        </w:rPr>
      </w:pPr>
      <w:r w:rsidRPr="00C32070">
        <w:rPr>
          <w:rtl/>
          <w:lang w:bidi="ar-EG"/>
        </w:rPr>
        <w:t>أقر</w:t>
      </w:r>
      <w:r w:rsidR="0095572F" w:rsidRPr="00C32070">
        <w:rPr>
          <w:rtl/>
          <w:lang w:bidi="ar-EG"/>
        </w:rPr>
        <w:t xml:space="preserve"> مجلس ال</w:t>
      </w:r>
      <w:r w:rsidR="00C50E6E" w:rsidRPr="00C32070">
        <w:rPr>
          <w:rtl/>
          <w:lang w:bidi="ar-EG"/>
        </w:rPr>
        <w:t>اتحاد</w:t>
      </w:r>
      <w:r w:rsidR="0095572F" w:rsidRPr="00C32070">
        <w:rPr>
          <w:rtl/>
          <w:lang w:bidi="ar-EG"/>
        </w:rPr>
        <w:t xml:space="preserve"> نموذجاً وإطاراً جديد</w:t>
      </w:r>
      <w:r w:rsidRPr="00C32070">
        <w:rPr>
          <w:rtl/>
          <w:lang w:bidi="ar-EG"/>
        </w:rPr>
        <w:t>ين</w:t>
      </w:r>
      <w:r w:rsidR="0095572F" w:rsidRPr="00C32070">
        <w:rPr>
          <w:rtl/>
          <w:lang w:bidi="ar-EG"/>
        </w:rPr>
        <w:t xml:space="preserve"> للمساءلة في مارس </w:t>
      </w:r>
      <w:r w:rsidR="0095572F" w:rsidRPr="00C32070">
        <w:rPr>
          <w:lang w:bidi="ar-EG"/>
        </w:rPr>
        <w:t>2022</w:t>
      </w:r>
      <w:r w:rsidR="0095572F" w:rsidRPr="00C32070">
        <w:rPr>
          <w:rtl/>
          <w:lang w:bidi="ar-EG"/>
        </w:rPr>
        <w:t xml:space="preserve">. ونحن نعمل على تطوير لوحات معلومات الإدارة لتقديم بيانات الأعمال في الوقت الفعلي من نظام </w:t>
      </w:r>
      <w:r w:rsidR="004D2986" w:rsidRPr="00C32070">
        <w:rPr>
          <w:rtl/>
          <w:lang w:bidi="ar-EG"/>
        </w:rPr>
        <w:t xml:space="preserve">تخطيط الموارد المؤسسية </w:t>
      </w:r>
      <w:r w:rsidR="0095572F" w:rsidRPr="00C32070">
        <w:rPr>
          <w:rtl/>
          <w:lang w:bidi="ar-EG"/>
        </w:rPr>
        <w:t>(</w:t>
      </w:r>
      <w:r w:rsidR="0095572F" w:rsidRPr="00C32070">
        <w:rPr>
          <w:lang w:bidi="ar-EG"/>
        </w:rPr>
        <w:t>ERP</w:t>
      </w:r>
      <w:r w:rsidR="0095572F" w:rsidRPr="00C32070">
        <w:rPr>
          <w:rtl/>
          <w:lang w:bidi="ar-EG"/>
        </w:rPr>
        <w:t xml:space="preserve">) ومصادر أخرى، مما يسهل تحليل الاتجاهات الدينامية وإعداد التقارير. </w:t>
      </w:r>
      <w:r w:rsidR="003D106F" w:rsidRPr="00C32070">
        <w:rPr>
          <w:rtl/>
          <w:lang w:bidi="ar-EG"/>
        </w:rPr>
        <w:t>وتُستعرض</w:t>
      </w:r>
      <w:r w:rsidR="0095572F" w:rsidRPr="00C32070">
        <w:rPr>
          <w:rtl/>
          <w:lang w:bidi="ar-EG"/>
        </w:rPr>
        <w:t xml:space="preserve"> هذه التحسينات بانتظام مع لجنة التنسيق وفريق تنسيق الإدار</w:t>
      </w:r>
      <w:r w:rsidR="007E386F" w:rsidRPr="00C32070">
        <w:rPr>
          <w:rtl/>
          <w:lang w:bidi="ar-EG"/>
        </w:rPr>
        <w:t>ة</w:t>
      </w:r>
      <w:r w:rsidR="0095572F" w:rsidRPr="00C32070">
        <w:rPr>
          <w:rtl/>
          <w:lang w:bidi="ar-EG"/>
        </w:rPr>
        <w:t xml:space="preserve"> وهيئات الرقابة.</w:t>
      </w:r>
    </w:p>
    <w:p w14:paraId="118A035E" w14:textId="77777777" w:rsidR="0095572F" w:rsidRPr="00C32070" w:rsidRDefault="0095572F" w:rsidP="00F72B70">
      <w:pPr>
        <w:pStyle w:val="Headingb"/>
        <w:rPr>
          <w:rtl/>
        </w:rPr>
      </w:pPr>
      <w:r w:rsidRPr="00C32070">
        <w:rPr>
          <w:rtl/>
        </w:rPr>
        <w:lastRenderedPageBreak/>
        <w:t>تنفيذ توصيات الرقابة</w:t>
      </w:r>
    </w:p>
    <w:p w14:paraId="76AFF9F2" w14:textId="12E85374" w:rsidR="0095572F" w:rsidRPr="00C32070" w:rsidRDefault="0095572F" w:rsidP="00A75188">
      <w:pPr>
        <w:rPr>
          <w:rtl/>
          <w:lang w:bidi="ar-EG"/>
        </w:rPr>
      </w:pPr>
      <w:r w:rsidRPr="00C32070">
        <w:rPr>
          <w:rtl/>
          <w:lang w:bidi="ar-EG"/>
        </w:rPr>
        <w:t xml:space="preserve">يجري الآن تناول التوصيات الصادرة عن وحدة الرقابة، ووحدة التفتيش المشتركة، واللجنة الاستشارية الإدارية المستقلة، ومراجعي الحسابات الخارجيين. </w:t>
      </w:r>
      <w:r w:rsidR="007E386F" w:rsidRPr="00C32070">
        <w:rPr>
          <w:rtl/>
          <w:lang w:bidi="ar-EG"/>
        </w:rPr>
        <w:t>وتُرشد</w:t>
      </w:r>
      <w:r w:rsidRPr="00C32070">
        <w:rPr>
          <w:rtl/>
          <w:lang w:bidi="ar-EG"/>
        </w:rPr>
        <w:t xml:space="preserve"> هذه التوصيات تدابيرنا المستمرة لتعزيز أنشطة الحوكمة وإدارة المخاطر والرقابة.</w:t>
      </w:r>
    </w:p>
    <w:p w14:paraId="5814C015" w14:textId="60132EC4" w:rsidR="0095572F" w:rsidRPr="00C32070" w:rsidRDefault="003D106F" w:rsidP="00F72B70">
      <w:pPr>
        <w:pStyle w:val="Headingb"/>
        <w:rPr>
          <w:rtl/>
        </w:rPr>
      </w:pPr>
      <w:r w:rsidRPr="00C32070">
        <w:rPr>
          <w:rtl/>
        </w:rPr>
        <w:t xml:space="preserve">استعراض </w:t>
      </w:r>
      <w:r w:rsidR="0095572F" w:rsidRPr="00C32070">
        <w:rPr>
          <w:rtl/>
        </w:rPr>
        <w:t xml:space="preserve">الفعالية </w:t>
      </w:r>
      <w:r w:rsidR="00E92D47" w:rsidRPr="00C32070">
        <w:rPr>
          <w:rtl/>
        </w:rPr>
        <w:t>ل</w:t>
      </w:r>
      <w:r w:rsidR="0095572F" w:rsidRPr="00C32070">
        <w:rPr>
          <w:rtl/>
        </w:rPr>
        <w:t xml:space="preserve">عام </w:t>
      </w:r>
      <w:r w:rsidR="0095572F" w:rsidRPr="00C32070">
        <w:t>2023</w:t>
      </w:r>
    </w:p>
    <w:p w14:paraId="2F19D98B" w14:textId="174C91F8" w:rsidR="0095572F" w:rsidRPr="00C32070" w:rsidRDefault="0095572F" w:rsidP="00A75188">
      <w:pPr>
        <w:rPr>
          <w:lang w:bidi="ar-EG"/>
        </w:rPr>
      </w:pPr>
      <w:r w:rsidRPr="00C32070">
        <w:rPr>
          <w:rtl/>
          <w:lang w:bidi="ar-EG"/>
        </w:rPr>
        <w:t>قدم ال</w:t>
      </w:r>
      <w:r w:rsidR="00C50E6E" w:rsidRPr="00C32070">
        <w:rPr>
          <w:rtl/>
          <w:lang w:bidi="ar-EG"/>
        </w:rPr>
        <w:t>اتحاد</w:t>
      </w:r>
      <w:r w:rsidRPr="00C32070">
        <w:rPr>
          <w:rtl/>
          <w:lang w:bidi="ar-EG"/>
        </w:rPr>
        <w:t xml:space="preserve"> لوحة معلومات </w:t>
      </w:r>
      <w:r w:rsidR="007E386F" w:rsidRPr="00C32070">
        <w:rPr>
          <w:rtl/>
          <w:lang w:bidi="ar-EG"/>
        </w:rPr>
        <w:t>مؤسسية بشأن ال</w:t>
      </w:r>
      <w:r w:rsidRPr="00C32070">
        <w:rPr>
          <w:rtl/>
          <w:lang w:bidi="ar-EG"/>
        </w:rPr>
        <w:t xml:space="preserve">امتثال في نوفمبر </w:t>
      </w:r>
      <w:r w:rsidRPr="00C32070">
        <w:rPr>
          <w:lang w:bidi="ar-EG"/>
        </w:rPr>
        <w:t>2020</w:t>
      </w:r>
      <w:r w:rsidRPr="00C32070">
        <w:rPr>
          <w:rtl/>
          <w:lang w:bidi="ar-EG"/>
        </w:rPr>
        <w:t xml:space="preserve"> لرصد وتنفيذ التوصيات الصادرة عن هيئات الرقابة </w:t>
      </w:r>
      <w:r w:rsidR="007E386F" w:rsidRPr="00C32070">
        <w:rPr>
          <w:rtl/>
          <w:lang w:bidi="ar-EG"/>
        </w:rPr>
        <w:t>والمراجعة</w:t>
      </w:r>
      <w:r w:rsidRPr="00C32070">
        <w:rPr>
          <w:rtl/>
          <w:lang w:bidi="ar-EG"/>
        </w:rPr>
        <w:t xml:space="preserve"> الجنائي</w:t>
      </w:r>
      <w:r w:rsidR="007E386F" w:rsidRPr="00C32070">
        <w:rPr>
          <w:rtl/>
          <w:lang w:bidi="ar-EG"/>
        </w:rPr>
        <w:t>ة</w:t>
      </w:r>
      <w:r w:rsidRPr="00C32070">
        <w:rPr>
          <w:rtl/>
          <w:lang w:bidi="ar-EG"/>
        </w:rPr>
        <w:t xml:space="preserve"> لعام </w:t>
      </w:r>
      <w:r w:rsidRPr="00C32070">
        <w:rPr>
          <w:lang w:bidi="ar-EG"/>
        </w:rPr>
        <w:t>2021</w:t>
      </w:r>
      <w:r w:rsidRPr="00C32070">
        <w:rPr>
          <w:rtl/>
          <w:lang w:bidi="ar-EG"/>
        </w:rPr>
        <w:t xml:space="preserve">. </w:t>
      </w:r>
      <w:r w:rsidR="007E386F" w:rsidRPr="00C32070">
        <w:rPr>
          <w:rtl/>
          <w:lang w:bidi="ar-EG"/>
        </w:rPr>
        <w:t>وفي</w:t>
      </w:r>
      <w:r w:rsidRPr="00C32070">
        <w:rPr>
          <w:rtl/>
          <w:lang w:bidi="ar-EG"/>
        </w:rPr>
        <w:t xml:space="preserve"> نهاية عام </w:t>
      </w:r>
      <w:r w:rsidRPr="00C32070">
        <w:rPr>
          <w:lang w:bidi="ar-EG"/>
        </w:rPr>
        <w:t>2023</w:t>
      </w:r>
      <w:r w:rsidRPr="00C32070">
        <w:rPr>
          <w:rtl/>
          <w:lang w:bidi="ar-EG"/>
        </w:rPr>
        <w:t xml:space="preserve">، حققنا معدل تنفيذ لهذه التوصيات بنسبة </w:t>
      </w:r>
      <w:r w:rsidRPr="00C32070">
        <w:rPr>
          <w:lang w:bidi="ar-EG"/>
        </w:rPr>
        <w:t>77</w:t>
      </w:r>
      <w:r w:rsidRPr="00C32070">
        <w:rPr>
          <w:rtl/>
          <w:lang w:bidi="ar-EG"/>
        </w:rPr>
        <w:t xml:space="preserve">%. وحدد </w:t>
      </w:r>
      <w:r w:rsidR="003D106F" w:rsidRPr="00C32070">
        <w:rPr>
          <w:rtl/>
          <w:lang w:bidi="ar-EG"/>
        </w:rPr>
        <w:t xml:space="preserve">استعراض </w:t>
      </w:r>
      <w:r w:rsidRPr="00C32070">
        <w:rPr>
          <w:rtl/>
          <w:lang w:bidi="ar-EG"/>
        </w:rPr>
        <w:t xml:space="preserve">شامل أجري في أغسطس </w:t>
      </w:r>
      <w:r w:rsidRPr="00C32070">
        <w:rPr>
          <w:lang w:bidi="ar-EG"/>
        </w:rPr>
        <w:t>2023</w:t>
      </w:r>
      <w:r w:rsidRPr="00C32070">
        <w:rPr>
          <w:rtl/>
          <w:lang w:bidi="ar-EG"/>
        </w:rPr>
        <w:t xml:space="preserve"> المخاطر التشغيلية والاستراتيجية والائتمانية الرئيسية، مما ي</w:t>
      </w:r>
      <w:r w:rsidR="007E386F" w:rsidRPr="00C32070">
        <w:rPr>
          <w:rtl/>
          <w:lang w:bidi="ar-EG"/>
        </w:rPr>
        <w:t>ُ</w:t>
      </w:r>
      <w:r w:rsidRPr="00C32070">
        <w:rPr>
          <w:rtl/>
          <w:lang w:bidi="ar-EG"/>
        </w:rPr>
        <w:t xml:space="preserve">رشد التحديث المستمر لسجل </w:t>
      </w:r>
      <w:r w:rsidR="007E386F" w:rsidRPr="00C32070">
        <w:rPr>
          <w:rtl/>
          <w:lang w:bidi="ar-EG"/>
        </w:rPr>
        <w:t>ال</w:t>
      </w:r>
      <w:r w:rsidRPr="00C32070">
        <w:rPr>
          <w:rtl/>
          <w:lang w:bidi="ar-EG"/>
        </w:rPr>
        <w:t>مخاطر</w:t>
      </w:r>
      <w:r w:rsidR="000E6C96" w:rsidRPr="00C32070">
        <w:rPr>
          <w:lang w:bidi="ar-EG"/>
        </w:rPr>
        <w:t> </w:t>
      </w:r>
      <w:r w:rsidR="007E386F" w:rsidRPr="00C32070">
        <w:rPr>
          <w:rtl/>
          <w:lang w:bidi="ar-EG"/>
        </w:rPr>
        <w:t>المؤسسية</w:t>
      </w:r>
      <w:r w:rsidRPr="00C32070">
        <w:rPr>
          <w:rtl/>
          <w:lang w:bidi="ar-EG"/>
        </w:rPr>
        <w:t>.</w:t>
      </w:r>
    </w:p>
    <w:p w14:paraId="0DBB8343" w14:textId="77777777" w:rsidR="0095572F" w:rsidRPr="00C32070" w:rsidRDefault="0095572F" w:rsidP="00F72B70">
      <w:pPr>
        <w:pStyle w:val="Headingb"/>
        <w:rPr>
          <w:color w:val="4472C4"/>
          <w:rtl/>
          <w:lang w:val="en-GB" w:eastAsia="en-US"/>
        </w:rPr>
      </w:pPr>
      <w:r w:rsidRPr="00C32070">
        <w:rPr>
          <w:color w:val="4472C4"/>
          <w:rtl/>
          <w:lang w:val="en-GB" w:eastAsia="en-US"/>
        </w:rPr>
        <w:t xml:space="preserve">مسائل الرقابة الداخلية الرئيسية خلال عام </w:t>
      </w:r>
      <w:r w:rsidRPr="00C32070">
        <w:rPr>
          <w:color w:val="4472C4"/>
          <w:lang w:val="en-GB" w:eastAsia="en-US"/>
        </w:rPr>
        <w:t>2023</w:t>
      </w:r>
    </w:p>
    <w:p w14:paraId="6DA76C0A" w14:textId="42F2AFA8" w:rsidR="0095572F" w:rsidRPr="00C32070" w:rsidRDefault="0095572F" w:rsidP="00A75188">
      <w:pPr>
        <w:rPr>
          <w:rtl/>
          <w:lang w:bidi="ar-EG"/>
        </w:rPr>
      </w:pPr>
      <w:r w:rsidRPr="00C32070">
        <w:rPr>
          <w:rtl/>
          <w:lang w:bidi="ar-EG"/>
        </w:rPr>
        <w:t xml:space="preserve">في عام </w:t>
      </w:r>
      <w:r w:rsidRPr="00C32070">
        <w:rPr>
          <w:lang w:bidi="ar-EG"/>
        </w:rPr>
        <w:t>2023</w:t>
      </w:r>
      <w:r w:rsidRPr="00C32070">
        <w:rPr>
          <w:rtl/>
          <w:lang w:bidi="ar-EG"/>
        </w:rPr>
        <w:t>، أجرى ال</w:t>
      </w:r>
      <w:r w:rsidR="00C50E6E" w:rsidRPr="00C32070">
        <w:rPr>
          <w:rtl/>
          <w:lang w:bidi="ar-EG"/>
        </w:rPr>
        <w:t>اتحاد</w:t>
      </w:r>
      <w:r w:rsidRPr="00C32070">
        <w:rPr>
          <w:rtl/>
          <w:lang w:bidi="ar-EG"/>
        </w:rPr>
        <w:t xml:space="preserve"> </w:t>
      </w:r>
      <w:r w:rsidR="007E386F" w:rsidRPr="00C32070">
        <w:rPr>
          <w:rtl/>
          <w:lang w:bidi="ar-EG"/>
        </w:rPr>
        <w:t>الدولي للاتصالات</w:t>
      </w:r>
      <w:r w:rsidR="00561D71">
        <w:rPr>
          <w:rFonts w:hint="cs"/>
          <w:rtl/>
          <w:lang w:bidi="ar-EG"/>
        </w:rPr>
        <w:t> </w:t>
      </w:r>
      <w:r w:rsidR="00561D71">
        <w:rPr>
          <w:lang w:bidi="ar-EG"/>
        </w:rPr>
        <w:t>(ITU)</w:t>
      </w:r>
      <w:r w:rsidR="007E386F" w:rsidRPr="00C32070">
        <w:rPr>
          <w:rtl/>
          <w:lang w:bidi="ar-EG"/>
        </w:rPr>
        <w:t xml:space="preserve"> </w:t>
      </w:r>
      <w:r w:rsidRPr="00C32070">
        <w:rPr>
          <w:rtl/>
          <w:lang w:bidi="ar-EG"/>
        </w:rPr>
        <w:t xml:space="preserve">تقييماً شاملاً لأنظمة الرقابة الداخلية من خلال آليات مختلفة، بما في ذلك استبيانات التقييم الذاتي ومهام الرقابة. وسلط </w:t>
      </w:r>
      <w:r w:rsidR="00E92D47" w:rsidRPr="00C32070">
        <w:rPr>
          <w:rtl/>
          <w:lang w:bidi="ar-EG"/>
        </w:rPr>
        <w:t>ذلك</w:t>
      </w:r>
      <w:r w:rsidRPr="00C32070">
        <w:rPr>
          <w:rtl/>
          <w:lang w:bidi="ar-EG"/>
        </w:rPr>
        <w:t xml:space="preserve"> التحليل الضوء على العديد من المجالات التي تحتاج إلى تحسين والتي تعتبر ضرورية لتعزيز </w:t>
      </w:r>
      <w:r w:rsidR="007E386F" w:rsidRPr="00C32070">
        <w:rPr>
          <w:rtl/>
          <w:lang w:bidi="ar-EG"/>
        </w:rPr>
        <w:t>ال</w:t>
      </w:r>
      <w:r w:rsidRPr="00C32070">
        <w:rPr>
          <w:rtl/>
          <w:lang w:bidi="ar-EG"/>
        </w:rPr>
        <w:t>حوكم</w:t>
      </w:r>
      <w:r w:rsidR="007E386F" w:rsidRPr="00C32070">
        <w:rPr>
          <w:rtl/>
          <w:lang w:bidi="ar-EG"/>
        </w:rPr>
        <w:t>ة</w:t>
      </w:r>
      <w:r w:rsidRPr="00C32070">
        <w:rPr>
          <w:rtl/>
          <w:lang w:bidi="ar-EG"/>
        </w:rPr>
        <w:t xml:space="preserve"> وإدارة المخاطر والضوابط الداخلية</w:t>
      </w:r>
      <w:r w:rsidR="007E386F" w:rsidRPr="00C32070">
        <w:rPr>
          <w:rtl/>
          <w:lang w:bidi="ar-EG"/>
        </w:rPr>
        <w:t xml:space="preserve"> في الاتحاد</w:t>
      </w:r>
      <w:r w:rsidRPr="00C32070">
        <w:rPr>
          <w:rtl/>
          <w:lang w:bidi="ar-EG"/>
        </w:rPr>
        <w:t xml:space="preserve">. ولمعالجة أهم قضايا الرقابة الداخلية الرئيسية بشكل منهجي، قمنا بتنظيم مبادراتنا حول المكونات الرئيسية الخمسة لإطار </w:t>
      </w:r>
      <w:r w:rsidRPr="00C32070">
        <w:rPr>
          <w:lang w:bidi="ar-EG"/>
        </w:rPr>
        <w:t>COSO</w:t>
      </w:r>
      <w:r w:rsidRPr="00C32070">
        <w:rPr>
          <w:rtl/>
          <w:lang w:bidi="ar-EG"/>
        </w:rPr>
        <w:t xml:space="preserve"> المذكور أعلاه. وفيما يلي تفاصيل عن مسائل الرقابة الداخلية الرئيسية التي </w:t>
      </w:r>
      <w:r w:rsidR="00D066F5" w:rsidRPr="00C32070">
        <w:rPr>
          <w:rtl/>
          <w:lang w:bidi="ar-EG"/>
        </w:rPr>
        <w:t>تحددت</w:t>
      </w:r>
      <w:r w:rsidRPr="00C32070">
        <w:rPr>
          <w:rtl/>
          <w:lang w:bidi="ar-EG"/>
        </w:rPr>
        <w:t xml:space="preserve"> خلال عام </w:t>
      </w:r>
      <w:r w:rsidRPr="00C32070">
        <w:rPr>
          <w:lang w:bidi="ar-EG"/>
        </w:rPr>
        <w:t>2023</w:t>
      </w:r>
      <w:r w:rsidRPr="00C32070">
        <w:rPr>
          <w:rtl/>
          <w:lang w:bidi="ar-EG"/>
        </w:rPr>
        <w:t xml:space="preserve"> والإجراءات المتخذة.</w:t>
      </w:r>
    </w:p>
    <w:p w14:paraId="7CCD67DE" w14:textId="77777777" w:rsidR="00705C31" w:rsidRPr="00C32070" w:rsidRDefault="00705C31" w:rsidP="00F72B70">
      <w:pPr>
        <w:pStyle w:val="Headingb"/>
      </w:pPr>
      <w:r w:rsidRPr="00C32070">
        <w:rPr>
          <w:rtl/>
        </w:rPr>
        <w:t>1</w:t>
      </w:r>
      <w:r w:rsidRPr="00C32070">
        <w:rPr>
          <w:rtl/>
        </w:rPr>
        <w:tab/>
        <w:t>البيئة الرقابية</w:t>
      </w:r>
    </w:p>
    <w:p w14:paraId="6F16B95D" w14:textId="45A3EC8B" w:rsidR="00705C31" w:rsidRPr="00C32070" w:rsidRDefault="005605CE" w:rsidP="00705C31">
      <w:pPr>
        <w:pStyle w:val="enumlev1"/>
        <w:rPr>
          <w:rtl/>
          <w:lang w:val="en-GB"/>
        </w:rPr>
      </w:pPr>
      <w:r>
        <w:rPr>
          <w:rFonts w:hint="cs"/>
          <w:rtl/>
          <w:lang w:val="en-GB"/>
        </w:rPr>
        <w:t>-</w:t>
      </w:r>
      <w:r w:rsidR="00705C31" w:rsidRPr="00C32070">
        <w:rPr>
          <w:rtl/>
          <w:lang w:val="en-GB"/>
        </w:rPr>
        <w:tab/>
      </w:r>
      <w:r w:rsidR="00705C31" w:rsidRPr="00C32070">
        <w:rPr>
          <w:i/>
          <w:iCs/>
          <w:rtl/>
          <w:lang w:val="en-GB"/>
        </w:rPr>
        <w:t xml:space="preserve">التزام القادة: </w:t>
      </w:r>
      <w:r w:rsidR="00705C31" w:rsidRPr="00C32070">
        <w:rPr>
          <w:rtl/>
          <w:lang w:val="en-GB"/>
        </w:rPr>
        <w:t>يتولى فريقنا التنفيذي "ضبط الإيقاع من قمة الهرم"، مظهراً التزامه باتباع ممارسات أخلاقية وإدارة قوية تتماشى مع الإطار التنظيمي التأسيسي للاتحاد، ويحرص في الوقت نفسه على وجود هياكل مناسبة للإبلاغ تندرج من</w:t>
      </w:r>
      <w:r w:rsidR="00681E81" w:rsidRPr="00C32070">
        <w:rPr>
          <w:lang w:val="en-GB"/>
        </w:rPr>
        <w:t> </w:t>
      </w:r>
      <w:r w:rsidR="00705C31" w:rsidRPr="00C32070">
        <w:rPr>
          <w:rtl/>
          <w:lang w:val="en-GB"/>
        </w:rPr>
        <w:t>أعلى المستويات إلى أدناها على نطاق المنظمة بأكملها، مع تفويض السلطة وتحديد المسؤولية وتحقيق المساءلة ذات الصلة بشكل واضح. ويلتزم الفريق التنفيذي أيض</w:t>
      </w:r>
      <w:r w:rsidR="00876D38">
        <w:rPr>
          <w:rFonts w:hint="cs"/>
          <w:rtl/>
          <w:lang w:val="en-GB"/>
        </w:rPr>
        <w:t>اً</w:t>
      </w:r>
      <w:r w:rsidR="00705C31" w:rsidRPr="00C32070">
        <w:rPr>
          <w:rtl/>
          <w:lang w:val="en-GB"/>
        </w:rPr>
        <w:t xml:space="preserve"> بتعزيز ثقافة مكان العمل القائمة على الكفاءة والاحترام وعلى</w:t>
      </w:r>
      <w:r w:rsidR="00681E81" w:rsidRPr="00C32070">
        <w:rPr>
          <w:lang w:val="en-GB"/>
        </w:rPr>
        <w:t> </w:t>
      </w:r>
      <w:r w:rsidR="00705C31" w:rsidRPr="00C32070">
        <w:rPr>
          <w:rtl/>
          <w:lang w:val="en-GB"/>
        </w:rPr>
        <w:t>خدمة أعضائنا. ولهذا الغرض، أولى الفريق اهتماما</w:t>
      </w:r>
      <w:r w:rsidR="00681E81" w:rsidRPr="00C32070">
        <w:rPr>
          <w:rtl/>
          <w:lang w:val="en-GB"/>
        </w:rPr>
        <w:t>ً</w:t>
      </w:r>
      <w:r w:rsidR="00705C31" w:rsidRPr="00C32070">
        <w:rPr>
          <w:rtl/>
          <w:lang w:val="en-GB"/>
        </w:rPr>
        <w:t xml:space="preserve"> كبيرا</w:t>
      </w:r>
      <w:r w:rsidR="00681E81" w:rsidRPr="00C32070">
        <w:rPr>
          <w:rtl/>
          <w:lang w:val="en-GB"/>
        </w:rPr>
        <w:t>ً</w:t>
      </w:r>
      <w:r w:rsidR="00705C31" w:rsidRPr="00C32070">
        <w:rPr>
          <w:rtl/>
          <w:lang w:val="en-GB"/>
        </w:rPr>
        <w:t xml:space="preserve"> لنتائج استقصاء الموظفين لعام 2023، متخذا</w:t>
      </w:r>
      <w:r w:rsidR="00681E81" w:rsidRPr="00C32070">
        <w:rPr>
          <w:rtl/>
          <w:lang w:val="en-GB"/>
        </w:rPr>
        <w:t>ً</w:t>
      </w:r>
      <w:r w:rsidR="00705C31" w:rsidRPr="00C32070">
        <w:rPr>
          <w:rtl/>
          <w:lang w:val="en-GB"/>
        </w:rPr>
        <w:t xml:space="preserve"> إجراءات تصحيحية لتحسين الوضع عند الاقتضاء.</w:t>
      </w:r>
    </w:p>
    <w:p w14:paraId="09596128" w14:textId="412E3162" w:rsidR="00681E81" w:rsidRPr="00C32070" w:rsidRDefault="005605CE" w:rsidP="00705C31">
      <w:pPr>
        <w:pStyle w:val="enumlev1"/>
        <w:rPr>
          <w:rtl/>
          <w:lang w:val="en-GB"/>
        </w:rPr>
      </w:pPr>
      <w:r>
        <w:rPr>
          <w:rFonts w:hint="cs"/>
          <w:i/>
          <w:iCs/>
          <w:rtl/>
          <w:lang w:val="en-GB"/>
        </w:rPr>
        <w:t>-</w:t>
      </w:r>
      <w:r w:rsidR="00705C31" w:rsidRPr="00C32070">
        <w:rPr>
          <w:i/>
          <w:iCs/>
          <w:rtl/>
          <w:lang w:val="en-GB"/>
        </w:rPr>
        <w:tab/>
        <w:t xml:space="preserve">إعلان المصالح: </w:t>
      </w:r>
      <w:r w:rsidR="00705C31" w:rsidRPr="00C32070">
        <w:rPr>
          <w:rtl/>
          <w:lang w:val="en-GB"/>
        </w:rPr>
        <w:t>لا تزال الإدارة العليا حريصة على الإشراف على نظام الرقابة الداخلية وتعزيزه، ولا سيما في مجالات مثل استخدام الخبراء الاستشاريين والالتزام بسياسة الاتحاد المتعلقة بإعلان المصالح. إن عملية إعلان المصالح السنوية، التي تم تحديثها في عام 2022 لتشمل المتعاقدين بموجب اتفاقات الخدمات الخاصة، تؤكد التزامنا بالإدارة الأخلاقية. ولكن ينبغي بذل مزيد من الجهود للتحقق في الوقت المناسب من تحقيق الامتثال وللقيام في المستقبل بمتابعة الإعلانات التي لم تردْ.</w:t>
      </w:r>
    </w:p>
    <w:p w14:paraId="7912D8F7" w14:textId="24294E5A" w:rsidR="00705C31" w:rsidRPr="00C32070" w:rsidRDefault="005605CE" w:rsidP="00705C31">
      <w:pPr>
        <w:pStyle w:val="enumlev1"/>
        <w:rPr>
          <w:rtl/>
          <w:lang w:val="en-GB"/>
        </w:rPr>
      </w:pPr>
      <w:r>
        <w:rPr>
          <w:rFonts w:hint="cs"/>
          <w:i/>
          <w:iCs/>
          <w:rtl/>
          <w:lang w:val="en-GB"/>
        </w:rPr>
        <w:t>-</w:t>
      </w:r>
      <w:r w:rsidR="00705C31" w:rsidRPr="00C32070">
        <w:rPr>
          <w:i/>
          <w:iCs/>
          <w:rtl/>
          <w:lang w:val="en-GB"/>
        </w:rPr>
        <w:tab/>
      </w:r>
      <w:r w:rsidR="00705C31" w:rsidRPr="00C32070">
        <w:rPr>
          <w:rtl/>
          <w:lang w:val="en-GB"/>
        </w:rPr>
        <w:t>وتؤكد</w:t>
      </w:r>
      <w:r w:rsidR="00705C31" w:rsidRPr="00C32070">
        <w:rPr>
          <w:i/>
          <w:iCs/>
          <w:rtl/>
          <w:lang w:val="en-GB"/>
        </w:rPr>
        <w:t xml:space="preserve"> النتائج التي توصلت إليها وحدة الرقابة</w:t>
      </w:r>
      <w:r w:rsidR="00705C31" w:rsidRPr="00C32070">
        <w:rPr>
          <w:rtl/>
          <w:lang w:val="en-GB"/>
        </w:rPr>
        <w:t xml:space="preserve"> ضرورة تعزيز فعالية الإدارة والمراقبة. والتزم المديرون التنفيذيون بتناول هذه التوصيات من خلال اتخاذ الإجراءات </w:t>
      </w:r>
      <w:proofErr w:type="spellStart"/>
      <w:r w:rsidR="00705C31" w:rsidRPr="00C32070">
        <w:rPr>
          <w:rtl/>
          <w:lang w:val="en-GB"/>
        </w:rPr>
        <w:t>الموصى</w:t>
      </w:r>
      <w:proofErr w:type="spellEnd"/>
      <w:r w:rsidR="00705C31" w:rsidRPr="00C32070">
        <w:rPr>
          <w:rtl/>
          <w:lang w:val="en-GB"/>
        </w:rPr>
        <w:t xml:space="preserve"> بها، مع قيام وحدة الرقابة برصد التقدم المحرز بواسطة لوحة المعلومات المتعلقة بالامتثال. وبالإضافة إلى ذلك، تواصل اللجنة الاستشارية المستقلة للإدارة تقديم إرشادات متخصصة إليّ وإلى مجلس الاتحاد، بغية ضمان فعالية نظام الإدارة والرقابة الداخلية في الاتحاد</w:t>
      </w:r>
      <w:r w:rsidR="00705C31" w:rsidRPr="00C32070">
        <w:rPr>
          <w:i/>
          <w:iCs/>
          <w:rtl/>
          <w:lang w:val="en-GB"/>
        </w:rPr>
        <w:t>.</w:t>
      </w:r>
    </w:p>
    <w:p w14:paraId="631A7842" w14:textId="7D755DE8" w:rsidR="00705C31" w:rsidRPr="00C32070" w:rsidRDefault="005605CE" w:rsidP="00705C31">
      <w:pPr>
        <w:pStyle w:val="enumlev1"/>
        <w:rPr>
          <w:rtl/>
          <w:lang w:val="en-GB"/>
        </w:rPr>
      </w:pPr>
      <w:r>
        <w:rPr>
          <w:rFonts w:hint="cs"/>
          <w:i/>
          <w:iCs/>
          <w:rtl/>
          <w:lang w:val="en-GB"/>
        </w:rPr>
        <w:t>-</w:t>
      </w:r>
      <w:r w:rsidR="00705C31" w:rsidRPr="00C32070">
        <w:rPr>
          <w:i/>
          <w:iCs/>
          <w:rtl/>
          <w:lang w:val="en-GB"/>
        </w:rPr>
        <w:tab/>
        <w:t xml:space="preserve">إنشاء فريق التحول: </w:t>
      </w:r>
      <w:r w:rsidR="00705C31" w:rsidRPr="00C32070">
        <w:rPr>
          <w:rtl/>
          <w:lang w:val="en-GB"/>
        </w:rPr>
        <w:t>وافق المجلس في عام 2023 على إنشاء فريق التحول في الاتحاد وتوكيله مهمة دعم تحويل الاتحاد باتجاه تحقيق التميز التنظيمي. وعُين رئيس مؤقت، منذ 11 ديسمبر 2023، لإنشاء فريق التحول واستكمال تفاصيل خارطة طريق التحول وجدولها الزمني تمهيدا</w:t>
      </w:r>
      <w:r w:rsidR="00876D38">
        <w:rPr>
          <w:rFonts w:hint="cs"/>
          <w:rtl/>
          <w:lang w:val="en-GB"/>
        </w:rPr>
        <w:t>ً</w:t>
      </w:r>
      <w:r w:rsidR="00705C31" w:rsidRPr="00C32070">
        <w:rPr>
          <w:rtl/>
          <w:lang w:val="en-GB"/>
        </w:rPr>
        <w:t xml:space="preserve"> لتقديمها إلى المجلس في دورته لعام 2024. وتجري حاليا</w:t>
      </w:r>
      <w:r w:rsidR="0030668C" w:rsidRPr="00C32070">
        <w:rPr>
          <w:rtl/>
          <w:lang w:val="en-GB"/>
        </w:rPr>
        <w:t>ً</w:t>
      </w:r>
      <w:r w:rsidR="00705C31" w:rsidRPr="00C32070">
        <w:rPr>
          <w:rtl/>
          <w:lang w:val="en-GB"/>
        </w:rPr>
        <w:t xml:space="preserve"> عملية تعيين رئيس فريق التحول بمستوى مد</w:t>
      </w:r>
      <w:r w:rsidR="00705C31" w:rsidRPr="00C32070">
        <w:rPr>
          <w:rtl/>
          <w:lang w:val="en-GB" w:bidi="ar-EG"/>
        </w:rPr>
        <w:t>ير</w:t>
      </w:r>
      <w:r w:rsidR="00705C31" w:rsidRPr="00C32070">
        <w:rPr>
          <w:rtl/>
          <w:lang w:val="en-GB"/>
        </w:rPr>
        <w:t xml:space="preserve">-1 </w:t>
      </w:r>
      <w:r w:rsidR="00705C31" w:rsidRPr="00C32070">
        <w:rPr>
          <w:rtl/>
          <w:lang w:val="en-GB" w:bidi="ar-SA"/>
        </w:rPr>
        <w:t>(</w:t>
      </w:r>
      <w:r w:rsidR="00705C31" w:rsidRPr="00C32070">
        <w:rPr>
          <w:lang w:val="en-GB"/>
        </w:rPr>
        <w:t>D1</w:t>
      </w:r>
      <w:r w:rsidR="00705C31" w:rsidRPr="00C32070">
        <w:rPr>
          <w:rtl/>
          <w:lang w:val="en-GB" w:bidi="ar-SA"/>
        </w:rPr>
        <w:t>)</w:t>
      </w:r>
      <w:r w:rsidR="00705C31" w:rsidRPr="00C32070">
        <w:rPr>
          <w:rtl/>
          <w:lang w:val="en-GB"/>
        </w:rPr>
        <w:t>، ومن المتوقع أن تنتهي هذه العملية في الربع الثاني من عام 2024.</w:t>
      </w:r>
    </w:p>
    <w:p w14:paraId="098477FD" w14:textId="1AA07C1A" w:rsidR="00705C31" w:rsidRPr="00C32070" w:rsidRDefault="005605CE" w:rsidP="00705C31">
      <w:pPr>
        <w:pStyle w:val="enumlev1"/>
        <w:rPr>
          <w:lang w:val="en-GB"/>
        </w:rPr>
      </w:pPr>
      <w:r>
        <w:rPr>
          <w:rFonts w:hint="cs"/>
          <w:i/>
          <w:iCs/>
          <w:rtl/>
          <w:lang w:val="en-GB"/>
        </w:rPr>
        <w:t>-</w:t>
      </w:r>
      <w:r w:rsidR="00705C31" w:rsidRPr="00C32070">
        <w:rPr>
          <w:i/>
          <w:iCs/>
          <w:rtl/>
          <w:lang w:val="en-GB"/>
        </w:rPr>
        <w:tab/>
        <w:t>الإدارة القائمة على النتائج (</w:t>
      </w:r>
      <w:r w:rsidR="00705C31" w:rsidRPr="00C32070">
        <w:rPr>
          <w:i/>
          <w:iCs/>
          <w:lang w:val="en-GB"/>
        </w:rPr>
        <w:t>RBM</w:t>
      </w:r>
      <w:r w:rsidR="00705C31" w:rsidRPr="00C32070">
        <w:rPr>
          <w:rtl/>
          <w:lang w:val="en-GB"/>
        </w:rPr>
        <w:t>): أخذ المجلس علما</w:t>
      </w:r>
      <w:r w:rsidR="00120A9B" w:rsidRPr="00C32070">
        <w:rPr>
          <w:rtl/>
          <w:lang w:val="en-GB"/>
        </w:rPr>
        <w:t>ً</w:t>
      </w:r>
      <w:r w:rsidR="00705C31" w:rsidRPr="00C32070">
        <w:rPr>
          <w:rtl/>
          <w:lang w:val="en-GB"/>
        </w:rPr>
        <w:t xml:space="preserve"> في يوليو 2023 بخطة التحول المالي المحددة في الوثيقة</w:t>
      </w:r>
      <w:r w:rsidR="00876D38">
        <w:rPr>
          <w:rFonts w:hint="cs"/>
          <w:rtl/>
          <w:lang w:val="en-GB"/>
        </w:rPr>
        <w:t> </w:t>
      </w:r>
      <w:r w:rsidR="00705C31" w:rsidRPr="00C32070">
        <w:rPr>
          <w:lang w:val="en-GB"/>
        </w:rPr>
        <w:t>C23/50</w:t>
      </w:r>
      <w:r w:rsidR="00705C31" w:rsidRPr="00C32070">
        <w:rPr>
          <w:rtl/>
          <w:lang w:val="en-GB"/>
        </w:rPr>
        <w:t>. ووفقا</w:t>
      </w:r>
      <w:r w:rsidR="00120A9B" w:rsidRPr="00C32070">
        <w:rPr>
          <w:rtl/>
          <w:lang w:val="en-GB"/>
        </w:rPr>
        <w:t>ً</w:t>
      </w:r>
      <w:r w:rsidR="00705C31" w:rsidRPr="00C32070">
        <w:rPr>
          <w:rtl/>
          <w:lang w:val="en-GB"/>
        </w:rPr>
        <w:t xml:space="preserve"> لهذه الخطة، سيحسن الاتحاد المساءلة والشفافية والفعالية في برامج المنظمة من خلال الإدارة القائمة على النتائج. ومن شأن ذلك أن يساعد على زيادة ضمان الشفافية بشأن تحديد الأولويات على نطاق المنظمة وتوزيع الموارد بشكل فعال. وبدأ تحديد النطاق الأولي استنادا</w:t>
      </w:r>
      <w:r w:rsidR="00120A9B" w:rsidRPr="00C32070">
        <w:rPr>
          <w:rtl/>
          <w:lang w:val="en-GB"/>
        </w:rPr>
        <w:t>ً</w:t>
      </w:r>
      <w:r w:rsidR="00705C31" w:rsidRPr="00C32070">
        <w:rPr>
          <w:rtl/>
          <w:lang w:val="en-GB"/>
        </w:rPr>
        <w:t xml:space="preserve"> إلى العمليات الحالية والأنظمة ذات الصلة. ولا</w:t>
      </w:r>
      <w:r w:rsidR="00876D38">
        <w:rPr>
          <w:rFonts w:hint="cs"/>
          <w:rtl/>
          <w:lang w:val="en-GB"/>
        </w:rPr>
        <w:t> </w:t>
      </w:r>
      <w:r w:rsidR="00705C31" w:rsidRPr="00C32070">
        <w:rPr>
          <w:rtl/>
          <w:lang w:val="en-GB"/>
        </w:rPr>
        <w:t>بد من بذل مزيد من الجهود في هذا المجال وفي إطار خارطة طريق التحول.</w:t>
      </w:r>
    </w:p>
    <w:p w14:paraId="39FBC9A0" w14:textId="77777777" w:rsidR="00705C31" w:rsidRPr="00C32070" w:rsidRDefault="00705C31" w:rsidP="00F72B70">
      <w:pPr>
        <w:pStyle w:val="Headingb"/>
      </w:pPr>
      <w:r w:rsidRPr="00C32070">
        <w:rPr>
          <w:rtl/>
        </w:rPr>
        <w:lastRenderedPageBreak/>
        <w:t>2</w:t>
      </w:r>
      <w:r w:rsidRPr="00C32070">
        <w:rPr>
          <w:rtl/>
        </w:rPr>
        <w:tab/>
        <w:t>تقييم المخاطر</w:t>
      </w:r>
    </w:p>
    <w:p w14:paraId="0B72D91E" w14:textId="181576E0" w:rsidR="00705C31" w:rsidRPr="00C32070" w:rsidRDefault="005605CE" w:rsidP="00705C31">
      <w:pPr>
        <w:pStyle w:val="enumlev1"/>
        <w:rPr>
          <w:lang w:val="en-GB"/>
        </w:rPr>
      </w:pPr>
      <w:r>
        <w:rPr>
          <w:rFonts w:hint="cs"/>
          <w:rtl/>
          <w:lang w:val="en-GB"/>
        </w:rPr>
        <w:t>-</w:t>
      </w:r>
      <w:r w:rsidR="00705C31" w:rsidRPr="00C32070">
        <w:rPr>
          <w:lang w:val="en-GB"/>
        </w:rPr>
        <w:tab/>
      </w:r>
      <w:r w:rsidR="00705C31" w:rsidRPr="00C32070">
        <w:rPr>
          <w:i/>
          <w:iCs/>
          <w:rtl/>
          <w:lang w:val="en-GB"/>
        </w:rPr>
        <w:t>عمليات إدارة المخاطر</w:t>
      </w:r>
      <w:r w:rsidR="00705C31" w:rsidRPr="00C32070">
        <w:rPr>
          <w:rtl/>
          <w:lang w:val="en-GB"/>
        </w:rPr>
        <w:t>: تسجَّل عملية إدارة المخاطر في الاتحاد، التي تشمل تحديد المخاطر وتقييمها والتصدي لها، في</w:t>
      </w:r>
      <w:r w:rsidR="00120A9B" w:rsidRPr="00C32070">
        <w:rPr>
          <w:rtl/>
          <w:lang w:val="en-GB"/>
        </w:rPr>
        <w:t> </w:t>
      </w:r>
      <w:r w:rsidR="00705C31" w:rsidRPr="00C32070">
        <w:rPr>
          <w:rtl/>
          <w:lang w:val="en-GB"/>
        </w:rPr>
        <w:t>سجل المخاطر المؤسسية. وبفضل التحديث الحالي لسجل المخاطر المؤسسية، اتسع النطاق الذي يغطيه السجل ليشمل المخاطر المتصلة بإدارة الموارد البشرية وأنشطة المشتريات. وبالإضافة إلى ذلك، تُعرض على فريق تنسيق الإدارة المخاطر الكبيرة.</w:t>
      </w:r>
    </w:p>
    <w:p w14:paraId="50000D25" w14:textId="77777777" w:rsidR="00705C31" w:rsidRPr="00C32070" w:rsidRDefault="00705C31" w:rsidP="00F72B70">
      <w:pPr>
        <w:pStyle w:val="Headingb"/>
      </w:pPr>
      <w:r w:rsidRPr="00C32070">
        <w:rPr>
          <w:rtl/>
        </w:rPr>
        <w:t>3</w:t>
      </w:r>
      <w:r w:rsidRPr="00C32070">
        <w:rPr>
          <w:rtl/>
        </w:rPr>
        <w:tab/>
        <w:t>أنشطة المراقبة</w:t>
      </w:r>
    </w:p>
    <w:p w14:paraId="54A3C7BC" w14:textId="0C47F816" w:rsidR="00681E81" w:rsidRPr="00C32070" w:rsidRDefault="005605CE" w:rsidP="00120A9B">
      <w:pPr>
        <w:pStyle w:val="enumlev1"/>
        <w:rPr>
          <w:rtl/>
        </w:rPr>
      </w:pPr>
      <w:r>
        <w:rPr>
          <w:rFonts w:hint="cs"/>
          <w:rtl/>
          <w:lang w:val="en-GB"/>
        </w:rPr>
        <w:t>-</w:t>
      </w:r>
      <w:r w:rsidR="00705C31" w:rsidRPr="00C32070">
        <w:rPr>
          <w:lang w:val="en-GB"/>
        </w:rPr>
        <w:tab/>
      </w:r>
      <w:r w:rsidR="00705C31" w:rsidRPr="00C32070">
        <w:rPr>
          <w:i/>
          <w:iCs/>
          <w:rtl/>
        </w:rPr>
        <w:t>تحسين التقارير المالية</w:t>
      </w:r>
      <w:r w:rsidR="00705C31" w:rsidRPr="00C32070">
        <w:rPr>
          <w:rtl/>
        </w:rPr>
        <w:t>: تم التوقيع على البيانات المالية لعام 2022 في يناير 2024 واستمر العمل على عدة مجالات رئيسية لتحسين تقارير الاتحاد لعام 2023 وللسنوات المقبلة. وأدى هذا العمل إلى مراجعة سياسات المحاسبة، وتحسين نوعية التسويات، واستعراض ممارسات إقفال حسابات السنة المالية للاتحاد استعراضا</w:t>
      </w:r>
      <w:r w:rsidR="00120A9B" w:rsidRPr="00C32070">
        <w:rPr>
          <w:rtl/>
        </w:rPr>
        <w:t>ً</w:t>
      </w:r>
      <w:r w:rsidR="00705C31" w:rsidRPr="00C32070">
        <w:rPr>
          <w:rtl/>
        </w:rPr>
        <w:t xml:space="preserve"> شاملا</w:t>
      </w:r>
      <w:r w:rsidR="00120A9B" w:rsidRPr="00C32070">
        <w:rPr>
          <w:rtl/>
        </w:rPr>
        <w:t>ً</w:t>
      </w:r>
      <w:r w:rsidR="00705C31" w:rsidRPr="00C32070">
        <w:rPr>
          <w:rtl/>
        </w:rPr>
        <w:t>. وتم دعم الاتحاد بخبرات خارجية لضمان تمكننا من الوفاء بمتطلبات الإبلاغ وفقا</w:t>
      </w:r>
      <w:r w:rsidR="00120A9B" w:rsidRPr="00C32070">
        <w:rPr>
          <w:rtl/>
        </w:rPr>
        <w:t>ً</w:t>
      </w:r>
      <w:r w:rsidR="00705C31" w:rsidRPr="00C32070">
        <w:rPr>
          <w:rtl/>
        </w:rPr>
        <w:t xml:space="preserve"> للمعايير المحاسبية الدولية للقطاع العام</w:t>
      </w:r>
      <w:r>
        <w:rPr>
          <w:rFonts w:hint="cs"/>
          <w:rtl/>
        </w:rPr>
        <w:t> </w:t>
      </w:r>
      <w:r w:rsidR="00705C31" w:rsidRPr="00C32070">
        <w:rPr>
          <w:rtl/>
        </w:rPr>
        <w:t>(</w:t>
      </w:r>
      <w:r w:rsidR="00705C31" w:rsidRPr="00C32070">
        <w:t>IPSAS</w:t>
      </w:r>
      <w:r w:rsidR="00705C31" w:rsidRPr="00C32070">
        <w:rPr>
          <w:rtl/>
        </w:rPr>
        <w:t>) لعام 2023، كما عزز الاتحاد القوى العاملة من خلال إيجاد وظيفتين إضافيتين لدعم خدمات المحاسبة والإبلاغ المالي على المدى الطويل. وسيُجرى مزيد من العمل بشأن عمليات الإبلاغ المالي خلال عام 2023 لضمان تحسن الاتحاد في هذا المجال الرئيسي. وتُعد التحسينات الجارية خطوات عملية تمكّن من تعزيز أنشطة الرقابة في</w:t>
      </w:r>
      <w:r w:rsidR="00120A9B" w:rsidRPr="00C32070">
        <w:rPr>
          <w:rtl/>
        </w:rPr>
        <w:t> </w:t>
      </w:r>
      <w:r w:rsidR="00705C31" w:rsidRPr="00C32070">
        <w:rPr>
          <w:rtl/>
        </w:rPr>
        <w:t>الاتحاد لضمان موثوقية التقارير المالية وسلامتها.</w:t>
      </w:r>
    </w:p>
    <w:p w14:paraId="371A10D5" w14:textId="47A911AB" w:rsidR="00705C31" w:rsidRPr="00C32070" w:rsidRDefault="005605CE" w:rsidP="00705C31">
      <w:pPr>
        <w:pStyle w:val="enumlev1"/>
        <w:rPr>
          <w:lang w:val="en-GB"/>
        </w:rPr>
      </w:pPr>
      <w:r w:rsidRPr="00F70A94">
        <w:rPr>
          <w:rFonts w:hint="cs"/>
          <w:i/>
          <w:iCs/>
          <w:rtl/>
        </w:rPr>
        <w:t>-</w:t>
      </w:r>
      <w:r w:rsidR="00705C31" w:rsidRPr="00F70A94">
        <w:rPr>
          <w:i/>
          <w:iCs/>
          <w:rtl/>
        </w:rPr>
        <w:tab/>
        <w:t>إلغاء الإكراميات</w:t>
      </w:r>
      <w:r w:rsidR="00705C31" w:rsidRPr="00F70A94">
        <w:rPr>
          <w:rtl/>
        </w:rPr>
        <w:t xml:space="preserve">: إن قرار إلغاء هذه المدفوعات واقتراح إلغاء المادة 4.10 يدل على الالتزام بالمعايير الأخلاقية والنزاهة. وبالفعل، وافق المجلس في عام 2023 على التعديل المقترح الذي </w:t>
      </w:r>
      <w:r w:rsidR="00705C31" w:rsidRPr="00F70A94">
        <w:rPr>
          <w:rtl/>
          <w:lang w:bidi="ar-SA"/>
        </w:rPr>
        <w:t xml:space="preserve">حال دون دفع </w:t>
      </w:r>
      <w:r w:rsidR="00705C31" w:rsidRPr="00F70A94">
        <w:rPr>
          <w:rtl/>
        </w:rPr>
        <w:t>الأمينة العامة المزيد من</w:t>
      </w:r>
      <w:r w:rsidR="00120A9B" w:rsidRPr="00F70A94">
        <w:t> </w:t>
      </w:r>
      <w:r w:rsidR="00705C31" w:rsidRPr="00F70A94">
        <w:rPr>
          <w:rtl/>
        </w:rPr>
        <w:t>هذه المدفوعات. ولم تعط أي إكراميات في عام 2023</w:t>
      </w:r>
      <w:r w:rsidR="00705C31" w:rsidRPr="00F70A94">
        <w:rPr>
          <w:lang w:val="en-GB"/>
        </w:rPr>
        <w:t>.</w:t>
      </w:r>
    </w:p>
    <w:p w14:paraId="7E048016" w14:textId="77777777" w:rsidR="00705C31" w:rsidRPr="00C32070" w:rsidRDefault="00705C31" w:rsidP="00F72B70">
      <w:pPr>
        <w:pStyle w:val="Headingb"/>
      </w:pPr>
      <w:r w:rsidRPr="00C32070">
        <w:rPr>
          <w:rtl/>
        </w:rPr>
        <w:t>4</w:t>
      </w:r>
      <w:r w:rsidRPr="00C32070">
        <w:rPr>
          <w:rtl/>
        </w:rPr>
        <w:tab/>
        <w:t>المعلومات والاتصالات</w:t>
      </w:r>
    </w:p>
    <w:p w14:paraId="0DB2BB7D" w14:textId="10A55B1A" w:rsidR="00705C31" w:rsidRPr="00C32070" w:rsidRDefault="00705C31" w:rsidP="00120A9B">
      <w:pPr>
        <w:pStyle w:val="enumlev1"/>
        <w:rPr>
          <w:rtl/>
          <w:lang w:val="ar-SA" w:eastAsia="zh-TW"/>
        </w:rPr>
      </w:pPr>
      <w:r w:rsidRPr="00C32070">
        <w:rPr>
          <w:lang w:val="en-GB"/>
        </w:rPr>
        <w:tab/>
      </w:r>
      <w:r w:rsidRPr="00C32070">
        <w:rPr>
          <w:i/>
          <w:iCs/>
          <w:rtl/>
        </w:rPr>
        <w:t>البريد الإلكتروني للبوابة الإلكترونية والشبكة الداخلية للاتحاد</w:t>
      </w:r>
      <w:r w:rsidRPr="00C32070">
        <w:rPr>
          <w:rtl/>
        </w:rPr>
        <w:t xml:space="preserve">: تقدَّم التحديثات المنتظمة من خلال هاتين المنصتين، وهي تغطي مجموعة متنوعة من المواضيع الضرورية لعمليات الرقابة الداخلية. ويشمل ذلك معلومات عن ترتيبات العمل عن </w:t>
      </w:r>
      <w:r w:rsidR="00933A80">
        <w:rPr>
          <w:rFonts w:hint="cs"/>
          <w:rtl/>
        </w:rPr>
        <w:t>بُ</w:t>
      </w:r>
      <w:r w:rsidRPr="00C32070">
        <w:rPr>
          <w:rtl/>
        </w:rPr>
        <w:t>عد، ورسائل تذكير بشأن متطلبات السفر التي تفرضها إدارة شؤون السلامة والأمن التابعة للأمم المتحدة، وتحديثات بشأن الأوامر الإدارية والإشعارات المتعلقة بإلغاء المذكرات القديمة.</w:t>
      </w:r>
    </w:p>
    <w:p w14:paraId="1CCF68AE" w14:textId="792D3634" w:rsidR="00705C31" w:rsidRPr="00C32070" w:rsidRDefault="00120A9B" w:rsidP="00120A9B">
      <w:pPr>
        <w:pStyle w:val="enumlev1"/>
        <w:rPr>
          <w:rtl/>
          <w:lang w:val="ar-SA" w:eastAsia="zh-TW"/>
        </w:rPr>
      </w:pPr>
      <w:r w:rsidRPr="00C32070">
        <w:rPr>
          <w:i/>
          <w:iCs/>
        </w:rPr>
        <w:tab/>
      </w:r>
      <w:r w:rsidR="00705C31" w:rsidRPr="00C32070">
        <w:rPr>
          <w:i/>
          <w:iCs/>
          <w:rtl/>
        </w:rPr>
        <w:t>الاجتماعات المفتوحة</w:t>
      </w:r>
      <w:r w:rsidR="00705C31" w:rsidRPr="00C32070">
        <w:rPr>
          <w:rtl/>
        </w:rPr>
        <w:t>: تعطى أيضا</w:t>
      </w:r>
      <w:r w:rsidRPr="00C32070">
        <w:rPr>
          <w:rtl/>
        </w:rPr>
        <w:t>ً</w:t>
      </w:r>
      <w:r w:rsidR="00705C31" w:rsidRPr="00C32070">
        <w:rPr>
          <w:rtl/>
        </w:rPr>
        <w:t xml:space="preserve"> معلومات متعلقة بالرقابة إلى الموظفين خلال الاجتماعات العادية المفتوحة، مما يضمن التوعية والامتثال على نطاق واسع في المنظمة.</w:t>
      </w:r>
    </w:p>
    <w:p w14:paraId="5BEF8C83" w14:textId="752F4E8B" w:rsidR="00705C31" w:rsidRPr="00C32070" w:rsidRDefault="00120A9B" w:rsidP="00120A9B">
      <w:pPr>
        <w:pStyle w:val="enumlev1"/>
        <w:rPr>
          <w:rtl/>
          <w:lang w:val="ar-SA" w:eastAsia="zh-TW"/>
        </w:rPr>
      </w:pPr>
      <w:r w:rsidRPr="00C32070">
        <w:tab/>
      </w:r>
      <w:r w:rsidR="00705C31" w:rsidRPr="00C32070">
        <w:rPr>
          <w:rtl/>
        </w:rPr>
        <w:t>وتضمن هذه الآليات إحاطة جميع الموظفين علما</w:t>
      </w:r>
      <w:r w:rsidR="0082748C" w:rsidRPr="00C32070">
        <w:rPr>
          <w:rtl/>
        </w:rPr>
        <w:t>ً</w:t>
      </w:r>
      <w:r w:rsidR="00705C31" w:rsidRPr="00C32070">
        <w:rPr>
          <w:rtl/>
        </w:rPr>
        <w:t xml:space="preserve"> بمتطلبات الرقابة الداخلية البالغة الأهمية لسلامة المنظمة والامتثال</w:t>
      </w:r>
      <w:r w:rsidR="0088073B">
        <w:rPr>
          <w:rFonts w:hint="cs"/>
          <w:rtl/>
        </w:rPr>
        <w:t> </w:t>
      </w:r>
      <w:r w:rsidR="00705C31" w:rsidRPr="00C32070">
        <w:rPr>
          <w:rtl/>
        </w:rPr>
        <w:t>التنظيمي.</w:t>
      </w:r>
    </w:p>
    <w:p w14:paraId="0FEE6B5D" w14:textId="7501121C" w:rsidR="00705C31" w:rsidRPr="00C32070" w:rsidRDefault="00120A9B" w:rsidP="00120A9B">
      <w:pPr>
        <w:pStyle w:val="enumlev1"/>
        <w:rPr>
          <w:rtl/>
          <w:lang w:val="ar-SA" w:eastAsia="zh-TW"/>
        </w:rPr>
      </w:pPr>
      <w:r w:rsidRPr="00C32070">
        <w:rPr>
          <w:i/>
          <w:iCs/>
        </w:rPr>
        <w:tab/>
      </w:r>
      <w:r w:rsidR="00705C31" w:rsidRPr="00C32070">
        <w:rPr>
          <w:i/>
          <w:iCs/>
          <w:rtl/>
        </w:rPr>
        <w:t>معلومات محدثة عن مشروع المبنى الجديد</w:t>
      </w:r>
      <w:r w:rsidR="00705C31" w:rsidRPr="00C32070">
        <w:rPr>
          <w:rtl/>
        </w:rPr>
        <w:t>: لا يزال مشروع المبنى الجديد قيد المناقشة مع أعضاء الاتحاد. ويُنتظر أن يتخذ الأعضاء قرارا</w:t>
      </w:r>
      <w:r w:rsidR="00FE0226" w:rsidRPr="00C32070">
        <w:rPr>
          <w:rtl/>
        </w:rPr>
        <w:t>ً</w:t>
      </w:r>
      <w:r w:rsidR="00705C31" w:rsidRPr="00C32070">
        <w:rPr>
          <w:rtl/>
        </w:rPr>
        <w:t xml:space="preserve"> نهائيا</w:t>
      </w:r>
      <w:r w:rsidR="00FE0226" w:rsidRPr="00C32070">
        <w:rPr>
          <w:rtl/>
        </w:rPr>
        <w:t>ً</w:t>
      </w:r>
      <w:r w:rsidR="00705C31" w:rsidRPr="00C32070">
        <w:rPr>
          <w:rtl/>
        </w:rPr>
        <w:t xml:space="preserve"> وأن يؤمَّن التمويل الكامل قبل تفكيك مبنى </w:t>
      </w:r>
      <w:proofErr w:type="spellStart"/>
      <w:r w:rsidR="00705C31" w:rsidRPr="00C32070">
        <w:rPr>
          <w:rtl/>
        </w:rPr>
        <w:t>فارامبيه</w:t>
      </w:r>
      <w:proofErr w:type="spellEnd"/>
      <w:r w:rsidR="00705C31" w:rsidRPr="00C32070">
        <w:rPr>
          <w:rtl/>
        </w:rPr>
        <w:t xml:space="preserve"> وتشييد المبنى الجديد لاحقا</w:t>
      </w:r>
      <w:r w:rsidR="00FE0226" w:rsidRPr="00C32070">
        <w:rPr>
          <w:rtl/>
        </w:rPr>
        <w:t>ً</w:t>
      </w:r>
      <w:r w:rsidR="00705C31" w:rsidRPr="00C32070">
        <w:rPr>
          <w:rtl/>
        </w:rPr>
        <w:t>. وعين الاتحاد مؤخرا</w:t>
      </w:r>
      <w:r w:rsidR="00FE0226" w:rsidRPr="00C32070">
        <w:rPr>
          <w:rtl/>
        </w:rPr>
        <w:t>ً</w:t>
      </w:r>
      <w:r w:rsidR="00705C31" w:rsidRPr="00C32070">
        <w:rPr>
          <w:rtl/>
        </w:rPr>
        <w:t xml:space="preserve"> رئيسا</w:t>
      </w:r>
      <w:r w:rsidR="00FE0226" w:rsidRPr="00C32070">
        <w:rPr>
          <w:rtl/>
        </w:rPr>
        <w:t>ً</w:t>
      </w:r>
      <w:r w:rsidR="00705C31" w:rsidRPr="00C32070">
        <w:rPr>
          <w:rtl/>
        </w:rPr>
        <w:t xml:space="preserve"> جديدا</w:t>
      </w:r>
      <w:r w:rsidR="00FE0226" w:rsidRPr="00C32070">
        <w:rPr>
          <w:rtl/>
        </w:rPr>
        <w:t>ً</w:t>
      </w:r>
      <w:r w:rsidR="00705C31" w:rsidRPr="00C32070">
        <w:rPr>
          <w:rtl/>
        </w:rPr>
        <w:t xml:space="preserve"> لشعبة إدارة المرافق ومشروع المبنى استهلّ عمله في 1 مايو 2024. ويشرف على</w:t>
      </w:r>
      <w:r w:rsidR="00FE0226" w:rsidRPr="00C32070">
        <w:rPr>
          <w:rtl/>
        </w:rPr>
        <w:t> </w:t>
      </w:r>
      <w:r w:rsidR="00705C31" w:rsidRPr="00C32070">
        <w:rPr>
          <w:rtl/>
        </w:rPr>
        <w:t>المشروع نائب الأمينة العامة. ويتضمن هيكل الإدارة الخاضع لإشرافه مجلس إدارة المبنى الجديد (المستوى التشغيلي) واللجنة التوجيهية (المستوى الاستراتيجي)، اللذين يشملان جميع الأجزاء ذات الصلة من أمانة الاتحاد بما فيها مجلس الموظفين، وكذلك الفريق الاستشاري للدول الأعضاء (</w:t>
      </w:r>
      <w:r w:rsidR="00705C31" w:rsidRPr="00C32070">
        <w:t>MSAG</w:t>
      </w:r>
      <w:r w:rsidR="00705C31" w:rsidRPr="00C32070">
        <w:rPr>
          <w:rtl/>
        </w:rPr>
        <w:t>). وقدمت الأمانة تحديثا</w:t>
      </w:r>
      <w:r w:rsidR="00FE0226" w:rsidRPr="00C32070">
        <w:rPr>
          <w:rtl/>
        </w:rPr>
        <w:t>ً</w:t>
      </w:r>
      <w:r w:rsidR="00705C31" w:rsidRPr="00C32070">
        <w:rPr>
          <w:rtl/>
        </w:rPr>
        <w:t xml:space="preserve"> في يناير 2024 إلى فريق العمل التابع للمجلس والمعني بالموارد المالية والبشرية (</w:t>
      </w:r>
      <w:r w:rsidR="00705C31" w:rsidRPr="00C32070">
        <w:t>CWG-FHR</w:t>
      </w:r>
      <w:r w:rsidR="00705C31" w:rsidRPr="00C32070">
        <w:rPr>
          <w:rtl/>
        </w:rPr>
        <w:t>) وستقدم المزيد من التحديثات في</w:t>
      </w:r>
      <w:r w:rsidR="00FE0226" w:rsidRPr="00C32070">
        <w:rPr>
          <w:rtl/>
        </w:rPr>
        <w:t> </w:t>
      </w:r>
      <w:r w:rsidR="00705C31" w:rsidRPr="00C32070">
        <w:rPr>
          <w:rtl/>
        </w:rPr>
        <w:t xml:space="preserve">اجتماع الفريق </w:t>
      </w:r>
      <w:r w:rsidR="00705C31" w:rsidRPr="00C32070">
        <w:t>CWG-FHR</w:t>
      </w:r>
      <w:r w:rsidR="00705C31" w:rsidRPr="00C32070">
        <w:rPr>
          <w:rtl/>
        </w:rPr>
        <w:t xml:space="preserve"> المزمع عقده في يونيو وكذلك في دورة المجلس لعام 2024.</w:t>
      </w:r>
    </w:p>
    <w:p w14:paraId="4899863B" w14:textId="74214588" w:rsidR="00705C31" w:rsidRPr="00C32070" w:rsidRDefault="00705C31" w:rsidP="00120A9B">
      <w:pPr>
        <w:pStyle w:val="enumlev1"/>
        <w:rPr>
          <w:lang w:val="en-GB"/>
        </w:rPr>
      </w:pPr>
      <w:r w:rsidRPr="00C32070">
        <w:rPr>
          <w:i/>
          <w:iCs/>
          <w:rtl/>
        </w:rPr>
        <w:tab/>
        <w:t>معلومات بشأن خارطة طريق التحول</w:t>
      </w:r>
      <w:r w:rsidRPr="00C32070">
        <w:rPr>
          <w:rtl/>
        </w:rPr>
        <w:t>: تضمن المعلومات المقدمة بشأن خارطة طريق التحول، بما في ذلك العرض المقرر تقديمه إلى المجلس، اتساق جميع أجزاء الاتحاد وإحاطتها علما</w:t>
      </w:r>
      <w:r w:rsidR="00FE0226" w:rsidRPr="00C32070">
        <w:rPr>
          <w:rtl/>
        </w:rPr>
        <w:t>ً</w:t>
      </w:r>
      <w:r w:rsidRPr="00C32070">
        <w:rPr>
          <w:rtl/>
        </w:rPr>
        <w:t xml:space="preserve"> بالتغييرات، وهذا مهم جدا</w:t>
      </w:r>
      <w:r w:rsidR="00FE0226" w:rsidRPr="00C32070">
        <w:rPr>
          <w:rtl/>
        </w:rPr>
        <w:t>ً</w:t>
      </w:r>
      <w:r w:rsidRPr="00C32070">
        <w:rPr>
          <w:rtl/>
        </w:rPr>
        <w:t xml:space="preserve"> لفعالية المعلومات والاتصالات وفقا</w:t>
      </w:r>
      <w:r w:rsidR="00FE0226" w:rsidRPr="00C32070">
        <w:rPr>
          <w:rtl/>
        </w:rPr>
        <w:t>ً</w:t>
      </w:r>
      <w:r w:rsidRPr="00C32070">
        <w:rPr>
          <w:rtl/>
        </w:rPr>
        <w:t xml:space="preserve"> للجنة المنظمات الراعية التابعة للجنة </w:t>
      </w:r>
      <w:proofErr w:type="spellStart"/>
      <w:r w:rsidRPr="00C32070">
        <w:rPr>
          <w:rtl/>
        </w:rPr>
        <w:t>تريدواي</w:t>
      </w:r>
      <w:proofErr w:type="spellEnd"/>
      <w:r w:rsidRPr="00C32070">
        <w:rPr>
          <w:rtl/>
        </w:rPr>
        <w:t xml:space="preserve"> (</w:t>
      </w:r>
      <w:r w:rsidRPr="00C32070">
        <w:t>COSO</w:t>
      </w:r>
      <w:r w:rsidRPr="00C32070">
        <w:rPr>
          <w:rtl/>
        </w:rPr>
        <w:t>)</w:t>
      </w:r>
      <w:r w:rsidRPr="00C32070">
        <w:rPr>
          <w:lang w:val="en-GB"/>
        </w:rPr>
        <w:t>.</w:t>
      </w:r>
    </w:p>
    <w:p w14:paraId="44BF6F28" w14:textId="77777777" w:rsidR="00705C31" w:rsidRPr="00C32070" w:rsidRDefault="00705C31" w:rsidP="00F72B70">
      <w:pPr>
        <w:pStyle w:val="Headingb"/>
      </w:pPr>
      <w:r w:rsidRPr="00C32070">
        <w:rPr>
          <w:rtl/>
        </w:rPr>
        <w:t>5</w:t>
      </w:r>
      <w:r w:rsidRPr="00C32070">
        <w:rPr>
          <w:rtl/>
        </w:rPr>
        <w:tab/>
        <w:t>أنشطة الرصد</w:t>
      </w:r>
    </w:p>
    <w:p w14:paraId="7F1836AE" w14:textId="00BECD29" w:rsidR="00705C31" w:rsidRPr="00C32070" w:rsidRDefault="00705C31" w:rsidP="00705C31">
      <w:pPr>
        <w:pStyle w:val="enumlev1"/>
        <w:rPr>
          <w:spacing w:val="-2"/>
          <w:lang w:val="en-GB"/>
        </w:rPr>
      </w:pPr>
      <w:r w:rsidRPr="00C32070">
        <w:rPr>
          <w:spacing w:val="-2"/>
          <w:rtl/>
          <w:lang w:val="en-GB"/>
        </w:rPr>
        <w:tab/>
      </w:r>
      <w:r w:rsidRPr="00C32070">
        <w:rPr>
          <w:i/>
          <w:iCs/>
          <w:spacing w:val="-2"/>
          <w:rtl/>
        </w:rPr>
        <w:t>تقييم ضوابط نظام تخطيط الموارد المؤسسية (</w:t>
      </w:r>
      <w:r w:rsidRPr="00C32070">
        <w:rPr>
          <w:i/>
          <w:iCs/>
          <w:spacing w:val="-2"/>
        </w:rPr>
        <w:t>ERP</w:t>
      </w:r>
      <w:r w:rsidRPr="00C32070">
        <w:rPr>
          <w:i/>
          <w:iCs/>
          <w:spacing w:val="-2"/>
          <w:rtl/>
        </w:rPr>
        <w:t>)</w:t>
      </w:r>
      <w:r w:rsidRPr="00C32070">
        <w:rPr>
          <w:spacing w:val="-2"/>
        </w:rPr>
        <w:t>:</w:t>
      </w:r>
      <w:r w:rsidRPr="00C32070">
        <w:rPr>
          <w:spacing w:val="-2"/>
          <w:rtl/>
        </w:rPr>
        <w:t xml:space="preserve"> في عام 2023، لجأ الاتحاد إلى خدمات خبير خارجي لإجراء استعراض شامل لنظام تخطيط الموارد المؤسسية (</w:t>
      </w:r>
      <w:r w:rsidRPr="00C32070">
        <w:rPr>
          <w:spacing w:val="-2"/>
        </w:rPr>
        <w:t>ERP</w:t>
      </w:r>
      <w:r w:rsidRPr="00C32070">
        <w:rPr>
          <w:spacing w:val="-2"/>
          <w:rtl/>
        </w:rPr>
        <w:t>)، مع التركيز على إمكانية فصل الواجبات المتضاربة وعلى مواطن الضعف وقضايا الامتثال، بما في ذلك ما يتعلق بالأنشطة الحرجة والعمليات الفرعية التي يمكن استغلالها في الأنشطة الاحتيالية. واعتبارا</w:t>
      </w:r>
      <w:r w:rsidR="00FE0226" w:rsidRPr="00C32070">
        <w:rPr>
          <w:spacing w:val="-2"/>
          <w:rtl/>
        </w:rPr>
        <w:t>ً</w:t>
      </w:r>
      <w:r w:rsidRPr="00C32070">
        <w:rPr>
          <w:spacing w:val="-2"/>
          <w:rtl/>
        </w:rPr>
        <w:t xml:space="preserve"> من عام 2024، ستجرى هذه الاستعراضات سنويا</w:t>
      </w:r>
      <w:r w:rsidR="00FE0226" w:rsidRPr="00C32070">
        <w:rPr>
          <w:spacing w:val="-2"/>
          <w:rtl/>
        </w:rPr>
        <w:t>ً</w:t>
      </w:r>
      <w:r w:rsidRPr="00C32070">
        <w:rPr>
          <w:spacing w:val="-2"/>
          <w:rtl/>
        </w:rPr>
        <w:t xml:space="preserve"> نظرا</w:t>
      </w:r>
      <w:r w:rsidR="00FE0226" w:rsidRPr="00C32070">
        <w:rPr>
          <w:spacing w:val="-2"/>
          <w:rtl/>
        </w:rPr>
        <w:t>ً</w:t>
      </w:r>
      <w:r w:rsidRPr="00C32070">
        <w:rPr>
          <w:spacing w:val="-2"/>
          <w:rtl/>
        </w:rPr>
        <w:t xml:space="preserve"> لتزايد مركزية نظام تخطيط الموارد </w:t>
      </w:r>
      <w:r w:rsidRPr="00C32070">
        <w:rPr>
          <w:spacing w:val="-2"/>
          <w:rtl/>
        </w:rPr>
        <w:lastRenderedPageBreak/>
        <w:t>المؤسسية في إجراءات العمل التي يتبعها الاتحاد. وبالإضافة إلى ذلك، ينظر الاتحاد في إصدار توصية في مجال الرقابة تدعو إلى الحصول على مكوّن الحوكمة وإدارة المخاطر والامتثال (</w:t>
      </w:r>
      <w:r w:rsidRPr="00C32070">
        <w:rPr>
          <w:spacing w:val="-2"/>
        </w:rPr>
        <w:t>GRC</w:t>
      </w:r>
      <w:r w:rsidRPr="00C32070">
        <w:rPr>
          <w:spacing w:val="-2"/>
          <w:rtl/>
        </w:rPr>
        <w:t>) وتنفيذه في نظام تخطيط الموارد المؤسسية لدينا</w:t>
      </w:r>
      <w:r w:rsidRPr="00C32070">
        <w:rPr>
          <w:spacing w:val="-2"/>
          <w:rtl/>
          <w:lang w:val="en-GB"/>
        </w:rPr>
        <w:t>.</w:t>
      </w:r>
    </w:p>
    <w:p w14:paraId="5EF6B9A7" w14:textId="77777777" w:rsidR="00705C31" w:rsidRPr="00C32070" w:rsidRDefault="00705C31" w:rsidP="00F72B70">
      <w:pPr>
        <w:pStyle w:val="Headingb"/>
        <w:rPr>
          <w:color w:val="4472C4"/>
          <w:lang w:val="en-GB" w:eastAsia="en-US"/>
        </w:rPr>
      </w:pPr>
      <w:r w:rsidRPr="00C32070">
        <w:rPr>
          <w:color w:val="4472C4"/>
          <w:rtl/>
          <w:lang w:val="en-GB" w:eastAsia="en-US"/>
        </w:rPr>
        <w:t>الخلاصة والالتزامات المستقبلية</w:t>
      </w:r>
    </w:p>
    <w:p w14:paraId="3A3D3308" w14:textId="77777777" w:rsidR="00705C31" w:rsidRPr="00C32070" w:rsidRDefault="00705C31" w:rsidP="003724DE">
      <w:pPr>
        <w:rPr>
          <w:rtl/>
          <w:lang w:val="ar-SA" w:eastAsia="zh-TW"/>
        </w:rPr>
      </w:pPr>
      <w:r w:rsidRPr="00C32070">
        <w:rPr>
          <w:rtl/>
        </w:rPr>
        <w:t>يوضح بيان الرقابة الداخلية للاتحاد للسنة المنتهية في 31 ديسمبر 2023 التزامنا بتعزيز نظام الضوابط الداخلية لضمان فعالية وكفاءة عمل المنظمة، إلى جانب الامتثال للوائح والسياسات ذات الصلة. وعلى مدار السنة، أحرز تقدم، لا سيما في إنشاء وحدة رقابية والتنفيذ الفعال للتوصيات المنبثقة عن المراجعة الداخلية والخارجية للحسابات. وأفضت التقييمات التي أجرتها وحدة الرقابة في عام 2023 إلى استنتاج مفاده أن نظام الرقابة الداخلية للاتحاد مناسب إلى حد ما، وعلى الرغم من ذلك فإنه لا يزال يتطلب تحسينات هادفة لتحسين الفعالية.</w:t>
      </w:r>
    </w:p>
    <w:p w14:paraId="680ED57F" w14:textId="77777777" w:rsidR="00681E81" w:rsidRPr="00C32070" w:rsidRDefault="00705C31" w:rsidP="003724DE">
      <w:pPr>
        <w:rPr>
          <w:rtl/>
        </w:rPr>
      </w:pPr>
      <w:r w:rsidRPr="00C32070">
        <w:rPr>
          <w:rFonts w:eastAsia="Calibri"/>
          <w:rtl/>
        </w:rPr>
        <w:t>و</w:t>
      </w:r>
      <w:r w:rsidRPr="00C32070">
        <w:rPr>
          <w:rtl/>
        </w:rPr>
        <w:t>قُطعت أشواط كبيرة، ولكن لا تزال هناك حاجة واضحة إلى إجراء تحسينات مستمرة في مجالات رئيسية من قبيل عمليات إدارة المخاطر، وسلامة التقارير المالية، وإدارة الموارد البشرية.</w:t>
      </w:r>
    </w:p>
    <w:p w14:paraId="770862DD" w14:textId="148CD2DD" w:rsidR="00705C31" w:rsidRPr="00C32070" w:rsidRDefault="00705C31" w:rsidP="003724DE">
      <w:pPr>
        <w:rPr>
          <w:lang w:val="en-GB" w:bidi="ar-SY"/>
        </w:rPr>
      </w:pPr>
      <w:r w:rsidRPr="00C32070">
        <w:rPr>
          <w:rFonts w:eastAsia="Calibri"/>
          <w:rtl/>
        </w:rPr>
        <w:t>و</w:t>
      </w:r>
      <w:r w:rsidRPr="00C32070">
        <w:rPr>
          <w:rtl/>
        </w:rPr>
        <w:t>إذ يمضي الاتحاد قدما</w:t>
      </w:r>
      <w:r w:rsidR="004F402F" w:rsidRPr="00C32070">
        <w:rPr>
          <w:rtl/>
        </w:rPr>
        <w:t>ً</w:t>
      </w:r>
      <w:r w:rsidRPr="00C32070">
        <w:rPr>
          <w:rtl/>
        </w:rPr>
        <w:t>، نكرس جهودنا لمعالجة قضايا الرقابة الداخلية هذه بصرامة. وإنني ملتزمة بزيادة الشفافية وتعزيز المساءلة وتقوية هياكلنا الإدارية. وبفضل اتباع أفضل الممارسات المعترف بها وتعزيز ثقافة متينة قائمة على النزاهة والامتثال، فإن الاتحاد مهيّأ لتحقيق أهدافه الاستراتيجية على نحو أكثر فعالية وكفاءة في السنوات المقبلة. وهذا العمل جار يقوم على التكرار، ويعبِّر عن التزامنا بتطوير ضوابطنا الداخلية بشكل مستمر لتلبية الاحتياجات الحالية ومواجهة التحديات المستقبلية.</w:t>
      </w:r>
    </w:p>
    <w:p w14:paraId="17C5A708" w14:textId="77777777" w:rsidR="00705C31" w:rsidRPr="00C32070" w:rsidRDefault="00705C31" w:rsidP="00705C31">
      <w:pPr>
        <w:spacing w:before="480"/>
        <w:jc w:val="left"/>
        <w:rPr>
          <w:lang w:bidi="ar-SY"/>
        </w:rPr>
      </w:pPr>
      <w:r w:rsidRPr="00C32070">
        <w:rPr>
          <w:rtl/>
          <w:lang w:bidi="ar-SY"/>
        </w:rPr>
        <w:t xml:space="preserve">دورين </w:t>
      </w:r>
      <w:proofErr w:type="spellStart"/>
      <w:r w:rsidRPr="00C32070">
        <w:rPr>
          <w:rtl/>
          <w:lang w:bidi="ar-SY"/>
        </w:rPr>
        <w:t>بوغدان</w:t>
      </w:r>
      <w:proofErr w:type="spellEnd"/>
      <w:r w:rsidRPr="00C32070">
        <w:rPr>
          <w:rtl/>
          <w:lang w:bidi="ar-SY"/>
        </w:rPr>
        <w:t>-مارتن</w:t>
      </w:r>
      <w:r w:rsidRPr="00C32070">
        <w:rPr>
          <w:rtl/>
          <w:lang w:bidi="ar-SY"/>
        </w:rPr>
        <w:br/>
        <w:t>الأمينة العامة</w:t>
      </w:r>
    </w:p>
    <w:p w14:paraId="14A5A35E" w14:textId="77777777" w:rsidR="00705C31" w:rsidRPr="00C32070" w:rsidRDefault="00705C31" w:rsidP="00705C31">
      <w:pPr>
        <w:spacing w:before="480"/>
        <w:rPr>
          <w:rtl/>
          <w:lang w:bidi="ar-EG"/>
        </w:rPr>
      </w:pPr>
      <w:r w:rsidRPr="00C32070">
        <w:rPr>
          <w:rtl/>
          <w:lang w:bidi="ar-EG"/>
        </w:rPr>
        <w:t>جنيف، 29 أبريل 2024</w:t>
      </w:r>
    </w:p>
    <w:p w14:paraId="31790F3D" w14:textId="77777777" w:rsidR="00705C31" w:rsidRPr="00C32070" w:rsidRDefault="00705C31" w:rsidP="00705C31">
      <w:pPr>
        <w:tabs>
          <w:tab w:val="clear" w:pos="794"/>
        </w:tabs>
        <w:spacing w:before="0" w:after="160" w:line="259" w:lineRule="auto"/>
        <w:jc w:val="left"/>
        <w:rPr>
          <w:rtl/>
          <w:lang w:val="en"/>
        </w:rPr>
      </w:pPr>
      <w:r w:rsidRPr="00C32070">
        <w:rPr>
          <w:rtl/>
          <w:lang w:val="en"/>
        </w:rPr>
        <w:br w:type="page"/>
      </w:r>
    </w:p>
    <w:p w14:paraId="0C4A5295" w14:textId="22CBB3FF" w:rsidR="00705C31" w:rsidRPr="00C32070" w:rsidRDefault="00705C31" w:rsidP="00705C31">
      <w:pPr>
        <w:pStyle w:val="Heading1"/>
        <w:rPr>
          <w:color w:val="4F81BD"/>
          <w:lang w:val="en"/>
        </w:rPr>
      </w:pPr>
      <w:bookmarkStart w:id="53" w:name="_Toc168329263"/>
      <w:bookmarkStart w:id="54" w:name="_Toc168329305"/>
      <w:bookmarkStart w:id="55" w:name="_Toc168657543"/>
      <w:r w:rsidRPr="00C32070">
        <w:rPr>
          <w:color w:val="4F81BD"/>
          <w:rtl/>
          <w:lang w:bidi="ar-EG"/>
        </w:rPr>
        <w:lastRenderedPageBreak/>
        <w:t>رأي مراجع الحسابات الخارجي</w:t>
      </w:r>
      <w:bookmarkEnd w:id="53"/>
      <w:bookmarkEnd w:id="54"/>
      <w:bookmarkEnd w:id="55"/>
    </w:p>
    <w:p w14:paraId="1A4ED32E" w14:textId="77777777" w:rsidR="00705C31" w:rsidRPr="00C32070" w:rsidRDefault="00705C31" w:rsidP="003D607B">
      <w:pPr>
        <w:tabs>
          <w:tab w:val="clear" w:pos="794"/>
        </w:tabs>
        <w:spacing w:before="0" w:after="160" w:line="259" w:lineRule="auto"/>
        <w:jc w:val="left"/>
        <w:rPr>
          <w:rtl/>
          <w:lang w:val="en"/>
        </w:rPr>
      </w:pPr>
      <w:r w:rsidRPr="00C32070">
        <w:rPr>
          <w:rtl/>
          <w:lang w:val="en"/>
        </w:rPr>
        <w:br w:type="page"/>
      </w:r>
    </w:p>
    <w:p w14:paraId="5D085643" w14:textId="7EFCECEA" w:rsidR="00705C31" w:rsidRPr="00C32070" w:rsidRDefault="00705C31" w:rsidP="00443FBB">
      <w:pPr>
        <w:pStyle w:val="Heading1"/>
        <w:spacing w:line="168" w:lineRule="auto"/>
        <w:jc w:val="center"/>
        <w:rPr>
          <w:color w:val="4F81BD"/>
          <w:lang w:val="en-GB"/>
        </w:rPr>
      </w:pPr>
      <w:bookmarkStart w:id="56" w:name="_Toc162520612"/>
      <w:bookmarkStart w:id="57" w:name="_Toc168329264"/>
      <w:bookmarkStart w:id="58" w:name="_Toc168329306"/>
      <w:bookmarkStart w:id="59" w:name="_Toc168657544"/>
      <w:r w:rsidRPr="00C32070">
        <w:rPr>
          <w:color w:val="4F81BD"/>
          <w:rtl/>
          <w:lang w:val="en-GB"/>
        </w:rPr>
        <w:lastRenderedPageBreak/>
        <w:t>البيانات المالية</w:t>
      </w:r>
      <w:bookmarkEnd w:id="56"/>
      <w:bookmarkEnd w:id="57"/>
      <w:bookmarkEnd w:id="58"/>
      <w:bookmarkEnd w:id="59"/>
    </w:p>
    <w:p w14:paraId="23E23E47" w14:textId="77777777" w:rsidR="00705C31" w:rsidRPr="00C32070" w:rsidRDefault="00705C31" w:rsidP="00DB3336">
      <w:pPr>
        <w:pStyle w:val="Heading5"/>
        <w:rPr>
          <w:rtl/>
        </w:rPr>
      </w:pPr>
      <w:bookmarkStart w:id="60" w:name="_Toc162520613"/>
      <w:bookmarkStart w:id="61" w:name="_Toc168329265"/>
      <w:bookmarkStart w:id="62" w:name="_Toc168329307"/>
      <w:bookmarkStart w:id="63" w:name="_Toc168425985"/>
      <w:bookmarkStart w:id="64" w:name="_Toc168657545"/>
      <w:r w:rsidRPr="00C32070">
        <w:rPr>
          <w:rtl/>
        </w:rPr>
        <w:t>البيان الأول</w:t>
      </w:r>
      <w:bookmarkStart w:id="65" w:name="_Hlk168258514"/>
      <w:r w:rsidRPr="00C32070">
        <w:rPr>
          <w:rtl/>
        </w:rPr>
        <w:t>: بيان الوضع المالي</w:t>
      </w:r>
      <w:bookmarkEnd w:id="60"/>
      <w:bookmarkEnd w:id="61"/>
      <w:bookmarkEnd w:id="62"/>
      <w:bookmarkEnd w:id="63"/>
      <w:bookmarkEnd w:id="65"/>
      <w:bookmarkEnd w:id="64"/>
    </w:p>
    <w:p w14:paraId="397BFFE3" w14:textId="77777777" w:rsidR="00705C31" w:rsidRPr="00C32070" w:rsidRDefault="00705C31" w:rsidP="00443FBB">
      <w:pPr>
        <w:spacing w:line="168" w:lineRule="auto"/>
        <w:rPr>
          <w:lang w:bidi="ar-SY"/>
        </w:rPr>
      </w:pPr>
      <w:r w:rsidRPr="00C32070">
        <w:rPr>
          <w:rtl/>
          <w:lang w:bidi="ar-SY"/>
        </w:rPr>
        <w:t xml:space="preserve">للسنة المنتهية في 31 ديسمبر </w:t>
      </w:r>
      <w:r w:rsidRPr="00C32070">
        <w:rPr>
          <w:lang w:bidi="ar-SY"/>
        </w:rPr>
        <w:t>2023</w:t>
      </w:r>
    </w:p>
    <w:p w14:paraId="651475FD" w14:textId="77777777" w:rsidR="00705C31" w:rsidRPr="00C32070" w:rsidRDefault="00705C31" w:rsidP="00443FBB">
      <w:pPr>
        <w:spacing w:line="168" w:lineRule="auto"/>
        <w:rPr>
          <w:rtl/>
          <w:lang w:bidi="ar-SY"/>
        </w:rPr>
      </w:pPr>
      <w:r w:rsidRPr="00C32070">
        <w:rPr>
          <w:rtl/>
          <w:lang w:bidi="ar-SY"/>
        </w:rPr>
        <w:t>(بآلاف الفرنكات السويسرية)</w:t>
      </w:r>
    </w:p>
    <w:p w14:paraId="151DEF3F" w14:textId="66D4F8F3" w:rsidR="00705C31" w:rsidRPr="00C32070" w:rsidRDefault="00CB2095" w:rsidP="00443FBB">
      <w:pPr>
        <w:pStyle w:val="Figure"/>
        <w:rPr>
          <w:rtl/>
          <w:lang w:val="en" w:bidi="ar-SY"/>
        </w:rPr>
      </w:pPr>
      <w:r w:rsidRPr="00CB2095">
        <w:rPr>
          <w:rtl/>
        </w:rPr>
        <w:drawing>
          <wp:inline distT="0" distB="0" distL="0" distR="0" wp14:anchorId="15A82E52" wp14:editId="5A00F280">
            <wp:extent cx="5862027" cy="7664047"/>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385"/>
                    <a:stretch/>
                  </pic:blipFill>
                  <pic:spPr bwMode="auto">
                    <a:xfrm>
                      <a:off x="0" y="0"/>
                      <a:ext cx="5863912" cy="7666512"/>
                    </a:xfrm>
                    <a:prstGeom prst="rect">
                      <a:avLst/>
                    </a:prstGeom>
                    <a:noFill/>
                    <a:ln>
                      <a:noFill/>
                    </a:ln>
                    <a:extLst>
                      <a:ext uri="{53640926-AAD7-44D8-BBD7-CCE9431645EC}">
                        <a14:shadowObscured xmlns:a14="http://schemas.microsoft.com/office/drawing/2010/main"/>
                      </a:ext>
                    </a:extLst>
                  </pic:spPr>
                </pic:pic>
              </a:graphicData>
            </a:graphic>
          </wp:inline>
        </w:drawing>
      </w:r>
      <w:r w:rsidR="00705C31" w:rsidRPr="00C32070">
        <w:rPr>
          <w:rtl/>
          <w:lang w:val="en" w:bidi="ar-SY"/>
        </w:rPr>
        <w:br w:type="page"/>
      </w:r>
    </w:p>
    <w:p w14:paraId="386FF929" w14:textId="77777777" w:rsidR="00705C31" w:rsidRPr="00C32070" w:rsidRDefault="00705C31" w:rsidP="00DB3336">
      <w:pPr>
        <w:pStyle w:val="Heading5"/>
      </w:pPr>
      <w:bookmarkStart w:id="66" w:name="_Toc162520614"/>
      <w:bookmarkStart w:id="67" w:name="_Toc168329266"/>
      <w:bookmarkStart w:id="68" w:name="_Toc168329308"/>
      <w:bookmarkStart w:id="69" w:name="_Toc168425986"/>
      <w:bookmarkStart w:id="70" w:name="_Toc168657546"/>
      <w:r w:rsidRPr="00C32070">
        <w:rPr>
          <w:rtl/>
        </w:rPr>
        <w:lastRenderedPageBreak/>
        <w:t xml:space="preserve">البيان الثاني: </w:t>
      </w:r>
      <w:bookmarkStart w:id="71" w:name="_Hlk161065966"/>
      <w:r w:rsidRPr="00C32070">
        <w:rPr>
          <w:rtl/>
        </w:rPr>
        <w:t>بيان الأداء المالي</w:t>
      </w:r>
      <w:bookmarkEnd w:id="66"/>
      <w:bookmarkEnd w:id="67"/>
      <w:bookmarkEnd w:id="68"/>
      <w:bookmarkEnd w:id="69"/>
      <w:bookmarkEnd w:id="71"/>
      <w:bookmarkEnd w:id="70"/>
    </w:p>
    <w:p w14:paraId="3AB6795B" w14:textId="77777777" w:rsidR="00705C31" w:rsidRPr="00C32070" w:rsidRDefault="00705C31" w:rsidP="00705C31">
      <w:pPr>
        <w:rPr>
          <w:rtl/>
          <w:lang w:bidi="ar-SY"/>
        </w:rPr>
      </w:pPr>
      <w:bookmarkStart w:id="72" w:name="_Hlk161065984"/>
      <w:r w:rsidRPr="00C32070">
        <w:rPr>
          <w:rtl/>
          <w:lang w:bidi="ar-SY"/>
        </w:rPr>
        <w:t xml:space="preserve">للسنة المنتهية في 31 ديسمبر </w:t>
      </w:r>
      <w:bookmarkEnd w:id="72"/>
      <w:r w:rsidRPr="00C32070">
        <w:rPr>
          <w:lang w:bidi="ar-SY"/>
        </w:rPr>
        <w:t>2023</w:t>
      </w:r>
    </w:p>
    <w:p w14:paraId="661E4C56" w14:textId="77777777" w:rsidR="0080372C" w:rsidRPr="00C32070" w:rsidRDefault="00705C31" w:rsidP="003724DE">
      <w:pPr>
        <w:spacing w:after="120"/>
        <w:rPr>
          <w:lang w:bidi="ar-SY"/>
        </w:rPr>
      </w:pPr>
      <w:r w:rsidRPr="00C32070">
        <w:rPr>
          <w:rtl/>
          <w:lang w:bidi="ar-SY"/>
        </w:rPr>
        <w:t xml:space="preserve">(بآلاف الفرنكات </w:t>
      </w:r>
      <w:r w:rsidRPr="00C32070">
        <w:rPr>
          <w:rtl/>
          <w:lang w:bidi="ar-EG"/>
        </w:rPr>
        <w:t>السويسرية</w:t>
      </w:r>
      <w:r w:rsidRPr="00C32070">
        <w:rPr>
          <w:rtl/>
          <w:lang w:bidi="ar-SY"/>
        </w:rPr>
        <w:t>)</w:t>
      </w:r>
    </w:p>
    <w:p w14:paraId="4D26897F" w14:textId="77777777" w:rsidR="00D10D95" w:rsidRDefault="00D10D95" w:rsidP="00D10D95">
      <w:pPr>
        <w:pStyle w:val="Figure"/>
        <w:rPr>
          <w:lang w:val="en" w:bidi="ar-SY"/>
        </w:rPr>
      </w:pPr>
      <w:r w:rsidRPr="00D10D95">
        <w:rPr>
          <w:rtl/>
        </w:rPr>
        <w:drawing>
          <wp:inline distT="0" distB="0" distL="0" distR="0" wp14:anchorId="04A47B2B" wp14:editId="52ABF68B">
            <wp:extent cx="5729605" cy="484695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9605" cy="4846955"/>
                    </a:xfrm>
                    <a:prstGeom prst="rect">
                      <a:avLst/>
                    </a:prstGeom>
                    <a:noFill/>
                    <a:ln>
                      <a:noFill/>
                    </a:ln>
                  </pic:spPr>
                </pic:pic>
              </a:graphicData>
            </a:graphic>
          </wp:inline>
        </w:drawing>
      </w:r>
    </w:p>
    <w:p w14:paraId="6DB64073" w14:textId="77777777" w:rsidR="00D10D95" w:rsidRDefault="00D10D95" w:rsidP="0080372C">
      <w:pPr>
        <w:rPr>
          <w:lang w:val="en" w:bidi="ar-SY"/>
        </w:rPr>
      </w:pPr>
    </w:p>
    <w:p w14:paraId="20B92516" w14:textId="5A75A134" w:rsidR="00705C31" w:rsidRPr="00C32070" w:rsidRDefault="00705C31" w:rsidP="0080372C">
      <w:pPr>
        <w:rPr>
          <w:rtl/>
          <w:lang w:val="en" w:bidi="ar-SY"/>
        </w:rPr>
      </w:pPr>
      <w:r w:rsidRPr="00C32070">
        <w:rPr>
          <w:rtl/>
          <w:lang w:val="en" w:bidi="ar-SY"/>
        </w:rPr>
        <w:br w:type="page"/>
      </w:r>
    </w:p>
    <w:p w14:paraId="79D070D7" w14:textId="77777777" w:rsidR="00705C31" w:rsidRPr="00C32070" w:rsidRDefault="00705C31" w:rsidP="00DB3336">
      <w:pPr>
        <w:pStyle w:val="Heading5"/>
        <w:rPr>
          <w:lang w:bidi="ar-SY"/>
        </w:rPr>
      </w:pPr>
      <w:bookmarkStart w:id="73" w:name="_Toc162520615"/>
      <w:bookmarkStart w:id="74" w:name="_Toc168329267"/>
      <w:bookmarkStart w:id="75" w:name="_Toc168329309"/>
      <w:bookmarkStart w:id="76" w:name="_Toc168425987"/>
      <w:bookmarkStart w:id="77" w:name="_Toc168657547"/>
      <w:r w:rsidRPr="00C32070">
        <w:rPr>
          <w:rtl/>
        </w:rPr>
        <w:lastRenderedPageBreak/>
        <w:t xml:space="preserve">البيان </w:t>
      </w:r>
      <w:r w:rsidRPr="00C32070">
        <w:rPr>
          <w:rtl/>
          <w:lang w:bidi="ar-EG"/>
        </w:rPr>
        <w:t>الثالث</w:t>
      </w:r>
      <w:r w:rsidRPr="00C32070">
        <w:rPr>
          <w:rtl/>
        </w:rPr>
        <w:t>: بيان الاختلافات في صافي الأصول</w:t>
      </w:r>
      <w:bookmarkEnd w:id="73"/>
      <w:bookmarkEnd w:id="74"/>
      <w:bookmarkEnd w:id="75"/>
      <w:bookmarkEnd w:id="76"/>
      <w:bookmarkEnd w:id="77"/>
    </w:p>
    <w:p w14:paraId="4C85DC9E" w14:textId="77777777" w:rsidR="00705C31" w:rsidRPr="00C32070" w:rsidRDefault="00705C31" w:rsidP="001C1A57">
      <w:pPr>
        <w:rPr>
          <w:lang w:bidi="ar-SY"/>
        </w:rPr>
      </w:pPr>
      <w:r w:rsidRPr="00C32070">
        <w:rPr>
          <w:rtl/>
        </w:rPr>
        <w:t xml:space="preserve">للسنة المنتهية في 31 ديسمبر </w:t>
      </w:r>
      <w:r w:rsidRPr="00C32070">
        <w:t>2023</w:t>
      </w:r>
    </w:p>
    <w:p w14:paraId="466D849F" w14:textId="77777777" w:rsidR="00705C31" w:rsidRPr="00C32070" w:rsidRDefault="00705C31" w:rsidP="003724DE">
      <w:pPr>
        <w:spacing w:after="120"/>
        <w:rPr>
          <w:lang w:bidi="ar-SY"/>
        </w:rPr>
      </w:pPr>
      <w:r w:rsidRPr="00C32070">
        <w:rPr>
          <w:rtl/>
        </w:rPr>
        <w:t xml:space="preserve">(بآلاف الفرنكات </w:t>
      </w:r>
      <w:r w:rsidRPr="00C32070">
        <w:rPr>
          <w:rtl/>
          <w:lang w:bidi="ar-EG"/>
        </w:rPr>
        <w:t>السويسرية</w:t>
      </w:r>
      <w:r w:rsidRPr="00C32070">
        <w:rPr>
          <w:rtl/>
        </w:rPr>
        <w:t>)</w:t>
      </w:r>
    </w:p>
    <w:p w14:paraId="78081F31" w14:textId="5E76A9D0" w:rsidR="00D10D95" w:rsidRDefault="00D10D95" w:rsidP="00D10D95">
      <w:pPr>
        <w:pStyle w:val="Figure"/>
        <w:rPr>
          <w:lang w:bidi="ar-EG"/>
        </w:rPr>
      </w:pPr>
      <w:r w:rsidRPr="00D10D95">
        <w:rPr>
          <w:rtl/>
        </w:rPr>
        <w:drawing>
          <wp:inline distT="0" distB="0" distL="0" distR="0" wp14:anchorId="35F07E86" wp14:editId="6F4C5570">
            <wp:extent cx="5729605" cy="321881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9605" cy="3218815"/>
                    </a:xfrm>
                    <a:prstGeom prst="rect">
                      <a:avLst/>
                    </a:prstGeom>
                    <a:noFill/>
                    <a:ln>
                      <a:noFill/>
                    </a:ln>
                  </pic:spPr>
                </pic:pic>
              </a:graphicData>
            </a:graphic>
          </wp:inline>
        </w:drawing>
      </w:r>
    </w:p>
    <w:p w14:paraId="42E9A079" w14:textId="7D81CFA6" w:rsidR="00705C31" w:rsidRPr="00C32070" w:rsidRDefault="00705C31" w:rsidP="00382BFC">
      <w:r w:rsidRPr="00C32070">
        <w:rPr>
          <w:rtl/>
          <w:lang w:bidi="ar-EG"/>
        </w:rPr>
        <w:t>لمزيد من المعلومات، يرجى الرجوع إلى الملاحظة 4</w:t>
      </w:r>
      <w:r w:rsidRPr="00C32070">
        <w:rPr>
          <w:lang w:bidi="ar-EG"/>
        </w:rPr>
        <w:t>.</w:t>
      </w:r>
    </w:p>
    <w:p w14:paraId="17BE0FF6" w14:textId="77777777" w:rsidR="00705C31" w:rsidRPr="00C32070" w:rsidRDefault="00705C31" w:rsidP="00705C31">
      <w:pPr>
        <w:tabs>
          <w:tab w:val="clear" w:pos="794"/>
        </w:tabs>
        <w:spacing w:before="0" w:after="160" w:line="259" w:lineRule="auto"/>
        <w:jc w:val="left"/>
        <w:rPr>
          <w:rtl/>
        </w:rPr>
      </w:pPr>
      <w:r w:rsidRPr="00C32070">
        <w:rPr>
          <w:rtl/>
        </w:rPr>
        <w:br w:type="page"/>
      </w:r>
    </w:p>
    <w:p w14:paraId="71770736" w14:textId="77777777" w:rsidR="00705C31" w:rsidRPr="00C32070" w:rsidRDefault="00705C31" w:rsidP="00DB3336">
      <w:pPr>
        <w:pStyle w:val="Heading5"/>
        <w:rPr>
          <w:lang w:bidi="ar-SY"/>
        </w:rPr>
      </w:pPr>
      <w:bookmarkStart w:id="78" w:name="_Toc162520616"/>
      <w:bookmarkStart w:id="79" w:name="_Toc168329268"/>
      <w:bookmarkStart w:id="80" w:name="_Toc168329310"/>
      <w:bookmarkStart w:id="81" w:name="_Toc168425988"/>
      <w:bookmarkStart w:id="82" w:name="_Toc168657548"/>
      <w:r w:rsidRPr="00C32070">
        <w:rPr>
          <w:rtl/>
        </w:rPr>
        <w:lastRenderedPageBreak/>
        <w:t>البيان الرابع: بيان التدفقات النقدية</w:t>
      </w:r>
      <w:bookmarkEnd w:id="78"/>
      <w:bookmarkEnd w:id="79"/>
      <w:bookmarkEnd w:id="80"/>
      <w:bookmarkEnd w:id="81"/>
      <w:bookmarkEnd w:id="82"/>
    </w:p>
    <w:p w14:paraId="7E5CA151" w14:textId="77777777" w:rsidR="00705C31" w:rsidRPr="00C32070" w:rsidRDefault="00705C31" w:rsidP="001C1A57">
      <w:pPr>
        <w:rPr>
          <w:lang w:bidi="ar-SY"/>
        </w:rPr>
      </w:pPr>
      <w:r w:rsidRPr="00C32070">
        <w:rPr>
          <w:rtl/>
        </w:rPr>
        <w:t>للسنة المنتهية في 31 ديسمبر 2023</w:t>
      </w:r>
    </w:p>
    <w:p w14:paraId="42A5A69F" w14:textId="77777777" w:rsidR="00705C31" w:rsidRPr="00C32070" w:rsidRDefault="00705C31" w:rsidP="003724DE">
      <w:pPr>
        <w:spacing w:after="120"/>
        <w:rPr>
          <w:lang w:bidi="ar-SY"/>
        </w:rPr>
      </w:pPr>
      <w:r w:rsidRPr="00C32070">
        <w:rPr>
          <w:rtl/>
        </w:rPr>
        <w:t xml:space="preserve">(بآلاف </w:t>
      </w:r>
      <w:r w:rsidRPr="00C32070">
        <w:rPr>
          <w:rtl/>
          <w:lang w:bidi="ar-EG"/>
        </w:rPr>
        <w:t>الفرنكات</w:t>
      </w:r>
      <w:r w:rsidRPr="00C32070">
        <w:rPr>
          <w:rtl/>
        </w:rPr>
        <w:t xml:space="preserve"> السويسرية)</w:t>
      </w:r>
    </w:p>
    <w:p w14:paraId="715D4B77" w14:textId="0FCDEDED" w:rsidR="00705C31" w:rsidRPr="00C32070" w:rsidRDefault="00D10D95" w:rsidP="00D10D95">
      <w:pPr>
        <w:pStyle w:val="Figure"/>
        <w:rPr>
          <w:rtl/>
        </w:rPr>
      </w:pPr>
      <w:r w:rsidRPr="00D10D95">
        <w:rPr>
          <w:rtl/>
        </w:rPr>
        <w:drawing>
          <wp:inline distT="0" distB="0" distL="0" distR="0" wp14:anchorId="560DEF71" wp14:editId="1179FC3A">
            <wp:extent cx="5729605" cy="757428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9605" cy="7574280"/>
                    </a:xfrm>
                    <a:prstGeom prst="rect">
                      <a:avLst/>
                    </a:prstGeom>
                    <a:noFill/>
                    <a:ln>
                      <a:noFill/>
                    </a:ln>
                  </pic:spPr>
                </pic:pic>
              </a:graphicData>
            </a:graphic>
          </wp:inline>
        </w:drawing>
      </w:r>
      <w:r w:rsidR="00705C31" w:rsidRPr="00C32070">
        <w:rPr>
          <w:rtl/>
        </w:rPr>
        <w:br w:type="page"/>
      </w:r>
    </w:p>
    <w:p w14:paraId="23251A34" w14:textId="77777777" w:rsidR="00705C31" w:rsidRPr="00C32070" w:rsidRDefault="00705C31" w:rsidP="00DB3336">
      <w:pPr>
        <w:pStyle w:val="Heading5"/>
      </w:pPr>
      <w:bookmarkStart w:id="83" w:name="_Toc162520617"/>
      <w:bookmarkStart w:id="84" w:name="_Toc168329269"/>
      <w:bookmarkStart w:id="85" w:name="_Toc168329311"/>
      <w:bookmarkStart w:id="86" w:name="_Toc168425989"/>
      <w:bookmarkStart w:id="87" w:name="_Toc168657549"/>
      <w:r w:rsidRPr="00C32070">
        <w:rPr>
          <w:rtl/>
        </w:rPr>
        <w:lastRenderedPageBreak/>
        <w:t>البيان الخامس: بيان المقارنة - الميزانية والمبالغ الفعلية</w:t>
      </w:r>
      <w:bookmarkEnd w:id="83"/>
      <w:bookmarkEnd w:id="84"/>
      <w:bookmarkEnd w:id="85"/>
      <w:bookmarkEnd w:id="86"/>
      <w:bookmarkEnd w:id="87"/>
    </w:p>
    <w:p w14:paraId="616B0E09" w14:textId="77777777" w:rsidR="00705C31" w:rsidRPr="00C32070" w:rsidRDefault="00705C31" w:rsidP="00705C31">
      <w:pPr>
        <w:rPr>
          <w:lang w:bidi="ar-SY"/>
        </w:rPr>
      </w:pPr>
      <w:r w:rsidRPr="00C32070">
        <w:rPr>
          <w:rtl/>
        </w:rPr>
        <w:t xml:space="preserve">للسنة المنتهية في 31 ديسمبر </w:t>
      </w:r>
      <w:r w:rsidRPr="00C32070">
        <w:t>2023</w:t>
      </w:r>
    </w:p>
    <w:p w14:paraId="6306649B" w14:textId="77777777" w:rsidR="00705C31" w:rsidRPr="00C32070" w:rsidRDefault="00705C31" w:rsidP="003724DE">
      <w:pPr>
        <w:spacing w:after="120"/>
        <w:rPr>
          <w:lang w:bidi="ar-SY"/>
        </w:rPr>
      </w:pPr>
      <w:r w:rsidRPr="00C32070">
        <w:rPr>
          <w:rtl/>
        </w:rPr>
        <w:t xml:space="preserve">(بآلاف الفرنكات </w:t>
      </w:r>
      <w:r w:rsidRPr="00C32070">
        <w:rPr>
          <w:rtl/>
          <w:lang w:bidi="ar-EG"/>
        </w:rPr>
        <w:t>السويسرية</w:t>
      </w:r>
      <w:r w:rsidRPr="00C32070">
        <w:rPr>
          <w:rtl/>
        </w:rPr>
        <w:t>)</w:t>
      </w:r>
    </w:p>
    <w:p w14:paraId="11BB3E93" w14:textId="263486E2" w:rsidR="00DC7167" w:rsidRDefault="00DC7167" w:rsidP="00DC7167">
      <w:pPr>
        <w:pStyle w:val="Figure"/>
        <w:rPr>
          <w:i/>
          <w:iCs/>
          <w:sz w:val="20"/>
          <w:szCs w:val="20"/>
          <w:rtl/>
          <w:lang w:bidi="ar-EG"/>
        </w:rPr>
      </w:pPr>
      <w:r w:rsidRPr="00DC7167">
        <w:rPr>
          <w:rtl/>
        </w:rPr>
        <w:drawing>
          <wp:inline distT="0" distB="0" distL="0" distR="0" wp14:anchorId="6AD887C8" wp14:editId="77BCEF48">
            <wp:extent cx="5729605" cy="56769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9605" cy="5676900"/>
                    </a:xfrm>
                    <a:prstGeom prst="rect">
                      <a:avLst/>
                    </a:prstGeom>
                    <a:noFill/>
                    <a:ln>
                      <a:noFill/>
                    </a:ln>
                  </pic:spPr>
                </pic:pic>
              </a:graphicData>
            </a:graphic>
          </wp:inline>
        </w:drawing>
      </w:r>
    </w:p>
    <w:p w14:paraId="6A9D1C00" w14:textId="75567B0B" w:rsidR="00705C31" w:rsidRPr="00D10D95" w:rsidRDefault="00705C31" w:rsidP="00705C31">
      <w:pPr>
        <w:rPr>
          <w:sz w:val="20"/>
          <w:szCs w:val="20"/>
          <w:rtl/>
          <w:lang w:bidi="ar-EG"/>
        </w:rPr>
      </w:pPr>
      <w:r w:rsidRPr="00D10D95">
        <w:rPr>
          <w:i/>
          <w:iCs/>
          <w:sz w:val="20"/>
          <w:szCs w:val="20"/>
          <w:rtl/>
          <w:lang w:bidi="ar-EG"/>
        </w:rPr>
        <w:t>إن الإيرادات المذكورة أعلاه المحققة من الفوائد والبالغة 2,9 مليون فرنك سويسري هي الإيرادات الصافية بعد شطب 0,5 مليون فرنك سويسري.</w:t>
      </w:r>
      <w:r w:rsidRPr="00D10D95">
        <w:rPr>
          <w:sz w:val="20"/>
          <w:szCs w:val="20"/>
          <w:rtl/>
        </w:rPr>
        <w:t xml:space="preserve"> </w:t>
      </w:r>
      <w:r w:rsidRPr="00D10D95">
        <w:rPr>
          <w:i/>
          <w:iCs/>
          <w:sz w:val="20"/>
          <w:szCs w:val="20"/>
          <w:rtl/>
          <w:lang w:bidi="ar-EG"/>
        </w:rPr>
        <w:t>ونتج هذا الشطب، الذي وافقت عليه الأمينة العامة في عام 2023، عن الخسائر المسجلة في المنح الخارجة عن الميزانية</w:t>
      </w:r>
      <w:r w:rsidR="003724DE" w:rsidRPr="00D10D95">
        <w:rPr>
          <w:i/>
          <w:iCs/>
          <w:sz w:val="20"/>
          <w:szCs w:val="20"/>
          <w:lang w:bidi="ar-EG"/>
        </w:rPr>
        <w:t xml:space="preserve"> </w:t>
      </w:r>
      <w:r w:rsidRPr="00D10D95">
        <w:rPr>
          <w:i/>
          <w:iCs/>
          <w:sz w:val="20"/>
          <w:szCs w:val="20"/>
          <w:rtl/>
          <w:lang w:bidi="ar-EG"/>
        </w:rPr>
        <w:t>المتكبَدة</w:t>
      </w:r>
      <w:r w:rsidR="003724DE" w:rsidRPr="00D10D95">
        <w:rPr>
          <w:i/>
          <w:iCs/>
          <w:sz w:val="20"/>
          <w:szCs w:val="20"/>
          <w:lang w:bidi="ar-EG"/>
        </w:rPr>
        <w:t xml:space="preserve"> </w:t>
      </w:r>
      <w:r w:rsidRPr="00D10D95">
        <w:rPr>
          <w:i/>
          <w:iCs/>
          <w:sz w:val="20"/>
          <w:szCs w:val="20"/>
          <w:rtl/>
          <w:lang w:bidi="ar-EG"/>
        </w:rPr>
        <w:t>بين عامي 2010 و2020.</w:t>
      </w:r>
    </w:p>
    <w:p w14:paraId="28482AEE" w14:textId="77777777" w:rsidR="00705C31" w:rsidRPr="00D10D95" w:rsidRDefault="00705C31" w:rsidP="00705C31">
      <w:pPr>
        <w:rPr>
          <w:sz w:val="20"/>
          <w:szCs w:val="20"/>
        </w:rPr>
      </w:pPr>
      <w:r w:rsidRPr="00D10D95">
        <w:rPr>
          <w:i/>
          <w:iCs/>
          <w:sz w:val="20"/>
          <w:szCs w:val="20"/>
          <w:rtl/>
          <w:lang w:bidi="ar-EG"/>
        </w:rPr>
        <w:t>ويرد في الملاحظة 24 مزيد من المعلومات عن فروق الأساس وفروق الكيانات.</w:t>
      </w:r>
    </w:p>
    <w:p w14:paraId="73A3BAC2" w14:textId="77777777" w:rsidR="00705C31" w:rsidRPr="00C32070" w:rsidRDefault="00705C31" w:rsidP="00713B09">
      <w:pPr>
        <w:tabs>
          <w:tab w:val="clear" w:pos="794"/>
        </w:tabs>
        <w:spacing w:before="0" w:after="160" w:line="259" w:lineRule="auto"/>
        <w:jc w:val="left"/>
        <w:rPr>
          <w:rtl/>
        </w:rPr>
      </w:pPr>
      <w:r w:rsidRPr="00C32070">
        <w:rPr>
          <w:rtl/>
        </w:rPr>
        <w:br w:type="page"/>
      </w:r>
    </w:p>
    <w:p w14:paraId="6B409D8F" w14:textId="77777777" w:rsidR="00705C31" w:rsidRPr="00C32070" w:rsidRDefault="00705C31" w:rsidP="00705C31">
      <w:pPr>
        <w:pStyle w:val="Heading1"/>
        <w:rPr>
          <w:rtl/>
        </w:rPr>
      </w:pPr>
      <w:bookmarkStart w:id="88" w:name="_Toc387338321"/>
      <w:bookmarkStart w:id="89" w:name="_Toc397499184"/>
      <w:bookmarkStart w:id="90" w:name="_Toc397499897"/>
      <w:bookmarkStart w:id="91" w:name="_Toc419483231"/>
      <w:bookmarkStart w:id="92" w:name="_Toc452156141"/>
      <w:bookmarkStart w:id="93" w:name="_Toc452156598"/>
      <w:bookmarkStart w:id="94" w:name="_Toc482793691"/>
      <w:bookmarkStart w:id="95" w:name="_Toc511402205"/>
      <w:bookmarkStart w:id="96" w:name="_Toc511756642"/>
      <w:bookmarkStart w:id="97" w:name="_Toc520365436"/>
      <w:bookmarkStart w:id="98" w:name="_Toc9598875"/>
      <w:bookmarkStart w:id="99" w:name="_Toc9598971"/>
      <w:bookmarkStart w:id="100" w:name="_Toc9614684"/>
      <w:bookmarkStart w:id="101" w:name="_Toc9614761"/>
      <w:bookmarkStart w:id="102" w:name="_Toc42012328"/>
      <w:bookmarkStart w:id="103" w:name="_Toc42013348"/>
      <w:bookmarkStart w:id="104" w:name="_Toc42013521"/>
      <w:bookmarkStart w:id="105" w:name="_Toc42014517"/>
      <w:bookmarkStart w:id="106" w:name="_Toc74061038"/>
      <w:bookmarkStart w:id="107" w:name="_Toc74061160"/>
      <w:bookmarkStart w:id="108" w:name="_Toc74061549"/>
      <w:bookmarkStart w:id="109" w:name="_Toc162520618"/>
      <w:bookmarkStart w:id="110" w:name="_Toc168329270"/>
      <w:bookmarkStart w:id="111" w:name="_Toc168329312"/>
      <w:bookmarkStart w:id="112" w:name="_Toc168657550"/>
      <w:bookmarkStart w:id="113" w:name="_Toc329296003"/>
      <w:bookmarkStart w:id="114" w:name="_Toc358648322"/>
      <w:bookmarkStart w:id="115" w:name="_Toc358648521"/>
      <w:bookmarkStart w:id="116" w:name="_Toc387263369"/>
      <w:r w:rsidRPr="00C32070">
        <w:rPr>
          <w:rtl/>
        </w:rPr>
        <w:lastRenderedPageBreak/>
        <w:t>ملاحظات بشأن البيانات المالية</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8E9652C" w14:textId="1B2B592C" w:rsidR="00705C31" w:rsidRPr="00C32070" w:rsidRDefault="00705C31" w:rsidP="00DB3336">
      <w:pPr>
        <w:pStyle w:val="Heading5"/>
        <w:rPr>
          <w:rtl/>
        </w:rPr>
      </w:pPr>
      <w:bookmarkStart w:id="117" w:name="_Toc387338322"/>
      <w:bookmarkStart w:id="118" w:name="_Toc419484047"/>
      <w:bookmarkStart w:id="119" w:name="_Toc452156599"/>
      <w:bookmarkStart w:id="120" w:name="_Toc482792201"/>
      <w:bookmarkStart w:id="121" w:name="_Toc482793692"/>
      <w:bookmarkStart w:id="122" w:name="_Toc511402206"/>
      <w:bookmarkStart w:id="123" w:name="_Toc511756643"/>
      <w:bookmarkStart w:id="124" w:name="_Toc9614762"/>
      <w:bookmarkStart w:id="125" w:name="_Toc42013522"/>
      <w:bookmarkStart w:id="126" w:name="_Toc42014518"/>
      <w:bookmarkStart w:id="127" w:name="_Toc74061550"/>
      <w:bookmarkStart w:id="128" w:name="_Toc162520619"/>
      <w:bookmarkStart w:id="129" w:name="_Toc168329271"/>
      <w:bookmarkStart w:id="130" w:name="_Toc168329313"/>
      <w:bookmarkStart w:id="131" w:name="_Toc168657551"/>
      <w:r w:rsidRPr="00C32070">
        <w:rPr>
          <w:rtl/>
        </w:rPr>
        <w:t xml:space="preserve">الملاحظة </w:t>
      </w:r>
      <w:r w:rsidRPr="00C32070">
        <w:t>1</w:t>
      </w:r>
      <w:r w:rsidRPr="00C32070">
        <w:rPr>
          <w:rtl/>
        </w:rPr>
        <w:tab/>
      </w:r>
      <w:bookmarkEnd w:id="113"/>
      <w:bookmarkEnd w:id="114"/>
      <w:bookmarkEnd w:id="115"/>
      <w:bookmarkEnd w:id="116"/>
      <w:bookmarkEnd w:id="117"/>
      <w:bookmarkEnd w:id="118"/>
      <w:bookmarkEnd w:id="119"/>
      <w:r w:rsidRPr="00C32070">
        <w:rPr>
          <w:rtl/>
        </w:rPr>
        <w:t>أهداف الاتحاد</w:t>
      </w:r>
      <w:bookmarkEnd w:id="120"/>
      <w:bookmarkEnd w:id="121"/>
      <w:bookmarkEnd w:id="122"/>
      <w:bookmarkEnd w:id="123"/>
      <w:bookmarkEnd w:id="124"/>
      <w:bookmarkEnd w:id="125"/>
      <w:bookmarkEnd w:id="126"/>
      <w:bookmarkEnd w:id="127"/>
      <w:bookmarkEnd w:id="128"/>
      <w:bookmarkEnd w:id="129"/>
      <w:bookmarkEnd w:id="130"/>
      <w:bookmarkEnd w:id="131"/>
    </w:p>
    <w:p w14:paraId="1CDB03F5" w14:textId="537879FA" w:rsidR="00705C31" w:rsidRPr="00C32070" w:rsidRDefault="00705C31" w:rsidP="00705C31">
      <w:pPr>
        <w:rPr>
          <w:spacing w:val="-2"/>
          <w:rtl/>
          <w:lang w:bidi="ar-EG"/>
        </w:rPr>
      </w:pPr>
      <w:r w:rsidRPr="00C32070">
        <w:rPr>
          <w:spacing w:val="-2"/>
          <w:rtl/>
          <w:lang w:bidi="ar-EG"/>
        </w:rPr>
        <w:t xml:space="preserve">الاتحاد الدولي للاتصالات </w:t>
      </w:r>
      <w:r w:rsidRPr="00C32070">
        <w:rPr>
          <w:spacing w:val="-2"/>
          <w:lang w:bidi="ar-EG"/>
        </w:rPr>
        <w:t>(ITU)</w:t>
      </w:r>
      <w:r w:rsidRPr="00C32070">
        <w:rPr>
          <w:spacing w:val="-2"/>
          <w:rtl/>
          <w:lang w:bidi="ar-EG"/>
        </w:rPr>
        <w:t xml:space="preserve"> هو وكالة متخصصة في </w:t>
      </w:r>
      <w:hyperlink r:id="rId27" w:history="1">
        <w:r w:rsidRPr="00C32070">
          <w:rPr>
            <w:color w:val="0000FF"/>
            <w:spacing w:val="-2"/>
            <w:u w:val="single"/>
            <w:rtl/>
            <w:lang w:bidi="ar-EG"/>
          </w:rPr>
          <w:t>منظومة الأمم المتحدة</w:t>
        </w:r>
      </w:hyperlink>
      <w:r w:rsidRPr="00C32070">
        <w:rPr>
          <w:spacing w:val="-2"/>
          <w:rtl/>
          <w:lang w:bidi="ar-EG"/>
        </w:rPr>
        <w:t xml:space="preserve"> بالنسبة لشؤون تكنولوجيا المعلومات والاتصالات </w:t>
      </w:r>
      <w:r w:rsidRPr="00C32070">
        <w:rPr>
          <w:spacing w:val="-2"/>
          <w:lang w:bidi="ar-EG"/>
        </w:rPr>
        <w:t>(ICT)</w:t>
      </w:r>
      <w:r w:rsidRPr="00C32070">
        <w:rPr>
          <w:spacing w:val="-2"/>
          <w:rtl/>
          <w:lang w:bidi="ar-EG"/>
        </w:rPr>
        <w:t>. ولما كان الاتحاد المحفل العالمي الذي تلتقي فيه الحكومات والقطاع الخاص، فإنه يتيح للعالم إمكانية التواصل من خلال الأمانة العامة وثلاثة قطاعات، ألا وهي</w:t>
      </w:r>
      <w:r w:rsidR="008762B8">
        <w:rPr>
          <w:rFonts w:hint="cs"/>
          <w:spacing w:val="-2"/>
          <w:rtl/>
          <w:lang w:bidi="ar-EG"/>
        </w:rPr>
        <w:t>:</w:t>
      </w:r>
      <w:r w:rsidRPr="00C32070">
        <w:rPr>
          <w:spacing w:val="-2"/>
          <w:rtl/>
          <w:lang w:bidi="ar-EG"/>
        </w:rPr>
        <w:t xml:space="preserve"> </w:t>
      </w:r>
      <w:r w:rsidRPr="008762B8">
        <w:rPr>
          <w:spacing w:val="-2"/>
          <w:rtl/>
          <w:lang w:bidi="ar-EG"/>
        </w:rPr>
        <w:t xml:space="preserve">قطاع </w:t>
      </w:r>
      <w:hyperlink r:id="rId28" w:history="1">
        <w:r w:rsidRPr="008762B8">
          <w:rPr>
            <w:rStyle w:val="Hyperlink"/>
            <w:spacing w:val="-2"/>
            <w:rtl/>
            <w:lang w:bidi="ar-EG"/>
          </w:rPr>
          <w:t xml:space="preserve">الاتصالات الراديوية </w:t>
        </w:r>
        <w:r w:rsidRPr="008762B8">
          <w:rPr>
            <w:rStyle w:val="Hyperlink"/>
            <w:spacing w:val="-2"/>
            <w:lang w:bidi="ar-EG"/>
          </w:rPr>
          <w:t>(ITU-R)</w:t>
        </w:r>
      </w:hyperlink>
      <w:r w:rsidRPr="00C32070">
        <w:rPr>
          <w:spacing w:val="-2"/>
          <w:rtl/>
          <w:lang w:bidi="ar-EG"/>
        </w:rPr>
        <w:t xml:space="preserve"> </w:t>
      </w:r>
      <w:r w:rsidRPr="00C32070">
        <w:rPr>
          <w:spacing w:val="-2"/>
          <w:rtl/>
        </w:rPr>
        <w:t>و</w:t>
      </w:r>
      <w:r w:rsidRPr="008762B8">
        <w:rPr>
          <w:spacing w:val="-2"/>
          <w:rtl/>
        </w:rPr>
        <w:t xml:space="preserve">قطاع </w:t>
      </w:r>
      <w:hyperlink r:id="rId29" w:history="1">
        <w:r w:rsidRPr="008762B8">
          <w:rPr>
            <w:rStyle w:val="Hyperlink"/>
            <w:spacing w:val="-2"/>
            <w:rtl/>
          </w:rPr>
          <w:t>تقييس الاتصالات </w:t>
        </w:r>
        <w:r w:rsidRPr="008762B8">
          <w:rPr>
            <w:rStyle w:val="Hyperlink"/>
            <w:spacing w:val="-2"/>
          </w:rPr>
          <w:t>(ITU-T)</w:t>
        </w:r>
      </w:hyperlink>
      <w:r w:rsidRPr="00C32070">
        <w:rPr>
          <w:spacing w:val="-2"/>
          <w:rtl/>
          <w:lang w:bidi="ar-EG"/>
        </w:rPr>
        <w:t xml:space="preserve"> </w:t>
      </w:r>
      <w:r w:rsidRPr="00C32070">
        <w:rPr>
          <w:spacing w:val="-2"/>
          <w:rtl/>
        </w:rPr>
        <w:t>و</w:t>
      </w:r>
      <w:r w:rsidRPr="008762B8">
        <w:rPr>
          <w:spacing w:val="-2"/>
          <w:rtl/>
        </w:rPr>
        <w:t xml:space="preserve">قطاع </w:t>
      </w:r>
      <w:hyperlink r:id="rId30" w:history="1">
        <w:r w:rsidRPr="008762B8">
          <w:rPr>
            <w:rStyle w:val="Hyperlink"/>
            <w:spacing w:val="-2"/>
            <w:rtl/>
          </w:rPr>
          <w:t>تنمية الاتصالات </w:t>
        </w:r>
        <w:r w:rsidRPr="008762B8">
          <w:rPr>
            <w:rStyle w:val="Hyperlink"/>
            <w:spacing w:val="-2"/>
          </w:rPr>
          <w:t>(ITU-D)</w:t>
        </w:r>
      </w:hyperlink>
      <w:r w:rsidRPr="00C32070">
        <w:rPr>
          <w:spacing w:val="-2"/>
          <w:rtl/>
        </w:rPr>
        <w:t>.</w:t>
      </w:r>
      <w:r w:rsidRPr="00C32070">
        <w:rPr>
          <w:spacing w:val="-2"/>
          <w:rtl/>
          <w:lang w:bidi="ar-EG"/>
        </w:rPr>
        <w:t xml:space="preserve"> ويعترف الاتحاد لكل دولة اعترافاً كاملاً بحقها السيادي في تنظيم اتصالاتها.</w:t>
      </w:r>
    </w:p>
    <w:p w14:paraId="19337F9C" w14:textId="5CDB8C8C" w:rsidR="00705C31" w:rsidRPr="00C32070" w:rsidRDefault="00705C31" w:rsidP="00705C31">
      <w:pPr>
        <w:rPr>
          <w:rtl/>
          <w:lang w:bidi="ar-EG"/>
        </w:rPr>
      </w:pPr>
      <w:r w:rsidRPr="00C32070">
        <w:rPr>
          <w:rtl/>
          <w:lang w:bidi="ar-EG"/>
        </w:rPr>
        <w:t xml:space="preserve">وكان الاتحاد، هو المسؤول الأول عن تنظيم </w:t>
      </w:r>
      <w:hyperlink r:id="rId31" w:history="1">
        <w:r w:rsidRPr="00C32070">
          <w:rPr>
            <w:color w:val="0000FF"/>
            <w:u w:val="single"/>
            <w:rtl/>
            <w:lang w:bidi="ar-EG"/>
          </w:rPr>
          <w:t>القمة العالمية لمجتمع المعلومات</w:t>
        </w:r>
      </w:hyperlink>
      <w:r w:rsidRPr="00C32070">
        <w:rPr>
          <w:rtl/>
          <w:lang w:bidi="ar-EG"/>
        </w:rPr>
        <w:t>.</w:t>
      </w:r>
    </w:p>
    <w:p w14:paraId="67B34096" w14:textId="77777777" w:rsidR="00705C31" w:rsidRPr="00C32070" w:rsidRDefault="00705C31" w:rsidP="00705C31">
      <w:pPr>
        <w:rPr>
          <w:rtl/>
          <w:lang w:bidi="ar-EG"/>
        </w:rPr>
      </w:pPr>
      <w:r w:rsidRPr="00C32070">
        <w:rPr>
          <w:rtl/>
          <w:lang w:bidi="ar-EG"/>
        </w:rPr>
        <w:t xml:space="preserve">وتضم المنظمة </w:t>
      </w:r>
      <w:r w:rsidRPr="00C32070">
        <w:rPr>
          <w:lang w:bidi="ar-EG"/>
        </w:rPr>
        <w:t>193</w:t>
      </w:r>
      <w:r w:rsidRPr="00C32070">
        <w:rPr>
          <w:rtl/>
          <w:lang w:bidi="ar-EG"/>
        </w:rPr>
        <w:t xml:space="preserve"> دولة عضواً وما ينوف عن </w:t>
      </w:r>
      <w:r w:rsidRPr="00C32070">
        <w:rPr>
          <w:lang w:bidi="ar-EG"/>
        </w:rPr>
        <w:t>1 000</w:t>
      </w:r>
      <w:r w:rsidRPr="00C32070">
        <w:rPr>
          <w:rtl/>
        </w:rPr>
        <w:t xml:space="preserve"> </w:t>
      </w:r>
      <w:r w:rsidRPr="00C32070">
        <w:rPr>
          <w:rtl/>
          <w:lang w:bidi="ar-EG"/>
        </w:rPr>
        <w:t xml:space="preserve">كيان من </w:t>
      </w:r>
      <w:proofErr w:type="gramStart"/>
      <w:r w:rsidRPr="00C32070">
        <w:rPr>
          <w:rtl/>
          <w:lang w:bidi="ar-EG"/>
        </w:rPr>
        <w:t>الشركات</w:t>
      </w:r>
      <w:proofErr w:type="gramEnd"/>
      <w:r w:rsidRPr="00C32070">
        <w:rPr>
          <w:rtl/>
          <w:lang w:bidi="ar-EG"/>
        </w:rPr>
        <w:t xml:space="preserve"> والجامعات والمنظمات الدولية والإقليمية. ويقع مقر المنظمة في جنيف، بسويسرا، ولديها مكاتب إقليمية في كل قارة، ومكتب اتصال لدى الأمم المتحدة في نيويورك ووحدة تنسيق في المقر لشؤون أوروبا. والاتحاد هو أقدم وكالة في أسرة الأمم المتحدة - ويربط العالم بعضه ببعض منذ ظهور الخدمات البرقية في عام 1865.</w:t>
      </w:r>
      <w:r w:rsidRPr="00C32070">
        <w:rPr>
          <w:rtl/>
        </w:rPr>
        <w:t xml:space="preserve"> </w:t>
      </w:r>
      <w:r w:rsidRPr="00C32070">
        <w:rPr>
          <w:rtl/>
          <w:lang w:bidi="ar-EG"/>
        </w:rPr>
        <w:t>ويتخذ مقره في ميدان الأمم، جنيف، سويسرا (</w:t>
      </w:r>
      <w:r w:rsidRPr="00C32070">
        <w:t>Place des Nations, 1211 Geneva 20, Switzerland</w:t>
      </w:r>
      <w:r w:rsidRPr="00C32070">
        <w:rPr>
          <w:rtl/>
        </w:rPr>
        <w:t>)</w:t>
      </w:r>
      <w:r w:rsidRPr="00C32070">
        <w:rPr>
          <w:rtl/>
          <w:lang w:bidi="ar-EG"/>
        </w:rPr>
        <w:t>.</w:t>
      </w:r>
    </w:p>
    <w:p w14:paraId="62C1AE2E" w14:textId="77777777" w:rsidR="00705C31" w:rsidRPr="00C32070" w:rsidRDefault="00705C31" w:rsidP="00705C31">
      <w:pPr>
        <w:rPr>
          <w:rtl/>
          <w:lang w:bidi="ar-EG"/>
        </w:rPr>
      </w:pPr>
      <w:r w:rsidRPr="00C32070">
        <w:rPr>
          <w:rtl/>
          <w:lang w:bidi="ar-EG"/>
        </w:rPr>
        <w:t>ويصبو الاتحاد إلى تحقيق الأهداف التالية:</w:t>
      </w:r>
    </w:p>
    <w:p w14:paraId="3B4405EF" w14:textId="77777777" w:rsidR="00705C31" w:rsidRPr="00C32070" w:rsidRDefault="00705C31" w:rsidP="00D824B9">
      <w:pPr>
        <w:pStyle w:val="enumlev1"/>
        <w:rPr>
          <w:rtl/>
        </w:rPr>
      </w:pPr>
      <w:bookmarkStart w:id="132" w:name="_Toc520365437"/>
      <w:r w:rsidRPr="00C32070">
        <w:rPr>
          <w:rtl/>
        </w:rPr>
        <w:t>-</w:t>
      </w:r>
      <w:r w:rsidRPr="00C32070">
        <w:rPr>
          <w:rtl/>
        </w:rPr>
        <w:tab/>
        <w:t>الحفاظ على التعاون الدولي بين جميع دوله الأعضاء وتوسيعه، لتحسين الاتصالات بجميع أنواعها وترشيد استعمالها؛</w:t>
      </w:r>
      <w:bookmarkEnd w:id="132"/>
    </w:p>
    <w:p w14:paraId="3BA478E4" w14:textId="77777777" w:rsidR="00705C31" w:rsidRPr="00C32070" w:rsidRDefault="00705C31" w:rsidP="00D824B9">
      <w:pPr>
        <w:pStyle w:val="enumlev1"/>
        <w:rPr>
          <w:rtl/>
        </w:rPr>
      </w:pPr>
      <w:bookmarkStart w:id="133" w:name="_Toc520365438"/>
      <w:r w:rsidRPr="00C32070">
        <w:rPr>
          <w:rtl/>
        </w:rPr>
        <w:t>-</w:t>
      </w:r>
      <w:r w:rsidRPr="00C32070">
        <w:rPr>
          <w:rtl/>
        </w:rPr>
        <w:tab/>
        <w:t>تشجيع تنمية الوسائل التقنية وتشغيلها أفضل تشغيل، بغية تحسين كفاءة خدمات الاتصالات وزيادة فائدتها، وإتاحتها للجمهور إلى أقصى حد ممكن؛</w:t>
      </w:r>
      <w:bookmarkEnd w:id="133"/>
    </w:p>
    <w:p w14:paraId="2FBE9F37" w14:textId="77777777" w:rsidR="00705C31" w:rsidRPr="00C32070" w:rsidRDefault="00705C31" w:rsidP="00D824B9">
      <w:pPr>
        <w:pStyle w:val="enumlev1"/>
        <w:rPr>
          <w:rtl/>
        </w:rPr>
      </w:pPr>
      <w:bookmarkStart w:id="134" w:name="_Toc520365439"/>
      <w:r w:rsidRPr="00C32070">
        <w:rPr>
          <w:rtl/>
        </w:rPr>
        <w:t>-</w:t>
      </w:r>
      <w:r w:rsidRPr="00C32070">
        <w:rPr>
          <w:rtl/>
        </w:rPr>
        <w:tab/>
        <w:t>السعي إلى إيصال مزايا التكنولوجيات الجديدة في الاتصالات إلى جميع سكان العالم؛</w:t>
      </w:r>
      <w:bookmarkEnd w:id="134"/>
    </w:p>
    <w:p w14:paraId="3EEED965" w14:textId="77777777" w:rsidR="00705C31" w:rsidRPr="00C32070" w:rsidRDefault="00705C31" w:rsidP="00D824B9">
      <w:pPr>
        <w:pStyle w:val="enumlev1"/>
        <w:rPr>
          <w:rtl/>
        </w:rPr>
      </w:pPr>
      <w:bookmarkStart w:id="135" w:name="_Toc520365440"/>
      <w:r w:rsidRPr="00C32070">
        <w:rPr>
          <w:rtl/>
        </w:rPr>
        <w:t>-</w:t>
      </w:r>
      <w:r w:rsidRPr="00C32070">
        <w:rPr>
          <w:rtl/>
        </w:rPr>
        <w:tab/>
        <w:t>الترويج لاستعمال خدمات الاتصالات في سبيل تسهيل العلاقات السلمية؛</w:t>
      </w:r>
      <w:bookmarkEnd w:id="135"/>
    </w:p>
    <w:p w14:paraId="6C16DE6A" w14:textId="77777777" w:rsidR="00705C31" w:rsidRPr="00C32070" w:rsidRDefault="00705C31" w:rsidP="00D824B9">
      <w:pPr>
        <w:pStyle w:val="enumlev1"/>
        <w:rPr>
          <w:rtl/>
        </w:rPr>
      </w:pPr>
      <w:bookmarkStart w:id="136" w:name="_Toc520365441"/>
      <w:r w:rsidRPr="00C32070">
        <w:rPr>
          <w:rtl/>
        </w:rPr>
        <w:t>-</w:t>
      </w:r>
      <w:r w:rsidRPr="00C32070">
        <w:rPr>
          <w:rtl/>
        </w:rPr>
        <w:tab/>
        <w:t>تنسيق جهود الدول الأعضاء وتشجيع كل ما هو مثمر وبنّاء من تعاون وشراكة بين الدول الأعضاء وأعضاء القطاعات لبلوغ هذه الغايات؛</w:t>
      </w:r>
      <w:bookmarkEnd w:id="136"/>
    </w:p>
    <w:p w14:paraId="445F89D6" w14:textId="77777777" w:rsidR="00705C31" w:rsidRPr="00C32070" w:rsidRDefault="00705C31" w:rsidP="00D824B9">
      <w:pPr>
        <w:pStyle w:val="enumlev1"/>
        <w:rPr>
          <w:rtl/>
        </w:rPr>
      </w:pPr>
      <w:bookmarkStart w:id="137" w:name="_Toc520365442"/>
      <w:r w:rsidRPr="00C32070">
        <w:rPr>
          <w:rtl/>
        </w:rPr>
        <w:t>-</w:t>
      </w:r>
      <w:r w:rsidRPr="00C32070">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bookmarkEnd w:id="137"/>
    </w:p>
    <w:p w14:paraId="20379E00" w14:textId="77777777" w:rsidR="00705C31" w:rsidRPr="00C32070" w:rsidRDefault="00705C31" w:rsidP="00705C31">
      <w:pPr>
        <w:rPr>
          <w:rtl/>
          <w:lang w:bidi="ar-EG"/>
        </w:rPr>
      </w:pPr>
      <w:r w:rsidRPr="00C32070">
        <w:rPr>
          <w:rtl/>
          <w:lang w:bidi="ar-EG"/>
        </w:rPr>
        <w:t>ولهذا الغرض، يضطلع الاتحاد بوجه خاص بما يلي:</w:t>
      </w:r>
    </w:p>
    <w:p w14:paraId="10B535E0" w14:textId="77777777" w:rsidR="00705C31" w:rsidRPr="00C32070" w:rsidRDefault="00705C31" w:rsidP="00705C31">
      <w:pPr>
        <w:pStyle w:val="enumlev1"/>
        <w:rPr>
          <w:rtl/>
        </w:rPr>
      </w:pPr>
      <w:bookmarkStart w:id="138" w:name="_Toc520365443"/>
      <w:r w:rsidRPr="00C32070">
        <w:rPr>
          <w:rtl/>
        </w:rPr>
        <w:t>-</w:t>
      </w:r>
      <w:r w:rsidRPr="00C32070">
        <w:rPr>
          <w:rtl/>
        </w:rPr>
        <w:tab/>
        <w:t xml:space="preserve">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w:t>
      </w:r>
      <w:proofErr w:type="spellStart"/>
      <w:r w:rsidRPr="00C32070">
        <w:rPr>
          <w:rtl/>
        </w:rPr>
        <w:t>السواتل</w:t>
      </w:r>
      <w:proofErr w:type="spellEnd"/>
      <w:r w:rsidRPr="00C32070">
        <w:rPr>
          <w:rtl/>
        </w:rPr>
        <w:t xml:space="preserve"> المستقرة بالنسبة إلى الأرض، إضافةً إلى الخصائص ذات الصلة والمتعلقة </w:t>
      </w:r>
      <w:proofErr w:type="spellStart"/>
      <w:r w:rsidRPr="00C32070">
        <w:rPr>
          <w:rtl/>
        </w:rPr>
        <w:t>بسواتل</w:t>
      </w:r>
      <w:proofErr w:type="spellEnd"/>
      <w:r w:rsidRPr="00C32070">
        <w:rPr>
          <w:rtl/>
        </w:rPr>
        <w:t xml:space="preserve"> في مدارات أخرى، لتجنب التداخلات الضارة بين محطات الاتصالات الراديوية لمختلف البلدان؛</w:t>
      </w:r>
      <w:bookmarkEnd w:id="138"/>
    </w:p>
    <w:p w14:paraId="12E09DFB" w14:textId="31A8A475" w:rsidR="00705C31" w:rsidRPr="00C32070" w:rsidRDefault="00705C31" w:rsidP="00705C31">
      <w:pPr>
        <w:pStyle w:val="enumlev1"/>
        <w:rPr>
          <w:rtl/>
        </w:rPr>
      </w:pPr>
      <w:bookmarkStart w:id="139" w:name="_Toc520365444"/>
      <w:r w:rsidRPr="00C32070">
        <w:rPr>
          <w:rtl/>
        </w:rPr>
        <w:t>-</w:t>
      </w:r>
      <w:r w:rsidRPr="00C32070">
        <w:rPr>
          <w:rtl/>
        </w:rPr>
        <w:tab/>
        <w:t xml:space="preserve">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w:t>
      </w:r>
      <w:proofErr w:type="spellStart"/>
      <w:r w:rsidRPr="00C32070">
        <w:rPr>
          <w:rtl/>
        </w:rPr>
        <w:t>السواتل</w:t>
      </w:r>
      <w:proofErr w:type="spellEnd"/>
      <w:r w:rsidRPr="00C32070">
        <w:rPr>
          <w:rtl/>
        </w:rPr>
        <w:t xml:space="preserve"> المستقرة بالنسبة إلى الأرض والمدارات </w:t>
      </w:r>
      <w:proofErr w:type="spellStart"/>
      <w:r w:rsidRPr="00C32070">
        <w:rPr>
          <w:rtl/>
        </w:rPr>
        <w:t>الساتلية</w:t>
      </w:r>
      <w:proofErr w:type="spellEnd"/>
      <w:r w:rsidRPr="00C32070">
        <w:rPr>
          <w:rtl/>
        </w:rPr>
        <w:t xml:space="preserve"> الأخرى؛</w:t>
      </w:r>
      <w:bookmarkEnd w:id="139"/>
    </w:p>
    <w:p w14:paraId="4E196439" w14:textId="441785CA" w:rsidR="00705C31" w:rsidRPr="00C32070" w:rsidRDefault="00705C31" w:rsidP="00705C31">
      <w:pPr>
        <w:pStyle w:val="enumlev1"/>
        <w:rPr>
          <w:rtl/>
        </w:rPr>
      </w:pPr>
      <w:bookmarkStart w:id="140" w:name="_Toc520365445"/>
      <w:r w:rsidRPr="00C32070">
        <w:rPr>
          <w:rtl/>
        </w:rPr>
        <w:t>-</w:t>
      </w:r>
      <w:r w:rsidRPr="00C32070">
        <w:rPr>
          <w:rtl/>
        </w:rPr>
        <w:tab/>
        <w:t>يسهل تقييس الاتصالات على الصعيد العالمي بجودة خدمة مُرضية؛</w:t>
      </w:r>
      <w:bookmarkEnd w:id="140"/>
    </w:p>
    <w:p w14:paraId="3F26C7D5" w14:textId="07D63DCF" w:rsidR="00705C31" w:rsidRPr="00C32070" w:rsidRDefault="00705C31" w:rsidP="00705C31">
      <w:pPr>
        <w:pStyle w:val="enumlev1"/>
        <w:rPr>
          <w:rtl/>
        </w:rPr>
      </w:pPr>
      <w:bookmarkStart w:id="141" w:name="_Toc520365446"/>
      <w:r w:rsidRPr="00C32070">
        <w:rPr>
          <w:rtl/>
        </w:rPr>
        <w:t>-</w:t>
      </w:r>
      <w:r w:rsidRPr="00C32070">
        <w:rPr>
          <w:rtl/>
        </w:rPr>
        <w:tab/>
        <w:t>يشجع التعاون والتضامن الدوليين بغية تقديم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برامج الأمم المتحدة ذات الصلة واستعمال موارده الخاصة حسب الاقتضاء؛</w:t>
      </w:r>
      <w:bookmarkEnd w:id="141"/>
    </w:p>
    <w:p w14:paraId="4DCD0A26" w14:textId="6AFDEA20" w:rsidR="00705C31" w:rsidRPr="00C32070" w:rsidRDefault="00705C31" w:rsidP="00705C31">
      <w:pPr>
        <w:pStyle w:val="enumlev1"/>
        <w:rPr>
          <w:rtl/>
        </w:rPr>
      </w:pPr>
      <w:bookmarkStart w:id="142" w:name="_Toc520365447"/>
      <w:r w:rsidRPr="00C32070">
        <w:rPr>
          <w:rtl/>
        </w:rPr>
        <w:t>-</w:t>
      </w:r>
      <w:r w:rsidRPr="00C32070">
        <w:rPr>
          <w:rtl/>
        </w:rPr>
        <w:tab/>
        <w:t>ينسق الجهود الرامية لمواءمة تطوير مرافق الاتصالات، لا سيما تلك التي تستعمل تقنيات فضائية، بغية الاستفادة الكاملة من إمكانياتها؛</w:t>
      </w:r>
      <w:bookmarkEnd w:id="142"/>
    </w:p>
    <w:p w14:paraId="4E0B307E" w14:textId="7F57A23C" w:rsidR="00705C31" w:rsidRPr="00C32070" w:rsidRDefault="00705C31" w:rsidP="00705C31">
      <w:pPr>
        <w:pStyle w:val="enumlev1"/>
        <w:rPr>
          <w:rtl/>
        </w:rPr>
      </w:pPr>
      <w:bookmarkStart w:id="143" w:name="_Toc520365448"/>
      <w:r w:rsidRPr="00C32070">
        <w:rPr>
          <w:rtl/>
        </w:rPr>
        <w:t>-</w:t>
      </w:r>
      <w:r w:rsidRPr="00C32070">
        <w:rPr>
          <w:rtl/>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bookmarkEnd w:id="143"/>
    </w:p>
    <w:p w14:paraId="1E501FB4" w14:textId="14089871" w:rsidR="00705C31" w:rsidRPr="00C32070" w:rsidRDefault="00705C31" w:rsidP="00705C31">
      <w:pPr>
        <w:pStyle w:val="enumlev1"/>
        <w:rPr>
          <w:rtl/>
        </w:rPr>
      </w:pPr>
      <w:bookmarkStart w:id="144" w:name="_Toc520365449"/>
      <w:r w:rsidRPr="00C32070">
        <w:rPr>
          <w:rtl/>
        </w:rPr>
        <w:t>-</w:t>
      </w:r>
      <w:r w:rsidRPr="00C32070">
        <w:rPr>
          <w:rtl/>
        </w:rPr>
        <w:tab/>
        <w:t>يعمل على اعتماد تدابير تُمكّن من تأمين سلامة الحياة البشرية بالتعاون بين خدمات الاتصالات؛</w:t>
      </w:r>
      <w:bookmarkEnd w:id="144"/>
    </w:p>
    <w:p w14:paraId="02DCEC46" w14:textId="7136BFD3" w:rsidR="00705C31" w:rsidRPr="00C32070" w:rsidRDefault="00705C31" w:rsidP="00705C31">
      <w:pPr>
        <w:pStyle w:val="enumlev1"/>
        <w:rPr>
          <w:rtl/>
        </w:rPr>
      </w:pPr>
      <w:bookmarkStart w:id="145" w:name="_Toc520365450"/>
      <w:r w:rsidRPr="00C32070">
        <w:rPr>
          <w:rtl/>
        </w:rPr>
        <w:lastRenderedPageBreak/>
        <w:t>-</w:t>
      </w:r>
      <w:r w:rsidRPr="00C32070">
        <w:rPr>
          <w:rtl/>
        </w:rPr>
        <w:tab/>
        <w:t>يقوم في مجال الاتصالات بإجراء الدراسات وإقرار اللوائح التنظيمية واعتماد القرارات وصياغة التوصيات والآراء وجمع المعلومات ونشرها؛</w:t>
      </w:r>
      <w:bookmarkEnd w:id="145"/>
    </w:p>
    <w:p w14:paraId="7060EF86" w14:textId="49CB860C" w:rsidR="00705C31" w:rsidRPr="00C32070" w:rsidRDefault="00705C31" w:rsidP="00705C31">
      <w:pPr>
        <w:pStyle w:val="enumlev1"/>
        <w:rPr>
          <w:rtl/>
        </w:rPr>
      </w:pPr>
      <w:bookmarkStart w:id="146" w:name="_Toc520365451"/>
      <w:r w:rsidRPr="00C32070">
        <w:rPr>
          <w:rtl/>
        </w:rPr>
        <w:t>-</w:t>
      </w:r>
      <w:r w:rsidRPr="00C32070">
        <w:rPr>
          <w:rtl/>
        </w:rPr>
        <w:tab/>
        <w:t xml:space="preserve">يقوم مع المنظمات المالية والإنمائية الدولية بتشجيع إنشاء خطوط ائتمان تفضيلية ومؤاتيه، تستخدم في تطوير مشاريع اجتماعية تهدف، </w:t>
      </w:r>
      <w:r w:rsidRPr="00C32070">
        <w:rPr>
          <w:i/>
          <w:iCs/>
          <w:rtl/>
        </w:rPr>
        <w:t>فيما تهدف</w:t>
      </w:r>
      <w:r w:rsidRPr="00C32070">
        <w:rPr>
          <w:rtl/>
        </w:rPr>
        <w:t>، إلى توسيع خدمات الاتصالات لتصل إلى أكثر المناطق عزلة في مختلف البلدان؛</w:t>
      </w:r>
      <w:bookmarkEnd w:id="146"/>
    </w:p>
    <w:p w14:paraId="51D1ED6E" w14:textId="672599CE" w:rsidR="00705C31" w:rsidRPr="00C32070" w:rsidRDefault="00705C31" w:rsidP="00705C31">
      <w:pPr>
        <w:pStyle w:val="enumlev1"/>
        <w:rPr>
          <w:rtl/>
        </w:rPr>
      </w:pPr>
      <w:bookmarkStart w:id="147" w:name="_Toc520365452"/>
      <w:r w:rsidRPr="00C32070">
        <w:rPr>
          <w:rtl/>
        </w:rPr>
        <w:t>-</w:t>
      </w:r>
      <w:r w:rsidRPr="00C32070">
        <w:rPr>
          <w:rtl/>
        </w:rPr>
        <w:tab/>
        <w:t>يشجع مشاركة الكيانات المعنية في أنشطة الاتحاد، والتعاون مع المنظمات الإقليمية وغيرها من المنظمات بغية بلوغ أهداف الاتحاد.</w:t>
      </w:r>
      <w:bookmarkEnd w:id="147"/>
    </w:p>
    <w:p w14:paraId="7D8E6834" w14:textId="77777777" w:rsidR="00705C31" w:rsidRPr="00C32070" w:rsidRDefault="00705C31" w:rsidP="00705C31">
      <w:pPr>
        <w:rPr>
          <w:rtl/>
        </w:rPr>
      </w:pPr>
      <w:r w:rsidRPr="00C32070">
        <w:rPr>
          <w:rtl/>
        </w:rPr>
        <w:t>ومؤتمر المندوبين المفوضين هو الهيئة العليا في الاتحاد. وهو إذ يُدعى إلى الانعقاد كل أربع سنوات، يقوم بما يلي:</w:t>
      </w:r>
    </w:p>
    <w:p w14:paraId="5B408B86" w14:textId="77777777" w:rsidR="00705C31" w:rsidRPr="00C32070" w:rsidRDefault="00705C31" w:rsidP="00705C31">
      <w:pPr>
        <w:pStyle w:val="enumlev1"/>
        <w:rPr>
          <w:rtl/>
        </w:rPr>
      </w:pPr>
      <w:bookmarkStart w:id="148" w:name="_Toc520365453"/>
      <w:r w:rsidRPr="00C32070">
        <w:sym w:font="Symbol" w:char="F0B7"/>
      </w:r>
      <w:r w:rsidRPr="00C32070">
        <w:rPr>
          <w:rtl/>
        </w:rPr>
        <w:tab/>
        <w:t>يضع السياسات العامة للاتحاد؛</w:t>
      </w:r>
      <w:bookmarkEnd w:id="148"/>
    </w:p>
    <w:p w14:paraId="56357E9A" w14:textId="77777777" w:rsidR="00705C31" w:rsidRPr="00C32070" w:rsidRDefault="00705C31" w:rsidP="00705C31">
      <w:pPr>
        <w:pStyle w:val="enumlev1"/>
        <w:rPr>
          <w:rtl/>
        </w:rPr>
      </w:pPr>
      <w:bookmarkStart w:id="149" w:name="_Toc520365454"/>
      <w:r w:rsidRPr="00C32070">
        <w:sym w:font="Symbol" w:char="F0B7"/>
      </w:r>
      <w:r w:rsidRPr="00C32070">
        <w:rPr>
          <w:rtl/>
        </w:rPr>
        <w:tab/>
        <w:t>يعتمد الخطتين الاستراتيجية والمالية لفترة أربع سنوات؛</w:t>
      </w:r>
      <w:bookmarkEnd w:id="149"/>
    </w:p>
    <w:p w14:paraId="5D46BB80" w14:textId="2EAABEEB" w:rsidR="00705C31" w:rsidRPr="00C32070" w:rsidRDefault="00DC7167" w:rsidP="00705C31">
      <w:pPr>
        <w:pStyle w:val="enumlev1"/>
        <w:rPr>
          <w:rtl/>
          <w:lang w:bidi="ar-EG"/>
        </w:rPr>
      </w:pPr>
      <w:r w:rsidRPr="00C32070">
        <w:sym w:font="Symbol" w:char="F0B7"/>
      </w:r>
      <w:r w:rsidR="00705C31" w:rsidRPr="00C32070">
        <w:rPr>
          <w:rtl/>
        </w:rPr>
        <w:tab/>
      </w:r>
      <w:r w:rsidR="00705C31" w:rsidRPr="00C32070">
        <w:rPr>
          <w:rtl/>
          <w:lang w:bidi="ar-EG"/>
        </w:rPr>
        <w:t>يفحص حسابات الاتحاد ويصدر الموافقة النهائية عليها، حسب الاقتضاء؛</w:t>
      </w:r>
    </w:p>
    <w:p w14:paraId="7D940A5E" w14:textId="676B194E" w:rsidR="00705C31" w:rsidRPr="00C32070" w:rsidRDefault="00DC7167" w:rsidP="00705C31">
      <w:pPr>
        <w:pStyle w:val="enumlev1"/>
        <w:rPr>
          <w:rtl/>
        </w:rPr>
      </w:pPr>
      <w:r w:rsidRPr="00C32070">
        <w:sym w:font="Symbol" w:char="F0B7"/>
      </w:r>
      <w:r w:rsidR="00705C31" w:rsidRPr="00C32070">
        <w:rPr>
          <w:rtl/>
        </w:rPr>
        <w:tab/>
      </w:r>
      <w:r w:rsidR="00705C31" w:rsidRPr="00C32070">
        <w:rPr>
          <w:rtl/>
          <w:lang w:bidi="ar-EG"/>
        </w:rPr>
        <w:t>ينتخب الدول الأعضاء التي تشكل عضوية المجلس؛</w:t>
      </w:r>
    </w:p>
    <w:p w14:paraId="335EB56E" w14:textId="12B6C0AC" w:rsidR="00705C31" w:rsidRPr="00C32070" w:rsidRDefault="00DC7167" w:rsidP="00705C31">
      <w:pPr>
        <w:pStyle w:val="enumlev1"/>
        <w:rPr>
          <w:rtl/>
        </w:rPr>
      </w:pPr>
      <w:r w:rsidRPr="00C32070">
        <w:sym w:font="Symbol" w:char="F0B7"/>
      </w:r>
      <w:r w:rsidR="00705C31" w:rsidRPr="00C32070">
        <w:rPr>
          <w:rtl/>
        </w:rPr>
        <w:tab/>
        <w:t>ينتخب الأمين العام، ونائب الأمين العام، ومديري مكاتب القطاعات بصفتهم مسؤولي الاتحاد المنتخبين؛</w:t>
      </w:r>
    </w:p>
    <w:p w14:paraId="53630B69" w14:textId="77777777" w:rsidR="00705C31" w:rsidRPr="00C32070" w:rsidRDefault="00705C31" w:rsidP="00705C31">
      <w:pPr>
        <w:rPr>
          <w:rtl/>
        </w:rPr>
      </w:pPr>
      <w:bookmarkStart w:id="150" w:name="_Toc520365455"/>
      <w:r w:rsidRPr="00C32070">
        <w:sym w:font="Symbol" w:char="F0B7"/>
      </w:r>
      <w:r w:rsidRPr="00C32070">
        <w:rPr>
          <w:rtl/>
        </w:rPr>
        <w:tab/>
        <w:t xml:space="preserve">ينتخب أعضاء </w:t>
      </w:r>
      <w:hyperlink r:id="rId32" w:history="1">
        <w:r w:rsidRPr="00C32070">
          <w:rPr>
            <w:rStyle w:val="Hyperlink"/>
            <w:rtl/>
          </w:rPr>
          <w:t>لجنة لوائح الراديو</w:t>
        </w:r>
      </w:hyperlink>
      <w:r w:rsidRPr="00C32070">
        <w:rPr>
          <w:rtl/>
        </w:rPr>
        <w:t>.</w:t>
      </w:r>
      <w:bookmarkEnd w:id="150"/>
    </w:p>
    <w:p w14:paraId="19B99BCE" w14:textId="77777777" w:rsidR="00705C31" w:rsidRPr="00C32070" w:rsidRDefault="00705C31" w:rsidP="003724DE">
      <w:pPr>
        <w:rPr>
          <w:rtl/>
          <w:lang w:bidi="ar-EG"/>
        </w:rPr>
      </w:pPr>
      <w:r w:rsidRPr="00C32070">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14:paraId="009AED74" w14:textId="51BD6AFC" w:rsidR="00705C31" w:rsidRPr="00C32070" w:rsidRDefault="00705C31" w:rsidP="003724DE">
      <w:pPr>
        <w:rPr>
          <w:lang w:bidi="ar-EG"/>
        </w:rPr>
      </w:pPr>
      <w:r w:rsidRPr="00C32070">
        <w:rPr>
          <w:rtl/>
          <w:lang w:bidi="ar-EG"/>
        </w:rPr>
        <w:t>ووفقا</w:t>
      </w:r>
      <w:r w:rsidR="005F4C41" w:rsidRPr="00C32070">
        <w:rPr>
          <w:rtl/>
          <w:lang w:bidi="ar-EG"/>
        </w:rPr>
        <w:t>ً</w:t>
      </w:r>
      <w:r w:rsidRPr="00C32070">
        <w:rPr>
          <w:rtl/>
          <w:lang w:bidi="ar-EG"/>
        </w:rPr>
        <w:t xml:space="preserve"> للمادة 10 من الدستور، يتألف المجلس من الدول الأعضاء التي ينتخبها مؤتمر المندوبين المفوضين طبقاً لأحكام الرقم</w:t>
      </w:r>
      <w:r w:rsidR="00DC7167">
        <w:rPr>
          <w:rFonts w:hint="cs"/>
          <w:rtl/>
          <w:lang w:bidi="ar-EG"/>
        </w:rPr>
        <w:t> </w:t>
      </w:r>
      <w:r w:rsidRPr="00C32070">
        <w:rPr>
          <w:rtl/>
          <w:lang w:bidi="ar-EG"/>
        </w:rPr>
        <w:t>61 من هذا الدستور. و</w:t>
      </w:r>
      <w:r w:rsidRPr="00C32070">
        <w:rPr>
          <w:rtl/>
        </w:rPr>
        <w:t>في الفترة الواقعة بين مؤتمرين للمندوبين المفوضين، يتصرف المجلس، بصفته الهيئة الإدارية للاتحاد، باسم مؤتمر المندوبين المفوضين، في حدود السلطات التي يفوضها له المؤتمر المذكور:</w:t>
      </w:r>
    </w:p>
    <w:p w14:paraId="529436C8" w14:textId="38817FE8" w:rsidR="00705C31" w:rsidRPr="00C32070" w:rsidRDefault="00DC7167" w:rsidP="00705C31">
      <w:pPr>
        <w:pStyle w:val="enumlev1"/>
        <w:rPr>
          <w:rtl/>
        </w:rPr>
      </w:pPr>
      <w:r>
        <w:rPr>
          <w:rFonts w:hint="cs"/>
          <w:rtl/>
          <w:lang w:bidi="ar-EG"/>
        </w:rPr>
        <w:t>أولاً</w:t>
      </w:r>
      <w:r w:rsidR="00705C31" w:rsidRPr="00C32070">
        <w:rPr>
          <w:rtl/>
          <w:lang w:bidi="ar-EG"/>
        </w:rPr>
        <w:tab/>
      </w:r>
      <w:r w:rsidR="00705C31" w:rsidRPr="00C32070">
        <w:rPr>
          <w:rtl/>
        </w:rPr>
        <w:t>يتخذ المجلس جميع التدابير اللازمة كي يسهل على الدول الأعضاء تنفيذ أحكام هذا الدستور والاتفاقية واللوائح الإدارية ومقررات مؤتمر المندوبين المفوضين، وعند الاقتضاء، مقررات مؤتمرات الاتحاد واجتماعاته الأخرى، كما يضطلع بجميع المهام الأخرى التي يسندها إليه مؤتمر المندوبين المفوضين؛</w:t>
      </w:r>
    </w:p>
    <w:p w14:paraId="1B0686FA" w14:textId="725479E2" w:rsidR="00705C31" w:rsidRPr="00C32070" w:rsidRDefault="00DC7167" w:rsidP="00705C31">
      <w:pPr>
        <w:pStyle w:val="enumlev1"/>
      </w:pPr>
      <w:r>
        <w:rPr>
          <w:rFonts w:hint="cs"/>
          <w:rtl/>
          <w:lang w:bidi="ar-EG"/>
        </w:rPr>
        <w:t>ثانياً</w:t>
      </w:r>
      <w:r w:rsidR="00705C31" w:rsidRPr="00C32070">
        <w:rPr>
          <w:rtl/>
          <w:lang w:bidi="ar-EG"/>
        </w:rPr>
        <w:tab/>
      </w:r>
      <w:r w:rsidR="00705C31" w:rsidRPr="00C32070">
        <w:rPr>
          <w:rtl/>
        </w:rPr>
        <w:t xml:space="preserve">يدرس المجلس المسائل الكبرى المتعلقة بسياسات الاتصالات طبقاً للتوجيهات العامة التي يعطيها مؤتمر المندوبين المفوضين حتى تستجيب سياسات الاتحاد واستراتيجيته استجابة كاملة للتطور في بيئة الاتصالات. ويُعد المجلس تقريراً عن السياسة العامة والتخطيط الاستراتيجي </w:t>
      </w:r>
      <w:proofErr w:type="spellStart"/>
      <w:r w:rsidR="00705C31" w:rsidRPr="00C32070">
        <w:rPr>
          <w:rtl/>
        </w:rPr>
        <w:t>الموصى</w:t>
      </w:r>
      <w:proofErr w:type="spellEnd"/>
      <w:r w:rsidR="00705C31" w:rsidRPr="00C32070">
        <w:rPr>
          <w:rtl/>
        </w:rPr>
        <w:t xml:space="preserve"> بهما للاتحاد وآثارهما المالية، ويستعمل لهذا الغرض البيانات المحددة التي يعدها الأمين العام تنفيذاً للرقم </w:t>
      </w:r>
      <w:r>
        <w:t>74A</w:t>
      </w:r>
      <w:r w:rsidR="00705C31" w:rsidRPr="00C32070">
        <w:rPr>
          <w:rtl/>
        </w:rPr>
        <w:t xml:space="preserve"> أدناه؛</w:t>
      </w:r>
    </w:p>
    <w:p w14:paraId="6474EE79" w14:textId="560E78C4" w:rsidR="00705C31" w:rsidRPr="00C32070" w:rsidRDefault="00DC7167" w:rsidP="00705C31">
      <w:pPr>
        <w:pStyle w:val="enumlev1"/>
      </w:pPr>
      <w:r>
        <w:rPr>
          <w:rFonts w:hint="cs"/>
          <w:rtl/>
          <w:lang w:bidi="ar-EG"/>
        </w:rPr>
        <w:t>ثالثاً</w:t>
      </w:r>
      <w:r w:rsidR="00705C31" w:rsidRPr="00C32070">
        <w:rPr>
          <w:rtl/>
          <w:lang w:bidi="ar-EG"/>
        </w:rPr>
        <w:tab/>
      </w:r>
      <w:r w:rsidR="00705C31" w:rsidRPr="00C32070">
        <w:rPr>
          <w:rtl/>
        </w:rPr>
        <w:t>يضمن المجلس تنسيقاً فعالاً بين أنشطة الاتحاد، ويمارس مراقبة مالية فعلية على الأمانة العامة والقطاعات الثلاثة؛</w:t>
      </w:r>
    </w:p>
    <w:p w14:paraId="74ED86FF" w14:textId="3814DB76" w:rsidR="00705C31" w:rsidRPr="00C32070" w:rsidRDefault="00DC7167" w:rsidP="00705C31">
      <w:pPr>
        <w:pStyle w:val="enumlev1"/>
      </w:pPr>
      <w:r>
        <w:rPr>
          <w:rFonts w:hint="cs"/>
          <w:rtl/>
          <w:lang w:bidi="ar-EG"/>
        </w:rPr>
        <w:t>رابعاً</w:t>
      </w:r>
      <w:r w:rsidR="00705C31" w:rsidRPr="00C32070">
        <w:rPr>
          <w:rtl/>
          <w:lang w:bidi="ar-EG"/>
        </w:rPr>
        <w:tab/>
      </w:r>
      <w:r w:rsidR="00705C31" w:rsidRPr="00C32070">
        <w:rPr>
          <w:rtl/>
        </w:rPr>
        <w:t>يساهم المجلس وفقاً لأهداف الاتحاد في تنمية الاتصالات في البلدان النامية، بجميع الوسائل المتوفرة لديه، بما فيها مشاركة الاتحاد في برامج الأمم المتحدة المناسبة.</w:t>
      </w:r>
    </w:p>
    <w:p w14:paraId="5760EC2E" w14:textId="77777777" w:rsidR="00705C31" w:rsidRPr="00C32070" w:rsidRDefault="00705C31" w:rsidP="00705C31">
      <w:pPr>
        <w:rPr>
          <w:rtl/>
          <w:lang w:bidi="ar-EG"/>
        </w:rPr>
      </w:pPr>
      <w:r w:rsidRPr="00C32070">
        <w:rPr>
          <w:rtl/>
          <w:lang w:bidi="ar-EG"/>
        </w:rPr>
        <w:t xml:space="preserve">ويشارك أيضاً أعضاء </w:t>
      </w:r>
      <w:r w:rsidRPr="00C32070">
        <w:rPr>
          <w:rtl/>
        </w:rPr>
        <w:t>القطاعات</w:t>
      </w:r>
      <w:r w:rsidRPr="00C32070">
        <w:rPr>
          <w:rtl/>
          <w:lang w:bidi="ar-EG"/>
        </w:rPr>
        <w:t xml:space="preserve"> والمنظمات الإقليمية للاتصالات والمنظمات الحكومية الدولية ومنظمة الأمم المتحدة ووكالاتها المتخصصة، في أعمال المؤتمر بصفة مراقب.</w:t>
      </w:r>
    </w:p>
    <w:p w14:paraId="3C51912E" w14:textId="77777777" w:rsidR="00705C31" w:rsidRPr="00C32070" w:rsidRDefault="00705C31" w:rsidP="00705C31">
      <w:pPr>
        <w:rPr>
          <w:lang w:bidi="ar-EG"/>
        </w:rPr>
      </w:pPr>
      <w:r w:rsidRPr="00C32070">
        <w:rPr>
          <w:rtl/>
          <w:lang w:bidi="ar-EG"/>
        </w:rPr>
        <w:t>وباسترجاع ما حدث في عام 2023، يلاحَظ أن الاتحاد اتخذ خطوات قوية ترمي إلى ما يلي:</w:t>
      </w:r>
    </w:p>
    <w:p w14:paraId="203B5DD7" w14:textId="77777777" w:rsidR="00705C31" w:rsidRPr="00C32070" w:rsidRDefault="00705C31" w:rsidP="00705C31">
      <w:pPr>
        <w:pStyle w:val="enumlev1"/>
      </w:pPr>
      <w:r w:rsidRPr="00C32070">
        <w:t>1</w:t>
      </w:r>
      <w:r w:rsidRPr="00C32070">
        <w:tab/>
      </w:r>
      <w:r w:rsidRPr="00C32070">
        <w:rPr>
          <w:b/>
          <w:bCs/>
          <w:rtl/>
        </w:rPr>
        <w:t>الشمول الرقمي والتحول</w:t>
      </w:r>
      <w:r w:rsidRPr="00C32070">
        <w:rPr>
          <w:rtl/>
        </w:rPr>
        <w:t>: على الرغم من التقدم السريع الذي يشهده مجالا الذكاء الاصطناعي والحوسبة، لا يزال 2,6 مليار شخص غير موصولين بالإنترنت، مع استمرار التفاوتات بين مختلف العناصر الديمغرافية والجغرافية. وركز الاتحاد على حلول شاملة لتعزيز التوصيلية العالمية.</w:t>
      </w:r>
    </w:p>
    <w:p w14:paraId="208BC990" w14:textId="603C4B8B" w:rsidR="00705C31" w:rsidRPr="00C32070" w:rsidRDefault="00705C31" w:rsidP="00705C31">
      <w:pPr>
        <w:pStyle w:val="enumlev1"/>
      </w:pPr>
      <w:r w:rsidRPr="00C32070">
        <w:t>2</w:t>
      </w:r>
      <w:r w:rsidRPr="00C32070">
        <w:tab/>
      </w:r>
      <w:r w:rsidRPr="00C32070">
        <w:rPr>
          <w:b/>
          <w:bCs/>
          <w:rtl/>
        </w:rPr>
        <w:t>الاتصالات الراديوية</w:t>
      </w:r>
      <w:r w:rsidRPr="00C32070">
        <w:rPr>
          <w:rtl/>
        </w:rPr>
        <w:t>: أدت التحديثات التي أدخلت على لوائح الراديو أثناء المؤتمر العالمي للاتصالات الراديوية عام</w:t>
      </w:r>
      <w:r w:rsidR="00DC7167">
        <w:rPr>
          <w:rFonts w:hint="cs"/>
          <w:rtl/>
        </w:rPr>
        <w:t> </w:t>
      </w:r>
      <w:r w:rsidRPr="00C32070">
        <w:rPr>
          <w:rtl/>
        </w:rPr>
        <w:t>2023 إلى تأمين موارد جديدة للطيف، مما عزز الابتكار التكنولوجي والتوصيلية العالمية، مع التركيز على ضمان الاستقرار التنظيمي واليقين القانوني.</w:t>
      </w:r>
    </w:p>
    <w:p w14:paraId="2DC06597" w14:textId="77777777" w:rsidR="00705C31" w:rsidRPr="00C32070" w:rsidRDefault="00705C31" w:rsidP="00705C31">
      <w:pPr>
        <w:pStyle w:val="enumlev1"/>
      </w:pPr>
      <w:r w:rsidRPr="00C32070">
        <w:t>3</w:t>
      </w:r>
      <w:r w:rsidRPr="00C32070">
        <w:tab/>
      </w:r>
      <w:r w:rsidRPr="00C32070">
        <w:rPr>
          <w:b/>
          <w:bCs/>
          <w:rtl/>
        </w:rPr>
        <w:t>معايير التكنولوجيات الرقمية والذكاء الاصطناعي</w:t>
      </w:r>
      <w:r w:rsidRPr="00C32070">
        <w:rPr>
          <w:rtl/>
        </w:rPr>
        <w:t xml:space="preserve">: إن الاعتراف المتزايد بأهمية وضع المعايير يرشد إدارة الذكاء الاصطناعي ويدعم التحولات الرقمية التي تشهدها مختلف القطاعات، ويعزز مساهمتها في تحقيق أهداف التنمية المستدامة </w:t>
      </w:r>
      <w:r w:rsidRPr="00C32070">
        <w:t>SDG)</w:t>
      </w:r>
      <w:r w:rsidRPr="00C32070">
        <w:rPr>
          <w:rtl/>
        </w:rPr>
        <w:t>).</w:t>
      </w:r>
    </w:p>
    <w:p w14:paraId="4906283F" w14:textId="77777777" w:rsidR="00705C31" w:rsidRPr="00C32070" w:rsidRDefault="00705C31" w:rsidP="00705C31">
      <w:pPr>
        <w:pStyle w:val="enumlev1"/>
      </w:pPr>
      <w:r w:rsidRPr="00C32070">
        <w:lastRenderedPageBreak/>
        <w:t>4</w:t>
      </w:r>
      <w:r w:rsidRPr="00C32070">
        <w:tab/>
      </w:r>
      <w:r w:rsidRPr="00C32070">
        <w:rPr>
          <w:b/>
          <w:bCs/>
          <w:rtl/>
        </w:rPr>
        <w:t>التنمية والإنصاف الرقمي</w:t>
      </w:r>
      <w:r w:rsidRPr="00C32070">
        <w:rPr>
          <w:rtl/>
        </w:rPr>
        <w:t>: يعالج الاتحاد الفجوة الرقمية الآخذة في الاتساع، لا سيما في مجال النفاذ إلى الجيل الخامس، من خلال تعزيز السياسات الشاملة وبناء القدرات لدعم التنمية المستدامة بجميع أبعادها.</w:t>
      </w:r>
    </w:p>
    <w:p w14:paraId="0C42E34A" w14:textId="77777777" w:rsidR="00705C31" w:rsidRPr="00C32070" w:rsidRDefault="00705C31" w:rsidP="00705C31">
      <w:pPr>
        <w:pStyle w:val="enumlev1"/>
      </w:pPr>
      <w:r w:rsidRPr="00C32070">
        <w:t>5</w:t>
      </w:r>
      <w:r w:rsidRPr="00C32070">
        <w:tab/>
      </w:r>
      <w:r w:rsidRPr="00C32070">
        <w:rPr>
          <w:b/>
          <w:bCs/>
          <w:rtl/>
        </w:rPr>
        <w:t>تحقيق التوازن بين المنافع والمخاطر التكنولوجية</w:t>
      </w:r>
      <w:r w:rsidRPr="00C32070">
        <w:rPr>
          <w:rtl/>
        </w:rPr>
        <w:t>: تشدد خطة التسريع الرقمي في الاتحاد، المرتبطة بأهداف التنمية المستدامة، على قدرة الذكاء الاصطناعي على إحراز تقدم في تحقيق معظم غايات أهداف التنمية المستدامة، وتدعو إلى تطويره ونشره بشكل مسؤول بفضل مبادرات مثل الذكاء الاصطناعي من أجل المصلحة العامة.</w:t>
      </w:r>
    </w:p>
    <w:p w14:paraId="7D163EA8" w14:textId="509ED543" w:rsidR="00705C31" w:rsidRPr="00C32070" w:rsidRDefault="00705C31" w:rsidP="00705C31">
      <w:pPr>
        <w:pStyle w:val="enumlev1"/>
      </w:pPr>
      <w:r w:rsidRPr="00C32070">
        <w:t>6</w:t>
      </w:r>
      <w:r w:rsidRPr="00C32070">
        <w:tab/>
      </w:r>
      <w:r w:rsidRPr="00C32070">
        <w:rPr>
          <w:b/>
          <w:bCs/>
          <w:rtl/>
        </w:rPr>
        <w:t>المشاركة العالمية</w:t>
      </w:r>
      <w:r w:rsidRPr="00C32070">
        <w:rPr>
          <w:rtl/>
        </w:rPr>
        <w:t>: تؤكد مشاركة الاتحاد النشطة في عمليات ومبادرات الأمم المتحدة دوره كجهة فاعلة رئيسية في</w:t>
      </w:r>
      <w:r w:rsidR="005F4C41" w:rsidRPr="00C32070">
        <w:rPr>
          <w:rtl/>
        </w:rPr>
        <w:t> </w:t>
      </w:r>
      <w:r w:rsidRPr="00C32070">
        <w:rPr>
          <w:rtl/>
        </w:rPr>
        <w:t>السياسة الرقمية والإنمائية العالمية.</w:t>
      </w:r>
    </w:p>
    <w:p w14:paraId="596EBCC0" w14:textId="77777777" w:rsidR="00705C31" w:rsidRPr="00C32070" w:rsidRDefault="00705C31" w:rsidP="00705C31">
      <w:pPr>
        <w:pStyle w:val="enumlev1"/>
      </w:pPr>
      <w:r w:rsidRPr="00C32070">
        <w:t>7</w:t>
      </w:r>
      <w:r w:rsidRPr="00C32070">
        <w:tab/>
      </w:r>
      <w:r w:rsidRPr="00C32070">
        <w:rPr>
          <w:b/>
          <w:bCs/>
          <w:rtl/>
        </w:rPr>
        <w:t>قوة الشراكات</w:t>
      </w:r>
      <w:r w:rsidRPr="00C32070">
        <w:rPr>
          <w:rtl/>
        </w:rPr>
        <w:t>: يشجع الاتحاد الشراكات الرئيسية لتحقيق التوصيلية الشاملة والتحول الرقمي المستدام، الذي يستهدف سد الفجوة الرقمية العالمية.</w:t>
      </w:r>
    </w:p>
    <w:p w14:paraId="084BE633" w14:textId="77777777" w:rsidR="00705C31" w:rsidRPr="00C32070" w:rsidRDefault="00705C31" w:rsidP="00DB3336">
      <w:pPr>
        <w:pStyle w:val="Heading5"/>
      </w:pPr>
      <w:bookmarkStart w:id="151" w:name="_Toc162520620"/>
      <w:bookmarkStart w:id="152" w:name="_Toc168329272"/>
      <w:bookmarkStart w:id="153" w:name="_Toc168329314"/>
      <w:bookmarkStart w:id="154" w:name="_Toc168657552"/>
      <w:r w:rsidRPr="00C32070">
        <w:rPr>
          <w:rtl/>
        </w:rPr>
        <w:t xml:space="preserve">الملاحظة </w:t>
      </w:r>
      <w:r w:rsidRPr="00C32070">
        <w:t>2</w:t>
      </w:r>
      <w:r w:rsidRPr="00C32070">
        <w:rPr>
          <w:rtl/>
        </w:rPr>
        <w:tab/>
        <w:t>أساس الإعداد والعرض</w:t>
      </w:r>
      <w:bookmarkEnd w:id="151"/>
      <w:bookmarkEnd w:id="152"/>
      <w:bookmarkEnd w:id="153"/>
      <w:bookmarkEnd w:id="154"/>
    </w:p>
    <w:p w14:paraId="62CADAD6" w14:textId="77777777" w:rsidR="00705C31" w:rsidRPr="00C32070" w:rsidRDefault="00705C31" w:rsidP="003724DE">
      <w:pPr>
        <w:rPr>
          <w:rtl/>
        </w:rPr>
      </w:pPr>
      <w:r w:rsidRPr="00C32070">
        <w:rPr>
          <w:rtl/>
        </w:rPr>
        <w:t xml:space="preserve">أعدت البيانات المالية لعام </w:t>
      </w:r>
      <w:r w:rsidRPr="00C32070">
        <w:t>2023</w:t>
      </w:r>
      <w:r w:rsidRPr="00C32070">
        <w:rPr>
          <w:rtl/>
        </w:rPr>
        <w:t xml:space="preserve"> على أساس الاستحقاق وفقاً للمعايير المحاسبية الدولية للقطاع العام (</w:t>
      </w:r>
      <w:r w:rsidRPr="00C32070">
        <w:rPr>
          <w:lang w:bidi="ar-SY"/>
        </w:rPr>
        <w:t>IPSAS</w:t>
      </w:r>
      <w:r w:rsidRPr="00C32070">
        <w:rPr>
          <w:rtl/>
        </w:rPr>
        <w:t xml:space="preserve">) التي وضعها ووافق عليها المجلس الدولي للمعايير المحاسبية للقطاع العام </w:t>
      </w:r>
      <w:r w:rsidRPr="00C32070">
        <w:t>(IPSASB)</w:t>
      </w:r>
      <w:r w:rsidRPr="00C32070">
        <w:rPr>
          <w:rtl/>
        </w:rPr>
        <w:t>. و</w:t>
      </w:r>
      <w:r w:rsidRPr="00C32070">
        <w:rPr>
          <w:rtl/>
          <w:lang w:bidi="ar-EG"/>
        </w:rPr>
        <w:t xml:space="preserve">تمتد </w:t>
      </w:r>
      <w:r w:rsidRPr="00C32070">
        <w:rPr>
          <w:rtl/>
        </w:rPr>
        <w:t xml:space="preserve">السنة المالية من </w:t>
      </w:r>
      <w:bookmarkStart w:id="155" w:name="_Hlk160608588"/>
      <w:r w:rsidRPr="00C32070">
        <w:rPr>
          <w:rtl/>
        </w:rPr>
        <w:t xml:space="preserve">شهر </w:t>
      </w:r>
      <w:bookmarkEnd w:id="155"/>
      <w:r w:rsidRPr="00C32070">
        <w:rPr>
          <w:rtl/>
        </w:rPr>
        <w:t>يناير إلى شهر ديسمبر. وقد أعدت هذه النماذج باستخدام اصطلاح التكاليف التاريخية.</w:t>
      </w:r>
    </w:p>
    <w:p w14:paraId="1B3A394F" w14:textId="60199BBB" w:rsidR="00705C31" w:rsidRPr="00C32070" w:rsidRDefault="00705C31" w:rsidP="003724DE">
      <w:pPr>
        <w:rPr>
          <w:lang w:val="en" w:bidi="ar-SY"/>
        </w:rPr>
      </w:pPr>
      <w:r w:rsidRPr="00C32070">
        <w:rPr>
          <w:rtl/>
        </w:rPr>
        <w:t>وتنص</w:t>
      </w:r>
      <w:r w:rsidRPr="00C32070">
        <w:rPr>
          <w:lang w:val="en" w:bidi="ar-SY"/>
        </w:rPr>
        <w:t xml:space="preserve"> </w:t>
      </w:r>
      <w:r w:rsidRPr="00C32070">
        <w:rPr>
          <w:rtl/>
        </w:rPr>
        <w:t>اللوائح</w:t>
      </w:r>
      <w:r w:rsidRPr="00C32070">
        <w:rPr>
          <w:lang w:val="en" w:bidi="ar-SY"/>
        </w:rPr>
        <w:t xml:space="preserve"> </w:t>
      </w:r>
      <w:r w:rsidRPr="00C32070">
        <w:rPr>
          <w:rtl/>
        </w:rPr>
        <w:t>المالية</w:t>
      </w:r>
      <w:r w:rsidRPr="00C32070">
        <w:rPr>
          <w:lang w:val="en" w:bidi="ar-SY"/>
        </w:rPr>
        <w:t xml:space="preserve"> </w:t>
      </w:r>
      <w:r w:rsidRPr="00C32070">
        <w:rPr>
          <w:rtl/>
        </w:rPr>
        <w:t>والقواعد</w:t>
      </w:r>
      <w:r w:rsidRPr="00C32070">
        <w:rPr>
          <w:lang w:val="en" w:bidi="ar-SY"/>
        </w:rPr>
        <w:t xml:space="preserve"> </w:t>
      </w:r>
      <w:r w:rsidRPr="00C32070">
        <w:rPr>
          <w:rtl/>
        </w:rPr>
        <w:t>المالية</w:t>
      </w:r>
      <w:r w:rsidRPr="00C32070">
        <w:rPr>
          <w:lang w:val="en" w:bidi="ar-SY"/>
        </w:rPr>
        <w:t xml:space="preserve"> </w:t>
      </w:r>
      <w:r w:rsidRPr="00C32070">
        <w:rPr>
          <w:rtl/>
        </w:rPr>
        <w:t>للاتحاد</w:t>
      </w:r>
      <w:r w:rsidRPr="00C32070">
        <w:rPr>
          <w:lang w:val="en" w:bidi="ar-SY"/>
        </w:rPr>
        <w:t xml:space="preserve"> </w:t>
      </w:r>
      <w:r w:rsidRPr="00C32070">
        <w:rPr>
          <w:rtl/>
        </w:rPr>
        <w:t>على</w:t>
      </w:r>
      <w:r w:rsidRPr="00C32070">
        <w:rPr>
          <w:lang w:val="en" w:bidi="ar-SY"/>
        </w:rPr>
        <w:t xml:space="preserve"> </w:t>
      </w:r>
      <w:r w:rsidRPr="00C32070">
        <w:rPr>
          <w:rtl/>
        </w:rPr>
        <w:t>فترة</w:t>
      </w:r>
      <w:r w:rsidRPr="00C32070">
        <w:rPr>
          <w:lang w:val="en" w:bidi="ar-SY"/>
        </w:rPr>
        <w:t xml:space="preserve"> </w:t>
      </w:r>
      <w:r w:rsidRPr="00C32070">
        <w:rPr>
          <w:rtl/>
        </w:rPr>
        <w:t>ميزانية</w:t>
      </w:r>
      <w:r w:rsidRPr="00C32070">
        <w:rPr>
          <w:lang w:val="en" w:bidi="ar-SY"/>
        </w:rPr>
        <w:t xml:space="preserve"> </w:t>
      </w:r>
      <w:r w:rsidRPr="00C32070">
        <w:rPr>
          <w:rtl/>
        </w:rPr>
        <w:t>لفترة</w:t>
      </w:r>
      <w:r w:rsidRPr="00C32070">
        <w:rPr>
          <w:lang w:val="en" w:bidi="ar-SY"/>
        </w:rPr>
        <w:t xml:space="preserve"> </w:t>
      </w:r>
      <w:r w:rsidRPr="00C32070">
        <w:rPr>
          <w:rtl/>
        </w:rPr>
        <w:t>سنتين؛</w:t>
      </w:r>
      <w:r w:rsidRPr="00C32070">
        <w:rPr>
          <w:lang w:val="en" w:bidi="ar-SY"/>
        </w:rPr>
        <w:t xml:space="preserve"> </w:t>
      </w:r>
      <w:r w:rsidRPr="00C32070">
        <w:rPr>
          <w:rtl/>
        </w:rPr>
        <w:t>ولكن توخياً لإجراء مقارنة مجدية مع</w:t>
      </w:r>
      <w:r w:rsidRPr="00C32070">
        <w:rPr>
          <w:lang w:val="en" w:bidi="ar-SY"/>
        </w:rPr>
        <w:t xml:space="preserve"> </w:t>
      </w:r>
      <w:r w:rsidRPr="00C32070">
        <w:rPr>
          <w:rtl/>
        </w:rPr>
        <w:t>البيانات</w:t>
      </w:r>
      <w:r w:rsidRPr="00C32070">
        <w:rPr>
          <w:lang w:val="en" w:bidi="ar-SY"/>
        </w:rPr>
        <w:t xml:space="preserve"> </w:t>
      </w:r>
      <w:r w:rsidRPr="00C32070">
        <w:rPr>
          <w:rtl/>
        </w:rPr>
        <w:t>المالية لعام 2023، تعرض ميزانية عام 2023</w:t>
      </w:r>
      <w:r w:rsidRPr="00C32070">
        <w:rPr>
          <w:lang w:val="en" w:bidi="ar-SY"/>
        </w:rPr>
        <w:t xml:space="preserve"> </w:t>
      </w:r>
      <w:r w:rsidRPr="00C32070">
        <w:rPr>
          <w:rtl/>
        </w:rPr>
        <w:t>على</w:t>
      </w:r>
      <w:r w:rsidRPr="00C32070">
        <w:rPr>
          <w:lang w:val="en" w:bidi="ar-SY"/>
        </w:rPr>
        <w:t xml:space="preserve"> </w:t>
      </w:r>
      <w:r w:rsidRPr="00C32070">
        <w:rPr>
          <w:rtl/>
        </w:rPr>
        <w:t>أساس</w:t>
      </w:r>
      <w:r w:rsidRPr="00C32070">
        <w:rPr>
          <w:lang w:val="en" w:bidi="ar-SY"/>
        </w:rPr>
        <w:t xml:space="preserve"> </w:t>
      </w:r>
      <w:r w:rsidRPr="00C32070">
        <w:rPr>
          <w:rtl/>
        </w:rPr>
        <w:t xml:space="preserve">سنوي </w:t>
      </w:r>
      <w:r w:rsidRPr="00C32070">
        <w:rPr>
          <w:rtl/>
          <w:lang w:val="en" w:bidi="ar-SY"/>
        </w:rPr>
        <w:t>في البيان الخامس (بيان المقارنة - الميزانية والمبالغ الفعلية)</w:t>
      </w:r>
      <w:r w:rsidR="00681E81" w:rsidRPr="00C32070">
        <w:rPr>
          <w:rtl/>
          <w:lang w:val="en" w:bidi="ar-SY"/>
        </w:rPr>
        <w:t>.</w:t>
      </w:r>
    </w:p>
    <w:p w14:paraId="23B53EF4" w14:textId="77777777" w:rsidR="00705C31" w:rsidRPr="00C32070" w:rsidRDefault="00705C31" w:rsidP="003724DE">
      <w:pPr>
        <w:rPr>
          <w:rtl/>
        </w:rPr>
      </w:pPr>
      <w:r w:rsidRPr="00C32070">
        <w:rPr>
          <w:rtl/>
          <w:lang w:val="en" w:bidi="ar-EG"/>
        </w:rPr>
        <w:t>ويعَد بيان التدفقات النقدية (البيان الرابع) باستخدام الأسلوب غير المباشر.</w:t>
      </w:r>
    </w:p>
    <w:p w14:paraId="7B3CD367" w14:textId="73BFFBFE" w:rsidR="00705C31" w:rsidRPr="00C32070" w:rsidRDefault="00705C31" w:rsidP="003724DE">
      <w:pPr>
        <w:rPr>
          <w:rtl/>
        </w:rPr>
      </w:pPr>
      <w:r w:rsidRPr="00C32070">
        <w:rPr>
          <w:rtl/>
        </w:rPr>
        <w:t>وقد طبق</w:t>
      </w:r>
      <w:r w:rsidRPr="00C32070">
        <w:rPr>
          <w:lang w:val="en" w:bidi="ar-SY"/>
        </w:rPr>
        <w:t xml:space="preserve"> </w:t>
      </w:r>
      <w:r w:rsidRPr="00C32070">
        <w:rPr>
          <w:rtl/>
        </w:rPr>
        <w:t>الاتحاد</w:t>
      </w:r>
      <w:r w:rsidRPr="00C32070">
        <w:rPr>
          <w:lang w:val="en" w:bidi="ar-SY"/>
        </w:rPr>
        <w:t xml:space="preserve"> </w:t>
      </w:r>
      <w:r w:rsidRPr="00C32070">
        <w:rPr>
          <w:rtl/>
        </w:rPr>
        <w:t>متطلبات</w:t>
      </w:r>
      <w:r w:rsidRPr="00C32070">
        <w:rPr>
          <w:lang w:val="en" w:bidi="ar-SY"/>
        </w:rPr>
        <w:t xml:space="preserve"> </w:t>
      </w:r>
      <w:r w:rsidRPr="00C32070">
        <w:rPr>
          <w:rtl/>
        </w:rPr>
        <w:t>المعايير</w:t>
      </w:r>
      <w:r w:rsidRPr="00C32070">
        <w:rPr>
          <w:lang w:val="en" w:bidi="ar-SY"/>
        </w:rPr>
        <w:t xml:space="preserve"> </w:t>
      </w:r>
      <w:r w:rsidRPr="00C32070">
        <w:rPr>
          <w:rtl/>
        </w:rPr>
        <w:t>المحاسبية</w:t>
      </w:r>
      <w:r w:rsidRPr="00C32070">
        <w:rPr>
          <w:lang w:val="en" w:bidi="ar-SY"/>
        </w:rPr>
        <w:t xml:space="preserve"> </w:t>
      </w:r>
      <w:r w:rsidRPr="00C32070">
        <w:rPr>
          <w:rtl/>
        </w:rPr>
        <w:t>الدولية</w:t>
      </w:r>
      <w:r w:rsidRPr="00C32070">
        <w:rPr>
          <w:lang w:val="en" w:bidi="ar-SY"/>
        </w:rPr>
        <w:t xml:space="preserve"> </w:t>
      </w:r>
      <w:r w:rsidRPr="00C32070">
        <w:rPr>
          <w:rtl/>
        </w:rPr>
        <w:t>للقطاع</w:t>
      </w:r>
      <w:r w:rsidRPr="00C32070">
        <w:rPr>
          <w:lang w:val="en" w:bidi="ar-SY"/>
        </w:rPr>
        <w:t xml:space="preserve"> </w:t>
      </w:r>
      <w:r w:rsidRPr="00C32070">
        <w:rPr>
          <w:rtl/>
        </w:rPr>
        <w:t>العام</w:t>
      </w:r>
      <w:r w:rsidRPr="00C32070">
        <w:rPr>
          <w:lang w:val="en" w:bidi="ar-SY"/>
        </w:rPr>
        <w:t xml:space="preserve"> </w:t>
      </w:r>
      <w:r w:rsidRPr="00C32070">
        <w:rPr>
          <w:rtl/>
        </w:rPr>
        <w:t>السارية</w:t>
      </w:r>
      <w:r w:rsidRPr="00C32070">
        <w:rPr>
          <w:lang w:val="en" w:bidi="ar-SY"/>
        </w:rPr>
        <w:t xml:space="preserve"> </w:t>
      </w:r>
      <w:r w:rsidRPr="00C32070">
        <w:rPr>
          <w:rtl/>
        </w:rPr>
        <w:t>في</w:t>
      </w:r>
      <w:r w:rsidRPr="00C32070">
        <w:rPr>
          <w:lang w:val="en" w:bidi="ar-SY"/>
        </w:rPr>
        <w:t xml:space="preserve"> 1 </w:t>
      </w:r>
      <w:r w:rsidRPr="00C32070">
        <w:rPr>
          <w:rtl/>
        </w:rPr>
        <w:t>يناير</w:t>
      </w:r>
      <w:r w:rsidRPr="00C32070">
        <w:rPr>
          <w:lang w:val="en" w:bidi="ar-SY"/>
        </w:rPr>
        <w:t xml:space="preserve"> 2023 </w:t>
      </w:r>
      <w:r w:rsidRPr="00C32070">
        <w:rPr>
          <w:rtl/>
        </w:rPr>
        <w:t>والتزم بها،</w:t>
      </w:r>
      <w:r w:rsidRPr="00C32070">
        <w:rPr>
          <w:lang w:val="en" w:bidi="ar-SY"/>
        </w:rPr>
        <w:t xml:space="preserve"> </w:t>
      </w:r>
      <w:r w:rsidRPr="00C32070">
        <w:rPr>
          <w:rtl/>
        </w:rPr>
        <w:t xml:space="preserve">ويرد </w:t>
      </w:r>
      <w:r w:rsidRPr="00C32070">
        <w:rPr>
          <w:rtl/>
          <w:lang w:bidi="ar-EG"/>
        </w:rPr>
        <w:t>وصف</w:t>
      </w:r>
      <w:r w:rsidR="00681E81" w:rsidRPr="00C32070">
        <w:rPr>
          <w:rtl/>
          <w:lang w:bidi="ar-EG"/>
        </w:rPr>
        <w:t xml:space="preserve"> </w:t>
      </w:r>
      <w:r w:rsidRPr="00C32070">
        <w:rPr>
          <w:rtl/>
        </w:rPr>
        <w:t>المبادئ المحاسبية</w:t>
      </w:r>
      <w:r w:rsidRPr="00C32070">
        <w:rPr>
          <w:lang w:val="en" w:bidi="ar-SY"/>
        </w:rPr>
        <w:t xml:space="preserve"> </w:t>
      </w:r>
      <w:r w:rsidRPr="00C32070">
        <w:rPr>
          <w:rtl/>
        </w:rPr>
        <w:t>المطبقة</w:t>
      </w:r>
      <w:r w:rsidRPr="00C32070">
        <w:rPr>
          <w:lang w:val="en" w:bidi="ar-SY"/>
        </w:rPr>
        <w:t xml:space="preserve"> </w:t>
      </w:r>
      <w:r w:rsidRPr="00C32070">
        <w:rPr>
          <w:rtl/>
        </w:rPr>
        <w:t>في</w:t>
      </w:r>
      <w:r w:rsidRPr="00C32070">
        <w:rPr>
          <w:lang w:val="en" w:bidi="ar-SY"/>
        </w:rPr>
        <w:t xml:space="preserve"> </w:t>
      </w:r>
      <w:r w:rsidRPr="00C32070">
        <w:rPr>
          <w:rtl/>
        </w:rPr>
        <w:t xml:space="preserve">الملاحظة </w:t>
      </w:r>
      <w:r w:rsidRPr="00C32070">
        <w:rPr>
          <w:rtl/>
          <w:lang w:bidi="ar"/>
        </w:rPr>
        <w:t>3.</w:t>
      </w:r>
      <w:r w:rsidRPr="00C32070">
        <w:rPr>
          <w:rtl/>
        </w:rPr>
        <w:t xml:space="preserve"> وتقرَّب القيم إلى أقرب ألف، ويعبر عنها أيضاً بملايين و/أو آلاف الفرنكات السويسرية ما لم يُنص على خلاف ذلك.</w:t>
      </w:r>
    </w:p>
    <w:p w14:paraId="67872288" w14:textId="77777777" w:rsidR="00705C31" w:rsidRPr="00C32070" w:rsidRDefault="00705C31" w:rsidP="003724DE">
      <w:pPr>
        <w:rPr>
          <w:spacing w:val="2"/>
          <w:lang w:bidi="ar-SY"/>
        </w:rPr>
      </w:pPr>
      <w:r w:rsidRPr="00C32070">
        <w:rPr>
          <w:spacing w:val="2"/>
          <w:rtl/>
        </w:rPr>
        <w:t>وأعد الاتحاد البيانات المالية على أساس أنه سيستمر في العمل كمؤسسة عاملة، بعد أن تؤخذ في الاعتبار الميزانية المعتمدة والتوقعات المتعلقة بالتمويل والمؤثرات القائمة والمتوقعة لحالات عدم اليقين ذات الصلة بأنشطة المنظمة.</w:t>
      </w:r>
    </w:p>
    <w:p w14:paraId="4644AF05" w14:textId="77777777" w:rsidR="00705C31" w:rsidRPr="00C32070" w:rsidRDefault="00705C31" w:rsidP="00F72B70">
      <w:pPr>
        <w:pStyle w:val="Headingb"/>
        <w:rPr>
          <w:rtl/>
        </w:rPr>
      </w:pPr>
      <w:r w:rsidRPr="00C32070">
        <w:rPr>
          <w:rtl/>
        </w:rPr>
        <w:t>إعادة صياغة البنود والتغييرات في طريقة عرضها أو تصنيفها</w:t>
      </w:r>
    </w:p>
    <w:p w14:paraId="2AAEB7B4" w14:textId="54CC0E74" w:rsidR="00681E81" w:rsidRPr="00C32070" w:rsidRDefault="00705C31" w:rsidP="00705C31">
      <w:pPr>
        <w:rPr>
          <w:rtl/>
          <w:lang w:bidi="ar-EG"/>
        </w:rPr>
      </w:pPr>
      <w:r w:rsidRPr="00C32070">
        <w:rPr>
          <w:rtl/>
          <w:lang w:bidi="ar-EG"/>
        </w:rPr>
        <w:t>أدرج في بيان الأداء المالي لعام 2023 التغير في صافي القيمة الحالية للقرض، المدرج مباشرة في البيان المتعلق بالتغيرات في</w:t>
      </w:r>
      <w:r w:rsidR="00D05549" w:rsidRPr="00C32070">
        <w:rPr>
          <w:rtl/>
          <w:lang w:bidi="ar-EG"/>
        </w:rPr>
        <w:t> </w:t>
      </w:r>
      <w:r w:rsidRPr="00C32070">
        <w:rPr>
          <w:rtl/>
          <w:lang w:bidi="ar-EG"/>
        </w:rPr>
        <w:t>صافي الأصول الوارد في تقرير الإدارة المالية لعام 2022. ونتيجة</w:t>
      </w:r>
      <w:r w:rsidR="00D05549" w:rsidRPr="00C32070">
        <w:rPr>
          <w:rtl/>
          <w:lang w:bidi="ar-EG"/>
        </w:rPr>
        <w:t>ً</w:t>
      </w:r>
      <w:r w:rsidRPr="00C32070">
        <w:rPr>
          <w:rtl/>
          <w:lang w:bidi="ar-EG"/>
        </w:rPr>
        <w:t xml:space="preserve"> لذلك، أعيدت صياغة بيان التدفقات النقدية إلى جانب الملاحظة 21 بشأن الإيرادات المالية/(التكاليف).</w:t>
      </w:r>
    </w:p>
    <w:p w14:paraId="677C88BA" w14:textId="6440F2C7" w:rsidR="00705C31" w:rsidRPr="00C32070" w:rsidRDefault="00705C31" w:rsidP="00705C31">
      <w:pPr>
        <w:rPr>
          <w:lang w:bidi="ar-EG"/>
        </w:rPr>
      </w:pPr>
      <w:r w:rsidRPr="00C32070">
        <w:rPr>
          <w:rtl/>
          <w:lang w:bidi="ar-EG"/>
        </w:rPr>
        <w:t>وأعيد تصنيف المعلومات المقارنة التالية أو أعيد عرضها لتحسين نوعية العرض وتحقيق الاتساق مع السنة المالية الحالية والكشوف الأخرى:</w:t>
      </w:r>
    </w:p>
    <w:p w14:paraId="2F962395" w14:textId="0E429F1B" w:rsidR="00705C31" w:rsidRPr="00C32070" w:rsidRDefault="00705C31" w:rsidP="00705C31">
      <w:pPr>
        <w:pStyle w:val="enumlev1"/>
        <w:rPr>
          <w:rtl/>
        </w:rPr>
      </w:pPr>
      <w:r w:rsidRPr="00C32070">
        <w:sym w:font="Wingdings 2" w:char="F097"/>
      </w:r>
      <w:r w:rsidRPr="00C32070">
        <w:tab/>
      </w:r>
      <w:r w:rsidRPr="00C32070">
        <w:rPr>
          <w:rtl/>
        </w:rPr>
        <w:t xml:space="preserve">جرى تقسيم </w:t>
      </w:r>
      <w:r w:rsidR="00D05549" w:rsidRPr="00C32070">
        <w:rPr>
          <w:rtl/>
        </w:rPr>
        <w:t>الإيرادات</w:t>
      </w:r>
      <w:r w:rsidRPr="00C32070">
        <w:rPr>
          <w:rtl/>
          <w:lang w:bidi="ar-EG"/>
        </w:rPr>
        <w:t xml:space="preserve"> المؤجلة (10,8 مليون فرنك سويسري في عام 2022) إلى بطاقات التبليغ عن الشبكات </w:t>
      </w:r>
      <w:proofErr w:type="spellStart"/>
      <w:r w:rsidRPr="00C32070">
        <w:rPr>
          <w:rtl/>
          <w:lang w:bidi="ar-EG"/>
        </w:rPr>
        <w:t>الساتلية</w:t>
      </w:r>
      <w:proofErr w:type="spellEnd"/>
      <w:r w:rsidRPr="00C32070">
        <w:rPr>
          <w:rtl/>
          <w:lang w:bidi="ar-EG"/>
        </w:rPr>
        <w:t xml:space="preserve"> (5,1 مليون فرنك سويسري في عام 2022) وإلى الجهة الراعية للمبنى الجديد (4,9 مليون فرنك سويسري)، وأعيد تصنيف المساهمات الخارجة عن الميزانية (0,798 مليون فرنك سويسري) وإدراجها في اعتماد الأموال الخارجة عن الميزانية في إطار الاعتماد الخاص بالأموال الخارجية المتوقع تلقيها (الملاحظة 20: الأموال الخارجة عن الميزانية). وتتعلق هذه الأموال بالاتفاقات الموقعة </w:t>
      </w:r>
      <w:proofErr w:type="spellStart"/>
      <w:r w:rsidRPr="00C32070">
        <w:rPr>
          <w:rtl/>
          <w:lang w:bidi="ar-EG"/>
        </w:rPr>
        <w:t>والمفوترة</w:t>
      </w:r>
      <w:proofErr w:type="spellEnd"/>
      <w:r w:rsidRPr="00C32070">
        <w:rPr>
          <w:rtl/>
          <w:lang w:bidi="ar-EG"/>
        </w:rPr>
        <w:t xml:space="preserve"> في عام 2023 ويتوقع تحصيلها في عام 2024.</w:t>
      </w:r>
    </w:p>
    <w:p w14:paraId="2DDFE711" w14:textId="77777777" w:rsidR="00705C31" w:rsidRPr="00C32070" w:rsidRDefault="00705C31" w:rsidP="00705C31">
      <w:pPr>
        <w:pStyle w:val="enumlev1"/>
        <w:rPr>
          <w:rtl/>
          <w:lang w:bidi="ar-EG"/>
        </w:rPr>
      </w:pPr>
      <w:r w:rsidRPr="00C32070">
        <w:sym w:font="Wingdings 2" w:char="F097"/>
      </w:r>
      <w:r w:rsidRPr="00C32070">
        <w:tab/>
      </w:r>
      <w:r w:rsidRPr="00C32070">
        <w:rPr>
          <w:rtl/>
          <w:lang w:bidi="ar-EG"/>
        </w:rPr>
        <w:t>جرى تقسيم الأموال الخارجية المخصصة (35,4 مليون فرنك سويسري في عام 2022) الواردة في الملاحظة 20 المتعلقة بالأموال الخارجة عن الميزانية إلى جزء غير جار بمقدار 12,6 مليون فرنك سويسري وجزء جار بمقدار 22,8 مليون فرنك سويسري.</w:t>
      </w:r>
    </w:p>
    <w:p w14:paraId="01B04C26" w14:textId="77777777" w:rsidR="00705C31" w:rsidRPr="00C32070" w:rsidRDefault="00705C31" w:rsidP="00705C31">
      <w:pPr>
        <w:pStyle w:val="enumlev1"/>
        <w:rPr>
          <w:rtl/>
        </w:rPr>
      </w:pPr>
      <w:r w:rsidRPr="00C32070">
        <w:sym w:font="Wingdings 2" w:char="F097"/>
      </w:r>
      <w:r w:rsidRPr="00C32070">
        <w:tab/>
      </w:r>
      <w:r w:rsidRPr="00C32070">
        <w:rPr>
          <w:rtl/>
        </w:rPr>
        <w:t xml:space="preserve">في </w:t>
      </w:r>
      <w:r w:rsidRPr="00C32070">
        <w:rPr>
          <w:rtl/>
          <w:lang w:bidi="ar-EG"/>
        </w:rPr>
        <w:t>إطار الإيرادات المالية، المحددة في الملاحظة 21، قسمت الخسائر المحققة في أسعار الصرف (1,0 مليون فرنك سويسري في عام 2022) إلى المكاسب المحققة في أسعار الصرف من الاستثمارات بمقدار 1,9 مليون فرنك سويسري والخسائر المحققة في أسعار الصرف من العمليات بمقدار 3,0 مليون فرنك سويسري. ويتيح هذا التقسيم عرض الآثار الناجمة عن استخدام عملة أجنبية على الاستثمارات وعلى الأنشطة التشغيلية المتكررة، بشكل منفصل.</w:t>
      </w:r>
    </w:p>
    <w:p w14:paraId="63660088" w14:textId="77777777" w:rsidR="00705C31" w:rsidRPr="00C32070" w:rsidRDefault="00705C31" w:rsidP="00705C31">
      <w:r w:rsidRPr="00C32070">
        <w:rPr>
          <w:rtl/>
          <w:lang w:bidi="ar-EG"/>
        </w:rPr>
        <w:t>وبالإضافة إلى ذلك، فُرزت الأصول قيد الإنشاء لتقديم كشف منفصل عن المبالغ المتكبَدة في مشروع المبنى الجديد.</w:t>
      </w:r>
    </w:p>
    <w:p w14:paraId="2CD596C4" w14:textId="77777777" w:rsidR="00681E81" w:rsidRPr="00C32070" w:rsidRDefault="00705C31" w:rsidP="00F72B70">
      <w:pPr>
        <w:pStyle w:val="Headingb"/>
      </w:pPr>
      <w:r w:rsidRPr="00C32070">
        <w:rPr>
          <w:rtl/>
        </w:rPr>
        <w:lastRenderedPageBreak/>
        <w:t>الأحكام والتقديرات الرئيسية</w:t>
      </w:r>
    </w:p>
    <w:p w14:paraId="3DD5AA80" w14:textId="3E99A097" w:rsidR="00705C31" w:rsidRPr="007213A4" w:rsidRDefault="00705C31" w:rsidP="003724DE">
      <w:pPr>
        <w:rPr>
          <w:spacing w:val="-4"/>
          <w:lang w:bidi="ar-SY"/>
        </w:rPr>
      </w:pPr>
      <w:r w:rsidRPr="007213A4">
        <w:rPr>
          <w:spacing w:val="-4"/>
          <w:rtl/>
        </w:rPr>
        <w:t>يتطلب إعداد البيانات المالية وفقا</w:t>
      </w:r>
      <w:r w:rsidR="000F0A6D" w:rsidRPr="007213A4">
        <w:rPr>
          <w:rFonts w:hint="cs"/>
          <w:spacing w:val="-4"/>
          <w:rtl/>
        </w:rPr>
        <w:t>ً</w:t>
      </w:r>
      <w:r w:rsidRPr="007213A4">
        <w:rPr>
          <w:spacing w:val="-4"/>
          <w:rtl/>
        </w:rPr>
        <w:t xml:space="preserve"> للمعايير المحاسبية الدولية للقطاع العام قدرة الإدارة على إصدار</w:t>
      </w:r>
      <w:r w:rsidR="00681E81" w:rsidRPr="007213A4">
        <w:rPr>
          <w:spacing w:val="-4"/>
          <w:rtl/>
        </w:rPr>
        <w:t xml:space="preserve"> </w:t>
      </w:r>
      <w:r w:rsidRPr="007213A4">
        <w:rPr>
          <w:spacing w:val="-4"/>
          <w:rtl/>
        </w:rPr>
        <w:t xml:space="preserve">أحكام وتقديرات وافتراضات تؤثر على تطبيق السياسات المحاسبية والمبالغ المرصودة </w:t>
      </w:r>
      <w:proofErr w:type="gramStart"/>
      <w:r w:rsidRPr="007213A4">
        <w:rPr>
          <w:spacing w:val="-4"/>
          <w:rtl/>
        </w:rPr>
        <w:t>للأصول</w:t>
      </w:r>
      <w:proofErr w:type="gramEnd"/>
      <w:r w:rsidRPr="007213A4">
        <w:rPr>
          <w:spacing w:val="-4"/>
          <w:rtl/>
        </w:rPr>
        <w:t xml:space="preserve"> والخصوم والإيرادات والنفقات. ويتطلب إعداد البيانات المالية وفقا</w:t>
      </w:r>
      <w:r w:rsidR="00D05549" w:rsidRPr="007213A4">
        <w:rPr>
          <w:spacing w:val="-4"/>
          <w:rtl/>
        </w:rPr>
        <w:t>ً</w:t>
      </w:r>
      <w:r w:rsidRPr="007213A4">
        <w:rPr>
          <w:spacing w:val="-4"/>
          <w:rtl/>
        </w:rPr>
        <w:t xml:space="preserve"> للمعايير المحاسبية الدولية للقطاع العام أن تصدر الإدارة أحكاما</w:t>
      </w:r>
      <w:r w:rsidR="00D05549" w:rsidRPr="007213A4">
        <w:rPr>
          <w:spacing w:val="-4"/>
          <w:rtl/>
        </w:rPr>
        <w:t>ً</w:t>
      </w:r>
      <w:r w:rsidRPr="007213A4">
        <w:rPr>
          <w:spacing w:val="-4"/>
          <w:rtl/>
        </w:rPr>
        <w:t xml:space="preserve"> وتقديرات وافتراضات تؤثر على تطبيق السياسات المحاسبية والمبالغ المرصودة </w:t>
      </w:r>
      <w:proofErr w:type="gramStart"/>
      <w:r w:rsidRPr="007213A4">
        <w:rPr>
          <w:spacing w:val="-4"/>
          <w:rtl/>
        </w:rPr>
        <w:t>للأصول</w:t>
      </w:r>
      <w:proofErr w:type="gramEnd"/>
      <w:r w:rsidRPr="007213A4">
        <w:rPr>
          <w:spacing w:val="-4"/>
          <w:rtl/>
        </w:rPr>
        <w:t xml:space="preserve"> والخصوم والإيرادات والنفقات. وتقوم التقديرات وما يرتبط بها من افتراضات على الخبرة السابقة، وعلى عوامل أخرى مختلفة تُعتبر معقولة في الظروف الراهنة، وعلى المعلومات المتاحة في تاريخ إعداد البيانات المالية، وتشكل نتائجها أساس الأحكام المتعلقة بقيم الأصول والخصوم التي لا تتضح بسهولة من مصادر أخرى. وقد تختلف النتائج الفعلية عن هذه التقديرات. وتُستعرض التقديرات والافتراضات الأساسية على نحو مستمر. وتبيَّن التغييرات في التقديرات في الفترة التي تصبح معروفة فيها. وتشمل التقديرات والافتراضات المهمة ما يلي: القياس </w:t>
      </w:r>
      <w:proofErr w:type="spellStart"/>
      <w:r w:rsidRPr="007213A4">
        <w:rPr>
          <w:spacing w:val="-4"/>
          <w:rtl/>
        </w:rPr>
        <w:t>الإكتواري</w:t>
      </w:r>
      <w:proofErr w:type="spellEnd"/>
      <w:r w:rsidRPr="007213A4">
        <w:rPr>
          <w:spacing w:val="-4"/>
          <w:rtl/>
        </w:rPr>
        <w:t xml:space="preserve"> لاستحقاقات الموظفين؛ وتقدير العمر الإنتاجي وأساليب إهلاك/استهلاك الممتلكات والمنشآت والمعدات/الأصول غير المادية؛ وانخفاض قيمة الأصول؛ وتصنيف الصكوك المالية؛ وتقييم الأصول الاستثمارية؛ وإثبات الإيرادات؛ والأرصدة الاحتياطية. واتخذ الاتحاد قرارا</w:t>
      </w:r>
      <w:r w:rsidR="00D05549" w:rsidRPr="007213A4">
        <w:rPr>
          <w:spacing w:val="-4"/>
          <w:rtl/>
        </w:rPr>
        <w:t>ً</w:t>
      </w:r>
      <w:r w:rsidRPr="007213A4">
        <w:rPr>
          <w:spacing w:val="-4"/>
          <w:rtl/>
        </w:rPr>
        <w:t xml:space="preserve"> بشطب جرد الأصول في البيانات المالية لعام 2023 بسبب انعدام أهمية قيم الأصول المدرجة في الجرد، فقد حُمِّلت جميع البنود على حساب المصروفات. ويضمن هذا النهج الوضوح ويركز على بيانات مالية أهمّ، ويسهل إجراء تحليل أوضح وأجدى. ولا تزال هذه الأصول خاضعة للرقابة، ولكن لا تدرج قيم مرتبطة بها في البيانات المالية.</w:t>
      </w:r>
    </w:p>
    <w:p w14:paraId="48FAD847" w14:textId="77777777" w:rsidR="00705C31" w:rsidRPr="00C32070" w:rsidRDefault="00705C31" w:rsidP="00F72B70">
      <w:pPr>
        <w:pStyle w:val="Headingb"/>
      </w:pPr>
      <w:r w:rsidRPr="00C32070">
        <w:rPr>
          <w:rtl/>
        </w:rPr>
        <w:t>التغييرات المحاسبية المقبلة</w:t>
      </w:r>
    </w:p>
    <w:p w14:paraId="5A47E539" w14:textId="77777777" w:rsidR="00705C31" w:rsidRPr="00C32070" w:rsidRDefault="00705C31" w:rsidP="003724DE">
      <w:pPr>
        <w:spacing w:after="120"/>
        <w:rPr>
          <w:lang w:bidi="ar-EG"/>
        </w:rPr>
      </w:pPr>
      <w:r w:rsidRPr="00C32070">
        <w:rPr>
          <w:rtl/>
          <w:lang w:bidi="ar-EG"/>
        </w:rPr>
        <w:t>حتى 31 ديسمبر 2023، وهو تاريخ بيان الوضع المالي، صدرت المعايير المحاسبية الدولية التالية للقطاع العام (IPSAS)، ولكنها لم تكن سارية المفعول:</w:t>
      </w:r>
    </w:p>
    <w:tbl>
      <w:tblPr>
        <w:tblStyle w:val="TableGrid2"/>
        <w:bidiVisual/>
        <w:tblW w:w="5000" w:type="pct"/>
        <w:jc w:val="center"/>
        <w:tblLayout w:type="fixed"/>
        <w:tblLook w:val="06A0" w:firstRow="1" w:lastRow="0" w:firstColumn="1" w:lastColumn="0" w:noHBand="1" w:noVBand="1"/>
      </w:tblPr>
      <w:tblGrid>
        <w:gridCol w:w="1182"/>
        <w:gridCol w:w="2072"/>
        <w:gridCol w:w="1559"/>
        <w:gridCol w:w="4816"/>
      </w:tblGrid>
      <w:tr w:rsidR="00705C31" w:rsidRPr="00B7103C" w14:paraId="7100F757" w14:textId="77777777" w:rsidTr="006F3E5E">
        <w:trPr>
          <w:trHeight w:val="300"/>
          <w:tblHeader/>
          <w:jc w:val="center"/>
        </w:trPr>
        <w:tc>
          <w:tcPr>
            <w:tcW w:w="1182" w:type="dxa"/>
            <w:shd w:val="clear" w:color="auto" w:fill="0070C0"/>
          </w:tcPr>
          <w:p w14:paraId="133195D9" w14:textId="77777777" w:rsidR="00705C31" w:rsidRPr="00B7103C" w:rsidRDefault="00705C31" w:rsidP="00C32070">
            <w:pPr>
              <w:pStyle w:val="TableHead"/>
              <w:rPr>
                <w:position w:val="2"/>
                <w:sz w:val="18"/>
                <w:szCs w:val="18"/>
                <w:rtl/>
              </w:rPr>
            </w:pPr>
            <w:r w:rsidRPr="00B7103C">
              <w:rPr>
                <w:position w:val="2"/>
                <w:sz w:val="18"/>
                <w:szCs w:val="18"/>
                <w:rtl/>
              </w:rPr>
              <w:t>المعيار</w:t>
            </w:r>
          </w:p>
        </w:tc>
        <w:tc>
          <w:tcPr>
            <w:tcW w:w="2072" w:type="dxa"/>
            <w:shd w:val="clear" w:color="auto" w:fill="0070C0"/>
          </w:tcPr>
          <w:p w14:paraId="704E6D03" w14:textId="77777777" w:rsidR="00705C31" w:rsidRPr="00B7103C" w:rsidRDefault="00705C31" w:rsidP="00C32070">
            <w:pPr>
              <w:pStyle w:val="TableHead"/>
              <w:rPr>
                <w:position w:val="2"/>
                <w:sz w:val="18"/>
                <w:szCs w:val="18"/>
              </w:rPr>
            </w:pPr>
            <w:r w:rsidRPr="00B7103C">
              <w:rPr>
                <w:position w:val="2"/>
                <w:sz w:val="18"/>
                <w:szCs w:val="18"/>
                <w:rtl/>
              </w:rPr>
              <w:t>العنوان</w:t>
            </w:r>
          </w:p>
        </w:tc>
        <w:tc>
          <w:tcPr>
            <w:tcW w:w="1559" w:type="dxa"/>
            <w:shd w:val="clear" w:color="auto" w:fill="0070C0"/>
          </w:tcPr>
          <w:p w14:paraId="0BB8FB5D" w14:textId="77777777" w:rsidR="00705C31" w:rsidRPr="00B7103C" w:rsidRDefault="00705C31" w:rsidP="00C32070">
            <w:pPr>
              <w:pStyle w:val="TableHead"/>
              <w:rPr>
                <w:position w:val="2"/>
                <w:sz w:val="18"/>
                <w:szCs w:val="18"/>
              </w:rPr>
            </w:pPr>
            <w:r w:rsidRPr="00B7103C">
              <w:rPr>
                <w:position w:val="2"/>
                <w:sz w:val="18"/>
                <w:szCs w:val="18"/>
                <w:rtl/>
                <w:lang w:bidi="ar-SY"/>
              </w:rPr>
              <w:t>التاريخ الفعلي</w:t>
            </w:r>
          </w:p>
        </w:tc>
        <w:tc>
          <w:tcPr>
            <w:tcW w:w="4816" w:type="dxa"/>
            <w:shd w:val="clear" w:color="auto" w:fill="0070C0"/>
          </w:tcPr>
          <w:p w14:paraId="528FC838" w14:textId="77777777" w:rsidR="00705C31" w:rsidRPr="00B7103C" w:rsidRDefault="00705C31" w:rsidP="00C32070">
            <w:pPr>
              <w:pStyle w:val="TableHead"/>
              <w:rPr>
                <w:position w:val="2"/>
                <w:sz w:val="18"/>
                <w:szCs w:val="18"/>
              </w:rPr>
            </w:pPr>
            <w:r w:rsidRPr="00B7103C">
              <w:rPr>
                <w:position w:val="2"/>
                <w:sz w:val="18"/>
                <w:szCs w:val="18"/>
                <w:rtl/>
                <w:lang w:bidi="ar-SY"/>
              </w:rPr>
              <w:t>الأثر المحتمل في سنة الاعتماد</w:t>
            </w:r>
          </w:p>
        </w:tc>
      </w:tr>
      <w:tr w:rsidR="00705C31" w:rsidRPr="00B7103C" w14:paraId="4DF3BC4B" w14:textId="77777777" w:rsidTr="00DB3336">
        <w:trPr>
          <w:jc w:val="center"/>
        </w:trPr>
        <w:tc>
          <w:tcPr>
            <w:tcW w:w="1182" w:type="dxa"/>
          </w:tcPr>
          <w:p w14:paraId="4D1DAD21" w14:textId="0B90FF5B" w:rsidR="00705C31" w:rsidRPr="00B7103C" w:rsidRDefault="00705C31" w:rsidP="00C32070">
            <w:pPr>
              <w:pStyle w:val="Tabletexte"/>
              <w:rPr>
                <w:position w:val="2"/>
                <w:sz w:val="18"/>
                <w:szCs w:val="18"/>
              </w:rPr>
            </w:pPr>
            <w:bookmarkStart w:id="156" w:name="lt_pId415"/>
            <w:r w:rsidRPr="00B7103C">
              <w:rPr>
                <w:position w:val="2"/>
                <w:sz w:val="18"/>
                <w:szCs w:val="18"/>
              </w:rPr>
              <w:t>IPSAS 43</w:t>
            </w:r>
            <w:bookmarkEnd w:id="156"/>
          </w:p>
        </w:tc>
        <w:tc>
          <w:tcPr>
            <w:tcW w:w="2072" w:type="dxa"/>
          </w:tcPr>
          <w:p w14:paraId="0687B3D1" w14:textId="77777777" w:rsidR="00705C31" w:rsidRPr="00B7103C" w:rsidRDefault="00705C31" w:rsidP="00C32070">
            <w:pPr>
              <w:pStyle w:val="Tabletexte"/>
              <w:rPr>
                <w:position w:val="2"/>
                <w:sz w:val="18"/>
                <w:szCs w:val="18"/>
              </w:rPr>
            </w:pPr>
            <w:r w:rsidRPr="00B7103C">
              <w:rPr>
                <w:position w:val="2"/>
                <w:sz w:val="18"/>
                <w:szCs w:val="18"/>
                <w:rtl/>
              </w:rPr>
              <w:t>عقود الإيجار</w:t>
            </w:r>
          </w:p>
        </w:tc>
        <w:tc>
          <w:tcPr>
            <w:tcW w:w="1559" w:type="dxa"/>
          </w:tcPr>
          <w:p w14:paraId="1F0A10D3" w14:textId="6DC2BD7C" w:rsidR="00705C31" w:rsidRPr="00B7103C" w:rsidRDefault="00705C31" w:rsidP="00C32070">
            <w:pPr>
              <w:pStyle w:val="Tabletexte"/>
              <w:rPr>
                <w:position w:val="2"/>
                <w:sz w:val="18"/>
                <w:szCs w:val="18"/>
              </w:rPr>
            </w:pPr>
            <w:r w:rsidRPr="00B7103C">
              <w:rPr>
                <w:position w:val="2"/>
                <w:sz w:val="18"/>
                <w:szCs w:val="18"/>
                <w:rtl/>
              </w:rPr>
              <w:t>1 يناير 2025</w:t>
            </w:r>
          </w:p>
        </w:tc>
        <w:tc>
          <w:tcPr>
            <w:tcW w:w="4816" w:type="dxa"/>
          </w:tcPr>
          <w:p w14:paraId="60343575" w14:textId="26B29CF2" w:rsidR="00705C31" w:rsidRPr="00B7103C" w:rsidRDefault="00705C31" w:rsidP="00C32070">
            <w:pPr>
              <w:pStyle w:val="Tabletexte"/>
              <w:rPr>
                <w:position w:val="2"/>
                <w:sz w:val="18"/>
                <w:szCs w:val="18"/>
              </w:rPr>
            </w:pPr>
            <w:r w:rsidRPr="00B7103C">
              <w:rPr>
                <w:position w:val="2"/>
                <w:sz w:val="18"/>
                <w:szCs w:val="18"/>
                <w:rtl/>
              </w:rPr>
              <w:t>يحل محل المعيار IPSAS 13 (عقود الإيجار) ويطرح نموذج حق الاستخدام للإيجارات. وهو يحدد مبادئ الاعتراف بالإيجارات وقياسها وعرضها والإفصاح عنها. ولا يؤثر هذا المعيار الجديد حالياً تأثيراً كبيراً على البيانات المالية للاتحاد لأن الاتحاد ليست لديه عقود إيجار في الوقت الحاضر. ولكن بالنظر إلى تطوير هذا المعيار الجديد ومجال تطبيقه، سيستعرض الاتحاد بعناية سياساته وأنظمته المحاسبية ليكون جاهزا</w:t>
            </w:r>
            <w:r w:rsidR="000F0A6D" w:rsidRPr="00B7103C">
              <w:rPr>
                <w:rFonts w:hint="cs"/>
                <w:position w:val="2"/>
                <w:sz w:val="18"/>
                <w:szCs w:val="18"/>
                <w:rtl/>
              </w:rPr>
              <w:t>ً</w:t>
            </w:r>
            <w:r w:rsidRPr="00B7103C">
              <w:rPr>
                <w:position w:val="2"/>
                <w:sz w:val="18"/>
                <w:szCs w:val="18"/>
                <w:rtl/>
              </w:rPr>
              <w:t xml:space="preserve"> لدخول هذا المعيار حيز النفاذ.</w:t>
            </w:r>
          </w:p>
        </w:tc>
      </w:tr>
      <w:tr w:rsidR="00705C31" w:rsidRPr="00B7103C" w14:paraId="7EB6B52F" w14:textId="77777777" w:rsidTr="00DB3336">
        <w:trPr>
          <w:trHeight w:val="300"/>
          <w:jc w:val="center"/>
        </w:trPr>
        <w:tc>
          <w:tcPr>
            <w:tcW w:w="1182" w:type="dxa"/>
          </w:tcPr>
          <w:p w14:paraId="1A8B6D94" w14:textId="68ADB44A" w:rsidR="00705C31" w:rsidRPr="00B7103C" w:rsidRDefault="00705C31" w:rsidP="00C32070">
            <w:pPr>
              <w:pStyle w:val="Tabletexte"/>
              <w:rPr>
                <w:position w:val="2"/>
                <w:sz w:val="18"/>
                <w:szCs w:val="18"/>
              </w:rPr>
            </w:pPr>
            <w:bookmarkStart w:id="157" w:name="lt_pId422"/>
            <w:r w:rsidRPr="00B7103C">
              <w:rPr>
                <w:position w:val="2"/>
                <w:sz w:val="18"/>
                <w:szCs w:val="18"/>
              </w:rPr>
              <w:t>IPSAS 44</w:t>
            </w:r>
            <w:bookmarkEnd w:id="157"/>
          </w:p>
        </w:tc>
        <w:tc>
          <w:tcPr>
            <w:tcW w:w="2072" w:type="dxa"/>
          </w:tcPr>
          <w:p w14:paraId="71F7828E" w14:textId="77777777" w:rsidR="00705C31" w:rsidRPr="00B7103C" w:rsidRDefault="00705C31" w:rsidP="00C32070">
            <w:pPr>
              <w:pStyle w:val="Tabletexte"/>
              <w:rPr>
                <w:position w:val="2"/>
                <w:sz w:val="18"/>
                <w:szCs w:val="18"/>
              </w:rPr>
            </w:pPr>
            <w:r w:rsidRPr="00B7103C">
              <w:rPr>
                <w:position w:val="2"/>
                <w:sz w:val="18"/>
                <w:szCs w:val="18"/>
                <w:rtl/>
              </w:rPr>
              <w:t>الأصول غير الجارية المحتفظ بها للبيع والعمليات المتوقفة</w:t>
            </w:r>
          </w:p>
        </w:tc>
        <w:tc>
          <w:tcPr>
            <w:tcW w:w="1559" w:type="dxa"/>
          </w:tcPr>
          <w:p w14:paraId="3F587FD7" w14:textId="62EC2FA3" w:rsidR="00705C31" w:rsidRPr="00B7103C" w:rsidRDefault="00705C31" w:rsidP="00C32070">
            <w:pPr>
              <w:pStyle w:val="Tabletexte"/>
              <w:rPr>
                <w:position w:val="2"/>
                <w:sz w:val="18"/>
                <w:szCs w:val="18"/>
              </w:rPr>
            </w:pPr>
            <w:r w:rsidRPr="00B7103C">
              <w:rPr>
                <w:position w:val="2"/>
                <w:sz w:val="18"/>
                <w:szCs w:val="18"/>
                <w:rtl/>
              </w:rPr>
              <w:t>1 يناير 2025</w:t>
            </w:r>
          </w:p>
        </w:tc>
        <w:tc>
          <w:tcPr>
            <w:tcW w:w="4816" w:type="dxa"/>
          </w:tcPr>
          <w:p w14:paraId="412D377E" w14:textId="77777777" w:rsidR="00705C31" w:rsidRPr="00B7103C" w:rsidRDefault="00705C31" w:rsidP="00C32070">
            <w:pPr>
              <w:pStyle w:val="Tabletexte"/>
              <w:rPr>
                <w:position w:val="2"/>
                <w:sz w:val="18"/>
                <w:szCs w:val="18"/>
              </w:rPr>
            </w:pPr>
            <w:r w:rsidRPr="00B7103C">
              <w:rPr>
                <w:position w:val="2"/>
                <w:sz w:val="18"/>
                <w:szCs w:val="18"/>
                <w:rtl/>
              </w:rPr>
              <w:t>يحدد هذا المعيار الجديد محاسبة الأصول المحتفظ بها للبيع وعرض العمليات المتوقفة والإفصاح عنها. وسيجرى تحليل لتقييم الأثر المحتمل على البيانات المالية للاتحاد.</w:t>
            </w:r>
          </w:p>
        </w:tc>
      </w:tr>
      <w:tr w:rsidR="00705C31" w:rsidRPr="00B7103C" w14:paraId="5FB20203" w14:textId="77777777" w:rsidTr="00DB3336">
        <w:trPr>
          <w:trHeight w:val="300"/>
          <w:jc w:val="center"/>
        </w:trPr>
        <w:tc>
          <w:tcPr>
            <w:tcW w:w="1182" w:type="dxa"/>
          </w:tcPr>
          <w:p w14:paraId="4251D92A" w14:textId="24F72D22" w:rsidR="00705C31" w:rsidRPr="00B7103C" w:rsidRDefault="00705C31" w:rsidP="00C32070">
            <w:pPr>
              <w:pStyle w:val="Tabletexte"/>
              <w:rPr>
                <w:position w:val="2"/>
                <w:sz w:val="18"/>
                <w:szCs w:val="18"/>
              </w:rPr>
            </w:pPr>
            <w:bookmarkStart w:id="158" w:name="lt_pId428"/>
            <w:r w:rsidRPr="00B7103C">
              <w:rPr>
                <w:position w:val="2"/>
                <w:sz w:val="18"/>
                <w:szCs w:val="18"/>
              </w:rPr>
              <w:t>IPASA 45</w:t>
            </w:r>
            <w:bookmarkEnd w:id="158"/>
          </w:p>
        </w:tc>
        <w:tc>
          <w:tcPr>
            <w:tcW w:w="2072" w:type="dxa"/>
          </w:tcPr>
          <w:p w14:paraId="5904FB4B" w14:textId="621A598A" w:rsidR="00705C31" w:rsidRPr="00B7103C" w:rsidRDefault="00705C31" w:rsidP="00B7103C">
            <w:pPr>
              <w:pStyle w:val="Tabletexte"/>
              <w:jc w:val="left"/>
              <w:rPr>
                <w:position w:val="2"/>
                <w:sz w:val="18"/>
                <w:szCs w:val="18"/>
              </w:rPr>
            </w:pPr>
            <w:r w:rsidRPr="00B7103C">
              <w:rPr>
                <w:position w:val="2"/>
                <w:sz w:val="18"/>
                <w:szCs w:val="18"/>
                <w:rtl/>
              </w:rPr>
              <w:t xml:space="preserve">الممتلكات </w:t>
            </w:r>
            <w:r w:rsidR="00B7103C">
              <w:rPr>
                <w:position w:val="2"/>
                <w:sz w:val="18"/>
                <w:szCs w:val="18"/>
                <w:rtl/>
              </w:rPr>
              <w:br/>
            </w:r>
            <w:r w:rsidRPr="00B7103C">
              <w:rPr>
                <w:position w:val="2"/>
                <w:sz w:val="18"/>
                <w:szCs w:val="18"/>
                <w:rtl/>
              </w:rPr>
              <w:t>والمنشآت والمعدات</w:t>
            </w:r>
          </w:p>
        </w:tc>
        <w:tc>
          <w:tcPr>
            <w:tcW w:w="1559" w:type="dxa"/>
          </w:tcPr>
          <w:p w14:paraId="2F2960B0" w14:textId="4BBAD3FE" w:rsidR="00705C31" w:rsidRPr="00B7103C" w:rsidRDefault="00B7103C" w:rsidP="00C32070">
            <w:pPr>
              <w:pStyle w:val="Tabletexte"/>
              <w:rPr>
                <w:position w:val="2"/>
                <w:sz w:val="18"/>
                <w:szCs w:val="18"/>
              </w:rPr>
            </w:pPr>
            <w:r w:rsidRPr="00B7103C">
              <w:rPr>
                <w:position w:val="2"/>
                <w:sz w:val="18"/>
                <w:szCs w:val="18"/>
                <w:rtl/>
              </w:rPr>
              <w:t>1 يناير 2025</w:t>
            </w:r>
          </w:p>
        </w:tc>
        <w:tc>
          <w:tcPr>
            <w:tcW w:w="4816" w:type="dxa"/>
          </w:tcPr>
          <w:p w14:paraId="7A09A954" w14:textId="0F01276B" w:rsidR="00705C31" w:rsidRPr="00B7103C" w:rsidRDefault="00705C31" w:rsidP="00B7103C">
            <w:pPr>
              <w:pStyle w:val="Tabletexte"/>
              <w:rPr>
                <w:spacing w:val="-4"/>
                <w:position w:val="2"/>
                <w:sz w:val="18"/>
                <w:szCs w:val="18"/>
              </w:rPr>
            </w:pPr>
            <w:r w:rsidRPr="00B7103C">
              <w:rPr>
                <w:spacing w:val="-4"/>
                <w:position w:val="2"/>
                <w:sz w:val="18"/>
                <w:szCs w:val="18"/>
                <w:rtl/>
              </w:rPr>
              <w:t>يحل المعيار IPSAS 45 محل المعيار IPSAS 17 بشأن الممتلكات والمنشآت والمعدات بإضافة القيمة التشغيلية الحالية كأساس للقياس في نموذج القيمة الحالية المحدث للأصول ضمن مجال تطبيقه، وتحديد خصائص الأصول الموروثة وأصول البنية التحتية، وإضافة توجيهات جديدة بشأن كيفية الاعتراف بهذه الأنواع المهمة من أصول القطاع العام وقياسها.</w:t>
            </w:r>
            <w:r w:rsidR="00B7103C" w:rsidRPr="00B7103C">
              <w:rPr>
                <w:rFonts w:hint="cs"/>
                <w:spacing w:val="-4"/>
                <w:position w:val="2"/>
                <w:sz w:val="18"/>
                <w:szCs w:val="18"/>
                <w:rtl/>
                <w:lang w:bidi="ar-EG"/>
              </w:rPr>
              <w:t xml:space="preserve"> </w:t>
            </w:r>
            <w:r w:rsidRPr="00B7103C">
              <w:rPr>
                <w:spacing w:val="-4"/>
                <w:position w:val="2"/>
                <w:sz w:val="18"/>
                <w:szCs w:val="18"/>
                <w:rtl/>
              </w:rPr>
              <w:t>وعلى الرغم من أنه من غير المتوقع أن يؤثر هذا المعيار الجديد تأثيرا</w:t>
            </w:r>
            <w:r w:rsidR="000F0A6D" w:rsidRPr="00B7103C">
              <w:rPr>
                <w:rFonts w:hint="cs"/>
                <w:spacing w:val="-4"/>
                <w:position w:val="2"/>
                <w:sz w:val="18"/>
                <w:szCs w:val="18"/>
                <w:rtl/>
              </w:rPr>
              <w:t>ً</w:t>
            </w:r>
            <w:r w:rsidRPr="00B7103C">
              <w:rPr>
                <w:spacing w:val="-4"/>
                <w:position w:val="2"/>
                <w:sz w:val="18"/>
                <w:szCs w:val="18"/>
                <w:rtl/>
              </w:rPr>
              <w:t xml:space="preserve"> كبيرا</w:t>
            </w:r>
            <w:r w:rsidR="000F0A6D" w:rsidRPr="00B7103C">
              <w:rPr>
                <w:rFonts w:hint="cs"/>
                <w:spacing w:val="-4"/>
                <w:position w:val="2"/>
                <w:sz w:val="18"/>
                <w:szCs w:val="18"/>
                <w:rtl/>
              </w:rPr>
              <w:t>ً</w:t>
            </w:r>
            <w:r w:rsidRPr="00B7103C">
              <w:rPr>
                <w:spacing w:val="-4"/>
                <w:position w:val="2"/>
                <w:sz w:val="18"/>
                <w:szCs w:val="18"/>
                <w:rtl/>
              </w:rPr>
              <w:t xml:space="preserve"> على البيانات المالية للاتحاد نظرا</w:t>
            </w:r>
            <w:r w:rsidR="000F0A6D" w:rsidRPr="00B7103C">
              <w:rPr>
                <w:rFonts w:hint="cs"/>
                <w:spacing w:val="-4"/>
                <w:position w:val="2"/>
                <w:sz w:val="18"/>
                <w:szCs w:val="18"/>
                <w:rtl/>
              </w:rPr>
              <w:t>ً</w:t>
            </w:r>
            <w:r w:rsidRPr="00B7103C">
              <w:rPr>
                <w:spacing w:val="-4"/>
                <w:position w:val="2"/>
                <w:sz w:val="18"/>
                <w:szCs w:val="18"/>
                <w:rtl/>
              </w:rPr>
              <w:t xml:space="preserve"> لعدم امتلاك الاتحاد حاليا</w:t>
            </w:r>
            <w:r w:rsidR="000F0A6D" w:rsidRPr="00B7103C">
              <w:rPr>
                <w:rFonts w:hint="cs"/>
                <w:spacing w:val="-4"/>
                <w:position w:val="2"/>
                <w:sz w:val="18"/>
                <w:szCs w:val="18"/>
                <w:rtl/>
              </w:rPr>
              <w:t>ً</w:t>
            </w:r>
            <w:r w:rsidRPr="00B7103C">
              <w:rPr>
                <w:spacing w:val="-4"/>
                <w:position w:val="2"/>
                <w:sz w:val="18"/>
                <w:szCs w:val="18"/>
                <w:rtl/>
              </w:rPr>
              <w:t xml:space="preserve"> تراثا</w:t>
            </w:r>
            <w:r w:rsidR="000F0A6D" w:rsidRPr="00B7103C">
              <w:rPr>
                <w:rFonts w:hint="cs"/>
                <w:spacing w:val="-4"/>
                <w:position w:val="2"/>
                <w:sz w:val="18"/>
                <w:szCs w:val="18"/>
                <w:rtl/>
              </w:rPr>
              <w:t>ً</w:t>
            </w:r>
            <w:r w:rsidRPr="00B7103C">
              <w:rPr>
                <w:spacing w:val="-4"/>
                <w:position w:val="2"/>
                <w:sz w:val="18"/>
                <w:szCs w:val="18"/>
                <w:rtl/>
              </w:rPr>
              <w:t xml:space="preserve"> ماديا</w:t>
            </w:r>
            <w:r w:rsidR="000F0A6D" w:rsidRPr="00B7103C">
              <w:rPr>
                <w:rFonts w:hint="cs"/>
                <w:spacing w:val="-4"/>
                <w:position w:val="2"/>
                <w:sz w:val="18"/>
                <w:szCs w:val="18"/>
                <w:rtl/>
              </w:rPr>
              <w:t>ً</w:t>
            </w:r>
            <w:r w:rsidRPr="00B7103C">
              <w:rPr>
                <w:spacing w:val="-4"/>
                <w:position w:val="2"/>
                <w:sz w:val="18"/>
                <w:szCs w:val="18"/>
                <w:rtl/>
              </w:rPr>
              <w:t xml:space="preserve"> وأصولا</w:t>
            </w:r>
            <w:r w:rsidR="000F0A6D" w:rsidRPr="00B7103C">
              <w:rPr>
                <w:rFonts w:hint="cs"/>
                <w:spacing w:val="-4"/>
                <w:position w:val="2"/>
                <w:sz w:val="18"/>
                <w:szCs w:val="18"/>
                <w:rtl/>
              </w:rPr>
              <w:t>ً</w:t>
            </w:r>
            <w:r w:rsidRPr="00B7103C">
              <w:rPr>
                <w:spacing w:val="-4"/>
                <w:position w:val="2"/>
                <w:sz w:val="18"/>
                <w:szCs w:val="18"/>
                <w:rtl/>
              </w:rPr>
              <w:t xml:space="preserve"> للبنية التحتية، يُجرى استعراض شامل يهدف إلى الالتزام بالمعيار الجديد.</w:t>
            </w:r>
          </w:p>
        </w:tc>
      </w:tr>
      <w:tr w:rsidR="00705C31" w:rsidRPr="00B7103C" w14:paraId="413EC9BB" w14:textId="77777777" w:rsidTr="00DB3336">
        <w:trPr>
          <w:trHeight w:val="300"/>
          <w:jc w:val="center"/>
        </w:trPr>
        <w:tc>
          <w:tcPr>
            <w:tcW w:w="1182" w:type="dxa"/>
          </w:tcPr>
          <w:p w14:paraId="4B0408BA" w14:textId="5440390D" w:rsidR="00705C31" w:rsidRPr="00B7103C" w:rsidRDefault="00705C31" w:rsidP="00C32070">
            <w:pPr>
              <w:pStyle w:val="Tabletexte"/>
              <w:rPr>
                <w:position w:val="2"/>
                <w:sz w:val="18"/>
                <w:szCs w:val="18"/>
              </w:rPr>
            </w:pPr>
            <w:bookmarkStart w:id="159" w:name="lt_pId434"/>
            <w:r w:rsidRPr="00B7103C">
              <w:rPr>
                <w:position w:val="2"/>
                <w:sz w:val="18"/>
                <w:szCs w:val="18"/>
              </w:rPr>
              <w:t>IPSAS 46</w:t>
            </w:r>
            <w:bookmarkEnd w:id="159"/>
          </w:p>
        </w:tc>
        <w:tc>
          <w:tcPr>
            <w:tcW w:w="2072" w:type="dxa"/>
          </w:tcPr>
          <w:p w14:paraId="74CFA707" w14:textId="77777777" w:rsidR="00705C31" w:rsidRPr="00B7103C" w:rsidRDefault="00705C31" w:rsidP="00C32070">
            <w:pPr>
              <w:pStyle w:val="Tabletexte"/>
              <w:rPr>
                <w:position w:val="2"/>
                <w:sz w:val="18"/>
                <w:szCs w:val="18"/>
              </w:rPr>
            </w:pPr>
            <w:r w:rsidRPr="00B7103C">
              <w:rPr>
                <w:position w:val="2"/>
                <w:sz w:val="18"/>
                <w:szCs w:val="18"/>
                <w:rtl/>
              </w:rPr>
              <w:t>قياس</w:t>
            </w:r>
          </w:p>
        </w:tc>
        <w:tc>
          <w:tcPr>
            <w:tcW w:w="1559" w:type="dxa"/>
          </w:tcPr>
          <w:p w14:paraId="5D47A11E" w14:textId="63DAD8D8" w:rsidR="00705C31" w:rsidRPr="00B7103C" w:rsidRDefault="00B7103C" w:rsidP="00C32070">
            <w:pPr>
              <w:pStyle w:val="Tabletexte"/>
              <w:rPr>
                <w:position w:val="2"/>
                <w:sz w:val="18"/>
                <w:szCs w:val="18"/>
              </w:rPr>
            </w:pPr>
            <w:r w:rsidRPr="00B7103C">
              <w:rPr>
                <w:position w:val="2"/>
                <w:sz w:val="18"/>
                <w:szCs w:val="18"/>
                <w:rtl/>
              </w:rPr>
              <w:t>1 يناير 2025</w:t>
            </w:r>
          </w:p>
        </w:tc>
        <w:tc>
          <w:tcPr>
            <w:tcW w:w="4816" w:type="dxa"/>
          </w:tcPr>
          <w:p w14:paraId="1FFCD331" w14:textId="77777777" w:rsidR="00705C31" w:rsidRPr="00B7103C" w:rsidRDefault="00705C31" w:rsidP="00C32070">
            <w:pPr>
              <w:pStyle w:val="Tabletexte"/>
              <w:rPr>
                <w:spacing w:val="-2"/>
                <w:position w:val="2"/>
                <w:sz w:val="18"/>
                <w:szCs w:val="18"/>
              </w:rPr>
            </w:pPr>
            <w:r w:rsidRPr="00B7103C">
              <w:rPr>
                <w:spacing w:val="-2"/>
                <w:position w:val="2"/>
                <w:sz w:val="18"/>
                <w:szCs w:val="18"/>
                <w:rtl/>
              </w:rPr>
              <w:t xml:space="preserve">يقدم المعيار </w:t>
            </w:r>
            <w:r w:rsidRPr="00B7103C">
              <w:rPr>
                <w:spacing w:val="-2"/>
                <w:position w:val="2"/>
                <w:sz w:val="18"/>
                <w:szCs w:val="18"/>
              </w:rPr>
              <w:t>IPSAS 46</w:t>
            </w:r>
            <w:r w:rsidRPr="00B7103C">
              <w:rPr>
                <w:spacing w:val="-2"/>
                <w:position w:val="2"/>
                <w:sz w:val="18"/>
                <w:szCs w:val="18"/>
                <w:rtl/>
              </w:rPr>
              <w:t xml:space="preserve"> توجيهات جديدة في معيار واحد يتناول كيفية تطبيق قواعد القياس الشائعة الاستعمال في الممارسة العملية. وهو يقدم إرشادات عامة بشأن القيمة العادلة لأول مرة، ويعرِّف بالقيمة التشغيلية الجارية التي تشكل أساس قياس القيمة الجارية الخاصة بالقطاع العام متناولاً آراء المستفيدين بشأن الحاجة إلى أساس بديل لقياس القيمة الجارية للوقوف على القيمة العادلة لبعض أصول القطاع العام. ويقوم الاتحاد حالياً بالتحديد الكمي لتأثير هذا المعيار على حساباته المالية.</w:t>
            </w:r>
          </w:p>
        </w:tc>
      </w:tr>
      <w:tr w:rsidR="00705C31" w:rsidRPr="00B7103C" w14:paraId="079CF274" w14:textId="77777777" w:rsidTr="00DB3336">
        <w:trPr>
          <w:trHeight w:val="300"/>
          <w:jc w:val="center"/>
        </w:trPr>
        <w:tc>
          <w:tcPr>
            <w:tcW w:w="1182" w:type="dxa"/>
          </w:tcPr>
          <w:p w14:paraId="20CDD6FD" w14:textId="53FBE8A6" w:rsidR="00705C31" w:rsidRPr="00B7103C" w:rsidRDefault="00705C31" w:rsidP="00C32070">
            <w:pPr>
              <w:pStyle w:val="Tabletexte"/>
              <w:rPr>
                <w:position w:val="2"/>
                <w:sz w:val="18"/>
                <w:szCs w:val="18"/>
              </w:rPr>
            </w:pPr>
            <w:bookmarkStart w:id="160" w:name="lt_pId441"/>
            <w:r w:rsidRPr="00B7103C">
              <w:rPr>
                <w:position w:val="2"/>
                <w:sz w:val="18"/>
                <w:szCs w:val="18"/>
              </w:rPr>
              <w:lastRenderedPageBreak/>
              <w:t>IPSAS 47</w:t>
            </w:r>
            <w:bookmarkEnd w:id="160"/>
          </w:p>
        </w:tc>
        <w:tc>
          <w:tcPr>
            <w:tcW w:w="2072" w:type="dxa"/>
          </w:tcPr>
          <w:p w14:paraId="13BD6967" w14:textId="089880FD" w:rsidR="00705C31" w:rsidRPr="00B7103C" w:rsidRDefault="00D05549" w:rsidP="00C32070">
            <w:pPr>
              <w:pStyle w:val="Tabletexte"/>
              <w:rPr>
                <w:position w:val="2"/>
                <w:sz w:val="18"/>
                <w:szCs w:val="18"/>
              </w:rPr>
            </w:pPr>
            <w:r w:rsidRPr="00B7103C">
              <w:rPr>
                <w:position w:val="2"/>
                <w:sz w:val="18"/>
                <w:szCs w:val="18"/>
                <w:rtl/>
              </w:rPr>
              <w:t>الإيرادات</w:t>
            </w:r>
          </w:p>
        </w:tc>
        <w:tc>
          <w:tcPr>
            <w:tcW w:w="1559" w:type="dxa"/>
          </w:tcPr>
          <w:p w14:paraId="64813E73" w14:textId="5DBDC31D" w:rsidR="00705C31" w:rsidRPr="00B7103C" w:rsidRDefault="00705C31" w:rsidP="00C32070">
            <w:pPr>
              <w:pStyle w:val="Tabletexte"/>
              <w:rPr>
                <w:position w:val="2"/>
                <w:sz w:val="18"/>
                <w:szCs w:val="18"/>
              </w:rPr>
            </w:pPr>
            <w:r w:rsidRPr="00B7103C">
              <w:rPr>
                <w:position w:val="2"/>
                <w:sz w:val="18"/>
                <w:szCs w:val="18"/>
                <w:rtl/>
              </w:rPr>
              <w:t>1 يناير 2026</w:t>
            </w:r>
          </w:p>
        </w:tc>
        <w:tc>
          <w:tcPr>
            <w:tcW w:w="4816" w:type="dxa"/>
          </w:tcPr>
          <w:p w14:paraId="4D45BE28" w14:textId="77777777" w:rsidR="00705C31" w:rsidRPr="00B7103C" w:rsidRDefault="00705C31" w:rsidP="00B7103C">
            <w:pPr>
              <w:pStyle w:val="Tabletexte"/>
              <w:keepLines/>
              <w:rPr>
                <w:spacing w:val="-2"/>
                <w:position w:val="2"/>
                <w:sz w:val="18"/>
                <w:szCs w:val="18"/>
              </w:rPr>
            </w:pPr>
            <w:r w:rsidRPr="00B7103C">
              <w:rPr>
                <w:spacing w:val="-2"/>
                <w:position w:val="2"/>
                <w:sz w:val="18"/>
                <w:szCs w:val="18"/>
                <w:rtl/>
              </w:rPr>
              <w:t>المعيار IPSAS 47 بشأن الإيرادات هو مصدر وحيد للتوجيه المحاسبي للإيرادات في القطاع العام، وهو يعرض نموذجين للمحاسبة يقومان على وجود ترتيب ملزم. ويقدم هذا المعيار الجديد توجيهات مركزة لمساعدة الكيانات على تطبيق مبادئ لحساب معاملات إيرادات القطاع العام. ويقوم الاتحاد حالياً بالتحديد الكمي لتأثير هذا المعيار على حساباته المالية.</w:t>
            </w:r>
          </w:p>
        </w:tc>
      </w:tr>
      <w:tr w:rsidR="00705C31" w:rsidRPr="00B7103C" w14:paraId="2B83A1E2" w14:textId="77777777" w:rsidTr="00DB3336">
        <w:trPr>
          <w:trHeight w:val="300"/>
          <w:jc w:val="center"/>
        </w:trPr>
        <w:tc>
          <w:tcPr>
            <w:tcW w:w="1182" w:type="dxa"/>
          </w:tcPr>
          <w:p w14:paraId="2B0E1187" w14:textId="44AE2B5F" w:rsidR="00705C31" w:rsidRPr="00B7103C" w:rsidRDefault="00705C31" w:rsidP="00C32070">
            <w:pPr>
              <w:pStyle w:val="Tabletexte"/>
              <w:rPr>
                <w:position w:val="2"/>
                <w:sz w:val="18"/>
                <w:szCs w:val="18"/>
              </w:rPr>
            </w:pPr>
            <w:bookmarkStart w:id="161" w:name="lt_pId448"/>
            <w:r w:rsidRPr="00B7103C">
              <w:rPr>
                <w:position w:val="2"/>
                <w:sz w:val="18"/>
                <w:szCs w:val="18"/>
              </w:rPr>
              <w:t>IPSAS 48</w:t>
            </w:r>
            <w:bookmarkEnd w:id="161"/>
          </w:p>
        </w:tc>
        <w:tc>
          <w:tcPr>
            <w:tcW w:w="2072" w:type="dxa"/>
          </w:tcPr>
          <w:p w14:paraId="55C32329" w14:textId="77777777" w:rsidR="00705C31" w:rsidRPr="00B7103C" w:rsidRDefault="00705C31" w:rsidP="00C32070">
            <w:pPr>
              <w:pStyle w:val="Tabletexte"/>
              <w:rPr>
                <w:position w:val="2"/>
                <w:sz w:val="18"/>
                <w:szCs w:val="18"/>
              </w:rPr>
            </w:pPr>
            <w:r w:rsidRPr="00B7103C">
              <w:rPr>
                <w:position w:val="2"/>
                <w:sz w:val="18"/>
                <w:szCs w:val="18"/>
                <w:rtl/>
              </w:rPr>
              <w:t>نفقات التحويل</w:t>
            </w:r>
          </w:p>
        </w:tc>
        <w:tc>
          <w:tcPr>
            <w:tcW w:w="1559" w:type="dxa"/>
          </w:tcPr>
          <w:p w14:paraId="3A28C1CC" w14:textId="53F317E9" w:rsidR="00705C31" w:rsidRPr="00B7103C" w:rsidRDefault="00705C31" w:rsidP="00C32070">
            <w:pPr>
              <w:pStyle w:val="Tabletexte"/>
              <w:rPr>
                <w:position w:val="2"/>
                <w:sz w:val="18"/>
                <w:szCs w:val="18"/>
              </w:rPr>
            </w:pPr>
            <w:r w:rsidRPr="00B7103C">
              <w:rPr>
                <w:position w:val="2"/>
                <w:sz w:val="18"/>
                <w:szCs w:val="18"/>
                <w:rtl/>
              </w:rPr>
              <w:t>1 يناير 2026</w:t>
            </w:r>
          </w:p>
        </w:tc>
        <w:tc>
          <w:tcPr>
            <w:tcW w:w="4816" w:type="dxa"/>
          </w:tcPr>
          <w:p w14:paraId="489F8A26" w14:textId="77777777" w:rsidR="00705C31" w:rsidRPr="00B7103C" w:rsidRDefault="00705C31" w:rsidP="00C32070">
            <w:pPr>
              <w:pStyle w:val="Tabletexte"/>
              <w:rPr>
                <w:spacing w:val="-2"/>
                <w:position w:val="2"/>
                <w:sz w:val="18"/>
                <w:szCs w:val="18"/>
              </w:rPr>
            </w:pPr>
            <w:r w:rsidRPr="00B7103C">
              <w:rPr>
                <w:spacing w:val="-2"/>
                <w:position w:val="2"/>
                <w:sz w:val="18"/>
                <w:szCs w:val="18"/>
                <w:rtl/>
              </w:rPr>
              <w:t>المعيار 48 IPSAS بشأن نفقات التحويل يقدم توجيهات محاسبية لنفقات التحويل التي تمثل جزءاً كبيراً من النفقات لكثير من كيانات القطاع العام. ويسد هذا المعيار الجديد فجوة كبيرة في أدبيات المجلس الدولي للمعايير المحاسبية للقطاع العام (IPSASB) ويقدم توجيهات لمساعدة الكيانات في حساب معاملات نفقات التحويل في القطاع العام. ويقوم الاتحاد حالياً بالتحديد الكمي لتأثير هذا المعيار على حساباته المالية.</w:t>
            </w:r>
          </w:p>
        </w:tc>
      </w:tr>
    </w:tbl>
    <w:p w14:paraId="73E618EA" w14:textId="77777777" w:rsidR="00705C31" w:rsidRPr="00C32070" w:rsidRDefault="00705C31" w:rsidP="003724DE">
      <w:pPr>
        <w:rPr>
          <w:rtl/>
          <w:lang w:bidi="ar-EG"/>
        </w:rPr>
      </w:pPr>
      <w:r w:rsidRPr="00C32070">
        <w:rPr>
          <w:rtl/>
          <w:lang w:bidi="ar-EG"/>
        </w:rPr>
        <w:t>ويواصل الاتحاد تقييم تأثير المعايير المذكورة أعلاه على البيانات المالية المستقبلية قبل تاريخ سريانها.</w:t>
      </w:r>
    </w:p>
    <w:p w14:paraId="5D56C397" w14:textId="77777777" w:rsidR="00705C31" w:rsidRPr="00C32070" w:rsidRDefault="00705C31" w:rsidP="003724DE">
      <w:pPr>
        <w:rPr>
          <w:rtl/>
          <w:lang w:bidi="ar-EG"/>
        </w:rPr>
      </w:pPr>
      <w:r w:rsidRPr="00C32070">
        <w:rPr>
          <w:rtl/>
          <w:lang w:bidi="ar-EG"/>
        </w:rPr>
        <w:t>وعلاوةً على ذلك، يستمر الاتحاد في رصد تطور مشاريع الكشوف وينشط في المشاركة في أعمال مجلس المعايير المحاسبية الدولية للقطاع العام من خلال فريق المهام المعني بالمعايير المحاسبية في منظومة الأمم المتحدة، متنبهاً إلى أن تطبيقها قد يؤثر على البيانات المالية للاتحاد في المستقبل.</w:t>
      </w:r>
    </w:p>
    <w:p w14:paraId="649A57FD" w14:textId="77777777" w:rsidR="00705C31" w:rsidRPr="00C32070" w:rsidRDefault="00705C31" w:rsidP="00DB3336">
      <w:pPr>
        <w:pStyle w:val="Heading5"/>
      </w:pPr>
      <w:bookmarkStart w:id="162" w:name="_Toc162520621"/>
      <w:bookmarkStart w:id="163" w:name="_Toc168329273"/>
      <w:bookmarkStart w:id="164" w:name="_Toc168329315"/>
      <w:bookmarkStart w:id="165" w:name="_Toc168657553"/>
      <w:r w:rsidRPr="00C32070">
        <w:rPr>
          <w:rtl/>
        </w:rPr>
        <w:t>الملاحظة 3</w:t>
      </w:r>
      <w:r w:rsidRPr="00C32070">
        <w:rPr>
          <w:rtl/>
        </w:rPr>
        <w:tab/>
        <w:t>سياسات محاسبية مهمة</w:t>
      </w:r>
      <w:bookmarkEnd w:id="162"/>
      <w:bookmarkEnd w:id="163"/>
      <w:bookmarkEnd w:id="164"/>
      <w:bookmarkEnd w:id="165"/>
    </w:p>
    <w:p w14:paraId="102E607A" w14:textId="4EF3D460" w:rsidR="00705C31" w:rsidRPr="00C32070" w:rsidRDefault="00705C31" w:rsidP="00705C31">
      <w:pPr>
        <w:pStyle w:val="Heading2"/>
      </w:pPr>
      <w:bookmarkStart w:id="166" w:name="_Toc168329274"/>
      <w:bookmarkStart w:id="167" w:name="_Toc168329316"/>
      <w:bookmarkStart w:id="168" w:name="_Toc168657554"/>
      <w:r w:rsidRPr="00C32070">
        <w:rPr>
          <w:rtl/>
        </w:rPr>
        <w:t>1.3</w:t>
      </w:r>
      <w:r w:rsidRPr="00C32070">
        <w:rPr>
          <w:rtl/>
        </w:rPr>
        <w:tab/>
        <w:t>سعر صرف العملة الوظيفية</w:t>
      </w:r>
      <w:bookmarkEnd w:id="166"/>
      <w:bookmarkEnd w:id="167"/>
      <w:bookmarkEnd w:id="168"/>
    </w:p>
    <w:p w14:paraId="5E37DA72" w14:textId="77777777" w:rsidR="00705C31" w:rsidRPr="007213A4" w:rsidRDefault="00705C31" w:rsidP="003724DE">
      <w:pPr>
        <w:rPr>
          <w:spacing w:val="-6"/>
        </w:rPr>
      </w:pPr>
      <w:r w:rsidRPr="007213A4">
        <w:rPr>
          <w:spacing w:val="-6"/>
          <w:rtl/>
          <w:lang w:bidi="ar-EG"/>
        </w:rPr>
        <w:t xml:space="preserve">الفرنك السويسري </w:t>
      </w:r>
      <w:r w:rsidRPr="007213A4">
        <w:rPr>
          <w:spacing w:val="-6"/>
          <w:lang w:bidi="ar-EG"/>
        </w:rPr>
        <w:t>(CHF)</w:t>
      </w:r>
      <w:r w:rsidRPr="007213A4">
        <w:rPr>
          <w:spacing w:val="-6"/>
          <w:rtl/>
          <w:lang w:bidi="ar-EG"/>
        </w:rPr>
        <w:t xml:space="preserve"> هو العملة الوظيفية للاتحاد وهو العملة المستخدمة في تقديم البيانات المالية.</w:t>
      </w:r>
      <w:r w:rsidRPr="007213A4">
        <w:rPr>
          <w:spacing w:val="-6"/>
          <w:lang w:bidi="ar-EG"/>
        </w:rPr>
        <w:t xml:space="preserve"> </w:t>
      </w:r>
      <w:r w:rsidRPr="007213A4">
        <w:rPr>
          <w:spacing w:val="-6"/>
          <w:rtl/>
          <w:lang w:bidi="ar-EG"/>
        </w:rPr>
        <w:t>وتحوّل العمليات التي تتم بعملات أخرى غير الفرنك السويسري إلى هذه العملة بمعدل سعر الصرف التشغيلي للأمم المتحدة </w:t>
      </w:r>
      <w:r w:rsidRPr="007213A4">
        <w:rPr>
          <w:spacing w:val="-6"/>
          <w:lang w:bidi="ar-EG"/>
        </w:rPr>
        <w:t>(UNORE)</w:t>
      </w:r>
      <w:r w:rsidRPr="007213A4">
        <w:rPr>
          <w:spacing w:val="-6"/>
          <w:rtl/>
          <w:lang w:bidi="ar-EG"/>
        </w:rPr>
        <w:t xml:space="preserve"> المعمول به في تاريخ المعاملة. وتحوّل الأصول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(البيان الثاني) الخسائر والأرباح، سواء المحققة أم غير المحققة، المترتبة على تسوية هذه المعاملات بحكم سعر الصرف وعلى التحويل في تاريخ قيد الموجودات والالتزامات بهذه العملات.</w:t>
      </w:r>
    </w:p>
    <w:p w14:paraId="1FC4351D" w14:textId="7D9551E6" w:rsidR="00705C31" w:rsidRPr="00C32070" w:rsidRDefault="00705C31" w:rsidP="00705C31">
      <w:pPr>
        <w:pStyle w:val="Heading2"/>
      </w:pPr>
      <w:bookmarkStart w:id="169" w:name="_Toc168329275"/>
      <w:bookmarkStart w:id="170" w:name="_Toc168329317"/>
      <w:bookmarkStart w:id="171" w:name="_Toc168657555"/>
      <w:r w:rsidRPr="00C32070">
        <w:rPr>
          <w:rtl/>
        </w:rPr>
        <w:t>2.3</w:t>
      </w:r>
      <w:r w:rsidRPr="00C32070">
        <w:rPr>
          <w:rtl/>
        </w:rPr>
        <w:tab/>
        <w:t>الصكوك المالية</w:t>
      </w:r>
      <w:bookmarkEnd w:id="169"/>
      <w:bookmarkEnd w:id="170"/>
      <w:bookmarkEnd w:id="171"/>
    </w:p>
    <w:p w14:paraId="45364A04" w14:textId="77777777" w:rsidR="00705C31" w:rsidRPr="00C32070" w:rsidRDefault="00705C31" w:rsidP="003724DE">
      <w:pPr>
        <w:rPr>
          <w:rtl/>
          <w:lang w:bidi="ar-SY"/>
        </w:rPr>
      </w:pPr>
      <w:r w:rsidRPr="00C32070">
        <w:rPr>
          <w:rtl/>
          <w:lang w:bidi="ar-SY"/>
        </w:rPr>
        <w:t>تشمل الصكوك المالية للاتحاد الأموال النقدية والإيداعات قصيرة الأجل والاستثمارات</w:t>
      </w:r>
      <w:r w:rsidRPr="00C32070">
        <w:rPr>
          <w:rtl/>
        </w:rPr>
        <w:t xml:space="preserve"> والذمم المدينة</w:t>
      </w:r>
      <w:r w:rsidRPr="00C32070">
        <w:rPr>
          <w:rtl/>
          <w:lang w:bidi="ar-SY"/>
        </w:rPr>
        <w:t xml:space="preserve"> من عمليات تبادلية ومن عمليات غير تبادلية والتداولات المستحقة الدفع والديون</w:t>
      </w:r>
      <w:r w:rsidRPr="00C32070">
        <w:rPr>
          <w:rtl/>
          <w:lang w:bidi="ar-EG"/>
        </w:rPr>
        <w:t> </w:t>
      </w:r>
      <w:r w:rsidRPr="00C32070">
        <w:rPr>
          <w:rtl/>
          <w:lang w:bidi="ar-SY"/>
        </w:rPr>
        <w:t>والقروض.</w:t>
      </w:r>
    </w:p>
    <w:p w14:paraId="4EC242EF" w14:textId="77777777" w:rsidR="00705C31" w:rsidRPr="00C32070" w:rsidRDefault="00705C31" w:rsidP="00705C31">
      <w:pPr>
        <w:pStyle w:val="HeadingI"/>
        <w:rPr>
          <w:i w:val="0"/>
          <w:iCs w:val="0"/>
        </w:rPr>
      </w:pPr>
      <w:r w:rsidRPr="00C32070">
        <w:rPr>
          <w:i w:val="0"/>
          <w:iCs w:val="0"/>
          <w:rtl/>
        </w:rPr>
        <w:t>1.2.3</w:t>
      </w:r>
      <w:r w:rsidRPr="00C32070">
        <w:rPr>
          <w:rtl/>
        </w:rPr>
        <w:tab/>
      </w:r>
      <w:bookmarkStart w:id="172" w:name="_Toc387338327"/>
      <w:bookmarkStart w:id="173" w:name="_Toc419484052"/>
      <w:bookmarkStart w:id="174" w:name="_Toc452156604"/>
      <w:bookmarkStart w:id="175" w:name="_Toc482792203"/>
      <w:bookmarkStart w:id="176" w:name="_Toc520365458"/>
      <w:r w:rsidRPr="00C32070">
        <w:rPr>
          <w:rtl/>
          <w:lang w:eastAsia="en-US"/>
        </w:rPr>
        <w:t xml:space="preserve">الأموال النقدية وما </w:t>
      </w:r>
      <w:bookmarkEnd w:id="172"/>
      <w:bookmarkEnd w:id="173"/>
      <w:bookmarkEnd w:id="174"/>
      <w:bookmarkEnd w:id="175"/>
      <w:r w:rsidRPr="00C32070">
        <w:rPr>
          <w:rtl/>
          <w:lang w:eastAsia="en-US"/>
        </w:rPr>
        <w:t>يعادلها</w:t>
      </w:r>
      <w:bookmarkEnd w:id="176"/>
    </w:p>
    <w:p w14:paraId="0D8EAF9B" w14:textId="77777777" w:rsidR="00705C31" w:rsidRPr="00C32070" w:rsidRDefault="00705C31" w:rsidP="00705C31">
      <w:r w:rsidRPr="00C32070">
        <w:rPr>
          <w:rtl/>
          <w:lang w:bidi="ar-SY"/>
        </w:rPr>
        <w:t xml:space="preserve">تشمل الأموال النقدية وما يعادلها النقد الموجود والنقد في المصرف والإيداعات المصرفية القصيرة الأجل التي يبلغ أجل </w:t>
      </w:r>
      <w:r w:rsidRPr="00C32070">
        <w:rPr>
          <w:rtl/>
        </w:rPr>
        <w:t>استحقاقها ثلاثة أشهر أو أقل.</w:t>
      </w:r>
    </w:p>
    <w:p w14:paraId="35F38C8D" w14:textId="77777777" w:rsidR="00705C31" w:rsidRPr="00C32070" w:rsidRDefault="00705C31" w:rsidP="00705C31">
      <w:pPr>
        <w:pStyle w:val="HeadingI"/>
        <w:rPr>
          <w:i w:val="0"/>
          <w:iCs w:val="0"/>
        </w:rPr>
      </w:pPr>
      <w:r w:rsidRPr="00C32070">
        <w:rPr>
          <w:i w:val="0"/>
          <w:iCs w:val="0"/>
          <w:rtl/>
        </w:rPr>
        <w:t>2.2.3</w:t>
      </w:r>
      <w:r w:rsidRPr="00C32070">
        <w:rPr>
          <w:rtl/>
        </w:rPr>
        <w:tab/>
        <w:t>الاستثمارات</w:t>
      </w:r>
    </w:p>
    <w:p w14:paraId="5B63BC63" w14:textId="74702207" w:rsidR="00705C31" w:rsidRPr="00C32070" w:rsidRDefault="00705C31" w:rsidP="00D171F1">
      <w:pPr>
        <w:rPr>
          <w:rtl/>
          <w:lang w:bidi="ar-SY"/>
        </w:rPr>
      </w:pPr>
      <w:r w:rsidRPr="00C32070">
        <w:rPr>
          <w:rtl/>
          <w:lang w:bidi="ar-SY"/>
        </w:rPr>
        <w:t>إيداعات لأجل مسمى، يتراوح أجل استحقاقها بين ثلاثة أشهر وتسعة أشهر وتكون على درجة عالية من السيولة، يمكن تحويلها إلى مبلغ نقدي معروف وتخضع لعنصر مخاطرة ضئيل جدا</w:t>
      </w:r>
      <w:r w:rsidR="000F0A6D">
        <w:rPr>
          <w:rFonts w:hint="cs"/>
          <w:rtl/>
          <w:lang w:bidi="ar-SY"/>
        </w:rPr>
        <w:t>ً</w:t>
      </w:r>
      <w:r w:rsidRPr="00C32070">
        <w:rPr>
          <w:rtl/>
          <w:lang w:bidi="ar-SY"/>
        </w:rPr>
        <w:t xml:space="preserve"> من حيث تغير القيمة وتقيّد في إطار التكاليف المستهلكة وفقا</w:t>
      </w:r>
      <w:r w:rsidR="00872CD9" w:rsidRPr="00C32070">
        <w:rPr>
          <w:rtl/>
          <w:lang w:bidi="ar-SY"/>
        </w:rPr>
        <w:t xml:space="preserve">ً </w:t>
      </w:r>
      <w:r w:rsidRPr="00C32070">
        <w:rPr>
          <w:rtl/>
          <w:lang w:bidi="ar-SY"/>
        </w:rPr>
        <w:t xml:space="preserve">للمعيار </w:t>
      </w:r>
      <w:r w:rsidRPr="00C32070">
        <w:rPr>
          <w:lang w:bidi="ar-SY"/>
        </w:rPr>
        <w:t>IPSAS 41</w:t>
      </w:r>
      <w:r w:rsidRPr="00C32070">
        <w:rPr>
          <w:rtl/>
          <w:lang w:bidi="ar-SY"/>
        </w:rPr>
        <w:t>.</w:t>
      </w:r>
      <w:r w:rsidRPr="00C32070">
        <w:rPr>
          <w:lang w:bidi="ar-SY"/>
        </w:rPr>
        <w:t xml:space="preserve"> </w:t>
      </w:r>
      <w:r w:rsidRPr="00C32070">
        <w:rPr>
          <w:rtl/>
          <w:lang w:bidi="ar-SY"/>
        </w:rPr>
        <w:t>وتعرض الاستثمارات في</w:t>
      </w:r>
      <w:r w:rsidRPr="00C32070">
        <w:rPr>
          <w:rtl/>
          <w:lang w:bidi="ar-EG"/>
        </w:rPr>
        <w:t xml:space="preserve"> بيان الوضع المالي باعتبارها جارية.</w:t>
      </w:r>
    </w:p>
    <w:p w14:paraId="1C3F0087" w14:textId="77777777" w:rsidR="00705C31" w:rsidRPr="00C32070" w:rsidRDefault="00705C31" w:rsidP="00705C31">
      <w:pPr>
        <w:pStyle w:val="HeadingI"/>
        <w:rPr>
          <w:i w:val="0"/>
          <w:iCs w:val="0"/>
        </w:rPr>
      </w:pPr>
      <w:r w:rsidRPr="00C32070">
        <w:rPr>
          <w:i w:val="0"/>
          <w:iCs w:val="0"/>
          <w:rtl/>
        </w:rPr>
        <w:t>3.2.3</w:t>
      </w:r>
      <w:r w:rsidRPr="00C32070">
        <w:rPr>
          <w:rtl/>
        </w:rPr>
        <w:tab/>
      </w:r>
      <w:r w:rsidRPr="00C32070">
        <w:rPr>
          <w:rtl/>
          <w:lang w:eastAsia="en-US"/>
        </w:rPr>
        <w:t>الخصوم المالية الأخرى وقرض مؤسسة مباني المنظمات الدولية (</w:t>
      </w:r>
      <w:r w:rsidRPr="00C32070">
        <w:rPr>
          <w:lang w:eastAsia="en-US"/>
        </w:rPr>
        <w:t>FIPOI</w:t>
      </w:r>
      <w:r w:rsidRPr="00C32070">
        <w:rPr>
          <w:rtl/>
          <w:lang w:eastAsia="en-US"/>
        </w:rPr>
        <w:t>)</w:t>
      </w:r>
    </w:p>
    <w:p w14:paraId="3803F75C" w14:textId="77777777" w:rsidR="00705C31" w:rsidRPr="00C32070" w:rsidRDefault="00705C31" w:rsidP="00D171F1">
      <w:pPr>
        <w:rPr>
          <w:rtl/>
          <w:lang w:bidi="ar-SY"/>
        </w:rPr>
      </w:pPr>
      <w:r w:rsidRPr="00C32070">
        <w:rPr>
          <w:rtl/>
          <w:lang w:bidi="ar-SY"/>
        </w:rPr>
        <w:t>تتألف الخصوم المالية من القروض والذمم الدائنة</w:t>
      </w:r>
      <w:r w:rsidRPr="00C32070">
        <w:rPr>
          <w:rtl/>
        </w:rPr>
        <w:t xml:space="preserve"> </w:t>
      </w:r>
      <w:r w:rsidRPr="00C32070">
        <w:rPr>
          <w:rtl/>
          <w:lang w:bidi="ar-SY"/>
        </w:rPr>
        <w:t>الأخرى للتمويل والموردين والمعاملات. وهي تعرض في بيان الوضع المالي في شكل خصوم جارية أو غير جارية تبعاً لما إذا كان استحقاقها أقل أو أكثر من</w:t>
      </w:r>
      <w:r w:rsidRPr="00C32070">
        <w:rPr>
          <w:rtl/>
          <w:lang w:bidi="ar-EG"/>
        </w:rPr>
        <w:t> </w:t>
      </w:r>
      <w:r w:rsidRPr="00C32070">
        <w:rPr>
          <w:rtl/>
          <w:lang w:bidi="ar-SY"/>
        </w:rPr>
        <w:t>سنة.</w:t>
      </w:r>
    </w:p>
    <w:p w14:paraId="55FD73C4" w14:textId="63AA27FB" w:rsidR="00681E81" w:rsidRPr="00C32070" w:rsidRDefault="00705C31" w:rsidP="00705C31">
      <w:pPr>
        <w:rPr>
          <w:rtl/>
          <w:lang w:bidi="ar-EG"/>
        </w:rPr>
      </w:pPr>
      <w:r w:rsidRPr="00C32070">
        <w:rPr>
          <w:rtl/>
          <w:lang w:bidi="ar-EG"/>
        </w:rPr>
        <w:t>وتتألف المبالغ المبينة في القروض الواردة في هذه البيانات المالية من قروض بدون فوائد منحتها مؤسسة مباني المنظمات الدولية</w:t>
      </w:r>
      <w:r w:rsidR="00D171F1" w:rsidRPr="00C32070">
        <w:rPr>
          <w:rtl/>
          <w:lang w:bidi="ar-EG"/>
        </w:rPr>
        <w:t xml:space="preserve"> </w:t>
      </w:r>
      <w:r w:rsidR="00D171F1" w:rsidRPr="00C32070">
        <w:rPr>
          <w:rtl/>
          <w:lang w:eastAsia="en-US"/>
        </w:rPr>
        <w:t>(</w:t>
      </w:r>
      <w:r w:rsidR="00D171F1" w:rsidRPr="00C32070">
        <w:rPr>
          <w:lang w:eastAsia="en-US"/>
        </w:rPr>
        <w:t>FIPOI</w:t>
      </w:r>
      <w:r w:rsidR="00D171F1" w:rsidRPr="00C32070">
        <w:rPr>
          <w:rtl/>
          <w:lang w:eastAsia="en-US"/>
        </w:rPr>
        <w:t>)</w:t>
      </w:r>
      <w:r w:rsidR="00D171F1" w:rsidRPr="00C32070">
        <w:rPr>
          <w:rtl/>
          <w:lang w:bidi="ar-EG"/>
        </w:rPr>
        <w:t xml:space="preserve"> </w:t>
      </w:r>
      <w:r w:rsidRPr="00C32070">
        <w:rPr>
          <w:rtl/>
          <w:lang w:bidi="ar-EG"/>
        </w:rPr>
        <w:t>لتمويل تشييد مباني الاتحاد.</w:t>
      </w:r>
    </w:p>
    <w:p w14:paraId="1AB2D367" w14:textId="43B49348" w:rsidR="00705C31" w:rsidRPr="007213A4" w:rsidRDefault="00705C31" w:rsidP="00705C31">
      <w:pPr>
        <w:rPr>
          <w:spacing w:val="-6"/>
          <w:rtl/>
          <w:lang w:bidi="ar-EG"/>
        </w:rPr>
      </w:pPr>
      <w:r w:rsidRPr="007213A4">
        <w:rPr>
          <w:spacing w:val="-6"/>
          <w:rtl/>
          <w:lang w:bidi="ar-EG"/>
        </w:rPr>
        <w:lastRenderedPageBreak/>
        <w:t>ويحسب الاتحاد القروض بالقيمة العادلة. وقد خُصم المبلغ المستحق للقروض باستخدام معدل الفائدة على سندات الاتحاد السويسري لمدة 30 عاما</w:t>
      </w:r>
      <w:r w:rsidR="00D171F1" w:rsidRPr="007213A4">
        <w:rPr>
          <w:spacing w:val="-6"/>
          <w:rtl/>
          <w:lang w:bidi="ar-EG"/>
        </w:rPr>
        <w:t>ً</w:t>
      </w:r>
      <w:r w:rsidRPr="007213A4">
        <w:rPr>
          <w:spacing w:val="-6"/>
          <w:rtl/>
          <w:lang w:bidi="ar-EG"/>
        </w:rPr>
        <w:t xml:space="preserve"> البالغ </w:t>
      </w:r>
      <w:r w:rsidRPr="007213A4">
        <w:rPr>
          <w:spacing w:val="-6"/>
          <w:rtl/>
          <w:lang w:bidi="ar-LB"/>
        </w:rPr>
        <w:t xml:space="preserve">0,499 </w:t>
      </w:r>
      <w:r w:rsidRPr="007213A4">
        <w:rPr>
          <w:spacing w:val="-6"/>
          <w:rtl/>
          <w:lang w:bidi="ar-EG"/>
        </w:rPr>
        <w:t xml:space="preserve">في </w:t>
      </w:r>
      <w:proofErr w:type="gramStart"/>
      <w:r w:rsidRPr="007213A4">
        <w:rPr>
          <w:spacing w:val="-6"/>
          <w:rtl/>
          <w:lang w:bidi="ar-EG"/>
        </w:rPr>
        <w:t>المائة</w:t>
      </w:r>
      <w:proofErr w:type="gramEnd"/>
      <w:r w:rsidRPr="007213A4">
        <w:rPr>
          <w:spacing w:val="-6"/>
          <w:rtl/>
          <w:lang w:bidi="ar-EG"/>
        </w:rPr>
        <w:t xml:space="preserve"> في ديسمبر 2023 (1,476 في المائة عام 2022). ويرد مزيد من التفاصيل في</w:t>
      </w:r>
      <w:r w:rsidR="00D171F1" w:rsidRPr="007213A4">
        <w:rPr>
          <w:spacing w:val="-6"/>
          <w:rtl/>
          <w:lang w:bidi="ar-EG"/>
        </w:rPr>
        <w:t> </w:t>
      </w:r>
      <w:r w:rsidRPr="007213A4">
        <w:rPr>
          <w:spacing w:val="-6"/>
          <w:rtl/>
          <w:lang w:bidi="ar-EG"/>
        </w:rPr>
        <w:t>الملاحظة 16.</w:t>
      </w:r>
    </w:p>
    <w:p w14:paraId="5964C41F" w14:textId="6AB71866" w:rsidR="00705C31" w:rsidRPr="00C32070" w:rsidRDefault="00705C31" w:rsidP="00705C31">
      <w:pPr>
        <w:rPr>
          <w:lang w:bidi="ar-EG"/>
        </w:rPr>
      </w:pPr>
      <w:r w:rsidRPr="00C32070">
        <w:rPr>
          <w:rtl/>
          <w:lang w:bidi="ar-EG"/>
        </w:rPr>
        <w:t>ولن يبدأ سداد القرض الممنوح من أجل المبنى الجديد للاتحاد إلا بعد تسليم المبنى بنجاح</w:t>
      </w:r>
      <w:r w:rsidR="00B7103C">
        <w:rPr>
          <w:rFonts w:hint="cs"/>
          <w:rtl/>
          <w:lang w:bidi="ar-EG"/>
        </w:rPr>
        <w:t>.</w:t>
      </w:r>
      <w:r w:rsidRPr="00C32070">
        <w:rPr>
          <w:rtl/>
        </w:rPr>
        <w:t xml:space="preserve"> </w:t>
      </w:r>
      <w:r w:rsidRPr="00C32070">
        <w:rPr>
          <w:rtl/>
          <w:lang w:bidi="ar-EG"/>
        </w:rPr>
        <w:t>ويقيَّد هذا القرض في بداية الأمر بقيمته العادلة</w:t>
      </w:r>
      <w:r w:rsidRPr="00C32070">
        <w:rPr>
          <w:rtl/>
        </w:rPr>
        <w:t xml:space="preserve"> </w:t>
      </w:r>
      <w:r w:rsidRPr="00C32070">
        <w:rPr>
          <w:rtl/>
          <w:lang w:bidi="ar-EG"/>
        </w:rPr>
        <w:t>وسيقاس لاحقا</w:t>
      </w:r>
      <w:r w:rsidR="00D171F1" w:rsidRPr="00C32070">
        <w:rPr>
          <w:rtl/>
          <w:lang w:bidi="ar-EG"/>
        </w:rPr>
        <w:t>ً</w:t>
      </w:r>
      <w:r w:rsidRPr="00C32070">
        <w:rPr>
          <w:rtl/>
          <w:lang w:bidi="ar-EG"/>
        </w:rPr>
        <w:t xml:space="preserve"> بالتكلفة المستهلكة.</w:t>
      </w:r>
      <w:r w:rsidRPr="00C32070">
        <w:rPr>
          <w:rtl/>
        </w:rPr>
        <w:t xml:space="preserve"> </w:t>
      </w:r>
      <w:r w:rsidRPr="00C32070">
        <w:rPr>
          <w:rtl/>
          <w:lang w:bidi="ar-EG"/>
        </w:rPr>
        <w:t>وسيتم التعامل مع هذا القرض باتباع نهج مماثل للنهج المتبع في سائر القروض المقدمة بشروط ميسرة من مؤسسة مباني المنظمات الدولية. وفي الوقت الحاضر، لم يبدأ مشروع</w:t>
      </w:r>
      <w:r w:rsidR="00681E81" w:rsidRPr="00C32070">
        <w:rPr>
          <w:rtl/>
          <w:lang w:bidi="ar-EG"/>
        </w:rPr>
        <w:t xml:space="preserve"> </w:t>
      </w:r>
      <w:r w:rsidRPr="00C32070">
        <w:rPr>
          <w:rtl/>
          <w:lang w:bidi="ar-EG"/>
        </w:rPr>
        <w:t>مبنى الاتحاد، ولم توضع أي خطة سداد.</w:t>
      </w:r>
      <w:r w:rsidRPr="00C32070">
        <w:rPr>
          <w:rtl/>
        </w:rPr>
        <w:t xml:space="preserve"> </w:t>
      </w:r>
      <w:r w:rsidRPr="00C32070">
        <w:rPr>
          <w:rtl/>
          <w:lang w:bidi="ar-EG"/>
        </w:rPr>
        <w:t>وفور توافر معلومات جديدة،</w:t>
      </w:r>
      <w:r w:rsidR="00681E81" w:rsidRPr="00C32070">
        <w:rPr>
          <w:rtl/>
          <w:lang w:bidi="ar-EG"/>
        </w:rPr>
        <w:t xml:space="preserve"> </w:t>
      </w:r>
      <w:r w:rsidRPr="00C32070">
        <w:rPr>
          <w:rtl/>
          <w:lang w:bidi="ar-EG"/>
        </w:rPr>
        <w:t>سيورد الاتحاد هذه القرارات في بياناته المالية.</w:t>
      </w:r>
    </w:p>
    <w:p w14:paraId="09C4D1D3" w14:textId="77777777" w:rsidR="00705C31" w:rsidRPr="007213A4" w:rsidRDefault="00705C31" w:rsidP="00705C31">
      <w:pPr>
        <w:rPr>
          <w:spacing w:val="-4"/>
          <w:lang w:bidi="ar-EG"/>
        </w:rPr>
      </w:pPr>
      <w:r w:rsidRPr="007213A4">
        <w:rPr>
          <w:spacing w:val="-4"/>
          <w:rtl/>
          <w:lang w:bidi="ar-EG"/>
        </w:rPr>
        <w:t>وتقع مباني مقر الاتحاد على الأرض التي يملكها كانتون جنيف. ويتمتع الاتحاد الدولي للاتصالات بحقوق سطح الأرض التي يملكها كانتون جنيف. وبموجب اتفاق حقوق الانتفاع من سطح</w:t>
      </w:r>
      <w:r w:rsidRPr="007213A4">
        <w:rPr>
          <w:spacing w:val="-4"/>
          <w:rtl/>
        </w:rPr>
        <w:t xml:space="preserve"> </w:t>
      </w:r>
      <w:r w:rsidRPr="007213A4">
        <w:rPr>
          <w:spacing w:val="-4"/>
          <w:rtl/>
          <w:lang w:bidi="ar-EG"/>
        </w:rPr>
        <w:t xml:space="preserve">الأرض ("حقوق الانتفاع من المساحة") للاتحاد حقوق استخدام الأرض حتى 31 ديسمبر 2079. ولا يملك الاتحاد الأرض، وقد منحت حقوق الانتفاع من سطح </w:t>
      </w:r>
      <w:bookmarkStart w:id="177" w:name="_Hlk160675082"/>
      <w:r w:rsidRPr="007213A4">
        <w:rPr>
          <w:spacing w:val="-4"/>
          <w:rtl/>
          <w:lang w:bidi="ar-EG"/>
        </w:rPr>
        <w:t xml:space="preserve">الأرض </w:t>
      </w:r>
      <w:bookmarkEnd w:id="177"/>
      <w:r w:rsidRPr="007213A4">
        <w:rPr>
          <w:spacing w:val="-4"/>
          <w:rtl/>
          <w:lang w:bidi="ar-EG"/>
        </w:rPr>
        <w:t>دون أي تكلفة. ولم يُعترف بأي قيمة للأرض لأن الاتحاد لا يمكنه التصرف في هذه الحقوق في معاملة تجارية. والعمر المفيد المستخدم لحساب استهلاك مباني مقر الاتحاد هو أقل عمر مفيد للمكونات ذات الصلة من مباني مقر الاتحاد أو مدة الاتفاق</w:t>
      </w:r>
      <w:r w:rsidRPr="007213A4">
        <w:rPr>
          <w:spacing w:val="-4"/>
          <w:rtl/>
        </w:rPr>
        <w:t xml:space="preserve"> </w:t>
      </w:r>
      <w:r w:rsidRPr="007213A4">
        <w:rPr>
          <w:spacing w:val="-4"/>
          <w:rtl/>
          <w:lang w:bidi="ar-EG"/>
        </w:rPr>
        <w:t>الأساسي بشأن حقوق الانتفاع من سطح</w:t>
      </w:r>
      <w:r w:rsidRPr="007213A4">
        <w:rPr>
          <w:spacing w:val="-4"/>
          <w:rtl/>
        </w:rPr>
        <w:t xml:space="preserve"> </w:t>
      </w:r>
      <w:r w:rsidRPr="007213A4">
        <w:rPr>
          <w:spacing w:val="-4"/>
          <w:rtl/>
          <w:lang w:bidi="ar-EG"/>
        </w:rPr>
        <w:t>الأرض.</w:t>
      </w:r>
    </w:p>
    <w:p w14:paraId="5EB24918" w14:textId="77777777" w:rsidR="00705C31" w:rsidRPr="00C32070" w:rsidRDefault="00705C31" w:rsidP="00705C31">
      <w:pPr>
        <w:pStyle w:val="HeadingI"/>
        <w:rPr>
          <w:i w:val="0"/>
          <w:iCs w:val="0"/>
        </w:rPr>
      </w:pPr>
      <w:r w:rsidRPr="00C32070">
        <w:rPr>
          <w:i w:val="0"/>
          <w:iCs w:val="0"/>
          <w:rtl/>
        </w:rPr>
        <w:t>4.2.3</w:t>
      </w:r>
      <w:r w:rsidRPr="00C32070">
        <w:rPr>
          <w:rtl/>
        </w:rPr>
        <w:tab/>
      </w:r>
      <w:r w:rsidRPr="00C32070">
        <w:rPr>
          <w:rtl/>
          <w:lang w:eastAsia="en-US"/>
        </w:rPr>
        <w:t>الذمم</w:t>
      </w:r>
      <w:r w:rsidRPr="00C32070">
        <w:rPr>
          <w:lang w:val="en" w:eastAsia="en-US"/>
        </w:rPr>
        <w:t xml:space="preserve"> </w:t>
      </w:r>
      <w:r w:rsidRPr="00C32070">
        <w:rPr>
          <w:rtl/>
          <w:lang w:eastAsia="en-US"/>
        </w:rPr>
        <w:t>المدينة</w:t>
      </w:r>
    </w:p>
    <w:p w14:paraId="78AAF575" w14:textId="77777777" w:rsidR="00705C31" w:rsidRPr="00C32070" w:rsidRDefault="00705C31" w:rsidP="00705C31">
      <w:pPr>
        <w:rPr>
          <w:rtl/>
          <w:lang w:bidi="ar-EG"/>
        </w:rPr>
      </w:pPr>
      <w:r w:rsidRPr="00C32070">
        <w:rPr>
          <w:rtl/>
          <w:lang w:bidi="ar-EG"/>
        </w:rPr>
        <w:t xml:space="preserve">تصنَّف </w:t>
      </w:r>
      <w:r w:rsidRPr="00C32070">
        <w:rPr>
          <w:rtl/>
        </w:rPr>
        <w:t>ذمم</w:t>
      </w:r>
      <w:r w:rsidRPr="00C32070">
        <w:rPr>
          <w:lang w:val="en" w:bidi="ar-EG"/>
        </w:rPr>
        <w:t xml:space="preserve"> </w:t>
      </w:r>
      <w:r w:rsidRPr="00C32070">
        <w:rPr>
          <w:rtl/>
          <w:lang w:bidi="ar-EG"/>
        </w:rPr>
        <w:t>الاتحاد</w:t>
      </w:r>
      <w:r w:rsidRPr="00C32070">
        <w:rPr>
          <w:rtl/>
        </w:rPr>
        <w:t xml:space="preserve"> </w:t>
      </w:r>
      <w:r w:rsidRPr="00C32070">
        <w:rPr>
          <w:rtl/>
          <w:lang w:bidi="ar-EG"/>
        </w:rPr>
        <w:t>المدينة على أنها مبالغ مستحقة القبض والقروض هي أصول مالية غير مشتقة لها تواريخ استحقاق محددة أو قابلة للتحديد وليست متداولة في سوق ناشطة. وهي تنشأ عندما يدخل الاتحاد في تعاقد مع طرف آخر وإلى حين تنفيذ التحويلات النقدية المرتبطة بهذه الأصول المالية وإلى أن تتحول إلى الاتحاد أيضاً المخاطر والمزايا المرتبطة بهذه الأصول. وتُصنَّف هذه الأصول في فئة الأصول الجارية، باستثناء الأصول التي يفوق استحقاقها اثني عشر شهراً بعد تاريخ إقفال الحساب. وتُصنف هذه الأخيرة في فئة الأصول غير الجارية.</w:t>
      </w:r>
    </w:p>
    <w:p w14:paraId="51977E3E" w14:textId="77777777" w:rsidR="00705C31" w:rsidRPr="00C32070" w:rsidRDefault="00705C31" w:rsidP="00705C31">
      <w:pPr>
        <w:rPr>
          <w:spacing w:val="-4"/>
          <w:rtl/>
          <w:lang w:bidi="ar-EG"/>
        </w:rPr>
      </w:pPr>
      <w:r w:rsidRPr="00C32070">
        <w:rPr>
          <w:spacing w:val="-4"/>
          <w:rtl/>
          <w:lang w:bidi="ar-EG"/>
        </w:rPr>
        <w:t xml:space="preserve">وتُصنف الذمم المدينة في فئتين متمايزتين هما: الذمم المدينة الناشئة عن معاملات تبادلية، من قبيل الذمم المدينة الناشئة عن بيع المنشورات أو عن بطاقات التبليغ عن شبكات </w:t>
      </w:r>
      <w:proofErr w:type="spellStart"/>
      <w:r w:rsidRPr="00C32070">
        <w:rPr>
          <w:spacing w:val="-4"/>
          <w:rtl/>
          <w:lang w:bidi="ar-EG"/>
        </w:rPr>
        <w:t>ساتلية</w:t>
      </w:r>
      <w:proofErr w:type="spellEnd"/>
      <w:r w:rsidRPr="00C32070">
        <w:rPr>
          <w:spacing w:val="-4"/>
          <w:rtl/>
          <w:lang w:bidi="ar-EG"/>
        </w:rPr>
        <w:t>؛ والذمم المدينة من المعاملات غير التبادلية، لا سيما الذمم المدينة المرتبطة بالمساهمات المدفوعة للاتحاد. وكذلك</w:t>
      </w:r>
      <w:r w:rsidRPr="00C32070">
        <w:rPr>
          <w:rtl/>
        </w:rPr>
        <w:t xml:space="preserve"> </w:t>
      </w:r>
      <w:r w:rsidRPr="00C32070">
        <w:rPr>
          <w:spacing w:val="-4"/>
          <w:rtl/>
          <w:lang w:bidi="ar-EG"/>
        </w:rPr>
        <w:t>المساهمات الطوعية وأعمال الرعاية.</w:t>
      </w:r>
    </w:p>
    <w:p w14:paraId="3BD2EA5D" w14:textId="77777777" w:rsidR="00705C31" w:rsidRPr="00C32070" w:rsidRDefault="00705C31" w:rsidP="00705C31">
      <w:pPr>
        <w:rPr>
          <w:rtl/>
          <w:lang w:bidi="ar-EG"/>
        </w:rPr>
      </w:pPr>
      <w:r w:rsidRPr="00C32070">
        <w:rPr>
          <w:rtl/>
        </w:rPr>
        <w:t>وتثبَّت</w:t>
      </w:r>
      <w:r w:rsidRPr="00C32070">
        <w:rPr>
          <w:lang w:val="en" w:bidi="ar-SY"/>
        </w:rPr>
        <w:t xml:space="preserve"> </w:t>
      </w:r>
      <w:r w:rsidRPr="00C32070">
        <w:rPr>
          <w:rtl/>
        </w:rPr>
        <w:t>الذمم</w:t>
      </w:r>
      <w:r w:rsidRPr="00C32070">
        <w:rPr>
          <w:lang w:val="en" w:bidi="ar-SY"/>
        </w:rPr>
        <w:t xml:space="preserve"> </w:t>
      </w:r>
      <w:r w:rsidRPr="00C32070">
        <w:rPr>
          <w:rtl/>
        </w:rPr>
        <w:t>المدينة</w:t>
      </w:r>
      <w:r w:rsidRPr="00C32070">
        <w:rPr>
          <w:lang w:val="en" w:bidi="ar-SY"/>
        </w:rPr>
        <w:t xml:space="preserve"> </w:t>
      </w:r>
      <w:r w:rsidRPr="00C32070">
        <w:rPr>
          <w:rtl/>
        </w:rPr>
        <w:t xml:space="preserve">بالتكلفة </w:t>
      </w:r>
      <w:r w:rsidRPr="00C32070">
        <w:rPr>
          <w:rtl/>
          <w:lang w:bidi="ar-EG"/>
        </w:rPr>
        <w:t xml:space="preserve">المستهلَكة. ويعدَّل ذلك مقابل </w:t>
      </w:r>
      <w:r w:rsidRPr="00C32070">
        <w:rPr>
          <w:rtl/>
        </w:rPr>
        <w:t>المؤونة</w:t>
      </w:r>
      <w:r w:rsidRPr="00C32070">
        <w:rPr>
          <w:lang w:val="en" w:bidi="ar-EG"/>
        </w:rPr>
        <w:t xml:space="preserve"> </w:t>
      </w:r>
      <w:r w:rsidRPr="00C32070">
        <w:rPr>
          <w:rtl/>
        </w:rPr>
        <w:t>المخصصة</w:t>
      </w:r>
      <w:r w:rsidRPr="00C32070">
        <w:rPr>
          <w:lang w:val="en" w:bidi="ar-EG"/>
        </w:rPr>
        <w:t xml:space="preserve"> </w:t>
      </w:r>
      <w:r w:rsidRPr="00C32070">
        <w:rPr>
          <w:rtl/>
        </w:rPr>
        <w:t>للديون</w:t>
      </w:r>
      <w:r w:rsidRPr="00C32070">
        <w:rPr>
          <w:lang w:val="en" w:bidi="ar-EG"/>
        </w:rPr>
        <w:t xml:space="preserve"> </w:t>
      </w:r>
      <w:r w:rsidRPr="00C32070">
        <w:rPr>
          <w:rtl/>
        </w:rPr>
        <w:t>المشكوك</w:t>
      </w:r>
      <w:r w:rsidRPr="00C32070">
        <w:rPr>
          <w:lang w:val="en" w:bidi="ar-EG"/>
        </w:rPr>
        <w:t xml:space="preserve"> </w:t>
      </w:r>
      <w:r w:rsidRPr="00C32070">
        <w:rPr>
          <w:rtl/>
        </w:rPr>
        <w:t>في تحصيلها</w:t>
      </w:r>
      <w:r w:rsidRPr="00C32070">
        <w:rPr>
          <w:lang w:val="en" w:bidi="ar-EG"/>
        </w:rPr>
        <w:t xml:space="preserve"> </w:t>
      </w:r>
      <w:r w:rsidRPr="00C32070">
        <w:rPr>
          <w:rtl/>
          <w:lang w:bidi="ar-EG"/>
        </w:rPr>
        <w:t xml:space="preserve">عند استعراض الديون </w:t>
      </w:r>
      <w:r w:rsidRPr="00C32070">
        <w:rPr>
          <w:rtl/>
        </w:rPr>
        <w:t>المشكوك</w:t>
      </w:r>
      <w:r w:rsidRPr="00C32070">
        <w:rPr>
          <w:lang w:val="en" w:bidi="ar-EG"/>
        </w:rPr>
        <w:t xml:space="preserve"> </w:t>
      </w:r>
      <w:r w:rsidRPr="00C32070">
        <w:rPr>
          <w:rtl/>
        </w:rPr>
        <w:t>في تحصيلها</w:t>
      </w:r>
      <w:r w:rsidRPr="00C32070">
        <w:rPr>
          <w:lang w:val="en" w:bidi="ar-EG"/>
        </w:rPr>
        <w:t xml:space="preserve"> </w:t>
      </w:r>
      <w:r w:rsidRPr="00C32070">
        <w:rPr>
          <w:rtl/>
          <w:lang w:bidi="ar-EG"/>
        </w:rPr>
        <w:t>وقت إقفال الحسابات سنوياً.</w:t>
      </w:r>
    </w:p>
    <w:p w14:paraId="2575C375" w14:textId="77777777" w:rsidR="00705C31" w:rsidRPr="007213A4" w:rsidRDefault="00705C31" w:rsidP="00705C31">
      <w:pPr>
        <w:rPr>
          <w:spacing w:val="-4"/>
          <w:rtl/>
          <w:lang w:bidi="ar-SY"/>
        </w:rPr>
      </w:pPr>
      <w:r w:rsidRPr="007213A4">
        <w:rPr>
          <w:spacing w:val="-4"/>
          <w:rtl/>
          <w:lang w:bidi="ar-EG"/>
        </w:rPr>
        <w:t>ويقيِّم الاتحاد في كل تاريخ إبلاغ ما إذا كانت هناك أدلة موضوعية على انخفاض قيمة أحد الأصول المالية.</w:t>
      </w:r>
      <w:r w:rsidRPr="007213A4">
        <w:rPr>
          <w:spacing w:val="-4"/>
          <w:rtl/>
          <w:lang w:val="en" w:bidi="ar-EG"/>
        </w:rPr>
        <w:t xml:space="preserve"> </w:t>
      </w:r>
      <w:r w:rsidRPr="007213A4">
        <w:rPr>
          <w:spacing w:val="-4"/>
          <w:rtl/>
          <w:lang w:bidi="ar-EG"/>
        </w:rPr>
        <w:t>ويُعتبر تراجع قيمة الأصل المالي أو مجموعة من الأصول المالية إذا، وفقط إذا، كان هناك دليل موضوعي على انخفاض القيمة نتيجة لحدث واحد أو أكثر، يحدث بعد التثبيت الأولي للأصل، وله تأثير على التدفقات النقدية المستقبلية المقدرة للأصل المالي أو مجموعة الأصول المالية التي يمكن تقديرها بشكل موثوق.</w:t>
      </w:r>
      <w:r w:rsidRPr="007213A4">
        <w:rPr>
          <w:spacing w:val="-4"/>
          <w:rtl/>
          <w:lang w:val="en" w:bidi="ar-EG"/>
        </w:rPr>
        <w:t xml:space="preserve"> </w:t>
      </w:r>
      <w:r w:rsidRPr="007213A4">
        <w:rPr>
          <w:spacing w:val="-4"/>
          <w:rtl/>
          <w:lang w:bidi="ar-EG"/>
        </w:rPr>
        <w:t>وتخفَّض القيمة الدفترية للأصل باستخدام حساب بدلات ويثبَّت مبلغ الخسارة في الفائض أو العجز.</w:t>
      </w:r>
      <w:r w:rsidRPr="007213A4">
        <w:rPr>
          <w:spacing w:val="-4"/>
          <w:rtl/>
          <w:lang w:val="en" w:bidi="ar-EG"/>
        </w:rPr>
        <w:t xml:space="preserve"> </w:t>
      </w:r>
      <w:r w:rsidRPr="007213A4">
        <w:rPr>
          <w:spacing w:val="-4"/>
          <w:rtl/>
          <w:lang w:bidi="ar-EG"/>
        </w:rPr>
        <w:t>وإذا زاد أو نقص، في سنة لاحقة، مبلغ خسارة انخفاض القيمة المقدرة بسبب حدث وقع بعد تثبيت الانخفاض في القيمة، تزاد أو تخفَّض خسارة انخفاض القيمة المثبتة سابقاً بتعديل حساب البدلات. وفي حال استرداد الشطب لاحقاً، يُدرج الاسترداد في الإيرادات بفائض أو عجز.</w:t>
      </w:r>
    </w:p>
    <w:p w14:paraId="229FA2EB" w14:textId="6B3F063B" w:rsidR="00C424F3" w:rsidRPr="00C32070" w:rsidRDefault="00C424F3" w:rsidP="00C424F3">
      <w:pPr>
        <w:pStyle w:val="Heading2"/>
        <w:rPr>
          <w:lang w:bidi="ar-SY"/>
        </w:rPr>
      </w:pPr>
      <w:bookmarkStart w:id="178" w:name="_Toc168657556"/>
      <w:r w:rsidRPr="00C32070">
        <w:t>3</w:t>
      </w:r>
      <w:r w:rsidRPr="00C32070">
        <w:rPr>
          <w:rtl/>
        </w:rPr>
        <w:t>.3</w:t>
      </w:r>
      <w:r w:rsidRPr="00C32070">
        <w:rPr>
          <w:rtl/>
        </w:rPr>
        <w:tab/>
        <w:t xml:space="preserve"> إقرار معيار محاسبي دولي جديد للقطاع العام</w:t>
      </w:r>
      <w:bookmarkEnd w:id="178"/>
    </w:p>
    <w:p w14:paraId="6139CD76" w14:textId="77777777" w:rsidR="00C424F3" w:rsidRPr="00C32070" w:rsidRDefault="00C424F3" w:rsidP="00C424F3">
      <w:pPr>
        <w:rPr>
          <w:lang w:val="en-GB" w:bidi="ar-SY"/>
        </w:rPr>
      </w:pPr>
      <w:r w:rsidRPr="00C32070">
        <w:rPr>
          <w:rtl/>
          <w:lang w:bidi="ar-EG"/>
        </w:rPr>
        <w:t>استُعرض معياران محاسبيان مهمان جديدا</w:t>
      </w:r>
      <w:r w:rsidRPr="00C32070">
        <w:rPr>
          <w:rtl/>
          <w:lang w:val="en-GB" w:bidi="ar-EG"/>
        </w:rPr>
        <w:t>ن للسنة المالية 2023</w:t>
      </w:r>
      <w:r w:rsidRPr="00C32070">
        <w:rPr>
          <w:rtl/>
          <w:lang w:bidi="ar-EG"/>
        </w:rPr>
        <w:t>، وهما: المعيار المحاسبي الدولي للقطاع العام</w:t>
      </w:r>
      <w:r w:rsidRPr="00C32070">
        <w:rPr>
          <w:lang w:bidi="ar-EG"/>
        </w:rPr>
        <w:t xml:space="preserve">41 </w:t>
      </w:r>
      <w:r w:rsidRPr="00C32070">
        <w:rPr>
          <w:lang w:val="en-GB" w:bidi="ar-EG"/>
        </w:rPr>
        <w:t>(</w:t>
      </w:r>
      <w:r w:rsidRPr="00C32070">
        <w:t>IPSAS 41)</w:t>
      </w:r>
      <w:r w:rsidRPr="00C32070">
        <w:rPr>
          <w:rtl/>
          <w:lang w:val="en-GB" w:bidi="ar-EG"/>
        </w:rPr>
        <w:t xml:space="preserve">، الأدوات المالية، والمعيار المحاسبي الدولي للقطاع العام 42 </w:t>
      </w:r>
      <w:r w:rsidRPr="00C32070">
        <w:rPr>
          <w:lang w:val="en-GB" w:bidi="ar-EG"/>
        </w:rPr>
        <w:t>(IPSAS 42)</w:t>
      </w:r>
      <w:r w:rsidRPr="00C32070">
        <w:rPr>
          <w:rtl/>
          <w:lang w:val="en-GB" w:bidi="ar-EG"/>
        </w:rPr>
        <w:t>، الاستحقاقات الاجتماعية.</w:t>
      </w:r>
    </w:p>
    <w:p w14:paraId="018C1BA3" w14:textId="77777777" w:rsidR="00C424F3" w:rsidRPr="00C32070" w:rsidRDefault="00C424F3" w:rsidP="00C424F3">
      <w:pPr>
        <w:rPr>
          <w:rtl/>
          <w:lang w:val="en-GB" w:bidi="ar-SY"/>
        </w:rPr>
      </w:pPr>
      <w:r w:rsidRPr="00C32070">
        <w:rPr>
          <w:rtl/>
          <w:lang w:bidi="ar-EG"/>
        </w:rPr>
        <w:t xml:space="preserve">ويهدف المعيار المحاسبي </w:t>
      </w:r>
      <w:r w:rsidRPr="00C32070">
        <w:rPr>
          <w:lang w:bidi="ar-EG"/>
        </w:rPr>
        <w:t>IPSAS 42</w:t>
      </w:r>
      <w:r w:rsidRPr="00C32070">
        <w:rPr>
          <w:rtl/>
          <w:lang w:val="en-GB" w:bidi="ar-EG"/>
        </w:rPr>
        <w:t xml:space="preserve"> إلى تحديد مبادئ ومقتضيات الاعتراف بالاستحقاقات الاجتماعية وقياسها وعرضها في البيانات المالية. وبعد استعراضه، تقرَّر أنه لم يكن له تأثير في البيانات المالية للاتحاد، فلم يُعتمد.</w:t>
      </w:r>
    </w:p>
    <w:p w14:paraId="770CE1AD" w14:textId="2C16AC94" w:rsidR="00C424F3" w:rsidRPr="00C32070" w:rsidRDefault="00C424F3" w:rsidP="00C424F3">
      <w:pPr>
        <w:rPr>
          <w:lang w:val="en-GB" w:bidi="ar-SY"/>
        </w:rPr>
      </w:pPr>
      <w:r w:rsidRPr="00C32070">
        <w:rPr>
          <w:rtl/>
          <w:lang w:bidi="ar-EG"/>
        </w:rPr>
        <w:t>المعيار المحاسبي</w:t>
      </w:r>
      <w:r w:rsidR="00B7103C">
        <w:rPr>
          <w:rFonts w:hint="cs"/>
          <w:rtl/>
          <w:lang w:bidi="ar-EG"/>
        </w:rPr>
        <w:t> </w:t>
      </w:r>
      <w:r w:rsidRPr="00C32070">
        <w:rPr>
          <w:lang w:bidi="ar-EG"/>
        </w:rPr>
        <w:t>IPSAS 41</w:t>
      </w:r>
      <w:r w:rsidRPr="00C32070">
        <w:rPr>
          <w:rtl/>
          <w:lang w:val="en-GB" w:bidi="ar-EG"/>
        </w:rPr>
        <w:t xml:space="preserve">: يحل هذا المعيار الجديد محل المعيار المحاسبي </w:t>
      </w:r>
      <w:r w:rsidRPr="00C32070">
        <w:rPr>
          <w:lang w:bidi="ar-EG"/>
        </w:rPr>
        <w:t>IPSAS 29</w:t>
      </w:r>
      <w:r w:rsidRPr="00C32070">
        <w:rPr>
          <w:rtl/>
          <w:lang w:val="en-GB" w:bidi="ar-EG"/>
        </w:rPr>
        <w:t xml:space="preserve"> المتعلق بتحسين مبادئ الإبلاغ المالي عن الأصول والخصوم المالية. وهذا المعيار الجديد فائق الأهمية لتقييم مبالغ التدفقات النقدية المستقبلية لكيانٍ بعينه ومواعيدها ومستوى انعدام اليقين بها. وعلى وجه الخصوص، كان لاعتماد المعيار </w:t>
      </w:r>
      <w:r w:rsidRPr="00C32070">
        <w:rPr>
          <w:lang w:bidi="ar-EG"/>
        </w:rPr>
        <w:t>IPSAS 41</w:t>
      </w:r>
      <w:r w:rsidRPr="00C32070">
        <w:rPr>
          <w:rtl/>
          <w:lang w:val="en-GB" w:bidi="ar-EG"/>
        </w:rPr>
        <w:t xml:space="preserve"> تأثير في بياناتنا المالية فيما يتعلق بمذكرات الإفصاح. وتشمل التغييرات الناجمة عن اعتماده إجراء تعديلات في المصطلحات وإقرار مقتضى حساب الخسائر الائتمانية المتوقعة </w:t>
      </w:r>
      <w:r w:rsidRPr="00C32070">
        <w:rPr>
          <w:lang w:bidi="ar-EG"/>
        </w:rPr>
        <w:t>(ECL)</w:t>
      </w:r>
      <w:r w:rsidRPr="00C32070">
        <w:rPr>
          <w:rtl/>
          <w:lang w:val="en-GB" w:bidi="ar-EG"/>
        </w:rPr>
        <w:t>. وقد أفاد الاتحاد الدولي للاتصالات من إرشادات شبكة الأمم المتحدة للمالية والميزانية في تنفيذ هذا المعيار. وتورد الملاحظة 5 مزيداً من المعلومات عن تنفيذه.</w:t>
      </w:r>
    </w:p>
    <w:p w14:paraId="443AA328" w14:textId="40060D38" w:rsidR="00C424F3" w:rsidRPr="00C32070" w:rsidRDefault="00C424F3" w:rsidP="00C32070">
      <w:pPr>
        <w:pStyle w:val="Headingb"/>
      </w:pPr>
      <w:r w:rsidRPr="00C32070">
        <w:rPr>
          <w:rtl/>
        </w:rPr>
        <w:lastRenderedPageBreak/>
        <w:t>تصنيف الأدوات المالية للاتحاد وقياسها</w:t>
      </w:r>
    </w:p>
    <w:p w14:paraId="18921DE9" w14:textId="77777777" w:rsidR="00C424F3" w:rsidRPr="00C32070" w:rsidRDefault="00C424F3" w:rsidP="00C424F3">
      <w:pPr>
        <w:rPr>
          <w:rtl/>
          <w:lang w:val="en-GB"/>
        </w:rPr>
      </w:pPr>
      <w:r w:rsidRPr="00C32070">
        <w:rPr>
          <w:rtl/>
          <w:lang w:bidi="ar-EG"/>
        </w:rPr>
        <w:t xml:space="preserve">يُعترف بالأدوات المالية منذ تاريخ التعامل الذي يصبح فيه الاتحاد الدولي للاتصالات طرفاً في الأحكام التعاقدية للأداة المالية إلى حين انتهاء سريان حقه في تلقي تدفقات نقدية من تلك الأصول أو إلى حين نقل هذا الحق وفروغ المنظمة من نقل جميع </w:t>
      </w:r>
      <w:proofErr w:type="gramStart"/>
      <w:r w:rsidRPr="00C32070">
        <w:rPr>
          <w:rtl/>
          <w:lang w:bidi="ar-EG"/>
        </w:rPr>
        <w:t>مخاطر</w:t>
      </w:r>
      <w:proofErr w:type="gramEnd"/>
      <w:r w:rsidRPr="00C32070">
        <w:rPr>
          <w:rtl/>
          <w:lang w:bidi="ar-EG"/>
        </w:rPr>
        <w:t xml:space="preserve"> وعوائد الملكية </w:t>
      </w:r>
      <w:r w:rsidRPr="00C32070">
        <w:rPr>
          <w:rtl/>
          <w:lang w:val="en-GB" w:bidi="ar-EG"/>
        </w:rPr>
        <w:t>أساساً.</w:t>
      </w:r>
    </w:p>
    <w:p w14:paraId="38922818" w14:textId="77777777" w:rsidR="00C424F3" w:rsidRPr="00C32070" w:rsidRDefault="00C424F3" w:rsidP="00C424F3">
      <w:pPr>
        <w:rPr>
          <w:rtl/>
          <w:lang w:val="en-GB"/>
        </w:rPr>
      </w:pPr>
      <w:r w:rsidRPr="00C32070">
        <w:rPr>
          <w:rtl/>
          <w:lang w:bidi="ar-EG"/>
        </w:rPr>
        <w:t xml:space="preserve">وقد طُبقت مبادئ المعيار </w:t>
      </w:r>
      <w:r w:rsidRPr="00C32070">
        <w:rPr>
          <w:lang w:val="en-GB" w:bidi="ar-EG"/>
        </w:rPr>
        <w:t>IPSAS 41</w:t>
      </w:r>
      <w:r w:rsidRPr="00C32070">
        <w:rPr>
          <w:rtl/>
          <w:lang w:val="en-GB" w:bidi="ar-EG"/>
        </w:rPr>
        <w:t xml:space="preserve"> المتعلق بالإبلاغ المالي عن الأصول المالية في إعداد هذه البيانات المالية، وأُخذ في هذا الصدد المعياران التاليان في الاعتبار عند تحديد كيفية تصنيف الأصول والخصوم المالية وأسس قياسها:</w:t>
      </w:r>
    </w:p>
    <w:p w14:paraId="5A190040" w14:textId="77777777" w:rsidR="00C424F3" w:rsidRPr="00C32070" w:rsidRDefault="00C424F3" w:rsidP="00C424F3">
      <w:pPr>
        <w:pStyle w:val="enumlev1"/>
        <w:rPr>
          <w:rtl/>
        </w:rPr>
      </w:pPr>
      <w:r w:rsidRPr="00C32070">
        <w:rPr>
          <w:rtl/>
        </w:rPr>
        <w:t xml:space="preserve"> </w:t>
      </w:r>
      <w:proofErr w:type="gramStart"/>
      <w:r w:rsidRPr="00C32070">
        <w:rPr>
          <w:rtl/>
        </w:rPr>
        <w:t>أ )</w:t>
      </w:r>
      <w:proofErr w:type="gramEnd"/>
      <w:r w:rsidRPr="00C32070">
        <w:rPr>
          <w:rtl/>
        </w:rPr>
        <w:tab/>
        <w:t>نموذج الأعمال القائم لإدارة الأصول والخصوم المالية؛</w:t>
      </w:r>
    </w:p>
    <w:p w14:paraId="0C2B87CC" w14:textId="77777777" w:rsidR="00C424F3" w:rsidRPr="00C32070" w:rsidRDefault="00C424F3" w:rsidP="00C424F3">
      <w:pPr>
        <w:pStyle w:val="enumlev1"/>
        <w:rPr>
          <w:rtl/>
        </w:rPr>
      </w:pPr>
      <w:r w:rsidRPr="00C32070">
        <w:rPr>
          <w:rtl/>
        </w:rPr>
        <w:t>ب)</w:t>
      </w:r>
      <w:r w:rsidRPr="00C32070">
        <w:rPr>
          <w:rtl/>
        </w:rPr>
        <w:tab/>
        <w:t>وخصائص الأصول والخصوم المالية من حيث التدفقات النقدية التعاقدية.</w:t>
      </w:r>
    </w:p>
    <w:p w14:paraId="7D0549D7" w14:textId="77777777" w:rsidR="00C424F3" w:rsidRPr="00C32070" w:rsidRDefault="00C424F3" w:rsidP="00C424F3">
      <w:pPr>
        <w:rPr>
          <w:rtl/>
          <w:lang w:val="en-GB"/>
        </w:rPr>
      </w:pPr>
      <w:r w:rsidRPr="00C32070">
        <w:rPr>
          <w:rtl/>
          <w:lang w:bidi="ar-EG"/>
        </w:rPr>
        <w:t>ويحدد معيارا التصنيف هذان أسس القياس الواجب تطبيقها بمو</w:t>
      </w:r>
      <w:r w:rsidRPr="00C32070">
        <w:rPr>
          <w:rtl/>
          <w:lang w:val="en-GB" w:bidi="ar-EG"/>
        </w:rPr>
        <w:t>ج</w:t>
      </w:r>
      <w:r w:rsidRPr="00C32070">
        <w:rPr>
          <w:rtl/>
          <w:lang w:bidi="ar-EG"/>
        </w:rPr>
        <w:t xml:space="preserve">ب المعيار </w:t>
      </w:r>
      <w:r w:rsidRPr="00C32070">
        <w:rPr>
          <w:lang w:bidi="ar-EG"/>
        </w:rPr>
        <w:t>IPSAS 41</w:t>
      </w:r>
      <w:r w:rsidRPr="00C32070">
        <w:rPr>
          <w:rtl/>
          <w:lang w:val="en-GB" w:bidi="ar-EG"/>
        </w:rPr>
        <w:t xml:space="preserve"> في كل من فئات الأصول أو الخصوم المالية: التكلفة المستهلكة أو القيمة العادلة عن طريق صافي الأصول/رأس المال أو القيمة العادلة عن طريق الفائض أو العجز.</w:t>
      </w:r>
    </w:p>
    <w:p w14:paraId="4EEEA7CE" w14:textId="77777777" w:rsidR="00C424F3" w:rsidRPr="00C32070" w:rsidRDefault="00C424F3" w:rsidP="00C424F3">
      <w:pPr>
        <w:rPr>
          <w:rtl/>
          <w:lang w:val="en-GB"/>
        </w:rPr>
      </w:pPr>
      <w:r w:rsidRPr="00C32070">
        <w:rPr>
          <w:rtl/>
          <w:lang w:bidi="ar-EG"/>
        </w:rPr>
        <w:t xml:space="preserve">وقد أُعيد تصنيف الأصول والخصوم المالية بموجب المعيار </w:t>
      </w:r>
      <w:r w:rsidRPr="00C32070">
        <w:rPr>
          <w:lang w:bidi="ar-EG"/>
        </w:rPr>
        <w:t>IPSAS 41</w:t>
      </w:r>
      <w:r w:rsidRPr="00C32070">
        <w:rPr>
          <w:rtl/>
          <w:lang w:val="en-GB" w:bidi="ar-EG"/>
        </w:rPr>
        <w:t xml:space="preserve"> على النحو التالي:</w:t>
      </w:r>
    </w:p>
    <w:p w14:paraId="34A8567D" w14:textId="77777777" w:rsidR="00C424F3" w:rsidRPr="00C32070" w:rsidRDefault="00C424F3" w:rsidP="00F72B70">
      <w:pPr>
        <w:pStyle w:val="Headingb"/>
        <w:rPr>
          <w:lang w:val="en-GB"/>
        </w:rPr>
      </w:pPr>
      <w:r w:rsidRPr="00C32070">
        <w:rPr>
          <w:rtl/>
        </w:rPr>
        <w:t>الرصيد النقدي وما يعادله</w:t>
      </w:r>
    </w:p>
    <w:p w14:paraId="390ACC48" w14:textId="77777777" w:rsidR="00C424F3" w:rsidRPr="00C32070" w:rsidRDefault="00C424F3" w:rsidP="00C424F3">
      <w:pPr>
        <w:rPr>
          <w:rtl/>
          <w:lang w:val="en-GB"/>
        </w:rPr>
      </w:pPr>
      <w:r w:rsidRPr="00C32070">
        <w:rPr>
          <w:rtl/>
          <w:lang w:bidi="ar-EG"/>
        </w:rPr>
        <w:t xml:space="preserve">يشمل الرصيد النقدي وما يعادله الحسابات الجارية أو حسابات الإيداع، وأدوات سوق المال (ذات آجال الاستحقاق البالغة 90 يوماً أو أقل) المنطوية على تدفق نقدي واحد أو تدفقيْن نقدييْن، وسداد المبالغ الأصلية والفوائد المستحقة عليها تبعاً لأسعار الفائدة المعمول بها. ويشمل النقد المحتفظ به في الحسابات المصرفية النقد الذي يحوزه الاتحاد الدولي للاتصالات في المقر والمكاتب القُطرية بمختلف العملات. ونظراً إلى أن الهدف من حيازة حسابات هو تحصيل التدفقات النقدية التعاقدية، فستُصنَّف الحسابات الجارية وحسابات الإيداع بأنها </w:t>
      </w:r>
      <w:proofErr w:type="spellStart"/>
      <w:r w:rsidRPr="00C32070">
        <w:rPr>
          <w:rtl/>
          <w:lang w:bidi="ar-EG"/>
        </w:rPr>
        <w:t>مَقيسة</w:t>
      </w:r>
      <w:proofErr w:type="spellEnd"/>
      <w:r w:rsidRPr="00C32070">
        <w:rPr>
          <w:rtl/>
          <w:lang w:bidi="ar-EG"/>
        </w:rPr>
        <w:t xml:space="preserve"> بالتكلفة المستهلكة، وفقاً للفقرة 40 من المعيار </w:t>
      </w:r>
      <w:r w:rsidRPr="00C32070">
        <w:rPr>
          <w:lang w:bidi="ar-EG"/>
        </w:rPr>
        <w:t>IPSAS 41</w:t>
      </w:r>
      <w:r w:rsidRPr="00C32070">
        <w:rPr>
          <w:rtl/>
          <w:lang w:val="en-GB" w:bidi="ar-EG"/>
        </w:rPr>
        <w:t>.</w:t>
      </w:r>
    </w:p>
    <w:p w14:paraId="6E4BBBF2" w14:textId="77777777" w:rsidR="00C424F3" w:rsidRPr="00C32070" w:rsidRDefault="00C424F3" w:rsidP="00F72B70">
      <w:pPr>
        <w:pStyle w:val="Headingb"/>
      </w:pPr>
      <w:r w:rsidRPr="00C32070">
        <w:rPr>
          <w:rtl/>
        </w:rPr>
        <w:t>القروض والذمم المدينة</w:t>
      </w:r>
    </w:p>
    <w:p w14:paraId="6A76324A" w14:textId="77777777" w:rsidR="00C424F3" w:rsidRPr="00C32070" w:rsidRDefault="00C424F3" w:rsidP="00C424F3">
      <w:pPr>
        <w:rPr>
          <w:lang w:val="en-GB"/>
        </w:rPr>
      </w:pPr>
      <w:r w:rsidRPr="00C32070">
        <w:rPr>
          <w:rtl/>
          <w:lang w:bidi="ar-EG"/>
        </w:rPr>
        <w:t>تُقاس بالتكلفة المستهلكة الذممُ المدينة المتأتية من المعاملات غير التبادلية واتفاقات المساهمات الطوعية وغيرها من الذمم المدينة والاستثمارات في الودائع لأجل والأدوات المالية الأخرى المتصلة بها. ولا يحوز الاتحاد الدولي للاتصالات في حافظته الحالية استثمارات في سندات أو مشتقات لحقوق ملكية.</w:t>
      </w:r>
    </w:p>
    <w:p w14:paraId="537438FE" w14:textId="77777777" w:rsidR="00C424F3" w:rsidRPr="00C32070" w:rsidRDefault="00C424F3" w:rsidP="007213A4">
      <w:pPr>
        <w:spacing w:after="120"/>
        <w:rPr>
          <w:rtl/>
          <w:lang w:bidi="ar-EG"/>
        </w:rPr>
      </w:pPr>
      <w:r w:rsidRPr="004A2439">
        <w:rPr>
          <w:rtl/>
          <w:lang w:bidi="ar-EG"/>
        </w:rPr>
        <w:t xml:space="preserve">ويعرض الجدول أدناه تصنيفات أنماط الأصول المالية الأكثر شيوعاً لدى الاتحاد، وقد حُددت بناءً على مجموعة من الأصول المالية </w:t>
      </w:r>
      <w:r w:rsidRPr="004A2439">
        <w:rPr>
          <w:rtl/>
          <w:lang w:val="en-GB" w:bidi="ar-EG"/>
        </w:rPr>
        <w:t>ل</w:t>
      </w:r>
      <w:r w:rsidRPr="004A2439">
        <w:rPr>
          <w:rtl/>
          <w:lang w:bidi="ar-EG"/>
        </w:rPr>
        <w:t xml:space="preserve">كل نموذج من نماذج الإدارة في الاتحاد وعلى نتائج اختبار التدفقات النقدية المنحصرة في مدفوعات المبلغ الأصلي والفائدة فقط </w:t>
      </w:r>
      <w:r w:rsidRPr="004A2439">
        <w:rPr>
          <w:lang w:bidi="ar-EG"/>
        </w:rPr>
        <w:t>(SPPI)</w:t>
      </w:r>
      <w:r w:rsidRPr="004A2439">
        <w:rPr>
          <w:rtl/>
          <w:lang w:bidi="ar-EG"/>
        </w:rPr>
        <w:t xml:space="preserve"> لتحديد فئة تصنيف كل من هذه الأصول:</w:t>
      </w:r>
    </w:p>
    <w:tbl>
      <w:tblPr>
        <w:tblStyle w:val="TableGrid3"/>
        <w:bidiVisual/>
        <w:tblW w:w="4956" w:type="pct"/>
        <w:jc w:val="center"/>
        <w:tblCellMar>
          <w:left w:w="28" w:type="dxa"/>
          <w:right w:w="28" w:type="dxa"/>
        </w:tblCellMar>
        <w:tblLook w:val="04A0" w:firstRow="1" w:lastRow="0" w:firstColumn="1" w:lastColumn="0" w:noHBand="0" w:noVBand="1"/>
      </w:tblPr>
      <w:tblGrid>
        <w:gridCol w:w="1324"/>
        <w:gridCol w:w="2693"/>
        <w:gridCol w:w="1560"/>
        <w:gridCol w:w="1702"/>
        <w:gridCol w:w="991"/>
        <w:gridCol w:w="1274"/>
      </w:tblGrid>
      <w:tr w:rsidR="00C424F3" w:rsidRPr="00C32070" w14:paraId="32BC32DD" w14:textId="77777777" w:rsidTr="007213A4">
        <w:trPr>
          <w:tblHeader/>
          <w:jc w:val="center"/>
        </w:trPr>
        <w:tc>
          <w:tcPr>
            <w:tcW w:w="1324" w:type="dxa"/>
            <w:vMerge w:val="restart"/>
            <w:shd w:val="clear" w:color="auto" w:fill="0070C0"/>
            <w:vAlign w:val="center"/>
          </w:tcPr>
          <w:p w14:paraId="27DE38F5" w14:textId="0DDED43D"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r w:rsidRPr="00C32070">
              <w:rPr>
                <w:b/>
                <w:bCs/>
                <w:sz w:val="18"/>
                <w:szCs w:val="18"/>
                <w:rtl/>
                <w:lang w:val="en-GB" w:eastAsia="en-US" w:bidi="ar-EG"/>
              </w:rPr>
              <w:t>الفئة في المحفظة/</w:t>
            </w:r>
            <w:r w:rsidR="007213A4">
              <w:rPr>
                <w:b/>
                <w:bCs/>
                <w:sz w:val="18"/>
                <w:szCs w:val="18"/>
                <w:rtl/>
                <w:lang w:val="en-GB" w:eastAsia="en-US" w:bidi="ar-EG"/>
              </w:rPr>
              <w:br/>
            </w:r>
            <w:r w:rsidRPr="00C32070">
              <w:rPr>
                <w:b/>
                <w:bCs/>
                <w:sz w:val="18"/>
                <w:szCs w:val="18"/>
                <w:rtl/>
                <w:lang w:val="en-GB" w:eastAsia="en-US" w:bidi="ar-EG"/>
              </w:rPr>
              <w:t>فئة الأصل</w:t>
            </w:r>
          </w:p>
        </w:tc>
        <w:tc>
          <w:tcPr>
            <w:tcW w:w="2693" w:type="dxa"/>
            <w:vMerge w:val="restart"/>
            <w:shd w:val="clear" w:color="auto" w:fill="0070C0"/>
            <w:vAlign w:val="center"/>
          </w:tcPr>
          <w:p w14:paraId="133BDB22"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r w:rsidRPr="00C32070">
              <w:rPr>
                <w:b/>
                <w:bCs/>
                <w:sz w:val="18"/>
                <w:szCs w:val="18"/>
                <w:rtl/>
                <w:lang w:val="en-GB" w:eastAsia="en-US" w:bidi="ar-EG"/>
              </w:rPr>
              <w:t>الأصل المالي</w:t>
            </w:r>
          </w:p>
        </w:tc>
        <w:tc>
          <w:tcPr>
            <w:tcW w:w="1560" w:type="dxa"/>
            <w:vMerge w:val="restart"/>
            <w:shd w:val="clear" w:color="auto" w:fill="0070C0"/>
            <w:vAlign w:val="center"/>
          </w:tcPr>
          <w:p w14:paraId="7A526FCE"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eastAsia="en-US"/>
              </w:rPr>
            </w:pPr>
            <w:r w:rsidRPr="00C32070">
              <w:rPr>
                <w:b/>
                <w:bCs/>
                <w:sz w:val="18"/>
                <w:szCs w:val="18"/>
                <w:rtl/>
                <w:lang w:val="en-GB" w:eastAsia="en-US"/>
              </w:rPr>
              <w:t xml:space="preserve">التصنيف بموجب المعيار </w:t>
            </w:r>
            <w:r w:rsidRPr="00C32070">
              <w:rPr>
                <w:b/>
                <w:bCs/>
                <w:sz w:val="18"/>
                <w:szCs w:val="18"/>
                <w:lang w:eastAsia="en-US"/>
              </w:rPr>
              <w:t>IPSAS 29</w:t>
            </w:r>
          </w:p>
        </w:tc>
        <w:tc>
          <w:tcPr>
            <w:tcW w:w="3967" w:type="dxa"/>
            <w:gridSpan w:val="3"/>
            <w:shd w:val="clear" w:color="auto" w:fill="0070C0"/>
            <w:vAlign w:val="center"/>
          </w:tcPr>
          <w:p w14:paraId="4798247A"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eastAsia="en-US"/>
              </w:rPr>
            </w:pPr>
            <w:r w:rsidRPr="00C32070">
              <w:rPr>
                <w:b/>
                <w:bCs/>
                <w:sz w:val="18"/>
                <w:szCs w:val="18"/>
                <w:rtl/>
                <w:lang w:val="en-GB" w:eastAsia="en-US" w:bidi="ar-EG"/>
              </w:rPr>
              <w:t xml:space="preserve">التصنيف بموجب المعيار </w:t>
            </w:r>
            <w:r w:rsidRPr="00C32070">
              <w:rPr>
                <w:b/>
                <w:bCs/>
                <w:sz w:val="18"/>
                <w:szCs w:val="18"/>
                <w:lang w:eastAsia="en-US" w:bidi="ar-EG"/>
              </w:rPr>
              <w:t>IPSAS 41</w:t>
            </w:r>
          </w:p>
        </w:tc>
      </w:tr>
      <w:tr w:rsidR="00C424F3" w:rsidRPr="00C32070" w14:paraId="5D866485" w14:textId="77777777" w:rsidTr="007213A4">
        <w:trPr>
          <w:tblHeader/>
          <w:jc w:val="center"/>
        </w:trPr>
        <w:tc>
          <w:tcPr>
            <w:tcW w:w="1324" w:type="dxa"/>
            <w:vMerge/>
            <w:shd w:val="clear" w:color="auto" w:fill="0070C0"/>
            <w:vAlign w:val="center"/>
          </w:tcPr>
          <w:p w14:paraId="78F81A41"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p>
        </w:tc>
        <w:tc>
          <w:tcPr>
            <w:tcW w:w="2693" w:type="dxa"/>
            <w:vMerge/>
            <w:shd w:val="clear" w:color="auto" w:fill="0070C0"/>
            <w:vAlign w:val="center"/>
          </w:tcPr>
          <w:p w14:paraId="611424E0"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p>
        </w:tc>
        <w:tc>
          <w:tcPr>
            <w:tcW w:w="1560" w:type="dxa"/>
            <w:vMerge/>
            <w:shd w:val="clear" w:color="auto" w:fill="0070C0"/>
            <w:vAlign w:val="center"/>
          </w:tcPr>
          <w:p w14:paraId="5CD7898D"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p>
        </w:tc>
        <w:tc>
          <w:tcPr>
            <w:tcW w:w="1702" w:type="dxa"/>
            <w:shd w:val="clear" w:color="auto" w:fill="0070C0"/>
            <w:vAlign w:val="center"/>
          </w:tcPr>
          <w:p w14:paraId="53C4E0CE"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r w:rsidRPr="00C32070">
              <w:rPr>
                <w:b/>
                <w:bCs/>
                <w:sz w:val="18"/>
                <w:szCs w:val="18"/>
                <w:rtl/>
                <w:lang w:val="en-GB" w:eastAsia="en-US"/>
              </w:rPr>
              <w:t>اختبار نموذج الإدارة</w:t>
            </w:r>
          </w:p>
        </w:tc>
        <w:tc>
          <w:tcPr>
            <w:tcW w:w="991" w:type="dxa"/>
            <w:shd w:val="clear" w:color="auto" w:fill="0070C0"/>
            <w:vAlign w:val="center"/>
          </w:tcPr>
          <w:p w14:paraId="42F11EF8"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rPr>
            </w:pPr>
            <w:r w:rsidRPr="00C32070">
              <w:rPr>
                <w:b/>
                <w:bCs/>
                <w:sz w:val="18"/>
                <w:szCs w:val="18"/>
                <w:rtl/>
                <w:lang w:val="en-GB" w:eastAsia="en-US" w:bidi="ar-EG"/>
              </w:rPr>
              <w:t xml:space="preserve">اختبار </w:t>
            </w:r>
            <w:r w:rsidRPr="00C32070">
              <w:rPr>
                <w:b/>
                <w:bCs/>
                <w:sz w:val="18"/>
                <w:szCs w:val="18"/>
                <w:lang w:eastAsia="en-US" w:bidi="ar-EG"/>
              </w:rPr>
              <w:t>SPPI</w:t>
            </w:r>
            <w:r w:rsidRPr="00C32070">
              <w:rPr>
                <w:b/>
                <w:bCs/>
                <w:sz w:val="18"/>
                <w:szCs w:val="18"/>
                <w:rtl/>
                <w:lang w:val="en-GB" w:eastAsia="en-US" w:bidi="ar-EG"/>
              </w:rPr>
              <w:t xml:space="preserve"> </w:t>
            </w:r>
            <w:r w:rsidRPr="007213A4">
              <w:rPr>
                <w:rStyle w:val="FootnoteReference"/>
                <w:b/>
                <w:bCs/>
              </w:rPr>
              <w:footnoteReference w:id="1"/>
            </w:r>
          </w:p>
        </w:tc>
        <w:tc>
          <w:tcPr>
            <w:tcW w:w="1274" w:type="dxa"/>
            <w:shd w:val="clear" w:color="auto" w:fill="0070C0"/>
            <w:vAlign w:val="center"/>
          </w:tcPr>
          <w:p w14:paraId="373DEBA8" w14:textId="77777777" w:rsidR="00C424F3" w:rsidRPr="00C32070"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sz w:val="18"/>
                <w:szCs w:val="18"/>
                <w:lang w:val="en-GB" w:eastAsia="en-US" w:bidi="ar-EG"/>
              </w:rPr>
            </w:pPr>
            <w:r w:rsidRPr="00C32070">
              <w:rPr>
                <w:b/>
                <w:bCs/>
                <w:sz w:val="18"/>
                <w:szCs w:val="18"/>
                <w:rtl/>
                <w:lang w:val="en-GB" w:eastAsia="en-US" w:bidi="ar-EG"/>
              </w:rPr>
              <w:t>فئة التصنيف</w:t>
            </w:r>
          </w:p>
        </w:tc>
      </w:tr>
      <w:tr w:rsidR="00C424F3" w:rsidRPr="00C32070" w14:paraId="5ECC3128" w14:textId="77777777" w:rsidTr="004176CE">
        <w:trPr>
          <w:jc w:val="center"/>
        </w:trPr>
        <w:tc>
          <w:tcPr>
            <w:tcW w:w="1324" w:type="dxa"/>
            <w:vMerge w:val="restart"/>
            <w:vAlign w:val="center"/>
          </w:tcPr>
          <w:p w14:paraId="07CB3004" w14:textId="423D5079"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rPr>
              <w:t>الرصيد النقدي وما</w:t>
            </w:r>
            <w:r w:rsidR="007213A4" w:rsidRPr="007213A4">
              <w:rPr>
                <w:rFonts w:hint="cs"/>
                <w:spacing w:val="-4"/>
                <w:position w:val="2"/>
                <w:sz w:val="18"/>
                <w:szCs w:val="18"/>
                <w:rtl/>
                <w:lang w:val="en-GB" w:eastAsia="en-US"/>
              </w:rPr>
              <w:t> </w:t>
            </w:r>
            <w:r w:rsidRPr="007213A4">
              <w:rPr>
                <w:spacing w:val="-4"/>
                <w:position w:val="2"/>
                <w:sz w:val="18"/>
                <w:szCs w:val="18"/>
                <w:rtl/>
                <w:lang w:val="en-GB" w:eastAsia="en-US"/>
              </w:rPr>
              <w:t>يعادله</w:t>
            </w:r>
          </w:p>
        </w:tc>
        <w:tc>
          <w:tcPr>
            <w:tcW w:w="2693" w:type="dxa"/>
          </w:tcPr>
          <w:p w14:paraId="18FDB9EF"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rtl/>
                <w:lang w:val="en-GB" w:eastAsia="en-US"/>
              </w:rPr>
            </w:pPr>
            <w:r w:rsidRPr="007213A4">
              <w:rPr>
                <w:spacing w:val="-4"/>
                <w:position w:val="2"/>
                <w:sz w:val="18"/>
                <w:szCs w:val="18"/>
                <w:rtl/>
                <w:lang w:val="en-GB" w:eastAsia="en-US" w:bidi="ar-EG"/>
              </w:rPr>
              <w:t>النقد في البنك والنقد في اليد – القابلان للتحويل وغير القابلان للتحويل</w:t>
            </w:r>
          </w:p>
        </w:tc>
        <w:tc>
          <w:tcPr>
            <w:tcW w:w="1560" w:type="dxa"/>
          </w:tcPr>
          <w:p w14:paraId="58D2CD4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val="restart"/>
          </w:tcPr>
          <w:p w14:paraId="2A1B0E1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rtl/>
                <w:lang w:val="en-GB" w:eastAsia="en-US"/>
              </w:rPr>
            </w:pPr>
            <w:r w:rsidRPr="007213A4">
              <w:rPr>
                <w:spacing w:val="-4"/>
                <w:position w:val="2"/>
                <w:sz w:val="18"/>
                <w:szCs w:val="18"/>
                <w:rtl/>
                <w:lang w:val="en-GB" w:eastAsia="en-US"/>
              </w:rPr>
              <w:t>الاحتفاظ بالأصل لتحصيل التدفقات النقدية</w:t>
            </w:r>
          </w:p>
        </w:tc>
        <w:tc>
          <w:tcPr>
            <w:tcW w:w="991" w:type="dxa"/>
            <w:vMerge w:val="restart"/>
          </w:tcPr>
          <w:p w14:paraId="6AF95423"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لا ينطبق</w:t>
            </w:r>
          </w:p>
        </w:tc>
        <w:tc>
          <w:tcPr>
            <w:tcW w:w="1274" w:type="dxa"/>
          </w:tcPr>
          <w:p w14:paraId="7A1DA83D"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782CCF8B" w14:textId="77777777" w:rsidTr="004176CE">
        <w:trPr>
          <w:jc w:val="center"/>
        </w:trPr>
        <w:tc>
          <w:tcPr>
            <w:tcW w:w="1324" w:type="dxa"/>
            <w:vMerge/>
            <w:vAlign w:val="center"/>
          </w:tcPr>
          <w:p w14:paraId="5A86B541"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2693" w:type="dxa"/>
          </w:tcPr>
          <w:p w14:paraId="7CE463C3"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bidi="ar-EG"/>
              </w:rPr>
            </w:pPr>
            <w:r w:rsidRPr="007213A4">
              <w:rPr>
                <w:spacing w:val="-4"/>
                <w:position w:val="2"/>
                <w:sz w:val="18"/>
                <w:szCs w:val="18"/>
                <w:rtl/>
                <w:lang w:val="en-GB" w:eastAsia="en-US" w:bidi="ar-EG"/>
              </w:rPr>
              <w:t>النقد في حسابات سوق المال تحت الطلب</w:t>
            </w:r>
          </w:p>
        </w:tc>
        <w:tc>
          <w:tcPr>
            <w:tcW w:w="1560" w:type="dxa"/>
          </w:tcPr>
          <w:p w14:paraId="60D43848"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tcPr>
          <w:p w14:paraId="48801984"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991" w:type="dxa"/>
            <w:vMerge/>
          </w:tcPr>
          <w:p w14:paraId="755FC45A"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274" w:type="dxa"/>
          </w:tcPr>
          <w:p w14:paraId="75FCA402"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614E5FD4" w14:textId="77777777" w:rsidTr="004176CE">
        <w:trPr>
          <w:jc w:val="center"/>
        </w:trPr>
        <w:tc>
          <w:tcPr>
            <w:tcW w:w="1324" w:type="dxa"/>
            <w:vMerge/>
            <w:vAlign w:val="center"/>
          </w:tcPr>
          <w:p w14:paraId="6A22FA36"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2693" w:type="dxa"/>
          </w:tcPr>
          <w:p w14:paraId="5AE5C70D"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bidi="ar-EG"/>
              </w:rPr>
            </w:pPr>
            <w:r w:rsidRPr="007213A4">
              <w:rPr>
                <w:spacing w:val="-4"/>
                <w:position w:val="2"/>
                <w:sz w:val="18"/>
                <w:szCs w:val="18"/>
                <w:rtl/>
                <w:lang w:val="en-GB" w:eastAsia="en-US" w:bidi="ar-EG"/>
              </w:rPr>
              <w:t>الودائع لأجل وغيرها (&lt; 90)</w:t>
            </w:r>
          </w:p>
        </w:tc>
        <w:tc>
          <w:tcPr>
            <w:tcW w:w="1560" w:type="dxa"/>
          </w:tcPr>
          <w:p w14:paraId="3C122AF8"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tcPr>
          <w:p w14:paraId="20073F7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991" w:type="dxa"/>
          </w:tcPr>
          <w:p w14:paraId="511B7E9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bidi="ar-EG"/>
              </w:rPr>
            </w:pPr>
            <w:r w:rsidRPr="007213A4">
              <w:rPr>
                <w:spacing w:val="-4"/>
                <w:position w:val="2"/>
                <w:sz w:val="18"/>
                <w:szCs w:val="18"/>
                <w:rtl/>
                <w:lang w:val="en-GB" w:eastAsia="en-US" w:bidi="ar-EG"/>
              </w:rPr>
              <w:t>اجتازت</w:t>
            </w:r>
          </w:p>
        </w:tc>
        <w:tc>
          <w:tcPr>
            <w:tcW w:w="1274" w:type="dxa"/>
          </w:tcPr>
          <w:p w14:paraId="26D555E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1AA8F057" w14:textId="77777777" w:rsidTr="004176CE">
        <w:trPr>
          <w:jc w:val="center"/>
        </w:trPr>
        <w:tc>
          <w:tcPr>
            <w:tcW w:w="1324" w:type="dxa"/>
            <w:vMerge w:val="restart"/>
            <w:vAlign w:val="center"/>
          </w:tcPr>
          <w:p w14:paraId="16BF3617"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المحفظة الاستثمارية</w:t>
            </w:r>
          </w:p>
        </w:tc>
        <w:tc>
          <w:tcPr>
            <w:tcW w:w="2693" w:type="dxa"/>
          </w:tcPr>
          <w:p w14:paraId="408ABD50"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الودائع لأجل (90 يوماً حتى 180 يوماً)</w:t>
            </w:r>
          </w:p>
        </w:tc>
        <w:tc>
          <w:tcPr>
            <w:tcW w:w="1560" w:type="dxa"/>
          </w:tcPr>
          <w:p w14:paraId="258D7F4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val="restart"/>
          </w:tcPr>
          <w:p w14:paraId="405993A0"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rPr>
              <w:t>الاحتفاظ بالأصل لتحصيل التدفقات النقدية</w:t>
            </w:r>
          </w:p>
        </w:tc>
        <w:tc>
          <w:tcPr>
            <w:tcW w:w="991" w:type="dxa"/>
            <w:vMerge w:val="restart"/>
          </w:tcPr>
          <w:p w14:paraId="4781351F"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اجتازت</w:t>
            </w:r>
          </w:p>
        </w:tc>
        <w:tc>
          <w:tcPr>
            <w:tcW w:w="1274" w:type="dxa"/>
          </w:tcPr>
          <w:p w14:paraId="42DFB17D"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271F7A33" w14:textId="77777777" w:rsidTr="004176CE">
        <w:trPr>
          <w:jc w:val="center"/>
        </w:trPr>
        <w:tc>
          <w:tcPr>
            <w:tcW w:w="1324" w:type="dxa"/>
            <w:vMerge/>
            <w:vAlign w:val="center"/>
          </w:tcPr>
          <w:p w14:paraId="5E18EA9B"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2693" w:type="dxa"/>
          </w:tcPr>
          <w:p w14:paraId="7CED3491"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شهادة إيداع</w:t>
            </w:r>
          </w:p>
        </w:tc>
        <w:tc>
          <w:tcPr>
            <w:tcW w:w="1560" w:type="dxa"/>
          </w:tcPr>
          <w:p w14:paraId="33068CF9"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tcPr>
          <w:p w14:paraId="1D5AEE52"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highlight w:val="yellow"/>
                <w:lang w:val="en-GB" w:eastAsia="en-US"/>
              </w:rPr>
            </w:pPr>
          </w:p>
        </w:tc>
        <w:tc>
          <w:tcPr>
            <w:tcW w:w="991" w:type="dxa"/>
            <w:vMerge/>
          </w:tcPr>
          <w:p w14:paraId="44758CAA"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274" w:type="dxa"/>
          </w:tcPr>
          <w:p w14:paraId="6CA23D88"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5DB82B06" w14:textId="77777777" w:rsidTr="004176CE">
        <w:trPr>
          <w:jc w:val="center"/>
        </w:trPr>
        <w:tc>
          <w:tcPr>
            <w:tcW w:w="1324" w:type="dxa"/>
            <w:vMerge w:val="restart"/>
            <w:vAlign w:val="center"/>
          </w:tcPr>
          <w:p w14:paraId="7D9FD0AA"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الذمم المدينة</w:t>
            </w:r>
          </w:p>
        </w:tc>
        <w:tc>
          <w:tcPr>
            <w:tcW w:w="2693" w:type="dxa"/>
          </w:tcPr>
          <w:p w14:paraId="7714F74D"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bidi="ar-EG"/>
              </w:rPr>
            </w:pPr>
            <w:r w:rsidRPr="007213A4">
              <w:rPr>
                <w:spacing w:val="-4"/>
                <w:position w:val="2"/>
                <w:sz w:val="18"/>
                <w:szCs w:val="18"/>
                <w:rtl/>
                <w:lang w:val="en-GB" w:eastAsia="en-US" w:bidi="ar-EG"/>
              </w:rPr>
              <w:t>المساهمات المقررة المستحقة القبض</w:t>
            </w:r>
          </w:p>
        </w:tc>
        <w:tc>
          <w:tcPr>
            <w:tcW w:w="1560" w:type="dxa"/>
            <w:vMerge w:val="restart"/>
          </w:tcPr>
          <w:p w14:paraId="7A603463"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القروض والذمم المدينة</w:t>
            </w:r>
          </w:p>
        </w:tc>
        <w:tc>
          <w:tcPr>
            <w:tcW w:w="1702" w:type="dxa"/>
            <w:vMerge w:val="restart"/>
          </w:tcPr>
          <w:p w14:paraId="57C6BE10"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rPr>
              <w:t>الاحتفاظ بالأصل لتحصيل التدفقات النقدية</w:t>
            </w:r>
          </w:p>
        </w:tc>
        <w:tc>
          <w:tcPr>
            <w:tcW w:w="991" w:type="dxa"/>
            <w:vMerge w:val="restart"/>
          </w:tcPr>
          <w:p w14:paraId="7E764EA4"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اجتازت</w:t>
            </w:r>
          </w:p>
        </w:tc>
        <w:tc>
          <w:tcPr>
            <w:tcW w:w="1274" w:type="dxa"/>
          </w:tcPr>
          <w:p w14:paraId="1BB3D9D3" w14:textId="77777777" w:rsidR="00C424F3" w:rsidRPr="007213A4" w:rsidRDefault="00C424F3" w:rsidP="007213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7F27C5AA" w14:textId="77777777" w:rsidTr="004176CE">
        <w:trPr>
          <w:jc w:val="center"/>
        </w:trPr>
        <w:tc>
          <w:tcPr>
            <w:tcW w:w="1324" w:type="dxa"/>
            <w:vMerge/>
            <w:vAlign w:val="center"/>
          </w:tcPr>
          <w:p w14:paraId="7D5767EF"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2693" w:type="dxa"/>
          </w:tcPr>
          <w:p w14:paraId="1D3B251A"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المساهمات الطوعية المستحقة القبض</w:t>
            </w:r>
          </w:p>
        </w:tc>
        <w:tc>
          <w:tcPr>
            <w:tcW w:w="1560" w:type="dxa"/>
            <w:vMerge/>
          </w:tcPr>
          <w:p w14:paraId="010B11DE"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702" w:type="dxa"/>
            <w:vMerge/>
          </w:tcPr>
          <w:p w14:paraId="20B926B3"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991" w:type="dxa"/>
            <w:vMerge/>
          </w:tcPr>
          <w:p w14:paraId="7A0E6B94"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274" w:type="dxa"/>
          </w:tcPr>
          <w:p w14:paraId="16420E35"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2A42D298" w14:textId="77777777" w:rsidTr="004176CE">
        <w:trPr>
          <w:jc w:val="center"/>
        </w:trPr>
        <w:tc>
          <w:tcPr>
            <w:tcW w:w="1324" w:type="dxa"/>
            <w:vMerge/>
            <w:vAlign w:val="center"/>
          </w:tcPr>
          <w:p w14:paraId="33D716BA"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2693" w:type="dxa"/>
          </w:tcPr>
          <w:p w14:paraId="5D8F9CBC"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ذمم مدينة أخرى</w:t>
            </w:r>
          </w:p>
        </w:tc>
        <w:tc>
          <w:tcPr>
            <w:tcW w:w="1560" w:type="dxa"/>
            <w:vMerge/>
          </w:tcPr>
          <w:p w14:paraId="697CB6DB"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702" w:type="dxa"/>
            <w:vMerge/>
          </w:tcPr>
          <w:p w14:paraId="707FD23D"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991" w:type="dxa"/>
            <w:vMerge/>
          </w:tcPr>
          <w:p w14:paraId="72B15077"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p>
        </w:tc>
        <w:tc>
          <w:tcPr>
            <w:tcW w:w="1274" w:type="dxa"/>
          </w:tcPr>
          <w:p w14:paraId="1768CB10"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التكلفة المستهلكة</w:t>
            </w:r>
          </w:p>
        </w:tc>
      </w:tr>
      <w:tr w:rsidR="00C424F3" w:rsidRPr="00C32070" w14:paraId="28836B52" w14:textId="77777777" w:rsidTr="004176CE">
        <w:trPr>
          <w:jc w:val="center"/>
        </w:trPr>
        <w:tc>
          <w:tcPr>
            <w:tcW w:w="1324" w:type="dxa"/>
            <w:vAlign w:val="center"/>
          </w:tcPr>
          <w:p w14:paraId="6095EA62" w14:textId="76BE329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lastRenderedPageBreak/>
              <w:t xml:space="preserve">المشتقات </w:t>
            </w:r>
            <w:r w:rsidR="007213A4" w:rsidRPr="007213A4">
              <w:rPr>
                <w:spacing w:val="-4"/>
                <w:position w:val="2"/>
                <w:sz w:val="18"/>
                <w:szCs w:val="18"/>
                <w:rtl/>
                <w:lang w:val="en-GB" w:eastAsia="en-US" w:bidi="ar-EG"/>
              </w:rPr>
              <w:br/>
            </w:r>
            <w:r w:rsidRPr="007213A4">
              <w:rPr>
                <w:spacing w:val="-4"/>
                <w:position w:val="2"/>
                <w:sz w:val="18"/>
                <w:szCs w:val="18"/>
                <w:rtl/>
                <w:lang w:val="en-GB" w:eastAsia="en-US" w:bidi="ar-EG"/>
              </w:rPr>
              <w:t>(لا تنطبق حالياً)</w:t>
            </w:r>
          </w:p>
        </w:tc>
        <w:tc>
          <w:tcPr>
            <w:tcW w:w="2693" w:type="dxa"/>
          </w:tcPr>
          <w:p w14:paraId="724D9148"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العقود الآجلة/ خيارات العملة الأجنبية</w:t>
            </w:r>
          </w:p>
        </w:tc>
        <w:tc>
          <w:tcPr>
            <w:tcW w:w="1560" w:type="dxa"/>
          </w:tcPr>
          <w:p w14:paraId="24CB75A3"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حيازة للتداول</w:t>
            </w:r>
          </w:p>
        </w:tc>
        <w:tc>
          <w:tcPr>
            <w:tcW w:w="1702" w:type="dxa"/>
          </w:tcPr>
          <w:p w14:paraId="2C6CB912"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حيازة للتداول</w:t>
            </w:r>
          </w:p>
        </w:tc>
        <w:tc>
          <w:tcPr>
            <w:tcW w:w="991" w:type="dxa"/>
          </w:tcPr>
          <w:p w14:paraId="6204AC9F"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val="en-GB" w:eastAsia="en-US"/>
              </w:rPr>
            </w:pPr>
            <w:r w:rsidRPr="007213A4">
              <w:rPr>
                <w:spacing w:val="-4"/>
                <w:position w:val="2"/>
                <w:sz w:val="18"/>
                <w:szCs w:val="18"/>
                <w:rtl/>
                <w:lang w:val="en-GB" w:eastAsia="en-US" w:bidi="ar-EG"/>
              </w:rPr>
              <w:t>لا ينطبق</w:t>
            </w:r>
          </w:p>
        </w:tc>
        <w:tc>
          <w:tcPr>
            <w:tcW w:w="1274" w:type="dxa"/>
          </w:tcPr>
          <w:p w14:paraId="685F3BBB" w14:textId="77777777" w:rsidR="00C424F3" w:rsidRPr="007213A4" w:rsidRDefault="00C424F3" w:rsidP="007213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spacing w:val="-4"/>
                <w:position w:val="2"/>
                <w:sz w:val="18"/>
                <w:szCs w:val="18"/>
                <w:lang w:eastAsia="en-US"/>
              </w:rPr>
            </w:pPr>
            <w:r w:rsidRPr="007213A4">
              <w:rPr>
                <w:spacing w:val="-4"/>
                <w:position w:val="2"/>
                <w:sz w:val="18"/>
                <w:szCs w:val="18"/>
                <w:rtl/>
                <w:lang w:val="en-GB" w:eastAsia="en-US" w:bidi="ar-EG"/>
              </w:rPr>
              <w:t xml:space="preserve">القيمة العادلة عن طريق الفائض أو العجز </w:t>
            </w:r>
            <w:r w:rsidRPr="007213A4">
              <w:rPr>
                <w:spacing w:val="-4"/>
                <w:position w:val="2"/>
                <w:sz w:val="18"/>
                <w:szCs w:val="18"/>
                <w:lang w:eastAsia="en-US" w:bidi="ar-EG"/>
              </w:rPr>
              <w:t>(FVSD)</w:t>
            </w:r>
          </w:p>
        </w:tc>
      </w:tr>
    </w:tbl>
    <w:p w14:paraId="54B90254" w14:textId="77777777" w:rsidR="00C424F3" w:rsidRPr="00C32070" w:rsidRDefault="00C424F3" w:rsidP="00F72B70">
      <w:pPr>
        <w:pStyle w:val="Headingb"/>
      </w:pPr>
      <w:r w:rsidRPr="00C32070">
        <w:rPr>
          <w:rtl/>
        </w:rPr>
        <w:t>تصنيف الخصوم المالية</w:t>
      </w:r>
    </w:p>
    <w:p w14:paraId="589B2CAD" w14:textId="77777777" w:rsidR="00C424F3" w:rsidRPr="00C32070" w:rsidRDefault="00C424F3" w:rsidP="00C424F3">
      <w:r w:rsidRPr="00C32070">
        <w:rPr>
          <w:rtl/>
          <w:lang w:bidi="ar-EG"/>
        </w:rPr>
        <w:t>ينبغي أن تُقاس الخصوم المالية تباعاً بحسب:</w:t>
      </w:r>
    </w:p>
    <w:p w14:paraId="540DD2B8" w14:textId="77777777" w:rsidR="00C424F3" w:rsidRPr="00C32070" w:rsidRDefault="00C424F3" w:rsidP="00C424F3">
      <w:pPr>
        <w:pStyle w:val="enumlev1"/>
      </w:pPr>
      <w:r w:rsidRPr="00C32070">
        <w:rPr>
          <w:rtl/>
        </w:rPr>
        <w:t>-</w:t>
      </w:r>
      <w:r w:rsidRPr="00C32070">
        <w:rPr>
          <w:rtl/>
        </w:rPr>
        <w:tab/>
        <w:t xml:space="preserve">التكلفة المستهلكة، </w:t>
      </w:r>
      <w:proofErr w:type="spellStart"/>
      <w:r w:rsidRPr="00C32070">
        <w:rPr>
          <w:rtl/>
        </w:rPr>
        <w:t>مَقيسةً</w:t>
      </w:r>
      <w:proofErr w:type="spellEnd"/>
      <w:r w:rsidRPr="00C32070">
        <w:rPr>
          <w:rtl/>
        </w:rPr>
        <w:t xml:space="preserve"> باستخدام </w:t>
      </w:r>
      <w:r w:rsidRPr="00C32070">
        <w:rPr>
          <w:rtl/>
          <w:lang w:bidi="ar-EG"/>
        </w:rPr>
        <w:t>أسلوب الفائدة الفعلية،</w:t>
      </w:r>
    </w:p>
    <w:p w14:paraId="3159CFEF" w14:textId="77777777" w:rsidR="00C424F3" w:rsidRPr="00C32070" w:rsidRDefault="00C424F3" w:rsidP="00C424F3">
      <w:pPr>
        <w:pStyle w:val="enumlev1"/>
        <w:rPr>
          <w:rtl/>
          <w:lang w:val="en-GB" w:bidi="ar-EG"/>
        </w:rPr>
      </w:pPr>
      <w:r w:rsidRPr="00C32070">
        <w:rPr>
          <w:rtl/>
        </w:rPr>
        <w:t>-</w:t>
      </w:r>
      <w:r w:rsidRPr="00C32070">
        <w:rPr>
          <w:rtl/>
        </w:rPr>
        <w:tab/>
        <w:t xml:space="preserve">أو القيمة العادلة عن طريق الفائض أو العجز </w:t>
      </w:r>
      <w:r w:rsidRPr="00C32070">
        <w:t>(FVSD)</w:t>
      </w:r>
      <w:r w:rsidRPr="00C32070">
        <w:rPr>
          <w:rtl/>
          <w:lang w:val="en-GB" w:bidi="ar-EG"/>
        </w:rPr>
        <w:t>.</w:t>
      </w:r>
    </w:p>
    <w:p w14:paraId="5D8ADDA9" w14:textId="77777777" w:rsidR="00C424F3" w:rsidRPr="00C32070" w:rsidRDefault="00C424F3" w:rsidP="00C424F3">
      <w:pPr>
        <w:spacing w:after="120"/>
        <w:rPr>
          <w:rtl/>
          <w:lang w:bidi="ar-EG"/>
        </w:rPr>
      </w:pPr>
      <w:r w:rsidRPr="00C32070">
        <w:rPr>
          <w:rtl/>
          <w:lang w:bidi="ar-EG"/>
        </w:rPr>
        <w:t xml:space="preserve">ونتيجةً لاعتماد المعيار </w:t>
      </w:r>
      <w:r w:rsidRPr="00C32070">
        <w:rPr>
          <w:lang w:bidi="ar-EG"/>
        </w:rPr>
        <w:t>IPSAS 41</w:t>
      </w:r>
      <w:r w:rsidRPr="00C32070">
        <w:rPr>
          <w:rtl/>
          <w:lang w:bidi="ar-EG"/>
        </w:rPr>
        <w:t>، لم يطرأ أي تغيير على تصنيف الخصوم المالية للكيان المعني.</w:t>
      </w:r>
    </w:p>
    <w:tbl>
      <w:tblPr>
        <w:tblStyle w:val="TableGrid4"/>
        <w:bidiVisual/>
        <w:tblW w:w="5000" w:type="pct"/>
        <w:jc w:val="center"/>
        <w:tblLook w:val="04A0" w:firstRow="1" w:lastRow="0" w:firstColumn="1" w:lastColumn="0" w:noHBand="0" w:noVBand="1"/>
      </w:tblPr>
      <w:tblGrid>
        <w:gridCol w:w="2340"/>
        <w:gridCol w:w="4949"/>
        <w:gridCol w:w="2340"/>
      </w:tblGrid>
      <w:tr w:rsidR="00C424F3" w:rsidRPr="00C82DD3" w14:paraId="5822AC7D" w14:textId="77777777" w:rsidTr="00DB3336">
        <w:trPr>
          <w:trHeight w:val="172"/>
          <w:tblHeader/>
          <w:jc w:val="center"/>
        </w:trPr>
        <w:tc>
          <w:tcPr>
            <w:tcW w:w="1215" w:type="pct"/>
            <w:shd w:val="clear" w:color="auto" w:fill="0070C0"/>
          </w:tcPr>
          <w:p w14:paraId="3366946E"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position w:val="2"/>
                <w:sz w:val="18"/>
                <w:szCs w:val="18"/>
                <w:lang w:val="en-GB" w:eastAsia="en-US"/>
              </w:rPr>
            </w:pPr>
            <w:r w:rsidRPr="00C82DD3">
              <w:rPr>
                <w:b/>
                <w:bCs/>
                <w:position w:val="2"/>
                <w:sz w:val="18"/>
                <w:szCs w:val="18"/>
                <w:rtl/>
                <w:lang w:val="en-GB" w:eastAsia="en-US" w:bidi="ar-EG"/>
              </w:rPr>
              <w:t>فئة الخصم المالي</w:t>
            </w:r>
          </w:p>
        </w:tc>
        <w:tc>
          <w:tcPr>
            <w:tcW w:w="2570" w:type="pct"/>
            <w:shd w:val="clear" w:color="auto" w:fill="0070C0"/>
          </w:tcPr>
          <w:p w14:paraId="0159195B"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position w:val="2"/>
                <w:sz w:val="18"/>
                <w:szCs w:val="18"/>
                <w:lang w:val="en-GB" w:eastAsia="en-US"/>
              </w:rPr>
            </w:pPr>
            <w:r w:rsidRPr="00C82DD3">
              <w:rPr>
                <w:b/>
                <w:bCs/>
                <w:position w:val="2"/>
                <w:sz w:val="18"/>
                <w:szCs w:val="18"/>
                <w:rtl/>
                <w:lang w:val="en-GB" w:eastAsia="en-US" w:bidi="ar-EG"/>
              </w:rPr>
              <w:t xml:space="preserve">تحليل المعيار </w:t>
            </w:r>
            <w:r w:rsidRPr="00C82DD3">
              <w:rPr>
                <w:b/>
                <w:bCs/>
                <w:position w:val="2"/>
                <w:sz w:val="18"/>
                <w:szCs w:val="18"/>
                <w:lang w:val="en-GB" w:eastAsia="en-US" w:bidi="ar-EG"/>
              </w:rPr>
              <w:t>IPSAS 41</w:t>
            </w:r>
          </w:p>
        </w:tc>
        <w:tc>
          <w:tcPr>
            <w:tcW w:w="1215" w:type="pct"/>
            <w:shd w:val="clear" w:color="auto" w:fill="0070C0"/>
          </w:tcPr>
          <w:p w14:paraId="522E5FEB"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b/>
                <w:bCs/>
                <w:position w:val="2"/>
                <w:sz w:val="18"/>
                <w:szCs w:val="18"/>
                <w:lang w:eastAsia="en-US"/>
              </w:rPr>
            </w:pPr>
            <w:r w:rsidRPr="00C82DD3">
              <w:rPr>
                <w:b/>
                <w:bCs/>
                <w:position w:val="2"/>
                <w:sz w:val="18"/>
                <w:szCs w:val="18"/>
                <w:rtl/>
                <w:lang w:val="en-GB" w:eastAsia="en-US" w:bidi="ar-EG"/>
              </w:rPr>
              <w:t xml:space="preserve">تصنيف المعيار </w:t>
            </w:r>
            <w:r w:rsidRPr="00C82DD3">
              <w:rPr>
                <w:b/>
                <w:bCs/>
                <w:position w:val="2"/>
                <w:sz w:val="18"/>
                <w:szCs w:val="18"/>
                <w:lang w:eastAsia="en-US" w:bidi="ar-EG"/>
              </w:rPr>
              <w:t>IPSAS 41</w:t>
            </w:r>
          </w:p>
        </w:tc>
      </w:tr>
      <w:tr w:rsidR="00C424F3" w:rsidRPr="00C82DD3" w14:paraId="0C1D8B5D" w14:textId="77777777" w:rsidTr="00DB3336">
        <w:trPr>
          <w:jc w:val="center"/>
        </w:trPr>
        <w:tc>
          <w:tcPr>
            <w:tcW w:w="1215" w:type="pct"/>
          </w:tcPr>
          <w:p w14:paraId="45400EDA"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bidi="ar-EG"/>
              </w:rPr>
            </w:pPr>
            <w:r w:rsidRPr="00C82DD3">
              <w:rPr>
                <w:position w:val="2"/>
                <w:sz w:val="18"/>
                <w:szCs w:val="18"/>
                <w:rtl/>
                <w:lang w:val="en-GB" w:eastAsia="en-US" w:bidi="ar-EG"/>
              </w:rPr>
              <w:t>الحسابات الدائنة والالتزامات المستحقة</w:t>
            </w:r>
          </w:p>
        </w:tc>
        <w:tc>
          <w:tcPr>
            <w:tcW w:w="2570" w:type="pct"/>
          </w:tcPr>
          <w:p w14:paraId="45869A0F"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spacing w:val="-2"/>
                <w:position w:val="2"/>
                <w:sz w:val="18"/>
                <w:szCs w:val="18"/>
                <w:rtl/>
                <w:lang w:val="en-GB" w:eastAsia="en-US"/>
              </w:rPr>
            </w:pPr>
            <w:r w:rsidRPr="00C82DD3">
              <w:rPr>
                <w:spacing w:val="-2"/>
                <w:position w:val="2"/>
                <w:sz w:val="18"/>
                <w:szCs w:val="18"/>
                <w:rtl/>
                <w:lang w:val="en-GB" w:eastAsia="en-US" w:bidi="ar-EG"/>
              </w:rPr>
              <w:t xml:space="preserve">تُقاس الذمم الدائنة والمستحقات غير المسددة الناتجة عن شراء السلع والخدمات بالقيمة العادلة أولاً، ثم بالقيمة المستهلكة لاحقاً حينما تُسلَّم/تقدَّم السلع/الخدمات ويقبلها الاتحاد الدولي للاتصالات. </w:t>
            </w:r>
          </w:p>
        </w:tc>
        <w:tc>
          <w:tcPr>
            <w:tcW w:w="1215" w:type="pct"/>
          </w:tcPr>
          <w:p w14:paraId="57D11B9F"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التكلفة المستهلكة</w:t>
            </w:r>
          </w:p>
        </w:tc>
      </w:tr>
      <w:tr w:rsidR="00C424F3" w:rsidRPr="00C82DD3" w14:paraId="4B8EBA31" w14:textId="77777777" w:rsidTr="00DB3336">
        <w:trPr>
          <w:jc w:val="center"/>
        </w:trPr>
        <w:tc>
          <w:tcPr>
            <w:tcW w:w="1215" w:type="pct"/>
          </w:tcPr>
          <w:p w14:paraId="64783823"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المساهمات المدفوعة مقدماً</w:t>
            </w:r>
          </w:p>
        </w:tc>
        <w:tc>
          <w:tcPr>
            <w:tcW w:w="2570" w:type="pct"/>
          </w:tcPr>
          <w:p w14:paraId="730E903F"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position w:val="2"/>
                <w:sz w:val="18"/>
                <w:szCs w:val="18"/>
                <w:lang w:val="en-GB" w:eastAsia="en-US"/>
              </w:rPr>
            </w:pPr>
            <w:r w:rsidRPr="00C82DD3">
              <w:rPr>
                <w:position w:val="2"/>
                <w:sz w:val="18"/>
                <w:szCs w:val="18"/>
                <w:rtl/>
                <w:lang w:val="en-GB" w:eastAsia="en-US" w:bidi="ar-EG"/>
              </w:rPr>
              <w:t>ليست خصماً مالياً ذلك أنه لا تُتوقع تسوية هذه المساهمات نقداً.</w:t>
            </w:r>
          </w:p>
        </w:tc>
        <w:tc>
          <w:tcPr>
            <w:tcW w:w="1215" w:type="pct"/>
          </w:tcPr>
          <w:p w14:paraId="10C0B28E"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لا ينطبق</w:t>
            </w:r>
          </w:p>
        </w:tc>
      </w:tr>
      <w:tr w:rsidR="00C424F3" w:rsidRPr="00C82DD3" w14:paraId="2B5FBED2" w14:textId="77777777" w:rsidTr="00DB3336">
        <w:trPr>
          <w:jc w:val="center"/>
        </w:trPr>
        <w:tc>
          <w:tcPr>
            <w:tcW w:w="1215" w:type="pct"/>
          </w:tcPr>
          <w:p w14:paraId="3D89C404"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حيازة أموال بأسماء أطراف ثالثة</w:t>
            </w:r>
          </w:p>
        </w:tc>
        <w:tc>
          <w:tcPr>
            <w:tcW w:w="2570" w:type="pct"/>
          </w:tcPr>
          <w:p w14:paraId="69319B9A"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position w:val="2"/>
                <w:sz w:val="18"/>
                <w:szCs w:val="18"/>
                <w:lang w:val="en-GB" w:eastAsia="en-US"/>
              </w:rPr>
            </w:pPr>
            <w:r w:rsidRPr="00C82DD3">
              <w:rPr>
                <w:position w:val="2"/>
                <w:sz w:val="18"/>
                <w:szCs w:val="18"/>
                <w:rtl/>
                <w:lang w:val="en-GB" w:eastAsia="en-US" w:bidi="ar-EG"/>
              </w:rPr>
              <w:t xml:space="preserve">لا تتضمن البيانات المالية للاتحاد خصوماً تتمثل في نقد يحوزه الاتحاد بأسماء أطراف ثالثة (كيانات محددة غير موحدة). </w:t>
            </w:r>
          </w:p>
        </w:tc>
        <w:tc>
          <w:tcPr>
            <w:tcW w:w="1215" w:type="pct"/>
          </w:tcPr>
          <w:p w14:paraId="2F2B4E18"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التكلفة المستهلكة</w:t>
            </w:r>
          </w:p>
        </w:tc>
      </w:tr>
      <w:tr w:rsidR="00C424F3" w:rsidRPr="00C82DD3" w14:paraId="76EB3679" w14:textId="77777777" w:rsidTr="00DB3336">
        <w:trPr>
          <w:jc w:val="center"/>
        </w:trPr>
        <w:tc>
          <w:tcPr>
            <w:tcW w:w="1215" w:type="pct"/>
          </w:tcPr>
          <w:p w14:paraId="13283870"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خصوم مشتقة (حيازة للتداول) (لا تنطبق حالياً)</w:t>
            </w:r>
          </w:p>
        </w:tc>
        <w:tc>
          <w:tcPr>
            <w:tcW w:w="2570" w:type="pct"/>
          </w:tcPr>
          <w:p w14:paraId="0909D25E"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position w:val="2"/>
                <w:sz w:val="18"/>
                <w:szCs w:val="18"/>
                <w:lang w:val="en-GB" w:eastAsia="en-US" w:bidi="ar-EG"/>
              </w:rPr>
            </w:pPr>
            <w:r w:rsidRPr="00C82DD3">
              <w:rPr>
                <w:position w:val="2"/>
                <w:sz w:val="18"/>
                <w:szCs w:val="18"/>
                <w:rtl/>
                <w:lang w:val="en-GB" w:eastAsia="en-US"/>
              </w:rPr>
              <w:t xml:space="preserve">لا يتعامل الاتحاد بالمشتقات لإدارة </w:t>
            </w:r>
            <w:proofErr w:type="gramStart"/>
            <w:r w:rsidRPr="00C82DD3">
              <w:rPr>
                <w:position w:val="2"/>
                <w:sz w:val="18"/>
                <w:szCs w:val="18"/>
                <w:rtl/>
                <w:lang w:val="en-GB" w:eastAsia="en-US"/>
              </w:rPr>
              <w:t>مخاطر</w:t>
            </w:r>
            <w:proofErr w:type="gramEnd"/>
            <w:r w:rsidRPr="00C82DD3">
              <w:rPr>
                <w:position w:val="2"/>
                <w:sz w:val="18"/>
                <w:szCs w:val="18"/>
                <w:rtl/>
                <w:lang w:val="en-GB" w:eastAsia="en-US"/>
              </w:rPr>
              <w:t xml:space="preserve"> الصرف الأجنبي، وإن استُخدمت، فسيُتعاقد عليها مع </w:t>
            </w:r>
            <w:r w:rsidRPr="00C82DD3">
              <w:rPr>
                <w:position w:val="2"/>
                <w:sz w:val="18"/>
                <w:szCs w:val="18"/>
                <w:rtl/>
                <w:lang w:val="en-GB" w:eastAsia="en-US" w:bidi="ar-EG"/>
              </w:rPr>
              <w:t>أطراف نظيرة مليئة مالياً وفقاً لمبادئ الاتحاد التوجيهية للاستثمار ذات الصلة.</w:t>
            </w:r>
          </w:p>
        </w:tc>
        <w:tc>
          <w:tcPr>
            <w:tcW w:w="1215" w:type="pct"/>
          </w:tcPr>
          <w:p w14:paraId="58D82408"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القيمة العادلة عن طريق الفائض أو العجز</w:t>
            </w:r>
          </w:p>
        </w:tc>
      </w:tr>
      <w:tr w:rsidR="00C424F3" w:rsidRPr="00C82DD3" w14:paraId="320ADCA4" w14:textId="77777777" w:rsidTr="00DB3336">
        <w:trPr>
          <w:jc w:val="center"/>
        </w:trPr>
        <w:tc>
          <w:tcPr>
            <w:tcW w:w="1215" w:type="pct"/>
          </w:tcPr>
          <w:p w14:paraId="3895AB8E"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eastAsia="en-US"/>
              </w:rPr>
            </w:pPr>
            <w:r w:rsidRPr="00C82DD3">
              <w:rPr>
                <w:position w:val="2"/>
                <w:sz w:val="18"/>
                <w:szCs w:val="18"/>
                <w:rtl/>
                <w:lang w:val="en-GB" w:eastAsia="en-US" w:bidi="ar-EG"/>
              </w:rPr>
              <w:t xml:space="preserve">قروض مقدمة من مؤسسة مباني المنظمات الدولية </w:t>
            </w:r>
            <w:r w:rsidRPr="00C82DD3">
              <w:rPr>
                <w:position w:val="2"/>
                <w:sz w:val="18"/>
                <w:szCs w:val="18"/>
                <w:lang w:eastAsia="en-US" w:bidi="ar-EG"/>
              </w:rPr>
              <w:t>(FIPOI)</w:t>
            </w:r>
          </w:p>
        </w:tc>
        <w:tc>
          <w:tcPr>
            <w:tcW w:w="2570" w:type="pct"/>
          </w:tcPr>
          <w:p w14:paraId="60E33A21" w14:textId="57AA4408"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spacing w:val="-2"/>
                <w:position w:val="2"/>
                <w:sz w:val="18"/>
                <w:szCs w:val="18"/>
                <w:rtl/>
                <w:lang w:val="en-GB" w:eastAsia="en-US" w:bidi="ar-EG"/>
              </w:rPr>
            </w:pPr>
            <w:r w:rsidRPr="00C82DD3">
              <w:rPr>
                <w:spacing w:val="-2"/>
                <w:position w:val="2"/>
                <w:sz w:val="18"/>
                <w:szCs w:val="18"/>
                <w:rtl/>
                <w:lang w:val="en-GB" w:eastAsia="en-US" w:bidi="ar-EG"/>
              </w:rPr>
              <w:t>لدى الاتحاد الدولي للاتصالات حالياً أربعة قروض بدون فوائد من مؤسسة</w:t>
            </w:r>
            <w:r w:rsidR="00C82DD3" w:rsidRPr="00C82DD3">
              <w:rPr>
                <w:rFonts w:hint="cs"/>
                <w:spacing w:val="-2"/>
                <w:position w:val="2"/>
                <w:sz w:val="18"/>
                <w:szCs w:val="18"/>
                <w:rtl/>
                <w:lang w:val="en-GB" w:eastAsia="en-US" w:bidi="ar-EG"/>
              </w:rPr>
              <w:t> </w:t>
            </w:r>
            <w:r w:rsidRPr="00C82DD3">
              <w:rPr>
                <w:spacing w:val="-2"/>
                <w:position w:val="2"/>
                <w:sz w:val="18"/>
                <w:szCs w:val="18"/>
                <w:lang w:eastAsia="en-US" w:bidi="ar-EG"/>
              </w:rPr>
              <w:t>FIPOI</w:t>
            </w:r>
            <w:r w:rsidRPr="00C82DD3">
              <w:rPr>
                <w:spacing w:val="-2"/>
                <w:position w:val="2"/>
                <w:sz w:val="18"/>
                <w:szCs w:val="18"/>
                <w:rtl/>
                <w:lang w:eastAsia="en-US" w:bidi="ar-EG"/>
              </w:rPr>
              <w:t>. وقد اعتُرف بثلاثة قروض منها بالقيمة العادلة، بينما لم يحدَّد للقرض الرابع بعد جدولٌ زمني لسداده، فاعتُرف به بحسب التكلفة المستهلكة.</w:t>
            </w:r>
          </w:p>
        </w:tc>
        <w:tc>
          <w:tcPr>
            <w:tcW w:w="1215" w:type="pct"/>
          </w:tcPr>
          <w:p w14:paraId="0839F223"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rtl/>
                <w:lang w:val="en-GB" w:eastAsia="en-US"/>
              </w:rPr>
            </w:pPr>
            <w:r w:rsidRPr="00C82DD3">
              <w:rPr>
                <w:position w:val="2"/>
                <w:sz w:val="18"/>
                <w:szCs w:val="18"/>
                <w:rtl/>
                <w:lang w:val="en-GB" w:eastAsia="en-US" w:bidi="ar-EG"/>
              </w:rPr>
              <w:t xml:space="preserve">القيمة العادلة عن طريق الفائض أو العجز (لثلاثة قروض من مؤسسة </w:t>
            </w:r>
            <w:r w:rsidRPr="00C82DD3">
              <w:rPr>
                <w:position w:val="2"/>
                <w:sz w:val="18"/>
                <w:szCs w:val="18"/>
                <w:lang w:eastAsia="en-US" w:bidi="ar-EG"/>
              </w:rPr>
              <w:t>FIPOI</w:t>
            </w:r>
            <w:r w:rsidRPr="00C82DD3">
              <w:rPr>
                <w:position w:val="2"/>
                <w:sz w:val="18"/>
                <w:szCs w:val="18"/>
                <w:rtl/>
                <w:lang w:val="en-GB" w:eastAsia="en-US" w:bidi="ar-EG"/>
              </w:rPr>
              <w:t xml:space="preserve">) والتكلفة المستهلكة (لقرض مؤسسة </w:t>
            </w:r>
            <w:r w:rsidRPr="00C82DD3">
              <w:rPr>
                <w:position w:val="2"/>
                <w:sz w:val="18"/>
                <w:szCs w:val="18"/>
                <w:lang w:val="en-GB" w:eastAsia="en-US" w:bidi="ar-EG"/>
              </w:rPr>
              <w:t>FIPOI</w:t>
            </w:r>
            <w:r w:rsidRPr="00C82DD3">
              <w:rPr>
                <w:position w:val="2"/>
                <w:sz w:val="18"/>
                <w:szCs w:val="18"/>
                <w:rtl/>
                <w:lang w:val="en-GB" w:eastAsia="en-US" w:bidi="ar-EG"/>
              </w:rPr>
              <w:t xml:space="preserve"> الرابع الذي ليس له حالياً جدول زمني للسداد)</w:t>
            </w:r>
          </w:p>
        </w:tc>
      </w:tr>
      <w:tr w:rsidR="00C424F3" w:rsidRPr="00C82DD3" w14:paraId="382ED611" w14:textId="77777777" w:rsidTr="00DB3336">
        <w:trPr>
          <w:jc w:val="center"/>
        </w:trPr>
        <w:tc>
          <w:tcPr>
            <w:tcW w:w="1215" w:type="pct"/>
          </w:tcPr>
          <w:p w14:paraId="65BF54B2" w14:textId="4DF2182E"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rtl/>
                <w:lang w:val="en-GB" w:eastAsia="en-US" w:bidi="ar-EG"/>
              </w:rPr>
            </w:pPr>
            <w:r w:rsidRPr="00C82DD3">
              <w:rPr>
                <w:position w:val="2"/>
                <w:sz w:val="18"/>
                <w:szCs w:val="18"/>
                <w:rtl/>
                <w:lang w:val="en-GB" w:eastAsia="en-US" w:bidi="ar-EG"/>
              </w:rPr>
              <w:t xml:space="preserve">سائر الخصوم المالية عدا تلك </w:t>
            </w:r>
            <w:proofErr w:type="spellStart"/>
            <w:r w:rsidRPr="00C82DD3">
              <w:rPr>
                <w:position w:val="2"/>
                <w:sz w:val="18"/>
                <w:szCs w:val="18"/>
                <w:rtl/>
                <w:lang w:val="en-GB" w:eastAsia="en-US" w:bidi="ar-EG"/>
              </w:rPr>
              <w:t>الم</w:t>
            </w:r>
            <w:r w:rsidR="00726704" w:rsidRPr="00C82DD3">
              <w:rPr>
                <w:rFonts w:hint="cs"/>
                <w:position w:val="2"/>
                <w:sz w:val="18"/>
                <w:szCs w:val="18"/>
                <w:rtl/>
                <w:lang w:val="en-GB" w:eastAsia="en-US" w:bidi="ar-EG"/>
              </w:rPr>
              <w:t>َ</w:t>
            </w:r>
            <w:r w:rsidRPr="00C82DD3">
              <w:rPr>
                <w:position w:val="2"/>
                <w:sz w:val="18"/>
                <w:szCs w:val="18"/>
                <w:rtl/>
                <w:lang w:val="en-GB" w:eastAsia="en-US" w:bidi="ar-EG"/>
              </w:rPr>
              <w:t>قيسة</w:t>
            </w:r>
            <w:proofErr w:type="spellEnd"/>
            <w:r w:rsidRPr="00C82DD3">
              <w:rPr>
                <w:position w:val="2"/>
                <w:sz w:val="18"/>
                <w:szCs w:val="18"/>
                <w:rtl/>
                <w:lang w:val="en-GB" w:eastAsia="en-US" w:bidi="ar-EG"/>
              </w:rPr>
              <w:t xml:space="preserve"> بالقيمة العادلة عن طريق الفائض أو العجز</w:t>
            </w:r>
          </w:p>
        </w:tc>
        <w:tc>
          <w:tcPr>
            <w:tcW w:w="2570" w:type="pct"/>
          </w:tcPr>
          <w:p w14:paraId="782117B0" w14:textId="4F49669B"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spacing w:val="-6"/>
                <w:position w:val="2"/>
                <w:sz w:val="18"/>
                <w:szCs w:val="18"/>
                <w:lang w:val="en-GB" w:eastAsia="en-US"/>
              </w:rPr>
            </w:pPr>
            <w:r w:rsidRPr="00C82DD3">
              <w:rPr>
                <w:spacing w:val="-6"/>
                <w:position w:val="2"/>
                <w:sz w:val="18"/>
                <w:szCs w:val="18"/>
                <w:rtl/>
                <w:lang w:val="en-GB" w:eastAsia="en-US" w:bidi="ar-EG"/>
              </w:rPr>
              <w:t xml:space="preserve">يصنِّف الكيان المعني جميع الخصوم المالية بأنها </w:t>
            </w:r>
            <w:proofErr w:type="spellStart"/>
            <w:r w:rsidRPr="00C82DD3">
              <w:rPr>
                <w:spacing w:val="-6"/>
                <w:position w:val="2"/>
                <w:sz w:val="18"/>
                <w:szCs w:val="18"/>
                <w:rtl/>
                <w:lang w:val="en-GB" w:eastAsia="en-US" w:bidi="ar-EG"/>
              </w:rPr>
              <w:t>م</w:t>
            </w:r>
            <w:r w:rsidR="00726704" w:rsidRPr="00C82DD3">
              <w:rPr>
                <w:rFonts w:hint="cs"/>
                <w:spacing w:val="-6"/>
                <w:position w:val="2"/>
                <w:sz w:val="18"/>
                <w:szCs w:val="18"/>
                <w:rtl/>
                <w:lang w:val="en-GB" w:eastAsia="en-US" w:bidi="ar-EG"/>
              </w:rPr>
              <w:t>َ</w:t>
            </w:r>
            <w:r w:rsidRPr="00C82DD3">
              <w:rPr>
                <w:spacing w:val="-6"/>
                <w:position w:val="2"/>
                <w:sz w:val="18"/>
                <w:szCs w:val="18"/>
                <w:rtl/>
                <w:lang w:val="en-GB" w:eastAsia="en-US" w:bidi="ar-EG"/>
              </w:rPr>
              <w:t>قيسة</w:t>
            </w:r>
            <w:proofErr w:type="spellEnd"/>
            <w:r w:rsidRPr="00C82DD3">
              <w:rPr>
                <w:spacing w:val="-6"/>
                <w:position w:val="2"/>
                <w:sz w:val="18"/>
                <w:szCs w:val="18"/>
                <w:rtl/>
                <w:lang w:val="en-GB" w:eastAsia="en-US" w:bidi="ar-EG"/>
              </w:rPr>
              <w:t xml:space="preserve"> لاحقاً بالتكلفة المستهلكة.</w:t>
            </w:r>
          </w:p>
        </w:tc>
        <w:tc>
          <w:tcPr>
            <w:tcW w:w="1215" w:type="pct"/>
          </w:tcPr>
          <w:p w14:paraId="2896B1C7"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التكلفة المستهلكة</w:t>
            </w:r>
          </w:p>
        </w:tc>
      </w:tr>
      <w:tr w:rsidR="00C424F3" w:rsidRPr="00C82DD3" w14:paraId="5ADC047B" w14:textId="77777777" w:rsidTr="00DB3336">
        <w:trPr>
          <w:jc w:val="center"/>
        </w:trPr>
        <w:tc>
          <w:tcPr>
            <w:tcW w:w="1215" w:type="pct"/>
          </w:tcPr>
          <w:p w14:paraId="77D71B8B"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خصوم أخرى</w:t>
            </w:r>
          </w:p>
        </w:tc>
        <w:tc>
          <w:tcPr>
            <w:tcW w:w="2570" w:type="pct"/>
          </w:tcPr>
          <w:p w14:paraId="1248ADBE" w14:textId="77777777" w:rsidR="00C424F3" w:rsidRPr="00C82DD3" w:rsidRDefault="00C424F3" w:rsidP="00C82DD3">
            <w:pPr>
              <w:numPr>
                <w:ilvl w:val="0"/>
                <w:numId w:val="13"/>
              </w:num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6"/>
              <w:jc w:val="left"/>
              <w:textAlignment w:val="baseline"/>
              <w:rPr>
                <w:position w:val="2"/>
                <w:sz w:val="18"/>
                <w:szCs w:val="18"/>
              </w:rPr>
            </w:pPr>
            <w:r w:rsidRPr="00C82DD3">
              <w:rPr>
                <w:position w:val="2"/>
                <w:sz w:val="18"/>
                <w:szCs w:val="18"/>
                <w:rtl/>
                <w:lang w:val="en-GB" w:eastAsia="en-US" w:bidi="ar-EG"/>
              </w:rPr>
              <w:t>الدخل</w:t>
            </w:r>
            <w:r w:rsidRPr="00C82DD3">
              <w:rPr>
                <w:position w:val="2"/>
                <w:sz w:val="18"/>
                <w:szCs w:val="18"/>
                <w:lang w:val="en-GB" w:eastAsia="en-US" w:bidi="ar-EG"/>
              </w:rPr>
              <w:t xml:space="preserve"> </w:t>
            </w:r>
            <w:r w:rsidRPr="00C82DD3">
              <w:rPr>
                <w:position w:val="2"/>
                <w:sz w:val="18"/>
                <w:szCs w:val="18"/>
                <w:rtl/>
                <w:lang w:val="en-GB" w:eastAsia="en-US" w:bidi="ar-EG"/>
              </w:rPr>
              <w:t>غير المكتسب ليس خصماً مالياً.</w:t>
            </w:r>
          </w:p>
          <w:p w14:paraId="54DF486A" w14:textId="77777777" w:rsidR="00DE66D0" w:rsidRPr="00C82DD3" w:rsidRDefault="00C424F3" w:rsidP="00C82DD3">
            <w:pPr>
              <w:numPr>
                <w:ilvl w:val="0"/>
                <w:numId w:val="13"/>
              </w:num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6"/>
              <w:textAlignment w:val="baseline"/>
              <w:rPr>
                <w:position w:val="2"/>
                <w:sz w:val="18"/>
                <w:szCs w:val="18"/>
                <w:rtl/>
                <w:lang w:val="en-GB" w:bidi="ar-EG"/>
              </w:rPr>
            </w:pPr>
            <w:r w:rsidRPr="00C82DD3">
              <w:rPr>
                <w:position w:val="2"/>
                <w:sz w:val="18"/>
                <w:szCs w:val="18"/>
                <w:rtl/>
              </w:rPr>
              <w:t xml:space="preserve">ليس لدى الاتحاد </w:t>
            </w:r>
            <w:r w:rsidRPr="00C82DD3">
              <w:rPr>
                <w:position w:val="2"/>
                <w:sz w:val="18"/>
                <w:szCs w:val="18"/>
                <w:rtl/>
                <w:lang w:val="en-GB" w:bidi="ar-EG"/>
              </w:rPr>
              <w:t xml:space="preserve">خصوم تتعلق بإيجارات مالية تُقاس وفقاً للمعيار </w:t>
            </w:r>
            <w:r w:rsidRPr="00C82DD3">
              <w:rPr>
                <w:position w:val="2"/>
                <w:sz w:val="18"/>
                <w:szCs w:val="18"/>
                <w:lang w:bidi="ar-EG"/>
              </w:rPr>
              <w:t>IPSAS 13</w:t>
            </w:r>
            <w:r w:rsidRPr="00C82DD3">
              <w:rPr>
                <w:position w:val="2"/>
                <w:sz w:val="18"/>
                <w:szCs w:val="18"/>
                <w:rtl/>
                <w:lang w:val="en-GB" w:bidi="ar-EG"/>
              </w:rPr>
              <w:t>، عقود الإيجار.</w:t>
            </w:r>
          </w:p>
          <w:p w14:paraId="2C2388A3" w14:textId="59094D17" w:rsidR="00C424F3" w:rsidRPr="00C82DD3" w:rsidRDefault="00C424F3" w:rsidP="00C82DD3">
            <w:pPr>
              <w:numPr>
                <w:ilvl w:val="0"/>
                <w:numId w:val="13"/>
              </w:num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6"/>
              <w:jc w:val="left"/>
              <w:textAlignment w:val="baseline"/>
              <w:rPr>
                <w:position w:val="2"/>
                <w:sz w:val="18"/>
                <w:szCs w:val="18"/>
              </w:rPr>
            </w:pPr>
            <w:r w:rsidRPr="00C82DD3">
              <w:rPr>
                <w:position w:val="2"/>
                <w:sz w:val="18"/>
                <w:szCs w:val="18"/>
                <w:rtl/>
                <w:lang w:val="en-GB" w:eastAsia="en-US" w:bidi="ar-EG"/>
              </w:rPr>
              <w:t>الخصوم المتعلقة باستحقاقات الموظفين ليست خصوماً مالية.</w:t>
            </w:r>
          </w:p>
        </w:tc>
        <w:tc>
          <w:tcPr>
            <w:tcW w:w="1215" w:type="pct"/>
          </w:tcPr>
          <w:p w14:paraId="6A3DAB28" w14:textId="77777777" w:rsidR="00C424F3" w:rsidRPr="00C82DD3" w:rsidRDefault="00C424F3" w:rsidP="00C82DD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position w:val="2"/>
                <w:sz w:val="18"/>
                <w:szCs w:val="18"/>
                <w:lang w:val="en-GB" w:eastAsia="en-US"/>
              </w:rPr>
            </w:pPr>
            <w:r w:rsidRPr="00C82DD3">
              <w:rPr>
                <w:position w:val="2"/>
                <w:sz w:val="18"/>
                <w:szCs w:val="18"/>
                <w:rtl/>
                <w:lang w:val="en-GB" w:eastAsia="en-US" w:bidi="ar-EG"/>
              </w:rPr>
              <w:t>وفقاً للمعايير ذات الصلة</w:t>
            </w:r>
          </w:p>
        </w:tc>
      </w:tr>
    </w:tbl>
    <w:p w14:paraId="45A4D28D" w14:textId="77777777" w:rsidR="00C424F3" w:rsidRPr="00C32070" w:rsidRDefault="00C424F3" w:rsidP="00C82DD3">
      <w:pPr>
        <w:spacing w:before="240"/>
        <w:rPr>
          <w:rtl/>
          <w:lang w:val="en-GB"/>
        </w:rPr>
      </w:pPr>
      <w:r w:rsidRPr="00C32070">
        <w:rPr>
          <w:rtl/>
          <w:lang w:val="en-GB" w:bidi="ar-EG"/>
        </w:rPr>
        <w:t xml:space="preserve">وبموجب المعيار </w:t>
      </w:r>
      <w:r w:rsidRPr="00C32070">
        <w:rPr>
          <w:lang w:bidi="ar-EG"/>
        </w:rPr>
        <w:t>IPSAS 41</w:t>
      </w:r>
      <w:r w:rsidRPr="00C32070">
        <w:rPr>
          <w:rtl/>
          <w:lang w:val="en-GB" w:bidi="ar-EG"/>
        </w:rPr>
        <w:t>، طُبِّق نموذج استشرافي واحد لخسارة انخفاض القيمة، يقتضي الاعتراف بالخسائر الائتمانية المتوقعة دائماً.</w:t>
      </w:r>
    </w:p>
    <w:p w14:paraId="5F2E4C54" w14:textId="77777777" w:rsidR="00C424F3" w:rsidRPr="00C32070" w:rsidRDefault="00C424F3" w:rsidP="00C424F3">
      <w:pPr>
        <w:rPr>
          <w:rtl/>
          <w:lang w:val="en-GB"/>
        </w:rPr>
      </w:pPr>
      <w:r w:rsidRPr="00C32070">
        <w:rPr>
          <w:rtl/>
          <w:lang w:val="en-GB" w:bidi="ar-EG"/>
        </w:rPr>
        <w:t xml:space="preserve">وقد طُبق نموذج خسارة انخفاض القيمة بموجب المعيار </w:t>
      </w:r>
      <w:r w:rsidRPr="00C32070">
        <w:rPr>
          <w:lang w:bidi="ar-EG"/>
        </w:rPr>
        <w:t>IPSAS 41</w:t>
      </w:r>
      <w:r w:rsidRPr="00C32070">
        <w:rPr>
          <w:rtl/>
          <w:lang w:val="en-GB" w:bidi="ar-EG"/>
        </w:rPr>
        <w:t xml:space="preserve"> على الأصول المالية المصنفة بالتكلفة المستهلكة، وتحديداً على الرصيد النقدي وما يعادله والمحفظة الاستثمارية والذمم المدينة. ولم يكن حساب الخسائر الائتمانية المتوقعة لجميع الأصول المالية مهماً نسبياً في سياق هذه البيانات المالية، لذا، لم يُفصح عنه.</w:t>
      </w:r>
    </w:p>
    <w:p w14:paraId="0E331BF1" w14:textId="737F7561" w:rsidR="00C424F3" w:rsidRPr="00C32070" w:rsidRDefault="00C424F3" w:rsidP="00C424F3">
      <w:pPr>
        <w:pStyle w:val="Heading2"/>
        <w:rPr>
          <w:lang w:val="en-GB"/>
        </w:rPr>
      </w:pPr>
      <w:bookmarkStart w:id="179" w:name="_Toc168657557"/>
      <w:r w:rsidRPr="00C32070">
        <w:lastRenderedPageBreak/>
        <w:t>4.3</w:t>
      </w:r>
      <w:r w:rsidRPr="00C32070">
        <w:rPr>
          <w:rtl/>
        </w:rPr>
        <w:tab/>
        <w:t>المخزونات</w:t>
      </w:r>
      <w:bookmarkEnd w:id="179"/>
    </w:p>
    <w:p w14:paraId="59C3B5D4" w14:textId="77777777" w:rsidR="00C424F3" w:rsidRPr="00C32070" w:rsidRDefault="00C424F3" w:rsidP="00C424F3">
      <w:pPr>
        <w:rPr>
          <w:rtl/>
          <w:lang w:val="en-GB" w:bidi="ar-SY"/>
        </w:rPr>
      </w:pPr>
      <w:r w:rsidRPr="00C32070">
        <w:rPr>
          <w:rtl/>
          <w:lang w:bidi="ar-EG"/>
        </w:rPr>
        <w:t>بالنظر إلى انعدام الأهمية النسبية لقيم المخزونات في عام 2023، فقد حُمِّلت جميع البنود على حساب المصروفات. وما زال الاتحاد الدولي للاتصالات يتحكم في هذه الأصول، لكن لم تُدرج قِيَمها في البيانات المالية.</w:t>
      </w:r>
    </w:p>
    <w:p w14:paraId="44237895" w14:textId="4F1D8DC1" w:rsidR="00C424F3" w:rsidRPr="00C32070" w:rsidRDefault="00C424F3" w:rsidP="00C424F3">
      <w:pPr>
        <w:pStyle w:val="Heading2"/>
      </w:pPr>
      <w:bookmarkStart w:id="180" w:name="_Toc168657558"/>
      <w:r w:rsidRPr="00C32070">
        <w:t>5.3</w:t>
      </w:r>
      <w:r w:rsidRPr="00C32070">
        <w:rPr>
          <w:rtl/>
        </w:rPr>
        <w:tab/>
        <w:t>الممتلكات والمنشآت والمعدات</w:t>
      </w:r>
      <w:bookmarkEnd w:id="180"/>
    </w:p>
    <w:p w14:paraId="1FD5BB8E" w14:textId="77777777" w:rsidR="00C424F3" w:rsidRPr="00C32070" w:rsidRDefault="00C424F3" w:rsidP="00C424F3">
      <w:pPr>
        <w:rPr>
          <w:rtl/>
          <w:lang w:bidi="ar-SY"/>
        </w:rPr>
      </w:pPr>
      <w:r w:rsidRPr="00C32070">
        <w:rPr>
          <w:rtl/>
          <w:lang w:bidi="ar-EG"/>
        </w:rPr>
        <w:t xml:space="preserve">تُقدر قيمة الممتلكات والمنشآت والمعدات </w:t>
      </w:r>
      <w:r w:rsidRPr="00C32070">
        <w:rPr>
          <w:lang w:bidi="ar-EG"/>
        </w:rPr>
        <w:t>(PP&amp;E)</w:t>
      </w:r>
      <w:r w:rsidRPr="00C32070">
        <w:rPr>
          <w:rtl/>
          <w:lang w:bidi="ar-EG"/>
        </w:rPr>
        <w:t xml:space="preserve"> التي ي</w:t>
      </w:r>
      <w:r w:rsidRPr="00C32070">
        <w:rPr>
          <w:rtl/>
          <w:lang w:val="en-GB" w:bidi="ar-EG"/>
        </w:rPr>
        <w:t>حوزها</w:t>
      </w:r>
      <w:r w:rsidRPr="00C32070">
        <w:rPr>
          <w:rtl/>
          <w:lang w:bidi="ar-EG"/>
        </w:rPr>
        <w:t xml:space="preserve"> الاتحاد الدولي للاتصالات بتكلفتها التاريخية مخصوماً منها قيمة الإهلاك المتراكم والخسائر المتراكمة الناجمة عن انخفاض قيمتها.</w:t>
      </w:r>
    </w:p>
    <w:p w14:paraId="6588FEBD" w14:textId="77777777" w:rsidR="00C424F3" w:rsidRPr="00C32070" w:rsidRDefault="00C424F3" w:rsidP="00C424F3">
      <w:pPr>
        <w:pStyle w:val="HeadingI"/>
        <w:rPr>
          <w:rtl/>
          <w:lang w:bidi="ar-SY"/>
        </w:rPr>
      </w:pPr>
      <w:r w:rsidRPr="00C32070">
        <w:rPr>
          <w:rtl/>
          <w:lang w:bidi="ar-EG"/>
        </w:rPr>
        <w:tab/>
      </w:r>
      <w:r w:rsidRPr="00C32070">
        <w:rPr>
          <w:rtl/>
        </w:rPr>
        <w:t>الإضافات</w:t>
      </w:r>
    </w:p>
    <w:p w14:paraId="53A195CA" w14:textId="77777777" w:rsidR="00C424F3" w:rsidRPr="00C32070" w:rsidRDefault="00C424F3" w:rsidP="00C424F3">
      <w:pPr>
        <w:rPr>
          <w:rtl/>
          <w:lang w:bidi="ar-EG"/>
        </w:rPr>
      </w:pPr>
      <w:r w:rsidRPr="00C32070">
        <w:rPr>
          <w:rtl/>
          <w:lang w:bidi="ar-EG"/>
        </w:rPr>
        <w:t>تثبت تكلفة بند من بنود الممتلكات والمنشآت والمعدات (</w:t>
      </w:r>
      <w:r w:rsidRPr="00C32070">
        <w:rPr>
          <w:lang w:bidi="ar-EG"/>
        </w:rPr>
        <w:t>PP&amp;E</w:t>
      </w:r>
      <w:r w:rsidRPr="00C32070">
        <w:rPr>
          <w:rtl/>
          <w:lang w:bidi="ar-EG"/>
        </w:rPr>
        <w:t>) كأصل إذا كان من المحتمل أن تتدفق منافع اقتصادية مستقبلية أو خدمة محتملة مرتبطة بهذا البند إلى الاتحاد وأمكن قياس تكلفة البند بشكل موثوق. وعند التبرع بأصل، تقاس تكلفته الأولية على أنها القيمة العادلة للأصل في تاريخ الاستحواذ.</w:t>
      </w:r>
    </w:p>
    <w:p w14:paraId="78FC4D42" w14:textId="77777777" w:rsidR="00C424F3" w:rsidRPr="00C32070" w:rsidRDefault="00C424F3" w:rsidP="00C424F3">
      <w:pPr>
        <w:pStyle w:val="HeadingI"/>
        <w:rPr>
          <w:lang w:bidi="ar-EG"/>
        </w:rPr>
      </w:pPr>
      <w:r w:rsidRPr="00C32070">
        <w:rPr>
          <w:rtl/>
          <w:lang w:bidi="ar-EG"/>
        </w:rPr>
        <w:tab/>
        <w:t>التخلص</w:t>
      </w:r>
    </w:p>
    <w:p w14:paraId="022CC5E1" w14:textId="77777777" w:rsidR="00C424F3" w:rsidRPr="00C32070" w:rsidRDefault="00C424F3" w:rsidP="00C424F3">
      <w:pPr>
        <w:rPr>
          <w:rtl/>
          <w:lang w:bidi="ar-EG"/>
        </w:rPr>
      </w:pPr>
      <w:r w:rsidRPr="00C32070">
        <w:rPr>
          <w:rtl/>
          <w:lang w:bidi="ar-EG"/>
        </w:rPr>
        <w:t>تتحدد الأرباح والخسائر عند التخلص من خلال مقارنة الريع بالقيمة الدفترية للأصل، وتضمينها في بيان الأداء المالي.</w:t>
      </w:r>
    </w:p>
    <w:p w14:paraId="0AB0079B" w14:textId="77777777" w:rsidR="00C424F3" w:rsidRPr="00C32070" w:rsidRDefault="00C424F3" w:rsidP="00C424F3">
      <w:pPr>
        <w:pStyle w:val="HeadingI"/>
        <w:rPr>
          <w:rtl/>
          <w:lang w:bidi="ar-EG"/>
        </w:rPr>
      </w:pPr>
      <w:r w:rsidRPr="00C32070">
        <w:rPr>
          <w:rtl/>
          <w:lang w:bidi="ar-EG"/>
        </w:rPr>
        <w:tab/>
        <w:t>التكاليف اللاحقة</w:t>
      </w:r>
    </w:p>
    <w:p w14:paraId="1E208800" w14:textId="77777777" w:rsidR="00C424F3" w:rsidRPr="00C32070" w:rsidRDefault="00C424F3" w:rsidP="00C424F3">
      <w:pPr>
        <w:rPr>
          <w:rtl/>
          <w:lang w:bidi="ar-EG"/>
        </w:rPr>
      </w:pPr>
      <w:r w:rsidRPr="00C32070">
        <w:rPr>
          <w:rtl/>
          <w:lang w:bidi="ar-EG"/>
        </w:rPr>
        <w:t xml:space="preserve">لا </w:t>
      </w:r>
      <w:proofErr w:type="spellStart"/>
      <w:r w:rsidRPr="00C32070">
        <w:rPr>
          <w:rtl/>
          <w:lang w:bidi="ar-EG"/>
        </w:rPr>
        <w:t>تُرسمَل</w:t>
      </w:r>
      <w:proofErr w:type="spellEnd"/>
      <w:r w:rsidRPr="00C32070">
        <w:rPr>
          <w:rtl/>
          <w:lang w:bidi="ar-EG"/>
        </w:rPr>
        <w:t xml:space="preserve"> قيمة التكاليف المتكبدة بعد الحيازة الأولية إلا إذا كان من المحتمل أن تتدفق في المستقبل إلى الاتحاد الفوائد الاقتصادية أو إمكانات الخدمة المرتبطة بهذا البند وأمكن قياس تكلفة البند بشكل موثوق.</w:t>
      </w:r>
    </w:p>
    <w:p w14:paraId="610E256E" w14:textId="77777777" w:rsidR="00C424F3" w:rsidRPr="00C32070" w:rsidRDefault="00C424F3" w:rsidP="00C424F3">
      <w:pPr>
        <w:rPr>
          <w:rtl/>
          <w:lang w:val="en-GB" w:bidi="ar-EG"/>
        </w:rPr>
      </w:pPr>
      <w:proofErr w:type="spellStart"/>
      <w:r w:rsidRPr="00C32070">
        <w:rPr>
          <w:rtl/>
          <w:lang w:bidi="ar-EG"/>
        </w:rPr>
        <w:t>وتُرسمل</w:t>
      </w:r>
      <w:proofErr w:type="spellEnd"/>
      <w:r w:rsidRPr="00C32070">
        <w:rPr>
          <w:rtl/>
          <w:lang w:bidi="ar-EG"/>
        </w:rPr>
        <w:t xml:space="preserve"> السلع التي تعادل قيمتها أو تتجاوز </w:t>
      </w:r>
      <w:r w:rsidRPr="00C32070">
        <w:rPr>
          <w:lang w:bidi="ar-EG"/>
        </w:rPr>
        <w:t>5 000</w:t>
      </w:r>
      <w:r w:rsidRPr="00C32070">
        <w:rPr>
          <w:rtl/>
          <w:lang w:bidi="ar-EG"/>
        </w:rPr>
        <w:t xml:space="preserve"> فرنك سويسري عند استلامها ثم تُهلك خطياً لاحقاً.</w:t>
      </w:r>
    </w:p>
    <w:p w14:paraId="76BEDBD0" w14:textId="77777777" w:rsidR="00C424F3" w:rsidRPr="00C32070" w:rsidRDefault="00C424F3" w:rsidP="00C424F3">
      <w:pPr>
        <w:rPr>
          <w:rtl/>
          <w:lang w:bidi="ar-EG"/>
        </w:rPr>
      </w:pPr>
      <w:proofErr w:type="spellStart"/>
      <w:r w:rsidRPr="00C32070">
        <w:rPr>
          <w:rtl/>
          <w:lang w:bidi="ar-EG"/>
        </w:rPr>
        <w:t>وتُرسمل</w:t>
      </w:r>
      <w:proofErr w:type="spellEnd"/>
      <w:r w:rsidRPr="00C32070">
        <w:rPr>
          <w:rtl/>
          <w:lang w:bidi="ar-EG"/>
        </w:rPr>
        <w:t xml:space="preserve"> السلع التي تقل قيمتها عن 000 5 فرنك سويسري عند استلامها ثم تُهلك كلياً لاحقاً في العام الذي اشتُريت فيه.</w:t>
      </w:r>
    </w:p>
    <w:p w14:paraId="1303C3D6" w14:textId="77777777" w:rsidR="00C424F3" w:rsidRPr="00C32070" w:rsidRDefault="00C424F3" w:rsidP="00C424F3">
      <w:pPr>
        <w:rPr>
          <w:rtl/>
          <w:lang w:bidi="ar-EG"/>
        </w:rPr>
      </w:pPr>
      <w:r w:rsidRPr="00C32070">
        <w:rPr>
          <w:rtl/>
          <w:lang w:bidi="ar-EG"/>
        </w:rPr>
        <w:t xml:space="preserve">وعندما تتألف الأصول الثابتة من عدة مكونات مهمة تتفاوت أعمارها الإنتاجية، يثبَّت كل مكون على حدة. </w:t>
      </w:r>
      <w:r w:rsidRPr="00C32070">
        <w:rPr>
          <w:rtl/>
          <w:lang w:bidi="ar"/>
        </w:rPr>
        <w:t>ويُحسب</w:t>
      </w:r>
      <w:r w:rsidRPr="00C32070">
        <w:rPr>
          <w:lang w:val="en" w:bidi="ar-EG"/>
        </w:rPr>
        <w:t xml:space="preserve"> </w:t>
      </w:r>
      <w:r w:rsidRPr="00C32070">
        <w:rPr>
          <w:rtl/>
          <w:lang w:bidi="ar-EG"/>
        </w:rPr>
        <w:t xml:space="preserve">الاستهلاك بأسلوب خطي تبعاً </w:t>
      </w:r>
      <w:r w:rsidRPr="00C32070">
        <w:rPr>
          <w:rtl/>
          <w:lang w:bidi="ar"/>
        </w:rPr>
        <w:t>للعمر</w:t>
      </w:r>
      <w:r w:rsidRPr="00C32070">
        <w:rPr>
          <w:lang w:val="en" w:bidi="ar-EG"/>
        </w:rPr>
        <w:t xml:space="preserve"> </w:t>
      </w:r>
      <w:r w:rsidRPr="00C32070">
        <w:rPr>
          <w:rtl/>
          <w:lang w:bidi="ar"/>
        </w:rPr>
        <w:t>الإنتاجي</w:t>
      </w:r>
      <w:r w:rsidRPr="00C32070">
        <w:rPr>
          <w:lang w:val="en" w:bidi="ar-EG"/>
        </w:rPr>
        <w:t xml:space="preserve"> </w:t>
      </w:r>
      <w:r w:rsidRPr="00C32070">
        <w:rPr>
          <w:rtl/>
          <w:lang w:bidi="ar"/>
        </w:rPr>
        <w:t>المقدر</w:t>
      </w:r>
      <w:r w:rsidRPr="00C32070">
        <w:rPr>
          <w:lang w:val="en" w:bidi="ar-EG"/>
        </w:rPr>
        <w:t xml:space="preserve"> </w:t>
      </w:r>
      <w:r w:rsidRPr="00C32070">
        <w:rPr>
          <w:rtl/>
          <w:lang w:bidi="ar"/>
        </w:rPr>
        <w:t>لكل</w:t>
      </w:r>
      <w:r w:rsidRPr="00C32070">
        <w:rPr>
          <w:lang w:val="en" w:bidi="ar-EG"/>
        </w:rPr>
        <w:t xml:space="preserve"> </w:t>
      </w:r>
      <w:r w:rsidRPr="00C32070">
        <w:rPr>
          <w:rtl/>
          <w:lang w:bidi="ar"/>
        </w:rPr>
        <w:t>بند،</w:t>
      </w:r>
      <w:r w:rsidRPr="00C32070">
        <w:rPr>
          <w:lang w:val="en" w:bidi="ar-EG"/>
        </w:rPr>
        <w:t xml:space="preserve"> </w:t>
      </w:r>
      <w:r w:rsidRPr="00C32070">
        <w:rPr>
          <w:rtl/>
          <w:lang w:bidi="ar-EG"/>
        </w:rPr>
        <w:t xml:space="preserve">مع مراعاة فترة متبقية نهائية إذا اقتضى الأمر. وتُستعرض القيم المتبقية </w:t>
      </w:r>
      <w:r w:rsidRPr="00C32070">
        <w:rPr>
          <w:rtl/>
          <w:lang w:bidi="ar"/>
        </w:rPr>
        <w:t>والعمر</w:t>
      </w:r>
      <w:r w:rsidRPr="00C32070">
        <w:rPr>
          <w:lang w:val="en" w:bidi="ar-EG"/>
        </w:rPr>
        <w:t xml:space="preserve"> </w:t>
      </w:r>
      <w:r w:rsidRPr="00C32070">
        <w:rPr>
          <w:rtl/>
          <w:lang w:bidi="ar"/>
        </w:rPr>
        <w:t>الإنتاجي</w:t>
      </w:r>
      <w:r w:rsidRPr="00C32070">
        <w:rPr>
          <w:lang w:val="en" w:bidi="ar-EG"/>
        </w:rPr>
        <w:t xml:space="preserve"> </w:t>
      </w:r>
      <w:r w:rsidRPr="00C32070">
        <w:rPr>
          <w:rtl/>
          <w:lang w:bidi="ar-EG"/>
        </w:rPr>
        <w:t>وأساليب استهلاك الأصول، وتُعدّل عند اللزوم</w:t>
      </w:r>
      <w:r w:rsidRPr="00C32070">
        <w:rPr>
          <w:rtl/>
          <w:lang w:bidi="ar"/>
        </w:rPr>
        <w:t>،</w:t>
      </w:r>
      <w:r w:rsidRPr="00C32070">
        <w:rPr>
          <w:lang w:val="en" w:bidi="ar-EG"/>
        </w:rPr>
        <w:t xml:space="preserve"> </w:t>
      </w:r>
      <w:r w:rsidRPr="00C32070">
        <w:rPr>
          <w:rtl/>
          <w:lang w:bidi="ar"/>
        </w:rPr>
        <w:t>عند</w:t>
      </w:r>
      <w:r w:rsidRPr="00C32070">
        <w:rPr>
          <w:lang w:val="en" w:bidi="ar-EG"/>
        </w:rPr>
        <w:t xml:space="preserve"> </w:t>
      </w:r>
      <w:r w:rsidRPr="00C32070">
        <w:rPr>
          <w:rtl/>
          <w:lang w:bidi="ar"/>
        </w:rPr>
        <w:t>كل</w:t>
      </w:r>
      <w:r w:rsidRPr="00C32070">
        <w:rPr>
          <w:lang w:val="en" w:bidi="ar-EG"/>
        </w:rPr>
        <w:t xml:space="preserve"> </w:t>
      </w:r>
      <w:r w:rsidRPr="00C32070">
        <w:rPr>
          <w:rtl/>
          <w:lang w:bidi="ar"/>
        </w:rPr>
        <w:t>إغلاق</w:t>
      </w:r>
      <w:r w:rsidRPr="00C32070">
        <w:rPr>
          <w:lang w:val="en" w:bidi="ar-EG"/>
        </w:rPr>
        <w:t xml:space="preserve"> </w:t>
      </w:r>
      <w:r w:rsidRPr="00C32070">
        <w:rPr>
          <w:rtl/>
          <w:lang w:bidi="ar"/>
        </w:rPr>
        <w:t>سنوي</w:t>
      </w:r>
      <w:r w:rsidRPr="00C32070">
        <w:rPr>
          <w:rtl/>
          <w:lang w:bidi="ar-EG"/>
        </w:rPr>
        <w:t xml:space="preserve"> للحسابات.</w:t>
      </w:r>
    </w:p>
    <w:p w14:paraId="127C933B" w14:textId="77777777" w:rsidR="00C424F3" w:rsidRPr="00C32070" w:rsidRDefault="00C424F3" w:rsidP="00C424F3">
      <w:pPr>
        <w:rPr>
          <w:rtl/>
          <w:lang w:bidi="ar-EG"/>
        </w:rPr>
      </w:pPr>
      <w:r w:rsidRPr="00C32070">
        <w:rPr>
          <w:rtl/>
          <w:lang w:bidi="ar-EG"/>
        </w:rPr>
        <w:t>والممتلكات والمعدات التي تم الحصول عليها فيما يتعلق بالمشاريع المنفذة في إطار أنشطة من خارج الميزانية (مشاريع برنامج الأمم المتحدة الإنمائي والمشاريع المنفذة وطنيا والمساهمات الطوعية) يُعترف بها كلياً كمصروفات في بيان الأداء المالي عند الإقفال الشهري بعد الحيازة نظراً لأن الاتحاد لا يتحكم فيها.</w:t>
      </w:r>
    </w:p>
    <w:p w14:paraId="5028F189" w14:textId="77777777" w:rsidR="00C424F3" w:rsidRPr="00C32070" w:rsidRDefault="00C424F3" w:rsidP="00C424F3">
      <w:pPr>
        <w:spacing w:after="120"/>
        <w:rPr>
          <w:rtl/>
          <w:lang w:bidi="ar-EG"/>
        </w:rPr>
      </w:pPr>
      <w:r w:rsidRPr="00C32070">
        <w:rPr>
          <w:rtl/>
          <w:lang w:bidi="ar-EG"/>
        </w:rPr>
        <w:t>ويوضح الجدول أدناه العمر الإنتاجي المقدَّر للأصول.</w:t>
      </w:r>
    </w:p>
    <w:p w14:paraId="6096973D" w14:textId="5B982392" w:rsidR="00C82DD3" w:rsidRDefault="00C82DD3" w:rsidP="00C82DD3">
      <w:pPr>
        <w:pStyle w:val="Figure"/>
        <w:rPr>
          <w:lang w:bidi="ar-EG"/>
        </w:rPr>
      </w:pPr>
      <w:r w:rsidRPr="00C82DD3">
        <w:rPr>
          <w:rtl/>
        </w:rPr>
        <w:lastRenderedPageBreak/>
        <w:drawing>
          <wp:inline distT="0" distB="0" distL="0" distR="0" wp14:anchorId="1E4BBB08" wp14:editId="5279D847">
            <wp:extent cx="6120765" cy="6210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6210300"/>
                    </a:xfrm>
                    <a:prstGeom prst="rect">
                      <a:avLst/>
                    </a:prstGeom>
                    <a:noFill/>
                    <a:ln>
                      <a:noFill/>
                    </a:ln>
                  </pic:spPr>
                </pic:pic>
              </a:graphicData>
            </a:graphic>
          </wp:inline>
        </w:drawing>
      </w:r>
    </w:p>
    <w:p w14:paraId="1604153A" w14:textId="6B421117" w:rsidR="00C424F3" w:rsidRPr="00C32070" w:rsidRDefault="00C424F3" w:rsidP="00C424F3">
      <w:pPr>
        <w:rPr>
          <w:rtl/>
          <w:lang w:bidi="ar-EG"/>
        </w:rPr>
      </w:pPr>
      <w:r w:rsidRPr="00C32070">
        <w:rPr>
          <w:rtl/>
          <w:lang w:bidi="ar-EG"/>
        </w:rPr>
        <w:t>ويقوم الاتحاد، عند كل إقفال سنوي للحسابات، بتفحّص ما إذا كان هنالك أي دليل يشير إلى أن أياً من الأصول قد فقد أياً من قيمته. فإذا وُجد مؤشر من هذا القبيل، تُقدّر القيمة التي يمكن استعادتها من الأصل وتُقيّد خسارة القيمة في بيان الأداء المالي عندما يفوق المبلغ الدفتري المبلغ الذي يمكن استعادته. وفي عام 2023، أُجري استعراض مفصَّل للأصل قيد الإنشاء وتورد الملاحظة 27 تفاصيل العملية والسيناريوهات المتاحة للاتحاد.</w:t>
      </w:r>
    </w:p>
    <w:p w14:paraId="35AF0FAA" w14:textId="37D41798" w:rsidR="00C424F3" w:rsidRPr="00C32070" w:rsidRDefault="00C424F3" w:rsidP="00C424F3">
      <w:pPr>
        <w:pStyle w:val="Heading2"/>
        <w:rPr>
          <w:rtl/>
        </w:rPr>
      </w:pPr>
      <w:bookmarkStart w:id="181" w:name="_Toc329296013"/>
      <w:bookmarkStart w:id="182" w:name="_Toc358648333"/>
      <w:bookmarkStart w:id="183" w:name="_Toc358648532"/>
      <w:bookmarkStart w:id="184" w:name="_Toc387338336"/>
      <w:bookmarkStart w:id="185" w:name="_Toc419484061"/>
      <w:bookmarkStart w:id="186" w:name="_Toc452156613"/>
      <w:bookmarkStart w:id="187" w:name="_Toc482793701"/>
      <w:bookmarkStart w:id="188" w:name="_Toc511402215"/>
      <w:bookmarkStart w:id="189" w:name="_Toc511756652"/>
      <w:bookmarkStart w:id="190" w:name="_Toc520365467"/>
      <w:bookmarkStart w:id="191" w:name="_Toc9614771"/>
      <w:bookmarkStart w:id="192" w:name="_Toc42014527"/>
      <w:bookmarkStart w:id="193" w:name="_Toc74061559"/>
      <w:bookmarkStart w:id="194" w:name="_Toc168657559"/>
      <w:r w:rsidRPr="00C32070">
        <w:t>6.3</w:t>
      </w:r>
      <w:r w:rsidRPr="00C32070">
        <w:rPr>
          <w:rtl/>
        </w:rPr>
        <w:tab/>
        <w:t>الأصول غير ال</w:t>
      </w:r>
      <w:bookmarkEnd w:id="181"/>
      <w:bookmarkEnd w:id="182"/>
      <w:bookmarkEnd w:id="183"/>
      <w:bookmarkEnd w:id="184"/>
      <w:bookmarkEnd w:id="185"/>
      <w:bookmarkEnd w:id="186"/>
      <w:bookmarkEnd w:id="187"/>
      <w:bookmarkEnd w:id="188"/>
      <w:bookmarkEnd w:id="189"/>
      <w:bookmarkEnd w:id="190"/>
      <w:bookmarkEnd w:id="191"/>
      <w:bookmarkEnd w:id="192"/>
      <w:bookmarkEnd w:id="193"/>
      <w:r w:rsidRPr="00C32070">
        <w:rPr>
          <w:rtl/>
        </w:rPr>
        <w:t>مادية</w:t>
      </w:r>
      <w:bookmarkEnd w:id="194"/>
    </w:p>
    <w:p w14:paraId="17F8AC13" w14:textId="77777777" w:rsidR="00C424F3" w:rsidRPr="00C32070" w:rsidRDefault="00C424F3" w:rsidP="00C424F3">
      <w:pPr>
        <w:rPr>
          <w:lang w:val="en-GB" w:bidi="ar-EG"/>
        </w:rPr>
      </w:pPr>
      <w:r w:rsidRPr="00C32070">
        <w:rPr>
          <w:spacing w:val="-2"/>
          <w:rtl/>
          <w:lang w:bidi="ar-EG"/>
        </w:rPr>
        <w:t xml:space="preserve">تتألف الأصول غير المادية (تراخيص وبرمجيات تكنولوجيا المعلومات </w:t>
      </w:r>
      <w:r w:rsidRPr="00C32070">
        <w:rPr>
          <w:spacing w:val="-2"/>
          <w:lang w:bidi="ar-EG"/>
        </w:rPr>
        <w:t>(IT)</w:t>
      </w:r>
      <w:r w:rsidRPr="00C32070">
        <w:rPr>
          <w:spacing w:val="-2"/>
          <w:rtl/>
          <w:lang w:bidi="ar-EG"/>
        </w:rPr>
        <w:t>)</w:t>
      </w:r>
      <w:r w:rsidRPr="00C32070">
        <w:rPr>
          <w:spacing w:val="-2"/>
          <w:rtl/>
          <w:lang w:val="en-GB" w:bidi="ar-EG"/>
        </w:rPr>
        <w:t xml:space="preserve"> التي يحوزها الاتحاد</w:t>
      </w:r>
      <w:r w:rsidRPr="00C32070">
        <w:rPr>
          <w:spacing w:val="-2"/>
          <w:rtl/>
          <w:lang w:bidi="ar-EG"/>
        </w:rPr>
        <w:t xml:space="preserve"> الدولي للاتصالات من أصول مطورة داخلياً وأصول مشتراة من الخارج</w:t>
      </w:r>
      <w:r w:rsidRPr="00C32070">
        <w:rPr>
          <w:spacing w:val="-2"/>
          <w:rtl/>
          <w:lang w:val="en-GB" w:bidi="ar-EG"/>
        </w:rPr>
        <w:t>.</w:t>
      </w:r>
      <w:r w:rsidRPr="00C32070">
        <w:rPr>
          <w:spacing w:val="-2"/>
          <w:rtl/>
          <w:lang w:bidi="ar-EG"/>
        </w:rPr>
        <w:t xml:space="preserve"> ويُعترف بها بتكلفتها التاريخية مخصوماً منها قيمة الاستهلاك المتراكم والخسائر المتراكمة الناجمة عن انخفاض قيمتها.</w:t>
      </w:r>
    </w:p>
    <w:p w14:paraId="39EE1B09" w14:textId="77777777" w:rsidR="00C424F3" w:rsidRPr="00C32070" w:rsidRDefault="00C424F3" w:rsidP="00C424F3">
      <w:pPr>
        <w:rPr>
          <w:rtl/>
          <w:lang w:bidi="ar-EG"/>
        </w:rPr>
      </w:pPr>
      <w:proofErr w:type="spellStart"/>
      <w:r w:rsidRPr="00C32070">
        <w:rPr>
          <w:rtl/>
          <w:lang w:bidi="ar-EG"/>
        </w:rPr>
        <w:t>وتُرسمل</w:t>
      </w:r>
      <w:proofErr w:type="spellEnd"/>
      <w:r w:rsidRPr="00C32070">
        <w:rPr>
          <w:rtl/>
          <w:lang w:bidi="ar-EG"/>
        </w:rPr>
        <w:t xml:space="preserve"> قيمة البرمجيات المطورة داخل الاتحاد إذا كان من المحتمل أن الاتحاد سوف يستفيد من المنافع الاقتصادية المستقبلية أو احتمال الخدمة المنسوبة إليها. ويُعترف بتكاليف التطوير التي يمكن أن تعزى مباشرةً إلى تصميم واختبار منتجات البرمجيات المحددة والفريدة التي يسيطر عليها الاتحاد كأصول غير مادية عندما تستوفى المعايير التالية في تاريخ الإقفال:</w:t>
      </w:r>
    </w:p>
    <w:p w14:paraId="7E9002B4" w14:textId="77777777" w:rsidR="00C424F3" w:rsidRPr="00C32070" w:rsidRDefault="00C424F3" w:rsidP="00C424F3">
      <w:pPr>
        <w:pStyle w:val="enumlev1"/>
        <w:rPr>
          <w:rtl/>
        </w:rPr>
      </w:pPr>
      <w:bookmarkStart w:id="195" w:name="_Toc520365468"/>
      <w:r w:rsidRPr="00C32070">
        <w:rPr>
          <w:rtl/>
        </w:rPr>
        <w:lastRenderedPageBreak/>
        <w:t>-</w:t>
      </w:r>
      <w:r w:rsidRPr="00C32070">
        <w:rPr>
          <w:rtl/>
        </w:rPr>
        <w:tab/>
        <w:t>من الممكن تقنياً استكمال منتج البرمجيات بحيث تكون متاحة للاستعمال؛</w:t>
      </w:r>
      <w:bookmarkEnd w:id="195"/>
    </w:p>
    <w:p w14:paraId="75C4BCCE" w14:textId="77777777" w:rsidR="00C424F3" w:rsidRPr="00C32070" w:rsidRDefault="00C424F3" w:rsidP="00C424F3">
      <w:pPr>
        <w:pStyle w:val="enumlev1"/>
        <w:rPr>
          <w:rtl/>
        </w:rPr>
      </w:pPr>
      <w:bookmarkStart w:id="196" w:name="_Toc520365469"/>
      <w:r w:rsidRPr="00C32070">
        <w:rPr>
          <w:rtl/>
        </w:rPr>
        <w:t>-</w:t>
      </w:r>
      <w:r w:rsidRPr="00C32070">
        <w:rPr>
          <w:rtl/>
        </w:rPr>
        <w:tab/>
        <w:t>تعتزم إدارة الاتحاد أن تستكمل منتج البرمجيات أو تستعمله أو تبيعه؛</w:t>
      </w:r>
      <w:bookmarkEnd w:id="196"/>
    </w:p>
    <w:p w14:paraId="178C3023" w14:textId="77777777" w:rsidR="00C424F3" w:rsidRPr="00C32070" w:rsidRDefault="00C424F3" w:rsidP="00C424F3">
      <w:pPr>
        <w:pStyle w:val="enumlev1"/>
        <w:rPr>
          <w:rtl/>
        </w:rPr>
      </w:pPr>
      <w:bookmarkStart w:id="197" w:name="_Toc520365470"/>
      <w:r w:rsidRPr="00C32070">
        <w:rPr>
          <w:rtl/>
        </w:rPr>
        <w:t>-</w:t>
      </w:r>
      <w:r w:rsidRPr="00C32070">
        <w:rPr>
          <w:rtl/>
        </w:rPr>
        <w:tab/>
        <w:t>ثمة قدرة على استعمال أو بيع منتج البرمجيات؛</w:t>
      </w:r>
      <w:bookmarkEnd w:id="197"/>
    </w:p>
    <w:p w14:paraId="781F6795" w14:textId="77777777" w:rsidR="00C424F3" w:rsidRPr="00C32070" w:rsidRDefault="00C424F3" w:rsidP="00C424F3">
      <w:pPr>
        <w:pStyle w:val="enumlev1"/>
        <w:rPr>
          <w:rtl/>
        </w:rPr>
      </w:pPr>
      <w:bookmarkStart w:id="198" w:name="_Toc520365471"/>
      <w:r w:rsidRPr="00C32070">
        <w:rPr>
          <w:rtl/>
        </w:rPr>
        <w:t>-</w:t>
      </w:r>
      <w:r w:rsidRPr="00C32070">
        <w:rPr>
          <w:rtl/>
        </w:rPr>
        <w:tab/>
        <w:t>يمكن البرهان على قدرة منتج البرمجيات على توليد منافع اقتصادية مستقبلية محتملة؛</w:t>
      </w:r>
      <w:bookmarkEnd w:id="198"/>
    </w:p>
    <w:p w14:paraId="67D5BA29" w14:textId="77777777" w:rsidR="00C424F3" w:rsidRPr="00C32070" w:rsidRDefault="00C424F3" w:rsidP="00C424F3">
      <w:pPr>
        <w:pStyle w:val="enumlev1"/>
        <w:rPr>
          <w:rtl/>
        </w:rPr>
      </w:pPr>
      <w:bookmarkStart w:id="199" w:name="_Toc520365472"/>
      <w:r w:rsidRPr="00C32070">
        <w:rPr>
          <w:rtl/>
        </w:rPr>
        <w:t>-</w:t>
      </w:r>
      <w:r w:rsidRPr="00C32070">
        <w:rPr>
          <w:rtl/>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bookmarkEnd w:id="199"/>
    </w:p>
    <w:p w14:paraId="0D539AA1" w14:textId="77777777" w:rsidR="00C424F3" w:rsidRPr="00C32070" w:rsidRDefault="00C424F3" w:rsidP="00C424F3">
      <w:pPr>
        <w:pStyle w:val="HeadingI"/>
        <w:rPr>
          <w:b/>
          <w:rtl/>
          <w:lang w:val="en-GB" w:bidi="ar-SY"/>
        </w:rPr>
      </w:pPr>
      <w:r w:rsidRPr="00C32070">
        <w:rPr>
          <w:b/>
          <w:rtl/>
          <w:lang w:val="en-GB" w:bidi="ar-EG"/>
        </w:rPr>
        <w:t>عتبات الرسملة:</w:t>
      </w:r>
    </w:p>
    <w:p w14:paraId="5B5FBCE5" w14:textId="77777777" w:rsidR="00C424F3" w:rsidRPr="00C32070" w:rsidRDefault="00C424F3" w:rsidP="00C424F3">
      <w:pPr>
        <w:pStyle w:val="enumlev1"/>
      </w:pPr>
      <w:r w:rsidRPr="00C32070">
        <w:sym w:font="Wingdings 2" w:char="F097"/>
      </w:r>
      <w:r w:rsidRPr="00C32070">
        <w:tab/>
      </w:r>
      <w:proofErr w:type="spellStart"/>
      <w:r w:rsidRPr="00C32070">
        <w:rPr>
          <w:rtl/>
        </w:rPr>
        <w:t>تُرسمل</w:t>
      </w:r>
      <w:proofErr w:type="spellEnd"/>
      <w:r w:rsidRPr="00C32070">
        <w:rPr>
          <w:rtl/>
        </w:rPr>
        <w:t>، وتُهلك كلياً، في السنة المالية ذاتها الأصول المادية (تراخيص وبرمجيات تكنولوجيا المعلومات) المشتراة من الخارج بقيمة أدنى من 000 5 فرنك سويسري،</w:t>
      </w:r>
      <w:r w:rsidRPr="00C32070">
        <w:t xml:space="preserve"> </w:t>
      </w:r>
      <w:r w:rsidRPr="00C32070">
        <w:rPr>
          <w:rtl/>
        </w:rPr>
        <w:t>وذلك لتيسير تتبُّع المخزونات.</w:t>
      </w:r>
    </w:p>
    <w:p w14:paraId="02DE960E" w14:textId="77777777" w:rsidR="00C424F3" w:rsidRPr="00C32070" w:rsidRDefault="00C424F3" w:rsidP="00C424F3">
      <w:pPr>
        <w:pStyle w:val="enumlev1"/>
      </w:pPr>
      <w:r w:rsidRPr="00C32070">
        <w:sym w:font="Wingdings 2" w:char="F097"/>
      </w:r>
      <w:r w:rsidRPr="00C32070">
        <w:tab/>
      </w:r>
      <w:proofErr w:type="spellStart"/>
      <w:r w:rsidRPr="00C32070">
        <w:rPr>
          <w:rtl/>
        </w:rPr>
        <w:t>تُرسمل</w:t>
      </w:r>
      <w:proofErr w:type="spellEnd"/>
      <w:r w:rsidRPr="00C32070">
        <w:rPr>
          <w:rtl/>
        </w:rPr>
        <w:t xml:space="preserve"> وتُهلك خلال فترة مفترضة مدتها ثلاث سنوات الأصولُ المادية (تراخيص وبرمجيات تكنولوجيا المعلومات) المشتراة من الخارج بقيمة تعادل أو تتجاوز 000 5 فرنك سويسري، ما لم يحدد الاتفاق تاريخ انتهاء صلاحيتها (التراخيص والبرمجيات)، فإن حدد الاتفاق تاريخ صلاحيتها، يتفق عمرها الإنتاجي الاقتصادي مع بنود العقد.</w:t>
      </w:r>
    </w:p>
    <w:p w14:paraId="302F4A0A" w14:textId="77777777" w:rsidR="00C424F3" w:rsidRPr="00C32070" w:rsidRDefault="00C424F3" w:rsidP="00C424F3">
      <w:pPr>
        <w:pStyle w:val="enumlev1"/>
        <w:rPr>
          <w:rtl/>
          <w:lang w:val="en-GB" w:bidi="ar-EG"/>
        </w:rPr>
      </w:pPr>
      <w:r w:rsidRPr="00C32070">
        <w:sym w:font="Wingdings 2" w:char="F097"/>
      </w:r>
      <w:r w:rsidRPr="00C32070">
        <w:tab/>
      </w:r>
      <w:proofErr w:type="spellStart"/>
      <w:r w:rsidRPr="00C32070">
        <w:rPr>
          <w:rtl/>
        </w:rPr>
        <w:t>تُرسمل</w:t>
      </w:r>
      <w:proofErr w:type="spellEnd"/>
      <w:r w:rsidRPr="00C32070">
        <w:rPr>
          <w:rtl/>
        </w:rPr>
        <w:t xml:space="preserve"> الأصول المادية المطورة داخلياً (البرمجيات) بقيمة تتجاوز 000 50 فرنك سويسري ويحدَّد عمرها الإنتاجي الاقتصادي بثلاث سنوات كحد أدنى. وتُراعى في تحديد عمرها الإنتاجي الاقتصادي التوصيات التي يقدمها أصحاب الشركات، بما يتلاءم مع الاحتياجات التجارية والمنافع الاقتصادية المستقبلية المتوقعة. ولا </w:t>
      </w:r>
      <w:proofErr w:type="spellStart"/>
      <w:r w:rsidRPr="00C32070">
        <w:rPr>
          <w:rtl/>
        </w:rPr>
        <w:t>تُرسمل</w:t>
      </w:r>
      <w:proofErr w:type="spellEnd"/>
      <w:r w:rsidRPr="00C32070">
        <w:rPr>
          <w:rtl/>
        </w:rPr>
        <w:t xml:space="preserve"> سوى التكاليف المترتبة مباشرةً على عملية التطوير، وتشمل التكاليف </w:t>
      </w:r>
      <w:r w:rsidRPr="00C32070">
        <w:rPr>
          <w:rtl/>
          <w:lang w:bidi="ar-EG"/>
        </w:rPr>
        <w:t xml:space="preserve">المتعلقة بالعاملين </w:t>
      </w:r>
      <w:r w:rsidRPr="00C32070">
        <w:rPr>
          <w:rtl/>
        </w:rPr>
        <w:t xml:space="preserve">في تطوير البرمجيات وجزءاً مناسباً من </w:t>
      </w:r>
      <w:r w:rsidRPr="00C32070">
        <w:rPr>
          <w:rtl/>
          <w:lang w:val="en-GB" w:bidi="ar-EG"/>
        </w:rPr>
        <w:t>النفقات العامة. وتُخصم التكاليف المتعلقة بمراحل البحوث.</w:t>
      </w:r>
    </w:p>
    <w:p w14:paraId="213828E5" w14:textId="77777777" w:rsidR="00C424F3" w:rsidRPr="00C32070" w:rsidRDefault="00C424F3" w:rsidP="00C424F3">
      <w:pPr>
        <w:pStyle w:val="HeadingI"/>
        <w:rPr>
          <w:lang w:bidi="ar-EG"/>
        </w:rPr>
      </w:pPr>
      <w:r w:rsidRPr="00C32070">
        <w:rPr>
          <w:rtl/>
          <w:lang w:bidi="ar-EG"/>
        </w:rPr>
        <w:t>الاستهلاك والصيانة</w:t>
      </w:r>
    </w:p>
    <w:p w14:paraId="028599B5" w14:textId="77777777" w:rsidR="00C424F3" w:rsidRPr="00C32070" w:rsidRDefault="00C424F3" w:rsidP="00C424F3">
      <w:pPr>
        <w:rPr>
          <w:lang w:val="en-GB"/>
        </w:rPr>
      </w:pPr>
      <w:r w:rsidRPr="00C32070">
        <w:rPr>
          <w:rtl/>
          <w:lang w:bidi="ar-EG"/>
        </w:rPr>
        <w:t xml:space="preserve">يُحتسب استهلاك الأصول </w:t>
      </w:r>
      <w:proofErr w:type="spellStart"/>
      <w:r w:rsidRPr="00C32070">
        <w:rPr>
          <w:rtl/>
          <w:lang w:bidi="ar-EG"/>
        </w:rPr>
        <w:t>المرسملة</w:t>
      </w:r>
      <w:proofErr w:type="spellEnd"/>
      <w:r w:rsidRPr="00C32070">
        <w:rPr>
          <w:rtl/>
          <w:lang w:bidi="ar-EG"/>
        </w:rPr>
        <w:t xml:space="preserve"> باستخدام الأسلوب الخطي طوال عمرها الإنتاجي الاقتصادي المقدَّر، الذي يجوز تمديده بناءً على الاحتياجات التجارية وفترات المنافع الاقتصادية المستقبلية المتوقعة.</w:t>
      </w:r>
    </w:p>
    <w:p w14:paraId="5A66774A" w14:textId="77777777" w:rsidR="00C424F3" w:rsidRPr="00C32070" w:rsidRDefault="00C424F3" w:rsidP="00C424F3">
      <w:pPr>
        <w:rPr>
          <w:rtl/>
          <w:lang w:bidi="ar-EG"/>
        </w:rPr>
      </w:pPr>
      <w:r w:rsidRPr="00C32070">
        <w:rPr>
          <w:rtl/>
          <w:lang w:bidi="ar-EG"/>
        </w:rPr>
        <w:t>وتُخصم التكاليف المتصلة بصيانة الأصول غير المادية.</w:t>
      </w:r>
    </w:p>
    <w:p w14:paraId="27FB371D" w14:textId="4C949B8A" w:rsidR="00C424F3" w:rsidRPr="00C32070" w:rsidRDefault="00C424F3" w:rsidP="00C424F3">
      <w:pPr>
        <w:pStyle w:val="Heading2"/>
        <w:rPr>
          <w:rtl/>
        </w:rPr>
      </w:pPr>
      <w:bookmarkStart w:id="200" w:name="_Toc329296014"/>
      <w:bookmarkStart w:id="201" w:name="_Toc358648334"/>
      <w:bookmarkStart w:id="202" w:name="_Toc358648533"/>
      <w:bookmarkStart w:id="203" w:name="_Toc387338337"/>
      <w:bookmarkStart w:id="204" w:name="_Toc419484062"/>
      <w:bookmarkStart w:id="205" w:name="_Toc452156614"/>
      <w:bookmarkStart w:id="206" w:name="_Toc482793702"/>
      <w:bookmarkStart w:id="207" w:name="_Toc511402216"/>
      <w:bookmarkStart w:id="208" w:name="_Toc511756653"/>
      <w:bookmarkStart w:id="209" w:name="_Toc520365473"/>
      <w:bookmarkStart w:id="210" w:name="_Toc9614772"/>
      <w:bookmarkStart w:id="211" w:name="_Toc42014528"/>
      <w:bookmarkStart w:id="212" w:name="_Toc74061560"/>
      <w:bookmarkStart w:id="213" w:name="_Toc168657560"/>
      <w:r w:rsidRPr="00C32070">
        <w:t>7.3</w:t>
      </w:r>
      <w:r w:rsidRPr="00C32070">
        <w:rPr>
          <w:rtl/>
        </w:rPr>
        <w:tab/>
        <w:t>أرصدة</w:t>
      </w:r>
      <w:r w:rsidR="00943ABE" w:rsidRPr="00C32070">
        <w:rPr>
          <w:rtl/>
        </w:rPr>
        <w:t xml:space="preserve"> </w:t>
      </w:r>
      <w:r w:rsidRPr="00C32070">
        <w:rPr>
          <w:rtl/>
        </w:rPr>
        <w:t>المؤونة الاحتياطية</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B7E2D39" w14:textId="77777777" w:rsidR="00C424F3" w:rsidRPr="00C32070" w:rsidRDefault="00C424F3" w:rsidP="00C424F3">
      <w:pPr>
        <w:rPr>
          <w:rtl/>
          <w:lang w:bidi="ar-EG"/>
        </w:rPr>
      </w:pPr>
      <w:r w:rsidRPr="00C32070">
        <w:rPr>
          <w:rtl/>
          <w:lang w:bidi="ar-EG"/>
        </w:rPr>
        <w:t>تشمل المؤونة الاحتياطية الالتزامات التي لا تكون نتيجتها أو موعد استحقاقها أو مبلغها المستحق مؤكداً. وتُدرج أرصدة المؤونة الاحتياطية في البيان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 موثوق.</w:t>
      </w:r>
    </w:p>
    <w:p w14:paraId="6299CDCE" w14:textId="64091FB2" w:rsidR="00C424F3" w:rsidRPr="00C32070" w:rsidRDefault="00C424F3" w:rsidP="00C424F3">
      <w:pPr>
        <w:pStyle w:val="Heading2"/>
        <w:rPr>
          <w:rtl/>
        </w:rPr>
      </w:pPr>
      <w:bookmarkStart w:id="214" w:name="_Toc329296015"/>
      <w:bookmarkStart w:id="215" w:name="_Toc358648335"/>
      <w:bookmarkStart w:id="216" w:name="_Toc358648534"/>
      <w:bookmarkStart w:id="217" w:name="_Toc387338338"/>
      <w:bookmarkStart w:id="218" w:name="_Toc419484063"/>
      <w:bookmarkStart w:id="219" w:name="_Toc452156615"/>
      <w:bookmarkStart w:id="220" w:name="_Toc482793703"/>
      <w:bookmarkStart w:id="221" w:name="_Toc511402217"/>
      <w:bookmarkStart w:id="222" w:name="_Toc511756654"/>
      <w:bookmarkStart w:id="223" w:name="_Toc520365474"/>
      <w:bookmarkStart w:id="224" w:name="_Toc9614773"/>
      <w:bookmarkStart w:id="225" w:name="_Toc42014529"/>
      <w:bookmarkStart w:id="226" w:name="_Toc74061561"/>
      <w:bookmarkStart w:id="227" w:name="_Toc168657561"/>
      <w:r w:rsidRPr="00C32070">
        <w:t>8.3</w:t>
      </w:r>
      <w:r w:rsidRPr="00C32070">
        <w:rPr>
          <w:rtl/>
        </w:rPr>
        <w:tab/>
        <w:t xml:space="preserve">الأصول والخصوم </w:t>
      </w:r>
      <w:bookmarkEnd w:id="214"/>
      <w:bookmarkEnd w:id="215"/>
      <w:bookmarkEnd w:id="216"/>
      <w:bookmarkEnd w:id="217"/>
      <w:bookmarkEnd w:id="218"/>
      <w:bookmarkEnd w:id="219"/>
      <w:bookmarkEnd w:id="220"/>
      <w:bookmarkEnd w:id="221"/>
      <w:bookmarkEnd w:id="222"/>
      <w:bookmarkEnd w:id="223"/>
      <w:bookmarkEnd w:id="224"/>
      <w:bookmarkEnd w:id="225"/>
      <w:bookmarkEnd w:id="226"/>
      <w:r w:rsidRPr="00C32070">
        <w:rPr>
          <w:rtl/>
        </w:rPr>
        <w:t>المشروطة</w:t>
      </w:r>
      <w:bookmarkEnd w:id="227"/>
    </w:p>
    <w:p w14:paraId="41793978" w14:textId="77777777" w:rsidR="00C424F3" w:rsidRPr="00C32070" w:rsidRDefault="00C424F3" w:rsidP="00C424F3">
      <w:pPr>
        <w:rPr>
          <w:rtl/>
          <w:lang w:bidi="ar-EG"/>
        </w:rPr>
      </w:pPr>
      <w:r w:rsidRPr="00C32070">
        <w:rPr>
          <w:rtl/>
          <w:lang w:bidi="ar-EG"/>
        </w:rPr>
        <w:t>الأصول والخصوم المشروطة هي حقوق أو التزامات ممكنة ناجمة عن أحداث ماضية ولا يتأكد وجودها إلا بحدوث أو عدم حدوث حدث أو عدة أحداث مقبلة غير أكيدة ليس للاتحاد عليها سيطرة كاملة.</w:t>
      </w:r>
    </w:p>
    <w:p w14:paraId="629E7E11" w14:textId="0CD64C99" w:rsidR="00C424F3" w:rsidRPr="00C32070" w:rsidRDefault="00C424F3" w:rsidP="00C424F3">
      <w:pPr>
        <w:rPr>
          <w:rtl/>
          <w:lang w:bidi="ar-EG"/>
        </w:rPr>
      </w:pPr>
      <w:r w:rsidRPr="00C32070">
        <w:rPr>
          <w:rtl/>
          <w:lang w:bidi="ar-SY"/>
        </w:rPr>
        <w:t xml:space="preserve">ويُفصح عن الالتزامات المشروطة عندما يكون الالتزام الممكن غير </w:t>
      </w:r>
      <w:proofErr w:type="gramStart"/>
      <w:r w:rsidRPr="00C32070">
        <w:rPr>
          <w:rtl/>
          <w:lang w:bidi="ar-SY"/>
        </w:rPr>
        <w:t>مؤكد</w:t>
      </w:r>
      <w:proofErr w:type="gramEnd"/>
      <w:r w:rsidRPr="00C32070">
        <w:rPr>
          <w:rtl/>
          <w:lang w:bidi="ar-SY"/>
        </w:rPr>
        <w:t xml:space="preserve"> ولكن يمكن قياسه، أو عندما يكون الاتحاد ملتزما</w:t>
      </w:r>
      <w:r w:rsidR="000F0A6D">
        <w:rPr>
          <w:rFonts w:hint="cs"/>
          <w:rtl/>
          <w:lang w:bidi="ar-SY"/>
        </w:rPr>
        <w:t>ً</w:t>
      </w:r>
      <w:r w:rsidRPr="00C32070">
        <w:rPr>
          <w:rtl/>
          <w:lang w:bidi="ar-SY"/>
        </w:rPr>
        <w:t xml:space="preserve"> حالياً ولكنه لا يستطيع أن يقيس بشكل موثوق التدفق المحتمل للموارد الخارجة. و</w:t>
      </w:r>
      <w:r w:rsidRPr="00C32070">
        <w:rPr>
          <w:rtl/>
          <w:lang w:bidi="ar-EG"/>
        </w:rPr>
        <w:t>لا يمتلك الاتحاد في الوقت الحاضر أصولاً مشروطة ولا خصوماً مادية مشروطة</w:t>
      </w:r>
      <w:r w:rsidRPr="00C32070">
        <w:rPr>
          <w:rtl/>
          <w:lang w:bidi="ar-SY"/>
        </w:rPr>
        <w:t>، لم يكن لدى الاتحاد أي التزامات مشروطة معروفة.</w:t>
      </w:r>
    </w:p>
    <w:p w14:paraId="75574B55" w14:textId="1FAC1931" w:rsidR="00C424F3" w:rsidRPr="00C32070" w:rsidRDefault="00C424F3" w:rsidP="00C424F3">
      <w:pPr>
        <w:pStyle w:val="Heading2"/>
        <w:rPr>
          <w:rtl/>
        </w:rPr>
      </w:pPr>
      <w:bookmarkStart w:id="228" w:name="_Toc329296016"/>
      <w:bookmarkStart w:id="229" w:name="_Toc358648336"/>
      <w:bookmarkStart w:id="230" w:name="_Toc358648535"/>
      <w:bookmarkStart w:id="231" w:name="_Toc387338339"/>
      <w:bookmarkStart w:id="232" w:name="_Toc419484064"/>
      <w:bookmarkStart w:id="233" w:name="_Toc452156616"/>
      <w:bookmarkStart w:id="234" w:name="_Toc482793704"/>
      <w:bookmarkStart w:id="235" w:name="_Toc511402218"/>
      <w:bookmarkStart w:id="236" w:name="_Toc511756655"/>
      <w:bookmarkStart w:id="237" w:name="_Toc520365475"/>
      <w:bookmarkStart w:id="238" w:name="_Toc9614774"/>
      <w:bookmarkStart w:id="239" w:name="_Toc42014530"/>
      <w:bookmarkStart w:id="240" w:name="_Toc74061562"/>
      <w:bookmarkStart w:id="241" w:name="_Toc168657562"/>
      <w:r w:rsidRPr="00C32070">
        <w:t>9.3</w:t>
      </w:r>
      <w:r w:rsidRPr="00C32070">
        <w:rPr>
          <w:rtl/>
        </w:rPr>
        <w:tab/>
        <w:t>استحقاقات الموظفين</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0F1F111" w14:textId="77777777" w:rsidR="00C424F3" w:rsidRPr="00C32070" w:rsidRDefault="00C424F3" w:rsidP="00C424F3">
      <w:pPr>
        <w:keepNext/>
        <w:rPr>
          <w:rtl/>
          <w:lang w:bidi="ar-EG"/>
        </w:rPr>
      </w:pPr>
      <w:r w:rsidRPr="00C32070">
        <w:rPr>
          <w:rtl/>
          <w:lang w:bidi="ar-EG"/>
        </w:rPr>
        <w:t>فيما يلي استحقاقات الموظفين المعترف بها:</w:t>
      </w:r>
    </w:p>
    <w:p w14:paraId="4CB9F650" w14:textId="77777777" w:rsidR="00C424F3" w:rsidRPr="00C32070" w:rsidRDefault="00C424F3" w:rsidP="00C424F3">
      <w:pPr>
        <w:pStyle w:val="enumlev1"/>
        <w:rPr>
          <w:rtl/>
        </w:rPr>
      </w:pPr>
      <w:bookmarkStart w:id="242" w:name="_Toc520365476"/>
      <w:r w:rsidRPr="00C32070">
        <w:rPr>
          <w:rtl/>
        </w:rPr>
        <w:t>-</w:t>
      </w:r>
      <w:r w:rsidRPr="00C32070">
        <w:rPr>
          <w:rtl/>
        </w:rPr>
        <w:tab/>
      </w:r>
      <w:bookmarkEnd w:id="242"/>
      <w:r w:rsidRPr="00C32070">
        <w:rPr>
          <w:rtl/>
        </w:rPr>
        <w:t>تُتوقع تسوية استحقاقات الموظفين قصيرة الأجل في غضون 12 شهراً من تاريخ الإبلاغ وتقاس بقيمها الاسمية استناداً إلى الاستحقاقات المتراكمة بمعدلات الأجور الجارية. وتشمل استحقاقات الموظفين بعقود قصيرة الأجل استحقاقات العمل لأول مرة (مُنح الانتداب) والاستحقاقات الشهرية العادية (الأجور والمرتبات والبدلات) وغيرها من الاستحقاقات (منحة التعليم، وإجازة زيارة الوطن، وما إلى ذلك). ويُعترف بوجود مصروف عندما يقدم الموظفون الخدمة إلى الاتحاد، بينما يُعترف بوجود التزام بوجود استحقاق لم يُسوَّ في تاريخ الإبلاغ.</w:t>
      </w:r>
    </w:p>
    <w:p w14:paraId="152B2C70" w14:textId="77777777" w:rsidR="00C424F3" w:rsidRPr="00C32070" w:rsidRDefault="00C424F3" w:rsidP="00C424F3">
      <w:pPr>
        <w:pStyle w:val="enumlev1"/>
        <w:rPr>
          <w:rtl/>
        </w:rPr>
      </w:pPr>
      <w:r w:rsidRPr="00C32070">
        <w:rPr>
          <w:rtl/>
        </w:rPr>
        <w:lastRenderedPageBreak/>
        <w:t>-</w:t>
      </w:r>
      <w:r w:rsidRPr="00C32070">
        <w:rPr>
          <w:rtl/>
        </w:rPr>
        <w:tab/>
        <w:t xml:space="preserve">استحقاقات الموظفين الأخرى طويلة الأجل هي استحقاقات تُتوقع تسويتها بعد أكثر من 12 شهراً من نهاية الفترة المشمولة بالتقرير وتتعلق بمُنح الإعادة إلى الوطن والإجازات المتراكمة. والخصوم المثبَّتة لمُنح الإعادة إلى الوطن هي القيمة الحالية لالتزامات الاستحقاقات المحددة في تاريخ الإبلاغ. ويحسب خبير </w:t>
      </w:r>
      <w:proofErr w:type="spellStart"/>
      <w:r w:rsidRPr="00C32070">
        <w:rPr>
          <w:rtl/>
        </w:rPr>
        <w:t>إكتواري</w:t>
      </w:r>
      <w:proofErr w:type="spellEnd"/>
      <w:r w:rsidRPr="00C32070">
        <w:rPr>
          <w:rtl/>
        </w:rPr>
        <w:t xml:space="preserve"> مستقل هذا الالتزام باستخدام أسلوب الائتمان للوحدة المتوقعة. وترد في بيان الأداء المالي تكلفة الفائدة وتكاليف الخدمة الجارية والمكاسب أو الخسائر </w:t>
      </w:r>
      <w:proofErr w:type="spellStart"/>
      <w:r w:rsidRPr="00C32070">
        <w:rPr>
          <w:rtl/>
        </w:rPr>
        <w:t>الإكتوارية</w:t>
      </w:r>
      <w:proofErr w:type="spellEnd"/>
      <w:r w:rsidRPr="00C32070">
        <w:rPr>
          <w:rtl/>
        </w:rPr>
        <w:t xml:space="preserve"> الناشئة عن التغيرات في الافتراضات </w:t>
      </w:r>
      <w:proofErr w:type="spellStart"/>
      <w:r w:rsidRPr="00C32070">
        <w:rPr>
          <w:rtl/>
        </w:rPr>
        <w:t>الإكتوارية</w:t>
      </w:r>
      <w:proofErr w:type="spellEnd"/>
      <w:r w:rsidRPr="00C32070">
        <w:rPr>
          <w:rtl/>
        </w:rPr>
        <w:t xml:space="preserve"> أو تسويات</w:t>
      </w:r>
      <w:r w:rsidRPr="00C32070">
        <w:t xml:space="preserve"> </w:t>
      </w:r>
      <w:r w:rsidRPr="00C32070">
        <w:rPr>
          <w:rtl/>
        </w:rPr>
        <w:t>الخبرة.</w:t>
      </w:r>
    </w:p>
    <w:p w14:paraId="34548234" w14:textId="77777777" w:rsidR="00C424F3" w:rsidRPr="00C32070" w:rsidRDefault="00C424F3" w:rsidP="00C424F3">
      <w:pPr>
        <w:pStyle w:val="enumlev1"/>
        <w:rPr>
          <w:rtl/>
        </w:rPr>
      </w:pPr>
      <w:bookmarkStart w:id="243" w:name="_Toc520365482"/>
      <w:r w:rsidRPr="00C32070">
        <w:rPr>
          <w:rtl/>
        </w:rPr>
        <w:t>-</w:t>
      </w:r>
      <w:r w:rsidRPr="00C32070">
        <w:rPr>
          <w:rtl/>
        </w:rPr>
        <w:tab/>
        <w:t xml:space="preserve">الالتزامات المرتبطة بالتأمين الصحي بعد انتهاء الخدمة </w:t>
      </w:r>
      <w:r w:rsidRPr="00C32070">
        <w:t>(ASHI)</w:t>
      </w:r>
      <w:r w:rsidRPr="00C32070">
        <w:rPr>
          <w:rtl/>
        </w:rPr>
        <w:t>؛</w:t>
      </w:r>
      <w:bookmarkEnd w:id="243"/>
    </w:p>
    <w:p w14:paraId="2913E39A" w14:textId="77777777" w:rsidR="00C424F3" w:rsidRPr="00C32070" w:rsidRDefault="00C424F3" w:rsidP="00C424F3">
      <w:pPr>
        <w:pStyle w:val="enumlev1"/>
        <w:rPr>
          <w:rtl/>
        </w:rPr>
      </w:pPr>
      <w:bookmarkStart w:id="244" w:name="_Toc520365483"/>
      <w:r w:rsidRPr="00C32070">
        <w:rPr>
          <w:rtl/>
        </w:rPr>
        <w:t>-</w:t>
      </w:r>
      <w:r w:rsidRPr="00C32070">
        <w:rPr>
          <w:rtl/>
        </w:rPr>
        <w:tab/>
        <w:t>الالتزامات المرتبطة بالخطة القديمة للمعاشات التقاعدية بغية تحديد التزامات الاتحاد في تاريخ اختتام الفترة المالية.</w:t>
      </w:r>
      <w:bookmarkEnd w:id="244"/>
    </w:p>
    <w:p w14:paraId="7B0F5532" w14:textId="77777777" w:rsidR="00C424F3" w:rsidRPr="00C32070" w:rsidRDefault="00C424F3" w:rsidP="00C424F3">
      <w:pPr>
        <w:rPr>
          <w:rtl/>
          <w:lang w:bidi="ar-EG"/>
        </w:rPr>
      </w:pPr>
      <w:r w:rsidRPr="00C32070">
        <w:rPr>
          <w:rtl/>
          <w:lang w:bidi="ar-EG"/>
        </w:rPr>
        <w:t>والاتحاد الدولي للاتصالات منظمة عضو في صندوق الأمم المتحدة المشترك للمعاشات التقاعدية </w:t>
      </w:r>
      <w:r w:rsidRPr="00C32070">
        <w:rPr>
          <w:lang w:bidi="ar-EG"/>
        </w:rPr>
        <w:t>(UNJSPF)</w:t>
      </w:r>
      <w:r w:rsidRPr="00C32070">
        <w:rPr>
          <w:rtl/>
          <w:lang w:bidi="ar-EG"/>
        </w:rPr>
        <w:t xml:space="preserve">، الذي أنشأته الجمعية العامة للأمم المتحدة لتوفير استحقاقات التقاعد والوفاة والعجز وما يتصل بها للموظفين. والصندوق هو خطة استحقاقات محددة ممولة متعددة أرباب العمل. وكما هو محدد في المادة </w:t>
      </w:r>
      <w:r w:rsidRPr="00C32070">
        <w:rPr>
          <w:lang w:bidi="ar-EG"/>
        </w:rPr>
        <w:t>3</w:t>
      </w:r>
      <w:r w:rsidRPr="00C32070">
        <w:rPr>
          <w:rtl/>
          <w:lang w:bidi="ar-EG"/>
        </w:rPr>
        <w:t> (ب)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14:paraId="16445F98" w14:textId="77777777" w:rsidR="00C424F3" w:rsidRPr="00C32070" w:rsidRDefault="00C424F3" w:rsidP="00C424F3">
      <w:pPr>
        <w:rPr>
          <w:rtl/>
          <w:lang w:bidi="ar-EG"/>
        </w:rPr>
      </w:pPr>
      <w:r w:rsidRPr="00C32070">
        <w:rPr>
          <w:rtl/>
          <w:lang w:bidi="ar-EG"/>
        </w:rPr>
        <w:t xml:space="preserve">وتعرّض الخطة المنظمات المشاركة إلى </w:t>
      </w:r>
      <w:proofErr w:type="gramStart"/>
      <w:r w:rsidRPr="00C32070">
        <w:rPr>
          <w:rtl/>
          <w:lang w:bidi="ar-EG"/>
        </w:rPr>
        <w:t>مخاطر</w:t>
      </w:r>
      <w:proofErr w:type="gramEnd"/>
      <w:r w:rsidRPr="00C32070">
        <w:rPr>
          <w:rtl/>
          <w:lang w:bidi="ar-EG"/>
        </w:rPr>
        <w:t xml:space="preserve"> </w:t>
      </w:r>
      <w:proofErr w:type="spellStart"/>
      <w:r w:rsidRPr="00C32070">
        <w:rPr>
          <w:rtl/>
          <w:lang w:bidi="ar-EG"/>
        </w:rPr>
        <w:t>إكتوارية</w:t>
      </w:r>
      <w:proofErr w:type="spellEnd"/>
      <w:r w:rsidRPr="00C32070">
        <w:rPr>
          <w:rtl/>
          <w:lang w:bidi="ar-EG"/>
        </w:rPr>
        <w:t xml:space="preserve"> مرتبطة بالموظفين الحاليين والسابقين في المنظمات الأخرى المشاركة في الصندوق، ونتيجةً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لا يمكنهما تحديد الحصة النسبية</w:t>
      </w:r>
      <w:r w:rsidRPr="00C32070">
        <w:rPr>
          <w:rtl/>
        </w:rPr>
        <w:t xml:space="preserve"> ل</w:t>
      </w:r>
      <w:r w:rsidRPr="00C32070">
        <w:rPr>
          <w:rtl/>
          <w:lang w:bidi="ar-EG"/>
        </w:rPr>
        <w:t xml:space="preserve">لاتحاد الدولي للاتصالات في الالتزام بالاستحقاقات المحددة، وبأصول الخطة والتكاليف المرتبطة بالخطة بقدر كافٍ من الموثوقية للأغراض المحاسبية. ولذا فإن الاتحاد الدولي للاتصالات يتعامل مع هذه الخطة كما لو كانت خطة مساهمات محددة تماشياً مع متطلبات المعيار </w:t>
      </w:r>
      <w:r w:rsidRPr="00C32070">
        <w:rPr>
          <w:lang w:val="fr-CH" w:bidi="ar-EG"/>
        </w:rPr>
        <w:t>IPSAS 39</w:t>
      </w:r>
      <w:r w:rsidRPr="00C32070">
        <w:rPr>
          <w:rtl/>
          <w:lang w:bidi="ar-EG"/>
        </w:rPr>
        <w:t xml:space="preserve"> بشأن استحقاقات الموظفين. وتُدرج مساهمات الاتحاد الدولي للاتصالات في الخطة خلال الفترة المالية بمثابة نفقات في بيان الأداء المالي.</w:t>
      </w:r>
    </w:p>
    <w:p w14:paraId="58140A95" w14:textId="77777777" w:rsidR="00C424F3" w:rsidRPr="00C32070" w:rsidRDefault="00C424F3" w:rsidP="00C424F3">
      <w:pPr>
        <w:rPr>
          <w:rtl/>
          <w:lang w:bidi="ar-EG"/>
        </w:rPr>
      </w:pPr>
      <w:r w:rsidRPr="00C32070">
        <w:rPr>
          <w:rtl/>
          <w:lang w:bidi="ar-EG"/>
        </w:rPr>
        <w:t>واعتباراً من 1 يناير 2020، انضم الاتحاد الدولي للاتصالات إلى جمعية التأمين التعاوني لموظفي الأمم المتحدة ضد الأمراض والحوادث (</w:t>
      </w:r>
      <w:r w:rsidRPr="00C32070">
        <w:rPr>
          <w:lang w:bidi="ar-EG"/>
        </w:rPr>
        <w:t>UNSMIS</w:t>
      </w:r>
      <w:r w:rsidRPr="00C32070">
        <w:rPr>
          <w:rtl/>
          <w:lang w:bidi="ar-EG"/>
        </w:rPr>
        <w:t>). وتخضع الالتزامات بموجب خطة التأمين الصحي بعد انتهاء الخدمة </w:t>
      </w:r>
      <w:r w:rsidRPr="00C32070">
        <w:rPr>
          <w:lang w:bidi="ar-EG"/>
        </w:rPr>
        <w:t>(ASHI)</w:t>
      </w:r>
      <w:r w:rsidRPr="00C32070">
        <w:rPr>
          <w:rtl/>
          <w:lang w:bidi="ar-EG"/>
        </w:rPr>
        <w:t xml:space="preserve"> لدراسة </w:t>
      </w:r>
      <w:proofErr w:type="spellStart"/>
      <w:r w:rsidRPr="00C32070">
        <w:rPr>
          <w:rtl/>
          <w:lang w:bidi="ar-EG"/>
        </w:rPr>
        <w:t>إكتوارية</w:t>
      </w:r>
      <w:proofErr w:type="spellEnd"/>
      <w:r w:rsidRPr="00C32070">
        <w:rPr>
          <w:rtl/>
          <w:lang w:bidi="ar-EG"/>
        </w:rPr>
        <w:t xml:space="preserve"> وفق المعيار </w:t>
      </w:r>
      <w:r w:rsidRPr="00C32070">
        <w:rPr>
          <w:lang w:bidi="ar-EG"/>
        </w:rPr>
        <w:t>IPSAS 39</w:t>
      </w:r>
      <w:r w:rsidRPr="00C32070">
        <w:rPr>
          <w:rtl/>
          <w:lang w:bidi="ar-EG"/>
        </w:rPr>
        <w:t xml:space="preserve"> لتحديد واحتساب مقدار التزامات الاتحاد المقبلة المتعلقة بهذه الاستحقاقات.</w:t>
      </w:r>
    </w:p>
    <w:p w14:paraId="13E6D118" w14:textId="77777777" w:rsidR="00C424F3" w:rsidRPr="00C32070" w:rsidRDefault="00C424F3" w:rsidP="00C424F3">
      <w:pPr>
        <w:rPr>
          <w:rtl/>
          <w:lang w:bidi="ar-SY"/>
        </w:rPr>
      </w:pPr>
      <w:r w:rsidRPr="00C32070">
        <w:rPr>
          <w:rtl/>
          <w:lang w:bidi="ar-SY"/>
        </w:rPr>
        <w:t>والتزامات التأمين الصحي بعد انتهاء الخدمة (</w:t>
      </w:r>
      <w:r w:rsidRPr="00C32070">
        <w:rPr>
          <w:lang w:bidi="ar-SY"/>
        </w:rPr>
        <w:t>ASHI</w:t>
      </w:r>
      <w:r w:rsidRPr="00C32070">
        <w:rPr>
          <w:rtl/>
          <w:lang w:bidi="ar-SY"/>
        </w:rPr>
        <w:t>) لدى الاتحاد تعطي الحق في الاستفادة من تغطية التأمين الصحي بعد انتهاء الخدمة المكتسبة والمتراكمة أثناء الخدمة النشيطة للمتقاعدين في المنظمة.</w:t>
      </w:r>
      <w:r w:rsidRPr="00C32070">
        <w:rPr>
          <w:rtl/>
          <w:lang w:bidi="ar"/>
        </w:rPr>
        <w:t xml:space="preserve"> والخصوم</w:t>
      </w:r>
      <w:r w:rsidRPr="00C32070">
        <w:rPr>
          <w:lang w:val="en" w:bidi="ar-SY"/>
        </w:rPr>
        <w:t xml:space="preserve"> </w:t>
      </w:r>
      <w:r w:rsidRPr="00C32070">
        <w:rPr>
          <w:rtl/>
          <w:lang w:bidi="ar-SY"/>
        </w:rPr>
        <w:t>المثبَّتة لهذه الخطة هي القيمة الحالية لالتزامات الاستحقاقات المحددة في تاريخ الإبلاغ.</w:t>
      </w:r>
      <w:r w:rsidRPr="00C32070">
        <w:rPr>
          <w:rtl/>
        </w:rPr>
        <w:t xml:space="preserve"> ويحسب خبير </w:t>
      </w:r>
      <w:proofErr w:type="spellStart"/>
      <w:r w:rsidRPr="00C32070">
        <w:rPr>
          <w:rtl/>
        </w:rPr>
        <w:t>إكتواري</w:t>
      </w:r>
      <w:proofErr w:type="spellEnd"/>
      <w:r w:rsidRPr="00C32070">
        <w:rPr>
          <w:rtl/>
        </w:rPr>
        <w:t xml:space="preserve"> مستقل هذا الالتزام باستخدام أسلوب الائتمان للوحدة المتوقعة. وترد في بيان الأداء المالي تكلفة الفائدة وتكاليف الخدمة الجارية</w:t>
      </w:r>
      <w:r w:rsidRPr="00C32070">
        <w:rPr>
          <w:rtl/>
          <w:lang w:bidi="ar-SY"/>
        </w:rPr>
        <w:t xml:space="preserve"> كمكون من مكونات تكاليف الموظفين. </w:t>
      </w:r>
      <w:r w:rsidRPr="00C32070">
        <w:rPr>
          <w:rtl/>
          <w:lang w:bidi="ar"/>
        </w:rPr>
        <w:t>وتقيَّد</w:t>
      </w:r>
      <w:r w:rsidRPr="00C32070">
        <w:rPr>
          <w:lang w:val="en" w:bidi="ar-SY"/>
        </w:rPr>
        <w:t xml:space="preserve"> </w:t>
      </w:r>
      <w:r w:rsidRPr="00C32070">
        <w:rPr>
          <w:rtl/>
          <w:lang w:bidi="ar"/>
        </w:rPr>
        <w:t>الأرباح</w:t>
      </w:r>
      <w:r w:rsidRPr="00C32070">
        <w:rPr>
          <w:lang w:val="en" w:bidi="ar-SY"/>
        </w:rPr>
        <w:t xml:space="preserve"> </w:t>
      </w:r>
      <w:r w:rsidRPr="00C32070">
        <w:rPr>
          <w:rtl/>
          <w:lang w:bidi="ar"/>
        </w:rPr>
        <w:t>أو</w:t>
      </w:r>
      <w:r w:rsidRPr="00C32070">
        <w:rPr>
          <w:lang w:val="en" w:bidi="ar-SY"/>
        </w:rPr>
        <w:t xml:space="preserve"> </w:t>
      </w:r>
      <w:r w:rsidRPr="00C32070">
        <w:rPr>
          <w:rtl/>
          <w:lang w:bidi="ar"/>
        </w:rPr>
        <w:t>الخسائر</w:t>
      </w:r>
      <w:r w:rsidRPr="00C32070">
        <w:rPr>
          <w:lang w:val="en" w:bidi="ar-SY"/>
        </w:rPr>
        <w:t xml:space="preserve"> </w:t>
      </w:r>
      <w:proofErr w:type="spellStart"/>
      <w:r w:rsidRPr="00C32070">
        <w:rPr>
          <w:rtl/>
          <w:lang w:bidi="ar"/>
        </w:rPr>
        <w:t>الإكتوارية</w:t>
      </w:r>
      <w:proofErr w:type="spellEnd"/>
      <w:r w:rsidRPr="00C32070">
        <w:rPr>
          <w:lang w:val="en" w:bidi="ar-SY"/>
        </w:rPr>
        <w:t xml:space="preserve"> </w:t>
      </w:r>
      <w:r w:rsidRPr="00C32070">
        <w:rPr>
          <w:rtl/>
          <w:lang w:bidi="ar"/>
        </w:rPr>
        <w:t>الناشئة</w:t>
      </w:r>
      <w:r w:rsidRPr="00C32070">
        <w:rPr>
          <w:lang w:val="en" w:bidi="ar-SY"/>
        </w:rPr>
        <w:t xml:space="preserve"> </w:t>
      </w:r>
      <w:r w:rsidRPr="00C32070">
        <w:rPr>
          <w:rtl/>
          <w:lang w:bidi="ar"/>
        </w:rPr>
        <w:t>عن</w:t>
      </w:r>
      <w:r w:rsidRPr="00C32070">
        <w:rPr>
          <w:lang w:val="en" w:bidi="ar-SY"/>
        </w:rPr>
        <w:t xml:space="preserve"> </w:t>
      </w:r>
      <w:r w:rsidRPr="00C32070">
        <w:rPr>
          <w:rtl/>
          <w:lang w:bidi="ar"/>
        </w:rPr>
        <w:t>التغيرات</w:t>
      </w:r>
      <w:r w:rsidRPr="00C32070">
        <w:rPr>
          <w:lang w:val="en" w:bidi="ar-SY"/>
        </w:rPr>
        <w:t xml:space="preserve"> </w:t>
      </w:r>
      <w:r w:rsidRPr="00C32070">
        <w:rPr>
          <w:rtl/>
          <w:lang w:bidi="ar"/>
        </w:rPr>
        <w:t>في</w:t>
      </w:r>
      <w:r w:rsidRPr="00C32070">
        <w:rPr>
          <w:lang w:val="en" w:bidi="ar-SY"/>
        </w:rPr>
        <w:t xml:space="preserve"> </w:t>
      </w:r>
      <w:r w:rsidRPr="00C32070">
        <w:rPr>
          <w:rtl/>
          <w:lang w:bidi="ar"/>
        </w:rPr>
        <w:t>الافتراضات</w:t>
      </w:r>
      <w:r w:rsidRPr="00C32070">
        <w:rPr>
          <w:lang w:val="en" w:bidi="ar-SY"/>
        </w:rPr>
        <w:t xml:space="preserve"> </w:t>
      </w:r>
      <w:proofErr w:type="spellStart"/>
      <w:r w:rsidRPr="00C32070">
        <w:rPr>
          <w:rtl/>
          <w:lang w:bidi="ar"/>
        </w:rPr>
        <w:t>الإكتوارية</w:t>
      </w:r>
      <w:proofErr w:type="spellEnd"/>
      <w:r w:rsidRPr="00C32070">
        <w:rPr>
          <w:lang w:val="en" w:bidi="ar-SY"/>
        </w:rPr>
        <w:t xml:space="preserve"> </w:t>
      </w:r>
      <w:r w:rsidRPr="00C32070">
        <w:rPr>
          <w:rtl/>
          <w:lang w:bidi="ar"/>
        </w:rPr>
        <w:t>أو</w:t>
      </w:r>
      <w:r w:rsidRPr="00C32070">
        <w:rPr>
          <w:lang w:val="en" w:bidi="ar-SY"/>
        </w:rPr>
        <w:t xml:space="preserve"> </w:t>
      </w:r>
      <w:r w:rsidRPr="00C32070">
        <w:rPr>
          <w:rtl/>
          <w:lang w:bidi="ar"/>
        </w:rPr>
        <w:t>تسويات</w:t>
      </w:r>
      <w:r w:rsidRPr="00C32070">
        <w:rPr>
          <w:lang w:val="en" w:bidi="ar-SY"/>
        </w:rPr>
        <w:t xml:space="preserve"> </w:t>
      </w:r>
      <w:r w:rsidRPr="00C32070">
        <w:rPr>
          <w:rtl/>
          <w:lang w:bidi="ar"/>
        </w:rPr>
        <w:t>الخبرة</w:t>
      </w:r>
      <w:r w:rsidRPr="00C32070">
        <w:rPr>
          <w:lang w:val="en" w:bidi="ar-SY"/>
        </w:rPr>
        <w:t xml:space="preserve"> </w:t>
      </w:r>
      <w:r w:rsidRPr="00C32070">
        <w:rPr>
          <w:rtl/>
          <w:lang w:bidi="ar"/>
        </w:rPr>
        <w:t>مباشرة</w:t>
      </w:r>
      <w:r w:rsidRPr="00C32070">
        <w:rPr>
          <w:lang w:val="en" w:bidi="ar-SY"/>
        </w:rPr>
        <w:t xml:space="preserve"> </w:t>
      </w:r>
      <w:r w:rsidRPr="00C32070">
        <w:rPr>
          <w:rtl/>
          <w:lang w:bidi="ar"/>
        </w:rPr>
        <w:t>في</w:t>
      </w:r>
      <w:r w:rsidRPr="00C32070">
        <w:rPr>
          <w:lang w:val="en" w:bidi="ar-SY"/>
        </w:rPr>
        <w:t xml:space="preserve"> </w:t>
      </w:r>
      <w:r w:rsidRPr="00C32070">
        <w:rPr>
          <w:rtl/>
          <w:lang w:bidi="ar"/>
        </w:rPr>
        <w:t>صافي</w:t>
      </w:r>
      <w:r w:rsidRPr="00C32070">
        <w:rPr>
          <w:lang w:val="en" w:bidi="ar-SY"/>
        </w:rPr>
        <w:t xml:space="preserve"> </w:t>
      </w:r>
      <w:r w:rsidRPr="00C32070">
        <w:rPr>
          <w:rtl/>
          <w:lang w:bidi="ar"/>
        </w:rPr>
        <w:t>الأصول</w:t>
      </w:r>
      <w:r w:rsidRPr="00C32070">
        <w:rPr>
          <w:lang w:val="en" w:bidi="ar-SY"/>
        </w:rPr>
        <w:t>.</w:t>
      </w:r>
    </w:p>
    <w:p w14:paraId="18F04CD4" w14:textId="77777777" w:rsidR="00C424F3" w:rsidRPr="00C32070" w:rsidRDefault="00C424F3" w:rsidP="00C424F3">
      <w:pPr>
        <w:rPr>
          <w:rtl/>
          <w:lang w:bidi="ar-EG"/>
        </w:rPr>
      </w:pPr>
      <w:r w:rsidRPr="00C32070">
        <w:rPr>
          <w:rtl/>
          <w:lang w:bidi="ar-EG"/>
        </w:rPr>
        <w:t>ويرد وصف الافتراضات الخاصة بالاتحاد في الملاحظتين 17 و18 المتعلقتين باستحقاقات الموظفين.</w:t>
      </w:r>
    </w:p>
    <w:p w14:paraId="55C022F4" w14:textId="54E8D07B" w:rsidR="00C424F3" w:rsidRPr="00C32070" w:rsidRDefault="00C424F3" w:rsidP="00C424F3">
      <w:pPr>
        <w:pStyle w:val="Heading2"/>
        <w:rPr>
          <w:rtl/>
        </w:rPr>
      </w:pPr>
      <w:bookmarkStart w:id="245" w:name="_Toc168657563"/>
      <w:r w:rsidRPr="00C32070">
        <w:rPr>
          <w:rtl/>
        </w:rPr>
        <w:t>10.3</w:t>
      </w:r>
      <w:r w:rsidRPr="00C32070">
        <w:rPr>
          <w:rtl/>
        </w:rPr>
        <w:tab/>
        <w:t>قيد الإيرادات</w:t>
      </w:r>
      <w:bookmarkEnd w:id="245"/>
    </w:p>
    <w:p w14:paraId="4709BE7C" w14:textId="77777777" w:rsidR="00C424F3" w:rsidRPr="00C32070" w:rsidRDefault="00C424F3" w:rsidP="00F72B70">
      <w:pPr>
        <w:pStyle w:val="Headingb"/>
      </w:pPr>
      <w:r w:rsidRPr="00C32070">
        <w:rPr>
          <w:rtl/>
        </w:rPr>
        <w:t>الإيرادات غير التبادلية</w:t>
      </w:r>
    </w:p>
    <w:p w14:paraId="5BDD7EB3" w14:textId="77777777" w:rsidR="00C424F3" w:rsidRPr="00C32070" w:rsidRDefault="00C424F3" w:rsidP="00C424F3">
      <w:pPr>
        <w:rPr>
          <w:lang w:val="en" w:bidi="ar-SY"/>
        </w:rPr>
      </w:pPr>
      <w:r w:rsidRPr="00C32070">
        <w:rPr>
          <w:rtl/>
          <w:lang w:bidi="ar"/>
        </w:rPr>
        <w:t>ووفقاً</w:t>
      </w:r>
      <w:r w:rsidRPr="00C32070">
        <w:rPr>
          <w:rtl/>
          <w:lang w:val="en" w:bidi="ar-SY"/>
        </w:rPr>
        <w:t xml:space="preserve"> </w:t>
      </w:r>
      <w:r w:rsidRPr="00C32070">
        <w:rPr>
          <w:rtl/>
          <w:lang w:bidi="ar"/>
        </w:rPr>
        <w:t>لمتطلبات</w:t>
      </w:r>
      <w:r w:rsidRPr="00C32070">
        <w:rPr>
          <w:lang w:val="en" w:bidi="ar-SY"/>
        </w:rPr>
        <w:t xml:space="preserve"> </w:t>
      </w:r>
      <w:r w:rsidRPr="00C32070">
        <w:rPr>
          <w:rtl/>
          <w:lang w:bidi="ar"/>
        </w:rPr>
        <w:t>المعايير</w:t>
      </w:r>
      <w:r w:rsidRPr="00C32070">
        <w:rPr>
          <w:lang w:val="en" w:bidi="ar-SY"/>
        </w:rPr>
        <w:t xml:space="preserve"> </w:t>
      </w:r>
      <w:r w:rsidRPr="00C32070">
        <w:rPr>
          <w:rtl/>
          <w:lang w:bidi="ar"/>
        </w:rPr>
        <w:t>المحاسبية الدولية للقطاع العام (</w:t>
      </w:r>
      <w:r w:rsidRPr="00C32070">
        <w:rPr>
          <w:lang w:val="en-GB" w:bidi="ar"/>
        </w:rPr>
        <w:t>IPSAS</w:t>
      </w:r>
      <w:r w:rsidRPr="00C32070">
        <w:rPr>
          <w:rtl/>
          <w:lang w:bidi="ar"/>
        </w:rPr>
        <w:t>)،</w:t>
      </w:r>
      <w:r w:rsidRPr="00C32070">
        <w:rPr>
          <w:lang w:val="en" w:bidi="ar-SY"/>
        </w:rPr>
        <w:t xml:space="preserve"> </w:t>
      </w:r>
      <w:r w:rsidRPr="00C32070">
        <w:rPr>
          <w:rtl/>
          <w:lang w:bidi="ar"/>
        </w:rPr>
        <w:t>تثبَّت الإيرادات</w:t>
      </w:r>
      <w:r w:rsidRPr="00C32070">
        <w:rPr>
          <w:lang w:val="en" w:bidi="ar-SY"/>
        </w:rPr>
        <w:t xml:space="preserve"> </w:t>
      </w:r>
      <w:r w:rsidRPr="00C32070">
        <w:rPr>
          <w:rtl/>
          <w:lang w:bidi="ar"/>
        </w:rPr>
        <w:t>المتأتية</w:t>
      </w:r>
      <w:r w:rsidRPr="00C32070">
        <w:rPr>
          <w:lang w:val="en" w:bidi="ar-SY"/>
        </w:rPr>
        <w:t xml:space="preserve"> </w:t>
      </w:r>
      <w:r w:rsidRPr="00C32070">
        <w:rPr>
          <w:rtl/>
          <w:lang w:bidi="ar"/>
        </w:rPr>
        <w:t>من</w:t>
      </w:r>
      <w:r w:rsidRPr="00C32070">
        <w:rPr>
          <w:lang w:val="en" w:bidi="ar-SY"/>
        </w:rPr>
        <w:t xml:space="preserve"> </w:t>
      </w:r>
      <w:r w:rsidRPr="00C32070">
        <w:rPr>
          <w:rtl/>
          <w:lang w:bidi="ar"/>
        </w:rPr>
        <w:t>المساهمات المقررة</w:t>
      </w:r>
      <w:r w:rsidRPr="00C32070">
        <w:rPr>
          <w:lang w:val="en" w:bidi="ar-SY"/>
        </w:rPr>
        <w:t xml:space="preserve"> </w:t>
      </w:r>
      <w:r w:rsidRPr="00C32070">
        <w:rPr>
          <w:rtl/>
          <w:lang w:bidi="ar"/>
        </w:rPr>
        <w:t>والمساهمات الطوعية وحالات</w:t>
      </w:r>
      <w:r w:rsidRPr="00C32070">
        <w:rPr>
          <w:lang w:val="en" w:bidi="ar-SY"/>
        </w:rPr>
        <w:t xml:space="preserve"> </w:t>
      </w:r>
      <w:r w:rsidRPr="00C32070">
        <w:rPr>
          <w:rtl/>
          <w:lang w:bidi="ar"/>
        </w:rPr>
        <w:t>الرعاية</w:t>
      </w:r>
      <w:r w:rsidRPr="00C32070">
        <w:rPr>
          <w:lang w:val="en" w:bidi="ar-SY"/>
        </w:rPr>
        <w:t xml:space="preserve"> </w:t>
      </w:r>
      <w:r w:rsidRPr="00C32070">
        <w:rPr>
          <w:rtl/>
          <w:lang w:bidi="ar"/>
        </w:rPr>
        <w:t>الواردة</w:t>
      </w:r>
      <w:r w:rsidRPr="00C32070">
        <w:rPr>
          <w:lang w:val="en" w:bidi="ar-SY"/>
        </w:rPr>
        <w:t xml:space="preserve"> </w:t>
      </w:r>
      <w:r w:rsidRPr="00C32070">
        <w:rPr>
          <w:rtl/>
          <w:lang w:bidi="ar"/>
        </w:rPr>
        <w:t>أو</w:t>
      </w:r>
      <w:r w:rsidRPr="00C32070">
        <w:rPr>
          <w:lang w:val="en" w:bidi="ar-SY"/>
        </w:rPr>
        <w:t xml:space="preserve"> </w:t>
      </w:r>
      <w:r w:rsidRPr="00C32070">
        <w:rPr>
          <w:rtl/>
          <w:lang w:bidi="ar"/>
        </w:rPr>
        <w:t>المؤكدة</w:t>
      </w:r>
      <w:r w:rsidRPr="00C32070">
        <w:rPr>
          <w:lang w:val="en" w:bidi="ar-SY"/>
        </w:rPr>
        <w:t xml:space="preserve"> </w:t>
      </w:r>
      <w:r w:rsidRPr="00C32070">
        <w:rPr>
          <w:rtl/>
          <w:lang w:bidi="ar"/>
        </w:rPr>
        <w:t>من</w:t>
      </w:r>
      <w:r w:rsidRPr="00C32070">
        <w:rPr>
          <w:lang w:val="en" w:bidi="ar-SY"/>
        </w:rPr>
        <w:t xml:space="preserve"> </w:t>
      </w:r>
      <w:r w:rsidRPr="00C32070">
        <w:rPr>
          <w:rtl/>
          <w:lang w:bidi="ar"/>
        </w:rPr>
        <w:t>خلال</w:t>
      </w:r>
      <w:r w:rsidRPr="00C32070">
        <w:rPr>
          <w:lang w:val="en" w:bidi="ar-SY"/>
        </w:rPr>
        <w:t xml:space="preserve"> </w:t>
      </w:r>
      <w:r w:rsidRPr="00C32070">
        <w:rPr>
          <w:rtl/>
          <w:lang w:bidi="ar"/>
        </w:rPr>
        <w:t>اتفاق</w:t>
      </w:r>
      <w:r w:rsidRPr="00C32070">
        <w:rPr>
          <w:lang w:val="en" w:bidi="ar-SY"/>
        </w:rPr>
        <w:t xml:space="preserve"> </w:t>
      </w:r>
      <w:r w:rsidRPr="00C32070">
        <w:rPr>
          <w:rtl/>
          <w:lang w:bidi="ar"/>
        </w:rPr>
        <w:t>ملزم</w:t>
      </w:r>
      <w:r w:rsidRPr="00C32070">
        <w:rPr>
          <w:lang w:val="en" w:bidi="ar-SY"/>
        </w:rPr>
        <w:t xml:space="preserve"> </w:t>
      </w:r>
      <w:r w:rsidRPr="00C32070">
        <w:rPr>
          <w:rtl/>
          <w:lang w:bidi="ar"/>
        </w:rPr>
        <w:t>بوصفها</w:t>
      </w:r>
      <w:r w:rsidRPr="00C32070">
        <w:rPr>
          <w:lang w:val="en" w:bidi="ar-SY"/>
        </w:rPr>
        <w:t xml:space="preserve"> </w:t>
      </w:r>
      <w:r w:rsidRPr="00C32070">
        <w:rPr>
          <w:rtl/>
          <w:lang w:bidi="ar"/>
        </w:rPr>
        <w:t>معاملات</w:t>
      </w:r>
      <w:r w:rsidRPr="00C32070">
        <w:rPr>
          <w:lang w:val="en" w:bidi="ar-SY"/>
        </w:rPr>
        <w:t xml:space="preserve"> </w:t>
      </w:r>
      <w:r w:rsidRPr="00C32070">
        <w:rPr>
          <w:rtl/>
          <w:lang w:bidi="ar"/>
        </w:rPr>
        <w:t>غير</w:t>
      </w:r>
      <w:r w:rsidRPr="00C32070">
        <w:rPr>
          <w:lang w:val="en" w:bidi="ar-SY"/>
        </w:rPr>
        <w:t xml:space="preserve"> </w:t>
      </w:r>
      <w:r w:rsidRPr="00C32070">
        <w:rPr>
          <w:rtl/>
          <w:lang w:bidi="ar"/>
        </w:rPr>
        <w:t>تبادلية</w:t>
      </w:r>
      <w:r w:rsidRPr="00C32070">
        <w:rPr>
          <w:lang w:val="en" w:bidi="ar-SY"/>
        </w:rPr>
        <w:t xml:space="preserve"> </w:t>
      </w:r>
      <w:r w:rsidRPr="00C32070">
        <w:rPr>
          <w:rtl/>
          <w:lang w:bidi="ar"/>
        </w:rPr>
        <w:t>وفقاً</w:t>
      </w:r>
      <w:r w:rsidRPr="00C32070">
        <w:rPr>
          <w:lang w:val="en" w:bidi="ar-SY"/>
        </w:rPr>
        <w:t xml:space="preserve"> </w:t>
      </w:r>
      <w:r w:rsidRPr="00C32070">
        <w:rPr>
          <w:rtl/>
          <w:lang w:bidi="ar"/>
        </w:rPr>
        <w:t>للمعيار</w:t>
      </w:r>
      <w:r w:rsidRPr="00C32070">
        <w:rPr>
          <w:lang w:val="en" w:bidi="ar-SY"/>
        </w:rPr>
        <w:t xml:space="preserve"> 23 </w:t>
      </w:r>
      <w:r w:rsidRPr="00C32070">
        <w:rPr>
          <w:rtl/>
          <w:lang w:bidi="ar"/>
        </w:rPr>
        <w:t>من</w:t>
      </w:r>
      <w:r w:rsidRPr="00C32070">
        <w:rPr>
          <w:lang w:val="en" w:bidi="ar-SY"/>
        </w:rPr>
        <w:t xml:space="preserve"> </w:t>
      </w:r>
      <w:r w:rsidRPr="00C32070">
        <w:rPr>
          <w:rtl/>
          <w:lang w:bidi="ar"/>
        </w:rPr>
        <w:t xml:space="preserve">المعايير المحاسبية الدولية للقطاع العام </w:t>
      </w:r>
      <w:r w:rsidRPr="00C32070">
        <w:rPr>
          <w:rtl/>
          <w:lang w:val="en" w:bidi="ar"/>
        </w:rPr>
        <w:t>(</w:t>
      </w:r>
      <w:r w:rsidRPr="00C32070">
        <w:rPr>
          <w:lang w:val="en-GB" w:bidi="ar"/>
        </w:rPr>
        <w:t>IPSAS 23</w:t>
      </w:r>
      <w:r w:rsidRPr="00C32070">
        <w:rPr>
          <w:rtl/>
          <w:lang w:val="en-GB" w:bidi="ar"/>
        </w:rPr>
        <w:t xml:space="preserve">): </w:t>
      </w:r>
      <w:r w:rsidRPr="00C32070">
        <w:rPr>
          <w:rtl/>
          <w:lang w:bidi="ar"/>
        </w:rPr>
        <w:t>الإيرادات</w:t>
      </w:r>
      <w:r w:rsidRPr="00C32070">
        <w:rPr>
          <w:lang w:val="en" w:bidi="ar-SY"/>
        </w:rPr>
        <w:t xml:space="preserve"> </w:t>
      </w:r>
      <w:r w:rsidRPr="00C32070">
        <w:rPr>
          <w:rtl/>
          <w:lang w:bidi="ar"/>
        </w:rPr>
        <w:t>المتأتية</w:t>
      </w:r>
      <w:r w:rsidRPr="00C32070">
        <w:rPr>
          <w:lang w:val="en" w:bidi="ar-SY"/>
        </w:rPr>
        <w:t xml:space="preserve"> </w:t>
      </w:r>
      <w:r w:rsidRPr="00C32070">
        <w:rPr>
          <w:rtl/>
          <w:lang w:bidi="ar"/>
        </w:rPr>
        <w:t>من</w:t>
      </w:r>
      <w:r w:rsidRPr="00C32070">
        <w:rPr>
          <w:lang w:val="en" w:bidi="ar-SY"/>
        </w:rPr>
        <w:t xml:space="preserve"> </w:t>
      </w:r>
      <w:r w:rsidRPr="00C32070">
        <w:rPr>
          <w:rtl/>
          <w:lang w:bidi="ar"/>
        </w:rPr>
        <w:t>المعاملات</w:t>
      </w:r>
      <w:r w:rsidRPr="00C32070">
        <w:rPr>
          <w:lang w:val="en" w:bidi="ar-SY"/>
        </w:rPr>
        <w:t xml:space="preserve"> </w:t>
      </w:r>
      <w:r w:rsidRPr="00C32070">
        <w:rPr>
          <w:rtl/>
          <w:lang w:bidi="ar"/>
        </w:rPr>
        <w:t>غير</w:t>
      </w:r>
      <w:r w:rsidRPr="00C32070">
        <w:rPr>
          <w:lang w:val="en" w:bidi="ar-SY"/>
        </w:rPr>
        <w:t xml:space="preserve"> </w:t>
      </w:r>
      <w:r w:rsidRPr="00C32070">
        <w:rPr>
          <w:rtl/>
          <w:lang w:bidi="ar"/>
        </w:rPr>
        <w:t>التبادلية</w:t>
      </w:r>
      <w:r w:rsidRPr="00C32070">
        <w:rPr>
          <w:lang w:val="en" w:bidi="ar-SY"/>
        </w:rPr>
        <w:t>.</w:t>
      </w:r>
    </w:p>
    <w:p w14:paraId="5B528932" w14:textId="77777777" w:rsidR="00C424F3" w:rsidRPr="00C32070" w:rsidRDefault="00C424F3" w:rsidP="00C424F3">
      <w:pPr>
        <w:pStyle w:val="enumlev1"/>
        <w:rPr>
          <w:rtl/>
        </w:rPr>
      </w:pPr>
      <w:r w:rsidRPr="00C32070">
        <w:rPr>
          <w:rtl/>
        </w:rPr>
        <w:t>-</w:t>
      </w:r>
      <w:r w:rsidRPr="00C32070">
        <w:rPr>
          <w:rtl/>
        </w:rPr>
        <w:tab/>
        <w:t>المساهمات المقررة:</w:t>
      </w:r>
    </w:p>
    <w:p w14:paraId="086619C9" w14:textId="77777777" w:rsidR="00C424F3" w:rsidRPr="00C32070" w:rsidRDefault="00C424F3" w:rsidP="00C424F3">
      <w:pPr>
        <w:rPr>
          <w:rtl/>
          <w:lang w:bidi="ar-EG"/>
        </w:rPr>
      </w:pPr>
      <w:r w:rsidRPr="00C32070">
        <w:rPr>
          <w:rtl/>
          <w:lang w:bidi="ar-EG"/>
        </w:rPr>
        <w:t>تشير المساهمات المقررة إلى مساهمات الدول الأعضاء وأعضاء القطاعات وكذلك المنتسبين. ويحدد مؤتمر المندوبين المفوضين الحد لأقصى لوحدة المساهمة التي تتخذ أساساً في حساب إيرادات الاتحاد لميزانيتي فترتي السنتين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على النحو الذي يحدده مؤتمر المندوبين</w:t>
      </w:r>
      <w:r w:rsidRPr="00C32070">
        <w:rPr>
          <w:rtl/>
          <w:lang w:bidi="ar-SY"/>
        </w:rPr>
        <w:t> </w:t>
      </w:r>
      <w:r w:rsidRPr="00C32070">
        <w:rPr>
          <w:rtl/>
          <w:lang w:bidi="ar-EG"/>
        </w:rPr>
        <w:t>المفوضين.</w:t>
      </w:r>
    </w:p>
    <w:p w14:paraId="4FF7E698" w14:textId="77777777" w:rsidR="00C424F3" w:rsidRPr="00C32070" w:rsidRDefault="00C424F3" w:rsidP="00C424F3">
      <w:pPr>
        <w:rPr>
          <w:rtl/>
          <w:lang w:bidi="ar-EG"/>
        </w:rPr>
      </w:pPr>
      <w:r w:rsidRPr="00C32070">
        <w:rPr>
          <w:rtl/>
          <w:lang w:bidi="ar-SY"/>
        </w:rPr>
        <w:lastRenderedPageBreak/>
        <w:t>وتثبَّت المساهمات المقررة بوصفها إيرادات على أساس سنوي في اليوم الأول من السنة التي تتصل بها.</w:t>
      </w:r>
    </w:p>
    <w:p w14:paraId="7456465C" w14:textId="77777777" w:rsidR="00C424F3" w:rsidRPr="00C32070" w:rsidRDefault="00C424F3" w:rsidP="00C424F3">
      <w:pPr>
        <w:pStyle w:val="enumlev1"/>
        <w:keepNext/>
        <w:rPr>
          <w:rtl/>
          <w:lang w:bidi="ar-EG"/>
        </w:rPr>
      </w:pPr>
      <w:r w:rsidRPr="00C32070">
        <w:rPr>
          <w:rtl/>
          <w:lang w:bidi="ar-EG"/>
        </w:rPr>
        <w:t>-</w:t>
      </w:r>
      <w:r w:rsidRPr="00C32070">
        <w:rPr>
          <w:rtl/>
          <w:lang w:bidi="ar-EG"/>
        </w:rPr>
        <w:tab/>
      </w:r>
      <w:r w:rsidRPr="00C32070">
        <w:rPr>
          <w:rtl/>
        </w:rPr>
        <w:t>المساهمات الطوعية وأعمال الرعاية</w:t>
      </w:r>
      <w:r w:rsidRPr="00C32070">
        <w:rPr>
          <w:rtl/>
          <w:lang w:bidi="ar-EG"/>
        </w:rPr>
        <w:t>:</w:t>
      </w:r>
    </w:p>
    <w:p w14:paraId="2CD61BE7" w14:textId="418E9FBD" w:rsidR="00C424F3" w:rsidRPr="00C32070" w:rsidRDefault="00C424F3" w:rsidP="00C424F3">
      <w:pPr>
        <w:rPr>
          <w:spacing w:val="-2"/>
          <w:lang w:bidi="ar-EG"/>
        </w:rPr>
      </w:pPr>
      <w:r w:rsidRPr="00C32070">
        <w:rPr>
          <w:spacing w:val="-2"/>
          <w:rtl/>
          <w:lang w:bidi="ar-EG"/>
        </w:rPr>
        <w:t xml:space="preserve">يُعترف بالمساهمات الطوعية </w:t>
      </w:r>
      <w:r w:rsidRPr="00C32070">
        <w:rPr>
          <w:spacing w:val="-2"/>
          <w:rtl/>
        </w:rPr>
        <w:t>وأعمال الرعاية</w:t>
      </w:r>
      <w:r w:rsidRPr="00C32070">
        <w:rPr>
          <w:spacing w:val="-2"/>
          <w:rtl/>
          <w:lang w:bidi="ar-EG"/>
        </w:rPr>
        <w:t xml:space="preserve"> مبدئيا</w:t>
      </w:r>
      <w:r w:rsidR="000F0A6D">
        <w:rPr>
          <w:rFonts w:hint="cs"/>
          <w:spacing w:val="-2"/>
          <w:rtl/>
          <w:lang w:bidi="ar-EG"/>
        </w:rPr>
        <w:t>ً</w:t>
      </w:r>
      <w:r w:rsidRPr="00C32070">
        <w:rPr>
          <w:spacing w:val="-2"/>
          <w:rtl/>
          <w:lang w:bidi="ar-EG"/>
        </w:rPr>
        <w:t xml:space="preserve"> كإيرادات في الوقت الذي يصبح فيه الاتفاق بين الاتحاد والجهات المانحة ملزما</w:t>
      </w:r>
      <w:r w:rsidR="000F0A6D">
        <w:rPr>
          <w:rFonts w:hint="cs"/>
          <w:spacing w:val="-2"/>
          <w:rtl/>
          <w:lang w:bidi="ar-EG"/>
        </w:rPr>
        <w:t>ً</w:t>
      </w:r>
      <w:r w:rsidRPr="00C32070">
        <w:rPr>
          <w:spacing w:val="-2"/>
          <w:rtl/>
          <w:lang w:bidi="ar-EG"/>
        </w:rPr>
        <w:t xml:space="preserve"> وعندما تتحقق السيطرة على الأصول الأساسية ما لم يتضمن الاتفاق شروطاً وفقاً للتعاريف الواردة في المعيار </w:t>
      </w:r>
      <w:r w:rsidRPr="00C32070">
        <w:rPr>
          <w:spacing w:val="-2"/>
          <w:lang w:bidi="ar-SY"/>
        </w:rPr>
        <w:t>IPSAS 23</w:t>
      </w:r>
      <w:r w:rsidRPr="00C32070">
        <w:rPr>
          <w:spacing w:val="-2"/>
          <w:rtl/>
          <w:lang w:bidi="ar-EG"/>
        </w:rPr>
        <w:t>.</w:t>
      </w:r>
    </w:p>
    <w:p w14:paraId="2CF936B9" w14:textId="77777777" w:rsidR="00C424F3" w:rsidRPr="00C32070" w:rsidRDefault="00C424F3" w:rsidP="00C424F3">
      <w:pPr>
        <w:rPr>
          <w:rtl/>
          <w:lang w:bidi="ar-EG"/>
        </w:rPr>
      </w:pPr>
      <w:r w:rsidRPr="00C32070">
        <w:rPr>
          <w:rtl/>
          <w:lang w:bidi="ar-EG"/>
        </w:rPr>
        <w:t>وتتطلب الاتفاقات التي تتضمن مثل هذه الشروط التثبيت الأولي للخصوم وتأجيل تثبيت الإيرادات إلى تسوية الخصوم من خلال تنفيذ الشروط المحددة المدرجة في الاتفاق والتزام العوائد القابل للإنفاذ بإعادة المبالغ إن لم تستخدم بطريقة محددة. والمبلغ المدرج كخصوم هو أفضل تقدير للمبلغ المطلوب لتسوية الالتزام في تاريخ الإبلاغ.</w:t>
      </w:r>
    </w:p>
    <w:p w14:paraId="6FB52DD2" w14:textId="77777777" w:rsidR="00C424F3" w:rsidRPr="00C32070" w:rsidRDefault="00C424F3" w:rsidP="00C424F3">
      <w:pPr>
        <w:rPr>
          <w:lang w:bidi="ar-EG"/>
        </w:rPr>
      </w:pPr>
      <w:r w:rsidRPr="00C32070">
        <w:rPr>
          <w:rtl/>
          <w:lang w:bidi="ar-EG"/>
        </w:rPr>
        <w:t>وفي حال توقيع الاتفاقات، وعدم ورود أي مساهمات وكون الاتفاق على صلة بفترات مالية مقبلة، تثبَّت الإيرادات كإيرادات مؤجلة.</w:t>
      </w:r>
    </w:p>
    <w:p w14:paraId="14ABD098" w14:textId="77777777" w:rsidR="00C424F3" w:rsidRPr="00C32070" w:rsidRDefault="00C424F3" w:rsidP="00F72B70">
      <w:pPr>
        <w:pStyle w:val="Headingb"/>
      </w:pPr>
      <w:bookmarkStart w:id="246" w:name="_Hlk160785480"/>
      <w:r w:rsidRPr="00C32070">
        <w:rPr>
          <w:rtl/>
        </w:rPr>
        <w:t>الإيرادات التبادلية</w:t>
      </w:r>
    </w:p>
    <w:bookmarkEnd w:id="246"/>
    <w:p w14:paraId="1E6E2213" w14:textId="77777777" w:rsidR="00C424F3" w:rsidRPr="00C32070" w:rsidRDefault="00C424F3" w:rsidP="00C424F3">
      <w:pPr>
        <w:rPr>
          <w:lang w:bidi="ar-EG"/>
        </w:rPr>
      </w:pPr>
      <w:r w:rsidRPr="00C32070">
        <w:rPr>
          <w:rtl/>
          <w:lang w:bidi="ar-EG"/>
        </w:rPr>
        <w:t xml:space="preserve">تفي الإيرادات التالية بتعريف </w:t>
      </w:r>
      <w:bookmarkStart w:id="247" w:name="_Hlk160785890"/>
      <w:r w:rsidRPr="00C32070">
        <w:rPr>
          <w:rtl/>
          <w:lang w:bidi="ar-EG"/>
        </w:rPr>
        <w:t xml:space="preserve">الإيرادات التبادلية </w:t>
      </w:r>
      <w:bookmarkEnd w:id="247"/>
      <w:r w:rsidRPr="00C32070">
        <w:rPr>
          <w:rtl/>
          <w:lang w:bidi="ar-EG"/>
        </w:rPr>
        <w:t xml:space="preserve">بموجب المعيار </w:t>
      </w:r>
      <w:r w:rsidRPr="00C32070">
        <w:rPr>
          <w:lang w:bidi="ar-SY"/>
        </w:rPr>
        <w:t>IPSAS 9</w:t>
      </w:r>
      <w:r w:rsidRPr="00C32070">
        <w:rPr>
          <w:rtl/>
          <w:lang w:bidi="ar-EG"/>
        </w:rPr>
        <w:t xml:space="preserve"> - تحتسب الإيرادات المتأتية من المعاملات التبادلية وفقاً لهذا المعيار.</w:t>
      </w:r>
    </w:p>
    <w:p w14:paraId="021DF7FE" w14:textId="77777777" w:rsidR="00C424F3" w:rsidRPr="00C32070" w:rsidRDefault="00C424F3" w:rsidP="00C424F3">
      <w:pPr>
        <w:rPr>
          <w:rtl/>
          <w:lang w:bidi="ar-EG"/>
        </w:rPr>
      </w:pPr>
      <w:r w:rsidRPr="00C32070">
        <w:rPr>
          <w:rtl/>
          <w:lang w:bidi="ar-EG"/>
        </w:rPr>
        <w:t>وتقاس إيرادات الاتحاد من المعاملات التبادلية بالقيمة العادلة للمقابل المقبوض أو المستحق القبض وتثبَّت عند تسليم السلع والخدمات.</w:t>
      </w:r>
    </w:p>
    <w:p w14:paraId="52BF6A85" w14:textId="77777777" w:rsidR="00C424F3" w:rsidRPr="00C32070" w:rsidRDefault="00C424F3" w:rsidP="00C424F3">
      <w:pPr>
        <w:rPr>
          <w:rtl/>
          <w:lang w:bidi="ar-EG"/>
        </w:rPr>
      </w:pPr>
      <w:r w:rsidRPr="00C32070">
        <w:rPr>
          <w:rtl/>
          <w:lang w:bidi="ar-EG"/>
        </w:rPr>
        <w:t>وتشمل الإيرادات التبادلية المنتجات والخدمات التي يطبق عليها الاتحاد مبدأ استرداد التكاليف، وهي:</w:t>
      </w:r>
    </w:p>
    <w:p w14:paraId="14664058" w14:textId="77777777" w:rsidR="00C424F3" w:rsidRPr="00C32070" w:rsidRDefault="00C424F3" w:rsidP="00C424F3">
      <w:pPr>
        <w:pStyle w:val="enumlev1"/>
      </w:pPr>
      <w:r w:rsidRPr="00C32070">
        <w:t>-</w:t>
      </w:r>
      <w:r w:rsidRPr="00C32070">
        <w:tab/>
      </w:r>
      <w:r w:rsidRPr="00C32070">
        <w:rPr>
          <w:rtl/>
        </w:rPr>
        <w:t xml:space="preserve">مبيعات المنشورات: تدرج إيرادات بيع المنشورات وقت إرسالها بينما تدرج إيرادات بيع الخدمات التي تنطوي على النفاذ إلى إحصاءات الاتحاد في شكل إلكتروني عندما يصبح </w:t>
      </w:r>
      <w:r w:rsidRPr="00C32070">
        <w:rPr>
          <w:rtl/>
          <w:lang w:bidi="ar-SA"/>
        </w:rPr>
        <w:t xml:space="preserve">النفاذ إلى </w:t>
      </w:r>
      <w:r w:rsidRPr="00C32070">
        <w:rPr>
          <w:rtl/>
        </w:rPr>
        <w:t>هذه البيانات متاحاً.</w:t>
      </w:r>
    </w:p>
    <w:p w14:paraId="31BF3A26" w14:textId="1792F259" w:rsidR="00C424F3" w:rsidRPr="00C32070" w:rsidRDefault="00C424F3" w:rsidP="00C424F3">
      <w:pPr>
        <w:pStyle w:val="enumlev1"/>
      </w:pPr>
      <w:r w:rsidRPr="00C32070">
        <w:t>-</w:t>
      </w:r>
      <w:r w:rsidRPr="00C32070">
        <w:tab/>
      </w:r>
      <w:r w:rsidRPr="00C32070">
        <w:rPr>
          <w:rtl/>
        </w:rPr>
        <w:t xml:space="preserve">معالجة بطاقات التبليغ عن الشبكات </w:t>
      </w:r>
      <w:proofErr w:type="spellStart"/>
      <w:r w:rsidRPr="00C32070">
        <w:rPr>
          <w:rtl/>
        </w:rPr>
        <w:t>الساتلية</w:t>
      </w:r>
      <w:proofErr w:type="spellEnd"/>
      <w:r w:rsidRPr="00C32070">
        <w:rPr>
          <w:rtl/>
        </w:rPr>
        <w:t xml:space="preserve">: تثبَّت الإيرادات المتأتية من بطاقات التبليغ عن الشبكات </w:t>
      </w:r>
      <w:proofErr w:type="spellStart"/>
      <w:r w:rsidRPr="00C32070">
        <w:rPr>
          <w:rtl/>
        </w:rPr>
        <w:t>الساتلية</w:t>
      </w:r>
      <w:proofErr w:type="spellEnd"/>
      <w:r w:rsidRPr="00C32070">
        <w:rPr>
          <w:rtl/>
        </w:rPr>
        <w:t xml:space="preserve"> في الوقت الذي تكون فيه المنشورات النهائية لبطاقات التبليغ قد نشرت في النشرة الإعلامية الدولية للترددات (</w:t>
      </w:r>
      <w:r w:rsidRPr="00C32070">
        <w:t>IFIC</w:t>
      </w:r>
      <w:r w:rsidRPr="00C32070">
        <w:rPr>
          <w:rtl/>
        </w:rPr>
        <w:t xml:space="preserve">)؛ وعندما لا يكون النشر في نشرة </w:t>
      </w:r>
      <w:r w:rsidRPr="00C32070">
        <w:t>IFIC</w:t>
      </w:r>
      <w:r w:rsidRPr="00C32070">
        <w:rPr>
          <w:rtl/>
        </w:rPr>
        <w:t xml:space="preserve"> نافذا</w:t>
      </w:r>
      <w:r w:rsidR="000F0A6D">
        <w:rPr>
          <w:rFonts w:hint="cs"/>
          <w:rtl/>
        </w:rPr>
        <w:t>ً</w:t>
      </w:r>
      <w:r w:rsidRPr="00C32070">
        <w:rPr>
          <w:rtl/>
        </w:rPr>
        <w:t xml:space="preserve"> في سنة الفوترة الأولية تعتبر الخدمة غير مكتملة وبالتالي تؤجل الإيرادات حتى النشر النهائي في نشرة </w:t>
      </w:r>
      <w:proofErr w:type="gramStart"/>
      <w:r w:rsidRPr="00C32070">
        <w:t>IFIC</w:t>
      </w:r>
      <w:r w:rsidRPr="00C32070">
        <w:rPr>
          <w:rtl/>
        </w:rPr>
        <w:t>؛</w:t>
      </w:r>
      <w:proofErr w:type="gramEnd"/>
    </w:p>
    <w:p w14:paraId="102696E7" w14:textId="7B680E41" w:rsidR="00C424F3" w:rsidRPr="00C32070" w:rsidRDefault="00C424F3" w:rsidP="00C424F3">
      <w:pPr>
        <w:pStyle w:val="enumlev1"/>
        <w:rPr>
          <w:lang w:bidi="ar-EG"/>
        </w:rPr>
      </w:pPr>
      <w:r w:rsidRPr="00C32070">
        <w:t>-</w:t>
      </w:r>
      <w:r w:rsidRPr="00C32070">
        <w:tab/>
      </w:r>
      <w:r w:rsidRPr="00C32070">
        <w:rPr>
          <w:rtl/>
        </w:rPr>
        <w:t>تسجيل الأرقام الدولية العالمية للهواتف المجانية (</w:t>
      </w:r>
      <w:r w:rsidRPr="00C32070">
        <w:t>UIFN</w:t>
      </w:r>
      <w:r w:rsidRPr="00C32070">
        <w:rPr>
          <w:rtl/>
        </w:rPr>
        <w:t>): يتلقى الاتحاد مساهمات مقدما</w:t>
      </w:r>
      <w:r w:rsidR="000F0A6D">
        <w:rPr>
          <w:rFonts w:hint="cs"/>
          <w:rtl/>
        </w:rPr>
        <w:t>ً</w:t>
      </w:r>
      <w:r w:rsidRPr="00C32070">
        <w:rPr>
          <w:rFonts w:eastAsia="Times New Roman"/>
          <w:color w:val="000000" w:themeColor="text1"/>
          <w:sz w:val="24"/>
          <w:szCs w:val="20"/>
          <w:rtl/>
          <w:lang w:val="en-GB" w:bidi="ar-SA"/>
        </w:rPr>
        <w:t xml:space="preserve"> </w:t>
      </w:r>
      <w:r w:rsidRPr="00C32070">
        <w:rPr>
          <w:rtl/>
          <w:lang w:bidi="ar-SA"/>
        </w:rPr>
        <w:t>لتقديم خدمات تسجيل أرقام الهواتف المجانية الدولية العالمية (</w:t>
      </w:r>
      <w:r w:rsidRPr="00C32070">
        <w:rPr>
          <w:lang w:val="en-GB"/>
        </w:rPr>
        <w:t>UIFN</w:t>
      </w:r>
      <w:r w:rsidRPr="00C32070">
        <w:rPr>
          <w:rtl/>
          <w:lang w:bidi="ar-SA"/>
        </w:rPr>
        <w:t>) وتسجيل الأرقام الدولية العالمية ذات الأسعار المتضمنة لرسوم إضافية (</w:t>
      </w:r>
      <w:r w:rsidRPr="00C32070">
        <w:rPr>
          <w:lang w:val="en-GB" w:bidi="ar-SA"/>
        </w:rPr>
        <w:t>UIPRN</w:t>
      </w:r>
      <w:r w:rsidRPr="00C32070">
        <w:rPr>
          <w:rtl/>
          <w:lang w:bidi="ar-SA"/>
        </w:rPr>
        <w:t>) والأرقام الدولية العالمية للتكلفة المشتركة (</w:t>
      </w:r>
      <w:r w:rsidRPr="00C32070">
        <w:rPr>
          <w:lang w:val="en-GB" w:bidi="ar-SA"/>
        </w:rPr>
        <w:t>UISCN</w:t>
      </w:r>
      <w:proofErr w:type="gramStart"/>
      <w:r w:rsidRPr="00C32070">
        <w:rPr>
          <w:rtl/>
          <w:lang w:bidi="ar-SA"/>
        </w:rPr>
        <w:t>)؛</w:t>
      </w:r>
      <w:proofErr w:type="gramEnd"/>
    </w:p>
    <w:p w14:paraId="3377E041" w14:textId="77777777" w:rsidR="00C424F3" w:rsidRPr="00C32070" w:rsidRDefault="00C424F3" w:rsidP="00C424F3">
      <w:pPr>
        <w:pStyle w:val="Heading2"/>
        <w:rPr>
          <w:rtl/>
        </w:rPr>
      </w:pPr>
      <w:bookmarkStart w:id="248" w:name="_Toc168657564"/>
      <w:bookmarkStart w:id="249" w:name="_Toc329296018"/>
      <w:bookmarkStart w:id="250" w:name="_Toc358648338"/>
      <w:bookmarkStart w:id="251" w:name="_Toc358648537"/>
      <w:bookmarkStart w:id="252" w:name="_Toc387338341"/>
      <w:bookmarkStart w:id="253" w:name="_Toc419484066"/>
      <w:bookmarkStart w:id="254" w:name="_Toc452156618"/>
      <w:bookmarkStart w:id="255" w:name="_Toc482793706"/>
      <w:bookmarkStart w:id="256" w:name="_Toc511402220"/>
      <w:bookmarkStart w:id="257" w:name="_Toc511756657"/>
      <w:bookmarkStart w:id="258" w:name="_Toc520365485"/>
      <w:bookmarkStart w:id="259" w:name="_Toc9614776"/>
      <w:bookmarkStart w:id="260" w:name="_Toc42013531"/>
      <w:bookmarkStart w:id="261" w:name="_Toc42014532"/>
      <w:bookmarkStart w:id="262" w:name="_Toc74061564"/>
      <w:r w:rsidRPr="00C32070">
        <w:rPr>
          <w:rtl/>
        </w:rPr>
        <w:t>11.3</w:t>
      </w:r>
      <w:r w:rsidRPr="00C32070">
        <w:rPr>
          <w:rtl/>
        </w:rPr>
        <w:tab/>
        <w:t>الإبلاغ بحسب الأبواب</w:t>
      </w:r>
      <w:bookmarkEnd w:id="248"/>
    </w:p>
    <w:p w14:paraId="18E2EA45" w14:textId="77777777" w:rsidR="00C424F3" w:rsidRPr="00C32070" w:rsidRDefault="00C424F3" w:rsidP="00C424F3">
      <w:pPr>
        <w:rPr>
          <w:spacing w:val="-2"/>
          <w:rtl/>
          <w:lang w:bidi="ar-EG"/>
        </w:rPr>
      </w:pPr>
      <w:r w:rsidRPr="00C32070">
        <w:rPr>
          <w:spacing w:val="-2"/>
          <w:rtl/>
          <w:lang w:bidi="ar-EG"/>
        </w:rPr>
        <w:t xml:space="preserve">يقوم الإبلاغ بحسب الأبواب على أساس الأنشطة الرئيسية ومصادر التمويل في الاتحاد، ويتسق مع الهياكل الدستورية للمنظمة والصناديق الأخرى المنشأة لإدارة </w:t>
      </w:r>
      <w:r w:rsidRPr="00C32070">
        <w:rPr>
          <w:spacing w:val="-2"/>
          <w:rtl/>
          <w:lang w:val="en-GB" w:bidi="ar-EG"/>
        </w:rPr>
        <w:t>تنظيم</w:t>
      </w:r>
      <w:r w:rsidRPr="00C32070">
        <w:rPr>
          <w:spacing w:val="-2"/>
          <w:rtl/>
          <w:lang w:bidi="ar-EG"/>
        </w:rPr>
        <w:t xml:space="preserve"> الموارد المالية. وتبين هذ الأبواب برنامج عمل الاتحاد للفترة </w:t>
      </w:r>
      <w:r w:rsidRPr="00C32070">
        <w:rPr>
          <w:spacing w:val="-2"/>
          <w:lang w:bidi="ar-SY"/>
        </w:rPr>
        <w:t>2023-2022</w:t>
      </w:r>
      <w:r w:rsidRPr="00C32070">
        <w:rPr>
          <w:spacing w:val="-2"/>
          <w:rtl/>
          <w:lang w:bidi="ar-SY"/>
        </w:rPr>
        <w:t xml:space="preserve"> على النحو التالي</w:t>
      </w:r>
      <w:r w:rsidRPr="00C32070">
        <w:rPr>
          <w:spacing w:val="-2"/>
          <w:rtl/>
          <w:lang w:bidi="ar-EG"/>
        </w:rPr>
        <w:t>:</w:t>
      </w:r>
    </w:p>
    <w:p w14:paraId="54420593" w14:textId="77777777" w:rsidR="00C424F3" w:rsidRPr="00C32070" w:rsidRDefault="00C424F3" w:rsidP="000F0546">
      <w:pPr>
        <w:pStyle w:val="enumlev1"/>
        <w:rPr>
          <w:rtl/>
        </w:rPr>
      </w:pPr>
      <w:bookmarkStart w:id="263" w:name="_Toc520365510"/>
      <w:r w:rsidRPr="00C32070">
        <w:rPr>
          <w:rtl/>
        </w:rPr>
        <w:t>-</w:t>
      </w:r>
      <w:r w:rsidRPr="00C32070">
        <w:rPr>
          <w:rtl/>
        </w:rPr>
        <w:tab/>
        <w:t>الأمانة العامة؛</w:t>
      </w:r>
      <w:bookmarkEnd w:id="263"/>
    </w:p>
    <w:p w14:paraId="03DCAE33" w14:textId="77777777" w:rsidR="00C424F3" w:rsidRPr="00C32070" w:rsidRDefault="00C424F3" w:rsidP="000F0546">
      <w:pPr>
        <w:pStyle w:val="enumlev1"/>
        <w:rPr>
          <w:rtl/>
        </w:rPr>
      </w:pPr>
      <w:bookmarkStart w:id="264" w:name="_Toc520365511"/>
      <w:r w:rsidRPr="00C32070">
        <w:rPr>
          <w:rtl/>
        </w:rPr>
        <w:t>-</w:t>
      </w:r>
      <w:r w:rsidRPr="00C32070">
        <w:rPr>
          <w:rtl/>
        </w:rPr>
        <w:tab/>
        <w:t xml:space="preserve">قطاع الاتصالات الراديوية </w:t>
      </w:r>
      <w:r w:rsidRPr="00C32070">
        <w:rPr>
          <w:lang w:val="en-GB"/>
        </w:rPr>
        <w:t>(ITU-R)</w:t>
      </w:r>
      <w:r w:rsidRPr="00C32070">
        <w:rPr>
          <w:rtl/>
        </w:rPr>
        <w:t>:</w:t>
      </w:r>
      <w:r w:rsidRPr="00C32070">
        <w:rPr>
          <w:lang w:val="en-GB"/>
        </w:rPr>
        <w:t xml:space="preserve"> </w:t>
      </w:r>
      <w:r w:rsidRPr="00C32070">
        <w:rPr>
          <w:rtl/>
        </w:rPr>
        <w:t>إدارة الموارد الدولية، أي طيف الترددات الراديوية ومدارات </w:t>
      </w:r>
      <w:proofErr w:type="spellStart"/>
      <w:r w:rsidRPr="00C32070">
        <w:rPr>
          <w:rtl/>
        </w:rPr>
        <w:t>السواتل</w:t>
      </w:r>
      <w:proofErr w:type="spellEnd"/>
      <w:r w:rsidRPr="00C32070">
        <w:rPr>
          <w:rtl/>
        </w:rPr>
        <w:t>؛</w:t>
      </w:r>
      <w:bookmarkEnd w:id="264"/>
    </w:p>
    <w:p w14:paraId="44138D2E" w14:textId="77777777" w:rsidR="00C424F3" w:rsidRPr="00C32070" w:rsidRDefault="00C424F3" w:rsidP="000F0546">
      <w:pPr>
        <w:pStyle w:val="enumlev1"/>
        <w:rPr>
          <w:rtl/>
        </w:rPr>
      </w:pPr>
      <w:bookmarkStart w:id="265" w:name="_Toc520365512"/>
      <w:r w:rsidRPr="00C32070">
        <w:rPr>
          <w:rtl/>
        </w:rPr>
        <w:t>-</w:t>
      </w:r>
      <w:r w:rsidRPr="00C32070">
        <w:rPr>
          <w:rtl/>
        </w:rPr>
        <w:tab/>
        <w:t xml:space="preserve">قطاع تقييس الاتصالات </w:t>
      </w:r>
      <w:r w:rsidRPr="00C32070">
        <w:rPr>
          <w:lang w:val="en-GB"/>
        </w:rPr>
        <w:t>(ITU-T)</w:t>
      </w:r>
      <w:r w:rsidRPr="00C32070">
        <w:rPr>
          <w:rtl/>
        </w:rPr>
        <w:t>: صوْغ أساليب عمل منسقة وإنشاء آليات تعاون مرنة لتلبية احتياجات السوق؛</w:t>
      </w:r>
      <w:bookmarkEnd w:id="265"/>
    </w:p>
    <w:p w14:paraId="3D1BEF75" w14:textId="77777777" w:rsidR="00C424F3" w:rsidRPr="00C32070" w:rsidRDefault="00C424F3" w:rsidP="000F0546">
      <w:pPr>
        <w:pStyle w:val="enumlev1"/>
        <w:rPr>
          <w:spacing w:val="-4"/>
          <w:rtl/>
          <w:lang w:bidi="ar-EG"/>
        </w:rPr>
      </w:pPr>
      <w:bookmarkStart w:id="266" w:name="_Toc520365513"/>
      <w:r w:rsidRPr="00C32070">
        <w:rPr>
          <w:spacing w:val="-4"/>
          <w:rtl/>
        </w:rPr>
        <w:t>-</w:t>
      </w:r>
      <w:r w:rsidRPr="00C32070">
        <w:rPr>
          <w:spacing w:val="-4"/>
          <w:rtl/>
        </w:rPr>
        <w:tab/>
        <w:t xml:space="preserve">قطاع تنمية الاتصالات </w:t>
      </w:r>
      <w:r w:rsidRPr="00C32070">
        <w:rPr>
          <w:spacing w:val="-4"/>
          <w:lang w:val="en-GB"/>
        </w:rPr>
        <w:t>(ITU-D)</w:t>
      </w:r>
      <w:r w:rsidRPr="00C32070">
        <w:rPr>
          <w:spacing w:val="-4"/>
          <w:rtl/>
        </w:rPr>
        <w:t>: توفير النفاذ المنصف والمستدام، في ظروف معقولة، إلى تكنولوجيا المعلومات والاتصالات؛</w:t>
      </w:r>
      <w:bookmarkEnd w:id="266"/>
    </w:p>
    <w:p w14:paraId="73BE3BDC" w14:textId="77777777" w:rsidR="00C424F3" w:rsidRPr="00C32070" w:rsidRDefault="00C424F3" w:rsidP="000F0546">
      <w:pPr>
        <w:pStyle w:val="enumlev1"/>
        <w:rPr>
          <w:rtl/>
        </w:rPr>
      </w:pPr>
      <w:bookmarkStart w:id="267" w:name="_Toc520365514"/>
      <w:r w:rsidRPr="00C32070">
        <w:rPr>
          <w:rtl/>
        </w:rPr>
        <w:t>-</w:t>
      </w:r>
      <w:r w:rsidRPr="00C32070">
        <w:rPr>
          <w:rtl/>
        </w:rPr>
        <w:tab/>
        <w:t>صندوق المبنى الجديد الذي يمثل مشروع تشييد مبنى المقر الجديد؛</w:t>
      </w:r>
      <w:bookmarkEnd w:id="267"/>
    </w:p>
    <w:p w14:paraId="640B5763" w14:textId="77777777" w:rsidR="00C424F3" w:rsidRPr="00C32070" w:rsidRDefault="00C424F3" w:rsidP="000F0546">
      <w:pPr>
        <w:pStyle w:val="enumlev1"/>
        <w:rPr>
          <w:rtl/>
        </w:rPr>
      </w:pPr>
      <w:bookmarkStart w:id="268" w:name="_Toc520365515"/>
      <w:r w:rsidRPr="00C32070">
        <w:rPr>
          <w:rtl/>
        </w:rPr>
        <w:t>-</w:t>
      </w:r>
      <w:r w:rsidRPr="00C32070">
        <w:rPr>
          <w:rtl/>
        </w:rPr>
        <w:tab/>
        <w:t xml:space="preserve">صندوق المعاشات التقاعدية القديم الذي يجمع بين صندوق </w:t>
      </w:r>
      <w:r w:rsidRPr="00C32070">
        <w:rPr>
          <w:rtl/>
          <w:lang w:val="en-GB" w:bidi="ar-EG"/>
        </w:rPr>
        <w:t>الادخار</w:t>
      </w:r>
      <w:r w:rsidRPr="00C32070">
        <w:rPr>
          <w:rtl/>
        </w:rPr>
        <w:t xml:space="preserve"> وصندوق المساعدة؛</w:t>
      </w:r>
      <w:bookmarkEnd w:id="268"/>
    </w:p>
    <w:p w14:paraId="22246388" w14:textId="77777777" w:rsidR="00C424F3" w:rsidRPr="00C32070" w:rsidRDefault="00C424F3" w:rsidP="000F0546">
      <w:pPr>
        <w:pStyle w:val="enumlev1"/>
      </w:pPr>
      <w:bookmarkStart w:id="269" w:name="_Toc520365516"/>
      <w:r w:rsidRPr="00C32070">
        <w:rPr>
          <w:rtl/>
        </w:rPr>
        <w:t>-</w:t>
      </w:r>
      <w:r w:rsidRPr="00C32070">
        <w:rPr>
          <w:rtl/>
        </w:rPr>
        <w:tab/>
        <w:t xml:space="preserve">الأموال الخارجة عن الميزانية، الشاملة لصناديق برنامج الأمم المتحدة الإنمائي </w:t>
      </w:r>
      <w:r w:rsidRPr="00C32070">
        <w:t>(UNDP)</w:t>
      </w:r>
      <w:r w:rsidRPr="00C32070">
        <w:rPr>
          <w:rtl/>
        </w:rPr>
        <w:t xml:space="preserve">، والصناديق </w:t>
      </w:r>
      <w:proofErr w:type="spellStart"/>
      <w:r w:rsidRPr="00C32070">
        <w:rPr>
          <w:rtl/>
        </w:rPr>
        <w:t>الاستئمانية</w:t>
      </w:r>
      <w:proofErr w:type="spellEnd"/>
      <w:r w:rsidRPr="00C32070">
        <w:rPr>
          <w:rtl/>
        </w:rPr>
        <w:t>، وصندوق تنمية تكنولوجيا المعلومات والاتصالات، والمساهمات الطوعية</w:t>
      </w:r>
      <w:bookmarkStart w:id="270" w:name="_Toc520365517"/>
      <w:bookmarkEnd w:id="269"/>
      <w:r w:rsidRPr="00C32070">
        <w:rPr>
          <w:rtl/>
        </w:rPr>
        <w:t>، وتيليكوم الاتحاد.</w:t>
      </w:r>
      <w:bookmarkEnd w:id="270"/>
    </w:p>
    <w:p w14:paraId="690B27D4" w14:textId="77777777" w:rsidR="00C424F3" w:rsidRPr="00C32070" w:rsidRDefault="00C424F3" w:rsidP="00C424F3">
      <w:pPr>
        <w:rPr>
          <w:rtl/>
          <w:lang w:bidi="ar-SY"/>
        </w:rPr>
      </w:pPr>
      <w:r w:rsidRPr="00C32070">
        <w:rPr>
          <w:rtl/>
          <w:lang w:bidi="ar-SY"/>
        </w:rPr>
        <w:t xml:space="preserve">وبحكم طبيعة </w:t>
      </w:r>
      <w:r w:rsidRPr="00C32070">
        <w:rPr>
          <w:rtl/>
          <w:lang w:bidi="ar-EG"/>
        </w:rPr>
        <w:t>أنشطة</w:t>
      </w:r>
      <w:r w:rsidRPr="00C32070">
        <w:rPr>
          <w:rtl/>
          <w:lang w:bidi="ar-SY"/>
        </w:rPr>
        <w:t xml:space="preserve"> الاتحاد</w:t>
      </w:r>
      <w:r w:rsidRPr="00C32070">
        <w:rPr>
          <w:rFonts w:eastAsia="Times New Roman"/>
          <w:sz w:val="21"/>
          <w:szCs w:val="21"/>
          <w:rtl/>
          <w:lang w:val="en" w:eastAsia="en-GB" w:bidi="ar"/>
        </w:rPr>
        <w:t xml:space="preserve"> و</w:t>
      </w:r>
      <w:r w:rsidRPr="00C32070">
        <w:rPr>
          <w:rtl/>
          <w:lang w:bidi="ar"/>
        </w:rPr>
        <w:t>مساهمات</w:t>
      </w:r>
      <w:r w:rsidRPr="00C32070">
        <w:rPr>
          <w:lang w:val="en" w:bidi="ar-SY"/>
        </w:rPr>
        <w:t xml:space="preserve"> </w:t>
      </w:r>
      <w:r w:rsidRPr="00C32070">
        <w:rPr>
          <w:rtl/>
          <w:lang w:bidi="ar"/>
        </w:rPr>
        <w:t>الدول</w:t>
      </w:r>
      <w:r w:rsidRPr="00C32070">
        <w:rPr>
          <w:lang w:val="en" w:bidi="ar-SY"/>
        </w:rPr>
        <w:t xml:space="preserve"> </w:t>
      </w:r>
      <w:r w:rsidRPr="00C32070">
        <w:rPr>
          <w:rtl/>
          <w:lang w:bidi="ar"/>
        </w:rPr>
        <w:t>الأعضاء</w:t>
      </w:r>
      <w:r w:rsidRPr="00C32070">
        <w:rPr>
          <w:rtl/>
          <w:lang w:bidi="ar-SY"/>
        </w:rPr>
        <w:t>، تشترك</w:t>
      </w:r>
      <w:r w:rsidRPr="00C32070">
        <w:rPr>
          <w:lang w:bidi="ar-SY"/>
        </w:rPr>
        <w:t xml:space="preserve"> </w:t>
      </w:r>
      <w:r w:rsidRPr="00C32070">
        <w:rPr>
          <w:rtl/>
          <w:lang w:val="en-GB" w:bidi="ar-EG"/>
        </w:rPr>
        <w:t>جميع قطاعاته</w:t>
      </w:r>
      <w:r w:rsidRPr="00C32070">
        <w:rPr>
          <w:rtl/>
          <w:lang w:bidi="ar-SY"/>
        </w:rPr>
        <w:t xml:space="preserve"> في استخدام الأصول الثابتة المادية وغير المادية ولا تديرها فرادى القطاعات.</w:t>
      </w:r>
    </w:p>
    <w:p w14:paraId="6C03DE88" w14:textId="77777777" w:rsidR="00C424F3" w:rsidRPr="00C32070" w:rsidRDefault="00C424F3" w:rsidP="00C424F3">
      <w:pPr>
        <w:rPr>
          <w:lang w:bidi="ar-SY"/>
        </w:rPr>
      </w:pPr>
      <w:r w:rsidRPr="00C32070">
        <w:rPr>
          <w:rtl/>
          <w:lang w:bidi="ar-SY"/>
        </w:rPr>
        <w:t>وتشمل التحويلات بين الأبواب الإيرادات والمصروفات الناشئة عن التحويلات بين الأبواب. وتُحتسب هذه التحويلات على أساس تكلفة كل باب وتُحذف عند الدمج.</w:t>
      </w:r>
    </w:p>
    <w:p w14:paraId="6B7D0489" w14:textId="77777777" w:rsidR="00C424F3" w:rsidRPr="00C32070" w:rsidRDefault="00C424F3" w:rsidP="00C424F3">
      <w:pPr>
        <w:rPr>
          <w:spacing w:val="-4"/>
          <w:rtl/>
          <w:lang w:bidi="ar-SY"/>
        </w:rPr>
      </w:pPr>
      <w:r w:rsidRPr="00C32070">
        <w:rPr>
          <w:spacing w:val="-4"/>
          <w:rtl/>
          <w:lang w:bidi="ar-SY"/>
        </w:rPr>
        <w:lastRenderedPageBreak/>
        <w:t>ولأغراض الإبلاغ عن الأبواب، وُزعت هذه الإيرادات والمصروفات على القطاعات الأربعة (بما فيها الأمانة العامة) للاتحاد على أساس أرقام الميزانية. ووزعت التسوية السنوية لمؤشر التأمين الصحي بعد انتهاء الخدمة (</w:t>
      </w:r>
      <w:r w:rsidRPr="00C32070">
        <w:rPr>
          <w:spacing w:val="-4"/>
          <w:lang w:bidi="ar-SY"/>
        </w:rPr>
        <w:t>ASHI</w:t>
      </w:r>
      <w:r w:rsidRPr="00C32070">
        <w:rPr>
          <w:spacing w:val="-4"/>
          <w:rtl/>
          <w:lang w:bidi="ar-SY"/>
        </w:rPr>
        <w:t>) استناداً إلى عدد الموظفين في كل قطاع.</w:t>
      </w:r>
    </w:p>
    <w:p w14:paraId="3623E2CC" w14:textId="77777777" w:rsidR="00C424F3" w:rsidRPr="004E2600" w:rsidRDefault="00C424F3" w:rsidP="00C424F3">
      <w:pPr>
        <w:rPr>
          <w:spacing w:val="-2"/>
          <w:lang w:val="en-GB" w:bidi="ar-SY"/>
        </w:rPr>
      </w:pPr>
      <w:r w:rsidRPr="004E2600">
        <w:rPr>
          <w:spacing w:val="-2"/>
          <w:rtl/>
          <w:lang w:bidi="ar-SY"/>
        </w:rPr>
        <w:t>وأصول الاتحاد وخصومه، عدا تلك التي تمثل صافي الأصول، هي ملك للمنظمة ككل أو تخضع لمسؤوليتها ولا تمثل أصولاً وخصوماً لعناصرها المكوِّنة. ولا تنطوي الأموال الخارجة عن الميزانية على أي أصول ثابتة. وتمثل الأصول والخصوم طائفة واسعة من الأنشطة المشتركة بين العناصر المكوِّنة للاتحاد. وأي توزيع للأصول والخصوم على مختلف القطاعات سيكون اعتباطياً وغير متسق حتماً. وبالتالي، سيخالف ذلك مبادئ المعيار </w:t>
      </w:r>
      <w:r w:rsidRPr="004E2600">
        <w:rPr>
          <w:spacing w:val="-2"/>
          <w:lang w:val="fr-CH" w:bidi="ar-SY"/>
        </w:rPr>
        <w:t>IPSAS 18</w:t>
      </w:r>
      <w:r w:rsidRPr="004E2600">
        <w:rPr>
          <w:spacing w:val="-2"/>
          <w:rtl/>
          <w:lang w:bidi="ar-SY"/>
        </w:rPr>
        <w:t>. ولهذا السبب لا تفصّل فرادى الأصول والخصوم على مستوى القطاعات.</w:t>
      </w:r>
    </w:p>
    <w:p w14:paraId="19C07CA9" w14:textId="77777777" w:rsidR="00C424F3" w:rsidRPr="00C32070" w:rsidRDefault="00C424F3" w:rsidP="00C424F3">
      <w:pPr>
        <w:pStyle w:val="Heading2"/>
        <w:rPr>
          <w:rtl/>
        </w:rPr>
      </w:pPr>
      <w:bookmarkStart w:id="271" w:name="_Toc168657565"/>
      <w:r w:rsidRPr="00C32070">
        <w:rPr>
          <w:rtl/>
        </w:rPr>
        <w:t>12.3</w:t>
      </w:r>
      <w:r w:rsidRPr="00C32070">
        <w:rPr>
          <w:rtl/>
        </w:rPr>
        <w:tab/>
        <w:t>بيان المقارنة – المبالغ المدرجة في الميزانية والمبالغ الفعلية</w:t>
      </w:r>
      <w:bookmarkEnd w:id="271"/>
    </w:p>
    <w:p w14:paraId="087B1CFD" w14:textId="77777777" w:rsidR="00C424F3" w:rsidRPr="00C32070" w:rsidRDefault="00C424F3" w:rsidP="00C424F3">
      <w:pPr>
        <w:rPr>
          <w:rtl/>
        </w:rPr>
      </w:pPr>
      <w:r w:rsidRPr="00C32070">
        <w:rPr>
          <w:rtl/>
          <w:lang w:bidi="ar-SY"/>
        </w:rPr>
        <w:t>تستند ميزانية الاتحاد للفترة 2022-2023 إلى المقرر </w:t>
      </w:r>
      <w:r w:rsidRPr="00C32070">
        <w:rPr>
          <w:lang w:bidi="ar-SY"/>
        </w:rPr>
        <w:t>5</w:t>
      </w:r>
      <w:r w:rsidRPr="00C32070">
        <w:rPr>
          <w:rtl/>
          <w:lang w:bidi="ar-SY"/>
        </w:rPr>
        <w:t xml:space="preserve"> (المراجَع في دبي، </w:t>
      </w:r>
      <w:r w:rsidRPr="00C32070">
        <w:rPr>
          <w:lang w:bidi="ar-SY"/>
        </w:rPr>
        <w:t>2018</w:t>
      </w:r>
      <w:r w:rsidRPr="00C32070">
        <w:rPr>
          <w:rtl/>
          <w:lang w:bidi="ar-SY"/>
        </w:rPr>
        <w:t xml:space="preserve">) </w:t>
      </w:r>
      <w:r w:rsidRPr="00C32070">
        <w:rPr>
          <w:rtl/>
          <w:lang w:bidi="ar-EG"/>
        </w:rPr>
        <w:t>المعنون</w:t>
      </w:r>
      <w:r w:rsidRPr="00C32070">
        <w:rPr>
          <w:rtl/>
          <w:lang w:bidi="ar-SY"/>
        </w:rPr>
        <w:t xml:space="preserve"> "إيرادات الاتحاد ونفقاته للفترة </w:t>
      </w:r>
      <w:r w:rsidRPr="00C32070">
        <w:rPr>
          <w:lang w:bidi="ar-SY"/>
        </w:rPr>
        <w:t>2023</w:t>
      </w:r>
      <w:r w:rsidRPr="00C32070">
        <w:rPr>
          <w:lang w:bidi="ar-SY"/>
        </w:rPr>
        <w:noBreakHyphen/>
        <w:t>2020</w:t>
      </w:r>
      <w:r w:rsidRPr="00C32070">
        <w:rPr>
          <w:rtl/>
          <w:lang w:bidi="ar-SY"/>
        </w:rPr>
        <w:t xml:space="preserve">" والخطة الاستراتيجية للاتحاد للفترة </w:t>
      </w:r>
      <w:r w:rsidRPr="00C32070">
        <w:rPr>
          <w:lang w:bidi="ar-SY"/>
        </w:rPr>
        <w:t>2023</w:t>
      </w:r>
      <w:r w:rsidRPr="00C32070">
        <w:rPr>
          <w:lang w:bidi="ar-SY"/>
        </w:rPr>
        <w:noBreakHyphen/>
        <w:t>2020</w:t>
      </w:r>
      <w:r w:rsidRPr="00C32070">
        <w:rPr>
          <w:rtl/>
          <w:lang w:bidi="ar-SY"/>
        </w:rPr>
        <w:t xml:space="preserve"> الواردة في القرار </w:t>
      </w:r>
      <w:r w:rsidRPr="00C32070">
        <w:rPr>
          <w:lang w:bidi="ar-SY"/>
        </w:rPr>
        <w:t>71</w:t>
      </w:r>
      <w:r w:rsidRPr="00C32070">
        <w:rPr>
          <w:rtl/>
          <w:lang w:bidi="ar-SY"/>
        </w:rPr>
        <w:t xml:space="preserve"> (المراجَع في دبي، </w:t>
      </w:r>
      <w:r w:rsidRPr="00C32070">
        <w:rPr>
          <w:lang w:bidi="ar-SY"/>
        </w:rPr>
        <w:t>2018</w:t>
      </w:r>
      <w:r w:rsidRPr="00C32070">
        <w:rPr>
          <w:rtl/>
          <w:lang w:bidi="ar-SY"/>
        </w:rPr>
        <w:t>).</w:t>
      </w:r>
    </w:p>
    <w:p w14:paraId="7613D539" w14:textId="77777777" w:rsidR="00C424F3" w:rsidRPr="00C32070" w:rsidRDefault="00C424F3" w:rsidP="00C424F3">
      <w:pPr>
        <w:rPr>
          <w:rtl/>
          <w:lang w:bidi="ar-SY"/>
        </w:rPr>
      </w:pPr>
      <w:r w:rsidRPr="00C32070">
        <w:rPr>
          <w:rtl/>
          <w:lang w:bidi="ar-SY"/>
        </w:rPr>
        <w:t>وعلاوةً على ذلك، تنسق ميزانية البرنامج مع الخطط التشغيلية للقطاعات وللأمانة العامة.</w:t>
      </w:r>
    </w:p>
    <w:p w14:paraId="71E7D833" w14:textId="6D25A289" w:rsidR="00C424F3" w:rsidRPr="00C32070" w:rsidRDefault="00C424F3" w:rsidP="004E2600">
      <w:pPr>
        <w:rPr>
          <w:rtl/>
          <w:lang w:bidi="ar-EG"/>
        </w:rPr>
      </w:pPr>
      <w:r w:rsidRPr="00C32070">
        <w:rPr>
          <w:rtl/>
          <w:lang w:bidi="ar-SY"/>
        </w:rPr>
        <w:t xml:space="preserve">وعملاً بالمعيار </w:t>
      </w:r>
      <w:r w:rsidRPr="00C32070">
        <w:rPr>
          <w:lang w:val="fr-CH" w:bidi="ar-SY"/>
        </w:rPr>
        <w:t>IPSAS 24</w:t>
      </w:r>
      <w:r w:rsidRPr="00C32070">
        <w:rPr>
          <w:rtl/>
          <w:lang w:bidi="ar-SY"/>
        </w:rPr>
        <w:t xml:space="preserve">، تشمل البيانات المالية السنوية مقارنةً بين المبالغ المدرجة في الميزانية والمبالغ الفعلية (البيان الخامس). </w:t>
      </w:r>
      <w:r w:rsidR="004E2600">
        <w:rPr>
          <w:rFonts w:hint="cs"/>
          <w:rtl/>
          <w:lang w:val="en-GB" w:bidi="ar-EG"/>
        </w:rPr>
        <w:t>وتتألف</w:t>
      </w:r>
      <w:r w:rsidRPr="00C32070">
        <w:rPr>
          <w:rtl/>
          <w:lang w:bidi="ar-SY"/>
        </w:rPr>
        <w:t xml:space="preserve"> ميزانية الاتحاد للفترة 2022-2023 من ميزانيتين سنويتين. وقد أُجري تقدير لميزانية كل من السنتين الماليتين.</w:t>
      </w:r>
    </w:p>
    <w:p w14:paraId="665E1D54" w14:textId="77777777" w:rsidR="00C424F3" w:rsidRPr="00C32070" w:rsidRDefault="00C424F3" w:rsidP="00C424F3">
      <w:pPr>
        <w:rPr>
          <w:rtl/>
          <w:lang w:val="en-GB" w:bidi="ar-SY"/>
        </w:rPr>
      </w:pPr>
      <w:r w:rsidRPr="00C32070">
        <w:rPr>
          <w:rtl/>
          <w:lang w:bidi="ar-SY"/>
        </w:rPr>
        <w:t xml:space="preserve">وأقرَّ المجلس في دورته لعام 2021 الميزانية النهائية لسنة 2023 بموجب القرار </w:t>
      </w:r>
      <w:r w:rsidRPr="00C32070">
        <w:rPr>
          <w:lang w:bidi="ar-SY"/>
        </w:rPr>
        <w:t>1405</w:t>
      </w:r>
      <w:r w:rsidRPr="00C32070">
        <w:rPr>
          <w:rtl/>
          <w:lang w:bidi="ar-SY"/>
        </w:rPr>
        <w:t xml:space="preserve"> </w:t>
      </w:r>
      <w:r w:rsidRPr="00C32070">
        <w:rPr>
          <w:lang w:bidi="ar-SY"/>
        </w:rPr>
        <w:t>(C21/97)</w:t>
      </w:r>
      <w:r w:rsidRPr="00C32070">
        <w:rPr>
          <w:rtl/>
          <w:lang w:bidi="ar-SY"/>
        </w:rPr>
        <w:t>. ويتضمن البيان الخامس مقارنة بين المبالغ المدرجة في الميزانية والمبالغ الفعلية. ونظراً إلى أن إعداد الميزانية والبيانات المالية لا يقوم على نفس الأساس، يُوفِّق البيان الخامس بين الميزانية وبيان الأداء المالي (البيان الثاني). وتبين</w:t>
      </w:r>
      <w:r w:rsidRPr="00C32070">
        <w:rPr>
          <w:rtl/>
          <w:lang w:bidi="ar-EG"/>
        </w:rPr>
        <w:t xml:space="preserve"> اختلافات الكيانات إدراج الأموال الخارجة عن الميزانية في البيانات المالية للاتحاد، بينما تبين الاختلافات الأساسية النفقات والإيرادات غير المدرجة في ميزانية الاتحاد أو الخاضعة لمعاملة مختلفة بموجب متطلبات المعايير المحاسبية </w:t>
      </w:r>
      <w:r w:rsidRPr="00C32070">
        <w:rPr>
          <w:lang w:val="en-GB" w:bidi="ar-EG"/>
        </w:rPr>
        <w:t>IPSAS</w:t>
      </w:r>
      <w:r w:rsidRPr="00C32070">
        <w:rPr>
          <w:rtl/>
          <w:lang w:val="en-GB" w:bidi="ar-EG"/>
        </w:rPr>
        <w:t>. ويمكن الاطلاع على مزيد من التفاصيل في الملاحظة 24.</w:t>
      </w:r>
    </w:p>
    <w:p w14:paraId="439802A5" w14:textId="77777777" w:rsidR="00C424F3" w:rsidRPr="00C32070" w:rsidRDefault="00C424F3" w:rsidP="00DB3336">
      <w:pPr>
        <w:pStyle w:val="Heading5"/>
        <w:rPr>
          <w:rtl/>
        </w:rPr>
      </w:pPr>
      <w:bookmarkStart w:id="272" w:name="_Toc329296022"/>
      <w:bookmarkStart w:id="273" w:name="_Toc358648342"/>
      <w:bookmarkStart w:id="274" w:name="_Toc358648541"/>
      <w:bookmarkStart w:id="275" w:name="_Toc387263372"/>
      <w:bookmarkStart w:id="276" w:name="_Toc387338347"/>
      <w:bookmarkStart w:id="277" w:name="_Toc419484069"/>
      <w:bookmarkStart w:id="278" w:name="_Toc452156621"/>
      <w:bookmarkStart w:id="279" w:name="_Toc482792207"/>
      <w:bookmarkStart w:id="280" w:name="_Toc482793712"/>
      <w:bookmarkStart w:id="281" w:name="_Toc511402227"/>
      <w:bookmarkStart w:id="282" w:name="_Toc511756664"/>
      <w:bookmarkStart w:id="283" w:name="_Toc9614783"/>
      <w:bookmarkStart w:id="284" w:name="_Toc42013538"/>
      <w:bookmarkStart w:id="285" w:name="_Toc42014539"/>
      <w:bookmarkStart w:id="286" w:name="_Toc74061571"/>
      <w:bookmarkStart w:id="287" w:name="_Toc162520622"/>
      <w:bookmarkStart w:id="288" w:name="_Toc168657566"/>
      <w:r w:rsidRPr="00C32070">
        <w:rPr>
          <w:rtl/>
        </w:rPr>
        <w:t xml:space="preserve">الملاحظة </w:t>
      </w:r>
      <w:r w:rsidRPr="00C32070">
        <w:t>4</w:t>
      </w:r>
      <w:r w:rsidRPr="00C32070">
        <w:rPr>
          <w:rtl/>
        </w:rPr>
        <w:tab/>
        <w:t>إدارة صافي الأصول</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9AA59B2" w14:textId="77777777" w:rsidR="00C424F3" w:rsidRPr="00C32070" w:rsidRDefault="00C424F3" w:rsidP="00C424F3">
      <w:pPr>
        <w:rPr>
          <w:rtl/>
          <w:lang w:bidi="ar-EG"/>
        </w:rPr>
      </w:pPr>
      <w:r w:rsidRPr="00C32070">
        <w:rPr>
          <w:rtl/>
          <w:lang w:bidi="ar-EG"/>
        </w:rPr>
        <w:t xml:space="preserve">يتألف </w:t>
      </w:r>
      <w:r w:rsidRPr="00C32070">
        <w:rPr>
          <w:rtl/>
        </w:rPr>
        <w:t>صافي</w:t>
      </w:r>
      <w:r w:rsidRPr="00C32070">
        <w:rPr>
          <w:rtl/>
          <w:lang w:bidi="ar-EG"/>
        </w:rPr>
        <w:t xml:space="preserve"> أصول الاتحاد مما يلي:</w:t>
      </w:r>
    </w:p>
    <w:p w14:paraId="573FCEC4" w14:textId="190D47FA" w:rsidR="00C424F3" w:rsidRPr="00C32070" w:rsidRDefault="00C424F3" w:rsidP="00C424F3">
      <w:pPr>
        <w:pStyle w:val="enumlev1"/>
        <w:rPr>
          <w:rtl/>
        </w:rPr>
      </w:pPr>
      <w:r w:rsidRPr="00C32070">
        <w:sym w:font="Symbol" w:char="F0B7"/>
      </w:r>
      <w:r w:rsidRPr="00C32070">
        <w:rPr>
          <w:rtl/>
        </w:rPr>
        <w:tab/>
        <w:t xml:space="preserve">الحساب الاحتياطي </w:t>
      </w:r>
      <w:r w:rsidR="004E2600">
        <w:rPr>
          <w:rFonts w:hint="cs"/>
          <w:rtl/>
          <w:lang w:bidi="ar-EG"/>
        </w:rPr>
        <w:t>للاتحاد</w:t>
      </w:r>
      <w:r w:rsidRPr="00C32070">
        <w:rPr>
          <w:rtl/>
        </w:rPr>
        <w:t>؛</w:t>
      </w:r>
    </w:p>
    <w:p w14:paraId="45EC0B85" w14:textId="77777777" w:rsidR="00C424F3" w:rsidRPr="00C32070" w:rsidRDefault="00C424F3" w:rsidP="00C424F3">
      <w:pPr>
        <w:pStyle w:val="enumlev1"/>
        <w:rPr>
          <w:rtl/>
        </w:rPr>
      </w:pPr>
      <w:r w:rsidRPr="00C32070">
        <w:sym w:font="Symbol" w:char="F0B7"/>
      </w:r>
      <w:r w:rsidRPr="00C32070">
        <w:rPr>
          <w:rtl/>
        </w:rPr>
        <w:tab/>
      </w:r>
      <w:r w:rsidRPr="00C32070">
        <w:rPr>
          <w:rtl/>
          <w:lang w:bidi="ar-EG"/>
        </w:rPr>
        <w:t>الحسابات الاحتياطية</w:t>
      </w:r>
      <w:r w:rsidRPr="00C32070">
        <w:rPr>
          <w:rtl/>
        </w:rPr>
        <w:t xml:space="preserve"> والصناديق الأخرى؛</w:t>
      </w:r>
    </w:p>
    <w:p w14:paraId="0B82D0C0" w14:textId="77777777" w:rsidR="00C424F3" w:rsidRPr="00C32070" w:rsidRDefault="00C424F3" w:rsidP="00C424F3">
      <w:pPr>
        <w:pStyle w:val="enumlev1"/>
        <w:rPr>
          <w:rtl/>
        </w:rPr>
      </w:pPr>
      <w:r w:rsidRPr="00C32070">
        <w:sym w:font="Symbol" w:char="F0B7"/>
      </w:r>
      <w:r w:rsidRPr="00C32070">
        <w:rPr>
          <w:rtl/>
        </w:rPr>
        <w:tab/>
      </w:r>
      <w:r w:rsidRPr="00C32070">
        <w:rPr>
          <w:rtl/>
          <w:lang w:bidi="ar-EG"/>
        </w:rPr>
        <w:t>الحسابات الاحتياطية</w:t>
      </w:r>
      <w:r w:rsidRPr="00C32070">
        <w:rPr>
          <w:rtl/>
        </w:rPr>
        <w:t xml:space="preserve"> من خارج الميزانية؛</w:t>
      </w:r>
    </w:p>
    <w:p w14:paraId="348F0AA7" w14:textId="77777777" w:rsidR="00C424F3" w:rsidRPr="00C32070" w:rsidRDefault="00C424F3" w:rsidP="00C424F3">
      <w:pPr>
        <w:pStyle w:val="enumlev1"/>
        <w:rPr>
          <w:rtl/>
        </w:rPr>
      </w:pPr>
      <w:r w:rsidRPr="00C32070">
        <w:sym w:font="Symbol" w:char="F0B7"/>
      </w:r>
      <w:r w:rsidRPr="00C32070">
        <w:rPr>
          <w:rtl/>
        </w:rPr>
        <w:tab/>
        <w:t xml:space="preserve">المكاسب/(الخسائر) </w:t>
      </w:r>
      <w:proofErr w:type="spellStart"/>
      <w:r w:rsidRPr="00C32070">
        <w:rPr>
          <w:rtl/>
        </w:rPr>
        <w:t>الإكتوارية</w:t>
      </w:r>
      <w:proofErr w:type="spellEnd"/>
      <w:r w:rsidRPr="00C32070">
        <w:rPr>
          <w:rtl/>
        </w:rPr>
        <w:t xml:space="preserve"> للتأمين الصحي بعد انتهاء الخدمة (</w:t>
      </w:r>
      <w:r w:rsidRPr="00C32070">
        <w:t>ASHI</w:t>
      </w:r>
      <w:r w:rsidRPr="00C32070">
        <w:rPr>
          <w:rtl/>
        </w:rPr>
        <w:t>) من خلال صافي الأصول؛</w:t>
      </w:r>
    </w:p>
    <w:p w14:paraId="6E986548" w14:textId="77777777" w:rsidR="00C424F3" w:rsidRPr="00C32070" w:rsidRDefault="00C424F3" w:rsidP="00C424F3">
      <w:pPr>
        <w:pStyle w:val="enumlev1"/>
        <w:rPr>
          <w:rtl/>
        </w:rPr>
      </w:pPr>
      <w:r w:rsidRPr="00C32070">
        <w:sym w:font="Symbol" w:char="F0B7"/>
      </w:r>
      <w:r w:rsidRPr="00C32070">
        <w:rPr>
          <w:rtl/>
        </w:rPr>
        <w:tab/>
        <w:t>الفائض/(العجز)</w:t>
      </w:r>
      <w:r w:rsidRPr="00C32070">
        <w:rPr>
          <w:rtl/>
          <w:lang w:bidi="ar-SA"/>
        </w:rPr>
        <w:t xml:space="preserve"> </w:t>
      </w:r>
      <w:r w:rsidRPr="00C32070">
        <w:rPr>
          <w:rtl/>
        </w:rPr>
        <w:t>المتراكم.</w:t>
      </w:r>
    </w:p>
    <w:p w14:paraId="67727955" w14:textId="3758596E" w:rsidR="00C424F3" w:rsidRPr="00C32070" w:rsidRDefault="00C424F3" w:rsidP="00F72B70">
      <w:pPr>
        <w:pStyle w:val="Headingb"/>
        <w:rPr>
          <w:rtl/>
        </w:rPr>
      </w:pPr>
      <w:r w:rsidRPr="00C32070">
        <w:rPr>
          <w:rtl/>
        </w:rPr>
        <w:t>الحساب الاحتياطي</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C32070">
        <w:rPr>
          <w:rtl/>
        </w:rPr>
        <w:t xml:space="preserve"> للاتحاد</w:t>
      </w:r>
    </w:p>
    <w:p w14:paraId="2DA5AD96" w14:textId="77777777" w:rsidR="00C424F3" w:rsidRPr="00C32070" w:rsidRDefault="00C424F3" w:rsidP="00C424F3">
      <w:pPr>
        <w:rPr>
          <w:rtl/>
          <w:lang w:bidi="ar-EG"/>
        </w:rPr>
      </w:pPr>
      <w:r w:rsidRPr="006B794A">
        <w:rPr>
          <w:rtl/>
          <w:lang w:bidi="ar-EG"/>
        </w:rPr>
        <w:t xml:space="preserve">طبقاً للرقم </w:t>
      </w:r>
      <w:r w:rsidRPr="006B794A">
        <w:rPr>
          <w:lang w:bidi="ar-EG"/>
        </w:rPr>
        <w:t>485</w:t>
      </w:r>
      <w:r w:rsidRPr="006B794A">
        <w:rPr>
          <w:rtl/>
          <w:lang w:bidi="ar-SY"/>
        </w:rPr>
        <w:t xml:space="preserve"> من الاتفاقية والمادة </w:t>
      </w:r>
      <w:r w:rsidRPr="006B794A">
        <w:rPr>
          <w:lang w:bidi="ar-SY"/>
        </w:rPr>
        <w:t>27</w:t>
      </w:r>
      <w:r w:rsidRPr="006B794A">
        <w:rPr>
          <w:rtl/>
          <w:lang w:bidi="ar-SY"/>
        </w:rPr>
        <w:t xml:space="preserve"> من اللوائح المالية، يُنشأ الحساب الاحتياطي من الاعتمادات التي لم تصرف. </w:t>
      </w:r>
      <w:r w:rsidRPr="006B794A">
        <w:rPr>
          <w:rtl/>
          <w:lang w:bidi="ar-EG"/>
        </w:rPr>
        <w:t>ويرد تفصيل تطوره في بيان الاختلافات في صافي أصول الاتحاد. وهو يموَّل من العناصر التالية:</w:t>
      </w:r>
    </w:p>
    <w:p w14:paraId="4801290F" w14:textId="77777777" w:rsidR="00C424F3" w:rsidRPr="00C32070" w:rsidRDefault="00C424F3" w:rsidP="00C424F3">
      <w:pPr>
        <w:pStyle w:val="enumlev1"/>
        <w:rPr>
          <w:rtl/>
        </w:rPr>
      </w:pPr>
      <w:r w:rsidRPr="00C32070">
        <w:rPr>
          <w:rtl/>
        </w:rPr>
        <w:t xml:space="preserve"> </w:t>
      </w:r>
      <w:bookmarkStart w:id="289" w:name="_Toc520365486"/>
      <w:proofErr w:type="gramStart"/>
      <w:r w:rsidRPr="00C32070">
        <w:rPr>
          <w:rtl/>
        </w:rPr>
        <w:t>أ )</w:t>
      </w:r>
      <w:proofErr w:type="gramEnd"/>
      <w:r w:rsidRPr="00C32070">
        <w:rPr>
          <w:rtl/>
        </w:rPr>
        <w:tab/>
        <w:t>صافي الرصيد الإيجابي أو السلبي من تنفيذ الميزانية العادية في كل سنة مالية؛</w:t>
      </w:r>
      <w:bookmarkEnd w:id="289"/>
    </w:p>
    <w:p w14:paraId="6F910EEB" w14:textId="77777777" w:rsidR="00C424F3" w:rsidRPr="00C32070" w:rsidRDefault="00C424F3" w:rsidP="00C424F3">
      <w:pPr>
        <w:pStyle w:val="enumlev1"/>
        <w:rPr>
          <w:rtl/>
        </w:rPr>
      </w:pPr>
      <w:bookmarkStart w:id="290" w:name="_Toc520365487"/>
      <w:r w:rsidRPr="00C32070">
        <w:rPr>
          <w:rtl/>
        </w:rPr>
        <w:t>ب)</w:t>
      </w:r>
      <w:r w:rsidRPr="00C32070">
        <w:rPr>
          <w:rtl/>
        </w:rPr>
        <w:tab/>
        <w:t>التحويلات من صناديق و/أو حسابات احتياطية أخرى، حسبما يقرر مجلس الاتحاد؛</w:t>
      </w:r>
      <w:bookmarkEnd w:id="290"/>
    </w:p>
    <w:p w14:paraId="2AF651D9" w14:textId="77777777" w:rsidR="00C424F3" w:rsidRPr="00C32070" w:rsidRDefault="00C424F3" w:rsidP="00C424F3">
      <w:pPr>
        <w:pStyle w:val="enumlev1"/>
      </w:pPr>
      <w:bookmarkStart w:id="291" w:name="_Toc520365488"/>
      <w:r w:rsidRPr="00C32070">
        <w:rPr>
          <w:rtl/>
        </w:rPr>
        <w:t>ج)</w:t>
      </w:r>
      <w:r w:rsidRPr="00C32070">
        <w:rPr>
          <w:rtl/>
        </w:rPr>
        <w:tab/>
        <w:t>المبالغ الأخرى في صندوق الاحتياطي التي تشترطها المعايير المحاسبية المشتركة لمؤسسات منظومة الأمم المتحدة.</w:t>
      </w:r>
      <w:bookmarkEnd w:id="291"/>
    </w:p>
    <w:p w14:paraId="46AEAAB4" w14:textId="77777777" w:rsidR="00C424F3" w:rsidRPr="00C32070" w:rsidRDefault="00C424F3" w:rsidP="00C424F3">
      <w:pPr>
        <w:rPr>
          <w:spacing w:val="-2"/>
          <w:rtl/>
          <w:lang w:bidi="ar-SY"/>
        </w:rPr>
      </w:pPr>
      <w:r w:rsidRPr="00C32070">
        <w:rPr>
          <w:spacing w:val="-2"/>
          <w:rtl/>
          <w:lang w:bidi="ar-EG"/>
        </w:rPr>
        <w:t xml:space="preserve">وبصرف النظر عن أحكام الفقرة </w:t>
      </w:r>
      <w:r w:rsidRPr="00C32070">
        <w:rPr>
          <w:spacing w:val="-2"/>
          <w:lang w:bidi="ar-EG"/>
        </w:rPr>
        <w:t>4</w:t>
      </w:r>
      <w:r w:rsidRPr="00C32070">
        <w:rPr>
          <w:spacing w:val="-2"/>
          <w:rtl/>
          <w:lang w:bidi="ar-SY"/>
        </w:rPr>
        <w:t xml:space="preserve"> ب) من المادة </w:t>
      </w:r>
      <w:r w:rsidRPr="00C32070">
        <w:rPr>
          <w:spacing w:val="-2"/>
          <w:lang w:bidi="ar-SY"/>
        </w:rPr>
        <w:t>13</w:t>
      </w:r>
      <w:r w:rsidRPr="00C32070">
        <w:rPr>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C32070">
        <w:rPr>
          <w:i/>
          <w:iCs/>
          <w:spacing w:val="-2"/>
          <w:rtl/>
          <w:lang w:bidi="ar-SY"/>
        </w:rPr>
        <w:t>لأسباب</w:t>
      </w:r>
      <w:r w:rsidRPr="00C32070">
        <w:rPr>
          <w:i/>
          <w:iCs/>
          <w:rtl/>
          <w:lang w:bidi="ar-EG"/>
        </w:rPr>
        <w:t> </w:t>
      </w:r>
      <w:r w:rsidRPr="00C32070">
        <w:rPr>
          <w:spacing w:val="-2"/>
          <w:rtl/>
          <w:lang w:bidi="ar-SY"/>
        </w:rPr>
        <w:t>منها:</w:t>
      </w:r>
    </w:p>
    <w:p w14:paraId="35D7900F" w14:textId="77777777" w:rsidR="00C424F3" w:rsidRPr="00C32070" w:rsidRDefault="00C424F3" w:rsidP="00C424F3">
      <w:pPr>
        <w:pStyle w:val="enumlev1"/>
        <w:rPr>
          <w:rtl/>
        </w:rPr>
      </w:pPr>
      <w:r w:rsidRPr="00C32070">
        <w:rPr>
          <w:rtl/>
        </w:rPr>
        <w:t xml:space="preserve"> </w:t>
      </w:r>
      <w:bookmarkStart w:id="292" w:name="_Toc520365494"/>
      <w:proofErr w:type="gramStart"/>
      <w:r w:rsidRPr="00C32070">
        <w:rPr>
          <w:rtl/>
        </w:rPr>
        <w:t>أ )</w:t>
      </w:r>
      <w:proofErr w:type="gramEnd"/>
      <w:r w:rsidRPr="00C32070">
        <w:rPr>
          <w:rtl/>
        </w:rPr>
        <w:tab/>
        <w:t>تخفيض مبلغ وحدة المساهمة؛</w:t>
      </w:r>
      <w:bookmarkEnd w:id="292"/>
    </w:p>
    <w:p w14:paraId="29BE7308" w14:textId="77777777" w:rsidR="00C424F3" w:rsidRPr="00C32070" w:rsidRDefault="00C424F3" w:rsidP="00C424F3">
      <w:pPr>
        <w:pStyle w:val="enumlev1"/>
        <w:rPr>
          <w:rtl/>
        </w:rPr>
      </w:pPr>
      <w:bookmarkStart w:id="293" w:name="_Toc520365495"/>
      <w:r w:rsidRPr="00C32070">
        <w:rPr>
          <w:rtl/>
        </w:rPr>
        <w:t>ب)</w:t>
      </w:r>
      <w:r w:rsidRPr="00C32070">
        <w:rPr>
          <w:rtl/>
        </w:rPr>
        <w:tab/>
        <w:t>أو موازنة ميزانية الاتحاد؛</w:t>
      </w:r>
      <w:bookmarkEnd w:id="293"/>
    </w:p>
    <w:p w14:paraId="0A4FBCBF" w14:textId="77777777" w:rsidR="00C424F3" w:rsidRPr="00C32070" w:rsidRDefault="00C424F3" w:rsidP="00C424F3">
      <w:pPr>
        <w:pStyle w:val="enumlev1"/>
        <w:rPr>
          <w:rtl/>
        </w:rPr>
      </w:pPr>
      <w:bookmarkStart w:id="294" w:name="_Toc520365496"/>
      <w:r w:rsidRPr="00C32070">
        <w:rPr>
          <w:rtl/>
        </w:rPr>
        <w:t>ج)</w:t>
      </w:r>
      <w:r w:rsidRPr="00C32070">
        <w:rPr>
          <w:rtl/>
        </w:rPr>
        <w:tab/>
        <w:t>أو إجراء تحويلات من صناديق و/أو حسابات احتياطية أخرى؛</w:t>
      </w:r>
      <w:bookmarkEnd w:id="294"/>
    </w:p>
    <w:p w14:paraId="30089FC3" w14:textId="77777777" w:rsidR="00C424F3" w:rsidRPr="00C32070" w:rsidRDefault="00C424F3" w:rsidP="00C424F3">
      <w:pPr>
        <w:pStyle w:val="enumlev1"/>
        <w:rPr>
          <w:rtl/>
        </w:rPr>
      </w:pPr>
      <w:bookmarkStart w:id="295" w:name="_Toc520365497"/>
      <w:proofErr w:type="gramStart"/>
      <w:r w:rsidRPr="00C32070">
        <w:rPr>
          <w:rtl/>
        </w:rPr>
        <w:t>د )</w:t>
      </w:r>
      <w:proofErr w:type="gramEnd"/>
      <w:r w:rsidRPr="00C32070">
        <w:rPr>
          <w:rtl/>
        </w:rPr>
        <w:tab/>
        <w:t>أو تحميل صندوق الاحتياطي أي مبلغ تقضي به المعايير المحاسبية المشتركة لمؤسسات منظومة الأمم المتحدة.</w:t>
      </w:r>
      <w:bookmarkEnd w:id="295"/>
    </w:p>
    <w:p w14:paraId="6D126814" w14:textId="77777777" w:rsidR="00C424F3" w:rsidRPr="00C32070" w:rsidRDefault="00C424F3" w:rsidP="00C424F3">
      <w:pPr>
        <w:spacing w:after="120"/>
        <w:rPr>
          <w:rtl/>
        </w:rPr>
      </w:pPr>
      <w:bookmarkStart w:id="296" w:name="_Toc387338342"/>
      <w:bookmarkStart w:id="297" w:name="_Toc419484067"/>
      <w:bookmarkStart w:id="298" w:name="_Toc452156619"/>
      <w:bookmarkStart w:id="299" w:name="_Toc482793707"/>
      <w:bookmarkStart w:id="300" w:name="_Toc511402221"/>
      <w:bookmarkStart w:id="301" w:name="_Toc511756658"/>
      <w:bookmarkStart w:id="302" w:name="_Toc520365498"/>
      <w:bookmarkStart w:id="303" w:name="_Toc9614777"/>
      <w:bookmarkStart w:id="304" w:name="_Toc42013532"/>
      <w:bookmarkStart w:id="305" w:name="_Toc42014533"/>
      <w:bookmarkStart w:id="306" w:name="_Toc74061565"/>
      <w:r w:rsidRPr="00C32070">
        <w:rPr>
          <w:rtl/>
        </w:rPr>
        <w:lastRenderedPageBreak/>
        <w:t>ويشير الجدول أدناه إلى حركة الحساب الاحتياطي للاتحاد.</w:t>
      </w:r>
    </w:p>
    <w:p w14:paraId="7E4E38F8" w14:textId="58FD0383" w:rsidR="006B794A" w:rsidRDefault="006B794A" w:rsidP="006B794A">
      <w:pPr>
        <w:pStyle w:val="Figure"/>
        <w:rPr>
          <w:lang w:val="en-GB" w:bidi="ar-EG"/>
        </w:rPr>
      </w:pPr>
      <w:r w:rsidRPr="006B794A">
        <w:rPr>
          <w:rtl/>
        </w:rPr>
        <w:drawing>
          <wp:inline distT="0" distB="0" distL="0" distR="0" wp14:anchorId="59D0928B" wp14:editId="39A70F26">
            <wp:extent cx="5733415" cy="237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3415" cy="2378710"/>
                    </a:xfrm>
                    <a:prstGeom prst="rect">
                      <a:avLst/>
                    </a:prstGeom>
                    <a:noFill/>
                    <a:ln>
                      <a:noFill/>
                    </a:ln>
                  </pic:spPr>
                </pic:pic>
              </a:graphicData>
            </a:graphic>
          </wp:inline>
        </w:drawing>
      </w:r>
    </w:p>
    <w:p w14:paraId="0C1D8B1B" w14:textId="1C276278" w:rsidR="00C424F3" w:rsidRPr="00C32070" w:rsidRDefault="00C424F3" w:rsidP="00C424F3">
      <w:pPr>
        <w:spacing w:before="240"/>
        <w:rPr>
          <w:rtl/>
          <w:lang w:bidi="ar-EG"/>
        </w:rPr>
      </w:pPr>
      <w:r w:rsidRPr="00C32070">
        <w:rPr>
          <w:rtl/>
          <w:lang w:val="en-GB" w:bidi="ar-EG"/>
        </w:rPr>
        <w:t xml:space="preserve">وفي 31 ديسمبر </w:t>
      </w:r>
      <w:r w:rsidRPr="00C32070">
        <w:rPr>
          <w:rtl/>
          <w:lang w:bidi="ar-EG"/>
        </w:rPr>
        <w:t xml:space="preserve">2023، كانت أصول الحساب الاحتياطي تبلغ 26,3 مليون فرنك سويسري (28,4 مليون فرنك سويسري في سنة 2022). وتمثل أصول الحساب الاحتياطي نسبة 16,3% من ميزانية سنة 2023، وهي نسبة تتجاوز العتبة المنصوص عليها في المقرَّر 5 (المراجَع في دبي، 2022) بكثير والمحددة </w:t>
      </w:r>
      <w:proofErr w:type="gramStart"/>
      <w:r w:rsidR="000F0A6D" w:rsidRPr="00C32070">
        <w:rPr>
          <w:rFonts w:hint="cs"/>
          <w:rtl/>
          <w:lang w:bidi="ar-EG"/>
        </w:rPr>
        <w:t>بـ</w:t>
      </w:r>
      <w:r w:rsidR="000F0A6D" w:rsidRPr="00C32070">
        <w:rPr>
          <w:lang w:bidi="ar-EG"/>
        </w:rPr>
        <w:t>6</w:t>
      </w:r>
      <w:proofErr w:type="gramEnd"/>
      <w:r w:rsidRPr="00C32070">
        <w:rPr>
          <w:rtl/>
          <w:lang w:bidi="ar-EG"/>
        </w:rPr>
        <w:t>%. ولتحسين إدارة الحساب الاحتياطي للاتحاد وضمان كفايته للوفاء بالمتطلبات من السيولة والمتطلبات التشغيلية، فسيخضع لتحليل أشمل وأكثر تفصيلاً. وسيُفيد هذا التحليل في وقاية المنظمة من أي طوارئ مالية يُحتمل أن تقع في المستقبل.</w:t>
      </w:r>
    </w:p>
    <w:p w14:paraId="646E457A" w14:textId="77777777" w:rsidR="00C424F3" w:rsidRPr="00C32070" w:rsidRDefault="00C424F3" w:rsidP="00F72B70">
      <w:pPr>
        <w:pStyle w:val="Headingb"/>
        <w:rPr>
          <w:rtl/>
          <w:lang w:eastAsia="en-US"/>
        </w:rPr>
      </w:pPr>
      <w:bookmarkStart w:id="307" w:name="_Hlk160791134"/>
      <w:r w:rsidRPr="00C32070">
        <w:rPr>
          <w:rtl/>
        </w:rPr>
        <w:t>ال</w:t>
      </w:r>
      <w:r w:rsidRPr="00C32070">
        <w:rPr>
          <w:rtl/>
          <w:lang w:eastAsia="en-US"/>
        </w:rPr>
        <w:t xml:space="preserve">حسابات الاحتياطية والصناديق </w:t>
      </w:r>
      <w:bookmarkEnd w:id="307"/>
      <w:r w:rsidRPr="00C32070">
        <w:rPr>
          <w:rtl/>
          <w:lang w:eastAsia="en-US"/>
        </w:rPr>
        <w:t>الأخرى</w:t>
      </w:r>
      <w:bookmarkEnd w:id="296"/>
      <w:bookmarkEnd w:id="297"/>
      <w:bookmarkEnd w:id="298"/>
      <w:bookmarkEnd w:id="299"/>
      <w:bookmarkEnd w:id="300"/>
      <w:bookmarkEnd w:id="301"/>
      <w:bookmarkEnd w:id="302"/>
      <w:bookmarkEnd w:id="303"/>
      <w:bookmarkEnd w:id="304"/>
      <w:bookmarkEnd w:id="305"/>
      <w:bookmarkEnd w:id="306"/>
    </w:p>
    <w:p w14:paraId="756C3BC6" w14:textId="77777777" w:rsidR="00C424F3" w:rsidRPr="00C32070" w:rsidRDefault="00C424F3" w:rsidP="00C424F3">
      <w:pPr>
        <w:rPr>
          <w:lang w:bidi="ar-SY"/>
        </w:rPr>
      </w:pPr>
      <w:r w:rsidRPr="00C32070">
        <w:rPr>
          <w:rtl/>
          <w:lang w:bidi="ar-SY"/>
        </w:rPr>
        <w:t>تشمل الحسابات الاحتياطية والصناديق الأخرى:</w:t>
      </w:r>
    </w:p>
    <w:p w14:paraId="543E0EB1" w14:textId="77777777" w:rsidR="00C424F3" w:rsidRPr="00C32070" w:rsidRDefault="00C424F3" w:rsidP="00C424F3">
      <w:pPr>
        <w:pStyle w:val="enumlev1"/>
        <w:rPr>
          <w:rtl/>
        </w:rPr>
      </w:pPr>
      <w:r w:rsidRPr="00C32070">
        <w:rPr>
          <w:rtl/>
        </w:rPr>
        <w:t>-</w:t>
      </w:r>
      <w:r w:rsidRPr="00C32070">
        <w:rPr>
          <w:rtl/>
        </w:rPr>
        <w:tab/>
        <w:t>الوفورات من العام السابق؛</w:t>
      </w:r>
    </w:p>
    <w:p w14:paraId="6BC68E90" w14:textId="77777777" w:rsidR="00C424F3" w:rsidRPr="00C32070" w:rsidRDefault="00C424F3" w:rsidP="00C424F3">
      <w:pPr>
        <w:pStyle w:val="enumlev1"/>
        <w:rPr>
          <w:rtl/>
        </w:rPr>
      </w:pPr>
      <w:r w:rsidRPr="00C32070">
        <w:rPr>
          <w:rtl/>
        </w:rPr>
        <w:t>-</w:t>
      </w:r>
      <w:r w:rsidRPr="00C32070">
        <w:rPr>
          <w:rtl/>
        </w:rPr>
        <w:tab/>
        <w:t>صندوق الاستثمار الذي يضم صندوق صيانة المباني وصندوق تكنولوجيا المعلومات والاتصالات؛</w:t>
      </w:r>
    </w:p>
    <w:p w14:paraId="3B582A97" w14:textId="77777777" w:rsidR="00C424F3" w:rsidRPr="00C32070" w:rsidRDefault="00C424F3" w:rsidP="00C424F3">
      <w:pPr>
        <w:ind w:left="794" w:hanging="794"/>
        <w:rPr>
          <w:spacing w:val="-2"/>
          <w:rtl/>
          <w:lang w:val="fr-CH"/>
        </w:rPr>
      </w:pPr>
      <w:r w:rsidRPr="00C32070">
        <w:rPr>
          <w:spacing w:val="-2"/>
          <w:rtl/>
          <w:lang w:val="fr-CH"/>
        </w:rPr>
        <w:tab/>
        <w:t xml:space="preserve">وقد قرر المجلس في دورته لعام </w:t>
      </w:r>
      <w:r w:rsidRPr="00C32070">
        <w:rPr>
          <w:spacing w:val="-2"/>
          <w:lang w:bidi="ar-EG"/>
        </w:rPr>
        <w:t>2016</w:t>
      </w:r>
      <w:r w:rsidRPr="00C32070">
        <w:rPr>
          <w:spacing w:val="-2"/>
          <w:rtl/>
          <w:lang w:val="fr-CH"/>
        </w:rPr>
        <w:t xml:space="preserve">، بموجب </w:t>
      </w:r>
      <w:hyperlink r:id="rId35" w:history="1">
        <w:r w:rsidRPr="00C32070">
          <w:rPr>
            <w:color w:val="0000FF"/>
            <w:spacing w:val="-2"/>
            <w:u w:val="single"/>
            <w:rtl/>
            <w:lang w:val="fr-CH"/>
          </w:rPr>
          <w:t xml:space="preserve">المقرَّر </w:t>
        </w:r>
        <w:r w:rsidRPr="00C32070">
          <w:rPr>
            <w:color w:val="0000FF"/>
            <w:spacing w:val="-2"/>
            <w:u w:val="single"/>
            <w:lang w:bidi="ar-EG"/>
          </w:rPr>
          <w:t>588</w:t>
        </w:r>
      </w:hyperlink>
      <w:r w:rsidRPr="00C32070">
        <w:rPr>
          <w:spacing w:val="-2"/>
          <w:rtl/>
          <w:lang w:val="fr-CH"/>
        </w:rPr>
        <w:t xml:space="preserve">، الاستعاضة عن مبنى </w:t>
      </w:r>
      <w:proofErr w:type="spellStart"/>
      <w:r w:rsidRPr="00C32070">
        <w:rPr>
          <w:spacing w:val="-2"/>
          <w:rtl/>
          <w:lang w:val="fr-CH"/>
        </w:rPr>
        <w:t>فارامبيه</w:t>
      </w:r>
      <w:proofErr w:type="spellEnd"/>
      <w:r w:rsidRPr="00C32070">
        <w:rPr>
          <w:spacing w:val="-2"/>
          <w:rtl/>
          <w:lang w:val="fr-CH"/>
        </w:rPr>
        <w:t xml:space="preserve"> بمبنى جديد (يدعى فيما بعد "المبنى الجديد" في هذه الوثيقة) من شأنه أن يشمل أيضاً مكاتب ومرافق مبنى البرج وأن يكمّل مبنى </w:t>
      </w:r>
      <w:proofErr w:type="spellStart"/>
      <w:r w:rsidRPr="00C32070">
        <w:rPr>
          <w:spacing w:val="-2"/>
          <w:rtl/>
          <w:lang w:val="fr-CH"/>
        </w:rPr>
        <w:t>مونبريان</w:t>
      </w:r>
      <w:proofErr w:type="spellEnd"/>
      <w:r w:rsidRPr="00C32070">
        <w:rPr>
          <w:spacing w:val="-2"/>
          <w:rtl/>
          <w:lang w:val="fr-CH"/>
        </w:rPr>
        <w:t xml:space="preserve"> الذي سيتم الاحتفاظ به وتجديده. </w:t>
      </w:r>
      <w:r w:rsidRPr="00C32070">
        <w:rPr>
          <w:rtl/>
          <w:lang w:bidi="ar-EG"/>
        </w:rPr>
        <w:t xml:space="preserve">ومُنح قرض دون فوائد بمبلغ يصل إلى </w:t>
      </w:r>
      <w:r w:rsidRPr="00C32070">
        <w:rPr>
          <w:lang w:bidi="ar-EG"/>
        </w:rPr>
        <w:t>150</w:t>
      </w:r>
      <w:r w:rsidRPr="00C32070">
        <w:rPr>
          <w:rtl/>
          <w:lang w:bidi="ar-EG"/>
        </w:rPr>
        <w:t xml:space="preserve"> مليون فرنك سويسري من جانب الاتحاد السويسري لتمويل هذا المشروع.</w:t>
      </w:r>
    </w:p>
    <w:p w14:paraId="4066BB7F" w14:textId="77777777" w:rsidR="00C424F3" w:rsidRPr="00C32070" w:rsidRDefault="00C424F3" w:rsidP="00C424F3">
      <w:pPr>
        <w:pStyle w:val="enumlev1"/>
        <w:rPr>
          <w:rtl/>
        </w:rPr>
      </w:pPr>
      <w:r w:rsidRPr="00C32070">
        <w:rPr>
          <w:rtl/>
        </w:rPr>
        <w:t>-</w:t>
      </w:r>
      <w:r w:rsidRPr="00C32070">
        <w:rPr>
          <w:rtl/>
        </w:rPr>
        <w:tab/>
        <w:t>الحساب الاحتياطي للمبنى الجديد؛</w:t>
      </w:r>
    </w:p>
    <w:p w14:paraId="4033CC68" w14:textId="2E9031A0" w:rsidR="00C424F3" w:rsidRPr="00C32070" w:rsidRDefault="00C424F3" w:rsidP="00C424F3">
      <w:pPr>
        <w:ind w:left="794" w:hanging="794"/>
        <w:rPr>
          <w:rtl/>
        </w:rPr>
      </w:pPr>
      <w:r w:rsidRPr="00C32070">
        <w:rPr>
          <w:rtl/>
        </w:rPr>
        <w:tab/>
        <w:t xml:space="preserve">أنشئ هذا الحساب الاحتياطي لتكملة الميزانية الممولة من خلال القرض الممنوح من البلد المضيف. وتمثل هذه الميزانية الإضافية </w:t>
      </w:r>
      <w:r w:rsidRPr="00C32070">
        <w:t>20,14</w:t>
      </w:r>
      <w:r w:rsidRPr="00C32070">
        <w:rPr>
          <w:rtl/>
        </w:rPr>
        <w:t xml:space="preserve"> مليون فرنك سويسري </w:t>
      </w:r>
      <w:r w:rsidRPr="006B794A">
        <w:rPr>
          <w:rtl/>
        </w:rPr>
        <w:t>مقدمة</w:t>
      </w:r>
      <w:r w:rsidRPr="00C32070">
        <w:rPr>
          <w:rtl/>
        </w:rPr>
        <w:t xml:space="preserve"> من الجهات الراعية والتبرعات ومن الوفورات المخصصة لفائض عام 2018.</w:t>
      </w:r>
      <w:r w:rsidRPr="00C32070">
        <w:rPr>
          <w:rtl/>
          <w:lang w:bidi="ar-EG"/>
        </w:rPr>
        <w:t xml:space="preserve"> </w:t>
      </w:r>
      <w:r w:rsidRPr="00C32070">
        <w:rPr>
          <w:rtl/>
        </w:rPr>
        <w:t>وراجعت المشاورة الافتراضية لأعضاء المجلس </w:t>
      </w:r>
      <w:r w:rsidRPr="00C32070">
        <w:t>(VCC)</w:t>
      </w:r>
      <w:r w:rsidRPr="00C32070">
        <w:rPr>
          <w:rtl/>
        </w:rPr>
        <w:t xml:space="preserve"> في عام 2021 الفقرة 4 من "</w:t>
      </w:r>
      <w:r w:rsidRPr="00C32070">
        <w:rPr>
          <w:i/>
          <w:iCs/>
          <w:rtl/>
        </w:rPr>
        <w:t>يقرر</w:t>
      </w:r>
      <w:r w:rsidRPr="00C32070">
        <w:rPr>
          <w:rtl/>
        </w:rPr>
        <w:t>" من المقرر 619 للسماح بتلقي مبالغ الرعاية أو المِنَح المستقبلية بموجب شروط محددة مسبقاً.</w:t>
      </w:r>
    </w:p>
    <w:p w14:paraId="1E358062" w14:textId="77777777" w:rsidR="00C424F3" w:rsidRPr="00C32070" w:rsidRDefault="00C424F3" w:rsidP="00C424F3">
      <w:pPr>
        <w:pStyle w:val="enumlev1"/>
        <w:rPr>
          <w:rtl/>
        </w:rPr>
      </w:pPr>
      <w:r w:rsidRPr="00C32070">
        <w:rPr>
          <w:rtl/>
        </w:rPr>
        <w:t>-</w:t>
      </w:r>
      <w:r w:rsidRPr="00C32070">
        <w:rPr>
          <w:rtl/>
        </w:rPr>
        <w:tab/>
        <w:t>صندوق سجل المخاطر؛</w:t>
      </w:r>
    </w:p>
    <w:p w14:paraId="058AF7D6" w14:textId="77777777" w:rsidR="00C424F3" w:rsidRPr="006B794A" w:rsidRDefault="00C424F3" w:rsidP="00C424F3">
      <w:pPr>
        <w:ind w:left="794" w:hanging="794"/>
        <w:rPr>
          <w:spacing w:val="-4"/>
          <w:rtl/>
          <w:lang w:bidi="ar-SY"/>
        </w:rPr>
      </w:pPr>
      <w:r w:rsidRPr="006B794A">
        <w:rPr>
          <w:spacing w:val="-4"/>
          <w:rtl/>
        </w:rPr>
        <w:tab/>
        <w:t xml:space="preserve">أنشئ </w:t>
      </w:r>
      <w:r w:rsidRPr="006B794A">
        <w:rPr>
          <w:spacing w:val="-4"/>
          <w:rtl/>
          <w:lang w:bidi="ar-SY"/>
        </w:rPr>
        <w:t>صندوق سجل المخاطر تحسباً لتجاوزات التكاليف غير المتوقعة في مشروع المبنى الجديد.</w:t>
      </w:r>
      <w:r w:rsidRPr="006B794A">
        <w:rPr>
          <w:spacing w:val="-4"/>
          <w:rtl/>
        </w:rPr>
        <w:t xml:space="preserve"> وفي 31 ديسمبر 202</w:t>
      </w:r>
      <w:r w:rsidRPr="006B794A">
        <w:rPr>
          <w:spacing w:val="-4"/>
          <w:rtl/>
          <w:lang w:bidi="ar-EG"/>
        </w:rPr>
        <w:t>3</w:t>
      </w:r>
      <w:r w:rsidRPr="006B794A">
        <w:rPr>
          <w:spacing w:val="-4"/>
          <w:rtl/>
        </w:rPr>
        <w:t xml:space="preserve">، بلغ صندوق سجل المخاطر </w:t>
      </w:r>
      <w:r w:rsidRPr="006B794A">
        <w:rPr>
          <w:spacing w:val="-4"/>
        </w:rPr>
        <w:t>3,43</w:t>
      </w:r>
      <w:r w:rsidRPr="006B794A">
        <w:rPr>
          <w:spacing w:val="-4"/>
          <w:rtl/>
        </w:rPr>
        <w:t> ملايين فرنك سويسري.</w:t>
      </w:r>
    </w:p>
    <w:p w14:paraId="3F52841D" w14:textId="77777777" w:rsidR="00C424F3" w:rsidRPr="00C32070" w:rsidRDefault="00C424F3" w:rsidP="00C424F3">
      <w:pPr>
        <w:pStyle w:val="enumlev1"/>
        <w:rPr>
          <w:rtl/>
        </w:rPr>
      </w:pPr>
      <w:r w:rsidRPr="00C32070">
        <w:rPr>
          <w:rtl/>
        </w:rPr>
        <w:t>-</w:t>
      </w:r>
      <w:r w:rsidRPr="00C32070">
        <w:rPr>
          <w:rtl/>
        </w:rPr>
        <w:tab/>
        <w:t>صندوق الرعاية الاجتماعية؛</w:t>
      </w:r>
    </w:p>
    <w:p w14:paraId="5BA32F4A" w14:textId="77777777" w:rsidR="00C424F3" w:rsidRPr="00C32070" w:rsidRDefault="00C424F3" w:rsidP="00C424F3">
      <w:pPr>
        <w:pStyle w:val="enumlev1"/>
        <w:rPr>
          <w:rtl/>
        </w:rPr>
      </w:pPr>
      <w:r w:rsidRPr="00C32070">
        <w:rPr>
          <w:rtl/>
        </w:rPr>
        <w:t>-</w:t>
      </w:r>
      <w:r w:rsidRPr="00C32070">
        <w:rPr>
          <w:rtl/>
        </w:rPr>
        <w:tab/>
        <w:t>صندوق جائزة العيد المئوي للاتحاد؛</w:t>
      </w:r>
    </w:p>
    <w:p w14:paraId="1E5A1329" w14:textId="77777777" w:rsidR="00C424F3" w:rsidRPr="00C32070" w:rsidRDefault="00C424F3" w:rsidP="00C424F3">
      <w:pPr>
        <w:pStyle w:val="enumlev1"/>
        <w:rPr>
          <w:rtl/>
        </w:rPr>
      </w:pPr>
      <w:r w:rsidRPr="00C32070">
        <w:rPr>
          <w:rtl/>
        </w:rPr>
        <w:t>-</w:t>
      </w:r>
      <w:r w:rsidRPr="00C32070">
        <w:rPr>
          <w:rtl/>
        </w:rPr>
        <w:tab/>
        <w:t xml:space="preserve">صندوق التأمينات لموظفي الاتحاد </w:t>
      </w:r>
      <w:r w:rsidRPr="00C32070">
        <w:t>(SS&amp;BF)</w:t>
      </w:r>
      <w:r w:rsidRPr="00C32070">
        <w:rPr>
          <w:rtl/>
          <w:lang w:val="en-GB" w:bidi="ar-EG"/>
        </w:rPr>
        <w:t>،</w:t>
      </w:r>
      <w:r w:rsidRPr="00C32070">
        <w:rPr>
          <w:rtl/>
          <w:lang w:bidi="ar-SA"/>
        </w:rPr>
        <w:t xml:space="preserve"> ويضم</w:t>
      </w:r>
      <w:r w:rsidRPr="00C32070">
        <w:rPr>
          <w:rtl/>
        </w:rPr>
        <w:t xml:space="preserve"> الصندوق الاحتياطي والتكميلي وصندوق المساعدة؛</w:t>
      </w:r>
    </w:p>
    <w:p w14:paraId="009DC73E" w14:textId="77777777" w:rsidR="00C424F3" w:rsidRPr="00C32070" w:rsidRDefault="00C424F3" w:rsidP="00C424F3">
      <w:pPr>
        <w:rPr>
          <w:rtl/>
          <w:lang w:bidi="ar-SY"/>
        </w:rPr>
      </w:pPr>
      <w:r w:rsidRPr="00C32070">
        <w:rPr>
          <w:rtl/>
          <w:lang w:bidi="ar-SY"/>
        </w:rPr>
        <w:t xml:space="preserve">وهذه الصناديق هي مجموعة الصناديق التي تضمن المعاشات التقاعدية للموظفين العاملين قبل </w:t>
      </w:r>
      <w:r w:rsidRPr="00C32070">
        <w:rPr>
          <w:lang w:bidi="ar-SY"/>
        </w:rPr>
        <w:t>1</w:t>
      </w:r>
      <w:r w:rsidRPr="00C32070">
        <w:rPr>
          <w:rtl/>
          <w:lang w:bidi="ar-SY"/>
        </w:rPr>
        <w:t xml:space="preserve"> يناير </w:t>
      </w:r>
      <w:r w:rsidRPr="00C32070">
        <w:rPr>
          <w:lang w:bidi="ar-SY"/>
        </w:rPr>
        <w:t>1960</w:t>
      </w:r>
      <w:r w:rsidRPr="00C32070">
        <w:rPr>
          <w:rtl/>
          <w:lang w:bidi="ar-SY"/>
        </w:rPr>
        <w:t xml:space="preserve">، وهو تاريخ انضمام الاتحاد إلى صندوق المعاشات المشترك لموظفي الأمم المتحدة. وكان آخر حساب للالتزامات التي يتعين توفيرها </w:t>
      </w:r>
      <w:r w:rsidRPr="00C32070">
        <w:rPr>
          <w:rtl/>
          <w:lang w:bidi="ar-SY"/>
        </w:rPr>
        <w:lastRenderedPageBreak/>
        <w:t>للمستفيدين من صندوق التأمينات قد جرى في </w:t>
      </w:r>
      <w:r w:rsidRPr="00C32070">
        <w:rPr>
          <w:lang w:bidi="ar-SY"/>
        </w:rPr>
        <w:t>31</w:t>
      </w:r>
      <w:r w:rsidRPr="00C32070">
        <w:rPr>
          <w:rtl/>
          <w:lang w:bidi="ar-SY"/>
        </w:rPr>
        <w:t xml:space="preserve"> ديسمبر</w:t>
      </w:r>
      <w:r w:rsidRPr="00C32070">
        <w:rPr>
          <w:rtl/>
          <w:lang w:bidi="ar-EG"/>
        </w:rPr>
        <w:t> </w:t>
      </w:r>
      <w:r w:rsidRPr="00C32070">
        <w:rPr>
          <w:lang w:bidi="ar-SY"/>
        </w:rPr>
        <w:t>2011</w:t>
      </w:r>
      <w:r w:rsidRPr="00C32070">
        <w:rPr>
          <w:rtl/>
          <w:lang w:bidi="ar-SY"/>
        </w:rPr>
        <w:t xml:space="preserve"> (</w:t>
      </w:r>
      <w:r w:rsidRPr="00C32070">
        <w:rPr>
          <w:lang w:bidi="ar-SY"/>
        </w:rPr>
        <w:t>54 000</w:t>
      </w:r>
      <w:r w:rsidRPr="00C32070">
        <w:rPr>
          <w:rtl/>
          <w:lang w:val="en-GB" w:bidi="ar-EG"/>
        </w:rPr>
        <w:t xml:space="preserve"> فرنك سويسري</w:t>
      </w:r>
      <w:r w:rsidRPr="00C32070">
        <w:rPr>
          <w:rtl/>
          <w:lang w:bidi="ar-SY"/>
        </w:rPr>
        <w:t>). ونظراً إلى انعدام أهميته النسبية، فلم يُجر</w:t>
      </w:r>
      <w:r w:rsidRPr="00C32070">
        <w:rPr>
          <w:lang w:bidi="ar-SY"/>
        </w:rPr>
        <w:t xml:space="preserve"> </w:t>
      </w:r>
      <w:r w:rsidRPr="00C32070">
        <w:rPr>
          <w:rtl/>
          <w:lang w:bidi="ar-EG"/>
        </w:rPr>
        <w:t>له</w:t>
      </w:r>
      <w:r w:rsidRPr="00C32070">
        <w:rPr>
          <w:rtl/>
          <w:lang w:bidi="ar-SY"/>
        </w:rPr>
        <w:t xml:space="preserve"> تقييم آخر.</w:t>
      </w:r>
    </w:p>
    <w:p w14:paraId="3FF1439B" w14:textId="77777777" w:rsidR="00C424F3" w:rsidRPr="00C32070" w:rsidRDefault="00C424F3" w:rsidP="00C424F3">
      <w:pPr>
        <w:rPr>
          <w:rtl/>
          <w:lang w:bidi="ar-SY"/>
        </w:rPr>
      </w:pPr>
      <w:r w:rsidRPr="00C32070">
        <w:rPr>
          <w:rtl/>
          <w:lang w:bidi="ar-SY"/>
        </w:rPr>
        <w:t xml:space="preserve">وعملاً بأحكام القرار </w:t>
      </w:r>
      <w:r w:rsidRPr="00C32070">
        <w:rPr>
          <w:lang w:bidi="ar-SY"/>
        </w:rPr>
        <w:t>7</w:t>
      </w:r>
      <w:r w:rsidRPr="00C32070">
        <w:rPr>
          <w:rtl/>
          <w:lang w:bidi="ar-SY"/>
        </w:rPr>
        <w:t xml:space="preserve"> (جنيف، </w:t>
      </w:r>
      <w:r w:rsidRPr="00C32070">
        <w:rPr>
          <w:lang w:bidi="ar-SY"/>
        </w:rPr>
        <w:t>1959</w:t>
      </w:r>
      <w:r w:rsidRPr="00C32070">
        <w:rPr>
          <w:rtl/>
          <w:lang w:bidi="ar-SY"/>
        </w:rPr>
        <w:t xml:space="preserve">)، ينضم موظفو الاتحاد اعتباراً من </w:t>
      </w:r>
      <w:r w:rsidRPr="00C32070">
        <w:rPr>
          <w:lang w:bidi="ar-SY"/>
        </w:rPr>
        <w:t>1</w:t>
      </w:r>
      <w:r w:rsidRPr="00C32070">
        <w:rPr>
          <w:rtl/>
          <w:lang w:bidi="ar-SY"/>
        </w:rPr>
        <w:t xml:space="preserve"> يناير </w:t>
      </w:r>
      <w:r w:rsidRPr="00C32070">
        <w:rPr>
          <w:lang w:bidi="ar-SY"/>
        </w:rPr>
        <w:t>1960</w:t>
      </w:r>
      <w:r w:rsidRPr="00C32070">
        <w:rPr>
          <w:rtl/>
          <w:lang w:bidi="ar-SY"/>
        </w:rPr>
        <w:t xml:space="preserve"> إلى الصندوق المشترك للمعاشات التقاعدية لموظفي الأمم المتحدة. ووفقاً للمادة </w:t>
      </w:r>
      <w:r w:rsidRPr="00C32070">
        <w:rPr>
          <w:lang w:bidi="ar-SY"/>
        </w:rPr>
        <w:t>86</w:t>
      </w:r>
      <w:r w:rsidRPr="00C32070">
        <w:rPr>
          <w:rtl/>
          <w:lang w:bidi="ar-SY"/>
        </w:rPr>
        <w:t xml:space="preserve"> من النظام الأساسي لصندوق التأمينات لموظفي الاتحاد، فإن الاتحاد هو</w:t>
      </w:r>
      <w:r w:rsidRPr="00C32070">
        <w:rPr>
          <w:rtl/>
          <w:lang w:bidi="ar-EG"/>
        </w:rPr>
        <w:t> </w:t>
      </w:r>
      <w:r w:rsidRPr="00C32070">
        <w:rPr>
          <w:rtl/>
          <w:lang w:bidi="ar-SY"/>
        </w:rPr>
        <w:t>الذي يقوم بإدارته. وتُستثمر أصول صندوق التأمينات في سندات للأمناء.</w:t>
      </w:r>
    </w:p>
    <w:p w14:paraId="25BB5FFD" w14:textId="77777777" w:rsidR="00C424F3" w:rsidRPr="00C32070" w:rsidRDefault="00C424F3" w:rsidP="00C424F3">
      <w:pPr>
        <w:rPr>
          <w:rtl/>
          <w:lang w:bidi="ar-SY"/>
        </w:rPr>
      </w:pPr>
      <w:r w:rsidRPr="00C32070">
        <w:rPr>
          <w:rtl/>
          <w:lang w:bidi="ar-SY"/>
        </w:rPr>
        <w:t>ومنذ عام 2013، شملت الصناديق الأخرى كذلك صندوقاً خصص للتمويل طويل الأجل للبنود غير الممولة من التأمين </w:t>
      </w:r>
      <w:r w:rsidRPr="00C32070">
        <w:rPr>
          <w:lang w:bidi="ar-SY"/>
        </w:rPr>
        <w:t>ASHI</w:t>
      </w:r>
      <w:r w:rsidRPr="00C32070">
        <w:rPr>
          <w:rtl/>
          <w:lang w:bidi="ar-SY"/>
        </w:rPr>
        <w:t xml:space="preserve"> وصندوق التأمين الصحي الجديد الذي يؤمن التمويل المضموم لنظام التأمين الصحي الجديد للاتحاد منذ </w:t>
      </w:r>
      <w:r w:rsidRPr="00C32070">
        <w:rPr>
          <w:lang w:bidi="ar-SY"/>
        </w:rPr>
        <w:t>2014</w:t>
      </w:r>
      <w:r w:rsidRPr="00C32070">
        <w:rPr>
          <w:rtl/>
          <w:lang w:bidi="ar-SY"/>
        </w:rPr>
        <w:t>.</w:t>
      </w:r>
    </w:p>
    <w:p w14:paraId="205E2136" w14:textId="77777777" w:rsidR="00C424F3" w:rsidRPr="00C32070" w:rsidRDefault="00C424F3" w:rsidP="00C424F3">
      <w:pPr>
        <w:spacing w:after="120"/>
        <w:rPr>
          <w:rtl/>
          <w:lang w:bidi="ar-EG"/>
        </w:rPr>
      </w:pPr>
      <w:r w:rsidRPr="00C32070">
        <w:rPr>
          <w:rtl/>
          <w:lang w:bidi="ar-EG"/>
        </w:rPr>
        <w:t>ويبين الجدول أدناه حركة الحسابات الاحتياطية والصناديق الأخرى للاتحاد.</w:t>
      </w:r>
    </w:p>
    <w:p w14:paraId="354F46A1" w14:textId="726C28F5" w:rsidR="00453623" w:rsidRDefault="00453623" w:rsidP="00453623">
      <w:pPr>
        <w:pStyle w:val="Figure"/>
      </w:pPr>
      <w:r w:rsidRPr="00453623">
        <w:rPr>
          <w:rtl/>
        </w:rPr>
        <w:drawing>
          <wp:inline distT="0" distB="0" distL="0" distR="0" wp14:anchorId="3CD167A5" wp14:editId="17855DCC">
            <wp:extent cx="5733415" cy="37979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3415" cy="3797935"/>
                    </a:xfrm>
                    <a:prstGeom prst="rect">
                      <a:avLst/>
                    </a:prstGeom>
                    <a:noFill/>
                    <a:ln>
                      <a:noFill/>
                    </a:ln>
                  </pic:spPr>
                </pic:pic>
              </a:graphicData>
            </a:graphic>
          </wp:inline>
        </w:drawing>
      </w:r>
    </w:p>
    <w:p w14:paraId="20CE61AC" w14:textId="0122F64B" w:rsidR="00C424F3" w:rsidRPr="00C32070" w:rsidRDefault="00C424F3" w:rsidP="00F72B70">
      <w:pPr>
        <w:pStyle w:val="Headingb"/>
        <w:rPr>
          <w:rtl/>
          <w:lang w:eastAsia="en-US"/>
        </w:rPr>
      </w:pPr>
      <w:r w:rsidRPr="00C32070">
        <w:rPr>
          <w:rtl/>
          <w:lang w:eastAsia="en-US"/>
        </w:rPr>
        <w:t>الحسابات الاحتياطية</w:t>
      </w:r>
      <w:r w:rsidRPr="00C32070">
        <w:rPr>
          <w:rFonts w:eastAsia="Times New Roman"/>
          <w:szCs w:val="20"/>
          <w:rtl/>
          <w:lang w:val="en-GB" w:eastAsia="en-US"/>
        </w:rPr>
        <w:t xml:space="preserve"> </w:t>
      </w:r>
      <w:r w:rsidRPr="00C32070">
        <w:rPr>
          <w:rtl/>
          <w:lang w:eastAsia="en-US"/>
        </w:rPr>
        <w:t>من خارج الميزانية</w:t>
      </w:r>
    </w:p>
    <w:p w14:paraId="2885B923" w14:textId="77777777" w:rsidR="00C424F3" w:rsidRPr="00C32070" w:rsidRDefault="00C424F3" w:rsidP="00C424F3">
      <w:pPr>
        <w:pStyle w:val="enumlev1"/>
        <w:rPr>
          <w:rtl/>
        </w:rPr>
      </w:pPr>
      <w:r w:rsidRPr="00C32070">
        <w:rPr>
          <w:rtl/>
        </w:rPr>
        <w:t>-</w:t>
      </w:r>
      <w:r w:rsidRPr="00C32070">
        <w:rPr>
          <w:rtl/>
        </w:rPr>
        <w:tab/>
      </w:r>
      <w:bookmarkStart w:id="308" w:name="_Hlk160801064"/>
      <w:r w:rsidRPr="00C32070">
        <w:rPr>
          <w:i/>
          <w:iCs/>
          <w:rtl/>
        </w:rPr>
        <w:t xml:space="preserve">الحسابات الاحتياطية </w:t>
      </w:r>
      <w:bookmarkEnd w:id="308"/>
      <w:r w:rsidRPr="00C32070">
        <w:rPr>
          <w:i/>
          <w:iCs/>
          <w:rtl/>
        </w:rPr>
        <w:t>المخصصة من خارج الميزانية</w:t>
      </w:r>
    </w:p>
    <w:p w14:paraId="2D1C294A" w14:textId="77777777" w:rsidR="00C424F3" w:rsidRPr="00C32070" w:rsidRDefault="00C424F3" w:rsidP="00C424F3">
      <w:pPr>
        <w:rPr>
          <w:spacing w:val="-2"/>
          <w:rtl/>
          <w:lang w:bidi="ar-EG"/>
        </w:rPr>
      </w:pPr>
      <w:r w:rsidRPr="00C32070">
        <w:rPr>
          <w:spacing w:val="-2"/>
          <w:rtl/>
          <w:lang w:bidi="ar-SY"/>
        </w:rPr>
        <w:t>أنشأ الاتحاد حساباً احتياطياً لاستلام أي أرصدة من المشاريع الداخلية الجارية. وتمثل التحركات في هذا الحساب الاحتياطي النفقات المتصلة بتنفيذ المشاريع وتخصيص الأموال الداخلية من الميزانية العادية أو من صندوق تنمية تكنولوجيا المعلومات والاتصالات.</w:t>
      </w:r>
    </w:p>
    <w:p w14:paraId="2C68D0DA" w14:textId="77777777" w:rsidR="00C424F3" w:rsidRPr="00C32070" w:rsidRDefault="00C424F3" w:rsidP="00C424F3">
      <w:pPr>
        <w:pStyle w:val="enumlev1"/>
        <w:rPr>
          <w:lang w:val="en-GB" w:bidi="ar-EG"/>
        </w:rPr>
      </w:pPr>
      <w:bookmarkStart w:id="309" w:name="_Toc74061569"/>
      <w:bookmarkStart w:id="310" w:name="تقديم"/>
      <w:r w:rsidRPr="00C32070">
        <w:rPr>
          <w:rtl/>
        </w:rPr>
        <w:t>-</w:t>
      </w:r>
      <w:r w:rsidRPr="00C32070">
        <w:rPr>
          <w:rtl/>
        </w:rPr>
        <w:tab/>
        <w:t>الصناديق الخارجية المخصصة</w:t>
      </w:r>
    </w:p>
    <w:p w14:paraId="4C211449" w14:textId="77777777" w:rsidR="00C424F3" w:rsidRPr="00C32070" w:rsidRDefault="00C424F3" w:rsidP="00C424F3">
      <w:pPr>
        <w:rPr>
          <w:rtl/>
          <w:lang w:bidi="ar-EG"/>
        </w:rPr>
      </w:pPr>
      <w:r w:rsidRPr="00C32070">
        <w:rPr>
          <w:rtl/>
          <w:lang w:bidi="ar-EG"/>
        </w:rPr>
        <w:t>وتشير إلى التمويل الوارد من جهة خارجية لدعم الاتحاد في تنفيذ مشاريع التنمية في البلدان النامية وأقل البلدان نمواً. وهذه المساهمات مقيدة بشروط تعاقدية. ولا يُعترف بهذه الأموال كإيرادات إلا في حال التزام الجهات المانحة خطياً بذلك وتبعاً للنفقات الناشئة. ولا يبدأ تنفيذ المشاريع الممولة إلا حينما تُدفع الأموال إلى الاتحاد. وعند إقفال الفترة المالية، يُعترف بالرصيد غير المستخدم من هذا التمويل في الصناديق الخارجية المخصصة في بيان الوضع المالي. وفي بعض الأحوال الخاصة والاستثنائية، تُدفع الأموال إلى الاتحاد سداداً لنفقات صُرفت فعلياً.</w:t>
      </w:r>
    </w:p>
    <w:p w14:paraId="2C140D3C" w14:textId="77777777" w:rsidR="00C424F3" w:rsidRPr="00C32070" w:rsidRDefault="00C424F3" w:rsidP="00C424F3">
      <w:pPr>
        <w:keepNext/>
        <w:rPr>
          <w:rtl/>
          <w:lang w:bidi="ar-EG"/>
        </w:rPr>
      </w:pPr>
      <w:r w:rsidRPr="00C32070">
        <w:rPr>
          <w:rtl/>
          <w:lang w:bidi="ar-EG"/>
        </w:rPr>
        <w:lastRenderedPageBreak/>
        <w:t>وتتوزع الصناديق الخارجية المخصصة كالتالي:</w:t>
      </w:r>
    </w:p>
    <w:p w14:paraId="184C9309" w14:textId="77777777" w:rsidR="00C424F3" w:rsidRPr="00C32070" w:rsidRDefault="00C424F3" w:rsidP="00C424F3">
      <w:pPr>
        <w:pStyle w:val="HeadingI"/>
        <w:rPr>
          <w:rtl/>
        </w:rPr>
      </w:pPr>
      <w:bookmarkStart w:id="311" w:name="_Toc328494935"/>
      <w:r w:rsidRPr="00C32070">
        <w:rPr>
          <w:rtl/>
        </w:rPr>
        <w:t>’1‘</w:t>
      </w:r>
      <w:r w:rsidRPr="00C32070">
        <w:rPr>
          <w:rtl/>
        </w:rPr>
        <w:tab/>
        <w:t xml:space="preserve">الصناديق </w:t>
      </w:r>
      <w:proofErr w:type="spellStart"/>
      <w:r w:rsidRPr="00C32070">
        <w:rPr>
          <w:rtl/>
        </w:rPr>
        <w:t>الاستئمانية</w:t>
      </w:r>
      <w:bookmarkEnd w:id="311"/>
      <w:proofErr w:type="spellEnd"/>
    </w:p>
    <w:p w14:paraId="4CB18ABF" w14:textId="77777777" w:rsidR="00C424F3" w:rsidRPr="00C32070" w:rsidRDefault="00C424F3" w:rsidP="00C424F3">
      <w:pPr>
        <w:rPr>
          <w:lang w:val="en-GB" w:bidi="ar-EG"/>
        </w:rPr>
      </w:pPr>
      <w:r w:rsidRPr="00C32070">
        <w:rPr>
          <w:rtl/>
          <w:lang w:bidi="ar-EG"/>
        </w:rPr>
        <w:t xml:space="preserve">الصناديق </w:t>
      </w:r>
      <w:proofErr w:type="spellStart"/>
      <w:r w:rsidRPr="00C32070">
        <w:rPr>
          <w:rtl/>
          <w:lang w:bidi="ar-EG"/>
        </w:rPr>
        <w:t>الاستئمانية</w:t>
      </w:r>
      <w:proofErr w:type="spellEnd"/>
      <w:r w:rsidRPr="00C32070">
        <w:rPr>
          <w:rtl/>
          <w:lang w:bidi="ar-EG"/>
        </w:rPr>
        <w:t xml:space="preserve"> هي مساهمات طوعية استخدامها محدَّد وتقييدي. وتترتب على هذه المساهمات تكاليف دعم أثناء إطلاق المشاريع وتنفيذها. وفي عام 2023، ترتب على تنفيذ المشروع تكاليف دعم بقيمة 1,014 مليون فرنك سويسري حُمِّلت على ميزانية المشروع ودُفعت في ميزانية الاتحاد.</w:t>
      </w:r>
    </w:p>
    <w:p w14:paraId="5224B05B" w14:textId="77777777" w:rsidR="00C424F3" w:rsidRPr="00C32070" w:rsidRDefault="00C424F3" w:rsidP="00C424F3">
      <w:pPr>
        <w:pStyle w:val="HeadingI"/>
        <w:rPr>
          <w:lang w:val="en-GB"/>
        </w:rPr>
      </w:pPr>
      <w:bookmarkStart w:id="312" w:name="_Toc328494936"/>
      <w:r w:rsidRPr="00C32070">
        <w:rPr>
          <w:rtl/>
        </w:rPr>
        <w:t>’2‘</w:t>
      </w:r>
      <w:r w:rsidRPr="00C32070">
        <w:rPr>
          <w:rtl/>
        </w:rPr>
        <w:tab/>
        <w:t>المساهمات الطوعية</w:t>
      </w:r>
      <w:bookmarkEnd w:id="312"/>
    </w:p>
    <w:p w14:paraId="648E6D45" w14:textId="77777777" w:rsidR="00C424F3" w:rsidRPr="00C32070" w:rsidRDefault="00C424F3" w:rsidP="00C424F3">
      <w:pPr>
        <w:rPr>
          <w:rtl/>
          <w:lang w:bidi="ar-EG"/>
        </w:rPr>
      </w:pPr>
      <w:r w:rsidRPr="00C32070">
        <w:rPr>
          <w:rtl/>
          <w:lang w:bidi="ar-EG"/>
        </w:rPr>
        <w:t>تقدم المساهمات الطوعية من الجهات المانحة لاستكمال أنشطة محددة ضمن الميزانية العادية مثل الحلقات الدراسية وأعمال أفرقة العمل ولجان الدراسات والتدريب وتقديم المِنح. ويمكن أن تموِّل المساهمات الطوعية أنشطة طويلة الأجل. ولا يترتب على المساهمات الطوعية أي تكاليف دعم.</w:t>
      </w:r>
    </w:p>
    <w:p w14:paraId="4702E494" w14:textId="77777777" w:rsidR="00C424F3" w:rsidRPr="00C32070" w:rsidRDefault="00C424F3" w:rsidP="00C424F3">
      <w:pPr>
        <w:rPr>
          <w:rtl/>
          <w:lang w:bidi="ar-EG"/>
        </w:rPr>
      </w:pPr>
      <w:r w:rsidRPr="00C32070">
        <w:rPr>
          <w:rtl/>
          <w:lang w:bidi="ar-EG"/>
        </w:rPr>
        <w:t>ويحتفظ الاتحاد بحسابات المساهمات الطوعية بالعملة التي قُدمت بها المساهمة ويدير المشاريع بناءً على الميزانية المخصصة بعملة التمويل، ما لم يحدد خلاف ذلك.</w:t>
      </w:r>
    </w:p>
    <w:p w14:paraId="5507ECEA" w14:textId="77777777" w:rsidR="00C424F3" w:rsidRPr="00C32070" w:rsidRDefault="00C424F3" w:rsidP="00C424F3">
      <w:pPr>
        <w:pStyle w:val="enumlev1"/>
        <w:rPr>
          <w:rtl/>
          <w:lang w:bidi="ar-SA"/>
        </w:rPr>
      </w:pPr>
      <w:r w:rsidRPr="00C32070">
        <w:t>-</w:t>
      </w:r>
      <w:r w:rsidRPr="00C32070">
        <w:tab/>
      </w:r>
      <w:r w:rsidRPr="00C32070">
        <w:rPr>
          <w:rtl/>
          <w:lang w:bidi="ar-SA"/>
        </w:rPr>
        <w:t>صندوق رأس المال العامل لمعارض الاتحاد</w:t>
      </w:r>
    </w:p>
    <w:p w14:paraId="2C189D1C" w14:textId="6A6EDCCC" w:rsidR="00C424F3" w:rsidRPr="00C32070" w:rsidRDefault="00C424F3" w:rsidP="00C424F3">
      <w:pPr>
        <w:rPr>
          <w:rtl/>
        </w:rPr>
      </w:pPr>
      <w:r w:rsidRPr="00C32070">
        <w:rPr>
          <w:rtl/>
        </w:rPr>
        <w:t xml:space="preserve">صندوق رأس المال العامل لمعارض الاتحاد: أثناء مؤتمر المندوبين المفوضين الذي عقد في بوخارست في عام 2022، أُلغى القرار 11، وتقرر تحويل الرصيد المتبقي من صندوق رأس المال العامل للمعارض (EWCF) إلى صندوق تنمية تكنولوجيا المعلومات والاتصالات، بعد تمام الوفاء بجميع الالتزامات المقررة إزاء موظفي تيليكوم. وفي عام 2023، دُفعت </w:t>
      </w:r>
      <w:r w:rsidR="00453623" w:rsidRPr="00C32070">
        <w:rPr>
          <w:rtl/>
        </w:rPr>
        <w:t xml:space="preserve">3 ملايين فرنك سويسري </w:t>
      </w:r>
      <w:r w:rsidRPr="00C32070">
        <w:rPr>
          <w:rtl/>
        </w:rPr>
        <w:t>لهذ</w:t>
      </w:r>
      <w:r w:rsidR="00453623">
        <w:rPr>
          <w:rFonts w:hint="cs"/>
          <w:rtl/>
        </w:rPr>
        <w:t>ا</w:t>
      </w:r>
      <w:r w:rsidRPr="00C32070">
        <w:rPr>
          <w:rtl/>
        </w:rPr>
        <w:t xml:space="preserve"> الصندوق، وفقاً للقرار 1418.</w:t>
      </w:r>
    </w:p>
    <w:bookmarkEnd w:id="309"/>
    <w:bookmarkEnd w:id="310"/>
    <w:p w14:paraId="474FF551" w14:textId="77777777" w:rsidR="00C424F3" w:rsidRPr="00C32070" w:rsidRDefault="00C424F3" w:rsidP="00C424F3">
      <w:pPr>
        <w:pStyle w:val="enumlev1"/>
        <w:rPr>
          <w:rtl/>
        </w:rPr>
      </w:pPr>
      <w:r w:rsidRPr="00C32070">
        <w:rPr>
          <w:rtl/>
        </w:rPr>
        <w:t>-</w:t>
      </w:r>
      <w:r w:rsidRPr="00C32070">
        <w:rPr>
          <w:rtl/>
        </w:rPr>
        <w:tab/>
        <w:t>صندوق تنمية تكنولوجيا المعلومات والاتصالات</w:t>
      </w:r>
    </w:p>
    <w:p w14:paraId="6182FC77" w14:textId="77777777" w:rsidR="00C424F3" w:rsidRPr="00C32070" w:rsidRDefault="00C424F3" w:rsidP="00C424F3">
      <w:pPr>
        <w:rPr>
          <w:lang w:bidi="ar-EG"/>
        </w:rPr>
      </w:pPr>
      <w:r w:rsidRPr="00C32070">
        <w:rPr>
          <w:rtl/>
          <w:lang w:bidi="ar-EG"/>
        </w:rPr>
        <w:t xml:space="preserve">سعياً للنهوض برسالة الاتحاد، وهي تشجيع توسيع خدمات اتصالات حديثة في العالم، يخصص مجلس الاتحاد جزءاً من فوائض إيرادات أحداث تيليكوم الاتحاد لصندوق تنمية تكنولوجيا المعلومات والاتصالات </w:t>
      </w:r>
      <w:r w:rsidRPr="00C32070">
        <w:rPr>
          <w:lang w:bidi="ar-EG"/>
        </w:rPr>
        <w:t>(ICTDF)</w:t>
      </w:r>
      <w:r w:rsidRPr="00C32070">
        <w:rPr>
          <w:rtl/>
          <w:lang w:bidi="ar-EG"/>
        </w:rPr>
        <w:t xml:space="preserve"> لكي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ويسري المبدأ ذاته على المشاريع الممولة في إطار خطة العمل الإنمائية. وفي الواقع، رُصدت الأموال المتاحة لهذه البرامج فعلاً في شكل إيرادات في الفترات المالية السابقة.</w:t>
      </w:r>
    </w:p>
    <w:p w14:paraId="791C4B7A" w14:textId="77777777" w:rsidR="00C424F3" w:rsidRPr="00C32070" w:rsidRDefault="00C424F3" w:rsidP="00C424F3">
      <w:pPr>
        <w:pStyle w:val="enumlev1"/>
        <w:rPr>
          <w:rtl/>
        </w:rPr>
      </w:pPr>
      <w:r w:rsidRPr="00C32070">
        <w:rPr>
          <w:rtl/>
        </w:rPr>
        <w:t>-</w:t>
      </w:r>
      <w:r w:rsidRPr="00C32070">
        <w:rPr>
          <w:rtl/>
        </w:rPr>
        <w:tab/>
      </w:r>
      <w:r w:rsidRPr="00C32070">
        <w:rPr>
          <w:i/>
          <w:iCs/>
          <w:rtl/>
        </w:rPr>
        <w:t>الحسابات الاحتياطية غير المخصصة من خارج الميزانية</w:t>
      </w:r>
    </w:p>
    <w:p w14:paraId="4D8876E3" w14:textId="77777777" w:rsidR="00C424F3" w:rsidRPr="00C32070" w:rsidRDefault="00C424F3" w:rsidP="00C424F3">
      <w:pPr>
        <w:rPr>
          <w:rtl/>
          <w:lang w:bidi="ar-EG"/>
        </w:rPr>
      </w:pPr>
      <w:r w:rsidRPr="00C32070">
        <w:rPr>
          <w:rtl/>
        </w:rPr>
        <w:t xml:space="preserve">أنشأ الاتحاد حساباً احتياطياً لاستلام أي أرصدة متبقية من المشاريع الداخلية المقفلة. وسيُستخدم هذا الحساب الاحتياطي لتمويل </w:t>
      </w:r>
      <w:r w:rsidRPr="00C32070">
        <w:rPr>
          <w:rtl/>
          <w:lang w:bidi="ar-EG"/>
        </w:rPr>
        <w:t>المشاريع، أو المبادرات الإقليمية، الجديدة وكذلك لسد العجز في بعض</w:t>
      </w:r>
      <w:r w:rsidRPr="00C32070">
        <w:rPr>
          <w:rtl/>
          <w:lang w:bidi="ar-SY"/>
        </w:rPr>
        <w:t> </w:t>
      </w:r>
      <w:r w:rsidRPr="00C32070">
        <w:rPr>
          <w:rtl/>
          <w:lang w:bidi="ar-EG"/>
        </w:rPr>
        <w:t>المشاريع.</w:t>
      </w:r>
    </w:p>
    <w:p w14:paraId="0745CE24" w14:textId="77777777" w:rsidR="00C424F3" w:rsidRPr="00C32070" w:rsidRDefault="00C424F3" w:rsidP="00C424F3">
      <w:pPr>
        <w:spacing w:after="120"/>
      </w:pPr>
      <w:r w:rsidRPr="00C32070">
        <w:rPr>
          <w:rtl/>
          <w:lang w:bidi="ar-SY"/>
        </w:rPr>
        <w:t xml:space="preserve">ويبين الجدول أدناه حركة </w:t>
      </w:r>
      <w:r w:rsidRPr="00C32070">
        <w:rPr>
          <w:rtl/>
        </w:rPr>
        <w:t>الحسابات الاحتياطية للاتحاد من خارج الميزانية.</w:t>
      </w:r>
    </w:p>
    <w:p w14:paraId="6669DCED" w14:textId="3F011241" w:rsidR="00453623" w:rsidRDefault="00453623" w:rsidP="00453623">
      <w:pPr>
        <w:pStyle w:val="Figure"/>
        <w:rPr>
          <w:rtl/>
          <w:lang w:bidi="ar-SY"/>
        </w:rPr>
      </w:pPr>
      <w:r w:rsidRPr="00453623">
        <w:rPr>
          <w:rtl/>
        </w:rPr>
        <w:drawing>
          <wp:inline distT="0" distB="0" distL="0" distR="0" wp14:anchorId="4000A019" wp14:editId="7150ACC6">
            <wp:extent cx="5733415" cy="2473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3415" cy="2473960"/>
                    </a:xfrm>
                    <a:prstGeom prst="rect">
                      <a:avLst/>
                    </a:prstGeom>
                    <a:noFill/>
                    <a:ln>
                      <a:noFill/>
                    </a:ln>
                  </pic:spPr>
                </pic:pic>
              </a:graphicData>
            </a:graphic>
          </wp:inline>
        </w:drawing>
      </w:r>
    </w:p>
    <w:p w14:paraId="09A629CE" w14:textId="699DD10D" w:rsidR="00C424F3" w:rsidRPr="00C32070" w:rsidRDefault="00C424F3" w:rsidP="00C424F3">
      <w:pPr>
        <w:spacing w:before="240"/>
        <w:rPr>
          <w:rtl/>
          <w:lang w:bidi="ar-SY"/>
        </w:rPr>
      </w:pPr>
      <w:r w:rsidRPr="00C32070">
        <w:rPr>
          <w:rtl/>
          <w:lang w:bidi="ar-SY"/>
        </w:rPr>
        <w:t xml:space="preserve">وفي 31 ديسمبر 2023، كان رصيد صندوق تنمية تكنولوجيا المعلومات والاتصالات المبلَّغ عنه تحت بند الحسابات الاحتياطية غير المخصصة من خارج الميزانية المذكور في الجدول أعلاه يبلغ 5,7 ملايين فرنك سويسري (2,7 مليون فرنك سويسري في </w:t>
      </w:r>
      <w:r w:rsidRPr="00C32070">
        <w:rPr>
          <w:rtl/>
          <w:lang w:bidi="ar-SY"/>
        </w:rPr>
        <w:lastRenderedPageBreak/>
        <w:t>31 ديسمبر 2022). وفي عام 2023، عقب اعتماد القرار 1418، حوِّلت 3 ملايين فرنك سويسري من صندوق رأس مال المعارض إلى صندوق رأس مال تنمية تكنولوجيا المعلومات والاتصالات.</w:t>
      </w:r>
    </w:p>
    <w:p w14:paraId="469E725E" w14:textId="77777777" w:rsidR="00C424F3" w:rsidRPr="00C32070" w:rsidRDefault="00C424F3" w:rsidP="00DB3336">
      <w:pPr>
        <w:pStyle w:val="Heading5"/>
        <w:rPr>
          <w:rtl/>
        </w:rPr>
      </w:pPr>
      <w:bookmarkStart w:id="313" w:name="_Toc387263373"/>
      <w:bookmarkStart w:id="314" w:name="_Toc387338348"/>
      <w:bookmarkStart w:id="315" w:name="_Toc419484070"/>
      <w:bookmarkStart w:id="316" w:name="_Toc452156622"/>
      <w:bookmarkStart w:id="317" w:name="_Toc482792208"/>
      <w:bookmarkStart w:id="318" w:name="_Toc482793713"/>
      <w:bookmarkStart w:id="319" w:name="_Toc511402228"/>
      <w:bookmarkStart w:id="320" w:name="_Toc511756665"/>
      <w:bookmarkStart w:id="321" w:name="_Toc9614784"/>
      <w:bookmarkStart w:id="322" w:name="_Toc42013539"/>
      <w:bookmarkStart w:id="323" w:name="_Toc42014540"/>
      <w:bookmarkStart w:id="324" w:name="_Toc74061572"/>
      <w:bookmarkStart w:id="325" w:name="_Toc162520623"/>
      <w:bookmarkStart w:id="326" w:name="_Toc168657567"/>
      <w:r w:rsidRPr="00250937">
        <w:rPr>
          <w:rtl/>
        </w:rPr>
        <w:t xml:space="preserve">الملاحظة </w:t>
      </w:r>
      <w:r w:rsidRPr="00250937">
        <w:t>5</w:t>
      </w:r>
      <w:r w:rsidRPr="00250937">
        <w:rPr>
          <w:rtl/>
        </w:rPr>
        <w:tab/>
        <w:t>المخاطر المالية</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7965245" w14:textId="77777777" w:rsidR="00C424F3" w:rsidRPr="00C32070" w:rsidRDefault="00C424F3" w:rsidP="00C424F3">
      <w:pPr>
        <w:rPr>
          <w:rtl/>
          <w:lang w:bidi="ar-SY"/>
        </w:rPr>
      </w:pPr>
      <w:r w:rsidRPr="00C32070">
        <w:rPr>
          <w:rtl/>
          <w:lang w:bidi="ar-SY"/>
        </w:rPr>
        <w:t xml:space="preserve">يتعرض الاتحاد في إطار ما يقوم به من أعمال لعدد من المخاطر المالية من بينها </w:t>
      </w:r>
      <w:proofErr w:type="gramStart"/>
      <w:r w:rsidRPr="00C32070">
        <w:rPr>
          <w:rtl/>
          <w:lang w:bidi="ar-SY"/>
        </w:rPr>
        <w:t>مخاطر</w:t>
      </w:r>
      <w:proofErr w:type="gramEnd"/>
      <w:r w:rsidRPr="00C32070">
        <w:rPr>
          <w:rtl/>
          <w:lang w:bidi="ar-SY"/>
        </w:rPr>
        <w:t xml:space="preserve"> الائتمان ومخاطر السوق (مخاطر سعر صرف </w:t>
      </w:r>
      <w:r w:rsidRPr="00C32070">
        <w:rPr>
          <w:rtl/>
          <w:lang w:bidi="ar-EG"/>
        </w:rPr>
        <w:t>ا</w:t>
      </w:r>
      <w:r w:rsidRPr="00C32070">
        <w:rPr>
          <w:rtl/>
          <w:lang w:bidi="ar-SY"/>
        </w:rPr>
        <w:t>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لإدارة المخاطر المالية والحفاظ على رأسماله. وتخضع إدارة المخاطر المالية مركزياً لمسؤولية الأمينة العامة.</w:t>
      </w:r>
    </w:p>
    <w:p w14:paraId="6CDEFDE6" w14:textId="77777777" w:rsidR="00C424F3" w:rsidRPr="00C32070" w:rsidRDefault="00C424F3" w:rsidP="00C424F3">
      <w:pPr>
        <w:rPr>
          <w:lang w:bidi="ar-EG"/>
        </w:rPr>
      </w:pPr>
      <w:r w:rsidRPr="00C32070">
        <w:rPr>
          <w:rtl/>
          <w:lang w:bidi="ar-SY"/>
        </w:rPr>
        <w:t xml:space="preserve">ووفقاً للمعيار المحاسبي الدولي للقطاع العام </w:t>
      </w:r>
      <w:r w:rsidRPr="00C32070">
        <w:t>(IPSAS) 41</w:t>
      </w:r>
      <w:r w:rsidRPr="00C32070">
        <w:rPr>
          <w:rtl/>
          <w:lang w:val="en-GB" w:bidi="ar-EG"/>
        </w:rPr>
        <w:t>، يدرَج الرصيد النقدي للاتحاد وما يعادله من نقد في البيانات المالية كتكلفة مستهلكة. ويبين هذا القياس مبلغ النقد في اليد وقيمة الأصول التي يمكن تحويلها بسهولة إلى مبالغ نقدية معلومة، مخصومة منهما أي تخفيضات في القيمة واجبة التطبيق أو أي خسائر ناجمة عن انخفاض القيمة، اعتباراً من تاريخ الإبلاغ.</w:t>
      </w:r>
    </w:p>
    <w:p w14:paraId="41BF62C8" w14:textId="77777777" w:rsidR="00C424F3" w:rsidRPr="00C32070" w:rsidRDefault="00C424F3" w:rsidP="00C424F3">
      <w:pPr>
        <w:rPr>
          <w:rtl/>
          <w:lang w:bidi="ar-SY"/>
        </w:rPr>
      </w:pPr>
      <w:r w:rsidRPr="00C32070">
        <w:rPr>
          <w:rtl/>
          <w:lang w:bidi="ar-SY"/>
        </w:rPr>
        <w:t>وتقارب القيمة العادلة للذمم الدائنة للموردين والخصوم الجارية الأخرى والمساهمات الطوعية قيمتها الدفترية المسجلة نظراً لطبيعتها قصيرة الأجل.</w:t>
      </w:r>
    </w:p>
    <w:p w14:paraId="663D60CE" w14:textId="77777777" w:rsidR="00C424F3" w:rsidRPr="00C32070" w:rsidRDefault="00C424F3" w:rsidP="00C424F3">
      <w:pPr>
        <w:rPr>
          <w:rtl/>
          <w:lang w:bidi="ar-SY"/>
        </w:rPr>
      </w:pPr>
      <w:r w:rsidRPr="00C32070">
        <w:rPr>
          <w:rtl/>
          <w:lang w:bidi="ar-SY"/>
        </w:rPr>
        <w:t xml:space="preserve">وتسجَّل </w:t>
      </w:r>
      <w:proofErr w:type="spellStart"/>
      <w:r w:rsidRPr="00C32070">
        <w:rPr>
          <w:rtl/>
          <w:lang w:bidi="ar-SY"/>
        </w:rPr>
        <w:t>الاستدانات</w:t>
      </w:r>
      <w:proofErr w:type="spellEnd"/>
      <w:r w:rsidRPr="00C32070">
        <w:rPr>
          <w:rtl/>
          <w:lang w:bidi="ar-SY"/>
        </w:rPr>
        <w:t xml:space="preserve"> (القروض) في الحسابات على أساس التكاليف المستهلكة</w:t>
      </w:r>
      <w:r w:rsidRPr="00C32070">
        <w:rPr>
          <w:rtl/>
          <w:lang w:bidi="ar-EG"/>
        </w:rPr>
        <w:t xml:space="preserve"> (انظر الملاحظة 16)</w:t>
      </w:r>
      <w:r w:rsidRPr="00C32070">
        <w:rPr>
          <w:rtl/>
          <w:lang w:bidi="ar-SY"/>
        </w:rPr>
        <w:t>.</w:t>
      </w:r>
    </w:p>
    <w:p w14:paraId="5BB7A9FB" w14:textId="77777777" w:rsidR="00C424F3" w:rsidRPr="00C32070" w:rsidRDefault="00C424F3" w:rsidP="00C424F3">
      <w:pPr>
        <w:pStyle w:val="enumlev1"/>
        <w:keepNext/>
        <w:keepLines/>
        <w:rPr>
          <w:i/>
          <w:iCs/>
          <w:rtl/>
        </w:rPr>
      </w:pPr>
      <w:r w:rsidRPr="00C32070">
        <w:rPr>
          <w:i/>
          <w:iCs/>
          <w:rtl/>
        </w:rPr>
        <w:t xml:space="preserve"> </w:t>
      </w:r>
      <w:proofErr w:type="gramStart"/>
      <w:r w:rsidRPr="00C32070">
        <w:rPr>
          <w:i/>
          <w:iCs/>
          <w:rtl/>
        </w:rPr>
        <w:t>أ )</w:t>
      </w:r>
      <w:proofErr w:type="gramEnd"/>
      <w:r w:rsidRPr="00C32070">
        <w:rPr>
          <w:i/>
          <w:iCs/>
          <w:rtl/>
        </w:rPr>
        <w:tab/>
        <w:t>مخاطر الائتمان</w:t>
      </w:r>
    </w:p>
    <w:p w14:paraId="3000F8A6" w14:textId="77777777" w:rsidR="00C424F3" w:rsidRPr="00C32070" w:rsidRDefault="00C424F3" w:rsidP="00C424F3">
      <w:pPr>
        <w:pStyle w:val="enumlev1"/>
        <w:rPr>
          <w:rtl/>
        </w:rPr>
      </w:pPr>
      <w:r w:rsidRPr="00C32070">
        <w:rPr>
          <w:rtl/>
        </w:rPr>
        <w:tab/>
      </w:r>
      <w:bookmarkStart w:id="327" w:name="_Toc520365522"/>
      <w:proofErr w:type="gramStart"/>
      <w:r w:rsidRPr="00C32070">
        <w:rPr>
          <w:rtl/>
        </w:rPr>
        <w:t>مخاطر</w:t>
      </w:r>
      <w:proofErr w:type="gramEnd"/>
      <w:r w:rsidRPr="00C32070">
        <w:rPr>
          <w:rtl/>
        </w:rPr>
        <w:t xml:space="preserve"> الائتمان هي مخاطر الخسائر المالية التي يتكبدها الاتحاد عندما يعجز العملاء أو الأطراف النظيرة في الأدوات المالية عن الوفاء بالتزاماتهم التعاقدية وتنشأ بشكل أساسي عن الاستثمارات والمستحقات والأموال النقدية وما يعادلها. وتمثل القيمة الدفترية للأصول المالية الحد الأقصى للتعرض لمخاطر الائتمان.</w:t>
      </w:r>
    </w:p>
    <w:p w14:paraId="304FB273" w14:textId="77777777" w:rsidR="00C424F3" w:rsidRPr="00C32070" w:rsidRDefault="00C424F3" w:rsidP="00C424F3">
      <w:pPr>
        <w:spacing w:after="120"/>
      </w:pPr>
      <w:r w:rsidRPr="00C32070">
        <w:rPr>
          <w:rtl/>
        </w:rPr>
        <w:t xml:space="preserve">وكان أقصى تعرض لمخاطر الائتمان حتى </w:t>
      </w:r>
      <w:r w:rsidRPr="00C32070">
        <w:t>31</w:t>
      </w:r>
      <w:r w:rsidRPr="00C32070">
        <w:rPr>
          <w:rtl/>
        </w:rPr>
        <w:t xml:space="preserve"> ديسمبر كالتالي:</w:t>
      </w:r>
      <w:bookmarkEnd w:id="327"/>
    </w:p>
    <w:p w14:paraId="46A50CE7" w14:textId="0D1AA95C" w:rsidR="00F5586C" w:rsidRDefault="00F5586C" w:rsidP="00F5586C">
      <w:pPr>
        <w:pStyle w:val="Figure"/>
      </w:pPr>
      <w:r w:rsidRPr="00F5586C">
        <w:rPr>
          <w:rtl/>
        </w:rPr>
        <w:drawing>
          <wp:inline distT="0" distB="0" distL="0" distR="0" wp14:anchorId="2644F66D" wp14:editId="0CAE12FA">
            <wp:extent cx="5733415" cy="19354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3415" cy="1935480"/>
                    </a:xfrm>
                    <a:prstGeom prst="rect">
                      <a:avLst/>
                    </a:prstGeom>
                    <a:noFill/>
                    <a:ln>
                      <a:noFill/>
                    </a:ln>
                  </pic:spPr>
                </pic:pic>
              </a:graphicData>
            </a:graphic>
          </wp:inline>
        </w:drawing>
      </w:r>
    </w:p>
    <w:p w14:paraId="7288B5B7" w14:textId="280443AD" w:rsidR="00C424F3" w:rsidRPr="00C32070" w:rsidRDefault="00C424F3" w:rsidP="00C424F3">
      <w:pPr>
        <w:pStyle w:val="enumlev1"/>
        <w:keepNext/>
        <w:spacing w:before="240"/>
        <w:rPr>
          <w:i/>
          <w:iCs/>
          <w:rtl/>
          <w:lang w:bidi="ar-SA"/>
        </w:rPr>
      </w:pPr>
      <w:r w:rsidRPr="00C32070">
        <w:rPr>
          <w:i/>
          <w:iCs/>
          <w:rtl/>
        </w:rPr>
        <w:t>ب)</w:t>
      </w:r>
      <w:r w:rsidRPr="00C32070">
        <w:rPr>
          <w:i/>
          <w:iCs/>
          <w:rtl/>
        </w:rPr>
        <w:tab/>
        <w:t>جودة الائتمان</w:t>
      </w:r>
    </w:p>
    <w:p w14:paraId="01B010C4" w14:textId="77777777" w:rsidR="00C424F3" w:rsidRPr="00C32070" w:rsidRDefault="00C424F3" w:rsidP="00C424F3">
      <w:pPr>
        <w:pStyle w:val="enumlev1"/>
        <w:rPr>
          <w:rtl/>
          <w:lang w:val="en-GB" w:bidi="ar-EG"/>
        </w:rPr>
      </w:pPr>
      <w:r w:rsidRPr="00C32070">
        <w:rPr>
          <w:rtl/>
        </w:rPr>
        <w:tab/>
      </w:r>
      <w:bookmarkStart w:id="328" w:name="_Toc520365523"/>
      <w:r w:rsidRPr="00C32070">
        <w:rPr>
          <w:rtl/>
        </w:rPr>
        <w:t>جودة الائتمان هي المخاطر المقدرة للتخلف عن السداد من جانب الأطراف النظيرة التي يقدم إليها الاتحاد الائتمان وكذلك الأطراف التي يستثمر معها.</w:t>
      </w:r>
      <w:bookmarkEnd w:id="328"/>
      <w:r w:rsidRPr="00C32070">
        <w:rPr>
          <w:rtl/>
        </w:rPr>
        <w:t xml:space="preserve"> وقد استعرض الاتحاد مستويات حساباته المدينة من المساهمات المقررة والمصادر الأخرى. وثمة قلق بشأن تقادم الحسابات المدينة المستحقة على الدول الأعضاء وأعضاء القطاعات والمنتسبين إليها. فالقرار 41 الصادر عن مؤتمر المندوبين المفوضين </w:t>
      </w:r>
      <w:r w:rsidRPr="00C32070">
        <w:t>(PP)</w:t>
      </w:r>
      <w:r w:rsidRPr="00C32070">
        <w:rPr>
          <w:rtl/>
          <w:lang w:val="en-GB" w:bidi="ar-EG"/>
        </w:rPr>
        <w:t xml:space="preserve"> في عام 2018 (في دبي)، والمتعلق بالمتأخرات والحسابات الخاصة بالمتأخرات، يسلط الضوء على ارتفاع مستوى المتأخرات، ويُنشئ آليات لسدادها، ويشجع المتأخرين في السداد على سداد المدفوعات في أوانه لضمان كفاية التمويل في الاتحاد. وسيؤثر هذا المستوى من المتأخرات على الاستقرار المالي للاتحاد إن ظلت </w:t>
      </w:r>
      <w:r w:rsidRPr="00C32070">
        <w:rPr>
          <w:rtl/>
        </w:rPr>
        <w:t>هذه المبالغ غير مخصصة. وفي عام 2023، شُطب 0,8 مليون فرنك سويسري من الحسابات المدينة للمبالغ الأصلية، إلى جانب متأخرات فوائد بقيمة 2,2 مليون فرنك سويسري. وتلزم مواصلة العمل من أجل ضمان قيام الاتحاد بتحصيل الذمم المدينة المستحقة له في أوانه من الآن فصاعداً.</w:t>
      </w:r>
    </w:p>
    <w:p w14:paraId="5A7FD63D" w14:textId="77777777" w:rsidR="00C424F3" w:rsidRPr="00C32070" w:rsidRDefault="00C424F3" w:rsidP="00C424F3">
      <w:pPr>
        <w:pStyle w:val="enumlev1"/>
        <w:rPr>
          <w:rtl/>
        </w:rPr>
      </w:pPr>
      <w:r w:rsidRPr="00C32070">
        <w:rPr>
          <w:rtl/>
        </w:rPr>
        <w:tab/>
      </w:r>
      <w:bookmarkStart w:id="329" w:name="_Toc520365524"/>
      <w:r w:rsidRPr="00C32070">
        <w:rPr>
          <w:rtl/>
        </w:rPr>
        <w:t xml:space="preserve">بالإضافة إلى ذلك، يُرسل الاتحاد كشوفات ربع سنوية بالمتأخرات وحالات تعليق المشاركة لتشجيع الدول الأعضاء وأعضاء القطاعات والمنتسبين على تسوية </w:t>
      </w:r>
      <w:proofErr w:type="spellStart"/>
      <w:r w:rsidRPr="00C32070">
        <w:rPr>
          <w:rtl/>
        </w:rPr>
        <w:t>متأخراتهم</w:t>
      </w:r>
      <w:proofErr w:type="spellEnd"/>
      <w:r w:rsidRPr="00C32070">
        <w:rPr>
          <w:rtl/>
        </w:rPr>
        <w:t xml:space="preserve">. وعلاوةً على ذلك، يشكل سقوط حق الدول الأعضاء في التصويت حافزاً إضافياً لتشجيعها على سداد المدفوعات وتسوية </w:t>
      </w:r>
      <w:proofErr w:type="spellStart"/>
      <w:r w:rsidRPr="00C32070">
        <w:rPr>
          <w:rtl/>
        </w:rPr>
        <w:t>متأخراتها</w:t>
      </w:r>
      <w:proofErr w:type="spellEnd"/>
      <w:r w:rsidRPr="00C32070">
        <w:rPr>
          <w:rtl/>
        </w:rPr>
        <w:t xml:space="preserve"> في أوانهما.</w:t>
      </w:r>
      <w:bookmarkEnd w:id="329"/>
    </w:p>
    <w:p w14:paraId="754AD45A" w14:textId="77777777" w:rsidR="00C424F3" w:rsidRPr="00C32070" w:rsidRDefault="00C424F3" w:rsidP="00C424F3">
      <w:pPr>
        <w:pStyle w:val="enumlev1"/>
        <w:rPr>
          <w:rtl/>
          <w:lang w:bidi="ar-EG"/>
        </w:rPr>
      </w:pPr>
      <w:r w:rsidRPr="00C32070">
        <w:rPr>
          <w:rtl/>
        </w:rPr>
        <w:lastRenderedPageBreak/>
        <w:tab/>
      </w:r>
      <w:bookmarkStart w:id="330" w:name="_Toc520365525"/>
      <w:r w:rsidRPr="00C32070">
        <w:rPr>
          <w:rtl/>
        </w:rPr>
        <w:t xml:space="preserve">ويسعى الاتحاد إلى الحد من </w:t>
      </w:r>
      <w:proofErr w:type="gramStart"/>
      <w:r w:rsidRPr="00C32070">
        <w:rPr>
          <w:rtl/>
        </w:rPr>
        <w:t>مخاطر</w:t>
      </w:r>
      <w:proofErr w:type="gramEnd"/>
      <w:r w:rsidRPr="00C32070">
        <w:rPr>
          <w:rtl/>
        </w:rPr>
        <w:t xml:space="preserve">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C32070">
        <w:t>16</w:t>
      </w:r>
      <w:r w:rsidRPr="00C32070">
        <w:rPr>
          <w:rtl/>
        </w:rPr>
        <w:t xml:space="preserve"> من اللوائح المالية والقواعد المالية، تختار الأمينة العامة المصارف أو المؤسسات الأخرى التي تودع فيها أموال الاتحاد. وفي هذا الصدد، تكفل الأمينة العامة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أموالاً في المصارف التي يكون تصنيف الائتمان الخاص بها أقل من </w:t>
      </w:r>
      <w:r w:rsidRPr="00C32070">
        <w:t>A3</w:t>
      </w:r>
      <w:r w:rsidRPr="00C32070">
        <w:rPr>
          <w:rtl/>
        </w:rPr>
        <w:t>.</w:t>
      </w:r>
      <w:bookmarkEnd w:id="330"/>
    </w:p>
    <w:p w14:paraId="52C16AA5" w14:textId="77777777" w:rsidR="00C424F3" w:rsidRPr="00C32070" w:rsidRDefault="00C424F3" w:rsidP="00C424F3">
      <w:pPr>
        <w:pStyle w:val="enumlev1"/>
      </w:pPr>
      <w:r w:rsidRPr="00C32070">
        <w:rPr>
          <w:rtl/>
        </w:rPr>
        <w:tab/>
      </w:r>
      <w:bookmarkStart w:id="331" w:name="_Toc520365526"/>
      <w:r w:rsidRPr="00C32070">
        <w:rPr>
          <w:rtl/>
        </w:rPr>
        <w:t>وبالإضافة إلى هذه المعايير، تُختار الاستثمارات على أساس تحقيق أعلى معدل معقول من العائدات ويكون منسجماً مع المبادئ المتبعة في الأمم المتحدة.</w:t>
      </w:r>
      <w:bookmarkEnd w:id="331"/>
    </w:p>
    <w:p w14:paraId="61250FC9" w14:textId="77777777" w:rsidR="00C424F3" w:rsidRPr="00C32070" w:rsidRDefault="00C424F3" w:rsidP="00C424F3">
      <w:pPr>
        <w:pStyle w:val="enumlev1"/>
        <w:rPr>
          <w:rtl/>
        </w:rPr>
      </w:pPr>
      <w:r w:rsidRPr="00C32070">
        <w:rPr>
          <w:rtl/>
        </w:rPr>
        <w:tab/>
      </w:r>
      <w:bookmarkStart w:id="332" w:name="_Toc520365527"/>
      <w:r w:rsidRPr="00C32070">
        <w:rPr>
          <w:rtl/>
        </w:rPr>
        <w:t>وتسمي الأمينة العامة المصارف التي يتم فيها الاحتفاظ بأموال الاتحاد وتُنشئ جميع الحسابات المصرفية المطلوبة للاتحاد وتسمي المسؤولين الذين تفوض لهم سلطة التوقيع لتشغيل هذه الحسابات. وتصرح الأمينة العامة أيضاً بإغلاق جميع الحسابات المصرفية.</w:t>
      </w:r>
      <w:bookmarkEnd w:id="332"/>
    </w:p>
    <w:p w14:paraId="65DB75AC" w14:textId="77777777" w:rsidR="00C424F3" w:rsidRPr="00C32070" w:rsidRDefault="00C424F3" w:rsidP="00C424F3">
      <w:pPr>
        <w:pStyle w:val="enumlev1"/>
        <w:keepNext/>
        <w:keepLines/>
        <w:rPr>
          <w:i/>
          <w:iCs/>
          <w:rtl/>
        </w:rPr>
      </w:pPr>
      <w:r w:rsidRPr="00C32070">
        <w:rPr>
          <w:i/>
          <w:iCs/>
          <w:rtl/>
        </w:rPr>
        <w:t>ج)</w:t>
      </w:r>
      <w:r w:rsidRPr="00C32070">
        <w:rPr>
          <w:i/>
          <w:iCs/>
          <w:rtl/>
        </w:rPr>
        <w:tab/>
      </w:r>
      <w:proofErr w:type="gramStart"/>
      <w:r w:rsidRPr="00C32070">
        <w:rPr>
          <w:i/>
          <w:iCs/>
          <w:rtl/>
        </w:rPr>
        <w:t>مخاطر</w:t>
      </w:r>
      <w:proofErr w:type="gramEnd"/>
      <w:r w:rsidRPr="00C32070">
        <w:rPr>
          <w:i/>
          <w:iCs/>
          <w:rtl/>
        </w:rPr>
        <w:t xml:space="preserve"> معدلات أسعار الفائدة</w:t>
      </w:r>
    </w:p>
    <w:p w14:paraId="2F3E37A7" w14:textId="77777777" w:rsidR="00C424F3" w:rsidRPr="00C32070" w:rsidRDefault="00C424F3" w:rsidP="00C424F3">
      <w:pPr>
        <w:pStyle w:val="enumlev1"/>
        <w:rPr>
          <w:spacing w:val="-2"/>
          <w:rtl/>
        </w:rPr>
      </w:pPr>
      <w:r w:rsidRPr="00C32070">
        <w:rPr>
          <w:spacing w:val="-2"/>
          <w:rtl/>
        </w:rPr>
        <w:tab/>
      </w:r>
      <w:bookmarkStart w:id="333" w:name="_Toc520365528"/>
      <w:r w:rsidRPr="00C32070">
        <w:rPr>
          <w:spacing w:val="-2"/>
          <w:rtl/>
        </w:rPr>
        <w:t xml:space="preserve">يتعرض الاتحاد لمخاطر معدلات أسعار الفائدة من خلال استثماراته قصيرة الأجل. وفي عام 2023، أمكننا أيضاً ملاحظة زيادة في سعر الفائدة على الودائع قصيرة الأجل بالدولار الأمريكي. وهذه الزيادة، مقترنة باستعمال منتجات إيداع جديدة، أتاحت للاتحاد تحقيق أرباح فوائد قدرها </w:t>
      </w:r>
      <w:r w:rsidRPr="00C32070">
        <w:rPr>
          <w:spacing w:val="-2"/>
        </w:rPr>
        <w:t>4,6</w:t>
      </w:r>
      <w:r w:rsidRPr="00C32070">
        <w:rPr>
          <w:spacing w:val="-2"/>
          <w:rtl/>
        </w:rPr>
        <w:t xml:space="preserve"> مليون فرنك سويسري (</w:t>
      </w:r>
      <w:r w:rsidRPr="00C32070">
        <w:rPr>
          <w:spacing w:val="-2"/>
        </w:rPr>
        <w:t>1,5</w:t>
      </w:r>
      <w:r w:rsidRPr="00C32070">
        <w:rPr>
          <w:spacing w:val="-2"/>
          <w:rtl/>
          <w:lang w:bidi="ar-EG"/>
        </w:rPr>
        <w:t xml:space="preserve"> مليون </w:t>
      </w:r>
      <w:r w:rsidRPr="00C32070">
        <w:rPr>
          <w:spacing w:val="-2"/>
          <w:rtl/>
        </w:rPr>
        <w:t>فرنك سويسري في عام 2022).</w:t>
      </w:r>
    </w:p>
    <w:p w14:paraId="00E9D84A" w14:textId="77777777" w:rsidR="00C424F3" w:rsidRPr="00C32070" w:rsidRDefault="00C424F3" w:rsidP="00C424F3">
      <w:pPr>
        <w:pStyle w:val="enumlev1"/>
        <w:rPr>
          <w:rtl/>
        </w:rPr>
      </w:pPr>
      <w:r w:rsidRPr="00C32070">
        <w:rPr>
          <w:rtl/>
        </w:rPr>
        <w:tab/>
      </w:r>
      <w:bookmarkEnd w:id="333"/>
      <w:r w:rsidRPr="00C32070">
        <w:rPr>
          <w:rtl/>
        </w:rPr>
        <w:t>ويظل كل من الرصيد النقدي للاتحاد وما يعادله واستثمارات الاتحاد (الودائع القصيرة الأجل) مأموناً، لأنه يحتفظ بأصول عالية الجودة تهدف إلى الحفاظ على رأس المال.</w:t>
      </w:r>
    </w:p>
    <w:p w14:paraId="261B4176" w14:textId="77777777" w:rsidR="00C424F3" w:rsidRPr="00C32070" w:rsidRDefault="00C424F3" w:rsidP="00C424F3">
      <w:pPr>
        <w:pStyle w:val="enumlev1"/>
        <w:keepNext/>
        <w:rPr>
          <w:i/>
          <w:iCs/>
          <w:rtl/>
        </w:rPr>
      </w:pPr>
      <w:proofErr w:type="gramStart"/>
      <w:r w:rsidRPr="00C32070">
        <w:rPr>
          <w:i/>
          <w:iCs/>
          <w:rtl/>
        </w:rPr>
        <w:t>د )</w:t>
      </w:r>
      <w:proofErr w:type="gramEnd"/>
      <w:r w:rsidRPr="00C32070">
        <w:rPr>
          <w:i/>
          <w:iCs/>
          <w:rtl/>
        </w:rPr>
        <w:tab/>
        <w:t>مخاطر السيولة</w:t>
      </w:r>
    </w:p>
    <w:p w14:paraId="7EAB16A5" w14:textId="77777777" w:rsidR="00C424F3" w:rsidRPr="00C32070" w:rsidRDefault="00C424F3" w:rsidP="00C424F3">
      <w:pPr>
        <w:pStyle w:val="enumlev1"/>
        <w:rPr>
          <w:rtl/>
        </w:rPr>
      </w:pPr>
      <w:r w:rsidRPr="00C32070">
        <w:rPr>
          <w:rtl/>
        </w:rPr>
        <w:tab/>
      </w:r>
      <w:bookmarkStart w:id="334" w:name="_Toc520365529"/>
      <w:proofErr w:type="gramStart"/>
      <w:r w:rsidRPr="00C32070">
        <w:rPr>
          <w:rtl/>
        </w:rPr>
        <w:t>مخاطر</w:t>
      </w:r>
      <w:proofErr w:type="gramEnd"/>
      <w:r w:rsidRPr="00C32070">
        <w:rPr>
          <w:rtl/>
        </w:rPr>
        <w:t xml:space="preserve">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كفاية النقد في اليد للوفاء بالنفقات التشغيلية المتوقعة من خلال تنبؤات التدفقات النقدية.</w:t>
      </w:r>
      <w:bookmarkEnd w:id="334"/>
    </w:p>
    <w:p w14:paraId="0490A7ED" w14:textId="77777777" w:rsidR="00C424F3" w:rsidRPr="00C32070" w:rsidRDefault="00C424F3" w:rsidP="00C424F3">
      <w:pPr>
        <w:pStyle w:val="enumlev1"/>
        <w:rPr>
          <w:rtl/>
        </w:rPr>
      </w:pPr>
      <w:r w:rsidRPr="00C32070">
        <w:rPr>
          <w:rtl/>
        </w:rPr>
        <w:tab/>
      </w:r>
      <w:bookmarkStart w:id="335" w:name="_Toc520365531"/>
      <w:r w:rsidRPr="00C32070">
        <w:rPr>
          <w:rtl/>
        </w:rPr>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 للاتحاد.</w:t>
      </w:r>
      <w:bookmarkEnd w:id="335"/>
    </w:p>
    <w:p w14:paraId="3C86E13A" w14:textId="77777777" w:rsidR="00C424F3" w:rsidRPr="00C32070" w:rsidRDefault="00C424F3" w:rsidP="00C424F3">
      <w:pPr>
        <w:pStyle w:val="enumlev1"/>
        <w:keepNext/>
        <w:keepLines/>
        <w:rPr>
          <w:i/>
          <w:iCs/>
          <w:rtl/>
        </w:rPr>
      </w:pPr>
      <w:proofErr w:type="gramStart"/>
      <w:r w:rsidRPr="00C32070">
        <w:rPr>
          <w:i/>
          <w:iCs/>
          <w:rtl/>
        </w:rPr>
        <w:t>ه‍ )</w:t>
      </w:r>
      <w:proofErr w:type="gramEnd"/>
      <w:r w:rsidRPr="00C32070">
        <w:rPr>
          <w:i/>
          <w:iCs/>
          <w:rtl/>
        </w:rPr>
        <w:tab/>
        <w:t>مخاطر العملة</w:t>
      </w:r>
    </w:p>
    <w:p w14:paraId="1D7B3568" w14:textId="77777777" w:rsidR="00C424F3" w:rsidRPr="00C32070" w:rsidRDefault="00C424F3" w:rsidP="00C424F3">
      <w:pPr>
        <w:pStyle w:val="enumlev1"/>
      </w:pPr>
      <w:r w:rsidRPr="00C32070">
        <w:rPr>
          <w:rtl/>
        </w:rPr>
        <w:tab/>
      </w:r>
      <w:bookmarkStart w:id="336" w:name="_Toc520365532"/>
      <w:r w:rsidRPr="00C32070">
        <w:rPr>
          <w:rtl/>
        </w:rPr>
        <w:t xml:space="preserve">يتلقى الاتحاد مساهمات الدول الأعضاء والمساهمات في الميزانية العادية بالفرنك السويسري ويتلقى المساهمات الخارجة عن الميزانية بالفرنك السويسري وكذلك بعملات أخرى غير الفرنك السويسري، معظمها بالدولار الأمريكي وباليورو. ولا يلجأ الاتحاد إلى عقود الصرف </w:t>
      </w:r>
      <w:proofErr w:type="gramStart"/>
      <w:r w:rsidRPr="00C32070">
        <w:rPr>
          <w:rtl/>
        </w:rPr>
        <w:t>الآجل</w:t>
      </w:r>
      <w:proofErr w:type="gramEnd"/>
      <w:r w:rsidRPr="00C32070">
        <w:rPr>
          <w:rtl/>
        </w:rPr>
        <w:t xml:space="preserve"> أو المقبلة أو المقايضة أو خيارات العملة الرامية إلى حماية مكاسب أو خسائر أسعار الصرف المحققة أو غير المحققة. ويطبق، بقدر الإمكان، تحوطاً طبيعياً من خلال إيداع العملات الأجنبية مباشرةً في الحسابات المصرفية الملائمة المفتوحة بالعملات ذاتها.</w:t>
      </w:r>
      <w:bookmarkEnd w:id="336"/>
    </w:p>
    <w:p w14:paraId="1ABC8743" w14:textId="77777777" w:rsidR="00C424F3" w:rsidRPr="008638EE" w:rsidRDefault="00C424F3" w:rsidP="00C424F3">
      <w:pPr>
        <w:pStyle w:val="enumlev1"/>
        <w:rPr>
          <w:spacing w:val="-2"/>
          <w:rtl/>
        </w:rPr>
      </w:pPr>
      <w:r w:rsidRPr="008638EE">
        <w:rPr>
          <w:spacing w:val="-2"/>
          <w:rtl/>
        </w:rPr>
        <w:tab/>
      </w:r>
      <w:bookmarkStart w:id="337" w:name="_Toc520365533"/>
      <w:r w:rsidRPr="008638EE">
        <w:rPr>
          <w:spacing w:val="-2"/>
          <w:rtl/>
        </w:rPr>
        <w:t>وجدير بالملاحظة أن إدارة نظام التأمين الصحي ستكون بالفرنك السويسري، مما يخفض بشكل كبير التعرض لتقلبات أسعار الصرف. ولا يزال الاتحاد معرضاً لمكاسب أو خسائر سعر الصرف الناتجة عن دفع المساهمات إلى الصندوق المشترك للمعاشات التقاعدية لموظفي الأمم المتحدة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bookmarkEnd w:id="337"/>
    </w:p>
    <w:p w14:paraId="4D9DDCD2" w14:textId="77777777" w:rsidR="00C424F3" w:rsidRPr="00C32070" w:rsidRDefault="00C424F3" w:rsidP="00C424F3">
      <w:pPr>
        <w:pStyle w:val="enumlev1"/>
        <w:spacing w:after="120"/>
        <w:rPr>
          <w:rtl/>
        </w:rPr>
      </w:pPr>
      <w:r w:rsidRPr="00C32070">
        <w:rPr>
          <w:rtl/>
        </w:rPr>
        <w:tab/>
      </w:r>
      <w:bookmarkStart w:id="338" w:name="_Toc520365534"/>
      <w:r w:rsidRPr="00C32070">
        <w:rPr>
          <w:rtl/>
        </w:rPr>
        <w:t>وتُدار المساهمات الخارجة عن الميزانية بعملة المساهمة المقدمة وتحول إلى الفرنك السويسري لأغراض تقديم البيانات.</w:t>
      </w:r>
      <w:bookmarkEnd w:id="338"/>
      <w:r w:rsidRPr="00C32070">
        <w:rPr>
          <w:rtl/>
        </w:rPr>
        <w:t xml:space="preserve"> ويوضح الجدول أدناه المبالغ الرئيسية المحتفظ بها بالعملات الأجنبية لدى المصارف التي يتعامل معها الاتحاد باليورو وبالدولار الأمريكي.</w:t>
      </w:r>
    </w:p>
    <w:p w14:paraId="31558C55" w14:textId="545CD926" w:rsidR="008638EE" w:rsidRDefault="008638EE" w:rsidP="008638EE">
      <w:pPr>
        <w:pStyle w:val="Figure"/>
        <w:rPr>
          <w:i/>
          <w:iCs/>
          <w:rtl/>
          <w:lang w:bidi="ar-SY"/>
        </w:rPr>
      </w:pPr>
      <w:r w:rsidRPr="008638EE">
        <w:rPr>
          <w:rtl/>
        </w:rPr>
        <w:lastRenderedPageBreak/>
        <w:drawing>
          <wp:inline distT="0" distB="0" distL="0" distR="0" wp14:anchorId="2C49D73A" wp14:editId="3A93D4F0">
            <wp:extent cx="6120130" cy="1890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1890395"/>
                    </a:xfrm>
                    <a:prstGeom prst="rect">
                      <a:avLst/>
                    </a:prstGeom>
                    <a:noFill/>
                    <a:ln>
                      <a:noFill/>
                    </a:ln>
                  </pic:spPr>
                </pic:pic>
              </a:graphicData>
            </a:graphic>
          </wp:inline>
        </w:drawing>
      </w:r>
    </w:p>
    <w:p w14:paraId="2E6A32BD" w14:textId="2E98A743" w:rsidR="00C424F3" w:rsidRPr="00C32070" w:rsidRDefault="00C424F3" w:rsidP="00C424F3">
      <w:pPr>
        <w:keepNext/>
        <w:keepLines/>
        <w:spacing w:before="160"/>
        <w:rPr>
          <w:i/>
          <w:iCs/>
          <w:rtl/>
          <w:lang w:bidi="ar-SY"/>
        </w:rPr>
      </w:pPr>
      <w:proofErr w:type="gramStart"/>
      <w:r w:rsidRPr="00C32070">
        <w:rPr>
          <w:i/>
          <w:iCs/>
          <w:rtl/>
          <w:lang w:bidi="ar-SY"/>
        </w:rPr>
        <w:t>و )</w:t>
      </w:r>
      <w:proofErr w:type="gramEnd"/>
      <w:r w:rsidRPr="00C32070">
        <w:rPr>
          <w:i/>
          <w:iCs/>
          <w:rtl/>
          <w:lang w:bidi="ar-SY"/>
        </w:rPr>
        <w:tab/>
        <w:t>مخاطر السوق</w:t>
      </w:r>
    </w:p>
    <w:p w14:paraId="3B295227" w14:textId="77777777" w:rsidR="00C424F3" w:rsidRPr="00C32070" w:rsidRDefault="00C424F3" w:rsidP="00C424F3">
      <w:pPr>
        <w:pStyle w:val="enumlev1"/>
        <w:rPr>
          <w:rtl/>
        </w:rPr>
      </w:pPr>
      <w:r w:rsidRPr="00C32070">
        <w:rPr>
          <w:rtl/>
        </w:rPr>
        <w:tab/>
      </w:r>
      <w:bookmarkStart w:id="339" w:name="_Toc520365535"/>
      <w:proofErr w:type="gramStart"/>
      <w:r w:rsidRPr="00C32070">
        <w:rPr>
          <w:rtl/>
        </w:rPr>
        <w:t>مخاطر</w:t>
      </w:r>
      <w:proofErr w:type="gramEnd"/>
      <w:r w:rsidRPr="00C32070">
        <w:rPr>
          <w:rtl/>
        </w:rPr>
        <w:t xml:space="preserve"> السوق هي مخاطر التغييرات في أسعار السوق، مثل أسعار صرف العملات الأجنبية وأسعار الفائدة التي تؤثر على دخل الاتحاد أو قيمة أدواته المالية. والهدف من إدارة </w:t>
      </w:r>
      <w:proofErr w:type="gramStart"/>
      <w:r w:rsidRPr="00C32070">
        <w:rPr>
          <w:rtl/>
        </w:rPr>
        <w:t>مخاطر</w:t>
      </w:r>
      <w:proofErr w:type="gramEnd"/>
      <w:r w:rsidRPr="00C32070">
        <w:rPr>
          <w:rtl/>
        </w:rPr>
        <w:t xml:space="preserve"> السوق هو إدارة التعرض لمخاطر السوق والتحكم فيه ضمن معلمات مقبولة مع استمثال الإيرادات بالنسبة للمخاطر.</w:t>
      </w:r>
      <w:bookmarkEnd w:id="339"/>
    </w:p>
    <w:p w14:paraId="3B4185AC" w14:textId="77777777" w:rsidR="00C424F3" w:rsidRPr="00C32070" w:rsidRDefault="00C424F3" w:rsidP="00C424F3">
      <w:pPr>
        <w:spacing w:after="120"/>
        <w:rPr>
          <w:lang w:bidi="ar-SY"/>
        </w:rPr>
      </w:pPr>
      <w:r w:rsidRPr="00C32070">
        <w:rPr>
          <w:rtl/>
          <w:lang w:bidi="ar-SY"/>
        </w:rPr>
        <w:t xml:space="preserve">وفيما يلي ملخص بيانات بشأن استحقاق الأدوات المالية حتى </w:t>
      </w:r>
      <w:r w:rsidRPr="00C32070">
        <w:rPr>
          <w:lang w:bidi="ar-SY"/>
        </w:rPr>
        <w:t>31</w:t>
      </w:r>
      <w:r w:rsidRPr="00C32070">
        <w:rPr>
          <w:rtl/>
          <w:lang w:bidi="ar-SY"/>
        </w:rPr>
        <w:t xml:space="preserve"> ديسمبر</w:t>
      </w:r>
      <w:r w:rsidRPr="00C32070">
        <w:rPr>
          <w:rtl/>
        </w:rPr>
        <w:t> </w:t>
      </w:r>
      <w:r w:rsidRPr="00C32070">
        <w:rPr>
          <w:rtl/>
          <w:lang w:bidi="ar-SY"/>
        </w:rPr>
        <w:t>2023:</w:t>
      </w:r>
    </w:p>
    <w:p w14:paraId="14E1DB48" w14:textId="4B09E98C" w:rsidR="008638EE" w:rsidRDefault="008638EE" w:rsidP="008638EE">
      <w:pPr>
        <w:pStyle w:val="Figure"/>
      </w:pPr>
      <w:bookmarkStart w:id="340" w:name="_Toc387263374"/>
      <w:bookmarkStart w:id="341" w:name="_Toc387338349"/>
      <w:bookmarkStart w:id="342" w:name="_Toc419484073"/>
      <w:bookmarkStart w:id="343" w:name="_Toc452156625"/>
      <w:bookmarkStart w:id="344" w:name="_Toc482792209"/>
      <w:bookmarkStart w:id="345" w:name="_Toc482793714"/>
      <w:bookmarkStart w:id="346" w:name="_Toc511402229"/>
      <w:bookmarkStart w:id="347" w:name="_Toc511756666"/>
      <w:bookmarkStart w:id="348" w:name="_Toc9614785"/>
      <w:bookmarkStart w:id="349" w:name="_Toc42013540"/>
      <w:bookmarkStart w:id="350" w:name="_Toc42014541"/>
      <w:bookmarkStart w:id="351" w:name="_Toc74061573"/>
      <w:bookmarkStart w:id="352" w:name="_Toc162520624"/>
      <w:r w:rsidRPr="008638EE">
        <w:rPr>
          <w:rtl/>
        </w:rPr>
        <w:drawing>
          <wp:inline distT="0" distB="0" distL="0" distR="0" wp14:anchorId="7C525405" wp14:editId="192567C0">
            <wp:extent cx="5733415" cy="27038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3415" cy="2703830"/>
                    </a:xfrm>
                    <a:prstGeom prst="rect">
                      <a:avLst/>
                    </a:prstGeom>
                    <a:noFill/>
                    <a:ln>
                      <a:noFill/>
                    </a:ln>
                  </pic:spPr>
                </pic:pic>
              </a:graphicData>
            </a:graphic>
          </wp:inline>
        </w:drawing>
      </w:r>
    </w:p>
    <w:p w14:paraId="50437EA9" w14:textId="4D5A1B9B" w:rsidR="00C424F3" w:rsidRPr="00C32070" w:rsidRDefault="00C424F3" w:rsidP="00DB3336">
      <w:pPr>
        <w:pStyle w:val="Heading5"/>
        <w:rPr>
          <w:rtl/>
        </w:rPr>
      </w:pPr>
      <w:bookmarkStart w:id="353" w:name="_Toc168657568"/>
      <w:r w:rsidRPr="00C32070">
        <w:rPr>
          <w:rtl/>
        </w:rPr>
        <w:t xml:space="preserve">الملاحظة </w:t>
      </w:r>
      <w:r w:rsidRPr="00C32070">
        <w:t>6</w:t>
      </w:r>
      <w:r w:rsidRPr="00C32070">
        <w:rPr>
          <w:rtl/>
        </w:rPr>
        <w:tab/>
        <w:t>الاجتهادات والتقديرات المحاسبية</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85F0A3D" w14:textId="77777777" w:rsidR="00C424F3" w:rsidRPr="00C32070" w:rsidRDefault="00C424F3" w:rsidP="00C424F3">
      <w:pPr>
        <w:rPr>
          <w:rtl/>
          <w:lang w:bidi="ar-SY"/>
        </w:rPr>
      </w:pPr>
      <w:r w:rsidRPr="00C32070">
        <w:rPr>
          <w:rtl/>
          <w:lang w:bidi="ar-EG"/>
        </w:rPr>
        <w:t xml:space="preserve">إن إعداد البيانات المالية بموجب المعايير </w:t>
      </w:r>
      <w:r w:rsidRPr="00C32070">
        <w:rPr>
          <w:rtl/>
          <w:lang w:val="fr-CH" w:bidi="ar-EG"/>
        </w:rPr>
        <w:t>المحاسبية الدولية للقطاع العام (</w:t>
      </w:r>
      <w:r w:rsidRPr="00C32070">
        <w:rPr>
          <w:cs/>
          <w:lang w:val="fr-CH" w:bidi="ar-EG"/>
        </w:rPr>
        <w:t>‎</w:t>
      </w:r>
      <w:r w:rsidRPr="00434B05">
        <w:rPr>
          <w:lang w:bidi="ar-EG"/>
        </w:rPr>
        <w:t>IPSAS</w:t>
      </w:r>
      <w:r w:rsidRPr="00C32070">
        <w:rPr>
          <w:rtl/>
          <w:lang w:val="fr-CH" w:bidi="ar-EG"/>
        </w:rPr>
        <w:t xml:space="preserve">) يقتضي من الإدارة </w:t>
      </w:r>
      <w:r w:rsidRPr="00C32070">
        <w:rPr>
          <w:rtl/>
          <w:lang w:bidi="ar-EG"/>
        </w:rPr>
        <w:t>إجراء تقديرات و/أو وضع افتراضات لها تأثير على مبالغ الأصول والخصوم المفصح عنها وعلى الإفصاح عن الخصوم والالتزامات المشروطة في تاريخ الميزانية العمومية، من جهة، وعلى مبلغي الإيرادات والمصروفات في الفترة المحاسبية، من جهة أخرى. ومع أن</w:t>
      </w:r>
      <w:r w:rsidRPr="00C32070">
        <w:rPr>
          <w:rtl/>
          <w:lang w:bidi="ar-SY"/>
        </w:rPr>
        <w:t xml:space="preserve"> التقديرات تقوم على أساس الخبرة الماضية إلى جانب عوامل أخرى تعتبر معقولة في الظروف الراهنة، فإن النتائج قد تختلف عن النتائج المنظورة في هذه</w:t>
      </w:r>
      <w:r w:rsidRPr="00C32070">
        <w:rPr>
          <w:rtl/>
        </w:rPr>
        <w:t> </w:t>
      </w:r>
      <w:r w:rsidRPr="00C32070">
        <w:rPr>
          <w:rtl/>
          <w:lang w:bidi="ar-SY"/>
        </w:rPr>
        <w:t>التقديرات.</w:t>
      </w:r>
    </w:p>
    <w:p w14:paraId="01188EC5" w14:textId="77777777" w:rsidR="00C424F3" w:rsidRPr="00C32070" w:rsidRDefault="00C424F3" w:rsidP="00C424F3">
      <w:pPr>
        <w:rPr>
          <w:lang w:bidi="ar-EG"/>
        </w:rPr>
      </w:pPr>
      <w:r w:rsidRPr="00C32070">
        <w:rPr>
          <w:rtl/>
          <w:lang w:bidi="ar-SY"/>
        </w:rPr>
        <w:t xml:space="preserve">والمجالات التي تنطوي على درجة عالية من التعقيد وتتطلب درجة عالية من </w:t>
      </w:r>
      <w:r w:rsidRPr="00C32070">
        <w:rPr>
          <w:rtl/>
        </w:rPr>
        <w:t>الاجتهاد</w:t>
      </w:r>
      <w:r w:rsidRPr="00C32070">
        <w:rPr>
          <w:rtl/>
          <w:lang w:bidi="ar-SY"/>
        </w:rPr>
        <w:t>أو تلك التي يترتب على افتراضاتها وتقديراتها آثار سلبية فيما يتعلق بإعداد البيانات المالية</w:t>
      </w:r>
      <w:r w:rsidRPr="00C32070">
        <w:rPr>
          <w:rtl/>
        </w:rPr>
        <w:t> </w:t>
      </w:r>
      <w:r w:rsidRPr="00C32070">
        <w:rPr>
          <w:rtl/>
          <w:lang w:bidi="ar-SY"/>
        </w:rPr>
        <w:t>هي:</w:t>
      </w:r>
    </w:p>
    <w:p w14:paraId="2629CF6B" w14:textId="77777777" w:rsidR="00C424F3" w:rsidRPr="00C32070" w:rsidRDefault="00C424F3" w:rsidP="00C424F3">
      <w:pPr>
        <w:pStyle w:val="enumlev1"/>
        <w:rPr>
          <w:rtl/>
        </w:rPr>
      </w:pPr>
      <w:bookmarkStart w:id="354" w:name="_Toc520365536"/>
      <w:r w:rsidRPr="00C32070">
        <w:sym w:font="Symbol" w:char="F0B7"/>
      </w:r>
      <w:r w:rsidRPr="00C32070">
        <w:rPr>
          <w:rtl/>
        </w:rPr>
        <w:tab/>
        <w:t>استحقاقات ما بعد</w:t>
      </w:r>
      <w:r w:rsidRPr="00C32070">
        <w:rPr>
          <w:rtl/>
          <w:lang w:bidi="ar-EG"/>
        </w:rPr>
        <w:t xml:space="preserve"> انتهاء</w:t>
      </w:r>
      <w:r w:rsidRPr="00C32070">
        <w:rPr>
          <w:rtl/>
        </w:rPr>
        <w:t xml:space="preserve"> الخدمة، لا سيما المتعلقة منها بخطة التأمين الصحي بعد انتهاء الخدمة </w:t>
      </w:r>
      <w:r w:rsidRPr="00C32070">
        <w:t>(ASHI)</w:t>
      </w:r>
      <w:r w:rsidRPr="00C32070">
        <w:rPr>
          <w:rtl/>
        </w:rPr>
        <w:t xml:space="preserve"> (انظر الملاحظة </w:t>
      </w:r>
      <w:r w:rsidRPr="00C32070">
        <w:t>18</w:t>
      </w:r>
      <w:r w:rsidRPr="00C32070">
        <w:rPr>
          <w:rtl/>
        </w:rPr>
        <w:t>)؛</w:t>
      </w:r>
      <w:bookmarkEnd w:id="354"/>
    </w:p>
    <w:p w14:paraId="2D070A06" w14:textId="77777777" w:rsidR="00C424F3" w:rsidRPr="00C32070" w:rsidRDefault="00C424F3" w:rsidP="00C424F3">
      <w:pPr>
        <w:pStyle w:val="enumlev1"/>
        <w:numPr>
          <w:ilvl w:val="0"/>
          <w:numId w:val="33"/>
        </w:numPr>
        <w:ind w:hanging="711"/>
        <w:rPr>
          <w:rtl/>
        </w:rPr>
      </w:pPr>
      <w:r w:rsidRPr="00C32070">
        <w:rPr>
          <w:rtl/>
        </w:rPr>
        <w:t>تقييم</w:t>
      </w:r>
      <w:r w:rsidRPr="00C32070">
        <w:rPr>
          <w:rtl/>
          <w:lang w:bidi="ar-EG"/>
        </w:rPr>
        <w:t xml:space="preserve"> مستوى</w:t>
      </w:r>
      <w:r w:rsidRPr="00C32070">
        <w:rPr>
          <w:rtl/>
        </w:rPr>
        <w:t xml:space="preserve"> </w:t>
      </w:r>
      <w:r w:rsidRPr="00C32070">
        <w:rPr>
          <w:rtl/>
          <w:lang w:val="en-GB" w:bidi="ar-EG"/>
        </w:rPr>
        <w:t>انخفاض قيمة الأصول في مشروع المبنى الجديد (انظر الملاحظة 27)؛</w:t>
      </w:r>
    </w:p>
    <w:p w14:paraId="02185878" w14:textId="77777777" w:rsidR="00C424F3" w:rsidRPr="00C32070" w:rsidRDefault="00C424F3" w:rsidP="00C424F3">
      <w:pPr>
        <w:pStyle w:val="enumlev1"/>
        <w:numPr>
          <w:ilvl w:val="0"/>
          <w:numId w:val="33"/>
        </w:numPr>
        <w:ind w:hanging="711"/>
        <w:rPr>
          <w:spacing w:val="-2"/>
          <w:rtl/>
        </w:rPr>
      </w:pPr>
      <w:r w:rsidRPr="00C32070">
        <w:rPr>
          <w:spacing w:val="-2"/>
          <w:rtl/>
        </w:rPr>
        <w:t>الأعمار الإنتاجية للأصول الثابتة والأصول غير المادية واحتمال انخفاض قيمتها (انظر الملاحظات 3.3 و4.3 و12-13 أدناه)؛</w:t>
      </w:r>
    </w:p>
    <w:p w14:paraId="7B06ABF9" w14:textId="77777777" w:rsidR="00C424F3" w:rsidRPr="00C32070" w:rsidRDefault="00C424F3" w:rsidP="00C424F3">
      <w:pPr>
        <w:pStyle w:val="enumlev1"/>
        <w:rPr>
          <w:rtl/>
        </w:rPr>
      </w:pPr>
      <w:bookmarkStart w:id="355" w:name="_Toc520365538"/>
      <w:r w:rsidRPr="00C32070">
        <w:sym w:font="Symbol" w:char="F0B7"/>
      </w:r>
      <w:r w:rsidRPr="00C32070">
        <w:rPr>
          <w:rtl/>
        </w:rPr>
        <w:tab/>
        <w:t xml:space="preserve">انخفاض قيمة الذمم المدينة (انظر الملاحظة </w:t>
      </w:r>
      <w:r w:rsidRPr="00C32070">
        <w:t>9</w:t>
      </w:r>
      <w:r w:rsidRPr="00C32070">
        <w:rPr>
          <w:rtl/>
        </w:rPr>
        <w:t>)؛</w:t>
      </w:r>
      <w:bookmarkEnd w:id="355"/>
    </w:p>
    <w:p w14:paraId="4A0076BE" w14:textId="77777777" w:rsidR="00C424F3" w:rsidRPr="00C32070" w:rsidRDefault="00C424F3" w:rsidP="00C424F3">
      <w:pPr>
        <w:pStyle w:val="enumlev1"/>
        <w:rPr>
          <w:rtl/>
        </w:rPr>
      </w:pPr>
      <w:bookmarkStart w:id="356" w:name="_Toc520365540"/>
      <w:r w:rsidRPr="00C32070">
        <w:lastRenderedPageBreak/>
        <w:sym w:font="Symbol" w:char="F0B7"/>
      </w:r>
      <w:r w:rsidRPr="00C32070">
        <w:rPr>
          <w:rtl/>
        </w:rPr>
        <w:tab/>
        <w:t xml:space="preserve">الإيرادات المؤجلة من معالجة بطاقات التبليغ عن الشبكات </w:t>
      </w:r>
      <w:proofErr w:type="spellStart"/>
      <w:r w:rsidRPr="00C32070">
        <w:rPr>
          <w:rtl/>
        </w:rPr>
        <w:t>الساتلية</w:t>
      </w:r>
      <w:bookmarkStart w:id="357" w:name="_Toc329296024"/>
      <w:bookmarkEnd w:id="356"/>
      <w:proofErr w:type="spellEnd"/>
      <w:r w:rsidRPr="00C32070">
        <w:rPr>
          <w:rtl/>
        </w:rPr>
        <w:t xml:space="preserve"> (انظر الملاحظة </w:t>
      </w:r>
      <w:r w:rsidRPr="00C32070">
        <w:t>16</w:t>
      </w:r>
      <w:r w:rsidRPr="00C32070">
        <w:rPr>
          <w:rtl/>
        </w:rPr>
        <w:t>)؛</w:t>
      </w:r>
    </w:p>
    <w:p w14:paraId="0ED832F7" w14:textId="77777777" w:rsidR="00C424F3" w:rsidRPr="00C32070" w:rsidRDefault="00C424F3" w:rsidP="00C424F3">
      <w:pPr>
        <w:pStyle w:val="enumlev1"/>
        <w:rPr>
          <w:rtl/>
        </w:rPr>
      </w:pPr>
      <w:r w:rsidRPr="00C32070">
        <w:sym w:font="Symbol" w:char="F0B7"/>
      </w:r>
      <w:r w:rsidRPr="00C32070">
        <w:rPr>
          <w:rtl/>
        </w:rPr>
        <w:tab/>
        <w:t xml:space="preserve">أحكام بشأن بطاقات التبليغ عن الشبكات </w:t>
      </w:r>
      <w:proofErr w:type="spellStart"/>
      <w:r w:rsidRPr="00C32070">
        <w:rPr>
          <w:rtl/>
        </w:rPr>
        <w:t>الساتلية</w:t>
      </w:r>
      <w:proofErr w:type="spellEnd"/>
      <w:r w:rsidRPr="00C32070">
        <w:rPr>
          <w:rtl/>
        </w:rPr>
        <w:t xml:space="preserve"> والتقاضي بشأنها (انظر الملاحظة </w:t>
      </w:r>
      <w:r w:rsidRPr="00C32070">
        <w:t>19</w:t>
      </w:r>
      <w:r w:rsidRPr="00C32070">
        <w:rPr>
          <w:rtl/>
        </w:rPr>
        <w:t>).</w:t>
      </w:r>
    </w:p>
    <w:p w14:paraId="1727DC57" w14:textId="77777777" w:rsidR="00C424F3" w:rsidRPr="00C32070" w:rsidRDefault="00C424F3" w:rsidP="00DB3336">
      <w:pPr>
        <w:pStyle w:val="Heading5"/>
        <w:rPr>
          <w:rtl/>
        </w:rPr>
      </w:pPr>
      <w:bookmarkStart w:id="358" w:name="_Toc358648344"/>
      <w:bookmarkStart w:id="359" w:name="_Toc358648543"/>
      <w:bookmarkStart w:id="360" w:name="_Toc387263375"/>
      <w:bookmarkStart w:id="361" w:name="_Toc387338350"/>
      <w:bookmarkStart w:id="362" w:name="_Toc419484074"/>
      <w:bookmarkStart w:id="363" w:name="_Toc452156626"/>
      <w:bookmarkStart w:id="364" w:name="_Toc482792210"/>
      <w:bookmarkStart w:id="365" w:name="_Toc482793715"/>
      <w:bookmarkStart w:id="366" w:name="_Toc511402230"/>
      <w:bookmarkStart w:id="367" w:name="_Toc511756667"/>
      <w:bookmarkStart w:id="368" w:name="_Toc9614786"/>
      <w:bookmarkStart w:id="369" w:name="_Toc42013541"/>
      <w:bookmarkStart w:id="370" w:name="_Toc42014542"/>
      <w:bookmarkStart w:id="371" w:name="_Toc74061574"/>
      <w:bookmarkStart w:id="372" w:name="_Toc162520625"/>
      <w:bookmarkStart w:id="373" w:name="_Toc168657569"/>
      <w:r w:rsidRPr="00C32070">
        <w:rPr>
          <w:rtl/>
        </w:rPr>
        <w:t xml:space="preserve">الملاحظة </w:t>
      </w:r>
      <w:r w:rsidRPr="00C32070">
        <w:t>7</w:t>
      </w:r>
      <w:r w:rsidRPr="00C32070">
        <w:rPr>
          <w:rtl/>
        </w:rPr>
        <w:tab/>
        <w:t>الرصيد النقدي وما يعادله</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F3CA854" w14:textId="77777777" w:rsidR="00C424F3" w:rsidRPr="00C32070" w:rsidRDefault="00C424F3" w:rsidP="00C424F3">
      <w:pPr>
        <w:spacing w:after="120"/>
      </w:pPr>
      <w:r w:rsidRPr="00C32070">
        <w:rPr>
          <w:rtl/>
        </w:rPr>
        <w:t>يتضمن الجدول أدناه فرزاً للأرصدة النقدية وما يعادلها حتى 31 ديسمبر 2023 و2022.</w:t>
      </w:r>
    </w:p>
    <w:p w14:paraId="1F7BC7AB" w14:textId="66AE16A2" w:rsidR="008638EE" w:rsidRDefault="008638EE" w:rsidP="008638EE">
      <w:pPr>
        <w:pStyle w:val="Figure"/>
        <w:rPr>
          <w:rtl/>
        </w:rPr>
      </w:pPr>
      <w:r w:rsidRPr="008638EE">
        <w:rPr>
          <w:rtl/>
        </w:rPr>
        <w:drawing>
          <wp:inline distT="0" distB="0" distL="0" distR="0" wp14:anchorId="2760F4C1" wp14:editId="3DF4780B">
            <wp:extent cx="5733415" cy="16719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3415" cy="1671955"/>
                    </a:xfrm>
                    <a:prstGeom prst="rect">
                      <a:avLst/>
                    </a:prstGeom>
                    <a:noFill/>
                    <a:ln>
                      <a:noFill/>
                    </a:ln>
                  </pic:spPr>
                </pic:pic>
              </a:graphicData>
            </a:graphic>
          </wp:inline>
        </w:drawing>
      </w:r>
    </w:p>
    <w:p w14:paraId="20FD68ED" w14:textId="790DBF96" w:rsidR="00C424F3" w:rsidRPr="008638EE" w:rsidRDefault="00C424F3" w:rsidP="008638EE">
      <w:pPr>
        <w:rPr>
          <w:spacing w:val="-6"/>
          <w:rtl/>
        </w:rPr>
      </w:pPr>
      <w:r w:rsidRPr="008638EE">
        <w:rPr>
          <w:spacing w:val="-6"/>
          <w:rtl/>
        </w:rPr>
        <w:t>ويصل مبلغ الرصيد النقدي المقيَّد وما يعادله في سنتي 2022 و2023 إلى 27,5 مليون فرنك سويسري و28,6 مليون فرنك سويسري، على التوالي. وتتعلق القيود المفروضة على الرصيد النقدي وما يعادله، بصفة رئيسية، بمؤسسة مباني المنظمات الدولية</w:t>
      </w:r>
      <w:r w:rsidR="008638EE" w:rsidRPr="008638EE">
        <w:rPr>
          <w:rFonts w:hint="cs"/>
          <w:spacing w:val="-6"/>
          <w:rtl/>
        </w:rPr>
        <w:t> </w:t>
      </w:r>
      <w:r w:rsidRPr="008638EE">
        <w:rPr>
          <w:spacing w:val="-6"/>
        </w:rPr>
        <w:t>(FIPOI)</w:t>
      </w:r>
      <w:r w:rsidRPr="008638EE">
        <w:rPr>
          <w:spacing w:val="-6"/>
          <w:rtl/>
        </w:rPr>
        <w:t xml:space="preserve"> والتبرعات</w:t>
      </w:r>
      <w:r w:rsidRPr="008638EE">
        <w:rPr>
          <w:spacing w:val="-6"/>
          <w:rtl/>
          <w:lang w:val="en-GB"/>
        </w:rPr>
        <w:t xml:space="preserve"> المقدمة</w:t>
      </w:r>
      <w:r w:rsidRPr="008638EE">
        <w:rPr>
          <w:spacing w:val="-6"/>
          <w:rtl/>
        </w:rPr>
        <w:t xml:space="preserve"> لإنشاء المبنى الجديد، وكذلك بالاستثمارات المتعلقة بصندوق المعاشات التقاعدية القديم للاتحاد.</w:t>
      </w:r>
    </w:p>
    <w:p w14:paraId="30BF51D1" w14:textId="20763C75" w:rsidR="008638EE" w:rsidRDefault="008638EE" w:rsidP="008638EE">
      <w:pPr>
        <w:pStyle w:val="Figure"/>
        <w:rPr>
          <w:rtl/>
        </w:rPr>
      </w:pPr>
      <w:bookmarkStart w:id="374" w:name="_Toc329296025"/>
      <w:bookmarkStart w:id="375" w:name="_Toc358648345"/>
      <w:bookmarkStart w:id="376" w:name="_Toc358648544"/>
      <w:bookmarkStart w:id="377" w:name="_Toc387263376"/>
      <w:bookmarkStart w:id="378" w:name="_Toc387338351"/>
      <w:bookmarkStart w:id="379" w:name="_Toc419484075"/>
      <w:bookmarkStart w:id="380" w:name="_Toc452156627"/>
      <w:bookmarkStart w:id="381" w:name="_Toc482792211"/>
      <w:bookmarkStart w:id="382" w:name="_Toc482793716"/>
      <w:bookmarkStart w:id="383" w:name="_Toc511402231"/>
      <w:bookmarkStart w:id="384" w:name="_Toc511756668"/>
      <w:bookmarkStart w:id="385" w:name="_Toc9614787"/>
      <w:bookmarkStart w:id="386" w:name="_Toc42013542"/>
      <w:bookmarkStart w:id="387" w:name="_Toc42014543"/>
      <w:bookmarkStart w:id="388" w:name="_Toc74061575"/>
      <w:bookmarkStart w:id="389" w:name="_Toc162520626"/>
      <w:r w:rsidRPr="008638EE">
        <w:rPr>
          <w:rtl/>
        </w:rPr>
        <w:drawing>
          <wp:inline distT="0" distB="0" distL="0" distR="0" wp14:anchorId="79911207" wp14:editId="4B6C9AAA">
            <wp:extent cx="5733415" cy="255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3415" cy="2552700"/>
                    </a:xfrm>
                    <a:prstGeom prst="rect">
                      <a:avLst/>
                    </a:prstGeom>
                    <a:noFill/>
                    <a:ln>
                      <a:noFill/>
                    </a:ln>
                  </pic:spPr>
                </pic:pic>
              </a:graphicData>
            </a:graphic>
          </wp:inline>
        </w:drawing>
      </w:r>
    </w:p>
    <w:p w14:paraId="01BA78E0" w14:textId="77D13A87" w:rsidR="00C424F3" w:rsidRPr="00C32070" w:rsidRDefault="00C424F3" w:rsidP="00DB3336">
      <w:pPr>
        <w:pStyle w:val="Heading5"/>
        <w:rPr>
          <w:rtl/>
        </w:rPr>
      </w:pPr>
      <w:bookmarkStart w:id="390" w:name="_Toc168657570"/>
      <w:r w:rsidRPr="009953CD">
        <w:rPr>
          <w:rtl/>
        </w:rPr>
        <w:t xml:space="preserve">الملاحظة </w:t>
      </w:r>
      <w:r w:rsidRPr="009953CD">
        <w:t>8</w:t>
      </w:r>
      <w:r w:rsidRPr="009953CD">
        <w:rPr>
          <w:rtl/>
        </w:rPr>
        <w:tab/>
        <w:t>الاستثمارات</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9BBCEC3" w14:textId="77777777" w:rsidR="00C424F3" w:rsidRPr="00C32070" w:rsidRDefault="00C424F3" w:rsidP="00C424F3">
      <w:pPr>
        <w:rPr>
          <w:rtl/>
        </w:rPr>
      </w:pPr>
      <w:r w:rsidRPr="00C32070">
        <w:rPr>
          <w:rtl/>
        </w:rPr>
        <w:t>يُقاس الاستثمار في الودائع لأجل وغيرها من الأدوات المالية المتصلة بها بالتكلفة المستهلكة. ولا يحوز الاتحاد الدولي للاتصالات في حافظته الحالية استثمارات في سندات أو مشتقات لحقوق ملكية.</w:t>
      </w:r>
    </w:p>
    <w:p w14:paraId="64F8012E" w14:textId="04A4813F" w:rsidR="00C424F3" w:rsidRPr="00C32070" w:rsidRDefault="00C424F3" w:rsidP="00C424F3">
      <w:pPr>
        <w:rPr>
          <w:rtl/>
        </w:rPr>
      </w:pPr>
      <w:r w:rsidRPr="00C32070">
        <w:rPr>
          <w:rtl/>
        </w:rPr>
        <w:t>وتُعزى الزيادة في الاستثمارات إلى زيادة التبرعات المقدمة وتوفر أموال فائضة، الأمر الذي أسهم في تعزيز زيادة الأموال المتاحة</w:t>
      </w:r>
      <w:r w:rsidR="009953CD">
        <w:rPr>
          <w:rFonts w:hint="cs"/>
          <w:rtl/>
        </w:rPr>
        <w:t> </w:t>
      </w:r>
      <w:r w:rsidRPr="00C32070">
        <w:rPr>
          <w:rtl/>
        </w:rPr>
        <w:t>للاستثمار.</w:t>
      </w:r>
    </w:p>
    <w:p w14:paraId="19523999" w14:textId="77777777" w:rsidR="00C424F3" w:rsidRPr="00C32070" w:rsidRDefault="00C424F3" w:rsidP="00C424F3">
      <w:pPr>
        <w:spacing w:after="120"/>
        <w:rPr>
          <w:lang w:bidi="ar-EG"/>
        </w:rPr>
      </w:pPr>
      <w:r w:rsidRPr="00C32070">
        <w:rPr>
          <w:rtl/>
          <w:lang w:bidi="ar-EG"/>
        </w:rPr>
        <w:t>وفيما يلي فرز للاستثمارات المحددة الأجل بحسب تاريخ الاستحقاق (الفترة المتبقية) وبحسب العملة:</w:t>
      </w:r>
    </w:p>
    <w:p w14:paraId="4A31602B" w14:textId="1C90030E" w:rsidR="009953CD" w:rsidRDefault="009953CD" w:rsidP="009953CD">
      <w:pPr>
        <w:pStyle w:val="Figure"/>
        <w:rPr>
          <w:rtl/>
        </w:rPr>
      </w:pPr>
      <w:bookmarkStart w:id="391" w:name="_Toc329296026"/>
      <w:bookmarkStart w:id="392" w:name="_Toc358648346"/>
      <w:bookmarkStart w:id="393" w:name="_Toc358648545"/>
      <w:bookmarkStart w:id="394" w:name="_Toc387263377"/>
      <w:bookmarkStart w:id="395" w:name="_Toc387338352"/>
      <w:bookmarkStart w:id="396" w:name="_Toc419484076"/>
      <w:bookmarkStart w:id="397" w:name="_Toc452156628"/>
      <w:bookmarkStart w:id="398" w:name="_Toc482792212"/>
      <w:bookmarkStart w:id="399" w:name="_Toc482793717"/>
      <w:bookmarkStart w:id="400" w:name="_Toc511402232"/>
      <w:bookmarkStart w:id="401" w:name="_Toc511756669"/>
      <w:bookmarkStart w:id="402" w:name="_Toc9614788"/>
      <w:bookmarkStart w:id="403" w:name="_Toc42013543"/>
      <w:bookmarkStart w:id="404" w:name="_Toc42014544"/>
      <w:bookmarkStart w:id="405" w:name="_Toc74061576"/>
      <w:bookmarkStart w:id="406" w:name="_Toc162520627"/>
      <w:r w:rsidRPr="009953CD">
        <w:rPr>
          <w:rtl/>
        </w:rPr>
        <w:lastRenderedPageBreak/>
        <w:drawing>
          <wp:inline distT="0" distB="0" distL="0" distR="0" wp14:anchorId="3E2608A0" wp14:editId="781A1B23">
            <wp:extent cx="6120130" cy="1486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130" cy="1486535"/>
                    </a:xfrm>
                    <a:prstGeom prst="rect">
                      <a:avLst/>
                    </a:prstGeom>
                    <a:noFill/>
                    <a:ln>
                      <a:noFill/>
                    </a:ln>
                  </pic:spPr>
                </pic:pic>
              </a:graphicData>
            </a:graphic>
          </wp:inline>
        </w:drawing>
      </w:r>
    </w:p>
    <w:p w14:paraId="5E2EB6AB" w14:textId="63A4F3FF" w:rsidR="00C424F3" w:rsidRPr="00C32070" w:rsidRDefault="00C424F3" w:rsidP="00DB3336">
      <w:pPr>
        <w:pStyle w:val="Heading5"/>
        <w:rPr>
          <w:rtl/>
        </w:rPr>
      </w:pPr>
      <w:bookmarkStart w:id="407" w:name="_Toc168657571"/>
      <w:r w:rsidRPr="00C32070">
        <w:rPr>
          <w:rtl/>
        </w:rPr>
        <w:t xml:space="preserve">الملاحظة </w:t>
      </w:r>
      <w:r w:rsidRPr="00C32070">
        <w:t>9</w:t>
      </w:r>
      <w:r w:rsidRPr="00C32070">
        <w:rPr>
          <w:rtl/>
        </w:rPr>
        <w:tab/>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C32070">
        <w:rPr>
          <w:rtl/>
        </w:rPr>
        <w:t>الذمم المدينة</w:t>
      </w:r>
      <w:bookmarkEnd w:id="406"/>
      <w:bookmarkEnd w:id="407"/>
    </w:p>
    <w:p w14:paraId="4122A7B2" w14:textId="77777777" w:rsidR="00C424F3" w:rsidRPr="00C32070" w:rsidRDefault="00C424F3" w:rsidP="00820D86">
      <w:pPr>
        <w:rPr>
          <w:rtl/>
          <w:lang w:bidi="ar-EG"/>
        </w:rPr>
      </w:pPr>
      <w:r w:rsidRPr="00C32070">
        <w:rPr>
          <w:rtl/>
          <w:lang w:bidi="ar-EG"/>
        </w:rPr>
        <w:t xml:space="preserve">تمثل </w:t>
      </w:r>
      <w:r w:rsidRPr="00C32070">
        <w:rPr>
          <w:rtl/>
        </w:rPr>
        <w:t>الذممُ المدينة</w:t>
      </w:r>
      <w:r w:rsidRPr="00C32070">
        <w:rPr>
          <w:b/>
          <w:bCs/>
          <w:rtl/>
        </w:rPr>
        <w:t xml:space="preserve"> </w:t>
      </w:r>
      <w:r w:rsidRPr="00C32070">
        <w:rPr>
          <w:rtl/>
          <w:lang w:bidi="ar-EG"/>
        </w:rPr>
        <w:t xml:space="preserve">غير الجارية وغير التبادلية </w:t>
      </w:r>
      <w:r w:rsidRPr="00C32070">
        <w:rPr>
          <w:rtl/>
        </w:rPr>
        <w:t xml:space="preserve">الذمم المدينة المستحقة على </w:t>
      </w:r>
      <w:r w:rsidRPr="00C32070">
        <w:rPr>
          <w:rtl/>
          <w:lang w:bidi="ar-EG"/>
        </w:rPr>
        <w:t xml:space="preserve">الأعضاء المتعهدين بسداد </w:t>
      </w:r>
      <w:proofErr w:type="spellStart"/>
      <w:r w:rsidRPr="00C32070">
        <w:rPr>
          <w:rtl/>
          <w:lang w:bidi="ar-EG"/>
        </w:rPr>
        <w:t>متأخراتهم</w:t>
      </w:r>
      <w:proofErr w:type="spellEnd"/>
      <w:r w:rsidRPr="00C32070">
        <w:rPr>
          <w:rtl/>
          <w:lang w:bidi="ar-EG"/>
        </w:rPr>
        <w:t xml:space="preserve"> بموجب اتفاقات سداد مجدولة خلال عدة فترات مالية.</w:t>
      </w:r>
    </w:p>
    <w:p w14:paraId="69882EE1" w14:textId="77777777" w:rsidR="00C424F3" w:rsidRPr="00C32070" w:rsidRDefault="00C424F3" w:rsidP="00820D86">
      <w:pPr>
        <w:rPr>
          <w:rtl/>
          <w:lang w:bidi="ar-EG"/>
        </w:rPr>
      </w:pPr>
      <w:r w:rsidRPr="00C32070">
        <w:rPr>
          <w:rtl/>
          <w:lang w:bidi="ar-EG"/>
        </w:rPr>
        <w:t xml:space="preserve">وتمثل </w:t>
      </w:r>
      <w:r w:rsidRPr="00C32070">
        <w:rPr>
          <w:rtl/>
        </w:rPr>
        <w:t>الذممُ المدينة</w:t>
      </w:r>
      <w:r w:rsidRPr="00C32070">
        <w:rPr>
          <w:b/>
          <w:bCs/>
          <w:rtl/>
        </w:rPr>
        <w:t xml:space="preserve"> </w:t>
      </w:r>
      <w:r w:rsidRPr="00C32070">
        <w:rPr>
          <w:rtl/>
          <w:lang w:bidi="ar-EG"/>
        </w:rPr>
        <w:t xml:space="preserve">الإيرادات غير المحصَّلة من المساهمات المقررة والمساهمات الطوعية والمنشورات وبطاقات التبليغ عن الشبكات </w:t>
      </w:r>
      <w:proofErr w:type="spellStart"/>
      <w:r w:rsidRPr="00C32070">
        <w:rPr>
          <w:rtl/>
          <w:lang w:bidi="ar-EG"/>
        </w:rPr>
        <w:t>الساتلية</w:t>
      </w:r>
      <w:proofErr w:type="spellEnd"/>
      <w:r w:rsidRPr="00C32070">
        <w:rPr>
          <w:rtl/>
          <w:lang w:bidi="ar-EG"/>
        </w:rPr>
        <w:t>.</w:t>
      </w:r>
    </w:p>
    <w:p w14:paraId="287B5810" w14:textId="77777777" w:rsidR="00C424F3" w:rsidRPr="00C32070" w:rsidRDefault="00C424F3" w:rsidP="00820D86">
      <w:pPr>
        <w:rPr>
          <w:spacing w:val="-2"/>
          <w:rtl/>
          <w:lang w:val="en-GB" w:bidi="ar-SY"/>
        </w:rPr>
      </w:pPr>
      <w:r w:rsidRPr="00C32070">
        <w:rPr>
          <w:spacing w:val="-2"/>
          <w:rtl/>
          <w:lang w:bidi="ar-EG"/>
        </w:rPr>
        <w:t>و</w:t>
      </w:r>
      <w:r w:rsidRPr="00C32070">
        <w:rPr>
          <w:spacing w:val="-2"/>
          <w:rtl/>
          <w:lang w:bidi="ar-SY"/>
        </w:rPr>
        <w:t xml:space="preserve">في عام 2023، شهدت الحسابات المدينة الجارية ثباتاً، بينما انخفضت الحسابات المدينة غير الجارية بقيمة </w:t>
      </w:r>
      <w:r w:rsidRPr="00C32070">
        <w:rPr>
          <w:spacing w:val="-2"/>
          <w:rtl/>
          <w:lang w:val="en-GB" w:bidi="ar-EG"/>
        </w:rPr>
        <w:t xml:space="preserve">8,4 ملايين فرنك سويسري. ويعزى هذا الاتجاه الإيجابي، أساساً، إلى تحسُّن عملية التحصيل بعد تنفيذ القرار </w:t>
      </w:r>
      <w:r w:rsidRPr="00C32070">
        <w:rPr>
          <w:spacing w:val="-2"/>
          <w:lang w:val="en-GB" w:bidi="ar-EG"/>
        </w:rPr>
        <w:t>152</w:t>
      </w:r>
      <w:r w:rsidRPr="00C32070">
        <w:rPr>
          <w:spacing w:val="-2"/>
          <w:rtl/>
          <w:lang w:val="en-GB" w:bidi="ar-EG"/>
        </w:rPr>
        <w:t xml:space="preserve"> (المراجَع في بوسان، 2014) بنجاح.</w:t>
      </w:r>
    </w:p>
    <w:p w14:paraId="1EEE2DFD" w14:textId="68D703B6" w:rsidR="00C424F3" w:rsidRPr="00C32070" w:rsidRDefault="00C424F3" w:rsidP="00C424F3">
      <w:pPr>
        <w:spacing w:after="120"/>
        <w:rPr>
          <w:lang w:bidi="ar-SY"/>
        </w:rPr>
      </w:pPr>
      <w:r w:rsidRPr="00C32070">
        <w:rPr>
          <w:spacing w:val="-4"/>
          <w:rtl/>
          <w:lang w:bidi="ar-SY"/>
        </w:rPr>
        <w:t xml:space="preserve">ويمكن الاطلاع في وثيقة المجلس </w:t>
      </w:r>
      <w:hyperlink r:id="rId44" w:history="1">
        <w:r w:rsidRPr="00434B05">
          <w:rPr>
            <w:rStyle w:val="Hyperlink"/>
            <w:spacing w:val="-4"/>
            <w:lang w:bidi="ar-SY"/>
          </w:rPr>
          <w:t>C24/INF/4</w:t>
        </w:r>
      </w:hyperlink>
      <w:r w:rsidRPr="00C32070">
        <w:rPr>
          <w:rtl/>
          <w:lang w:bidi="ar-SY"/>
        </w:rPr>
        <w:t xml:space="preserve"> على حالة المتأخرات في الميزانية العادية للاتحاد حتى </w:t>
      </w:r>
      <w:r w:rsidRPr="00C32070">
        <w:rPr>
          <w:lang w:bidi="ar-EG"/>
        </w:rPr>
        <w:t>31</w:t>
      </w:r>
      <w:r w:rsidRPr="00C32070">
        <w:rPr>
          <w:rtl/>
          <w:lang w:bidi="ar-SY"/>
        </w:rPr>
        <w:t xml:space="preserve"> ديسمبر </w:t>
      </w:r>
      <w:r w:rsidRPr="00C32070">
        <w:rPr>
          <w:rtl/>
          <w:lang w:bidi="ar-EG"/>
        </w:rPr>
        <w:t>2023</w:t>
      </w:r>
      <w:r w:rsidRPr="00C32070">
        <w:rPr>
          <w:rtl/>
          <w:lang w:bidi="ar-SY"/>
        </w:rPr>
        <w:t>.</w:t>
      </w:r>
    </w:p>
    <w:p w14:paraId="47B529DA" w14:textId="58A52AC7" w:rsidR="009953CD" w:rsidRDefault="009953CD" w:rsidP="009953CD">
      <w:pPr>
        <w:pStyle w:val="Figure"/>
      </w:pPr>
      <w:bookmarkStart w:id="408" w:name="_Toc112318686"/>
      <w:r w:rsidRPr="009953CD">
        <w:rPr>
          <w:rtl/>
        </w:rPr>
        <w:drawing>
          <wp:inline distT="0" distB="0" distL="0" distR="0" wp14:anchorId="220BBA24" wp14:editId="48D2C38F">
            <wp:extent cx="5733415" cy="277685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3415" cy="2776855"/>
                    </a:xfrm>
                    <a:prstGeom prst="rect">
                      <a:avLst/>
                    </a:prstGeom>
                    <a:noFill/>
                    <a:ln>
                      <a:noFill/>
                    </a:ln>
                  </pic:spPr>
                </pic:pic>
              </a:graphicData>
            </a:graphic>
          </wp:inline>
        </w:drawing>
      </w:r>
    </w:p>
    <w:p w14:paraId="08BB7BCA" w14:textId="2A097408" w:rsidR="002D5E5F" w:rsidRPr="00C32070" w:rsidRDefault="002D5E5F" w:rsidP="00DB3336">
      <w:pPr>
        <w:pStyle w:val="Heading5"/>
        <w:rPr>
          <w:rtl/>
        </w:rPr>
      </w:pPr>
      <w:bookmarkStart w:id="409" w:name="_Toc168657572"/>
      <w:r w:rsidRPr="00C32070">
        <w:rPr>
          <w:rtl/>
        </w:rPr>
        <w:t xml:space="preserve">الملاحظة </w:t>
      </w:r>
      <w:r w:rsidRPr="00C32070">
        <w:t>10</w:t>
      </w:r>
      <w:r w:rsidRPr="00C32070">
        <w:rPr>
          <w:rtl/>
        </w:rPr>
        <w:tab/>
        <w:t>الذمم المدينة الأخرى</w:t>
      </w:r>
      <w:bookmarkEnd w:id="408"/>
      <w:bookmarkEnd w:id="409"/>
    </w:p>
    <w:p w14:paraId="1B88B31A" w14:textId="77777777" w:rsidR="002D5E5F" w:rsidRPr="00C32070" w:rsidRDefault="002D5E5F" w:rsidP="00820D86">
      <w:pPr>
        <w:rPr>
          <w:rtl/>
        </w:rPr>
      </w:pPr>
      <w:r w:rsidRPr="00C32070">
        <w:rPr>
          <w:rtl/>
        </w:rPr>
        <w:t>الفئة الرئيسية المندرجة ضمن الذمم المدينة الأخرى هي سلف الموظفين. وتقدَّم هذه السلف للموظفين وفقاً للنظام الأساسي لموظفي الاتحاد.</w:t>
      </w:r>
    </w:p>
    <w:p w14:paraId="664BA131" w14:textId="18E4E9FD" w:rsidR="002D5E5F" w:rsidRPr="00C32070" w:rsidRDefault="002D5E5F" w:rsidP="00820D86">
      <w:pPr>
        <w:spacing w:after="120"/>
        <w:rPr>
          <w:lang w:bidi="ar-EG"/>
        </w:rPr>
      </w:pPr>
      <w:r w:rsidRPr="00C32070">
        <w:rPr>
          <w:rtl/>
          <w:lang w:bidi="ar-EG"/>
        </w:rPr>
        <w:t>وتشمل الضرائب المستقطَعة الضرائب القابلة للاسترداد من الإدارة الاتحادية السويسرية للمساهمات الضريبية وكذلك الضرائب المفروضة على الدخل التي يتعين استردادها من حكومة الولايات المتحدة الأمريكية.</w:t>
      </w:r>
    </w:p>
    <w:p w14:paraId="2EA58AEA" w14:textId="31E1A077" w:rsidR="009953CD" w:rsidRDefault="009953CD" w:rsidP="009953CD">
      <w:pPr>
        <w:pStyle w:val="Figure"/>
      </w:pPr>
      <w:bookmarkStart w:id="410" w:name="_Toc329296029"/>
      <w:bookmarkStart w:id="411" w:name="_Toc358648349"/>
      <w:bookmarkStart w:id="412" w:name="_Toc358648548"/>
      <w:bookmarkStart w:id="413" w:name="_Toc387263380"/>
      <w:bookmarkStart w:id="414" w:name="_Toc387338355"/>
      <w:bookmarkStart w:id="415" w:name="_Toc419484079"/>
      <w:bookmarkStart w:id="416" w:name="_Toc452156631"/>
      <w:bookmarkStart w:id="417" w:name="_Toc482792215"/>
      <w:bookmarkStart w:id="418" w:name="_Toc482793720"/>
      <w:bookmarkStart w:id="419" w:name="_Toc511402235"/>
      <w:bookmarkStart w:id="420" w:name="_Toc511756672"/>
      <w:bookmarkStart w:id="421" w:name="_Toc9614791"/>
      <w:bookmarkStart w:id="422" w:name="_Toc42013546"/>
      <w:bookmarkStart w:id="423" w:name="_Toc42014547"/>
      <w:bookmarkStart w:id="424" w:name="_Toc74061579"/>
      <w:bookmarkStart w:id="425" w:name="_Toc162520630"/>
      <w:r w:rsidRPr="009953CD">
        <w:rPr>
          <w:rtl/>
        </w:rPr>
        <w:lastRenderedPageBreak/>
        <w:drawing>
          <wp:inline distT="0" distB="0" distL="0" distR="0" wp14:anchorId="10D73A48" wp14:editId="12C886A2">
            <wp:extent cx="5733415" cy="20307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3415" cy="2030730"/>
                    </a:xfrm>
                    <a:prstGeom prst="rect">
                      <a:avLst/>
                    </a:prstGeom>
                    <a:noFill/>
                    <a:ln>
                      <a:noFill/>
                    </a:ln>
                  </pic:spPr>
                </pic:pic>
              </a:graphicData>
            </a:graphic>
          </wp:inline>
        </w:drawing>
      </w:r>
    </w:p>
    <w:p w14:paraId="3778A20E" w14:textId="162F4638" w:rsidR="002D5E5F" w:rsidRPr="00C32070" w:rsidRDefault="002D5E5F" w:rsidP="00DB3336">
      <w:pPr>
        <w:pStyle w:val="Heading5"/>
        <w:rPr>
          <w:rtl/>
        </w:rPr>
      </w:pPr>
      <w:bookmarkStart w:id="426" w:name="_Toc168657573"/>
      <w:r w:rsidRPr="00C32070">
        <w:rPr>
          <w:rtl/>
        </w:rPr>
        <w:t xml:space="preserve">الملاحظة </w:t>
      </w:r>
      <w:r w:rsidRPr="00C32070">
        <w:t>11</w:t>
      </w:r>
      <w:r w:rsidRPr="00C32070">
        <w:rPr>
          <w:rtl/>
        </w:rPr>
        <w:tab/>
      </w:r>
      <w:bookmarkStart w:id="427" w:name="_Hlk16093964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32070">
        <w:rPr>
          <w:rtl/>
        </w:rPr>
        <w:t>الممتلكات والمنشآت والمعدات</w:t>
      </w:r>
      <w:bookmarkEnd w:id="425"/>
      <w:bookmarkEnd w:id="427"/>
      <w:bookmarkEnd w:id="426"/>
    </w:p>
    <w:p w14:paraId="29EDD2C5" w14:textId="77777777" w:rsidR="002D5E5F" w:rsidRPr="00C32070" w:rsidRDefault="002D5E5F" w:rsidP="00820D86">
      <w:pPr>
        <w:rPr>
          <w:rtl/>
          <w:lang w:bidi="ar-EG"/>
        </w:rPr>
      </w:pPr>
      <w:bookmarkStart w:id="428" w:name="_Toc306236958"/>
      <w:r w:rsidRPr="00C32070">
        <w:rPr>
          <w:rtl/>
          <w:lang w:bidi="ar-EG"/>
        </w:rPr>
        <w:t>تتألف مباني الاتحاد مما يلي:</w:t>
      </w:r>
      <w:bookmarkEnd w:id="428"/>
    </w:p>
    <w:p w14:paraId="23BBA7AF" w14:textId="77777777" w:rsidR="002D5E5F" w:rsidRPr="00C32070" w:rsidRDefault="002D5E5F" w:rsidP="002D5E5F">
      <w:pPr>
        <w:pStyle w:val="enumlev1"/>
        <w:keepNext/>
        <w:keepLines/>
        <w:rPr>
          <w:rtl/>
        </w:rPr>
      </w:pPr>
      <w:bookmarkStart w:id="429" w:name="_Toc520365542"/>
      <w:r w:rsidRPr="00C32070">
        <w:rPr>
          <w:rtl/>
        </w:rPr>
        <w:t>-</w:t>
      </w:r>
      <w:r w:rsidRPr="00C32070">
        <w:rPr>
          <w:rtl/>
        </w:rPr>
        <w:tab/>
        <w:t xml:space="preserve">مبنى البرج، شارع </w:t>
      </w:r>
      <w:proofErr w:type="spellStart"/>
      <w:r w:rsidRPr="00C32070">
        <w:rPr>
          <w:rtl/>
        </w:rPr>
        <w:t>فارامبيه</w:t>
      </w:r>
      <w:proofErr w:type="spellEnd"/>
      <w:r w:rsidRPr="00C32070">
        <w:rPr>
          <w:rtl/>
        </w:rPr>
        <w:t>، جنيف؛</w:t>
      </w:r>
      <w:bookmarkEnd w:id="429"/>
    </w:p>
    <w:p w14:paraId="711CAF6D" w14:textId="77777777" w:rsidR="002D5E5F" w:rsidRPr="00C32070" w:rsidRDefault="002D5E5F" w:rsidP="002D5E5F">
      <w:pPr>
        <w:pStyle w:val="enumlev1"/>
        <w:keepNext/>
        <w:keepLines/>
        <w:rPr>
          <w:lang w:val="en" w:bidi="ar"/>
        </w:rPr>
      </w:pPr>
      <w:bookmarkStart w:id="430" w:name="_Toc520365543"/>
      <w:r w:rsidRPr="00C32070">
        <w:rPr>
          <w:rtl/>
        </w:rPr>
        <w:t>-</w:t>
      </w:r>
      <w:r w:rsidRPr="00C32070">
        <w:rPr>
          <w:rtl/>
        </w:rPr>
        <w:tab/>
        <w:t xml:space="preserve">مبنى </w:t>
      </w:r>
      <w:proofErr w:type="spellStart"/>
      <w:r w:rsidRPr="00C32070">
        <w:rPr>
          <w:rtl/>
        </w:rPr>
        <w:t>فارامبيه</w:t>
      </w:r>
      <w:proofErr w:type="spellEnd"/>
      <w:r w:rsidRPr="00C32070">
        <w:rPr>
          <w:rtl/>
        </w:rPr>
        <w:t xml:space="preserve">، شارع </w:t>
      </w:r>
      <w:proofErr w:type="spellStart"/>
      <w:r w:rsidRPr="00C32070">
        <w:rPr>
          <w:rtl/>
        </w:rPr>
        <w:t>فارامبيه</w:t>
      </w:r>
      <w:proofErr w:type="spellEnd"/>
      <w:r w:rsidRPr="00C32070">
        <w:rPr>
          <w:rtl/>
        </w:rPr>
        <w:t xml:space="preserve">، جنيف. </w:t>
      </w:r>
      <w:bookmarkEnd w:id="430"/>
      <w:r w:rsidRPr="00C32070">
        <w:rPr>
          <w:rtl/>
        </w:rPr>
        <w:t>واستُهلك</w:t>
      </w:r>
      <w:r w:rsidRPr="00C32070">
        <w:rPr>
          <w:lang w:val="en"/>
        </w:rPr>
        <w:t xml:space="preserve"> </w:t>
      </w:r>
      <w:r w:rsidRPr="00C32070">
        <w:rPr>
          <w:rtl/>
          <w:lang w:bidi="ar"/>
        </w:rPr>
        <w:t>هذا</w:t>
      </w:r>
      <w:r w:rsidRPr="00C32070">
        <w:rPr>
          <w:lang w:val="en"/>
        </w:rPr>
        <w:t xml:space="preserve"> </w:t>
      </w:r>
      <w:r w:rsidRPr="00C32070">
        <w:rPr>
          <w:rtl/>
          <w:lang w:bidi="ar"/>
        </w:rPr>
        <w:t>المبنى</w:t>
      </w:r>
      <w:r w:rsidRPr="00C32070">
        <w:rPr>
          <w:lang w:val="en"/>
        </w:rPr>
        <w:t xml:space="preserve"> </w:t>
      </w:r>
      <w:r w:rsidRPr="00C32070">
        <w:rPr>
          <w:rtl/>
          <w:lang w:bidi="ar"/>
        </w:rPr>
        <w:t>بالكامل</w:t>
      </w:r>
      <w:r w:rsidRPr="00C32070">
        <w:rPr>
          <w:lang w:val="en"/>
        </w:rPr>
        <w:t xml:space="preserve"> </w:t>
      </w:r>
      <w:r w:rsidRPr="00C32070">
        <w:rPr>
          <w:rtl/>
          <w:lang w:bidi="ar"/>
        </w:rPr>
        <w:t>اعتباراً</w:t>
      </w:r>
      <w:r w:rsidRPr="00C32070">
        <w:rPr>
          <w:lang w:val="en"/>
        </w:rPr>
        <w:t xml:space="preserve"> </w:t>
      </w:r>
      <w:r w:rsidRPr="00C32070">
        <w:rPr>
          <w:rtl/>
          <w:lang w:bidi="ar"/>
        </w:rPr>
        <w:t>من</w:t>
      </w:r>
      <w:r w:rsidRPr="00C32070">
        <w:rPr>
          <w:lang w:val="en"/>
        </w:rPr>
        <w:t xml:space="preserve"> 31 </w:t>
      </w:r>
      <w:r w:rsidRPr="00C32070">
        <w:rPr>
          <w:rtl/>
          <w:lang w:val="en"/>
        </w:rPr>
        <w:t xml:space="preserve">ديسمبر 2022 </w:t>
      </w:r>
      <w:r w:rsidRPr="00C32070">
        <w:rPr>
          <w:rtl/>
          <w:lang w:bidi="ar"/>
        </w:rPr>
        <w:t>ترقباً</w:t>
      </w:r>
      <w:r w:rsidRPr="00C32070">
        <w:rPr>
          <w:lang w:val="en"/>
        </w:rPr>
        <w:t xml:space="preserve"> </w:t>
      </w:r>
      <w:r w:rsidRPr="00C32070">
        <w:rPr>
          <w:rtl/>
          <w:lang w:bidi="ar"/>
        </w:rPr>
        <w:t>لبدء</w:t>
      </w:r>
      <w:r w:rsidRPr="00C32070">
        <w:rPr>
          <w:lang w:val="en"/>
        </w:rPr>
        <w:t xml:space="preserve"> </w:t>
      </w:r>
      <w:r w:rsidRPr="00C32070">
        <w:rPr>
          <w:rtl/>
          <w:lang w:bidi="ar"/>
        </w:rPr>
        <w:t>مشروع</w:t>
      </w:r>
      <w:r w:rsidRPr="00C32070">
        <w:rPr>
          <w:lang w:val="en"/>
        </w:rPr>
        <w:t xml:space="preserve"> </w:t>
      </w:r>
      <w:r w:rsidRPr="00C32070">
        <w:rPr>
          <w:rtl/>
          <w:lang w:bidi="ar"/>
        </w:rPr>
        <w:t>المبنى</w:t>
      </w:r>
      <w:r w:rsidRPr="00C32070">
        <w:rPr>
          <w:lang w:val="en"/>
        </w:rPr>
        <w:t xml:space="preserve"> </w:t>
      </w:r>
      <w:r w:rsidRPr="00C32070">
        <w:rPr>
          <w:rtl/>
          <w:lang w:bidi="ar"/>
        </w:rPr>
        <w:t>الجديد.</w:t>
      </w:r>
      <w:r w:rsidRPr="00C32070">
        <w:rPr>
          <w:rtl/>
          <w:lang w:val="en"/>
        </w:rPr>
        <w:t xml:space="preserve"> و</w:t>
      </w:r>
      <w:r w:rsidRPr="00C32070">
        <w:rPr>
          <w:rtl/>
          <w:lang w:bidi="ar"/>
        </w:rPr>
        <w:t>حالياً</w:t>
      </w:r>
      <w:r w:rsidRPr="00C32070">
        <w:rPr>
          <w:lang w:val="en"/>
        </w:rPr>
        <w:t xml:space="preserve"> </w:t>
      </w:r>
      <w:r w:rsidRPr="00C32070">
        <w:rPr>
          <w:rtl/>
          <w:lang w:bidi="ar"/>
        </w:rPr>
        <w:t>لا</w:t>
      </w:r>
      <w:r w:rsidRPr="00C32070">
        <w:rPr>
          <w:lang w:val="en"/>
        </w:rPr>
        <w:t xml:space="preserve"> </w:t>
      </w:r>
      <w:r w:rsidRPr="00C32070">
        <w:rPr>
          <w:rtl/>
          <w:lang w:bidi="ar"/>
        </w:rPr>
        <w:t>يزال</w:t>
      </w:r>
      <w:r w:rsidRPr="00C32070">
        <w:rPr>
          <w:rtl/>
        </w:rPr>
        <w:t xml:space="preserve"> </w:t>
      </w:r>
      <w:r w:rsidRPr="00C32070">
        <w:rPr>
          <w:rtl/>
          <w:lang w:bidi="ar"/>
        </w:rPr>
        <w:t>هذا المبنى</w:t>
      </w:r>
      <w:r w:rsidRPr="00C32070">
        <w:rPr>
          <w:lang w:val="en"/>
        </w:rPr>
        <w:t xml:space="preserve"> </w:t>
      </w:r>
      <w:r w:rsidRPr="00C32070">
        <w:rPr>
          <w:rtl/>
          <w:lang w:bidi="ar"/>
        </w:rPr>
        <w:t>قيد</w:t>
      </w:r>
      <w:r w:rsidRPr="00C32070">
        <w:rPr>
          <w:lang w:val="en"/>
        </w:rPr>
        <w:t xml:space="preserve"> </w:t>
      </w:r>
      <w:r w:rsidRPr="00C32070">
        <w:rPr>
          <w:rtl/>
          <w:lang w:bidi="ar"/>
        </w:rPr>
        <w:t>الاستخدام؛</w:t>
      </w:r>
    </w:p>
    <w:p w14:paraId="7482D40B" w14:textId="77777777" w:rsidR="002D5E5F" w:rsidRPr="00C32070" w:rsidRDefault="002D5E5F" w:rsidP="002D5E5F">
      <w:pPr>
        <w:pStyle w:val="enumlev1"/>
        <w:keepNext/>
        <w:keepLines/>
        <w:rPr>
          <w:rtl/>
        </w:rPr>
      </w:pPr>
      <w:bookmarkStart w:id="431" w:name="_Toc520365544"/>
      <w:r w:rsidRPr="00C32070">
        <w:rPr>
          <w:rtl/>
        </w:rPr>
        <w:t>-</w:t>
      </w:r>
      <w:r w:rsidRPr="00C32070">
        <w:rPr>
          <w:rtl/>
        </w:rPr>
        <w:tab/>
        <w:t xml:space="preserve">الملحق </w:t>
      </w:r>
      <w:r w:rsidRPr="00C32070">
        <w:rPr>
          <w:lang w:val="en"/>
        </w:rPr>
        <w:t>C</w:t>
      </w:r>
      <w:r w:rsidRPr="00C32070">
        <w:rPr>
          <w:rtl/>
        </w:rPr>
        <w:t xml:space="preserve"> والكافتيريا، شارع </w:t>
      </w:r>
      <w:proofErr w:type="spellStart"/>
      <w:r w:rsidRPr="00C32070">
        <w:rPr>
          <w:rtl/>
        </w:rPr>
        <w:t>فارامبيه</w:t>
      </w:r>
      <w:proofErr w:type="spellEnd"/>
      <w:r w:rsidRPr="00C32070">
        <w:rPr>
          <w:rtl/>
        </w:rPr>
        <w:t>، جنيف؛</w:t>
      </w:r>
      <w:bookmarkEnd w:id="431"/>
    </w:p>
    <w:p w14:paraId="5A0D961E" w14:textId="77777777" w:rsidR="002D5E5F" w:rsidRPr="00C32070" w:rsidRDefault="002D5E5F" w:rsidP="002D5E5F">
      <w:pPr>
        <w:pStyle w:val="enumlev1"/>
        <w:keepNext/>
        <w:keepLines/>
        <w:rPr>
          <w:rtl/>
        </w:rPr>
      </w:pPr>
      <w:bookmarkStart w:id="432" w:name="_Toc520365545"/>
      <w:r w:rsidRPr="00C32070">
        <w:rPr>
          <w:rtl/>
        </w:rPr>
        <w:t>-</w:t>
      </w:r>
      <w:r w:rsidRPr="00C32070">
        <w:rPr>
          <w:rtl/>
        </w:rPr>
        <w:tab/>
        <w:t xml:space="preserve">مبنى </w:t>
      </w:r>
      <w:proofErr w:type="spellStart"/>
      <w:r w:rsidRPr="00C32070">
        <w:rPr>
          <w:rtl/>
        </w:rPr>
        <w:t>مونبريان</w:t>
      </w:r>
      <w:proofErr w:type="spellEnd"/>
      <w:r w:rsidRPr="00C32070">
        <w:rPr>
          <w:rtl/>
        </w:rPr>
        <w:t>،</w:t>
      </w:r>
      <w:r w:rsidRPr="00C32070">
        <w:rPr>
          <w:lang w:val="fr-CH"/>
        </w:rPr>
        <w:t xml:space="preserve"> </w:t>
      </w:r>
      <w:r w:rsidRPr="00C32070">
        <w:rPr>
          <w:rtl/>
        </w:rPr>
        <w:t xml:space="preserve">شارع </w:t>
      </w:r>
      <w:proofErr w:type="spellStart"/>
      <w:r w:rsidRPr="00C32070">
        <w:rPr>
          <w:rtl/>
        </w:rPr>
        <w:t>فارامبيه</w:t>
      </w:r>
      <w:proofErr w:type="spellEnd"/>
      <w:r w:rsidRPr="00C32070">
        <w:rPr>
          <w:rtl/>
        </w:rPr>
        <w:t>، جنيف.</w:t>
      </w:r>
      <w:bookmarkEnd w:id="432"/>
    </w:p>
    <w:p w14:paraId="5644DAEF" w14:textId="02143D09" w:rsidR="002D5E5F" w:rsidRPr="00C32070" w:rsidRDefault="002D5E5F" w:rsidP="00820D86">
      <w:pPr>
        <w:rPr>
          <w:rtl/>
          <w:lang w:bidi="ar-EG"/>
        </w:rPr>
      </w:pPr>
      <w:r w:rsidRPr="00C32070">
        <w:rPr>
          <w:rtl/>
          <w:lang w:bidi="ar-EG"/>
        </w:rPr>
        <w:t>‏ولا يملك الاتحاد الأراضي التي تقع عليها ممتلكاته؛ وبدلاً من ذلك، منحته الحكومة حقوق الانتفاع بهذه الأراضي دون أي تكلفة، وتحتفظ هي بحق ملكية الأراضي. ونظراً لأن الاتحاد لا يملك سلطة التصرف تجارياً في هذه الحقوق، فإن قيمة الأراضي غير مدرجة في البيانات المالية.</w:t>
      </w:r>
    </w:p>
    <w:p w14:paraId="2A8FDB17" w14:textId="77777777" w:rsidR="002D5E5F" w:rsidRPr="00C32070" w:rsidRDefault="002D5E5F" w:rsidP="00820D86">
      <w:pPr>
        <w:rPr>
          <w:rtl/>
          <w:cs/>
          <w:lang w:bidi="ar-EG"/>
        </w:rPr>
      </w:pPr>
      <w:r w:rsidRPr="00C32070">
        <w:rPr>
          <w:rtl/>
          <w:lang w:bidi="ar-EG"/>
        </w:rPr>
        <w:t xml:space="preserve">‏وعدم القدرة على بيع الأراضي أو استثمارها تجارياً بحرية يعني تعذر تحديد قيمة عادلة موثوقة، أو تقييم أي فرق بين القيمة العادلة والتكلفة التاريخية بعد أن يُخصم منها الاستهلاك المتراكم. ونتيجة لذلك، يكشف عن هذه القيود القانونية والعملية لضمان الشفافية </w:t>
      </w:r>
      <w:r w:rsidRPr="00C32070">
        <w:rPr>
          <w:rtl/>
        </w:rPr>
        <w:t xml:space="preserve">إزاء </w:t>
      </w:r>
      <w:r w:rsidRPr="00C32070">
        <w:rPr>
          <w:rtl/>
          <w:lang w:bidi="ar-EG"/>
        </w:rPr>
        <w:t xml:space="preserve">متطلبات المعايير المحاسبية الدولية للقطاع العام </w:t>
      </w:r>
      <w:r w:rsidRPr="00C32070">
        <w:rPr>
          <w:cs/>
          <w:lang w:bidi="ar-EG"/>
        </w:rPr>
        <w:t>‎(</w:t>
      </w:r>
      <w:r w:rsidRPr="00C32070">
        <w:rPr>
          <w:lang w:bidi="ar-EG"/>
        </w:rPr>
        <w:t>IPSAS)</w:t>
      </w:r>
      <w:r w:rsidRPr="00C32070">
        <w:rPr>
          <w:rtl/>
          <w:lang w:bidi="ar-EG"/>
        </w:rPr>
        <w:t xml:space="preserve"> ‏فيما يتعلق بإدراج </w:t>
      </w:r>
      <w:proofErr w:type="gramStart"/>
      <w:r w:rsidRPr="00C32070">
        <w:rPr>
          <w:rtl/>
          <w:lang w:bidi="ar-EG"/>
        </w:rPr>
        <w:t>الممتلكات</w:t>
      </w:r>
      <w:proofErr w:type="gramEnd"/>
      <w:r w:rsidRPr="00C32070">
        <w:rPr>
          <w:rtl/>
          <w:lang w:bidi="ar-EG"/>
        </w:rPr>
        <w:t xml:space="preserve"> والمنشآت والمعدات وتقييمها.</w:t>
      </w:r>
      <w:r w:rsidRPr="00C32070">
        <w:rPr>
          <w:cs/>
          <w:lang w:bidi="ar-EG"/>
        </w:rPr>
        <w:t>‎</w:t>
      </w:r>
    </w:p>
    <w:p w14:paraId="6BD4DA25" w14:textId="77777777" w:rsidR="002D5E5F" w:rsidRPr="00C32070" w:rsidRDefault="002D5E5F" w:rsidP="00820D86">
      <w:pPr>
        <w:spacing w:after="120"/>
        <w:rPr>
          <w:rtl/>
          <w:lang w:bidi="ar-EG"/>
        </w:rPr>
      </w:pPr>
      <w:r w:rsidRPr="00C32070">
        <w:rPr>
          <w:rtl/>
          <w:lang w:bidi="ar-EG"/>
        </w:rPr>
        <w:t xml:space="preserve">وحتى 31 ديسمبر 2023، لم تُرهن أي ممتلكات أو معدات كضمانة لدين. ويحتفظ الاتحاد بجدول شامل للممتلكات والمنشآت والمعدات. ويتضمن هذا الجدول الأصول التي وصلت إلى الإهلاك </w:t>
      </w:r>
      <w:proofErr w:type="gramStart"/>
      <w:r w:rsidRPr="00C32070">
        <w:rPr>
          <w:rtl/>
          <w:lang w:bidi="ar-EG"/>
        </w:rPr>
        <w:t>الكامل</w:t>
      </w:r>
      <w:proofErr w:type="gramEnd"/>
      <w:r w:rsidRPr="00C32070">
        <w:rPr>
          <w:rtl/>
          <w:lang w:bidi="ar-EG"/>
        </w:rPr>
        <w:t xml:space="preserve"> ولكنها لا تزال قيد الاستخدام النشط ضمن المنظمة. وفيما يلي المبلغ الدفتري الإجمالي للممتلكات والمنشآت والمعدات المستهلكة بالكامل والتي كانت لا تزال قيد الاستخدام حتى 31 ديسمبر 2023 (ترد هذه المبالغ أيضاً في الجدولين التاليين المتعلقين بهذه الملاحظة):</w:t>
      </w:r>
    </w:p>
    <w:p w14:paraId="0C9F4ED3" w14:textId="4BB41C0C" w:rsidR="009953CD" w:rsidRDefault="009953CD" w:rsidP="009953CD">
      <w:pPr>
        <w:pStyle w:val="Figure"/>
        <w:rPr>
          <w:b/>
          <w:bCs/>
          <w:lang w:bidi="ar-SY"/>
        </w:rPr>
      </w:pPr>
      <w:r w:rsidRPr="009953CD">
        <w:rPr>
          <w:rtl/>
        </w:rPr>
        <w:drawing>
          <wp:inline distT="0" distB="0" distL="0" distR="0" wp14:anchorId="27462171" wp14:editId="6CEFEF16">
            <wp:extent cx="5733415" cy="20815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3415" cy="2081530"/>
                    </a:xfrm>
                    <a:prstGeom prst="rect">
                      <a:avLst/>
                    </a:prstGeom>
                    <a:noFill/>
                    <a:ln>
                      <a:noFill/>
                    </a:ln>
                  </pic:spPr>
                </pic:pic>
              </a:graphicData>
            </a:graphic>
          </wp:inline>
        </w:drawing>
      </w:r>
    </w:p>
    <w:p w14:paraId="745ED9E1" w14:textId="42067410" w:rsidR="002D5E5F" w:rsidRPr="00C32070" w:rsidRDefault="002D5E5F" w:rsidP="002D5E5F">
      <w:pPr>
        <w:keepNext/>
        <w:spacing w:before="240" w:after="120"/>
        <w:jc w:val="center"/>
        <w:rPr>
          <w:b/>
          <w:bCs/>
          <w:lang w:bidi="ar-SY"/>
        </w:rPr>
      </w:pPr>
      <w:r w:rsidRPr="00C32070">
        <w:rPr>
          <w:b/>
          <w:bCs/>
          <w:rtl/>
          <w:lang w:bidi="ar-SY"/>
        </w:rPr>
        <w:lastRenderedPageBreak/>
        <w:t>2023</w:t>
      </w:r>
    </w:p>
    <w:p w14:paraId="7CF31318" w14:textId="6A8182B6" w:rsidR="004300AE" w:rsidRDefault="004300AE" w:rsidP="004300AE">
      <w:pPr>
        <w:pStyle w:val="Figure"/>
        <w:rPr>
          <w:b/>
          <w:bCs/>
          <w:lang w:bidi="ar-SY"/>
        </w:rPr>
      </w:pPr>
      <w:r w:rsidRPr="004300AE">
        <w:rPr>
          <w:rtl/>
        </w:rPr>
        <w:drawing>
          <wp:inline distT="0" distB="0" distL="0" distR="0" wp14:anchorId="2D79639C" wp14:editId="24A1B3F5">
            <wp:extent cx="5733415" cy="342773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3415" cy="3427730"/>
                    </a:xfrm>
                    <a:prstGeom prst="rect">
                      <a:avLst/>
                    </a:prstGeom>
                    <a:noFill/>
                    <a:ln>
                      <a:noFill/>
                    </a:ln>
                  </pic:spPr>
                </pic:pic>
              </a:graphicData>
            </a:graphic>
          </wp:inline>
        </w:drawing>
      </w:r>
    </w:p>
    <w:p w14:paraId="58A69F8D" w14:textId="68C587AE" w:rsidR="002D5E5F" w:rsidRPr="00C32070" w:rsidRDefault="002D5E5F" w:rsidP="00CB40E4">
      <w:pPr>
        <w:keepNext/>
        <w:spacing w:before="240" w:after="120"/>
        <w:jc w:val="center"/>
        <w:rPr>
          <w:b/>
          <w:bCs/>
          <w:rtl/>
          <w:lang w:bidi="ar-SY"/>
        </w:rPr>
      </w:pPr>
      <w:r w:rsidRPr="00C32070">
        <w:rPr>
          <w:b/>
          <w:bCs/>
          <w:lang w:bidi="ar-SY"/>
        </w:rPr>
        <w:t>2022</w:t>
      </w:r>
    </w:p>
    <w:p w14:paraId="54CD0CE1" w14:textId="6BE79D8B" w:rsidR="004300AE" w:rsidRDefault="004300AE" w:rsidP="004300AE">
      <w:pPr>
        <w:pStyle w:val="Figure"/>
        <w:rPr>
          <w:rtl/>
        </w:rPr>
      </w:pPr>
      <w:bookmarkStart w:id="433" w:name="_Toc452156632"/>
      <w:bookmarkStart w:id="434" w:name="_Toc482792216"/>
      <w:bookmarkStart w:id="435" w:name="_Toc482793721"/>
      <w:bookmarkStart w:id="436" w:name="_Toc511402236"/>
      <w:bookmarkStart w:id="437" w:name="_Toc511756673"/>
      <w:bookmarkStart w:id="438" w:name="_Toc9614792"/>
      <w:bookmarkStart w:id="439" w:name="_Toc42013547"/>
      <w:bookmarkStart w:id="440" w:name="_Toc42014548"/>
      <w:bookmarkStart w:id="441" w:name="_Toc74061580"/>
      <w:bookmarkStart w:id="442" w:name="_Toc162520631"/>
      <w:r w:rsidRPr="004300AE">
        <w:rPr>
          <w:rtl/>
        </w:rPr>
        <w:drawing>
          <wp:inline distT="0" distB="0" distL="0" distR="0" wp14:anchorId="62AFA514" wp14:editId="0810144E">
            <wp:extent cx="5733415" cy="3231515"/>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3415" cy="3231515"/>
                    </a:xfrm>
                    <a:prstGeom prst="rect">
                      <a:avLst/>
                    </a:prstGeom>
                    <a:noFill/>
                    <a:ln>
                      <a:noFill/>
                    </a:ln>
                  </pic:spPr>
                </pic:pic>
              </a:graphicData>
            </a:graphic>
          </wp:inline>
        </w:drawing>
      </w:r>
    </w:p>
    <w:p w14:paraId="47EE9F46" w14:textId="3C6A4B07" w:rsidR="002D5E5F" w:rsidRPr="00C32070" w:rsidRDefault="002D5E5F" w:rsidP="00DB3336">
      <w:pPr>
        <w:pStyle w:val="Heading5"/>
        <w:rPr>
          <w:rtl/>
        </w:rPr>
      </w:pPr>
      <w:bookmarkStart w:id="443" w:name="_Toc168657574"/>
      <w:r w:rsidRPr="00C32070">
        <w:rPr>
          <w:rtl/>
        </w:rPr>
        <w:t xml:space="preserve">الملاحظة </w:t>
      </w:r>
      <w:r w:rsidRPr="00C32070">
        <w:t>12</w:t>
      </w:r>
      <w:r w:rsidRPr="00C32070">
        <w:rPr>
          <w:rtl/>
        </w:rPr>
        <w:tab/>
        <w:t>الأصول غير المادية</w:t>
      </w:r>
      <w:bookmarkEnd w:id="433"/>
      <w:bookmarkEnd w:id="434"/>
      <w:bookmarkEnd w:id="435"/>
      <w:bookmarkEnd w:id="436"/>
      <w:bookmarkEnd w:id="437"/>
      <w:bookmarkEnd w:id="438"/>
      <w:bookmarkEnd w:id="439"/>
      <w:bookmarkEnd w:id="440"/>
      <w:bookmarkEnd w:id="441"/>
      <w:bookmarkEnd w:id="442"/>
      <w:bookmarkEnd w:id="443"/>
    </w:p>
    <w:p w14:paraId="28612788" w14:textId="5D7627E2" w:rsidR="002D5E5F" w:rsidRPr="00C32070" w:rsidRDefault="002D5E5F" w:rsidP="00820D86">
      <w:pPr>
        <w:spacing w:after="120"/>
        <w:rPr>
          <w:rtl/>
          <w:lang w:bidi="ar-SY"/>
        </w:rPr>
      </w:pPr>
      <w:r w:rsidRPr="00C32070">
        <w:rPr>
          <w:rtl/>
          <w:lang w:bidi="ar-SY"/>
        </w:rPr>
        <w:t xml:space="preserve">تتألف الأصول غير المادية </w:t>
      </w:r>
      <w:r w:rsidRPr="00C32070">
        <w:rPr>
          <w:rtl/>
          <w:lang w:bidi="ar-EG"/>
        </w:rPr>
        <w:t>التي</w:t>
      </w:r>
      <w:r w:rsidRPr="00C32070">
        <w:rPr>
          <w:rtl/>
          <w:lang w:bidi="ar-SY"/>
        </w:rPr>
        <w:t xml:space="preserve"> يحتفظ بها الاتحاد من تراخيص وبرمجيات تكنولوجيا المعلومات التي يتم تطويرها داخلياً والحصول عليها </w:t>
      </w:r>
      <w:r w:rsidRPr="00C32070">
        <w:rPr>
          <w:rtl/>
        </w:rPr>
        <w:t>خارجياً</w:t>
      </w:r>
      <w:r w:rsidRPr="00C32070">
        <w:rPr>
          <w:rtl/>
          <w:lang w:bidi="ar-SY"/>
        </w:rPr>
        <w:t>.</w:t>
      </w:r>
    </w:p>
    <w:p w14:paraId="6A1A5687" w14:textId="1B66E189" w:rsidR="004300AE" w:rsidRDefault="004300AE" w:rsidP="004300AE">
      <w:pPr>
        <w:pStyle w:val="Figure"/>
      </w:pPr>
      <w:r w:rsidRPr="004300AE">
        <w:rPr>
          <w:rtl/>
        </w:rPr>
        <w:lastRenderedPageBreak/>
        <w:drawing>
          <wp:inline distT="0" distB="0" distL="0" distR="0" wp14:anchorId="009D91B9" wp14:editId="5B6A630D">
            <wp:extent cx="5733415" cy="352298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3415" cy="3522980"/>
                    </a:xfrm>
                    <a:prstGeom prst="rect">
                      <a:avLst/>
                    </a:prstGeom>
                    <a:noFill/>
                    <a:ln>
                      <a:noFill/>
                    </a:ln>
                  </pic:spPr>
                </pic:pic>
              </a:graphicData>
            </a:graphic>
          </wp:inline>
        </w:drawing>
      </w:r>
    </w:p>
    <w:p w14:paraId="01087AED" w14:textId="48D68E35" w:rsidR="002D5E5F" w:rsidRPr="00C32070" w:rsidRDefault="002D5E5F" w:rsidP="00820D86">
      <w:pPr>
        <w:rPr>
          <w:rtl/>
        </w:rPr>
      </w:pPr>
      <w:r w:rsidRPr="00C32070">
        <w:rPr>
          <w:rtl/>
        </w:rPr>
        <w:t>و</w:t>
      </w:r>
      <w:r w:rsidRPr="00C32070">
        <w:rPr>
          <w:rtl/>
          <w:lang w:bidi="ar-SY"/>
        </w:rPr>
        <w:t xml:space="preserve">وفقاً للبند 121 (ج) من المعيار </w:t>
      </w:r>
      <w:r w:rsidRPr="00C32070">
        <w:t>IPSAS 31</w:t>
      </w:r>
      <w:r w:rsidRPr="00C32070">
        <w:rPr>
          <w:rtl/>
        </w:rPr>
        <w:t xml:space="preserve">، </w:t>
      </w:r>
      <w:r w:rsidRPr="00C32070">
        <w:rPr>
          <w:rtl/>
          <w:lang w:bidi="ar-SY"/>
        </w:rPr>
        <w:t xml:space="preserve">يُكشف عن فرادى الأصول غير المادية التي تعتبر جوهرية في البيانات المالية للكيان. وفي 31 ديسمبر 2023، أدى تقييمنا إلى تحديد 9 مشاريع ضمن فئة الأصول غير المادية التي تبلغ مدة حياتها الاقتصادية زهاء خمس سنين وتبلغ قيمتها 2,4 مليون فرنك سويسري. وتشمل هذه المشاريع تطوير إدارة </w:t>
      </w:r>
      <w:r w:rsidRPr="00C32070">
        <w:rPr>
          <w:rtl/>
        </w:rPr>
        <w:t xml:space="preserve">الخدمات </w:t>
      </w:r>
      <w:r w:rsidRPr="00C32070">
        <w:rPr>
          <w:rtl/>
          <w:lang w:bidi="ar-SY"/>
        </w:rPr>
        <w:t xml:space="preserve">الفضائية وتطوير برمجيات تطبيقات ومنتجات الأنظمة </w:t>
      </w:r>
      <w:r w:rsidRPr="00C32070">
        <w:rPr>
          <w:lang w:bidi="ar-SY"/>
        </w:rPr>
        <w:t>(SAP)</w:t>
      </w:r>
      <w:r w:rsidRPr="00C32070">
        <w:rPr>
          <w:rtl/>
        </w:rPr>
        <w:t xml:space="preserve"> ووحدات التوظيف النمطية.</w:t>
      </w:r>
    </w:p>
    <w:p w14:paraId="3D60860D" w14:textId="77777777" w:rsidR="002D5E5F" w:rsidRPr="00C32070" w:rsidRDefault="002D5E5F" w:rsidP="00DB3336">
      <w:pPr>
        <w:pStyle w:val="Heading5"/>
        <w:rPr>
          <w:rtl/>
        </w:rPr>
      </w:pPr>
      <w:bookmarkStart w:id="444" w:name="_Toc452156633"/>
      <w:bookmarkStart w:id="445" w:name="_Toc482792217"/>
      <w:bookmarkStart w:id="446" w:name="_Toc482793722"/>
      <w:bookmarkStart w:id="447" w:name="_Toc511402237"/>
      <w:bookmarkStart w:id="448" w:name="_Toc511756674"/>
      <w:bookmarkStart w:id="449" w:name="_Toc9614793"/>
      <w:bookmarkStart w:id="450" w:name="_Toc42013548"/>
      <w:bookmarkStart w:id="451" w:name="_Toc42014549"/>
      <w:bookmarkStart w:id="452" w:name="_Toc74061581"/>
      <w:bookmarkStart w:id="453" w:name="_Toc162520632"/>
      <w:bookmarkStart w:id="454" w:name="_Toc168657575"/>
      <w:r w:rsidRPr="00C32070">
        <w:rPr>
          <w:rtl/>
        </w:rPr>
        <w:t xml:space="preserve">الملاحظة </w:t>
      </w:r>
      <w:bookmarkEnd w:id="444"/>
      <w:bookmarkEnd w:id="445"/>
      <w:bookmarkEnd w:id="446"/>
      <w:r w:rsidRPr="00C32070">
        <w:rPr>
          <w:rtl/>
        </w:rPr>
        <w:t>13</w:t>
      </w:r>
      <w:r w:rsidRPr="00C32070">
        <w:rPr>
          <w:rtl/>
        </w:rPr>
        <w:tab/>
        <w:t>الأصول قيد الإنشاء</w:t>
      </w:r>
      <w:bookmarkEnd w:id="447"/>
      <w:bookmarkEnd w:id="448"/>
      <w:bookmarkEnd w:id="449"/>
      <w:bookmarkEnd w:id="450"/>
      <w:bookmarkEnd w:id="451"/>
      <w:bookmarkEnd w:id="452"/>
      <w:bookmarkEnd w:id="453"/>
      <w:bookmarkEnd w:id="454"/>
    </w:p>
    <w:p w14:paraId="3B038427" w14:textId="77777777" w:rsidR="002D5E5F" w:rsidRPr="00C32070" w:rsidRDefault="002D5E5F" w:rsidP="00820D86">
      <w:pPr>
        <w:spacing w:after="120"/>
        <w:rPr>
          <w:rtl/>
        </w:rPr>
      </w:pPr>
      <w:bookmarkStart w:id="455" w:name="_Toc511402238"/>
      <w:bookmarkStart w:id="456" w:name="_Toc511756675"/>
      <w:r w:rsidRPr="00C32070">
        <w:rPr>
          <w:rtl/>
        </w:rPr>
        <w:t xml:space="preserve">تقرر الكشف بصورة </w:t>
      </w:r>
      <w:r w:rsidRPr="00C32070">
        <w:rPr>
          <w:rtl/>
          <w:lang w:bidi="ar-EG"/>
        </w:rPr>
        <w:t>منفصلة</w:t>
      </w:r>
      <w:r w:rsidRPr="00C32070">
        <w:rPr>
          <w:rtl/>
        </w:rPr>
        <w:t xml:space="preserve"> عن الأصول قيد الإنشاء فيما يتعلق بمشروع المبنى الجديد، ومن ثم السماح بمتابعة شفافة للمشروع خلال مرحلة الإنشاء. ويرد في الملاحظة 27 مزيد من المعلومات بشأن مشروع المبنى الجديد.</w:t>
      </w:r>
    </w:p>
    <w:p w14:paraId="773D3D67" w14:textId="0A072D00" w:rsidR="004300AE" w:rsidRDefault="004300AE" w:rsidP="004300AE">
      <w:pPr>
        <w:pStyle w:val="Figure"/>
      </w:pPr>
      <w:r w:rsidRPr="004300AE">
        <w:rPr>
          <w:rtl/>
        </w:rPr>
        <w:drawing>
          <wp:inline distT="0" distB="0" distL="0" distR="0" wp14:anchorId="2DAB142E" wp14:editId="3038B1BB">
            <wp:extent cx="5733415" cy="206438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3415" cy="2064385"/>
                    </a:xfrm>
                    <a:prstGeom prst="rect">
                      <a:avLst/>
                    </a:prstGeom>
                    <a:noFill/>
                    <a:ln>
                      <a:noFill/>
                    </a:ln>
                  </pic:spPr>
                </pic:pic>
              </a:graphicData>
            </a:graphic>
          </wp:inline>
        </w:drawing>
      </w:r>
    </w:p>
    <w:p w14:paraId="339F1218" w14:textId="1DC059AE" w:rsidR="00DE66D0" w:rsidRPr="00C32070" w:rsidRDefault="002D5E5F" w:rsidP="00DB3336">
      <w:pPr>
        <w:pStyle w:val="Heading5"/>
        <w:rPr>
          <w:rtl/>
        </w:rPr>
      </w:pPr>
      <w:bookmarkStart w:id="457" w:name="_Toc168657576"/>
      <w:r w:rsidRPr="00C32070">
        <w:rPr>
          <w:rtl/>
        </w:rPr>
        <w:t xml:space="preserve">الملاحظة </w:t>
      </w:r>
      <w:r w:rsidRPr="00C32070">
        <w:t>14</w:t>
      </w:r>
      <w:r w:rsidRPr="00C32070">
        <w:rPr>
          <w:rtl/>
        </w:rPr>
        <w:tab/>
        <w:t>الذمم الدائنة</w:t>
      </w:r>
      <w:bookmarkEnd w:id="457"/>
    </w:p>
    <w:p w14:paraId="127AD22D" w14:textId="0BD98A66" w:rsidR="002D5E5F" w:rsidRPr="00C32070" w:rsidRDefault="002D5E5F" w:rsidP="00820D86">
      <w:pPr>
        <w:rPr>
          <w:rtl/>
        </w:rPr>
      </w:pPr>
      <w:r w:rsidRPr="00C32070">
        <w:rPr>
          <w:rtl/>
        </w:rPr>
        <w:t xml:space="preserve">تتعلق الحسابات الدائنة بالفواتير غير المدفوعة وحسابات الموظفين وفواتير </w:t>
      </w:r>
      <w:r w:rsidRPr="00C32070">
        <w:t>IOV</w:t>
      </w:r>
      <w:r w:rsidRPr="00C32070">
        <w:rPr>
          <w:rtl/>
        </w:rPr>
        <w:t xml:space="preserve"> (قسائم الدفع الداخلية) رهن السداد مع برنامج الأمم المتحدة الإنمائي.</w:t>
      </w:r>
    </w:p>
    <w:p w14:paraId="0CDDBE73" w14:textId="77777777" w:rsidR="002D5E5F" w:rsidRPr="00C32070" w:rsidRDefault="002D5E5F" w:rsidP="00820D86">
      <w:pPr>
        <w:spacing w:after="120"/>
      </w:pPr>
      <w:r w:rsidRPr="00C32070">
        <w:rPr>
          <w:rtl/>
          <w:lang w:bidi="ar-EG"/>
        </w:rPr>
        <w:t xml:space="preserve">وقد وردت السِلَف المقدمة من العملاء لقاء معالجة بطاقات التبليغ عن الشبكات </w:t>
      </w:r>
      <w:proofErr w:type="spellStart"/>
      <w:r w:rsidRPr="00C32070">
        <w:rPr>
          <w:rtl/>
          <w:lang w:bidi="ar-EG"/>
        </w:rPr>
        <w:t>الساتلية</w:t>
      </w:r>
      <w:proofErr w:type="spellEnd"/>
      <w:r w:rsidRPr="00C32070">
        <w:rPr>
          <w:rtl/>
          <w:lang w:bidi="ar-EG"/>
        </w:rPr>
        <w:t xml:space="preserve"> وكذلك لقاء المشتريات المقبلة من المنشورات أو سداد فواتير. وسوف تعاد هذه المبالغ إلى أصحابها أو تستخدم لسداد فواتير مقبلة لمعالجة بطاقات التبليغ عن الشبكات </w:t>
      </w:r>
      <w:proofErr w:type="spellStart"/>
      <w:r w:rsidRPr="00C32070">
        <w:rPr>
          <w:rtl/>
          <w:lang w:bidi="ar-EG"/>
        </w:rPr>
        <w:t>الساتلية</w:t>
      </w:r>
      <w:proofErr w:type="spellEnd"/>
      <w:r w:rsidRPr="00C32070">
        <w:rPr>
          <w:rtl/>
          <w:lang w:bidi="ar-EG"/>
        </w:rPr>
        <w:t> والمنشورات.</w:t>
      </w:r>
      <w:r w:rsidRPr="00C32070">
        <w:rPr>
          <w:rtl/>
        </w:rPr>
        <w:t xml:space="preserve"> </w:t>
      </w:r>
      <w:r w:rsidRPr="00C32070">
        <w:rPr>
          <w:rtl/>
          <w:lang w:bidi="ar-EG"/>
        </w:rPr>
        <w:t>والسِلَف المقدمة للمؤتمرات هي مدفوعات لحسابات الاتحاد من قبل البلدان المضيفة لتنظيم أحداث مثل المؤتمرات العالمية</w:t>
      </w:r>
      <w:r w:rsidRPr="00C32070">
        <w:rPr>
          <w:rtl/>
        </w:rPr>
        <w:t>. وبعد اختتام الحدث، يعاد الرصيد المتبقي إلى البلدان المضيفة طبقاً للاتفاقات الموقعة.</w:t>
      </w:r>
    </w:p>
    <w:p w14:paraId="796544E5" w14:textId="60676854" w:rsidR="004300AE" w:rsidRDefault="004300AE" w:rsidP="004300AE">
      <w:pPr>
        <w:pStyle w:val="Figure"/>
      </w:pPr>
      <w:bookmarkStart w:id="458" w:name="_Toc452156634"/>
      <w:bookmarkStart w:id="459" w:name="_Toc482792218"/>
      <w:bookmarkStart w:id="460" w:name="_Toc482793723"/>
      <w:bookmarkStart w:id="461" w:name="_Toc511402239"/>
      <w:bookmarkStart w:id="462" w:name="_Toc511756676"/>
      <w:bookmarkStart w:id="463" w:name="_Toc9614795"/>
      <w:bookmarkStart w:id="464" w:name="_Toc42013550"/>
      <w:bookmarkStart w:id="465" w:name="_Toc42014551"/>
      <w:bookmarkStart w:id="466" w:name="_Toc74061583"/>
      <w:bookmarkStart w:id="467" w:name="_Toc162520634"/>
      <w:r w:rsidRPr="004300AE">
        <w:rPr>
          <w:rtl/>
        </w:rPr>
        <w:lastRenderedPageBreak/>
        <w:drawing>
          <wp:inline distT="0" distB="0" distL="0" distR="0" wp14:anchorId="153F31AA" wp14:editId="5D2E9DC5">
            <wp:extent cx="5733415" cy="16719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33415" cy="1671955"/>
                    </a:xfrm>
                    <a:prstGeom prst="rect">
                      <a:avLst/>
                    </a:prstGeom>
                    <a:noFill/>
                    <a:ln>
                      <a:noFill/>
                    </a:ln>
                  </pic:spPr>
                </pic:pic>
              </a:graphicData>
            </a:graphic>
          </wp:inline>
        </w:drawing>
      </w:r>
    </w:p>
    <w:p w14:paraId="2C5EE1B9" w14:textId="4011793F" w:rsidR="002D5E5F" w:rsidRPr="00C32070" w:rsidRDefault="002D5E5F" w:rsidP="00DB3336">
      <w:pPr>
        <w:pStyle w:val="Heading5"/>
        <w:rPr>
          <w:rtl/>
        </w:rPr>
      </w:pPr>
      <w:bookmarkStart w:id="468" w:name="_Toc168657577"/>
      <w:r w:rsidRPr="00C32070">
        <w:rPr>
          <w:rtl/>
        </w:rPr>
        <w:t xml:space="preserve">الملاحظة </w:t>
      </w:r>
      <w:r w:rsidRPr="00C32070">
        <w:t>15</w:t>
      </w:r>
      <w:r w:rsidRPr="00C32070">
        <w:rPr>
          <w:rtl/>
        </w:rPr>
        <w:tab/>
        <w:t>المساهمات الواردة سلفاً والإيرادات</w:t>
      </w:r>
      <w:bookmarkEnd w:id="458"/>
      <w:bookmarkEnd w:id="459"/>
      <w:bookmarkEnd w:id="460"/>
      <w:bookmarkEnd w:id="461"/>
      <w:bookmarkEnd w:id="462"/>
      <w:bookmarkEnd w:id="463"/>
      <w:bookmarkEnd w:id="464"/>
      <w:bookmarkEnd w:id="465"/>
      <w:bookmarkEnd w:id="466"/>
      <w:r w:rsidRPr="00C32070">
        <w:rPr>
          <w:rtl/>
        </w:rPr>
        <w:t xml:space="preserve"> المؤجلة</w:t>
      </w:r>
      <w:bookmarkEnd w:id="467"/>
      <w:bookmarkEnd w:id="468"/>
    </w:p>
    <w:p w14:paraId="4F06530B" w14:textId="77777777" w:rsidR="002D5E5F" w:rsidRPr="00C32070" w:rsidRDefault="002D5E5F" w:rsidP="00820D86">
      <w:pPr>
        <w:spacing w:after="120"/>
        <w:rPr>
          <w:rtl/>
          <w:lang w:bidi="ar-SY"/>
        </w:rPr>
      </w:pPr>
      <w:r w:rsidRPr="00C32070">
        <w:rPr>
          <w:rtl/>
          <w:lang w:bidi="ar-SY"/>
        </w:rPr>
        <w:t xml:space="preserve">يتعلق مبلغ المساهمات الواردة </w:t>
      </w:r>
      <w:r w:rsidRPr="00C32070">
        <w:rPr>
          <w:rtl/>
          <w:lang w:bidi="ar-EG"/>
        </w:rPr>
        <w:t>سلفاً</w:t>
      </w:r>
      <w:r w:rsidRPr="00C32070">
        <w:rPr>
          <w:rtl/>
          <w:lang w:bidi="ar-SY"/>
        </w:rPr>
        <w:t xml:space="preserve"> بالمدفوعات الواردة من الدول الأعضاء في عام </w:t>
      </w:r>
      <w:r w:rsidRPr="00C32070">
        <w:rPr>
          <w:lang w:bidi="ar-SY"/>
        </w:rPr>
        <w:t>2023</w:t>
      </w:r>
      <w:r w:rsidRPr="00C32070">
        <w:rPr>
          <w:rtl/>
          <w:lang w:bidi="ar-SY"/>
        </w:rPr>
        <w:t xml:space="preserve"> عن مساهماتها المقررة لعام 2024.</w:t>
      </w:r>
    </w:p>
    <w:p w14:paraId="55D61400" w14:textId="1C712097" w:rsidR="004300AE" w:rsidRDefault="004300AE" w:rsidP="004300AE">
      <w:pPr>
        <w:pStyle w:val="Figure"/>
      </w:pPr>
      <w:r w:rsidRPr="004300AE">
        <w:rPr>
          <w:rtl/>
        </w:rPr>
        <w:drawing>
          <wp:inline distT="0" distB="0" distL="0" distR="0" wp14:anchorId="591C0B0F" wp14:editId="049D2A6C">
            <wp:extent cx="6120130" cy="17443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20130" cy="1744345"/>
                    </a:xfrm>
                    <a:prstGeom prst="rect">
                      <a:avLst/>
                    </a:prstGeom>
                    <a:noFill/>
                    <a:ln>
                      <a:noFill/>
                    </a:ln>
                  </pic:spPr>
                </pic:pic>
              </a:graphicData>
            </a:graphic>
          </wp:inline>
        </w:drawing>
      </w:r>
    </w:p>
    <w:p w14:paraId="19B86FD8" w14:textId="761319EA" w:rsidR="002D5E5F" w:rsidRPr="00C32070" w:rsidRDefault="002D5E5F" w:rsidP="00820D86">
      <w:pPr>
        <w:rPr>
          <w:rtl/>
        </w:rPr>
      </w:pPr>
      <w:r w:rsidRPr="00C32070">
        <w:rPr>
          <w:rtl/>
        </w:rPr>
        <w:t>وعلى النحو الوارد وصفه في الملاحظة 2، أعيد تقديم معلومات 2022 الواردة في الجدول أدناه لتوفير مزيد من المعلومات النوعية ولفرز مكونات الإيرادات المؤجلة.</w:t>
      </w:r>
    </w:p>
    <w:p w14:paraId="53A76671" w14:textId="1B1E5D0B" w:rsidR="002D5E5F" w:rsidRPr="00C32070" w:rsidRDefault="002D5E5F" w:rsidP="00820D86">
      <w:pPr>
        <w:rPr>
          <w:rtl/>
        </w:rPr>
      </w:pPr>
      <w:r w:rsidRPr="00C32070">
        <w:rPr>
          <w:rtl/>
        </w:rPr>
        <w:t xml:space="preserve">وحتى 31 ديسمبر 2023، كان الجزء الجاري من الإيرادات المؤجلة يتعلق كلياً ببطاقات التبليغ عن الشبكات </w:t>
      </w:r>
      <w:proofErr w:type="spellStart"/>
      <w:r w:rsidRPr="00C32070">
        <w:rPr>
          <w:rtl/>
        </w:rPr>
        <w:t>الساتلية</w:t>
      </w:r>
      <w:proofErr w:type="spellEnd"/>
      <w:r w:rsidRPr="00C32070">
        <w:rPr>
          <w:rtl/>
        </w:rPr>
        <w:t xml:space="preserve"> المتعلقة بالطلبات المعالجة </w:t>
      </w:r>
      <w:proofErr w:type="spellStart"/>
      <w:r w:rsidRPr="00C32070">
        <w:rPr>
          <w:rtl/>
        </w:rPr>
        <w:t>والمفوترة</w:t>
      </w:r>
      <w:proofErr w:type="spellEnd"/>
      <w:r w:rsidRPr="00C32070">
        <w:rPr>
          <w:rtl/>
        </w:rPr>
        <w:t xml:space="preserve"> خلال العام والتي لم يكن نشرها النهائي في النشرة الإعلامية الدولية للترددات لمكتب الاتصالات الراديوية </w:t>
      </w:r>
      <w:r w:rsidRPr="00C32070">
        <w:t>(BR IFIC)</w:t>
      </w:r>
      <w:r w:rsidRPr="00C32070">
        <w:rPr>
          <w:rtl/>
        </w:rPr>
        <w:t xml:space="preserve"> قد تم بحلول نهاية العام. وتتعلق الإيرادات المؤجلة غير الجارية بالجزء الطويل الأجل من مشروع جار لتطوير التحول الرقمي</w:t>
      </w:r>
      <w:r w:rsidRPr="00C32070">
        <w:rPr>
          <w:cs/>
        </w:rPr>
        <w:t>‎</w:t>
      </w:r>
      <w:r w:rsidRPr="00C32070">
        <w:rPr>
          <w:rtl/>
          <w:cs/>
        </w:rPr>
        <w:t>.</w:t>
      </w:r>
    </w:p>
    <w:p w14:paraId="5811E700" w14:textId="77777777" w:rsidR="002D5E5F" w:rsidRPr="00C32070" w:rsidRDefault="002D5E5F" w:rsidP="00820D86">
      <w:pPr>
        <w:spacing w:after="120"/>
        <w:rPr>
          <w:lang w:bidi="ar-EG"/>
        </w:rPr>
      </w:pPr>
      <w:r w:rsidRPr="00C32070">
        <w:rPr>
          <w:rtl/>
          <w:lang w:bidi="ar-EG"/>
        </w:rPr>
        <w:t xml:space="preserve">وقد أدرجت في عام </w:t>
      </w:r>
      <w:r w:rsidRPr="00C32070">
        <w:rPr>
          <w:cs/>
          <w:lang w:bidi="ar-EG"/>
        </w:rPr>
        <w:t>‎</w:t>
      </w:r>
      <w:r w:rsidRPr="00C32070">
        <w:rPr>
          <w:lang w:bidi="ar-EG"/>
        </w:rPr>
        <w:t>2023</w:t>
      </w:r>
      <w:r w:rsidRPr="00C32070">
        <w:rPr>
          <w:rtl/>
          <w:lang w:bidi="ar-EG"/>
        </w:rPr>
        <w:t xml:space="preserve"> ‏جميع الإيرادات المؤجلة المتعلقة برعاية المبنى الجديد والمستحقة حتى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2022</w:t>
      </w:r>
      <w:r w:rsidRPr="00C32070">
        <w:rPr>
          <w:rtl/>
          <w:lang w:bidi="ar-EG"/>
        </w:rPr>
        <w:t>.</w:t>
      </w:r>
    </w:p>
    <w:p w14:paraId="5446FF0E" w14:textId="2031F146" w:rsidR="004300AE" w:rsidRDefault="004300AE" w:rsidP="004300AE">
      <w:pPr>
        <w:pStyle w:val="Figure"/>
      </w:pPr>
      <w:bookmarkStart w:id="469" w:name="_Toc452156635"/>
      <w:bookmarkStart w:id="470" w:name="_Toc482792219"/>
      <w:bookmarkStart w:id="471" w:name="_Toc482793724"/>
      <w:bookmarkStart w:id="472" w:name="_Toc511402240"/>
      <w:bookmarkStart w:id="473" w:name="_Toc511756677"/>
      <w:bookmarkStart w:id="474" w:name="_Toc9614796"/>
      <w:bookmarkStart w:id="475" w:name="_Toc42013551"/>
      <w:bookmarkStart w:id="476" w:name="_Toc42014552"/>
      <w:bookmarkStart w:id="477" w:name="_Toc74061584"/>
      <w:bookmarkStart w:id="478" w:name="_Toc162520635"/>
      <w:r w:rsidRPr="004300AE">
        <w:rPr>
          <w:rtl/>
        </w:rPr>
        <w:drawing>
          <wp:inline distT="0" distB="0" distL="0" distR="0" wp14:anchorId="45345AC1" wp14:editId="3BA0BAFB">
            <wp:extent cx="6120130" cy="15709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20130" cy="1570990"/>
                    </a:xfrm>
                    <a:prstGeom prst="rect">
                      <a:avLst/>
                    </a:prstGeom>
                    <a:noFill/>
                    <a:ln>
                      <a:noFill/>
                    </a:ln>
                  </pic:spPr>
                </pic:pic>
              </a:graphicData>
            </a:graphic>
          </wp:inline>
        </w:drawing>
      </w:r>
    </w:p>
    <w:p w14:paraId="0777E97B" w14:textId="7F64ACD2" w:rsidR="002D5E5F" w:rsidRPr="00C32070" w:rsidRDefault="002D5E5F" w:rsidP="00DB3336">
      <w:pPr>
        <w:pStyle w:val="Heading5"/>
      </w:pPr>
      <w:bookmarkStart w:id="479" w:name="_Toc168657578"/>
      <w:r w:rsidRPr="00C32070">
        <w:rPr>
          <w:rtl/>
        </w:rPr>
        <w:lastRenderedPageBreak/>
        <w:t xml:space="preserve">الملاحظة </w:t>
      </w:r>
      <w:r w:rsidRPr="00C32070">
        <w:t>16</w:t>
      </w:r>
      <w:r w:rsidRPr="00C32070">
        <w:rPr>
          <w:rtl/>
        </w:rPr>
        <w:tab/>
        <w:t>القروض والديون المالية الأخرى</w:t>
      </w:r>
      <w:bookmarkEnd w:id="469"/>
      <w:bookmarkEnd w:id="470"/>
      <w:bookmarkEnd w:id="471"/>
      <w:bookmarkEnd w:id="472"/>
      <w:bookmarkEnd w:id="473"/>
      <w:bookmarkEnd w:id="474"/>
      <w:bookmarkEnd w:id="475"/>
      <w:bookmarkEnd w:id="476"/>
      <w:bookmarkEnd w:id="477"/>
      <w:bookmarkEnd w:id="478"/>
      <w:bookmarkEnd w:id="479"/>
    </w:p>
    <w:p w14:paraId="720BFC0D" w14:textId="66B0DC83" w:rsidR="004300AE" w:rsidRDefault="004300AE" w:rsidP="00820D86">
      <w:pPr>
        <w:rPr>
          <w:lang w:bidi="ar-SY"/>
        </w:rPr>
      </w:pPr>
      <w:r w:rsidRPr="004300AE">
        <w:rPr>
          <w:noProof/>
          <w:rtl/>
        </w:rPr>
        <w:drawing>
          <wp:inline distT="0" distB="0" distL="0" distR="0" wp14:anchorId="3984886B" wp14:editId="53A471DC">
            <wp:extent cx="5733415" cy="24853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33415" cy="2485390"/>
                    </a:xfrm>
                    <a:prstGeom prst="rect">
                      <a:avLst/>
                    </a:prstGeom>
                    <a:noFill/>
                    <a:ln>
                      <a:noFill/>
                    </a:ln>
                  </pic:spPr>
                </pic:pic>
              </a:graphicData>
            </a:graphic>
          </wp:inline>
        </w:drawing>
      </w:r>
    </w:p>
    <w:p w14:paraId="7A747CBF" w14:textId="296A675C" w:rsidR="002D5E5F" w:rsidRPr="00C32070" w:rsidRDefault="002D5E5F" w:rsidP="00820D86">
      <w:pPr>
        <w:rPr>
          <w:rtl/>
          <w:lang w:bidi="ar-SY"/>
        </w:rPr>
      </w:pPr>
      <w:r w:rsidRPr="00C32070">
        <w:rPr>
          <w:rtl/>
          <w:lang w:bidi="ar-SY"/>
        </w:rPr>
        <w:t xml:space="preserve">‏لدى الاتحاد حالياً أربعة قروض بدون فوائد مع مؤسسة </w:t>
      </w:r>
      <w:r w:rsidRPr="00C32070">
        <w:rPr>
          <w:cs/>
          <w:lang w:bidi="ar-SY"/>
        </w:rPr>
        <w:t>‎</w:t>
      </w:r>
      <w:r w:rsidRPr="00C32070">
        <w:rPr>
          <w:rtl/>
          <w:lang w:bidi="ar-SY"/>
        </w:rPr>
        <w:t>مباني المنظمات الدولية (</w:t>
      </w:r>
      <w:r w:rsidRPr="00C32070">
        <w:rPr>
          <w:cs/>
          <w:lang w:bidi="ar-SY"/>
        </w:rPr>
        <w:t>‎</w:t>
      </w:r>
      <w:r w:rsidRPr="00C32070">
        <w:rPr>
          <w:lang w:bidi="ar-SY"/>
        </w:rPr>
        <w:t>FIPOI</w:t>
      </w:r>
      <w:r w:rsidRPr="00C32070">
        <w:rPr>
          <w:rtl/>
          <w:lang w:bidi="ar-SY"/>
        </w:rPr>
        <w:t xml:space="preserve">). ‏وفي </w:t>
      </w:r>
      <w:r w:rsidRPr="00C32070">
        <w:rPr>
          <w:cs/>
          <w:lang w:bidi="ar-SY"/>
        </w:rPr>
        <w:t>‎</w:t>
      </w:r>
      <w:r w:rsidRPr="00C32070">
        <w:rPr>
          <w:lang w:bidi="ar-SY"/>
        </w:rPr>
        <w:t>31</w:t>
      </w:r>
      <w:r w:rsidRPr="00C32070">
        <w:rPr>
          <w:rtl/>
          <w:lang w:bidi="ar-SY"/>
        </w:rPr>
        <w:t xml:space="preserve"> ‏ديسمبر </w:t>
      </w:r>
      <w:r w:rsidRPr="00C32070">
        <w:rPr>
          <w:cs/>
          <w:lang w:bidi="ar-SY"/>
        </w:rPr>
        <w:t>‎</w:t>
      </w:r>
      <w:r w:rsidRPr="00C32070">
        <w:rPr>
          <w:lang w:bidi="ar-SY"/>
        </w:rPr>
        <w:t>2023</w:t>
      </w:r>
      <w:r w:rsidRPr="00C32070">
        <w:rPr>
          <w:rtl/>
          <w:lang w:bidi="ar-SY"/>
        </w:rPr>
        <w:t>‏، ترد ثلاثة من هذه القروض في البيانات المالية بالقيمة العادلة.</w:t>
      </w:r>
    </w:p>
    <w:p w14:paraId="61E2B734" w14:textId="63E967FD" w:rsidR="002D5E5F" w:rsidRPr="00C32070" w:rsidRDefault="002D5E5F" w:rsidP="00820D86">
      <w:pPr>
        <w:rPr>
          <w:rtl/>
          <w:lang w:bidi="ar-SY"/>
        </w:rPr>
      </w:pPr>
      <w:r w:rsidRPr="00C32070">
        <w:rPr>
          <w:rtl/>
          <w:lang w:bidi="ar-SY"/>
        </w:rPr>
        <w:t xml:space="preserve">‏وحتى </w:t>
      </w:r>
      <w:r w:rsidRPr="00C32070">
        <w:rPr>
          <w:cs/>
          <w:lang w:bidi="ar-SY"/>
        </w:rPr>
        <w:t>‎</w:t>
      </w:r>
      <w:r w:rsidRPr="00C32070">
        <w:rPr>
          <w:lang w:bidi="ar-SY"/>
        </w:rPr>
        <w:t>31</w:t>
      </w:r>
      <w:r w:rsidRPr="00C32070">
        <w:rPr>
          <w:rtl/>
          <w:lang w:bidi="ar-SY"/>
        </w:rPr>
        <w:t xml:space="preserve"> ‏ديسمبر </w:t>
      </w:r>
      <w:r w:rsidRPr="00C32070">
        <w:rPr>
          <w:cs/>
          <w:lang w:bidi="ar-SY"/>
        </w:rPr>
        <w:t>‎</w:t>
      </w:r>
      <w:r w:rsidRPr="00C32070">
        <w:rPr>
          <w:lang w:bidi="ar-SY"/>
        </w:rPr>
        <w:t>2023</w:t>
      </w:r>
      <w:r w:rsidRPr="00C32070">
        <w:rPr>
          <w:rtl/>
          <w:lang w:bidi="ar-SY"/>
        </w:rPr>
        <w:t xml:space="preserve">‏، بلغ مجموع المبالغ المستحقة </w:t>
      </w:r>
      <w:r w:rsidRPr="00C32070">
        <w:rPr>
          <w:cs/>
          <w:lang w:bidi="ar-SY"/>
        </w:rPr>
        <w:t>‎</w:t>
      </w:r>
      <w:r w:rsidRPr="00C32070">
        <w:rPr>
          <w:lang w:bidi="ar-SY"/>
        </w:rPr>
        <w:t>55,2</w:t>
      </w:r>
      <w:r w:rsidRPr="00C32070">
        <w:rPr>
          <w:rtl/>
          <w:lang w:bidi="ar-SY"/>
        </w:rPr>
        <w:t xml:space="preserve"> ‏مليون فرنك سويسري وبلغ صافي القيمة الحالية </w:t>
      </w:r>
      <w:r w:rsidRPr="00C32070">
        <w:rPr>
          <w:cs/>
          <w:lang w:bidi="ar-SY"/>
        </w:rPr>
        <w:t>‎</w:t>
      </w:r>
      <w:r w:rsidRPr="00C32070">
        <w:rPr>
          <w:lang w:bidi="ar-SY"/>
        </w:rPr>
        <w:t>53,0</w:t>
      </w:r>
      <w:r w:rsidRPr="00C32070">
        <w:rPr>
          <w:rtl/>
          <w:lang w:bidi="ar-SY"/>
        </w:rPr>
        <w:t xml:space="preserve"> ‏مليون فرنك سويسري.</w:t>
      </w:r>
    </w:p>
    <w:p w14:paraId="519B1DA2" w14:textId="26FDD231" w:rsidR="002D5E5F" w:rsidRPr="00C32070" w:rsidRDefault="002D5E5F" w:rsidP="00820D86">
      <w:pPr>
        <w:rPr>
          <w:rtl/>
          <w:lang w:bidi="ar-SY"/>
        </w:rPr>
      </w:pPr>
      <w:r w:rsidRPr="00C32070">
        <w:rPr>
          <w:rtl/>
          <w:lang w:bidi="ar-SY"/>
        </w:rPr>
        <w:t xml:space="preserve">‏وتبلغ قيمة القروض الثلاثة الأولى المتعلقة بالمباني القائمة </w:t>
      </w:r>
      <w:r w:rsidRPr="00C32070">
        <w:rPr>
          <w:cs/>
          <w:lang w:bidi="ar-SY"/>
        </w:rPr>
        <w:t>‎</w:t>
      </w:r>
      <w:r w:rsidRPr="00C32070">
        <w:rPr>
          <w:lang w:bidi="ar-SY"/>
        </w:rPr>
        <w:t>33,7</w:t>
      </w:r>
      <w:r w:rsidRPr="00C32070">
        <w:rPr>
          <w:rtl/>
          <w:lang w:bidi="ar-SY"/>
        </w:rPr>
        <w:t xml:space="preserve"> ‏مليون فرنك سويسري؛ و</w:t>
      </w:r>
      <w:r w:rsidRPr="00C32070">
        <w:rPr>
          <w:rtl/>
        </w:rPr>
        <w:t>ي</w:t>
      </w:r>
      <w:r w:rsidRPr="00C32070">
        <w:rPr>
          <w:rtl/>
          <w:lang w:bidi="ar-SY"/>
        </w:rPr>
        <w:t xml:space="preserve">بلغ صافي القيمة الحالية </w:t>
      </w:r>
      <w:r w:rsidRPr="00C32070">
        <w:rPr>
          <w:cs/>
          <w:lang w:bidi="ar-SY"/>
        </w:rPr>
        <w:t>‎</w:t>
      </w:r>
      <w:r w:rsidRPr="00C32070">
        <w:rPr>
          <w:lang w:bidi="ar-SY"/>
        </w:rPr>
        <w:t>31,5</w:t>
      </w:r>
      <w:r w:rsidRPr="00C32070">
        <w:rPr>
          <w:rtl/>
          <w:lang w:bidi="ar-SY"/>
        </w:rPr>
        <w:t xml:space="preserve"> ‏مليون فرنك سويسري.</w:t>
      </w:r>
    </w:p>
    <w:p w14:paraId="451D43CE" w14:textId="3F0968D2" w:rsidR="00DE66D0" w:rsidRPr="00C32070" w:rsidRDefault="002D5E5F" w:rsidP="00820D86">
      <w:pPr>
        <w:rPr>
          <w:rtl/>
          <w:lang w:bidi="ar-SY"/>
        </w:rPr>
      </w:pPr>
      <w:r w:rsidRPr="00C32070">
        <w:rPr>
          <w:rtl/>
          <w:lang w:bidi="ar-SY"/>
        </w:rPr>
        <w:t xml:space="preserve">‏وفي عام </w:t>
      </w:r>
      <w:r w:rsidRPr="00C32070">
        <w:rPr>
          <w:cs/>
          <w:lang w:bidi="ar-SY"/>
        </w:rPr>
        <w:t>‎</w:t>
      </w:r>
      <w:r w:rsidRPr="00C32070">
        <w:rPr>
          <w:lang w:bidi="ar-SY"/>
        </w:rPr>
        <w:t>2017</w:t>
      </w:r>
      <w:r w:rsidRPr="00C32070">
        <w:rPr>
          <w:rtl/>
          <w:lang w:bidi="ar-SY"/>
        </w:rPr>
        <w:t xml:space="preserve">‏، مُنح قرض جديد بدون فوائد بقيمة </w:t>
      </w:r>
      <w:r w:rsidRPr="00C32070">
        <w:rPr>
          <w:cs/>
          <w:lang w:bidi="ar-SY"/>
        </w:rPr>
        <w:t>‎</w:t>
      </w:r>
      <w:r w:rsidRPr="00C32070">
        <w:rPr>
          <w:lang w:bidi="ar-SY"/>
        </w:rPr>
        <w:t>150</w:t>
      </w:r>
      <w:r w:rsidRPr="00C32070">
        <w:rPr>
          <w:rtl/>
          <w:lang w:bidi="ar-SY"/>
        </w:rPr>
        <w:t xml:space="preserve"> ‏مليون فرنك سويسري من أجل مشروع المبنى الجديد للاتحاد. وفي</w:t>
      </w:r>
      <w:r w:rsidR="00030677" w:rsidRPr="00C32070">
        <w:rPr>
          <w:rtl/>
          <w:lang w:bidi="ar-SY"/>
        </w:rPr>
        <w:t> </w:t>
      </w:r>
      <w:r w:rsidRPr="00C32070">
        <w:rPr>
          <w:cs/>
          <w:lang w:bidi="ar-SY"/>
        </w:rPr>
        <w:t>‎</w:t>
      </w:r>
      <w:r w:rsidRPr="00C32070">
        <w:rPr>
          <w:lang w:bidi="ar-SY"/>
        </w:rPr>
        <w:t>31</w:t>
      </w:r>
      <w:r w:rsidR="00030677" w:rsidRPr="00C32070">
        <w:rPr>
          <w:rtl/>
          <w:lang w:bidi="ar-SY"/>
        </w:rPr>
        <w:t> </w:t>
      </w:r>
      <w:r w:rsidRPr="00C32070">
        <w:rPr>
          <w:rtl/>
          <w:lang w:bidi="ar-SY"/>
        </w:rPr>
        <w:t xml:space="preserve">‏ديسمبر </w:t>
      </w:r>
      <w:r w:rsidRPr="00C32070">
        <w:rPr>
          <w:cs/>
          <w:lang w:bidi="ar-SY"/>
        </w:rPr>
        <w:t>‎</w:t>
      </w:r>
      <w:r w:rsidRPr="00C32070">
        <w:rPr>
          <w:lang w:bidi="ar-SY"/>
        </w:rPr>
        <w:t>2023</w:t>
      </w:r>
      <w:r w:rsidRPr="00C32070">
        <w:rPr>
          <w:rtl/>
          <w:lang w:bidi="ar-SY"/>
        </w:rPr>
        <w:t xml:space="preserve">، بلغ مبلغ القرض الذي سحبه الاتحاد من هذا القرض الرابع </w:t>
      </w:r>
      <w:r w:rsidRPr="00C32070">
        <w:rPr>
          <w:cs/>
          <w:lang w:bidi="ar-SY"/>
        </w:rPr>
        <w:t>‎</w:t>
      </w:r>
      <w:r w:rsidRPr="00C32070">
        <w:rPr>
          <w:lang w:bidi="ar-SY"/>
        </w:rPr>
        <w:t>21,5</w:t>
      </w:r>
      <w:r w:rsidRPr="00C32070">
        <w:rPr>
          <w:rtl/>
          <w:lang w:bidi="ar-SY"/>
        </w:rPr>
        <w:t xml:space="preserve"> ‏مليون فرنك سويسري.</w:t>
      </w:r>
    </w:p>
    <w:p w14:paraId="533C2C58" w14:textId="77777777" w:rsidR="00DE66D0" w:rsidRPr="00C32070" w:rsidRDefault="002D5E5F" w:rsidP="00820D86">
      <w:pPr>
        <w:rPr>
          <w:rtl/>
          <w:lang w:bidi="ar-SY"/>
        </w:rPr>
      </w:pPr>
      <w:r w:rsidRPr="00C32070">
        <w:rPr>
          <w:rtl/>
          <w:lang w:bidi="ar-SY"/>
        </w:rPr>
        <w:t>‏ولن يبدأ سداد القرض الممنوح من أجل المبنى الجديد للاتحاد إلا بعد النجاح في تسليم المبنى الجديد.</w:t>
      </w:r>
    </w:p>
    <w:p w14:paraId="2DC72C94" w14:textId="0EBF12AD" w:rsidR="002D5E5F" w:rsidRPr="00C32070" w:rsidRDefault="002D5E5F" w:rsidP="00DB3336">
      <w:pPr>
        <w:pStyle w:val="Heading5"/>
        <w:rPr>
          <w:rtl/>
        </w:rPr>
      </w:pPr>
      <w:bookmarkStart w:id="480" w:name="_Toc452156636"/>
      <w:bookmarkStart w:id="481" w:name="_Toc482792220"/>
      <w:bookmarkStart w:id="482" w:name="_Toc482793725"/>
      <w:bookmarkStart w:id="483" w:name="_Toc511402241"/>
      <w:bookmarkStart w:id="484" w:name="_Toc511756678"/>
      <w:bookmarkStart w:id="485" w:name="_Toc9614797"/>
      <w:bookmarkStart w:id="486" w:name="_Toc42013552"/>
      <w:bookmarkStart w:id="487" w:name="_Toc42014553"/>
      <w:bookmarkStart w:id="488" w:name="_Toc74061585"/>
      <w:bookmarkStart w:id="489" w:name="_Toc162520636"/>
      <w:bookmarkStart w:id="490" w:name="_Toc168657579"/>
      <w:r w:rsidRPr="00C32070">
        <w:rPr>
          <w:rtl/>
        </w:rPr>
        <w:t>الملاحظة 17</w:t>
      </w:r>
      <w:r w:rsidRPr="00C32070">
        <w:rPr>
          <w:rtl/>
        </w:rPr>
        <w:tab/>
        <w:t>استحقاقات الموظفين</w:t>
      </w:r>
      <w:bookmarkEnd w:id="480"/>
      <w:bookmarkEnd w:id="481"/>
      <w:bookmarkEnd w:id="482"/>
      <w:bookmarkEnd w:id="483"/>
      <w:bookmarkEnd w:id="484"/>
      <w:bookmarkEnd w:id="485"/>
      <w:bookmarkEnd w:id="486"/>
      <w:bookmarkEnd w:id="487"/>
      <w:bookmarkEnd w:id="488"/>
      <w:bookmarkEnd w:id="489"/>
      <w:bookmarkEnd w:id="490"/>
    </w:p>
    <w:p w14:paraId="4D05E509" w14:textId="77777777" w:rsidR="002D5E5F" w:rsidRPr="00C32070" w:rsidRDefault="002D5E5F" w:rsidP="00820D86">
      <w:pPr>
        <w:spacing w:after="120"/>
        <w:rPr>
          <w:rtl/>
          <w:lang w:bidi="ar-EG"/>
        </w:rPr>
      </w:pPr>
      <w:r w:rsidRPr="00C32070">
        <w:rPr>
          <w:rtl/>
          <w:lang w:bidi="ar-EG"/>
        </w:rPr>
        <w:t>تشير عبارة استحقاقات الموظفين إلى كل أشكال المكافآت التي يقدمها الاتحاد مقابل الخدمات التي يقدمها موظفوه. وهي تدرج في الحسابات حالما تستحق للموظفين.</w:t>
      </w:r>
    </w:p>
    <w:p w14:paraId="5B56E000" w14:textId="769D72EA" w:rsidR="009D6F64" w:rsidRDefault="009D6F64" w:rsidP="009D6F64">
      <w:pPr>
        <w:pStyle w:val="Figure"/>
      </w:pPr>
      <w:r w:rsidRPr="009D6F64">
        <w:rPr>
          <w:rtl/>
        </w:rPr>
        <w:drawing>
          <wp:inline distT="0" distB="0" distL="0" distR="0" wp14:anchorId="72C3BEE1" wp14:editId="4AF00FDD">
            <wp:extent cx="5733415" cy="26816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3415" cy="2681605"/>
                    </a:xfrm>
                    <a:prstGeom prst="rect">
                      <a:avLst/>
                    </a:prstGeom>
                    <a:noFill/>
                    <a:ln>
                      <a:noFill/>
                    </a:ln>
                  </pic:spPr>
                </pic:pic>
              </a:graphicData>
            </a:graphic>
          </wp:inline>
        </w:drawing>
      </w:r>
    </w:p>
    <w:p w14:paraId="626CC831" w14:textId="06894634" w:rsidR="002D5E5F" w:rsidRPr="00C32070" w:rsidRDefault="002D5E5F" w:rsidP="00943ABE">
      <w:pPr>
        <w:pStyle w:val="Heading2"/>
        <w:rPr>
          <w:rtl/>
        </w:rPr>
      </w:pPr>
      <w:bookmarkStart w:id="491" w:name="_Toc168657580"/>
      <w:r w:rsidRPr="00C32070">
        <w:lastRenderedPageBreak/>
        <w:t>1.17</w:t>
      </w:r>
      <w:r w:rsidRPr="00C32070">
        <w:rPr>
          <w:rtl/>
        </w:rPr>
        <w:tab/>
      </w:r>
      <w:r w:rsidRPr="00AD3C8C">
        <w:rPr>
          <w:u w:val="single"/>
          <w:rtl/>
        </w:rPr>
        <w:t>التأمين الصحي بعد نهاية الخدمة</w:t>
      </w:r>
      <w:bookmarkEnd w:id="491"/>
    </w:p>
    <w:p w14:paraId="0248FA9D" w14:textId="77777777" w:rsidR="002D5E5F" w:rsidRPr="00C32070" w:rsidRDefault="002D5E5F" w:rsidP="002D5E5F">
      <w:pPr>
        <w:pStyle w:val="HeadingI"/>
        <w:rPr>
          <w:rtl/>
          <w:lang w:val="ru-RU" w:bidi="ar-EG"/>
        </w:rPr>
      </w:pPr>
      <w:bookmarkStart w:id="492" w:name="_Toc397499190"/>
      <w:bookmarkStart w:id="493" w:name="_Toc358648556"/>
      <w:bookmarkStart w:id="494" w:name="_Toc358648357"/>
      <w:bookmarkStart w:id="495" w:name="_Toc328494940"/>
      <w:bookmarkStart w:id="496" w:name="_Toc306236964"/>
      <w:r w:rsidRPr="00434B05">
        <w:rPr>
          <w:lang w:bidi="ar-EG"/>
        </w:rPr>
        <w:t>1.1.1</w:t>
      </w:r>
      <w:r w:rsidRPr="00C32070">
        <w:rPr>
          <w:lang w:bidi="ar-EG"/>
        </w:rPr>
        <w:t>7</w:t>
      </w:r>
      <w:r w:rsidRPr="00C32070">
        <w:rPr>
          <w:rtl/>
        </w:rPr>
        <w:tab/>
        <w:t xml:space="preserve">التقييم </w:t>
      </w:r>
      <w:proofErr w:type="spellStart"/>
      <w:r w:rsidRPr="00C32070">
        <w:rPr>
          <w:rtl/>
        </w:rPr>
        <w:t>الإكتواري</w:t>
      </w:r>
      <w:proofErr w:type="spellEnd"/>
      <w:r w:rsidRPr="00C32070">
        <w:rPr>
          <w:rtl/>
        </w:rPr>
        <w:t xml:space="preserve"> للتعويضات المستحقة بعد انتهاء الخدمة بموجب خطة التأمين الصحي </w:t>
      </w:r>
      <w:r w:rsidRPr="00434B05">
        <w:rPr>
          <w:lang w:bidi="ar-EG"/>
        </w:rPr>
        <w:t>ASHI</w:t>
      </w:r>
      <w:bookmarkEnd w:id="492"/>
      <w:bookmarkEnd w:id="493"/>
      <w:bookmarkEnd w:id="494"/>
      <w:bookmarkEnd w:id="495"/>
      <w:bookmarkEnd w:id="496"/>
    </w:p>
    <w:p w14:paraId="44C30159" w14:textId="77777777" w:rsidR="002D5E5F" w:rsidRPr="00C32070" w:rsidRDefault="002D5E5F" w:rsidP="006F3E5E">
      <w:pPr>
        <w:rPr>
          <w:lang w:val="en" w:bidi="ar-EG"/>
        </w:rPr>
      </w:pPr>
      <w:r w:rsidRPr="00C32070">
        <w:rPr>
          <w:rtl/>
          <w:lang w:bidi="ar-EG"/>
        </w:rPr>
        <w:t xml:space="preserve">يتحدد مبلغ الالتزامات المتصلة بالتأمين الصحي بعد انتهاء الخدمة </w:t>
      </w:r>
      <w:r w:rsidRPr="00C32070">
        <w:rPr>
          <w:lang w:bidi="ar-EG"/>
        </w:rPr>
        <w:t>(ASHI)</w:t>
      </w:r>
      <w:r w:rsidRPr="00C32070">
        <w:rPr>
          <w:rtl/>
          <w:lang w:bidi="ar-EG"/>
        </w:rPr>
        <w:t xml:space="preserve"> على أساس دراسة </w:t>
      </w:r>
      <w:proofErr w:type="spellStart"/>
      <w:r w:rsidRPr="00C32070">
        <w:rPr>
          <w:rtl/>
          <w:lang w:bidi="ar-EG"/>
        </w:rPr>
        <w:t>إكتوارية</w:t>
      </w:r>
      <w:proofErr w:type="spellEnd"/>
      <w:r w:rsidRPr="00C32070">
        <w:rPr>
          <w:rtl/>
          <w:lang w:bidi="ar-EG"/>
        </w:rPr>
        <w:t xml:space="preserve"> سنوية يقوم بها مكتب استشاري مستقل. وكان آخر تقييم في يناير </w:t>
      </w:r>
      <w:r w:rsidRPr="00C32070">
        <w:rPr>
          <w:lang w:bidi="ar-EG"/>
        </w:rPr>
        <w:t>2024</w:t>
      </w:r>
      <w:r w:rsidRPr="00C32070">
        <w:rPr>
          <w:rtl/>
          <w:lang w:bidi="ar-EG"/>
        </w:rPr>
        <w:t xml:space="preserve"> قد حدد بمقدار </w:t>
      </w:r>
      <w:r w:rsidRPr="00C32070">
        <w:t>375,3</w:t>
      </w:r>
      <w:r w:rsidRPr="00C32070">
        <w:rPr>
          <w:rtl/>
          <w:lang w:bidi="ar-EG"/>
        </w:rPr>
        <w:t xml:space="preserve"> </w:t>
      </w:r>
      <w:r w:rsidRPr="00C32070">
        <w:rPr>
          <w:rtl/>
          <w:lang w:bidi="ar-SY"/>
        </w:rPr>
        <w:t xml:space="preserve">مليون </w:t>
      </w:r>
      <w:r w:rsidRPr="00C32070">
        <w:rPr>
          <w:rtl/>
          <w:lang w:bidi="ar-EG"/>
        </w:rPr>
        <w:t xml:space="preserve">فرنك سويسري التزامات الاتحاد في إطار استحقاقات التأمين الصحي بعد انتهاء الخدمة المستحقة للموظفين المستوفين للشروط المطلوبة في </w:t>
      </w:r>
      <w:r w:rsidRPr="00C32070">
        <w:rPr>
          <w:lang w:bidi="ar-EG"/>
        </w:rPr>
        <w:t>31</w:t>
      </w:r>
      <w:r w:rsidRPr="00C32070">
        <w:rPr>
          <w:rtl/>
          <w:lang w:bidi="ar-EG"/>
        </w:rPr>
        <w:t xml:space="preserve"> ديسمبر </w:t>
      </w:r>
      <w:r w:rsidRPr="00C32070">
        <w:rPr>
          <w:lang w:bidi="ar-EG"/>
        </w:rPr>
        <w:t>2023</w:t>
      </w:r>
      <w:r w:rsidRPr="00C32070">
        <w:rPr>
          <w:rtl/>
          <w:lang w:bidi="ar-SY"/>
        </w:rPr>
        <w:t xml:space="preserve"> (مقابل مبلغ </w:t>
      </w:r>
      <w:r w:rsidRPr="00C32070">
        <w:rPr>
          <w:lang w:bidi="ar-SY"/>
        </w:rPr>
        <w:t>344,1</w:t>
      </w:r>
      <w:r w:rsidRPr="00C32070">
        <w:rPr>
          <w:rtl/>
          <w:lang w:bidi="ar-SY"/>
        </w:rPr>
        <w:t xml:space="preserve"> مليون فرنك سويسري في نهاية 2022)</w:t>
      </w:r>
      <w:r w:rsidRPr="00C32070">
        <w:rPr>
          <w:rtl/>
          <w:lang w:bidi="ar-EG"/>
        </w:rPr>
        <w:t xml:space="preserve">. وأجريت الدراسة </w:t>
      </w:r>
      <w:proofErr w:type="spellStart"/>
      <w:r w:rsidRPr="00C32070">
        <w:rPr>
          <w:rtl/>
          <w:lang w:bidi="ar-EG"/>
        </w:rPr>
        <w:t>الإكتوارية</w:t>
      </w:r>
      <w:proofErr w:type="spellEnd"/>
      <w:r w:rsidRPr="00C32070">
        <w:rPr>
          <w:rtl/>
          <w:lang w:bidi="ar-EG"/>
        </w:rPr>
        <w:t xml:space="preserve"> على أساس البيانات المقدمة من الاتحاد </w:t>
      </w:r>
      <w:r w:rsidRPr="00C32070">
        <w:rPr>
          <w:rtl/>
          <w:lang w:val="en" w:bidi="ar-EG"/>
        </w:rPr>
        <w:t>(</w:t>
      </w:r>
      <w:r w:rsidRPr="00C32070">
        <w:rPr>
          <w:rtl/>
          <w:lang w:bidi="ar"/>
        </w:rPr>
        <w:t>تكلفة</w:t>
      </w:r>
      <w:r w:rsidRPr="00C32070">
        <w:rPr>
          <w:lang w:val="en" w:bidi="ar-EG"/>
        </w:rPr>
        <w:t xml:space="preserve"> </w:t>
      </w:r>
      <w:r w:rsidRPr="00C32070">
        <w:rPr>
          <w:rtl/>
          <w:lang w:bidi="ar"/>
        </w:rPr>
        <w:t>المطالبات/المساهمات</w:t>
      </w:r>
      <w:r w:rsidRPr="00C32070">
        <w:rPr>
          <w:lang w:val="en" w:bidi="ar-EG"/>
        </w:rPr>
        <w:t xml:space="preserve"> </w:t>
      </w:r>
      <w:r w:rsidRPr="00C32070">
        <w:rPr>
          <w:rtl/>
          <w:lang w:bidi="ar"/>
        </w:rPr>
        <w:t>المدفوعة/مجموعة المستفيدين</w:t>
      </w:r>
      <w:r w:rsidRPr="00C32070">
        <w:rPr>
          <w:lang w:val="en" w:bidi="ar-EG"/>
        </w:rPr>
        <w:t xml:space="preserve"> </w:t>
      </w:r>
      <w:r w:rsidRPr="00C32070">
        <w:rPr>
          <w:rtl/>
          <w:lang w:bidi="ar"/>
        </w:rPr>
        <w:t>المؤهلين</w:t>
      </w:r>
      <w:r w:rsidRPr="00C32070">
        <w:rPr>
          <w:rtl/>
          <w:lang w:val="en" w:bidi="ar-EG"/>
        </w:rPr>
        <w:t>).</w:t>
      </w:r>
    </w:p>
    <w:p w14:paraId="0817828A" w14:textId="77777777" w:rsidR="002D5E5F" w:rsidRPr="00C32070" w:rsidRDefault="002D5E5F" w:rsidP="00820D86">
      <w:pPr>
        <w:pStyle w:val="HeadingI"/>
        <w:rPr>
          <w:rtl/>
        </w:rPr>
      </w:pPr>
      <w:bookmarkStart w:id="497" w:name="_Toc397499191"/>
      <w:bookmarkStart w:id="498" w:name="_Toc358648557"/>
      <w:bookmarkStart w:id="499" w:name="_Toc358648358"/>
      <w:bookmarkStart w:id="500" w:name="_Toc328494941"/>
      <w:bookmarkStart w:id="501" w:name="_Toc306236965"/>
      <w:r w:rsidRPr="00C32070">
        <w:t>2.1.17</w:t>
      </w:r>
      <w:r w:rsidRPr="00C32070">
        <w:rPr>
          <w:rtl/>
        </w:rPr>
        <w:tab/>
        <w:t xml:space="preserve">التقييم </w:t>
      </w:r>
      <w:proofErr w:type="spellStart"/>
      <w:r w:rsidRPr="00C32070">
        <w:rPr>
          <w:rtl/>
        </w:rPr>
        <w:t>الإكتواري</w:t>
      </w:r>
      <w:bookmarkEnd w:id="497"/>
      <w:bookmarkEnd w:id="498"/>
      <w:bookmarkEnd w:id="499"/>
      <w:bookmarkEnd w:id="500"/>
      <w:bookmarkEnd w:id="501"/>
      <w:proofErr w:type="spellEnd"/>
      <w:r w:rsidRPr="00C32070">
        <w:rPr>
          <w:rtl/>
        </w:rPr>
        <w:t xml:space="preserve"> - الافتراضات والأساليب</w:t>
      </w:r>
    </w:p>
    <w:p w14:paraId="08F78C07" w14:textId="77777777" w:rsidR="002D5E5F" w:rsidRPr="00C32070" w:rsidRDefault="002D5E5F" w:rsidP="006F3E5E">
      <w:pPr>
        <w:spacing w:after="120"/>
        <w:rPr>
          <w:lang w:bidi="ar-EG"/>
        </w:rPr>
      </w:pPr>
      <w:r w:rsidRPr="00C32070">
        <w:rPr>
          <w:rtl/>
          <w:lang w:bidi="ar-EG"/>
        </w:rPr>
        <w:t xml:space="preserve">يتحقق الاتحاد، في إطار تقييم الالتزامات المتصلة بخطة التأمين الصحي </w:t>
      </w:r>
      <w:r w:rsidRPr="00C32070">
        <w:rPr>
          <w:lang w:bidi="ar-EG"/>
        </w:rPr>
        <w:t>ASHI</w:t>
      </w:r>
      <w:r w:rsidRPr="00C32070">
        <w:rPr>
          <w:rtl/>
          <w:lang w:bidi="ar-EG"/>
        </w:rPr>
        <w:t xml:space="preserve"> في </w:t>
      </w:r>
      <w:r w:rsidRPr="00C32070">
        <w:rPr>
          <w:lang w:bidi="ar-EG"/>
        </w:rPr>
        <w:t>31</w:t>
      </w:r>
      <w:r w:rsidRPr="00C32070">
        <w:rPr>
          <w:rtl/>
          <w:lang w:bidi="ar-EG"/>
        </w:rPr>
        <w:t xml:space="preserve"> ديسمبر </w:t>
      </w:r>
      <w:r w:rsidRPr="00C32070">
        <w:rPr>
          <w:lang w:bidi="ar-EG"/>
        </w:rPr>
        <w:t>2023</w:t>
      </w:r>
      <w:r w:rsidRPr="00C32070">
        <w:rPr>
          <w:rtl/>
          <w:lang w:bidi="ar-EG"/>
        </w:rPr>
        <w:t xml:space="preserve"> وبالمساهمة في الفترة المالية </w:t>
      </w:r>
      <w:r w:rsidRPr="00C32070">
        <w:rPr>
          <w:lang w:bidi="ar-EG"/>
        </w:rPr>
        <w:t>2023</w:t>
      </w:r>
      <w:r w:rsidRPr="00C32070">
        <w:rPr>
          <w:rtl/>
          <w:lang w:bidi="ar-EG"/>
        </w:rPr>
        <w:t xml:space="preserve">، من صحة الافتراضات والأساليب التي يستخدمها المكتب </w:t>
      </w:r>
      <w:proofErr w:type="spellStart"/>
      <w:r w:rsidRPr="00C32070">
        <w:rPr>
          <w:rtl/>
          <w:lang w:bidi="ar-EG"/>
        </w:rPr>
        <w:t>الإكتواري</w:t>
      </w:r>
      <w:proofErr w:type="spellEnd"/>
      <w:r w:rsidRPr="00C32070">
        <w:rPr>
          <w:rtl/>
          <w:lang w:bidi="ar-EG"/>
        </w:rPr>
        <w:t>. وفيما يلي الافتراضات والأساليب المستخدمة في التقييم الذي يشمل الفترة المالية </w:t>
      </w:r>
      <w:r w:rsidRPr="00C32070">
        <w:rPr>
          <w:lang w:bidi="ar-EG"/>
        </w:rPr>
        <w:t>2023</w:t>
      </w:r>
      <w:r w:rsidRPr="00C32070">
        <w:rPr>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6018"/>
      </w:tblGrid>
      <w:tr w:rsidR="002D5E5F" w:rsidRPr="009D6F64" w14:paraId="10E7204F" w14:textId="77777777" w:rsidTr="00DB3336">
        <w:trPr>
          <w:trHeight w:val="276"/>
        </w:trPr>
        <w:tc>
          <w:tcPr>
            <w:tcW w:w="3611" w:type="dxa"/>
          </w:tcPr>
          <w:p w14:paraId="1BC39C3F" w14:textId="77777777" w:rsidR="002D5E5F" w:rsidRPr="009D6F64" w:rsidRDefault="002D5E5F" w:rsidP="002C1A41">
            <w:pPr>
              <w:pStyle w:val="Tabletexte"/>
              <w:rPr>
                <w:position w:val="2"/>
              </w:rPr>
            </w:pPr>
            <w:bookmarkStart w:id="502" w:name="_Hlk37059178"/>
            <w:r w:rsidRPr="009D6F64">
              <w:rPr>
                <w:position w:val="2"/>
                <w:rtl/>
              </w:rPr>
              <w:t>معدل الخصم</w:t>
            </w:r>
          </w:p>
        </w:tc>
        <w:tc>
          <w:tcPr>
            <w:tcW w:w="6018" w:type="dxa"/>
          </w:tcPr>
          <w:p w14:paraId="3A4DDD1A" w14:textId="77777777" w:rsidR="002D5E5F" w:rsidRPr="009D6F64" w:rsidRDefault="002D5E5F" w:rsidP="002C1A41">
            <w:pPr>
              <w:pStyle w:val="Tabletexte"/>
              <w:rPr>
                <w:position w:val="2"/>
                <w:rtl/>
                <w:lang w:val="fr-FR" w:eastAsia="en-US" w:bidi="ar-EG"/>
              </w:rPr>
            </w:pPr>
            <w:r w:rsidRPr="009D6F64">
              <w:rPr>
                <w:position w:val="2"/>
                <w:lang w:eastAsia="en-US" w:bidi="ar-EG"/>
              </w:rPr>
              <w:t>%1,90</w:t>
            </w:r>
            <w:r w:rsidRPr="009D6F64">
              <w:rPr>
                <w:position w:val="2"/>
                <w:rtl/>
                <w:lang w:eastAsia="en-US" w:bidi="ar-EG"/>
              </w:rPr>
              <w:t xml:space="preserve"> لعام </w:t>
            </w:r>
            <w:r w:rsidRPr="009D6F64">
              <w:rPr>
                <w:position w:val="2"/>
                <w:lang w:eastAsia="en-US" w:bidi="ar-EG"/>
              </w:rPr>
              <w:t>2023</w:t>
            </w:r>
            <w:r w:rsidRPr="009D6F64">
              <w:rPr>
                <w:position w:val="2"/>
                <w:rtl/>
                <w:lang w:val="fr-FR" w:eastAsia="en-US" w:bidi="ar-EG"/>
              </w:rPr>
              <w:t xml:space="preserve"> و</w:t>
            </w:r>
            <w:r w:rsidRPr="00434B05">
              <w:rPr>
                <w:position w:val="2"/>
                <w:lang w:eastAsia="en-US" w:bidi="ar-EG"/>
              </w:rPr>
              <w:t>%2,50</w:t>
            </w:r>
            <w:r w:rsidRPr="009D6F64">
              <w:rPr>
                <w:position w:val="2"/>
                <w:rtl/>
                <w:lang w:val="fr-FR" w:eastAsia="en-US" w:bidi="ar-EG"/>
              </w:rPr>
              <w:t xml:space="preserve"> لعام </w:t>
            </w:r>
            <w:r w:rsidRPr="009D6F64">
              <w:rPr>
                <w:position w:val="2"/>
                <w:lang w:eastAsia="en-US" w:bidi="ar-EG"/>
              </w:rPr>
              <w:t>2022</w:t>
            </w:r>
            <w:r w:rsidRPr="009D6F64">
              <w:rPr>
                <w:position w:val="2"/>
                <w:rtl/>
                <w:lang w:val="fr-FR" w:eastAsia="en-US" w:bidi="ar-EG"/>
              </w:rPr>
              <w:t>.</w:t>
            </w:r>
          </w:p>
          <w:p w14:paraId="5827FB78" w14:textId="77777777" w:rsidR="002D5E5F" w:rsidRPr="009D6F64" w:rsidRDefault="002D5E5F" w:rsidP="002C1A41">
            <w:pPr>
              <w:pStyle w:val="Tabletexte"/>
              <w:rPr>
                <w:position w:val="2"/>
              </w:rPr>
            </w:pPr>
            <w:r w:rsidRPr="009D6F64">
              <w:rPr>
                <w:position w:val="2"/>
                <w:rtl/>
              </w:rPr>
              <w:t xml:space="preserve">تحددت معدلات الخصم المستخدمة في هذا التقييم أولاً بشكل منفصل لكل من العملات الرئيسية بما في ذلك الفرنك السويسري والدولار الأمريكي واليورو باستخدام منحنى عائد سندات الشركات </w:t>
            </w:r>
            <w:r w:rsidRPr="009D6F64">
              <w:rPr>
                <w:position w:val="2"/>
              </w:rPr>
              <w:t>AA</w:t>
            </w:r>
            <w:r w:rsidRPr="009D6F64">
              <w:rPr>
                <w:position w:val="2"/>
                <w:rtl/>
              </w:rPr>
              <w:t xml:space="preserve"> لمكتب </w:t>
            </w:r>
            <w:r w:rsidRPr="009D6F64">
              <w:rPr>
                <w:position w:val="2"/>
              </w:rPr>
              <w:t>Aon</w:t>
            </w:r>
            <w:r w:rsidRPr="009D6F64">
              <w:rPr>
                <w:position w:val="2"/>
                <w:rtl/>
              </w:rPr>
              <w:t xml:space="preserve"> لغاية 31 ديسمبر </w:t>
            </w:r>
            <w:r w:rsidRPr="009D6F64">
              <w:rPr>
                <w:position w:val="2"/>
              </w:rPr>
              <w:t>2023</w:t>
            </w:r>
            <w:r w:rsidRPr="009D6F64">
              <w:rPr>
                <w:position w:val="2"/>
                <w:rtl/>
              </w:rPr>
              <w:t>. ثم تحدَّد معدل الخصم النهائي بحساب متوسط معدلات الخصم المقوَّمة بمختلف العملات، مرجحاً بدفعات الاستحقاقات المدفوعة بكل عملة إلى الموظفين غير النشطين حالياً.</w:t>
            </w:r>
          </w:p>
        </w:tc>
      </w:tr>
      <w:tr w:rsidR="002D5E5F" w:rsidRPr="009D6F64" w14:paraId="4C889532" w14:textId="77777777" w:rsidTr="00DB3336">
        <w:trPr>
          <w:trHeight w:val="262"/>
        </w:trPr>
        <w:tc>
          <w:tcPr>
            <w:tcW w:w="3611" w:type="dxa"/>
          </w:tcPr>
          <w:p w14:paraId="0DCF37E4" w14:textId="77777777" w:rsidR="002D5E5F" w:rsidRPr="009D6F64" w:rsidRDefault="002D5E5F" w:rsidP="002C1A41">
            <w:pPr>
              <w:pStyle w:val="Tabletexte"/>
              <w:rPr>
                <w:position w:val="2"/>
              </w:rPr>
            </w:pPr>
            <w:r w:rsidRPr="009D6F64">
              <w:rPr>
                <w:position w:val="2"/>
                <w:rtl/>
              </w:rPr>
              <w:t>ارتفاع التكاليف الطبية</w:t>
            </w:r>
          </w:p>
        </w:tc>
        <w:tc>
          <w:tcPr>
            <w:tcW w:w="6018" w:type="dxa"/>
          </w:tcPr>
          <w:p w14:paraId="619FDA5A" w14:textId="77777777" w:rsidR="002D5E5F" w:rsidRPr="009D6F64" w:rsidRDefault="002D5E5F" w:rsidP="002C1A41">
            <w:pPr>
              <w:pStyle w:val="Tabletexte"/>
              <w:rPr>
                <w:position w:val="2"/>
              </w:rPr>
            </w:pPr>
            <w:r w:rsidRPr="009D6F64">
              <w:rPr>
                <w:position w:val="2"/>
              </w:rPr>
              <w:t>%2,60</w:t>
            </w:r>
            <w:r w:rsidRPr="009D6F64">
              <w:rPr>
                <w:position w:val="2"/>
                <w:rtl/>
              </w:rPr>
              <w:t xml:space="preserve"> لعام </w:t>
            </w:r>
            <w:r w:rsidRPr="009D6F64">
              <w:rPr>
                <w:position w:val="2"/>
              </w:rPr>
              <w:t>2023</w:t>
            </w:r>
            <w:r w:rsidRPr="009D6F64">
              <w:rPr>
                <w:position w:val="2"/>
                <w:rtl/>
              </w:rPr>
              <w:t xml:space="preserve"> و</w:t>
            </w:r>
            <w:r w:rsidRPr="009D6F64">
              <w:rPr>
                <w:position w:val="2"/>
              </w:rPr>
              <w:t>%2,80</w:t>
            </w:r>
            <w:r w:rsidRPr="009D6F64">
              <w:rPr>
                <w:position w:val="2"/>
                <w:rtl/>
              </w:rPr>
              <w:t xml:space="preserve"> في عام </w:t>
            </w:r>
            <w:r w:rsidRPr="009D6F64">
              <w:rPr>
                <w:position w:val="2"/>
              </w:rPr>
              <w:t>2022</w:t>
            </w:r>
            <w:r w:rsidRPr="009D6F64">
              <w:rPr>
                <w:position w:val="2"/>
                <w:rtl/>
                <w:lang w:val="fr-CH"/>
              </w:rPr>
              <w:t>.</w:t>
            </w:r>
          </w:p>
        </w:tc>
      </w:tr>
      <w:tr w:rsidR="002D5E5F" w:rsidRPr="009D6F64" w14:paraId="21CEE08C" w14:textId="77777777" w:rsidTr="00DB3336">
        <w:trPr>
          <w:trHeight w:val="509"/>
        </w:trPr>
        <w:tc>
          <w:tcPr>
            <w:tcW w:w="3611" w:type="dxa"/>
          </w:tcPr>
          <w:p w14:paraId="2ED08B96" w14:textId="77777777" w:rsidR="002D5E5F" w:rsidRPr="009D6F64" w:rsidRDefault="002D5E5F" w:rsidP="002C1A41">
            <w:pPr>
              <w:pStyle w:val="Tabletexte"/>
              <w:rPr>
                <w:position w:val="2"/>
              </w:rPr>
            </w:pPr>
            <w:r w:rsidRPr="009D6F64">
              <w:rPr>
                <w:position w:val="2"/>
                <w:rtl/>
              </w:rPr>
              <w:t>زيادة المرتبات</w:t>
            </w:r>
          </w:p>
        </w:tc>
        <w:tc>
          <w:tcPr>
            <w:tcW w:w="6018" w:type="dxa"/>
          </w:tcPr>
          <w:p w14:paraId="1187CCF7" w14:textId="77777777" w:rsidR="002D5E5F" w:rsidRPr="009D6F64" w:rsidRDefault="002D5E5F" w:rsidP="002C1A41">
            <w:pPr>
              <w:pStyle w:val="Tabletexte"/>
              <w:rPr>
                <w:position w:val="2"/>
              </w:rPr>
            </w:pPr>
            <w:r w:rsidRPr="009D6F64">
              <w:rPr>
                <w:position w:val="2"/>
                <w:rtl/>
              </w:rPr>
              <w:t xml:space="preserve">زيادة بنسبة </w:t>
            </w:r>
            <w:r w:rsidRPr="009D6F64">
              <w:rPr>
                <w:position w:val="2"/>
              </w:rPr>
              <w:t>%3,10</w:t>
            </w:r>
            <w:r w:rsidRPr="009D6F64">
              <w:rPr>
                <w:position w:val="2"/>
                <w:rtl/>
              </w:rPr>
              <w:t xml:space="preserve"> لعام 2023 و</w:t>
            </w:r>
            <w:r w:rsidRPr="009D6F64">
              <w:rPr>
                <w:position w:val="2"/>
              </w:rPr>
              <w:t>3,00</w:t>
            </w:r>
            <w:r w:rsidRPr="009D6F64">
              <w:rPr>
                <w:position w:val="2"/>
                <w:rtl/>
              </w:rPr>
              <w:t xml:space="preserve">% لعام 2022 في جدول المرتبات الثابتة للصندوق </w:t>
            </w:r>
            <w:r w:rsidRPr="009D6F64">
              <w:rPr>
                <w:position w:val="2"/>
              </w:rPr>
              <w:t>UNJSPF</w:t>
            </w:r>
            <w:r w:rsidRPr="009D6F64">
              <w:rPr>
                <w:position w:val="2"/>
                <w:rtl/>
              </w:rPr>
              <w:t>.</w:t>
            </w:r>
          </w:p>
        </w:tc>
      </w:tr>
      <w:tr w:rsidR="002D5E5F" w:rsidRPr="009D6F64" w14:paraId="6FF787BA" w14:textId="77777777" w:rsidTr="00DB3336">
        <w:trPr>
          <w:trHeight w:val="276"/>
        </w:trPr>
        <w:tc>
          <w:tcPr>
            <w:tcW w:w="3611" w:type="dxa"/>
          </w:tcPr>
          <w:p w14:paraId="188912E9" w14:textId="77777777" w:rsidR="002D5E5F" w:rsidRPr="009D6F64" w:rsidRDefault="002D5E5F" w:rsidP="002C1A41">
            <w:pPr>
              <w:pStyle w:val="Tabletexte"/>
              <w:rPr>
                <w:position w:val="2"/>
              </w:rPr>
            </w:pPr>
            <w:r w:rsidRPr="009D6F64">
              <w:rPr>
                <w:position w:val="2"/>
                <w:rtl/>
              </w:rPr>
              <w:t>زيادة معاشات التقاعد</w:t>
            </w:r>
          </w:p>
        </w:tc>
        <w:tc>
          <w:tcPr>
            <w:tcW w:w="6018" w:type="dxa"/>
          </w:tcPr>
          <w:p w14:paraId="5DA72306" w14:textId="77777777" w:rsidR="002D5E5F" w:rsidRPr="009D6F64" w:rsidRDefault="002D5E5F" w:rsidP="002C1A41">
            <w:pPr>
              <w:pStyle w:val="Tabletexte"/>
              <w:rPr>
                <w:position w:val="2"/>
                <w:rtl/>
              </w:rPr>
            </w:pPr>
            <w:r w:rsidRPr="009D6F64">
              <w:rPr>
                <w:position w:val="2"/>
              </w:rPr>
              <w:t>%2,60</w:t>
            </w:r>
            <w:r w:rsidRPr="009D6F64">
              <w:rPr>
                <w:position w:val="2"/>
                <w:rtl/>
              </w:rPr>
              <w:t xml:space="preserve"> لعام </w:t>
            </w:r>
            <w:r w:rsidRPr="009D6F64">
              <w:rPr>
                <w:position w:val="2"/>
              </w:rPr>
              <w:t>2023</w:t>
            </w:r>
            <w:r w:rsidRPr="009D6F64">
              <w:rPr>
                <w:position w:val="2"/>
                <w:rtl/>
              </w:rPr>
              <w:t xml:space="preserve"> و</w:t>
            </w:r>
            <w:r w:rsidRPr="009D6F64">
              <w:rPr>
                <w:position w:val="2"/>
              </w:rPr>
              <w:t>2,50</w:t>
            </w:r>
            <w:r w:rsidRPr="009D6F64">
              <w:rPr>
                <w:position w:val="2"/>
                <w:rtl/>
              </w:rPr>
              <w:t xml:space="preserve">% لعام </w:t>
            </w:r>
            <w:r w:rsidRPr="009D6F64">
              <w:rPr>
                <w:position w:val="2"/>
              </w:rPr>
              <w:t>2022</w:t>
            </w:r>
            <w:r w:rsidRPr="009D6F64">
              <w:rPr>
                <w:position w:val="2"/>
                <w:rtl/>
              </w:rPr>
              <w:t>.</w:t>
            </w:r>
          </w:p>
        </w:tc>
      </w:tr>
      <w:tr w:rsidR="002D5E5F" w:rsidRPr="009D6F64" w14:paraId="0F9A33CA" w14:textId="77777777" w:rsidTr="00DB3336">
        <w:trPr>
          <w:trHeight w:val="1120"/>
        </w:trPr>
        <w:tc>
          <w:tcPr>
            <w:tcW w:w="3611" w:type="dxa"/>
          </w:tcPr>
          <w:p w14:paraId="061ECFA7" w14:textId="77777777" w:rsidR="002D5E5F" w:rsidRPr="009D6F64" w:rsidRDefault="002D5E5F" w:rsidP="002C1A41">
            <w:pPr>
              <w:pStyle w:val="Tabletexte"/>
              <w:rPr>
                <w:position w:val="2"/>
              </w:rPr>
            </w:pPr>
            <w:r w:rsidRPr="009D6F64">
              <w:rPr>
                <w:spacing w:val="-6"/>
                <w:position w:val="2"/>
                <w:rtl/>
              </w:rPr>
              <w:t>متوسط التكلفة السنوية المقدر لطلبات استرداد النفقات الطبية في 2023</w:t>
            </w:r>
            <w:r w:rsidRPr="009D6F64">
              <w:rPr>
                <w:spacing w:val="-6"/>
                <w:position w:val="2"/>
                <w:rtl/>
                <w:lang w:val="fr-CH"/>
              </w:rPr>
              <w:t xml:space="preserve"> </w:t>
            </w:r>
            <w:r w:rsidRPr="009D6F64">
              <w:rPr>
                <w:spacing w:val="-6"/>
                <w:position w:val="2"/>
                <w:rtl/>
              </w:rPr>
              <w:t>والاختلاف في النفقات الطبية بحكم السن</w:t>
            </w:r>
          </w:p>
        </w:tc>
        <w:tc>
          <w:tcPr>
            <w:tcW w:w="6018" w:type="dxa"/>
          </w:tcPr>
          <w:p w14:paraId="6710EE7E" w14:textId="77777777" w:rsidR="002D5E5F" w:rsidRPr="009D6F64" w:rsidRDefault="002D5E5F" w:rsidP="002C1A41">
            <w:pPr>
              <w:pStyle w:val="Tabletexte"/>
              <w:rPr>
                <w:position w:val="2"/>
                <w:rtl/>
              </w:rPr>
            </w:pPr>
            <w:r w:rsidRPr="009D6F64">
              <w:rPr>
                <w:spacing w:val="-4"/>
                <w:position w:val="2"/>
                <w:rtl/>
              </w:rPr>
              <w:t xml:space="preserve">يستند التقرير </w:t>
            </w:r>
            <w:proofErr w:type="spellStart"/>
            <w:r w:rsidRPr="009D6F64">
              <w:rPr>
                <w:spacing w:val="-4"/>
                <w:position w:val="2"/>
                <w:rtl/>
              </w:rPr>
              <w:t>الإكتواري</w:t>
            </w:r>
            <w:proofErr w:type="spellEnd"/>
            <w:r w:rsidRPr="009D6F64">
              <w:rPr>
                <w:spacing w:val="-4"/>
                <w:position w:val="2"/>
                <w:rtl/>
              </w:rPr>
              <w:t xml:space="preserve"> لعام 2023 إلى متوسط تكلفة طلبات استرداد النفقات مقدراً بالفرنك السويسري، في نهاية الفترة المالية </w:t>
            </w:r>
            <w:r w:rsidRPr="009D6F64">
              <w:rPr>
                <w:spacing w:val="-4"/>
                <w:position w:val="2"/>
                <w:rtl/>
                <w:lang w:val="fr-CH"/>
              </w:rPr>
              <w:t>2023</w:t>
            </w:r>
            <w:r w:rsidRPr="009D6F64">
              <w:rPr>
                <w:spacing w:val="-4"/>
                <w:position w:val="2"/>
                <w:rtl/>
              </w:rPr>
              <w:t xml:space="preserve">، بحسب الفئات العمرية </w:t>
            </w:r>
            <w:r w:rsidRPr="009D6F64">
              <w:rPr>
                <w:spacing w:val="-4"/>
                <w:position w:val="2"/>
              </w:rPr>
              <w:t>50</w:t>
            </w:r>
            <w:r w:rsidRPr="009D6F64">
              <w:rPr>
                <w:spacing w:val="-4"/>
                <w:position w:val="2"/>
                <w:rtl/>
              </w:rPr>
              <w:t xml:space="preserve"> و</w:t>
            </w:r>
            <w:r w:rsidRPr="009D6F64">
              <w:rPr>
                <w:spacing w:val="-4"/>
                <w:position w:val="2"/>
                <w:lang w:val="en-CA"/>
              </w:rPr>
              <w:t>55</w:t>
            </w:r>
            <w:r w:rsidRPr="009D6F64">
              <w:rPr>
                <w:spacing w:val="-4"/>
                <w:position w:val="2"/>
                <w:rtl/>
                <w:lang w:val="en-CA"/>
              </w:rPr>
              <w:t xml:space="preserve"> </w:t>
            </w:r>
            <w:r w:rsidRPr="009D6F64">
              <w:rPr>
                <w:spacing w:val="-4"/>
                <w:position w:val="2"/>
                <w:rtl/>
              </w:rPr>
              <w:t>و</w:t>
            </w:r>
            <w:r w:rsidRPr="009D6F64">
              <w:rPr>
                <w:spacing w:val="-4"/>
                <w:position w:val="2"/>
              </w:rPr>
              <w:t>60</w:t>
            </w:r>
            <w:r w:rsidRPr="009D6F64">
              <w:rPr>
                <w:spacing w:val="-4"/>
                <w:position w:val="2"/>
                <w:rtl/>
              </w:rPr>
              <w:t xml:space="preserve"> و</w:t>
            </w:r>
            <w:r w:rsidRPr="009D6F64">
              <w:rPr>
                <w:spacing w:val="-4"/>
                <w:position w:val="2"/>
                <w:lang w:val="en-CA"/>
              </w:rPr>
              <w:t>65</w:t>
            </w:r>
            <w:r w:rsidRPr="009D6F64">
              <w:rPr>
                <w:spacing w:val="-4"/>
                <w:position w:val="2"/>
                <w:rtl/>
                <w:lang w:val="en-CA"/>
              </w:rPr>
              <w:t xml:space="preserve"> </w:t>
            </w:r>
            <w:r w:rsidRPr="009D6F64">
              <w:rPr>
                <w:spacing w:val="-4"/>
                <w:position w:val="2"/>
                <w:rtl/>
              </w:rPr>
              <w:t>و</w:t>
            </w:r>
            <w:r w:rsidRPr="009D6F64">
              <w:rPr>
                <w:spacing w:val="-4"/>
                <w:position w:val="2"/>
              </w:rPr>
              <w:t>70</w:t>
            </w:r>
            <w:r w:rsidRPr="009D6F64">
              <w:rPr>
                <w:spacing w:val="-4"/>
                <w:position w:val="2"/>
                <w:rtl/>
              </w:rPr>
              <w:t xml:space="preserve"> و</w:t>
            </w:r>
            <w:r w:rsidRPr="009D6F64">
              <w:rPr>
                <w:spacing w:val="-4"/>
                <w:position w:val="2"/>
                <w:lang w:val="en-CA"/>
              </w:rPr>
              <w:t>75</w:t>
            </w:r>
            <w:r w:rsidRPr="009D6F64">
              <w:rPr>
                <w:spacing w:val="-4"/>
                <w:position w:val="2"/>
                <w:rtl/>
                <w:lang w:val="en-CA"/>
              </w:rPr>
              <w:t xml:space="preserve"> </w:t>
            </w:r>
            <w:r w:rsidRPr="009D6F64">
              <w:rPr>
                <w:spacing w:val="-4"/>
                <w:position w:val="2"/>
                <w:rtl/>
              </w:rPr>
              <w:t>و</w:t>
            </w:r>
            <w:r w:rsidRPr="009D6F64">
              <w:rPr>
                <w:spacing w:val="-4"/>
                <w:position w:val="2"/>
              </w:rPr>
              <w:t>80</w:t>
            </w:r>
            <w:r w:rsidRPr="009D6F64">
              <w:rPr>
                <w:spacing w:val="-4"/>
                <w:position w:val="2"/>
                <w:rtl/>
              </w:rPr>
              <w:t xml:space="preserve"> و</w:t>
            </w:r>
            <w:r w:rsidRPr="009D6F64">
              <w:rPr>
                <w:spacing w:val="-4"/>
                <w:position w:val="2"/>
              </w:rPr>
              <w:t>85</w:t>
            </w:r>
            <w:r w:rsidRPr="009D6F64">
              <w:rPr>
                <w:spacing w:val="-4"/>
                <w:position w:val="2"/>
                <w:rtl/>
              </w:rPr>
              <w:t xml:space="preserve"> و90 عاماً، بمبلغ </w:t>
            </w:r>
            <w:r w:rsidRPr="009D6F64">
              <w:rPr>
                <w:spacing w:val="-4"/>
                <w:position w:val="2"/>
              </w:rPr>
              <w:t>3 226</w:t>
            </w:r>
            <w:r w:rsidRPr="009D6F64">
              <w:rPr>
                <w:spacing w:val="-4"/>
                <w:position w:val="2"/>
                <w:rtl/>
              </w:rPr>
              <w:t xml:space="preserve"> و</w:t>
            </w:r>
            <w:r w:rsidRPr="009D6F64">
              <w:rPr>
                <w:spacing w:val="-4"/>
                <w:position w:val="2"/>
              </w:rPr>
              <w:t>4 038</w:t>
            </w:r>
            <w:r w:rsidRPr="009D6F64">
              <w:rPr>
                <w:spacing w:val="-4"/>
                <w:position w:val="2"/>
                <w:rtl/>
              </w:rPr>
              <w:t xml:space="preserve"> و</w:t>
            </w:r>
            <w:r w:rsidRPr="009D6F64">
              <w:rPr>
                <w:spacing w:val="-4"/>
                <w:position w:val="2"/>
              </w:rPr>
              <w:t>5 063</w:t>
            </w:r>
            <w:r w:rsidRPr="009D6F64">
              <w:rPr>
                <w:spacing w:val="-4"/>
                <w:position w:val="2"/>
                <w:rtl/>
              </w:rPr>
              <w:t xml:space="preserve"> و</w:t>
            </w:r>
            <w:r w:rsidRPr="009D6F64">
              <w:rPr>
                <w:spacing w:val="-4"/>
                <w:position w:val="2"/>
              </w:rPr>
              <w:t>6 357</w:t>
            </w:r>
            <w:r w:rsidRPr="009D6F64">
              <w:rPr>
                <w:spacing w:val="-4"/>
                <w:position w:val="2"/>
                <w:rtl/>
              </w:rPr>
              <w:t xml:space="preserve"> و</w:t>
            </w:r>
            <w:r w:rsidRPr="009D6F64">
              <w:rPr>
                <w:spacing w:val="-4"/>
                <w:position w:val="2"/>
              </w:rPr>
              <w:t>7 995</w:t>
            </w:r>
            <w:r w:rsidRPr="009D6F64">
              <w:rPr>
                <w:spacing w:val="-4"/>
                <w:position w:val="2"/>
                <w:rtl/>
              </w:rPr>
              <w:t xml:space="preserve"> و</w:t>
            </w:r>
            <w:r w:rsidRPr="009D6F64">
              <w:rPr>
                <w:spacing w:val="-4"/>
                <w:position w:val="2"/>
              </w:rPr>
              <w:t>10 074</w:t>
            </w:r>
            <w:r w:rsidRPr="009D6F64">
              <w:rPr>
                <w:spacing w:val="-4"/>
                <w:position w:val="2"/>
                <w:rtl/>
              </w:rPr>
              <w:t xml:space="preserve"> و</w:t>
            </w:r>
            <w:r w:rsidRPr="009D6F64">
              <w:rPr>
                <w:spacing w:val="-4"/>
                <w:position w:val="2"/>
              </w:rPr>
              <w:t>12 715</w:t>
            </w:r>
            <w:r w:rsidRPr="009D6F64">
              <w:rPr>
                <w:spacing w:val="-4"/>
                <w:position w:val="2"/>
                <w:rtl/>
              </w:rPr>
              <w:t xml:space="preserve"> و</w:t>
            </w:r>
            <w:r w:rsidRPr="009D6F64">
              <w:rPr>
                <w:spacing w:val="-4"/>
                <w:position w:val="2"/>
              </w:rPr>
              <w:t>14 736</w:t>
            </w:r>
            <w:r w:rsidRPr="009D6F64">
              <w:rPr>
                <w:spacing w:val="-4"/>
                <w:position w:val="2"/>
                <w:rtl/>
              </w:rPr>
              <w:t xml:space="preserve"> و</w:t>
            </w:r>
            <w:r w:rsidRPr="009D6F64">
              <w:rPr>
                <w:spacing w:val="-4"/>
                <w:position w:val="2"/>
              </w:rPr>
              <w:t>16 953</w:t>
            </w:r>
            <w:r w:rsidRPr="009D6F64">
              <w:rPr>
                <w:spacing w:val="-4"/>
                <w:position w:val="2"/>
                <w:rtl/>
              </w:rPr>
              <w:t xml:space="preserve"> فرنكاً سويسرياً.</w:t>
            </w:r>
          </w:p>
        </w:tc>
      </w:tr>
      <w:tr w:rsidR="002D5E5F" w:rsidRPr="009D6F64" w14:paraId="3AFEF18C" w14:textId="77777777" w:rsidTr="00DB3336">
        <w:trPr>
          <w:trHeight w:val="262"/>
        </w:trPr>
        <w:tc>
          <w:tcPr>
            <w:tcW w:w="3611" w:type="dxa"/>
          </w:tcPr>
          <w:p w14:paraId="29C181F5" w14:textId="77777777" w:rsidR="002D5E5F" w:rsidRPr="009D6F64" w:rsidRDefault="002D5E5F" w:rsidP="002C1A41">
            <w:pPr>
              <w:pStyle w:val="Tabletexte"/>
              <w:rPr>
                <w:position w:val="2"/>
              </w:rPr>
            </w:pPr>
            <w:r w:rsidRPr="009D6F64">
              <w:rPr>
                <w:position w:val="2"/>
                <w:rtl/>
              </w:rPr>
              <w:t>مصاريف إدارية</w:t>
            </w:r>
          </w:p>
        </w:tc>
        <w:tc>
          <w:tcPr>
            <w:tcW w:w="6018" w:type="dxa"/>
          </w:tcPr>
          <w:p w14:paraId="7FA368F8" w14:textId="77777777" w:rsidR="002D5E5F" w:rsidRPr="009D6F64" w:rsidRDefault="002D5E5F" w:rsidP="002C1A41">
            <w:pPr>
              <w:pStyle w:val="Tabletexte"/>
              <w:rPr>
                <w:position w:val="2"/>
              </w:rPr>
            </w:pPr>
            <w:r w:rsidRPr="009D6F64">
              <w:rPr>
                <w:position w:val="2"/>
                <w:rtl/>
              </w:rPr>
              <w:t xml:space="preserve">تم تقدير متوسط التكلفة الإدارية السنوية لكل فرد بنحو 164 فرنكاً سويسرياً. </w:t>
            </w:r>
          </w:p>
        </w:tc>
      </w:tr>
      <w:tr w:rsidR="002D5E5F" w:rsidRPr="009D6F64" w14:paraId="3C629EF3" w14:textId="77777777" w:rsidTr="00DB3336">
        <w:trPr>
          <w:trHeight w:val="1026"/>
        </w:trPr>
        <w:tc>
          <w:tcPr>
            <w:tcW w:w="3611" w:type="dxa"/>
          </w:tcPr>
          <w:p w14:paraId="618560A6" w14:textId="77777777" w:rsidR="002D5E5F" w:rsidRPr="009D6F64" w:rsidRDefault="002D5E5F" w:rsidP="002C1A41">
            <w:pPr>
              <w:pStyle w:val="Tabletexte"/>
              <w:rPr>
                <w:position w:val="2"/>
              </w:rPr>
            </w:pPr>
            <w:r w:rsidRPr="009D6F64">
              <w:rPr>
                <w:position w:val="2"/>
                <w:rtl/>
              </w:rPr>
              <w:t>معدل الوفيات</w:t>
            </w:r>
          </w:p>
        </w:tc>
        <w:tc>
          <w:tcPr>
            <w:tcW w:w="6018" w:type="dxa"/>
          </w:tcPr>
          <w:p w14:paraId="54D9A382" w14:textId="77777777" w:rsidR="002D5E5F" w:rsidRPr="009D6F64" w:rsidRDefault="002D5E5F" w:rsidP="002C1A41">
            <w:pPr>
              <w:pStyle w:val="Tabletexte"/>
              <w:rPr>
                <w:position w:val="2"/>
              </w:rPr>
            </w:pPr>
            <w:r w:rsidRPr="009D6F64">
              <w:rPr>
                <w:spacing w:val="-4"/>
                <w:position w:val="2"/>
                <w:rtl/>
              </w:rPr>
              <w:t xml:space="preserve">يستند معدل الوفيات إلى أحدث جداول الأمم المتحدة لمعدل الوفيات المصنفة حسب نوع الجنس (يناير </w:t>
            </w:r>
            <w:r w:rsidRPr="009D6F64">
              <w:rPr>
                <w:spacing w:val="-4"/>
                <w:position w:val="2"/>
              </w:rPr>
              <w:t>2023</w:t>
            </w:r>
            <w:r w:rsidRPr="009D6F64">
              <w:rPr>
                <w:spacing w:val="-4"/>
                <w:position w:val="2"/>
                <w:rtl/>
              </w:rPr>
              <w:t>) مع عدم تطبيق تحسن في أمد الحياة فيما يتعلق بالموظفين</w:t>
            </w:r>
            <w:r w:rsidRPr="009D6F64">
              <w:rPr>
                <w:spacing w:val="-4"/>
                <w:position w:val="2"/>
                <w:rtl/>
                <w:lang w:bidi="ar-SA"/>
              </w:rPr>
              <w:t xml:space="preserve"> النشطين</w:t>
            </w:r>
            <w:r w:rsidRPr="009D6F64">
              <w:rPr>
                <w:spacing w:val="-4"/>
                <w:position w:val="2"/>
                <w:rtl/>
              </w:rPr>
              <w:t xml:space="preserve"> والمتقاعدين بسبب العجز، ومع تطبيق تحسن عبر الأجيال في أمد الحياة حتى 2043، واعتبار 2017 السنة الأساس، فيما يتعلق بالمتقاعدين من الخدمة والأرامل.</w:t>
            </w:r>
          </w:p>
        </w:tc>
      </w:tr>
      <w:tr w:rsidR="002D5E5F" w:rsidRPr="009D6F64" w14:paraId="7EA93307" w14:textId="77777777" w:rsidTr="00DB3336">
        <w:trPr>
          <w:trHeight w:val="374"/>
        </w:trPr>
        <w:tc>
          <w:tcPr>
            <w:tcW w:w="3611" w:type="dxa"/>
          </w:tcPr>
          <w:p w14:paraId="2E789942" w14:textId="77777777" w:rsidR="002D5E5F" w:rsidRPr="009D6F64" w:rsidRDefault="002D5E5F" w:rsidP="002C1A41">
            <w:pPr>
              <w:pStyle w:val="Tabletexte"/>
              <w:rPr>
                <w:position w:val="2"/>
              </w:rPr>
            </w:pPr>
            <w:r w:rsidRPr="009D6F64">
              <w:rPr>
                <w:position w:val="2"/>
                <w:rtl/>
              </w:rPr>
              <w:t>تقدير قيمة الأصول</w:t>
            </w:r>
          </w:p>
        </w:tc>
        <w:tc>
          <w:tcPr>
            <w:tcW w:w="6018" w:type="dxa"/>
          </w:tcPr>
          <w:p w14:paraId="639C4FAB" w14:textId="77777777" w:rsidR="002D5E5F" w:rsidRPr="009D6F64" w:rsidRDefault="002D5E5F" w:rsidP="002C1A41">
            <w:pPr>
              <w:pStyle w:val="Tabletexte"/>
              <w:rPr>
                <w:position w:val="2"/>
              </w:rPr>
            </w:pPr>
            <w:r w:rsidRPr="009D6F64">
              <w:rPr>
                <w:position w:val="2"/>
                <w:rtl/>
                <w:lang w:val="fr-CH"/>
              </w:rPr>
              <w:t>لم يكن للاتحاد أي أصول في إطار صناديق الضمان في </w:t>
            </w:r>
            <w:r w:rsidRPr="009D6F64">
              <w:rPr>
                <w:position w:val="2"/>
              </w:rPr>
              <w:t>31</w:t>
            </w:r>
            <w:r w:rsidRPr="009D6F64">
              <w:rPr>
                <w:position w:val="2"/>
                <w:rtl/>
              </w:rPr>
              <w:t xml:space="preserve"> ديسمبر 2023.</w:t>
            </w:r>
          </w:p>
        </w:tc>
      </w:tr>
      <w:tr w:rsidR="002D5E5F" w:rsidRPr="009D6F64" w14:paraId="1C858CB4" w14:textId="77777777" w:rsidTr="00DB3336">
        <w:trPr>
          <w:trHeight w:val="742"/>
        </w:trPr>
        <w:tc>
          <w:tcPr>
            <w:tcW w:w="3611" w:type="dxa"/>
          </w:tcPr>
          <w:p w14:paraId="3C178090" w14:textId="77777777" w:rsidR="002D5E5F" w:rsidRPr="009D6F64" w:rsidRDefault="002D5E5F" w:rsidP="002C1A41">
            <w:pPr>
              <w:pStyle w:val="Tabletexte"/>
              <w:rPr>
                <w:position w:val="2"/>
              </w:rPr>
            </w:pPr>
            <w:r w:rsidRPr="009D6F64">
              <w:rPr>
                <w:position w:val="2"/>
                <w:rtl/>
              </w:rPr>
              <w:t>معدل الإعاقة</w:t>
            </w:r>
          </w:p>
        </w:tc>
        <w:tc>
          <w:tcPr>
            <w:tcW w:w="6018" w:type="dxa"/>
          </w:tcPr>
          <w:p w14:paraId="6CABF93D" w14:textId="77777777" w:rsidR="002D5E5F" w:rsidRPr="009D6F64" w:rsidRDefault="002D5E5F" w:rsidP="002C1A41">
            <w:pPr>
              <w:pStyle w:val="Tabletexte"/>
              <w:rPr>
                <w:position w:val="2"/>
              </w:rPr>
            </w:pPr>
            <w:r w:rsidRPr="009D6F64">
              <w:rPr>
                <w:position w:val="2"/>
                <w:rtl/>
              </w:rPr>
              <w:t>يتفاوت بحسب العمر ونوع الجنس والفئة الفنية وفئة الخدمة العامة ويزداد مع العمر. ويستند المعدل إلى جدول الأمم المتحدة للإعاقة الصادر في يناير 2024.</w:t>
            </w:r>
          </w:p>
        </w:tc>
      </w:tr>
      <w:tr w:rsidR="002D5E5F" w:rsidRPr="009D6F64" w14:paraId="376CC3EE" w14:textId="77777777" w:rsidTr="00DB3336">
        <w:trPr>
          <w:trHeight w:val="509"/>
        </w:trPr>
        <w:tc>
          <w:tcPr>
            <w:tcW w:w="3611" w:type="dxa"/>
          </w:tcPr>
          <w:p w14:paraId="4A738C76" w14:textId="77777777" w:rsidR="002D5E5F" w:rsidRPr="009D6F64" w:rsidRDefault="002D5E5F" w:rsidP="002C1A41">
            <w:pPr>
              <w:pStyle w:val="Tabletexte"/>
              <w:rPr>
                <w:position w:val="2"/>
              </w:rPr>
            </w:pPr>
            <w:r w:rsidRPr="009D6F64">
              <w:rPr>
                <w:position w:val="2"/>
                <w:rtl/>
              </w:rPr>
              <w:t>تعاقب الموظفين</w:t>
            </w:r>
          </w:p>
        </w:tc>
        <w:tc>
          <w:tcPr>
            <w:tcW w:w="6018" w:type="dxa"/>
          </w:tcPr>
          <w:p w14:paraId="4DE0781D" w14:textId="77777777" w:rsidR="002D5E5F" w:rsidRPr="009D6F64" w:rsidRDefault="002D5E5F" w:rsidP="002C1A41">
            <w:pPr>
              <w:pStyle w:val="Tabletexte"/>
              <w:rPr>
                <w:position w:val="2"/>
                <w:rtl/>
                <w:lang w:bidi="ar-SA"/>
              </w:rPr>
            </w:pPr>
            <w:r w:rsidRPr="009D6F64">
              <w:rPr>
                <w:position w:val="2"/>
                <w:rtl/>
              </w:rPr>
              <w:t xml:space="preserve">يتفاوت معدل مغادرة الموظفين للمنظمات التي شملها التقييم بحسب العمر من 25 إلى 55 سنة ومن </w:t>
            </w:r>
            <w:r w:rsidRPr="009D6F64">
              <w:rPr>
                <w:position w:val="2"/>
              </w:rPr>
              <w:t>18,3</w:t>
            </w:r>
            <w:r w:rsidRPr="009D6F64">
              <w:rPr>
                <w:position w:val="2"/>
                <w:rtl/>
                <w:lang w:bidi="ar-SA"/>
              </w:rPr>
              <w:t xml:space="preserve">% إلى </w:t>
            </w:r>
            <w:r w:rsidRPr="009D6F64">
              <w:rPr>
                <w:position w:val="2"/>
                <w:lang w:bidi="ar-SA"/>
              </w:rPr>
              <w:t>5,0</w:t>
            </w:r>
            <w:r w:rsidRPr="009D6F64">
              <w:rPr>
                <w:position w:val="2"/>
                <w:rtl/>
                <w:lang w:bidi="ar-SA"/>
              </w:rPr>
              <w:t>%، على التوالي.</w:t>
            </w:r>
          </w:p>
        </w:tc>
      </w:tr>
      <w:tr w:rsidR="002D5E5F" w:rsidRPr="009D6F64" w14:paraId="1AE53E0A" w14:textId="77777777" w:rsidTr="00DB3336">
        <w:trPr>
          <w:trHeight w:val="509"/>
        </w:trPr>
        <w:tc>
          <w:tcPr>
            <w:tcW w:w="3611" w:type="dxa"/>
          </w:tcPr>
          <w:p w14:paraId="62A561AB" w14:textId="77777777" w:rsidR="002D5E5F" w:rsidRPr="009D6F64" w:rsidRDefault="002D5E5F" w:rsidP="002C1A41">
            <w:pPr>
              <w:pStyle w:val="Tabletexte"/>
              <w:rPr>
                <w:position w:val="2"/>
              </w:rPr>
            </w:pPr>
            <w:r w:rsidRPr="009D6F64">
              <w:rPr>
                <w:position w:val="2"/>
                <w:rtl/>
              </w:rPr>
              <w:t>معدل الإحالة إلى التقاعد</w:t>
            </w:r>
          </w:p>
        </w:tc>
        <w:tc>
          <w:tcPr>
            <w:tcW w:w="6018" w:type="dxa"/>
          </w:tcPr>
          <w:p w14:paraId="7DA0BFA6" w14:textId="77777777" w:rsidR="002D5E5F" w:rsidRPr="009D6F64" w:rsidRDefault="002D5E5F" w:rsidP="002C1A41">
            <w:pPr>
              <w:pStyle w:val="Tabletexte"/>
              <w:rPr>
                <w:position w:val="2"/>
              </w:rPr>
            </w:pPr>
            <w:r w:rsidRPr="009D6F64">
              <w:rPr>
                <w:spacing w:val="-6"/>
                <w:position w:val="2"/>
                <w:rtl/>
              </w:rPr>
              <w:t>تحدَّد معدلات التقاعد فيما يخص جميع الموظفين بما يساوي المعدلات الواردة في رسالة فرقة العمل التابعة للأمم المتحدة في يناير 2024. وتتفاوت المعدلات بحسب العمر والنوع الاجتماعي وسنوات الخدمة وفئة الوظيفة.</w:t>
            </w:r>
          </w:p>
        </w:tc>
      </w:tr>
      <w:tr w:rsidR="002D5E5F" w:rsidRPr="009D6F64" w14:paraId="2155121F" w14:textId="77777777" w:rsidTr="00DB3336">
        <w:trPr>
          <w:trHeight w:val="262"/>
        </w:trPr>
        <w:tc>
          <w:tcPr>
            <w:tcW w:w="3611" w:type="dxa"/>
          </w:tcPr>
          <w:p w14:paraId="6789CD7D" w14:textId="77777777" w:rsidR="002D5E5F" w:rsidRPr="009D6F64" w:rsidRDefault="002D5E5F" w:rsidP="002C1A41">
            <w:pPr>
              <w:pStyle w:val="Tabletexte"/>
              <w:rPr>
                <w:position w:val="2"/>
              </w:rPr>
            </w:pPr>
            <w:r w:rsidRPr="009D6F64">
              <w:rPr>
                <w:position w:val="2"/>
                <w:rtl/>
              </w:rPr>
              <w:t>المشاركة</w:t>
            </w:r>
          </w:p>
        </w:tc>
        <w:tc>
          <w:tcPr>
            <w:tcW w:w="6018" w:type="dxa"/>
          </w:tcPr>
          <w:p w14:paraId="2C9D15AB" w14:textId="77777777" w:rsidR="002D5E5F" w:rsidRPr="009D6F64" w:rsidRDefault="002D5E5F" w:rsidP="002C1A41">
            <w:pPr>
              <w:pStyle w:val="Tabletexte"/>
              <w:rPr>
                <w:position w:val="2"/>
              </w:rPr>
            </w:pPr>
            <w:r w:rsidRPr="009D6F64">
              <w:rPr>
                <w:position w:val="2"/>
                <w:rtl/>
              </w:rPr>
              <w:t xml:space="preserve">يختار </w:t>
            </w:r>
            <w:r w:rsidRPr="009D6F64">
              <w:rPr>
                <w:position w:val="2"/>
              </w:rPr>
              <w:t>%97,5</w:t>
            </w:r>
            <w:r w:rsidRPr="009D6F64">
              <w:rPr>
                <w:position w:val="2"/>
                <w:rtl/>
              </w:rPr>
              <w:t xml:space="preserve"> ممن هم على أبواب التقاعد تغطية الخطة </w:t>
            </w:r>
            <w:r w:rsidRPr="009D6F64">
              <w:rPr>
                <w:position w:val="2"/>
              </w:rPr>
              <w:t>ASHI</w:t>
            </w:r>
            <w:r w:rsidRPr="009D6F64">
              <w:rPr>
                <w:position w:val="2"/>
                <w:rtl/>
              </w:rPr>
              <w:t>.</w:t>
            </w:r>
          </w:p>
        </w:tc>
      </w:tr>
      <w:tr w:rsidR="002D5E5F" w:rsidRPr="009D6F64" w14:paraId="357BFA7B" w14:textId="77777777" w:rsidTr="00DB3336">
        <w:trPr>
          <w:trHeight w:val="509"/>
        </w:trPr>
        <w:tc>
          <w:tcPr>
            <w:tcW w:w="3611" w:type="dxa"/>
          </w:tcPr>
          <w:p w14:paraId="57A4F04C" w14:textId="77777777" w:rsidR="002D5E5F" w:rsidRPr="009D6F64" w:rsidRDefault="002D5E5F" w:rsidP="002C1A41">
            <w:pPr>
              <w:pStyle w:val="Tabletexte"/>
              <w:rPr>
                <w:position w:val="2"/>
              </w:rPr>
            </w:pPr>
            <w:r w:rsidRPr="009D6F64">
              <w:rPr>
                <w:position w:val="2"/>
                <w:rtl/>
              </w:rPr>
              <w:t>تغطية الأزواج</w:t>
            </w:r>
          </w:p>
        </w:tc>
        <w:tc>
          <w:tcPr>
            <w:tcW w:w="6018" w:type="dxa"/>
          </w:tcPr>
          <w:p w14:paraId="6DA386EC" w14:textId="77777777" w:rsidR="002D5E5F" w:rsidRPr="009D6F64" w:rsidRDefault="002D5E5F" w:rsidP="002C1A41">
            <w:pPr>
              <w:pStyle w:val="Tabletexte"/>
              <w:rPr>
                <w:position w:val="2"/>
              </w:rPr>
            </w:pPr>
            <w:r w:rsidRPr="009D6F64">
              <w:rPr>
                <w:position w:val="2"/>
              </w:rPr>
              <w:t>%75</w:t>
            </w:r>
            <w:r w:rsidRPr="009D6F64">
              <w:rPr>
                <w:position w:val="2"/>
                <w:rtl/>
              </w:rPr>
              <w:t xml:space="preserve"> و</w:t>
            </w:r>
            <w:r w:rsidRPr="009D6F64">
              <w:rPr>
                <w:position w:val="2"/>
              </w:rPr>
              <w:t>%25</w:t>
            </w:r>
            <w:r w:rsidRPr="009D6F64">
              <w:rPr>
                <w:position w:val="2"/>
                <w:rtl/>
              </w:rPr>
              <w:t xml:space="preserve"> من المتقاعدين من الرجال والنساء سيختار أزواجهم تغطية الخطة </w:t>
            </w:r>
            <w:r w:rsidRPr="009D6F64">
              <w:rPr>
                <w:position w:val="2"/>
              </w:rPr>
              <w:t>ASHI</w:t>
            </w:r>
            <w:r w:rsidRPr="009D6F64">
              <w:rPr>
                <w:position w:val="2"/>
                <w:rtl/>
              </w:rPr>
              <w:t>. ويفترض أن عمر الرجال يزيد بمقدار خمس سنوات عن عمر زوجاتهم.</w:t>
            </w:r>
          </w:p>
        </w:tc>
      </w:tr>
      <w:tr w:rsidR="002D5E5F" w:rsidRPr="009D6F64" w14:paraId="3DD4CBFA" w14:textId="77777777" w:rsidTr="00DB3336">
        <w:trPr>
          <w:trHeight w:val="756"/>
        </w:trPr>
        <w:tc>
          <w:tcPr>
            <w:tcW w:w="3611" w:type="dxa"/>
          </w:tcPr>
          <w:p w14:paraId="70450624" w14:textId="77777777" w:rsidR="002D5E5F" w:rsidRPr="009D6F64" w:rsidRDefault="002D5E5F" w:rsidP="002C1A41">
            <w:pPr>
              <w:pStyle w:val="Tabletexte"/>
              <w:rPr>
                <w:position w:val="2"/>
              </w:rPr>
            </w:pPr>
            <w:r w:rsidRPr="009D6F64">
              <w:rPr>
                <w:position w:val="2"/>
                <w:rtl/>
              </w:rPr>
              <w:lastRenderedPageBreak/>
              <w:t xml:space="preserve">الأسلوب </w:t>
            </w:r>
            <w:proofErr w:type="spellStart"/>
            <w:r w:rsidRPr="009D6F64">
              <w:rPr>
                <w:position w:val="2"/>
                <w:rtl/>
              </w:rPr>
              <w:t>الإكتواري</w:t>
            </w:r>
            <w:proofErr w:type="spellEnd"/>
          </w:p>
        </w:tc>
        <w:tc>
          <w:tcPr>
            <w:tcW w:w="6018" w:type="dxa"/>
          </w:tcPr>
          <w:p w14:paraId="23097B88" w14:textId="77777777" w:rsidR="002D5E5F" w:rsidRPr="009D6F64" w:rsidRDefault="002D5E5F" w:rsidP="002C1A41">
            <w:pPr>
              <w:pStyle w:val="Tabletexte"/>
              <w:rPr>
                <w:position w:val="2"/>
              </w:rPr>
            </w:pPr>
            <w:r w:rsidRPr="009D6F64">
              <w:rPr>
                <w:spacing w:val="-2"/>
                <w:position w:val="2"/>
                <w:rtl/>
              </w:rPr>
              <w:t xml:space="preserve">أسلوب رصيد الوحدات المتوقعة مع توزيع تناسبي لمدة الخدمة. وتبدأ فترة المنح في سن </w:t>
            </w:r>
            <w:r w:rsidRPr="009D6F64">
              <w:rPr>
                <w:spacing w:val="-2"/>
                <w:position w:val="2"/>
              </w:rPr>
              <w:t>45</w:t>
            </w:r>
            <w:r w:rsidRPr="009D6F64">
              <w:rPr>
                <w:spacing w:val="-2"/>
                <w:position w:val="2"/>
                <w:rtl/>
              </w:rPr>
              <w:t xml:space="preserve"> لكي تؤخذ في الحسبان ضرورة أن يبلغ عمر الموظف ما لا يقل عن </w:t>
            </w:r>
            <w:r w:rsidRPr="009D6F64">
              <w:rPr>
                <w:spacing w:val="-2"/>
                <w:position w:val="2"/>
              </w:rPr>
              <w:t>55</w:t>
            </w:r>
            <w:r w:rsidRPr="009D6F64">
              <w:rPr>
                <w:spacing w:val="-2"/>
                <w:position w:val="2"/>
                <w:rtl/>
              </w:rPr>
              <w:t xml:space="preserve"> سنة ويكون قد استوفى </w:t>
            </w:r>
            <w:r w:rsidRPr="009D6F64">
              <w:rPr>
                <w:spacing w:val="-2"/>
                <w:position w:val="2"/>
              </w:rPr>
              <w:t>10</w:t>
            </w:r>
            <w:r w:rsidRPr="009D6F64">
              <w:rPr>
                <w:spacing w:val="-2"/>
                <w:position w:val="2"/>
                <w:rtl/>
              </w:rPr>
              <w:t xml:space="preserve"> سنوات من الخدمة ليكون مؤهلاً للخطة.</w:t>
            </w:r>
          </w:p>
        </w:tc>
      </w:tr>
      <w:tr w:rsidR="002D5E5F" w:rsidRPr="009D6F64" w14:paraId="33D574EA" w14:textId="77777777" w:rsidTr="00DB3336">
        <w:trPr>
          <w:trHeight w:val="742"/>
        </w:trPr>
        <w:tc>
          <w:tcPr>
            <w:tcW w:w="3611" w:type="dxa"/>
          </w:tcPr>
          <w:p w14:paraId="27A1F8CF" w14:textId="77777777" w:rsidR="002D5E5F" w:rsidRPr="009D6F64" w:rsidRDefault="002D5E5F" w:rsidP="002C1A41">
            <w:pPr>
              <w:pStyle w:val="Tabletexte"/>
              <w:rPr>
                <w:position w:val="2"/>
              </w:rPr>
            </w:pPr>
            <w:r w:rsidRPr="009D6F64">
              <w:rPr>
                <w:spacing w:val="-4"/>
                <w:position w:val="2"/>
                <w:rtl/>
              </w:rPr>
              <w:t>نهج صافي الأصول</w:t>
            </w:r>
          </w:p>
        </w:tc>
        <w:tc>
          <w:tcPr>
            <w:tcW w:w="6018" w:type="dxa"/>
          </w:tcPr>
          <w:p w14:paraId="0BD2DF84" w14:textId="77777777" w:rsidR="002D5E5F" w:rsidRPr="009D6F64" w:rsidRDefault="002D5E5F" w:rsidP="002C1A41">
            <w:pPr>
              <w:pStyle w:val="Tabletexte"/>
              <w:rPr>
                <w:position w:val="2"/>
              </w:rPr>
            </w:pPr>
            <w:r w:rsidRPr="009D6F64">
              <w:rPr>
                <w:spacing w:val="-4"/>
                <w:position w:val="2"/>
                <w:rtl/>
              </w:rPr>
              <w:t>تُقيد جميع المكاسب/الخسائر بالكامل خلال السنة التي تنشأ فيها مباشرة، ولكن خارج الفائض أو العجز، من خلال بيان التغيرات في</w:t>
            </w:r>
            <w:r w:rsidRPr="009D6F64">
              <w:rPr>
                <w:position w:val="2"/>
                <w:rtl/>
              </w:rPr>
              <w:t xml:space="preserve"> </w:t>
            </w:r>
            <w:r w:rsidRPr="009D6F64">
              <w:rPr>
                <w:spacing w:val="-4"/>
                <w:position w:val="2"/>
                <w:rtl/>
              </w:rPr>
              <w:t>صافي الأصول.</w:t>
            </w:r>
          </w:p>
        </w:tc>
      </w:tr>
    </w:tbl>
    <w:bookmarkEnd w:id="502"/>
    <w:p w14:paraId="1EF3040F" w14:textId="77777777" w:rsidR="002D5E5F" w:rsidRPr="00C32070" w:rsidRDefault="002D5E5F" w:rsidP="009D6F64">
      <w:pPr>
        <w:spacing w:before="240"/>
        <w:rPr>
          <w:lang w:bidi="ar-EG"/>
        </w:rPr>
      </w:pPr>
      <w:r w:rsidRPr="00C32070">
        <w:rPr>
          <w:rtl/>
          <w:lang w:bidi="ar-EG"/>
        </w:rPr>
        <w:t xml:space="preserve">ويحق للموظفين الذين يغادرون الخدمة في سن </w:t>
      </w:r>
      <w:r w:rsidRPr="00C32070">
        <w:rPr>
          <w:lang w:bidi="ar-EG"/>
        </w:rPr>
        <w:t>55</w:t>
      </w:r>
      <w:r w:rsidRPr="00C32070">
        <w:rPr>
          <w:rtl/>
          <w:lang w:bidi="ar-EG"/>
        </w:rPr>
        <w:t xml:space="preserve"> سنة أو أكثر، ولأزواجهم وأطفالهم المعالين وأراملهم، الحصول على التأمين الصحي بعد انتهاء الخدمة إذا كانوا قد استفوا ما لا يقل عن عشر سنوات من الخدمة في منظمة الأمم المتحدة أو في وكالة متخصصة وإذا كانت تشملهم خطة التأمين الصحي </w:t>
      </w:r>
      <w:r w:rsidRPr="00C32070">
        <w:rPr>
          <w:lang w:bidi="ar-EG"/>
        </w:rPr>
        <w:t>UNSMIS</w:t>
      </w:r>
      <w:r w:rsidRPr="00C32070">
        <w:rPr>
          <w:rtl/>
          <w:lang w:bidi="ar-EG"/>
        </w:rPr>
        <w:t xml:space="preserve"> أثناء السنوات الخمس التي تسبق مباشرةً انتهاء مدة خدمتهم. وتنطبق نفس الاستحقاقات على الموظفين المستفيدين من معاش عجز من الصندوق المشترك للمعاشات التقاعدية لموظفي الأمم المتحدة. ويموَّل هذا النظام بمساهمات يشارك فيها الاتحاد بمعدل </w:t>
      </w:r>
      <w:r w:rsidRPr="00C32070">
        <w:rPr>
          <w:lang w:bidi="ar-EG"/>
        </w:rPr>
        <w:t>2/3</w:t>
      </w:r>
      <w:r w:rsidRPr="00C32070">
        <w:rPr>
          <w:rtl/>
          <w:lang w:bidi="ar-EG"/>
        </w:rPr>
        <w:t xml:space="preserve"> والمستفيدون من التأمين بمعدل </w:t>
      </w:r>
      <w:r w:rsidRPr="00C32070">
        <w:rPr>
          <w:lang w:bidi="ar-EG"/>
        </w:rPr>
        <w:t>1/3</w:t>
      </w:r>
      <w:r w:rsidRPr="00C32070">
        <w:rPr>
          <w:rtl/>
          <w:lang w:bidi="ar-EG"/>
        </w:rPr>
        <w:t>.</w:t>
      </w:r>
    </w:p>
    <w:p w14:paraId="6BEF7F20" w14:textId="77777777" w:rsidR="002D5E5F" w:rsidRPr="00C32070" w:rsidRDefault="002D5E5F" w:rsidP="006F3E5E">
      <w:pPr>
        <w:spacing w:after="120"/>
        <w:rPr>
          <w:rtl/>
          <w:lang w:bidi="ar-EG"/>
        </w:rPr>
      </w:pPr>
      <w:r w:rsidRPr="00C32070">
        <w:rPr>
          <w:rtl/>
          <w:lang w:bidi="ar-EG"/>
        </w:rPr>
        <w:t xml:space="preserve">ويحتوي الجدول التالي على معلومات وتحليلات إضافية بشأن خصوم التأمين الصحي بعد انتهاء الخدمة، الناشئة عن علاوات الموظفين وفقاً للدراسة </w:t>
      </w:r>
      <w:proofErr w:type="spellStart"/>
      <w:r w:rsidRPr="00C32070">
        <w:rPr>
          <w:rtl/>
          <w:lang w:bidi="ar-EG"/>
        </w:rPr>
        <w:t>الإكتوارية</w:t>
      </w:r>
      <w:proofErr w:type="spellEnd"/>
      <w:r w:rsidRPr="00C32070">
        <w:rPr>
          <w:rtl/>
          <w:lang w:bidi="ar-EG"/>
        </w:rPr>
        <w:t xml:space="preserve"> التي أجريت بغية التوصل إلى المبالغ ذات الصلة في </w:t>
      </w:r>
      <w:r w:rsidRPr="00C32070">
        <w:rPr>
          <w:lang w:bidi="ar-EG"/>
        </w:rPr>
        <w:t>31</w:t>
      </w:r>
      <w:r w:rsidRPr="00C32070">
        <w:rPr>
          <w:rtl/>
          <w:lang w:bidi="ar-EG"/>
        </w:rPr>
        <w:t xml:space="preserve"> ديسمبر 2023.</w:t>
      </w:r>
    </w:p>
    <w:p w14:paraId="695C5C16" w14:textId="2CF83414" w:rsidR="00D10F60" w:rsidRDefault="00D10F60" w:rsidP="00D10F60">
      <w:pPr>
        <w:pStyle w:val="Figure"/>
        <w:rPr>
          <w:lang w:bidi="ar-SY"/>
        </w:rPr>
      </w:pPr>
      <w:r w:rsidRPr="00D10F60">
        <w:rPr>
          <w:rtl/>
        </w:rPr>
        <w:drawing>
          <wp:inline distT="0" distB="0" distL="0" distR="0" wp14:anchorId="1F443D52" wp14:editId="34549C2D">
            <wp:extent cx="5850890" cy="30632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50890" cy="3063240"/>
                    </a:xfrm>
                    <a:prstGeom prst="rect">
                      <a:avLst/>
                    </a:prstGeom>
                    <a:noFill/>
                    <a:ln>
                      <a:noFill/>
                    </a:ln>
                  </pic:spPr>
                </pic:pic>
              </a:graphicData>
            </a:graphic>
          </wp:inline>
        </w:drawing>
      </w:r>
    </w:p>
    <w:p w14:paraId="39AC486A" w14:textId="5848511B" w:rsidR="00DE66D0" w:rsidRPr="00C32070" w:rsidRDefault="002D5E5F" w:rsidP="00D10F60">
      <w:pPr>
        <w:spacing w:before="240"/>
        <w:rPr>
          <w:rtl/>
          <w:lang w:bidi="ar-EG"/>
        </w:rPr>
      </w:pPr>
      <w:r w:rsidRPr="00C32070">
        <w:rPr>
          <w:rtl/>
          <w:lang w:bidi="ar-SY"/>
        </w:rPr>
        <w:t xml:space="preserve">العنصر الرئيسي الذي أثر على تقييم التأمين الصحي بعد انتهاء الخدمة </w:t>
      </w:r>
      <w:r w:rsidRPr="00C32070">
        <w:rPr>
          <w:rtl/>
          <w:lang w:bidi="ar-EG"/>
        </w:rPr>
        <w:t>(</w:t>
      </w:r>
      <w:r w:rsidRPr="00C32070">
        <w:rPr>
          <w:lang w:bidi="ar-EG"/>
        </w:rPr>
        <w:t>ASHI</w:t>
      </w:r>
      <w:r w:rsidRPr="00C32070">
        <w:rPr>
          <w:rtl/>
          <w:lang w:bidi="ar-EG"/>
        </w:rPr>
        <w:t>)</w:t>
      </w:r>
      <w:r w:rsidRPr="00C32070">
        <w:rPr>
          <w:rtl/>
          <w:lang w:bidi="ar-SY"/>
        </w:rPr>
        <w:t xml:space="preserve"> هو معدل الخصم المستخدم لحساب القيمة الحالية للمطالبات في المستقبل. وفي 2023، انخفض معدل الخصم من </w:t>
      </w:r>
      <w:r w:rsidRPr="00C32070">
        <w:rPr>
          <w:lang w:bidi="ar-SY"/>
        </w:rPr>
        <w:t>2,5</w:t>
      </w:r>
      <w:r w:rsidRPr="00C32070">
        <w:rPr>
          <w:rtl/>
        </w:rPr>
        <w:t>%</w:t>
      </w:r>
      <w:r w:rsidRPr="00C32070">
        <w:rPr>
          <w:rtl/>
          <w:lang w:bidi="ar-SY"/>
        </w:rPr>
        <w:t xml:space="preserve"> (2022) إلى</w:t>
      </w:r>
      <w:r w:rsidRPr="00C32070">
        <w:rPr>
          <w:rtl/>
          <w:lang w:bidi="ar-EG"/>
        </w:rPr>
        <w:t xml:space="preserve"> </w:t>
      </w:r>
      <w:r w:rsidRPr="00C32070">
        <w:rPr>
          <w:lang w:bidi="ar-EG"/>
        </w:rPr>
        <w:t>1,9</w:t>
      </w:r>
      <w:r w:rsidRPr="00C32070">
        <w:rPr>
          <w:rtl/>
        </w:rPr>
        <w:t>%</w:t>
      </w:r>
      <w:r w:rsidRPr="00C32070">
        <w:rPr>
          <w:rtl/>
          <w:lang w:bidi="ar-SY"/>
        </w:rPr>
        <w:t xml:space="preserve"> (2023)،</w:t>
      </w:r>
      <w:r w:rsidRPr="00C32070">
        <w:rPr>
          <w:rtl/>
          <w:lang w:bidi="ar-EG"/>
        </w:rPr>
        <w:t xml:space="preserve"> على عكس الاتجاه السابق الملاحظ في عام 2022 حيث </w:t>
      </w:r>
      <w:r w:rsidRPr="00C32070">
        <w:rPr>
          <w:rtl/>
          <w:lang w:bidi="ar-SY"/>
        </w:rPr>
        <w:t xml:space="preserve">زاد معدل الخصم من </w:t>
      </w:r>
      <w:r w:rsidRPr="00C32070">
        <w:rPr>
          <w:lang w:bidi="ar-SY"/>
        </w:rPr>
        <w:t>0,5</w:t>
      </w:r>
      <w:r w:rsidRPr="00C32070">
        <w:rPr>
          <w:rtl/>
          <w:lang w:bidi="ar-SY"/>
        </w:rPr>
        <w:t>% (2021) إلى</w:t>
      </w:r>
      <w:r w:rsidRPr="00C32070">
        <w:rPr>
          <w:rtl/>
          <w:lang w:bidi="ar-EG"/>
        </w:rPr>
        <w:t xml:space="preserve"> </w:t>
      </w:r>
      <w:r w:rsidRPr="00C32070">
        <w:rPr>
          <w:lang w:bidi="ar-EG"/>
        </w:rPr>
        <w:t>2,5</w:t>
      </w:r>
      <w:r w:rsidRPr="00C32070">
        <w:rPr>
          <w:rtl/>
          <w:lang w:bidi="ar-SY"/>
        </w:rPr>
        <w:t>% (2022).</w:t>
      </w:r>
      <w:r w:rsidRPr="00C32070">
        <w:rPr>
          <w:rtl/>
          <w:lang w:bidi="ar-EG"/>
        </w:rPr>
        <w:t xml:space="preserve"> وأدت هذه الاتجاهات إلى خسارة </w:t>
      </w:r>
      <w:proofErr w:type="spellStart"/>
      <w:r w:rsidRPr="00C32070">
        <w:rPr>
          <w:rtl/>
          <w:lang w:bidi="ar-EG"/>
        </w:rPr>
        <w:t>إكتوارية</w:t>
      </w:r>
      <w:proofErr w:type="spellEnd"/>
      <w:r w:rsidRPr="00C32070">
        <w:rPr>
          <w:rtl/>
          <w:lang w:bidi="ar-EG"/>
        </w:rPr>
        <w:t xml:space="preserve"> بلغت </w:t>
      </w:r>
      <w:r w:rsidRPr="00C32070">
        <w:rPr>
          <w:lang w:bidi="ar-EG"/>
        </w:rPr>
        <w:t>24,7</w:t>
      </w:r>
      <w:r w:rsidRPr="00C32070">
        <w:rPr>
          <w:rtl/>
        </w:rPr>
        <w:t xml:space="preserve"> مليون فرنك سويسري في عام 2023 مقابل مكسب </w:t>
      </w:r>
      <w:proofErr w:type="spellStart"/>
      <w:r w:rsidRPr="00C32070">
        <w:rPr>
          <w:rtl/>
        </w:rPr>
        <w:t>إكتواري</w:t>
      </w:r>
      <w:proofErr w:type="spellEnd"/>
      <w:r w:rsidRPr="00C32070">
        <w:rPr>
          <w:rtl/>
        </w:rPr>
        <w:t xml:space="preserve"> بلغ </w:t>
      </w:r>
      <w:r w:rsidRPr="00C32070">
        <w:t>133,6</w:t>
      </w:r>
      <w:r w:rsidRPr="00C32070">
        <w:rPr>
          <w:rtl/>
        </w:rPr>
        <w:t xml:space="preserve"> مليون فرنك سويسري في 2022.</w:t>
      </w:r>
    </w:p>
    <w:p w14:paraId="14D5775D" w14:textId="155A0631" w:rsidR="002D5E5F" w:rsidRPr="00C32070" w:rsidRDefault="002D5E5F" w:rsidP="0055688F">
      <w:pPr>
        <w:rPr>
          <w:rtl/>
        </w:rPr>
      </w:pPr>
      <w:r w:rsidRPr="00C32070">
        <w:rPr>
          <w:rtl/>
          <w:lang w:bidi="ar-EG"/>
        </w:rPr>
        <w:t xml:space="preserve">أما العنصر الثاني الذي كان له تأثير كبير على التزامات التأمين الصحي </w:t>
      </w:r>
      <w:r w:rsidRPr="00C32070">
        <w:rPr>
          <w:rtl/>
          <w:lang w:bidi="ar-SY"/>
        </w:rPr>
        <w:t xml:space="preserve">بعد انتهاء الخدمة </w:t>
      </w:r>
      <w:r w:rsidRPr="00C32070">
        <w:rPr>
          <w:rtl/>
          <w:lang w:bidi="ar-EG"/>
        </w:rPr>
        <w:t>(</w:t>
      </w:r>
      <w:r w:rsidRPr="00C32070">
        <w:rPr>
          <w:lang w:bidi="ar-EG"/>
        </w:rPr>
        <w:t>ASHI</w:t>
      </w:r>
      <w:r w:rsidRPr="00C32070">
        <w:rPr>
          <w:rtl/>
          <w:lang w:bidi="ar-EG"/>
        </w:rPr>
        <w:t>)</w:t>
      </w:r>
      <w:r w:rsidR="00DE66D0" w:rsidRPr="00C32070">
        <w:rPr>
          <w:rtl/>
          <w:lang w:bidi="ar-SY"/>
        </w:rPr>
        <w:t>،</w:t>
      </w:r>
      <w:r w:rsidRPr="00C32070">
        <w:rPr>
          <w:rtl/>
          <w:lang w:bidi="ar-EG"/>
        </w:rPr>
        <w:t xml:space="preserve"> فهو المكاسب المحققة البالغة </w:t>
      </w:r>
      <w:r w:rsidRPr="00C32070">
        <w:rPr>
          <w:lang w:bidi="ar-EG"/>
        </w:rPr>
        <w:t>4,6</w:t>
      </w:r>
      <w:r w:rsidRPr="00C32070">
        <w:rPr>
          <w:rtl/>
        </w:rPr>
        <w:t xml:space="preserve"> مليون فرنك سويسري، المقابلة لتغيرات بيانات التعداد بعد 31 ديسمبر 2021 نتيجة لعدة عوامل منها زيادة عدد وفيات الأعضاء غير النشطين عما كان متوقعاً (أو زيادة عدد المغادرين لأسباب أخرى)، وانخفاض مستوى زيادة المرتبات عما كان متوقعاً، وانخفاض عدد المطالبات المدفوعة عما كان متوقعاً.</w:t>
      </w:r>
    </w:p>
    <w:p w14:paraId="66DF7E88" w14:textId="20FD5AE6" w:rsidR="00DE66D0" w:rsidRPr="00C32070" w:rsidRDefault="002D5E5F" w:rsidP="0055688F">
      <w:pPr>
        <w:rPr>
          <w:rtl/>
          <w:lang w:bidi="ar-EG"/>
        </w:rPr>
      </w:pPr>
      <w:r w:rsidRPr="00C32070">
        <w:rPr>
          <w:rtl/>
          <w:lang w:bidi="ar-EG"/>
        </w:rPr>
        <w:t xml:space="preserve">وبلغت المساهمات التي دفعتها المنظمة مقابل التأمين الصحي </w:t>
      </w:r>
      <w:r w:rsidRPr="00C32070">
        <w:rPr>
          <w:rtl/>
          <w:lang w:bidi="ar-SY"/>
        </w:rPr>
        <w:t xml:space="preserve">بعد انتهاء الخدمة </w:t>
      </w:r>
      <w:r w:rsidRPr="00C32070">
        <w:rPr>
          <w:rtl/>
          <w:lang w:bidi="ar-EG"/>
        </w:rPr>
        <w:t>ما مجموعه 7 ملايين فرنك سويسري في</w:t>
      </w:r>
      <w:r w:rsidR="005700FD" w:rsidRPr="00C32070">
        <w:rPr>
          <w:lang w:bidi="ar-EG"/>
        </w:rPr>
        <w:t> </w:t>
      </w:r>
      <w:r w:rsidRPr="00C32070">
        <w:rPr>
          <w:rtl/>
          <w:lang w:bidi="ar-EG"/>
        </w:rPr>
        <w:t xml:space="preserve">2023 (8,4 مليون فرنك سويسري في 2022). ويتوقع </w:t>
      </w:r>
      <w:r w:rsidRPr="00C32070">
        <w:rPr>
          <w:rtl/>
        </w:rPr>
        <w:t>رب</w:t>
      </w:r>
      <w:r w:rsidRPr="00C32070">
        <w:rPr>
          <w:rtl/>
          <w:lang w:bidi="ar-EG"/>
        </w:rPr>
        <w:t xml:space="preserve"> العمل أن تصل المساهمة لعام 2024 إلى حوالي </w:t>
      </w:r>
      <w:r w:rsidRPr="00C32070">
        <w:rPr>
          <w:lang w:bidi="ar-EG"/>
        </w:rPr>
        <w:t>8</w:t>
      </w:r>
      <w:r w:rsidRPr="00C32070">
        <w:rPr>
          <w:rtl/>
          <w:lang w:bidi="ar-EG"/>
        </w:rPr>
        <w:t>,</w:t>
      </w:r>
      <w:r w:rsidRPr="00C32070">
        <w:rPr>
          <w:lang w:bidi="ar-EG"/>
        </w:rPr>
        <w:t>8</w:t>
      </w:r>
      <w:r w:rsidRPr="00C32070">
        <w:rPr>
          <w:rtl/>
          <w:lang w:bidi="ar-EG"/>
        </w:rPr>
        <w:t xml:space="preserve"> مليون فرنك</w:t>
      </w:r>
      <w:r w:rsidR="005700FD" w:rsidRPr="00C32070">
        <w:rPr>
          <w:lang w:bidi="ar-EG"/>
        </w:rPr>
        <w:t> </w:t>
      </w:r>
      <w:r w:rsidRPr="00C32070">
        <w:rPr>
          <w:rtl/>
          <w:lang w:bidi="ar-EG"/>
        </w:rPr>
        <w:t>سويسري.</w:t>
      </w:r>
    </w:p>
    <w:p w14:paraId="26825578" w14:textId="2162D058" w:rsidR="002D5E5F" w:rsidRPr="00C32070" w:rsidRDefault="002D5E5F" w:rsidP="0055688F">
      <w:pPr>
        <w:rPr>
          <w:rtl/>
          <w:lang w:bidi="ar-EG"/>
        </w:rPr>
      </w:pPr>
      <w:r w:rsidRPr="00C32070">
        <w:rPr>
          <w:rtl/>
          <w:lang w:bidi="ar-EG"/>
        </w:rPr>
        <w:t xml:space="preserve">ومنذ يناير 2020، انضم الاتحاد إلى </w:t>
      </w:r>
      <w:bookmarkStart w:id="503" w:name="_Hlk160973166"/>
      <w:r w:rsidRPr="00C32070">
        <w:rPr>
          <w:rtl/>
          <w:lang w:bidi="ar-EG"/>
        </w:rPr>
        <w:t>جمعية التأمين التعاوني لموظفي الأمم المتحدة</w:t>
      </w:r>
      <w:r w:rsidRPr="00C32070">
        <w:rPr>
          <w:lang w:bidi="ar-EG"/>
        </w:rPr>
        <w:t xml:space="preserve"> </w:t>
      </w:r>
      <w:r w:rsidRPr="00C32070">
        <w:rPr>
          <w:rtl/>
        </w:rPr>
        <w:t>ضد المرض والحوادث</w:t>
      </w:r>
      <w:r w:rsidRPr="00C32070">
        <w:rPr>
          <w:rtl/>
          <w:lang w:bidi="ar-EG"/>
        </w:rPr>
        <w:t xml:space="preserve"> (</w:t>
      </w:r>
      <w:r w:rsidRPr="00C32070">
        <w:rPr>
          <w:lang w:bidi="ar-EG"/>
        </w:rPr>
        <w:t>UNSMIS</w:t>
      </w:r>
      <w:r w:rsidRPr="00C32070">
        <w:rPr>
          <w:rtl/>
          <w:lang w:bidi="ar-EG"/>
        </w:rPr>
        <w:t>)</w:t>
      </w:r>
      <w:bookmarkEnd w:id="503"/>
      <w:r w:rsidRPr="00C32070">
        <w:rPr>
          <w:rtl/>
          <w:lang w:bidi="ar-EG"/>
        </w:rPr>
        <w:t xml:space="preserve">. ‏وهو صندوق للتأمين الطبي لموظفي الأمم المتحدة أنشئ في عام </w:t>
      </w:r>
      <w:r w:rsidRPr="00C32070">
        <w:rPr>
          <w:cs/>
          <w:lang w:bidi="ar-EG"/>
        </w:rPr>
        <w:t>‎</w:t>
      </w:r>
      <w:r w:rsidRPr="00C32070">
        <w:rPr>
          <w:lang w:bidi="ar-EG"/>
        </w:rPr>
        <w:t>1947</w:t>
      </w:r>
      <w:r w:rsidRPr="00C32070">
        <w:rPr>
          <w:rtl/>
          <w:lang w:bidi="ar-EG"/>
        </w:rPr>
        <w:t xml:space="preserve"> ‏ومقره جنيف. والغرض من الجمعية </w:t>
      </w:r>
      <w:r w:rsidRPr="00C32070">
        <w:rPr>
          <w:lang w:bidi="ar-EG"/>
        </w:rPr>
        <w:t>UNSMIS</w:t>
      </w:r>
      <w:r w:rsidRPr="00C32070">
        <w:rPr>
          <w:rtl/>
          <w:lang w:bidi="ar-EG"/>
        </w:rPr>
        <w:t xml:space="preserve"> هو تسديد </w:t>
      </w:r>
      <w:r w:rsidRPr="00C32070">
        <w:rPr>
          <w:rtl/>
          <w:lang w:bidi="ar-EG"/>
        </w:rPr>
        <w:lastRenderedPageBreak/>
        <w:t>النفقات الطبية لأعضائها، والتي يمكن أن تشمل التكاليف المترتبة على المرض والحوادث والأمومة. وتخدم الجمعية موظفي الأمم المتحدة النشطين والمتقاعدين على السواء، فضلاً عن أسرهم.</w:t>
      </w:r>
    </w:p>
    <w:p w14:paraId="7115A5DF" w14:textId="77777777" w:rsidR="002D5E5F" w:rsidRPr="00C32070" w:rsidRDefault="002D5E5F" w:rsidP="0055688F">
      <w:pPr>
        <w:rPr>
          <w:rtl/>
          <w:lang w:bidi="ar-EG"/>
        </w:rPr>
      </w:pPr>
      <w:r w:rsidRPr="00C32070">
        <w:rPr>
          <w:rtl/>
          <w:lang w:bidi="ar-EG"/>
        </w:rPr>
        <w:t xml:space="preserve">وتعتمد جمعية </w:t>
      </w:r>
      <w:r w:rsidRPr="00C32070">
        <w:rPr>
          <w:lang w:bidi="ar-EG"/>
        </w:rPr>
        <w:t>UNSMIS</w:t>
      </w:r>
      <w:r w:rsidRPr="00C32070">
        <w:rPr>
          <w:rtl/>
          <w:lang w:bidi="ar-EG"/>
        </w:rPr>
        <w:t xml:space="preserve"> في عملها على مساهمات المشاركين فيها من منظمات وموظفين، لضمان حصول أعضائها على تعويض لتكاليف الرعاية الطبية بموجب قواعد الجمعية ولوائحها التنظيمية. وبالإضافة إلى معالجة المطالبات، تتولى الجمعية مسؤولية الحفاظ على الاتفاقات مع مقدمي الخدمات الصحية وضمان الاستقرار المالي لخطة التأمين.</w:t>
      </w:r>
    </w:p>
    <w:p w14:paraId="66894E93" w14:textId="77777777" w:rsidR="002D5E5F" w:rsidRPr="00C32070" w:rsidRDefault="002D5E5F" w:rsidP="0055688F">
      <w:pPr>
        <w:rPr>
          <w:rtl/>
          <w:lang w:bidi="ar-EG"/>
        </w:rPr>
      </w:pPr>
      <w:r w:rsidRPr="00C32070">
        <w:rPr>
          <w:rtl/>
          <w:lang w:bidi="ar-EG"/>
        </w:rPr>
        <w:t xml:space="preserve">‏وقد أنشئ الاحتياطي </w:t>
      </w:r>
      <w:proofErr w:type="spellStart"/>
      <w:r w:rsidRPr="00C32070">
        <w:rPr>
          <w:rtl/>
          <w:lang w:bidi="ar-EG"/>
        </w:rPr>
        <w:t>الإكتواري</w:t>
      </w:r>
      <w:proofErr w:type="spellEnd"/>
      <w:r w:rsidRPr="00C32070">
        <w:rPr>
          <w:rtl/>
          <w:lang w:bidi="ar-EG"/>
        </w:rPr>
        <w:t xml:space="preserve"> المخصص للمخاطر طويلة الأجل عام </w:t>
      </w:r>
      <w:r w:rsidRPr="00C32070">
        <w:rPr>
          <w:cs/>
          <w:lang w:bidi="ar-EG"/>
        </w:rPr>
        <w:t>‎</w:t>
      </w:r>
      <w:r w:rsidRPr="00C32070">
        <w:rPr>
          <w:lang w:bidi="ar-EG"/>
        </w:rPr>
        <w:t>1995</w:t>
      </w:r>
      <w:r w:rsidRPr="00C32070">
        <w:rPr>
          <w:rtl/>
          <w:lang w:bidi="ar-EG"/>
        </w:rPr>
        <w:t xml:space="preserve"> ‏لتغطية الزيادة المستمرة في تكاليف الرعاية الصحية والزيادة التدريجية في متوسط عمر الأعضاء. وينبغي أن تمكّن إيرادات الاستثمار المتأتية من هذا الاحتياطي المخصص للمخاطر طويلة الأجل من الحد من ارتفاع الأقساط واستيعاب أي تكاليف غير متوقعة. واقترحت الدراسة التي قامت بها شركة </w:t>
      </w:r>
      <w:r w:rsidRPr="00C32070">
        <w:rPr>
          <w:cs/>
          <w:lang w:bidi="ar-EG"/>
        </w:rPr>
        <w:t>‎</w:t>
      </w:r>
      <w:r w:rsidRPr="00C32070">
        <w:rPr>
          <w:lang w:bidi="ar-EG"/>
        </w:rPr>
        <w:t>EY</w:t>
      </w:r>
      <w:r w:rsidRPr="00C32070">
        <w:rPr>
          <w:rtl/>
          <w:lang w:bidi="ar-EG"/>
        </w:rPr>
        <w:t xml:space="preserve"> ‏تحديد المبلغ الإجمالي لهذا الاحتياطي بمبلغ </w:t>
      </w:r>
      <w:r w:rsidRPr="00C32070">
        <w:rPr>
          <w:cs/>
          <w:lang w:bidi="ar-EG"/>
        </w:rPr>
        <w:t>‎</w:t>
      </w:r>
      <w:r w:rsidRPr="00C32070">
        <w:rPr>
          <w:lang w:bidi="ar-EG"/>
        </w:rPr>
        <w:t>87,4</w:t>
      </w:r>
      <w:r w:rsidRPr="00C32070">
        <w:rPr>
          <w:rtl/>
          <w:lang w:bidi="ar-EG"/>
        </w:rPr>
        <w:t xml:space="preserve"> ‏مليون دولار أمريكي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2022</w:t>
      </w:r>
      <w:r w:rsidRPr="00C32070">
        <w:rPr>
          <w:rtl/>
          <w:lang w:bidi="ar-EG"/>
        </w:rPr>
        <w:t xml:space="preserve">). ‏وفي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2022</w:t>
      </w:r>
      <w:r w:rsidRPr="00C32070">
        <w:rPr>
          <w:rtl/>
          <w:lang w:bidi="ar-EG"/>
        </w:rPr>
        <w:t xml:space="preserve">‏، </w:t>
      </w:r>
      <w:r w:rsidRPr="00D10F60">
        <w:rPr>
          <w:rtl/>
          <w:lang w:bidi="ar-EG"/>
        </w:rPr>
        <w:t>كان هذا الاحتياطي ممولاً بالكامل.</w:t>
      </w:r>
      <w:r w:rsidRPr="00D10F60">
        <w:rPr>
          <w:cs/>
          <w:lang w:bidi="ar-EG"/>
        </w:rPr>
        <w:t>‎</w:t>
      </w:r>
    </w:p>
    <w:p w14:paraId="3C985344" w14:textId="77777777" w:rsidR="002D5E5F" w:rsidRPr="00C32070" w:rsidRDefault="002D5E5F" w:rsidP="0055688F">
      <w:pPr>
        <w:rPr>
          <w:rtl/>
          <w:lang w:bidi="ar-EG"/>
        </w:rPr>
      </w:pPr>
      <w:r w:rsidRPr="00C32070">
        <w:rPr>
          <w:rtl/>
          <w:lang w:bidi="ar-EG"/>
        </w:rPr>
        <w:t xml:space="preserve">ويمثل الانضمام إلى خطة التأمين الطبي </w:t>
      </w:r>
      <w:r w:rsidRPr="00D10F60">
        <w:rPr>
          <w:lang w:bidi="ar-EG"/>
        </w:rPr>
        <w:t>UNSMIS</w:t>
      </w:r>
      <w:r w:rsidRPr="00C32070">
        <w:rPr>
          <w:rtl/>
          <w:lang w:bidi="ar-EG"/>
        </w:rPr>
        <w:t xml:space="preserve"> هذه مزايا للموظفين، نظراً لتخفيض معدل المساهمة وإزالة المبلغ المقتطع، وكذلك مزايا للاتحاد على المدى الطويل نظراً لحجم الخطة. وتضم هذه الخطة العديد من المنظمات والوكالات المتخصصة التابعة للأمم المتحدة التي تتخذ من جنيف مقراً لها. وتشمل خطة التأمين الصحي هذه موظفي مكتب الأمم المتحدة في جنيف وموظفي مفوضية الأمم المتحدة لشؤون اللاجئين وموظفي المنظمة العالمية للأرصاد الجوية.</w:t>
      </w:r>
    </w:p>
    <w:p w14:paraId="3ABF26D4" w14:textId="77777777" w:rsidR="002D5E5F" w:rsidRPr="00C32070" w:rsidRDefault="002D5E5F" w:rsidP="0055688F">
      <w:pPr>
        <w:rPr>
          <w:rtl/>
          <w:lang w:val="en" w:bidi="ar-EG"/>
        </w:rPr>
      </w:pPr>
      <w:r w:rsidRPr="00C32070">
        <w:rPr>
          <w:rtl/>
        </w:rPr>
        <w:t>ولكي يلتحق</w:t>
      </w:r>
      <w:r w:rsidRPr="00C32070">
        <w:rPr>
          <w:rtl/>
          <w:lang w:bidi="ar-EG"/>
        </w:rPr>
        <w:t xml:space="preserve"> الاتحاد بخطة التأمين الطبي </w:t>
      </w:r>
      <w:r w:rsidRPr="00C32070">
        <w:t>UNSMIS</w:t>
      </w:r>
      <w:r w:rsidRPr="00C32070">
        <w:rPr>
          <w:rtl/>
          <w:lang w:bidi="ar-EG"/>
        </w:rPr>
        <w:t xml:space="preserve"> في يناير </w:t>
      </w:r>
      <w:r w:rsidRPr="00C32070">
        <w:rPr>
          <w:lang w:bidi="ar-EG"/>
        </w:rPr>
        <w:t>2020</w:t>
      </w:r>
      <w:r w:rsidRPr="00C32070">
        <w:rPr>
          <w:rtl/>
          <w:lang w:bidi="ar-EG"/>
        </w:rPr>
        <w:t xml:space="preserve">، كان عليه المساهمة في الصندوق الاحتياطي لهذه الخطة لأغراض التسوية. </w:t>
      </w:r>
      <w:r w:rsidRPr="00C32070">
        <w:rPr>
          <w:rtl/>
        </w:rPr>
        <w:t xml:space="preserve">وقد اتُّفق على مقدار المساهمة </w:t>
      </w:r>
      <w:r w:rsidRPr="00C32070">
        <w:rPr>
          <w:rtl/>
          <w:lang w:bidi="ar-EG"/>
        </w:rPr>
        <w:t xml:space="preserve">بمبلغ </w:t>
      </w:r>
      <w:r w:rsidRPr="00C32070">
        <w:rPr>
          <w:lang w:bidi="ar-EG"/>
        </w:rPr>
        <w:t>19,5</w:t>
      </w:r>
      <w:r w:rsidRPr="00C32070">
        <w:rPr>
          <w:rtl/>
          <w:lang w:bidi="ar-EG"/>
        </w:rPr>
        <w:t xml:space="preserve"> مليون دولار أمريكي </w:t>
      </w:r>
      <w:r w:rsidRPr="00C32070">
        <w:rPr>
          <w:rtl/>
          <w:lang w:val="en" w:bidi="ar-EG"/>
        </w:rPr>
        <w:t>(</w:t>
      </w:r>
      <w:r w:rsidRPr="00C32070">
        <w:rPr>
          <w:lang w:val="en" w:bidi="ar-EG"/>
        </w:rPr>
        <w:t>19,5</w:t>
      </w:r>
      <w:r w:rsidRPr="00C32070">
        <w:rPr>
          <w:rtl/>
          <w:lang w:val="en" w:bidi="ar-EG"/>
        </w:rPr>
        <w:t xml:space="preserve"> </w:t>
      </w:r>
      <w:r w:rsidRPr="00C32070">
        <w:rPr>
          <w:rtl/>
          <w:lang w:bidi="ar"/>
        </w:rPr>
        <w:t>مليون</w:t>
      </w:r>
      <w:r w:rsidRPr="00C32070">
        <w:rPr>
          <w:lang w:val="en" w:bidi="ar-EG"/>
        </w:rPr>
        <w:t xml:space="preserve"> </w:t>
      </w:r>
      <w:r w:rsidRPr="00C32070">
        <w:rPr>
          <w:rtl/>
          <w:lang w:bidi="ar"/>
        </w:rPr>
        <w:t>فرنك</w:t>
      </w:r>
      <w:r w:rsidRPr="00C32070">
        <w:rPr>
          <w:lang w:val="en" w:bidi="ar-EG"/>
        </w:rPr>
        <w:t xml:space="preserve"> </w:t>
      </w:r>
      <w:r w:rsidRPr="00C32070">
        <w:rPr>
          <w:rtl/>
          <w:lang w:bidi="ar"/>
        </w:rPr>
        <w:t>سويسري</w:t>
      </w:r>
      <w:r w:rsidRPr="00C32070">
        <w:rPr>
          <w:rtl/>
          <w:lang w:val="en" w:bidi="ar-EG"/>
        </w:rPr>
        <w:t>)</w:t>
      </w:r>
      <w:r w:rsidRPr="00C32070">
        <w:rPr>
          <w:rtl/>
          <w:lang w:bidi="ar-EG"/>
        </w:rPr>
        <w:t xml:space="preserve">، دُفعت من </w:t>
      </w:r>
      <w:r w:rsidRPr="00C32070">
        <w:rPr>
          <w:color w:val="000000"/>
          <w:rtl/>
        </w:rPr>
        <w:t>صندوق ضمان خطة التأمين الطبي الجماعي</w:t>
      </w:r>
      <w:r w:rsidRPr="00C32070">
        <w:rPr>
          <w:color w:val="000000"/>
          <w:rtl/>
          <w:lang w:bidi="ar-EG"/>
        </w:rPr>
        <w:t xml:space="preserve"> </w:t>
      </w:r>
      <w:r w:rsidRPr="00C32070">
        <w:rPr>
          <w:color w:val="000000"/>
          <w:lang w:bidi="ar-EG"/>
        </w:rPr>
        <w:t>(</w:t>
      </w:r>
      <w:r w:rsidRPr="00C32070">
        <w:rPr>
          <w:color w:val="000000"/>
        </w:rPr>
        <w:t>CMIP)</w:t>
      </w:r>
      <w:r w:rsidRPr="00C32070">
        <w:rPr>
          <w:rtl/>
          <w:lang w:bidi="ar-EG"/>
        </w:rPr>
        <w:t xml:space="preserve"> في أوائل </w:t>
      </w:r>
      <w:r w:rsidRPr="00C32070">
        <w:rPr>
          <w:lang w:bidi="ar-EG"/>
        </w:rPr>
        <w:t>2020</w:t>
      </w:r>
      <w:r w:rsidRPr="00C32070">
        <w:rPr>
          <w:rtl/>
          <w:lang w:bidi="ar-EG"/>
        </w:rPr>
        <w:t xml:space="preserve">. وبالإضافة إلى ذلك، ستُدفع سنوياً، اعتباراً من </w:t>
      </w:r>
      <w:r w:rsidRPr="00C32070">
        <w:rPr>
          <w:lang w:bidi="ar-EG"/>
        </w:rPr>
        <w:t>2020</w:t>
      </w:r>
      <w:r w:rsidRPr="00C32070">
        <w:rPr>
          <w:rtl/>
          <w:lang w:bidi="ar-EG"/>
        </w:rPr>
        <w:t xml:space="preserve">، مساهمة استثنائية لمدة </w:t>
      </w:r>
      <w:r w:rsidRPr="00C32070">
        <w:rPr>
          <w:lang w:bidi="ar-EG"/>
        </w:rPr>
        <w:t>13</w:t>
      </w:r>
      <w:r w:rsidRPr="00C32070">
        <w:rPr>
          <w:rtl/>
          <w:lang w:bidi="ar-EG"/>
        </w:rPr>
        <w:t xml:space="preserve"> عاماً. وتهدف هذه المساهمة الإضافية إلى تسوية أثر انضمام الاتحاد إلى هذه الخطة الطبية</w:t>
      </w:r>
      <w:r w:rsidRPr="00C32070">
        <w:rPr>
          <w:rFonts w:eastAsia="Times New Roman"/>
          <w:sz w:val="21"/>
          <w:szCs w:val="21"/>
          <w:rtl/>
          <w:lang w:val="en" w:eastAsia="en-GB" w:bidi="ar"/>
        </w:rPr>
        <w:t xml:space="preserve"> </w:t>
      </w:r>
      <w:r w:rsidRPr="00C32070">
        <w:rPr>
          <w:rtl/>
          <w:lang w:bidi="ar"/>
        </w:rPr>
        <w:t>بناءً</w:t>
      </w:r>
      <w:r w:rsidRPr="00C32070">
        <w:rPr>
          <w:lang w:val="en" w:bidi="ar-EG"/>
        </w:rPr>
        <w:t xml:space="preserve"> </w:t>
      </w:r>
      <w:r w:rsidRPr="00C32070">
        <w:rPr>
          <w:rtl/>
          <w:lang w:bidi="ar"/>
        </w:rPr>
        <w:t>على</w:t>
      </w:r>
      <w:r w:rsidRPr="00C32070">
        <w:rPr>
          <w:lang w:val="en" w:bidi="ar-EG"/>
        </w:rPr>
        <w:t xml:space="preserve"> </w:t>
      </w:r>
      <w:r w:rsidRPr="00C32070">
        <w:rPr>
          <w:rtl/>
          <w:lang w:bidi="ar"/>
        </w:rPr>
        <w:t>عمر</w:t>
      </w:r>
      <w:r w:rsidRPr="00C32070">
        <w:rPr>
          <w:lang w:val="en" w:bidi="ar-EG"/>
        </w:rPr>
        <w:t xml:space="preserve"> </w:t>
      </w:r>
      <w:r w:rsidRPr="00C32070">
        <w:rPr>
          <w:rtl/>
          <w:lang w:bidi="ar"/>
        </w:rPr>
        <w:t>الموظفين</w:t>
      </w:r>
      <w:r w:rsidRPr="00C32070">
        <w:rPr>
          <w:lang w:val="en" w:bidi="ar-EG"/>
        </w:rPr>
        <w:t xml:space="preserve"> </w:t>
      </w:r>
      <w:r w:rsidRPr="00C32070">
        <w:rPr>
          <w:rtl/>
          <w:lang w:bidi="ar"/>
        </w:rPr>
        <w:t>والمتقاعدين</w:t>
      </w:r>
      <w:r w:rsidRPr="00C32070">
        <w:rPr>
          <w:lang w:val="en" w:bidi="ar-EG"/>
        </w:rPr>
        <w:t xml:space="preserve"> </w:t>
      </w:r>
      <w:r w:rsidRPr="00C32070">
        <w:rPr>
          <w:rtl/>
          <w:lang w:bidi="ar"/>
        </w:rPr>
        <w:t>والعوامل</w:t>
      </w:r>
      <w:r w:rsidRPr="00C32070">
        <w:rPr>
          <w:lang w:val="en" w:bidi="ar-EG"/>
        </w:rPr>
        <w:t xml:space="preserve"> </w:t>
      </w:r>
      <w:r w:rsidRPr="00C32070">
        <w:rPr>
          <w:rtl/>
          <w:lang w:bidi="ar"/>
        </w:rPr>
        <w:t>الديموغرافية</w:t>
      </w:r>
      <w:r w:rsidRPr="00C32070">
        <w:rPr>
          <w:lang w:val="en" w:bidi="ar-EG"/>
        </w:rPr>
        <w:t xml:space="preserve"> </w:t>
      </w:r>
      <w:r w:rsidRPr="00C32070">
        <w:rPr>
          <w:rtl/>
          <w:lang w:bidi="ar"/>
        </w:rPr>
        <w:t>وعوامل</w:t>
      </w:r>
      <w:r w:rsidRPr="00C32070">
        <w:rPr>
          <w:lang w:val="en" w:bidi="ar-EG"/>
        </w:rPr>
        <w:t xml:space="preserve"> </w:t>
      </w:r>
      <w:r w:rsidRPr="00C32070">
        <w:rPr>
          <w:rtl/>
          <w:lang w:bidi="ar"/>
        </w:rPr>
        <w:t>أخرى</w:t>
      </w:r>
      <w:r w:rsidRPr="00C32070">
        <w:rPr>
          <w:lang w:val="en" w:bidi="ar-EG"/>
        </w:rPr>
        <w:t xml:space="preserve"> </w:t>
      </w:r>
      <w:r w:rsidRPr="00C32070">
        <w:rPr>
          <w:rtl/>
          <w:lang w:bidi="ar"/>
        </w:rPr>
        <w:t>متفق</w:t>
      </w:r>
      <w:r w:rsidRPr="00C32070">
        <w:rPr>
          <w:lang w:val="en" w:bidi="ar-EG"/>
        </w:rPr>
        <w:t xml:space="preserve"> </w:t>
      </w:r>
      <w:r w:rsidRPr="00C32070">
        <w:rPr>
          <w:rtl/>
          <w:lang w:bidi="ar"/>
        </w:rPr>
        <w:t>عليها</w:t>
      </w:r>
      <w:r w:rsidRPr="00C32070">
        <w:rPr>
          <w:rtl/>
          <w:lang w:bidi="ar-EG"/>
        </w:rPr>
        <w:t xml:space="preserve">. وتمثل هذه المساهمة الإضافية مبلغاً إجمالياً قدره </w:t>
      </w:r>
      <w:r w:rsidRPr="00C32070">
        <w:rPr>
          <w:lang w:bidi="ar-EG"/>
        </w:rPr>
        <w:t>22,5</w:t>
      </w:r>
      <w:r w:rsidRPr="00C32070">
        <w:rPr>
          <w:rtl/>
          <w:lang w:bidi="ar-EG"/>
        </w:rPr>
        <w:t xml:space="preserve"> مليون دولار أمريكي مقسماً لسداده سنوياً على مدى </w:t>
      </w:r>
      <w:r w:rsidRPr="00C32070">
        <w:rPr>
          <w:lang w:bidi="ar-EG"/>
        </w:rPr>
        <w:t>13</w:t>
      </w:r>
      <w:r w:rsidRPr="00C32070">
        <w:rPr>
          <w:rtl/>
          <w:lang w:bidi="ar-EG"/>
        </w:rPr>
        <w:t xml:space="preserve"> عاماً.</w:t>
      </w:r>
    </w:p>
    <w:p w14:paraId="524165A9" w14:textId="4107D1D7" w:rsidR="002D5E5F" w:rsidRPr="00C32070" w:rsidRDefault="002D5E5F" w:rsidP="0055688F">
      <w:pPr>
        <w:rPr>
          <w:rtl/>
          <w:lang w:val="en-GB" w:bidi="ar-EG"/>
        </w:rPr>
      </w:pPr>
      <w:r w:rsidRPr="00C32070">
        <w:rPr>
          <w:rtl/>
          <w:lang w:bidi="ar-EG"/>
        </w:rPr>
        <w:t xml:space="preserve">وتستند خطة </w:t>
      </w:r>
      <w:r w:rsidRPr="00C32070">
        <w:rPr>
          <w:lang w:bidi="ar-EG"/>
        </w:rPr>
        <w:t>UNSMIS</w:t>
      </w:r>
      <w:r w:rsidRPr="00C32070">
        <w:rPr>
          <w:rtl/>
          <w:lang w:bidi="ar-EG"/>
        </w:rPr>
        <w:t xml:space="preserve">، التي التحق بها الاتحاد عام 2020، إلى مساهمة على أساس المرتب بنسبة </w:t>
      </w:r>
      <w:r w:rsidRPr="00C32070">
        <w:rPr>
          <w:lang w:bidi="ar-EG"/>
        </w:rPr>
        <w:t>3,4</w:t>
      </w:r>
      <w:r w:rsidR="00202150" w:rsidRPr="00C32070">
        <w:rPr>
          <w:lang w:bidi="ar-EG"/>
        </w:rPr>
        <w:t>1</w:t>
      </w:r>
      <w:r w:rsidRPr="00C32070">
        <w:rPr>
          <w:rtl/>
          <w:lang w:bidi="ar-EG"/>
        </w:rPr>
        <w:t>%. وتتولى لجنة</w:t>
      </w:r>
      <w:r w:rsidR="00D10F60">
        <w:rPr>
          <w:rFonts w:hint="cs"/>
          <w:rtl/>
          <w:lang w:bidi="ar-EG"/>
        </w:rPr>
        <w:t> </w:t>
      </w:r>
      <w:r w:rsidRPr="00C32070">
        <w:rPr>
          <w:lang w:bidi="ar-EG"/>
        </w:rPr>
        <w:t>UNSMIS</w:t>
      </w:r>
      <w:r w:rsidRPr="00C32070">
        <w:rPr>
          <w:rtl/>
          <w:lang w:bidi="ar-EG"/>
        </w:rPr>
        <w:t xml:space="preserve">، التي يشغل فيها الاتحاد مقعداً بصفته عضواً جديداً، إدارة متابعة احتواء التكاليف. ويمكن الاطلاع على مزيد من التفاصيل في </w:t>
      </w:r>
      <w:r w:rsidRPr="001607AB">
        <w:rPr>
          <w:rtl/>
          <w:lang w:bidi="ar-EG"/>
        </w:rPr>
        <w:t xml:space="preserve">الوثيقة </w:t>
      </w:r>
      <w:hyperlink r:id="rId58" w:history="1">
        <w:r w:rsidRPr="001607AB">
          <w:rPr>
            <w:rStyle w:val="Hyperlink"/>
            <w:lang w:bidi="ar-EG"/>
          </w:rPr>
          <w:t>C2</w:t>
        </w:r>
        <w:r w:rsidR="001607AB" w:rsidRPr="001607AB">
          <w:rPr>
            <w:rStyle w:val="Hyperlink"/>
            <w:lang w:bidi="ar-EG"/>
          </w:rPr>
          <w:t>4</w:t>
        </w:r>
        <w:r w:rsidRPr="001607AB">
          <w:rPr>
            <w:rStyle w:val="Hyperlink"/>
            <w:lang w:bidi="ar-EG"/>
          </w:rPr>
          <w:t>/46</w:t>
        </w:r>
      </w:hyperlink>
      <w:r w:rsidRPr="00C32070">
        <w:rPr>
          <w:rtl/>
          <w:lang w:bidi="ar-EG"/>
        </w:rPr>
        <w:t xml:space="preserve"> التي تتضمن التقرير السنوي بشأن التأمين الصحي بعد انتهاء الخدمة (</w:t>
      </w:r>
      <w:r w:rsidRPr="00C32070">
        <w:rPr>
          <w:lang w:val="en-GB" w:bidi="ar-EG"/>
        </w:rPr>
        <w:t>ASHI</w:t>
      </w:r>
      <w:r w:rsidRPr="00C32070">
        <w:rPr>
          <w:rtl/>
          <w:lang w:bidi="ar-EG"/>
        </w:rPr>
        <w:t>).</w:t>
      </w:r>
    </w:p>
    <w:p w14:paraId="31E5EBA6" w14:textId="77777777" w:rsidR="002D5E5F" w:rsidRPr="00C32070" w:rsidRDefault="002D5E5F" w:rsidP="002D5E5F">
      <w:pPr>
        <w:pStyle w:val="HeadingI"/>
        <w:rPr>
          <w:lang w:val="en"/>
        </w:rPr>
      </w:pPr>
      <w:r w:rsidRPr="00C32070">
        <w:rPr>
          <w:lang w:val="ru-RU" w:bidi="ar-EG"/>
        </w:rPr>
        <w:t>3.1.1</w:t>
      </w:r>
      <w:r w:rsidRPr="00C32070">
        <w:rPr>
          <w:lang w:bidi="ar-EG"/>
        </w:rPr>
        <w:t>7</w:t>
      </w:r>
      <w:r w:rsidRPr="00C32070">
        <w:rPr>
          <w:rtl/>
        </w:rPr>
        <w:tab/>
      </w:r>
      <w:r w:rsidRPr="00C32070">
        <w:rPr>
          <w:rtl/>
          <w:lang w:bidi="ar"/>
        </w:rPr>
        <w:t>معلومات</w:t>
      </w:r>
      <w:r w:rsidRPr="00C32070">
        <w:rPr>
          <w:lang w:val="en"/>
        </w:rPr>
        <w:t xml:space="preserve"> </w:t>
      </w:r>
      <w:r w:rsidRPr="00C32070">
        <w:rPr>
          <w:rtl/>
          <w:lang w:bidi="ar"/>
        </w:rPr>
        <w:t>الحساسية</w:t>
      </w:r>
      <w:r w:rsidRPr="00C32070">
        <w:rPr>
          <w:lang w:val="en"/>
        </w:rPr>
        <w:t xml:space="preserve"> </w:t>
      </w:r>
      <w:r w:rsidRPr="00C32070">
        <w:rPr>
          <w:rtl/>
          <w:lang w:bidi="ar"/>
        </w:rPr>
        <w:t>لخطة</w:t>
      </w:r>
      <w:r w:rsidRPr="00C32070">
        <w:rPr>
          <w:lang w:val="en"/>
        </w:rPr>
        <w:t xml:space="preserve"> </w:t>
      </w:r>
      <w:r w:rsidRPr="00C32070">
        <w:rPr>
          <w:rtl/>
          <w:lang w:bidi="ar"/>
        </w:rPr>
        <w:t>الرعاية</w:t>
      </w:r>
      <w:r w:rsidRPr="00C32070">
        <w:rPr>
          <w:lang w:val="en"/>
        </w:rPr>
        <w:t xml:space="preserve"> </w:t>
      </w:r>
      <w:r w:rsidRPr="00C32070">
        <w:rPr>
          <w:rtl/>
          <w:lang w:bidi="ar"/>
        </w:rPr>
        <w:t>الصحية</w:t>
      </w:r>
    </w:p>
    <w:p w14:paraId="5C8DFE51" w14:textId="147C0A9C" w:rsidR="002D5E5F" w:rsidRPr="00C32070" w:rsidRDefault="002D5E5F" w:rsidP="002D5E5F">
      <w:pPr>
        <w:spacing w:after="120"/>
        <w:rPr>
          <w:rtl/>
          <w:lang w:bidi="ar-EG"/>
        </w:rPr>
      </w:pPr>
      <w:r w:rsidRPr="00C32070">
        <w:rPr>
          <w:rtl/>
          <w:lang w:bidi="ar-EG"/>
        </w:rPr>
        <w:t xml:space="preserve">ترد أدناه حساسية الالتزام تجاه الاستحقاقات المحددة </w:t>
      </w:r>
      <w:r w:rsidRPr="00C32070">
        <w:rPr>
          <w:lang w:bidi="ar-EG"/>
        </w:rPr>
        <w:t>(DOB)</w:t>
      </w:r>
      <w:r w:rsidRPr="00C32070">
        <w:rPr>
          <w:rtl/>
          <w:lang w:bidi="ar-EG"/>
        </w:rPr>
        <w:t xml:space="preserve"> في 31 ديسمبر 2023 وتكلفة الخدمة وتكلفة الفائدة للسنة المالية</w:t>
      </w:r>
      <w:r w:rsidR="00D10F60">
        <w:rPr>
          <w:rFonts w:hint="cs"/>
          <w:rtl/>
          <w:lang w:bidi="ar-EG"/>
        </w:rPr>
        <w:t> </w:t>
      </w:r>
      <w:r w:rsidRPr="00C32070">
        <w:rPr>
          <w:rtl/>
          <w:lang w:bidi="ar-EG"/>
        </w:rPr>
        <w:t>2023 المتعلقة بالتغيرات في اتجاه الرعاية الصحية المفترض:</w:t>
      </w:r>
    </w:p>
    <w:p w14:paraId="153C9AB3" w14:textId="623D60DE" w:rsidR="00D10F60" w:rsidRDefault="00D10F60" w:rsidP="00D10F60">
      <w:pPr>
        <w:pStyle w:val="Figure"/>
        <w:rPr>
          <w:rtl/>
          <w:lang w:bidi="ar-EG"/>
        </w:rPr>
      </w:pPr>
      <w:r w:rsidRPr="00D10F60">
        <w:rPr>
          <w:rtl/>
        </w:rPr>
        <w:drawing>
          <wp:inline distT="0" distB="0" distL="0" distR="0" wp14:anchorId="75A376D0" wp14:editId="672A70FC">
            <wp:extent cx="5733415" cy="184594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33415" cy="1845945"/>
                    </a:xfrm>
                    <a:prstGeom prst="rect">
                      <a:avLst/>
                    </a:prstGeom>
                    <a:noFill/>
                    <a:ln>
                      <a:noFill/>
                    </a:ln>
                  </pic:spPr>
                </pic:pic>
              </a:graphicData>
            </a:graphic>
          </wp:inline>
        </w:drawing>
      </w:r>
    </w:p>
    <w:p w14:paraId="561C0A61" w14:textId="780C91A7" w:rsidR="002D5E5F" w:rsidRPr="00C32070" w:rsidRDefault="002D5E5F" w:rsidP="0055688F">
      <w:pPr>
        <w:rPr>
          <w:rtl/>
          <w:lang w:bidi="ar-SY"/>
        </w:rPr>
      </w:pPr>
      <w:r w:rsidRPr="00C32070">
        <w:rPr>
          <w:rtl/>
          <w:lang w:bidi="ar-EG"/>
        </w:rPr>
        <w:t xml:space="preserve">وقد تحددت أسعار الخصم المستخدمة لهذا التقييم باستخدام منحنيات عائد سندات شركات </w:t>
      </w:r>
      <w:r w:rsidRPr="00C32070">
        <w:rPr>
          <w:lang w:bidi="ar-EG"/>
        </w:rPr>
        <w:t>AA</w:t>
      </w:r>
      <w:r w:rsidRPr="00C32070">
        <w:rPr>
          <w:rtl/>
          <w:lang w:bidi="ar-EG"/>
        </w:rPr>
        <w:t xml:space="preserve"> لمكتب </w:t>
      </w:r>
      <w:r w:rsidRPr="00C32070">
        <w:rPr>
          <w:lang w:bidi="ar-EG"/>
        </w:rPr>
        <w:t>Aon</w:t>
      </w:r>
      <w:r w:rsidRPr="00C32070">
        <w:rPr>
          <w:rtl/>
        </w:rPr>
        <w:t xml:space="preserve"> </w:t>
      </w:r>
      <w:r w:rsidRPr="00C32070">
        <w:rPr>
          <w:rtl/>
          <w:lang w:bidi="ar-EG"/>
        </w:rPr>
        <w:t xml:space="preserve">في 31 ديسمبر </w:t>
      </w:r>
      <w:r w:rsidRPr="00C32070">
        <w:rPr>
          <w:lang w:bidi="ar-EG"/>
        </w:rPr>
        <w:t>2023</w:t>
      </w:r>
      <w:r w:rsidRPr="00C32070">
        <w:rPr>
          <w:rtl/>
          <w:lang w:bidi="ar-EG"/>
        </w:rPr>
        <w:t xml:space="preserve">. ولو استُخدم بدلاً من ذلك منحنى سندات الحكومة السويسرية لمكتب </w:t>
      </w:r>
      <w:r w:rsidRPr="00C32070">
        <w:rPr>
          <w:lang w:bidi="ar-EG"/>
        </w:rPr>
        <w:t>Aon</w:t>
      </w:r>
      <w:r w:rsidRPr="00C32070">
        <w:rPr>
          <w:rtl/>
        </w:rPr>
        <w:t xml:space="preserve"> في 31 ديسمبر 2023، لكان معدل الخصم الناتج </w:t>
      </w:r>
      <w:r w:rsidRPr="00C32070">
        <w:t>0,50</w:t>
      </w:r>
      <w:r w:rsidRPr="00C32070">
        <w:rPr>
          <w:rtl/>
        </w:rPr>
        <w:t>%. و</w:t>
      </w:r>
      <w:r w:rsidRPr="00C32070">
        <w:rPr>
          <w:rtl/>
          <w:lang w:bidi="ar-EG"/>
        </w:rPr>
        <w:t xml:space="preserve">من شأن تخفيض معدل الخصم بمقدار </w:t>
      </w:r>
      <w:r w:rsidRPr="00C32070">
        <w:rPr>
          <w:lang w:bidi="ar-EG"/>
        </w:rPr>
        <w:t>140</w:t>
      </w:r>
      <w:r w:rsidRPr="00C32070">
        <w:rPr>
          <w:rtl/>
          <w:lang w:bidi="ar-EG"/>
        </w:rPr>
        <w:t xml:space="preserve"> نقطة أساس (</w:t>
      </w:r>
      <w:r w:rsidRPr="00C32070">
        <w:rPr>
          <w:lang w:bidi="ar-EG"/>
        </w:rPr>
        <w:t>bps</w:t>
      </w:r>
      <w:r w:rsidRPr="00C32070">
        <w:rPr>
          <w:rtl/>
          <w:lang w:bidi="ar-EG"/>
        </w:rPr>
        <w:t>) أن يزيد من الالتزام تجاه الاستحقاقات المحددة بنسبة +</w:t>
      </w:r>
      <w:r w:rsidRPr="00C32070">
        <w:rPr>
          <w:lang w:bidi="ar-EG"/>
        </w:rPr>
        <w:t>%33</w:t>
      </w:r>
      <w:r w:rsidRPr="00C32070">
        <w:rPr>
          <w:rtl/>
          <w:lang w:bidi="ar-EG"/>
        </w:rPr>
        <w:t xml:space="preserve">، أي حوالي </w:t>
      </w:r>
      <w:r w:rsidRPr="00C32070">
        <w:rPr>
          <w:lang w:bidi="ar-EG"/>
        </w:rPr>
        <w:t>124</w:t>
      </w:r>
      <w:r w:rsidRPr="00C32070">
        <w:rPr>
          <w:rtl/>
          <w:lang w:bidi="ar-EG"/>
        </w:rPr>
        <w:t xml:space="preserve"> مليون فرنك سويسري.</w:t>
      </w:r>
    </w:p>
    <w:p w14:paraId="0CC70EAC" w14:textId="77777777" w:rsidR="002D5E5F" w:rsidRPr="00C32070" w:rsidRDefault="002D5E5F" w:rsidP="002D5E5F">
      <w:pPr>
        <w:pStyle w:val="Heading2"/>
        <w:rPr>
          <w:u w:val="single"/>
        </w:rPr>
      </w:pPr>
      <w:bookmarkStart w:id="504" w:name="_Toc168657581"/>
      <w:r w:rsidRPr="00C32070">
        <w:lastRenderedPageBreak/>
        <w:t>2.17</w:t>
      </w:r>
      <w:r w:rsidRPr="00C32070">
        <w:rPr>
          <w:rtl/>
        </w:rPr>
        <w:tab/>
      </w:r>
      <w:r w:rsidRPr="00C32070">
        <w:rPr>
          <w:u w:val="single"/>
          <w:rtl/>
        </w:rPr>
        <w:t>منحة الإعادة إلى الوطن</w:t>
      </w:r>
      <w:bookmarkEnd w:id="504"/>
    </w:p>
    <w:p w14:paraId="4B8A9162" w14:textId="77777777" w:rsidR="002D5E5F" w:rsidRPr="00C32070" w:rsidRDefault="002D5E5F" w:rsidP="002D5E5F">
      <w:pPr>
        <w:pStyle w:val="HeadingI"/>
        <w:rPr>
          <w:rtl/>
          <w:lang w:bidi="ar-SY"/>
        </w:rPr>
      </w:pPr>
      <w:r w:rsidRPr="00C32070">
        <w:t>1.2.17</w:t>
      </w:r>
      <w:r w:rsidRPr="00C32070">
        <w:rPr>
          <w:rtl/>
          <w:lang w:bidi="ar-SY"/>
        </w:rPr>
        <w:tab/>
        <w:t>تعريف</w:t>
      </w:r>
    </w:p>
    <w:p w14:paraId="1DF83F96" w14:textId="77777777" w:rsidR="002D5E5F" w:rsidRPr="00C32070" w:rsidRDefault="002D5E5F" w:rsidP="0055688F">
      <w:pPr>
        <w:rPr>
          <w:rtl/>
          <w:lang w:bidi="ar-EG"/>
        </w:rPr>
      </w:pPr>
      <w:r w:rsidRPr="00C32070">
        <w:rPr>
          <w:rtl/>
          <w:lang w:bidi="ar-EG"/>
        </w:rPr>
        <w:t>يستحق، من حيث المبدأ، منحة إعادة إلى الوطن الموظفون الذين قضوا ما لا يقل عن 5 سنوات متواصلة في الخدمة والذين يكون الاتحاد ملزماً بإعادتهم إلى الوطن. وتشمل التكاليف الإجازات السنوية المتراكمة، وسفر الإعادة إلى الوطن، وشحن الأمتعة عند الإعادة إلى الوطن. وتحدد الأمينة العامة بالتفصيل الشروط والتعاريف المتعلقة بالحق في هذه المنحة والوثائق المطلوبة للبرهان على تغيير مكان الإقامة.</w:t>
      </w:r>
    </w:p>
    <w:p w14:paraId="57AC0EF2" w14:textId="4ABB7416" w:rsidR="002D5E5F" w:rsidRPr="00C32070" w:rsidRDefault="002D5E5F" w:rsidP="0055688F">
      <w:pPr>
        <w:rPr>
          <w:spacing w:val="4"/>
          <w:rtl/>
          <w:lang w:bidi="ar-EG"/>
        </w:rPr>
      </w:pPr>
      <w:r w:rsidRPr="00C32070">
        <w:rPr>
          <w:spacing w:val="4"/>
          <w:rtl/>
          <w:lang w:bidi="ar-EG"/>
        </w:rPr>
        <w:t>وقد أُخذت في الاعتبار مدة الخدمة والمرتب الإجمالي بعد خصم الاقتطاعات الإلزامية (بما في ذلك علاوات اللغة وبدل الاغتراب عند الاقتضاء</w:t>
      </w:r>
      <w:r w:rsidRPr="00C32070">
        <w:rPr>
          <w:rtl/>
        </w:rPr>
        <w:t xml:space="preserve"> </w:t>
      </w:r>
      <w:r w:rsidRPr="00C32070">
        <w:rPr>
          <w:spacing w:val="4"/>
          <w:rtl/>
          <w:lang w:bidi="ar-EG"/>
        </w:rPr>
        <w:t>لموظفي فئة الخدمات العامة) في حساب المبلغ الإجمالي للالتزامات في </w:t>
      </w:r>
      <w:r w:rsidRPr="00C32070">
        <w:rPr>
          <w:spacing w:val="4"/>
          <w:lang w:bidi="ar-EG"/>
        </w:rPr>
        <w:t>31</w:t>
      </w:r>
      <w:r w:rsidRPr="00C32070">
        <w:rPr>
          <w:spacing w:val="4"/>
          <w:rtl/>
          <w:lang w:bidi="ar-EG"/>
        </w:rPr>
        <w:t xml:space="preserve"> ديسمبر </w:t>
      </w:r>
      <w:r w:rsidRPr="00C32070">
        <w:rPr>
          <w:spacing w:val="4"/>
          <w:lang w:bidi="ar-EG"/>
        </w:rPr>
        <w:t>2023</w:t>
      </w:r>
      <w:r w:rsidRPr="00C32070">
        <w:rPr>
          <w:spacing w:val="4"/>
          <w:rtl/>
          <w:lang w:bidi="ar-EG"/>
        </w:rPr>
        <w:t xml:space="preserve">. والافتراضات الاقتصادية المستخدمة هي معدل خصم بمقدار </w:t>
      </w:r>
      <w:r w:rsidRPr="00C32070">
        <w:rPr>
          <w:spacing w:val="4"/>
          <w:lang w:bidi="ar-EG"/>
        </w:rPr>
        <w:t>1,9</w:t>
      </w:r>
      <w:r w:rsidRPr="00C32070">
        <w:rPr>
          <w:spacing w:val="4"/>
          <w:rtl/>
          <w:lang w:bidi="ar-EG"/>
        </w:rPr>
        <w:t xml:space="preserve">% (مقابل </w:t>
      </w:r>
      <w:r w:rsidRPr="00C32070">
        <w:rPr>
          <w:spacing w:val="4"/>
          <w:lang w:bidi="ar-EG"/>
        </w:rPr>
        <w:t>2,5</w:t>
      </w:r>
      <w:r w:rsidRPr="00C32070">
        <w:rPr>
          <w:spacing w:val="4"/>
          <w:rtl/>
        </w:rPr>
        <w:t>%</w:t>
      </w:r>
      <w:r w:rsidRPr="00C32070">
        <w:rPr>
          <w:spacing w:val="4"/>
          <w:rtl/>
          <w:lang w:bidi="ar-EG"/>
        </w:rPr>
        <w:t xml:space="preserve"> عام 2022) ومعدل زيادة في المرتبات بنسبة </w:t>
      </w:r>
      <w:r w:rsidRPr="00C32070">
        <w:rPr>
          <w:spacing w:val="4"/>
        </w:rPr>
        <w:t>3,1</w:t>
      </w:r>
      <w:r w:rsidRPr="00C32070">
        <w:rPr>
          <w:spacing w:val="4"/>
          <w:rtl/>
        </w:rPr>
        <w:t>%</w:t>
      </w:r>
      <w:r w:rsidRPr="00C32070">
        <w:rPr>
          <w:spacing w:val="4"/>
          <w:rtl/>
          <w:lang w:bidi="ar-EG"/>
        </w:rPr>
        <w:t xml:space="preserve"> (مقابل </w:t>
      </w:r>
      <w:r w:rsidRPr="00C32070">
        <w:rPr>
          <w:spacing w:val="4"/>
          <w:lang w:bidi="ar-EG"/>
        </w:rPr>
        <w:t>3,0</w:t>
      </w:r>
      <w:r w:rsidRPr="00C32070">
        <w:rPr>
          <w:spacing w:val="4"/>
          <w:rtl/>
        </w:rPr>
        <w:t xml:space="preserve">% </w:t>
      </w:r>
      <w:r w:rsidRPr="00C32070">
        <w:rPr>
          <w:spacing w:val="4"/>
          <w:rtl/>
          <w:lang w:bidi="ar-EG"/>
        </w:rPr>
        <w:t>عام</w:t>
      </w:r>
      <w:r w:rsidR="00DE66D0" w:rsidRPr="00C32070">
        <w:rPr>
          <w:spacing w:val="4"/>
          <w:rtl/>
          <w:lang w:bidi="ar-EG"/>
        </w:rPr>
        <w:t xml:space="preserve"> </w:t>
      </w:r>
      <w:r w:rsidRPr="00C32070">
        <w:rPr>
          <w:spacing w:val="4"/>
          <w:rtl/>
        </w:rPr>
        <w:t>2022)</w:t>
      </w:r>
      <w:r w:rsidRPr="00C32070">
        <w:rPr>
          <w:spacing w:val="4"/>
          <w:rtl/>
          <w:lang w:bidi="ar-EG"/>
        </w:rPr>
        <w:t>. وفي تقييم عام</w:t>
      </w:r>
      <w:r w:rsidR="00DE66D0" w:rsidRPr="00C32070">
        <w:rPr>
          <w:spacing w:val="4"/>
          <w:rtl/>
          <w:lang w:bidi="ar-EG"/>
        </w:rPr>
        <w:t xml:space="preserve"> </w:t>
      </w:r>
      <w:r w:rsidRPr="00C32070">
        <w:rPr>
          <w:spacing w:val="4"/>
          <w:lang w:bidi="ar-EG"/>
        </w:rPr>
        <w:t>2023</w:t>
      </w:r>
      <w:r w:rsidRPr="00C32070">
        <w:rPr>
          <w:spacing w:val="4"/>
          <w:rtl/>
          <w:lang w:bidi="ar-EG"/>
        </w:rPr>
        <w:t xml:space="preserve">، تمت مواءمة افتراضات الدراسة </w:t>
      </w:r>
      <w:proofErr w:type="spellStart"/>
      <w:r w:rsidRPr="00C32070">
        <w:rPr>
          <w:spacing w:val="4"/>
          <w:rtl/>
          <w:lang w:bidi="ar-EG"/>
        </w:rPr>
        <w:t>الإكتوارية</w:t>
      </w:r>
      <w:proofErr w:type="spellEnd"/>
      <w:r w:rsidRPr="00C32070">
        <w:rPr>
          <w:spacing w:val="4"/>
          <w:rtl/>
          <w:lang w:bidi="ar-EG"/>
        </w:rPr>
        <w:t xml:space="preserve"> بشأن منحة الإعادة إلى الوطن مع افتراضات </w:t>
      </w:r>
      <w:r w:rsidRPr="00C32070">
        <w:rPr>
          <w:spacing w:val="4"/>
          <w:lang w:bidi="ar-EG"/>
        </w:rPr>
        <w:t>ASHI</w:t>
      </w:r>
      <w:r w:rsidRPr="00C32070">
        <w:rPr>
          <w:spacing w:val="4"/>
          <w:rtl/>
          <w:lang w:bidi="ar-EG"/>
        </w:rPr>
        <w:t>.</w:t>
      </w:r>
    </w:p>
    <w:p w14:paraId="7EC62F41" w14:textId="77777777" w:rsidR="002D5E5F" w:rsidRPr="00C32070" w:rsidRDefault="002D5E5F" w:rsidP="002D5E5F">
      <w:pPr>
        <w:pStyle w:val="HeadingI"/>
        <w:rPr>
          <w:rtl/>
        </w:rPr>
      </w:pPr>
      <w:bookmarkStart w:id="505" w:name="_Toc397499194"/>
      <w:bookmarkStart w:id="506" w:name="_Toc358648560"/>
      <w:bookmarkStart w:id="507" w:name="_Toc358648361"/>
      <w:bookmarkStart w:id="508" w:name="_Toc328494944"/>
      <w:bookmarkStart w:id="509" w:name="_Toc306236968"/>
      <w:r w:rsidRPr="00C32070">
        <w:t>2.2.17</w:t>
      </w:r>
      <w:r w:rsidRPr="00C32070">
        <w:rPr>
          <w:rtl/>
        </w:rPr>
        <w:tab/>
        <w:t>دفع منحة الإعادة إلى الوطن</w:t>
      </w:r>
      <w:bookmarkEnd w:id="505"/>
      <w:bookmarkEnd w:id="506"/>
      <w:bookmarkEnd w:id="507"/>
      <w:bookmarkEnd w:id="508"/>
      <w:bookmarkEnd w:id="509"/>
    </w:p>
    <w:p w14:paraId="140FCC8C" w14:textId="712C9B23" w:rsidR="002D5E5F" w:rsidRPr="00C32070" w:rsidRDefault="002D5E5F" w:rsidP="0055688F">
      <w:pPr>
        <w:rPr>
          <w:spacing w:val="-4"/>
          <w:rtl/>
          <w:lang w:bidi="ar-EG"/>
        </w:rPr>
      </w:pPr>
      <w:r w:rsidRPr="00C32070">
        <w:rPr>
          <w:spacing w:val="-4"/>
          <w:rtl/>
          <w:lang w:bidi="ar-EG"/>
        </w:rPr>
        <w:t>يخضع دفع منحة الإعادة إلى الوطن للشروط والتعاريف المذكورة في النظام الإداري والنظام الأساسي للموظفين. وفي ديسمبر </w:t>
      </w:r>
      <w:r w:rsidRPr="00C32070">
        <w:rPr>
          <w:spacing w:val="-4"/>
          <w:lang w:bidi="ar-EG"/>
        </w:rPr>
        <w:t>2023</w:t>
      </w:r>
      <w:r w:rsidRPr="00C32070">
        <w:rPr>
          <w:spacing w:val="-4"/>
          <w:rtl/>
          <w:lang w:bidi="ar-EG"/>
        </w:rPr>
        <w:t xml:space="preserve">، بلغت خصوم استحقاقات الموظفين المتعلقة بالإعادة إلى الوطن </w:t>
      </w:r>
      <w:r w:rsidRPr="00C32070">
        <w:t>12,0</w:t>
      </w:r>
      <w:r w:rsidRPr="00C32070">
        <w:rPr>
          <w:spacing w:val="-4"/>
          <w:rtl/>
          <w:lang w:bidi="ar-EG"/>
        </w:rPr>
        <w:t xml:space="preserve"> مليون فرنك سويسري مقابل </w:t>
      </w:r>
      <w:r w:rsidRPr="00C32070">
        <w:t>12,4</w:t>
      </w:r>
      <w:r w:rsidRPr="00C32070">
        <w:rPr>
          <w:spacing w:val="-4"/>
          <w:rtl/>
          <w:lang w:bidi="ar-EG"/>
        </w:rPr>
        <w:t> مليون فرنك سويسري عام</w:t>
      </w:r>
      <w:r w:rsidR="00DE66D0" w:rsidRPr="00C32070">
        <w:rPr>
          <w:spacing w:val="-4"/>
          <w:rtl/>
          <w:lang w:bidi="ar-EG"/>
        </w:rPr>
        <w:t xml:space="preserve"> </w:t>
      </w:r>
      <w:r w:rsidRPr="00C32070">
        <w:rPr>
          <w:spacing w:val="-4"/>
          <w:lang w:bidi="ar-EG"/>
        </w:rPr>
        <w:t>2022</w:t>
      </w:r>
      <w:r w:rsidRPr="00C32070">
        <w:rPr>
          <w:spacing w:val="-4"/>
          <w:rtl/>
          <w:lang w:bidi="ar-EG"/>
        </w:rPr>
        <w:t xml:space="preserve">. </w:t>
      </w:r>
      <w:r w:rsidRPr="00C32070">
        <w:rPr>
          <w:rtl/>
          <w:lang w:bidi="ar-EG"/>
        </w:rPr>
        <w:t xml:space="preserve">ويتم تمويل هذا الاحتياطي بواسطة خصم قدره </w:t>
      </w:r>
      <w:r w:rsidRPr="00C32070">
        <w:rPr>
          <w:rtl/>
          <w:lang w:val="fr-CH" w:bidi="ar-EG"/>
        </w:rPr>
        <w:t>واحد</w:t>
      </w:r>
      <w:r w:rsidRPr="00C32070">
        <w:rPr>
          <w:rtl/>
          <w:lang w:bidi="ar-EG"/>
        </w:rPr>
        <w:t xml:space="preserve"> في </w:t>
      </w:r>
      <w:proofErr w:type="gramStart"/>
      <w:r w:rsidRPr="00C32070">
        <w:rPr>
          <w:rtl/>
          <w:lang w:bidi="ar-EG"/>
        </w:rPr>
        <w:t>المائة</w:t>
      </w:r>
      <w:proofErr w:type="gramEnd"/>
      <w:r w:rsidRPr="00C32070">
        <w:rPr>
          <w:rtl/>
          <w:lang w:bidi="ar-EG"/>
        </w:rPr>
        <w:t xml:space="preserve"> (1%) من أجور الموظفين عدا أولئك الذين يعملون لخدمة المؤتمرات والخدمات الأخرى القصيرة الأجل.</w:t>
      </w:r>
    </w:p>
    <w:p w14:paraId="3D26DB1F" w14:textId="3CE02C0F" w:rsidR="002D5E5F" w:rsidRPr="00C32070" w:rsidRDefault="002D5E5F" w:rsidP="0055688F">
      <w:pPr>
        <w:rPr>
          <w:spacing w:val="4"/>
          <w:rtl/>
          <w:lang w:bidi="ar-EG"/>
        </w:rPr>
      </w:pPr>
      <w:r w:rsidRPr="00C32070">
        <w:rPr>
          <w:spacing w:val="4"/>
          <w:rtl/>
          <w:lang w:bidi="ar-EG"/>
        </w:rPr>
        <w:t xml:space="preserve">والخصوم المثبَّتة بشأن هذه الاستحقاقات الأخرى طويلة الأجل هي القيمة الحالية لالتزامات الاستحقاقات المعرَّفة في تاريخ الإبلاغ. ويحسب خبير </w:t>
      </w:r>
      <w:proofErr w:type="spellStart"/>
      <w:r w:rsidRPr="00C32070">
        <w:rPr>
          <w:spacing w:val="4"/>
          <w:rtl/>
          <w:lang w:bidi="ar-EG"/>
        </w:rPr>
        <w:t>إكتواري</w:t>
      </w:r>
      <w:proofErr w:type="spellEnd"/>
      <w:r w:rsidRPr="00C32070">
        <w:rPr>
          <w:spacing w:val="4"/>
          <w:rtl/>
          <w:lang w:bidi="ar-EG"/>
        </w:rPr>
        <w:t xml:space="preserve"> مستقل الخصوم باستخدام أسلوب رصيد </w:t>
      </w:r>
      <w:r w:rsidR="002567A0" w:rsidRPr="00C32070">
        <w:rPr>
          <w:spacing w:val="4"/>
          <w:rtl/>
          <w:lang w:bidi="ar-EG"/>
        </w:rPr>
        <w:t>الوحدات</w:t>
      </w:r>
      <w:r w:rsidRPr="00C32070">
        <w:rPr>
          <w:spacing w:val="4"/>
          <w:rtl/>
          <w:lang w:bidi="ar-EG"/>
        </w:rPr>
        <w:t xml:space="preserve"> المتوقعة. ويرد في بيان الأداء المالي حساب تكلفة الفائدة وتكاليف الخدمة الجارية والمكاسب أو الخسائر </w:t>
      </w:r>
      <w:proofErr w:type="spellStart"/>
      <w:r w:rsidRPr="00C32070">
        <w:rPr>
          <w:spacing w:val="4"/>
          <w:rtl/>
          <w:lang w:bidi="ar-EG"/>
        </w:rPr>
        <w:t>الإكتوارية</w:t>
      </w:r>
      <w:proofErr w:type="spellEnd"/>
      <w:r w:rsidRPr="00C32070">
        <w:rPr>
          <w:spacing w:val="4"/>
          <w:rtl/>
          <w:lang w:bidi="ar-EG"/>
        </w:rPr>
        <w:t xml:space="preserve"> الناشئة عن التغيرات في الافتراضات </w:t>
      </w:r>
      <w:proofErr w:type="spellStart"/>
      <w:r w:rsidRPr="00C32070">
        <w:rPr>
          <w:spacing w:val="4"/>
          <w:rtl/>
          <w:lang w:bidi="ar-EG"/>
        </w:rPr>
        <w:t>الإكتوارية</w:t>
      </w:r>
      <w:proofErr w:type="spellEnd"/>
      <w:r w:rsidRPr="00C32070">
        <w:rPr>
          <w:spacing w:val="4"/>
          <w:rtl/>
          <w:lang w:bidi="ar-EG"/>
        </w:rPr>
        <w:t xml:space="preserve"> أو تعديلات الخبرة.</w:t>
      </w:r>
    </w:p>
    <w:p w14:paraId="16B0F9F3" w14:textId="77777777" w:rsidR="002D5E5F" w:rsidRPr="00C32070" w:rsidRDefault="002D5E5F" w:rsidP="0055688F">
      <w:pPr>
        <w:rPr>
          <w:rtl/>
          <w:lang w:bidi="ar-EG"/>
        </w:rPr>
      </w:pPr>
      <w:r w:rsidRPr="00C32070">
        <w:rPr>
          <w:rtl/>
          <w:lang w:bidi="ar-EG"/>
        </w:rPr>
        <w:t xml:space="preserve">ويجري كل سنة تقييم </w:t>
      </w:r>
      <w:proofErr w:type="spellStart"/>
      <w:r w:rsidRPr="00C32070">
        <w:rPr>
          <w:rtl/>
          <w:lang w:bidi="ar-EG"/>
        </w:rPr>
        <w:t>إكتواري</w:t>
      </w:r>
      <w:proofErr w:type="spellEnd"/>
      <w:r w:rsidRPr="00C32070">
        <w:rPr>
          <w:rtl/>
          <w:lang w:bidi="ar-EG"/>
        </w:rPr>
        <w:t xml:space="preserve"> بحسب معايير </w:t>
      </w:r>
      <w:r w:rsidRPr="00C32070">
        <w:rPr>
          <w:lang w:val="fr-CH" w:bidi="ar-EG"/>
        </w:rPr>
        <w:t>IPSAS</w:t>
      </w:r>
      <w:r w:rsidRPr="00C32070">
        <w:rPr>
          <w:rtl/>
          <w:lang w:bidi="ar-EG"/>
        </w:rPr>
        <w:t xml:space="preserve"> يقوم به مكتب استشاري مستقل.</w:t>
      </w:r>
    </w:p>
    <w:p w14:paraId="1E718FE8" w14:textId="77777777" w:rsidR="002D5E5F" w:rsidRPr="00C32070" w:rsidRDefault="002D5E5F" w:rsidP="002D5E5F">
      <w:pPr>
        <w:pStyle w:val="Heading2"/>
        <w:rPr>
          <w:rtl/>
        </w:rPr>
      </w:pPr>
      <w:bookmarkStart w:id="510" w:name="_Toc397499195"/>
      <w:bookmarkStart w:id="511" w:name="_Toc358648561"/>
      <w:bookmarkStart w:id="512" w:name="_Toc358648362"/>
      <w:bookmarkStart w:id="513" w:name="_Toc328494945"/>
      <w:bookmarkStart w:id="514" w:name="_Toc306236969"/>
      <w:bookmarkStart w:id="515" w:name="_Toc168657582"/>
      <w:r w:rsidRPr="00C32070">
        <w:rPr>
          <w:lang w:val="ru-RU"/>
        </w:rPr>
        <w:t>3.</w:t>
      </w:r>
      <w:r w:rsidRPr="00C32070">
        <w:t>17</w:t>
      </w:r>
      <w:r w:rsidRPr="00C32070">
        <w:rPr>
          <w:rtl/>
        </w:rPr>
        <w:tab/>
      </w:r>
      <w:r w:rsidRPr="00C32070">
        <w:rPr>
          <w:u w:val="single"/>
          <w:rtl/>
        </w:rPr>
        <w:t>استحقاقات الموظفين بموجب خطة المعاشات التقاعدية لموظفي الأمم المتحدة</w:t>
      </w:r>
      <w:bookmarkEnd w:id="510"/>
      <w:bookmarkEnd w:id="511"/>
      <w:bookmarkEnd w:id="512"/>
      <w:bookmarkEnd w:id="513"/>
      <w:bookmarkEnd w:id="514"/>
      <w:bookmarkEnd w:id="515"/>
    </w:p>
    <w:p w14:paraId="05AA8CB4" w14:textId="77777777" w:rsidR="002D5E5F" w:rsidRPr="00C32070" w:rsidRDefault="002D5E5F" w:rsidP="0055688F">
      <w:pPr>
        <w:rPr>
          <w:rtl/>
          <w:lang w:bidi="ar-EG"/>
        </w:rPr>
      </w:pPr>
      <w:r w:rsidRPr="00C32070">
        <w:rPr>
          <w:rtl/>
          <w:lang w:bidi="ar-EG"/>
        </w:rPr>
        <w:t xml:space="preserve">الاتحاد الدولي للاتصالات منظمة عضو في صندوق الأمم المتحدة المشترك للمعاشات التقاعدية ("الصندوق")، الذي أنشأته الجمعية العامة للأمم المتحدة لتوفير استحقاقات التقاعد والوفاة والعجز وما يتصل بها للموظفين. والصندوق هو خطة استحقاقات محددة ممولة متعددة أرباب العمل. وكما هو محدد في المادة </w:t>
      </w:r>
      <w:r w:rsidRPr="00C32070">
        <w:rPr>
          <w:lang w:bidi="ar-EG"/>
        </w:rPr>
        <w:t>3</w:t>
      </w:r>
      <w:r w:rsidRPr="00C32070">
        <w:rPr>
          <w:rtl/>
          <w:lang w:bidi="ar-EG"/>
        </w:rPr>
        <w:t> (ب)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14:paraId="7AE48B8F" w14:textId="77777777" w:rsidR="002D5E5F" w:rsidRPr="00C32070" w:rsidRDefault="002D5E5F" w:rsidP="0055688F">
      <w:pPr>
        <w:rPr>
          <w:spacing w:val="-2"/>
          <w:rtl/>
          <w:lang w:bidi="ar-EG"/>
        </w:rPr>
      </w:pPr>
      <w:r w:rsidRPr="00C32070">
        <w:rPr>
          <w:spacing w:val="-2"/>
          <w:rtl/>
          <w:lang w:bidi="ar-EG"/>
        </w:rPr>
        <w:t xml:space="preserve">ويعرّض الصندوق المنظمات المشاركة لمخاطر </w:t>
      </w:r>
      <w:proofErr w:type="spellStart"/>
      <w:r w:rsidRPr="00C32070">
        <w:rPr>
          <w:spacing w:val="-2"/>
          <w:rtl/>
          <w:lang w:bidi="ar-EG"/>
        </w:rPr>
        <w:t>إكتوارية</w:t>
      </w:r>
      <w:proofErr w:type="spellEnd"/>
      <w:r w:rsidRPr="00C32070">
        <w:rPr>
          <w:spacing w:val="-2"/>
          <w:rtl/>
          <w:lang w:bidi="ar-EG"/>
        </w:rPr>
        <w:t xml:space="preserve"> مرتبطة بالموظفين الحاليين والسابقين في المنظمات الأخرى المشاركة في الصندوق، ونتيجةً لذلك لا يوجد أساس متسق وموثوق لتخصيص الالتزامات وأصول الخطة، وتكاليف فرادى المنظمات المشاركة في الصندوق. ومن ثم فإن الاتحاد والصندوق، على غرار المنظمات الأخرى المشاركة في الصندوق، ليسا في وضع يمكنهما من تحديد حصة الاتحاد التناسبية في الالتزام بالاستحقاقات المحددة، وبأصول الخطة والتكاليف المرتبطة بالخطة بقدر كاف من الموثوقية للأغراض المحاسبية. ولذا فإن الاتحاد يتعامل مع هذه الخطة كما لو كانت خطة مساهمات محددة تماشياً مع متطلبات المعيار </w:t>
      </w:r>
      <w:r w:rsidRPr="00C32070">
        <w:rPr>
          <w:spacing w:val="-2"/>
          <w:lang w:val="fr-CH" w:bidi="ar-EG"/>
        </w:rPr>
        <w:t>IPSAS 39</w:t>
      </w:r>
      <w:r w:rsidRPr="00C32070">
        <w:rPr>
          <w:spacing w:val="-2"/>
          <w:rtl/>
          <w:lang w:val="fr-CH" w:bidi="ar-EG"/>
        </w:rPr>
        <w:t xml:space="preserve">: </w:t>
      </w:r>
      <w:r w:rsidRPr="00C32070">
        <w:rPr>
          <w:spacing w:val="-2"/>
          <w:rtl/>
          <w:lang w:bidi="ar-EG"/>
        </w:rPr>
        <w:t>استحقاقات الموظفين. وتُدرج مساهمات الاتحاد في الصندوق خلال الفترة المالية كنفقات في بيان الأداء المالي.</w:t>
      </w:r>
    </w:p>
    <w:p w14:paraId="2CCAF9AB" w14:textId="77777777" w:rsidR="002D5E5F" w:rsidRPr="00C32070" w:rsidRDefault="002D5E5F" w:rsidP="0055688F">
      <w:pPr>
        <w:rPr>
          <w:rtl/>
          <w:lang w:bidi="ar-EG"/>
        </w:rPr>
      </w:pPr>
      <w:r w:rsidRPr="00C32070">
        <w:rPr>
          <w:rtl/>
          <w:lang w:bidi="ar-EG"/>
        </w:rPr>
        <w:t xml:space="preserve">وينص النظام الأساسي للصندوق على أن يقوم مجلس الصندوق بإجراء تقييم </w:t>
      </w:r>
      <w:proofErr w:type="spellStart"/>
      <w:r w:rsidRPr="00C32070">
        <w:rPr>
          <w:rtl/>
          <w:lang w:bidi="ar-EG"/>
        </w:rPr>
        <w:t>إكتواري</w:t>
      </w:r>
      <w:proofErr w:type="spellEnd"/>
      <w:r w:rsidRPr="00C32070">
        <w:rPr>
          <w:rtl/>
          <w:lang w:bidi="ar-EG"/>
        </w:rPr>
        <w:t xml:space="preserve"> للصندوق مرة على الأقل كل ثلاث سنوات من قبل مكتب الخبير </w:t>
      </w:r>
      <w:proofErr w:type="spellStart"/>
      <w:r w:rsidRPr="00C32070">
        <w:rPr>
          <w:rtl/>
          <w:lang w:bidi="ar-EG"/>
        </w:rPr>
        <w:t>الإكتواري</w:t>
      </w:r>
      <w:proofErr w:type="spellEnd"/>
      <w:r w:rsidRPr="00C32070">
        <w:rPr>
          <w:rtl/>
          <w:lang w:bidi="ar-EG"/>
        </w:rPr>
        <w:t xml:space="preserve"> الاستشاري. وقد جرت العادة في مجلس الصندوق على إجراء تقييم </w:t>
      </w:r>
      <w:proofErr w:type="spellStart"/>
      <w:r w:rsidRPr="00C32070">
        <w:rPr>
          <w:rtl/>
          <w:lang w:bidi="ar-EG"/>
        </w:rPr>
        <w:t>إكتواري</w:t>
      </w:r>
      <w:proofErr w:type="spellEnd"/>
      <w:r w:rsidRPr="00C32070">
        <w:rPr>
          <w:rtl/>
          <w:lang w:bidi="ar-EG"/>
        </w:rPr>
        <w:t xml:space="preserve"> كل سنتين. والغرض الرئيسي من التقييم </w:t>
      </w:r>
      <w:proofErr w:type="spellStart"/>
      <w:r w:rsidRPr="00C32070">
        <w:rPr>
          <w:rtl/>
          <w:lang w:bidi="ar-EG"/>
        </w:rPr>
        <w:t>الإكتواري</w:t>
      </w:r>
      <w:proofErr w:type="spellEnd"/>
      <w:r w:rsidRPr="00C32070">
        <w:rPr>
          <w:rtl/>
          <w:lang w:bidi="ar-EG"/>
        </w:rPr>
        <w:t xml:space="preserve"> هو تحديد ما إذا كانت الأصول الحالية والمستقبلية المقدرة للصندوق ستكفي للوفاء بالتزاماته.</w:t>
      </w:r>
    </w:p>
    <w:p w14:paraId="01D8CD65" w14:textId="6885F909" w:rsidR="002D5E5F" w:rsidRPr="00C32070" w:rsidRDefault="002D5E5F" w:rsidP="0055688F">
      <w:pPr>
        <w:rPr>
          <w:rtl/>
          <w:lang w:bidi="ar-EG"/>
        </w:rPr>
      </w:pPr>
      <w:r w:rsidRPr="00C32070">
        <w:rPr>
          <w:rtl/>
          <w:lang w:bidi="ar-EG"/>
        </w:rPr>
        <w:t xml:space="preserve">ويتألف الالتزام المالي للاتحاد إزاء الصندوق من حصته الإجبارية، بالمعدل الذي تحدده الجمعية العامة للأمم المتحدة (حالياً بنسبة </w:t>
      </w:r>
      <w:r w:rsidRPr="00C32070">
        <w:rPr>
          <w:lang w:bidi="ar-EG"/>
        </w:rPr>
        <w:t>7,9</w:t>
      </w:r>
      <w:r w:rsidRPr="00C32070">
        <w:rPr>
          <w:rtl/>
          <w:lang w:bidi="ar-EG"/>
        </w:rPr>
        <w:t>% للمشاركين و</w:t>
      </w:r>
      <w:r w:rsidRPr="00C32070">
        <w:rPr>
          <w:lang w:bidi="ar-EG"/>
        </w:rPr>
        <w:t>15,8</w:t>
      </w:r>
      <w:r w:rsidRPr="00C32070">
        <w:rPr>
          <w:rtl/>
          <w:lang w:bidi="ar-EG"/>
        </w:rPr>
        <w:t xml:space="preserve">% للمنظمات الأعضاء) بالإضافة إلى ذلك الجزء من أي مدفوعات مطلوبة بغرض تغطية أي عجز </w:t>
      </w:r>
      <w:proofErr w:type="spellStart"/>
      <w:r w:rsidRPr="00C32070">
        <w:rPr>
          <w:rtl/>
          <w:lang w:bidi="ar-EG"/>
        </w:rPr>
        <w:t>إكتواري</w:t>
      </w:r>
      <w:proofErr w:type="spellEnd"/>
      <w:r w:rsidRPr="00C32070">
        <w:rPr>
          <w:rtl/>
          <w:lang w:bidi="ar-EG"/>
        </w:rPr>
        <w:t xml:space="preserve"> وفقاً للمادة </w:t>
      </w:r>
      <w:r w:rsidRPr="00C32070">
        <w:rPr>
          <w:lang w:bidi="ar-EG"/>
        </w:rPr>
        <w:t>26</w:t>
      </w:r>
      <w:r w:rsidRPr="00C32070">
        <w:rPr>
          <w:rtl/>
          <w:lang w:bidi="ar-EG"/>
        </w:rPr>
        <w:t xml:space="preserve"> من النظام الأساسي لصندوق </w:t>
      </w:r>
      <w:r w:rsidRPr="00C32070">
        <w:rPr>
          <w:color w:val="000000"/>
          <w:rtl/>
        </w:rPr>
        <w:t>المعاشات التقاعدية</w:t>
      </w:r>
      <w:r w:rsidRPr="00C32070">
        <w:rPr>
          <w:rtl/>
          <w:lang w:bidi="ar-EG"/>
        </w:rPr>
        <w:t xml:space="preserve">. ولا تدفع هذه المبالغ لتغطية أي عجز ما لم تقرر </w:t>
      </w:r>
      <w:r w:rsidRPr="00DB3336">
        <w:rPr>
          <w:rtl/>
          <w:lang w:bidi="ar-EG"/>
        </w:rPr>
        <w:t>الجمعية العامة</w:t>
      </w:r>
      <w:r w:rsidRPr="00C32070">
        <w:rPr>
          <w:rtl/>
          <w:lang w:bidi="ar-EG"/>
        </w:rPr>
        <w:t xml:space="preserve"> </w:t>
      </w:r>
      <w:r w:rsidR="00DB3336" w:rsidRPr="00C32070">
        <w:rPr>
          <w:rtl/>
          <w:lang w:bidi="ar-EG"/>
        </w:rPr>
        <w:t xml:space="preserve">للأمم المتحدة </w:t>
      </w:r>
      <w:r w:rsidRPr="00C32070">
        <w:rPr>
          <w:rtl/>
          <w:lang w:bidi="ar-EG"/>
        </w:rPr>
        <w:t xml:space="preserve">العمل بأحكام المادة </w:t>
      </w:r>
      <w:r w:rsidRPr="00C32070">
        <w:rPr>
          <w:lang w:bidi="ar-EG"/>
        </w:rPr>
        <w:t>26</w:t>
      </w:r>
      <w:r w:rsidRPr="00C32070">
        <w:rPr>
          <w:rtl/>
          <w:lang w:bidi="ar-EG"/>
        </w:rPr>
        <w:t xml:space="preserve">، عندما يتحدد أن دفع هذه المبالغ ضروري انطلاقاً من تقييم الحالة </w:t>
      </w:r>
      <w:proofErr w:type="spellStart"/>
      <w:r w:rsidRPr="00C32070">
        <w:rPr>
          <w:rtl/>
          <w:lang w:bidi="ar-EG"/>
        </w:rPr>
        <w:lastRenderedPageBreak/>
        <w:t>الإكتوارية</w:t>
      </w:r>
      <w:proofErr w:type="spellEnd"/>
      <w:r w:rsidRPr="00C32070">
        <w:rPr>
          <w:rtl/>
          <w:lang w:bidi="ar-EG"/>
        </w:rPr>
        <w:t xml:space="preserve"> للصندوق وقت التقييم. ويتعين على كل منظمة عضو أن تسهم في تغطية هذا العجز بمبلغ متناسب مع مجموع المساهمات التي تدفعها كل منها خلال السنوات الثلاث السابقة لتاريخ التقييم.</w:t>
      </w:r>
    </w:p>
    <w:p w14:paraId="754C5EF9" w14:textId="77777777" w:rsidR="002D5E5F" w:rsidRPr="00C32070" w:rsidRDefault="002D5E5F" w:rsidP="0055688F">
      <w:pPr>
        <w:rPr>
          <w:rtl/>
          <w:lang w:bidi="ar-EG"/>
        </w:rPr>
      </w:pPr>
      <w:r w:rsidRPr="00C32070">
        <w:rPr>
          <w:rtl/>
          <w:lang w:bidi="ar-EG"/>
        </w:rPr>
        <w:t xml:space="preserve">واستُكمل أحدث تقييم </w:t>
      </w:r>
      <w:proofErr w:type="spellStart"/>
      <w:r w:rsidRPr="00C32070">
        <w:rPr>
          <w:rtl/>
          <w:lang w:bidi="ar-EG"/>
        </w:rPr>
        <w:t>إكتواري</w:t>
      </w:r>
      <w:proofErr w:type="spellEnd"/>
      <w:r w:rsidRPr="00C32070">
        <w:rPr>
          <w:rtl/>
          <w:lang w:bidi="ar-EG"/>
        </w:rPr>
        <w:t xml:space="preserve"> للصندوق في </w:t>
      </w:r>
      <w:r w:rsidRPr="00C32070">
        <w:rPr>
          <w:lang w:bidi="ar-EG"/>
        </w:rPr>
        <w:t>31</w:t>
      </w:r>
      <w:r w:rsidRPr="00C32070">
        <w:rPr>
          <w:rtl/>
          <w:lang w:bidi="ar-EG"/>
        </w:rPr>
        <w:t xml:space="preserve"> ديسمبر </w:t>
      </w:r>
      <w:r w:rsidRPr="00C32070">
        <w:rPr>
          <w:lang w:bidi="ar-EG"/>
        </w:rPr>
        <w:t>2021</w:t>
      </w:r>
      <w:r w:rsidRPr="00C32070">
        <w:rPr>
          <w:rtl/>
          <w:lang w:bidi="ar-EG"/>
        </w:rPr>
        <w:t>، ويجري حالياً التقييم حتى 31 ديسمبر 2023. وقد استخدم الصندوق ترحيل بيانات المشاركة في </w:t>
      </w:r>
      <w:r w:rsidRPr="00C32070">
        <w:rPr>
          <w:lang w:bidi="ar-EG"/>
        </w:rPr>
        <w:t>31</w:t>
      </w:r>
      <w:r w:rsidRPr="00C32070">
        <w:rPr>
          <w:rtl/>
          <w:lang w:bidi="ar-EG"/>
        </w:rPr>
        <w:t> ديسمبر </w:t>
      </w:r>
      <w:r w:rsidRPr="00C32070">
        <w:rPr>
          <w:lang w:bidi="ar-EG"/>
        </w:rPr>
        <w:t>2021</w:t>
      </w:r>
      <w:r w:rsidRPr="00C32070">
        <w:rPr>
          <w:rtl/>
          <w:lang w:bidi="ar-EG"/>
        </w:rPr>
        <w:t xml:space="preserve"> إلى </w:t>
      </w:r>
      <w:r w:rsidRPr="00C32070">
        <w:rPr>
          <w:lang w:bidi="ar-EG"/>
        </w:rPr>
        <w:t>31</w:t>
      </w:r>
      <w:r w:rsidRPr="00C32070">
        <w:rPr>
          <w:rtl/>
          <w:lang w:bidi="ar-EG"/>
        </w:rPr>
        <w:t xml:space="preserve"> ديسمبر </w:t>
      </w:r>
      <w:r w:rsidRPr="00C32070">
        <w:rPr>
          <w:lang w:bidi="ar-EG"/>
        </w:rPr>
        <w:t>2022</w:t>
      </w:r>
      <w:r w:rsidRPr="00C32070">
        <w:rPr>
          <w:rtl/>
          <w:lang w:bidi="ar-EG"/>
        </w:rPr>
        <w:t xml:space="preserve"> من أجل بياناته المالية لعام </w:t>
      </w:r>
      <w:r w:rsidRPr="00C32070">
        <w:rPr>
          <w:lang w:bidi="ar-EG"/>
        </w:rPr>
        <w:t>2022</w:t>
      </w:r>
      <w:r w:rsidRPr="00C32070">
        <w:rPr>
          <w:rtl/>
          <w:lang w:bidi="ar-EG"/>
        </w:rPr>
        <w:t>.</w:t>
      </w:r>
    </w:p>
    <w:p w14:paraId="0DE47B03" w14:textId="77777777" w:rsidR="002D5E5F" w:rsidRPr="00C32070" w:rsidRDefault="002D5E5F" w:rsidP="0055688F">
      <w:pPr>
        <w:rPr>
          <w:spacing w:val="-4"/>
          <w:rtl/>
          <w:lang w:bidi="ar-EG"/>
        </w:rPr>
      </w:pPr>
      <w:r w:rsidRPr="00C32070">
        <w:rPr>
          <w:spacing w:val="-4"/>
          <w:rtl/>
          <w:lang w:bidi="ar-EG"/>
        </w:rPr>
        <w:t xml:space="preserve">ونتج عن </w:t>
      </w:r>
      <w:r w:rsidRPr="00C32070">
        <w:rPr>
          <w:color w:val="000000"/>
          <w:spacing w:val="-4"/>
          <w:rtl/>
        </w:rPr>
        <w:t xml:space="preserve">التقييم </w:t>
      </w:r>
      <w:proofErr w:type="spellStart"/>
      <w:r w:rsidRPr="00C32070">
        <w:rPr>
          <w:color w:val="000000"/>
          <w:spacing w:val="-4"/>
          <w:rtl/>
        </w:rPr>
        <w:t>الإكتواري</w:t>
      </w:r>
      <w:proofErr w:type="spellEnd"/>
      <w:r w:rsidRPr="00C32070">
        <w:rPr>
          <w:color w:val="000000"/>
          <w:spacing w:val="-4"/>
          <w:rtl/>
        </w:rPr>
        <w:t xml:space="preserve"> </w:t>
      </w:r>
      <w:r w:rsidRPr="00C32070">
        <w:rPr>
          <w:spacing w:val="-4"/>
          <w:rtl/>
          <w:lang w:bidi="ar-EG"/>
        </w:rPr>
        <w:t xml:space="preserve">في </w:t>
      </w:r>
      <w:r w:rsidRPr="00C32070">
        <w:rPr>
          <w:spacing w:val="-4"/>
          <w:lang w:bidi="ar-EG"/>
        </w:rPr>
        <w:t>31</w:t>
      </w:r>
      <w:r w:rsidRPr="00C32070">
        <w:rPr>
          <w:spacing w:val="-4"/>
          <w:rtl/>
          <w:lang w:bidi="ar-EG"/>
        </w:rPr>
        <w:t xml:space="preserve"> ديسمبر </w:t>
      </w:r>
      <w:r w:rsidRPr="00C32070">
        <w:rPr>
          <w:spacing w:val="-4"/>
          <w:lang w:bidi="ar-EG"/>
        </w:rPr>
        <w:t>2021</w:t>
      </w:r>
      <w:r w:rsidRPr="00C32070">
        <w:rPr>
          <w:spacing w:val="-4"/>
          <w:rtl/>
          <w:lang w:bidi="ar-EG"/>
        </w:rPr>
        <w:t xml:space="preserve"> نسبة ممولة من الأصول </w:t>
      </w:r>
      <w:proofErr w:type="spellStart"/>
      <w:r w:rsidRPr="00C32070">
        <w:rPr>
          <w:spacing w:val="-4"/>
          <w:rtl/>
          <w:lang w:bidi="ar-EG"/>
        </w:rPr>
        <w:t>الإكتوارية</w:t>
      </w:r>
      <w:proofErr w:type="spellEnd"/>
      <w:r w:rsidRPr="00C32070">
        <w:rPr>
          <w:spacing w:val="-4"/>
          <w:rtl/>
          <w:lang w:bidi="ar-EG"/>
        </w:rPr>
        <w:t xml:space="preserve"> إلى الخصوم </w:t>
      </w:r>
      <w:proofErr w:type="spellStart"/>
      <w:r w:rsidRPr="00C32070">
        <w:rPr>
          <w:spacing w:val="-4"/>
          <w:rtl/>
          <w:lang w:bidi="ar-EG"/>
        </w:rPr>
        <w:t>الإكتوارية</w:t>
      </w:r>
      <w:proofErr w:type="spellEnd"/>
      <w:r w:rsidRPr="00C32070">
        <w:rPr>
          <w:spacing w:val="-4"/>
          <w:rtl/>
          <w:lang w:bidi="ar-EG"/>
        </w:rPr>
        <w:t xml:space="preserve"> بلغت </w:t>
      </w:r>
      <w:r w:rsidRPr="00C32070">
        <w:rPr>
          <w:spacing w:val="-4"/>
          <w:lang w:bidi="ar-EG"/>
        </w:rPr>
        <w:t>117,0</w:t>
      </w:r>
      <w:r w:rsidRPr="00C32070">
        <w:rPr>
          <w:spacing w:val="-4"/>
          <w:rtl/>
          <w:lang w:bidi="ar-EG"/>
        </w:rPr>
        <w:t>%</w:t>
      </w:r>
      <w:r w:rsidRPr="00C32070">
        <w:rPr>
          <w:spacing w:val="-4"/>
          <w:rtl/>
          <w:lang w:bidi="ar-SY"/>
        </w:rPr>
        <w:t>.</w:t>
      </w:r>
      <w:r w:rsidRPr="00C32070">
        <w:rPr>
          <w:spacing w:val="-4"/>
          <w:rtl/>
          <w:lang w:bidi="ar-EG"/>
        </w:rPr>
        <w:t xml:space="preserve"> وكانت النسبة الممولة </w:t>
      </w:r>
      <w:r w:rsidRPr="00C32070">
        <w:rPr>
          <w:spacing w:val="-4"/>
          <w:lang w:bidi="ar-EG"/>
        </w:rPr>
        <w:t>158,2</w:t>
      </w:r>
      <w:r w:rsidRPr="00C32070">
        <w:rPr>
          <w:spacing w:val="-4"/>
          <w:rtl/>
          <w:lang w:bidi="ar-EG"/>
        </w:rPr>
        <w:t>%عندما لم يؤخذ في الحسبان النظام الحالي لتسويات المعاش التقاعدي.</w:t>
      </w:r>
    </w:p>
    <w:p w14:paraId="114FD292" w14:textId="7F072206" w:rsidR="002D5E5F" w:rsidRPr="00C32070" w:rsidRDefault="002D5E5F" w:rsidP="0055688F">
      <w:pPr>
        <w:rPr>
          <w:spacing w:val="-2"/>
          <w:rtl/>
          <w:lang w:bidi="ar-EG"/>
        </w:rPr>
      </w:pPr>
      <w:r w:rsidRPr="00C32070">
        <w:rPr>
          <w:spacing w:val="-2"/>
          <w:rtl/>
          <w:lang w:bidi="ar-EG"/>
        </w:rPr>
        <w:t xml:space="preserve">وبعد تقييم الكفاية </w:t>
      </w:r>
      <w:proofErr w:type="spellStart"/>
      <w:r w:rsidRPr="00C32070">
        <w:rPr>
          <w:spacing w:val="-2"/>
          <w:rtl/>
          <w:lang w:bidi="ar-EG"/>
        </w:rPr>
        <w:t>الإكتوارية</w:t>
      </w:r>
      <w:proofErr w:type="spellEnd"/>
      <w:r w:rsidRPr="00C32070">
        <w:rPr>
          <w:spacing w:val="-2"/>
          <w:rtl/>
          <w:lang w:bidi="ar-EG"/>
        </w:rPr>
        <w:t xml:space="preserve"> للصندوق، خلص مكتب الخبير </w:t>
      </w:r>
      <w:proofErr w:type="spellStart"/>
      <w:r w:rsidRPr="00C32070">
        <w:rPr>
          <w:spacing w:val="-2"/>
          <w:rtl/>
          <w:lang w:bidi="ar-EG"/>
        </w:rPr>
        <w:t>الإكتواري</w:t>
      </w:r>
      <w:proofErr w:type="spellEnd"/>
      <w:r w:rsidRPr="00C32070">
        <w:rPr>
          <w:spacing w:val="-2"/>
          <w:rtl/>
          <w:lang w:bidi="ar-EG"/>
        </w:rPr>
        <w:t xml:space="preserve"> الاستشاري إلى انتفاء تطلُّب</w:t>
      </w:r>
      <w:r w:rsidR="002567A0" w:rsidRPr="00C32070">
        <w:rPr>
          <w:spacing w:val="-2"/>
          <w:rtl/>
          <w:lang w:bidi="ar-EG"/>
        </w:rPr>
        <w:t xml:space="preserve"> </w:t>
      </w:r>
      <w:r w:rsidRPr="00C32070">
        <w:rPr>
          <w:spacing w:val="-2"/>
          <w:rtl/>
        </w:rPr>
        <w:t>سداد أي</w:t>
      </w:r>
      <w:r w:rsidRPr="00C32070">
        <w:rPr>
          <w:spacing w:val="-2"/>
          <w:rtl/>
          <w:lang w:bidi="ar-EG"/>
        </w:rPr>
        <w:t xml:space="preserve"> مدفوعات لتغطية العجز بموجب المادة </w:t>
      </w:r>
      <w:r w:rsidRPr="00C32070">
        <w:rPr>
          <w:spacing w:val="-2"/>
          <w:lang w:bidi="ar-EG"/>
        </w:rPr>
        <w:t>26</w:t>
      </w:r>
      <w:r w:rsidRPr="00C32070">
        <w:rPr>
          <w:spacing w:val="-2"/>
          <w:rtl/>
          <w:lang w:bidi="ar-EG"/>
        </w:rPr>
        <w:t xml:space="preserve"> من النظام الأساسي للصندوق،</w:t>
      </w:r>
      <w:r w:rsidRPr="00C32070">
        <w:rPr>
          <w:rtl/>
        </w:rPr>
        <w:t xml:space="preserve"> </w:t>
      </w:r>
      <w:r w:rsidRPr="00C32070">
        <w:rPr>
          <w:spacing w:val="-2"/>
          <w:rtl/>
          <w:lang w:bidi="ar-EG"/>
        </w:rPr>
        <w:t>حتى 31 ديسمبر 2021،</w:t>
      </w:r>
      <w:r w:rsidR="00DE66D0" w:rsidRPr="00C32070">
        <w:rPr>
          <w:spacing w:val="-2"/>
          <w:rtl/>
          <w:lang w:bidi="ar-EG"/>
        </w:rPr>
        <w:t xml:space="preserve"> </w:t>
      </w:r>
      <w:r w:rsidRPr="00C32070">
        <w:rPr>
          <w:spacing w:val="-2"/>
          <w:rtl/>
          <w:lang w:bidi="ar-EG"/>
        </w:rPr>
        <w:t xml:space="preserve">لأن القيمة </w:t>
      </w:r>
      <w:proofErr w:type="spellStart"/>
      <w:r w:rsidRPr="00C32070">
        <w:rPr>
          <w:spacing w:val="-2"/>
          <w:rtl/>
          <w:lang w:bidi="ar-EG"/>
        </w:rPr>
        <w:t>الإكتوارية</w:t>
      </w:r>
      <w:proofErr w:type="spellEnd"/>
      <w:r w:rsidRPr="00C32070">
        <w:rPr>
          <w:spacing w:val="-2"/>
          <w:rtl/>
          <w:lang w:bidi="ar-EG"/>
        </w:rPr>
        <w:t xml:space="preserve"> للأصول تجاوزت القيمة </w:t>
      </w:r>
      <w:proofErr w:type="spellStart"/>
      <w:r w:rsidRPr="00C32070">
        <w:rPr>
          <w:spacing w:val="-2"/>
          <w:rtl/>
          <w:lang w:bidi="ar-EG"/>
        </w:rPr>
        <w:t>الإكتوارية</w:t>
      </w:r>
      <w:proofErr w:type="spellEnd"/>
      <w:r w:rsidRPr="00C32070">
        <w:rPr>
          <w:spacing w:val="-2"/>
          <w:rtl/>
          <w:lang w:bidi="ar-EG"/>
        </w:rPr>
        <w:t xml:space="preserve"> لجميع الالتزامات المتراكمة المطلوبة بموجب الخطة. وبالإضافة إلى ذلك، تجاوزت القيمة السوقية للأصول أيضاً القيمة </w:t>
      </w:r>
      <w:proofErr w:type="spellStart"/>
      <w:r w:rsidRPr="00C32070">
        <w:rPr>
          <w:spacing w:val="-2"/>
          <w:rtl/>
          <w:lang w:bidi="ar-EG"/>
        </w:rPr>
        <w:t>الإكتوارية</w:t>
      </w:r>
      <w:proofErr w:type="spellEnd"/>
      <w:r w:rsidRPr="00C32070">
        <w:rPr>
          <w:spacing w:val="-2"/>
          <w:rtl/>
          <w:lang w:bidi="ar-EG"/>
        </w:rPr>
        <w:t xml:space="preserve"> لجميع الالتزامات المتراكمة حتى تاريخ التقييم. وفي وقت كتابة هذا التقرير، لم تُعمِل الجمعية العامة أحكام المادة </w:t>
      </w:r>
      <w:r w:rsidRPr="00C32070">
        <w:rPr>
          <w:spacing w:val="-2"/>
          <w:lang w:bidi="ar-EG"/>
        </w:rPr>
        <w:t>26</w:t>
      </w:r>
      <w:r w:rsidRPr="00C32070">
        <w:rPr>
          <w:spacing w:val="-2"/>
          <w:rtl/>
          <w:lang w:bidi="ar-EG"/>
        </w:rPr>
        <w:t>.</w:t>
      </w:r>
    </w:p>
    <w:p w14:paraId="3E4DF285" w14:textId="77777777" w:rsidR="002D5E5F" w:rsidRPr="00C32070" w:rsidRDefault="002D5E5F" w:rsidP="0055688F">
      <w:pPr>
        <w:rPr>
          <w:rtl/>
          <w:lang w:bidi="ar-EG"/>
        </w:rPr>
      </w:pPr>
      <w:r w:rsidRPr="00C32070">
        <w:rPr>
          <w:rtl/>
          <w:lang w:bidi="ar-EG"/>
        </w:rPr>
        <w:t xml:space="preserve">وفي حال إعمال المادة </w:t>
      </w:r>
      <w:r w:rsidRPr="00C32070">
        <w:rPr>
          <w:lang w:bidi="ar-EG"/>
        </w:rPr>
        <w:t>26</w:t>
      </w:r>
      <w:r w:rsidRPr="00C32070">
        <w:rPr>
          <w:rtl/>
          <w:lang w:bidi="ar-EG"/>
        </w:rPr>
        <w:t xml:space="preserve"> بسبب عجز </w:t>
      </w:r>
      <w:proofErr w:type="spellStart"/>
      <w:r w:rsidRPr="00C32070">
        <w:rPr>
          <w:rtl/>
          <w:lang w:bidi="ar-EG"/>
        </w:rPr>
        <w:t>إكتواري</w:t>
      </w:r>
      <w:proofErr w:type="spellEnd"/>
      <w:r w:rsidRPr="00C32070">
        <w:rPr>
          <w:rtl/>
          <w:lang w:bidi="ar-EG"/>
        </w:rPr>
        <w:t>، سواء أثناء التشغيل الجاري للصندوق أو بسبب انتهاء تشغيله،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 خلال السنوات الثلاث السابقة لتاريخ التقييم (</w:t>
      </w:r>
      <w:r w:rsidRPr="00C32070">
        <w:rPr>
          <w:lang w:bidi="ar-SY"/>
        </w:rPr>
        <w:t>2020</w:t>
      </w:r>
      <w:r w:rsidRPr="00C32070">
        <w:rPr>
          <w:rtl/>
          <w:lang w:bidi="ar-SY"/>
        </w:rPr>
        <w:t xml:space="preserve"> و</w:t>
      </w:r>
      <w:r w:rsidRPr="00C32070">
        <w:rPr>
          <w:lang w:bidi="ar-SY"/>
        </w:rPr>
        <w:t>2021</w:t>
      </w:r>
      <w:r w:rsidRPr="00C32070">
        <w:rPr>
          <w:rtl/>
          <w:lang w:bidi="ar-SY"/>
        </w:rPr>
        <w:t xml:space="preserve"> و2022</w:t>
      </w:r>
      <w:r w:rsidRPr="00C32070">
        <w:rPr>
          <w:rtl/>
          <w:lang w:bidi="ar-EG"/>
        </w:rPr>
        <w:t xml:space="preserve">) مبلغ </w:t>
      </w:r>
      <w:r w:rsidRPr="00C32070">
        <w:rPr>
          <w:lang w:bidi="ar-EG"/>
        </w:rPr>
        <w:t xml:space="preserve">8 </w:t>
      </w:r>
      <w:r w:rsidRPr="00C32070">
        <w:rPr>
          <w:szCs w:val="24"/>
        </w:rPr>
        <w:t>937,68</w:t>
      </w:r>
      <w:r w:rsidRPr="00C32070">
        <w:rPr>
          <w:rtl/>
        </w:rPr>
        <w:t xml:space="preserve"> مليون</w:t>
      </w:r>
      <w:r w:rsidRPr="00C32070">
        <w:rPr>
          <w:rtl/>
          <w:lang w:bidi="ar-EG"/>
        </w:rPr>
        <w:t xml:space="preserve"> دولار أمريكي، ساهم الاتحاد فيها بنسبة </w:t>
      </w:r>
      <w:r w:rsidRPr="00C32070">
        <w:rPr>
          <w:lang w:bidi="ar-EG"/>
        </w:rPr>
        <w:t>0,98</w:t>
      </w:r>
      <w:r w:rsidRPr="00C32070">
        <w:rPr>
          <w:rtl/>
        </w:rPr>
        <w:t>%</w:t>
      </w:r>
      <w:r w:rsidRPr="00C32070">
        <w:rPr>
          <w:rtl/>
          <w:lang w:bidi="ar-EG"/>
        </w:rPr>
        <w:t>.</w:t>
      </w:r>
    </w:p>
    <w:p w14:paraId="4F5DBD18" w14:textId="7F75E0BA" w:rsidR="002D5E5F" w:rsidRPr="00C32070" w:rsidRDefault="002D5E5F" w:rsidP="0055688F">
      <w:pPr>
        <w:rPr>
          <w:spacing w:val="-3"/>
          <w:rtl/>
          <w:lang w:bidi="ar-EG"/>
        </w:rPr>
      </w:pPr>
      <w:r w:rsidRPr="00C32070">
        <w:rPr>
          <w:spacing w:val="-3"/>
          <w:rtl/>
          <w:lang w:bidi="ar-EG"/>
        </w:rPr>
        <w:t xml:space="preserve">وفي 2023، بلغت المساهمات المدفوعة إلى الصندوق </w:t>
      </w:r>
      <w:r w:rsidRPr="00C32070">
        <w:rPr>
          <w:spacing w:val="-3"/>
          <w:lang w:bidi="ar-EG"/>
        </w:rPr>
        <w:t>27,2</w:t>
      </w:r>
      <w:r w:rsidRPr="00C32070">
        <w:rPr>
          <w:spacing w:val="-3"/>
          <w:rtl/>
          <w:lang w:bidi="ar-EG"/>
        </w:rPr>
        <w:t xml:space="preserve"> مليون </w:t>
      </w:r>
      <w:r w:rsidR="002567A0" w:rsidRPr="00C32070">
        <w:rPr>
          <w:spacing w:val="-3"/>
          <w:rtl/>
          <w:lang w:bidi="ar-SY"/>
        </w:rPr>
        <w:t xml:space="preserve">فرنك سويسري </w:t>
      </w:r>
      <w:r w:rsidRPr="00C32070">
        <w:rPr>
          <w:spacing w:val="-3"/>
          <w:rtl/>
          <w:lang w:bidi="ar-EG"/>
        </w:rPr>
        <w:t>(</w:t>
      </w:r>
      <w:r w:rsidRPr="00C32070">
        <w:rPr>
          <w:spacing w:val="-3"/>
          <w:lang w:bidi="ar-SY"/>
        </w:rPr>
        <w:t>27,7</w:t>
      </w:r>
      <w:r w:rsidRPr="00C32070">
        <w:rPr>
          <w:spacing w:val="-3"/>
          <w:rtl/>
          <w:lang w:bidi="ar-SY"/>
        </w:rPr>
        <w:t xml:space="preserve"> مليون فرنك سويسري في </w:t>
      </w:r>
      <w:r w:rsidRPr="00C32070">
        <w:rPr>
          <w:spacing w:val="-3"/>
          <w:lang w:bidi="ar-EG"/>
        </w:rPr>
        <w:t>2022</w:t>
      </w:r>
      <w:r w:rsidRPr="00C32070">
        <w:rPr>
          <w:spacing w:val="-3"/>
          <w:rtl/>
          <w:lang w:bidi="ar-EG"/>
        </w:rPr>
        <w:t>) (</w:t>
      </w:r>
      <w:r w:rsidRPr="00C32070">
        <w:rPr>
          <w:spacing w:val="-3"/>
          <w:lang w:bidi="ar-EG"/>
        </w:rPr>
        <w:t>30,25</w:t>
      </w:r>
      <w:r w:rsidRPr="00C32070">
        <w:rPr>
          <w:spacing w:val="-3"/>
          <w:rtl/>
          <w:lang w:bidi="ar-SY"/>
        </w:rPr>
        <w:t xml:space="preserve"> مليون دولار أمريكي في </w:t>
      </w:r>
      <w:r w:rsidRPr="00C32070">
        <w:rPr>
          <w:spacing w:val="-3"/>
          <w:lang w:bidi="ar-SY"/>
        </w:rPr>
        <w:t>2023</w:t>
      </w:r>
      <w:r w:rsidRPr="00C32070">
        <w:rPr>
          <w:spacing w:val="-3"/>
          <w:rtl/>
          <w:lang w:bidi="ar-SY"/>
        </w:rPr>
        <w:t xml:space="preserve"> و</w:t>
      </w:r>
      <w:r w:rsidRPr="00C32070">
        <w:rPr>
          <w:spacing w:val="-3"/>
          <w:lang w:bidi="ar-SY"/>
        </w:rPr>
        <w:t>29,04</w:t>
      </w:r>
      <w:r w:rsidRPr="00C32070">
        <w:rPr>
          <w:spacing w:val="-3"/>
          <w:rtl/>
          <w:lang w:bidi="ar-SY"/>
        </w:rPr>
        <w:t xml:space="preserve"> مليون دولار أمريكي في </w:t>
      </w:r>
      <w:r w:rsidRPr="00C32070">
        <w:rPr>
          <w:spacing w:val="-3"/>
          <w:lang w:bidi="ar-SY"/>
        </w:rPr>
        <w:t>2022</w:t>
      </w:r>
      <w:r w:rsidRPr="00C32070">
        <w:rPr>
          <w:spacing w:val="-3"/>
          <w:rtl/>
          <w:lang w:bidi="ar-EG"/>
        </w:rPr>
        <w:t xml:space="preserve">). وتبلغ المساهمات المتوقعة المستحقة في </w:t>
      </w:r>
      <w:r w:rsidRPr="00C32070">
        <w:rPr>
          <w:spacing w:val="-3"/>
          <w:lang w:bidi="ar-EG"/>
        </w:rPr>
        <w:t>2024</w:t>
      </w:r>
      <w:r w:rsidRPr="00C32070">
        <w:rPr>
          <w:spacing w:val="-3"/>
          <w:rtl/>
          <w:lang w:bidi="ar-SY"/>
        </w:rPr>
        <w:t xml:space="preserve"> </w:t>
      </w:r>
      <w:r w:rsidRPr="00C32070">
        <w:rPr>
          <w:spacing w:val="-3"/>
          <w:rtl/>
          <w:lang w:bidi="ar-EG"/>
        </w:rPr>
        <w:t xml:space="preserve">حوالي </w:t>
      </w:r>
      <w:r w:rsidRPr="00C32070">
        <w:rPr>
          <w:spacing w:val="-3"/>
          <w:lang w:bidi="ar-EG"/>
        </w:rPr>
        <w:t>26,7</w:t>
      </w:r>
      <w:r w:rsidRPr="00C32070">
        <w:rPr>
          <w:spacing w:val="-3"/>
          <w:rtl/>
          <w:lang w:bidi="ar-EG"/>
        </w:rPr>
        <w:t xml:space="preserve"> مليون فرنك سويسري (</w:t>
      </w:r>
      <w:r w:rsidRPr="00C32070">
        <w:rPr>
          <w:spacing w:val="-3"/>
          <w:lang w:bidi="ar-EG"/>
        </w:rPr>
        <w:t>30,8</w:t>
      </w:r>
      <w:r w:rsidRPr="00C32070">
        <w:rPr>
          <w:spacing w:val="-3"/>
          <w:rtl/>
          <w:lang w:bidi="ar-SY"/>
        </w:rPr>
        <w:t xml:space="preserve"> مليون </w:t>
      </w:r>
      <w:r w:rsidRPr="00C32070">
        <w:rPr>
          <w:spacing w:val="-3"/>
          <w:rtl/>
          <w:lang w:bidi="ar-EG"/>
        </w:rPr>
        <w:t>دولار أمريكي).</w:t>
      </w:r>
    </w:p>
    <w:p w14:paraId="5A2C2752" w14:textId="53BC7AD7" w:rsidR="002D5E5F" w:rsidRPr="00C32070" w:rsidRDefault="002D5E5F" w:rsidP="0055688F">
      <w:pPr>
        <w:rPr>
          <w:rtl/>
          <w:lang w:bidi="ar-EG"/>
        </w:rPr>
      </w:pPr>
      <w:r w:rsidRPr="00C32070">
        <w:rPr>
          <w:rtl/>
          <w:lang w:bidi="ar-EG"/>
        </w:rPr>
        <w:t>ويجوز إنهاء العضوية في الصندوق بموجب قرار من الجمعية العامة للأمم المتحدة بناء</w:t>
      </w:r>
      <w:r w:rsidR="002567A0" w:rsidRPr="00C32070">
        <w:rPr>
          <w:rtl/>
          <w:lang w:bidi="ar-EG"/>
        </w:rPr>
        <w:t>ً</w:t>
      </w:r>
      <w:r w:rsidRPr="00C32070">
        <w:rPr>
          <w:rtl/>
          <w:lang w:bidi="ar-EG"/>
        </w:rPr>
        <w:t xml:space="preserve"> على توصية إيجابية من مجلس صندوق المعاشات التقاعدية. وتُدفع حصة تناسبية من إجمالي أصول الصندوق في تاريخ الإنهاء للمنظمة العضو السابقة لفائدة موظفيها حصراً الذين كانوا مشاركين في الصندوق في ذلك التاريخ، وفقاً لترتيب متفق عليه بين المنظمة والصندوق. ويحدد المبلغ من جانب </w:t>
      </w:r>
      <w:r w:rsidRPr="00C32070">
        <w:rPr>
          <w:color w:val="000000"/>
          <w:rtl/>
        </w:rPr>
        <w:t>الصندوق المشترك للمعاشات التقاعدية لموظفي الأمم المتحدة</w:t>
      </w:r>
      <w:r w:rsidRPr="00C32070">
        <w:rPr>
          <w:rtl/>
          <w:lang w:bidi="ar-EG"/>
        </w:rPr>
        <w:t xml:space="preserve"> استناداً إلى تقييم </w:t>
      </w:r>
      <w:proofErr w:type="spellStart"/>
      <w:r w:rsidRPr="00C32070">
        <w:rPr>
          <w:rtl/>
          <w:lang w:bidi="ar-EG"/>
        </w:rPr>
        <w:t>إكتواري</w:t>
      </w:r>
      <w:proofErr w:type="spellEnd"/>
      <w:r w:rsidRPr="00C32070">
        <w:rPr>
          <w:rtl/>
          <w:lang w:bidi="ar-EG"/>
        </w:rPr>
        <w:t xml:space="preserve"> لأصول وخصوم الصندوق في تاريخ الإنهاء؛ ولا يُدرج في المبلغ أي جزء من الأصول التي تتجاوز الخصوم.</w:t>
      </w:r>
    </w:p>
    <w:p w14:paraId="6AED5A51" w14:textId="0943182E" w:rsidR="002D5E5F" w:rsidRPr="00C32070" w:rsidRDefault="002D5E5F" w:rsidP="0055688F">
      <w:pPr>
        <w:spacing w:after="120"/>
        <w:rPr>
          <w:rtl/>
          <w:lang w:bidi="ar-EG"/>
        </w:rPr>
      </w:pPr>
      <w:r w:rsidRPr="00C32070">
        <w:rPr>
          <w:rtl/>
          <w:lang w:bidi="ar-EG"/>
        </w:rPr>
        <w:t xml:space="preserve">ويقوم مجلس مراجعي حسابات الأمم المتحدة بمراجعة سنوية لحسابات هذا الصندوق ويقدم تقاريره إلى مجلس صندوق المعاشات والجمعية العامة للأمم المتحدة عن مراجعة الحسابات هذه كل عام. وينشر الصندوق تقارير فصلية عن استثماراته، ويمكن الاطلاع على هذه التقارير بزيارة موقع الصندوق في العنوان </w:t>
      </w:r>
      <w:hyperlink r:id="rId60" w:history="1">
        <w:r w:rsidRPr="00C32070">
          <w:rPr>
            <w:rStyle w:val="Hyperlink"/>
            <w:lang w:bidi="ar-EG"/>
          </w:rPr>
          <w:t>www.unjspf.org</w:t>
        </w:r>
      </w:hyperlink>
      <w:r w:rsidRPr="00C32070">
        <w:rPr>
          <w:rtl/>
          <w:lang w:bidi="ar-EG"/>
        </w:rPr>
        <w:t>.</w:t>
      </w:r>
    </w:p>
    <w:p w14:paraId="2EAEB3FD" w14:textId="77777777" w:rsidR="002D5E5F" w:rsidRPr="00C32070" w:rsidRDefault="002D5E5F" w:rsidP="002567A0">
      <w:pPr>
        <w:pStyle w:val="Tabletitle"/>
        <w:rPr>
          <w:rtl/>
        </w:rPr>
      </w:pPr>
      <w:bookmarkStart w:id="516" w:name="_Toc452156643"/>
      <w:bookmarkStart w:id="517" w:name="_Toc387338365"/>
      <w:bookmarkStart w:id="518" w:name="_Toc387263390"/>
      <w:r w:rsidRPr="00C32070">
        <w:rPr>
          <w:rtl/>
        </w:rPr>
        <w:t xml:space="preserve">موجز المساهمات في الصندوق في الفترة من </w:t>
      </w:r>
      <w:r w:rsidRPr="00C32070">
        <w:t>1</w:t>
      </w:r>
      <w:r w:rsidRPr="00C32070">
        <w:rPr>
          <w:rtl/>
        </w:rPr>
        <w:t xml:space="preserve"> يناير إلى </w:t>
      </w:r>
      <w:r w:rsidRPr="00C32070">
        <w:t>31</w:t>
      </w:r>
      <w:r w:rsidRPr="00C32070">
        <w:rPr>
          <w:rtl/>
        </w:rPr>
        <w:t xml:space="preserve"> ديسمبر </w:t>
      </w:r>
      <w:bookmarkEnd w:id="516"/>
      <w:bookmarkEnd w:id="517"/>
      <w:bookmarkEnd w:id="518"/>
      <w:r w:rsidRPr="00C32070">
        <w:rPr>
          <w:rtl/>
        </w:rPr>
        <w:t>2023</w:t>
      </w:r>
    </w:p>
    <w:p w14:paraId="6669515A" w14:textId="1FC95D6F" w:rsidR="00441E8F" w:rsidRDefault="00441E8F" w:rsidP="00441E8F">
      <w:pPr>
        <w:pStyle w:val="Figure"/>
        <w:rPr>
          <w:u w:val="single"/>
        </w:rPr>
      </w:pPr>
      <w:bookmarkStart w:id="519" w:name="_Toc452156644"/>
      <w:r w:rsidRPr="00441E8F">
        <w:rPr>
          <w:rtl/>
        </w:rPr>
        <w:drawing>
          <wp:inline distT="0" distB="0" distL="0" distR="0" wp14:anchorId="72425B37" wp14:editId="05581925">
            <wp:extent cx="5789295" cy="169418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89295" cy="1694180"/>
                    </a:xfrm>
                    <a:prstGeom prst="rect">
                      <a:avLst/>
                    </a:prstGeom>
                    <a:noFill/>
                    <a:ln>
                      <a:noFill/>
                    </a:ln>
                  </pic:spPr>
                </pic:pic>
              </a:graphicData>
            </a:graphic>
          </wp:inline>
        </w:drawing>
      </w:r>
    </w:p>
    <w:p w14:paraId="4EFA9B08" w14:textId="335BDE3B" w:rsidR="002D5E5F" w:rsidRPr="00C32070" w:rsidRDefault="002D5E5F" w:rsidP="002D5E5F">
      <w:pPr>
        <w:keepNext/>
        <w:spacing w:before="240"/>
        <w:ind w:left="1134" w:hanging="1134"/>
        <w:rPr>
          <w:u w:val="single"/>
        </w:rPr>
      </w:pPr>
      <w:r w:rsidRPr="00C32070">
        <w:rPr>
          <w:u w:val="single"/>
          <w:rtl/>
        </w:rPr>
        <w:t>الالتزامات فيما يتعلق بالاستحقاقات الأخرى للموظفين</w:t>
      </w:r>
      <w:bookmarkEnd w:id="519"/>
    </w:p>
    <w:p w14:paraId="7F1A6170" w14:textId="77777777" w:rsidR="002D5E5F" w:rsidRPr="00C32070" w:rsidRDefault="002D5E5F" w:rsidP="0055688F">
      <w:pPr>
        <w:rPr>
          <w:rtl/>
          <w:lang w:bidi="ar-EG"/>
        </w:rPr>
      </w:pPr>
      <w:r w:rsidRPr="00C32070">
        <w:rPr>
          <w:rtl/>
          <w:lang w:bidi="ar-EG"/>
        </w:rPr>
        <w:t>قبل إنشاء الصندوق المشترك للمعاشات التقاعدية لموظفي الأمم المتحدة وانضمام الاتحاد إليه، كان الاتحاد قد أنشأ صندوقين لتقديم استحقاقات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14:paraId="3218F63B" w14:textId="77777777" w:rsidR="002D5E5F" w:rsidRPr="00C32070" w:rsidRDefault="002D5E5F" w:rsidP="0055688F">
      <w:pPr>
        <w:rPr>
          <w:rtl/>
          <w:lang w:bidi="ar-EG"/>
        </w:rPr>
      </w:pPr>
      <w:r w:rsidRPr="00C32070">
        <w:rPr>
          <w:rtl/>
          <w:lang w:bidi="ar-EG"/>
        </w:rPr>
        <w:lastRenderedPageBreak/>
        <w:t xml:space="preserve">وفي عام </w:t>
      </w:r>
      <w:r w:rsidRPr="00C32070">
        <w:rPr>
          <w:lang w:val="fr-CH"/>
        </w:rPr>
        <w:t>2022</w:t>
      </w:r>
      <w:r w:rsidRPr="00C32070">
        <w:rPr>
          <w:rtl/>
          <w:lang w:bidi="ar-EG"/>
        </w:rPr>
        <w:t xml:space="preserve">، لم يستصوب الاتحاد جدوى التماس دراسة </w:t>
      </w:r>
      <w:proofErr w:type="spellStart"/>
      <w:r w:rsidRPr="00C32070">
        <w:rPr>
          <w:rtl/>
          <w:lang w:bidi="ar-EG"/>
        </w:rPr>
        <w:t>إكتوارية</w:t>
      </w:r>
      <w:proofErr w:type="spellEnd"/>
      <w:r w:rsidRPr="00C32070">
        <w:rPr>
          <w:rtl/>
          <w:lang w:bidi="ar-EG"/>
        </w:rPr>
        <w:t xml:space="preserve"> جديدة لصندوق تأمينات الموظفين. وفي </w:t>
      </w:r>
      <w:r w:rsidRPr="00C32070">
        <w:rPr>
          <w:lang w:val="fr-CH"/>
        </w:rPr>
        <w:t>31</w:t>
      </w:r>
      <w:r w:rsidRPr="00C32070">
        <w:rPr>
          <w:rtl/>
          <w:lang w:bidi="ar-EG"/>
        </w:rPr>
        <w:t> ديسمبر </w:t>
      </w:r>
      <w:r w:rsidRPr="00C32070">
        <w:rPr>
          <w:lang w:val="fr-CH"/>
        </w:rPr>
        <w:t>2023</w:t>
      </w:r>
      <w:r w:rsidRPr="00C32070">
        <w:rPr>
          <w:rtl/>
          <w:lang w:bidi="ar-EG"/>
        </w:rPr>
        <w:t xml:space="preserve">، </w:t>
      </w:r>
      <w:r w:rsidRPr="00C32070">
        <w:rPr>
          <w:rtl/>
        </w:rPr>
        <w:t xml:space="preserve">بقي الاحتياطي من أجل الالتزامات الناجمة عن المعاشات التقاعدية الراهنة لقدامى الموظفين المشاركين في صندوق التأمينات المقيدة في عام </w:t>
      </w:r>
      <w:r w:rsidRPr="00C32070">
        <w:t>2010</w:t>
      </w:r>
      <w:r w:rsidRPr="00C32070">
        <w:rPr>
          <w:rtl/>
        </w:rPr>
        <w:t xml:space="preserve"> بمقدار </w:t>
      </w:r>
      <w:r w:rsidRPr="00C32070">
        <w:t>54 000</w:t>
      </w:r>
      <w:r w:rsidRPr="00C32070">
        <w:rPr>
          <w:rtl/>
        </w:rPr>
        <w:t xml:space="preserve"> فرنك سويسري دون تغيير</w:t>
      </w:r>
      <w:r w:rsidRPr="00C32070">
        <w:rPr>
          <w:rtl/>
          <w:lang w:bidi="ar-EG"/>
        </w:rPr>
        <w:t>.</w:t>
      </w:r>
    </w:p>
    <w:p w14:paraId="02AB08AF" w14:textId="77777777" w:rsidR="002D5E5F" w:rsidRPr="00C32070" w:rsidRDefault="002D5E5F" w:rsidP="00DB3336">
      <w:pPr>
        <w:pStyle w:val="Heading5"/>
        <w:rPr>
          <w:rtl/>
        </w:rPr>
      </w:pPr>
      <w:bookmarkStart w:id="520" w:name="_Toc452156645"/>
      <w:bookmarkStart w:id="521" w:name="_Toc482792223"/>
      <w:bookmarkStart w:id="522" w:name="_Toc482793728"/>
      <w:bookmarkStart w:id="523" w:name="_Toc511402244"/>
      <w:bookmarkStart w:id="524" w:name="_Toc511756681"/>
      <w:bookmarkStart w:id="525" w:name="_Toc9614800"/>
      <w:bookmarkStart w:id="526" w:name="_Toc42013553"/>
      <w:bookmarkStart w:id="527" w:name="_Toc42014556"/>
      <w:bookmarkStart w:id="528" w:name="_Toc74061586"/>
      <w:bookmarkStart w:id="529" w:name="_Toc162520637"/>
      <w:bookmarkStart w:id="530" w:name="_Toc168657583"/>
      <w:r w:rsidRPr="00C32070">
        <w:rPr>
          <w:rtl/>
        </w:rPr>
        <w:t xml:space="preserve">الملاحظة </w:t>
      </w:r>
      <w:r w:rsidRPr="00C32070">
        <w:t>18</w:t>
      </w:r>
      <w:r w:rsidRPr="00C32070">
        <w:rPr>
          <w:rtl/>
        </w:rPr>
        <w:tab/>
        <w:t>الحسابات الاحتياطية</w:t>
      </w:r>
      <w:bookmarkEnd w:id="520"/>
      <w:bookmarkEnd w:id="521"/>
      <w:bookmarkEnd w:id="522"/>
      <w:bookmarkEnd w:id="523"/>
      <w:bookmarkEnd w:id="524"/>
      <w:bookmarkEnd w:id="525"/>
      <w:bookmarkEnd w:id="526"/>
      <w:bookmarkEnd w:id="527"/>
      <w:bookmarkEnd w:id="528"/>
      <w:bookmarkEnd w:id="529"/>
      <w:bookmarkEnd w:id="530"/>
    </w:p>
    <w:p w14:paraId="7678CD7B" w14:textId="77777777" w:rsidR="002D5E5F" w:rsidRPr="00C32070" w:rsidRDefault="002D5E5F" w:rsidP="0055688F">
      <w:pPr>
        <w:rPr>
          <w:rtl/>
          <w:lang w:bidi="ar-EG"/>
        </w:rPr>
      </w:pPr>
      <w:r w:rsidRPr="00C32070">
        <w:rPr>
          <w:rtl/>
          <w:lang w:bidi="ar-EG"/>
        </w:rPr>
        <w:t xml:space="preserve">تشمل </w:t>
      </w:r>
      <w:r w:rsidRPr="00C32070">
        <w:rPr>
          <w:rtl/>
        </w:rPr>
        <w:t>الحسابات</w:t>
      </w:r>
      <w:r w:rsidRPr="00C32070">
        <w:rPr>
          <w:rtl/>
          <w:lang w:bidi="ar-EG"/>
        </w:rPr>
        <w:t xml:space="preserve"> الاحتياطية إزاء المخاطر والنفقات الحساب الاحتياطي للنزاعات القضائي الذي يمثل تقييم الإدارة، حتى تاريخ الإقفال، للالتزامات المستقبلية المرتبطة بأحداث سابقة تتعلق بمنازعات مختلفة يكون الاتحاد طرفاً فيها، فضلاً عن متوسط تكلفة النفقات الإدارية لكل حالة تقدم إلى المحكمة.</w:t>
      </w:r>
      <w:r w:rsidRPr="00C32070">
        <w:rPr>
          <w:rtl/>
        </w:rPr>
        <w:t xml:space="preserve"> و</w:t>
      </w:r>
      <w:r w:rsidRPr="00C32070">
        <w:rPr>
          <w:rtl/>
          <w:lang w:bidi="ar-EG"/>
        </w:rPr>
        <w:t>هناك حالة من عدم اليقين لدى الاتحاد فيما يتعلق بالقيمة النهائية وتوقيت التدفقات الخارجية لهذه النزاعات.</w:t>
      </w:r>
    </w:p>
    <w:p w14:paraId="136FD276" w14:textId="77777777" w:rsidR="002D5E5F" w:rsidRPr="00C32070" w:rsidRDefault="002D5E5F" w:rsidP="002D5E5F">
      <w:pPr>
        <w:spacing w:after="120"/>
        <w:rPr>
          <w:lang w:bidi="ar-EG"/>
        </w:rPr>
      </w:pPr>
      <w:r w:rsidRPr="00C32070">
        <w:rPr>
          <w:rtl/>
          <w:lang w:bidi="ar-EG"/>
        </w:rPr>
        <w:t xml:space="preserve">ويشكل الحساب الاحتياطي الخاص ببطاقات التبليغ عن الشبكات </w:t>
      </w:r>
      <w:proofErr w:type="spellStart"/>
      <w:r w:rsidRPr="00C32070">
        <w:rPr>
          <w:rtl/>
          <w:lang w:bidi="ar-EG"/>
        </w:rPr>
        <w:t>الساتلية</w:t>
      </w:r>
      <w:proofErr w:type="spellEnd"/>
      <w:r w:rsidRPr="00C32070">
        <w:rPr>
          <w:rtl/>
          <w:lang w:bidi="ar-EG"/>
        </w:rPr>
        <w:t> </w:t>
      </w:r>
      <w:r w:rsidRPr="00C32070">
        <w:rPr>
          <w:lang w:bidi="ar-EG"/>
        </w:rPr>
        <w:t>(SNF)</w:t>
      </w:r>
      <w:r w:rsidRPr="00C32070">
        <w:rPr>
          <w:rtl/>
          <w:lang w:bidi="ar-EG"/>
        </w:rPr>
        <w:t xml:space="preserve"> المبلغ المقابل للنشر المجاني غير المطالب به الذي يحق للإدارات طلبه كل سنة. وسيُستخدم هذا الاحتياطي كلياً خلال الفترة المالية 2024.</w:t>
      </w:r>
    </w:p>
    <w:p w14:paraId="4C623572" w14:textId="17827D71" w:rsidR="00DB3336" w:rsidRDefault="00DB3336" w:rsidP="00DB3336">
      <w:pPr>
        <w:pStyle w:val="Figure"/>
      </w:pPr>
      <w:bookmarkStart w:id="531" w:name="_Toc452156646"/>
      <w:bookmarkStart w:id="532" w:name="_Toc482792224"/>
      <w:bookmarkStart w:id="533" w:name="_Toc482793729"/>
      <w:bookmarkStart w:id="534" w:name="_Toc511402245"/>
      <w:bookmarkStart w:id="535" w:name="_Toc511756682"/>
      <w:bookmarkStart w:id="536" w:name="_Toc9614801"/>
      <w:bookmarkStart w:id="537" w:name="_Toc42013554"/>
      <w:bookmarkStart w:id="538" w:name="_Toc42014557"/>
      <w:bookmarkStart w:id="539" w:name="_Toc74061587"/>
      <w:bookmarkStart w:id="540" w:name="_Toc162520638"/>
      <w:r w:rsidRPr="00DB3336">
        <w:rPr>
          <w:rtl/>
        </w:rPr>
        <w:drawing>
          <wp:inline distT="0" distB="0" distL="0" distR="0" wp14:anchorId="40125980" wp14:editId="62454C06">
            <wp:extent cx="6120130" cy="28105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20130" cy="2810510"/>
                    </a:xfrm>
                    <a:prstGeom prst="rect">
                      <a:avLst/>
                    </a:prstGeom>
                    <a:noFill/>
                    <a:ln>
                      <a:noFill/>
                    </a:ln>
                  </pic:spPr>
                </pic:pic>
              </a:graphicData>
            </a:graphic>
          </wp:inline>
        </w:drawing>
      </w:r>
    </w:p>
    <w:p w14:paraId="5B2B9F55" w14:textId="1B8B5C57" w:rsidR="002D5E5F" w:rsidRPr="00C32070" w:rsidRDefault="002D5E5F" w:rsidP="00DB3336">
      <w:pPr>
        <w:pStyle w:val="Heading5"/>
      </w:pPr>
      <w:bookmarkStart w:id="541" w:name="_Toc168657584"/>
      <w:r w:rsidRPr="00C32070">
        <w:rPr>
          <w:rtl/>
        </w:rPr>
        <w:t>الملاحظة 19</w:t>
      </w:r>
      <w:r w:rsidRPr="00C32070">
        <w:tab/>
      </w:r>
      <w:r w:rsidRPr="00C32070">
        <w:rPr>
          <w:rtl/>
        </w:rPr>
        <w:t>الديون الأخرى</w:t>
      </w:r>
      <w:bookmarkEnd w:id="531"/>
      <w:bookmarkEnd w:id="532"/>
      <w:bookmarkEnd w:id="533"/>
      <w:bookmarkEnd w:id="534"/>
      <w:bookmarkEnd w:id="535"/>
      <w:bookmarkEnd w:id="536"/>
      <w:bookmarkEnd w:id="537"/>
      <w:bookmarkEnd w:id="538"/>
      <w:bookmarkEnd w:id="539"/>
      <w:bookmarkEnd w:id="540"/>
      <w:bookmarkEnd w:id="541"/>
    </w:p>
    <w:p w14:paraId="4A54F448" w14:textId="37CC352F" w:rsidR="00DB3336" w:rsidRDefault="00DB3336" w:rsidP="00DB3336">
      <w:pPr>
        <w:pStyle w:val="Figure"/>
      </w:pPr>
      <w:bookmarkStart w:id="542" w:name="_Toc482792225"/>
      <w:bookmarkStart w:id="543" w:name="_Toc482793730"/>
      <w:bookmarkStart w:id="544" w:name="_Toc511402246"/>
      <w:bookmarkStart w:id="545" w:name="_Toc511756683"/>
      <w:bookmarkStart w:id="546" w:name="_Toc9614802"/>
      <w:bookmarkStart w:id="547" w:name="_Toc42013555"/>
      <w:bookmarkStart w:id="548" w:name="_Toc42014558"/>
      <w:bookmarkStart w:id="549" w:name="_Toc74061588"/>
      <w:bookmarkStart w:id="550" w:name="_Toc162520639"/>
      <w:r w:rsidRPr="00DB3336">
        <w:rPr>
          <w:rtl/>
        </w:rPr>
        <w:drawing>
          <wp:inline distT="0" distB="0" distL="0" distR="0" wp14:anchorId="711AD6FB" wp14:editId="03E30890">
            <wp:extent cx="5733415" cy="18510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33415" cy="1851025"/>
                    </a:xfrm>
                    <a:prstGeom prst="rect">
                      <a:avLst/>
                    </a:prstGeom>
                    <a:noFill/>
                    <a:ln>
                      <a:noFill/>
                    </a:ln>
                  </pic:spPr>
                </pic:pic>
              </a:graphicData>
            </a:graphic>
          </wp:inline>
        </w:drawing>
      </w:r>
    </w:p>
    <w:p w14:paraId="71D0C785" w14:textId="7435ADAE" w:rsidR="002D5E5F" w:rsidRPr="00C32070" w:rsidRDefault="002D5E5F" w:rsidP="00DB3336">
      <w:pPr>
        <w:pStyle w:val="Heading5"/>
        <w:rPr>
          <w:rtl/>
        </w:rPr>
      </w:pPr>
      <w:bookmarkStart w:id="551" w:name="_Toc168657585"/>
      <w:r w:rsidRPr="00C32070">
        <w:rPr>
          <w:rtl/>
        </w:rPr>
        <w:t>الملاحظة 20</w:t>
      </w:r>
      <w:r w:rsidRPr="00C32070">
        <w:rPr>
          <w:rtl/>
        </w:rPr>
        <w:tab/>
      </w:r>
      <w:bookmarkEnd w:id="542"/>
      <w:bookmarkEnd w:id="543"/>
      <w:bookmarkEnd w:id="544"/>
      <w:bookmarkEnd w:id="545"/>
      <w:bookmarkEnd w:id="546"/>
      <w:bookmarkEnd w:id="547"/>
      <w:bookmarkEnd w:id="548"/>
      <w:bookmarkEnd w:id="549"/>
      <w:r w:rsidRPr="00C32070">
        <w:rPr>
          <w:rtl/>
        </w:rPr>
        <w:t>الأموال الخارجة عن الميزانية</w:t>
      </w:r>
      <w:bookmarkEnd w:id="550"/>
      <w:bookmarkEnd w:id="551"/>
    </w:p>
    <w:p w14:paraId="71833E76" w14:textId="77777777" w:rsidR="002D5E5F" w:rsidRPr="00C32070" w:rsidRDefault="002D5E5F" w:rsidP="0055688F">
      <w:pPr>
        <w:rPr>
          <w:rtl/>
          <w:lang w:bidi="ar-EG"/>
        </w:rPr>
      </w:pPr>
      <w:r w:rsidRPr="00C32070">
        <w:rPr>
          <w:rtl/>
          <w:lang w:bidi="ar-EG"/>
        </w:rPr>
        <w:t xml:space="preserve">‏تتعلق الأموال الخارجية المخصصة باتفاقات ملزِمة موقَّعة، والأموال الخارجية قيد التخصيص هي أموال يجري تخصيصها، وأما الأموال الخارجية المزمع استلامها، فتتعلق باتفاقات موقعة في السنة المالية الجارية </w:t>
      </w:r>
      <w:proofErr w:type="spellStart"/>
      <w:r w:rsidRPr="00C32070">
        <w:rPr>
          <w:rtl/>
          <w:lang w:bidi="ar-EG"/>
        </w:rPr>
        <w:t>ومفوترة</w:t>
      </w:r>
      <w:proofErr w:type="spellEnd"/>
      <w:r w:rsidRPr="00C32070">
        <w:rPr>
          <w:rtl/>
          <w:lang w:bidi="ar-EG"/>
        </w:rPr>
        <w:t xml:space="preserve"> ولكن لم تُستلَم بعد.</w:t>
      </w:r>
      <w:r w:rsidRPr="00C32070">
        <w:rPr>
          <w:cs/>
          <w:lang w:bidi="ar-EG"/>
        </w:rPr>
        <w:t>‎</w:t>
      </w:r>
    </w:p>
    <w:p w14:paraId="6F59946D" w14:textId="77777777" w:rsidR="00DE66D0" w:rsidRPr="00C32070" w:rsidRDefault="002D5E5F" w:rsidP="0055688F">
      <w:pPr>
        <w:spacing w:after="120"/>
        <w:rPr>
          <w:rtl/>
          <w:lang w:bidi="ar-EG"/>
        </w:rPr>
      </w:pPr>
      <w:r w:rsidRPr="00C32070">
        <w:rPr>
          <w:rtl/>
          <w:lang w:bidi="ar-EG"/>
        </w:rPr>
        <w:t xml:space="preserve">‏وعلى النحو الوارد وصفه في الملاحظة </w:t>
      </w:r>
      <w:r w:rsidRPr="00C32070">
        <w:rPr>
          <w:cs/>
          <w:lang w:bidi="ar-EG"/>
        </w:rPr>
        <w:t>‎</w:t>
      </w:r>
      <w:r w:rsidRPr="00C32070">
        <w:rPr>
          <w:lang w:bidi="ar-EG"/>
        </w:rPr>
        <w:t>2</w:t>
      </w:r>
      <w:r w:rsidRPr="00C32070">
        <w:rPr>
          <w:rtl/>
          <w:lang w:bidi="ar-EG"/>
        </w:rPr>
        <w:t xml:space="preserve">‏، أعيد تقديم معلومات عام </w:t>
      </w:r>
      <w:r w:rsidRPr="00C32070">
        <w:rPr>
          <w:cs/>
          <w:lang w:bidi="ar-EG"/>
        </w:rPr>
        <w:t>‎</w:t>
      </w:r>
      <w:r w:rsidRPr="00C32070">
        <w:rPr>
          <w:lang w:bidi="ar-EG"/>
        </w:rPr>
        <w:t>2022</w:t>
      </w:r>
      <w:r w:rsidRPr="00C32070">
        <w:rPr>
          <w:rtl/>
          <w:lang w:bidi="ar-EG"/>
        </w:rPr>
        <w:t xml:space="preserve"> ‏الواردة في الجدول أدناه لتوفير مزيد من المعلومات النوعية ولفصل الأموال الخارجية الجارية وغير الجارية في نهاية العام. وبالإضافة إلى ذلك، يتضمن الجدول الأموال الخارجية المزمع استلامها والمتعلقة باتفاقات موقعة </w:t>
      </w:r>
      <w:proofErr w:type="spellStart"/>
      <w:r w:rsidRPr="00C32070">
        <w:rPr>
          <w:rtl/>
          <w:lang w:bidi="ar-EG"/>
        </w:rPr>
        <w:t>ومفوترة</w:t>
      </w:r>
      <w:proofErr w:type="spellEnd"/>
      <w:r w:rsidRPr="00C32070">
        <w:rPr>
          <w:rtl/>
          <w:lang w:bidi="ar-EG"/>
        </w:rPr>
        <w:t xml:space="preserve"> خلال السنة المحددة لكل منها، والتي يتوقع تحصيلها في الفترة التالية</w:t>
      </w:r>
      <w:r w:rsidRPr="00C32070">
        <w:rPr>
          <w:cs/>
          <w:lang w:bidi="ar-EG"/>
        </w:rPr>
        <w:t>‎</w:t>
      </w:r>
      <w:r w:rsidRPr="00C32070">
        <w:rPr>
          <w:rtl/>
          <w:lang w:bidi="ar-EG"/>
        </w:rPr>
        <w:t>.</w:t>
      </w:r>
    </w:p>
    <w:p w14:paraId="251D2056" w14:textId="71A8E59F" w:rsidR="00DB3336" w:rsidRDefault="00DB3336" w:rsidP="00DB3336">
      <w:pPr>
        <w:pStyle w:val="Figure"/>
      </w:pPr>
      <w:bookmarkStart w:id="552" w:name="_Toc162520640"/>
      <w:r w:rsidRPr="00DB3336">
        <w:rPr>
          <w:rtl/>
        </w:rPr>
        <w:lastRenderedPageBreak/>
        <w:drawing>
          <wp:inline distT="0" distB="0" distL="0" distR="0" wp14:anchorId="40B44F23" wp14:editId="042745AE">
            <wp:extent cx="5733415" cy="24180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33415" cy="2418080"/>
                    </a:xfrm>
                    <a:prstGeom prst="rect">
                      <a:avLst/>
                    </a:prstGeom>
                    <a:noFill/>
                    <a:ln>
                      <a:noFill/>
                    </a:ln>
                  </pic:spPr>
                </pic:pic>
              </a:graphicData>
            </a:graphic>
          </wp:inline>
        </w:drawing>
      </w:r>
    </w:p>
    <w:p w14:paraId="4F97D3B7" w14:textId="4351685A" w:rsidR="002D5E5F" w:rsidRPr="00C32070" w:rsidRDefault="002D5E5F" w:rsidP="00DB3336">
      <w:pPr>
        <w:pStyle w:val="Heading5"/>
        <w:rPr>
          <w:rtl/>
        </w:rPr>
      </w:pPr>
      <w:bookmarkStart w:id="553" w:name="_Toc168657586"/>
      <w:r w:rsidRPr="00C32070">
        <w:rPr>
          <w:rtl/>
        </w:rPr>
        <w:t>الملاحظة 21</w:t>
      </w:r>
      <w:r w:rsidRPr="00C32070">
        <w:rPr>
          <w:rtl/>
        </w:rPr>
        <w:tab/>
        <w:t>الإيرادات</w:t>
      </w:r>
      <w:bookmarkEnd w:id="552"/>
      <w:bookmarkEnd w:id="553"/>
    </w:p>
    <w:p w14:paraId="0EA1EED2" w14:textId="77777777" w:rsidR="002D5E5F" w:rsidRPr="00C32070" w:rsidRDefault="002D5E5F" w:rsidP="00F72B70">
      <w:pPr>
        <w:pStyle w:val="Headingb"/>
        <w:rPr>
          <w:rtl/>
        </w:rPr>
      </w:pPr>
      <w:r w:rsidRPr="00C32070">
        <w:rPr>
          <w:rtl/>
        </w:rPr>
        <w:t>المساهمات المقررة</w:t>
      </w:r>
    </w:p>
    <w:p w14:paraId="7553B1DF" w14:textId="77777777" w:rsidR="002D5E5F" w:rsidRPr="00C32070" w:rsidRDefault="002D5E5F" w:rsidP="0055688F">
      <w:pPr>
        <w:rPr>
          <w:lang w:bidi="ar-EG"/>
        </w:rPr>
      </w:pPr>
      <w:bookmarkStart w:id="554" w:name="_Toc306236974"/>
      <w:r w:rsidRPr="00C32070">
        <w:rPr>
          <w:rtl/>
          <w:lang w:bidi="ar-EG"/>
        </w:rPr>
        <w:t xml:space="preserve">أقر المجلس، في القرار </w:t>
      </w:r>
      <w:r w:rsidRPr="00C32070">
        <w:rPr>
          <w:lang w:bidi="ar-EG"/>
        </w:rPr>
        <w:t>1405</w:t>
      </w:r>
      <w:r w:rsidRPr="00C32070">
        <w:rPr>
          <w:rtl/>
          <w:lang w:bidi="ar-EG"/>
        </w:rPr>
        <w:t xml:space="preserve"> الذي اعتمده في دورته لعام </w:t>
      </w:r>
      <w:r w:rsidRPr="00C32070">
        <w:rPr>
          <w:lang w:bidi="ar-EG"/>
        </w:rPr>
        <w:t>2021</w:t>
      </w:r>
      <w:r w:rsidRPr="00C32070">
        <w:rPr>
          <w:rtl/>
          <w:lang w:bidi="ar-EG"/>
        </w:rPr>
        <w:t xml:space="preserve">، ميزانية الاتحاد للفترة </w:t>
      </w:r>
      <w:r w:rsidRPr="00C32070">
        <w:rPr>
          <w:lang w:bidi="ar-EG"/>
        </w:rPr>
        <w:t>2023-2022</w:t>
      </w:r>
      <w:r w:rsidRPr="00C32070">
        <w:rPr>
          <w:rtl/>
          <w:lang w:bidi="ar-EG"/>
        </w:rPr>
        <w:t>.</w:t>
      </w:r>
      <w:bookmarkEnd w:id="554"/>
    </w:p>
    <w:p w14:paraId="26DBB212" w14:textId="1CE5F718" w:rsidR="002D5E5F" w:rsidRPr="00C32070" w:rsidRDefault="002D5E5F" w:rsidP="002641C2">
      <w:pPr>
        <w:rPr>
          <w:rtl/>
          <w:lang w:bidi="ar-EG"/>
        </w:rPr>
      </w:pPr>
      <w:r w:rsidRPr="00C32070">
        <w:rPr>
          <w:rtl/>
          <w:lang w:bidi="ar-EG"/>
        </w:rPr>
        <w:t>وتتماشى إيرادات عام 2023 المتأتية من الدول الأعضاء مع الخطة المالية التي عُرضت في مؤتمر المندوبين المفوضين لعام</w:t>
      </w:r>
      <w:r w:rsidR="00DB3336">
        <w:rPr>
          <w:rFonts w:hint="cs"/>
          <w:rtl/>
          <w:lang w:bidi="ar-EG"/>
        </w:rPr>
        <w:t> </w:t>
      </w:r>
      <w:r w:rsidRPr="00C32070">
        <w:rPr>
          <w:rtl/>
          <w:lang w:bidi="ar-EG"/>
        </w:rPr>
        <w:t xml:space="preserve">2018. وتقوم المساهمات المقررة من الدول الأعضاء على أساس </w:t>
      </w:r>
      <w:r w:rsidRPr="002641C2">
        <w:rPr>
          <w:szCs w:val="24"/>
        </w:rPr>
        <w:t>343</w:t>
      </w:r>
      <w:r w:rsidR="002641C2" w:rsidRPr="002641C2">
        <w:rPr>
          <w:position w:val="-6"/>
          <w:lang w:bidi="ar-EG"/>
        </w:rPr>
        <w:object w:dxaOrig="360" w:dyaOrig="639" w14:anchorId="60EA5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o:ole="">
            <v:imagedata r:id="rId65" o:title=""/>
          </v:shape>
          <o:OLEObject Type="Embed" ProgID="Equation.DSMT4" ShapeID="_x0000_i1025" DrawAspect="Content" ObjectID="_1779299569" r:id="rId66"/>
        </w:object>
      </w:r>
      <w:r w:rsidRPr="00C32070">
        <w:rPr>
          <w:rtl/>
          <w:lang w:bidi="ar-EG"/>
        </w:rPr>
        <w:t xml:space="preserve"> وحدة.</w:t>
      </w:r>
    </w:p>
    <w:p w14:paraId="554B3255" w14:textId="77777777" w:rsidR="002D5E5F" w:rsidRPr="00C32070" w:rsidRDefault="002D5E5F" w:rsidP="0055688F">
      <w:pPr>
        <w:rPr>
          <w:rtl/>
          <w:lang w:bidi="ar-SY"/>
        </w:rPr>
      </w:pPr>
      <w:r w:rsidRPr="00C32070">
        <w:rPr>
          <w:rtl/>
          <w:lang w:bidi="ar-SY"/>
        </w:rPr>
        <w:t>ثُبِّتت مساهمات من أجل:</w:t>
      </w:r>
    </w:p>
    <w:p w14:paraId="40D6BFE5" w14:textId="77777777" w:rsidR="002D5E5F" w:rsidRPr="00C32070" w:rsidRDefault="002D5E5F" w:rsidP="002D5E5F">
      <w:pPr>
        <w:pStyle w:val="enumlev1"/>
        <w:rPr>
          <w:rtl/>
        </w:rPr>
      </w:pPr>
      <w:r w:rsidRPr="00C32070">
        <w:sym w:font="Symbol" w:char="F0B7"/>
      </w:r>
      <w:r w:rsidRPr="00C32070">
        <w:rPr>
          <w:rtl/>
        </w:rPr>
        <w:tab/>
        <w:t xml:space="preserve">المؤتمر العالمي للاتصالات الراديوية </w:t>
      </w:r>
      <w:r w:rsidRPr="00C32070">
        <w:t>(WRC)</w:t>
      </w:r>
      <w:r w:rsidRPr="00C32070">
        <w:rPr>
          <w:rtl/>
        </w:rPr>
        <w:t xml:space="preserve"> وجمعية الاتصالات الراديوية </w:t>
      </w:r>
      <w:r w:rsidRPr="00C32070">
        <w:t>(RA)</w:t>
      </w:r>
      <w:r w:rsidRPr="00C32070">
        <w:rPr>
          <w:rtl/>
        </w:rPr>
        <w:t xml:space="preserve"> في دبي، الإمارات العربية المتحدة. وغطت حكومة الإمارات تكاليف النقل والإقامة لجميع موظفي الاتحاد الذين سافروا إلى هناك. ووفرت حكومة الإمارات أيضاً بشكل مباشر اللوجستيات والأمن لجميع المشاركين.</w:t>
      </w:r>
    </w:p>
    <w:p w14:paraId="098C85F1" w14:textId="77777777" w:rsidR="002D5E5F" w:rsidRPr="00C32070" w:rsidRDefault="002D5E5F" w:rsidP="002D5E5F">
      <w:pPr>
        <w:pStyle w:val="enumlev1"/>
        <w:rPr>
          <w:rtl/>
        </w:rPr>
      </w:pPr>
      <w:r w:rsidRPr="00C32070">
        <w:sym w:font="Symbol" w:char="F0B7"/>
      </w:r>
      <w:r w:rsidRPr="00C32070">
        <w:rPr>
          <w:rtl/>
        </w:rPr>
        <w:tab/>
        <w:t xml:space="preserve">الندوة العالمية لمنظمي الاتصالات </w:t>
      </w:r>
      <w:r w:rsidRPr="00C32070">
        <w:t>(GSR)</w:t>
      </w:r>
      <w:r w:rsidRPr="00C32070">
        <w:rPr>
          <w:rtl/>
        </w:rPr>
        <w:t xml:space="preserve"> التي عقدت في شرم الشيخ، مصر. وفقاً لاتفاق البلد المضيف، مولت الحكومة المصرية تكاليف النقل والإقامة لجميع موظفي الاتحاد الذين سافروا إلى هناك، ووفرت بشكل مباشر اللوجستيات والأمن لجميع المشاركين.</w:t>
      </w:r>
    </w:p>
    <w:p w14:paraId="6EFB288B" w14:textId="77777777" w:rsidR="002D5E5F" w:rsidRPr="00C32070" w:rsidRDefault="002D5E5F" w:rsidP="002D5E5F">
      <w:pPr>
        <w:spacing w:after="120"/>
        <w:rPr>
          <w:rtl/>
          <w:lang w:bidi="ar-EG"/>
        </w:rPr>
      </w:pPr>
      <w:r w:rsidRPr="00C32070">
        <w:rPr>
          <w:rtl/>
          <w:lang w:bidi="ar-EG"/>
        </w:rPr>
        <w:t>ويعرض الجدول التالي المساهمات المقررة المسجَّلة في الحساب أثناء الفترة المالية 2023 و2022.</w:t>
      </w:r>
    </w:p>
    <w:p w14:paraId="1FB1ECAD" w14:textId="4733E1FF" w:rsidR="002641C2" w:rsidRDefault="002641C2" w:rsidP="002641C2">
      <w:pPr>
        <w:pStyle w:val="Figure"/>
        <w:rPr>
          <w:rtl/>
        </w:rPr>
      </w:pPr>
      <w:r w:rsidRPr="002641C2">
        <w:rPr>
          <w:rtl/>
        </w:rPr>
        <w:drawing>
          <wp:inline distT="0" distB="0" distL="0" distR="0" wp14:anchorId="100E5F35" wp14:editId="70389EE0">
            <wp:extent cx="5733415" cy="20529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33415" cy="2052955"/>
                    </a:xfrm>
                    <a:prstGeom prst="rect">
                      <a:avLst/>
                    </a:prstGeom>
                    <a:noFill/>
                    <a:ln>
                      <a:noFill/>
                    </a:ln>
                  </pic:spPr>
                </pic:pic>
              </a:graphicData>
            </a:graphic>
          </wp:inline>
        </w:drawing>
      </w:r>
    </w:p>
    <w:p w14:paraId="72A68810" w14:textId="4FFC5E13" w:rsidR="002D5E5F" w:rsidRPr="00C32070" w:rsidRDefault="002D5E5F" w:rsidP="00F72B70">
      <w:pPr>
        <w:pStyle w:val="Headingb"/>
        <w:rPr>
          <w:rtl/>
        </w:rPr>
      </w:pPr>
      <w:r w:rsidRPr="00C32070">
        <w:rPr>
          <w:rtl/>
        </w:rPr>
        <w:t>المساهمات الخارجة عن الميزانية</w:t>
      </w:r>
    </w:p>
    <w:p w14:paraId="79BECB50" w14:textId="77777777" w:rsidR="002D5E5F" w:rsidRPr="00C32070" w:rsidRDefault="002D5E5F" w:rsidP="002D5E5F">
      <w:pPr>
        <w:spacing w:after="120"/>
        <w:rPr>
          <w:rtl/>
          <w:lang w:bidi="ar-EG"/>
        </w:rPr>
      </w:pPr>
      <w:bookmarkStart w:id="555" w:name="_Toc306236976"/>
      <w:r w:rsidRPr="00C32070">
        <w:rPr>
          <w:rtl/>
          <w:lang w:bidi="ar-EG"/>
        </w:rPr>
        <w:t xml:space="preserve">تعد المساهمات الطوعية ومشاريع الصناديق </w:t>
      </w:r>
      <w:proofErr w:type="spellStart"/>
      <w:r w:rsidRPr="00C32070">
        <w:rPr>
          <w:rtl/>
          <w:lang w:bidi="ar-EG"/>
        </w:rPr>
        <w:t>الاستئمانية</w:t>
      </w:r>
      <w:proofErr w:type="spellEnd"/>
      <w:r w:rsidRPr="00C32070">
        <w:rPr>
          <w:rtl/>
          <w:lang w:bidi="ar-EG"/>
        </w:rPr>
        <w:t xml:space="preserve"> (</w:t>
      </w:r>
      <w:r w:rsidRPr="00C32070">
        <w:rPr>
          <w:lang w:bidi="ar-EG"/>
        </w:rPr>
        <w:t>FIT</w:t>
      </w:r>
      <w:r w:rsidRPr="00C32070">
        <w:rPr>
          <w:rtl/>
          <w:lang w:bidi="ar-EG"/>
        </w:rPr>
        <w:t xml:space="preserve">) مصادر تمويل من جهات خارجية لمساندة الاتحاد في تنفيذ مشاريع التنمية لمصلحة البلدان النامية وأقل البلدان نمواً التي حددتها الأمم المتحدة، ولكن أيضاً لاستكمال ميزانية الاتحاد </w:t>
      </w:r>
      <w:r w:rsidRPr="00C32070">
        <w:rPr>
          <w:rtl/>
          <w:lang w:bidi="ar-EG"/>
        </w:rPr>
        <w:lastRenderedPageBreak/>
        <w:t xml:space="preserve">المخصصة للأنشطة العادية. وقد بلغ مجموع المساهمات الطوعية والصناديق </w:t>
      </w:r>
      <w:proofErr w:type="spellStart"/>
      <w:r w:rsidRPr="00C32070">
        <w:rPr>
          <w:rtl/>
          <w:lang w:bidi="ar-EG"/>
        </w:rPr>
        <w:t>الاستئمانية</w:t>
      </w:r>
      <w:proofErr w:type="spellEnd"/>
      <w:r w:rsidRPr="00C32070">
        <w:rPr>
          <w:rtl/>
          <w:lang w:bidi="ar-EG"/>
        </w:rPr>
        <w:t xml:space="preserve"> </w:t>
      </w:r>
      <w:r w:rsidRPr="00C32070">
        <w:rPr>
          <w:lang w:bidi="ar-EG"/>
        </w:rPr>
        <w:t>19,0</w:t>
      </w:r>
      <w:r w:rsidRPr="00C32070">
        <w:rPr>
          <w:rtl/>
          <w:lang w:bidi="ar-EG"/>
        </w:rPr>
        <w:t> مليون فرنك سويسري في 2023 (</w:t>
      </w:r>
      <w:r w:rsidRPr="00C32070">
        <w:rPr>
          <w:lang w:bidi="ar-EG"/>
        </w:rPr>
        <w:t>18</w:t>
      </w:r>
      <w:r w:rsidRPr="00C32070">
        <w:rPr>
          <w:rtl/>
          <w:lang w:bidi="ar-EG"/>
        </w:rPr>
        <w:t> مليون فرنك سويسري في </w:t>
      </w:r>
      <w:r w:rsidRPr="00C32070">
        <w:rPr>
          <w:lang w:bidi="ar-EG"/>
        </w:rPr>
        <w:t>2022</w:t>
      </w:r>
      <w:r w:rsidRPr="00C32070">
        <w:rPr>
          <w:rtl/>
          <w:lang w:bidi="ar-EG"/>
        </w:rPr>
        <w:t>).</w:t>
      </w:r>
      <w:bookmarkEnd w:id="555"/>
    </w:p>
    <w:p w14:paraId="4535CB21" w14:textId="033743BC" w:rsidR="002641C2" w:rsidRDefault="002641C2" w:rsidP="002641C2">
      <w:pPr>
        <w:pStyle w:val="Figure"/>
      </w:pPr>
      <w:bookmarkStart w:id="556" w:name="_Toc452156651"/>
      <w:bookmarkStart w:id="557" w:name="_Toc358648567"/>
      <w:bookmarkStart w:id="558" w:name="_Toc358648368"/>
      <w:bookmarkStart w:id="559" w:name="_Toc329296040"/>
      <w:bookmarkStart w:id="560" w:name="_Toc74061592"/>
      <w:r w:rsidRPr="002641C2">
        <w:rPr>
          <w:rtl/>
        </w:rPr>
        <w:drawing>
          <wp:inline distT="0" distB="0" distL="0" distR="0" wp14:anchorId="03CB0B6C" wp14:editId="6313A1E9">
            <wp:extent cx="6120130" cy="1660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20130" cy="1660525"/>
                    </a:xfrm>
                    <a:prstGeom prst="rect">
                      <a:avLst/>
                    </a:prstGeom>
                    <a:noFill/>
                    <a:ln>
                      <a:noFill/>
                    </a:ln>
                  </pic:spPr>
                </pic:pic>
              </a:graphicData>
            </a:graphic>
          </wp:inline>
        </w:drawing>
      </w:r>
    </w:p>
    <w:p w14:paraId="14F61BCC" w14:textId="7597376A" w:rsidR="002D5E5F" w:rsidRPr="00C32070" w:rsidRDefault="002D5E5F" w:rsidP="00F72B70">
      <w:pPr>
        <w:pStyle w:val="Headingb"/>
      </w:pPr>
      <w:r w:rsidRPr="00C32070">
        <w:rPr>
          <w:rtl/>
        </w:rPr>
        <w:t>إيرادات التشغيل الأخرى</w:t>
      </w:r>
      <w:bookmarkEnd w:id="556"/>
      <w:bookmarkEnd w:id="557"/>
      <w:bookmarkEnd w:id="558"/>
      <w:bookmarkEnd w:id="559"/>
      <w:bookmarkEnd w:id="560"/>
    </w:p>
    <w:p w14:paraId="40951303" w14:textId="7B4DB563" w:rsidR="002D5E5F" w:rsidRPr="00C32070" w:rsidRDefault="002D5E5F" w:rsidP="0055688F">
      <w:pPr>
        <w:rPr>
          <w:rtl/>
        </w:rPr>
      </w:pPr>
      <w:r w:rsidRPr="00F70A94">
        <w:rPr>
          <w:rtl/>
          <w:lang w:bidi="ar-SY"/>
        </w:rPr>
        <w:t xml:space="preserve">في عام 2023، بلغت الإيرادات المتأتية من مبيعات المنشورات </w:t>
      </w:r>
      <w:r w:rsidRPr="00F70A94">
        <w:rPr>
          <w:lang w:bidi="ar-SY"/>
        </w:rPr>
        <w:t>16,7</w:t>
      </w:r>
      <w:r w:rsidRPr="00F70A94">
        <w:rPr>
          <w:rtl/>
          <w:lang w:bidi="ar-SY"/>
        </w:rPr>
        <w:t xml:space="preserve"> مليون فرنك سويسري، ما يمثل زيادة بمبلغ </w:t>
      </w:r>
      <w:r w:rsidRPr="00F70A94">
        <w:rPr>
          <w:lang w:bidi="ar-SY"/>
        </w:rPr>
        <w:t>1,2</w:t>
      </w:r>
      <w:r w:rsidRPr="00F70A94">
        <w:rPr>
          <w:rtl/>
          <w:lang w:bidi="ar-SY"/>
        </w:rPr>
        <w:t xml:space="preserve"> مليون فرنك سويسري على الإيرادات المتوقعة البالغة 15,5 مليون فرنك سويسري</w:t>
      </w:r>
      <w:r w:rsidR="00F70A94" w:rsidRPr="00F70A94">
        <w:rPr>
          <w:rFonts w:hint="cs"/>
          <w:rtl/>
          <w:lang w:bidi="ar-SY"/>
        </w:rPr>
        <w:t xml:space="preserve"> وعلى مبيعات السنة السابقة بواقع </w:t>
      </w:r>
      <w:r w:rsidR="00F70A94" w:rsidRPr="00F70A94">
        <w:rPr>
          <w:lang w:bidi="ar-SY"/>
        </w:rPr>
        <w:t>2,1</w:t>
      </w:r>
      <w:r w:rsidR="00F70A94" w:rsidRPr="00F70A94">
        <w:rPr>
          <w:rFonts w:hint="cs"/>
          <w:rtl/>
          <w:lang w:bidi="ar-EG"/>
        </w:rPr>
        <w:t xml:space="preserve"> مليون فرنك سويسري</w:t>
      </w:r>
      <w:r w:rsidRPr="00F70A94">
        <w:rPr>
          <w:rtl/>
          <w:lang w:bidi="ar-SY"/>
        </w:rPr>
        <w:t>.</w:t>
      </w:r>
      <w:r w:rsidRPr="00C32070">
        <w:rPr>
          <w:rtl/>
          <w:lang w:bidi="ar-SY"/>
        </w:rPr>
        <w:t xml:space="preserve"> وتعزى هذه الزيادة أساساً إلى زيادة بنسبة 10% في أسعار كل من القائمة </w:t>
      </w:r>
      <w:r w:rsidRPr="00C32070">
        <w:rPr>
          <w:lang w:bidi="ar-SY"/>
        </w:rPr>
        <w:t>V</w:t>
      </w:r>
      <w:r w:rsidRPr="00C32070">
        <w:rPr>
          <w:rtl/>
        </w:rPr>
        <w:t xml:space="preserve"> (الصادرة في أبريل 2023) والقائمة</w:t>
      </w:r>
      <w:r w:rsidR="00F70A94">
        <w:rPr>
          <w:rFonts w:hint="cs"/>
          <w:rtl/>
        </w:rPr>
        <w:t> </w:t>
      </w:r>
      <w:r w:rsidRPr="00C32070">
        <w:t>IV</w:t>
      </w:r>
      <w:r w:rsidRPr="00C32070">
        <w:rPr>
          <w:rtl/>
        </w:rPr>
        <w:t xml:space="preserve"> (الصادرة في نوفمبر 2023).</w:t>
      </w:r>
    </w:p>
    <w:p w14:paraId="320732E2" w14:textId="77777777" w:rsidR="002D5E5F" w:rsidRPr="00C32070" w:rsidRDefault="002D5E5F" w:rsidP="0055688F">
      <w:pPr>
        <w:spacing w:after="120"/>
        <w:rPr>
          <w:rtl/>
          <w:lang w:bidi="ar-EG"/>
        </w:rPr>
      </w:pPr>
      <w:r w:rsidRPr="00C32070">
        <w:rPr>
          <w:rtl/>
          <w:lang w:bidi="ar-EG"/>
        </w:rPr>
        <w:t>وتعزى الزيادة في الإيرادات الأخرى أساساً إلى الإيرادات الإضافية الخاصة بمشروع المبنى الجديد.</w:t>
      </w:r>
    </w:p>
    <w:p w14:paraId="7697B8E8" w14:textId="0429D31E" w:rsidR="001E4574" w:rsidRDefault="001E4574" w:rsidP="001E4574">
      <w:pPr>
        <w:pStyle w:val="Figure"/>
      </w:pPr>
      <w:r w:rsidRPr="001E4574">
        <w:rPr>
          <w:rtl/>
        </w:rPr>
        <w:drawing>
          <wp:inline distT="0" distB="0" distL="0" distR="0" wp14:anchorId="5393064F" wp14:editId="755976A7">
            <wp:extent cx="5733415" cy="23221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3415" cy="2322195"/>
                    </a:xfrm>
                    <a:prstGeom prst="rect">
                      <a:avLst/>
                    </a:prstGeom>
                    <a:noFill/>
                    <a:ln>
                      <a:noFill/>
                    </a:ln>
                  </pic:spPr>
                </pic:pic>
              </a:graphicData>
            </a:graphic>
          </wp:inline>
        </w:drawing>
      </w:r>
    </w:p>
    <w:p w14:paraId="5214EE73" w14:textId="5988F7CF" w:rsidR="002D5E5F" w:rsidRPr="00C32070" w:rsidRDefault="002D5E5F" w:rsidP="00F72B70">
      <w:pPr>
        <w:pStyle w:val="Headingb"/>
        <w:rPr>
          <w:rtl/>
        </w:rPr>
      </w:pPr>
      <w:r w:rsidRPr="00C32070">
        <w:rPr>
          <w:rtl/>
        </w:rPr>
        <w:t>الإيرادات / (التكاليف) المالية</w:t>
      </w:r>
    </w:p>
    <w:p w14:paraId="080C803B" w14:textId="77777777" w:rsidR="002D5E5F" w:rsidRPr="00C32070" w:rsidRDefault="002D5E5F" w:rsidP="0055688F">
      <w:pPr>
        <w:rPr>
          <w:rtl/>
          <w:lang w:bidi="ar-EG"/>
        </w:rPr>
      </w:pPr>
      <w:r w:rsidRPr="00C32070">
        <w:rPr>
          <w:rtl/>
          <w:lang w:bidi="ar-EG"/>
        </w:rPr>
        <w:t xml:space="preserve">على النحو الوارد وصفه في الملاحظة </w:t>
      </w:r>
      <w:r w:rsidRPr="00C32070">
        <w:rPr>
          <w:cs/>
          <w:lang w:bidi="ar-EG"/>
        </w:rPr>
        <w:t>‎</w:t>
      </w:r>
      <w:r w:rsidRPr="00C32070">
        <w:rPr>
          <w:lang w:bidi="ar-EG"/>
        </w:rPr>
        <w:t>2</w:t>
      </w:r>
      <w:r w:rsidRPr="00C32070">
        <w:rPr>
          <w:rtl/>
          <w:lang w:bidi="ar-EG"/>
        </w:rPr>
        <w:t xml:space="preserve">‏، أعيد تقديم معلومات عام </w:t>
      </w:r>
      <w:r w:rsidRPr="00C32070">
        <w:rPr>
          <w:cs/>
          <w:lang w:bidi="ar-EG"/>
        </w:rPr>
        <w:t>‎</w:t>
      </w:r>
      <w:r w:rsidRPr="00C32070">
        <w:rPr>
          <w:lang w:bidi="ar-EG"/>
        </w:rPr>
        <w:t>2022</w:t>
      </w:r>
      <w:r w:rsidRPr="00C32070">
        <w:rPr>
          <w:rtl/>
          <w:lang w:bidi="ar-EG"/>
        </w:rPr>
        <w:t xml:space="preserve"> ‏الواردة في الجدول أدناه لإدراج التغير الإيجابي في صافي القيمة الحالة للقرض بمبلغ </w:t>
      </w:r>
      <w:r w:rsidRPr="00C32070">
        <w:rPr>
          <w:lang w:bidi="ar-EG"/>
        </w:rPr>
        <w:t>6,2</w:t>
      </w:r>
      <w:r w:rsidRPr="00C32070">
        <w:rPr>
          <w:rtl/>
          <w:lang w:bidi="ar-EG"/>
        </w:rPr>
        <w:t xml:space="preserve"> مليون فرنك سويسري (تغير سلبي بمبلغ </w:t>
      </w:r>
      <w:r w:rsidRPr="00C32070">
        <w:rPr>
          <w:lang w:bidi="ar-EG"/>
        </w:rPr>
        <w:t>4,1</w:t>
      </w:r>
      <w:r w:rsidRPr="00C32070">
        <w:rPr>
          <w:rtl/>
          <w:lang w:bidi="ar-EG"/>
        </w:rPr>
        <w:t xml:space="preserve"> مليون فرنك سويسري في 2023) بسبب انخفاض سعر سندات الاتحاد السويسري لمدة 30 عاماً على النحو الوارد وصفه في الملاحظة </w:t>
      </w:r>
      <w:r w:rsidRPr="00C32070">
        <w:rPr>
          <w:lang w:bidi="ar-EG"/>
        </w:rPr>
        <w:t>2.3</w:t>
      </w:r>
      <w:r w:rsidRPr="00C32070">
        <w:rPr>
          <w:rtl/>
          <w:lang w:bidi="ar-EG"/>
        </w:rPr>
        <w:t>.</w:t>
      </w:r>
    </w:p>
    <w:p w14:paraId="62A011BA" w14:textId="61A6DD6B" w:rsidR="002D5E5F" w:rsidRPr="00C32070" w:rsidRDefault="002D5E5F" w:rsidP="0055688F">
      <w:pPr>
        <w:rPr>
          <w:rtl/>
          <w:cs/>
          <w:lang w:bidi="ar-EG"/>
        </w:rPr>
      </w:pPr>
      <w:r w:rsidRPr="00C32070">
        <w:rPr>
          <w:rtl/>
          <w:lang w:bidi="ar-EG"/>
        </w:rPr>
        <w:t>‏إضافة</w:t>
      </w:r>
      <w:r w:rsidR="00137626" w:rsidRPr="00C32070">
        <w:rPr>
          <w:rtl/>
          <w:lang w:bidi="ar-EG"/>
        </w:rPr>
        <w:t>ً</w:t>
      </w:r>
      <w:r w:rsidRPr="00C32070">
        <w:rPr>
          <w:rtl/>
          <w:lang w:bidi="ar-EG"/>
        </w:rPr>
        <w:t xml:space="preserve"> إلى ذلك، وبهدف توفير مزيد من المعلومات النوعية، أعيد عرض مكاسب وخسائر ‏صرف العملات الأجنبية في عام </w:t>
      </w:r>
      <w:r w:rsidRPr="00C32070">
        <w:rPr>
          <w:cs/>
          <w:lang w:bidi="ar-EG"/>
        </w:rPr>
        <w:t>‎</w:t>
      </w:r>
      <w:r w:rsidRPr="00C32070">
        <w:rPr>
          <w:lang w:bidi="ar-EG"/>
        </w:rPr>
        <w:t>2022</w:t>
      </w:r>
      <w:r w:rsidRPr="00C32070">
        <w:rPr>
          <w:rtl/>
          <w:lang w:bidi="ar-EG"/>
        </w:rPr>
        <w:t xml:space="preserve"> لإظهار الآثار على الاستثمارات والعمليات بشكل منفصل.</w:t>
      </w:r>
      <w:r w:rsidRPr="00C32070">
        <w:rPr>
          <w:cs/>
          <w:lang w:bidi="ar-EG"/>
        </w:rPr>
        <w:t>‎</w:t>
      </w:r>
    </w:p>
    <w:p w14:paraId="31D4F28D" w14:textId="77777777" w:rsidR="002D5E5F" w:rsidRPr="00C32070" w:rsidRDefault="002D5E5F" w:rsidP="0055688F">
      <w:pPr>
        <w:spacing w:after="120"/>
        <w:rPr>
          <w:rtl/>
          <w:lang w:bidi="ar-EG"/>
        </w:rPr>
      </w:pPr>
      <w:r w:rsidRPr="00C32070">
        <w:rPr>
          <w:rtl/>
          <w:lang w:bidi="ar-EG"/>
        </w:rPr>
        <w:t xml:space="preserve">‏وارتفع سعر الفائدة على الودائع قصيرة الأجل بالدولار الأمريكي في عام </w:t>
      </w:r>
      <w:r w:rsidRPr="00C32070">
        <w:rPr>
          <w:cs/>
          <w:lang w:bidi="ar-EG"/>
        </w:rPr>
        <w:t>‎</w:t>
      </w:r>
      <w:r w:rsidRPr="00C32070">
        <w:rPr>
          <w:lang w:bidi="ar-EG"/>
        </w:rPr>
        <w:t>2023</w:t>
      </w:r>
      <w:r w:rsidRPr="00C32070">
        <w:rPr>
          <w:rtl/>
          <w:lang w:bidi="ar-EG"/>
        </w:rPr>
        <w:t xml:space="preserve">، ‏فسمح ذلك بوصول إيرادات الاستثمار إلى </w:t>
      </w:r>
      <w:r w:rsidRPr="00C32070">
        <w:rPr>
          <w:cs/>
          <w:lang w:bidi="ar-EG"/>
        </w:rPr>
        <w:t>‎</w:t>
      </w:r>
      <w:r w:rsidRPr="00C32070">
        <w:rPr>
          <w:lang w:bidi="ar-EG"/>
        </w:rPr>
        <w:t>4,6</w:t>
      </w:r>
      <w:r w:rsidRPr="00C32070">
        <w:rPr>
          <w:rtl/>
          <w:lang w:bidi="ar-EG"/>
        </w:rPr>
        <w:t xml:space="preserve"> ‏مليون فرنك سويسري، وهو ما يفسر الزيادة مقارنة بعام </w:t>
      </w:r>
      <w:r w:rsidRPr="00C32070">
        <w:rPr>
          <w:cs/>
          <w:lang w:bidi="ar-EG"/>
        </w:rPr>
        <w:t>‎</w:t>
      </w:r>
      <w:r w:rsidRPr="00C32070">
        <w:rPr>
          <w:lang w:bidi="ar-EG"/>
        </w:rPr>
        <w:t>2022</w:t>
      </w:r>
      <w:r w:rsidRPr="00C32070">
        <w:rPr>
          <w:rtl/>
          <w:lang w:bidi="ar-EG"/>
        </w:rPr>
        <w:t xml:space="preserve"> (1,5 ‏مليون فرنك سويسري). ويُحتفظ بالاستثمارات بالدولار الأمريكي، ونتيجة لذلك سجل الاتحاد في عام </w:t>
      </w:r>
      <w:r w:rsidRPr="00C32070">
        <w:rPr>
          <w:cs/>
          <w:lang w:bidi="ar-EG"/>
        </w:rPr>
        <w:t>‎</w:t>
      </w:r>
      <w:r w:rsidRPr="00C32070">
        <w:rPr>
          <w:lang w:bidi="ar-EG"/>
        </w:rPr>
        <w:t>2023</w:t>
      </w:r>
      <w:r w:rsidRPr="00C32070">
        <w:rPr>
          <w:rtl/>
          <w:lang w:bidi="ar-EG"/>
        </w:rPr>
        <w:t xml:space="preserve"> ‏خسائر بقيمة </w:t>
      </w:r>
      <w:r w:rsidRPr="00C32070">
        <w:rPr>
          <w:cs/>
          <w:lang w:bidi="ar-EG"/>
        </w:rPr>
        <w:t>‎</w:t>
      </w:r>
      <w:r w:rsidRPr="00C32070">
        <w:rPr>
          <w:lang w:bidi="ar-EG"/>
        </w:rPr>
        <w:t>3,6</w:t>
      </w:r>
      <w:r w:rsidRPr="00C32070">
        <w:rPr>
          <w:rtl/>
          <w:lang w:bidi="ar-EG"/>
        </w:rPr>
        <w:t xml:space="preserve"> ‏مليون فرنك سويسري في صرف العملات الأجنبية فيما يتعلق بالاستثمارات بسبب قوة الفرنك السويسري مقابل الدولار الأمريكي. وحقق الاتحاد في عام </w:t>
      </w:r>
      <w:r w:rsidRPr="00C32070">
        <w:rPr>
          <w:cs/>
          <w:lang w:bidi="ar-EG"/>
        </w:rPr>
        <w:t>‎</w:t>
      </w:r>
      <w:r w:rsidRPr="00C32070">
        <w:rPr>
          <w:lang w:bidi="ar-EG"/>
        </w:rPr>
        <w:t>2022</w:t>
      </w:r>
      <w:r w:rsidRPr="00C32070">
        <w:rPr>
          <w:rtl/>
          <w:lang w:bidi="ar-EG"/>
        </w:rPr>
        <w:t xml:space="preserve"> ‏مكاسب في صرف العملات الأجنبية بقيمة </w:t>
      </w:r>
      <w:r w:rsidRPr="00C32070">
        <w:rPr>
          <w:cs/>
          <w:lang w:bidi="ar-EG"/>
        </w:rPr>
        <w:t>‎</w:t>
      </w:r>
      <w:r w:rsidRPr="00C32070">
        <w:rPr>
          <w:lang w:bidi="ar-EG"/>
        </w:rPr>
        <w:t>2,3</w:t>
      </w:r>
      <w:r w:rsidRPr="00C32070">
        <w:rPr>
          <w:rtl/>
          <w:lang w:bidi="ar-EG"/>
        </w:rPr>
        <w:t xml:space="preserve"> ‏مليون فرنك سويسري.</w:t>
      </w:r>
    </w:p>
    <w:p w14:paraId="779669E0" w14:textId="7E4D8180" w:rsidR="00B031E2" w:rsidRDefault="00B031E2" w:rsidP="00B031E2">
      <w:pPr>
        <w:pStyle w:val="Figure"/>
      </w:pPr>
      <w:bookmarkStart w:id="561" w:name="_Toc452156653"/>
      <w:bookmarkStart w:id="562" w:name="_Toc419484092"/>
      <w:bookmarkStart w:id="563" w:name="_Toc387338371"/>
      <w:bookmarkStart w:id="564" w:name="_Toc387263396"/>
      <w:bookmarkStart w:id="565" w:name="_Toc482792228"/>
      <w:bookmarkStart w:id="566" w:name="_Toc482793733"/>
      <w:bookmarkStart w:id="567" w:name="_Toc511402249"/>
      <w:bookmarkStart w:id="568" w:name="_Toc511756686"/>
      <w:bookmarkStart w:id="569" w:name="_Toc9614804"/>
      <w:bookmarkStart w:id="570" w:name="_Toc42013558"/>
      <w:bookmarkStart w:id="571" w:name="_Toc42014561"/>
      <w:bookmarkStart w:id="572" w:name="_Toc74061594"/>
      <w:bookmarkStart w:id="573" w:name="_Toc162520641"/>
      <w:bookmarkStart w:id="574" w:name="_Toc358648569"/>
      <w:bookmarkStart w:id="575" w:name="_Toc358648370"/>
      <w:bookmarkStart w:id="576" w:name="_Toc329296042"/>
      <w:r w:rsidRPr="00B031E2">
        <w:rPr>
          <w:rtl/>
        </w:rPr>
        <w:lastRenderedPageBreak/>
        <w:drawing>
          <wp:inline distT="0" distB="0" distL="0" distR="0" wp14:anchorId="7F7A8E2B" wp14:editId="3E452948">
            <wp:extent cx="5733415" cy="26142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3415" cy="2614295"/>
                    </a:xfrm>
                    <a:prstGeom prst="rect">
                      <a:avLst/>
                    </a:prstGeom>
                    <a:noFill/>
                    <a:ln>
                      <a:noFill/>
                    </a:ln>
                  </pic:spPr>
                </pic:pic>
              </a:graphicData>
            </a:graphic>
          </wp:inline>
        </w:drawing>
      </w:r>
    </w:p>
    <w:p w14:paraId="0939F54B" w14:textId="6F6101FE" w:rsidR="002D5E5F" w:rsidRPr="00C32070" w:rsidRDefault="002D5E5F" w:rsidP="00DB3336">
      <w:pPr>
        <w:pStyle w:val="Heading5"/>
        <w:rPr>
          <w:rtl/>
        </w:rPr>
      </w:pPr>
      <w:bookmarkStart w:id="577" w:name="_Toc168657587"/>
      <w:r w:rsidRPr="00C32070">
        <w:rPr>
          <w:rtl/>
        </w:rPr>
        <w:t xml:space="preserve">الملاحظة </w:t>
      </w:r>
      <w:r w:rsidRPr="00C32070">
        <w:t>22</w:t>
      </w:r>
      <w:r w:rsidRPr="00C32070">
        <w:rPr>
          <w:rtl/>
        </w:rPr>
        <w:tab/>
        <w:t>النفقات</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7"/>
    </w:p>
    <w:p w14:paraId="0F83E7FC" w14:textId="77777777" w:rsidR="002D5E5F" w:rsidRPr="00C32070" w:rsidRDefault="002D5E5F" w:rsidP="00F72B70">
      <w:pPr>
        <w:pStyle w:val="Headingb"/>
        <w:rPr>
          <w:rtl/>
        </w:rPr>
      </w:pPr>
      <w:bookmarkStart w:id="578" w:name="_Toc452156654"/>
      <w:bookmarkStart w:id="579" w:name="_Toc419484093"/>
      <w:bookmarkStart w:id="580" w:name="_Toc74061595"/>
      <w:r w:rsidRPr="00C32070">
        <w:rPr>
          <w:rtl/>
        </w:rPr>
        <w:t>تكاليف الموظفين</w:t>
      </w:r>
      <w:bookmarkEnd w:id="574"/>
      <w:bookmarkEnd w:id="575"/>
      <w:bookmarkEnd w:id="576"/>
      <w:bookmarkEnd w:id="578"/>
      <w:bookmarkEnd w:id="579"/>
      <w:bookmarkEnd w:id="580"/>
    </w:p>
    <w:p w14:paraId="526768B1" w14:textId="77777777" w:rsidR="002D5E5F" w:rsidRPr="00C32070" w:rsidRDefault="002D5E5F" w:rsidP="0055688F">
      <w:pPr>
        <w:rPr>
          <w:spacing w:val="-1"/>
          <w:rtl/>
        </w:rPr>
      </w:pPr>
      <w:r w:rsidRPr="00C32070">
        <w:rPr>
          <w:spacing w:val="-1"/>
          <w:rtl/>
          <w:lang w:bidi="ar-EG"/>
        </w:rPr>
        <w:t>تشمل تكاليف الموظفين كل الأجور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r w:rsidRPr="00C32070">
        <w:rPr>
          <w:spacing w:val="-1"/>
          <w:rtl/>
          <w:lang w:bidi="ar-SY"/>
        </w:rPr>
        <w:t xml:space="preserve"> وترتبط تسوية التأمين الصحي بعد انتهاء الخدمة </w:t>
      </w:r>
      <w:r w:rsidRPr="00C32070">
        <w:rPr>
          <w:spacing w:val="-1"/>
          <w:lang w:bidi="ar-SY"/>
        </w:rPr>
        <w:t>(ASHI)</w:t>
      </w:r>
      <w:r w:rsidRPr="00C32070">
        <w:rPr>
          <w:spacing w:val="-1"/>
          <w:rtl/>
        </w:rPr>
        <w:t xml:space="preserve"> بصافي تكاليف الخدمة. وتمثل الزيادة في التزامات التأمين الصحي </w:t>
      </w:r>
      <w:r w:rsidRPr="00C32070">
        <w:rPr>
          <w:spacing w:val="-1"/>
          <w:rtl/>
          <w:lang w:bidi="ar-SY"/>
        </w:rPr>
        <w:t xml:space="preserve">بعد انتهاء الخدمة </w:t>
      </w:r>
      <w:r w:rsidRPr="00C32070">
        <w:rPr>
          <w:spacing w:val="-1"/>
          <w:rtl/>
        </w:rPr>
        <w:t xml:space="preserve">خلال المدة المحسوبة في الدراسة </w:t>
      </w:r>
      <w:proofErr w:type="spellStart"/>
      <w:r w:rsidRPr="00C32070">
        <w:rPr>
          <w:spacing w:val="-1"/>
          <w:rtl/>
        </w:rPr>
        <w:t>الإكتوارية</w:t>
      </w:r>
      <w:proofErr w:type="spellEnd"/>
      <w:r w:rsidRPr="00C32070">
        <w:rPr>
          <w:spacing w:val="-1"/>
          <w:rtl/>
        </w:rPr>
        <w:t xml:space="preserve"> لعام 2023، وفقاً للمعيار </w:t>
      </w:r>
      <w:r w:rsidRPr="00C32070">
        <w:rPr>
          <w:spacing w:val="-1"/>
        </w:rPr>
        <w:t>IPSAS 39</w:t>
      </w:r>
      <w:r w:rsidRPr="00C32070">
        <w:rPr>
          <w:spacing w:val="-1"/>
          <w:rtl/>
        </w:rPr>
        <w:t>.</w:t>
      </w:r>
    </w:p>
    <w:p w14:paraId="64282657" w14:textId="77777777" w:rsidR="002D5E5F" w:rsidRPr="00C32070" w:rsidRDefault="002D5E5F" w:rsidP="0055688F">
      <w:pPr>
        <w:rPr>
          <w:rtl/>
          <w:lang w:bidi="ar-SY"/>
        </w:rPr>
      </w:pPr>
      <w:r w:rsidRPr="00C32070">
        <w:rPr>
          <w:rtl/>
          <w:lang w:bidi="ar-SY"/>
        </w:rPr>
        <w:t>وانخفضت تكاليف الموظفين عموماً بشكل طفيف في عام 2023. ويعزى هذا الانخفاض بشكل كبير إلى ما يلي:</w:t>
      </w:r>
    </w:p>
    <w:p w14:paraId="30449333" w14:textId="77777777" w:rsidR="00DE66D0" w:rsidRPr="00C32070" w:rsidRDefault="002D5E5F" w:rsidP="002D5E5F">
      <w:pPr>
        <w:pStyle w:val="enumlev1"/>
        <w:rPr>
          <w:rtl/>
        </w:rPr>
      </w:pPr>
      <w:r w:rsidRPr="00C32070">
        <w:sym w:font="Symbol" w:char="F0B7"/>
      </w:r>
      <w:r w:rsidRPr="00C32070">
        <w:rPr>
          <w:rtl/>
        </w:rPr>
        <w:tab/>
        <w:t>انخفاض في المرتبات والبدلات – (</w:t>
      </w:r>
      <w:r w:rsidRPr="00C32070">
        <w:t>3,2</w:t>
      </w:r>
      <w:r w:rsidRPr="00C32070">
        <w:rPr>
          <w:rtl/>
          <w:lang w:bidi="ar-SA"/>
        </w:rPr>
        <w:t xml:space="preserve"> مليون فرنك سويسري)</w:t>
      </w:r>
      <w:r w:rsidRPr="00C32070">
        <w:rPr>
          <w:rtl/>
        </w:rPr>
        <w:t>؛</w:t>
      </w:r>
    </w:p>
    <w:p w14:paraId="6F40B7C3" w14:textId="27061AF3" w:rsidR="002D5E5F" w:rsidRPr="00C32070" w:rsidRDefault="002D5E5F" w:rsidP="002D5E5F">
      <w:pPr>
        <w:pStyle w:val="enumlev1"/>
        <w:rPr>
          <w:rtl/>
        </w:rPr>
      </w:pPr>
      <w:r w:rsidRPr="00C32070">
        <w:sym w:font="Symbol" w:char="F0B7"/>
      </w:r>
      <w:r w:rsidRPr="00C32070">
        <w:rPr>
          <w:rtl/>
        </w:rPr>
        <w:tab/>
        <w:t xml:space="preserve">انخفاض في تسوية التأمين الصحي </w:t>
      </w:r>
      <w:r w:rsidRPr="00C32070">
        <w:rPr>
          <w:rtl/>
          <w:lang w:bidi="ar-SA"/>
        </w:rPr>
        <w:t>بعد انتهاء الخدمة – (</w:t>
      </w:r>
      <w:r w:rsidRPr="00C32070">
        <w:rPr>
          <w:lang w:bidi="ar-SA"/>
        </w:rPr>
        <w:t>2,4</w:t>
      </w:r>
      <w:r w:rsidRPr="00C32070">
        <w:rPr>
          <w:rtl/>
          <w:lang w:bidi="ar-SA"/>
        </w:rPr>
        <w:t xml:space="preserve"> مليون فرنك سويسري)</w:t>
      </w:r>
      <w:r w:rsidRPr="00C32070">
        <w:rPr>
          <w:rtl/>
        </w:rPr>
        <w:t>؛ قابلته</w:t>
      </w:r>
    </w:p>
    <w:p w14:paraId="20D69F84" w14:textId="77777777" w:rsidR="002D5E5F" w:rsidRPr="00C32070" w:rsidRDefault="002D5E5F" w:rsidP="002D5E5F">
      <w:pPr>
        <w:pStyle w:val="enumlev1"/>
        <w:spacing w:after="120"/>
        <w:rPr>
          <w:rtl/>
          <w:lang w:bidi="ar-SA"/>
        </w:rPr>
      </w:pPr>
      <w:r w:rsidRPr="00C32070">
        <w:sym w:font="Symbol" w:char="F0B7"/>
      </w:r>
      <w:r w:rsidRPr="00C32070">
        <w:rPr>
          <w:rtl/>
        </w:rPr>
        <w:tab/>
        <w:t>زيادة في نفقات أخرى – (</w:t>
      </w:r>
      <w:r w:rsidRPr="00C32070">
        <w:t>3,2</w:t>
      </w:r>
      <w:r w:rsidRPr="00C32070">
        <w:rPr>
          <w:rtl/>
          <w:lang w:bidi="ar-SA"/>
        </w:rPr>
        <w:t xml:space="preserve"> مليون فرنك سويسري)، تتعلق في معظمها ببرنامج الإنهاء الطوعي للخدمة.</w:t>
      </w:r>
    </w:p>
    <w:p w14:paraId="20D3C38C" w14:textId="00949264" w:rsidR="0057357E" w:rsidRDefault="0057357E" w:rsidP="0057357E">
      <w:pPr>
        <w:pStyle w:val="Figure"/>
        <w:rPr>
          <w:lang w:val="en-GB" w:eastAsia="en-GB"/>
        </w:rPr>
      </w:pPr>
      <w:r w:rsidRPr="0057357E">
        <w:rPr>
          <w:rtl/>
        </w:rPr>
        <w:drawing>
          <wp:inline distT="0" distB="0" distL="0" distR="0" wp14:anchorId="17EA9988" wp14:editId="7FF54CE9">
            <wp:extent cx="5733415" cy="2984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3415" cy="2984500"/>
                    </a:xfrm>
                    <a:prstGeom prst="rect">
                      <a:avLst/>
                    </a:prstGeom>
                    <a:noFill/>
                    <a:ln>
                      <a:noFill/>
                    </a:ln>
                  </pic:spPr>
                </pic:pic>
              </a:graphicData>
            </a:graphic>
          </wp:inline>
        </w:drawing>
      </w:r>
    </w:p>
    <w:p w14:paraId="7E34FFE1" w14:textId="769081E2" w:rsidR="002D5E5F" w:rsidRPr="00C32070" w:rsidRDefault="002D5E5F" w:rsidP="00F72B70">
      <w:pPr>
        <w:pStyle w:val="Headingb"/>
        <w:rPr>
          <w:rtl/>
          <w:lang w:val="en-GB" w:eastAsia="en-GB"/>
        </w:rPr>
      </w:pPr>
      <w:r w:rsidRPr="00C32070">
        <w:rPr>
          <w:rtl/>
          <w:lang w:val="en-GB" w:eastAsia="en-GB"/>
        </w:rPr>
        <w:lastRenderedPageBreak/>
        <w:t>التكاليف غير المتعلقة بالموظفين</w:t>
      </w:r>
    </w:p>
    <w:p w14:paraId="524965E1" w14:textId="77777777" w:rsidR="002D5E5F" w:rsidRPr="00C32070" w:rsidRDefault="002D5E5F" w:rsidP="002D5E5F">
      <w:pPr>
        <w:pStyle w:val="HeadingI"/>
        <w:rPr>
          <w:rtl/>
        </w:rPr>
      </w:pPr>
      <w:bookmarkStart w:id="581" w:name="_Toc452156655"/>
      <w:bookmarkStart w:id="582" w:name="_Toc74061596"/>
      <w:r w:rsidRPr="00C32070">
        <w:rPr>
          <w:rtl/>
        </w:rPr>
        <w:t>نفقات المهام الرسمية</w:t>
      </w:r>
      <w:bookmarkEnd w:id="581"/>
      <w:bookmarkEnd w:id="582"/>
    </w:p>
    <w:p w14:paraId="3070EF61" w14:textId="77777777" w:rsidR="00DE66D0" w:rsidRPr="00C32070" w:rsidRDefault="002D5E5F" w:rsidP="0055688F">
      <w:pPr>
        <w:rPr>
          <w:rtl/>
          <w:lang w:bidi="ar-SY"/>
        </w:rPr>
      </w:pPr>
      <w:r w:rsidRPr="00C32070">
        <w:rPr>
          <w:rtl/>
          <w:lang w:bidi="ar-SY"/>
        </w:rPr>
        <w:t xml:space="preserve">في عام 2022، رُفعت معظم القيود المفروضة على السفر بسبب جائحة كوفيد-19 مما سمح بإيفاد بعثات على النحو المخطط له. واستمر هذا الاتجاه في عام 2023 وارتفعت تكاليف السفر بمقدار </w:t>
      </w:r>
      <w:r w:rsidRPr="00C32070">
        <w:rPr>
          <w:lang w:bidi="ar-SY"/>
        </w:rPr>
        <w:t>2,2</w:t>
      </w:r>
      <w:r w:rsidRPr="00C32070">
        <w:rPr>
          <w:rtl/>
        </w:rPr>
        <w:t xml:space="preserve"> مليون فرنك سويسري لتصل إلى مستويات نفقات المهام الرسمية البالغة </w:t>
      </w:r>
      <w:r w:rsidRPr="00C32070">
        <w:t>7,8</w:t>
      </w:r>
      <w:r w:rsidRPr="00C32070">
        <w:rPr>
          <w:rtl/>
        </w:rPr>
        <w:t xml:space="preserve"> مليون فرنك سويسري.</w:t>
      </w:r>
    </w:p>
    <w:p w14:paraId="0C8B2502" w14:textId="51CFEAD6" w:rsidR="002D5E5F" w:rsidRPr="00C32070" w:rsidRDefault="002D5E5F" w:rsidP="002D5E5F">
      <w:pPr>
        <w:pStyle w:val="HeadingI"/>
        <w:rPr>
          <w:rtl/>
        </w:rPr>
      </w:pPr>
      <w:bookmarkStart w:id="583" w:name="_Toc452156656"/>
      <w:bookmarkStart w:id="584" w:name="_Toc74061597"/>
      <w:r w:rsidRPr="00C32070">
        <w:rPr>
          <w:rtl/>
        </w:rPr>
        <w:t>الخدمات التعاقدية</w:t>
      </w:r>
      <w:bookmarkEnd w:id="583"/>
      <w:bookmarkEnd w:id="584"/>
    </w:p>
    <w:p w14:paraId="5F8A9FB4" w14:textId="77777777" w:rsidR="00DE66D0" w:rsidRPr="00C32070" w:rsidRDefault="002D5E5F" w:rsidP="0055688F">
      <w:pPr>
        <w:rPr>
          <w:rtl/>
          <w:lang w:bidi="ar-EG"/>
        </w:rPr>
      </w:pPr>
      <w:r w:rsidRPr="00C32070">
        <w:rPr>
          <w:rtl/>
          <w:lang w:bidi="ar-EG"/>
        </w:rPr>
        <w:t>تدخل في هذه الفئة كل الأتعاب والرسوم والنفقات التي تُدفع إلى الشركات التي تزود الاستشاريين في إطار اتفاقات وترتيبات تعاقدية. وتدخل في هذه الفئة أيضاً اتفاقات الخدمات الخاصة والنفقات المرتبطة بدورات تدريس اللغات في إطار التدريب المهني، وكذلك تكاليف خدمات التعاقد من الباطن.</w:t>
      </w:r>
    </w:p>
    <w:p w14:paraId="0B75A888" w14:textId="2C840398" w:rsidR="002D5E5F" w:rsidRPr="00C32070" w:rsidRDefault="002D5E5F" w:rsidP="002D5E5F">
      <w:pPr>
        <w:pStyle w:val="HeadingI"/>
        <w:rPr>
          <w:rtl/>
        </w:rPr>
      </w:pPr>
      <w:bookmarkStart w:id="585" w:name="_Toc452156657"/>
      <w:bookmarkStart w:id="586" w:name="_Toc419484096"/>
      <w:bookmarkStart w:id="587" w:name="_Toc358648572"/>
      <w:bookmarkStart w:id="588" w:name="_Toc358648373"/>
      <w:bookmarkStart w:id="589" w:name="_Toc329296045"/>
      <w:bookmarkStart w:id="590" w:name="_Toc74061598"/>
      <w:r w:rsidRPr="00C32070">
        <w:rPr>
          <w:rtl/>
        </w:rPr>
        <w:t>استئجار وصيانة الأماكن والمعدات</w:t>
      </w:r>
      <w:bookmarkEnd w:id="585"/>
      <w:bookmarkEnd w:id="586"/>
      <w:bookmarkEnd w:id="587"/>
      <w:bookmarkEnd w:id="588"/>
      <w:bookmarkEnd w:id="589"/>
      <w:bookmarkEnd w:id="590"/>
    </w:p>
    <w:p w14:paraId="3BCF21D4" w14:textId="77777777" w:rsidR="002D5E5F" w:rsidRPr="00C32070" w:rsidRDefault="002D5E5F" w:rsidP="0055688F">
      <w:pPr>
        <w:rPr>
          <w:rtl/>
          <w:lang w:bidi="ar-SY"/>
        </w:rPr>
      </w:pPr>
      <w:r w:rsidRPr="00C32070">
        <w:rPr>
          <w:rtl/>
          <w:lang w:bidi="ar-EG"/>
        </w:rPr>
        <w:t xml:space="preserve">بلغت تكاليف الاستئجار والمعدات </w:t>
      </w:r>
      <w:r w:rsidRPr="00C32070">
        <w:rPr>
          <w:lang w:bidi="ar-EG"/>
        </w:rPr>
        <w:t>3,5</w:t>
      </w:r>
      <w:r w:rsidRPr="00C32070">
        <w:rPr>
          <w:rtl/>
          <w:lang w:bidi="ar-SY"/>
        </w:rPr>
        <w:t xml:space="preserve"> مليون فرنك سويسري</w:t>
      </w:r>
      <w:r w:rsidRPr="00C32070">
        <w:rPr>
          <w:rtl/>
          <w:lang w:bidi="ar-EG"/>
        </w:rPr>
        <w:t xml:space="preserve"> في 2023 (مقابل </w:t>
      </w:r>
      <w:r w:rsidRPr="00C32070">
        <w:rPr>
          <w:lang w:bidi="ar-SY"/>
        </w:rPr>
        <w:t>2,8</w:t>
      </w:r>
      <w:r w:rsidRPr="00C32070">
        <w:rPr>
          <w:rtl/>
          <w:lang w:bidi="ar-SY"/>
        </w:rPr>
        <w:t> مليون فرنك سويسري في 2022). وتفسَر هذه الزيادة بنسبة 24% بالجمعية العالمية لتقييس الاتصالات الذي عُقدت في مركز جنيف الدولي للمؤتمرات حيث استؤجر المكان وكذلك المعدات السمعية المرئية.</w:t>
      </w:r>
    </w:p>
    <w:p w14:paraId="1451933E" w14:textId="77777777" w:rsidR="002D5E5F" w:rsidRPr="00C32070" w:rsidRDefault="002D5E5F" w:rsidP="002D5E5F">
      <w:pPr>
        <w:pStyle w:val="HeadingI"/>
        <w:rPr>
          <w:rtl/>
          <w:lang w:bidi="ar-SY"/>
        </w:rPr>
      </w:pPr>
      <w:r w:rsidRPr="00C32070">
        <w:rPr>
          <w:rtl/>
        </w:rPr>
        <w:t>الإهلاك وخسائر انخفاض القيمة</w:t>
      </w:r>
    </w:p>
    <w:p w14:paraId="188A611B" w14:textId="77777777" w:rsidR="002D5E5F" w:rsidRPr="00C32070" w:rsidRDefault="002D5E5F" w:rsidP="0055688F">
      <w:pPr>
        <w:rPr>
          <w:rtl/>
        </w:rPr>
      </w:pPr>
      <w:r w:rsidRPr="00C32070">
        <w:rPr>
          <w:rtl/>
        </w:rPr>
        <w:t xml:space="preserve">انخفض الإهلاك بمقدار </w:t>
      </w:r>
      <w:r w:rsidRPr="00C32070">
        <w:t>3,8</w:t>
      </w:r>
      <w:r w:rsidRPr="00C32070">
        <w:rPr>
          <w:rtl/>
        </w:rPr>
        <w:t xml:space="preserve"> مليون فرنك سويسري نظراً لإهلاك مبنى </w:t>
      </w:r>
      <w:proofErr w:type="spellStart"/>
      <w:r w:rsidRPr="00C32070">
        <w:rPr>
          <w:rtl/>
        </w:rPr>
        <w:t>فارامبيه</w:t>
      </w:r>
      <w:proofErr w:type="spellEnd"/>
      <w:r w:rsidRPr="00C32070">
        <w:rPr>
          <w:rtl/>
        </w:rPr>
        <w:t xml:space="preserve"> تماماً في 2022 وعدم إدراجه بالتالي في تكاليف الإهلاك لعام 2023.</w:t>
      </w:r>
    </w:p>
    <w:p w14:paraId="0FBC0966" w14:textId="77777777" w:rsidR="002D5E5F" w:rsidRPr="00C32070" w:rsidRDefault="002D5E5F" w:rsidP="002D5E5F">
      <w:pPr>
        <w:pStyle w:val="HeadingI"/>
        <w:rPr>
          <w:rtl/>
        </w:rPr>
      </w:pPr>
      <w:r w:rsidRPr="00C32070">
        <w:rPr>
          <w:rtl/>
        </w:rPr>
        <w:t>نفقات أخرى</w:t>
      </w:r>
    </w:p>
    <w:p w14:paraId="085E3F97" w14:textId="5EAD86DB" w:rsidR="00DE66D0" w:rsidRPr="00C32070" w:rsidRDefault="002D5E5F" w:rsidP="0055688F">
      <w:pPr>
        <w:spacing w:after="120"/>
        <w:rPr>
          <w:rtl/>
          <w:lang w:bidi="ar-EG"/>
        </w:rPr>
      </w:pPr>
      <w:r w:rsidRPr="00C32070">
        <w:rPr>
          <w:rtl/>
          <w:lang w:bidi="ar-EG"/>
        </w:rPr>
        <w:t xml:space="preserve">‏يمكن أن تعزى الزيادة في النفقات الأخرى بمقدار </w:t>
      </w:r>
      <w:r w:rsidRPr="00C32070">
        <w:rPr>
          <w:cs/>
          <w:lang w:bidi="ar-EG"/>
        </w:rPr>
        <w:t>‎</w:t>
      </w:r>
      <w:r w:rsidRPr="00C32070">
        <w:rPr>
          <w:lang w:bidi="ar-EG"/>
        </w:rPr>
        <w:t>1,7</w:t>
      </w:r>
      <w:r w:rsidRPr="00C32070">
        <w:rPr>
          <w:rtl/>
          <w:lang w:bidi="ar-EG"/>
        </w:rPr>
        <w:t xml:space="preserve"> ‏مليون فرنك سويسري مقارنة</w:t>
      </w:r>
      <w:r w:rsidR="000C2A1A" w:rsidRPr="00C32070">
        <w:rPr>
          <w:rtl/>
          <w:lang w:bidi="ar-EG"/>
        </w:rPr>
        <w:t>ً</w:t>
      </w:r>
      <w:r w:rsidRPr="00C32070">
        <w:rPr>
          <w:rtl/>
          <w:lang w:bidi="ar-EG"/>
        </w:rPr>
        <w:t xml:space="preserve"> بعام </w:t>
      </w:r>
      <w:r w:rsidRPr="00C32070">
        <w:rPr>
          <w:cs/>
          <w:lang w:bidi="ar-EG"/>
        </w:rPr>
        <w:t>‎</w:t>
      </w:r>
      <w:r w:rsidRPr="00C32070">
        <w:rPr>
          <w:lang w:bidi="ar-EG"/>
        </w:rPr>
        <w:t>2022</w:t>
      </w:r>
      <w:r w:rsidRPr="00C32070">
        <w:rPr>
          <w:rtl/>
          <w:lang w:bidi="ar-EG"/>
        </w:rPr>
        <w:t xml:space="preserve"> ‏إلى عاملين رئيسيين. أولاً، كان رصيد الديون المشكوك في تحصيلها في عام </w:t>
      </w:r>
      <w:r w:rsidRPr="00C32070">
        <w:rPr>
          <w:cs/>
          <w:lang w:bidi="ar-EG"/>
        </w:rPr>
        <w:t>‎</w:t>
      </w:r>
      <w:r w:rsidRPr="00C32070">
        <w:rPr>
          <w:lang w:bidi="ar-EG"/>
        </w:rPr>
        <w:t>2022</w:t>
      </w:r>
      <w:r w:rsidRPr="00C32070">
        <w:rPr>
          <w:rtl/>
          <w:lang w:bidi="ar-EG"/>
        </w:rPr>
        <w:t xml:space="preserve">‏ أقل بكثير نتيجة لسداد الدول الأعضاء للمساهمات المقررة من أجل الاحتفاظ بحقوقها في التصويت تحسباً لمؤتمر المندوبين المفوضين. ثانياً، في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2023</w:t>
      </w:r>
      <w:r w:rsidRPr="00C32070">
        <w:rPr>
          <w:rtl/>
          <w:lang w:bidi="ar-EG"/>
        </w:rPr>
        <w:t xml:space="preserve">‏، بلغت الزيادة في رصيد الديون المشكوك في تحصيلها </w:t>
      </w:r>
      <w:r w:rsidRPr="00C32070">
        <w:rPr>
          <w:cs/>
          <w:lang w:bidi="ar-EG"/>
        </w:rPr>
        <w:t>‎</w:t>
      </w:r>
      <w:r w:rsidRPr="00C32070">
        <w:rPr>
          <w:lang w:bidi="ar-EG"/>
        </w:rPr>
        <w:t>1,7</w:t>
      </w:r>
      <w:r w:rsidRPr="00C32070">
        <w:rPr>
          <w:rtl/>
          <w:lang w:bidi="ar-EG"/>
        </w:rPr>
        <w:t xml:space="preserve"> ‏مليون فرنك سويسري من مجموع النفقات الأخرى البالغ </w:t>
      </w:r>
      <w:r w:rsidRPr="00C32070">
        <w:rPr>
          <w:cs/>
          <w:lang w:bidi="ar-EG"/>
        </w:rPr>
        <w:t>‎</w:t>
      </w:r>
      <w:r w:rsidRPr="00C32070">
        <w:rPr>
          <w:lang w:bidi="ar-EG"/>
        </w:rPr>
        <w:t>1,8</w:t>
      </w:r>
      <w:r w:rsidRPr="00C32070">
        <w:rPr>
          <w:rtl/>
          <w:lang w:bidi="ar-EG"/>
        </w:rPr>
        <w:t xml:space="preserve"> ‏مليون فرنك سويسري. وقد أدى هذان العاملان معاً إلى الفرق في النفقات الأخرى عن السنة السابقة.</w:t>
      </w:r>
    </w:p>
    <w:p w14:paraId="44C62584" w14:textId="77777777" w:rsidR="0057357E" w:rsidRDefault="0057357E" w:rsidP="0057357E">
      <w:pPr>
        <w:pStyle w:val="Figure"/>
      </w:pPr>
      <w:r w:rsidRPr="0057357E">
        <w:rPr>
          <w:rtl/>
        </w:rPr>
        <w:drawing>
          <wp:inline distT="0" distB="0" distL="0" distR="0" wp14:anchorId="0CD90FC6" wp14:editId="36DE0A39">
            <wp:extent cx="5733415" cy="27374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3415" cy="2737485"/>
                    </a:xfrm>
                    <a:prstGeom prst="rect">
                      <a:avLst/>
                    </a:prstGeom>
                    <a:noFill/>
                    <a:ln>
                      <a:noFill/>
                    </a:ln>
                  </pic:spPr>
                </pic:pic>
              </a:graphicData>
            </a:graphic>
          </wp:inline>
        </w:drawing>
      </w:r>
    </w:p>
    <w:p w14:paraId="30099BDA" w14:textId="77777777" w:rsidR="0057357E" w:rsidRDefault="0057357E" w:rsidP="0057357E"/>
    <w:p w14:paraId="1CCE4742" w14:textId="009A06F5" w:rsidR="0057357E" w:rsidRPr="00C32070" w:rsidRDefault="0057357E" w:rsidP="0057357E">
      <w:pPr>
        <w:rPr>
          <w:rtl/>
        </w:rPr>
        <w:sectPr w:rsidR="0057357E" w:rsidRPr="00C32070" w:rsidSect="00DB21A5">
          <w:headerReference w:type="default" r:id="rId73"/>
          <w:footerReference w:type="default" r:id="rId74"/>
          <w:pgSz w:w="11907" w:h="16840" w:code="9"/>
          <w:pgMar w:top="1418" w:right="1134" w:bottom="1134" w:left="1134" w:header="709" w:footer="709" w:gutter="0"/>
          <w:cols w:space="708"/>
          <w:docGrid w:linePitch="360"/>
        </w:sectPr>
      </w:pPr>
    </w:p>
    <w:p w14:paraId="30906527" w14:textId="77777777" w:rsidR="002D5E5F" w:rsidRPr="00C32070" w:rsidRDefault="002D5E5F" w:rsidP="00DB3336">
      <w:pPr>
        <w:pStyle w:val="Heading5"/>
      </w:pPr>
      <w:bookmarkStart w:id="591" w:name="_Toc74061602"/>
      <w:bookmarkStart w:id="592" w:name="_Toc162520642"/>
      <w:bookmarkStart w:id="593" w:name="_Toc168657588"/>
      <w:bookmarkStart w:id="594" w:name="_Hlk167960712"/>
      <w:r w:rsidRPr="00C32070">
        <w:rPr>
          <w:rtl/>
        </w:rPr>
        <w:lastRenderedPageBreak/>
        <w:t xml:space="preserve">الملاحظة </w:t>
      </w:r>
      <w:r w:rsidRPr="00C32070">
        <w:t>23</w:t>
      </w:r>
      <w:r w:rsidRPr="00C32070">
        <w:rPr>
          <w:rtl/>
        </w:rPr>
        <w:tab/>
        <w:t xml:space="preserve">الإبلاغ بحسب الأبواب – بيان الأداء المالي </w:t>
      </w:r>
      <w:bookmarkEnd w:id="591"/>
      <w:bookmarkEnd w:id="592"/>
      <w:r w:rsidRPr="00C32070">
        <w:t>2023</w:t>
      </w:r>
      <w:bookmarkEnd w:id="593"/>
    </w:p>
    <w:bookmarkEnd w:id="594"/>
    <w:p w14:paraId="6A23178C" w14:textId="78B2AFCA" w:rsidR="006A155E" w:rsidRDefault="006A155E" w:rsidP="006A155E">
      <w:pPr>
        <w:pStyle w:val="Figure"/>
        <w:rPr>
          <w:i/>
          <w:iCs/>
          <w:sz w:val="20"/>
          <w:szCs w:val="20"/>
          <w:lang w:bidi="ar-EG"/>
        </w:rPr>
      </w:pPr>
      <w:r>
        <w:rPr>
          <w:lang w:bidi="ar-EG"/>
        </w:rPr>
        <w:drawing>
          <wp:inline distT="0" distB="0" distL="0" distR="0" wp14:anchorId="62F81D89" wp14:editId="1DF0E9FF">
            <wp:extent cx="9718978" cy="5131558"/>
            <wp:effectExtent l="0" t="0" r="0" b="0"/>
            <wp:docPr id="55" name="Picture 55"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ue and white rectangular object with text&#10;&#10;Description automatically generated"/>
                    <pic:cNvPicPr/>
                  </pic:nvPicPr>
                  <pic:blipFill rotWithShape="1">
                    <a:blip r:embed="rId75">
                      <a:extLst>
                        <a:ext uri="{28A0092B-C50C-407E-A947-70E740481C1C}">
                          <a14:useLocalDpi xmlns:a14="http://schemas.microsoft.com/office/drawing/2010/main" val="0"/>
                        </a:ext>
                      </a:extLst>
                    </a:blip>
                    <a:srcRect l="2814" t="6250" r="3051" b="23464"/>
                    <a:stretch/>
                  </pic:blipFill>
                  <pic:spPr bwMode="auto">
                    <a:xfrm>
                      <a:off x="0" y="0"/>
                      <a:ext cx="9743478" cy="5144494"/>
                    </a:xfrm>
                    <a:prstGeom prst="rect">
                      <a:avLst/>
                    </a:prstGeom>
                    <a:ln>
                      <a:noFill/>
                    </a:ln>
                    <a:extLst>
                      <a:ext uri="{53640926-AAD7-44D8-BBD7-CCE9431645EC}">
                        <a14:shadowObscured xmlns:a14="http://schemas.microsoft.com/office/drawing/2010/main"/>
                      </a:ext>
                    </a:extLst>
                  </pic:spPr>
                </pic:pic>
              </a:graphicData>
            </a:graphic>
          </wp:inline>
        </w:drawing>
      </w:r>
    </w:p>
    <w:p w14:paraId="58AB4633" w14:textId="0548AA1C" w:rsidR="002D5E5F" w:rsidRPr="00C32070" w:rsidRDefault="002D5E5F" w:rsidP="0057357E">
      <w:pPr>
        <w:rPr>
          <w:lang w:bidi="ar-EG"/>
        </w:rPr>
      </w:pPr>
      <w:r w:rsidRPr="0057357E">
        <w:rPr>
          <w:i/>
          <w:iCs/>
          <w:sz w:val="20"/>
          <w:szCs w:val="20"/>
          <w:rtl/>
          <w:lang w:bidi="ar-EG"/>
        </w:rPr>
        <w:t xml:space="preserve">يشمل استبعاد العمليات المشتركة تكاليف الدعم (الدعم الإداري والتشغيلي </w:t>
      </w:r>
      <w:r w:rsidRPr="0057357E">
        <w:rPr>
          <w:i/>
          <w:iCs/>
          <w:sz w:val="20"/>
          <w:szCs w:val="20"/>
          <w:lang w:bidi="ar-EG"/>
        </w:rPr>
        <w:t>(AOS)</w:t>
      </w:r>
      <w:r w:rsidRPr="0057357E">
        <w:rPr>
          <w:i/>
          <w:iCs/>
          <w:sz w:val="20"/>
          <w:szCs w:val="20"/>
          <w:rtl/>
        </w:rPr>
        <w:t>) المفروضة على المشاريع والمحوَّلة إلى ميزانية الاتحاد العادية.</w:t>
      </w:r>
    </w:p>
    <w:p w14:paraId="3DB102EC" w14:textId="77777777" w:rsidR="002D5E5F" w:rsidRPr="00C32070" w:rsidRDefault="002D5E5F" w:rsidP="002D5E5F">
      <w:pPr>
        <w:rPr>
          <w:rtl/>
        </w:rPr>
        <w:sectPr w:rsidR="002D5E5F" w:rsidRPr="00C32070" w:rsidSect="00DB3336">
          <w:footerReference w:type="default" r:id="rId76"/>
          <w:pgSz w:w="16840" w:h="11907" w:orient="landscape" w:code="9"/>
          <w:pgMar w:top="851" w:right="567" w:bottom="567" w:left="567" w:header="709" w:footer="709" w:gutter="0"/>
          <w:cols w:space="708"/>
          <w:docGrid w:linePitch="360"/>
        </w:sectPr>
      </w:pPr>
    </w:p>
    <w:p w14:paraId="4AC9DCE5" w14:textId="77777777" w:rsidR="002D5E5F" w:rsidRPr="00C32070" w:rsidRDefault="002D5E5F" w:rsidP="00DB3336">
      <w:pPr>
        <w:pStyle w:val="Heading5"/>
        <w:rPr>
          <w:rtl/>
        </w:rPr>
      </w:pPr>
      <w:bookmarkStart w:id="595" w:name="_Toc112318714"/>
      <w:bookmarkStart w:id="596" w:name="_Toc168657589"/>
      <w:r w:rsidRPr="00C32070">
        <w:rPr>
          <w:rtl/>
        </w:rPr>
        <w:lastRenderedPageBreak/>
        <w:t xml:space="preserve">الملاحظة </w:t>
      </w:r>
      <w:r w:rsidRPr="00C32070">
        <w:t>24</w:t>
      </w:r>
      <w:r w:rsidRPr="00C32070">
        <w:rPr>
          <w:rtl/>
        </w:rPr>
        <w:tab/>
        <w:t>التوفيق بين المبالغ المدرجة في الميزانية والمبالغ الفعلية</w:t>
      </w:r>
      <w:bookmarkEnd w:id="595"/>
      <w:bookmarkEnd w:id="596"/>
    </w:p>
    <w:p w14:paraId="3D2C09C5" w14:textId="77777777" w:rsidR="002D5E5F" w:rsidRPr="00C32070" w:rsidRDefault="002D5E5F" w:rsidP="002D5E5F">
      <w:pPr>
        <w:rPr>
          <w:rtl/>
          <w:lang w:bidi="ar-EG"/>
        </w:rPr>
      </w:pPr>
      <w:bookmarkStart w:id="597" w:name="_Toc306236991"/>
      <w:r w:rsidRPr="00C32070">
        <w:rPr>
          <w:rtl/>
          <w:lang w:bidi="ar-EG"/>
        </w:rPr>
        <w:t>تشمل البيانات المالية ما يلي:</w:t>
      </w:r>
      <w:bookmarkEnd w:id="597"/>
    </w:p>
    <w:p w14:paraId="5D7F9678" w14:textId="77777777" w:rsidR="002D5E5F" w:rsidRPr="00C32070" w:rsidRDefault="002D5E5F" w:rsidP="002D5E5F">
      <w:pPr>
        <w:pStyle w:val="enumlev1"/>
        <w:rPr>
          <w:rtl/>
          <w:lang w:bidi="ar-EG"/>
        </w:rPr>
      </w:pPr>
      <w:bookmarkStart w:id="598" w:name="_Toc520365550"/>
      <w:r w:rsidRPr="00C32070">
        <w:sym w:font="Symbol" w:char="F0B7"/>
      </w:r>
      <w:r w:rsidRPr="00C32070">
        <w:rPr>
          <w:rtl/>
        </w:rPr>
        <w:tab/>
        <w:t>الميزانية العادية للاتحاد؛</w:t>
      </w:r>
      <w:bookmarkEnd w:id="598"/>
    </w:p>
    <w:p w14:paraId="02BC5383" w14:textId="77777777" w:rsidR="002D5E5F" w:rsidRPr="00C32070" w:rsidRDefault="002D5E5F" w:rsidP="002D5E5F">
      <w:pPr>
        <w:pStyle w:val="enumlev1"/>
        <w:rPr>
          <w:rtl/>
          <w:lang w:bidi="ar-EG"/>
        </w:rPr>
      </w:pPr>
      <w:r w:rsidRPr="00C32070">
        <w:sym w:font="Symbol" w:char="F0B7"/>
      </w:r>
      <w:r w:rsidRPr="00C32070">
        <w:rPr>
          <w:rtl/>
        </w:rPr>
        <w:tab/>
      </w:r>
      <w:r w:rsidRPr="00C32070">
        <w:rPr>
          <w:rtl/>
          <w:lang w:bidi="ar-EG"/>
        </w:rPr>
        <w:t>أموال أخرى؛</w:t>
      </w:r>
    </w:p>
    <w:p w14:paraId="0DDC7ADF" w14:textId="77777777" w:rsidR="002D5E5F" w:rsidRPr="00C32070" w:rsidRDefault="002D5E5F" w:rsidP="002D5E5F">
      <w:pPr>
        <w:pStyle w:val="enumlev1"/>
        <w:rPr>
          <w:rtl/>
          <w:lang w:bidi="ar-EG"/>
        </w:rPr>
      </w:pPr>
      <w:r w:rsidRPr="00C32070">
        <w:sym w:font="Symbol" w:char="F0B7"/>
      </w:r>
      <w:r w:rsidRPr="00C32070">
        <w:rPr>
          <w:rtl/>
        </w:rPr>
        <w:tab/>
      </w:r>
      <w:r w:rsidRPr="00C32070">
        <w:rPr>
          <w:rtl/>
          <w:lang w:bidi="ar-EG"/>
        </w:rPr>
        <w:t>الأموال من خارج الميزانية.</w:t>
      </w:r>
    </w:p>
    <w:p w14:paraId="5E626BEB" w14:textId="77777777" w:rsidR="002D5E5F" w:rsidRPr="00C32070" w:rsidRDefault="002D5E5F" w:rsidP="00F72B70">
      <w:pPr>
        <w:pStyle w:val="Headingb"/>
        <w:rPr>
          <w:rtl/>
        </w:rPr>
      </w:pPr>
      <w:r w:rsidRPr="00C32070">
        <w:rPr>
          <w:rtl/>
        </w:rPr>
        <w:t>عملية التوفيق</w:t>
      </w:r>
    </w:p>
    <w:p w14:paraId="00D2FBFA" w14:textId="77777777" w:rsidR="002D5E5F" w:rsidRPr="00C32070" w:rsidRDefault="002D5E5F" w:rsidP="0055688F">
      <w:pPr>
        <w:rPr>
          <w:rtl/>
          <w:lang w:bidi="ar-EG"/>
        </w:rPr>
      </w:pPr>
      <w:r w:rsidRPr="00C32070">
        <w:rPr>
          <w:rtl/>
          <w:lang w:bidi="ar-EG"/>
        </w:rPr>
        <w:t xml:space="preserve">تختلف حسابات ميزانية الاتحاد وبياناته المالية. فميزانية الفترة </w:t>
      </w:r>
      <w:r w:rsidRPr="00C32070">
        <w:rPr>
          <w:lang w:bidi="ar-EG"/>
        </w:rPr>
        <w:t>2023-2022</w:t>
      </w:r>
      <w:r w:rsidRPr="00C32070">
        <w:rPr>
          <w:rtl/>
          <w:lang w:bidi="ar-EG"/>
        </w:rPr>
        <w:t xml:space="preserve"> تقوم على أساس نقدي معدَّل يشمل العديد من العناصر المحددة التي لا تعالَج على أساس محاسبة تقوم على الاستحقاق. وعلاوةً على ذلك، تقتصر ميزانية الاتحاد على أنشطة الاتحاد الأساسية ولا تتناول الأنشطة الممولة بأموال من خارج الميزانية.</w:t>
      </w:r>
    </w:p>
    <w:p w14:paraId="391964FC" w14:textId="77777777" w:rsidR="002D5E5F" w:rsidRPr="00C32070" w:rsidRDefault="002D5E5F" w:rsidP="0055688F">
      <w:pPr>
        <w:rPr>
          <w:rtl/>
          <w:lang w:bidi="ar-EG"/>
        </w:rPr>
      </w:pPr>
      <w:r w:rsidRPr="00C32070">
        <w:rPr>
          <w:rtl/>
          <w:lang w:bidi="ar-EG"/>
        </w:rPr>
        <w:t>أما البيانات المالية للاتحاد فتوضع على أساس محاسبة تقوم على الاستحقاق باستخدام تصنيف قائم على طبيعة النفقات المدرجة في بيان الأداء المالي (انظر البيان</w:t>
      </w:r>
      <w:r w:rsidRPr="00C32070">
        <w:rPr>
          <w:rtl/>
        </w:rPr>
        <w:t> </w:t>
      </w:r>
      <w:r w:rsidRPr="00C32070">
        <w:rPr>
          <w:rtl/>
          <w:lang w:bidi="ar-EG"/>
        </w:rPr>
        <w:t>الثاني).</w:t>
      </w:r>
    </w:p>
    <w:p w14:paraId="1E43F61C" w14:textId="77777777" w:rsidR="002D5E5F" w:rsidRPr="00C32070" w:rsidRDefault="002D5E5F" w:rsidP="0055688F">
      <w:pPr>
        <w:rPr>
          <w:rtl/>
          <w:lang w:bidi="ar-EG"/>
        </w:rPr>
      </w:pPr>
      <w:r w:rsidRPr="00C32070">
        <w:rPr>
          <w:rtl/>
          <w:lang w:bidi="ar-EG"/>
        </w:rPr>
        <w:t>وللتوفيق بين البيانين الثاني والخامس، تقسَّم المعاملات إلى فئتين من الاختلافات - الاختلافات من حيث الأساس والاختلافات المتعلقة بالكيانات.</w:t>
      </w:r>
    </w:p>
    <w:p w14:paraId="304557F4" w14:textId="77777777" w:rsidR="002D5E5F" w:rsidRPr="00C32070" w:rsidRDefault="002D5E5F" w:rsidP="0055688F">
      <w:pPr>
        <w:rPr>
          <w:rtl/>
          <w:lang w:bidi="ar-EG"/>
        </w:rPr>
      </w:pPr>
      <w:r w:rsidRPr="00C32070">
        <w:rPr>
          <w:b/>
          <w:bCs/>
          <w:rtl/>
          <w:lang w:bidi="ar-EG"/>
        </w:rPr>
        <w:t>الاختلافات من حيث الأساس:</w:t>
      </w:r>
      <w:r w:rsidRPr="00C32070">
        <w:rPr>
          <w:rtl/>
          <w:lang w:bidi="ar-EG"/>
        </w:rPr>
        <w:t xml:space="preserve"> تشمل النفقات غير المدرجة في ميزانية الاتحاد أو التي تعامَل على نحو مختلف بموجب متطلبات المعايير المحاسبية الدولية للقطاع العام (</w:t>
      </w:r>
      <w:r w:rsidRPr="00C32070">
        <w:rPr>
          <w:cs/>
          <w:lang w:bidi="ar-EG"/>
        </w:rPr>
        <w:t>‎</w:t>
      </w:r>
      <w:r w:rsidRPr="00C32070">
        <w:rPr>
          <w:lang w:bidi="ar-EG"/>
        </w:rPr>
        <w:t>IPSAS</w:t>
      </w:r>
      <w:r w:rsidRPr="00C32070">
        <w:rPr>
          <w:rtl/>
          <w:lang w:bidi="ar-EG"/>
        </w:rPr>
        <w:t xml:space="preserve">). وتتضمن هذه النفقات عادة تغييرات في المؤونة الاحتياطية للديون المشكوك في تحصيلها، وتثبيت المخزونات، ورسملة الأصول الثابتة، والإهلاك، ومكاسب وخسائر سعر الصرف، والتأمين الصحي بعد انتهاء الخدمة </w:t>
      </w:r>
      <w:r w:rsidRPr="00C32070">
        <w:rPr>
          <w:lang w:bidi="ar-EG"/>
        </w:rPr>
        <w:t>(ASHI)</w:t>
      </w:r>
      <w:r w:rsidRPr="00C32070">
        <w:rPr>
          <w:rtl/>
          <w:lang w:bidi="ar-EG"/>
        </w:rPr>
        <w:t>، وسداد قروض مؤسسة مباني المنظمات الدولية (</w:t>
      </w:r>
      <w:r w:rsidRPr="00C32070">
        <w:rPr>
          <w:lang w:bidi="ar-EG"/>
        </w:rPr>
        <w:t>FIPOI</w:t>
      </w:r>
      <w:r w:rsidRPr="00C32070">
        <w:rPr>
          <w:rtl/>
          <w:lang w:bidi="ar-EG"/>
        </w:rPr>
        <w:t>) والفائض و/أو العجز في الاستثمارات.</w:t>
      </w:r>
    </w:p>
    <w:p w14:paraId="6F4C05ED" w14:textId="77777777" w:rsidR="002D5E5F" w:rsidRPr="00C32070" w:rsidRDefault="002D5E5F" w:rsidP="0055688F">
      <w:pPr>
        <w:spacing w:after="120"/>
        <w:rPr>
          <w:rtl/>
          <w:lang w:bidi="ar-EG"/>
        </w:rPr>
      </w:pPr>
      <w:r w:rsidRPr="00C32070">
        <w:rPr>
          <w:b/>
          <w:bCs/>
          <w:rtl/>
          <w:lang w:bidi="ar-EG"/>
        </w:rPr>
        <w:t>الاختلافات المتعلقة بالكيانات</w:t>
      </w:r>
      <w:r w:rsidRPr="00C32070">
        <w:rPr>
          <w:rtl/>
          <w:lang w:bidi="ar-EG"/>
        </w:rPr>
        <w:t>: تشير عادة إلى الإيرادات والنفقات التي تقع خارج ميزانية برامج الاتحاد المعتمدة، أي الأموال من خارج الميزانية وأموال أخرى غير مدرجة في ميزانية الاتحاد.</w:t>
      </w:r>
    </w:p>
    <w:p w14:paraId="01960DE7" w14:textId="2310CDFF" w:rsidR="006A155E" w:rsidRDefault="006A155E" w:rsidP="006A155E">
      <w:pPr>
        <w:pStyle w:val="Figure"/>
      </w:pPr>
      <w:r w:rsidRPr="006A155E">
        <w:rPr>
          <w:rtl/>
        </w:rPr>
        <w:drawing>
          <wp:inline distT="0" distB="0" distL="0" distR="0" wp14:anchorId="72C9DABB" wp14:editId="4D9332CD">
            <wp:extent cx="5729605" cy="39166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29605" cy="3916680"/>
                    </a:xfrm>
                    <a:prstGeom prst="rect">
                      <a:avLst/>
                    </a:prstGeom>
                    <a:noFill/>
                    <a:ln>
                      <a:noFill/>
                    </a:ln>
                  </pic:spPr>
                </pic:pic>
              </a:graphicData>
            </a:graphic>
          </wp:inline>
        </w:drawing>
      </w:r>
    </w:p>
    <w:p w14:paraId="2D873FB0" w14:textId="422787EB" w:rsidR="002D5E5F" w:rsidRPr="00C32070" w:rsidRDefault="002D5E5F" w:rsidP="00F72B70">
      <w:pPr>
        <w:pStyle w:val="Headingb"/>
        <w:rPr>
          <w:rtl/>
        </w:rPr>
      </w:pPr>
      <w:r w:rsidRPr="00C32070">
        <w:rPr>
          <w:rtl/>
        </w:rPr>
        <w:lastRenderedPageBreak/>
        <w:t>ملخص اختلافات الميزانية مع المبالغ الفعلية</w:t>
      </w:r>
    </w:p>
    <w:p w14:paraId="38A31416" w14:textId="7C9645AD" w:rsidR="002D5E5F" w:rsidRPr="00C32070" w:rsidRDefault="002D5E5F" w:rsidP="0055688F">
      <w:pPr>
        <w:rPr>
          <w:rtl/>
          <w:lang w:bidi="ar-EG"/>
        </w:rPr>
      </w:pPr>
      <w:r w:rsidRPr="00C32070">
        <w:rPr>
          <w:rtl/>
          <w:lang w:bidi="ar-EG"/>
        </w:rPr>
        <w:t xml:space="preserve">في السنة المالية 2023، تمت الموافقة على الميزانية بمبلغ </w:t>
      </w:r>
      <w:r w:rsidRPr="00C32070">
        <w:rPr>
          <w:lang w:bidi="ar-EG"/>
        </w:rPr>
        <w:t>163,2</w:t>
      </w:r>
      <w:r w:rsidRPr="00C32070">
        <w:rPr>
          <w:rtl/>
          <w:lang w:bidi="ar-EG"/>
        </w:rPr>
        <w:t xml:space="preserve"> مليون فرنك سويسري (القرار 1405). وزيدت هذه الميزانية بمبلغ </w:t>
      </w:r>
      <w:r w:rsidRPr="00C32070">
        <w:rPr>
          <w:lang w:bidi="ar-EG"/>
        </w:rPr>
        <w:t>0,2</w:t>
      </w:r>
      <w:r w:rsidRPr="00C32070">
        <w:rPr>
          <w:rtl/>
          <w:lang w:bidi="ar-EG"/>
        </w:rPr>
        <w:t xml:space="preserve"> مليون فرنك سويسري (لتبلغ ما مجموعه </w:t>
      </w:r>
      <w:r w:rsidRPr="00C32070">
        <w:rPr>
          <w:lang w:bidi="ar-EG"/>
        </w:rPr>
        <w:t>163,4</w:t>
      </w:r>
      <w:r w:rsidRPr="00C32070">
        <w:rPr>
          <w:rtl/>
          <w:lang w:bidi="ar-EG"/>
        </w:rPr>
        <w:t xml:space="preserve"> مليون فرنك سويسري) نتيجة لسلطة الأمينة العامة المفوضة بموجب قرار المجلس 1405 واللوائح المالية ذات الصلة. ونتجت هذه الزيادة على مساهمة في إنشاء مكتب المنطقة الجديد في</w:t>
      </w:r>
      <w:r w:rsidR="00A33D35" w:rsidRPr="00C32070">
        <w:rPr>
          <w:lang w:bidi="ar-EG"/>
        </w:rPr>
        <w:t> </w:t>
      </w:r>
      <w:r w:rsidRPr="00C32070">
        <w:rPr>
          <w:rtl/>
          <w:lang w:bidi="ar-EG"/>
        </w:rPr>
        <w:t>نيودلهي.</w:t>
      </w:r>
    </w:p>
    <w:p w14:paraId="63465EF7" w14:textId="0C5AAA0E" w:rsidR="002D5E5F" w:rsidRPr="00C32070" w:rsidRDefault="002D5E5F" w:rsidP="0055688F">
      <w:pPr>
        <w:rPr>
          <w:lang w:val="en-GB" w:bidi="ar-EG"/>
        </w:rPr>
      </w:pPr>
      <w:r w:rsidRPr="00C32070">
        <w:rPr>
          <w:rtl/>
          <w:lang w:val="en-GB" w:bidi="ar-EG"/>
        </w:rPr>
        <w:t xml:space="preserve">وكما ذُكر في البيان الخامس، تبلغ الإيرادات 157 مليون فرنك سويسري. وقد أدى ذلك إلى نقص في الإيرادات بمبلغ </w:t>
      </w:r>
      <w:r w:rsidR="00A33D35" w:rsidRPr="00C32070">
        <w:rPr>
          <w:lang w:val="en-GB" w:bidi="ar-EG"/>
        </w:rPr>
        <w:t>6,4</w:t>
      </w:r>
      <w:r w:rsidRPr="00C32070">
        <w:rPr>
          <w:rtl/>
          <w:lang w:val="en-GB" w:bidi="ar-EG"/>
        </w:rPr>
        <w:t xml:space="preserve"> مليون فرنك سويسري مقارنةً بالميزانية. ويعزى هذا النقص إلى انخفاض إيرادات استرداد تكاليف معالجة بطاقات التبليغ عن الشبكات </w:t>
      </w:r>
      <w:proofErr w:type="spellStart"/>
      <w:r w:rsidRPr="00C32070">
        <w:rPr>
          <w:rtl/>
          <w:lang w:val="en-GB" w:bidi="ar-EG"/>
        </w:rPr>
        <w:t>الساتلية</w:t>
      </w:r>
      <w:proofErr w:type="spellEnd"/>
      <w:r w:rsidRPr="00C32070">
        <w:rPr>
          <w:rtl/>
          <w:lang w:val="en-GB" w:bidi="ar-EG"/>
        </w:rPr>
        <w:t xml:space="preserve"> (</w:t>
      </w:r>
      <w:r w:rsidRPr="00C32070">
        <w:rPr>
          <w:lang w:val="en-GB" w:bidi="ar-EG"/>
        </w:rPr>
        <w:t>SNF</w:t>
      </w:r>
      <w:r w:rsidRPr="00C32070">
        <w:rPr>
          <w:rtl/>
          <w:lang w:val="en-GB" w:bidi="ar-EG"/>
        </w:rPr>
        <w:t xml:space="preserve">). ويعوض هذا النقص جزئياً بزيادة في إيرادات الفوائد بلغت </w:t>
      </w:r>
      <w:r w:rsidRPr="00C32070">
        <w:rPr>
          <w:lang w:bidi="ar-EG"/>
        </w:rPr>
        <w:t>2,9</w:t>
      </w:r>
      <w:r w:rsidRPr="00C32070">
        <w:rPr>
          <w:rtl/>
          <w:lang w:val="en-GB" w:bidi="ar-EG"/>
        </w:rPr>
        <w:t xml:space="preserve"> مليون فرنك سويسري في عام 2023.</w:t>
      </w:r>
    </w:p>
    <w:p w14:paraId="1DB614CE" w14:textId="15D669C6" w:rsidR="002D5E5F" w:rsidRPr="00C32070" w:rsidRDefault="002D5E5F" w:rsidP="0055688F">
      <w:pPr>
        <w:rPr>
          <w:rtl/>
          <w:lang w:val="en-GB" w:bidi="ar-EG"/>
        </w:rPr>
      </w:pPr>
      <w:r w:rsidRPr="00C32070">
        <w:rPr>
          <w:rtl/>
          <w:lang w:val="en-GB" w:bidi="ar-EG"/>
        </w:rPr>
        <w:t>ولإدارة النقص في الإيرادات الواردة، أجرى الاتحاد استعراضات شهرية لضمان بقاء مستويات النفقات أقل من الإيرادات في</w:t>
      </w:r>
      <w:r w:rsidR="00A33D35" w:rsidRPr="00C32070">
        <w:rPr>
          <w:lang w:val="en-GB" w:bidi="ar-EG"/>
        </w:rPr>
        <w:t> </w:t>
      </w:r>
      <w:r w:rsidRPr="00C32070">
        <w:rPr>
          <w:rtl/>
          <w:lang w:val="en-GB" w:bidi="ar-EG"/>
        </w:rPr>
        <w:t>عام</w:t>
      </w:r>
      <w:r w:rsidR="00A33D35" w:rsidRPr="00C32070">
        <w:rPr>
          <w:lang w:val="en-GB" w:bidi="ar-EG"/>
        </w:rPr>
        <w:t> </w:t>
      </w:r>
      <w:r w:rsidRPr="00C32070">
        <w:rPr>
          <w:rtl/>
          <w:lang w:val="en-GB" w:bidi="ar-EG"/>
        </w:rPr>
        <w:t>2023.</w:t>
      </w:r>
    </w:p>
    <w:p w14:paraId="6D48EBF7" w14:textId="77777777" w:rsidR="002D5E5F" w:rsidRPr="00C32070" w:rsidRDefault="002D5E5F" w:rsidP="0055688F">
      <w:pPr>
        <w:rPr>
          <w:rtl/>
          <w:lang w:val="en-GB" w:bidi="ar-EG"/>
        </w:rPr>
      </w:pPr>
      <w:r w:rsidRPr="00C32070">
        <w:rPr>
          <w:rtl/>
          <w:lang w:val="en-GB" w:bidi="ar-EG"/>
        </w:rPr>
        <w:t xml:space="preserve">وضمنت هذه المراقبة عن كثب أن ينهي الاتحاد السنة المالية بفائض قدره </w:t>
      </w:r>
      <w:r w:rsidRPr="00C32070">
        <w:rPr>
          <w:lang w:val="en-GB" w:bidi="ar-EG"/>
        </w:rPr>
        <w:t>1,4</w:t>
      </w:r>
      <w:r w:rsidRPr="00C32070">
        <w:rPr>
          <w:rtl/>
          <w:lang w:val="en-GB" w:bidi="ar-EG"/>
        </w:rPr>
        <w:t xml:space="preserve"> مليون فرنك سويسري.</w:t>
      </w:r>
    </w:p>
    <w:p w14:paraId="2191475D" w14:textId="77777777" w:rsidR="002D5E5F" w:rsidRPr="00C32070" w:rsidRDefault="002D5E5F" w:rsidP="0055688F">
      <w:pPr>
        <w:rPr>
          <w:rtl/>
          <w:lang w:val="en-GB" w:bidi="ar-EG"/>
        </w:rPr>
      </w:pPr>
      <w:r w:rsidRPr="00C32070">
        <w:rPr>
          <w:rtl/>
          <w:lang w:val="en-GB" w:bidi="ar-EG"/>
        </w:rPr>
        <w:t>وكان تنفيذ ميزانية 2023 صعباً جداً بسبب عوامل حرجة أثرت على ميزانية 2023، مثل النقص في إيرادات استرداد التكاليف والزيادات في المرتبات وغيرها من النفقات.</w:t>
      </w:r>
    </w:p>
    <w:p w14:paraId="5D6B6C29" w14:textId="77777777" w:rsidR="002D5E5F" w:rsidRPr="00C32070" w:rsidRDefault="002D5E5F" w:rsidP="0055688F">
      <w:pPr>
        <w:rPr>
          <w:rtl/>
          <w:lang w:val="en-GB" w:bidi="ar-EG"/>
        </w:rPr>
      </w:pPr>
      <w:r w:rsidRPr="00C32070">
        <w:rPr>
          <w:rtl/>
          <w:lang w:val="en-GB" w:bidi="ar-EG"/>
        </w:rPr>
        <w:t>ويرد فيما يلي ملخص للنفقات في إطار كل قطاع من قطاعات الاتحاد.</w:t>
      </w:r>
    </w:p>
    <w:p w14:paraId="7D2155A1" w14:textId="77777777" w:rsidR="002D5E5F" w:rsidRPr="00C32070" w:rsidRDefault="002D5E5F" w:rsidP="002D5E5F">
      <w:pPr>
        <w:pStyle w:val="HeadingI"/>
        <w:rPr>
          <w:lang w:val="en-GB" w:bidi="ar-EG"/>
        </w:rPr>
      </w:pPr>
      <w:r w:rsidRPr="00C32070">
        <w:rPr>
          <w:rtl/>
          <w:lang w:val="en-GB" w:bidi="ar-EG"/>
        </w:rPr>
        <w:t>الأمانة العامة</w:t>
      </w:r>
    </w:p>
    <w:p w14:paraId="02DF018B" w14:textId="77777777" w:rsidR="002D5E5F" w:rsidRPr="00C32070" w:rsidRDefault="002D5E5F" w:rsidP="0055688F">
      <w:pPr>
        <w:rPr>
          <w:rtl/>
          <w:lang w:val="en-GB" w:bidi="ar-EG"/>
        </w:rPr>
      </w:pPr>
      <w:r w:rsidRPr="00C32070">
        <w:rPr>
          <w:rtl/>
          <w:lang w:val="en-GB" w:bidi="ar-EG"/>
        </w:rPr>
        <w:t xml:space="preserve">‏بلغ مجموع نفقات الأمانة العامة </w:t>
      </w:r>
      <w:r w:rsidRPr="00C32070">
        <w:rPr>
          <w:cs/>
          <w:lang w:val="en-GB" w:bidi="ar-EG"/>
        </w:rPr>
        <w:t>‎</w:t>
      </w:r>
      <w:r w:rsidRPr="00C32070">
        <w:rPr>
          <w:lang w:val="en-GB" w:bidi="ar-EG"/>
        </w:rPr>
        <w:t>86,6</w:t>
      </w:r>
      <w:r w:rsidRPr="00C32070">
        <w:rPr>
          <w:rtl/>
          <w:lang w:val="en-GB" w:bidi="ar-EG"/>
        </w:rPr>
        <w:t xml:space="preserve"> ‏مليون فرنك سويسري في </w:t>
      </w:r>
      <w:r w:rsidRPr="00C32070">
        <w:rPr>
          <w:cs/>
          <w:lang w:val="en-GB" w:bidi="ar-EG"/>
        </w:rPr>
        <w:t>‎</w:t>
      </w:r>
      <w:r w:rsidRPr="00C32070">
        <w:rPr>
          <w:lang w:val="en-GB" w:bidi="ar-EG"/>
        </w:rPr>
        <w:t>2023</w:t>
      </w:r>
      <w:r w:rsidRPr="00C32070">
        <w:rPr>
          <w:rtl/>
          <w:lang w:val="en-GB" w:bidi="ar-EG"/>
        </w:rPr>
        <w:t xml:space="preserve">‏، أو </w:t>
      </w:r>
      <w:r w:rsidRPr="00C32070">
        <w:rPr>
          <w:cs/>
          <w:lang w:val="en-GB" w:bidi="ar-EG"/>
        </w:rPr>
        <w:t>‎</w:t>
      </w:r>
      <w:r w:rsidRPr="00C32070">
        <w:rPr>
          <w:lang w:val="en-GB" w:bidi="ar-EG"/>
        </w:rPr>
        <w:t>95,9</w:t>
      </w:r>
      <w:r w:rsidRPr="00C32070">
        <w:rPr>
          <w:rtl/>
          <w:lang w:val="en-GB" w:bidi="ar-EG"/>
        </w:rPr>
        <w:t xml:space="preserve">% من الميزانية البالغة </w:t>
      </w:r>
      <w:r w:rsidRPr="00C32070">
        <w:rPr>
          <w:cs/>
          <w:lang w:val="en-GB" w:bidi="ar-EG"/>
        </w:rPr>
        <w:t>‎</w:t>
      </w:r>
      <w:r w:rsidRPr="00C32070">
        <w:rPr>
          <w:lang w:val="en-GB" w:bidi="ar-EG"/>
        </w:rPr>
        <w:t>90,3</w:t>
      </w:r>
      <w:r w:rsidRPr="00C32070">
        <w:rPr>
          <w:rtl/>
          <w:lang w:val="en-GB" w:bidi="ar-EG"/>
        </w:rPr>
        <w:t xml:space="preserve"> ‏مليون فرنك سويسري.</w:t>
      </w:r>
      <w:r w:rsidRPr="00C32070">
        <w:rPr>
          <w:cs/>
          <w:lang w:val="en-GB" w:bidi="ar-EG"/>
        </w:rPr>
        <w:t>‎</w:t>
      </w:r>
    </w:p>
    <w:p w14:paraId="404AF54E" w14:textId="77777777" w:rsidR="002D5E5F" w:rsidRPr="00C32070" w:rsidRDefault="002D5E5F" w:rsidP="0055688F">
      <w:pPr>
        <w:rPr>
          <w:rtl/>
          <w:cs/>
          <w:lang w:val="en-GB" w:bidi="ar-EG"/>
        </w:rPr>
      </w:pPr>
      <w:r w:rsidRPr="00C32070">
        <w:rPr>
          <w:rtl/>
          <w:lang w:val="en-GB" w:bidi="ar-EG"/>
        </w:rPr>
        <w:t>‏وتتعلق الوفورات الرئيسية بالوثائق، مع انخفاض كبير في تكاليف الوثائق من خلال زيادة الإنتاجية وتخفيض التكاليف الثابتة. وحققت بعض الدوائر أيضاً وفورات أخرى نتيجة التأخير في التعيين أو الإبقاء على الوظائف شاغرة. وأخيراً، تحققت بعض الوفورات مقابل الميزانية المعتمدة في النفقات المشتركة.</w:t>
      </w:r>
      <w:r w:rsidRPr="00C32070">
        <w:rPr>
          <w:cs/>
          <w:lang w:val="en-GB" w:bidi="ar-EG"/>
        </w:rPr>
        <w:t>‎</w:t>
      </w:r>
    </w:p>
    <w:p w14:paraId="16B199F1" w14:textId="77777777" w:rsidR="002D5E5F" w:rsidRPr="00C32070" w:rsidRDefault="002D5E5F" w:rsidP="002D5E5F">
      <w:pPr>
        <w:pStyle w:val="HeadingI"/>
        <w:rPr>
          <w:lang w:bidi="ar-EG"/>
        </w:rPr>
      </w:pPr>
      <w:r w:rsidRPr="00C32070">
        <w:rPr>
          <w:rtl/>
          <w:lang w:val="fr-FR" w:bidi="ar-EG"/>
        </w:rPr>
        <w:t xml:space="preserve">قطاع الاتصالات الراديوية بالاتحاد </w:t>
      </w:r>
      <w:r w:rsidRPr="00C32070">
        <w:rPr>
          <w:lang w:bidi="ar-EG"/>
        </w:rPr>
        <w:t>(ITU-R)</w:t>
      </w:r>
    </w:p>
    <w:p w14:paraId="366B6C8C" w14:textId="77777777" w:rsidR="002D5E5F" w:rsidRPr="00C32070" w:rsidRDefault="002D5E5F" w:rsidP="0055688F">
      <w:pPr>
        <w:rPr>
          <w:rtl/>
        </w:rPr>
      </w:pPr>
      <w:r w:rsidRPr="00C32070">
        <w:rPr>
          <w:rtl/>
          <w:lang w:val="en-GB" w:bidi="ar-EG"/>
        </w:rPr>
        <w:t xml:space="preserve">بلغ مجموع نفقات قطاع الاتصالات الراديوية </w:t>
      </w:r>
      <w:r w:rsidRPr="00C32070">
        <w:t>30,0</w:t>
      </w:r>
      <w:r w:rsidRPr="00C32070">
        <w:rPr>
          <w:rtl/>
        </w:rPr>
        <w:t xml:space="preserve"> مليون فرنك سويسري، أو </w:t>
      </w:r>
      <w:r w:rsidRPr="00C32070">
        <w:t>92,6</w:t>
      </w:r>
      <w:r w:rsidRPr="00C32070">
        <w:rPr>
          <w:rtl/>
        </w:rPr>
        <w:t xml:space="preserve">% من ميزانية قدرها </w:t>
      </w:r>
      <w:r w:rsidRPr="00C32070">
        <w:t>32,4</w:t>
      </w:r>
      <w:r w:rsidRPr="00C32070">
        <w:rPr>
          <w:rtl/>
        </w:rPr>
        <w:t xml:space="preserve"> مليون فرنك سويسري. وتحققت معظم الوفورات في الترجمة الشفوية وتكاليف الموظفين ونفقات المهام الرسمية.</w:t>
      </w:r>
    </w:p>
    <w:p w14:paraId="523000F6" w14:textId="77777777" w:rsidR="002D5E5F" w:rsidRPr="00C32070" w:rsidRDefault="002D5E5F" w:rsidP="0055688F">
      <w:pPr>
        <w:rPr>
          <w:lang w:val="en-GB" w:bidi="ar-EG"/>
        </w:rPr>
      </w:pPr>
      <w:r w:rsidRPr="00C32070">
        <w:rPr>
          <w:rtl/>
          <w:lang w:val="en-GB" w:bidi="ar-EG"/>
        </w:rPr>
        <w:t>وعُقدت ثلاثة أحداث رئيسية خلال العام:</w:t>
      </w:r>
    </w:p>
    <w:p w14:paraId="16A1CFDC" w14:textId="77777777" w:rsidR="002D5E5F" w:rsidRPr="00C32070" w:rsidRDefault="002D5E5F" w:rsidP="002D5E5F">
      <w:pPr>
        <w:pStyle w:val="enumlev1"/>
        <w:rPr>
          <w:rtl/>
          <w:lang w:bidi="ar-SA"/>
        </w:rPr>
      </w:pPr>
      <w:r w:rsidRPr="00C32070">
        <w:sym w:font="Wingdings 2" w:char="F097"/>
      </w:r>
      <w:r w:rsidRPr="00C32070">
        <w:tab/>
      </w:r>
      <w:r w:rsidRPr="00C32070">
        <w:rPr>
          <w:rtl/>
        </w:rPr>
        <w:t xml:space="preserve">جمعية الاتصالات الراديوية </w:t>
      </w:r>
      <w:r w:rsidRPr="00C32070">
        <w:t>(RA)</w:t>
      </w:r>
      <w:r w:rsidRPr="00C32070">
        <w:rPr>
          <w:rtl/>
          <w:lang w:bidi="ar-SA"/>
        </w:rPr>
        <w:t>؛</w:t>
      </w:r>
    </w:p>
    <w:p w14:paraId="58AFF360" w14:textId="77777777" w:rsidR="002D5E5F" w:rsidRPr="00C32070" w:rsidRDefault="002D5E5F" w:rsidP="002D5E5F">
      <w:pPr>
        <w:pStyle w:val="enumlev1"/>
        <w:rPr>
          <w:rtl/>
          <w:lang w:bidi="ar-SA"/>
        </w:rPr>
      </w:pPr>
      <w:r w:rsidRPr="00C32070">
        <w:sym w:font="Wingdings 2" w:char="F097"/>
      </w:r>
      <w:r w:rsidRPr="00C32070">
        <w:tab/>
      </w:r>
      <w:r w:rsidRPr="00C32070">
        <w:rPr>
          <w:rtl/>
        </w:rPr>
        <w:t xml:space="preserve">المؤتمر العالمي للاتصالات الراديوية </w:t>
      </w:r>
      <w:r w:rsidRPr="00C32070">
        <w:t>(WRC)</w:t>
      </w:r>
      <w:r w:rsidRPr="00C32070">
        <w:rPr>
          <w:rtl/>
          <w:lang w:bidi="ar-SA"/>
        </w:rPr>
        <w:t>؛</w:t>
      </w:r>
    </w:p>
    <w:p w14:paraId="71189C83" w14:textId="77777777" w:rsidR="002D5E5F" w:rsidRPr="00C32070" w:rsidRDefault="002D5E5F" w:rsidP="002D5E5F">
      <w:pPr>
        <w:pStyle w:val="enumlev1"/>
        <w:rPr>
          <w:rtl/>
          <w:lang w:bidi="ar-SA"/>
        </w:rPr>
      </w:pPr>
      <w:r w:rsidRPr="00C32070">
        <w:sym w:font="Wingdings 2" w:char="F097"/>
      </w:r>
      <w:r w:rsidRPr="00C32070">
        <w:tab/>
      </w:r>
      <w:r w:rsidRPr="00C32070">
        <w:rPr>
          <w:rtl/>
        </w:rPr>
        <w:t xml:space="preserve">الاجتماع التحضيري للمؤتمر </w:t>
      </w:r>
      <w:r w:rsidRPr="00C32070">
        <w:t>(CPM)</w:t>
      </w:r>
      <w:r w:rsidRPr="00C32070">
        <w:rPr>
          <w:rtl/>
          <w:lang w:bidi="ar-SA"/>
        </w:rPr>
        <w:t>.</w:t>
      </w:r>
    </w:p>
    <w:p w14:paraId="58394A58" w14:textId="77777777" w:rsidR="002D5E5F" w:rsidRPr="00C32070" w:rsidRDefault="002D5E5F" w:rsidP="0055688F">
      <w:pPr>
        <w:rPr>
          <w:lang w:val="en-GB" w:bidi="ar-EG"/>
        </w:rPr>
      </w:pPr>
      <w:r w:rsidRPr="00C32070">
        <w:rPr>
          <w:rtl/>
          <w:lang w:val="en-GB" w:bidi="ar-EG"/>
        </w:rPr>
        <w:t>ونتيجة لقرارات المؤتمر العالمي للاتصالات الراديوية، ستدعو الحاجة في عام 2024 وما بعده إلى تمويل إضافي للأنشطة المتعلقة بتحديث أنظمة قطاع الاتصالات الراديوية.</w:t>
      </w:r>
    </w:p>
    <w:p w14:paraId="28E5FC72" w14:textId="77777777" w:rsidR="002D5E5F" w:rsidRPr="00C32070" w:rsidRDefault="002D5E5F" w:rsidP="002D5E5F">
      <w:pPr>
        <w:pStyle w:val="HeadingI"/>
        <w:rPr>
          <w:lang w:bidi="ar-EG"/>
        </w:rPr>
      </w:pPr>
      <w:r w:rsidRPr="00C32070">
        <w:rPr>
          <w:rtl/>
          <w:lang w:val="fr-FR" w:bidi="ar-EG"/>
        </w:rPr>
        <w:t>قطاع</w:t>
      </w:r>
      <w:r w:rsidRPr="00C32070">
        <w:rPr>
          <w:rtl/>
          <w:lang w:val="fr-FR"/>
        </w:rPr>
        <w:t xml:space="preserve"> تقييس</w:t>
      </w:r>
      <w:r w:rsidRPr="00C32070">
        <w:rPr>
          <w:rtl/>
          <w:lang w:val="fr-FR" w:bidi="ar-EG"/>
        </w:rPr>
        <w:t xml:space="preserve"> الاتصالات الراديوية بالاتحاد </w:t>
      </w:r>
      <w:r w:rsidRPr="00C32070">
        <w:rPr>
          <w:lang w:bidi="ar-EG"/>
        </w:rPr>
        <w:t>(ITU-T)</w:t>
      </w:r>
    </w:p>
    <w:p w14:paraId="1A12592A" w14:textId="3C6D03A9" w:rsidR="002D5E5F" w:rsidRPr="00C32070" w:rsidRDefault="002D5E5F" w:rsidP="0055688F">
      <w:pPr>
        <w:rPr>
          <w:lang w:val="en-GB" w:bidi="ar-EG"/>
        </w:rPr>
      </w:pPr>
      <w:r w:rsidRPr="00C32070">
        <w:rPr>
          <w:rtl/>
        </w:rPr>
        <w:t xml:space="preserve">بلغ مجموع نفقات قطاع تقييس الاتصالات </w:t>
      </w:r>
      <w:r w:rsidRPr="00C32070">
        <w:t>12,5</w:t>
      </w:r>
      <w:r w:rsidRPr="00C32070">
        <w:rPr>
          <w:rtl/>
        </w:rPr>
        <w:t xml:space="preserve"> مليون فرنك سويسري في عام </w:t>
      </w:r>
      <w:r w:rsidRPr="00C32070">
        <w:t>2023</w:t>
      </w:r>
      <w:r w:rsidRPr="00C32070">
        <w:rPr>
          <w:rtl/>
        </w:rPr>
        <w:t xml:space="preserve">، أو </w:t>
      </w:r>
      <w:r w:rsidRPr="00C32070">
        <w:t>94,7</w:t>
      </w:r>
      <w:r w:rsidRPr="00C32070">
        <w:rPr>
          <w:rtl/>
        </w:rPr>
        <w:t xml:space="preserve">% من الميزانية البالغة </w:t>
      </w:r>
      <w:r w:rsidRPr="00C32070">
        <w:t>13,2</w:t>
      </w:r>
      <w:r w:rsidR="003B08B6" w:rsidRPr="00C32070">
        <w:rPr>
          <w:rtl/>
        </w:rPr>
        <w:t> </w:t>
      </w:r>
      <w:r w:rsidRPr="00C32070">
        <w:rPr>
          <w:rtl/>
        </w:rPr>
        <w:t>مليون فرنك سويسري</w:t>
      </w:r>
      <w:r w:rsidR="003B08B6" w:rsidRPr="00C32070">
        <w:rPr>
          <w:rtl/>
        </w:rPr>
        <w:t>.</w:t>
      </w:r>
    </w:p>
    <w:p w14:paraId="4CF35921" w14:textId="77777777" w:rsidR="002D5E5F" w:rsidRPr="00C32070" w:rsidRDefault="002D5E5F" w:rsidP="0055688F">
      <w:pPr>
        <w:rPr>
          <w:rtl/>
        </w:rPr>
      </w:pPr>
      <w:r w:rsidRPr="00C32070">
        <w:rPr>
          <w:rtl/>
        </w:rPr>
        <w:t>وتحققت وفورات في جميع أقسام ميزانية قطاع تقييس الاتصالات (الفريق الاستشاري لتقييس الاتصالات ولجان الدراسات والأنشطة والبرامج وورش العمل والمكتب).</w:t>
      </w:r>
    </w:p>
    <w:p w14:paraId="2EAF1BA9" w14:textId="4A17BE7F" w:rsidR="002D5E5F" w:rsidRPr="00C32070" w:rsidRDefault="002D5E5F" w:rsidP="0055688F">
      <w:pPr>
        <w:rPr>
          <w:lang w:val="en-GB" w:bidi="ar-EG"/>
        </w:rPr>
      </w:pPr>
      <w:r w:rsidRPr="00C32070">
        <w:rPr>
          <w:rtl/>
          <w:lang w:val="en-GB" w:bidi="ar-EG"/>
        </w:rPr>
        <w:t>‏وتحققت معظم الوفورات في فئات النفقات المتعلقة بالموظفين، والمهام الرسمية، والترجمة الشفوية، والمِنح. وتمثلت المجالات الرئيسية لتخفيض النفقات في السفر (</w:t>
      </w:r>
      <w:r w:rsidRPr="00C32070">
        <w:rPr>
          <w:cs/>
          <w:lang w:val="en-GB" w:bidi="ar-EG"/>
        </w:rPr>
        <w:t>‎</w:t>
      </w:r>
      <w:r w:rsidRPr="00C32070">
        <w:rPr>
          <w:rtl/>
          <w:cs/>
          <w:lang w:val="en-GB" w:bidi="ar-EG"/>
        </w:rPr>
        <w:t xml:space="preserve">استُخدمت نسبة </w:t>
      </w:r>
      <w:r w:rsidRPr="00C32070">
        <w:rPr>
          <w:lang w:val="en-GB" w:bidi="ar-EG"/>
        </w:rPr>
        <w:t>66</w:t>
      </w:r>
      <w:r w:rsidRPr="00C32070">
        <w:rPr>
          <w:rtl/>
          <w:lang w:val="en-GB" w:bidi="ar-EG"/>
        </w:rPr>
        <w:t>% ‏من الميزانية المخصصة للسفر) والترجمة الشفوية (استخدمت نسبة 46% ‏من الميزانية المخصصة للترجمة الشفوية).</w:t>
      </w:r>
    </w:p>
    <w:p w14:paraId="0EC4DF9D" w14:textId="77777777" w:rsidR="002D5E5F" w:rsidRPr="00C32070" w:rsidRDefault="002D5E5F" w:rsidP="002D5E5F">
      <w:pPr>
        <w:pStyle w:val="HeadingI"/>
        <w:rPr>
          <w:lang w:bidi="ar-EG"/>
        </w:rPr>
      </w:pPr>
      <w:r w:rsidRPr="00C32070">
        <w:rPr>
          <w:rtl/>
          <w:lang w:val="fr-FR" w:bidi="ar-EG"/>
        </w:rPr>
        <w:lastRenderedPageBreak/>
        <w:t xml:space="preserve">قطاع تنمية الاتصالات الراديوية بالاتحاد </w:t>
      </w:r>
      <w:r w:rsidRPr="00C32070">
        <w:rPr>
          <w:lang w:bidi="ar-EG"/>
        </w:rPr>
        <w:t>(ITU-D)</w:t>
      </w:r>
    </w:p>
    <w:p w14:paraId="31C34CDF" w14:textId="77777777" w:rsidR="002D5E5F" w:rsidRPr="00C32070" w:rsidRDefault="002D5E5F" w:rsidP="0055688F">
      <w:pPr>
        <w:rPr>
          <w:rtl/>
        </w:rPr>
      </w:pPr>
      <w:r w:rsidRPr="00C32070">
        <w:rPr>
          <w:rtl/>
          <w:lang w:bidi="ar-EG"/>
        </w:rPr>
        <w:t xml:space="preserve">بلغ مجموع نفقات قطاع تنمية الاتصالات </w:t>
      </w:r>
      <w:r w:rsidRPr="00C32070">
        <w:rPr>
          <w:lang w:bidi="ar-EG"/>
        </w:rPr>
        <w:t>26,6</w:t>
      </w:r>
      <w:r w:rsidRPr="00C32070">
        <w:rPr>
          <w:rtl/>
        </w:rPr>
        <w:t xml:space="preserve"> مليون فرنك سويسري، أو </w:t>
      </w:r>
      <w:r w:rsidRPr="00C32070">
        <w:t>97,1</w:t>
      </w:r>
      <w:r w:rsidRPr="00C32070">
        <w:rPr>
          <w:rtl/>
        </w:rPr>
        <w:t xml:space="preserve">% من الميزانية المعتمدة البالغة </w:t>
      </w:r>
      <w:r w:rsidRPr="00C32070">
        <w:t>27,4</w:t>
      </w:r>
      <w:r w:rsidRPr="00C32070">
        <w:rPr>
          <w:rtl/>
        </w:rPr>
        <w:t xml:space="preserve"> مليون فرنك سويسري.</w:t>
      </w:r>
    </w:p>
    <w:p w14:paraId="2C68E1C0" w14:textId="77777777" w:rsidR="002D5E5F" w:rsidRPr="00C32070" w:rsidRDefault="002D5E5F" w:rsidP="0055688F">
      <w:pPr>
        <w:rPr>
          <w:rtl/>
        </w:rPr>
      </w:pPr>
      <w:r w:rsidRPr="00C32070">
        <w:rPr>
          <w:rtl/>
          <w:lang w:bidi="ar-EG"/>
        </w:rPr>
        <w:t xml:space="preserve">وتمكن مكتب تنمية الاتصالات </w:t>
      </w:r>
      <w:r w:rsidRPr="00C32070">
        <w:rPr>
          <w:lang w:bidi="ar-EG"/>
        </w:rPr>
        <w:t>(BDT)</w:t>
      </w:r>
      <w:r w:rsidRPr="00C32070">
        <w:rPr>
          <w:rtl/>
        </w:rPr>
        <w:t>، المسؤول عن قطاع تنمية الاتصالات، من تحقيق وفورات مالية في قسم الأنشطة والبرامج (الخطة التشغيلية)، في فئة النفقات المتعلقة بالمهام الرسمية والخدمات التعاقدية. وعلاوة على ذلك، اتُّخذ قرار بتأجيل عمليات التعيين فيما يتعلق ببعض الوظائف الشاغرة في 2023، ما أدى إلى تحقيق وفورات إضافية.</w:t>
      </w:r>
    </w:p>
    <w:p w14:paraId="4EA95B51" w14:textId="77777777" w:rsidR="002D5E5F" w:rsidRPr="00C32070" w:rsidRDefault="002D5E5F" w:rsidP="00DB3336">
      <w:pPr>
        <w:pStyle w:val="Heading5"/>
        <w:rPr>
          <w:rtl/>
        </w:rPr>
      </w:pPr>
      <w:bookmarkStart w:id="599" w:name="_Toc329296052"/>
      <w:bookmarkStart w:id="600" w:name="_Toc452156664"/>
      <w:bookmarkStart w:id="601" w:name="_Toc419484107"/>
      <w:bookmarkStart w:id="602" w:name="_Toc387338374"/>
      <w:bookmarkStart w:id="603" w:name="_Toc387263399"/>
      <w:bookmarkStart w:id="604" w:name="_Toc358648579"/>
      <w:bookmarkStart w:id="605" w:name="_Toc358648380"/>
      <w:bookmarkStart w:id="606" w:name="_Toc482792233"/>
      <w:bookmarkStart w:id="607" w:name="_Toc482793738"/>
      <w:bookmarkStart w:id="608" w:name="_Toc511402254"/>
      <w:bookmarkStart w:id="609" w:name="_Toc511756690"/>
      <w:bookmarkStart w:id="610" w:name="_Toc9614806"/>
      <w:bookmarkStart w:id="611" w:name="_Toc42013561"/>
      <w:bookmarkStart w:id="612" w:name="_Toc42014564"/>
      <w:bookmarkStart w:id="613" w:name="_Toc112318715"/>
      <w:bookmarkStart w:id="614" w:name="_Toc168657590"/>
      <w:r w:rsidRPr="00C32070">
        <w:rPr>
          <w:rtl/>
        </w:rPr>
        <w:t xml:space="preserve">الملاحظة </w:t>
      </w:r>
      <w:r w:rsidRPr="00C32070">
        <w:t>25</w:t>
      </w:r>
      <w:r w:rsidRPr="00C32070">
        <w:rPr>
          <w:rtl/>
        </w:rPr>
        <w:tab/>
        <w:t xml:space="preserve">الكشوف المتعلقة بالأطراف </w:t>
      </w:r>
      <w:bookmarkEnd w:id="599"/>
      <w:r w:rsidRPr="00C32070">
        <w:rPr>
          <w:rtl/>
        </w:rPr>
        <w:t>المتكافلة</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22100BA" w14:textId="77777777" w:rsidR="002D5E5F" w:rsidRPr="00C32070" w:rsidRDefault="002D5E5F" w:rsidP="002D5E5F">
      <w:pPr>
        <w:rPr>
          <w:rtl/>
          <w:lang w:bidi="ar-EG"/>
        </w:rPr>
      </w:pPr>
      <w:bookmarkStart w:id="615" w:name="_Toc328494946"/>
      <w:bookmarkStart w:id="616" w:name="_Toc306236993"/>
      <w:r w:rsidRPr="00C32070">
        <w:rPr>
          <w:rtl/>
          <w:lang w:bidi="ar-EG"/>
        </w:rPr>
        <w:t xml:space="preserve">يعتبر </w:t>
      </w:r>
      <w:r w:rsidRPr="00C32070">
        <w:rPr>
          <w:rtl/>
        </w:rPr>
        <w:t>الكيان</w:t>
      </w:r>
      <w:r w:rsidRPr="00C32070">
        <w:rPr>
          <w:rtl/>
          <w:lang w:bidi="ar-EG"/>
        </w:rPr>
        <w:t xml:space="preserve"> التالي بمثابة كيان متكافل:</w:t>
      </w:r>
      <w:bookmarkEnd w:id="615"/>
      <w:bookmarkEnd w:id="616"/>
    </w:p>
    <w:p w14:paraId="5725B24A" w14:textId="77777777" w:rsidR="002D5E5F" w:rsidRPr="00C32070" w:rsidRDefault="002D5E5F" w:rsidP="002D5E5F">
      <w:pPr>
        <w:pStyle w:val="enumlev1"/>
        <w:rPr>
          <w:rtl/>
        </w:rPr>
      </w:pPr>
      <w:bookmarkStart w:id="617" w:name="_Toc520365555"/>
      <w:r w:rsidRPr="00C32070">
        <w:rPr>
          <w:rtl/>
        </w:rPr>
        <w:t>-</w:t>
      </w:r>
      <w:r w:rsidRPr="00C32070">
        <w:rPr>
          <w:rtl/>
        </w:rPr>
        <w:tab/>
        <w:t xml:space="preserve">الصندوق المشتَرك للمعاشات التقاعدية لموظفي الأمم المتحدة </w:t>
      </w:r>
      <w:r w:rsidRPr="00C32070">
        <w:rPr>
          <w:lang w:val="fr-CH"/>
        </w:rPr>
        <w:t>(UNJSPF)</w:t>
      </w:r>
      <w:r w:rsidRPr="00C32070">
        <w:rPr>
          <w:rtl/>
        </w:rPr>
        <w:t>.</w:t>
      </w:r>
      <w:bookmarkEnd w:id="617"/>
    </w:p>
    <w:p w14:paraId="5C35AF1A" w14:textId="77777777" w:rsidR="002D5E5F" w:rsidRPr="00C32070" w:rsidRDefault="002D5E5F" w:rsidP="002D5E5F">
      <w:pPr>
        <w:pStyle w:val="enumlev1"/>
        <w:rPr>
          <w:lang w:bidi="ar-EG"/>
        </w:rPr>
      </w:pPr>
      <w:r w:rsidRPr="00C32070">
        <w:rPr>
          <w:rtl/>
        </w:rPr>
        <w:t>-</w:t>
      </w:r>
      <w:r w:rsidRPr="00C32070">
        <w:rPr>
          <w:rtl/>
        </w:rPr>
        <w:tab/>
        <w:t xml:space="preserve">يتألف مجلس إدارة الاتحاد من </w:t>
      </w:r>
      <w:r w:rsidRPr="00C32070">
        <w:rPr>
          <w:lang w:bidi="ar-EG"/>
        </w:rPr>
        <w:t>48</w:t>
      </w:r>
      <w:r w:rsidRPr="00C32070">
        <w:rPr>
          <w:rtl/>
        </w:rPr>
        <w:t xml:space="preserve"> دولة عضواً، دون تسمية أشخاص بعينهم.</w:t>
      </w:r>
    </w:p>
    <w:p w14:paraId="128B59B5" w14:textId="52057CF9" w:rsidR="002D5E5F" w:rsidRPr="00C32070" w:rsidRDefault="002D5E5F" w:rsidP="002D5E5F">
      <w:pPr>
        <w:pStyle w:val="enumlev1"/>
        <w:rPr>
          <w:rtl/>
          <w:lang w:bidi="ar-EG"/>
        </w:rPr>
      </w:pPr>
      <w:r w:rsidRPr="00C32070">
        <w:rPr>
          <w:rtl/>
        </w:rPr>
        <w:t>-</w:t>
      </w:r>
      <w:r w:rsidRPr="00C32070">
        <w:rPr>
          <w:rtl/>
        </w:rPr>
        <w:tab/>
        <w:t xml:space="preserve">تدير الاتحاد الأمينة العامة كرئيس تنفيذي، يساعدها في ذلك نائب الأمينة العامة ومديرو مكاتب الاتحاد الثلاثة (موظفو الإدارة العليا الذين لهم </w:t>
      </w:r>
      <w:r w:rsidRPr="00C32070">
        <w:rPr>
          <w:rtl/>
          <w:lang w:bidi="ar-EG"/>
        </w:rPr>
        <w:t>مقاعد في لجنة التنسيق):</w:t>
      </w:r>
      <w:r w:rsidRPr="00C32070">
        <w:rPr>
          <w:rtl/>
        </w:rPr>
        <w:t xml:space="preserve"> قطاع الاتصالات الراديوية </w:t>
      </w:r>
      <w:r w:rsidRPr="00C32070">
        <w:rPr>
          <w:lang w:bidi="ar-EG"/>
        </w:rPr>
        <w:t>(ITU</w:t>
      </w:r>
      <w:r w:rsidRPr="00C32070">
        <w:rPr>
          <w:lang w:bidi="ar-EG"/>
        </w:rPr>
        <w:noBreakHyphen/>
        <w:t>R)</w:t>
      </w:r>
      <w:r w:rsidRPr="00C32070">
        <w:rPr>
          <w:rtl/>
        </w:rPr>
        <w:t xml:space="preserve"> وقطاع تقييس الاتصالات</w:t>
      </w:r>
      <w:r w:rsidR="006A155E">
        <w:rPr>
          <w:rFonts w:hint="cs"/>
          <w:rtl/>
        </w:rPr>
        <w:t> </w:t>
      </w:r>
      <w:r w:rsidRPr="00C32070">
        <w:rPr>
          <w:lang w:bidi="ar-EG"/>
        </w:rPr>
        <w:t>(ITU</w:t>
      </w:r>
      <w:r w:rsidRPr="00C32070">
        <w:rPr>
          <w:lang w:bidi="ar-EG"/>
        </w:rPr>
        <w:noBreakHyphen/>
        <w:t>T)</w:t>
      </w:r>
      <w:r w:rsidRPr="00C32070">
        <w:rPr>
          <w:rtl/>
        </w:rPr>
        <w:t xml:space="preserve"> وقطاع تنمية الاتصالات </w:t>
      </w:r>
      <w:r w:rsidRPr="00C32070">
        <w:rPr>
          <w:lang w:bidi="ar-EG"/>
        </w:rPr>
        <w:t>(ITU</w:t>
      </w:r>
      <w:r w:rsidRPr="00C32070">
        <w:rPr>
          <w:lang w:bidi="ar-EG"/>
        </w:rPr>
        <w:noBreakHyphen/>
        <w:t>D)</w:t>
      </w:r>
      <w:r w:rsidRPr="00C32070">
        <w:rPr>
          <w:rtl/>
        </w:rPr>
        <w:t>.</w:t>
      </w:r>
    </w:p>
    <w:p w14:paraId="06FD1F64" w14:textId="77777777" w:rsidR="002D5E5F" w:rsidRPr="00C32070" w:rsidRDefault="002D5E5F" w:rsidP="002D5E5F">
      <w:pPr>
        <w:pStyle w:val="enumlev1"/>
        <w:rPr>
          <w:rtl/>
          <w:lang w:bidi="ar-EG"/>
        </w:rPr>
      </w:pPr>
      <w:r w:rsidRPr="00C32070">
        <w:tab/>
      </w:r>
      <w:r w:rsidRPr="00C32070">
        <w:rPr>
          <w:rtl/>
        </w:rPr>
        <w:t>وتشمل الأجور الإجمالية التي تدفع لموظفي الإدارة الرئيسيين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14:paraId="37AA005E" w14:textId="77777777" w:rsidR="002D5E5F" w:rsidRPr="00C32070" w:rsidRDefault="002D5E5F" w:rsidP="0055688F">
      <w:pPr>
        <w:rPr>
          <w:rtl/>
          <w:lang w:bidi="ar-SY"/>
        </w:rPr>
      </w:pPr>
      <w:r w:rsidRPr="00C32070">
        <w:rPr>
          <w:rtl/>
          <w:lang w:bidi="ar-SY"/>
        </w:rPr>
        <w:t>ويتمتع كذلك موظفو الإدارة الرئيسيون بنفس استحقاقات موظفي الفئة الفنية، وهي:</w:t>
      </w:r>
    </w:p>
    <w:p w14:paraId="0FDCE31A" w14:textId="77777777" w:rsidR="002D5E5F" w:rsidRPr="00C32070" w:rsidRDefault="002D5E5F" w:rsidP="002D5E5F">
      <w:pPr>
        <w:pStyle w:val="enumlev1"/>
        <w:rPr>
          <w:rtl/>
        </w:rPr>
      </w:pPr>
      <w:bookmarkStart w:id="618" w:name="_Toc520365556"/>
      <w:r w:rsidRPr="00C32070">
        <w:rPr>
          <w:rtl/>
        </w:rPr>
        <w:t>-</w:t>
      </w:r>
      <w:r w:rsidRPr="00C32070">
        <w:rPr>
          <w:rtl/>
        </w:rPr>
        <w:tab/>
        <w:t>إجازة زيارة الوطن؛</w:t>
      </w:r>
      <w:bookmarkEnd w:id="618"/>
    </w:p>
    <w:p w14:paraId="280124D4" w14:textId="77777777" w:rsidR="002D5E5F" w:rsidRPr="00C32070" w:rsidRDefault="002D5E5F" w:rsidP="002D5E5F">
      <w:pPr>
        <w:pStyle w:val="enumlev1"/>
        <w:rPr>
          <w:rtl/>
        </w:rPr>
      </w:pPr>
      <w:bookmarkStart w:id="619" w:name="_Toc520365557"/>
      <w:r w:rsidRPr="00C32070">
        <w:rPr>
          <w:rtl/>
        </w:rPr>
        <w:t>-</w:t>
      </w:r>
      <w:r w:rsidRPr="00C32070">
        <w:rPr>
          <w:rtl/>
        </w:rPr>
        <w:tab/>
        <w:t>منحة التعليم؛</w:t>
      </w:r>
      <w:bookmarkEnd w:id="619"/>
    </w:p>
    <w:p w14:paraId="4EEE9E53" w14:textId="77777777" w:rsidR="002D5E5F" w:rsidRPr="00C32070" w:rsidRDefault="002D5E5F" w:rsidP="002D5E5F">
      <w:pPr>
        <w:pStyle w:val="enumlev1"/>
        <w:rPr>
          <w:rtl/>
        </w:rPr>
      </w:pPr>
      <w:bookmarkStart w:id="620" w:name="_Toc520365558"/>
      <w:r w:rsidRPr="00C32070">
        <w:rPr>
          <w:rtl/>
        </w:rPr>
        <w:t>-</w:t>
      </w:r>
      <w:r w:rsidRPr="00C32070">
        <w:rPr>
          <w:rtl/>
        </w:rPr>
        <w:tab/>
        <w:t>استحقاقات ما بعد انتهاء الخدمة.</w:t>
      </w:r>
      <w:bookmarkEnd w:id="620"/>
    </w:p>
    <w:p w14:paraId="333CB0AB" w14:textId="77777777" w:rsidR="002D5E5F" w:rsidRPr="00C32070" w:rsidRDefault="002D5E5F" w:rsidP="002D5E5F">
      <w:pPr>
        <w:pStyle w:val="enumlev1"/>
        <w:rPr>
          <w:rtl/>
        </w:rPr>
      </w:pPr>
      <w:r w:rsidRPr="00C32070">
        <w:tab/>
      </w:r>
      <w:r w:rsidRPr="00C32070">
        <w:rPr>
          <w:rtl/>
        </w:rPr>
        <w:t xml:space="preserve">وترد في الجدول أدناه جميع المدفوعات المسدَدة في عام </w:t>
      </w:r>
      <w:r w:rsidRPr="00C32070">
        <w:t>2023</w:t>
      </w:r>
      <w:r w:rsidRPr="00C32070">
        <w:rPr>
          <w:rtl/>
        </w:rPr>
        <w:t xml:space="preserve"> إلى/من موظفي الإدارة الرئيسيين.</w:t>
      </w:r>
    </w:p>
    <w:p w14:paraId="3A5253C8" w14:textId="77777777" w:rsidR="002D5E5F" w:rsidRPr="00C32070" w:rsidRDefault="002D5E5F" w:rsidP="0055688F">
      <w:pPr>
        <w:pStyle w:val="enumlev1"/>
        <w:spacing w:after="120"/>
        <w:rPr>
          <w:rtl/>
        </w:rPr>
      </w:pPr>
      <w:r w:rsidRPr="00C32070">
        <w:tab/>
      </w:r>
      <w:r w:rsidRPr="00C32070">
        <w:rPr>
          <w:rtl/>
        </w:rPr>
        <w:t>وموظفو الإدارة الرئيسيون مشاركون عاديون في الصندوق المشترك للمعاشات التقاعدية لموظفي الأمم المتحدة.</w:t>
      </w:r>
    </w:p>
    <w:p w14:paraId="2939D0A2" w14:textId="469A2688" w:rsidR="006A155E" w:rsidRDefault="006A155E" w:rsidP="006A155E">
      <w:pPr>
        <w:pStyle w:val="Figure"/>
        <w:rPr>
          <w:rtl/>
        </w:rPr>
      </w:pPr>
      <w:bookmarkStart w:id="621" w:name="_Toc452156665"/>
      <w:bookmarkStart w:id="622" w:name="_Toc419484108"/>
      <w:bookmarkStart w:id="623" w:name="_Toc387338375"/>
      <w:bookmarkStart w:id="624" w:name="_Toc387263400"/>
      <w:bookmarkStart w:id="625" w:name="_Toc482792234"/>
      <w:bookmarkStart w:id="626" w:name="_Toc482793739"/>
      <w:bookmarkStart w:id="627" w:name="_Toc511402255"/>
      <w:bookmarkStart w:id="628" w:name="_Toc511756691"/>
      <w:bookmarkStart w:id="629" w:name="_Toc9614807"/>
      <w:bookmarkStart w:id="630" w:name="_Toc42013562"/>
      <w:bookmarkStart w:id="631" w:name="_Toc42014565"/>
      <w:bookmarkStart w:id="632" w:name="_Toc74061606"/>
      <w:bookmarkStart w:id="633" w:name="_Toc162520645"/>
      <w:r w:rsidRPr="006A155E">
        <w:rPr>
          <w:rtl/>
        </w:rPr>
        <w:drawing>
          <wp:inline distT="0" distB="0" distL="0" distR="0" wp14:anchorId="4AE2475D" wp14:editId="1CAFF7A2">
            <wp:extent cx="5729605" cy="95139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b="15495"/>
                    <a:stretch/>
                  </pic:blipFill>
                  <pic:spPr bwMode="auto">
                    <a:xfrm>
                      <a:off x="0" y="0"/>
                      <a:ext cx="5729605" cy="951399"/>
                    </a:xfrm>
                    <a:prstGeom prst="rect">
                      <a:avLst/>
                    </a:prstGeom>
                    <a:noFill/>
                    <a:ln>
                      <a:noFill/>
                    </a:ln>
                    <a:extLst>
                      <a:ext uri="{53640926-AAD7-44D8-BBD7-CCE9431645EC}">
                        <a14:shadowObscured xmlns:a14="http://schemas.microsoft.com/office/drawing/2010/main"/>
                      </a:ext>
                    </a:extLst>
                  </pic:spPr>
                </pic:pic>
              </a:graphicData>
            </a:graphic>
          </wp:inline>
        </w:drawing>
      </w:r>
    </w:p>
    <w:p w14:paraId="3E2E7E95" w14:textId="2DDA429A" w:rsidR="002D5E5F" w:rsidRPr="00C32070" w:rsidRDefault="002D5E5F" w:rsidP="00DB3336">
      <w:pPr>
        <w:pStyle w:val="Heading5"/>
        <w:rPr>
          <w:rtl/>
        </w:rPr>
      </w:pPr>
      <w:bookmarkStart w:id="634" w:name="_Toc168657591"/>
      <w:r w:rsidRPr="00C32070">
        <w:rPr>
          <w:rtl/>
        </w:rPr>
        <w:t xml:space="preserve">الملاحظة </w:t>
      </w:r>
      <w:r w:rsidRPr="00C32070">
        <w:t>26</w:t>
      </w:r>
      <w:r w:rsidRPr="00C32070">
        <w:rPr>
          <w:rtl/>
        </w:rPr>
        <w:tab/>
        <w:t>الالتزامات</w:t>
      </w:r>
      <w:bookmarkEnd w:id="621"/>
      <w:bookmarkEnd w:id="622"/>
      <w:bookmarkEnd w:id="623"/>
      <w:bookmarkEnd w:id="624"/>
      <w:bookmarkEnd w:id="625"/>
      <w:bookmarkEnd w:id="626"/>
      <w:bookmarkEnd w:id="627"/>
      <w:bookmarkEnd w:id="628"/>
      <w:bookmarkEnd w:id="629"/>
      <w:bookmarkEnd w:id="630"/>
      <w:bookmarkEnd w:id="631"/>
      <w:bookmarkEnd w:id="632"/>
      <w:r w:rsidRPr="00C32070">
        <w:rPr>
          <w:rtl/>
        </w:rPr>
        <w:t xml:space="preserve"> المستقبلية</w:t>
      </w:r>
      <w:bookmarkEnd w:id="633"/>
      <w:bookmarkEnd w:id="634"/>
    </w:p>
    <w:p w14:paraId="18BAF060" w14:textId="30304645" w:rsidR="002D5E5F" w:rsidRPr="00C32070" w:rsidRDefault="002D5E5F" w:rsidP="0055688F">
      <w:pPr>
        <w:rPr>
          <w:b/>
          <w:bCs/>
          <w:rtl/>
          <w:cs/>
          <w:lang w:bidi="ar-EG"/>
        </w:rPr>
      </w:pPr>
      <w:r w:rsidRPr="00C32070">
        <w:rPr>
          <w:rtl/>
          <w:lang w:bidi="ar-EG"/>
        </w:rPr>
        <w:t xml:space="preserve">‏وقّع الاتحاد عقداً مع جمعية التأمين التعاوني </w:t>
      </w:r>
      <w:r w:rsidRPr="00C32070">
        <w:rPr>
          <w:lang w:bidi="ar-EG"/>
        </w:rPr>
        <w:t>UNSMIS</w:t>
      </w:r>
      <w:r w:rsidRPr="00C32070">
        <w:rPr>
          <w:rtl/>
          <w:lang w:bidi="ar-EG"/>
        </w:rPr>
        <w:t xml:space="preserve"> في </w:t>
      </w:r>
      <w:r w:rsidRPr="00C32070">
        <w:rPr>
          <w:cs/>
          <w:lang w:bidi="ar-EG"/>
        </w:rPr>
        <w:t>‎</w:t>
      </w:r>
      <w:r w:rsidRPr="00C32070">
        <w:rPr>
          <w:lang w:bidi="ar-EG"/>
        </w:rPr>
        <w:t>1</w:t>
      </w:r>
      <w:r w:rsidRPr="00C32070">
        <w:rPr>
          <w:rtl/>
          <w:lang w:bidi="ar-EG"/>
        </w:rPr>
        <w:t xml:space="preserve"> ‏يناير </w:t>
      </w:r>
      <w:r w:rsidRPr="00C32070">
        <w:rPr>
          <w:cs/>
          <w:lang w:bidi="ar-EG"/>
        </w:rPr>
        <w:t>‎</w:t>
      </w:r>
      <w:r w:rsidRPr="00C32070">
        <w:rPr>
          <w:lang w:bidi="ar-EG"/>
        </w:rPr>
        <w:t>2020</w:t>
      </w:r>
      <w:r w:rsidRPr="00C32070">
        <w:rPr>
          <w:rtl/>
          <w:lang w:bidi="ar-EG"/>
        </w:rPr>
        <w:t xml:space="preserve"> ‏يلزم بموجبه دفع مساهمة سنوية إضافية حتى عام</w:t>
      </w:r>
      <w:r w:rsidR="005476CA">
        <w:rPr>
          <w:rFonts w:hint="cs"/>
          <w:rtl/>
          <w:lang w:bidi="ar-EG"/>
        </w:rPr>
        <w:t> </w:t>
      </w:r>
      <w:r w:rsidRPr="00C32070">
        <w:rPr>
          <w:cs/>
          <w:lang w:bidi="ar-EG"/>
        </w:rPr>
        <w:t>‎</w:t>
      </w:r>
      <w:r w:rsidRPr="00C32070">
        <w:rPr>
          <w:lang w:bidi="ar-EG"/>
        </w:rPr>
        <w:t>2032</w:t>
      </w:r>
      <w:r w:rsidRPr="00C32070">
        <w:rPr>
          <w:rtl/>
          <w:lang w:bidi="ar-EG"/>
        </w:rPr>
        <w:t xml:space="preserve">. ‏وفي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2023</w:t>
      </w:r>
      <w:r w:rsidRPr="00C32070">
        <w:rPr>
          <w:rtl/>
          <w:lang w:bidi="ar-EG"/>
        </w:rPr>
        <w:t xml:space="preserve">‏، بلغ مجموع المساهمات الإضافية المتبقية </w:t>
      </w:r>
      <w:r w:rsidRPr="00C32070">
        <w:rPr>
          <w:cs/>
          <w:lang w:bidi="ar-EG"/>
        </w:rPr>
        <w:t>‎</w:t>
      </w:r>
      <w:r w:rsidRPr="00C32070">
        <w:rPr>
          <w:lang w:bidi="ar-EG"/>
        </w:rPr>
        <w:t>13,3</w:t>
      </w:r>
      <w:r w:rsidRPr="00C32070">
        <w:rPr>
          <w:rtl/>
          <w:lang w:bidi="ar-EG"/>
        </w:rPr>
        <w:t xml:space="preserve"> ‏مليون فرنك سويسري (</w:t>
      </w:r>
      <w:r w:rsidRPr="00C32070">
        <w:rPr>
          <w:cs/>
          <w:lang w:bidi="ar-EG"/>
        </w:rPr>
        <w:t>‎</w:t>
      </w:r>
      <w:r w:rsidRPr="00C32070">
        <w:rPr>
          <w:lang w:bidi="ar-EG"/>
        </w:rPr>
        <w:t>15,9</w:t>
      </w:r>
      <w:r w:rsidRPr="00C32070">
        <w:rPr>
          <w:rtl/>
          <w:lang w:bidi="ar-EG"/>
        </w:rPr>
        <w:t xml:space="preserve"> ‏مليون دولار أمريكي) (</w:t>
      </w:r>
      <w:r w:rsidRPr="00C32070">
        <w:rPr>
          <w:cs/>
          <w:lang w:bidi="ar-EG"/>
        </w:rPr>
        <w:t>‎</w:t>
      </w:r>
      <w:r w:rsidRPr="00C32070">
        <w:rPr>
          <w:lang w:bidi="ar-EG"/>
        </w:rPr>
        <w:t>31</w:t>
      </w:r>
      <w:r w:rsidRPr="00C32070">
        <w:rPr>
          <w:rtl/>
          <w:lang w:bidi="ar-EG"/>
        </w:rPr>
        <w:t xml:space="preserve"> ‏ديسمبر </w:t>
      </w:r>
      <w:r w:rsidRPr="00C32070">
        <w:rPr>
          <w:cs/>
          <w:lang w:bidi="ar-EG"/>
        </w:rPr>
        <w:t>‎</w:t>
      </w:r>
      <w:r w:rsidRPr="00C32070">
        <w:rPr>
          <w:lang w:bidi="ar-EG"/>
        </w:rPr>
        <w:t xml:space="preserve">2022 </w:t>
      </w:r>
      <w:r w:rsidRPr="00C32070">
        <w:rPr>
          <w:rtl/>
          <w:lang w:bidi="ar-EG"/>
        </w:rPr>
        <w:t xml:space="preserve">‏ - </w:t>
      </w:r>
      <w:r w:rsidRPr="00C32070">
        <w:rPr>
          <w:lang w:bidi="ar-EG"/>
        </w:rPr>
        <w:t>16,2</w:t>
      </w:r>
      <w:r w:rsidRPr="00C32070">
        <w:rPr>
          <w:rtl/>
          <w:lang w:bidi="ar-EG"/>
        </w:rPr>
        <w:t xml:space="preserve"> مليون فرنك سويسري (</w:t>
      </w:r>
      <w:r w:rsidRPr="00C32070">
        <w:rPr>
          <w:cs/>
          <w:lang w:bidi="ar-EG"/>
        </w:rPr>
        <w:t>‎</w:t>
      </w:r>
      <w:r w:rsidRPr="00C32070">
        <w:rPr>
          <w:lang w:bidi="ar-EG"/>
        </w:rPr>
        <w:t>17,5</w:t>
      </w:r>
      <w:r w:rsidRPr="00C32070">
        <w:rPr>
          <w:rtl/>
          <w:lang w:bidi="ar-EG"/>
        </w:rPr>
        <w:t xml:space="preserve"> ‏مليون دولار أمريكي)).</w:t>
      </w:r>
      <w:r w:rsidRPr="00C32070">
        <w:rPr>
          <w:cs/>
          <w:lang w:bidi="ar-EG"/>
        </w:rPr>
        <w:t>‎</w:t>
      </w:r>
    </w:p>
    <w:p w14:paraId="56A448F9" w14:textId="77777777" w:rsidR="002D5E5F" w:rsidRPr="00C32070" w:rsidRDefault="002D5E5F" w:rsidP="00DB3336">
      <w:pPr>
        <w:pStyle w:val="Heading5"/>
        <w:rPr>
          <w:rtl/>
        </w:rPr>
      </w:pPr>
      <w:bookmarkStart w:id="635" w:name="_Toc168657592"/>
      <w:r w:rsidRPr="00C32070">
        <w:rPr>
          <w:rtl/>
        </w:rPr>
        <w:t xml:space="preserve">الملاحظة </w:t>
      </w:r>
      <w:r w:rsidRPr="00C32070">
        <w:t>27</w:t>
      </w:r>
      <w:r w:rsidRPr="00C32070">
        <w:rPr>
          <w:rtl/>
        </w:rPr>
        <w:tab/>
        <w:t>تقييم تراجع قيمة مشروع المبنى الجديد للاتحاد</w:t>
      </w:r>
      <w:bookmarkEnd w:id="635"/>
    </w:p>
    <w:p w14:paraId="779057D6" w14:textId="77777777" w:rsidR="002D5E5F" w:rsidRPr="00C32070" w:rsidRDefault="002D5E5F" w:rsidP="0055688F">
      <w:pPr>
        <w:rPr>
          <w:rtl/>
        </w:rPr>
      </w:pPr>
      <w:r w:rsidRPr="00C32070">
        <w:rPr>
          <w:rtl/>
        </w:rPr>
        <w:t xml:space="preserve">تحسباً للقرارات الاستراتيجية التي سيتخذها مجلس الاتحاد في يونيو 2024، أجرت الإدارة تقييماً شاملاً لمؤشرات تراجع قيمة المشروع الجاري في إطار المعايير المحاسبية الدولية للقطاع العام </w:t>
      </w:r>
      <w:r w:rsidRPr="00C32070">
        <w:t>(IPSAS)</w:t>
      </w:r>
      <w:r w:rsidRPr="00C32070">
        <w:rPr>
          <w:rtl/>
        </w:rPr>
        <w:t>.</w:t>
      </w:r>
    </w:p>
    <w:p w14:paraId="7786B5B5" w14:textId="77777777" w:rsidR="002D5E5F" w:rsidRPr="00C32070" w:rsidRDefault="002D5E5F" w:rsidP="0055688F">
      <w:pPr>
        <w:rPr>
          <w:lang w:bidi="ar-EG"/>
        </w:rPr>
      </w:pPr>
      <w:r w:rsidRPr="00C32070">
        <w:rPr>
          <w:rtl/>
        </w:rPr>
        <w:t>ويوضح المعيار IPSAS 21 أن الأصل ينبغي ألا تتراجع قيمته لمجرد أوجه عدم يقين إذا كان المشروع لا يزال نشطاً ولم تكن القرارات المتعلقة بوقفه أو تعديله نهائية.</w:t>
      </w:r>
    </w:p>
    <w:p w14:paraId="05F5E275" w14:textId="77777777" w:rsidR="002D5E5F" w:rsidRPr="00C32070" w:rsidRDefault="002D5E5F" w:rsidP="0055688F">
      <w:pPr>
        <w:rPr>
          <w:lang w:bidi="ar-EG"/>
        </w:rPr>
      </w:pPr>
      <w:r w:rsidRPr="00C32070">
        <w:rPr>
          <w:rtl/>
        </w:rPr>
        <w:t>ويمكن أن تؤدي نتائج السيناريوهات أدناه إلى آثار مالية في المستقبل، مثل تراجع قيمة المشروع أو إنهائه، تُدرج في البيانات المالية فقط عقب قرار المجلس. وقد نظرت إدارة الاتحاد في السيناريوهات التالية وآثارها المالية:</w:t>
      </w:r>
    </w:p>
    <w:p w14:paraId="44FD662A" w14:textId="77777777" w:rsidR="002D5E5F" w:rsidRPr="00C32070" w:rsidRDefault="002D5E5F" w:rsidP="002D5E5F">
      <w:pPr>
        <w:pStyle w:val="enumlev1"/>
        <w:rPr>
          <w:rtl/>
        </w:rPr>
      </w:pPr>
      <w:r w:rsidRPr="00C32070">
        <w:sym w:font="Wingdings 2" w:char="F097"/>
      </w:r>
      <w:r w:rsidRPr="00C32070">
        <w:tab/>
      </w:r>
      <w:r w:rsidRPr="00C32070">
        <w:rPr>
          <w:b/>
          <w:bCs/>
          <w:rtl/>
        </w:rPr>
        <w:t xml:space="preserve">السيناريو </w:t>
      </w:r>
      <w:r w:rsidRPr="00C32070">
        <w:rPr>
          <w:b/>
          <w:bCs/>
        </w:rPr>
        <w:t>A</w:t>
      </w:r>
      <w:r w:rsidRPr="00C32070">
        <w:rPr>
          <w:rtl/>
        </w:rPr>
        <w:t>: استمرار المشروع على النحو المخطط له حالياً والمدعوم بقرار المجلس الحالي. وينطوي هذا السيناريو على عملية استدراج عروض مستمرة لا تنتهي صلاحيتها قبل 31 يوليو 2024.</w:t>
      </w:r>
    </w:p>
    <w:p w14:paraId="484533EC" w14:textId="77777777" w:rsidR="002D5E5F" w:rsidRPr="00C32070" w:rsidRDefault="002D5E5F" w:rsidP="002D5E5F">
      <w:pPr>
        <w:pStyle w:val="enumlev1"/>
        <w:rPr>
          <w:rtl/>
        </w:rPr>
      </w:pPr>
      <w:r w:rsidRPr="00C32070">
        <w:lastRenderedPageBreak/>
        <w:sym w:font="Wingdings 2" w:char="F097"/>
      </w:r>
      <w:r w:rsidRPr="00C32070">
        <w:tab/>
      </w:r>
      <w:r w:rsidRPr="00C32070">
        <w:rPr>
          <w:b/>
          <w:bCs/>
          <w:rtl/>
        </w:rPr>
        <w:t xml:space="preserve">السيناريو </w:t>
      </w:r>
      <w:r w:rsidRPr="00C32070">
        <w:rPr>
          <w:b/>
          <w:bCs/>
        </w:rPr>
        <w:t>B</w:t>
      </w:r>
      <w:r w:rsidRPr="00C32070">
        <w:rPr>
          <w:rtl/>
        </w:rPr>
        <w:t>: عبارة عن إعادة برمجة للسيناريو A، وهو بذلك تقليص للمشروع بحيث يتلاءم مع القيود المفروضة على الميزانية الحالية والتمويل المتاح. وقد طلب مجلس الاتحاد في دورته في أكتوبر 2023، ثم في اجتماع فريق العمل التابع للمجلس والمعني بالموارد المالية والبشرية في يناير 2024، معلومات إضافية لتقديمها إلى المجلس في دورته في يونيو 2024؛</w:t>
      </w:r>
    </w:p>
    <w:p w14:paraId="21E5B655" w14:textId="7BDA6FB0" w:rsidR="002D5E5F" w:rsidRPr="00C32070" w:rsidRDefault="002D5E5F" w:rsidP="002D5E5F">
      <w:pPr>
        <w:pStyle w:val="enumlev1"/>
        <w:rPr>
          <w:rtl/>
        </w:rPr>
      </w:pPr>
      <w:r w:rsidRPr="00C32070">
        <w:sym w:font="Wingdings 2" w:char="F097"/>
      </w:r>
      <w:r w:rsidRPr="00C32070">
        <w:tab/>
      </w:r>
      <w:r w:rsidRPr="00C32070">
        <w:rPr>
          <w:b/>
          <w:bCs/>
          <w:rtl/>
        </w:rPr>
        <w:t xml:space="preserve">السيناريو </w:t>
      </w:r>
      <w:r w:rsidRPr="00C32070">
        <w:rPr>
          <w:b/>
          <w:bCs/>
        </w:rPr>
        <w:t>C</w:t>
      </w:r>
      <w:r w:rsidRPr="00C32070">
        <w:rPr>
          <w:rtl/>
        </w:rPr>
        <w:t>: إنهاء المشروع، ما سيستلزم رد التمويل الذي تم الحصول عليه، بما في ذلك المبلغ الذي أُنفق بالفعل حتى 31 ديسمبر 2023. وعلاوة</w:t>
      </w:r>
      <w:r w:rsidR="00675451" w:rsidRPr="00C32070">
        <w:rPr>
          <w:rtl/>
        </w:rPr>
        <w:t>ً</w:t>
      </w:r>
      <w:r w:rsidRPr="00C32070">
        <w:rPr>
          <w:rtl/>
        </w:rPr>
        <w:t xml:space="preserve"> على ذلك، تنص المادة 3 في عقد القرض على أن الاتحاد، إذا قرر عدم القيام بأعمال المبنى الجديد أو تعذر عليه القيام بها، على النحو الوارد وصفه في الاتفاق، فإنه يتعهد بسداد المبالغ التي تلقاها بالفعل في غضون فترة لا تزيد على أربع سنوات من التاريخ الذي تبلغ فيه مؤسسة مباني المنظمات الدولية (FIPOI) بقراره عدم القيام بالأعمال، ولكن في موعد أقصاه 31 يوليو 2026. وسيتم الاتفاق على جدول سداد القرض، وذلك في غضون خمسة عشر يوم عمل من التاريخ الذي يبلغ فيه الاتحاد مؤسسة FIPOI بقراره عدم القيام بالأعمال، ولكن في موعد أقصاه 31 يوليو 2026.</w:t>
      </w:r>
    </w:p>
    <w:p w14:paraId="0490AD4E" w14:textId="77777777" w:rsidR="002D5E5F" w:rsidRPr="00C32070" w:rsidRDefault="002D5E5F" w:rsidP="0055688F">
      <w:pPr>
        <w:rPr>
          <w:lang w:bidi="ar-EG"/>
        </w:rPr>
      </w:pPr>
      <w:r w:rsidRPr="00C32070">
        <w:rPr>
          <w:rtl/>
        </w:rPr>
        <w:t xml:space="preserve">وفي 31 ديسمبر 2023، بلغ مجموع التكاليف المتكبدة في إطار المشروع 19,7 مليون فرنك سويسري. وهذه التكاليف مدرجة حالياً في بيان الوضع المالي كأصول قيد الإنشاء. وإذا قرر المجلس المضي في السيناريو </w:t>
      </w:r>
      <w:r w:rsidRPr="00C32070">
        <w:t>B</w:t>
      </w:r>
      <w:r w:rsidRPr="00C32070">
        <w:rPr>
          <w:rtl/>
        </w:rPr>
        <w:t xml:space="preserve"> أو السيناريو </w:t>
      </w:r>
      <w:r w:rsidRPr="00C32070">
        <w:t>C</w:t>
      </w:r>
      <w:r w:rsidRPr="00C32070">
        <w:rPr>
          <w:rtl/>
        </w:rPr>
        <w:t>، سيكون من الضروري اتخاذ الإجراء التالي</w:t>
      </w:r>
      <w:r w:rsidRPr="00C32070">
        <w:t>:</w:t>
      </w:r>
    </w:p>
    <w:p w14:paraId="3D553552" w14:textId="77777777" w:rsidR="002D5E5F" w:rsidRPr="00C32070" w:rsidRDefault="002D5E5F" w:rsidP="002D5E5F">
      <w:pPr>
        <w:pStyle w:val="enumlev1"/>
        <w:rPr>
          <w:rtl/>
        </w:rPr>
      </w:pPr>
      <w:r w:rsidRPr="00C32070">
        <w:sym w:font="Wingdings 2" w:char="F097"/>
      </w:r>
      <w:r w:rsidRPr="00C32070">
        <w:tab/>
      </w:r>
      <w:r w:rsidRPr="00C32070">
        <w:rPr>
          <w:b/>
          <w:bCs/>
          <w:rtl/>
        </w:rPr>
        <w:t xml:space="preserve">السيناريو </w:t>
      </w:r>
      <w:r w:rsidRPr="00C32070">
        <w:rPr>
          <w:b/>
          <w:bCs/>
        </w:rPr>
        <w:t>B</w:t>
      </w:r>
      <w:r w:rsidRPr="00C32070">
        <w:rPr>
          <w:rtl/>
        </w:rPr>
        <w:t>: إذا قرر المجلس تقليص المشروع، فقد يواجه الاتحاد مشكلة كبيرة في التكاليف (19,7 مليون فرنك سويسري) المتكبدة بالفعل استناداً إلى النطاق المنقح للمشروع وتمويله؛</w:t>
      </w:r>
    </w:p>
    <w:p w14:paraId="08EB562C" w14:textId="77777777" w:rsidR="002D5E5F" w:rsidRPr="00C32070" w:rsidRDefault="002D5E5F" w:rsidP="002D5E5F">
      <w:pPr>
        <w:pStyle w:val="enumlev1"/>
        <w:rPr>
          <w:rtl/>
        </w:rPr>
      </w:pPr>
      <w:r w:rsidRPr="00C32070">
        <w:sym w:font="Wingdings 2" w:char="F097"/>
      </w:r>
      <w:r w:rsidRPr="00C32070">
        <w:tab/>
      </w:r>
      <w:r w:rsidRPr="00C32070">
        <w:rPr>
          <w:b/>
          <w:bCs/>
          <w:rtl/>
        </w:rPr>
        <w:t xml:space="preserve">السيناريو </w:t>
      </w:r>
      <w:r w:rsidRPr="00C32070">
        <w:rPr>
          <w:b/>
          <w:bCs/>
        </w:rPr>
        <w:t>C</w:t>
      </w:r>
      <w:r w:rsidRPr="00C32070">
        <w:rPr>
          <w:rtl/>
        </w:rPr>
        <w:t xml:space="preserve">: إذا قرر المجلس إنهاء المشروع، فسيواجه الاتحاد، بالإضافة إلى المشكلة المتوقعة في السيناريو </w:t>
      </w:r>
      <w:r w:rsidRPr="00C32070">
        <w:t>B</w:t>
      </w:r>
      <w:r w:rsidRPr="00C32070">
        <w:rPr>
          <w:rtl/>
          <w:lang w:bidi="ar-SA"/>
        </w:rPr>
        <w:t>،</w:t>
      </w:r>
      <w:r w:rsidRPr="00C32070">
        <w:rPr>
          <w:rtl/>
        </w:rPr>
        <w:t xml:space="preserve"> احتمال أن يطالب مورِّد الطاقة بإنهاء مبكر (3,8 مليون فرنك سويسري). وسيكون لهذا الإجراء تأثير تشغيلي كبير على الاتحاد، ما من شأنه أن يؤثر على الاستقرار المالي والقدرة التشغيلية لعدة سنوات.</w:t>
      </w:r>
    </w:p>
    <w:p w14:paraId="47557F1F" w14:textId="77777777" w:rsidR="002D5E5F" w:rsidRPr="00C32070" w:rsidRDefault="002D5E5F" w:rsidP="00C21147">
      <w:pPr>
        <w:rPr>
          <w:lang w:bidi="ar-SY"/>
        </w:rPr>
      </w:pPr>
      <w:r w:rsidRPr="00C32070">
        <w:rPr>
          <w:rtl/>
        </w:rPr>
        <w:t>وفي الختام، وفقاً للفقرة 31 من المعيار IPSAS 21، خلصت الإدارة إلى أن على الرغم من وجود بعض أوجه عدم اليقين، فإن أوجه عدم اليقين هذه لا تشكل في الوقت الحالي مؤشرات على تراجع قيمة الأصول قيد الإنشاء حتى 31 ديسمبر 2023.</w:t>
      </w:r>
    </w:p>
    <w:p w14:paraId="5E22DB74" w14:textId="77777777" w:rsidR="00DE66D0" w:rsidRPr="00C32070" w:rsidRDefault="002D5E5F" w:rsidP="00DB3336">
      <w:pPr>
        <w:pStyle w:val="Heading5"/>
        <w:rPr>
          <w:rtl/>
        </w:rPr>
      </w:pPr>
      <w:bookmarkStart w:id="636" w:name="_Toc168657593"/>
      <w:r w:rsidRPr="00C32070">
        <w:rPr>
          <w:rtl/>
        </w:rPr>
        <w:t xml:space="preserve">الملاحظة </w:t>
      </w:r>
      <w:r w:rsidRPr="00C32070">
        <w:t>28</w:t>
      </w:r>
      <w:r w:rsidRPr="00C32070">
        <w:rPr>
          <w:rtl/>
        </w:rPr>
        <w:tab/>
        <w:t>الأحداث بعد تاريخ الإبلاغ</w:t>
      </w:r>
      <w:bookmarkEnd w:id="636"/>
    </w:p>
    <w:p w14:paraId="698E839C" w14:textId="22BA3F80" w:rsidR="002D5E5F" w:rsidRPr="00C32070" w:rsidRDefault="002D5E5F" w:rsidP="005476CA">
      <w:pPr>
        <w:rPr>
          <w:lang w:bidi="ar-SY"/>
        </w:rPr>
      </w:pPr>
      <w:r w:rsidRPr="00C32070">
        <w:rPr>
          <w:rtl/>
        </w:rPr>
        <w:t>تاريخ الإبلاغ للاتحاد هو 31 ديسمبر 2023، وقد أُذن بإصدار هذه البيانات المالية في نفس التاريخ بناءً على رأي المراجع الخارجي.</w:t>
      </w:r>
    </w:p>
    <w:p w14:paraId="4BD0A9E6" w14:textId="2216EA91" w:rsidR="00F46C6D" w:rsidRPr="00C32070" w:rsidRDefault="002D5E5F" w:rsidP="005476CA">
      <w:pPr>
        <w:rPr>
          <w:rtl/>
          <w:lang w:bidi="ar-EG"/>
        </w:rPr>
      </w:pPr>
      <w:r w:rsidRPr="00C32070">
        <w:rPr>
          <w:rtl/>
        </w:rPr>
        <w:t xml:space="preserve">وفي 31 مارس 2024، كان مبلغ التكاليف الإجمالي الذي أنفق بالفعل على مشروع المبنى الجديد هو 22,0 مليون فرنك سويسري. وإذا لم يمضِ المشروع على النحو المبين في السيناريو </w:t>
      </w:r>
      <w:r w:rsidRPr="00C32070">
        <w:t>C</w:t>
      </w:r>
      <w:r w:rsidRPr="00C32070">
        <w:rPr>
          <w:rtl/>
        </w:rPr>
        <w:t xml:space="preserve"> (الملاحظة 27)، فسيتعين تكبد مبلغ إضافي قدره 3,8 مليون فرنك سويسري لتسوية جميع المطالبات، والالتزامات والعرابين التعاقدية.</w:t>
      </w:r>
      <w:bookmarkEnd w:id="455"/>
      <w:bookmarkEnd w:id="456"/>
    </w:p>
    <w:p w14:paraId="2C812380" w14:textId="68077844" w:rsidR="002C2EB3" w:rsidRPr="00C32070" w:rsidRDefault="00F46C6D" w:rsidP="00F46C6D">
      <w:pPr>
        <w:spacing w:before="600"/>
        <w:jc w:val="center"/>
        <w:rPr>
          <w:sz w:val="24"/>
          <w:szCs w:val="24"/>
        </w:rPr>
      </w:pPr>
      <w:r w:rsidRPr="00C32070">
        <w:rPr>
          <w:sz w:val="24"/>
          <w:szCs w:val="24"/>
          <w:rtl/>
          <w:lang w:bidi="ar-EG"/>
        </w:rPr>
        <w:t>ــــــــــــــــــــــــــــــــــــــــــــــــــــــــــــــــــــــــــــــــــــــــــــــــ</w:t>
      </w:r>
    </w:p>
    <w:sectPr w:rsidR="002C2EB3" w:rsidRPr="00C32070" w:rsidSect="006C3242">
      <w:headerReference w:type="default" r:id="rId79"/>
      <w:footerReference w:type="default" r:id="rId80"/>
      <w:headerReference w:type="first" r:id="rId81"/>
      <w:footerReference w:type="first" r:id="rId8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A0C3" w14:textId="77777777" w:rsidR="00BA2AE9" w:rsidRDefault="00BA2AE9" w:rsidP="006C3242">
      <w:pPr>
        <w:spacing w:before="0" w:line="240" w:lineRule="auto"/>
      </w:pPr>
      <w:r>
        <w:separator/>
      </w:r>
    </w:p>
  </w:endnote>
  <w:endnote w:type="continuationSeparator" w:id="0">
    <w:p w14:paraId="232ED6D9" w14:textId="77777777" w:rsidR="00BA2AE9" w:rsidRDefault="00BA2AE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DB21A5" w:rsidRPr="007B0AA0" w14:paraId="174962B6" w14:textId="77777777" w:rsidTr="00DB3336">
      <w:trPr>
        <w:jc w:val="center"/>
      </w:trPr>
      <w:tc>
        <w:tcPr>
          <w:tcW w:w="868" w:type="pct"/>
          <w:vAlign w:val="center"/>
        </w:tcPr>
        <w:p w14:paraId="558283D7" w14:textId="77777777" w:rsidR="00DB21A5" w:rsidRPr="007B0AA0" w:rsidRDefault="001607AB" w:rsidP="00DB21A5">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DB21A5" w:rsidRPr="007B0AA0">
              <w:rPr>
                <w:rFonts w:ascii="Calibri" w:hAnsi="Calibri" w:cs="Arial"/>
                <w:color w:val="0563C1"/>
                <w:sz w:val="18"/>
                <w:szCs w:val="14"/>
              </w:rPr>
              <w:t>www.itu.int/council</w:t>
            </w:r>
          </w:hyperlink>
        </w:p>
      </w:tc>
      <w:tc>
        <w:tcPr>
          <w:tcW w:w="3912" w:type="pct"/>
        </w:tcPr>
        <w:p w14:paraId="0B08A653" w14:textId="78CF9392" w:rsidR="00DB21A5" w:rsidRPr="007B0AA0" w:rsidRDefault="00DB21A5" w:rsidP="00DB21A5">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5E1821C" w14:textId="77777777" w:rsidR="00DB21A5" w:rsidRPr="007B0AA0" w:rsidRDefault="00DB21A5" w:rsidP="00DB21A5">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1</w:t>
          </w:r>
          <w:r w:rsidRPr="007B0AA0">
            <w:rPr>
              <w:rFonts w:ascii="Calibri" w:hAnsi="Calibri" w:cs="Arial"/>
              <w:noProof/>
              <w:color w:val="7F7F7F"/>
              <w:sz w:val="18"/>
            </w:rPr>
            <w:fldChar w:fldCharType="end"/>
          </w:r>
        </w:p>
      </w:tc>
    </w:tr>
  </w:tbl>
  <w:p w14:paraId="3E9649B0" w14:textId="77777777" w:rsidR="002D5E5F" w:rsidRPr="005476CA" w:rsidRDefault="002D5E5F" w:rsidP="00DB21A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2D5E5F" w:rsidRPr="007B0AA0" w14:paraId="38854234" w14:textId="77777777" w:rsidTr="00F50E3F">
      <w:trPr>
        <w:jc w:val="center"/>
      </w:trPr>
      <w:tc>
        <w:tcPr>
          <w:tcW w:w="868" w:type="pct"/>
          <w:vAlign w:val="center"/>
        </w:tcPr>
        <w:p w14:paraId="30DACEAB" w14:textId="77777777" w:rsidR="002D5E5F" w:rsidRPr="007B0AA0" w:rsidRDefault="001607AB"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2D5E5F" w:rsidRPr="007B0AA0">
              <w:rPr>
                <w:rFonts w:ascii="Calibri" w:hAnsi="Calibri" w:cs="Arial"/>
                <w:color w:val="0563C1"/>
                <w:sz w:val="18"/>
                <w:szCs w:val="14"/>
              </w:rPr>
              <w:t>www.itu.int/council</w:t>
            </w:r>
          </w:hyperlink>
        </w:p>
      </w:tc>
      <w:tc>
        <w:tcPr>
          <w:tcW w:w="3912" w:type="pct"/>
        </w:tcPr>
        <w:p w14:paraId="55374013" w14:textId="77777777" w:rsidR="002D5E5F" w:rsidRPr="007B0AA0" w:rsidRDefault="002D5E5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/xx-</w:t>
          </w:r>
          <w:r>
            <w:rPr>
              <w:rFonts w:ascii="Calibri" w:hAnsi="Calibri" w:cs="Arial"/>
              <w:bCs/>
              <w:color w:val="7F7F7F"/>
              <w:sz w:val="18"/>
            </w:rPr>
            <w:t>A</w:t>
          </w:r>
        </w:p>
      </w:tc>
      <w:tc>
        <w:tcPr>
          <w:tcW w:w="220" w:type="pct"/>
        </w:tcPr>
        <w:p w14:paraId="43A1FD75" w14:textId="77777777" w:rsidR="002D5E5F" w:rsidRPr="007B0AA0" w:rsidRDefault="002D5E5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B49906B" w14:textId="77777777" w:rsidR="002D5E5F" w:rsidRPr="001F2A62" w:rsidRDefault="002D5E5F" w:rsidP="001F2A62">
    <w:pPr>
      <w:pStyle w:val="Footer"/>
      <w:tabs>
        <w:tab w:val="clear" w:pos="4153"/>
        <w:tab w:val="clear" w:pos="8306"/>
        <w:tab w:val="center" w:pos="5103"/>
        <w:tab w:val="right" w:pos="9639"/>
      </w:tabs>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DB21A5" w:rsidRPr="007B0AA0" w14:paraId="2CA35C4F" w14:textId="77777777" w:rsidTr="00DB3336">
      <w:trPr>
        <w:jc w:val="center"/>
      </w:trPr>
      <w:tc>
        <w:tcPr>
          <w:tcW w:w="868" w:type="pct"/>
          <w:vAlign w:val="center"/>
        </w:tcPr>
        <w:p w14:paraId="003842B8" w14:textId="77777777" w:rsidR="00DB21A5" w:rsidRPr="007B0AA0" w:rsidRDefault="00DB21A5" w:rsidP="00DB21A5">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9644558" w14:textId="76ECD9FA" w:rsidR="00DB21A5" w:rsidRPr="007B0AA0" w:rsidRDefault="00DB21A5" w:rsidP="0057357E">
          <w:pPr>
            <w:tabs>
              <w:tab w:val="clear" w:pos="794"/>
              <w:tab w:val="left" w:pos="862"/>
              <w:tab w:val="left" w:pos="5818"/>
              <w:tab w:val="right" w:pos="7326"/>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C4F2CC" w14:textId="77777777" w:rsidR="00DB21A5" w:rsidRPr="007B0AA0" w:rsidRDefault="00DB21A5" w:rsidP="00DB21A5">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3</w:t>
          </w:r>
          <w:r w:rsidRPr="007B0AA0">
            <w:rPr>
              <w:rFonts w:ascii="Calibri" w:hAnsi="Calibri" w:cs="Arial"/>
              <w:noProof/>
              <w:color w:val="7F7F7F"/>
              <w:sz w:val="18"/>
            </w:rPr>
            <w:fldChar w:fldCharType="end"/>
          </w:r>
        </w:p>
      </w:tc>
    </w:tr>
  </w:tbl>
  <w:p w14:paraId="45CA62AC" w14:textId="77777777" w:rsidR="00DB21A5" w:rsidRPr="00DB21A5" w:rsidRDefault="00DB21A5" w:rsidP="00DB21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2288"/>
      <w:gridCol w:w="691"/>
    </w:tblGrid>
    <w:tr w:rsidR="0057357E" w:rsidRPr="007B0AA0" w14:paraId="04BE0192" w14:textId="77777777" w:rsidTr="00277758">
      <w:trPr>
        <w:jc w:val="center"/>
      </w:trPr>
      <w:tc>
        <w:tcPr>
          <w:tcW w:w="868" w:type="pct"/>
          <w:vAlign w:val="center"/>
        </w:tcPr>
        <w:p w14:paraId="2C0A3C5A" w14:textId="77777777" w:rsidR="0057357E" w:rsidRPr="007B0AA0" w:rsidRDefault="0057357E" w:rsidP="0057357E">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FBA070A" w14:textId="77777777" w:rsidR="0057357E" w:rsidRPr="007B0AA0" w:rsidRDefault="0057357E" w:rsidP="0057357E">
          <w:pPr>
            <w:tabs>
              <w:tab w:val="clear" w:pos="794"/>
              <w:tab w:val="left" w:pos="862"/>
              <w:tab w:val="left" w:pos="5818"/>
              <w:tab w:val="right" w:pos="7326"/>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EACC2E8" w14:textId="77777777" w:rsidR="0057357E" w:rsidRPr="007B0AA0" w:rsidRDefault="0057357E" w:rsidP="0057357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3</w:t>
          </w:r>
          <w:r w:rsidRPr="007B0AA0">
            <w:rPr>
              <w:rFonts w:ascii="Calibri" w:hAnsi="Calibri" w:cs="Arial"/>
              <w:noProof/>
              <w:color w:val="7F7F7F"/>
              <w:sz w:val="18"/>
            </w:rPr>
            <w:fldChar w:fldCharType="end"/>
          </w:r>
        </w:p>
      </w:tc>
    </w:tr>
  </w:tbl>
  <w:p w14:paraId="7464A2A7" w14:textId="77777777" w:rsidR="0057357E" w:rsidRPr="00DB21A5" w:rsidRDefault="0057357E" w:rsidP="00DB21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AD3D7F6" w14:textId="77777777" w:rsidTr="00DB3336">
      <w:trPr>
        <w:jc w:val="center"/>
      </w:trPr>
      <w:tc>
        <w:tcPr>
          <w:tcW w:w="868" w:type="pct"/>
          <w:vAlign w:val="center"/>
        </w:tcPr>
        <w:p w14:paraId="442D6C47"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1D9FB4EA" w14:textId="5EC6669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24881">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2EC35A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C10AEF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57357E" w:rsidRPr="007B0AA0" w14:paraId="2C0B6719" w14:textId="77777777" w:rsidTr="00277758">
      <w:trPr>
        <w:jc w:val="center"/>
      </w:trPr>
      <w:tc>
        <w:tcPr>
          <w:tcW w:w="868" w:type="pct"/>
          <w:vAlign w:val="center"/>
        </w:tcPr>
        <w:p w14:paraId="2B7D3EF1" w14:textId="77777777" w:rsidR="0057357E" w:rsidRPr="007B0AA0" w:rsidRDefault="0057357E" w:rsidP="0057357E">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7EE462DD" w14:textId="77777777" w:rsidR="0057357E" w:rsidRPr="007B0AA0" w:rsidRDefault="0057357E" w:rsidP="0057357E">
          <w:pPr>
            <w:tabs>
              <w:tab w:val="clear" w:pos="794"/>
              <w:tab w:val="left" w:pos="862"/>
              <w:tab w:val="left" w:pos="5818"/>
              <w:tab w:val="right" w:pos="7326"/>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B1A4C9" w14:textId="77777777" w:rsidR="0057357E" w:rsidRPr="007B0AA0" w:rsidRDefault="0057357E" w:rsidP="0057357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3</w:t>
          </w:r>
          <w:r w:rsidRPr="007B0AA0">
            <w:rPr>
              <w:rFonts w:ascii="Calibri" w:hAnsi="Calibri" w:cs="Arial"/>
              <w:noProof/>
              <w:color w:val="7F7F7F"/>
              <w:sz w:val="18"/>
            </w:rPr>
            <w:fldChar w:fldCharType="end"/>
          </w:r>
        </w:p>
      </w:tc>
    </w:tr>
  </w:tbl>
  <w:p w14:paraId="6ADDAAB8" w14:textId="77777777" w:rsidR="00387876" w:rsidRPr="00A11BAE" w:rsidRDefault="00387876" w:rsidP="00A1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FBD1" w14:textId="77777777" w:rsidR="00BA2AE9" w:rsidRDefault="00BA2AE9" w:rsidP="006C3242">
      <w:pPr>
        <w:spacing w:before="0" w:line="240" w:lineRule="auto"/>
      </w:pPr>
      <w:r>
        <w:separator/>
      </w:r>
    </w:p>
  </w:footnote>
  <w:footnote w:type="continuationSeparator" w:id="0">
    <w:p w14:paraId="0280EC61" w14:textId="77777777" w:rsidR="00BA2AE9" w:rsidRDefault="00BA2AE9" w:rsidP="006C3242">
      <w:pPr>
        <w:spacing w:before="0" w:line="240" w:lineRule="auto"/>
      </w:pPr>
      <w:r>
        <w:continuationSeparator/>
      </w:r>
    </w:p>
  </w:footnote>
  <w:footnote w:id="1">
    <w:p w14:paraId="2FC6D4DF" w14:textId="77777777" w:rsidR="00C424F3" w:rsidRPr="007213A4" w:rsidRDefault="00C424F3" w:rsidP="00C424F3">
      <w:pPr>
        <w:pStyle w:val="FootnoteText"/>
        <w:rPr>
          <w:rtl/>
          <w:lang w:val="en-GB"/>
        </w:rPr>
      </w:pPr>
      <w:r w:rsidRPr="007213A4">
        <w:rPr>
          <w:rStyle w:val="FootnoteReference"/>
        </w:rPr>
        <w:footnoteRef/>
      </w:r>
      <w:r w:rsidRPr="007213A4">
        <w:rPr>
          <w:rtl/>
        </w:rPr>
        <w:tab/>
      </w:r>
      <w:r w:rsidRPr="007213A4">
        <w:rPr>
          <w:rFonts w:hint="cs"/>
          <w:rtl/>
          <w:lang w:bidi="ar-EG"/>
        </w:rPr>
        <w:t xml:space="preserve">هذه هي النتيجة المتوقعة لاختبار </w:t>
      </w:r>
      <w:r w:rsidRPr="007213A4">
        <w:rPr>
          <w:lang w:bidi="ar-EG"/>
        </w:rPr>
        <w:t>SPPI</w:t>
      </w:r>
      <w:r w:rsidRPr="007213A4">
        <w:rPr>
          <w:rFonts w:hint="cs"/>
          <w:rtl/>
          <w:lang w:val="en-GB" w:bidi="ar-EG"/>
        </w:rPr>
        <w:t xml:space="preserve"> على أساس الطبيعة العامة لهذه الأدوات المالية. غير أنه يلزم الكيان المعني أن يُجري اختبار </w:t>
      </w:r>
      <w:r w:rsidRPr="007213A4">
        <w:rPr>
          <w:lang w:bidi="ar-EG"/>
        </w:rPr>
        <w:t>SPPI</w:t>
      </w:r>
      <w:r w:rsidRPr="007213A4">
        <w:rPr>
          <w:rFonts w:hint="cs"/>
          <w:rtl/>
          <w:lang w:val="en-GB" w:bidi="ar-EG"/>
        </w:rPr>
        <w:t xml:space="preserve"> على الأدوات المالية الخاصة به ليحدد نتيجته من حيث اجتيازه/عدم اجتيازه، ومن ثم، فئة التصنيف.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14DE" w14:textId="514F91D0" w:rsidR="00DB21A5" w:rsidRPr="00DB21A5" w:rsidRDefault="00DB21A5" w:rsidP="00DB21A5">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4A42C13A" wp14:editId="7DFBB851">
              <wp:simplePos x="0" y="0"/>
              <wp:positionH relativeFrom="page">
                <wp:posOffset>7450455</wp:posOffset>
              </wp:positionH>
              <wp:positionV relativeFrom="topMargin">
                <wp:posOffset>596949</wp:posOffset>
              </wp:positionV>
              <wp:extent cx="93600" cy="396000"/>
              <wp:effectExtent l="0" t="0" r="1905"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9706" id="Rectangle 7" o:spid="_x0000_s1026" style="position:absolute;margin-left:586.65pt;margin-top:47pt;width:7.3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3CDAEAFF" wp14:editId="3575FDF2">
          <wp:extent cx="1956396" cy="525101"/>
          <wp:effectExtent l="0" t="0" r="0" b="8890"/>
          <wp:docPr id="8" name="Picture 8"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BD9F" w14:textId="77777777" w:rsidR="002D5E5F" w:rsidRDefault="002D5E5F"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3ACE3BA8" wp14:editId="14D37666">
              <wp:simplePos x="0" y="0"/>
              <wp:positionH relativeFrom="page">
                <wp:posOffset>7450455</wp:posOffset>
              </wp:positionH>
              <wp:positionV relativeFrom="topMargin">
                <wp:posOffset>596949</wp:posOffset>
              </wp:positionV>
              <wp:extent cx="93600" cy="396000"/>
              <wp:effectExtent l="0" t="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53B4" id="Rectangle 4"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90E9" w14:textId="7CEC9EFA" w:rsidR="00DB21A5" w:rsidRPr="00A11BAE" w:rsidRDefault="00A11BAE" w:rsidP="00A11BAE">
    <w:pPr>
      <w:spacing w:after="240"/>
      <w:jc w:val="center"/>
      <w:rPr>
        <w:sz w:val="20"/>
        <w:szCs w:val="20"/>
      </w:rPr>
    </w:pPr>
    <w:r w:rsidRPr="00A00F80">
      <w:rPr>
        <w:sz w:val="20"/>
        <w:szCs w:val="20"/>
        <w:rtl/>
        <w:lang w:bidi="ar-SY"/>
      </w:rPr>
      <w:t xml:space="preserve">تقرير </w:t>
    </w:r>
    <w:r>
      <w:rPr>
        <w:rFonts w:hint="cs"/>
        <w:sz w:val="20"/>
        <w:szCs w:val="20"/>
        <w:rtl/>
        <w:lang w:bidi="ar-SY"/>
      </w:rPr>
      <w:t>الإدارة</w:t>
    </w:r>
    <w:r w:rsidRPr="00A00F80">
      <w:rPr>
        <w:sz w:val="20"/>
        <w:szCs w:val="20"/>
        <w:rtl/>
        <w:lang w:bidi="ar-SY"/>
      </w:rPr>
      <w:t xml:space="preserve"> المالي</w:t>
    </w:r>
    <w:r>
      <w:rPr>
        <w:rFonts w:hint="cs"/>
        <w:sz w:val="20"/>
        <w:szCs w:val="20"/>
        <w:rtl/>
        <w:lang w:bidi="ar-SY"/>
      </w:rPr>
      <w:t>ة</w:t>
    </w:r>
    <w:r w:rsidRPr="00A00F80">
      <w:rPr>
        <w:sz w:val="20"/>
        <w:szCs w:val="20"/>
        <w:rtl/>
        <w:lang w:bidi="ar-SY"/>
      </w:rPr>
      <w:t xml:space="preserve"> السنوي والبيانات المالية</w:t>
    </w:r>
    <w:r w:rsidRPr="00A00F80">
      <w:rPr>
        <w:sz w:val="20"/>
        <w:szCs w:val="20"/>
        <w:rtl/>
      </w:rPr>
      <w:t xml:space="preserve"> </w:t>
    </w:r>
    <w:r w:rsidRPr="00A00F80">
      <w:rPr>
        <w:sz w:val="20"/>
        <w:szCs w:val="20"/>
        <w:rtl/>
        <w:lang w:bidi="ar-SY"/>
      </w:rPr>
      <w:t xml:space="preserve">للاتحاد لعام </w:t>
    </w:r>
    <w:r>
      <w:rPr>
        <w:sz w:val="20"/>
        <w:szCs w:val="20"/>
        <w:lang w:bidi="ar-SY"/>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01A" w14:textId="6E5D3BBB" w:rsidR="00B702D9" w:rsidRPr="00B702D9" w:rsidRDefault="00B702D9" w:rsidP="00B702D9">
    <w:pPr>
      <w:spacing w:after="240"/>
      <w:jc w:val="center"/>
      <w:rPr>
        <w:sz w:val="20"/>
        <w:szCs w:val="20"/>
      </w:rPr>
    </w:pPr>
    <w:r w:rsidRPr="00A00F80">
      <w:rPr>
        <w:sz w:val="20"/>
        <w:szCs w:val="20"/>
        <w:rtl/>
        <w:lang w:bidi="ar-SY"/>
      </w:rPr>
      <w:t xml:space="preserve">تقرير </w:t>
    </w:r>
    <w:r w:rsidR="00A03A9F">
      <w:rPr>
        <w:rFonts w:hint="cs"/>
        <w:sz w:val="20"/>
        <w:szCs w:val="20"/>
        <w:rtl/>
        <w:lang w:bidi="ar-SY"/>
      </w:rPr>
      <w:t>الإدارة</w:t>
    </w:r>
    <w:r w:rsidRPr="00A00F80">
      <w:rPr>
        <w:sz w:val="20"/>
        <w:szCs w:val="20"/>
        <w:rtl/>
        <w:lang w:bidi="ar-SY"/>
      </w:rPr>
      <w:t xml:space="preserve"> المالي</w:t>
    </w:r>
    <w:r w:rsidR="00A03A9F">
      <w:rPr>
        <w:rFonts w:hint="cs"/>
        <w:sz w:val="20"/>
        <w:szCs w:val="20"/>
        <w:rtl/>
        <w:lang w:bidi="ar-SY"/>
      </w:rPr>
      <w:t>ة</w:t>
    </w:r>
    <w:r w:rsidRPr="00A00F80">
      <w:rPr>
        <w:sz w:val="20"/>
        <w:szCs w:val="20"/>
        <w:rtl/>
        <w:lang w:bidi="ar-SY"/>
      </w:rPr>
      <w:t xml:space="preserve"> السنوي والبيانات المالية</w:t>
    </w:r>
    <w:r w:rsidRPr="00A00F80">
      <w:rPr>
        <w:sz w:val="20"/>
        <w:szCs w:val="20"/>
        <w:rtl/>
      </w:rPr>
      <w:t xml:space="preserve"> </w:t>
    </w:r>
    <w:r w:rsidRPr="00A00F80">
      <w:rPr>
        <w:sz w:val="20"/>
        <w:szCs w:val="20"/>
        <w:rtl/>
        <w:lang w:bidi="ar-SY"/>
      </w:rPr>
      <w:t xml:space="preserve">للاتحاد لعام </w:t>
    </w:r>
    <w:r>
      <w:rPr>
        <w:sz w:val="20"/>
        <w:szCs w:val="20"/>
        <w:lang w:bidi="ar-SY"/>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50E1" w14:textId="5D4F9F64" w:rsidR="007B0AA0" w:rsidRPr="00A11BAE" w:rsidRDefault="00A11BAE" w:rsidP="00A11BAE">
    <w:pPr>
      <w:spacing w:after="240"/>
      <w:jc w:val="center"/>
      <w:rPr>
        <w:sz w:val="20"/>
        <w:szCs w:val="20"/>
      </w:rPr>
    </w:pPr>
    <w:r w:rsidRPr="00A00F80">
      <w:rPr>
        <w:sz w:val="20"/>
        <w:szCs w:val="20"/>
        <w:rtl/>
        <w:lang w:bidi="ar-SY"/>
      </w:rPr>
      <w:t xml:space="preserve">تقرير </w:t>
    </w:r>
    <w:r>
      <w:rPr>
        <w:rFonts w:hint="cs"/>
        <w:sz w:val="20"/>
        <w:szCs w:val="20"/>
        <w:rtl/>
        <w:lang w:bidi="ar-SY"/>
      </w:rPr>
      <w:t>الإدارة</w:t>
    </w:r>
    <w:r w:rsidRPr="00A00F80">
      <w:rPr>
        <w:sz w:val="20"/>
        <w:szCs w:val="20"/>
        <w:rtl/>
        <w:lang w:bidi="ar-SY"/>
      </w:rPr>
      <w:t xml:space="preserve"> المالي</w:t>
    </w:r>
    <w:r>
      <w:rPr>
        <w:rFonts w:hint="cs"/>
        <w:sz w:val="20"/>
        <w:szCs w:val="20"/>
        <w:rtl/>
        <w:lang w:bidi="ar-SY"/>
      </w:rPr>
      <w:t>ة</w:t>
    </w:r>
    <w:r w:rsidRPr="00A00F80">
      <w:rPr>
        <w:sz w:val="20"/>
        <w:szCs w:val="20"/>
        <w:rtl/>
        <w:lang w:bidi="ar-SY"/>
      </w:rPr>
      <w:t xml:space="preserve"> السنوي والبيانات المالية</w:t>
    </w:r>
    <w:r w:rsidRPr="00A00F80">
      <w:rPr>
        <w:sz w:val="20"/>
        <w:szCs w:val="20"/>
        <w:rtl/>
      </w:rPr>
      <w:t xml:space="preserve"> </w:t>
    </w:r>
    <w:r w:rsidRPr="00A00F80">
      <w:rPr>
        <w:sz w:val="20"/>
        <w:szCs w:val="20"/>
        <w:rtl/>
        <w:lang w:bidi="ar-SY"/>
      </w:rPr>
      <w:t xml:space="preserve">للاتحاد لعام </w:t>
    </w:r>
    <w:r>
      <w:rPr>
        <w:sz w:val="20"/>
        <w:szCs w:val="20"/>
        <w:lang w:bidi="ar-SY"/>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D8A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90FF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61B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5CE5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808B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40C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4E0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3CF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C7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14B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150072"/>
    <w:multiLevelType w:val="hybridMultilevel"/>
    <w:tmpl w:val="8E3408B6"/>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7" w15:restartNumberingAfterBreak="0">
    <w:nsid w:val="205C1FC3"/>
    <w:multiLevelType w:val="hybridMultilevel"/>
    <w:tmpl w:val="9FCE5402"/>
    <w:lvl w:ilvl="0" w:tplc="A914E284">
      <w:start w:val="2"/>
      <w:numFmt w:val="bullet"/>
      <w:lvlText w:val="-"/>
      <w:lvlJc w:val="left"/>
      <w:pPr>
        <w:ind w:left="1152" w:hanging="360"/>
      </w:pPr>
      <w:rPr>
        <w:rFonts w:ascii="Dubai" w:eastAsiaTheme="minorEastAsia" w:hAnsi="Dubai" w:cs="Dubai" w:hint="default"/>
        <w:b/>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9" w15:restartNumberingAfterBreak="0">
    <w:nsid w:val="36E06285"/>
    <w:multiLevelType w:val="hybridMultilevel"/>
    <w:tmpl w:val="8C005E16"/>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F44EDD"/>
    <w:multiLevelType w:val="hybridMultilevel"/>
    <w:tmpl w:val="C5F8663A"/>
    <w:lvl w:ilvl="0" w:tplc="B212F00C">
      <w:start w:val="1"/>
      <w:numFmt w:val="decimal"/>
      <w:lvlText w:val="%1."/>
      <w:lvlJc w:val="left"/>
      <w:pPr>
        <w:ind w:left="720" w:hanging="360"/>
      </w:pPr>
      <w:rPr>
        <w:rFonts w:hint="default"/>
      </w:rPr>
    </w:lvl>
    <w:lvl w:ilvl="1" w:tplc="977CF9C8" w:tentative="1">
      <w:start w:val="1"/>
      <w:numFmt w:val="lowerLetter"/>
      <w:lvlText w:val="%2."/>
      <w:lvlJc w:val="left"/>
      <w:pPr>
        <w:ind w:left="1440" w:hanging="360"/>
      </w:pPr>
    </w:lvl>
    <w:lvl w:ilvl="2" w:tplc="0480E49E" w:tentative="1">
      <w:start w:val="1"/>
      <w:numFmt w:val="lowerRoman"/>
      <w:lvlText w:val="%3."/>
      <w:lvlJc w:val="right"/>
      <w:pPr>
        <w:ind w:left="2160" w:hanging="180"/>
      </w:pPr>
    </w:lvl>
    <w:lvl w:ilvl="3" w:tplc="2820AFF6" w:tentative="1">
      <w:start w:val="1"/>
      <w:numFmt w:val="decimal"/>
      <w:lvlText w:val="%4."/>
      <w:lvlJc w:val="left"/>
      <w:pPr>
        <w:ind w:left="2880" w:hanging="360"/>
      </w:pPr>
    </w:lvl>
    <w:lvl w:ilvl="4" w:tplc="1B0848DA" w:tentative="1">
      <w:start w:val="1"/>
      <w:numFmt w:val="lowerLetter"/>
      <w:lvlText w:val="%5."/>
      <w:lvlJc w:val="left"/>
      <w:pPr>
        <w:ind w:left="3600" w:hanging="360"/>
      </w:pPr>
    </w:lvl>
    <w:lvl w:ilvl="5" w:tplc="69DCAEAC" w:tentative="1">
      <w:start w:val="1"/>
      <w:numFmt w:val="lowerRoman"/>
      <w:lvlText w:val="%6."/>
      <w:lvlJc w:val="right"/>
      <w:pPr>
        <w:ind w:left="4320" w:hanging="180"/>
      </w:pPr>
    </w:lvl>
    <w:lvl w:ilvl="6" w:tplc="75A25A48" w:tentative="1">
      <w:start w:val="1"/>
      <w:numFmt w:val="decimal"/>
      <w:lvlText w:val="%7."/>
      <w:lvlJc w:val="left"/>
      <w:pPr>
        <w:ind w:left="5040" w:hanging="360"/>
      </w:pPr>
    </w:lvl>
    <w:lvl w:ilvl="7" w:tplc="D2664226" w:tentative="1">
      <w:start w:val="1"/>
      <w:numFmt w:val="lowerLetter"/>
      <w:lvlText w:val="%8."/>
      <w:lvlJc w:val="left"/>
      <w:pPr>
        <w:ind w:left="5760" w:hanging="360"/>
      </w:pPr>
    </w:lvl>
    <w:lvl w:ilvl="8" w:tplc="F6B66C62" w:tentative="1">
      <w:start w:val="1"/>
      <w:numFmt w:val="lowerRoman"/>
      <w:lvlText w:val="%9."/>
      <w:lvlJc w:val="right"/>
      <w:pPr>
        <w:ind w:left="6480" w:hanging="180"/>
      </w:pPr>
    </w:lvl>
  </w:abstractNum>
  <w:abstractNum w:abstractNumId="22" w15:restartNumberingAfterBreak="0">
    <w:nsid w:val="593E5E6C"/>
    <w:multiLevelType w:val="hybridMultilevel"/>
    <w:tmpl w:val="302E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A679F"/>
    <w:multiLevelType w:val="hybridMultilevel"/>
    <w:tmpl w:val="354625E0"/>
    <w:lvl w:ilvl="0" w:tplc="07209748">
      <w:start w:val="11"/>
      <w:numFmt w:val="bullet"/>
      <w:lvlText w:val="-"/>
      <w:lvlJc w:val="left"/>
      <w:pPr>
        <w:ind w:left="408" w:hanging="360"/>
      </w:pPr>
      <w:rPr>
        <w:rFonts w:ascii="Dubai" w:eastAsia="Times New Roman" w:hAnsi="Dubai" w:cs="Duba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737520B2"/>
    <w:multiLevelType w:val="hybridMultilevel"/>
    <w:tmpl w:val="A88234A6"/>
    <w:lvl w:ilvl="0" w:tplc="0E30C6EE">
      <w:start w:val="1"/>
      <w:numFmt w:val="bullet"/>
      <w:lvlText w:val="-"/>
      <w:lvlJc w:val="left"/>
      <w:pPr>
        <w:ind w:left="720" w:hanging="360"/>
      </w:pPr>
      <w:rPr>
        <w:rFonts w:ascii="Symbol" w:hAnsi="Symbol" w:hint="default"/>
      </w:rPr>
    </w:lvl>
    <w:lvl w:ilvl="1" w:tplc="4100F2D2">
      <w:start w:val="1"/>
      <w:numFmt w:val="bullet"/>
      <w:lvlText w:val="o"/>
      <w:lvlJc w:val="left"/>
      <w:pPr>
        <w:ind w:left="1440" w:hanging="360"/>
      </w:pPr>
      <w:rPr>
        <w:rFonts w:ascii="Courier New" w:hAnsi="Courier New" w:hint="default"/>
      </w:rPr>
    </w:lvl>
    <w:lvl w:ilvl="2" w:tplc="E6A02C76">
      <w:start w:val="1"/>
      <w:numFmt w:val="bullet"/>
      <w:lvlText w:val=""/>
      <w:lvlJc w:val="left"/>
      <w:pPr>
        <w:ind w:left="2160" w:hanging="360"/>
      </w:pPr>
      <w:rPr>
        <w:rFonts w:ascii="Wingdings" w:hAnsi="Wingdings" w:hint="default"/>
      </w:rPr>
    </w:lvl>
    <w:lvl w:ilvl="3" w:tplc="F5648890">
      <w:start w:val="1"/>
      <w:numFmt w:val="bullet"/>
      <w:lvlText w:val=""/>
      <w:lvlJc w:val="left"/>
      <w:pPr>
        <w:ind w:left="2880" w:hanging="360"/>
      </w:pPr>
      <w:rPr>
        <w:rFonts w:ascii="Symbol" w:hAnsi="Symbol" w:hint="default"/>
      </w:rPr>
    </w:lvl>
    <w:lvl w:ilvl="4" w:tplc="8E282AC2">
      <w:start w:val="1"/>
      <w:numFmt w:val="bullet"/>
      <w:lvlText w:val="o"/>
      <w:lvlJc w:val="left"/>
      <w:pPr>
        <w:ind w:left="3600" w:hanging="360"/>
      </w:pPr>
      <w:rPr>
        <w:rFonts w:ascii="Courier New" w:hAnsi="Courier New" w:hint="default"/>
      </w:rPr>
    </w:lvl>
    <w:lvl w:ilvl="5" w:tplc="DDFE12F0">
      <w:start w:val="1"/>
      <w:numFmt w:val="bullet"/>
      <w:lvlText w:val=""/>
      <w:lvlJc w:val="left"/>
      <w:pPr>
        <w:ind w:left="4320" w:hanging="360"/>
      </w:pPr>
      <w:rPr>
        <w:rFonts w:ascii="Wingdings" w:hAnsi="Wingdings" w:hint="default"/>
      </w:rPr>
    </w:lvl>
    <w:lvl w:ilvl="6" w:tplc="004493B0">
      <w:start w:val="1"/>
      <w:numFmt w:val="bullet"/>
      <w:lvlText w:val=""/>
      <w:lvlJc w:val="left"/>
      <w:pPr>
        <w:ind w:left="5040" w:hanging="360"/>
      </w:pPr>
      <w:rPr>
        <w:rFonts w:ascii="Symbol" w:hAnsi="Symbol" w:hint="default"/>
      </w:rPr>
    </w:lvl>
    <w:lvl w:ilvl="7" w:tplc="299A737E">
      <w:start w:val="1"/>
      <w:numFmt w:val="bullet"/>
      <w:lvlText w:val="o"/>
      <w:lvlJc w:val="left"/>
      <w:pPr>
        <w:ind w:left="5760" w:hanging="360"/>
      </w:pPr>
      <w:rPr>
        <w:rFonts w:ascii="Courier New" w:hAnsi="Courier New" w:hint="default"/>
      </w:rPr>
    </w:lvl>
    <w:lvl w:ilvl="8" w:tplc="42C27FA2">
      <w:start w:val="1"/>
      <w:numFmt w:val="bullet"/>
      <w:lvlText w:val=""/>
      <w:lvlJc w:val="left"/>
      <w:pPr>
        <w:ind w:left="6480" w:hanging="360"/>
      </w:pPr>
      <w:rPr>
        <w:rFonts w:ascii="Wingdings" w:hAnsi="Wingdings" w:hint="default"/>
      </w:rPr>
    </w:lvl>
  </w:abstractNum>
  <w:abstractNum w:abstractNumId="28"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CAC2785"/>
    <w:multiLevelType w:val="hybridMultilevel"/>
    <w:tmpl w:val="11E4A8C4"/>
    <w:lvl w:ilvl="0" w:tplc="E9642C60">
      <w:start w:val="1"/>
      <w:numFmt w:val="decimal"/>
      <w:lvlText w:val="%1"/>
      <w:lvlJc w:val="left"/>
      <w:pPr>
        <w:ind w:left="570" w:hanging="570"/>
      </w:pPr>
      <w:rPr>
        <w:rFonts w:asciiTheme="minorHAnsi" w:hAnsiTheme="minorHAnsi" w:cstheme="minorHAnsi" w:hint="default"/>
        <w:b w:val="0"/>
        <w:bCs w:val="0"/>
        <w:strike w:val="0"/>
        <w:color w:val="auto"/>
        <w:sz w:val="24"/>
        <w:szCs w:val="24"/>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5"/>
  </w:num>
  <w:num w:numId="12" w16cid:durableId="1138260950">
    <w:abstractNumId w:val="27"/>
  </w:num>
  <w:num w:numId="13" w16cid:durableId="1593976866">
    <w:abstractNumId w:val="22"/>
  </w:num>
  <w:num w:numId="14" w16cid:durableId="1595356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112318">
    <w:abstractNumId w:val="26"/>
  </w:num>
  <w:num w:numId="16" w16cid:durableId="206569873">
    <w:abstractNumId w:val="20"/>
  </w:num>
  <w:num w:numId="17" w16cid:durableId="987367909">
    <w:abstractNumId w:val="12"/>
  </w:num>
  <w:num w:numId="18" w16cid:durableId="1346634135">
    <w:abstractNumId w:val="11"/>
  </w:num>
  <w:num w:numId="19" w16cid:durableId="534195109">
    <w:abstractNumId w:val="13"/>
  </w:num>
  <w:num w:numId="20" w16cid:durableId="364447266">
    <w:abstractNumId w:val="24"/>
  </w:num>
  <w:num w:numId="21" w16cid:durableId="15353653">
    <w:abstractNumId w:val="30"/>
  </w:num>
  <w:num w:numId="22" w16cid:durableId="2091923929">
    <w:abstractNumId w:val="10"/>
  </w:num>
  <w:num w:numId="23" w16cid:durableId="2088139833">
    <w:abstractNumId w:val="28"/>
  </w:num>
  <w:num w:numId="24" w16cid:durableId="1867526762">
    <w:abstractNumId w:val="31"/>
  </w:num>
  <w:num w:numId="25" w16cid:durableId="1417247369">
    <w:abstractNumId w:val="18"/>
  </w:num>
  <w:num w:numId="26" w16cid:durableId="797336539">
    <w:abstractNumId w:val="25"/>
  </w:num>
  <w:num w:numId="27" w16cid:durableId="563102906">
    <w:abstractNumId w:val="16"/>
  </w:num>
  <w:num w:numId="28" w16cid:durableId="1493839821">
    <w:abstractNumId w:val="23"/>
  </w:num>
  <w:num w:numId="29" w16cid:durableId="68117370">
    <w:abstractNumId w:val="21"/>
  </w:num>
  <w:num w:numId="30" w16cid:durableId="2026782195">
    <w:abstractNumId w:val="19"/>
  </w:num>
  <w:num w:numId="31" w16cid:durableId="1115709309">
    <w:abstractNumId w:val="29"/>
  </w:num>
  <w:num w:numId="32" w16cid:durableId="39481745">
    <w:abstractNumId w:val="17"/>
  </w:num>
  <w:num w:numId="33" w16cid:durableId="128128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B0"/>
    <w:rsid w:val="00001BF6"/>
    <w:rsid w:val="0001419C"/>
    <w:rsid w:val="0002398A"/>
    <w:rsid w:val="00030677"/>
    <w:rsid w:val="00036275"/>
    <w:rsid w:val="00040A6A"/>
    <w:rsid w:val="0005300A"/>
    <w:rsid w:val="00054C86"/>
    <w:rsid w:val="000615DF"/>
    <w:rsid w:val="0006468A"/>
    <w:rsid w:val="00090574"/>
    <w:rsid w:val="0009186A"/>
    <w:rsid w:val="000C1C0E"/>
    <w:rsid w:val="000C2A1A"/>
    <w:rsid w:val="000C548A"/>
    <w:rsid w:val="000E6C96"/>
    <w:rsid w:val="000F0546"/>
    <w:rsid w:val="000F0A6D"/>
    <w:rsid w:val="000F3BBF"/>
    <w:rsid w:val="00120A9B"/>
    <w:rsid w:val="0012546F"/>
    <w:rsid w:val="001348EF"/>
    <w:rsid w:val="00137626"/>
    <w:rsid w:val="00151351"/>
    <w:rsid w:val="00153206"/>
    <w:rsid w:val="001607AB"/>
    <w:rsid w:val="00172D5C"/>
    <w:rsid w:val="00177A0E"/>
    <w:rsid w:val="001802B0"/>
    <w:rsid w:val="00195B5F"/>
    <w:rsid w:val="001A7A93"/>
    <w:rsid w:val="001B67F2"/>
    <w:rsid w:val="001C0169"/>
    <w:rsid w:val="001C0D85"/>
    <w:rsid w:val="001C1A57"/>
    <w:rsid w:val="001D1057"/>
    <w:rsid w:val="001D1D50"/>
    <w:rsid w:val="001D29ED"/>
    <w:rsid w:val="001D5525"/>
    <w:rsid w:val="001D59EC"/>
    <w:rsid w:val="001D6745"/>
    <w:rsid w:val="001D7955"/>
    <w:rsid w:val="001E446E"/>
    <w:rsid w:val="001E4574"/>
    <w:rsid w:val="001E6AC7"/>
    <w:rsid w:val="001F2A62"/>
    <w:rsid w:val="00202150"/>
    <w:rsid w:val="002063D7"/>
    <w:rsid w:val="002154EE"/>
    <w:rsid w:val="002218B1"/>
    <w:rsid w:val="00223F0C"/>
    <w:rsid w:val="002276D2"/>
    <w:rsid w:val="0023283D"/>
    <w:rsid w:val="00235E89"/>
    <w:rsid w:val="002463DD"/>
    <w:rsid w:val="00250937"/>
    <w:rsid w:val="002567A0"/>
    <w:rsid w:val="00262C27"/>
    <w:rsid w:val="0026373E"/>
    <w:rsid w:val="002641C2"/>
    <w:rsid w:val="00271C43"/>
    <w:rsid w:val="00276395"/>
    <w:rsid w:val="00286C06"/>
    <w:rsid w:val="00290728"/>
    <w:rsid w:val="00294258"/>
    <w:rsid w:val="002978F4"/>
    <w:rsid w:val="002A1410"/>
    <w:rsid w:val="002B028D"/>
    <w:rsid w:val="002B15E7"/>
    <w:rsid w:val="002C1A41"/>
    <w:rsid w:val="002C2EB3"/>
    <w:rsid w:val="002D19E7"/>
    <w:rsid w:val="002D5E5F"/>
    <w:rsid w:val="002E6541"/>
    <w:rsid w:val="002F5E41"/>
    <w:rsid w:val="0030668C"/>
    <w:rsid w:val="00307BE3"/>
    <w:rsid w:val="00310B79"/>
    <w:rsid w:val="00325748"/>
    <w:rsid w:val="003267E6"/>
    <w:rsid w:val="00334924"/>
    <w:rsid w:val="003409BC"/>
    <w:rsid w:val="003434FC"/>
    <w:rsid w:val="00347A41"/>
    <w:rsid w:val="00357185"/>
    <w:rsid w:val="003724DE"/>
    <w:rsid w:val="00382BFC"/>
    <w:rsid w:val="00383829"/>
    <w:rsid w:val="003846B6"/>
    <w:rsid w:val="00387876"/>
    <w:rsid w:val="003B08B6"/>
    <w:rsid w:val="003D106F"/>
    <w:rsid w:val="003D607B"/>
    <w:rsid w:val="003E397F"/>
    <w:rsid w:val="003E6D9E"/>
    <w:rsid w:val="003E7480"/>
    <w:rsid w:val="003F4B29"/>
    <w:rsid w:val="003F61D8"/>
    <w:rsid w:val="00406CA1"/>
    <w:rsid w:val="004176CE"/>
    <w:rsid w:val="0042686F"/>
    <w:rsid w:val="004300AE"/>
    <w:rsid w:val="00431717"/>
    <w:rsid w:val="004317D8"/>
    <w:rsid w:val="00434183"/>
    <w:rsid w:val="00434B05"/>
    <w:rsid w:val="00441E8F"/>
    <w:rsid w:val="00443869"/>
    <w:rsid w:val="00443FBB"/>
    <w:rsid w:val="00447F32"/>
    <w:rsid w:val="00453623"/>
    <w:rsid w:val="004639EE"/>
    <w:rsid w:val="00463CED"/>
    <w:rsid w:val="004719C1"/>
    <w:rsid w:val="004779A0"/>
    <w:rsid w:val="0048585A"/>
    <w:rsid w:val="00487552"/>
    <w:rsid w:val="004932AA"/>
    <w:rsid w:val="00493901"/>
    <w:rsid w:val="004A2439"/>
    <w:rsid w:val="004B14F7"/>
    <w:rsid w:val="004B1702"/>
    <w:rsid w:val="004B7334"/>
    <w:rsid w:val="004C1C57"/>
    <w:rsid w:val="004D07F5"/>
    <w:rsid w:val="004D15B7"/>
    <w:rsid w:val="004D2986"/>
    <w:rsid w:val="004E11DC"/>
    <w:rsid w:val="004E2600"/>
    <w:rsid w:val="004F0206"/>
    <w:rsid w:val="004F2190"/>
    <w:rsid w:val="004F402F"/>
    <w:rsid w:val="00511F60"/>
    <w:rsid w:val="00516087"/>
    <w:rsid w:val="005170C2"/>
    <w:rsid w:val="00520F5F"/>
    <w:rsid w:val="0052336A"/>
    <w:rsid w:val="005251AE"/>
    <w:rsid w:val="00525DDD"/>
    <w:rsid w:val="005409AC"/>
    <w:rsid w:val="00543E7D"/>
    <w:rsid w:val="005476CA"/>
    <w:rsid w:val="005534FA"/>
    <w:rsid w:val="0055516A"/>
    <w:rsid w:val="0055688F"/>
    <w:rsid w:val="005605CE"/>
    <w:rsid w:val="00561D71"/>
    <w:rsid w:val="00562A38"/>
    <w:rsid w:val="005700FD"/>
    <w:rsid w:val="0057357E"/>
    <w:rsid w:val="0058491B"/>
    <w:rsid w:val="00585FE5"/>
    <w:rsid w:val="00592EA5"/>
    <w:rsid w:val="005937CF"/>
    <w:rsid w:val="005A3159"/>
    <w:rsid w:val="005A3170"/>
    <w:rsid w:val="005B06BB"/>
    <w:rsid w:val="005C3986"/>
    <w:rsid w:val="005F4C41"/>
    <w:rsid w:val="00601ACA"/>
    <w:rsid w:val="00605B36"/>
    <w:rsid w:val="00617D8F"/>
    <w:rsid w:val="006363A1"/>
    <w:rsid w:val="00636EA7"/>
    <w:rsid w:val="00646A4D"/>
    <w:rsid w:val="00653E83"/>
    <w:rsid w:val="00654CC7"/>
    <w:rsid w:val="00657495"/>
    <w:rsid w:val="00674731"/>
    <w:rsid w:val="00675451"/>
    <w:rsid w:val="00676832"/>
    <w:rsid w:val="00676A59"/>
    <w:rsid w:val="00677396"/>
    <w:rsid w:val="0067757B"/>
    <w:rsid w:val="00681E81"/>
    <w:rsid w:val="0069200F"/>
    <w:rsid w:val="0069504E"/>
    <w:rsid w:val="0069764E"/>
    <w:rsid w:val="006A155E"/>
    <w:rsid w:val="006A65CB"/>
    <w:rsid w:val="006B794A"/>
    <w:rsid w:val="006C3242"/>
    <w:rsid w:val="006C7CC0"/>
    <w:rsid w:val="006D7646"/>
    <w:rsid w:val="006F3E5E"/>
    <w:rsid w:val="006F63F7"/>
    <w:rsid w:val="007025C7"/>
    <w:rsid w:val="00702F51"/>
    <w:rsid w:val="00705C31"/>
    <w:rsid w:val="00706D7A"/>
    <w:rsid w:val="00713B09"/>
    <w:rsid w:val="007213A4"/>
    <w:rsid w:val="00722F0D"/>
    <w:rsid w:val="00726704"/>
    <w:rsid w:val="00732E58"/>
    <w:rsid w:val="0074420E"/>
    <w:rsid w:val="00746147"/>
    <w:rsid w:val="0075013B"/>
    <w:rsid w:val="00754D04"/>
    <w:rsid w:val="00772740"/>
    <w:rsid w:val="00783E26"/>
    <w:rsid w:val="00784ED1"/>
    <w:rsid w:val="007A062D"/>
    <w:rsid w:val="007B0AA0"/>
    <w:rsid w:val="007C1BD2"/>
    <w:rsid w:val="007C3BC7"/>
    <w:rsid w:val="007C3BCD"/>
    <w:rsid w:val="007C465B"/>
    <w:rsid w:val="007D357D"/>
    <w:rsid w:val="007D4ACF"/>
    <w:rsid w:val="007E32C1"/>
    <w:rsid w:val="007E386F"/>
    <w:rsid w:val="007F0787"/>
    <w:rsid w:val="0080372C"/>
    <w:rsid w:val="00810B7B"/>
    <w:rsid w:val="00820D86"/>
    <w:rsid w:val="0082358A"/>
    <w:rsid w:val="008235CD"/>
    <w:rsid w:val="008247DE"/>
    <w:rsid w:val="0082748C"/>
    <w:rsid w:val="008339C0"/>
    <w:rsid w:val="00840B10"/>
    <w:rsid w:val="008513CB"/>
    <w:rsid w:val="0085595D"/>
    <w:rsid w:val="00862DA6"/>
    <w:rsid w:val="008638EE"/>
    <w:rsid w:val="00863C21"/>
    <w:rsid w:val="00872CD9"/>
    <w:rsid w:val="008762B8"/>
    <w:rsid w:val="00876D38"/>
    <w:rsid w:val="0088073B"/>
    <w:rsid w:val="008A7F84"/>
    <w:rsid w:val="008B177C"/>
    <w:rsid w:val="008D5AC5"/>
    <w:rsid w:val="00907B08"/>
    <w:rsid w:val="00912DAC"/>
    <w:rsid w:val="00914B65"/>
    <w:rsid w:val="0091702E"/>
    <w:rsid w:val="00921170"/>
    <w:rsid w:val="00921AFB"/>
    <w:rsid w:val="00923B0C"/>
    <w:rsid w:val="00933A80"/>
    <w:rsid w:val="0093774B"/>
    <w:rsid w:val="0094021C"/>
    <w:rsid w:val="00943ABE"/>
    <w:rsid w:val="00944F48"/>
    <w:rsid w:val="00952F86"/>
    <w:rsid w:val="009548EB"/>
    <w:rsid w:val="0095572F"/>
    <w:rsid w:val="00974219"/>
    <w:rsid w:val="00974B51"/>
    <w:rsid w:val="00982B28"/>
    <w:rsid w:val="00987B84"/>
    <w:rsid w:val="009953CD"/>
    <w:rsid w:val="009A5733"/>
    <w:rsid w:val="009B3686"/>
    <w:rsid w:val="009B439F"/>
    <w:rsid w:val="009D313F"/>
    <w:rsid w:val="009D6F64"/>
    <w:rsid w:val="009E59A4"/>
    <w:rsid w:val="009F0261"/>
    <w:rsid w:val="009F2726"/>
    <w:rsid w:val="00A000CD"/>
    <w:rsid w:val="00A0068F"/>
    <w:rsid w:val="00A01ADF"/>
    <w:rsid w:val="00A03A9F"/>
    <w:rsid w:val="00A057B0"/>
    <w:rsid w:val="00A11BAE"/>
    <w:rsid w:val="00A33D35"/>
    <w:rsid w:val="00A402CB"/>
    <w:rsid w:val="00A412F5"/>
    <w:rsid w:val="00A47A5A"/>
    <w:rsid w:val="00A57876"/>
    <w:rsid w:val="00A57BC8"/>
    <w:rsid w:val="00A6683B"/>
    <w:rsid w:val="00A72F5F"/>
    <w:rsid w:val="00A74963"/>
    <w:rsid w:val="00A75188"/>
    <w:rsid w:val="00A97F94"/>
    <w:rsid w:val="00AA4820"/>
    <w:rsid w:val="00AA7EA2"/>
    <w:rsid w:val="00AB17A0"/>
    <w:rsid w:val="00AB70C0"/>
    <w:rsid w:val="00AD3C8C"/>
    <w:rsid w:val="00AF2862"/>
    <w:rsid w:val="00AF29AF"/>
    <w:rsid w:val="00B03099"/>
    <w:rsid w:val="00B031E2"/>
    <w:rsid w:val="00B05BC8"/>
    <w:rsid w:val="00B11D34"/>
    <w:rsid w:val="00B14EB9"/>
    <w:rsid w:val="00B472DE"/>
    <w:rsid w:val="00B6080B"/>
    <w:rsid w:val="00B60F20"/>
    <w:rsid w:val="00B64B47"/>
    <w:rsid w:val="00B702D9"/>
    <w:rsid w:val="00B7103C"/>
    <w:rsid w:val="00B91B14"/>
    <w:rsid w:val="00B95654"/>
    <w:rsid w:val="00BA2AE9"/>
    <w:rsid w:val="00BA76AF"/>
    <w:rsid w:val="00BB4268"/>
    <w:rsid w:val="00BB66D7"/>
    <w:rsid w:val="00BC15A8"/>
    <w:rsid w:val="00BC1653"/>
    <w:rsid w:val="00BE12B8"/>
    <w:rsid w:val="00BF7FC9"/>
    <w:rsid w:val="00C002DE"/>
    <w:rsid w:val="00C21147"/>
    <w:rsid w:val="00C24881"/>
    <w:rsid w:val="00C3036E"/>
    <w:rsid w:val="00C32070"/>
    <w:rsid w:val="00C424F3"/>
    <w:rsid w:val="00C50E6E"/>
    <w:rsid w:val="00C53BF8"/>
    <w:rsid w:val="00C612A4"/>
    <w:rsid w:val="00C66157"/>
    <w:rsid w:val="00C674FE"/>
    <w:rsid w:val="00C67501"/>
    <w:rsid w:val="00C75633"/>
    <w:rsid w:val="00C82DD3"/>
    <w:rsid w:val="00C83C28"/>
    <w:rsid w:val="00C87F5C"/>
    <w:rsid w:val="00C900B7"/>
    <w:rsid w:val="00C96991"/>
    <w:rsid w:val="00CA1703"/>
    <w:rsid w:val="00CB2095"/>
    <w:rsid w:val="00CB40E4"/>
    <w:rsid w:val="00CD7669"/>
    <w:rsid w:val="00CE2EE1"/>
    <w:rsid w:val="00CE3349"/>
    <w:rsid w:val="00CE36E5"/>
    <w:rsid w:val="00CE731A"/>
    <w:rsid w:val="00CF27A9"/>
    <w:rsid w:val="00CF27F5"/>
    <w:rsid w:val="00CF3FFD"/>
    <w:rsid w:val="00D0049C"/>
    <w:rsid w:val="00D037E1"/>
    <w:rsid w:val="00D05549"/>
    <w:rsid w:val="00D066F5"/>
    <w:rsid w:val="00D10CCF"/>
    <w:rsid w:val="00D10D95"/>
    <w:rsid w:val="00D10F60"/>
    <w:rsid w:val="00D13941"/>
    <w:rsid w:val="00D171F1"/>
    <w:rsid w:val="00D202A2"/>
    <w:rsid w:val="00D20BEC"/>
    <w:rsid w:val="00D263A8"/>
    <w:rsid w:val="00D364D5"/>
    <w:rsid w:val="00D577CE"/>
    <w:rsid w:val="00D63735"/>
    <w:rsid w:val="00D673DE"/>
    <w:rsid w:val="00D77D0F"/>
    <w:rsid w:val="00D824B9"/>
    <w:rsid w:val="00D856DB"/>
    <w:rsid w:val="00DA1CF0"/>
    <w:rsid w:val="00DA3BDE"/>
    <w:rsid w:val="00DB21A5"/>
    <w:rsid w:val="00DB3336"/>
    <w:rsid w:val="00DB5352"/>
    <w:rsid w:val="00DC1E02"/>
    <w:rsid w:val="00DC24B4"/>
    <w:rsid w:val="00DC5FB0"/>
    <w:rsid w:val="00DC7167"/>
    <w:rsid w:val="00DE66D0"/>
    <w:rsid w:val="00DF16DC"/>
    <w:rsid w:val="00DF5ED0"/>
    <w:rsid w:val="00E27010"/>
    <w:rsid w:val="00E279C6"/>
    <w:rsid w:val="00E41595"/>
    <w:rsid w:val="00E4353D"/>
    <w:rsid w:val="00E45211"/>
    <w:rsid w:val="00E47330"/>
    <w:rsid w:val="00E473C5"/>
    <w:rsid w:val="00E4758C"/>
    <w:rsid w:val="00E61BE8"/>
    <w:rsid w:val="00E721FE"/>
    <w:rsid w:val="00E83CDB"/>
    <w:rsid w:val="00E87836"/>
    <w:rsid w:val="00E92863"/>
    <w:rsid w:val="00E92D47"/>
    <w:rsid w:val="00E95327"/>
    <w:rsid w:val="00EA4A10"/>
    <w:rsid w:val="00EA7A17"/>
    <w:rsid w:val="00EB796D"/>
    <w:rsid w:val="00ED5E7E"/>
    <w:rsid w:val="00EF43C1"/>
    <w:rsid w:val="00F058DC"/>
    <w:rsid w:val="00F24FC4"/>
    <w:rsid w:val="00F2676C"/>
    <w:rsid w:val="00F33B50"/>
    <w:rsid w:val="00F363FE"/>
    <w:rsid w:val="00F40BD4"/>
    <w:rsid w:val="00F46C6D"/>
    <w:rsid w:val="00F50E3F"/>
    <w:rsid w:val="00F5586C"/>
    <w:rsid w:val="00F63FC4"/>
    <w:rsid w:val="00F66ABC"/>
    <w:rsid w:val="00F70A94"/>
    <w:rsid w:val="00F72B70"/>
    <w:rsid w:val="00F84366"/>
    <w:rsid w:val="00F85089"/>
    <w:rsid w:val="00F974C5"/>
    <w:rsid w:val="00FA1C48"/>
    <w:rsid w:val="00FA52D5"/>
    <w:rsid w:val="00FA5C7E"/>
    <w:rsid w:val="00FA675A"/>
    <w:rsid w:val="00FA6F46"/>
    <w:rsid w:val="00FC4592"/>
    <w:rsid w:val="00FD4770"/>
    <w:rsid w:val="00FD527F"/>
    <w:rsid w:val="00FE0226"/>
    <w:rsid w:val="00FE1F7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C49680"/>
  <w15:docId w15:val="{CE19445A-77C2-43CA-BFFA-77074C19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C1"/>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autoRedefine/>
    <w:unhideWhenUsed/>
    <w:qFormat/>
    <w:rsid w:val="00943ABE"/>
    <w:pPr>
      <w:keepNext/>
      <w:keepLines/>
      <w:spacing w:before="300"/>
      <w:ind w:left="794" w:hanging="794"/>
      <w:outlineLvl w:val="1"/>
    </w:pPr>
    <w:rPr>
      <w:rFonts w:eastAsiaTheme="majorEastAsia"/>
      <w:b/>
      <w:bCs/>
      <w:sz w:val="24"/>
      <w:szCs w:val="24"/>
      <w:lang w:bidi="ar-EG"/>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autoRedefine/>
    <w:unhideWhenUsed/>
    <w:qFormat/>
    <w:rsid w:val="00DB3336"/>
    <w:pPr>
      <w:keepNext/>
      <w:keepLines/>
      <w:spacing w:before="180" w:after="120"/>
      <w:ind w:left="1134" w:hanging="1134"/>
      <w:outlineLvl w:val="4"/>
    </w:pPr>
    <w:rPr>
      <w:rFonts w:eastAsiaTheme="majorEastAsia"/>
      <w:b/>
      <w:bCs/>
      <w:color w:val="4F81BD"/>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943ABE"/>
    <w:rPr>
      <w:rFonts w:ascii="Dubai" w:eastAsiaTheme="majorEastAsia" w:hAnsi="Dubai" w:cs="Dubai"/>
      <w:b/>
      <w:bCs/>
      <w:sz w:val="24"/>
      <w:szCs w:val="24"/>
      <w:lang w:bidi="ar-EG"/>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rsid w:val="00DB3336"/>
    <w:rPr>
      <w:rFonts w:ascii="Dubai" w:eastAsiaTheme="majorEastAsia" w:hAnsi="Dubai" w:cs="Dubai"/>
      <w:b/>
      <w:bCs/>
      <w:color w:val="4F81BD"/>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7213A4"/>
    <w:pPr>
      <w:spacing w:before="60" w:line="168" w:lineRule="auto"/>
      <w:ind w:left="397" w:hanging="397"/>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213A4"/>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732E58"/>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732E58"/>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2F5E41"/>
    <w:pPr>
      <w:tabs>
        <w:tab w:val="clear" w:pos="794"/>
        <w:tab w:val="left" w:pos="1134"/>
        <w:tab w:val="left" w:leader="dot" w:pos="9072"/>
        <w:tab w:val="right" w:pos="9639"/>
      </w:tabs>
      <w:ind w:right="567"/>
    </w:pPr>
  </w:style>
  <w:style w:type="paragraph" w:styleId="TOC2">
    <w:name w:val="toc 2"/>
    <w:basedOn w:val="Normal"/>
    <w:next w:val="Normal"/>
    <w:autoRedefine/>
    <w:uiPriority w:val="39"/>
    <w:unhideWhenUsed/>
    <w:rsid w:val="00974219"/>
    <w:pPr>
      <w:tabs>
        <w:tab w:val="clear" w:pos="794"/>
        <w:tab w:val="left" w:pos="567"/>
        <w:tab w:val="left" w:leader="dot" w:pos="9072"/>
        <w:tab w:val="right" w:pos="9639"/>
      </w:tabs>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List Paragraph1,Recommendation,List Paragraph11,Bullet 1,Bullet List,Bullet Points,Bulletr List Paragraph,Dot pt,FooterText,Indicator Text,List Paragraph Char Char Char,No Spacing1,Numbered Para 1,Paragraphe de liste1,numbered,titre"/>
    <w:basedOn w:val="Normal"/>
    <w:link w:val="ListParagraphChar"/>
    <w:uiPriority w:val="1"/>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autoRedefine/>
    <w:qFormat/>
    <w:rsid w:val="00F72B70"/>
    <w:pPr>
      <w:keepNext/>
      <w:spacing w:before="240"/>
      <w:ind w:left="1134" w:hanging="1134"/>
    </w:pPr>
    <w:rPr>
      <w:b/>
      <w:bCs/>
      <w:lang w:bidi="ar-EG"/>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987B84"/>
    <w:rPr>
      <w:color w:val="605E5C"/>
      <w:shd w:val="clear" w:color="auto" w:fill="E1DFDD"/>
    </w:rPr>
  </w:style>
  <w:style w:type="paragraph" w:customStyle="1" w:styleId="Figure">
    <w:name w:val="Figure"/>
    <w:basedOn w:val="Normal"/>
    <w:autoRedefine/>
    <w:qFormat/>
    <w:rsid w:val="00EA4A10"/>
    <w:pPr>
      <w:spacing w:after="120" w:line="240" w:lineRule="auto"/>
      <w:jc w:val="center"/>
    </w:pPr>
    <w:rPr>
      <w:noProof/>
      <w:lang w:eastAsia="en-US"/>
    </w:rPr>
  </w:style>
  <w:style w:type="table" w:customStyle="1" w:styleId="TableGrid2">
    <w:name w:val="Table Grid2"/>
    <w:basedOn w:val="TableNormal"/>
    <w:next w:val="TableGrid"/>
    <w:rsid w:val="00520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3774B"/>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1170"/>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5C31"/>
    <w:rPr>
      <w:color w:val="605E5C"/>
      <w:shd w:val="clear" w:color="auto" w:fill="E1DFDD"/>
    </w:rPr>
  </w:style>
  <w:style w:type="paragraph" w:customStyle="1" w:styleId="Tablehead0">
    <w:name w:val="Table_head"/>
    <w:basedOn w:val="Normal"/>
    <w:link w:val="TableheadChar"/>
    <w:qFormat/>
    <w:rsid w:val="00C424F3"/>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NormalWeb">
    <w:name w:val="Normal (Web)"/>
    <w:basedOn w:val="Normal"/>
    <w:uiPriority w:val="99"/>
    <w:unhideWhenUsed/>
    <w:rsid w:val="00C424F3"/>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DecisionNo">
    <w:name w:val="Decision No"/>
    <w:basedOn w:val="Normal"/>
    <w:uiPriority w:val="99"/>
    <w:qFormat/>
    <w:rsid w:val="00C424F3"/>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uiPriority w:val="99"/>
    <w:qFormat/>
    <w:rsid w:val="00C424F3"/>
    <w:pPr>
      <w:spacing w:before="120" w:after="360"/>
    </w:pPr>
    <w:rPr>
      <w:b/>
      <w:bCs/>
      <w:sz w:val="28"/>
      <w:szCs w:val="40"/>
    </w:rPr>
  </w:style>
  <w:style w:type="paragraph" w:customStyle="1" w:styleId="ResolutionNo">
    <w:name w:val="Resolution No"/>
    <w:basedOn w:val="Normal"/>
    <w:uiPriority w:val="99"/>
    <w:qFormat/>
    <w:rsid w:val="00C424F3"/>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uiPriority w:val="99"/>
    <w:qFormat/>
    <w:rsid w:val="00C424F3"/>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character" w:customStyle="1" w:styleId="ts-alignment-element">
    <w:name w:val="ts-alignment-element"/>
    <w:basedOn w:val="DefaultParagraphFont"/>
    <w:rsid w:val="00C424F3"/>
  </w:style>
  <w:style w:type="paragraph" w:customStyle="1" w:styleId="Sectiontitle0">
    <w:name w:val="Section_title"/>
    <w:basedOn w:val="Annextitle0"/>
    <w:next w:val="Normalaftertitle"/>
    <w:rsid w:val="00C424F3"/>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C424F3"/>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C424F3"/>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C424F3"/>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autoRedefine/>
    <w:qFormat/>
    <w:rsid w:val="00636EA7"/>
    <w:pPr>
      <w:keepLines/>
      <w:bidi/>
      <w:spacing w:before="120" w:after="120" w:line="192" w:lineRule="auto"/>
      <w:jc w:val="center"/>
    </w:pPr>
    <w:rPr>
      <w:rFonts w:ascii="Dubai" w:eastAsia="Times New Roman" w:hAnsi="Dubai" w:cs="Dubai"/>
      <w:b/>
      <w:bCs/>
      <w:sz w:val="28"/>
      <w:szCs w:val="28"/>
      <w:lang w:eastAsia="en-US" w:bidi="ar-SY"/>
    </w:rPr>
  </w:style>
  <w:style w:type="paragraph" w:customStyle="1" w:styleId="Annextitle0">
    <w:name w:val="Annex_title"/>
    <w:basedOn w:val="Normal"/>
    <w:next w:val="Normal"/>
    <w:link w:val="AnnextitleChar"/>
    <w:rsid w:val="00C424F3"/>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C424F3"/>
    <w:rPr>
      <w:rFonts w:ascii="Calibri" w:eastAsia="Times New Roman" w:hAnsi="Calibri" w:cs="Traditional Arabic"/>
      <w:b/>
      <w:bCs/>
      <w:sz w:val="28"/>
      <w:szCs w:val="40"/>
      <w:lang w:eastAsia="en-US"/>
    </w:rPr>
  </w:style>
  <w:style w:type="paragraph" w:customStyle="1" w:styleId="AppendixNo0">
    <w:name w:val="Appendix_No"/>
    <w:basedOn w:val="AnnexNo0"/>
    <w:qFormat/>
    <w:rsid w:val="00C424F3"/>
  </w:style>
  <w:style w:type="paragraph" w:customStyle="1" w:styleId="Appendixtitle0">
    <w:name w:val="Appendix_title"/>
    <w:basedOn w:val="Annextitle0"/>
    <w:next w:val="Normal"/>
    <w:rsid w:val="00C424F3"/>
  </w:style>
  <w:style w:type="paragraph" w:customStyle="1" w:styleId="Headingbnot2">
    <w:name w:val="Heading_b not2"/>
    <w:basedOn w:val="Heading2"/>
    <w:rsid w:val="00C424F3"/>
    <w:pPr>
      <w:spacing w:before="180"/>
      <w:ind w:left="0" w:firstLine="0"/>
    </w:pPr>
    <w:rPr>
      <w:rFonts w:ascii="Calibri" w:eastAsia="Times New Roman" w:hAnsi="Calibri" w:cs="Traditional Arabic"/>
      <w:kern w:val="14"/>
      <w:szCs w:val="32"/>
      <w:u w:val="single"/>
      <w:lang w:eastAsia="en-US"/>
    </w:rPr>
  </w:style>
  <w:style w:type="character" w:customStyle="1" w:styleId="TableheadChar">
    <w:name w:val="Table_head Char"/>
    <w:basedOn w:val="DefaultParagraphFont"/>
    <w:link w:val="Tablehead0"/>
    <w:rsid w:val="00C424F3"/>
    <w:rPr>
      <w:rFonts w:ascii="Dubai" w:eastAsia="Times New Roman" w:hAnsi="Dubai" w:cs="Dubai"/>
      <w:b/>
      <w:bCs/>
      <w:lang w:val="en-GB" w:eastAsia="en-US"/>
    </w:rPr>
  </w:style>
  <w:style w:type="paragraph" w:customStyle="1" w:styleId="Tabletitle0">
    <w:name w:val="Table_title"/>
    <w:basedOn w:val="Normal"/>
    <w:next w:val="Normal"/>
    <w:link w:val="TabletitleChar"/>
    <w:rsid w:val="00C424F3"/>
    <w:pPr>
      <w:keepNext/>
      <w:keepLines/>
      <w:tabs>
        <w:tab w:val="clear" w:pos="79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C424F3"/>
    <w:pPr>
      <w:keepNext/>
      <w:keepLines/>
      <w:tabs>
        <w:tab w:val="clear" w:pos="79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C424F3"/>
    <w:rPr>
      <w:rFonts w:ascii="Calibri" w:eastAsia="Times New Roman" w:hAnsi="Calibri" w:cs="Traditional Arabic"/>
      <w:szCs w:val="30"/>
      <w:lang w:eastAsia="en-US"/>
    </w:rPr>
  </w:style>
  <w:style w:type="paragraph" w:customStyle="1" w:styleId="Tabletext">
    <w:name w:val="Table_text"/>
    <w:basedOn w:val="Normal"/>
    <w:link w:val="TabletextChar"/>
    <w:qFormat/>
    <w:rsid w:val="00C424F3"/>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C424F3"/>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C424F3"/>
    <w:rPr>
      <w:rFonts w:ascii="Dubai" w:hAnsi="Dubai" w:cs="Dubai"/>
      <w:i/>
      <w:iCs/>
    </w:rPr>
  </w:style>
  <w:style w:type="paragraph" w:customStyle="1" w:styleId="Questiontitle">
    <w:name w:val="Question_title"/>
    <w:basedOn w:val="Normal"/>
    <w:next w:val="Normal"/>
    <w:qFormat/>
    <w:rsid w:val="00C424F3"/>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C424F3"/>
    <w:pPr>
      <w:keepNext/>
      <w:keepLines/>
      <w:tabs>
        <w:tab w:val="clear" w:pos="79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C424F3"/>
    <w:pPr>
      <w:keepLines/>
      <w:tabs>
        <w:tab w:val="clear" w:pos="794"/>
        <w:tab w:val="left" w:pos="567"/>
        <w:tab w:val="left" w:pos="1701"/>
        <w:tab w:val="left" w:pos="2268"/>
        <w:tab w:val="left" w:pos="2835"/>
      </w:tabs>
      <w:spacing w:after="120"/>
      <w:jc w:val="both"/>
    </w:pPr>
    <w:rPr>
      <w:rFonts w:ascii="Calibri" w:eastAsia="Times New Roman" w:hAnsi="Calibri" w:cs="Traditional Arabic"/>
      <w:b/>
      <w:bCs/>
      <w:sz w:val="28"/>
      <w:szCs w:val="36"/>
      <w:lang w:eastAsia="en-US" w:bidi="ar-EG"/>
    </w:rPr>
  </w:style>
  <w:style w:type="paragraph" w:customStyle="1" w:styleId="Committee">
    <w:name w:val="Committee"/>
    <w:basedOn w:val="Normal"/>
    <w:qFormat/>
    <w:rsid w:val="00C424F3"/>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C424F3"/>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C424F3"/>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C424F3"/>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C424F3"/>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C424F3"/>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C424F3"/>
    <w:pPr>
      <w:keepNext/>
      <w:tabs>
        <w:tab w:val="clear" w:pos="79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C424F3"/>
    <w:pPr>
      <w:spacing w:after="360"/>
    </w:pPr>
    <w:rPr>
      <w:b/>
      <w:bCs/>
    </w:rPr>
  </w:style>
  <w:style w:type="character" w:styleId="EndnoteReference">
    <w:name w:val="endnote reference"/>
    <w:basedOn w:val="DefaultParagraphFont"/>
    <w:rsid w:val="00C424F3"/>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Normal"/>
    <w:next w:val="Normal"/>
    <w:link w:val="enumlev3Char"/>
    <w:qFormat/>
    <w:rsid w:val="00C424F3"/>
    <w:pPr>
      <w:tabs>
        <w:tab w:val="clear" w:pos="794"/>
        <w:tab w:val="left" w:pos="2500"/>
      </w:tabs>
      <w:spacing w:before="80"/>
      <w:ind w:left="2494" w:hanging="680"/>
    </w:pPr>
    <w:rPr>
      <w:rFonts w:ascii="Calibri" w:eastAsia="Times New Roman" w:hAnsi="Calibri" w:cs="Traditional Arabic"/>
      <w:szCs w:val="30"/>
      <w:lang w:eastAsia="en-US"/>
    </w:rPr>
  </w:style>
  <w:style w:type="character" w:customStyle="1" w:styleId="enumlev3Char">
    <w:name w:val="enumlev3 Char"/>
    <w:basedOn w:val="DefaultParagraphFont"/>
    <w:link w:val="enumlev30"/>
    <w:rsid w:val="00C424F3"/>
    <w:rPr>
      <w:rFonts w:ascii="Calibri" w:eastAsia="Times New Roman" w:hAnsi="Calibri" w:cs="Traditional Arabic"/>
      <w:szCs w:val="30"/>
      <w:lang w:eastAsia="en-US"/>
    </w:rPr>
  </w:style>
  <w:style w:type="paragraph" w:customStyle="1" w:styleId="FigureNo0">
    <w:name w:val="Figure_No"/>
    <w:basedOn w:val="Normal"/>
    <w:qFormat/>
    <w:rsid w:val="00C424F3"/>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C424F3"/>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C424F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C424F3"/>
    <w:rPr>
      <w:rFonts w:ascii="Dubai" w:hAnsi="Dubai" w:cs="Dubai"/>
      <w:lang w:bidi="ar-SY"/>
    </w:rPr>
  </w:style>
  <w:style w:type="paragraph" w:customStyle="1" w:styleId="Normalend">
    <w:name w:val="Normal_end"/>
    <w:basedOn w:val="Normal"/>
    <w:qFormat/>
    <w:rsid w:val="00C424F3"/>
    <w:pPr>
      <w:tabs>
        <w:tab w:val="clear" w:pos="79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C424F3"/>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C424F3"/>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C424F3"/>
    <w:pPr>
      <w:keepNext/>
      <w:keepLines/>
      <w:tabs>
        <w:tab w:val="clear" w:pos="79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C424F3"/>
    <w:rPr>
      <w:rFonts w:ascii="Dubai" w:hAnsi="Dubai" w:cs="Dubai"/>
      <w:b/>
      <w:bCs/>
    </w:rPr>
  </w:style>
  <w:style w:type="paragraph" w:customStyle="1" w:styleId="Reftext">
    <w:name w:val="Ref_text"/>
    <w:basedOn w:val="Normal"/>
    <w:rsid w:val="00C424F3"/>
    <w:pPr>
      <w:tabs>
        <w:tab w:val="clear" w:pos="79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C424F3"/>
    <w:rPr>
      <w:rFonts w:ascii="Dubai" w:hAnsi="Dubai" w:cs="Dubai"/>
      <w:sz w:val="26"/>
      <w:szCs w:val="26"/>
    </w:rPr>
  </w:style>
  <w:style w:type="character" w:customStyle="1" w:styleId="RestitleChar">
    <w:name w:val="Res_title Char"/>
    <w:basedOn w:val="AnnextitleChar"/>
    <w:link w:val="Restitle"/>
    <w:rsid w:val="00C424F3"/>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C424F3"/>
    <w:pPr>
      <w:keepNext/>
      <w:keepLines/>
      <w:tabs>
        <w:tab w:val="clear" w:pos="79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C424F3"/>
    <w:rPr>
      <w:rFonts w:ascii="Calibri" w:eastAsia="Times New Roman" w:hAnsi="Calibri" w:cs="Traditional Arabic"/>
      <w:b/>
      <w:bCs/>
      <w:sz w:val="24"/>
      <w:szCs w:val="32"/>
      <w:lang w:eastAsia="en-US" w:bidi="ar-EG"/>
    </w:rPr>
  </w:style>
  <w:style w:type="paragraph" w:customStyle="1" w:styleId="Section20">
    <w:name w:val="Section_2"/>
    <w:basedOn w:val="Section10"/>
    <w:rsid w:val="00C424F3"/>
    <w:pPr>
      <w:tabs>
        <w:tab w:val="center" w:pos="4820"/>
      </w:tabs>
      <w:bidi w:val="0"/>
      <w:spacing w:before="360"/>
    </w:pPr>
    <w:rPr>
      <w:b w:val="0"/>
      <w:bCs w:val="0"/>
      <w:i/>
      <w:iCs/>
      <w:lang w:val="en-GB" w:bidi="ar-SA"/>
    </w:rPr>
  </w:style>
  <w:style w:type="paragraph" w:customStyle="1" w:styleId="Section3">
    <w:name w:val="Section_3‎"/>
    <w:qFormat/>
    <w:rsid w:val="00C424F3"/>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C424F3"/>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C424F3"/>
    <w:pPr>
      <w:tabs>
        <w:tab w:val="clear" w:pos="794"/>
        <w:tab w:val="left" w:pos="567"/>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C424F3"/>
    <w:pPr>
      <w:tabs>
        <w:tab w:val="clear" w:pos="79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C424F3"/>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C424F3"/>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C424F3"/>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C424F3"/>
    <w:rPr>
      <w:rFonts w:ascii="Calibri" w:eastAsia="Times New Roman" w:hAnsi="Calibri" w:cs="Traditional Arabic"/>
      <w:i/>
      <w:iCs/>
      <w:szCs w:val="30"/>
      <w:lang w:bidi="ar-EG"/>
    </w:rPr>
  </w:style>
  <w:style w:type="paragraph" w:customStyle="1" w:styleId="Title10">
    <w:name w:val="Title1"/>
    <w:basedOn w:val="Normal"/>
    <w:semiHidden/>
    <w:rsid w:val="00C424F3"/>
    <w:pPr>
      <w:tabs>
        <w:tab w:val="clear" w:pos="79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C424F3"/>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C424F3"/>
    <w:pPr>
      <w:keepNext/>
      <w:keepLines/>
      <w:tabs>
        <w:tab w:val="clear" w:pos="79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not2"/>
    <w:qFormat/>
    <w:rsid w:val="00C424F3"/>
    <w:rPr>
      <w:sz w:val="22"/>
      <w:szCs w:val="30"/>
    </w:rPr>
  </w:style>
  <w:style w:type="paragraph" w:customStyle="1" w:styleId="Recref">
    <w:name w:val="Rec_ref"/>
    <w:basedOn w:val="Normal"/>
    <w:qFormat/>
    <w:rsid w:val="00C424F3"/>
    <w:pPr>
      <w:keepNext/>
      <w:tabs>
        <w:tab w:val="clear" w:pos="79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C424F3"/>
    <w:pPr>
      <w:keepLines/>
    </w:pPr>
  </w:style>
  <w:style w:type="paragraph" w:styleId="BalloonText">
    <w:name w:val="Balloon Text"/>
    <w:basedOn w:val="Normal"/>
    <w:link w:val="BalloonTextChar"/>
    <w:uiPriority w:val="99"/>
    <w:unhideWhenUsed/>
    <w:rsid w:val="00C424F3"/>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C424F3"/>
    <w:rPr>
      <w:rFonts w:ascii="Segoe UI" w:eastAsia="Times New Roman" w:hAnsi="Segoe UI" w:cs="Segoe UI"/>
      <w:sz w:val="18"/>
      <w:szCs w:val="18"/>
      <w:lang w:eastAsia="en-US"/>
    </w:rPr>
  </w:style>
  <w:style w:type="paragraph" w:customStyle="1" w:styleId="TableText0">
    <w:name w:val="Table_Text"/>
    <w:basedOn w:val="Normal"/>
    <w:rsid w:val="00C424F3"/>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C424F3"/>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C424F3"/>
  </w:style>
  <w:style w:type="paragraph" w:customStyle="1" w:styleId="Tabletext11">
    <w:name w:val="Table_text 11"/>
    <w:basedOn w:val="Tabletext"/>
    <w:qFormat/>
    <w:rsid w:val="00C424F3"/>
    <w:pPr>
      <w:spacing w:before="20" w:after="40" w:line="220" w:lineRule="exact"/>
      <w:jc w:val="left"/>
    </w:pPr>
    <w:rPr>
      <w:sz w:val="16"/>
      <w:szCs w:val="22"/>
    </w:rPr>
  </w:style>
  <w:style w:type="paragraph" w:customStyle="1" w:styleId="TableheadP2">
    <w:name w:val="Table_head P2"/>
    <w:basedOn w:val="Normal"/>
    <w:link w:val="TableheadP2Char"/>
    <w:qFormat/>
    <w:rsid w:val="00C424F3"/>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2Char">
    <w:name w:val="Table_head P2 Char"/>
    <w:basedOn w:val="DefaultParagraphFont"/>
    <w:link w:val="TableheadP2"/>
    <w:rsid w:val="00C424F3"/>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C424F3"/>
    <w:pPr>
      <w:tabs>
        <w:tab w:val="clear" w:pos="79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TabletextP2Char">
    <w:name w:val="Table_text P2 Char"/>
    <w:basedOn w:val="DefaultParagraphFont"/>
    <w:link w:val="TabletextP2"/>
    <w:locked/>
    <w:rsid w:val="00C424F3"/>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C424F3"/>
    <w:pPr>
      <w:keepNext/>
      <w:tabs>
        <w:tab w:val="clear" w:pos="794"/>
      </w:tabs>
      <w:spacing w:before="240" w:after="120"/>
      <w:jc w:val="center"/>
    </w:pPr>
    <w:rPr>
      <w:rFonts w:ascii="Calibri" w:hAnsi="Calibri" w:cs="Traditional Arabic"/>
      <w:b/>
      <w:bCs/>
      <w:szCs w:val="30"/>
      <w:lang w:bidi="ar-SY"/>
    </w:rPr>
  </w:style>
  <w:style w:type="paragraph" w:customStyle="1" w:styleId="Tabletext11P2">
    <w:name w:val="Table_text 11 P2"/>
    <w:basedOn w:val="TabletextP2"/>
    <w:qFormat/>
    <w:rsid w:val="00C424F3"/>
    <w:pPr>
      <w:spacing w:before="20" w:after="40" w:line="220" w:lineRule="exact"/>
    </w:pPr>
    <w:rPr>
      <w:sz w:val="16"/>
      <w:szCs w:val="22"/>
    </w:rPr>
  </w:style>
  <w:style w:type="paragraph" w:customStyle="1" w:styleId="TableheadP3">
    <w:name w:val="Table_head P3"/>
    <w:basedOn w:val="Normal"/>
    <w:link w:val="TableheadP3Char"/>
    <w:qFormat/>
    <w:rsid w:val="00C424F3"/>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3Char">
    <w:name w:val="Table_head P3 Char"/>
    <w:basedOn w:val="DefaultParagraphFont"/>
    <w:link w:val="TableheadP3"/>
    <w:rsid w:val="00C424F3"/>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C424F3"/>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P3Char">
    <w:name w:val="Table_text P3 Char"/>
    <w:basedOn w:val="DefaultParagraphFont"/>
    <w:link w:val="TabletextP3"/>
    <w:locked/>
    <w:rsid w:val="00C424F3"/>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C424F3"/>
    <w:pPr>
      <w:keepNext/>
      <w:tabs>
        <w:tab w:val="clear" w:pos="794"/>
      </w:tabs>
      <w:spacing w:after="240"/>
      <w:jc w:val="center"/>
    </w:pPr>
    <w:rPr>
      <w:rFonts w:ascii="Calibri" w:hAnsi="Calibri" w:cs="Traditional Arabic"/>
      <w:b/>
      <w:bCs/>
      <w:szCs w:val="30"/>
      <w:lang w:bidi="ar-SY"/>
    </w:rPr>
  </w:style>
  <w:style w:type="paragraph" w:customStyle="1" w:styleId="TableHeadP30">
    <w:name w:val="Table Head P3"/>
    <w:basedOn w:val="Normal"/>
    <w:uiPriority w:val="99"/>
    <w:qFormat/>
    <w:rsid w:val="00C424F3"/>
    <w:pPr>
      <w:keepNext/>
      <w:tabs>
        <w:tab w:val="clear" w:pos="794"/>
      </w:tabs>
      <w:spacing w:before="60" w:after="60" w:line="260" w:lineRule="exact"/>
      <w:jc w:val="center"/>
    </w:pPr>
    <w:rPr>
      <w:rFonts w:ascii="Calibri" w:hAnsi="Calibri" w:cs="Traditional Arabic"/>
      <w:b/>
      <w:bCs/>
      <w:sz w:val="20"/>
      <w:szCs w:val="26"/>
    </w:rPr>
  </w:style>
  <w:style w:type="character" w:styleId="FollowedHyperlink">
    <w:name w:val="FollowedHyperlink"/>
    <w:basedOn w:val="DefaultParagraphFont"/>
    <w:uiPriority w:val="99"/>
    <w:unhideWhenUsed/>
    <w:rsid w:val="00C424F3"/>
    <w:rPr>
      <w:color w:val="800080"/>
      <w:u w:val="single"/>
    </w:rPr>
  </w:style>
  <w:style w:type="paragraph" w:styleId="Index1">
    <w:name w:val="index 1"/>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pPr>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unhideWhenUsed/>
    <w:rsid w:val="00C424F3"/>
    <w:pPr>
      <w:tabs>
        <w:tab w:val="clear" w:pos="794"/>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C424F3"/>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Caption">
    <w:name w:val="caption"/>
    <w:basedOn w:val="Normal"/>
    <w:next w:val="Normal"/>
    <w:uiPriority w:val="35"/>
    <w:unhideWhenUsed/>
    <w:qFormat/>
    <w:rsid w:val="00C424F3"/>
    <w:pPr>
      <w:widowControl w:val="0"/>
      <w:tabs>
        <w:tab w:val="clear" w:pos="794"/>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C424F3"/>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ascii="Calibri" w:eastAsia="Times New Roman" w:hAnsi="Calibri" w:cs="Times New Roman"/>
      <w:sz w:val="24"/>
      <w:szCs w:val="20"/>
      <w:lang w:val="en-GB" w:eastAsia="en-US"/>
    </w:rPr>
  </w:style>
  <w:style w:type="character" w:customStyle="1" w:styleId="TitleChar1">
    <w:name w:val="Title Char1"/>
    <w:aliases w:val="Title right Char1"/>
    <w:basedOn w:val="DefaultParagraphFont"/>
    <w:rsid w:val="00C424F3"/>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C424F3"/>
    <w:pPr>
      <w:tabs>
        <w:tab w:val="clear" w:pos="794"/>
        <w:tab w:val="left" w:pos="0"/>
        <w:tab w:val="left" w:pos="851"/>
        <w:tab w:val="left" w:pos="1134"/>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C424F3"/>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C424F3"/>
    <w:pPr>
      <w:widowControl w:val="0"/>
      <w:tabs>
        <w:tab w:val="clear" w:pos="794"/>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C424F3"/>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C424F3"/>
    <w:pPr>
      <w:tabs>
        <w:tab w:val="clear" w:pos="794"/>
        <w:tab w:val="left" w:pos="567"/>
        <w:tab w:val="left" w:pos="851"/>
        <w:tab w:val="left" w:pos="1134"/>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C424F3"/>
    <w:rPr>
      <w:rFonts w:ascii="Times New Roman" w:eastAsia="Times New Roman" w:hAnsi="Times New Roman" w:cs="Times New Roman"/>
      <w:sz w:val="24"/>
      <w:szCs w:val="20"/>
      <w:lang w:val="fr-FR" w:eastAsia="en-US"/>
    </w:rPr>
  </w:style>
  <w:style w:type="paragraph" w:styleId="BlockText">
    <w:name w:val="Block Text"/>
    <w:basedOn w:val="Normal"/>
    <w:unhideWhenUsed/>
    <w:rsid w:val="00C424F3"/>
    <w:pPr>
      <w:tabs>
        <w:tab w:val="clear" w:pos="794"/>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C424F3"/>
    <w:rPr>
      <w:bCs/>
    </w:rPr>
  </w:style>
  <w:style w:type="character" w:customStyle="1" w:styleId="CommentSubjectChar">
    <w:name w:val="Comment Subject Char"/>
    <w:basedOn w:val="CommentTextChar"/>
    <w:link w:val="CommentSubject"/>
    <w:uiPriority w:val="99"/>
    <w:rsid w:val="00C424F3"/>
    <w:rPr>
      <w:rFonts w:ascii="Times New Roman" w:eastAsia="Times New Roman" w:hAnsi="Times New Roman" w:cs="Arial"/>
      <w:b/>
      <w:bCs/>
      <w:sz w:val="20"/>
      <w:szCs w:val="20"/>
      <w:lang w:val="fr-FR" w:eastAsia="fr-FR"/>
    </w:rPr>
  </w:style>
  <w:style w:type="paragraph" w:customStyle="1" w:styleId="Equation">
    <w:name w:val="Equation"/>
    <w:basedOn w:val="Normal"/>
    <w:rsid w:val="00C424F3"/>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Head">
    <w:name w:val="Head"/>
    <w:basedOn w:val="Normal"/>
    <w:rsid w:val="00C424F3"/>
    <w:pPr>
      <w:tabs>
        <w:tab w:val="clear" w:pos="794"/>
        <w:tab w:val="left" w:pos="567"/>
        <w:tab w:val="left" w:pos="1134"/>
        <w:tab w:val="left" w:pos="1701"/>
        <w:tab w:val="left" w:pos="2268"/>
        <w:tab w:val="left" w:pos="2835"/>
        <w:tab w:val="left" w:pos="6663"/>
      </w:tabs>
      <w:bidi w:val="0"/>
      <w:spacing w:before="0" w:line="240" w:lineRule="auto"/>
      <w:jc w:val="left"/>
    </w:pPr>
    <w:rPr>
      <w:rFonts w:ascii="Calibri" w:eastAsia="Times New Roman" w:hAnsi="Calibri" w:cs="Times New Roman"/>
      <w:sz w:val="24"/>
      <w:szCs w:val="20"/>
      <w:lang w:val="en-GB" w:eastAsia="en-US"/>
    </w:rPr>
  </w:style>
  <w:style w:type="paragraph" w:customStyle="1" w:styleId="Part">
    <w:name w:val="Part"/>
    <w:basedOn w:val="Normal"/>
    <w:next w:val="Normal"/>
    <w:rsid w:val="00C424F3"/>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docnoted">
    <w:name w:val="docnoted"/>
    <w:basedOn w:val="Normal"/>
    <w:next w:val="Head"/>
    <w:rsid w:val="00C424F3"/>
    <w:pPr>
      <w:pBdr>
        <w:top w:val="single" w:sz="6" w:space="0" w:color="auto"/>
        <w:left w:val="single" w:sz="6" w:space="0" w:color="auto"/>
        <w:bottom w:val="single" w:sz="6" w:space="0" w:color="auto"/>
        <w:right w:val="single" w:sz="6" w:space="0" w:color="auto"/>
      </w:pBdr>
      <w:shd w:val="pct10" w:color="auto" w:fill="auto"/>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right="91"/>
      <w:jc w:val="left"/>
    </w:pPr>
    <w:rPr>
      <w:rFonts w:ascii="Calibri" w:eastAsia="Times New Roman" w:hAnsi="Calibri" w:cs="Times New Roman"/>
      <w:sz w:val="20"/>
      <w:szCs w:val="20"/>
      <w:lang w:val="en-GB" w:eastAsia="en-US"/>
    </w:rPr>
  </w:style>
  <w:style w:type="paragraph" w:customStyle="1" w:styleId="meeting">
    <w:name w:val="meeting"/>
    <w:basedOn w:val="Head"/>
    <w:next w:val="Head"/>
    <w:rsid w:val="00C424F3"/>
    <w:pPr>
      <w:tabs>
        <w:tab w:val="left" w:pos="7371"/>
      </w:tabs>
      <w:spacing w:after="567"/>
    </w:pPr>
  </w:style>
  <w:style w:type="paragraph" w:customStyle="1" w:styleId="Subject">
    <w:name w:val="Subject"/>
    <w:basedOn w:val="Normal"/>
    <w:next w:val="Source"/>
    <w:rsid w:val="00C424F3"/>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pPr>
    <w:rPr>
      <w:rFonts w:ascii="Calibri" w:eastAsia="Times New Roman" w:hAnsi="Calibri" w:cs="Times New Roman"/>
      <w:sz w:val="24"/>
      <w:szCs w:val="20"/>
      <w:lang w:val="en-GB" w:eastAsia="en-US"/>
    </w:rPr>
  </w:style>
  <w:style w:type="paragraph" w:customStyle="1" w:styleId="Object">
    <w:name w:val="Object"/>
    <w:basedOn w:val="Subject"/>
    <w:next w:val="Subject"/>
    <w:rsid w:val="00C424F3"/>
  </w:style>
  <w:style w:type="paragraph" w:customStyle="1" w:styleId="Data">
    <w:name w:val="Data"/>
    <w:basedOn w:val="Subject"/>
    <w:next w:val="Subject"/>
    <w:rsid w:val="00C424F3"/>
  </w:style>
  <w:style w:type="paragraph" w:customStyle="1" w:styleId="FirstFooter">
    <w:name w:val="FirstFooter"/>
    <w:basedOn w:val="Footer"/>
    <w:rsid w:val="00C424F3"/>
    <w:pPr>
      <w:tabs>
        <w:tab w:val="clear" w:pos="794"/>
        <w:tab w:val="clear" w:pos="4153"/>
        <w:tab w:val="clear" w:pos="8306"/>
        <w:tab w:val="left" w:pos="5954"/>
        <w:tab w:val="right" w:pos="9639"/>
      </w:tabs>
      <w:overflowPunct w:val="0"/>
      <w:autoSpaceDE w:val="0"/>
      <w:autoSpaceDN w:val="0"/>
      <w:adjustRightInd w:val="0"/>
    </w:pPr>
    <w:rPr>
      <w:rFonts w:ascii="Calibri" w:hAnsi="Calibri" w:cs="Times New Roman"/>
      <w:noProof/>
      <w:sz w:val="16"/>
      <w:lang w:val="en-GB"/>
    </w:rPr>
  </w:style>
  <w:style w:type="paragraph" w:customStyle="1" w:styleId="dnum">
    <w:name w:val="dnum"/>
    <w:basedOn w:val="Normal"/>
    <w:rsid w:val="00C424F3"/>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date">
    <w:name w:val="ddate"/>
    <w:basedOn w:val="Normal"/>
    <w:rsid w:val="00C424F3"/>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C424F3"/>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Appendixref">
    <w:name w:val="Appendix_ref"/>
    <w:basedOn w:val="Annexref"/>
    <w:next w:val="Appendixtitle0"/>
    <w:rsid w:val="00C424F3"/>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cs="Times New Roman"/>
      <w:b w:val="0"/>
      <w:bCs w:val="0"/>
      <w:sz w:val="24"/>
      <w:szCs w:val="20"/>
      <w:lang w:val="en-GB" w:bidi="ar-SA"/>
    </w:rPr>
  </w:style>
  <w:style w:type="paragraph" w:customStyle="1" w:styleId="Equationlegend">
    <w:name w:val="Equation_legend"/>
    <w:basedOn w:val="Normal"/>
    <w:rsid w:val="00C424F3"/>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legend0">
    <w:name w:val="Figure_legend"/>
    <w:basedOn w:val="Normal"/>
    <w:rsid w:val="00C424F3"/>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withouttitle">
    <w:name w:val="Figure_without_title"/>
    <w:basedOn w:val="Figure"/>
    <w:next w:val="Normalaftertitle"/>
    <w:rsid w:val="00C424F3"/>
    <w:pPr>
      <w:keepLines/>
      <w:tabs>
        <w:tab w:val="clear" w:pos="794"/>
        <w:tab w:val="left" w:pos="567"/>
        <w:tab w:val="left" w:pos="1134"/>
        <w:tab w:val="left" w:pos="1701"/>
        <w:tab w:val="left" w:pos="2268"/>
        <w:tab w:val="left" w:pos="2835"/>
      </w:tabs>
      <w:overflowPunct w:val="0"/>
      <w:autoSpaceDE w:val="0"/>
      <w:autoSpaceDN w:val="0"/>
      <w:bidi w:val="0"/>
      <w:adjustRightInd w:val="0"/>
      <w:spacing w:after="240"/>
    </w:pPr>
    <w:rPr>
      <w:rFonts w:ascii="Calibri" w:eastAsia="Times New Roman" w:hAnsi="Calibri" w:cs="Times New Roman"/>
      <w:noProof w:val="0"/>
      <w:sz w:val="24"/>
      <w:szCs w:val="20"/>
      <w:lang w:val="en-GB"/>
    </w:rPr>
  </w:style>
  <w:style w:type="paragraph" w:customStyle="1" w:styleId="Partref">
    <w:name w:val="Part_ref"/>
    <w:basedOn w:val="Annexref"/>
    <w:next w:val="Normalaftertitle"/>
    <w:rsid w:val="00C424F3"/>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cs="Times New Roman"/>
      <w:b w:val="0"/>
      <w:bCs w:val="0"/>
      <w:sz w:val="24"/>
      <w:szCs w:val="20"/>
      <w:lang w:val="en-GB" w:bidi="ar-SA"/>
    </w:rPr>
  </w:style>
  <w:style w:type="paragraph" w:customStyle="1" w:styleId="Recdate">
    <w:name w:val="Rec_date"/>
    <w:basedOn w:val="Recref"/>
    <w:next w:val="Normalaftertitle"/>
    <w:rsid w:val="00C424F3"/>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C424F3"/>
  </w:style>
  <w:style w:type="paragraph" w:customStyle="1" w:styleId="Questionref">
    <w:name w:val="Question_ref"/>
    <w:basedOn w:val="Recref"/>
    <w:next w:val="Questiondate"/>
    <w:rsid w:val="00C424F3"/>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C424F3"/>
  </w:style>
  <w:style w:type="paragraph" w:customStyle="1" w:styleId="Reptitle">
    <w:name w:val="Rep_title"/>
    <w:basedOn w:val="Rectitle"/>
    <w:next w:val="Repref"/>
    <w:rsid w:val="00C424F3"/>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C424F3"/>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C424F3"/>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C424F3"/>
  </w:style>
  <w:style w:type="paragraph" w:customStyle="1" w:styleId="Tableref">
    <w:name w:val="Table_ref"/>
    <w:basedOn w:val="Normal"/>
    <w:next w:val="Tabletitle0"/>
    <w:rsid w:val="00C424F3"/>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pPr>
    <w:rPr>
      <w:rFonts w:ascii="Calibri" w:eastAsia="Times New Roman" w:hAnsi="Calibri" w:cs="Times New Roman"/>
      <w:sz w:val="24"/>
      <w:szCs w:val="20"/>
      <w:lang w:val="en-GB" w:eastAsia="en-US"/>
    </w:rPr>
  </w:style>
  <w:style w:type="paragraph" w:customStyle="1" w:styleId="Artheading">
    <w:name w:val="Art_heading"/>
    <w:basedOn w:val="Normal"/>
    <w:next w:val="Normalaftertitle"/>
    <w:rsid w:val="00C424F3"/>
    <w:pPr>
      <w:tabs>
        <w:tab w:val="clear" w:pos="794"/>
      </w:tabs>
      <w:overflowPunct w:val="0"/>
      <w:autoSpaceDE w:val="0"/>
      <w:autoSpaceDN w:val="0"/>
      <w:bidi w:val="0"/>
      <w:adjustRightInd w:val="0"/>
      <w:spacing w:before="480" w:line="240" w:lineRule="auto"/>
      <w:jc w:val="center"/>
    </w:pPr>
    <w:rPr>
      <w:rFonts w:ascii="Calibri" w:eastAsia="Times New Roman" w:hAnsi="Calibri" w:cs="Times New Roman"/>
      <w:b/>
      <w:sz w:val="24"/>
      <w:szCs w:val="20"/>
      <w:lang w:val="en-GB" w:eastAsia="en-US"/>
    </w:rPr>
  </w:style>
  <w:style w:type="paragraph" w:customStyle="1" w:styleId="Arttitle">
    <w:name w:val="Art_title"/>
    <w:basedOn w:val="Normal"/>
    <w:next w:val="Normal"/>
    <w:rsid w:val="00C424F3"/>
    <w:pPr>
      <w:tabs>
        <w:tab w:val="clear" w:pos="794"/>
      </w:tabs>
      <w:overflowPunct w:val="0"/>
      <w:autoSpaceDE w:val="0"/>
      <w:autoSpaceDN w:val="0"/>
      <w:bidi w:val="0"/>
      <w:adjustRightInd w:val="0"/>
      <w:spacing w:before="240" w:after="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C424F3"/>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firstfooter0">
    <w:name w:val="firstfooter"/>
    <w:basedOn w:val="Normal"/>
    <w:rsid w:val="00C424F3"/>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customStyle="1" w:styleId="Table">
    <w:name w:val="Table_#"/>
    <w:basedOn w:val="Normal"/>
    <w:next w:val="Normal"/>
    <w:rsid w:val="00C424F3"/>
    <w:pPr>
      <w:keepNext/>
      <w:tabs>
        <w:tab w:val="clear"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C424F3"/>
    <w:pPr>
      <w:keepNext/>
      <w:spacing w:before="480" w:after="0"/>
      <w:jc w:val="center"/>
    </w:pPr>
    <w:rPr>
      <w:b/>
    </w:rPr>
  </w:style>
  <w:style w:type="paragraph" w:customStyle="1" w:styleId="headingb0">
    <w:name w:val="heading_b"/>
    <w:basedOn w:val="Heading3"/>
    <w:next w:val="Normal"/>
    <w:link w:val="headingbChar"/>
    <w:uiPriority w:val="99"/>
    <w:rsid w:val="00C424F3"/>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C424F3"/>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Default">
    <w:name w:val="Default"/>
    <w:rsid w:val="00C424F3"/>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C424F3"/>
    <w:rPr>
      <w:sz w:val="16"/>
      <w:szCs w:val="16"/>
    </w:rPr>
  </w:style>
  <w:style w:type="character" w:customStyle="1" w:styleId="intro">
    <w:name w:val="intro"/>
    <w:basedOn w:val="DefaultParagraphFont"/>
    <w:rsid w:val="00C424F3"/>
  </w:style>
  <w:style w:type="character" w:customStyle="1" w:styleId="ts-alignment-element-highlighted">
    <w:name w:val="ts-alignment-element-highlighted"/>
    <w:basedOn w:val="DefaultParagraphFont"/>
    <w:rsid w:val="00C424F3"/>
  </w:style>
  <w:style w:type="character" w:styleId="LineNumber">
    <w:name w:val="line number"/>
    <w:basedOn w:val="DefaultParagraphFont"/>
    <w:rsid w:val="00C424F3"/>
  </w:style>
  <w:style w:type="character" w:customStyle="1" w:styleId="ms-rtefontsize-2">
    <w:name w:val="ms-rtefontsize-2"/>
    <w:basedOn w:val="DefaultParagraphFont"/>
    <w:rsid w:val="00C424F3"/>
  </w:style>
  <w:style w:type="paragraph" w:customStyle="1" w:styleId="HeadingA">
    <w:name w:val="Heading_A"/>
    <w:basedOn w:val="Headingbnot2"/>
    <w:qFormat/>
    <w:rsid w:val="00C424F3"/>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C424F3"/>
    <w:rPr>
      <w:rFonts w:ascii="Calibri" w:eastAsia="Times New Roman" w:hAnsi="Calibri" w:cs="Traditional Arabic"/>
      <w:b/>
      <w:bCs/>
      <w:szCs w:val="30"/>
      <w:lang w:eastAsia="en-US"/>
    </w:rPr>
  </w:style>
  <w:style w:type="character" w:customStyle="1" w:styleId="headingbChar">
    <w:name w:val="heading_b Char"/>
    <w:basedOn w:val="DefaultParagraphFont"/>
    <w:link w:val="headingb0"/>
    <w:uiPriority w:val="99"/>
    <w:rsid w:val="00C424F3"/>
    <w:rPr>
      <w:rFonts w:ascii="Times New Roman" w:eastAsia="Times New Roman" w:hAnsi="Times New Roman" w:cs="Times New Roman"/>
      <w:b/>
      <w:sz w:val="24"/>
      <w:szCs w:val="20"/>
      <w:lang w:val="fr-FR" w:eastAsia="en-US"/>
    </w:rPr>
  </w:style>
  <w:style w:type="table" w:customStyle="1" w:styleId="DarkList1">
    <w:name w:val="Dark List1"/>
    <w:basedOn w:val="TableNormal"/>
    <w:uiPriority w:val="70"/>
    <w:rsid w:val="00C424F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Tabletext1">
    <w:name w:val="Table text"/>
    <w:rsid w:val="00C424F3"/>
    <w:pPr>
      <w:spacing w:before="180" w:after="0" w:line="240" w:lineRule="auto"/>
      <w:jc w:val="both"/>
    </w:pPr>
    <w:rPr>
      <w:rFonts w:ascii="Calibri" w:eastAsia="Times New Roman" w:hAnsi="Calibri" w:cs="Times New Roman"/>
      <w:sz w:val="20"/>
      <w:szCs w:val="18"/>
      <w:lang w:val="en-GB"/>
    </w:rPr>
  </w:style>
  <w:style w:type="paragraph" w:styleId="EndnoteText">
    <w:name w:val="endnote text"/>
    <w:basedOn w:val="Normal"/>
    <w:link w:val="EndnoteTextChar"/>
    <w:uiPriority w:val="99"/>
    <w:unhideWhenUsed/>
    <w:rsid w:val="00C424F3"/>
    <w:pPr>
      <w:tabs>
        <w:tab w:val="clear" w:pos="794"/>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C424F3"/>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C424F3"/>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Pa0">
    <w:name w:val="Pa0"/>
    <w:basedOn w:val="Default"/>
    <w:next w:val="Default"/>
    <w:uiPriority w:val="99"/>
    <w:rsid w:val="00C424F3"/>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C424F3"/>
    <w:pPr>
      <w:numPr>
        <w:numId w:val="15"/>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C424F3"/>
    <w:pPr>
      <w:numPr>
        <w:numId w:val="14"/>
      </w:numPr>
      <w:tabs>
        <w:tab w:val="num" w:pos="360"/>
      </w:tabs>
      <w:ind w:left="284" w:hanging="284"/>
    </w:pPr>
  </w:style>
  <w:style w:type="paragraph" w:customStyle="1" w:styleId="Tableheadb4">
    <w:name w:val="Table_head b4"/>
    <w:basedOn w:val="TableheadP3"/>
    <w:qFormat/>
    <w:rsid w:val="00C424F3"/>
    <w:pPr>
      <w:spacing w:before="40" w:after="40" w:line="220" w:lineRule="exact"/>
    </w:pPr>
    <w:rPr>
      <w:sz w:val="14"/>
      <w:szCs w:val="18"/>
      <w:lang w:val="fr-CH"/>
    </w:rPr>
  </w:style>
  <w:style w:type="paragraph" w:customStyle="1" w:styleId="Tabletextb4">
    <w:name w:val="Table_text b4"/>
    <w:basedOn w:val="Tableheadb4"/>
    <w:qFormat/>
    <w:rsid w:val="00C424F3"/>
    <w:pPr>
      <w:keepNext w:val="0"/>
      <w:spacing w:before="20" w:after="20" w:line="180" w:lineRule="exact"/>
      <w:jc w:val="left"/>
    </w:pPr>
    <w:rPr>
      <w:b w:val="0"/>
      <w:bCs w:val="0"/>
      <w:lang w:eastAsia="zh-CN"/>
    </w:rPr>
  </w:style>
  <w:style w:type="paragraph" w:customStyle="1" w:styleId="Heading16sl">
    <w:name w:val="Heading_16 sl"/>
    <w:basedOn w:val="Headingbnot2"/>
    <w:qFormat/>
    <w:rsid w:val="00C424F3"/>
  </w:style>
  <w:style w:type="paragraph" w:customStyle="1" w:styleId="Headingb1">
    <w:name w:val="Heading_b"/>
    <w:basedOn w:val="Heading2"/>
    <w:qFormat/>
    <w:rsid w:val="00C424F3"/>
    <w:pPr>
      <w:tabs>
        <w:tab w:val="clear" w:pos="794"/>
        <w:tab w:val="left" w:pos="1134"/>
      </w:tabs>
      <w:spacing w:before="180"/>
      <w:ind w:left="0" w:firstLine="0"/>
    </w:pPr>
    <w:rPr>
      <w:rFonts w:ascii="Calibri" w:eastAsia="Times New Roman" w:hAnsi="Calibri" w:cs="Traditional Arabic"/>
      <w:kern w:val="14"/>
      <w:szCs w:val="32"/>
      <w:lang w:eastAsia="en-US"/>
    </w:rPr>
  </w:style>
  <w:style w:type="table" w:customStyle="1" w:styleId="TableGrid21">
    <w:name w:val="Table Grid21"/>
    <w:basedOn w:val="TableNormal"/>
    <w:next w:val="TableGrid"/>
    <w:rsid w:val="00C424F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11">
    <w:name w:val="Dark List11"/>
    <w:basedOn w:val="TableNormal"/>
    <w:uiPriority w:val="70"/>
    <w:rsid w:val="00C424F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C424F3"/>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Endtext">
    <w:name w:val="End_text"/>
    <w:basedOn w:val="Normal"/>
    <w:qFormat/>
    <w:rsid w:val="00C424F3"/>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ascii="Calibri" w:eastAsia="Times New Roman" w:hAnsi="Calibri" w:cs="Traditional Arabic"/>
      <w:i/>
      <w:iCs/>
      <w:spacing w:val="-4"/>
      <w:szCs w:val="30"/>
      <w:lang w:val="fr-CH" w:eastAsia="en-US" w:bidi="ar-EG"/>
    </w:rPr>
  </w:style>
  <w:style w:type="paragraph" w:customStyle="1" w:styleId="Annex">
    <w:name w:val="Annex"/>
    <w:basedOn w:val="Normal"/>
    <w:rsid w:val="00C424F3"/>
    <w:pPr>
      <w:keepNext/>
      <w:keepLines/>
      <w:tabs>
        <w:tab w:val="clear" w:pos="794"/>
        <w:tab w:val="left" w:pos="1134"/>
      </w:tabs>
      <w:overflowPunct w:val="0"/>
      <w:autoSpaceDE w:val="0"/>
      <w:autoSpaceDN w:val="0"/>
      <w:adjustRightInd w:val="0"/>
      <w:spacing w:before="40" w:after="40"/>
      <w:jc w:val="center"/>
      <w:textAlignment w:val="baseline"/>
    </w:pPr>
    <w:rPr>
      <w:rFonts w:ascii="Calibri" w:hAnsi="Calibri" w:cs="Traditional Arabic"/>
      <w:sz w:val="26"/>
      <w:szCs w:val="36"/>
      <w:lang w:bidi="ar-SY"/>
    </w:rPr>
  </w:style>
  <w:style w:type="paragraph" w:customStyle="1" w:styleId="Hyper">
    <w:name w:val="Hyper"/>
    <w:basedOn w:val="enumlev1"/>
    <w:rsid w:val="00C424F3"/>
    <w:rPr>
      <w:rFonts w:ascii="Calibri" w:hAnsi="Calibri" w:cs="Traditional Arabic"/>
      <w:szCs w:val="30"/>
    </w:rPr>
  </w:style>
  <w:style w:type="paragraph" w:customStyle="1" w:styleId="enumlev10">
    <w:name w:val="enumlev1"/>
    <w:basedOn w:val="Normal"/>
    <w:rsid w:val="00C424F3"/>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C424F3"/>
    <w:pPr>
      <w:ind w:left="1134"/>
    </w:pPr>
  </w:style>
  <w:style w:type="paragraph" w:customStyle="1" w:styleId="Pa8">
    <w:name w:val="Pa8"/>
    <w:basedOn w:val="Default"/>
    <w:next w:val="Default"/>
    <w:uiPriority w:val="99"/>
    <w:rsid w:val="00C424F3"/>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C424F3"/>
    <w:pPr>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left"/>
      <w:textAlignment w:val="baseline"/>
    </w:pPr>
    <w:rPr>
      <w:rFonts w:ascii="Calibri" w:eastAsia="Times New Roman" w:hAnsi="Calibri" w:cs="Times New Roman"/>
      <w:sz w:val="24"/>
      <w:szCs w:val="20"/>
      <w:lang w:val="en-GB" w:eastAsia="en-US"/>
    </w:rPr>
  </w:style>
  <w:style w:type="character" w:customStyle="1" w:styleId="BodyTextChar">
    <w:name w:val="Body Text Char"/>
    <w:basedOn w:val="DefaultParagraphFont"/>
    <w:link w:val="BodyText"/>
    <w:rsid w:val="00C424F3"/>
    <w:rPr>
      <w:rFonts w:ascii="Calibri" w:eastAsia="Times New Roman" w:hAnsi="Calibri" w:cs="Times New Roman"/>
      <w:sz w:val="24"/>
      <w:szCs w:val="20"/>
      <w:lang w:val="en-GB" w:eastAsia="en-US"/>
    </w:rPr>
  </w:style>
  <w:style w:type="character" w:customStyle="1" w:styleId="Style1Char">
    <w:name w:val="Style1 Char"/>
    <w:basedOn w:val="DefaultParagraphFont"/>
    <w:link w:val="Style1"/>
    <w:locked/>
    <w:rsid w:val="00C424F3"/>
    <w:rPr>
      <w:rFonts w:eastAsia="DengXian"/>
      <w:b/>
      <w:iCs/>
      <w:color w:val="548DD4"/>
      <w:sz w:val="24"/>
      <w:szCs w:val="24"/>
      <w:lang w:eastAsia="en-US"/>
    </w:rPr>
  </w:style>
  <w:style w:type="paragraph" w:customStyle="1" w:styleId="Style1">
    <w:name w:val="Style1"/>
    <w:basedOn w:val="Normal"/>
    <w:link w:val="Style1Char"/>
    <w:qFormat/>
    <w:rsid w:val="00C424F3"/>
    <w:pPr>
      <w:keepNext/>
      <w:tabs>
        <w:tab w:val="clear" w:pos="794"/>
      </w:tabs>
      <w:bidi w:val="0"/>
      <w:spacing w:before="280" w:after="280" w:line="280" w:lineRule="atLeast"/>
      <w:outlineLvl w:val="7"/>
    </w:pPr>
    <w:rPr>
      <w:rFonts w:asciiTheme="minorHAnsi" w:eastAsia="DengXian" w:hAnsiTheme="minorHAnsi" w:cstheme="minorBidi"/>
      <w:b/>
      <w:iCs/>
      <w:color w:val="548DD4"/>
      <w:sz w:val="24"/>
      <w:szCs w:val="24"/>
      <w:lang w:eastAsia="en-US"/>
    </w:rPr>
  </w:style>
  <w:style w:type="character" w:customStyle="1" w:styleId="ListParagraphChar">
    <w:name w:val="List Paragraph Char"/>
    <w:aliases w:val="List Paragraph1 Char,Recommendation Char,List Paragraph11 Char,Bullet 1 Char,Bullet List Char,Bullet Points Char,Bulletr List Paragraph Char,Dot pt Char,FooterText Char,Indicator Text Char,List Paragraph Char Char Char Char"/>
    <w:basedOn w:val="DefaultParagraphFont"/>
    <w:link w:val="ListParagraph"/>
    <w:uiPriority w:val="1"/>
    <w:rsid w:val="00C424F3"/>
    <w:rPr>
      <w:rFonts w:ascii="Dubai" w:hAnsi="Dubai" w:cs="Dubai"/>
    </w:rPr>
  </w:style>
  <w:style w:type="character" w:customStyle="1" w:styleId="ms-rtethemefontface-1">
    <w:name w:val="ms-rtethemefontface-1"/>
    <w:basedOn w:val="DefaultParagraphFont"/>
    <w:rsid w:val="00C424F3"/>
  </w:style>
  <w:style w:type="paragraph" w:customStyle="1" w:styleId="paragraph">
    <w:name w:val="paragraph"/>
    <w:basedOn w:val="Normal"/>
    <w:rsid w:val="00C424F3"/>
    <w:pPr>
      <w:tabs>
        <w:tab w:val="clear" w:pos="794"/>
      </w:tabs>
      <w:bidi w:val="0"/>
      <w:spacing w:before="100" w:beforeAutospacing="1" w:after="100" w:afterAutospacing="1" w:line="240" w:lineRule="auto"/>
      <w:jc w:val="left"/>
    </w:pPr>
    <w:rPr>
      <w:rFonts w:ascii="Calibri" w:eastAsia="Calibri" w:hAnsi="Calibri" w:cs="Calibri"/>
      <w:lang w:val="en-GB" w:eastAsia="en-GB"/>
    </w:rPr>
  </w:style>
  <w:style w:type="character" w:customStyle="1" w:styleId="normaltextrun">
    <w:name w:val="normaltextrun"/>
    <w:basedOn w:val="DefaultParagraphFont"/>
    <w:rsid w:val="00C424F3"/>
  </w:style>
  <w:style w:type="character" w:customStyle="1" w:styleId="eop">
    <w:name w:val="eop"/>
    <w:basedOn w:val="DefaultParagraphFont"/>
    <w:rsid w:val="00C424F3"/>
  </w:style>
  <w:style w:type="character" w:customStyle="1" w:styleId="ms-rteforecolor-2">
    <w:name w:val="ms-rteforecolor-2"/>
    <w:basedOn w:val="DefaultParagraphFont"/>
    <w:rsid w:val="00C424F3"/>
  </w:style>
  <w:style w:type="table" w:customStyle="1" w:styleId="TableGrid12">
    <w:name w:val="Table Grid12"/>
    <w:basedOn w:val="TableNormal"/>
    <w:next w:val="TableGrid"/>
    <w:uiPriority w:val="39"/>
    <w:rsid w:val="00C424F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C424F3"/>
    <w:pPr>
      <w:tabs>
        <w:tab w:val="clear" w:pos="794"/>
      </w:tabs>
      <w:bidi w:val="0"/>
      <w:spacing w:before="0" w:after="200" w:line="240" w:lineRule="auto"/>
      <w:jc w:val="left"/>
    </w:pPr>
    <w:rPr>
      <w:rFonts w:ascii="Arial" w:eastAsia="Times New Roman" w:hAnsi="Arial" w:cs="Times New Roman"/>
      <w:sz w:val="20"/>
      <w:szCs w:val="24"/>
      <w:lang w:val="en-GB" w:eastAsia="fr-FR"/>
    </w:rPr>
  </w:style>
  <w:style w:type="table" w:customStyle="1" w:styleId="GridTable4-Accent61">
    <w:name w:val="Grid Table 4 - Accent 61"/>
    <w:basedOn w:val="TableNormal"/>
    <w:next w:val="GridTable4-Accent6"/>
    <w:uiPriority w:val="49"/>
    <w:rsid w:val="00C424F3"/>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2">
    <w:name w:val="Table Grid22"/>
    <w:basedOn w:val="TableNormal"/>
    <w:next w:val="TableGrid"/>
    <w:uiPriority w:val="39"/>
    <w:rsid w:val="00C424F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424F3"/>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C424F3"/>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C424F3"/>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C424F3"/>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C424F3"/>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C424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51">
    <w:name w:val="Table Grid51"/>
    <w:basedOn w:val="TableNormal"/>
    <w:next w:val="TableGrid"/>
    <w:uiPriority w:val="39"/>
    <w:rsid w:val="00C424F3"/>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424F3"/>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1">
    <w:name w:val="Grid Table 4 - Accent 631"/>
    <w:basedOn w:val="TableNormal"/>
    <w:next w:val="GridTable4-Accent6"/>
    <w:uiPriority w:val="49"/>
    <w:rsid w:val="00C424F3"/>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3">
    <w:name w:val="Table Grid53"/>
    <w:basedOn w:val="TableNormal"/>
    <w:next w:val="TableGrid"/>
    <w:uiPriority w:val="39"/>
    <w:rsid w:val="00C424F3"/>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424F3"/>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C424F3"/>
    <w:pPr>
      <w:widowControl w:val="0"/>
      <w:tabs>
        <w:tab w:val="clear" w:pos="794"/>
      </w:tabs>
      <w:bidi w:val="0"/>
      <w:spacing w:before="0" w:line="240" w:lineRule="auto"/>
      <w:jc w:val="left"/>
    </w:pPr>
    <w:rPr>
      <w:rFonts w:asciiTheme="minorHAnsi" w:eastAsiaTheme="minorHAnsi" w:hAnsiTheme="minorHAnsi" w:cstheme="minorBidi"/>
      <w:lang w:eastAsia="en-US"/>
    </w:rPr>
  </w:style>
  <w:style w:type="table" w:customStyle="1" w:styleId="TableNormal1">
    <w:name w:val="Table Normal1"/>
    <w:uiPriority w:val="2"/>
    <w:semiHidden/>
    <w:qFormat/>
    <w:rsid w:val="00C424F3"/>
    <w:pPr>
      <w:widowControl w:val="0"/>
      <w:spacing w:after="0" w:line="240" w:lineRule="auto"/>
    </w:pPr>
    <w:rPr>
      <w:rFonts w:eastAsiaTheme="minorHAnsi"/>
      <w:lang w:eastAsia="en-US"/>
    </w:rPr>
    <w:tblPr>
      <w:tblCellMar>
        <w:top w:w="0" w:type="dxa"/>
        <w:left w:w="0" w:type="dxa"/>
        <w:bottom w:w="0" w:type="dxa"/>
        <w:right w:w="0" w:type="dxa"/>
      </w:tblCellMar>
    </w:tblPr>
  </w:style>
  <w:style w:type="table" w:customStyle="1" w:styleId="TableGrid0">
    <w:name w:val="TableGrid"/>
    <w:rsid w:val="00C424F3"/>
    <w:pPr>
      <w:spacing w:after="0" w:line="240" w:lineRule="auto"/>
    </w:pPr>
    <w:rPr>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6830">
      <w:bodyDiv w:val="1"/>
      <w:marLeft w:val="0"/>
      <w:marRight w:val="0"/>
      <w:marTop w:val="0"/>
      <w:marBottom w:val="0"/>
      <w:divBdr>
        <w:top w:val="none" w:sz="0" w:space="0" w:color="auto"/>
        <w:left w:val="none" w:sz="0" w:space="0" w:color="auto"/>
        <w:bottom w:val="none" w:sz="0" w:space="0" w:color="auto"/>
        <w:right w:val="none" w:sz="0" w:space="0" w:color="auto"/>
      </w:divBdr>
    </w:div>
    <w:div w:id="236020119">
      <w:bodyDiv w:val="1"/>
      <w:marLeft w:val="0"/>
      <w:marRight w:val="0"/>
      <w:marTop w:val="0"/>
      <w:marBottom w:val="0"/>
      <w:divBdr>
        <w:top w:val="none" w:sz="0" w:space="0" w:color="auto"/>
        <w:left w:val="none" w:sz="0" w:space="0" w:color="auto"/>
        <w:bottom w:val="none" w:sz="0" w:space="0" w:color="auto"/>
        <w:right w:val="none" w:sz="0" w:space="0" w:color="auto"/>
      </w:divBdr>
    </w:div>
    <w:div w:id="303854173">
      <w:bodyDiv w:val="1"/>
      <w:marLeft w:val="0"/>
      <w:marRight w:val="0"/>
      <w:marTop w:val="0"/>
      <w:marBottom w:val="0"/>
      <w:divBdr>
        <w:top w:val="none" w:sz="0" w:space="0" w:color="auto"/>
        <w:left w:val="none" w:sz="0" w:space="0" w:color="auto"/>
        <w:bottom w:val="none" w:sz="0" w:space="0" w:color="auto"/>
        <w:right w:val="none" w:sz="0" w:space="0" w:color="auto"/>
      </w:divBdr>
    </w:div>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445734154">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874194942">
      <w:bodyDiv w:val="1"/>
      <w:marLeft w:val="0"/>
      <w:marRight w:val="0"/>
      <w:marTop w:val="0"/>
      <w:marBottom w:val="0"/>
      <w:divBdr>
        <w:top w:val="none" w:sz="0" w:space="0" w:color="auto"/>
        <w:left w:val="none" w:sz="0" w:space="0" w:color="auto"/>
        <w:bottom w:val="none" w:sz="0" w:space="0" w:color="auto"/>
        <w:right w:val="none" w:sz="0" w:space="0" w:color="auto"/>
      </w:divBdr>
    </w:div>
    <w:div w:id="994646044">
      <w:bodyDiv w:val="1"/>
      <w:marLeft w:val="0"/>
      <w:marRight w:val="0"/>
      <w:marTop w:val="0"/>
      <w:marBottom w:val="0"/>
      <w:divBdr>
        <w:top w:val="none" w:sz="0" w:space="0" w:color="auto"/>
        <w:left w:val="none" w:sz="0" w:space="0" w:color="auto"/>
        <w:bottom w:val="none" w:sz="0" w:space="0" w:color="auto"/>
        <w:right w:val="none" w:sz="0" w:space="0" w:color="auto"/>
      </w:divBdr>
    </w:div>
    <w:div w:id="1027412469">
      <w:bodyDiv w:val="1"/>
      <w:marLeft w:val="0"/>
      <w:marRight w:val="0"/>
      <w:marTop w:val="0"/>
      <w:marBottom w:val="0"/>
      <w:divBdr>
        <w:top w:val="none" w:sz="0" w:space="0" w:color="auto"/>
        <w:left w:val="none" w:sz="0" w:space="0" w:color="auto"/>
        <w:bottom w:val="none" w:sz="0" w:space="0" w:color="auto"/>
        <w:right w:val="none" w:sz="0" w:space="0" w:color="auto"/>
      </w:divBdr>
    </w:div>
    <w:div w:id="1219516707">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292980154">
      <w:bodyDiv w:val="1"/>
      <w:marLeft w:val="0"/>
      <w:marRight w:val="0"/>
      <w:marTop w:val="0"/>
      <w:marBottom w:val="0"/>
      <w:divBdr>
        <w:top w:val="none" w:sz="0" w:space="0" w:color="auto"/>
        <w:left w:val="none" w:sz="0" w:space="0" w:color="auto"/>
        <w:bottom w:val="none" w:sz="0" w:space="0" w:color="auto"/>
        <w:right w:val="none" w:sz="0" w:space="0" w:color="auto"/>
      </w:divBdr>
    </w:div>
    <w:div w:id="1305046394">
      <w:bodyDiv w:val="1"/>
      <w:marLeft w:val="0"/>
      <w:marRight w:val="0"/>
      <w:marTop w:val="0"/>
      <w:marBottom w:val="0"/>
      <w:divBdr>
        <w:top w:val="none" w:sz="0" w:space="0" w:color="auto"/>
        <w:left w:val="none" w:sz="0" w:space="0" w:color="auto"/>
        <w:bottom w:val="none" w:sz="0" w:space="0" w:color="auto"/>
        <w:right w:val="none" w:sz="0" w:space="0" w:color="auto"/>
      </w:divBdr>
    </w:div>
    <w:div w:id="210714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jpeg"/><Relationship Id="rId42" Type="http://schemas.openxmlformats.org/officeDocument/2006/relationships/image" Target="media/image22.emf"/><Relationship Id="rId47" Type="http://schemas.openxmlformats.org/officeDocument/2006/relationships/image" Target="media/image26.emf"/><Relationship Id="rId63" Type="http://schemas.openxmlformats.org/officeDocument/2006/relationships/image" Target="media/image40.emf"/><Relationship Id="rId68" Type="http://schemas.openxmlformats.org/officeDocument/2006/relationships/image" Target="media/image44.emf"/><Relationship Id="rId84" Type="http://schemas.openxmlformats.org/officeDocument/2006/relationships/theme" Target="theme/theme1.xml"/><Relationship Id="rId16" Type="http://schemas.openxmlformats.org/officeDocument/2006/relationships/image" Target="media/image3.emf"/><Relationship Id="rId11" Type="http://schemas.openxmlformats.org/officeDocument/2006/relationships/footer" Target="footer1.xml"/><Relationship Id="rId32" Type="http://schemas.openxmlformats.org/officeDocument/2006/relationships/hyperlink" Target="http://www.itu.int/ITU-R/index.asp?category=conferences&amp;link=rrb&amp;lang=en" TargetMode="External"/><Relationship Id="rId37" Type="http://schemas.openxmlformats.org/officeDocument/2006/relationships/image" Target="media/image17.emf"/><Relationship Id="rId53" Type="http://schemas.openxmlformats.org/officeDocument/2006/relationships/image" Target="media/image32.emf"/><Relationship Id="rId58" Type="http://schemas.openxmlformats.org/officeDocument/2006/relationships/hyperlink" Target="https://www.itu.int/md/S24-CL-C-0046/en" TargetMode="External"/><Relationship Id="rId74" Type="http://schemas.openxmlformats.org/officeDocument/2006/relationships/footer" Target="footer3.xm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38.emf"/><Relationship Id="rId82" Type="http://schemas.openxmlformats.org/officeDocument/2006/relationships/footer" Target="footer6.xml"/><Relationship Id="rId19" Type="http://schemas.openxmlformats.org/officeDocument/2006/relationships/image" Target="media/image6.png"/><Relationship Id="rId14" Type="http://schemas.openxmlformats.org/officeDocument/2006/relationships/hyperlink" Target="https://www.itu.int/md/S24-CL-C-0035/en" TargetMode="External"/><Relationship Id="rId22" Type="http://schemas.openxmlformats.org/officeDocument/2006/relationships/image" Target="media/image9.emf"/><Relationship Id="rId27" Type="http://schemas.openxmlformats.org/officeDocument/2006/relationships/hyperlink" Target="http://www.unsystem.org/en" TargetMode="External"/><Relationship Id="rId30" Type="http://schemas.openxmlformats.org/officeDocument/2006/relationships/hyperlink" Target="https://www.itu.int/ar/ITU-D/Pages/default.aspx" TargetMode="External"/><Relationship Id="rId35" Type="http://schemas.openxmlformats.org/officeDocument/2006/relationships/hyperlink" Target="https://www.itu.int/md/S16-CL-C-0124/en" TargetMode="External"/><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image" Target="media/image35.emf"/><Relationship Id="rId64" Type="http://schemas.openxmlformats.org/officeDocument/2006/relationships/image" Target="media/image41.emf"/><Relationship Id="rId69" Type="http://schemas.openxmlformats.org/officeDocument/2006/relationships/image" Target="media/image45.emf"/><Relationship Id="rId77" Type="http://schemas.openxmlformats.org/officeDocument/2006/relationships/image" Target="media/image50.emf"/><Relationship Id="rId8" Type="http://schemas.openxmlformats.org/officeDocument/2006/relationships/hyperlink" Target="https://www.itu.int/en/council/Documents/basic-texts/Convention-A.pdf" TargetMode="External"/><Relationship Id="rId51" Type="http://schemas.openxmlformats.org/officeDocument/2006/relationships/image" Target="media/image30.emf"/><Relationship Id="rId72" Type="http://schemas.openxmlformats.org/officeDocument/2006/relationships/image" Target="media/image48.emf"/><Relationship Id="rId80"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14.emf"/><Relationship Id="rId38" Type="http://schemas.openxmlformats.org/officeDocument/2006/relationships/image" Target="media/image18.emf"/><Relationship Id="rId46" Type="http://schemas.openxmlformats.org/officeDocument/2006/relationships/image" Target="media/image25.emf"/><Relationship Id="rId59" Type="http://schemas.openxmlformats.org/officeDocument/2006/relationships/image" Target="media/image37.emf"/><Relationship Id="rId67" Type="http://schemas.openxmlformats.org/officeDocument/2006/relationships/image" Target="media/image43.emf"/><Relationship Id="rId20" Type="http://schemas.openxmlformats.org/officeDocument/2006/relationships/image" Target="media/image7.emf"/><Relationship Id="rId41" Type="http://schemas.openxmlformats.org/officeDocument/2006/relationships/image" Target="media/image21.emf"/><Relationship Id="rId54" Type="http://schemas.openxmlformats.org/officeDocument/2006/relationships/image" Target="media/image33.emf"/><Relationship Id="rId62" Type="http://schemas.openxmlformats.org/officeDocument/2006/relationships/image" Target="media/image39.emf"/><Relationship Id="rId70" Type="http://schemas.openxmlformats.org/officeDocument/2006/relationships/image" Target="media/image46.emf"/><Relationship Id="rId75" Type="http://schemas.openxmlformats.org/officeDocument/2006/relationships/image" Target="media/image4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hyperlink" Target="https://www.itu.int/ar/ITU-R/Pages/default.aspx" TargetMode="External"/><Relationship Id="rId36" Type="http://schemas.openxmlformats.org/officeDocument/2006/relationships/image" Target="media/image16.emf"/><Relationship Id="rId49" Type="http://schemas.openxmlformats.org/officeDocument/2006/relationships/image" Target="media/image28.emf"/><Relationship Id="rId57" Type="http://schemas.openxmlformats.org/officeDocument/2006/relationships/image" Target="media/image36.emf"/><Relationship Id="rId10" Type="http://schemas.openxmlformats.org/officeDocument/2006/relationships/header" Target="header1.xml"/><Relationship Id="rId31" Type="http://schemas.openxmlformats.org/officeDocument/2006/relationships/hyperlink" Target="http://www.itu.int/itu-wsis/implementation/" TargetMode="External"/><Relationship Id="rId44" Type="http://schemas.openxmlformats.org/officeDocument/2006/relationships/hyperlink" Target="https://www.itu.int/md/S24-CL-INF-0004/en" TargetMode="External"/><Relationship Id="rId52" Type="http://schemas.openxmlformats.org/officeDocument/2006/relationships/image" Target="media/image31.emf"/><Relationship Id="rId60" Type="http://schemas.openxmlformats.org/officeDocument/2006/relationships/hyperlink" Target="file:///\\blue\dfs\pool\ARA\gDoc\2024\Type\www.unjspf.org" TargetMode="External"/><Relationship Id="rId65" Type="http://schemas.openxmlformats.org/officeDocument/2006/relationships/image" Target="media/image42.wmf"/><Relationship Id="rId73" Type="http://schemas.openxmlformats.org/officeDocument/2006/relationships/header" Target="header3.xml"/><Relationship Id="rId78" Type="http://schemas.openxmlformats.org/officeDocument/2006/relationships/image" Target="media/image51.emf"/><Relationship Id="rId8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itu.int/en/council/ties/Documents/Financial-regulations/S-GEN-REG_RGTFIN-2022-PDF-A.pdf" TargetMode="External"/><Relationship Id="rId13" Type="http://schemas.openxmlformats.org/officeDocument/2006/relationships/footer" Target="footer2.xml"/><Relationship Id="rId18" Type="http://schemas.openxmlformats.org/officeDocument/2006/relationships/image" Target="media/image5.emf"/><Relationship Id="rId39" Type="http://schemas.openxmlformats.org/officeDocument/2006/relationships/image" Target="media/image19.emf"/><Relationship Id="rId34" Type="http://schemas.openxmlformats.org/officeDocument/2006/relationships/image" Target="media/image15.emf"/><Relationship Id="rId50" Type="http://schemas.openxmlformats.org/officeDocument/2006/relationships/image" Target="media/image29.emf"/><Relationship Id="rId55" Type="http://schemas.openxmlformats.org/officeDocument/2006/relationships/image" Target="media/image34.emf"/><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hyperlink" Target="https://www.itu.int/ar/ITU-T/Pages/default.aspx" TargetMode="External"/><Relationship Id="rId24" Type="http://schemas.openxmlformats.org/officeDocument/2006/relationships/image" Target="media/image11.emf"/><Relationship Id="rId40" Type="http://schemas.openxmlformats.org/officeDocument/2006/relationships/image" Target="media/image20.emf"/><Relationship Id="rId45" Type="http://schemas.openxmlformats.org/officeDocument/2006/relationships/image" Target="media/image24.emf"/><Relationship Id="rId66"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19492</Words>
  <Characters>111110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2023</dc:title>
  <dc:subject>Additional session of Council 2023</dc:subject>
  <dc:creator>Arabic-WW</dc:creator>
  <cp:keywords>C24, Council-24, Council 2024</cp:keywords>
  <dc:description/>
  <cp:lastModifiedBy>Brouard, Ricarda</cp:lastModifiedBy>
  <cp:revision>2</cp:revision>
  <dcterms:created xsi:type="dcterms:W3CDTF">2024-06-07T19:06:00Z</dcterms:created>
  <dcterms:modified xsi:type="dcterms:W3CDTF">2024-06-07T19:06:00Z</dcterms:modified>
  <cp:category>Conference document</cp:category>
</cp:coreProperties>
</file>