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CA4C14" w14:paraId="09E854AE" w14:textId="77777777" w:rsidTr="00E31DCE">
        <w:trPr>
          <w:cantSplit/>
          <w:trHeight w:val="23"/>
        </w:trPr>
        <w:tc>
          <w:tcPr>
            <w:tcW w:w="3969" w:type="dxa"/>
            <w:vMerge w:val="restart"/>
            <w:tcMar>
              <w:left w:w="0" w:type="dxa"/>
            </w:tcMar>
          </w:tcPr>
          <w:p w14:paraId="6BCEE556" w14:textId="0BE415D7" w:rsidR="00796BD3" w:rsidRPr="00CA4C14"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CA4C14">
              <w:rPr>
                <w:b/>
                <w:lang w:val="ru-RU"/>
              </w:rPr>
              <w:t>Пункт повестки дня:</w:t>
            </w:r>
            <w:r w:rsidR="00740F85" w:rsidRPr="00CA4C14">
              <w:rPr>
                <w:b/>
                <w:lang w:val="ru-RU"/>
              </w:rPr>
              <w:t xml:space="preserve"> ADM 2</w:t>
            </w:r>
          </w:p>
        </w:tc>
        <w:tc>
          <w:tcPr>
            <w:tcW w:w="5245" w:type="dxa"/>
          </w:tcPr>
          <w:p w14:paraId="7B410EF9" w14:textId="1736868A" w:rsidR="00796BD3" w:rsidRPr="00CA4C14" w:rsidRDefault="0033025A" w:rsidP="00E31DCE">
            <w:pPr>
              <w:tabs>
                <w:tab w:val="left" w:pos="851"/>
              </w:tabs>
              <w:spacing w:before="0" w:line="240" w:lineRule="atLeast"/>
              <w:jc w:val="right"/>
              <w:rPr>
                <w:b/>
                <w:lang w:val="ru-RU"/>
              </w:rPr>
            </w:pPr>
            <w:r w:rsidRPr="00CA4C14">
              <w:rPr>
                <w:b/>
                <w:lang w:val="ru-RU"/>
              </w:rPr>
              <w:t xml:space="preserve">Документ </w:t>
            </w:r>
            <w:r w:rsidR="00796BD3" w:rsidRPr="00CA4C14">
              <w:rPr>
                <w:b/>
                <w:lang w:val="ru-RU"/>
              </w:rPr>
              <w:t>C2</w:t>
            </w:r>
            <w:r w:rsidR="00660449" w:rsidRPr="00CA4C14">
              <w:rPr>
                <w:b/>
                <w:lang w:val="ru-RU"/>
              </w:rPr>
              <w:t>4</w:t>
            </w:r>
            <w:r w:rsidR="00796BD3" w:rsidRPr="00CA4C14">
              <w:rPr>
                <w:b/>
                <w:lang w:val="ru-RU"/>
              </w:rPr>
              <w:t>/</w:t>
            </w:r>
            <w:r w:rsidR="00740F85" w:rsidRPr="00CA4C14">
              <w:rPr>
                <w:b/>
                <w:lang w:val="ru-RU"/>
              </w:rPr>
              <w:t>43</w:t>
            </w:r>
            <w:r w:rsidR="00796BD3" w:rsidRPr="00CA4C14">
              <w:rPr>
                <w:b/>
                <w:lang w:val="ru-RU"/>
              </w:rPr>
              <w:t>-R</w:t>
            </w:r>
          </w:p>
        </w:tc>
      </w:tr>
      <w:tr w:rsidR="00796BD3" w:rsidRPr="00CA4C14" w14:paraId="77F17E20" w14:textId="77777777" w:rsidTr="00E31DCE">
        <w:trPr>
          <w:cantSplit/>
        </w:trPr>
        <w:tc>
          <w:tcPr>
            <w:tcW w:w="3969" w:type="dxa"/>
            <w:vMerge/>
          </w:tcPr>
          <w:p w14:paraId="3105522E" w14:textId="77777777" w:rsidR="00796BD3" w:rsidRPr="00CA4C14"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342E86AE" w14:textId="3278F181" w:rsidR="00796BD3" w:rsidRPr="00CA4C14" w:rsidRDefault="00740F85" w:rsidP="00E31DCE">
            <w:pPr>
              <w:tabs>
                <w:tab w:val="left" w:pos="851"/>
              </w:tabs>
              <w:spacing w:before="0"/>
              <w:jc w:val="right"/>
              <w:rPr>
                <w:b/>
                <w:lang w:val="ru-RU"/>
              </w:rPr>
            </w:pPr>
            <w:r w:rsidRPr="00CA4C14">
              <w:rPr>
                <w:b/>
                <w:lang w:val="ru-RU"/>
              </w:rPr>
              <w:t>2</w:t>
            </w:r>
            <w:r w:rsidR="006E043B" w:rsidRPr="00CA4C14">
              <w:rPr>
                <w:b/>
                <w:lang w:val="ru-RU"/>
              </w:rPr>
              <w:t>8</w:t>
            </w:r>
            <w:r w:rsidRPr="00CA4C14">
              <w:rPr>
                <w:b/>
                <w:lang w:val="ru-RU"/>
              </w:rPr>
              <w:t xml:space="preserve"> мая</w:t>
            </w:r>
            <w:r w:rsidR="00796BD3" w:rsidRPr="00CA4C14">
              <w:rPr>
                <w:b/>
                <w:lang w:val="ru-RU"/>
              </w:rPr>
              <w:t xml:space="preserve"> 202</w:t>
            </w:r>
            <w:r w:rsidR="00660449" w:rsidRPr="00CA4C14">
              <w:rPr>
                <w:b/>
                <w:lang w:val="ru-RU"/>
              </w:rPr>
              <w:t>4</w:t>
            </w:r>
            <w:r w:rsidRPr="00CA4C14">
              <w:rPr>
                <w:b/>
                <w:lang w:val="ru-RU"/>
              </w:rPr>
              <w:t> года</w:t>
            </w:r>
          </w:p>
        </w:tc>
      </w:tr>
      <w:tr w:rsidR="00796BD3" w:rsidRPr="00CA4C14" w14:paraId="5DAD7C96" w14:textId="77777777" w:rsidTr="00E31DCE">
        <w:trPr>
          <w:cantSplit/>
          <w:trHeight w:val="23"/>
        </w:trPr>
        <w:tc>
          <w:tcPr>
            <w:tcW w:w="3969" w:type="dxa"/>
            <w:vMerge/>
          </w:tcPr>
          <w:p w14:paraId="06808551" w14:textId="77777777" w:rsidR="00796BD3" w:rsidRPr="00CA4C14" w:rsidRDefault="00796BD3" w:rsidP="00E31DCE">
            <w:pPr>
              <w:tabs>
                <w:tab w:val="left" w:pos="851"/>
              </w:tabs>
              <w:spacing w:line="240" w:lineRule="atLeast"/>
              <w:rPr>
                <w:b/>
                <w:lang w:val="ru-RU"/>
              </w:rPr>
            </w:pPr>
            <w:bookmarkStart w:id="4" w:name="dorlang" w:colFirst="1" w:colLast="1"/>
            <w:bookmarkEnd w:id="3"/>
          </w:p>
        </w:tc>
        <w:tc>
          <w:tcPr>
            <w:tcW w:w="5245" w:type="dxa"/>
          </w:tcPr>
          <w:p w14:paraId="0B87394A" w14:textId="77777777" w:rsidR="00796BD3" w:rsidRPr="00CA4C14" w:rsidRDefault="0033025A" w:rsidP="00E31DCE">
            <w:pPr>
              <w:tabs>
                <w:tab w:val="left" w:pos="851"/>
              </w:tabs>
              <w:spacing w:before="0" w:line="240" w:lineRule="atLeast"/>
              <w:jc w:val="right"/>
              <w:rPr>
                <w:b/>
                <w:lang w:val="ru-RU"/>
              </w:rPr>
            </w:pPr>
            <w:r w:rsidRPr="00CA4C14">
              <w:rPr>
                <w:b/>
                <w:lang w:val="ru-RU"/>
              </w:rPr>
              <w:t>Оригинал: английский</w:t>
            </w:r>
          </w:p>
        </w:tc>
      </w:tr>
      <w:tr w:rsidR="00796BD3" w:rsidRPr="00CA4C14" w14:paraId="04DD00E6" w14:textId="77777777" w:rsidTr="00E31DCE">
        <w:trPr>
          <w:cantSplit/>
          <w:trHeight w:val="23"/>
        </w:trPr>
        <w:tc>
          <w:tcPr>
            <w:tcW w:w="3969" w:type="dxa"/>
          </w:tcPr>
          <w:p w14:paraId="639162E0" w14:textId="77777777" w:rsidR="00796BD3" w:rsidRPr="00CA4C14" w:rsidRDefault="00796BD3" w:rsidP="00E31DCE">
            <w:pPr>
              <w:tabs>
                <w:tab w:val="left" w:pos="851"/>
              </w:tabs>
              <w:spacing w:line="240" w:lineRule="atLeast"/>
              <w:rPr>
                <w:b/>
                <w:lang w:val="ru-RU"/>
              </w:rPr>
            </w:pPr>
          </w:p>
        </w:tc>
        <w:tc>
          <w:tcPr>
            <w:tcW w:w="5245" w:type="dxa"/>
          </w:tcPr>
          <w:p w14:paraId="5B8B2A27" w14:textId="77777777" w:rsidR="00796BD3" w:rsidRPr="00CA4C14" w:rsidRDefault="00796BD3" w:rsidP="00E31DCE">
            <w:pPr>
              <w:tabs>
                <w:tab w:val="left" w:pos="851"/>
              </w:tabs>
              <w:spacing w:before="0" w:line="240" w:lineRule="atLeast"/>
              <w:jc w:val="right"/>
              <w:rPr>
                <w:b/>
                <w:lang w:val="ru-RU"/>
              </w:rPr>
            </w:pPr>
          </w:p>
        </w:tc>
      </w:tr>
      <w:tr w:rsidR="00796BD3" w:rsidRPr="00CA4C14" w14:paraId="7642C1A3" w14:textId="77777777" w:rsidTr="00E31DCE">
        <w:trPr>
          <w:cantSplit/>
        </w:trPr>
        <w:tc>
          <w:tcPr>
            <w:tcW w:w="9214" w:type="dxa"/>
            <w:gridSpan w:val="2"/>
            <w:tcMar>
              <w:left w:w="0" w:type="dxa"/>
            </w:tcMar>
          </w:tcPr>
          <w:p w14:paraId="2D782C28" w14:textId="77777777" w:rsidR="00796BD3" w:rsidRPr="00CA4C14" w:rsidRDefault="0033025A" w:rsidP="00672F8A">
            <w:pPr>
              <w:pStyle w:val="Source"/>
              <w:jc w:val="left"/>
              <w:rPr>
                <w:sz w:val="32"/>
                <w:szCs w:val="32"/>
                <w:lang w:val="ru-RU"/>
              </w:rPr>
            </w:pPr>
            <w:bookmarkStart w:id="5" w:name="dsource" w:colFirst="0" w:colLast="0"/>
            <w:bookmarkEnd w:id="4"/>
            <w:r w:rsidRPr="00CA4C14">
              <w:rPr>
                <w:rFonts w:cstheme="minorHAnsi"/>
                <w:sz w:val="32"/>
                <w:szCs w:val="32"/>
                <w:lang w:val="ru-RU"/>
              </w:rPr>
              <w:t>Отчет Генерального секретаря</w:t>
            </w:r>
          </w:p>
        </w:tc>
      </w:tr>
      <w:tr w:rsidR="00796BD3" w:rsidRPr="008947BF" w14:paraId="243505CD" w14:textId="77777777" w:rsidTr="00E31DCE">
        <w:trPr>
          <w:cantSplit/>
        </w:trPr>
        <w:tc>
          <w:tcPr>
            <w:tcW w:w="9214" w:type="dxa"/>
            <w:gridSpan w:val="2"/>
            <w:tcMar>
              <w:left w:w="0" w:type="dxa"/>
            </w:tcMar>
          </w:tcPr>
          <w:p w14:paraId="7A0B7283" w14:textId="7352DF4E" w:rsidR="00796BD3" w:rsidRPr="00CA4C14" w:rsidRDefault="00654BAB" w:rsidP="00E31DCE">
            <w:pPr>
              <w:pStyle w:val="Subtitle"/>
              <w:framePr w:hSpace="0" w:wrap="auto" w:hAnchor="text" w:xAlign="left" w:yAlign="inline"/>
              <w:rPr>
                <w:sz w:val="32"/>
                <w:szCs w:val="32"/>
                <w:lang w:val="ru-RU"/>
              </w:rPr>
            </w:pPr>
            <w:bookmarkStart w:id="6" w:name="dtitle1" w:colFirst="0" w:colLast="0"/>
            <w:bookmarkEnd w:id="5"/>
            <w:r w:rsidRPr="00CA4C14">
              <w:rPr>
                <w:sz w:val="32"/>
                <w:szCs w:val="32"/>
                <w:lang w:val="ru-RU"/>
              </w:rPr>
              <w:t>НЕПРОВЕРЕННЫЙ</w:t>
            </w:r>
            <w:r w:rsidR="00606AB7" w:rsidRPr="00CA4C14">
              <w:rPr>
                <w:sz w:val="32"/>
                <w:szCs w:val="32"/>
                <w:lang w:val="ru-RU"/>
              </w:rPr>
              <w:t xml:space="preserve"> </w:t>
            </w:r>
            <w:r w:rsidR="00B779E6" w:rsidRPr="00CA4C14">
              <w:rPr>
                <w:rFonts w:cstheme="minorHAnsi"/>
                <w:sz w:val="32"/>
                <w:szCs w:val="32"/>
                <w:lang w:val="ru-RU"/>
              </w:rPr>
              <w:t xml:space="preserve">ОТЧЕТ О ФИНАНСОВОЙ ДЕЯТЕЛЬНОСТИ </w:t>
            </w:r>
            <w:r w:rsidR="006E043B" w:rsidRPr="00CA4C14">
              <w:rPr>
                <w:rFonts w:cstheme="minorHAnsi"/>
                <w:sz w:val="32"/>
                <w:szCs w:val="32"/>
                <w:lang w:val="ru-RU"/>
              </w:rPr>
              <w:br/>
            </w:r>
            <w:r w:rsidR="00B779E6" w:rsidRPr="00CA4C14">
              <w:rPr>
                <w:rFonts w:cstheme="minorHAnsi"/>
                <w:sz w:val="32"/>
                <w:szCs w:val="32"/>
                <w:lang w:val="ru-RU"/>
              </w:rPr>
              <w:t xml:space="preserve">ЗА </w:t>
            </w:r>
            <w:r w:rsidR="00740F85" w:rsidRPr="00CA4C14">
              <w:rPr>
                <w:rFonts w:cstheme="minorHAnsi"/>
                <w:sz w:val="32"/>
                <w:szCs w:val="32"/>
                <w:lang w:val="ru-RU"/>
              </w:rPr>
              <w:t>2023</w:t>
            </w:r>
            <w:r w:rsidR="00B779E6" w:rsidRPr="00CA4C14">
              <w:rPr>
                <w:rFonts w:cstheme="minorHAnsi"/>
                <w:sz w:val="32"/>
                <w:szCs w:val="32"/>
                <w:lang w:val="ru-RU"/>
              </w:rPr>
              <w:t xml:space="preserve"> ФИНАНСОВЫЙ ГОД</w:t>
            </w:r>
          </w:p>
        </w:tc>
      </w:tr>
      <w:tr w:rsidR="00796BD3" w:rsidRPr="008947BF" w14:paraId="1164D852" w14:textId="77777777" w:rsidTr="00E31DCE">
        <w:trPr>
          <w:cantSplit/>
        </w:trPr>
        <w:tc>
          <w:tcPr>
            <w:tcW w:w="9214" w:type="dxa"/>
            <w:gridSpan w:val="2"/>
            <w:tcBorders>
              <w:top w:val="single" w:sz="4" w:space="0" w:color="auto"/>
              <w:bottom w:val="single" w:sz="4" w:space="0" w:color="auto"/>
            </w:tcBorders>
            <w:tcMar>
              <w:left w:w="0" w:type="dxa"/>
            </w:tcMar>
          </w:tcPr>
          <w:p w14:paraId="212C46D7" w14:textId="09C828A3" w:rsidR="00796BD3" w:rsidRPr="00CA4C14" w:rsidRDefault="00F1532B" w:rsidP="00E31DCE">
            <w:pPr>
              <w:spacing w:before="160"/>
              <w:rPr>
                <w:b/>
                <w:bCs/>
                <w:sz w:val="24"/>
                <w:szCs w:val="24"/>
                <w:lang w:val="ru-RU"/>
              </w:rPr>
            </w:pPr>
            <w:r w:rsidRPr="00CA4C14">
              <w:rPr>
                <w:b/>
                <w:bCs/>
                <w:sz w:val="24"/>
                <w:szCs w:val="24"/>
                <w:lang w:val="ru-RU"/>
              </w:rPr>
              <w:t>Назначение</w:t>
            </w:r>
          </w:p>
          <w:p w14:paraId="5E467CAB" w14:textId="77777777" w:rsidR="00740F85" w:rsidRPr="00CA4C14" w:rsidRDefault="00740F85" w:rsidP="00740F85">
            <w:pPr>
              <w:rPr>
                <w:szCs w:val="22"/>
                <w:lang w:val="ru-RU"/>
              </w:rPr>
            </w:pPr>
            <w:r w:rsidRPr="00CA4C14">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CA4C14">
              <w:rPr>
                <w:szCs w:val="22"/>
                <w:lang w:val="ru-RU"/>
              </w:rPr>
              <w:t>.</w:t>
            </w:r>
          </w:p>
          <w:p w14:paraId="270C9FB6" w14:textId="69E613CA" w:rsidR="00740F85" w:rsidRPr="00CA4C14" w:rsidRDefault="00740F85" w:rsidP="00740F85">
            <w:pPr>
              <w:rPr>
                <w:lang w:val="ru-RU"/>
              </w:rPr>
            </w:pPr>
            <w:r w:rsidRPr="00CA4C14">
              <w:rPr>
                <w:lang w:val="ru-RU"/>
              </w:rPr>
              <w:t xml:space="preserve">Отчет о финансовой деятельности за 2023 финансовый год </w:t>
            </w:r>
            <w:r w:rsidR="00E870A5" w:rsidRPr="00CA4C14">
              <w:rPr>
                <w:lang w:val="ru-RU"/>
              </w:rPr>
              <w:t>охватывает</w:t>
            </w:r>
            <w:r w:rsidRPr="00CA4C14">
              <w:rPr>
                <w:lang w:val="ru-RU"/>
              </w:rPr>
              <w:t>:</w:t>
            </w:r>
          </w:p>
          <w:p w14:paraId="3AA676E1" w14:textId="45E8EE60" w:rsidR="00796BD3" w:rsidRPr="00CA4C14" w:rsidRDefault="00740F85" w:rsidP="00740F85">
            <w:pPr>
              <w:pStyle w:val="enumlev1"/>
              <w:rPr>
                <w:lang w:val="ru-RU"/>
              </w:rPr>
            </w:pPr>
            <w:r w:rsidRPr="00CA4C14">
              <w:rPr>
                <w:lang w:val="ru-RU"/>
              </w:rPr>
              <w:t>•</w:t>
            </w:r>
            <w:r w:rsidRPr="00CA4C14">
              <w:rPr>
                <w:lang w:val="ru-RU"/>
              </w:rPr>
              <w:tab/>
            </w:r>
            <w:r w:rsidR="00FA0A0E" w:rsidRPr="00CA4C14">
              <w:rPr>
                <w:lang w:val="ru-RU"/>
              </w:rPr>
              <w:t xml:space="preserve">непроверенные счета бюджета Союза за 2023 финансовый год и внебюджетные </w:t>
            </w:r>
            <w:r w:rsidR="00785361" w:rsidRPr="00CA4C14">
              <w:rPr>
                <w:lang w:val="ru-RU"/>
              </w:rPr>
              <w:t>средства</w:t>
            </w:r>
            <w:r w:rsidRPr="00CA4C14">
              <w:rPr>
                <w:lang w:val="ru-RU"/>
              </w:rPr>
              <w:t>.</w:t>
            </w:r>
          </w:p>
          <w:p w14:paraId="1F2B683D" w14:textId="77777777" w:rsidR="00796BD3" w:rsidRPr="00CA4C14" w:rsidRDefault="0033025A" w:rsidP="00E31DCE">
            <w:pPr>
              <w:spacing w:before="160"/>
              <w:rPr>
                <w:b/>
                <w:bCs/>
                <w:sz w:val="24"/>
                <w:szCs w:val="24"/>
                <w:lang w:val="ru-RU"/>
              </w:rPr>
            </w:pPr>
            <w:r w:rsidRPr="00CA4C14">
              <w:rPr>
                <w:b/>
                <w:bCs/>
                <w:sz w:val="24"/>
                <w:szCs w:val="24"/>
                <w:lang w:val="ru-RU"/>
              </w:rPr>
              <w:t>Необходимые действия Совета</w:t>
            </w:r>
          </w:p>
          <w:p w14:paraId="42FC616E" w14:textId="01A3E897" w:rsidR="00740F85" w:rsidRPr="00CA4C14" w:rsidRDefault="005B5CF7" w:rsidP="00740F85">
            <w:pPr>
              <w:rPr>
                <w:lang w:val="ru-RU"/>
              </w:rPr>
            </w:pPr>
            <w:r w:rsidRPr="00CA4C14">
              <w:rPr>
                <w:lang w:val="ru-RU"/>
              </w:rPr>
              <w:t>Н</w:t>
            </w:r>
            <w:r w:rsidR="00E870A5" w:rsidRPr="00CA4C14">
              <w:rPr>
                <w:lang w:val="ru-RU"/>
              </w:rPr>
              <w:t>астоящий н</w:t>
            </w:r>
            <w:r w:rsidRPr="00CA4C14">
              <w:rPr>
                <w:lang w:val="ru-RU"/>
              </w:rPr>
              <w:t>епроверенный о</w:t>
            </w:r>
            <w:r w:rsidR="006B46EC" w:rsidRPr="00CA4C14">
              <w:rPr>
                <w:lang w:val="ru-RU"/>
              </w:rPr>
              <w:t xml:space="preserve">тчет о финансовой деятельности </w:t>
            </w:r>
            <w:r w:rsidRPr="00CA4C14">
              <w:rPr>
                <w:lang w:val="ru-RU"/>
              </w:rPr>
              <w:t>за 2023 финансовый год</w:t>
            </w:r>
            <w:r w:rsidR="006B46EC" w:rsidRPr="00CA4C14">
              <w:rPr>
                <w:lang w:val="ru-RU"/>
              </w:rPr>
              <w:t xml:space="preserve"> представля</w:t>
            </w:r>
            <w:r w:rsidRPr="00CA4C14">
              <w:rPr>
                <w:lang w:val="ru-RU"/>
              </w:rPr>
              <w:t>е</w:t>
            </w:r>
            <w:r w:rsidR="006B46EC" w:rsidRPr="00CA4C14">
              <w:rPr>
                <w:lang w:val="ru-RU"/>
              </w:rPr>
              <w:t xml:space="preserve">тся Совету для </w:t>
            </w:r>
            <w:r w:rsidR="006B46EC" w:rsidRPr="00CA4C14">
              <w:rPr>
                <w:b/>
                <w:bCs/>
                <w:lang w:val="ru-RU"/>
              </w:rPr>
              <w:t>рассмотрения</w:t>
            </w:r>
            <w:r w:rsidRPr="00CA4C14">
              <w:rPr>
                <w:lang w:val="ru-RU"/>
              </w:rPr>
              <w:t>. Проверенный отчет будет представлен</w:t>
            </w:r>
            <w:r w:rsidR="006B46EC" w:rsidRPr="00CA4C14">
              <w:rPr>
                <w:lang w:val="ru-RU"/>
              </w:rPr>
              <w:t xml:space="preserve"> </w:t>
            </w:r>
            <w:r w:rsidRPr="00CA4C14">
              <w:rPr>
                <w:lang w:val="ru-RU"/>
              </w:rPr>
              <w:t xml:space="preserve">для </w:t>
            </w:r>
            <w:r w:rsidRPr="00CA4C14">
              <w:rPr>
                <w:b/>
                <w:bCs/>
                <w:lang w:val="ru-RU"/>
              </w:rPr>
              <w:t xml:space="preserve">утверждения по переписке </w:t>
            </w:r>
            <w:r w:rsidRPr="00CA4C14">
              <w:rPr>
                <w:lang w:val="ru-RU"/>
              </w:rPr>
              <w:t>по</w:t>
            </w:r>
            <w:r w:rsidR="006B46EC" w:rsidRPr="00CA4C14">
              <w:rPr>
                <w:lang w:val="ru-RU"/>
              </w:rPr>
              <w:t xml:space="preserve"> получени</w:t>
            </w:r>
            <w:r w:rsidRPr="00CA4C14">
              <w:rPr>
                <w:lang w:val="ru-RU"/>
              </w:rPr>
              <w:t>и</w:t>
            </w:r>
            <w:r w:rsidR="006B46EC" w:rsidRPr="00CA4C14">
              <w:rPr>
                <w:lang w:val="ru-RU"/>
              </w:rPr>
              <w:t xml:space="preserve"> аудиторского заключения в</w:t>
            </w:r>
            <w:r w:rsidR="00740F85" w:rsidRPr="00CA4C14">
              <w:rPr>
                <w:lang w:val="ru-RU"/>
              </w:rPr>
              <w:t xml:space="preserve"> </w:t>
            </w:r>
            <w:r w:rsidR="000C60D5" w:rsidRPr="00CA4C14">
              <w:rPr>
                <w:lang w:val="ru-RU"/>
              </w:rPr>
              <w:t>сентябре</w:t>
            </w:r>
            <w:r w:rsidR="00740F85" w:rsidRPr="00CA4C14">
              <w:rPr>
                <w:lang w:val="ru-RU"/>
              </w:rPr>
              <w:t xml:space="preserve"> 2024</w:t>
            </w:r>
            <w:r w:rsidR="000C60D5" w:rsidRPr="00CA4C14">
              <w:rPr>
                <w:lang w:val="ru-RU"/>
              </w:rPr>
              <w:t> года</w:t>
            </w:r>
            <w:r w:rsidR="00740F85" w:rsidRPr="00CA4C14">
              <w:rPr>
                <w:lang w:val="ru-RU"/>
              </w:rPr>
              <w:t>.</w:t>
            </w:r>
          </w:p>
          <w:p w14:paraId="5F4A9F1C" w14:textId="3F22954A" w:rsidR="00796BD3" w:rsidRPr="00CA4C14" w:rsidRDefault="00FD41E0" w:rsidP="00740F85">
            <w:pPr>
              <w:rPr>
                <w:lang w:val="ru-RU"/>
              </w:rPr>
            </w:pPr>
            <w:r w:rsidRPr="00CA4C14">
              <w:rPr>
                <w:lang w:val="ru-RU"/>
              </w:rPr>
              <w:t xml:space="preserve">После утверждения Советом отчет будет доведен до сведения </w:t>
            </w:r>
            <w:r w:rsidR="00E24E75" w:rsidRPr="00CA4C14">
              <w:rPr>
                <w:lang w:val="ru-RU"/>
              </w:rPr>
              <w:t xml:space="preserve">всех </w:t>
            </w:r>
            <w:r w:rsidRPr="00CA4C14">
              <w:rPr>
                <w:lang w:val="ru-RU"/>
              </w:rPr>
              <w:t>Государств</w:t>
            </w:r>
            <w:r w:rsidRPr="00CA4C14">
              <w:rPr>
                <w:lang w:val="ru-RU"/>
              </w:rPr>
              <w:noBreakHyphen/>
              <w:t>Членов и Членов Секторов.</w:t>
            </w:r>
          </w:p>
          <w:p w14:paraId="51F55430" w14:textId="77777777" w:rsidR="00796BD3" w:rsidRPr="00CA4C14" w:rsidRDefault="00796BD3" w:rsidP="00E31DCE">
            <w:pPr>
              <w:spacing w:before="160"/>
              <w:rPr>
                <w:caps/>
                <w:sz w:val="20"/>
                <w:szCs w:val="18"/>
                <w:lang w:val="ru-RU"/>
              </w:rPr>
            </w:pPr>
            <w:r w:rsidRPr="00CA4C14">
              <w:rPr>
                <w:sz w:val="20"/>
                <w:szCs w:val="18"/>
                <w:lang w:val="ru-RU"/>
              </w:rPr>
              <w:t>__________________</w:t>
            </w:r>
          </w:p>
          <w:p w14:paraId="4BAB9E90" w14:textId="77777777" w:rsidR="00796BD3" w:rsidRPr="00CA4C14" w:rsidRDefault="0033025A" w:rsidP="00E31DCE">
            <w:pPr>
              <w:spacing w:before="160"/>
              <w:rPr>
                <w:b/>
                <w:bCs/>
                <w:sz w:val="26"/>
                <w:szCs w:val="26"/>
                <w:lang w:val="ru-RU"/>
              </w:rPr>
            </w:pPr>
            <w:r w:rsidRPr="00CA4C14">
              <w:rPr>
                <w:b/>
                <w:bCs/>
                <w:sz w:val="24"/>
                <w:szCs w:val="24"/>
                <w:lang w:val="ru-RU"/>
              </w:rPr>
              <w:t>Справочные материалы</w:t>
            </w:r>
          </w:p>
          <w:p w14:paraId="11EECE16" w14:textId="4236A0BB" w:rsidR="00796BD3" w:rsidRPr="00CA4C14" w:rsidRDefault="00740F85" w:rsidP="00E31DCE">
            <w:pPr>
              <w:spacing w:after="160"/>
              <w:rPr>
                <w:lang w:val="ru-RU"/>
              </w:rPr>
            </w:pPr>
            <w:r w:rsidRPr="00CA4C14">
              <w:rPr>
                <w:rFonts w:cs="Calibri"/>
                <w:i/>
                <w:iCs/>
                <w:lang w:val="ru-RU"/>
              </w:rPr>
              <w:t xml:space="preserve">Конвенция: п. </w:t>
            </w:r>
            <w:hyperlink r:id="rId8" w:history="1">
              <w:r w:rsidRPr="00CA4C14">
                <w:rPr>
                  <w:rFonts w:cs="Calibri"/>
                  <w:i/>
                  <w:iCs/>
                  <w:color w:val="0000FF"/>
                  <w:u w:val="single"/>
                  <w:lang w:val="ru-RU"/>
                </w:rPr>
                <w:t>101</w:t>
              </w:r>
            </w:hyperlink>
            <w:r w:rsidRPr="00CA4C14">
              <w:rPr>
                <w:rFonts w:cs="Calibri"/>
                <w:i/>
                <w:iCs/>
                <w:lang w:val="ru-RU"/>
              </w:rPr>
              <w:br/>
              <w:t xml:space="preserve">Финансовый регламент Союза: </w:t>
            </w:r>
            <w:hyperlink r:id="rId9" w:history="1">
              <w:r w:rsidRPr="00CA4C14">
                <w:rPr>
                  <w:rFonts w:cs="Calibri"/>
                  <w:i/>
                  <w:iCs/>
                  <w:color w:val="0000FF"/>
                  <w:u w:val="single"/>
                  <w:lang w:val="ru-RU"/>
                </w:rPr>
                <w:t>Статья 30</w:t>
              </w:r>
            </w:hyperlink>
          </w:p>
        </w:tc>
      </w:tr>
      <w:bookmarkEnd w:id="2"/>
      <w:bookmarkEnd w:id="6"/>
    </w:tbl>
    <w:p w14:paraId="64CB6959" w14:textId="77777777" w:rsidR="00796BD3" w:rsidRPr="00CA4C14" w:rsidRDefault="00796BD3" w:rsidP="00796BD3">
      <w:pPr>
        <w:rPr>
          <w:lang w:val="ru-RU"/>
        </w:rPr>
      </w:pPr>
    </w:p>
    <w:p w14:paraId="6A9577EF" w14:textId="77777777" w:rsidR="00165D06" w:rsidRPr="00CA4C14" w:rsidRDefault="00165D06">
      <w:pPr>
        <w:tabs>
          <w:tab w:val="clear" w:pos="794"/>
          <w:tab w:val="clear" w:pos="1191"/>
          <w:tab w:val="clear" w:pos="1588"/>
          <w:tab w:val="clear" w:pos="1985"/>
        </w:tabs>
        <w:overflowPunct/>
        <w:autoSpaceDE/>
        <w:autoSpaceDN/>
        <w:adjustRightInd/>
        <w:spacing w:before="0"/>
        <w:textAlignment w:val="auto"/>
        <w:rPr>
          <w:lang w:val="ru-RU"/>
        </w:rPr>
      </w:pPr>
      <w:r w:rsidRPr="00CA4C14">
        <w:rPr>
          <w:lang w:val="ru-RU"/>
        </w:rPr>
        <w:br w:type="page"/>
      </w:r>
    </w:p>
    <w:p w14:paraId="03270EA7" w14:textId="76559D26" w:rsidR="00796BD3" w:rsidRPr="00CA4C14" w:rsidRDefault="007B63F8" w:rsidP="007B63F8">
      <w:pPr>
        <w:pStyle w:val="Title3"/>
        <w:rPr>
          <w:b/>
          <w:bCs/>
          <w:sz w:val="30"/>
          <w:szCs w:val="30"/>
          <w:lang w:val="ru-RU"/>
        </w:rPr>
      </w:pPr>
      <w:r w:rsidRPr="00CA4C14">
        <w:rPr>
          <w:b/>
          <w:bCs/>
          <w:sz w:val="32"/>
          <w:szCs w:val="32"/>
          <w:lang w:val="ru-RU"/>
        </w:rPr>
        <w:lastRenderedPageBreak/>
        <w:t>Отчет о финансовой деятельности</w:t>
      </w:r>
    </w:p>
    <w:p w14:paraId="186F305D" w14:textId="0C8E8335" w:rsidR="00740F85" w:rsidRPr="00CA4C14" w:rsidRDefault="00740F85" w:rsidP="00740F85">
      <w:pPr>
        <w:pStyle w:val="Normalaftertitle"/>
        <w:jc w:val="center"/>
        <w:rPr>
          <w:sz w:val="26"/>
          <w:szCs w:val="26"/>
          <w:lang w:val="ru-RU"/>
        </w:rPr>
      </w:pPr>
      <w:r w:rsidRPr="00CA4C14">
        <w:rPr>
          <w:sz w:val="26"/>
          <w:szCs w:val="26"/>
          <w:lang w:val="ru-RU"/>
        </w:rPr>
        <w:t>СОДЕРЖАНИЕ</w:t>
      </w:r>
    </w:p>
    <w:p w14:paraId="7B5F7038" w14:textId="4A4A93A9" w:rsidR="00030AF1" w:rsidRPr="00CA4C14" w:rsidRDefault="00030AF1" w:rsidP="00030AF1">
      <w:pPr>
        <w:keepNext/>
        <w:jc w:val="right"/>
        <w:rPr>
          <w:lang w:val="ru-RU"/>
        </w:rPr>
      </w:pPr>
      <w:r w:rsidRPr="00CA4C14">
        <w:rPr>
          <w:lang w:val="ru-RU"/>
        </w:rPr>
        <w:t>Стр.</w:t>
      </w:r>
    </w:p>
    <w:p w14:paraId="6FAEF4ED" w14:textId="6ED57B41" w:rsidR="003D7646" w:rsidRPr="00CA4C14" w:rsidRDefault="003D7646" w:rsidP="003D7646">
      <w:pPr>
        <w:pStyle w:val="TOC1"/>
        <w:tabs>
          <w:tab w:val="clear" w:pos="7938"/>
          <w:tab w:val="clear" w:pos="8789"/>
          <w:tab w:val="left" w:pos="709"/>
          <w:tab w:val="left" w:leader="dot" w:pos="8222"/>
          <w:tab w:val="right" w:pos="9071"/>
        </w:tabs>
        <w:spacing w:before="120"/>
        <w:ind w:left="709" w:right="851" w:hanging="709"/>
        <w:rPr>
          <w:lang w:val="ru-RU"/>
        </w:rPr>
      </w:pPr>
      <w:r w:rsidRPr="00CA4C14">
        <w:rPr>
          <w:lang w:val="ru-RU"/>
        </w:rPr>
        <w:fldChar w:fldCharType="begin"/>
      </w:r>
      <w:r w:rsidRPr="00CA4C14">
        <w:rPr>
          <w:lang w:val="ru-RU"/>
        </w:rPr>
        <w:instrText xml:space="preserve"> TOC \o "1-1" \t "Heading 3,3,Heading 5,1,Annex_title,1" </w:instrText>
      </w:r>
      <w:r w:rsidRPr="00CA4C14">
        <w:rPr>
          <w:lang w:val="ru-RU"/>
        </w:rPr>
        <w:fldChar w:fldCharType="separate"/>
      </w:r>
      <w:r w:rsidRPr="00CA4C14">
        <w:rPr>
          <w:lang w:val="ru-RU"/>
        </w:rPr>
        <w:t>Предисловие к финансовой отчетности за 2023 год</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_Toc168578434 \h </w:instrText>
      </w:r>
      <w:r w:rsidRPr="00CA4C14">
        <w:rPr>
          <w:lang w:val="ru-RU"/>
        </w:rPr>
      </w:r>
      <w:r w:rsidRPr="00CA4C14">
        <w:rPr>
          <w:lang w:val="ru-RU"/>
        </w:rPr>
        <w:fldChar w:fldCharType="separate"/>
      </w:r>
      <w:r w:rsidR="002E577C" w:rsidRPr="00CA4C14">
        <w:rPr>
          <w:lang w:val="ru-RU"/>
        </w:rPr>
        <w:t>4</w:t>
      </w:r>
      <w:r w:rsidRPr="00CA4C14">
        <w:rPr>
          <w:lang w:val="ru-RU"/>
        </w:rPr>
        <w:fldChar w:fldCharType="end"/>
      </w:r>
    </w:p>
    <w:p w14:paraId="25F71CC3" w14:textId="38DB0065" w:rsidR="003D7646" w:rsidRPr="00CA4C14" w:rsidRDefault="003D7646" w:rsidP="003D7646">
      <w:pPr>
        <w:pStyle w:val="TOC1"/>
        <w:tabs>
          <w:tab w:val="clear" w:pos="7938"/>
          <w:tab w:val="clear" w:pos="8789"/>
          <w:tab w:val="left" w:pos="709"/>
          <w:tab w:val="left" w:leader="dot" w:pos="8222"/>
          <w:tab w:val="right" w:pos="9071"/>
        </w:tabs>
        <w:spacing w:before="120"/>
        <w:ind w:left="709" w:right="851" w:hanging="709"/>
        <w:rPr>
          <w:lang w:val="ru-RU"/>
        </w:rPr>
      </w:pPr>
      <w:r w:rsidRPr="00CA4C14">
        <w:rPr>
          <w:lang w:val="ru-RU"/>
        </w:rPr>
        <w:t>Введение</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_Toc168578435 \h </w:instrText>
      </w:r>
      <w:r w:rsidRPr="00CA4C14">
        <w:rPr>
          <w:lang w:val="ru-RU"/>
        </w:rPr>
      </w:r>
      <w:r w:rsidRPr="00CA4C14">
        <w:rPr>
          <w:lang w:val="ru-RU"/>
        </w:rPr>
        <w:fldChar w:fldCharType="separate"/>
      </w:r>
      <w:r w:rsidR="002E577C" w:rsidRPr="00CA4C14">
        <w:rPr>
          <w:lang w:val="ru-RU"/>
        </w:rPr>
        <w:t>6</w:t>
      </w:r>
      <w:r w:rsidRPr="00CA4C14">
        <w:rPr>
          <w:lang w:val="ru-RU"/>
        </w:rPr>
        <w:fldChar w:fldCharType="end"/>
      </w:r>
    </w:p>
    <w:p w14:paraId="141737A3" w14:textId="6E02E672" w:rsidR="003D7646" w:rsidRPr="00CA4C14" w:rsidRDefault="003D7646" w:rsidP="003D7646">
      <w:pPr>
        <w:pStyle w:val="TOC1"/>
        <w:tabs>
          <w:tab w:val="clear" w:pos="7938"/>
          <w:tab w:val="clear" w:pos="8789"/>
          <w:tab w:val="left" w:pos="709"/>
          <w:tab w:val="left" w:leader="dot" w:pos="8222"/>
          <w:tab w:val="right" w:pos="9071"/>
        </w:tabs>
        <w:spacing w:before="120"/>
        <w:ind w:left="709" w:right="851" w:hanging="709"/>
        <w:rPr>
          <w:lang w:val="ru-RU"/>
        </w:rPr>
      </w:pPr>
      <w:r w:rsidRPr="00CA4C14">
        <w:rPr>
          <w:lang w:val="ru-RU"/>
        </w:rPr>
        <w:t>Основные аспекты Отчета о финансовой деятельности за 2023 год</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_Toc168578436 \h </w:instrText>
      </w:r>
      <w:r w:rsidRPr="00CA4C14">
        <w:rPr>
          <w:lang w:val="ru-RU"/>
        </w:rPr>
      </w:r>
      <w:r w:rsidRPr="00CA4C14">
        <w:rPr>
          <w:lang w:val="ru-RU"/>
        </w:rPr>
        <w:fldChar w:fldCharType="separate"/>
      </w:r>
      <w:r w:rsidR="002E577C" w:rsidRPr="00CA4C14">
        <w:rPr>
          <w:lang w:val="ru-RU"/>
        </w:rPr>
        <w:t>6</w:t>
      </w:r>
      <w:r w:rsidRPr="00CA4C14">
        <w:rPr>
          <w:lang w:val="ru-RU"/>
        </w:rPr>
        <w:fldChar w:fldCharType="end"/>
      </w:r>
    </w:p>
    <w:p w14:paraId="3BA5F2B4" w14:textId="0AE88EB4" w:rsidR="003D7646" w:rsidRPr="00CA4C14" w:rsidRDefault="003D7646" w:rsidP="003D7646">
      <w:pPr>
        <w:pStyle w:val="TOC1"/>
        <w:tabs>
          <w:tab w:val="clear" w:pos="7938"/>
          <w:tab w:val="clear" w:pos="8789"/>
          <w:tab w:val="left" w:pos="709"/>
          <w:tab w:val="left" w:leader="dot" w:pos="8222"/>
          <w:tab w:val="right" w:pos="9071"/>
        </w:tabs>
        <w:spacing w:before="120"/>
        <w:ind w:left="709" w:right="851" w:hanging="709"/>
        <w:rPr>
          <w:lang w:val="ru-RU"/>
        </w:rPr>
      </w:pPr>
      <w:r w:rsidRPr="00CA4C14">
        <w:rPr>
          <w:lang w:val="ru-RU"/>
        </w:rPr>
        <w:t>Заключение о внутреннем контроле за 2023 год</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_Toc168578441 \h </w:instrText>
      </w:r>
      <w:r w:rsidRPr="00CA4C14">
        <w:rPr>
          <w:lang w:val="ru-RU"/>
        </w:rPr>
      </w:r>
      <w:r w:rsidRPr="00CA4C14">
        <w:rPr>
          <w:lang w:val="ru-RU"/>
        </w:rPr>
        <w:fldChar w:fldCharType="separate"/>
      </w:r>
      <w:r w:rsidR="002E577C" w:rsidRPr="00CA4C14">
        <w:rPr>
          <w:lang w:val="ru-RU"/>
        </w:rPr>
        <w:t>15</w:t>
      </w:r>
      <w:r w:rsidRPr="00CA4C14">
        <w:rPr>
          <w:lang w:val="ru-RU"/>
        </w:rPr>
        <w:fldChar w:fldCharType="end"/>
      </w:r>
    </w:p>
    <w:p w14:paraId="685CAC72" w14:textId="0EC6C7A0" w:rsidR="003D7646" w:rsidRPr="00CA4C14" w:rsidRDefault="003D7646" w:rsidP="003D7646">
      <w:pPr>
        <w:pStyle w:val="TOC1"/>
        <w:tabs>
          <w:tab w:val="clear" w:pos="7938"/>
          <w:tab w:val="clear" w:pos="8789"/>
          <w:tab w:val="left" w:pos="709"/>
          <w:tab w:val="left" w:leader="dot" w:pos="8222"/>
          <w:tab w:val="right" w:pos="9071"/>
        </w:tabs>
        <w:spacing w:before="120"/>
        <w:ind w:left="709" w:right="851" w:hanging="709"/>
        <w:rPr>
          <w:lang w:val="ru-RU"/>
        </w:rPr>
      </w:pPr>
      <w:r w:rsidRPr="00CA4C14">
        <w:rPr>
          <w:lang w:val="ru-RU"/>
        </w:rPr>
        <w:t>Заключение о внешнем аудите</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_Toc168578442 \h </w:instrText>
      </w:r>
      <w:r w:rsidRPr="00CA4C14">
        <w:rPr>
          <w:lang w:val="ru-RU"/>
        </w:rPr>
      </w:r>
      <w:r w:rsidRPr="00CA4C14">
        <w:rPr>
          <w:lang w:val="ru-RU"/>
        </w:rPr>
        <w:fldChar w:fldCharType="separate"/>
      </w:r>
      <w:r w:rsidR="002E577C" w:rsidRPr="00CA4C14">
        <w:rPr>
          <w:lang w:val="ru-RU"/>
        </w:rPr>
        <w:t>20</w:t>
      </w:r>
      <w:r w:rsidRPr="00CA4C14">
        <w:rPr>
          <w:lang w:val="ru-RU"/>
        </w:rPr>
        <w:fldChar w:fldCharType="end"/>
      </w:r>
    </w:p>
    <w:p w14:paraId="46506F13" w14:textId="3C6E55B3" w:rsidR="003D7646" w:rsidRPr="00CA4C14" w:rsidRDefault="003D7646" w:rsidP="003D7646">
      <w:pPr>
        <w:pStyle w:val="TOC1"/>
        <w:tabs>
          <w:tab w:val="clear" w:pos="7938"/>
          <w:tab w:val="clear" w:pos="8789"/>
          <w:tab w:val="left" w:pos="709"/>
          <w:tab w:val="left" w:leader="dot" w:pos="8222"/>
          <w:tab w:val="right" w:pos="9071"/>
        </w:tabs>
        <w:spacing w:before="120"/>
        <w:ind w:left="709" w:right="851" w:hanging="709"/>
        <w:rPr>
          <w:lang w:val="ru-RU"/>
        </w:rPr>
      </w:pPr>
      <w:r w:rsidRPr="00CA4C14">
        <w:rPr>
          <w:b/>
          <w:bCs/>
          <w:lang w:val="ru-RU"/>
        </w:rPr>
        <w:t>Финансовая отчетность</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_Toc168578443 \h </w:instrText>
      </w:r>
      <w:r w:rsidRPr="00CA4C14">
        <w:rPr>
          <w:lang w:val="ru-RU"/>
        </w:rPr>
      </w:r>
      <w:r w:rsidRPr="00CA4C14">
        <w:rPr>
          <w:lang w:val="ru-RU"/>
        </w:rPr>
        <w:fldChar w:fldCharType="separate"/>
      </w:r>
      <w:r w:rsidR="002E577C" w:rsidRPr="00CA4C14">
        <w:rPr>
          <w:lang w:val="ru-RU"/>
        </w:rPr>
        <w:t>23</w:t>
      </w:r>
      <w:r w:rsidRPr="00CA4C14">
        <w:rPr>
          <w:lang w:val="ru-RU"/>
        </w:rPr>
        <w:fldChar w:fldCharType="end"/>
      </w:r>
    </w:p>
    <w:p w14:paraId="6AB99978" w14:textId="2FAC41DF" w:rsidR="003D7646" w:rsidRPr="00CA4C14" w:rsidRDefault="003D7646" w:rsidP="003D7646">
      <w:pPr>
        <w:pStyle w:val="TOC1"/>
        <w:tabs>
          <w:tab w:val="clear" w:pos="7938"/>
          <w:tab w:val="clear" w:pos="8789"/>
          <w:tab w:val="left" w:pos="709"/>
          <w:tab w:val="left" w:leader="dot" w:pos="8222"/>
          <w:tab w:val="right" w:pos="9071"/>
        </w:tabs>
        <w:spacing w:before="120"/>
        <w:ind w:left="709" w:right="851" w:hanging="709"/>
        <w:rPr>
          <w:lang w:val="ru-RU"/>
        </w:rPr>
      </w:pPr>
      <w:r w:rsidRPr="00CA4C14">
        <w:rPr>
          <w:lang w:val="ru-RU"/>
        </w:rPr>
        <w:t>Примечания к финансовой отчетности</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_Toc168578449 \h </w:instrText>
      </w:r>
      <w:r w:rsidRPr="00CA4C14">
        <w:rPr>
          <w:lang w:val="ru-RU"/>
        </w:rPr>
      </w:r>
      <w:r w:rsidRPr="00CA4C14">
        <w:rPr>
          <w:lang w:val="ru-RU"/>
        </w:rPr>
        <w:fldChar w:fldCharType="separate"/>
      </w:r>
      <w:r w:rsidR="002E577C" w:rsidRPr="00CA4C14">
        <w:rPr>
          <w:lang w:val="ru-RU"/>
        </w:rPr>
        <w:t>30</w:t>
      </w:r>
      <w:r w:rsidRPr="00CA4C14">
        <w:rPr>
          <w:lang w:val="ru-RU"/>
        </w:rPr>
        <w:fldChar w:fldCharType="end"/>
      </w:r>
    </w:p>
    <w:p w14:paraId="6D417BD0" w14:textId="7147C5C3"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w:t>
      </w:r>
      <w:r w:rsidRPr="00CA4C14">
        <w:rPr>
          <w:lang w:val="ru-RU"/>
        </w:rPr>
        <w:tab/>
        <w:t>Задачи Союза</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_Toc168578450 \h </w:instrText>
      </w:r>
      <w:r w:rsidRPr="00CA4C14">
        <w:rPr>
          <w:lang w:val="ru-RU"/>
        </w:rPr>
      </w:r>
      <w:r w:rsidRPr="00CA4C14">
        <w:rPr>
          <w:lang w:val="ru-RU"/>
        </w:rPr>
        <w:fldChar w:fldCharType="separate"/>
      </w:r>
      <w:r w:rsidR="002E577C" w:rsidRPr="00CA4C14">
        <w:rPr>
          <w:lang w:val="ru-RU"/>
        </w:rPr>
        <w:t>30</w:t>
      </w:r>
      <w:r w:rsidRPr="00CA4C14">
        <w:rPr>
          <w:lang w:val="ru-RU"/>
        </w:rPr>
        <w:fldChar w:fldCharType="end"/>
      </w:r>
    </w:p>
    <w:p w14:paraId="0437D7FF" w14:textId="25EDE206"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w:t>
      </w:r>
      <w:r w:rsidRPr="00CA4C14">
        <w:rPr>
          <w:lang w:val="ru-RU"/>
        </w:rPr>
        <w:tab/>
        <w:t>Основа для подготовки и представления</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_Toc168578451 \h </w:instrText>
      </w:r>
      <w:r w:rsidRPr="00CA4C14">
        <w:rPr>
          <w:lang w:val="ru-RU"/>
        </w:rPr>
      </w:r>
      <w:r w:rsidRPr="00CA4C14">
        <w:rPr>
          <w:lang w:val="ru-RU"/>
        </w:rPr>
        <w:fldChar w:fldCharType="separate"/>
      </w:r>
      <w:r w:rsidR="002E577C" w:rsidRPr="00CA4C14">
        <w:rPr>
          <w:lang w:val="ru-RU"/>
        </w:rPr>
        <w:t>33</w:t>
      </w:r>
      <w:r w:rsidRPr="00CA4C14">
        <w:rPr>
          <w:lang w:val="ru-RU"/>
        </w:rPr>
        <w:fldChar w:fldCharType="end"/>
      </w:r>
    </w:p>
    <w:p w14:paraId="6D6607CF" w14:textId="79AF22BA"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3</w:t>
      </w:r>
      <w:r w:rsidRPr="00CA4C14">
        <w:rPr>
          <w:lang w:val="ru-RU"/>
        </w:rPr>
        <w:tab/>
        <w:t>Основные методы бухгалтерского учета</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_Toc168578452 \h </w:instrText>
      </w:r>
      <w:r w:rsidRPr="00CA4C14">
        <w:rPr>
          <w:lang w:val="ru-RU"/>
        </w:rPr>
      </w:r>
      <w:r w:rsidRPr="00CA4C14">
        <w:rPr>
          <w:lang w:val="ru-RU"/>
        </w:rPr>
        <w:fldChar w:fldCharType="separate"/>
      </w:r>
      <w:r w:rsidR="002E577C" w:rsidRPr="00CA4C14">
        <w:rPr>
          <w:lang w:val="ru-RU"/>
        </w:rPr>
        <w:t>36</w:t>
      </w:r>
      <w:r w:rsidRPr="00CA4C14">
        <w:rPr>
          <w:lang w:val="ru-RU"/>
        </w:rPr>
        <w:fldChar w:fldCharType="end"/>
      </w:r>
    </w:p>
    <w:p w14:paraId="7E46768C" w14:textId="3BF3328C"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3.1</w:t>
      </w:r>
      <w:r w:rsidRPr="00CA4C14">
        <w:rPr>
          <w:lang w:val="ru-RU"/>
        </w:rPr>
        <w:tab/>
        <w:t>Обменный курс рабочей валюты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_Toc168578453 \h </w:instrText>
      </w:r>
      <w:r w:rsidRPr="00CA4C14">
        <w:rPr>
          <w:lang w:val="ru-RU"/>
        </w:rPr>
      </w:r>
      <w:r w:rsidRPr="00CA4C14">
        <w:rPr>
          <w:lang w:val="ru-RU"/>
        </w:rPr>
        <w:fldChar w:fldCharType="separate"/>
      </w:r>
      <w:r w:rsidR="002E577C" w:rsidRPr="00CA4C14">
        <w:rPr>
          <w:lang w:val="ru-RU"/>
        </w:rPr>
        <w:t>36</w:t>
      </w:r>
      <w:r w:rsidRPr="00CA4C14">
        <w:rPr>
          <w:lang w:val="ru-RU"/>
        </w:rPr>
        <w:fldChar w:fldCharType="end"/>
      </w:r>
    </w:p>
    <w:p w14:paraId="703EDDDB" w14:textId="6505AA62"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3.2</w:t>
      </w:r>
      <w:r w:rsidRPr="00CA4C14">
        <w:rPr>
          <w:lang w:val="ru-RU"/>
        </w:rPr>
        <w:tab/>
        <w:t>Финансовые инструменты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_Toc168578454 \h </w:instrText>
      </w:r>
      <w:r w:rsidRPr="00CA4C14">
        <w:rPr>
          <w:lang w:val="ru-RU"/>
        </w:rPr>
      </w:r>
      <w:r w:rsidRPr="00CA4C14">
        <w:rPr>
          <w:lang w:val="ru-RU"/>
        </w:rPr>
        <w:fldChar w:fldCharType="separate"/>
      </w:r>
      <w:r w:rsidR="002E577C" w:rsidRPr="00CA4C14">
        <w:rPr>
          <w:lang w:val="ru-RU"/>
        </w:rPr>
        <w:t>36</w:t>
      </w:r>
      <w:r w:rsidRPr="00CA4C14">
        <w:rPr>
          <w:lang w:val="ru-RU"/>
        </w:rPr>
        <w:fldChar w:fldCharType="end"/>
      </w:r>
    </w:p>
    <w:p w14:paraId="36D20449" w14:textId="622F2B4A"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3.3</w:t>
      </w:r>
      <w:r w:rsidRPr="00CA4C14">
        <w:rPr>
          <w:lang w:val="ru-RU"/>
        </w:rPr>
        <w:tab/>
        <w:t>Внедрение новых стандартов IPSAS</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_Toc168578455 \h </w:instrText>
      </w:r>
      <w:r w:rsidRPr="00CA4C14">
        <w:rPr>
          <w:lang w:val="ru-RU"/>
        </w:rPr>
      </w:r>
      <w:r w:rsidRPr="00CA4C14">
        <w:rPr>
          <w:lang w:val="ru-RU"/>
        </w:rPr>
        <w:fldChar w:fldCharType="separate"/>
      </w:r>
      <w:r w:rsidR="002E577C" w:rsidRPr="00CA4C14">
        <w:rPr>
          <w:lang w:val="ru-RU"/>
        </w:rPr>
        <w:t>38</w:t>
      </w:r>
      <w:r w:rsidRPr="00CA4C14">
        <w:rPr>
          <w:lang w:val="ru-RU"/>
        </w:rPr>
        <w:fldChar w:fldCharType="end"/>
      </w:r>
    </w:p>
    <w:p w14:paraId="31FB2363" w14:textId="7F597CD7"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3.4</w:t>
      </w:r>
      <w:r w:rsidRPr="00CA4C14">
        <w:rPr>
          <w:lang w:val="ru-RU"/>
        </w:rPr>
        <w:tab/>
        <w:t>Запасы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_Toc168578456 \h </w:instrText>
      </w:r>
      <w:r w:rsidRPr="00CA4C14">
        <w:rPr>
          <w:lang w:val="ru-RU"/>
        </w:rPr>
      </w:r>
      <w:r w:rsidRPr="00CA4C14">
        <w:rPr>
          <w:lang w:val="ru-RU"/>
        </w:rPr>
        <w:fldChar w:fldCharType="separate"/>
      </w:r>
      <w:r w:rsidR="002E577C" w:rsidRPr="00CA4C14">
        <w:rPr>
          <w:lang w:val="ru-RU"/>
        </w:rPr>
        <w:t>41</w:t>
      </w:r>
      <w:r w:rsidRPr="00CA4C14">
        <w:rPr>
          <w:lang w:val="ru-RU"/>
        </w:rPr>
        <w:fldChar w:fldCharType="end"/>
      </w:r>
    </w:p>
    <w:p w14:paraId="0A894FA8" w14:textId="436213E9"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3.5</w:t>
      </w:r>
      <w:r w:rsidRPr="00CA4C14">
        <w:rPr>
          <w:lang w:val="ru-RU"/>
        </w:rPr>
        <w:tab/>
        <w:t>Материальные активы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_Toc168578457 \h </w:instrText>
      </w:r>
      <w:r w:rsidRPr="00CA4C14">
        <w:rPr>
          <w:lang w:val="ru-RU"/>
        </w:rPr>
      </w:r>
      <w:r w:rsidRPr="00CA4C14">
        <w:rPr>
          <w:lang w:val="ru-RU"/>
        </w:rPr>
        <w:fldChar w:fldCharType="separate"/>
      </w:r>
      <w:r w:rsidR="002E577C" w:rsidRPr="00CA4C14">
        <w:rPr>
          <w:lang w:val="ru-RU"/>
        </w:rPr>
        <w:t>41</w:t>
      </w:r>
      <w:r w:rsidRPr="00CA4C14">
        <w:rPr>
          <w:lang w:val="ru-RU"/>
        </w:rPr>
        <w:fldChar w:fldCharType="end"/>
      </w:r>
    </w:p>
    <w:p w14:paraId="1208FDBE" w14:textId="100F606B" w:rsidR="00D34817" w:rsidRPr="00CA4C14" w:rsidRDefault="00D34817" w:rsidP="00D34817">
      <w:pPr>
        <w:pStyle w:val="TOC1"/>
        <w:tabs>
          <w:tab w:val="clear" w:pos="7938"/>
          <w:tab w:val="clear" w:pos="8789"/>
          <w:tab w:val="left" w:leader="dot" w:pos="8222"/>
          <w:tab w:val="right" w:pos="9071"/>
        </w:tabs>
        <w:spacing w:before="80"/>
        <w:ind w:left="2410" w:right="851" w:hanging="709"/>
        <w:rPr>
          <w:lang w:val="ru-RU"/>
        </w:rPr>
      </w:pPr>
      <w:r w:rsidRPr="00CA4C14">
        <w:rPr>
          <w:lang w:val="ru-RU"/>
        </w:rPr>
        <w:t>3.6</w:t>
      </w:r>
      <w:r w:rsidRPr="00CA4C14">
        <w:rPr>
          <w:lang w:val="ru-RU"/>
        </w:rPr>
        <w:tab/>
        <w:t>Нематериальные активы</w:t>
      </w:r>
      <w:r w:rsidRPr="00CA4C14">
        <w:rPr>
          <w:lang w:val="ru-RU"/>
        </w:rPr>
        <w:tab/>
      </w:r>
      <w:r w:rsidRPr="00CA4C14">
        <w:rPr>
          <w:lang w:val="ru-RU"/>
        </w:rPr>
        <w:tab/>
      </w:r>
      <w:r w:rsidRPr="00CA4C14">
        <w:rPr>
          <w:lang w:val="ru-RU"/>
        </w:rPr>
        <w:fldChar w:fldCharType="begin"/>
      </w:r>
      <w:r w:rsidRPr="00CA4C14">
        <w:rPr>
          <w:lang w:val="ru-RU"/>
        </w:rPr>
        <w:instrText xml:space="preserve"> PAGEREF _Toc168578833 \h </w:instrText>
      </w:r>
      <w:r w:rsidRPr="00CA4C14">
        <w:rPr>
          <w:lang w:val="ru-RU"/>
        </w:rPr>
      </w:r>
      <w:r w:rsidRPr="00CA4C14">
        <w:rPr>
          <w:lang w:val="ru-RU"/>
        </w:rPr>
        <w:fldChar w:fldCharType="separate"/>
      </w:r>
      <w:r w:rsidR="002E577C" w:rsidRPr="00CA4C14">
        <w:rPr>
          <w:lang w:val="ru-RU"/>
        </w:rPr>
        <w:t>42</w:t>
      </w:r>
      <w:r w:rsidRPr="00CA4C14">
        <w:rPr>
          <w:lang w:val="ru-RU"/>
        </w:rPr>
        <w:fldChar w:fldCharType="end"/>
      </w:r>
    </w:p>
    <w:p w14:paraId="50C18678" w14:textId="51C04D56"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3.7</w:t>
      </w:r>
      <w:r w:rsidRPr="00CA4C14">
        <w:rPr>
          <w:lang w:val="ru-RU"/>
        </w:rPr>
        <w:tab/>
        <w:t>Резервные фонды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_Toc168578458 \h </w:instrText>
      </w:r>
      <w:r w:rsidRPr="00CA4C14">
        <w:rPr>
          <w:lang w:val="ru-RU"/>
        </w:rPr>
      </w:r>
      <w:r w:rsidRPr="00CA4C14">
        <w:rPr>
          <w:lang w:val="ru-RU"/>
        </w:rPr>
        <w:fldChar w:fldCharType="separate"/>
      </w:r>
      <w:r w:rsidR="002E577C" w:rsidRPr="00CA4C14">
        <w:rPr>
          <w:lang w:val="ru-RU"/>
        </w:rPr>
        <w:t>43</w:t>
      </w:r>
      <w:r w:rsidRPr="00CA4C14">
        <w:rPr>
          <w:lang w:val="ru-RU"/>
        </w:rPr>
        <w:fldChar w:fldCharType="end"/>
      </w:r>
    </w:p>
    <w:p w14:paraId="2B508A67" w14:textId="608C7DF7"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3.8</w:t>
      </w:r>
      <w:r w:rsidRPr="00CA4C14">
        <w:rPr>
          <w:lang w:val="ru-RU"/>
        </w:rPr>
        <w:tab/>
        <w:t>Вероятные активы и пассивы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_Toc168578459 \h </w:instrText>
      </w:r>
      <w:r w:rsidRPr="00CA4C14">
        <w:rPr>
          <w:lang w:val="ru-RU"/>
        </w:rPr>
      </w:r>
      <w:r w:rsidRPr="00CA4C14">
        <w:rPr>
          <w:lang w:val="ru-RU"/>
        </w:rPr>
        <w:fldChar w:fldCharType="separate"/>
      </w:r>
      <w:r w:rsidR="002E577C" w:rsidRPr="00CA4C14">
        <w:rPr>
          <w:lang w:val="ru-RU"/>
        </w:rPr>
        <w:t>44</w:t>
      </w:r>
      <w:r w:rsidRPr="00CA4C14">
        <w:rPr>
          <w:lang w:val="ru-RU"/>
        </w:rPr>
        <w:fldChar w:fldCharType="end"/>
      </w:r>
    </w:p>
    <w:p w14:paraId="4BDA5EF8" w14:textId="2DB6346D"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3.9</w:t>
      </w:r>
      <w:r w:rsidRPr="00CA4C14">
        <w:rPr>
          <w:lang w:val="ru-RU"/>
        </w:rPr>
        <w:tab/>
        <w:t>Вознаграждение сотрудников</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_Toc168578460 \h </w:instrText>
      </w:r>
      <w:r w:rsidRPr="00CA4C14">
        <w:rPr>
          <w:lang w:val="ru-RU"/>
        </w:rPr>
      </w:r>
      <w:r w:rsidRPr="00CA4C14">
        <w:rPr>
          <w:lang w:val="ru-RU"/>
        </w:rPr>
        <w:fldChar w:fldCharType="separate"/>
      </w:r>
      <w:r w:rsidR="002E577C" w:rsidRPr="00CA4C14">
        <w:rPr>
          <w:lang w:val="ru-RU"/>
        </w:rPr>
        <w:t>44</w:t>
      </w:r>
      <w:r w:rsidRPr="00CA4C14">
        <w:rPr>
          <w:lang w:val="ru-RU"/>
        </w:rPr>
        <w:fldChar w:fldCharType="end"/>
      </w:r>
    </w:p>
    <w:p w14:paraId="137A29DC" w14:textId="7CE56FB6"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3.10</w:t>
      </w:r>
      <w:r w:rsidRPr="00CA4C14">
        <w:rPr>
          <w:lang w:val="ru-RU"/>
        </w:rPr>
        <w:tab/>
        <w:t>Признание доходов</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_Toc168578461 \h </w:instrText>
      </w:r>
      <w:r w:rsidRPr="00CA4C14">
        <w:rPr>
          <w:lang w:val="ru-RU"/>
        </w:rPr>
      </w:r>
      <w:r w:rsidRPr="00CA4C14">
        <w:rPr>
          <w:lang w:val="ru-RU"/>
        </w:rPr>
        <w:fldChar w:fldCharType="separate"/>
      </w:r>
      <w:r w:rsidR="002E577C" w:rsidRPr="00CA4C14">
        <w:rPr>
          <w:lang w:val="ru-RU"/>
        </w:rPr>
        <w:t>45</w:t>
      </w:r>
      <w:r w:rsidRPr="00CA4C14">
        <w:rPr>
          <w:lang w:val="ru-RU"/>
        </w:rPr>
        <w:fldChar w:fldCharType="end"/>
      </w:r>
    </w:p>
    <w:p w14:paraId="50A4A7A0" w14:textId="36B4566E"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3.11</w:t>
      </w:r>
      <w:r w:rsidRPr="00CA4C14">
        <w:rPr>
          <w:lang w:val="ru-RU"/>
        </w:rPr>
        <w:tab/>
        <w:t>Представление информации по сегментам</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_Toc168578462 \h </w:instrText>
      </w:r>
      <w:r w:rsidRPr="00CA4C14">
        <w:rPr>
          <w:lang w:val="ru-RU"/>
        </w:rPr>
      </w:r>
      <w:r w:rsidRPr="00CA4C14">
        <w:rPr>
          <w:lang w:val="ru-RU"/>
        </w:rPr>
        <w:fldChar w:fldCharType="separate"/>
      </w:r>
      <w:r w:rsidR="002E577C" w:rsidRPr="00CA4C14">
        <w:rPr>
          <w:lang w:val="ru-RU"/>
        </w:rPr>
        <w:t>46</w:t>
      </w:r>
      <w:r w:rsidRPr="00CA4C14">
        <w:rPr>
          <w:lang w:val="ru-RU"/>
        </w:rPr>
        <w:fldChar w:fldCharType="end"/>
      </w:r>
    </w:p>
    <w:p w14:paraId="57BF82A2" w14:textId="119804DD"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3.12</w:t>
      </w:r>
      <w:r w:rsidRPr="00CA4C14">
        <w:rPr>
          <w:lang w:val="ru-RU"/>
        </w:rPr>
        <w:tab/>
        <w:t>Сравнительная таблица предусмотренных в бюджете сумм и</w:t>
      </w:r>
      <w:r w:rsidR="00030AF1" w:rsidRPr="00CA4C14">
        <w:rPr>
          <w:lang w:val="ru-RU"/>
        </w:rPr>
        <w:t> </w:t>
      </w:r>
      <w:r w:rsidRPr="00CA4C14">
        <w:rPr>
          <w:lang w:val="ru-RU"/>
        </w:rPr>
        <w:t>фактических сумм</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_Toc168578463 \h </w:instrText>
      </w:r>
      <w:r w:rsidRPr="00CA4C14">
        <w:rPr>
          <w:lang w:val="ru-RU"/>
        </w:rPr>
      </w:r>
      <w:r w:rsidRPr="00CA4C14">
        <w:rPr>
          <w:lang w:val="ru-RU"/>
        </w:rPr>
        <w:fldChar w:fldCharType="separate"/>
      </w:r>
      <w:r w:rsidR="002E577C" w:rsidRPr="00CA4C14">
        <w:rPr>
          <w:lang w:val="ru-RU"/>
        </w:rPr>
        <w:t>47</w:t>
      </w:r>
      <w:r w:rsidRPr="00CA4C14">
        <w:rPr>
          <w:lang w:val="ru-RU"/>
        </w:rPr>
        <w:fldChar w:fldCharType="end"/>
      </w:r>
    </w:p>
    <w:p w14:paraId="69037510" w14:textId="4DE509DE"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4</w:t>
      </w:r>
      <w:r w:rsidRPr="00CA4C14">
        <w:rPr>
          <w:lang w:val="ru-RU"/>
        </w:rPr>
        <w:tab/>
        <w:t>Управление чистыми активами</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_Toc168578464 \h </w:instrText>
      </w:r>
      <w:r w:rsidRPr="00CA4C14">
        <w:rPr>
          <w:lang w:val="ru-RU"/>
        </w:rPr>
      </w:r>
      <w:r w:rsidRPr="00CA4C14">
        <w:rPr>
          <w:lang w:val="ru-RU"/>
        </w:rPr>
        <w:fldChar w:fldCharType="separate"/>
      </w:r>
      <w:r w:rsidR="002E577C" w:rsidRPr="00CA4C14">
        <w:rPr>
          <w:lang w:val="ru-RU"/>
        </w:rPr>
        <w:t>48</w:t>
      </w:r>
      <w:r w:rsidRPr="00CA4C14">
        <w:rPr>
          <w:lang w:val="ru-RU"/>
        </w:rPr>
        <w:fldChar w:fldCharType="end"/>
      </w:r>
    </w:p>
    <w:p w14:paraId="44AEDC73" w14:textId="4A4C29E7"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5</w:t>
      </w:r>
      <w:r w:rsidRPr="00CA4C14">
        <w:rPr>
          <w:lang w:val="ru-RU"/>
        </w:rPr>
        <w:tab/>
        <w:t>Финансовые риски</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_Toc168578465 \h </w:instrText>
      </w:r>
      <w:r w:rsidRPr="00CA4C14">
        <w:rPr>
          <w:lang w:val="ru-RU"/>
        </w:rPr>
      </w:r>
      <w:r w:rsidRPr="00CA4C14">
        <w:rPr>
          <w:lang w:val="ru-RU"/>
        </w:rPr>
        <w:fldChar w:fldCharType="separate"/>
      </w:r>
      <w:r w:rsidR="002E577C" w:rsidRPr="00CA4C14">
        <w:rPr>
          <w:lang w:val="ru-RU"/>
        </w:rPr>
        <w:t>52</w:t>
      </w:r>
      <w:r w:rsidRPr="00CA4C14">
        <w:rPr>
          <w:lang w:val="ru-RU"/>
        </w:rPr>
        <w:fldChar w:fldCharType="end"/>
      </w:r>
    </w:p>
    <w:p w14:paraId="034C085D" w14:textId="2D1DBBEB"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6</w:t>
      </w:r>
      <w:r w:rsidRPr="00CA4C14">
        <w:rPr>
          <w:lang w:val="ru-RU"/>
        </w:rPr>
        <w:tab/>
        <w:t>Заключение и оценки в бухгалтерском учете</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_Toc168578466 \h </w:instrText>
      </w:r>
      <w:r w:rsidRPr="00CA4C14">
        <w:rPr>
          <w:lang w:val="ru-RU"/>
        </w:rPr>
      </w:r>
      <w:r w:rsidRPr="00CA4C14">
        <w:rPr>
          <w:lang w:val="ru-RU"/>
        </w:rPr>
        <w:fldChar w:fldCharType="separate"/>
      </w:r>
      <w:r w:rsidR="002E577C" w:rsidRPr="00CA4C14">
        <w:rPr>
          <w:lang w:val="ru-RU"/>
        </w:rPr>
        <w:t>55</w:t>
      </w:r>
      <w:r w:rsidRPr="00CA4C14">
        <w:rPr>
          <w:lang w:val="ru-RU"/>
        </w:rPr>
        <w:fldChar w:fldCharType="end"/>
      </w:r>
    </w:p>
    <w:p w14:paraId="16E9906F" w14:textId="011C18F1"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7</w:t>
      </w:r>
      <w:r w:rsidRPr="00CA4C14">
        <w:rPr>
          <w:lang w:val="ru-RU"/>
        </w:rPr>
        <w:tab/>
        <w:t>Денежные средства и эквиваленты денежных средств</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_Toc168578467 \h </w:instrText>
      </w:r>
      <w:r w:rsidRPr="00CA4C14">
        <w:rPr>
          <w:lang w:val="ru-RU"/>
        </w:rPr>
      </w:r>
      <w:r w:rsidRPr="00CA4C14">
        <w:rPr>
          <w:lang w:val="ru-RU"/>
        </w:rPr>
        <w:fldChar w:fldCharType="separate"/>
      </w:r>
      <w:r w:rsidR="002E577C" w:rsidRPr="00CA4C14">
        <w:rPr>
          <w:lang w:val="ru-RU"/>
        </w:rPr>
        <w:t>55</w:t>
      </w:r>
      <w:r w:rsidRPr="00CA4C14">
        <w:rPr>
          <w:lang w:val="ru-RU"/>
        </w:rPr>
        <w:fldChar w:fldCharType="end"/>
      </w:r>
    </w:p>
    <w:p w14:paraId="1956B218" w14:textId="3F82841F"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8</w:t>
      </w:r>
      <w:r w:rsidRPr="00CA4C14">
        <w:rPr>
          <w:lang w:val="ru-RU"/>
        </w:rPr>
        <w:tab/>
        <w:t>Инвестиции</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_Toc168578468 \h </w:instrText>
      </w:r>
      <w:r w:rsidRPr="00CA4C14">
        <w:rPr>
          <w:lang w:val="ru-RU"/>
        </w:rPr>
      </w:r>
      <w:r w:rsidRPr="00CA4C14">
        <w:rPr>
          <w:lang w:val="ru-RU"/>
        </w:rPr>
        <w:fldChar w:fldCharType="separate"/>
      </w:r>
      <w:r w:rsidR="002E577C" w:rsidRPr="00CA4C14">
        <w:rPr>
          <w:lang w:val="ru-RU"/>
        </w:rPr>
        <w:t>56</w:t>
      </w:r>
      <w:r w:rsidRPr="00CA4C14">
        <w:rPr>
          <w:lang w:val="ru-RU"/>
        </w:rPr>
        <w:fldChar w:fldCharType="end"/>
      </w:r>
    </w:p>
    <w:p w14:paraId="2DFAFCF1" w14:textId="3E6E6B6E"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9</w:t>
      </w:r>
      <w:r w:rsidRPr="00CA4C14">
        <w:rPr>
          <w:lang w:val="ru-RU"/>
        </w:rPr>
        <w:tab/>
        <w:t>Долговые обязательства</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_Toc168578469 \h </w:instrText>
      </w:r>
      <w:r w:rsidRPr="00CA4C14">
        <w:rPr>
          <w:lang w:val="ru-RU"/>
        </w:rPr>
      </w:r>
      <w:r w:rsidRPr="00CA4C14">
        <w:rPr>
          <w:lang w:val="ru-RU"/>
        </w:rPr>
        <w:fldChar w:fldCharType="separate"/>
      </w:r>
      <w:r w:rsidR="002E577C" w:rsidRPr="00CA4C14">
        <w:rPr>
          <w:lang w:val="ru-RU"/>
        </w:rPr>
        <w:t>56</w:t>
      </w:r>
      <w:r w:rsidRPr="00CA4C14">
        <w:rPr>
          <w:lang w:val="ru-RU"/>
        </w:rPr>
        <w:fldChar w:fldCharType="end"/>
      </w:r>
    </w:p>
    <w:p w14:paraId="10C66233" w14:textId="2C620252"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10</w:t>
      </w:r>
      <w:r w:rsidRPr="00CA4C14">
        <w:rPr>
          <w:lang w:val="ru-RU"/>
        </w:rPr>
        <w:tab/>
        <w:t>Прочие долговые обязательства</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_Toc168578470 \h </w:instrText>
      </w:r>
      <w:r w:rsidRPr="00CA4C14">
        <w:rPr>
          <w:lang w:val="ru-RU"/>
        </w:rPr>
      </w:r>
      <w:r w:rsidRPr="00CA4C14">
        <w:rPr>
          <w:lang w:val="ru-RU"/>
        </w:rPr>
        <w:fldChar w:fldCharType="separate"/>
      </w:r>
      <w:r w:rsidR="002E577C" w:rsidRPr="00CA4C14">
        <w:rPr>
          <w:lang w:val="ru-RU"/>
        </w:rPr>
        <w:t>57</w:t>
      </w:r>
      <w:r w:rsidRPr="00CA4C14">
        <w:rPr>
          <w:lang w:val="ru-RU"/>
        </w:rPr>
        <w:fldChar w:fldCharType="end"/>
      </w:r>
    </w:p>
    <w:p w14:paraId="25B1FE4B" w14:textId="5F708BF9"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11</w:t>
      </w:r>
      <w:r w:rsidRPr="00CA4C14">
        <w:rPr>
          <w:lang w:val="ru-RU"/>
        </w:rPr>
        <w:tab/>
        <w:t>Материальные активы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_Toc168578471 \h </w:instrText>
      </w:r>
      <w:r w:rsidRPr="00CA4C14">
        <w:rPr>
          <w:lang w:val="ru-RU"/>
        </w:rPr>
      </w:r>
      <w:r w:rsidRPr="00CA4C14">
        <w:rPr>
          <w:lang w:val="ru-RU"/>
        </w:rPr>
        <w:fldChar w:fldCharType="separate"/>
      </w:r>
      <w:r w:rsidR="002E577C" w:rsidRPr="00CA4C14">
        <w:rPr>
          <w:lang w:val="ru-RU"/>
        </w:rPr>
        <w:t>57</w:t>
      </w:r>
      <w:r w:rsidRPr="00CA4C14">
        <w:rPr>
          <w:lang w:val="ru-RU"/>
        </w:rPr>
        <w:fldChar w:fldCharType="end"/>
      </w:r>
    </w:p>
    <w:p w14:paraId="38754CD4" w14:textId="29449D63"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12</w:t>
      </w:r>
      <w:r w:rsidRPr="00CA4C14">
        <w:rPr>
          <w:lang w:val="ru-RU"/>
        </w:rPr>
        <w:tab/>
        <w:t>Нематериальные активы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_Toc168578472 \h </w:instrText>
      </w:r>
      <w:r w:rsidRPr="00CA4C14">
        <w:rPr>
          <w:lang w:val="ru-RU"/>
        </w:rPr>
      </w:r>
      <w:r w:rsidRPr="00CA4C14">
        <w:rPr>
          <w:lang w:val="ru-RU"/>
        </w:rPr>
        <w:fldChar w:fldCharType="separate"/>
      </w:r>
      <w:r w:rsidR="002E577C" w:rsidRPr="00CA4C14">
        <w:rPr>
          <w:lang w:val="ru-RU"/>
        </w:rPr>
        <w:t>59</w:t>
      </w:r>
      <w:r w:rsidRPr="00CA4C14">
        <w:rPr>
          <w:lang w:val="ru-RU"/>
        </w:rPr>
        <w:fldChar w:fldCharType="end"/>
      </w:r>
    </w:p>
    <w:p w14:paraId="071122BB" w14:textId="3F8424F6"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13</w:t>
      </w:r>
      <w:r w:rsidRPr="00CA4C14">
        <w:rPr>
          <w:lang w:val="ru-RU"/>
        </w:rPr>
        <w:tab/>
        <w:t>Активы на этапе строительства</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_Toc168578473 \h </w:instrText>
      </w:r>
      <w:r w:rsidRPr="00CA4C14">
        <w:rPr>
          <w:lang w:val="ru-RU"/>
        </w:rPr>
      </w:r>
      <w:r w:rsidRPr="00CA4C14">
        <w:rPr>
          <w:lang w:val="ru-RU"/>
        </w:rPr>
        <w:fldChar w:fldCharType="separate"/>
      </w:r>
      <w:r w:rsidR="002E577C" w:rsidRPr="00CA4C14">
        <w:rPr>
          <w:lang w:val="ru-RU"/>
        </w:rPr>
        <w:t>60</w:t>
      </w:r>
      <w:r w:rsidRPr="00CA4C14">
        <w:rPr>
          <w:lang w:val="ru-RU"/>
        </w:rPr>
        <w:fldChar w:fldCharType="end"/>
      </w:r>
    </w:p>
    <w:p w14:paraId="3C3A36D1" w14:textId="77777777" w:rsidR="00D34817" w:rsidRPr="00CA4C14" w:rsidRDefault="00D34817" w:rsidP="00D34817">
      <w:pPr>
        <w:keepNext/>
        <w:jc w:val="right"/>
        <w:rPr>
          <w:lang w:val="ru-RU"/>
        </w:rPr>
      </w:pPr>
      <w:r w:rsidRPr="00CA4C14">
        <w:rPr>
          <w:lang w:val="ru-RU"/>
        </w:rPr>
        <w:lastRenderedPageBreak/>
        <w:t>Стр.</w:t>
      </w:r>
    </w:p>
    <w:p w14:paraId="376E1EE0" w14:textId="2474DB04"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14</w:t>
      </w:r>
      <w:r w:rsidRPr="00CA4C14">
        <w:rPr>
          <w:lang w:val="ru-RU"/>
        </w:rPr>
        <w:tab/>
        <w:t>Кредиторская задолженность</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_Toc168578474 \h </w:instrText>
      </w:r>
      <w:r w:rsidRPr="00CA4C14">
        <w:rPr>
          <w:lang w:val="ru-RU"/>
        </w:rPr>
      </w:r>
      <w:r w:rsidRPr="00CA4C14">
        <w:rPr>
          <w:lang w:val="ru-RU"/>
        </w:rPr>
        <w:fldChar w:fldCharType="separate"/>
      </w:r>
      <w:r w:rsidR="002E577C" w:rsidRPr="00CA4C14">
        <w:rPr>
          <w:lang w:val="ru-RU"/>
        </w:rPr>
        <w:t>60</w:t>
      </w:r>
      <w:r w:rsidRPr="00CA4C14">
        <w:rPr>
          <w:lang w:val="ru-RU"/>
        </w:rPr>
        <w:fldChar w:fldCharType="end"/>
      </w:r>
    </w:p>
    <w:p w14:paraId="16A34108" w14:textId="377ED44D"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15</w:t>
      </w:r>
      <w:r w:rsidRPr="00CA4C14">
        <w:rPr>
          <w:lang w:val="ru-RU"/>
        </w:rPr>
        <w:tab/>
        <w:t>Взносы, полученные авансом, и доходы будущих периодов</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_Toc168578475 \h </w:instrText>
      </w:r>
      <w:r w:rsidRPr="00CA4C14">
        <w:rPr>
          <w:lang w:val="ru-RU"/>
        </w:rPr>
      </w:r>
      <w:r w:rsidRPr="00CA4C14">
        <w:rPr>
          <w:lang w:val="ru-RU"/>
        </w:rPr>
        <w:fldChar w:fldCharType="separate"/>
      </w:r>
      <w:r w:rsidR="002E577C" w:rsidRPr="00CA4C14">
        <w:rPr>
          <w:lang w:val="ru-RU"/>
        </w:rPr>
        <w:t>60</w:t>
      </w:r>
      <w:r w:rsidRPr="00CA4C14">
        <w:rPr>
          <w:lang w:val="ru-RU"/>
        </w:rPr>
        <w:fldChar w:fldCharType="end"/>
      </w:r>
    </w:p>
    <w:p w14:paraId="10029897" w14:textId="6F9C4D38"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16</w:t>
      </w:r>
      <w:r w:rsidRPr="00CA4C14">
        <w:rPr>
          <w:lang w:val="ru-RU"/>
        </w:rPr>
        <w:tab/>
        <w:t>Займы и прочая финансовая задолженность</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_Toc168578476 \h </w:instrText>
      </w:r>
      <w:r w:rsidRPr="00CA4C14">
        <w:rPr>
          <w:lang w:val="ru-RU"/>
        </w:rPr>
      </w:r>
      <w:r w:rsidRPr="00CA4C14">
        <w:rPr>
          <w:lang w:val="ru-RU"/>
        </w:rPr>
        <w:fldChar w:fldCharType="separate"/>
      </w:r>
      <w:r w:rsidR="002E577C" w:rsidRPr="00CA4C14">
        <w:rPr>
          <w:lang w:val="ru-RU"/>
        </w:rPr>
        <w:t>61</w:t>
      </w:r>
      <w:r w:rsidRPr="00CA4C14">
        <w:rPr>
          <w:lang w:val="ru-RU"/>
        </w:rPr>
        <w:fldChar w:fldCharType="end"/>
      </w:r>
    </w:p>
    <w:p w14:paraId="4EA493AC" w14:textId="16A728C0"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17</w:t>
      </w:r>
      <w:r w:rsidRPr="00CA4C14">
        <w:rPr>
          <w:lang w:val="ru-RU"/>
        </w:rPr>
        <w:tab/>
        <w:t>Вознаграждение сотрудников</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_Toc168578477 \h </w:instrText>
      </w:r>
      <w:r w:rsidRPr="00CA4C14">
        <w:rPr>
          <w:lang w:val="ru-RU"/>
        </w:rPr>
      </w:r>
      <w:r w:rsidRPr="00CA4C14">
        <w:rPr>
          <w:lang w:val="ru-RU"/>
        </w:rPr>
        <w:fldChar w:fldCharType="separate"/>
      </w:r>
      <w:r w:rsidR="002E577C" w:rsidRPr="00CA4C14">
        <w:rPr>
          <w:lang w:val="ru-RU"/>
        </w:rPr>
        <w:t>62</w:t>
      </w:r>
      <w:r w:rsidRPr="00CA4C14">
        <w:rPr>
          <w:lang w:val="ru-RU"/>
        </w:rPr>
        <w:fldChar w:fldCharType="end"/>
      </w:r>
    </w:p>
    <w:p w14:paraId="1AC21DE1" w14:textId="2B477B38"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17.1</w:t>
      </w:r>
      <w:r w:rsidRPr="00CA4C14">
        <w:rPr>
          <w:lang w:val="ru-RU"/>
        </w:rPr>
        <w:tab/>
        <w:t>Медицинское страхование после выхода в отставку</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_Toc168578478 \h </w:instrText>
      </w:r>
      <w:r w:rsidRPr="00CA4C14">
        <w:rPr>
          <w:lang w:val="ru-RU"/>
        </w:rPr>
      </w:r>
      <w:r w:rsidRPr="00CA4C14">
        <w:rPr>
          <w:lang w:val="ru-RU"/>
        </w:rPr>
        <w:fldChar w:fldCharType="separate"/>
      </w:r>
      <w:r w:rsidR="002E577C" w:rsidRPr="00CA4C14">
        <w:rPr>
          <w:lang w:val="ru-RU"/>
        </w:rPr>
        <w:t>62</w:t>
      </w:r>
      <w:r w:rsidRPr="00CA4C14">
        <w:rPr>
          <w:lang w:val="ru-RU"/>
        </w:rPr>
        <w:fldChar w:fldCharType="end"/>
      </w:r>
    </w:p>
    <w:p w14:paraId="240105E6" w14:textId="1A7E88D5"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17.2</w:t>
      </w:r>
      <w:r w:rsidRPr="00CA4C14">
        <w:rPr>
          <w:lang w:val="ru-RU"/>
        </w:rPr>
        <w:tab/>
        <w:t>Субсидия на репатриацию</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_Toc168578479 \h </w:instrText>
      </w:r>
      <w:r w:rsidRPr="00CA4C14">
        <w:rPr>
          <w:lang w:val="ru-RU"/>
        </w:rPr>
      </w:r>
      <w:r w:rsidRPr="00CA4C14">
        <w:rPr>
          <w:lang w:val="ru-RU"/>
        </w:rPr>
        <w:fldChar w:fldCharType="separate"/>
      </w:r>
      <w:r w:rsidR="002E577C" w:rsidRPr="00CA4C14">
        <w:rPr>
          <w:lang w:val="ru-RU"/>
        </w:rPr>
        <w:t>66</w:t>
      </w:r>
      <w:r w:rsidRPr="00CA4C14">
        <w:rPr>
          <w:lang w:val="ru-RU"/>
        </w:rPr>
        <w:fldChar w:fldCharType="end"/>
      </w:r>
    </w:p>
    <w:p w14:paraId="564C1521" w14:textId="4C04B54C" w:rsidR="003D7646" w:rsidRPr="00CA4C14" w:rsidRDefault="003D7646" w:rsidP="00030AF1">
      <w:pPr>
        <w:pStyle w:val="TOC1"/>
        <w:tabs>
          <w:tab w:val="clear" w:pos="7938"/>
          <w:tab w:val="clear" w:pos="8789"/>
          <w:tab w:val="left" w:leader="dot" w:pos="8222"/>
          <w:tab w:val="right" w:pos="9071"/>
        </w:tabs>
        <w:spacing w:before="80"/>
        <w:ind w:left="2410" w:right="851" w:hanging="709"/>
        <w:rPr>
          <w:lang w:val="ru-RU"/>
        </w:rPr>
      </w:pPr>
      <w:r w:rsidRPr="00CA4C14">
        <w:rPr>
          <w:lang w:val="ru-RU"/>
        </w:rPr>
        <w:t>17.3</w:t>
      </w:r>
      <w:r w:rsidRPr="00CA4C14">
        <w:rPr>
          <w:lang w:val="ru-RU"/>
        </w:rPr>
        <w:tab/>
        <w:t>Пособия сотрудникам в рамках пенсионной программы для</w:t>
      </w:r>
      <w:r w:rsidR="00030AF1" w:rsidRPr="00CA4C14">
        <w:rPr>
          <w:lang w:val="ru-RU"/>
        </w:rPr>
        <w:t> </w:t>
      </w:r>
      <w:r w:rsidRPr="00CA4C14">
        <w:rPr>
          <w:lang w:val="ru-RU"/>
        </w:rPr>
        <w:t>персонала Организации Объединенных Наций</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_Toc168578480 \h </w:instrText>
      </w:r>
      <w:r w:rsidRPr="00CA4C14">
        <w:rPr>
          <w:lang w:val="ru-RU"/>
        </w:rPr>
      </w:r>
      <w:r w:rsidRPr="00CA4C14">
        <w:rPr>
          <w:lang w:val="ru-RU"/>
        </w:rPr>
        <w:fldChar w:fldCharType="separate"/>
      </w:r>
      <w:r w:rsidR="002E577C" w:rsidRPr="00CA4C14">
        <w:rPr>
          <w:lang w:val="ru-RU"/>
        </w:rPr>
        <w:t>66</w:t>
      </w:r>
      <w:r w:rsidRPr="00CA4C14">
        <w:rPr>
          <w:lang w:val="ru-RU"/>
        </w:rPr>
        <w:fldChar w:fldCharType="end"/>
      </w:r>
    </w:p>
    <w:p w14:paraId="3FD38541" w14:textId="3F1138AE"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18</w:t>
      </w:r>
      <w:r w:rsidRPr="00CA4C14">
        <w:rPr>
          <w:lang w:val="ru-RU"/>
        </w:rPr>
        <w:tab/>
        <w:t>Резервные фонды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_Toc168578481 \h </w:instrText>
      </w:r>
      <w:r w:rsidRPr="00CA4C14">
        <w:rPr>
          <w:lang w:val="ru-RU"/>
        </w:rPr>
      </w:r>
      <w:r w:rsidRPr="00CA4C14">
        <w:rPr>
          <w:lang w:val="ru-RU"/>
        </w:rPr>
        <w:fldChar w:fldCharType="separate"/>
      </w:r>
      <w:r w:rsidR="002E577C" w:rsidRPr="00CA4C14">
        <w:rPr>
          <w:lang w:val="ru-RU"/>
        </w:rPr>
        <w:t>68</w:t>
      </w:r>
      <w:r w:rsidRPr="00CA4C14">
        <w:rPr>
          <w:lang w:val="ru-RU"/>
        </w:rPr>
        <w:fldChar w:fldCharType="end"/>
      </w:r>
    </w:p>
    <w:p w14:paraId="30ABE887" w14:textId="3FC571D9"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19</w:t>
      </w:r>
      <w:r w:rsidRPr="00CA4C14">
        <w:rPr>
          <w:lang w:val="ru-RU"/>
        </w:rPr>
        <w:tab/>
        <w:t>Прочая задолженность</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_Toc168578482 \h </w:instrText>
      </w:r>
      <w:r w:rsidRPr="00CA4C14">
        <w:rPr>
          <w:lang w:val="ru-RU"/>
        </w:rPr>
      </w:r>
      <w:r w:rsidRPr="00CA4C14">
        <w:rPr>
          <w:lang w:val="ru-RU"/>
        </w:rPr>
        <w:fldChar w:fldCharType="separate"/>
      </w:r>
      <w:r w:rsidR="002E577C" w:rsidRPr="00CA4C14">
        <w:rPr>
          <w:lang w:val="ru-RU"/>
        </w:rPr>
        <w:t>69</w:t>
      </w:r>
      <w:r w:rsidRPr="00CA4C14">
        <w:rPr>
          <w:lang w:val="ru-RU"/>
        </w:rPr>
        <w:fldChar w:fldCharType="end"/>
      </w:r>
    </w:p>
    <w:p w14:paraId="4E045BAF" w14:textId="59DAD03F"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20</w:t>
      </w:r>
      <w:r w:rsidRPr="00CA4C14">
        <w:rPr>
          <w:lang w:val="ru-RU"/>
        </w:rPr>
        <w:tab/>
        <w:t>Внебюджетные средства</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_Toc168578483 \h </w:instrText>
      </w:r>
      <w:r w:rsidRPr="00CA4C14">
        <w:rPr>
          <w:lang w:val="ru-RU"/>
        </w:rPr>
      </w:r>
      <w:r w:rsidRPr="00CA4C14">
        <w:rPr>
          <w:lang w:val="ru-RU"/>
        </w:rPr>
        <w:fldChar w:fldCharType="separate"/>
      </w:r>
      <w:r w:rsidR="002E577C" w:rsidRPr="00CA4C14">
        <w:rPr>
          <w:lang w:val="ru-RU"/>
        </w:rPr>
        <w:t>69</w:t>
      </w:r>
      <w:r w:rsidRPr="00CA4C14">
        <w:rPr>
          <w:lang w:val="ru-RU"/>
        </w:rPr>
        <w:fldChar w:fldCharType="end"/>
      </w:r>
    </w:p>
    <w:p w14:paraId="183E1DD8" w14:textId="089DEEA0"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21</w:t>
      </w:r>
      <w:r w:rsidRPr="00CA4C14">
        <w:rPr>
          <w:lang w:val="ru-RU"/>
        </w:rPr>
        <w:tab/>
        <w:t>Доходы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_Toc168578484 \h </w:instrText>
      </w:r>
      <w:r w:rsidRPr="00CA4C14">
        <w:rPr>
          <w:lang w:val="ru-RU"/>
        </w:rPr>
      </w:r>
      <w:r w:rsidRPr="00CA4C14">
        <w:rPr>
          <w:lang w:val="ru-RU"/>
        </w:rPr>
        <w:fldChar w:fldCharType="separate"/>
      </w:r>
      <w:r w:rsidR="002E577C" w:rsidRPr="00CA4C14">
        <w:rPr>
          <w:lang w:val="ru-RU"/>
        </w:rPr>
        <w:t>70</w:t>
      </w:r>
      <w:r w:rsidRPr="00CA4C14">
        <w:rPr>
          <w:lang w:val="ru-RU"/>
        </w:rPr>
        <w:fldChar w:fldCharType="end"/>
      </w:r>
    </w:p>
    <w:p w14:paraId="220BB612" w14:textId="5A643F63"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22</w:t>
      </w:r>
      <w:r w:rsidRPr="00CA4C14">
        <w:rPr>
          <w:lang w:val="ru-RU"/>
        </w:rPr>
        <w:tab/>
        <w:t>Расходы</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_Toc168578485 \h </w:instrText>
      </w:r>
      <w:r w:rsidRPr="00CA4C14">
        <w:rPr>
          <w:lang w:val="ru-RU"/>
        </w:rPr>
      </w:r>
      <w:r w:rsidRPr="00CA4C14">
        <w:rPr>
          <w:lang w:val="ru-RU"/>
        </w:rPr>
        <w:fldChar w:fldCharType="separate"/>
      </w:r>
      <w:r w:rsidR="002E577C" w:rsidRPr="00CA4C14">
        <w:rPr>
          <w:lang w:val="ru-RU"/>
        </w:rPr>
        <w:t>71</w:t>
      </w:r>
      <w:r w:rsidRPr="00CA4C14">
        <w:rPr>
          <w:lang w:val="ru-RU"/>
        </w:rPr>
        <w:fldChar w:fldCharType="end"/>
      </w:r>
    </w:p>
    <w:p w14:paraId="365498C5" w14:textId="10830B70" w:rsidR="003D7646" w:rsidRPr="00CA4C14" w:rsidRDefault="003D7646" w:rsidP="00030AF1">
      <w:pPr>
        <w:pStyle w:val="TOC1"/>
        <w:tabs>
          <w:tab w:val="clear" w:pos="7938"/>
          <w:tab w:val="clear" w:pos="8789"/>
          <w:tab w:val="left" w:pos="1701"/>
          <w:tab w:val="left" w:leader="dot" w:pos="8222"/>
          <w:tab w:val="right" w:pos="9071"/>
        </w:tabs>
        <w:spacing w:before="120"/>
        <w:ind w:left="1701" w:right="851" w:hanging="1701"/>
        <w:rPr>
          <w:lang w:val="ru-RU"/>
        </w:rPr>
      </w:pPr>
      <w:r w:rsidRPr="00CA4C14">
        <w:rPr>
          <w:lang w:val="ru-RU"/>
        </w:rPr>
        <w:t>Примечание 23</w:t>
      </w:r>
      <w:r w:rsidRPr="00CA4C14">
        <w:rPr>
          <w:lang w:val="ru-RU"/>
        </w:rPr>
        <w:tab/>
        <w:t>Информация по сегментам – Отчет о результатах финансовой деятельности за 2023 год</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_Toc168578486 \h </w:instrText>
      </w:r>
      <w:r w:rsidRPr="00CA4C14">
        <w:rPr>
          <w:lang w:val="ru-RU"/>
        </w:rPr>
      </w:r>
      <w:r w:rsidRPr="00CA4C14">
        <w:rPr>
          <w:lang w:val="ru-RU"/>
        </w:rPr>
        <w:fldChar w:fldCharType="separate"/>
      </w:r>
      <w:r w:rsidR="002E577C" w:rsidRPr="00CA4C14">
        <w:rPr>
          <w:lang w:val="ru-RU"/>
        </w:rPr>
        <w:t>74</w:t>
      </w:r>
      <w:r w:rsidRPr="00CA4C14">
        <w:rPr>
          <w:lang w:val="ru-RU"/>
        </w:rPr>
        <w:fldChar w:fldCharType="end"/>
      </w:r>
    </w:p>
    <w:p w14:paraId="66759B4D" w14:textId="3F8D136E" w:rsidR="003D7646" w:rsidRPr="00CA4C14" w:rsidRDefault="003D7646" w:rsidP="00030AF1">
      <w:pPr>
        <w:pStyle w:val="TOC1"/>
        <w:tabs>
          <w:tab w:val="clear" w:pos="7938"/>
          <w:tab w:val="clear" w:pos="8789"/>
          <w:tab w:val="left" w:pos="1701"/>
          <w:tab w:val="left" w:leader="dot" w:pos="8222"/>
          <w:tab w:val="right" w:pos="9071"/>
        </w:tabs>
        <w:spacing w:before="120"/>
        <w:ind w:left="1701" w:right="851" w:hanging="1701"/>
        <w:rPr>
          <w:lang w:val="ru-RU"/>
        </w:rPr>
      </w:pPr>
      <w:r w:rsidRPr="00CA4C14">
        <w:rPr>
          <w:lang w:val="ru-RU"/>
        </w:rPr>
        <w:t>Примечание 24</w:t>
      </w:r>
      <w:r w:rsidRPr="00CA4C14">
        <w:rPr>
          <w:lang w:val="ru-RU"/>
        </w:rPr>
        <w:tab/>
        <w:t>Сопоставление предусмотренных в бюджете сумм с фактическими суммами</w:t>
      </w:r>
      <w:r w:rsidRPr="00CA4C14">
        <w:rPr>
          <w:lang w:val="ru-RU"/>
        </w:rPr>
        <w:tab/>
      </w:r>
      <w:r w:rsidR="002E577C" w:rsidRPr="00CA4C14">
        <w:rPr>
          <w:lang w:val="ru-RU"/>
        </w:rPr>
        <w:tab/>
      </w:r>
      <w:r w:rsidRPr="00CA4C14">
        <w:rPr>
          <w:lang w:val="ru-RU"/>
        </w:rPr>
        <w:fldChar w:fldCharType="begin"/>
      </w:r>
      <w:r w:rsidRPr="00CA4C14">
        <w:rPr>
          <w:lang w:val="ru-RU"/>
        </w:rPr>
        <w:instrText xml:space="preserve"> PAGEREF _Toc168578487 \h </w:instrText>
      </w:r>
      <w:r w:rsidRPr="00CA4C14">
        <w:rPr>
          <w:lang w:val="ru-RU"/>
        </w:rPr>
      </w:r>
      <w:r w:rsidRPr="00CA4C14">
        <w:rPr>
          <w:lang w:val="ru-RU"/>
        </w:rPr>
        <w:fldChar w:fldCharType="separate"/>
      </w:r>
      <w:r w:rsidR="002E577C" w:rsidRPr="00CA4C14">
        <w:rPr>
          <w:lang w:val="ru-RU"/>
        </w:rPr>
        <w:t>75</w:t>
      </w:r>
      <w:r w:rsidRPr="00CA4C14">
        <w:rPr>
          <w:lang w:val="ru-RU"/>
        </w:rPr>
        <w:fldChar w:fldCharType="end"/>
      </w:r>
    </w:p>
    <w:p w14:paraId="48D3BBBA" w14:textId="0A7E47AA"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25</w:t>
      </w:r>
      <w:r w:rsidRPr="00CA4C14">
        <w:rPr>
          <w:lang w:val="ru-RU"/>
        </w:rPr>
        <w:tab/>
        <w:t>Информация, касающаяся связанных сторон</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_Toc168578488 \h </w:instrText>
      </w:r>
      <w:r w:rsidRPr="00CA4C14">
        <w:rPr>
          <w:lang w:val="ru-RU"/>
        </w:rPr>
      </w:r>
      <w:r w:rsidRPr="00CA4C14">
        <w:rPr>
          <w:lang w:val="ru-RU"/>
        </w:rPr>
        <w:fldChar w:fldCharType="separate"/>
      </w:r>
      <w:r w:rsidR="002E577C" w:rsidRPr="00CA4C14">
        <w:rPr>
          <w:lang w:val="ru-RU"/>
        </w:rPr>
        <w:t>77</w:t>
      </w:r>
      <w:r w:rsidRPr="00CA4C14">
        <w:rPr>
          <w:lang w:val="ru-RU"/>
        </w:rPr>
        <w:fldChar w:fldCharType="end"/>
      </w:r>
    </w:p>
    <w:p w14:paraId="7DD5B7D7" w14:textId="12F3AA51"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26</w:t>
      </w:r>
      <w:r w:rsidRPr="00CA4C14">
        <w:rPr>
          <w:lang w:val="ru-RU"/>
        </w:rPr>
        <w:tab/>
        <w:t>Будущие обязательства</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_Toc168578489 \h </w:instrText>
      </w:r>
      <w:r w:rsidRPr="00CA4C14">
        <w:rPr>
          <w:lang w:val="ru-RU"/>
        </w:rPr>
      </w:r>
      <w:r w:rsidRPr="00CA4C14">
        <w:rPr>
          <w:lang w:val="ru-RU"/>
        </w:rPr>
        <w:fldChar w:fldCharType="separate"/>
      </w:r>
      <w:r w:rsidR="002E577C" w:rsidRPr="00CA4C14">
        <w:rPr>
          <w:lang w:val="ru-RU"/>
        </w:rPr>
        <w:t>78</w:t>
      </w:r>
      <w:r w:rsidRPr="00CA4C14">
        <w:rPr>
          <w:lang w:val="ru-RU"/>
        </w:rPr>
        <w:fldChar w:fldCharType="end"/>
      </w:r>
    </w:p>
    <w:p w14:paraId="0AFABB2E" w14:textId="40D11050"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27</w:t>
      </w:r>
      <w:r w:rsidRPr="00CA4C14">
        <w:rPr>
          <w:lang w:val="ru-RU"/>
        </w:rPr>
        <w:tab/>
        <w:t>Оценка обесценения проекта по строительству нового здания МСЭ</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_Toc168578490 \h </w:instrText>
      </w:r>
      <w:r w:rsidRPr="00CA4C14">
        <w:rPr>
          <w:lang w:val="ru-RU"/>
        </w:rPr>
      </w:r>
      <w:r w:rsidRPr="00CA4C14">
        <w:rPr>
          <w:lang w:val="ru-RU"/>
        </w:rPr>
        <w:fldChar w:fldCharType="separate"/>
      </w:r>
      <w:r w:rsidR="002E577C" w:rsidRPr="00CA4C14">
        <w:rPr>
          <w:lang w:val="ru-RU"/>
        </w:rPr>
        <w:t>78</w:t>
      </w:r>
      <w:r w:rsidRPr="00CA4C14">
        <w:rPr>
          <w:lang w:val="ru-RU"/>
        </w:rPr>
        <w:fldChar w:fldCharType="end"/>
      </w:r>
    </w:p>
    <w:p w14:paraId="4FEB81CB" w14:textId="4DEF149C" w:rsidR="003D7646" w:rsidRPr="00CA4C14" w:rsidRDefault="003D7646" w:rsidP="00030AF1">
      <w:pPr>
        <w:pStyle w:val="TOC1"/>
        <w:tabs>
          <w:tab w:val="clear" w:pos="7938"/>
          <w:tab w:val="clear" w:pos="8789"/>
          <w:tab w:val="left" w:pos="1701"/>
          <w:tab w:val="left" w:leader="dot" w:pos="8222"/>
          <w:tab w:val="right" w:pos="9071"/>
        </w:tabs>
        <w:spacing w:before="120"/>
        <w:ind w:left="709" w:right="851" w:hanging="709"/>
        <w:rPr>
          <w:lang w:val="ru-RU"/>
        </w:rPr>
      </w:pPr>
      <w:r w:rsidRPr="00CA4C14">
        <w:rPr>
          <w:lang w:val="ru-RU"/>
        </w:rPr>
        <w:t>Примечание 28</w:t>
      </w:r>
      <w:r w:rsidRPr="00CA4C14">
        <w:rPr>
          <w:lang w:val="ru-RU"/>
        </w:rPr>
        <w:tab/>
        <w:t>Мероприятия, следующие за датой представления отчетности</w:t>
      </w:r>
      <w:r w:rsidRPr="00CA4C14">
        <w:rPr>
          <w:lang w:val="ru-RU"/>
        </w:rPr>
        <w:tab/>
      </w:r>
      <w:r w:rsidR="00030AF1" w:rsidRPr="00CA4C14">
        <w:rPr>
          <w:lang w:val="ru-RU"/>
        </w:rPr>
        <w:tab/>
      </w:r>
      <w:r w:rsidRPr="00CA4C14">
        <w:rPr>
          <w:lang w:val="ru-RU"/>
        </w:rPr>
        <w:fldChar w:fldCharType="begin"/>
      </w:r>
      <w:r w:rsidRPr="00CA4C14">
        <w:rPr>
          <w:lang w:val="ru-RU"/>
        </w:rPr>
        <w:instrText xml:space="preserve"> PAGEREF _Toc168578491 \h </w:instrText>
      </w:r>
      <w:r w:rsidRPr="00CA4C14">
        <w:rPr>
          <w:lang w:val="ru-RU"/>
        </w:rPr>
      </w:r>
      <w:r w:rsidRPr="00CA4C14">
        <w:rPr>
          <w:lang w:val="ru-RU"/>
        </w:rPr>
        <w:fldChar w:fldCharType="separate"/>
      </w:r>
      <w:r w:rsidR="002E577C" w:rsidRPr="00CA4C14">
        <w:rPr>
          <w:lang w:val="ru-RU"/>
        </w:rPr>
        <w:t>79</w:t>
      </w:r>
      <w:r w:rsidRPr="00CA4C14">
        <w:rPr>
          <w:lang w:val="ru-RU"/>
        </w:rPr>
        <w:fldChar w:fldCharType="end"/>
      </w:r>
    </w:p>
    <w:p w14:paraId="54EF2053" w14:textId="1CE3162F" w:rsidR="00740F85" w:rsidRPr="00CA4C14" w:rsidRDefault="003D7646" w:rsidP="00030AF1">
      <w:pPr>
        <w:pStyle w:val="TOC1"/>
        <w:tabs>
          <w:tab w:val="clear" w:pos="7938"/>
          <w:tab w:val="clear" w:pos="8789"/>
          <w:tab w:val="left" w:pos="709"/>
          <w:tab w:val="left" w:leader="dot" w:pos="8222"/>
          <w:tab w:val="right" w:pos="9071"/>
        </w:tabs>
        <w:spacing w:before="120"/>
        <w:ind w:left="709" w:right="851" w:hanging="709"/>
        <w:rPr>
          <w:lang w:val="ru-RU"/>
        </w:rPr>
      </w:pPr>
      <w:r w:rsidRPr="00CA4C14">
        <w:rPr>
          <w:lang w:val="ru-RU"/>
        </w:rPr>
        <w:fldChar w:fldCharType="end"/>
      </w:r>
      <w:r w:rsidR="00740F85" w:rsidRPr="00CA4C14">
        <w:rPr>
          <w:lang w:val="ru-RU"/>
        </w:rPr>
        <w:br w:type="page"/>
      </w:r>
    </w:p>
    <w:p w14:paraId="55CC9421" w14:textId="7A5012A3" w:rsidR="008F627E" w:rsidRPr="00CA4C14" w:rsidRDefault="00E24E75" w:rsidP="007B38D5">
      <w:pPr>
        <w:pStyle w:val="Heading1"/>
        <w:rPr>
          <w:lang w:val="ru-RU"/>
        </w:rPr>
      </w:pPr>
      <w:bookmarkStart w:id="7" w:name="_Toc693482383"/>
      <w:bookmarkStart w:id="8" w:name="_Toc164845528"/>
      <w:bookmarkStart w:id="9" w:name="_Toc168578434"/>
      <w:r w:rsidRPr="00CA4C14">
        <w:rPr>
          <w:lang w:val="ru-RU"/>
        </w:rPr>
        <w:lastRenderedPageBreak/>
        <w:t xml:space="preserve">Предисловие к финансовой отчетности за </w:t>
      </w:r>
      <w:r w:rsidR="008F627E" w:rsidRPr="00CA4C14">
        <w:rPr>
          <w:lang w:val="ru-RU"/>
        </w:rPr>
        <w:t>2023</w:t>
      </w:r>
      <w:bookmarkEnd w:id="7"/>
      <w:bookmarkEnd w:id="8"/>
      <w:r w:rsidRPr="00CA4C14">
        <w:rPr>
          <w:lang w:val="ru-RU"/>
        </w:rPr>
        <w:t xml:space="preserve"> год</w:t>
      </w:r>
      <w:bookmarkEnd w:id="9"/>
    </w:p>
    <w:p w14:paraId="6BCCC9FE" w14:textId="775E9A2E" w:rsidR="008F627E" w:rsidRPr="00CA4C14" w:rsidRDefault="007034BC" w:rsidP="007B38D5">
      <w:pPr>
        <w:pStyle w:val="Normalaftertitle"/>
        <w:rPr>
          <w:lang w:val="ru-RU"/>
        </w:rPr>
      </w:pPr>
      <w:r w:rsidRPr="00CA4C14">
        <w:rPr>
          <w:lang w:val="ru-RU"/>
        </w:rPr>
        <w:t>В 2023</w:t>
      </w:r>
      <w:r w:rsidR="009053A9" w:rsidRPr="00CA4C14">
        <w:rPr>
          <w:lang w:val="ru-RU"/>
        </w:rPr>
        <w:t> год</w:t>
      </w:r>
      <w:r w:rsidRPr="00CA4C14">
        <w:rPr>
          <w:lang w:val="ru-RU"/>
        </w:rPr>
        <w:t>у цифровые технологии вышли на передний план в глобальной повестке дня</w:t>
      </w:r>
      <w:r w:rsidR="00E870A5" w:rsidRPr="00CA4C14">
        <w:rPr>
          <w:lang w:val="ru-RU"/>
        </w:rPr>
        <w:t>.</w:t>
      </w:r>
    </w:p>
    <w:p w14:paraId="2A6DFB1A" w14:textId="21F8CF55" w:rsidR="008F627E" w:rsidRPr="00CA4C14" w:rsidRDefault="00C95673" w:rsidP="008F627E">
      <w:pPr>
        <w:rPr>
          <w:rFonts w:cstheme="minorBidi"/>
          <w:lang w:val="ru-RU"/>
        </w:rPr>
      </w:pPr>
      <w:r w:rsidRPr="00CA4C14">
        <w:rPr>
          <w:rFonts w:cstheme="minorBidi"/>
          <w:lang w:val="ru-RU"/>
        </w:rPr>
        <w:t>От саммитов G7 и G20 до третьей Конференции ООН по наименее развитым странам (НРС-III) и недавно прошедшей Всемирной конференции радиосвязи (ВКР-23)</w:t>
      </w:r>
      <w:r w:rsidR="00BE1CA8" w:rsidRPr="00CA4C14">
        <w:rPr>
          <w:rFonts w:cstheme="minorBidi"/>
          <w:lang w:val="ru-RU"/>
        </w:rPr>
        <w:t> </w:t>
      </w:r>
      <w:r w:rsidR="00057A81" w:rsidRPr="00CA4C14">
        <w:rPr>
          <w:rFonts w:cstheme="minorBidi"/>
          <w:lang w:val="ru-RU"/>
        </w:rPr>
        <w:t xml:space="preserve">− </w:t>
      </w:r>
      <w:r w:rsidRPr="00CA4C14">
        <w:rPr>
          <w:rFonts w:cstheme="minorBidi"/>
          <w:lang w:val="ru-RU"/>
        </w:rPr>
        <w:t>цифровые технологии были в центре внимания.</w:t>
      </w:r>
    </w:p>
    <w:p w14:paraId="5846E897" w14:textId="522285BD" w:rsidR="008F627E" w:rsidRPr="00CA4C14" w:rsidRDefault="00C95673" w:rsidP="008F627E">
      <w:pPr>
        <w:rPr>
          <w:rFonts w:cstheme="minorBidi"/>
          <w:lang w:val="ru-RU"/>
        </w:rPr>
      </w:pPr>
      <w:r w:rsidRPr="00CA4C14">
        <w:rPr>
          <w:rFonts w:cstheme="minorBidi"/>
          <w:lang w:val="ru-RU"/>
        </w:rPr>
        <w:t>Никогда прежде эти технологии не обладали столь мощным потенциалом для решения самых острых мировых проблем и ускорения прогресса в достижении Целей в области устойчивого развития (ЦУР).</w:t>
      </w:r>
    </w:p>
    <w:p w14:paraId="3355C205" w14:textId="256CCD02" w:rsidR="008F627E" w:rsidRPr="00CA4C14" w:rsidRDefault="002F4D48" w:rsidP="008F627E">
      <w:pPr>
        <w:rPr>
          <w:rFonts w:cstheme="minorBidi"/>
          <w:lang w:val="ru-RU"/>
        </w:rPr>
      </w:pPr>
      <w:r w:rsidRPr="00CA4C14">
        <w:rPr>
          <w:rFonts w:cstheme="minorBidi"/>
          <w:lang w:val="ru-RU"/>
        </w:rPr>
        <w:t>Международный союз электросвязи (МСЭ),</w:t>
      </w:r>
      <w:r w:rsidR="005B0E8E" w:rsidRPr="00CA4C14">
        <w:rPr>
          <w:rFonts w:cstheme="minorBidi"/>
          <w:lang w:val="ru-RU"/>
        </w:rPr>
        <w:t xml:space="preserve"> будучи</w:t>
      </w:r>
      <w:r w:rsidRPr="00CA4C14">
        <w:rPr>
          <w:rFonts w:cstheme="minorBidi"/>
          <w:lang w:val="ru-RU"/>
        </w:rPr>
        <w:t xml:space="preserve"> учреждением ООН в области цифровых технологий, </w:t>
      </w:r>
      <w:r w:rsidR="005B0E8E" w:rsidRPr="00CA4C14">
        <w:rPr>
          <w:rFonts w:cstheme="minorBidi"/>
          <w:lang w:val="ru-RU"/>
        </w:rPr>
        <w:t>ответил на этот вызов</w:t>
      </w:r>
      <w:r w:rsidRPr="00CA4C14">
        <w:rPr>
          <w:rFonts w:cstheme="minorBidi"/>
          <w:lang w:val="ru-RU"/>
        </w:rPr>
        <w:t xml:space="preserve">. Движущей силой МСЭ является Стратегический план Союза на </w:t>
      </w:r>
      <w:proofErr w:type="gramStart"/>
      <w:r w:rsidRPr="00CA4C14">
        <w:rPr>
          <w:rFonts w:cstheme="minorBidi"/>
          <w:lang w:val="ru-RU"/>
        </w:rPr>
        <w:t>2024</w:t>
      </w:r>
      <w:r w:rsidR="00057A81" w:rsidRPr="00CA4C14">
        <w:rPr>
          <w:rFonts w:cstheme="minorBidi"/>
          <w:lang w:val="ru-RU"/>
        </w:rPr>
        <w:t>−</w:t>
      </w:r>
      <w:r w:rsidRPr="00CA4C14">
        <w:rPr>
          <w:rFonts w:cstheme="minorBidi"/>
          <w:lang w:val="ru-RU"/>
        </w:rPr>
        <w:t>2027</w:t>
      </w:r>
      <w:proofErr w:type="gramEnd"/>
      <w:r w:rsidR="005B0E8E" w:rsidRPr="00CA4C14">
        <w:rPr>
          <w:rFonts w:cstheme="minorBidi"/>
          <w:lang w:val="ru-RU"/>
        </w:rPr>
        <w:t> </w:t>
      </w:r>
      <w:r w:rsidRPr="00CA4C14">
        <w:rPr>
          <w:rFonts w:cstheme="minorBidi"/>
          <w:lang w:val="ru-RU"/>
        </w:rPr>
        <w:t>годы, принятый на Полномочной конференции МСЭ 2022</w:t>
      </w:r>
      <w:r w:rsidR="005B0E8E" w:rsidRPr="00CA4C14">
        <w:rPr>
          <w:rFonts w:cstheme="minorBidi"/>
          <w:lang w:val="ru-RU"/>
        </w:rPr>
        <w:t> </w:t>
      </w:r>
      <w:r w:rsidRPr="00CA4C14">
        <w:rPr>
          <w:rFonts w:cstheme="minorBidi"/>
          <w:lang w:val="ru-RU"/>
        </w:rPr>
        <w:t xml:space="preserve">года. </w:t>
      </w:r>
      <w:r w:rsidR="005B0E8E" w:rsidRPr="00CA4C14">
        <w:rPr>
          <w:rFonts w:cstheme="minorBidi"/>
          <w:lang w:val="ru-RU"/>
        </w:rPr>
        <w:t>В его основе лежат универсальная возможность установления соединений и устойчивая цифровая трансформация.</w:t>
      </w:r>
    </w:p>
    <w:p w14:paraId="7C01197F" w14:textId="5D0C8E51" w:rsidR="008F627E" w:rsidRPr="00CA4C14" w:rsidRDefault="006973B9" w:rsidP="008F627E">
      <w:pPr>
        <w:rPr>
          <w:rFonts w:cstheme="minorBidi"/>
          <w:lang w:val="ru-RU"/>
        </w:rPr>
      </w:pPr>
      <w:r w:rsidRPr="00CA4C14">
        <w:rPr>
          <w:rFonts w:cstheme="minorBidi"/>
          <w:lang w:val="ru-RU"/>
        </w:rPr>
        <w:t xml:space="preserve">Ниже представлены основные направления на </w:t>
      </w:r>
      <w:r w:rsidR="008F627E" w:rsidRPr="00CA4C14">
        <w:rPr>
          <w:rFonts w:cstheme="minorBidi"/>
          <w:lang w:val="ru-RU"/>
        </w:rPr>
        <w:t>2023</w:t>
      </w:r>
      <w:r w:rsidR="009053A9" w:rsidRPr="00CA4C14">
        <w:rPr>
          <w:rFonts w:cstheme="minorBidi"/>
          <w:lang w:val="ru-RU"/>
        </w:rPr>
        <w:t> год</w:t>
      </w:r>
      <w:r w:rsidRPr="00CA4C14">
        <w:rPr>
          <w:rFonts w:cstheme="minorBidi"/>
          <w:lang w:val="ru-RU"/>
        </w:rPr>
        <w:t>.</w:t>
      </w:r>
    </w:p>
    <w:p w14:paraId="513C1B9D" w14:textId="5EB06052" w:rsidR="008F627E" w:rsidRPr="00CA4C14" w:rsidRDefault="008F627E" w:rsidP="008F627E">
      <w:pPr>
        <w:rPr>
          <w:lang w:val="ru-RU"/>
        </w:rPr>
      </w:pPr>
      <w:r w:rsidRPr="00CA4C14">
        <w:rPr>
          <w:b/>
          <w:lang w:val="ru-RU"/>
        </w:rPr>
        <w:t>1)</w:t>
      </w:r>
      <w:r w:rsidR="00057A81" w:rsidRPr="00CA4C14">
        <w:rPr>
          <w:b/>
          <w:lang w:val="ru-RU"/>
        </w:rPr>
        <w:tab/>
      </w:r>
      <w:r w:rsidR="006973B9" w:rsidRPr="00CA4C14">
        <w:rPr>
          <w:b/>
          <w:bCs/>
          <w:lang w:val="ru-RU"/>
        </w:rPr>
        <w:t>Согласование охвата цифровыми технологиями с темпами цифровой трансформации</w:t>
      </w:r>
      <w:r w:rsidR="006973B9" w:rsidRPr="00CA4C14">
        <w:rPr>
          <w:lang w:val="ru-RU"/>
        </w:rPr>
        <w:t xml:space="preserve">. Стремительный прогресс и инновации в области генеративного искусственного интеллекта (ИИ), компьютеризации и в других областях значительно опережают прогресс, достигнутый в преодолении цифрового разрыва. При том что уровень использования интернета вырос во всем мире и в каждом регионе, 2,6 миллиарда человек </w:t>
      </w:r>
      <w:r w:rsidR="001B3989" w:rsidRPr="00CA4C14">
        <w:rPr>
          <w:lang w:val="ru-RU"/>
        </w:rPr>
        <w:t>п</w:t>
      </w:r>
      <w:r w:rsidR="006973B9" w:rsidRPr="00CA4C14">
        <w:rPr>
          <w:lang w:val="ru-RU"/>
        </w:rPr>
        <w:t>о всем</w:t>
      </w:r>
      <w:r w:rsidR="001B3989" w:rsidRPr="00CA4C14">
        <w:rPr>
          <w:lang w:val="ru-RU"/>
        </w:rPr>
        <w:t>у</w:t>
      </w:r>
      <w:r w:rsidR="006973B9" w:rsidRPr="00CA4C14">
        <w:rPr>
          <w:lang w:val="ru-RU"/>
        </w:rPr>
        <w:t xml:space="preserve"> мир</w:t>
      </w:r>
      <w:r w:rsidR="001B3989" w:rsidRPr="00CA4C14">
        <w:rPr>
          <w:lang w:val="ru-RU"/>
        </w:rPr>
        <w:t>у</w:t>
      </w:r>
      <w:r w:rsidR="006973B9" w:rsidRPr="00CA4C14">
        <w:rPr>
          <w:lang w:val="ru-RU"/>
        </w:rPr>
        <w:t xml:space="preserve"> </w:t>
      </w:r>
      <w:r w:rsidR="001B3989" w:rsidRPr="00CA4C14">
        <w:rPr>
          <w:lang w:val="ru-RU"/>
        </w:rPr>
        <w:t>все еще не имеют подключения к интернету, при этом сохраня</w:t>
      </w:r>
      <w:r w:rsidR="0008342A" w:rsidRPr="00CA4C14">
        <w:rPr>
          <w:lang w:val="ru-RU"/>
        </w:rPr>
        <w:t>е</w:t>
      </w:r>
      <w:r w:rsidR="001B3989" w:rsidRPr="00CA4C14">
        <w:rPr>
          <w:lang w:val="ru-RU"/>
        </w:rPr>
        <w:t>тся неравенство между странами с высоким и низким уровнем дохода, сельскими и городскими районами, а также мужчинами и женщинами. Деятельность МСЭ направлена не только на инфраструктуру, но и на приемлемость в ценовом отношении, навыки, безопасность и все другие элементы, которые делают возможность установления соединений реальной.</w:t>
      </w:r>
    </w:p>
    <w:p w14:paraId="09FC4741" w14:textId="5D3BB003" w:rsidR="008F627E" w:rsidRPr="00CA4C14" w:rsidRDefault="008F627E" w:rsidP="008F627E">
      <w:pPr>
        <w:rPr>
          <w:lang w:val="ru-RU"/>
        </w:rPr>
      </w:pPr>
      <w:r w:rsidRPr="00CA4C14">
        <w:rPr>
          <w:b/>
          <w:lang w:val="ru-RU"/>
        </w:rPr>
        <w:t>2)</w:t>
      </w:r>
      <w:r w:rsidR="00057A81" w:rsidRPr="00CA4C14">
        <w:rPr>
          <w:b/>
          <w:lang w:val="ru-RU"/>
        </w:rPr>
        <w:tab/>
      </w:r>
      <w:r w:rsidR="001B3989" w:rsidRPr="00CA4C14">
        <w:rPr>
          <w:b/>
          <w:bCs/>
          <w:lang w:val="ru-RU"/>
        </w:rPr>
        <w:t>Максимальное использование потенциала радиосвязи</w:t>
      </w:r>
      <w:r w:rsidR="001B3989" w:rsidRPr="00CA4C14">
        <w:rPr>
          <w:lang w:val="ru-RU"/>
        </w:rPr>
        <w:t xml:space="preserve">. Соглашение об обновлениях Регламента радиосвязи определило новые ресурсы спектра в поддержку инноваций в сфере технологий, расширения возможности установления соединений во всем мире, доступа </w:t>
      </w:r>
      <w:r w:rsidR="00012468" w:rsidRPr="00CA4C14">
        <w:rPr>
          <w:lang w:val="ru-RU"/>
        </w:rPr>
        <w:t xml:space="preserve">к </w:t>
      </w:r>
      <w:proofErr w:type="spellStart"/>
      <w:r w:rsidR="00012468" w:rsidRPr="00CA4C14">
        <w:rPr>
          <w:lang w:val="ru-RU"/>
        </w:rPr>
        <w:t>радиоресурсам</w:t>
      </w:r>
      <w:proofErr w:type="spellEnd"/>
      <w:r w:rsidR="00012468" w:rsidRPr="00CA4C14">
        <w:rPr>
          <w:lang w:val="ru-RU"/>
        </w:rPr>
        <w:t xml:space="preserve"> космического базирования </w:t>
      </w:r>
      <w:r w:rsidR="001B3989" w:rsidRPr="00CA4C14">
        <w:rPr>
          <w:lang w:val="ru-RU"/>
        </w:rPr>
        <w:t>и их справедливого использования, а также повышения безопасности на море, в воздухе и на суше.</w:t>
      </w:r>
      <w:r w:rsidR="00012468" w:rsidRPr="00CA4C14">
        <w:rPr>
          <w:lang w:val="ru-RU"/>
        </w:rPr>
        <w:t xml:space="preserve"> Эти результаты обеспечивают правовую определенность и стабильность </w:t>
      </w:r>
      <w:r w:rsidR="0008342A" w:rsidRPr="00CA4C14">
        <w:rPr>
          <w:lang w:val="ru-RU"/>
        </w:rPr>
        <w:t>нормативной</w:t>
      </w:r>
      <w:r w:rsidR="00012468" w:rsidRPr="00CA4C14">
        <w:rPr>
          <w:lang w:val="ru-RU"/>
        </w:rPr>
        <w:t xml:space="preserve"> базы, необходимые для успешного развития инвестиций и инноваций, </w:t>
      </w:r>
      <w:r w:rsidR="00717A4F" w:rsidRPr="00CA4C14">
        <w:rPr>
          <w:lang w:val="ru-RU"/>
        </w:rPr>
        <w:t>в</w:t>
      </w:r>
      <w:r w:rsidR="00012468" w:rsidRPr="00CA4C14">
        <w:rPr>
          <w:lang w:val="ru-RU"/>
        </w:rPr>
        <w:t xml:space="preserve"> условиях, когда справедливое управление использованием радиочастотного спектра и связанных с ним спутниковых орбит имеют важнейшее значение для цифрового будущего, которое </w:t>
      </w:r>
      <w:r w:rsidR="00A94352" w:rsidRPr="00CA4C14">
        <w:rPr>
          <w:lang w:val="ru-RU"/>
        </w:rPr>
        <w:t>отвечает интересам</w:t>
      </w:r>
      <w:r w:rsidR="00012468" w:rsidRPr="00CA4C14">
        <w:rPr>
          <w:lang w:val="ru-RU"/>
        </w:rPr>
        <w:t xml:space="preserve"> всех людей и всей планеты.</w:t>
      </w:r>
    </w:p>
    <w:p w14:paraId="2E464DB3" w14:textId="30D09DB5" w:rsidR="008F627E" w:rsidRPr="00CA4C14" w:rsidRDefault="008F627E" w:rsidP="008F627E">
      <w:pPr>
        <w:rPr>
          <w:lang w:val="ru-RU"/>
        </w:rPr>
      </w:pPr>
      <w:r w:rsidRPr="00CA4C14">
        <w:rPr>
          <w:b/>
          <w:lang w:val="ru-RU"/>
        </w:rPr>
        <w:t>3)</w:t>
      </w:r>
      <w:r w:rsidR="00057A81" w:rsidRPr="00CA4C14">
        <w:rPr>
          <w:b/>
          <w:lang w:val="ru-RU"/>
        </w:rPr>
        <w:tab/>
      </w:r>
      <w:r w:rsidR="00AB2CDE" w:rsidRPr="00CA4C14">
        <w:rPr>
          <w:b/>
          <w:bCs/>
          <w:lang w:val="ru-RU"/>
        </w:rPr>
        <w:t>Признание</w:t>
      </w:r>
      <w:r w:rsidR="00A94352" w:rsidRPr="00CA4C14">
        <w:rPr>
          <w:b/>
          <w:bCs/>
          <w:lang w:val="ru-RU"/>
        </w:rPr>
        <w:t xml:space="preserve"> истинной ценности стандартов</w:t>
      </w:r>
      <w:r w:rsidR="00A94352" w:rsidRPr="00CA4C14">
        <w:rPr>
          <w:lang w:val="ru-RU"/>
        </w:rPr>
        <w:t>. Во всех инициативах по управлению ИИ стандарты признаются важнейш</w:t>
      </w:r>
      <w:r w:rsidR="00AB2CDE" w:rsidRPr="00CA4C14">
        <w:rPr>
          <w:lang w:val="ru-RU"/>
        </w:rPr>
        <w:t>им</w:t>
      </w:r>
      <w:r w:rsidR="00A94352" w:rsidRPr="00CA4C14">
        <w:rPr>
          <w:lang w:val="ru-RU"/>
        </w:rPr>
        <w:t xml:space="preserve"> компонент</w:t>
      </w:r>
      <w:r w:rsidR="00AB2CDE" w:rsidRPr="00CA4C14">
        <w:rPr>
          <w:lang w:val="ru-RU"/>
        </w:rPr>
        <w:t>ом</w:t>
      </w:r>
      <w:r w:rsidR="00A94352" w:rsidRPr="00CA4C14">
        <w:rPr>
          <w:lang w:val="ru-RU"/>
        </w:rPr>
        <w:t xml:space="preserve">. Это </w:t>
      </w:r>
      <w:r w:rsidR="00AB2CDE" w:rsidRPr="00CA4C14">
        <w:rPr>
          <w:lang w:val="ru-RU"/>
        </w:rPr>
        <w:t>недавнее</w:t>
      </w:r>
      <w:r w:rsidR="00A94352" w:rsidRPr="00CA4C14">
        <w:rPr>
          <w:lang w:val="ru-RU"/>
        </w:rPr>
        <w:t xml:space="preserve"> свидетельство того, что в правительстве, отрасли, академических организациях и гражданском обществе все больше внимания уделяется стандартизации. МСЭ реагирует на эту потребность</w:t>
      </w:r>
      <w:r w:rsidR="00AB2CDE" w:rsidRPr="00CA4C14">
        <w:rPr>
          <w:lang w:val="ru-RU"/>
        </w:rPr>
        <w:t>, разрабатывая</w:t>
      </w:r>
      <w:r w:rsidR="00A94352" w:rsidRPr="00CA4C14">
        <w:rPr>
          <w:lang w:val="ru-RU"/>
        </w:rPr>
        <w:t xml:space="preserve"> стандарт</w:t>
      </w:r>
      <w:r w:rsidR="00AB2CDE" w:rsidRPr="00CA4C14">
        <w:rPr>
          <w:lang w:val="ru-RU"/>
        </w:rPr>
        <w:t>ы</w:t>
      </w:r>
      <w:r w:rsidR="00A94352" w:rsidRPr="00CA4C14">
        <w:rPr>
          <w:lang w:val="ru-RU"/>
        </w:rPr>
        <w:t xml:space="preserve"> для поддержки цифровой трансформации</w:t>
      </w:r>
      <w:r w:rsidR="00AB2CDE" w:rsidRPr="00CA4C14">
        <w:rPr>
          <w:lang w:val="ru-RU"/>
        </w:rPr>
        <w:t> </w:t>
      </w:r>
      <w:r w:rsidR="00057A81" w:rsidRPr="00CA4C14">
        <w:rPr>
          <w:lang w:val="ru-RU"/>
        </w:rPr>
        <w:t>−</w:t>
      </w:r>
      <w:r w:rsidR="00A94352" w:rsidRPr="00CA4C14">
        <w:rPr>
          <w:lang w:val="ru-RU"/>
        </w:rPr>
        <w:t xml:space="preserve"> от энергетики </w:t>
      </w:r>
      <w:r w:rsidR="00AB2CDE" w:rsidRPr="00CA4C14">
        <w:rPr>
          <w:lang w:val="ru-RU"/>
        </w:rPr>
        <w:t>до</w:t>
      </w:r>
      <w:r w:rsidR="00A94352" w:rsidRPr="00CA4C14">
        <w:rPr>
          <w:lang w:val="ru-RU"/>
        </w:rPr>
        <w:t xml:space="preserve"> здравоохранени</w:t>
      </w:r>
      <w:r w:rsidR="00AB2CDE" w:rsidRPr="00CA4C14">
        <w:rPr>
          <w:lang w:val="ru-RU"/>
        </w:rPr>
        <w:t>я</w:t>
      </w:r>
      <w:r w:rsidR="00A94352" w:rsidRPr="00CA4C14">
        <w:rPr>
          <w:lang w:val="ru-RU"/>
        </w:rPr>
        <w:t xml:space="preserve">, а также объединяя различные </w:t>
      </w:r>
      <w:r w:rsidR="00AB2CDE" w:rsidRPr="00CA4C14">
        <w:rPr>
          <w:lang w:val="ru-RU"/>
        </w:rPr>
        <w:t>концепции</w:t>
      </w:r>
      <w:r w:rsidR="00A94352" w:rsidRPr="00CA4C14">
        <w:rPr>
          <w:lang w:val="ru-RU"/>
        </w:rPr>
        <w:t xml:space="preserve"> </w:t>
      </w:r>
      <w:r w:rsidR="00057A81" w:rsidRPr="00CA4C14">
        <w:rPr>
          <w:lang w:val="ru-RU"/>
        </w:rPr>
        <w:t>−</w:t>
      </w:r>
      <w:r w:rsidR="00A94352" w:rsidRPr="00CA4C14">
        <w:rPr>
          <w:lang w:val="ru-RU"/>
        </w:rPr>
        <w:t xml:space="preserve"> от прав человека до устойчивости.</w:t>
      </w:r>
      <w:r w:rsidR="00AB2CDE" w:rsidRPr="00CA4C14">
        <w:rPr>
          <w:lang w:val="ru-RU"/>
        </w:rPr>
        <w:t xml:space="preserve"> Это мощные инструменты ускорения прогресса в достижении ЦУР.</w:t>
      </w:r>
    </w:p>
    <w:p w14:paraId="5A1F91A2" w14:textId="5E31827B" w:rsidR="008F627E" w:rsidRPr="00CA4C14" w:rsidRDefault="008F627E" w:rsidP="008F627E">
      <w:pPr>
        <w:rPr>
          <w:lang w:val="ru-RU"/>
        </w:rPr>
      </w:pPr>
      <w:r w:rsidRPr="00CA4C14">
        <w:rPr>
          <w:b/>
          <w:bCs/>
          <w:lang w:val="ru-RU"/>
        </w:rPr>
        <w:t>4)</w:t>
      </w:r>
      <w:r w:rsidR="00057A81" w:rsidRPr="00CA4C14">
        <w:rPr>
          <w:b/>
          <w:bCs/>
          <w:lang w:val="ru-RU"/>
        </w:rPr>
        <w:tab/>
      </w:r>
      <w:r w:rsidR="0030643F" w:rsidRPr="00CA4C14">
        <w:rPr>
          <w:b/>
          <w:bCs/>
          <w:lang w:val="ru-RU"/>
        </w:rPr>
        <w:t>Уделение о</w:t>
      </w:r>
      <w:r w:rsidR="0008342A" w:rsidRPr="00CA4C14">
        <w:rPr>
          <w:b/>
          <w:bCs/>
          <w:lang w:val="ru-RU"/>
        </w:rPr>
        <w:t>сновно</w:t>
      </w:r>
      <w:r w:rsidR="0030643F" w:rsidRPr="00CA4C14">
        <w:rPr>
          <w:b/>
          <w:bCs/>
          <w:lang w:val="ru-RU"/>
        </w:rPr>
        <w:t>го</w:t>
      </w:r>
      <w:r w:rsidR="0008342A" w:rsidRPr="00CA4C14">
        <w:rPr>
          <w:b/>
          <w:bCs/>
          <w:lang w:val="ru-RU"/>
        </w:rPr>
        <w:t xml:space="preserve"> внимани</w:t>
      </w:r>
      <w:r w:rsidR="0030643F" w:rsidRPr="00CA4C14">
        <w:rPr>
          <w:b/>
          <w:bCs/>
          <w:lang w:val="ru-RU"/>
        </w:rPr>
        <w:t>я</w:t>
      </w:r>
      <w:r w:rsidR="00683EAB" w:rsidRPr="00CA4C14">
        <w:rPr>
          <w:b/>
          <w:bCs/>
          <w:lang w:val="ru-RU"/>
        </w:rPr>
        <w:t xml:space="preserve"> развити</w:t>
      </w:r>
      <w:r w:rsidR="0008342A" w:rsidRPr="00CA4C14">
        <w:rPr>
          <w:b/>
          <w:bCs/>
          <w:lang w:val="ru-RU"/>
        </w:rPr>
        <w:t>ю</w:t>
      </w:r>
      <w:r w:rsidRPr="00CA4C14">
        <w:rPr>
          <w:lang w:val="ru-RU"/>
        </w:rPr>
        <w:t xml:space="preserve">. </w:t>
      </w:r>
      <w:r w:rsidR="00683EAB" w:rsidRPr="00CA4C14">
        <w:rPr>
          <w:lang w:val="ru-RU"/>
        </w:rPr>
        <w:t>Неравенство между имущими и неимущими в мире цифровых технологий растет. Например, в странах с высоким уровнем дохода почти 90 процентов населения охвачены сетью 5G, в то время как в странах с низким уровнем дохода такие услуги практически отсутствуют.</w:t>
      </w:r>
      <w:r w:rsidR="00066917" w:rsidRPr="00CA4C14">
        <w:rPr>
          <w:lang w:val="ru-RU"/>
        </w:rPr>
        <w:t xml:space="preserve"> Деятельность МСЭ в области сетевой и цифровой инфраструктуры, политики и регулирования, статистики, цифровых приложений и </w:t>
      </w:r>
      <w:r w:rsidR="0008342A" w:rsidRPr="00CA4C14">
        <w:rPr>
          <w:lang w:val="ru-RU"/>
        </w:rPr>
        <w:t>охвата цифровыми технологиями</w:t>
      </w:r>
      <w:r w:rsidR="00066917" w:rsidRPr="00CA4C14">
        <w:rPr>
          <w:lang w:val="ru-RU"/>
        </w:rPr>
        <w:t xml:space="preserve">, кибербезопасности, развития потенциала, электронных </w:t>
      </w:r>
      <w:r w:rsidR="00066917" w:rsidRPr="00CA4C14">
        <w:rPr>
          <w:lang w:val="ru-RU"/>
        </w:rPr>
        <w:lastRenderedPageBreak/>
        <w:t>отходов, электросвязи в чрезвычайных ситуациях и других фундаментальных вопросов затрагива</w:t>
      </w:r>
      <w:r w:rsidR="0008342A" w:rsidRPr="00CA4C14">
        <w:rPr>
          <w:lang w:val="ru-RU"/>
        </w:rPr>
        <w:t>е</w:t>
      </w:r>
      <w:r w:rsidR="00066917" w:rsidRPr="00CA4C14">
        <w:rPr>
          <w:lang w:val="ru-RU"/>
        </w:rPr>
        <w:t>т все аспекты устойчивого развития </w:t>
      </w:r>
      <w:r w:rsidR="00057A81" w:rsidRPr="00CA4C14">
        <w:rPr>
          <w:lang w:val="ru-RU"/>
        </w:rPr>
        <w:t>−</w:t>
      </w:r>
      <w:r w:rsidR="00066917" w:rsidRPr="00CA4C14">
        <w:rPr>
          <w:lang w:val="ru-RU"/>
        </w:rPr>
        <w:t xml:space="preserve"> экономические, социальные и экологические. Таким образом, МСЭ сопровождает страны на всех этапах их процесса реализации цифровой трансформации.</w:t>
      </w:r>
    </w:p>
    <w:p w14:paraId="0822EA3E" w14:textId="23E427FA" w:rsidR="008F627E" w:rsidRPr="00CA4C14" w:rsidRDefault="008F627E" w:rsidP="008F627E">
      <w:pPr>
        <w:rPr>
          <w:lang w:val="ru-RU"/>
        </w:rPr>
      </w:pPr>
      <w:r w:rsidRPr="00CA4C14">
        <w:rPr>
          <w:b/>
          <w:bCs/>
          <w:lang w:val="ru-RU"/>
        </w:rPr>
        <w:t>5)</w:t>
      </w:r>
      <w:r w:rsidR="00057A81" w:rsidRPr="00CA4C14">
        <w:rPr>
          <w:b/>
          <w:bCs/>
          <w:lang w:val="ru-RU"/>
        </w:rPr>
        <w:tab/>
      </w:r>
      <w:r w:rsidR="00E35760" w:rsidRPr="00CA4C14">
        <w:rPr>
          <w:b/>
          <w:bCs/>
          <w:lang w:val="ru-RU"/>
        </w:rPr>
        <w:t xml:space="preserve">Достижение </w:t>
      </w:r>
      <w:r w:rsidR="00360F88" w:rsidRPr="00CA4C14">
        <w:rPr>
          <w:b/>
          <w:bCs/>
          <w:lang w:val="ru-RU"/>
        </w:rPr>
        <w:t>оптимального</w:t>
      </w:r>
      <w:r w:rsidR="00E35760" w:rsidRPr="00CA4C14">
        <w:rPr>
          <w:b/>
          <w:bCs/>
          <w:lang w:val="ru-RU"/>
        </w:rPr>
        <w:t xml:space="preserve"> баланса между преимуществами и рисками, возникающими в связи с появлением технологий</w:t>
      </w:r>
      <w:r w:rsidR="00E35760" w:rsidRPr="00CA4C14">
        <w:rPr>
          <w:lang w:val="ru-RU"/>
        </w:rPr>
        <w:t xml:space="preserve">. </w:t>
      </w:r>
      <w:r w:rsidR="00360F88" w:rsidRPr="00CA4C14">
        <w:rPr>
          <w:lang w:val="ru-RU"/>
        </w:rPr>
        <w:t>Программ</w:t>
      </w:r>
      <w:r w:rsidR="0008342A" w:rsidRPr="00CA4C14">
        <w:rPr>
          <w:lang w:val="ru-RU"/>
        </w:rPr>
        <w:t>а</w:t>
      </w:r>
      <w:r w:rsidR="0030643F" w:rsidRPr="00CA4C14">
        <w:rPr>
          <w:lang w:val="ru-RU"/>
        </w:rPr>
        <w:t xml:space="preserve"> </w:t>
      </w:r>
      <w:r w:rsidR="00360F88" w:rsidRPr="00CA4C14">
        <w:rPr>
          <w:lang w:val="ru-RU"/>
        </w:rPr>
        <w:t>ускорения "Цифровые технологии для ЦУР"</w:t>
      </w:r>
      <w:r w:rsidR="00E35760" w:rsidRPr="00CA4C14">
        <w:rPr>
          <w:lang w:val="ru-RU"/>
        </w:rPr>
        <w:t xml:space="preserve">, </w:t>
      </w:r>
      <w:r w:rsidR="00360F88" w:rsidRPr="00CA4C14">
        <w:rPr>
          <w:lang w:val="ru-RU"/>
        </w:rPr>
        <w:t>начатая</w:t>
      </w:r>
      <w:r w:rsidR="00E35760" w:rsidRPr="00CA4C14">
        <w:rPr>
          <w:lang w:val="ru-RU"/>
        </w:rPr>
        <w:t xml:space="preserve"> </w:t>
      </w:r>
      <w:r w:rsidR="00360F88" w:rsidRPr="00CA4C14">
        <w:rPr>
          <w:lang w:val="ru-RU"/>
        </w:rPr>
        <w:t>в сентябре 2023</w:t>
      </w:r>
      <w:r w:rsidR="009053A9" w:rsidRPr="00CA4C14">
        <w:rPr>
          <w:lang w:val="ru-RU"/>
        </w:rPr>
        <w:t> год</w:t>
      </w:r>
      <w:r w:rsidR="00360F88" w:rsidRPr="00CA4C14">
        <w:rPr>
          <w:lang w:val="ru-RU"/>
        </w:rPr>
        <w:t xml:space="preserve">а </w:t>
      </w:r>
      <w:r w:rsidR="00E35760" w:rsidRPr="00CA4C14">
        <w:rPr>
          <w:lang w:val="ru-RU"/>
        </w:rPr>
        <w:t xml:space="preserve">МСЭ и Программой развития Организации Объединенных Наций (ПРООН), показала, что </w:t>
      </w:r>
      <w:r w:rsidR="00360F88" w:rsidRPr="00CA4C14">
        <w:rPr>
          <w:lang w:val="ru-RU"/>
        </w:rPr>
        <w:t>меняющие правила</w:t>
      </w:r>
      <w:r w:rsidR="00E35760" w:rsidRPr="00CA4C14">
        <w:rPr>
          <w:lang w:val="ru-RU"/>
        </w:rPr>
        <w:t xml:space="preserve"> игр</w:t>
      </w:r>
      <w:r w:rsidR="00360F88" w:rsidRPr="00CA4C14">
        <w:rPr>
          <w:lang w:val="ru-RU"/>
        </w:rPr>
        <w:t>ы</w:t>
      </w:r>
      <w:r w:rsidR="00E35760" w:rsidRPr="00CA4C14">
        <w:rPr>
          <w:lang w:val="ru-RU"/>
        </w:rPr>
        <w:t xml:space="preserve"> цифровые решения, такие как ИИ, могут непосредственно способствовать </w:t>
      </w:r>
      <w:r w:rsidR="00F16245" w:rsidRPr="00CA4C14">
        <w:rPr>
          <w:lang w:val="ru-RU"/>
        </w:rPr>
        <w:t>решению</w:t>
      </w:r>
      <w:r w:rsidR="00E35760" w:rsidRPr="00CA4C14">
        <w:rPr>
          <w:lang w:val="ru-RU"/>
        </w:rPr>
        <w:t xml:space="preserve"> 70 процентов </w:t>
      </w:r>
      <w:r w:rsidR="00F16245" w:rsidRPr="00CA4C14">
        <w:rPr>
          <w:lang w:val="ru-RU"/>
        </w:rPr>
        <w:t>задач семнадцати</w:t>
      </w:r>
      <w:r w:rsidR="00E35760" w:rsidRPr="00CA4C14">
        <w:rPr>
          <w:lang w:val="ru-RU"/>
        </w:rPr>
        <w:t xml:space="preserve"> ЦУР.</w:t>
      </w:r>
      <w:r w:rsidR="00F16245" w:rsidRPr="00CA4C14">
        <w:rPr>
          <w:lang w:val="ru-RU"/>
        </w:rPr>
        <w:t xml:space="preserve"> С помощью платформы "ИИ во благо" и инициатив по управлению ИИ МСЭ активизировал свои усилия по обеспечению ответственной разработки и развертывания ИИ, не подавляя при этом инноваци</w:t>
      </w:r>
      <w:r w:rsidR="0008342A" w:rsidRPr="00CA4C14">
        <w:rPr>
          <w:lang w:val="ru-RU"/>
        </w:rPr>
        <w:t>и</w:t>
      </w:r>
      <w:r w:rsidR="00F16245" w:rsidRPr="00CA4C14">
        <w:rPr>
          <w:lang w:val="ru-RU"/>
        </w:rPr>
        <w:t>. Технические стандарты и создание потенциала являются ключевыми элементами открытого для всех цифрового будущего, в котором появляющиеся технологии расширяют права и возможности каждого, а не только немноги</w:t>
      </w:r>
      <w:r w:rsidR="0008342A" w:rsidRPr="00CA4C14">
        <w:rPr>
          <w:lang w:val="ru-RU"/>
        </w:rPr>
        <w:t>х</w:t>
      </w:r>
      <w:r w:rsidR="00F16245" w:rsidRPr="00CA4C14">
        <w:rPr>
          <w:lang w:val="ru-RU"/>
        </w:rPr>
        <w:t xml:space="preserve"> избранны</w:t>
      </w:r>
      <w:r w:rsidR="0008342A" w:rsidRPr="00CA4C14">
        <w:rPr>
          <w:lang w:val="ru-RU"/>
        </w:rPr>
        <w:t>х</w:t>
      </w:r>
      <w:r w:rsidR="00F16245" w:rsidRPr="00CA4C14">
        <w:rPr>
          <w:lang w:val="ru-RU"/>
        </w:rPr>
        <w:t>.</w:t>
      </w:r>
    </w:p>
    <w:p w14:paraId="3E80FFB3" w14:textId="1D03BDF4" w:rsidR="008F627E" w:rsidRPr="00CA4C14" w:rsidRDefault="008F627E" w:rsidP="008F627E">
      <w:pPr>
        <w:rPr>
          <w:lang w:val="ru-RU"/>
        </w:rPr>
      </w:pPr>
      <w:r w:rsidRPr="00CA4C14">
        <w:rPr>
          <w:b/>
          <w:lang w:val="ru-RU"/>
        </w:rPr>
        <w:t>6)</w:t>
      </w:r>
      <w:r w:rsidR="00057A81" w:rsidRPr="00CA4C14">
        <w:rPr>
          <w:b/>
          <w:lang w:val="ru-RU"/>
        </w:rPr>
        <w:tab/>
      </w:r>
      <w:r w:rsidR="00EE4C95" w:rsidRPr="00CA4C14">
        <w:rPr>
          <w:b/>
          <w:bCs/>
          <w:lang w:val="ru-RU"/>
        </w:rPr>
        <w:t>Укрепление участия в процессах ООН и за ее пределами</w:t>
      </w:r>
      <w:r w:rsidR="00EE4C95" w:rsidRPr="00CA4C14">
        <w:rPr>
          <w:lang w:val="ru-RU"/>
        </w:rPr>
        <w:t>. На протяжении 2023</w:t>
      </w:r>
      <w:r w:rsidR="009053A9" w:rsidRPr="00CA4C14">
        <w:rPr>
          <w:lang w:val="ru-RU"/>
        </w:rPr>
        <w:t> год</w:t>
      </w:r>
      <w:r w:rsidR="00EE4C95" w:rsidRPr="00CA4C14">
        <w:rPr>
          <w:lang w:val="ru-RU"/>
        </w:rPr>
        <w:t xml:space="preserve">а МСЭ активно участвовал в крупных процессах ООН </w:t>
      </w:r>
      <w:r w:rsidR="00057A81" w:rsidRPr="00CA4C14">
        <w:rPr>
          <w:lang w:val="ru-RU"/>
        </w:rPr>
        <w:t>−</w:t>
      </w:r>
      <w:r w:rsidR="00EE4C95" w:rsidRPr="00CA4C14">
        <w:rPr>
          <w:lang w:val="ru-RU"/>
        </w:rPr>
        <w:t xml:space="preserve"> от </w:t>
      </w:r>
      <w:proofErr w:type="spellStart"/>
      <w:r w:rsidR="00EE4C95" w:rsidRPr="00CA4C14">
        <w:rPr>
          <w:lang w:val="ru-RU"/>
        </w:rPr>
        <w:t>Дохинской</w:t>
      </w:r>
      <w:proofErr w:type="spellEnd"/>
      <w:r w:rsidR="00EE4C95" w:rsidRPr="00CA4C14">
        <w:rPr>
          <w:lang w:val="ru-RU"/>
        </w:rPr>
        <w:t xml:space="preserve"> программы действий для наименее развитых стран до продолжающихся обсуждений Глобального цифрового договора. Результатом этого активного взаимодействия стали знаковые инициативы с родственными учреждениями ООН, такие как "Раннее предупреждение для всех", "Соединение для беженцев" и глобальная инициатива "ИИ для здравоохранения". В прошедшем году на G20 МСЭ также действовал как информационно-аналитический партнер </w:t>
      </w:r>
      <w:r w:rsidR="009F405D" w:rsidRPr="00CA4C14">
        <w:rPr>
          <w:lang w:val="ru-RU"/>
        </w:rPr>
        <w:t>по</w:t>
      </w:r>
      <w:r w:rsidR="00EE4C95" w:rsidRPr="00CA4C14">
        <w:rPr>
          <w:lang w:val="ru-RU"/>
        </w:rPr>
        <w:t xml:space="preserve"> направлени</w:t>
      </w:r>
      <w:r w:rsidR="009F405D" w:rsidRPr="00CA4C14">
        <w:rPr>
          <w:lang w:val="ru-RU"/>
        </w:rPr>
        <w:t>я</w:t>
      </w:r>
      <w:r w:rsidR="00477668" w:rsidRPr="00CA4C14">
        <w:rPr>
          <w:lang w:val="ru-RU"/>
        </w:rPr>
        <w:t>м</w:t>
      </w:r>
      <w:r w:rsidR="009F405D" w:rsidRPr="00CA4C14">
        <w:rPr>
          <w:lang w:val="ru-RU"/>
        </w:rPr>
        <w:t xml:space="preserve"> деятельности, посвященным р</w:t>
      </w:r>
      <w:r w:rsidR="00EE4C95" w:rsidRPr="00CA4C14">
        <w:rPr>
          <w:lang w:val="ru-RU"/>
        </w:rPr>
        <w:t>азвити</w:t>
      </w:r>
      <w:r w:rsidR="009F405D" w:rsidRPr="00CA4C14">
        <w:rPr>
          <w:lang w:val="ru-RU"/>
        </w:rPr>
        <w:t xml:space="preserve">ю </w:t>
      </w:r>
      <w:r w:rsidR="00EE4C95" w:rsidRPr="00CA4C14">
        <w:rPr>
          <w:lang w:val="ru-RU"/>
        </w:rPr>
        <w:t xml:space="preserve">и </w:t>
      </w:r>
      <w:r w:rsidR="009F405D" w:rsidRPr="00CA4C14">
        <w:rPr>
          <w:lang w:val="ru-RU"/>
        </w:rPr>
        <w:t>ц</w:t>
      </w:r>
      <w:r w:rsidR="00EE4C95" w:rsidRPr="00CA4C14">
        <w:rPr>
          <w:lang w:val="ru-RU"/>
        </w:rPr>
        <w:t>ифровой экономик</w:t>
      </w:r>
      <w:r w:rsidR="009F405D" w:rsidRPr="00CA4C14">
        <w:rPr>
          <w:lang w:val="ru-RU"/>
        </w:rPr>
        <w:t>е,</w:t>
      </w:r>
      <w:r w:rsidR="00EE4C95" w:rsidRPr="00CA4C14">
        <w:rPr>
          <w:lang w:val="ru-RU"/>
        </w:rPr>
        <w:t xml:space="preserve"> и принимал активное участие в направлении </w:t>
      </w:r>
      <w:r w:rsidR="009F405D" w:rsidRPr="00CA4C14">
        <w:rPr>
          <w:lang w:val="ru-RU"/>
        </w:rPr>
        <w:t xml:space="preserve">деятельности по </w:t>
      </w:r>
      <w:r w:rsidR="00EE4C95" w:rsidRPr="00CA4C14">
        <w:rPr>
          <w:lang w:val="ru-RU"/>
        </w:rPr>
        <w:t>космической экономики.</w:t>
      </w:r>
    </w:p>
    <w:p w14:paraId="75DE5230" w14:textId="5BF411DC" w:rsidR="008F627E" w:rsidRPr="00CA4C14" w:rsidRDefault="008F627E" w:rsidP="008F627E">
      <w:pPr>
        <w:rPr>
          <w:lang w:val="ru-RU"/>
        </w:rPr>
      </w:pPr>
      <w:r w:rsidRPr="00CA4C14">
        <w:rPr>
          <w:b/>
          <w:bCs/>
          <w:lang w:val="ru-RU"/>
        </w:rPr>
        <w:t>7)</w:t>
      </w:r>
      <w:r w:rsidR="00057A81" w:rsidRPr="00CA4C14">
        <w:rPr>
          <w:b/>
          <w:bCs/>
          <w:lang w:val="ru-RU"/>
        </w:rPr>
        <w:tab/>
      </w:r>
      <w:r w:rsidR="00CB0F23" w:rsidRPr="00CA4C14">
        <w:rPr>
          <w:b/>
          <w:bCs/>
          <w:lang w:val="ru-RU"/>
        </w:rPr>
        <w:t>Раскрытие потенциала партнерских отношений</w:t>
      </w:r>
      <w:r w:rsidR="00CB0F23" w:rsidRPr="00CA4C14">
        <w:rPr>
          <w:lang w:val="ru-RU"/>
        </w:rPr>
        <w:t xml:space="preserve">. Отмеченный в 2023 году уровень приверженности цифровой коалиции "Партнерства для подключения" (Partner2Connect), Giga и другим ключевым партнерствам с участием многих заинтересованных сторон, является неотъемлемой частью Стратегического плана МСЭ. Эти партнерства приближают нас к обеспечению универсальной возможности установления соединений и устойчивой цифровой трансформации и дают надежду миллионам людей, которые все еще находятся </w:t>
      </w:r>
      <w:r w:rsidR="00EA040D" w:rsidRPr="00CA4C14">
        <w:rPr>
          <w:lang w:val="ru-RU"/>
        </w:rPr>
        <w:t>по ту сторону</w:t>
      </w:r>
      <w:r w:rsidR="00CB0F23" w:rsidRPr="00CA4C14">
        <w:rPr>
          <w:lang w:val="ru-RU"/>
        </w:rPr>
        <w:t xml:space="preserve"> цифрового разрыва.</w:t>
      </w:r>
    </w:p>
    <w:p w14:paraId="6D03E54F" w14:textId="5BE8CE27" w:rsidR="008F627E" w:rsidRPr="00CA4C14" w:rsidRDefault="00B74557" w:rsidP="008F627E">
      <w:pPr>
        <w:rPr>
          <w:lang w:val="ru-RU"/>
        </w:rPr>
      </w:pPr>
      <w:r w:rsidRPr="00CA4C14">
        <w:rPr>
          <w:lang w:val="ru-RU"/>
        </w:rPr>
        <w:t>И е</w:t>
      </w:r>
      <w:r w:rsidR="00EA040D" w:rsidRPr="00CA4C14">
        <w:rPr>
          <w:lang w:val="ru-RU"/>
        </w:rPr>
        <w:t>сли 2023</w:t>
      </w:r>
      <w:r w:rsidR="009053A9" w:rsidRPr="00CA4C14">
        <w:rPr>
          <w:lang w:val="ru-RU"/>
        </w:rPr>
        <w:t> год</w:t>
      </w:r>
      <w:r w:rsidR="00EA040D" w:rsidRPr="00CA4C14">
        <w:rPr>
          <w:lang w:val="ru-RU"/>
        </w:rPr>
        <w:t xml:space="preserve"> был годом, когда цифровые технологии поднялись на первое место в глобальной повестке дня, то 2024</w:t>
      </w:r>
      <w:r w:rsidR="009053A9" w:rsidRPr="00CA4C14">
        <w:rPr>
          <w:lang w:val="ru-RU"/>
        </w:rPr>
        <w:t> год</w:t>
      </w:r>
      <w:r w:rsidR="00EA040D" w:rsidRPr="00CA4C14">
        <w:rPr>
          <w:lang w:val="ru-RU"/>
        </w:rPr>
        <w:t xml:space="preserve"> может стать годом, когда цифровые технологии будут доминировать в повестке дня </w:t>
      </w:r>
      <w:r w:rsidR="00057A81" w:rsidRPr="00CA4C14">
        <w:rPr>
          <w:lang w:val="ru-RU"/>
        </w:rPr>
        <w:t>−</w:t>
      </w:r>
      <w:r w:rsidR="00EA040D" w:rsidRPr="00CA4C14">
        <w:rPr>
          <w:lang w:val="ru-RU"/>
        </w:rPr>
        <w:t xml:space="preserve"> проводимый ООН Саммит будущего это появляющаяся один раз за поколение возможность </w:t>
      </w:r>
      <w:r w:rsidRPr="00CA4C14">
        <w:rPr>
          <w:lang w:val="ru-RU"/>
        </w:rPr>
        <w:t>создать более открытое, безопасное и устойчивое цифровое будущее для всех</w:t>
      </w:r>
      <w:r w:rsidR="00EA040D" w:rsidRPr="00CA4C14">
        <w:rPr>
          <w:lang w:val="ru-RU"/>
        </w:rPr>
        <w:t xml:space="preserve">. </w:t>
      </w:r>
    </w:p>
    <w:p w14:paraId="06BAA4C5" w14:textId="09AC9A25" w:rsidR="00B74557" w:rsidRPr="00CA4C14" w:rsidRDefault="00B74557" w:rsidP="008F627E">
      <w:pPr>
        <w:rPr>
          <w:lang w:val="ru-RU"/>
        </w:rPr>
      </w:pPr>
      <w:r w:rsidRPr="00CA4C14">
        <w:rPr>
          <w:lang w:val="ru-RU"/>
        </w:rPr>
        <w:t>Ниже приведен анализ, содержащийся в Отчете о финансовой деятельности МСЭ за 2023</w:t>
      </w:r>
      <w:r w:rsidR="009053A9" w:rsidRPr="00CA4C14">
        <w:rPr>
          <w:lang w:val="ru-RU"/>
        </w:rPr>
        <w:t> год</w:t>
      </w:r>
      <w:r w:rsidRPr="00CA4C14">
        <w:rPr>
          <w:lang w:val="ru-RU"/>
        </w:rPr>
        <w:t>. В предстоящем Отчете МСЭ о выполнении Стратегического плана и о деятельности Союза (Документ</w:t>
      </w:r>
      <w:r w:rsidR="00BE1CA8" w:rsidRPr="00CA4C14">
        <w:rPr>
          <w:lang w:val="ru-RU"/>
        </w:rPr>
        <w:t> </w:t>
      </w:r>
      <w:hyperlink r:id="rId10" w:history="1">
        <w:r w:rsidRPr="00CA4C14">
          <w:rPr>
            <w:rStyle w:val="Hyperlink"/>
            <w:lang w:val="ru-RU"/>
          </w:rPr>
          <w:t>C24/35</w:t>
        </w:r>
      </w:hyperlink>
      <w:r w:rsidRPr="00CA4C14">
        <w:rPr>
          <w:lang w:val="ru-RU"/>
        </w:rPr>
        <w:t>) будет представлена дополнительная подробная информация об оперативной деятельности, отражающая твердую приверженность организации использованию аналитики данных и стратегиям, ориентированным на результаты.</w:t>
      </w:r>
    </w:p>
    <w:p w14:paraId="0254F7F2" w14:textId="3A754137" w:rsidR="008F627E" w:rsidRPr="00CA4C14" w:rsidRDefault="008F627E">
      <w:pPr>
        <w:tabs>
          <w:tab w:val="clear" w:pos="794"/>
          <w:tab w:val="clear" w:pos="1191"/>
          <w:tab w:val="clear" w:pos="1588"/>
          <w:tab w:val="clear" w:pos="1985"/>
        </w:tabs>
        <w:overflowPunct/>
        <w:autoSpaceDE/>
        <w:autoSpaceDN/>
        <w:adjustRightInd/>
        <w:spacing w:before="0"/>
        <w:textAlignment w:val="auto"/>
        <w:rPr>
          <w:highlight w:val="yellow"/>
          <w:lang w:val="ru-RU"/>
        </w:rPr>
      </w:pPr>
      <w:r w:rsidRPr="00CA4C14">
        <w:rPr>
          <w:lang w:val="ru-RU"/>
        </w:rPr>
        <w:br w:type="page"/>
      </w:r>
    </w:p>
    <w:p w14:paraId="6E8FB1E6" w14:textId="12B16CFD" w:rsidR="008F627E" w:rsidRPr="00CA4C14" w:rsidRDefault="008F627E" w:rsidP="007B38D5">
      <w:pPr>
        <w:pStyle w:val="Heading1"/>
        <w:rPr>
          <w:lang w:val="ru-RU"/>
        </w:rPr>
      </w:pPr>
      <w:bookmarkStart w:id="10" w:name="_Toc168578435"/>
      <w:r w:rsidRPr="00CA4C14">
        <w:rPr>
          <w:lang w:val="ru-RU"/>
        </w:rPr>
        <w:lastRenderedPageBreak/>
        <w:t>Введение</w:t>
      </w:r>
      <w:bookmarkEnd w:id="10"/>
    </w:p>
    <w:p w14:paraId="12489987" w14:textId="3BD59F21" w:rsidR="007B63F8" w:rsidRPr="00CA4C14" w:rsidRDefault="007B63F8" w:rsidP="009520F9">
      <w:pPr>
        <w:rPr>
          <w:highlight w:val="lightGray"/>
          <w:lang w:val="ru-RU"/>
        </w:rPr>
      </w:pPr>
      <w:bookmarkStart w:id="11" w:name="lt_pId008"/>
      <w:r w:rsidRPr="00CA4C14">
        <w:rPr>
          <w:lang w:val="ru-RU"/>
        </w:rPr>
        <w:t>1</w:t>
      </w:r>
      <w:r w:rsidRPr="00CA4C14">
        <w:rPr>
          <w:lang w:val="ru-RU"/>
        </w:rPr>
        <w:tab/>
        <w:t>Финансовая отчетность и отчет о финансовой деятельности за год, завершившийся 31 декабря 2023</w:t>
      </w:r>
      <w:r w:rsidR="009053A9" w:rsidRPr="00CA4C14">
        <w:rPr>
          <w:lang w:val="ru-RU"/>
        </w:rPr>
        <w:t> год</w:t>
      </w:r>
      <w:r w:rsidRPr="00CA4C14">
        <w:rPr>
          <w:lang w:val="ru-RU"/>
        </w:rPr>
        <w:t xml:space="preserve">а, представлены в соответствии со </w:t>
      </w:r>
      <w:r w:rsidR="00BE1CA8" w:rsidRPr="00CA4C14">
        <w:rPr>
          <w:lang w:val="ru-RU"/>
        </w:rPr>
        <w:t xml:space="preserve">Статьей </w:t>
      </w:r>
      <w:r w:rsidRPr="00CA4C14">
        <w:rPr>
          <w:lang w:val="ru-RU"/>
        </w:rPr>
        <w:t>30 Финансового регламента Союза в редакции 2018</w:t>
      </w:r>
      <w:r w:rsidR="009053A9" w:rsidRPr="00CA4C14">
        <w:rPr>
          <w:lang w:val="ru-RU"/>
        </w:rPr>
        <w:t> год</w:t>
      </w:r>
      <w:r w:rsidRPr="00CA4C14">
        <w:rPr>
          <w:lang w:val="ru-RU"/>
        </w:rPr>
        <w:t>а.</w:t>
      </w:r>
      <w:bookmarkEnd w:id="11"/>
    </w:p>
    <w:p w14:paraId="06369AD3" w14:textId="77777777" w:rsidR="007B63F8" w:rsidRPr="00CA4C14" w:rsidRDefault="007B63F8" w:rsidP="009520F9">
      <w:pPr>
        <w:rPr>
          <w:lang w:val="ru-RU"/>
        </w:rPr>
      </w:pPr>
      <w:bookmarkStart w:id="12" w:name="lt_pId009"/>
      <w:r w:rsidRPr="00CA4C14">
        <w:rPr>
          <w:lang w:val="ru-RU"/>
        </w:rPr>
        <w:t>2</w:t>
      </w:r>
      <w:r w:rsidRPr="00CA4C14">
        <w:rPr>
          <w:lang w:val="ru-RU"/>
        </w:rPr>
        <w:tab/>
        <w:t>Финансовая отчетность подготовлена в соответствии с Международными стандартами финансовой отчетности для общественного сектора (IPSAS) и охватывает все виды деятельности организации, в том числе финансируемые из регулярного бюджета, за счет внебюджетных ресурсов, а также операционных и финансовых доходов.</w:t>
      </w:r>
      <w:bookmarkEnd w:id="12"/>
    </w:p>
    <w:p w14:paraId="77DE4EC4" w14:textId="32B94E4D" w:rsidR="007B63F8" w:rsidRPr="00CA4C14" w:rsidRDefault="007B63F8" w:rsidP="00BE1CA8">
      <w:pPr>
        <w:pStyle w:val="enumlev1"/>
        <w:rPr>
          <w:lang w:val="ru-RU"/>
        </w:rPr>
      </w:pPr>
      <w:bookmarkStart w:id="13" w:name="lt_pId010"/>
      <w:r w:rsidRPr="00CA4C14">
        <w:rPr>
          <w:lang w:val="ru-RU"/>
        </w:rPr>
        <w:t>a)</w:t>
      </w:r>
      <w:r w:rsidRPr="00CA4C14">
        <w:rPr>
          <w:lang w:val="ru-RU"/>
        </w:rPr>
        <w:tab/>
        <w:t xml:space="preserve">В Финансовом регламенте </w:t>
      </w:r>
      <w:r w:rsidR="00116E3D" w:rsidRPr="00CA4C14">
        <w:rPr>
          <w:lang w:val="ru-RU"/>
        </w:rPr>
        <w:t>определен</w:t>
      </w:r>
      <w:r w:rsidRPr="00CA4C14">
        <w:rPr>
          <w:lang w:val="ru-RU"/>
        </w:rPr>
        <w:t xml:space="preserve"> двухгодичный финансовый период; однако в соответствии с IPSAS необходимо представлять ежегодную финансовую отчетность. Двухгодичный бюджет МСЭ составляется в формате бюджета, ориентированного на результаты, в который входят:</w:t>
      </w:r>
      <w:bookmarkEnd w:id="13"/>
    </w:p>
    <w:p w14:paraId="2680A54C" w14:textId="4D1A0680" w:rsidR="007B63F8" w:rsidRPr="00CA4C14" w:rsidRDefault="007B63F8" w:rsidP="00D34817">
      <w:pPr>
        <w:pStyle w:val="enumlev2"/>
        <w:tabs>
          <w:tab w:val="clear" w:pos="1191"/>
          <w:tab w:val="clear" w:pos="1588"/>
        </w:tabs>
        <w:ind w:left="1418" w:hanging="624"/>
        <w:rPr>
          <w:lang w:val="ru-RU"/>
        </w:rPr>
      </w:pPr>
      <w:bookmarkStart w:id="14" w:name="lt_pId012"/>
      <w:r w:rsidRPr="00CA4C14">
        <w:rPr>
          <w:lang w:val="ru-RU"/>
        </w:rPr>
        <w:t>i)</w:t>
      </w:r>
      <w:r w:rsidRPr="00CA4C14">
        <w:rPr>
          <w:lang w:val="ru-RU"/>
        </w:rPr>
        <w:tab/>
        <w:t>регулярный бюджет</w:t>
      </w:r>
      <w:r w:rsidR="0044421F" w:rsidRPr="00CA4C14">
        <w:rPr>
          <w:lang w:val="ru-RU"/>
        </w:rPr>
        <w:t xml:space="preserve">, </w:t>
      </w:r>
      <w:r w:rsidR="00886FB0" w:rsidRPr="00CA4C14">
        <w:rPr>
          <w:lang w:val="ru-RU"/>
        </w:rPr>
        <w:t>который охватывает</w:t>
      </w:r>
      <w:r w:rsidRPr="00CA4C14">
        <w:rPr>
          <w:lang w:val="ru-RU"/>
        </w:rPr>
        <w:t xml:space="preserve"> взносы Государств-Членов, а также Членов Секторов</w:t>
      </w:r>
      <w:r w:rsidR="002F6C26" w:rsidRPr="00CA4C14">
        <w:rPr>
          <w:lang w:val="ru-RU"/>
        </w:rPr>
        <w:t>,</w:t>
      </w:r>
      <w:r w:rsidRPr="00CA4C14">
        <w:rPr>
          <w:lang w:val="ru-RU"/>
        </w:rPr>
        <w:t xml:space="preserve"> Ассоциированных членов</w:t>
      </w:r>
      <w:r w:rsidR="002F6C26" w:rsidRPr="00CA4C14">
        <w:rPr>
          <w:lang w:val="ru-RU"/>
        </w:rPr>
        <w:t xml:space="preserve"> </w:t>
      </w:r>
      <w:r w:rsidR="000C60D5" w:rsidRPr="00CA4C14">
        <w:rPr>
          <w:lang w:val="ru-RU"/>
        </w:rPr>
        <w:t>и</w:t>
      </w:r>
      <w:r w:rsidR="002F6C26" w:rsidRPr="00CA4C14">
        <w:rPr>
          <w:lang w:val="ru-RU"/>
        </w:rPr>
        <w:t xml:space="preserve"> </w:t>
      </w:r>
      <w:r w:rsidR="00886FB0" w:rsidRPr="00CA4C14">
        <w:rPr>
          <w:lang w:val="ru-RU"/>
        </w:rPr>
        <w:t>Академических организаций – Членов МСЭ</w:t>
      </w:r>
      <w:r w:rsidRPr="00CA4C14">
        <w:rPr>
          <w:lang w:val="ru-RU"/>
        </w:rPr>
        <w:t>;</w:t>
      </w:r>
    </w:p>
    <w:p w14:paraId="59C69A5C" w14:textId="54597D08" w:rsidR="0054053D" w:rsidRPr="00CA4C14" w:rsidRDefault="007B63F8" w:rsidP="00D34817">
      <w:pPr>
        <w:pStyle w:val="enumlev2"/>
        <w:tabs>
          <w:tab w:val="clear" w:pos="1191"/>
          <w:tab w:val="clear" w:pos="1588"/>
        </w:tabs>
        <w:ind w:left="1418" w:hanging="624"/>
        <w:rPr>
          <w:lang w:val="ru-RU"/>
        </w:rPr>
      </w:pPr>
      <w:r w:rsidRPr="00CA4C14">
        <w:rPr>
          <w:lang w:val="ru-RU"/>
        </w:rPr>
        <w:t>ii)</w:t>
      </w:r>
      <w:r w:rsidRPr="00CA4C14">
        <w:rPr>
          <w:lang w:val="ru-RU"/>
        </w:rPr>
        <w:tab/>
      </w:r>
      <w:r w:rsidR="00886FB0" w:rsidRPr="00CA4C14">
        <w:rPr>
          <w:lang w:val="ru-RU"/>
        </w:rPr>
        <w:t>прочие доходы от деятельности, которые составляют</w:t>
      </w:r>
      <w:r w:rsidR="0054053D" w:rsidRPr="00CA4C14">
        <w:rPr>
          <w:lang w:val="ru-RU"/>
        </w:rPr>
        <w:t xml:space="preserve"> </w:t>
      </w:r>
      <w:r w:rsidRPr="00CA4C14">
        <w:rPr>
          <w:lang w:val="ru-RU"/>
        </w:rPr>
        <w:t xml:space="preserve">доходы по линии возмещения затрат (включая публикации, </w:t>
      </w:r>
      <w:r w:rsidR="00477668" w:rsidRPr="00CA4C14">
        <w:rPr>
          <w:lang w:val="ru-RU"/>
        </w:rPr>
        <w:t>заявки</w:t>
      </w:r>
      <w:r w:rsidRPr="00CA4C14">
        <w:rPr>
          <w:lang w:val="ru-RU"/>
        </w:rPr>
        <w:t xml:space="preserve"> на регистрацию спутниковых сетей</w:t>
      </w:r>
      <w:r w:rsidR="0054053D" w:rsidRPr="00CA4C14">
        <w:rPr>
          <w:lang w:val="ru-RU"/>
        </w:rPr>
        <w:t>)</w:t>
      </w:r>
      <w:r w:rsidRPr="00CA4C14">
        <w:rPr>
          <w:lang w:val="ru-RU"/>
        </w:rPr>
        <w:t>, доходы в виде процентов и другие виды деятельности</w:t>
      </w:r>
      <w:r w:rsidR="00886FB0" w:rsidRPr="00CA4C14">
        <w:rPr>
          <w:lang w:val="ru-RU"/>
        </w:rPr>
        <w:t>,</w:t>
      </w:r>
      <w:r w:rsidR="0054053D" w:rsidRPr="00CA4C14">
        <w:rPr>
          <w:lang w:val="ru-RU"/>
        </w:rPr>
        <w:t xml:space="preserve"> приносящие доход;</w:t>
      </w:r>
      <w:r w:rsidRPr="00CA4C14">
        <w:rPr>
          <w:lang w:val="ru-RU"/>
        </w:rPr>
        <w:t xml:space="preserve"> </w:t>
      </w:r>
    </w:p>
    <w:p w14:paraId="30522442" w14:textId="58692E57" w:rsidR="007B63F8" w:rsidRPr="00CA4C14" w:rsidRDefault="0054053D" w:rsidP="00D34817">
      <w:pPr>
        <w:pStyle w:val="enumlev2"/>
        <w:tabs>
          <w:tab w:val="clear" w:pos="1191"/>
          <w:tab w:val="clear" w:pos="1588"/>
        </w:tabs>
        <w:ind w:left="1418" w:hanging="624"/>
        <w:rPr>
          <w:lang w:val="ru-RU"/>
        </w:rPr>
      </w:pPr>
      <w:r w:rsidRPr="00CA4C14">
        <w:rPr>
          <w:lang w:val="ru-RU"/>
        </w:rPr>
        <w:t>iii)</w:t>
      </w:r>
      <w:r w:rsidRPr="00CA4C14">
        <w:rPr>
          <w:lang w:val="ru-RU"/>
        </w:rPr>
        <w:tab/>
      </w:r>
      <w:proofErr w:type="gramStart"/>
      <w:r w:rsidR="007B63F8" w:rsidRPr="00CA4C14">
        <w:rPr>
          <w:lang w:val="ru-RU"/>
        </w:rPr>
        <w:t>при необходимости</w:t>
      </w:r>
      <w:r w:rsidR="00BE1CA8" w:rsidRPr="00CA4C14">
        <w:rPr>
          <w:lang w:val="ru-RU"/>
        </w:rPr>
        <w:t>,</w:t>
      </w:r>
      <w:proofErr w:type="gramEnd"/>
      <w:r w:rsidR="007B63F8" w:rsidRPr="00CA4C14">
        <w:rPr>
          <w:lang w:val="ru-RU"/>
        </w:rPr>
        <w:t xml:space="preserve"> снятие средств с резервного счета.</w:t>
      </w:r>
      <w:bookmarkEnd w:id="14"/>
    </w:p>
    <w:p w14:paraId="5A45D509" w14:textId="11690B02" w:rsidR="007B63F8" w:rsidRPr="00CA4C14" w:rsidRDefault="007B63F8" w:rsidP="00BE1CA8">
      <w:pPr>
        <w:pStyle w:val="enumlev1"/>
        <w:rPr>
          <w:lang w:val="ru-RU"/>
        </w:rPr>
      </w:pPr>
      <w:bookmarkStart w:id="15" w:name="lt_pId014"/>
      <w:r w:rsidRPr="00CA4C14">
        <w:rPr>
          <w:lang w:val="ru-RU"/>
        </w:rPr>
        <w:t>b)</w:t>
      </w:r>
      <w:r w:rsidRPr="00CA4C14">
        <w:rPr>
          <w:lang w:val="ru-RU"/>
        </w:rPr>
        <w:tab/>
      </w:r>
      <w:r w:rsidR="0044421F" w:rsidRPr="00CA4C14">
        <w:rPr>
          <w:lang w:val="ru-RU"/>
        </w:rPr>
        <w:t xml:space="preserve">Прочие </w:t>
      </w:r>
      <w:r w:rsidRPr="00CA4C14">
        <w:rPr>
          <w:lang w:val="ru-RU"/>
        </w:rPr>
        <w:t xml:space="preserve">доходы, включая внебюджетные </w:t>
      </w:r>
      <w:r w:rsidR="00785361" w:rsidRPr="00CA4C14">
        <w:rPr>
          <w:lang w:val="ru-RU"/>
        </w:rPr>
        <w:t>средства</w:t>
      </w:r>
      <w:r w:rsidRPr="00CA4C14">
        <w:rPr>
          <w:lang w:val="ru-RU"/>
        </w:rPr>
        <w:t>, не отражаются в бюджете</w:t>
      </w:r>
      <w:r w:rsidR="0044421F" w:rsidRPr="00CA4C14">
        <w:rPr>
          <w:lang w:val="ru-RU"/>
        </w:rPr>
        <w:t> </w:t>
      </w:r>
      <w:r w:rsidRPr="00CA4C14">
        <w:rPr>
          <w:lang w:val="ru-RU"/>
        </w:rPr>
        <w:t>Союза.</w:t>
      </w:r>
      <w:bookmarkEnd w:id="15"/>
    </w:p>
    <w:p w14:paraId="1BA86ABB" w14:textId="14691FF5" w:rsidR="00FD41E0" w:rsidRPr="00CA4C14" w:rsidRDefault="007B63F8" w:rsidP="007B63F8">
      <w:pPr>
        <w:rPr>
          <w:lang w:val="ru-RU"/>
        </w:rPr>
      </w:pPr>
      <w:r w:rsidRPr="00CA4C14">
        <w:rPr>
          <w:lang w:val="ru-RU"/>
        </w:rPr>
        <w:t>3</w:t>
      </w:r>
      <w:r w:rsidRPr="00CA4C14">
        <w:rPr>
          <w:lang w:val="ru-RU"/>
        </w:rPr>
        <w:tab/>
        <w:t>Представление финансовой отчетности на основе IPSAS не влияет ни на подготовку бюджета МСЭ, ориентированного на результаты, ни на отчетность по нему, которая по</w:t>
      </w:r>
      <w:r w:rsidR="00DF6F9A" w:rsidRPr="00CA4C14">
        <w:rPr>
          <w:lang w:val="ru-RU"/>
        </w:rPr>
        <w:noBreakHyphen/>
      </w:r>
      <w:r w:rsidRPr="00CA4C14">
        <w:rPr>
          <w:lang w:val="ru-RU"/>
        </w:rPr>
        <w:t>прежнему составляется с использованием модифицированного кассового метода. Ввиду того, что основы составления бюджета и финансовой отчетности различаются, сопоставление бюджета и отчета о результатах финансовой деятельности согласно IPSAS представлено в разделе "</w:t>
      </w:r>
      <w:r w:rsidR="008F1FB7" w:rsidRPr="00CA4C14">
        <w:rPr>
          <w:lang w:val="ru-RU"/>
        </w:rPr>
        <w:t>Отчет </w:t>
      </w:r>
      <w:r w:rsidRPr="00CA4C14">
        <w:rPr>
          <w:lang w:val="ru-RU"/>
        </w:rPr>
        <w:t>V: Отчет о сопоставлении бюджета и фактических сумм" в Примечании</w:t>
      </w:r>
      <w:r w:rsidR="00BE1CA8" w:rsidRPr="00CA4C14">
        <w:rPr>
          <w:lang w:val="ru-RU"/>
        </w:rPr>
        <w:t> </w:t>
      </w:r>
      <w:r w:rsidRPr="00CA4C14">
        <w:rPr>
          <w:lang w:val="ru-RU"/>
        </w:rPr>
        <w:t>2</w:t>
      </w:r>
      <w:r w:rsidR="0044421F" w:rsidRPr="00CA4C14">
        <w:rPr>
          <w:lang w:val="ru-RU"/>
        </w:rPr>
        <w:t>4</w:t>
      </w:r>
      <w:r w:rsidRPr="00CA4C14">
        <w:rPr>
          <w:lang w:val="ru-RU"/>
        </w:rPr>
        <w:t xml:space="preserve"> к финансовой отчетности.</w:t>
      </w:r>
    </w:p>
    <w:p w14:paraId="084A4235" w14:textId="35A73AD2" w:rsidR="009520F9" w:rsidRPr="00CA4C14" w:rsidRDefault="009520F9" w:rsidP="007B38D5">
      <w:pPr>
        <w:pStyle w:val="Heading1"/>
        <w:rPr>
          <w:rFonts w:asciiTheme="minorHAnsi" w:hAnsiTheme="minorHAnsi" w:cstheme="minorHAnsi"/>
          <w:w w:val="105"/>
          <w:lang w:val="ru-RU"/>
        </w:rPr>
      </w:pPr>
      <w:bookmarkStart w:id="16" w:name="_Toc130976541"/>
      <w:bookmarkStart w:id="17" w:name="_Toc131078174"/>
      <w:bookmarkStart w:id="18" w:name="_Toc131156408"/>
      <w:bookmarkStart w:id="19" w:name="lt_pId017"/>
      <w:bookmarkStart w:id="20" w:name="_Toc167956612"/>
      <w:bookmarkStart w:id="21" w:name="_Toc167956851"/>
      <w:bookmarkStart w:id="22" w:name="_Toc167957155"/>
      <w:bookmarkStart w:id="23" w:name="_Toc168578436"/>
      <w:r w:rsidRPr="00CA4C14">
        <w:rPr>
          <w:lang w:val="ru-RU"/>
        </w:rPr>
        <w:t xml:space="preserve">Основные аспекты Отчета о финансовой деятельности за </w:t>
      </w:r>
      <w:bookmarkEnd w:id="16"/>
      <w:bookmarkEnd w:id="17"/>
      <w:bookmarkEnd w:id="18"/>
      <w:r w:rsidRPr="00CA4C14">
        <w:rPr>
          <w:lang w:val="ru-RU"/>
        </w:rPr>
        <w:t>202</w:t>
      </w:r>
      <w:bookmarkEnd w:id="19"/>
      <w:r w:rsidR="000C60D5" w:rsidRPr="00CA4C14">
        <w:rPr>
          <w:lang w:val="ru-RU"/>
        </w:rPr>
        <w:t>3</w:t>
      </w:r>
      <w:r w:rsidRPr="00CA4C14">
        <w:rPr>
          <w:lang w:val="ru-RU"/>
        </w:rPr>
        <w:t> год</w:t>
      </w:r>
      <w:bookmarkEnd w:id="20"/>
      <w:bookmarkEnd w:id="21"/>
      <w:bookmarkEnd w:id="22"/>
      <w:bookmarkEnd w:id="23"/>
    </w:p>
    <w:p w14:paraId="23DAA76C" w14:textId="67DDABB1" w:rsidR="009520F9" w:rsidRPr="00CA4C14" w:rsidRDefault="009520F9" w:rsidP="009520F9">
      <w:pPr>
        <w:rPr>
          <w:lang w:val="ru-RU"/>
        </w:rPr>
      </w:pPr>
      <w:r w:rsidRPr="00CA4C14">
        <w:rPr>
          <w:lang w:val="ru-RU"/>
        </w:rPr>
        <w:t>4</w:t>
      </w:r>
      <w:r w:rsidRPr="00CA4C14">
        <w:rPr>
          <w:lang w:val="ru-RU"/>
        </w:rPr>
        <w:tab/>
        <w:t xml:space="preserve">Счета Союза ведутся в швейцарских франках. Представленная финансовая отчетность включает </w:t>
      </w:r>
      <w:r w:rsidR="00785361" w:rsidRPr="00CA4C14">
        <w:rPr>
          <w:lang w:val="ru-RU"/>
        </w:rPr>
        <w:t>все источники</w:t>
      </w:r>
      <w:r w:rsidR="000C60D5" w:rsidRPr="00CA4C14">
        <w:rPr>
          <w:lang w:val="ru-RU"/>
        </w:rPr>
        <w:t xml:space="preserve"> </w:t>
      </w:r>
      <w:r w:rsidRPr="00CA4C14">
        <w:rPr>
          <w:lang w:val="ru-RU"/>
        </w:rPr>
        <w:t xml:space="preserve">средств </w:t>
      </w:r>
      <w:r w:rsidR="000C60D5" w:rsidRPr="00CA4C14">
        <w:rPr>
          <w:lang w:val="ru-RU"/>
        </w:rPr>
        <w:t xml:space="preserve">МСЭ, включая </w:t>
      </w:r>
      <w:r w:rsidR="00785361" w:rsidRPr="00CA4C14">
        <w:rPr>
          <w:lang w:val="ru-RU"/>
        </w:rPr>
        <w:t>регулярный бюджет и внебюджетные средства</w:t>
      </w:r>
      <w:r w:rsidRPr="00CA4C14">
        <w:rPr>
          <w:lang w:val="ru-RU"/>
        </w:rPr>
        <w:t>.</w:t>
      </w:r>
    </w:p>
    <w:p w14:paraId="1655AE9B" w14:textId="16158F88" w:rsidR="009520F9" w:rsidRPr="00CA4C14" w:rsidRDefault="009520F9" w:rsidP="009520F9">
      <w:pPr>
        <w:rPr>
          <w:lang w:val="ru-RU"/>
        </w:rPr>
      </w:pPr>
      <w:bookmarkStart w:id="24" w:name="lt_pId020"/>
      <w:r w:rsidRPr="00CA4C14">
        <w:rPr>
          <w:lang w:val="ru-RU"/>
        </w:rPr>
        <w:t>5</w:t>
      </w:r>
      <w:r w:rsidRPr="00CA4C14">
        <w:rPr>
          <w:lang w:val="ru-RU"/>
        </w:rPr>
        <w:tab/>
        <w:t>В Таблице</w:t>
      </w:r>
      <w:r w:rsidR="00AB423A" w:rsidRPr="00CA4C14">
        <w:rPr>
          <w:lang w:val="ru-RU"/>
        </w:rPr>
        <w:t> </w:t>
      </w:r>
      <w:r w:rsidRPr="00CA4C14">
        <w:rPr>
          <w:lang w:val="ru-RU"/>
        </w:rPr>
        <w:t>1</w:t>
      </w:r>
      <w:r w:rsidR="00BE1CA8" w:rsidRPr="00CA4C14">
        <w:rPr>
          <w:lang w:val="ru-RU"/>
        </w:rPr>
        <w:t>,</w:t>
      </w:r>
      <w:r w:rsidRPr="00CA4C14">
        <w:rPr>
          <w:lang w:val="ru-RU"/>
        </w:rPr>
        <w:t xml:space="preserve"> ниже</w:t>
      </w:r>
      <w:r w:rsidR="00BE1CA8" w:rsidRPr="00CA4C14">
        <w:rPr>
          <w:lang w:val="ru-RU"/>
        </w:rPr>
        <w:t>,</w:t>
      </w:r>
      <w:r w:rsidRPr="00CA4C14">
        <w:rPr>
          <w:lang w:val="ru-RU"/>
        </w:rPr>
        <w:t xml:space="preserve"> </w:t>
      </w:r>
      <w:r w:rsidR="00785361" w:rsidRPr="00CA4C14">
        <w:rPr>
          <w:lang w:val="ru-RU"/>
        </w:rPr>
        <w:t xml:space="preserve">в </w:t>
      </w:r>
      <w:r w:rsidRPr="00CA4C14">
        <w:rPr>
          <w:lang w:val="ru-RU"/>
        </w:rPr>
        <w:t>обобщен</w:t>
      </w:r>
      <w:r w:rsidR="00785361" w:rsidRPr="00CA4C14">
        <w:rPr>
          <w:lang w:val="ru-RU"/>
        </w:rPr>
        <w:t>ной форме представлено</w:t>
      </w:r>
      <w:r w:rsidRPr="00CA4C14">
        <w:rPr>
          <w:lang w:val="ru-RU"/>
        </w:rPr>
        <w:t xml:space="preserve"> финансовое положение МСЭ в 202</w:t>
      </w:r>
      <w:r w:rsidR="0032364D" w:rsidRPr="00CA4C14">
        <w:rPr>
          <w:lang w:val="ru-RU"/>
        </w:rPr>
        <w:t>3</w:t>
      </w:r>
      <w:r w:rsidR="009053A9" w:rsidRPr="00CA4C14">
        <w:rPr>
          <w:lang w:val="ru-RU"/>
        </w:rPr>
        <w:t> год</w:t>
      </w:r>
      <w:r w:rsidRPr="00CA4C14">
        <w:rPr>
          <w:lang w:val="ru-RU"/>
        </w:rPr>
        <w:t>у по сравнению с предыдущим 202</w:t>
      </w:r>
      <w:r w:rsidR="0032364D" w:rsidRPr="00CA4C14">
        <w:rPr>
          <w:lang w:val="ru-RU"/>
        </w:rPr>
        <w:t>2</w:t>
      </w:r>
      <w:r w:rsidR="009053A9" w:rsidRPr="00CA4C14">
        <w:rPr>
          <w:lang w:val="ru-RU"/>
        </w:rPr>
        <w:t> год</w:t>
      </w:r>
      <w:r w:rsidRPr="00CA4C14">
        <w:rPr>
          <w:lang w:val="ru-RU"/>
        </w:rPr>
        <w:t>ом.</w:t>
      </w:r>
      <w:bookmarkEnd w:id="24"/>
    </w:p>
    <w:p w14:paraId="2B0FB366" w14:textId="24C419EF" w:rsidR="009520F9" w:rsidRPr="00CA4C14" w:rsidRDefault="009520F9">
      <w:pPr>
        <w:tabs>
          <w:tab w:val="clear" w:pos="794"/>
          <w:tab w:val="clear" w:pos="1191"/>
          <w:tab w:val="clear" w:pos="1588"/>
          <w:tab w:val="clear" w:pos="1985"/>
        </w:tabs>
        <w:overflowPunct/>
        <w:autoSpaceDE/>
        <w:autoSpaceDN/>
        <w:adjustRightInd/>
        <w:spacing w:before="0"/>
        <w:textAlignment w:val="auto"/>
        <w:rPr>
          <w:lang w:val="ru-RU"/>
        </w:rPr>
      </w:pPr>
      <w:r w:rsidRPr="00CA4C14">
        <w:rPr>
          <w:lang w:val="ru-RU"/>
        </w:rPr>
        <w:br w:type="page"/>
      </w:r>
    </w:p>
    <w:p w14:paraId="747F4CC5" w14:textId="3B5A95E4" w:rsidR="001F7B47" w:rsidRPr="00CA4C14" w:rsidRDefault="009E7F25" w:rsidP="00B779E6">
      <w:pPr>
        <w:pStyle w:val="Figuretitle"/>
        <w:rPr>
          <w:lang w:val="ru-RU"/>
        </w:rPr>
      </w:pPr>
      <w:r w:rsidRPr="00CA4C14">
        <w:rPr>
          <w:lang w:val="ru-RU"/>
        </w:rPr>
        <w:lastRenderedPageBreak/>
        <w:t>Рисунок</w:t>
      </w:r>
      <w:r w:rsidR="0032364D" w:rsidRPr="00CA4C14">
        <w:rPr>
          <w:lang w:val="ru-RU"/>
        </w:rPr>
        <w:t xml:space="preserve"> 1 </w:t>
      </w:r>
      <w:r w:rsidR="0032364D" w:rsidRPr="00CA4C14">
        <w:rPr>
          <w:lang w:val="ru-RU"/>
        </w:rPr>
        <w:sym w:font="Symbol" w:char="F02D"/>
      </w:r>
      <w:r w:rsidR="0032364D" w:rsidRPr="00CA4C14">
        <w:rPr>
          <w:lang w:val="ru-RU"/>
        </w:rPr>
        <w:t xml:space="preserve"> Финансовое положение в </w:t>
      </w:r>
      <w:r w:rsidR="00D4567B" w:rsidRPr="00CA4C14">
        <w:rPr>
          <w:lang w:val="ru-RU"/>
        </w:rPr>
        <w:t xml:space="preserve">2023 </w:t>
      </w:r>
      <w:r w:rsidR="0032364D" w:rsidRPr="00CA4C14">
        <w:rPr>
          <w:lang w:val="ru-RU"/>
        </w:rPr>
        <w:t>и</w:t>
      </w:r>
      <w:r w:rsidR="00D4567B" w:rsidRPr="00CA4C14">
        <w:rPr>
          <w:lang w:val="ru-RU"/>
        </w:rPr>
        <w:t xml:space="preserve"> 2022</w:t>
      </w:r>
      <w:r w:rsidR="0032364D" w:rsidRPr="00CA4C14">
        <w:rPr>
          <w:lang w:val="ru-RU"/>
        </w:rPr>
        <w:t> годах</w:t>
      </w:r>
    </w:p>
    <w:p w14:paraId="712FAB50" w14:textId="1E42AF2F" w:rsidR="001F7B47" w:rsidRPr="00CA4C14" w:rsidRDefault="001F7B47" w:rsidP="0032364D">
      <w:pPr>
        <w:pStyle w:val="Figure"/>
        <w:rPr>
          <w:lang w:val="ru-RU"/>
        </w:rPr>
      </w:pPr>
      <w:r w:rsidRPr="00CA4C14">
        <w:rPr>
          <w:noProof/>
          <w:lang w:val="ru-RU"/>
        </w:rPr>
        <w:drawing>
          <wp:inline distT="0" distB="0" distL="0" distR="0" wp14:anchorId="7F4766FA" wp14:editId="2BF310DC">
            <wp:extent cx="4795838" cy="3137535"/>
            <wp:effectExtent l="0" t="0" r="5080" b="5715"/>
            <wp:docPr id="326992508" name="Chart 1">
              <a:extLst xmlns:a="http://schemas.openxmlformats.org/drawingml/2006/main">
                <a:ext uri="{FF2B5EF4-FFF2-40B4-BE49-F238E27FC236}">
                  <a16:creationId xmlns:a16="http://schemas.microsoft.com/office/drawing/2014/main" id="{D1F8176F-0E79-4EB5-F5DD-17481404E0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AEAA3F" w14:textId="593284A6" w:rsidR="0032364D" w:rsidRPr="00CA4C14" w:rsidRDefault="0032364D" w:rsidP="0032364D">
      <w:pPr>
        <w:rPr>
          <w:lang w:val="ru-RU"/>
        </w:rPr>
      </w:pPr>
      <w:r w:rsidRPr="00CA4C14">
        <w:rPr>
          <w:lang w:val="ru-RU"/>
        </w:rPr>
        <w:t>6</w:t>
      </w:r>
      <w:r w:rsidRPr="00CA4C14">
        <w:rPr>
          <w:lang w:val="ru-RU"/>
        </w:rPr>
        <w:tab/>
        <w:t xml:space="preserve">Как показано </w:t>
      </w:r>
      <w:r w:rsidR="00477668" w:rsidRPr="00CA4C14">
        <w:rPr>
          <w:lang w:val="ru-RU"/>
        </w:rPr>
        <w:t>на Рисунке</w:t>
      </w:r>
      <w:r w:rsidRPr="00CA4C14">
        <w:rPr>
          <w:lang w:val="ru-RU"/>
        </w:rPr>
        <w:t xml:space="preserve"> 1</w:t>
      </w:r>
      <w:r w:rsidR="00BE1CA8" w:rsidRPr="00CA4C14">
        <w:rPr>
          <w:lang w:val="ru-RU"/>
        </w:rPr>
        <w:t>,</w:t>
      </w:r>
      <w:r w:rsidRPr="00CA4C14">
        <w:rPr>
          <w:lang w:val="ru-RU"/>
        </w:rPr>
        <w:t xml:space="preserve"> выше, </w:t>
      </w:r>
      <w:r w:rsidR="00621926" w:rsidRPr="00CA4C14">
        <w:rPr>
          <w:rFonts w:asciiTheme="minorHAnsi" w:hAnsiTheme="minorHAnsi" w:cstheme="minorBidi"/>
          <w:lang w:val="ru-RU"/>
        </w:rPr>
        <w:t xml:space="preserve">наблюдается снижение общих доходов в </w:t>
      </w:r>
      <w:r w:rsidRPr="00CA4C14">
        <w:rPr>
          <w:lang w:val="ru-RU"/>
        </w:rPr>
        <w:t>2023</w:t>
      </w:r>
      <w:r w:rsidR="00621926" w:rsidRPr="00CA4C14">
        <w:rPr>
          <w:lang w:val="ru-RU"/>
        </w:rPr>
        <w:t xml:space="preserve"> году </w:t>
      </w:r>
      <w:r w:rsidR="00621926" w:rsidRPr="00CA4C14">
        <w:rPr>
          <w:rFonts w:asciiTheme="minorHAnsi" w:hAnsiTheme="minorHAnsi" w:cstheme="minorBidi"/>
          <w:lang w:val="ru-RU"/>
        </w:rPr>
        <w:t xml:space="preserve">по сравнению с </w:t>
      </w:r>
      <w:r w:rsidRPr="00CA4C14">
        <w:rPr>
          <w:lang w:val="ru-RU"/>
        </w:rPr>
        <w:t>2022</w:t>
      </w:r>
      <w:r w:rsidR="00621926" w:rsidRPr="00CA4C14">
        <w:rPr>
          <w:lang w:val="ru-RU"/>
        </w:rPr>
        <w:t> годом</w:t>
      </w:r>
      <w:r w:rsidRPr="00CA4C14">
        <w:rPr>
          <w:lang w:val="ru-RU"/>
        </w:rPr>
        <w:t xml:space="preserve"> </w:t>
      </w:r>
      <w:r w:rsidR="00621926" w:rsidRPr="00CA4C14">
        <w:rPr>
          <w:rFonts w:asciiTheme="minorHAnsi" w:hAnsiTheme="minorHAnsi" w:cstheme="minorBidi"/>
          <w:lang w:val="ru-RU"/>
        </w:rPr>
        <w:t xml:space="preserve">на </w:t>
      </w:r>
      <w:r w:rsidRPr="00CA4C14">
        <w:rPr>
          <w:lang w:val="ru-RU"/>
        </w:rPr>
        <w:t>6,1</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Pr="00CA4C14">
        <w:rPr>
          <w:lang w:val="ru-RU"/>
        </w:rPr>
        <w:t xml:space="preserve">их франков. </w:t>
      </w:r>
      <w:r w:rsidR="00D70A89" w:rsidRPr="00CA4C14">
        <w:rPr>
          <w:lang w:val="ru-RU"/>
        </w:rPr>
        <w:t>Основной фактор увеличения финансовых расходов</w:t>
      </w:r>
      <w:r w:rsidRPr="00CA4C14">
        <w:rPr>
          <w:lang w:val="ru-RU"/>
        </w:rPr>
        <w:t xml:space="preserve"> </w:t>
      </w:r>
      <w:r w:rsidR="00621926" w:rsidRPr="00CA4C14">
        <w:rPr>
          <w:lang w:val="ru-RU"/>
        </w:rPr>
        <w:t>на</w:t>
      </w:r>
      <w:r w:rsidRPr="00CA4C14">
        <w:rPr>
          <w:lang w:val="ru-RU"/>
        </w:rPr>
        <w:t xml:space="preserve"> 14,8</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Pr="00CA4C14">
        <w:rPr>
          <w:lang w:val="ru-RU"/>
        </w:rPr>
        <w:t xml:space="preserve">их франков </w:t>
      </w:r>
      <w:r w:rsidR="00D70A89" w:rsidRPr="00CA4C14">
        <w:rPr>
          <w:lang w:val="ru-RU"/>
        </w:rPr>
        <w:t xml:space="preserve">частично компенсируется увеличением доходов от продажи публикаций </w:t>
      </w:r>
      <w:r w:rsidRPr="00CA4C14">
        <w:rPr>
          <w:lang w:val="ru-RU"/>
        </w:rPr>
        <w:t>(2,1</w:t>
      </w:r>
      <w:r w:rsidR="009053A9" w:rsidRPr="00CA4C14">
        <w:rPr>
          <w:lang w:val="ru-RU"/>
        </w:rPr>
        <w:t> млн. шв</w:t>
      </w:r>
      <w:r w:rsidR="00BE1CA8" w:rsidRPr="00CA4C14">
        <w:rPr>
          <w:lang w:val="ru-RU"/>
        </w:rPr>
        <w:t>.</w:t>
      </w:r>
      <w:r w:rsidRPr="00CA4C14">
        <w:rPr>
          <w:lang w:val="ru-RU"/>
        </w:rPr>
        <w:t xml:space="preserve"> фр</w:t>
      </w:r>
      <w:r w:rsidR="00BE1CA8" w:rsidRPr="00CA4C14">
        <w:rPr>
          <w:lang w:val="ru-RU"/>
        </w:rPr>
        <w:t>.</w:t>
      </w:r>
      <w:r w:rsidRPr="00CA4C14">
        <w:rPr>
          <w:lang w:val="ru-RU"/>
        </w:rPr>
        <w:t xml:space="preserve">), </w:t>
      </w:r>
      <w:r w:rsidR="00D70A89" w:rsidRPr="00CA4C14">
        <w:rPr>
          <w:lang w:val="ru-RU"/>
        </w:rPr>
        <w:t>прочих доходов</w:t>
      </w:r>
      <w:r w:rsidRPr="00CA4C14">
        <w:rPr>
          <w:lang w:val="ru-RU"/>
        </w:rPr>
        <w:t xml:space="preserve"> (5,2</w:t>
      </w:r>
      <w:r w:rsidR="009053A9" w:rsidRPr="00CA4C14">
        <w:rPr>
          <w:lang w:val="ru-RU"/>
        </w:rPr>
        <w:t> млн.</w:t>
      </w:r>
      <w:r w:rsidR="00DC0E8F" w:rsidRPr="00CA4C14">
        <w:rPr>
          <w:lang w:val="ru-RU"/>
        </w:rPr>
        <w:t> </w:t>
      </w:r>
      <w:r w:rsidR="009053A9" w:rsidRPr="00CA4C14">
        <w:rPr>
          <w:lang w:val="ru-RU"/>
        </w:rPr>
        <w:t>шв</w:t>
      </w:r>
      <w:r w:rsidR="00BE1CA8" w:rsidRPr="00CA4C14">
        <w:rPr>
          <w:lang w:val="ru-RU"/>
        </w:rPr>
        <w:t>.</w:t>
      </w:r>
      <w:r w:rsidR="00DC0E8F" w:rsidRPr="00CA4C14">
        <w:rPr>
          <w:lang w:val="ru-RU"/>
        </w:rPr>
        <w:t> </w:t>
      </w:r>
      <w:r w:rsidRPr="00CA4C14">
        <w:rPr>
          <w:lang w:val="ru-RU"/>
        </w:rPr>
        <w:t>фр</w:t>
      </w:r>
      <w:r w:rsidR="00BE1CA8" w:rsidRPr="00CA4C14">
        <w:rPr>
          <w:lang w:val="ru-RU"/>
        </w:rPr>
        <w:t>.</w:t>
      </w:r>
      <w:r w:rsidRPr="00CA4C14">
        <w:rPr>
          <w:lang w:val="ru-RU"/>
        </w:rPr>
        <w:t>),</w:t>
      </w:r>
      <w:r w:rsidR="00235368" w:rsidRPr="00CA4C14">
        <w:rPr>
          <w:lang w:val="ru-RU"/>
        </w:rPr>
        <w:t xml:space="preserve"> поступлений</w:t>
      </w:r>
      <w:r w:rsidRPr="00CA4C14">
        <w:rPr>
          <w:lang w:val="ru-RU"/>
        </w:rPr>
        <w:t xml:space="preserve"> </w:t>
      </w:r>
      <w:r w:rsidR="00D70A89" w:rsidRPr="00CA4C14">
        <w:rPr>
          <w:lang w:val="ru-RU"/>
        </w:rPr>
        <w:t xml:space="preserve">внебюджетных </w:t>
      </w:r>
      <w:r w:rsidR="001B4A0D" w:rsidRPr="00CA4C14">
        <w:rPr>
          <w:lang w:val="ru-RU"/>
        </w:rPr>
        <w:t>средств</w:t>
      </w:r>
      <w:r w:rsidRPr="00CA4C14">
        <w:rPr>
          <w:lang w:val="ru-RU"/>
        </w:rPr>
        <w:t xml:space="preserve"> (1,1</w:t>
      </w:r>
      <w:r w:rsidR="009053A9" w:rsidRPr="00CA4C14">
        <w:rPr>
          <w:lang w:val="ru-RU"/>
        </w:rPr>
        <w:t> млн. шв</w:t>
      </w:r>
      <w:r w:rsidR="00BE1CA8" w:rsidRPr="00CA4C14">
        <w:rPr>
          <w:lang w:val="ru-RU"/>
        </w:rPr>
        <w:t>.</w:t>
      </w:r>
      <w:r w:rsidRPr="00CA4C14">
        <w:rPr>
          <w:lang w:val="ru-RU"/>
        </w:rPr>
        <w:t xml:space="preserve"> фр</w:t>
      </w:r>
      <w:r w:rsidR="00BE1CA8" w:rsidRPr="00CA4C14">
        <w:rPr>
          <w:lang w:val="ru-RU"/>
        </w:rPr>
        <w:t>.</w:t>
      </w:r>
      <w:r w:rsidRPr="00CA4C14">
        <w:rPr>
          <w:lang w:val="ru-RU"/>
        </w:rPr>
        <w:t xml:space="preserve">) </w:t>
      </w:r>
      <w:r w:rsidR="00D70A89" w:rsidRPr="00CA4C14">
        <w:rPr>
          <w:lang w:val="ru-RU"/>
        </w:rPr>
        <w:t>и доходов по линии обработки заявок на регистрацию спутниковых сетей</w:t>
      </w:r>
      <w:r w:rsidRPr="00CA4C14">
        <w:rPr>
          <w:lang w:val="ru-RU"/>
        </w:rPr>
        <w:t xml:space="preserve"> (0</w:t>
      </w:r>
      <w:r w:rsidR="003A5A09" w:rsidRPr="00CA4C14">
        <w:rPr>
          <w:lang w:val="ru-RU"/>
        </w:rPr>
        <w:t>,</w:t>
      </w:r>
      <w:r w:rsidRPr="00CA4C14">
        <w:rPr>
          <w:lang w:val="ru-RU"/>
        </w:rPr>
        <w:t>3</w:t>
      </w:r>
      <w:r w:rsidR="009053A9" w:rsidRPr="00CA4C14">
        <w:rPr>
          <w:lang w:val="ru-RU"/>
        </w:rPr>
        <w:t> млн. шв</w:t>
      </w:r>
      <w:r w:rsidR="00BE1CA8" w:rsidRPr="00CA4C14">
        <w:rPr>
          <w:lang w:val="ru-RU"/>
        </w:rPr>
        <w:t>.</w:t>
      </w:r>
      <w:r w:rsidR="003A5A09" w:rsidRPr="00CA4C14">
        <w:rPr>
          <w:lang w:val="ru-RU"/>
        </w:rPr>
        <w:t xml:space="preserve"> фр</w:t>
      </w:r>
      <w:r w:rsidR="00BE1CA8" w:rsidRPr="00CA4C14">
        <w:rPr>
          <w:lang w:val="ru-RU"/>
        </w:rPr>
        <w:t>.</w:t>
      </w:r>
      <w:r w:rsidRPr="00CA4C14">
        <w:rPr>
          <w:lang w:val="ru-RU"/>
        </w:rPr>
        <w:t xml:space="preserve">). </w:t>
      </w:r>
      <w:r w:rsidR="000957A1" w:rsidRPr="00CA4C14">
        <w:rPr>
          <w:lang w:val="ru-RU"/>
        </w:rPr>
        <w:t xml:space="preserve">Расходы за </w:t>
      </w:r>
      <w:r w:rsidRPr="00CA4C14">
        <w:rPr>
          <w:lang w:val="ru-RU"/>
        </w:rPr>
        <w:t>2023</w:t>
      </w:r>
      <w:r w:rsidR="009053A9" w:rsidRPr="00CA4C14">
        <w:rPr>
          <w:lang w:val="ru-RU"/>
        </w:rPr>
        <w:t> год</w:t>
      </w:r>
      <w:r w:rsidR="000957A1" w:rsidRPr="00CA4C14">
        <w:rPr>
          <w:lang w:val="ru-RU"/>
        </w:rPr>
        <w:t xml:space="preserve"> оставались достаточно стабильными на уровне</w:t>
      </w:r>
      <w:r w:rsidRPr="00CA4C14">
        <w:rPr>
          <w:lang w:val="ru-RU"/>
        </w:rPr>
        <w:t xml:space="preserve"> 197</w:t>
      </w:r>
      <w:r w:rsidR="003A5A09" w:rsidRPr="00CA4C14">
        <w:rPr>
          <w:lang w:val="ru-RU"/>
        </w:rPr>
        <w:t>,</w:t>
      </w:r>
      <w:r w:rsidRPr="00CA4C14">
        <w:rPr>
          <w:lang w:val="ru-RU"/>
        </w:rPr>
        <w:t>2</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003A5A09" w:rsidRPr="00CA4C14">
        <w:rPr>
          <w:lang w:val="ru-RU"/>
        </w:rPr>
        <w:t xml:space="preserve">их франков </w:t>
      </w:r>
      <w:r w:rsidR="000957A1" w:rsidRPr="00CA4C14">
        <w:rPr>
          <w:lang w:val="ru-RU"/>
        </w:rPr>
        <w:t>по сравнению с</w:t>
      </w:r>
      <w:r w:rsidRPr="00CA4C14">
        <w:rPr>
          <w:lang w:val="ru-RU"/>
        </w:rPr>
        <w:t xml:space="preserve"> 196</w:t>
      </w:r>
      <w:r w:rsidR="003A5A09" w:rsidRPr="00CA4C14">
        <w:rPr>
          <w:lang w:val="ru-RU"/>
        </w:rPr>
        <w:t>,</w:t>
      </w:r>
      <w:r w:rsidRPr="00CA4C14">
        <w:rPr>
          <w:lang w:val="ru-RU"/>
        </w:rPr>
        <w:t>8</w:t>
      </w:r>
      <w:r w:rsidR="009053A9" w:rsidRPr="00CA4C14">
        <w:rPr>
          <w:lang w:val="ru-RU"/>
        </w:rPr>
        <w:t> млн. швейцарск</w:t>
      </w:r>
      <w:r w:rsidR="003A5A09" w:rsidRPr="00CA4C14">
        <w:rPr>
          <w:lang w:val="ru-RU"/>
        </w:rPr>
        <w:t xml:space="preserve">их франков </w:t>
      </w:r>
      <w:r w:rsidR="000957A1" w:rsidRPr="00CA4C14">
        <w:rPr>
          <w:lang w:val="ru-RU"/>
        </w:rPr>
        <w:t>в</w:t>
      </w:r>
      <w:r w:rsidRPr="00CA4C14">
        <w:rPr>
          <w:lang w:val="ru-RU"/>
        </w:rPr>
        <w:t xml:space="preserve"> 2022</w:t>
      </w:r>
      <w:r w:rsidR="003A5A09" w:rsidRPr="00CA4C14">
        <w:rPr>
          <w:lang w:val="ru-RU"/>
        </w:rPr>
        <w:t> году</w:t>
      </w:r>
      <w:r w:rsidRPr="00CA4C14">
        <w:rPr>
          <w:lang w:val="ru-RU"/>
        </w:rPr>
        <w:t xml:space="preserve">, </w:t>
      </w:r>
      <w:r w:rsidR="001B4A0D" w:rsidRPr="00CA4C14">
        <w:rPr>
          <w:lang w:val="ru-RU"/>
        </w:rPr>
        <w:t xml:space="preserve">что является чистым результатом увеличения </w:t>
      </w:r>
      <w:r w:rsidR="000957A1" w:rsidRPr="00CA4C14">
        <w:rPr>
          <w:lang w:val="ru-RU"/>
        </w:rPr>
        <w:t xml:space="preserve">затрат, не связанных с персоналом, которые </w:t>
      </w:r>
      <w:r w:rsidR="001B4A0D" w:rsidRPr="00CA4C14">
        <w:rPr>
          <w:lang w:val="ru-RU"/>
        </w:rPr>
        <w:t xml:space="preserve">были частично компенсированы снижением </w:t>
      </w:r>
      <w:r w:rsidR="000957A1" w:rsidRPr="00CA4C14">
        <w:rPr>
          <w:lang w:val="ru-RU"/>
        </w:rPr>
        <w:t>затрат по персоналу</w:t>
      </w:r>
      <w:r w:rsidRPr="00CA4C14">
        <w:rPr>
          <w:lang w:val="ru-RU"/>
        </w:rPr>
        <w:t xml:space="preserve">. </w:t>
      </w:r>
      <w:r w:rsidR="000957A1" w:rsidRPr="00CA4C14">
        <w:rPr>
          <w:lang w:val="ru-RU"/>
        </w:rPr>
        <w:t>В следующих далее разделах представлен дальнейший анализ доходов и расходов</w:t>
      </w:r>
      <w:r w:rsidRPr="00CA4C14">
        <w:rPr>
          <w:lang w:val="ru-RU"/>
        </w:rPr>
        <w:t>.</w:t>
      </w:r>
    </w:p>
    <w:p w14:paraId="09C5F820" w14:textId="2F6944E7" w:rsidR="0032364D" w:rsidRPr="00CA4C14" w:rsidRDefault="0032364D" w:rsidP="0032364D">
      <w:pPr>
        <w:rPr>
          <w:lang w:val="ru-RU"/>
        </w:rPr>
      </w:pPr>
      <w:r w:rsidRPr="00CA4C14">
        <w:rPr>
          <w:lang w:val="ru-RU"/>
        </w:rPr>
        <w:t>7</w:t>
      </w:r>
      <w:r w:rsidRPr="00CA4C14">
        <w:rPr>
          <w:lang w:val="ru-RU"/>
        </w:rPr>
        <w:tab/>
      </w:r>
      <w:r w:rsidR="001B4A0D" w:rsidRPr="00CA4C14">
        <w:rPr>
          <w:lang w:val="ru-RU"/>
        </w:rPr>
        <w:t xml:space="preserve">Активы организации сократились </w:t>
      </w:r>
      <w:r w:rsidR="00477668" w:rsidRPr="00CA4C14">
        <w:rPr>
          <w:lang w:val="ru-RU"/>
        </w:rPr>
        <w:t xml:space="preserve">на </w:t>
      </w:r>
      <w:r w:rsidRPr="00CA4C14">
        <w:rPr>
          <w:lang w:val="ru-RU"/>
        </w:rPr>
        <w:t>9</w:t>
      </w:r>
      <w:r w:rsidR="00B779E6" w:rsidRPr="00CA4C14">
        <w:rPr>
          <w:lang w:val="ru-RU"/>
        </w:rPr>
        <w:t>,</w:t>
      </w:r>
      <w:r w:rsidRPr="00CA4C14">
        <w:rPr>
          <w:lang w:val="ru-RU"/>
        </w:rPr>
        <w:t>4</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00B779E6" w:rsidRPr="00CA4C14">
        <w:rPr>
          <w:lang w:val="ru-RU"/>
        </w:rPr>
        <w:t>их франков</w:t>
      </w:r>
      <w:r w:rsidRPr="00CA4C14">
        <w:rPr>
          <w:lang w:val="ru-RU"/>
        </w:rPr>
        <w:t xml:space="preserve">, </w:t>
      </w:r>
      <w:r w:rsidR="001B4A0D" w:rsidRPr="00CA4C14">
        <w:rPr>
          <w:lang w:val="ru-RU"/>
        </w:rPr>
        <w:t>в основном из-за уменьшения денежных средств и эквивалентов денежных средств</w:t>
      </w:r>
      <w:r w:rsidRPr="00CA4C14">
        <w:rPr>
          <w:lang w:val="ru-RU"/>
        </w:rPr>
        <w:t xml:space="preserve">, </w:t>
      </w:r>
      <w:r w:rsidR="001B4A0D" w:rsidRPr="00CA4C14">
        <w:rPr>
          <w:lang w:val="ru-RU"/>
        </w:rPr>
        <w:t>инвестиций и долговых обязательств за счет увеличения активов на этапе строительства</w:t>
      </w:r>
      <w:r w:rsidR="003A5A09" w:rsidRPr="00CA4C14">
        <w:rPr>
          <w:lang w:val="ru-RU"/>
        </w:rPr>
        <w:t xml:space="preserve"> </w:t>
      </w:r>
      <w:r w:rsidR="001B4A0D" w:rsidRPr="00CA4C14">
        <w:rPr>
          <w:lang w:val="ru-RU"/>
        </w:rPr>
        <w:t xml:space="preserve">на </w:t>
      </w:r>
      <w:r w:rsidRPr="00CA4C14">
        <w:rPr>
          <w:lang w:val="ru-RU"/>
        </w:rPr>
        <w:t>7</w:t>
      </w:r>
      <w:r w:rsidR="003A5A09" w:rsidRPr="00CA4C14">
        <w:rPr>
          <w:lang w:val="ru-RU"/>
        </w:rPr>
        <w:t>,</w:t>
      </w:r>
      <w:r w:rsidRPr="00CA4C14">
        <w:rPr>
          <w:lang w:val="ru-RU"/>
        </w:rPr>
        <w:t>2</w:t>
      </w:r>
      <w:r w:rsidR="009053A9" w:rsidRPr="00CA4C14">
        <w:rPr>
          <w:lang w:val="ru-RU"/>
        </w:rPr>
        <w:t> млн. швейцарск</w:t>
      </w:r>
      <w:r w:rsidR="003A5A09" w:rsidRPr="00CA4C14">
        <w:rPr>
          <w:lang w:val="ru-RU"/>
        </w:rPr>
        <w:t>их франков</w:t>
      </w:r>
      <w:r w:rsidRPr="00CA4C14">
        <w:rPr>
          <w:lang w:val="ru-RU"/>
        </w:rPr>
        <w:t xml:space="preserve">. </w:t>
      </w:r>
      <w:r w:rsidR="001B4A0D" w:rsidRPr="00CA4C14">
        <w:rPr>
          <w:lang w:val="ru-RU"/>
        </w:rPr>
        <w:t xml:space="preserve">Пассивы возросли на </w:t>
      </w:r>
      <w:r w:rsidRPr="00CA4C14">
        <w:rPr>
          <w:lang w:val="ru-RU"/>
        </w:rPr>
        <w:t>35</w:t>
      </w:r>
      <w:r w:rsidR="003A5A09" w:rsidRPr="00CA4C14">
        <w:rPr>
          <w:lang w:val="ru-RU"/>
        </w:rPr>
        <w:t>,</w:t>
      </w:r>
      <w:r w:rsidRPr="00CA4C14">
        <w:rPr>
          <w:lang w:val="ru-RU"/>
        </w:rPr>
        <w:t>0</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003A5A09" w:rsidRPr="00CA4C14">
        <w:rPr>
          <w:lang w:val="ru-RU"/>
        </w:rPr>
        <w:t>их франков</w:t>
      </w:r>
      <w:r w:rsidR="001B4A0D" w:rsidRPr="00CA4C14">
        <w:rPr>
          <w:lang w:val="ru-RU"/>
        </w:rPr>
        <w:t xml:space="preserve"> в связи с увеличением </w:t>
      </w:r>
      <w:r w:rsidR="004E0AA7" w:rsidRPr="00CA4C14">
        <w:rPr>
          <w:lang w:val="ru-RU"/>
        </w:rPr>
        <w:t>стоимости</w:t>
      </w:r>
      <w:r w:rsidRPr="00CA4C14">
        <w:rPr>
          <w:lang w:val="ru-RU"/>
        </w:rPr>
        <w:t xml:space="preserve"> </w:t>
      </w:r>
      <w:r w:rsidR="001B4A0D" w:rsidRPr="00CA4C14">
        <w:rPr>
          <w:lang w:val="ru-RU"/>
        </w:rPr>
        <w:t>фонда медицинско</w:t>
      </w:r>
      <w:r w:rsidR="004E0AA7" w:rsidRPr="00CA4C14">
        <w:rPr>
          <w:lang w:val="ru-RU"/>
        </w:rPr>
        <w:t>го</w:t>
      </w:r>
      <w:r w:rsidR="001B4A0D" w:rsidRPr="00CA4C14">
        <w:rPr>
          <w:lang w:val="ru-RU"/>
        </w:rPr>
        <w:t xml:space="preserve"> страховани</w:t>
      </w:r>
      <w:r w:rsidR="004E0AA7" w:rsidRPr="00CA4C14">
        <w:rPr>
          <w:lang w:val="ru-RU"/>
        </w:rPr>
        <w:t>я</w:t>
      </w:r>
      <w:r w:rsidR="001B4A0D" w:rsidRPr="00CA4C14">
        <w:rPr>
          <w:lang w:val="ru-RU"/>
        </w:rPr>
        <w:t xml:space="preserve"> после выхода в отставку (АСХИ) </w:t>
      </w:r>
      <w:r w:rsidR="004E0AA7" w:rsidRPr="00CA4C14">
        <w:rPr>
          <w:lang w:val="ru-RU"/>
        </w:rPr>
        <w:t xml:space="preserve">и чистой приведенной стоимости займов вследствие изменения ставки </w:t>
      </w:r>
      <w:r w:rsidR="004E0AA7" w:rsidRPr="00CA4C14">
        <w:rPr>
          <w:shd w:val="clear" w:color="auto" w:fill="FFFFFF" w:themeFill="background1"/>
          <w:lang w:val="ru-RU"/>
        </w:rPr>
        <w:t>дисконтирования</w:t>
      </w:r>
      <w:r w:rsidRPr="00CA4C14">
        <w:rPr>
          <w:lang w:val="ru-RU"/>
        </w:rPr>
        <w:t>.</w:t>
      </w:r>
    </w:p>
    <w:p w14:paraId="305A2838" w14:textId="19F5ADC8" w:rsidR="002454E2" w:rsidRPr="00CA4C14" w:rsidRDefault="0032364D" w:rsidP="0032364D">
      <w:pPr>
        <w:rPr>
          <w:lang w:val="ru-RU"/>
        </w:rPr>
      </w:pPr>
      <w:r w:rsidRPr="00CA4C14">
        <w:rPr>
          <w:lang w:val="ru-RU"/>
        </w:rPr>
        <w:t>8</w:t>
      </w:r>
      <w:r w:rsidRPr="00CA4C14">
        <w:rPr>
          <w:lang w:val="ru-RU"/>
        </w:rPr>
        <w:tab/>
      </w:r>
      <w:r w:rsidR="00143322" w:rsidRPr="00CA4C14">
        <w:rPr>
          <w:lang w:val="ru-RU"/>
        </w:rPr>
        <w:t>Дефицит в 2023</w:t>
      </w:r>
      <w:r w:rsidR="009053A9" w:rsidRPr="00CA4C14">
        <w:rPr>
          <w:lang w:val="ru-RU"/>
        </w:rPr>
        <w:t> год</w:t>
      </w:r>
      <w:r w:rsidR="00143322" w:rsidRPr="00CA4C14">
        <w:rPr>
          <w:lang w:val="ru-RU"/>
        </w:rPr>
        <w:t>у в размере 24,8</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00143322" w:rsidRPr="00CA4C14">
        <w:rPr>
          <w:lang w:val="ru-RU"/>
        </w:rPr>
        <w:t>их франков (по сравнению с дефицитом в размере 18,3</w:t>
      </w:r>
      <w:r w:rsidR="009053A9" w:rsidRPr="00CA4C14">
        <w:rPr>
          <w:lang w:val="ru-RU"/>
        </w:rPr>
        <w:t> млн. шв</w:t>
      </w:r>
      <w:r w:rsidR="00BE1CA8" w:rsidRPr="00CA4C14">
        <w:rPr>
          <w:lang w:val="ru-RU"/>
        </w:rPr>
        <w:t>.</w:t>
      </w:r>
      <w:r w:rsidR="00143322" w:rsidRPr="00CA4C14">
        <w:rPr>
          <w:lang w:val="ru-RU"/>
        </w:rPr>
        <w:t xml:space="preserve"> фр</w:t>
      </w:r>
      <w:r w:rsidR="00BE1CA8" w:rsidRPr="00CA4C14">
        <w:rPr>
          <w:lang w:val="ru-RU"/>
        </w:rPr>
        <w:t>.</w:t>
      </w:r>
      <w:r w:rsidR="00143322" w:rsidRPr="00CA4C14">
        <w:rPr>
          <w:lang w:val="ru-RU"/>
        </w:rPr>
        <w:t xml:space="preserve"> в 2022</w:t>
      </w:r>
      <w:r w:rsidR="009053A9" w:rsidRPr="00CA4C14">
        <w:rPr>
          <w:lang w:val="ru-RU"/>
        </w:rPr>
        <w:t> г.</w:t>
      </w:r>
      <w:r w:rsidR="00143322" w:rsidRPr="00CA4C14">
        <w:rPr>
          <w:lang w:val="ru-RU"/>
        </w:rPr>
        <w:t>) является чистым результатом общих расходов, превышающих доходы за год для МСЭ в целом. В частности, МСЭ закрыл год с активным сальдо в размере 1,4</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00143322" w:rsidRPr="00CA4C14">
        <w:rPr>
          <w:lang w:val="ru-RU"/>
        </w:rPr>
        <w:t>их франков по сравнению с исполнением бюджета, что подробно отражено в Отчете V и далее описано в Примечании</w:t>
      </w:r>
      <w:r w:rsidR="00DC0E8F" w:rsidRPr="00CA4C14">
        <w:rPr>
          <w:lang w:val="ru-RU"/>
        </w:rPr>
        <w:t> </w:t>
      </w:r>
      <w:r w:rsidR="00143322" w:rsidRPr="00CA4C14">
        <w:rPr>
          <w:lang w:val="ru-RU"/>
        </w:rPr>
        <w:t>24 к финансовой отчетности.</w:t>
      </w:r>
    </w:p>
    <w:p w14:paraId="1BF6DB8C" w14:textId="77777777" w:rsidR="003A5A09" w:rsidRPr="00CA4C14" w:rsidRDefault="003A5A09" w:rsidP="003A5A09">
      <w:pPr>
        <w:pStyle w:val="Heading1"/>
        <w:rPr>
          <w:lang w:val="ru-RU"/>
        </w:rPr>
      </w:pPr>
      <w:bookmarkStart w:id="25" w:name="_Toc167956613"/>
      <w:bookmarkStart w:id="26" w:name="_Toc167956852"/>
      <w:bookmarkStart w:id="27" w:name="_Toc167957156"/>
      <w:bookmarkStart w:id="28" w:name="_Toc168578437"/>
      <w:r w:rsidRPr="00CA4C14">
        <w:rPr>
          <w:lang w:val="ru-RU"/>
        </w:rPr>
        <w:lastRenderedPageBreak/>
        <w:t>Результаты финансовой деятельности</w:t>
      </w:r>
      <w:bookmarkEnd w:id="25"/>
      <w:bookmarkEnd w:id="26"/>
      <w:bookmarkEnd w:id="27"/>
      <w:bookmarkEnd w:id="28"/>
    </w:p>
    <w:p w14:paraId="68514EDE" w14:textId="77777777" w:rsidR="003A5A09" w:rsidRPr="00CA4C14" w:rsidRDefault="003A5A09" w:rsidP="003A5A09">
      <w:pPr>
        <w:pStyle w:val="Headingb"/>
        <w:rPr>
          <w:lang w:val="ru-RU"/>
        </w:rPr>
      </w:pPr>
      <w:r w:rsidRPr="00CA4C14">
        <w:rPr>
          <w:lang w:val="ru-RU"/>
        </w:rPr>
        <w:t>Доходы</w:t>
      </w:r>
    </w:p>
    <w:p w14:paraId="35FED77D" w14:textId="2F7CDE91" w:rsidR="003A5A09" w:rsidRPr="00CA4C14" w:rsidRDefault="003A5A09" w:rsidP="003A5A09">
      <w:pPr>
        <w:rPr>
          <w:rFonts w:asciiTheme="minorHAnsi" w:hAnsiTheme="minorHAnsi" w:cstheme="minorBidi"/>
          <w:lang w:val="ru-RU"/>
        </w:rPr>
      </w:pPr>
      <w:bookmarkStart w:id="29" w:name="lt_pId035"/>
      <w:r w:rsidRPr="00CA4C14">
        <w:rPr>
          <w:rFonts w:asciiTheme="minorHAnsi" w:hAnsiTheme="minorHAnsi" w:cstheme="minorBidi"/>
          <w:lang w:val="ru-RU"/>
        </w:rPr>
        <w:t>9</w:t>
      </w:r>
      <w:r w:rsidRPr="00CA4C14">
        <w:rPr>
          <w:rFonts w:asciiTheme="minorHAnsi" w:hAnsiTheme="minorHAnsi" w:cstheme="minorBidi"/>
          <w:lang w:val="ru-RU"/>
        </w:rPr>
        <w:tab/>
      </w:r>
      <w:r w:rsidR="00C226B3" w:rsidRPr="00CA4C14">
        <w:rPr>
          <w:rFonts w:asciiTheme="minorHAnsi" w:hAnsiTheme="minorHAnsi" w:cstheme="minorBidi"/>
          <w:lang w:val="ru-RU"/>
        </w:rPr>
        <w:t>В 2023</w:t>
      </w:r>
      <w:r w:rsidR="009053A9" w:rsidRPr="00CA4C14">
        <w:rPr>
          <w:rFonts w:asciiTheme="minorHAnsi" w:hAnsiTheme="minorHAnsi" w:cstheme="minorBidi"/>
          <w:lang w:val="ru-RU"/>
        </w:rPr>
        <w:t> год</w:t>
      </w:r>
      <w:r w:rsidR="00C226B3" w:rsidRPr="00CA4C14">
        <w:rPr>
          <w:rFonts w:asciiTheme="minorHAnsi" w:hAnsiTheme="minorHAnsi" w:cstheme="minorBidi"/>
          <w:lang w:val="ru-RU"/>
        </w:rPr>
        <w:t xml:space="preserve">у доходы МСЭ составили </w:t>
      </w:r>
      <w:r w:rsidRPr="00CA4C14">
        <w:rPr>
          <w:rFonts w:asciiTheme="minorHAnsi" w:hAnsiTheme="minorHAnsi" w:cstheme="minorBidi"/>
          <w:lang w:val="ru-RU"/>
        </w:rPr>
        <w:t>172,4</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lang w:val="ru-RU"/>
        </w:rPr>
        <w:t>их франков</w:t>
      </w:r>
      <w:r w:rsidR="009F233D" w:rsidRPr="00CA4C14">
        <w:rPr>
          <w:rFonts w:asciiTheme="minorHAnsi" w:hAnsiTheme="minorHAnsi" w:cstheme="minorBidi"/>
          <w:lang w:val="ru-RU"/>
        </w:rPr>
        <w:t xml:space="preserve"> по сравнению с</w:t>
      </w:r>
      <w:r w:rsidRPr="00CA4C14">
        <w:rPr>
          <w:rFonts w:asciiTheme="minorHAnsi" w:hAnsiTheme="minorHAnsi" w:cstheme="minorBidi"/>
          <w:lang w:val="ru-RU"/>
        </w:rPr>
        <w:t xml:space="preserve"> 178,5</w:t>
      </w:r>
      <w:r w:rsidR="009053A9" w:rsidRPr="00CA4C14">
        <w:rPr>
          <w:rFonts w:asciiTheme="minorHAnsi" w:hAnsiTheme="minorHAnsi" w:cstheme="minorBidi"/>
          <w:lang w:val="ru-RU"/>
        </w:rPr>
        <w:t> млн. швейцарск</w:t>
      </w:r>
      <w:r w:rsidRPr="00CA4C14">
        <w:rPr>
          <w:lang w:val="ru-RU"/>
        </w:rPr>
        <w:t>их франков</w:t>
      </w:r>
      <w:r w:rsidRPr="00CA4C14">
        <w:rPr>
          <w:rFonts w:asciiTheme="minorHAnsi" w:hAnsiTheme="minorHAnsi" w:cstheme="minorBidi"/>
          <w:lang w:val="ru-RU"/>
        </w:rPr>
        <w:t xml:space="preserve"> </w:t>
      </w:r>
      <w:r w:rsidR="005E37F2" w:rsidRPr="00CA4C14">
        <w:rPr>
          <w:rFonts w:asciiTheme="minorHAnsi" w:hAnsiTheme="minorHAnsi" w:cstheme="minorBidi"/>
          <w:lang w:val="ru-RU"/>
        </w:rPr>
        <w:t>в</w:t>
      </w:r>
      <w:r w:rsidRPr="00CA4C14">
        <w:rPr>
          <w:rFonts w:asciiTheme="minorHAnsi" w:hAnsiTheme="minorHAnsi" w:cstheme="minorBidi"/>
          <w:lang w:val="ru-RU"/>
        </w:rPr>
        <w:t xml:space="preserve"> 2022</w:t>
      </w:r>
      <w:r w:rsidR="009053A9" w:rsidRPr="00CA4C14">
        <w:rPr>
          <w:rFonts w:asciiTheme="minorHAnsi" w:hAnsiTheme="minorHAnsi" w:cstheme="minorBidi"/>
          <w:lang w:val="ru-RU"/>
        </w:rPr>
        <w:t> год</w:t>
      </w:r>
      <w:r w:rsidRPr="00CA4C14">
        <w:rPr>
          <w:rFonts w:asciiTheme="minorHAnsi" w:hAnsiTheme="minorHAnsi" w:cstheme="minorBidi"/>
          <w:lang w:val="ru-RU"/>
        </w:rPr>
        <w:t xml:space="preserve">у. </w:t>
      </w:r>
      <w:r w:rsidR="005E37F2" w:rsidRPr="00CA4C14">
        <w:rPr>
          <w:rFonts w:asciiTheme="minorHAnsi" w:hAnsiTheme="minorHAnsi" w:cstheme="minorBidi"/>
          <w:lang w:val="ru-RU"/>
        </w:rPr>
        <w:t>В Таблице</w:t>
      </w:r>
      <w:r w:rsidRPr="00CA4C14">
        <w:rPr>
          <w:rFonts w:asciiTheme="minorHAnsi" w:hAnsiTheme="minorHAnsi" w:cstheme="minorBidi"/>
          <w:lang w:val="ru-RU"/>
        </w:rPr>
        <w:t xml:space="preserve"> 1</w:t>
      </w:r>
      <w:r w:rsidR="00DC0E8F" w:rsidRPr="00CA4C14">
        <w:rPr>
          <w:rFonts w:asciiTheme="minorHAnsi" w:hAnsiTheme="minorHAnsi" w:cstheme="minorBidi"/>
          <w:lang w:val="ru-RU"/>
        </w:rPr>
        <w:t>,</w:t>
      </w:r>
      <w:r w:rsidRPr="00CA4C14">
        <w:rPr>
          <w:rFonts w:asciiTheme="minorHAnsi" w:hAnsiTheme="minorHAnsi" w:cstheme="minorBidi"/>
          <w:lang w:val="ru-RU"/>
        </w:rPr>
        <w:t xml:space="preserve"> </w:t>
      </w:r>
      <w:r w:rsidR="005E37F2" w:rsidRPr="00CA4C14">
        <w:rPr>
          <w:rFonts w:asciiTheme="minorHAnsi" w:hAnsiTheme="minorHAnsi" w:cstheme="minorBidi"/>
          <w:lang w:val="ru-RU"/>
        </w:rPr>
        <w:t>ниже</w:t>
      </w:r>
      <w:r w:rsidR="00DC0E8F" w:rsidRPr="00CA4C14">
        <w:rPr>
          <w:rFonts w:asciiTheme="minorHAnsi" w:hAnsiTheme="minorHAnsi" w:cstheme="minorBidi"/>
          <w:lang w:val="ru-RU"/>
        </w:rPr>
        <w:t>,</w:t>
      </w:r>
      <w:r w:rsidR="005E37F2" w:rsidRPr="00CA4C14">
        <w:rPr>
          <w:rFonts w:asciiTheme="minorHAnsi" w:hAnsiTheme="minorHAnsi" w:cstheme="minorBidi"/>
          <w:lang w:val="ru-RU"/>
        </w:rPr>
        <w:t xml:space="preserve"> показаны основные источники </w:t>
      </w:r>
      <w:r w:rsidR="009F233D" w:rsidRPr="00CA4C14">
        <w:rPr>
          <w:rFonts w:asciiTheme="minorHAnsi" w:hAnsiTheme="minorHAnsi" w:cstheme="minorBidi"/>
          <w:lang w:val="ru-RU"/>
        </w:rPr>
        <w:t xml:space="preserve">доходов за </w:t>
      </w:r>
      <w:r w:rsidRPr="00CA4C14">
        <w:rPr>
          <w:rFonts w:asciiTheme="minorHAnsi" w:hAnsiTheme="minorHAnsi" w:cstheme="minorBidi"/>
          <w:lang w:val="ru-RU"/>
        </w:rPr>
        <w:t xml:space="preserve">2023 </w:t>
      </w:r>
      <w:r w:rsidR="009F233D" w:rsidRPr="00CA4C14">
        <w:rPr>
          <w:rFonts w:asciiTheme="minorHAnsi" w:hAnsiTheme="minorHAnsi" w:cstheme="minorBidi"/>
          <w:lang w:val="ru-RU"/>
        </w:rPr>
        <w:t>и</w:t>
      </w:r>
      <w:r w:rsidRPr="00CA4C14">
        <w:rPr>
          <w:rFonts w:asciiTheme="minorHAnsi" w:hAnsiTheme="minorHAnsi" w:cstheme="minorBidi"/>
          <w:lang w:val="ru-RU"/>
        </w:rPr>
        <w:t xml:space="preserve"> 2022</w:t>
      </w:r>
      <w:r w:rsidR="009053A9" w:rsidRPr="00CA4C14">
        <w:rPr>
          <w:rFonts w:asciiTheme="minorHAnsi" w:hAnsiTheme="minorHAnsi" w:cstheme="minorBidi"/>
          <w:lang w:val="ru-RU"/>
        </w:rPr>
        <w:t> год</w:t>
      </w:r>
      <w:r w:rsidR="009F233D" w:rsidRPr="00CA4C14">
        <w:rPr>
          <w:rFonts w:asciiTheme="minorHAnsi" w:hAnsiTheme="minorHAnsi" w:cstheme="minorBidi"/>
          <w:lang w:val="ru-RU"/>
        </w:rPr>
        <w:t>ы</w:t>
      </w:r>
      <w:r w:rsidRPr="00CA4C14">
        <w:rPr>
          <w:rFonts w:asciiTheme="minorHAnsi" w:hAnsiTheme="minorHAnsi" w:cstheme="minorBidi"/>
          <w:lang w:val="ru-RU"/>
        </w:rPr>
        <w:t xml:space="preserve">. </w:t>
      </w:r>
      <w:r w:rsidR="009F233D" w:rsidRPr="00CA4C14">
        <w:rPr>
          <w:rFonts w:asciiTheme="minorHAnsi" w:hAnsiTheme="minorHAnsi" w:cstheme="minorBidi"/>
          <w:lang w:val="ru-RU"/>
        </w:rPr>
        <w:t xml:space="preserve">Доходы по линии начисленных и внебюджетных взносов увеличились на </w:t>
      </w:r>
      <w:r w:rsidRPr="00CA4C14">
        <w:rPr>
          <w:rFonts w:asciiTheme="minorHAnsi" w:hAnsiTheme="minorHAnsi" w:cstheme="minorBidi"/>
          <w:lang w:val="ru-RU"/>
        </w:rPr>
        <w:t>0,8</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lang w:val="ru-RU"/>
        </w:rPr>
        <w:t>их франков</w:t>
      </w:r>
      <w:r w:rsidRPr="00CA4C14">
        <w:rPr>
          <w:rFonts w:asciiTheme="minorHAnsi" w:hAnsiTheme="minorHAnsi" w:cstheme="minorBidi"/>
          <w:lang w:val="ru-RU"/>
        </w:rPr>
        <w:t xml:space="preserve">. </w:t>
      </w:r>
      <w:r w:rsidR="009F233D" w:rsidRPr="00CA4C14">
        <w:rPr>
          <w:rFonts w:asciiTheme="minorHAnsi" w:hAnsiTheme="minorHAnsi" w:cstheme="minorBidi"/>
          <w:lang w:val="ru-RU"/>
        </w:rPr>
        <w:t xml:space="preserve">Доходы от публикаций и </w:t>
      </w:r>
      <w:r w:rsidR="009F233D" w:rsidRPr="00CA4C14">
        <w:rPr>
          <w:lang w:val="ru-RU"/>
        </w:rPr>
        <w:t>обработки заявок на регистрацию спутниковых сетей</w:t>
      </w:r>
      <w:r w:rsidR="009F233D" w:rsidRPr="00CA4C14">
        <w:rPr>
          <w:rFonts w:asciiTheme="minorHAnsi" w:hAnsiTheme="minorHAnsi" w:cstheme="minorBidi"/>
          <w:lang w:val="ru-RU"/>
        </w:rPr>
        <w:t xml:space="preserve"> увеличились на</w:t>
      </w:r>
      <w:r w:rsidRPr="00CA4C14">
        <w:rPr>
          <w:rFonts w:asciiTheme="minorHAnsi" w:hAnsiTheme="minorHAnsi" w:cstheme="minorBidi"/>
          <w:lang w:val="ru-RU"/>
        </w:rPr>
        <w:t xml:space="preserve"> 2,4</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lang w:val="ru-RU"/>
        </w:rPr>
        <w:t>их франков</w:t>
      </w:r>
      <w:r w:rsidRPr="00CA4C14">
        <w:rPr>
          <w:rFonts w:asciiTheme="minorHAnsi" w:hAnsiTheme="minorHAnsi" w:cstheme="minorBidi"/>
          <w:lang w:val="ru-RU"/>
        </w:rPr>
        <w:t xml:space="preserve">. </w:t>
      </w:r>
      <w:r w:rsidR="009F233D" w:rsidRPr="00CA4C14">
        <w:rPr>
          <w:rFonts w:asciiTheme="minorHAnsi" w:hAnsiTheme="minorHAnsi" w:cstheme="minorBidi"/>
          <w:lang w:val="ru-RU"/>
        </w:rPr>
        <w:t>Прочие доходы возросли на</w:t>
      </w:r>
      <w:r w:rsidRPr="00CA4C14">
        <w:rPr>
          <w:rFonts w:asciiTheme="minorHAnsi" w:hAnsiTheme="minorHAnsi" w:cstheme="minorBidi"/>
          <w:lang w:val="ru-RU"/>
        </w:rPr>
        <w:t xml:space="preserve"> 5,2</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lang w:val="ru-RU"/>
        </w:rPr>
        <w:t>их франков</w:t>
      </w:r>
      <w:r w:rsidR="009F233D" w:rsidRPr="00CA4C14">
        <w:rPr>
          <w:lang w:val="ru-RU"/>
        </w:rPr>
        <w:t>, тогда как финансовые доходы/(затраты) увеличились на 14,8</w:t>
      </w:r>
      <w:r w:rsidR="009053A9" w:rsidRPr="00CA4C14">
        <w:rPr>
          <w:lang w:val="ru-RU"/>
        </w:rPr>
        <w:t> млн. швейцарск</w:t>
      </w:r>
      <w:r w:rsidR="009F233D" w:rsidRPr="00CA4C14">
        <w:rPr>
          <w:lang w:val="ru-RU"/>
        </w:rPr>
        <w:t>их франков (по сравнению с 2022</w:t>
      </w:r>
      <w:r w:rsidR="009053A9" w:rsidRPr="00CA4C14">
        <w:rPr>
          <w:lang w:val="ru-RU"/>
        </w:rPr>
        <w:t> г.</w:t>
      </w:r>
      <w:r w:rsidR="009F233D" w:rsidRPr="00CA4C14">
        <w:rPr>
          <w:lang w:val="ru-RU"/>
        </w:rPr>
        <w:t>).</w:t>
      </w:r>
      <w:r w:rsidRPr="00CA4C14">
        <w:rPr>
          <w:rFonts w:asciiTheme="minorHAnsi" w:hAnsiTheme="minorHAnsi" w:cstheme="minorBidi"/>
          <w:lang w:val="ru-RU"/>
        </w:rPr>
        <w:t xml:space="preserve"> </w:t>
      </w:r>
      <w:r w:rsidR="009502B6" w:rsidRPr="00CA4C14">
        <w:rPr>
          <w:rFonts w:asciiTheme="minorHAnsi" w:hAnsiTheme="minorHAnsi" w:cstheme="minorBidi"/>
          <w:lang w:val="ru-RU"/>
        </w:rPr>
        <w:t>Несмотря на финансовые поступления в размере 4,6</w:t>
      </w:r>
      <w:r w:rsidR="009053A9" w:rsidRPr="00CA4C14">
        <w:rPr>
          <w:rFonts w:asciiTheme="minorHAnsi" w:hAnsiTheme="minorHAnsi" w:cstheme="minorBidi"/>
          <w:lang w:val="ru-RU"/>
        </w:rPr>
        <w:t> млн. швейцарск</w:t>
      </w:r>
      <w:r w:rsidR="009502B6" w:rsidRPr="00CA4C14">
        <w:rPr>
          <w:rFonts w:asciiTheme="minorHAnsi" w:hAnsiTheme="minorHAnsi" w:cstheme="minorBidi"/>
          <w:lang w:val="ru-RU"/>
        </w:rPr>
        <w:t>их франков от краткосрочных инвестиций, размещенных в течение года, общие финансовые результаты организации являются отрицательными в силу следующих двух факторов: полученные курсовые убытки по краткосрочным инвестициям (3,6</w:t>
      </w:r>
      <w:r w:rsidR="009053A9" w:rsidRPr="00CA4C14">
        <w:rPr>
          <w:rFonts w:asciiTheme="minorHAnsi" w:hAnsiTheme="minorHAnsi" w:cstheme="minorBidi"/>
          <w:lang w:val="ru-RU"/>
        </w:rPr>
        <w:t> млн. шв</w:t>
      </w:r>
      <w:r w:rsidR="00DC0E8F" w:rsidRPr="00CA4C14">
        <w:rPr>
          <w:rFonts w:asciiTheme="minorHAnsi" w:hAnsiTheme="minorHAnsi" w:cstheme="minorBidi"/>
          <w:lang w:val="ru-RU"/>
        </w:rPr>
        <w:t>.</w:t>
      </w:r>
      <w:r w:rsidR="009502B6" w:rsidRPr="00CA4C14">
        <w:rPr>
          <w:rFonts w:asciiTheme="minorHAnsi" w:hAnsiTheme="minorHAnsi" w:cstheme="minorBidi"/>
          <w:lang w:val="ru-RU"/>
        </w:rPr>
        <w:t xml:space="preserve"> фр</w:t>
      </w:r>
      <w:r w:rsidR="00DC0E8F" w:rsidRPr="00CA4C14">
        <w:rPr>
          <w:rFonts w:asciiTheme="minorHAnsi" w:hAnsiTheme="minorHAnsi" w:cstheme="minorBidi"/>
          <w:lang w:val="ru-RU"/>
        </w:rPr>
        <w:t>.</w:t>
      </w:r>
      <w:r w:rsidR="009502B6" w:rsidRPr="00CA4C14">
        <w:rPr>
          <w:rFonts w:asciiTheme="minorHAnsi" w:hAnsiTheme="minorHAnsi" w:cstheme="minorBidi"/>
          <w:lang w:val="ru-RU"/>
        </w:rPr>
        <w:t>) в связи с укреплением швейцарского франка по отношению к доллару США и евро в 2023</w:t>
      </w:r>
      <w:r w:rsidR="009053A9" w:rsidRPr="00CA4C14">
        <w:rPr>
          <w:rFonts w:asciiTheme="minorHAnsi" w:hAnsiTheme="minorHAnsi" w:cstheme="minorBidi"/>
          <w:lang w:val="ru-RU"/>
        </w:rPr>
        <w:t> год</w:t>
      </w:r>
      <w:r w:rsidR="009502B6" w:rsidRPr="00CA4C14">
        <w:rPr>
          <w:rFonts w:asciiTheme="minorHAnsi" w:hAnsiTheme="minorHAnsi" w:cstheme="minorBidi"/>
          <w:lang w:val="ru-RU"/>
        </w:rPr>
        <w:t xml:space="preserve">у и </w:t>
      </w:r>
      <w:r w:rsidR="00897864" w:rsidRPr="00CA4C14">
        <w:rPr>
          <w:rFonts w:asciiTheme="minorHAnsi" w:hAnsiTheme="minorHAnsi" w:cstheme="minorBidi"/>
          <w:lang w:val="ru-RU"/>
        </w:rPr>
        <w:t>риск</w:t>
      </w:r>
      <w:r w:rsidR="009502B6" w:rsidRPr="00CA4C14">
        <w:rPr>
          <w:rFonts w:asciiTheme="minorHAnsi" w:hAnsiTheme="minorHAnsi" w:cstheme="minorBidi"/>
          <w:lang w:val="ru-RU"/>
        </w:rPr>
        <w:t xml:space="preserve"> неполученных убытков по инвестициям в размере 2,6</w:t>
      </w:r>
      <w:r w:rsidR="009053A9" w:rsidRPr="00CA4C14">
        <w:rPr>
          <w:rFonts w:asciiTheme="minorHAnsi" w:hAnsiTheme="minorHAnsi" w:cstheme="minorBidi"/>
          <w:lang w:val="ru-RU"/>
        </w:rPr>
        <w:t> млн. швейцарск</w:t>
      </w:r>
      <w:r w:rsidR="009502B6" w:rsidRPr="00CA4C14">
        <w:rPr>
          <w:rFonts w:asciiTheme="minorHAnsi" w:hAnsiTheme="minorHAnsi" w:cstheme="minorBidi"/>
          <w:lang w:val="ru-RU"/>
        </w:rPr>
        <w:t>их франков</w:t>
      </w:r>
      <w:r w:rsidR="00DC0E8F" w:rsidRPr="00CA4C14">
        <w:rPr>
          <w:rFonts w:asciiTheme="minorHAnsi" w:hAnsiTheme="minorHAnsi" w:cstheme="minorBidi"/>
          <w:lang w:val="ru-RU"/>
        </w:rPr>
        <w:t>,</w:t>
      </w:r>
      <w:r w:rsidR="009502B6" w:rsidRPr="00CA4C14">
        <w:rPr>
          <w:rFonts w:asciiTheme="minorHAnsi" w:hAnsiTheme="minorHAnsi" w:cstheme="minorBidi"/>
          <w:lang w:val="ru-RU"/>
        </w:rPr>
        <w:t xml:space="preserve"> по состоянию на 31</w:t>
      </w:r>
      <w:r w:rsidR="002E2BBB" w:rsidRPr="00CA4C14">
        <w:rPr>
          <w:rFonts w:asciiTheme="minorHAnsi" w:hAnsiTheme="minorHAnsi" w:cstheme="minorBidi"/>
          <w:lang w:val="ru-RU"/>
        </w:rPr>
        <w:t> декабря</w:t>
      </w:r>
      <w:r w:rsidR="009502B6" w:rsidRPr="00CA4C14">
        <w:rPr>
          <w:rFonts w:asciiTheme="minorHAnsi" w:hAnsiTheme="minorHAnsi" w:cstheme="minorBidi"/>
          <w:lang w:val="ru-RU"/>
        </w:rPr>
        <w:t xml:space="preserve"> 2023</w:t>
      </w:r>
      <w:r w:rsidR="009053A9" w:rsidRPr="00CA4C14">
        <w:rPr>
          <w:rFonts w:asciiTheme="minorHAnsi" w:hAnsiTheme="minorHAnsi" w:cstheme="minorBidi"/>
          <w:lang w:val="ru-RU"/>
        </w:rPr>
        <w:t> год</w:t>
      </w:r>
      <w:r w:rsidR="009502B6" w:rsidRPr="00CA4C14">
        <w:rPr>
          <w:rFonts w:asciiTheme="minorHAnsi" w:hAnsiTheme="minorHAnsi" w:cstheme="minorBidi"/>
          <w:lang w:val="ru-RU"/>
        </w:rPr>
        <w:t>а</w:t>
      </w:r>
      <w:r w:rsidR="00DC0E8F" w:rsidRPr="00CA4C14">
        <w:rPr>
          <w:rFonts w:asciiTheme="minorHAnsi" w:hAnsiTheme="minorHAnsi" w:cstheme="minorBidi"/>
          <w:lang w:val="ru-RU"/>
        </w:rPr>
        <w:t>,</w:t>
      </w:r>
      <w:r w:rsidR="009502B6" w:rsidRPr="00CA4C14">
        <w:rPr>
          <w:rFonts w:asciiTheme="minorHAnsi" w:hAnsiTheme="minorHAnsi" w:cstheme="minorBidi"/>
          <w:lang w:val="ru-RU"/>
        </w:rPr>
        <w:t xml:space="preserve"> со сроком возврата в 2024</w:t>
      </w:r>
      <w:r w:rsidR="009053A9" w:rsidRPr="00CA4C14">
        <w:rPr>
          <w:rFonts w:asciiTheme="minorHAnsi" w:hAnsiTheme="minorHAnsi" w:cstheme="minorBidi"/>
          <w:lang w:val="ru-RU"/>
        </w:rPr>
        <w:t> год</w:t>
      </w:r>
      <w:r w:rsidR="009502B6" w:rsidRPr="00CA4C14">
        <w:rPr>
          <w:rFonts w:asciiTheme="minorHAnsi" w:hAnsiTheme="minorHAnsi" w:cstheme="minorBidi"/>
          <w:lang w:val="ru-RU"/>
        </w:rPr>
        <w:t>у.</w:t>
      </w:r>
    </w:p>
    <w:bookmarkEnd w:id="29"/>
    <w:p w14:paraId="7DC6D8AD" w14:textId="745FB82B" w:rsidR="00067380" w:rsidRPr="00CA4C14" w:rsidRDefault="009E7F25" w:rsidP="002E2BBB">
      <w:pPr>
        <w:pStyle w:val="Tabletitle"/>
        <w:spacing w:before="240"/>
        <w:rPr>
          <w:lang w:val="ru-RU"/>
        </w:rPr>
      </w:pPr>
      <w:r w:rsidRPr="00CA4C14">
        <w:rPr>
          <w:lang w:val="ru-RU"/>
        </w:rPr>
        <w:t>Таблица</w:t>
      </w:r>
      <w:r w:rsidR="00D4567B" w:rsidRPr="00CA4C14">
        <w:rPr>
          <w:lang w:val="ru-RU"/>
        </w:rPr>
        <w:t xml:space="preserve"> 1 </w:t>
      </w:r>
      <w:r w:rsidR="00057A81" w:rsidRPr="00CA4C14">
        <w:rPr>
          <w:lang w:val="ru-RU"/>
        </w:rPr>
        <w:t>−</w:t>
      </w:r>
      <w:r w:rsidR="00D4567B" w:rsidRPr="00CA4C14">
        <w:rPr>
          <w:lang w:val="ru-RU"/>
        </w:rPr>
        <w:t xml:space="preserve"> </w:t>
      </w:r>
      <w:r w:rsidRPr="00CA4C14">
        <w:rPr>
          <w:rFonts w:asciiTheme="minorHAnsi" w:hAnsiTheme="minorHAnsi" w:cstheme="minorHAnsi"/>
          <w:bCs/>
          <w:lang w:val="ru-RU"/>
        </w:rPr>
        <w:t xml:space="preserve">Источники дохода в </w:t>
      </w:r>
      <w:r w:rsidR="00D4567B" w:rsidRPr="00CA4C14">
        <w:rPr>
          <w:lang w:val="ru-RU"/>
        </w:rPr>
        <w:t xml:space="preserve">2023 </w:t>
      </w:r>
      <w:r w:rsidRPr="00CA4C14">
        <w:rPr>
          <w:lang w:val="ru-RU"/>
        </w:rPr>
        <w:t>и</w:t>
      </w:r>
      <w:r w:rsidR="00D4567B" w:rsidRPr="00CA4C14">
        <w:rPr>
          <w:lang w:val="ru-RU"/>
        </w:rPr>
        <w:t xml:space="preserve"> 2022</w:t>
      </w:r>
      <w:r w:rsidRPr="00CA4C14">
        <w:rPr>
          <w:lang w:val="ru-RU"/>
        </w:rPr>
        <w:t> годах</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1134"/>
        <w:gridCol w:w="2124"/>
      </w:tblGrid>
      <w:tr w:rsidR="00067380" w:rsidRPr="00CA4C14" w14:paraId="21FE9176" w14:textId="77777777" w:rsidTr="00EE4F94">
        <w:tc>
          <w:tcPr>
            <w:tcW w:w="3204" w:type="pct"/>
            <w:shd w:val="clear" w:color="auto" w:fill="0070C0"/>
            <w:noWrap/>
            <w:vAlign w:val="center"/>
            <w:hideMark/>
          </w:tcPr>
          <w:p w14:paraId="3F8BB5B0" w14:textId="00D82673" w:rsidR="00067380" w:rsidRPr="00CA4C14" w:rsidRDefault="00DC0E8F" w:rsidP="00F55D0E">
            <w:pPr>
              <w:pStyle w:val="Tablehead"/>
              <w:rPr>
                <w:szCs w:val="18"/>
                <w:lang w:val="ru-RU" w:eastAsia="en-GB"/>
              </w:rPr>
            </w:pPr>
            <w:r w:rsidRPr="00CA4C14">
              <w:rPr>
                <w:szCs w:val="18"/>
                <w:lang w:val="ru-RU" w:eastAsia="en-GB"/>
              </w:rPr>
              <w:t>Описание (</w:t>
            </w:r>
            <w:proofErr w:type="gramStart"/>
            <w:r w:rsidR="005E266A" w:rsidRPr="00CA4C14">
              <w:rPr>
                <w:szCs w:val="18"/>
                <w:lang w:val="ru-RU" w:eastAsia="en-GB"/>
              </w:rPr>
              <w:t>млн.</w:t>
            </w:r>
            <w:proofErr w:type="gramEnd"/>
            <w:r w:rsidR="00191580" w:rsidRPr="00CA4C14">
              <w:rPr>
                <w:szCs w:val="18"/>
                <w:lang w:val="ru-RU" w:eastAsia="en-GB"/>
              </w:rPr>
              <w:t xml:space="preserve"> шв. фр.</w:t>
            </w:r>
            <w:r w:rsidRPr="00CA4C14">
              <w:rPr>
                <w:szCs w:val="18"/>
                <w:lang w:val="ru-RU" w:eastAsia="en-GB"/>
              </w:rPr>
              <w:t>)</w:t>
            </w:r>
          </w:p>
        </w:tc>
        <w:tc>
          <w:tcPr>
            <w:tcW w:w="625" w:type="pct"/>
            <w:shd w:val="clear" w:color="auto" w:fill="0070C0"/>
            <w:noWrap/>
            <w:vAlign w:val="center"/>
            <w:hideMark/>
          </w:tcPr>
          <w:p w14:paraId="6DC5FE12" w14:textId="77777777" w:rsidR="00067380" w:rsidRPr="00CA4C14" w:rsidRDefault="00067380" w:rsidP="00F55D0E">
            <w:pPr>
              <w:pStyle w:val="Tablehead"/>
              <w:rPr>
                <w:bCs/>
                <w:lang w:val="ru-RU"/>
              </w:rPr>
            </w:pPr>
            <w:r w:rsidRPr="00CA4C14">
              <w:rPr>
                <w:bCs/>
                <w:lang w:val="ru-RU"/>
              </w:rPr>
              <w:t>2023 г.</w:t>
            </w:r>
          </w:p>
        </w:tc>
        <w:tc>
          <w:tcPr>
            <w:tcW w:w="1171" w:type="pct"/>
            <w:shd w:val="clear" w:color="auto" w:fill="0070C0"/>
            <w:vAlign w:val="center"/>
            <w:hideMark/>
          </w:tcPr>
          <w:p w14:paraId="5FB0F046" w14:textId="77777777" w:rsidR="00067380" w:rsidRPr="00CA4C14" w:rsidRDefault="00067380" w:rsidP="00F55D0E">
            <w:pPr>
              <w:pStyle w:val="Tablehead"/>
              <w:rPr>
                <w:bCs/>
                <w:lang w:val="ru-RU"/>
              </w:rPr>
            </w:pPr>
            <w:r w:rsidRPr="00CA4C14">
              <w:rPr>
                <w:bCs/>
                <w:lang w:val="ru-RU"/>
              </w:rPr>
              <w:t>2022 г.</w:t>
            </w:r>
          </w:p>
        </w:tc>
      </w:tr>
      <w:tr w:rsidR="00067380" w:rsidRPr="00CA4C14" w14:paraId="521FEB36" w14:textId="77777777" w:rsidTr="00EE4F94">
        <w:tc>
          <w:tcPr>
            <w:tcW w:w="3204" w:type="pct"/>
            <w:noWrap/>
            <w:hideMark/>
          </w:tcPr>
          <w:p w14:paraId="3E1F2226" w14:textId="77777777" w:rsidR="00067380" w:rsidRPr="00CA4C14" w:rsidRDefault="00067380" w:rsidP="00CA2D5D">
            <w:pPr>
              <w:pStyle w:val="Tabletext"/>
              <w:rPr>
                <w:lang w:val="ru-RU"/>
              </w:rPr>
            </w:pPr>
            <w:r w:rsidRPr="00CA4C14">
              <w:rPr>
                <w:lang w:val="ru-RU" w:eastAsia="fr-FR"/>
              </w:rPr>
              <w:t>Начисленные взносы</w:t>
            </w:r>
          </w:p>
        </w:tc>
        <w:tc>
          <w:tcPr>
            <w:tcW w:w="625" w:type="pct"/>
            <w:noWrap/>
            <w:vAlign w:val="bottom"/>
            <w:hideMark/>
          </w:tcPr>
          <w:p w14:paraId="4B6DF42E"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127,6</w:t>
            </w:r>
          </w:p>
        </w:tc>
        <w:tc>
          <w:tcPr>
            <w:tcW w:w="1171" w:type="pct"/>
            <w:noWrap/>
            <w:vAlign w:val="bottom"/>
            <w:hideMark/>
          </w:tcPr>
          <w:p w14:paraId="543D6386"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127,6</w:t>
            </w:r>
          </w:p>
        </w:tc>
      </w:tr>
      <w:tr w:rsidR="00067380" w:rsidRPr="00CA4C14" w14:paraId="64972352" w14:textId="77777777" w:rsidTr="00EE4F94">
        <w:tc>
          <w:tcPr>
            <w:tcW w:w="3204" w:type="pct"/>
            <w:noWrap/>
            <w:hideMark/>
          </w:tcPr>
          <w:p w14:paraId="2D8F6729" w14:textId="77777777" w:rsidR="00067380" w:rsidRPr="00CA4C14" w:rsidRDefault="00067380" w:rsidP="00CA2D5D">
            <w:pPr>
              <w:pStyle w:val="Tabletext"/>
              <w:rPr>
                <w:lang w:val="ru-RU"/>
              </w:rPr>
            </w:pPr>
            <w:r w:rsidRPr="00CA4C14">
              <w:rPr>
                <w:color w:val="000000"/>
                <w:lang w:val="ru-RU" w:eastAsia="en-GB"/>
              </w:rPr>
              <w:t>Внебюджетные взносы</w:t>
            </w:r>
          </w:p>
        </w:tc>
        <w:tc>
          <w:tcPr>
            <w:tcW w:w="625" w:type="pct"/>
            <w:noWrap/>
            <w:vAlign w:val="bottom"/>
            <w:hideMark/>
          </w:tcPr>
          <w:p w14:paraId="717562FD" w14:textId="77777777" w:rsidR="00067380" w:rsidRPr="00CA4C14" w:rsidRDefault="00067380" w:rsidP="00CA2D5D">
            <w:pPr>
              <w:pStyle w:val="Tabletext"/>
              <w:jc w:val="right"/>
              <w:rPr>
                <w:color w:val="000000"/>
                <w:szCs w:val="18"/>
                <w:lang w:val="ru-RU" w:eastAsia="en-GB"/>
              </w:rPr>
            </w:pPr>
          </w:p>
        </w:tc>
        <w:tc>
          <w:tcPr>
            <w:tcW w:w="1171" w:type="pct"/>
            <w:noWrap/>
            <w:vAlign w:val="bottom"/>
            <w:hideMark/>
          </w:tcPr>
          <w:p w14:paraId="3F636E9C" w14:textId="77777777" w:rsidR="00067380" w:rsidRPr="00CA4C14" w:rsidRDefault="00067380" w:rsidP="00CA2D5D">
            <w:pPr>
              <w:pStyle w:val="Tabletext"/>
              <w:jc w:val="right"/>
              <w:rPr>
                <w:color w:val="000000"/>
                <w:szCs w:val="18"/>
                <w:lang w:val="ru-RU" w:eastAsia="en-GB"/>
              </w:rPr>
            </w:pPr>
          </w:p>
        </w:tc>
      </w:tr>
      <w:tr w:rsidR="00067380" w:rsidRPr="00CA4C14" w14:paraId="1F938DB5" w14:textId="77777777" w:rsidTr="00EE4F94">
        <w:tc>
          <w:tcPr>
            <w:tcW w:w="3204" w:type="pct"/>
            <w:noWrap/>
            <w:hideMark/>
          </w:tcPr>
          <w:p w14:paraId="1532FA07" w14:textId="77777777" w:rsidR="00067380" w:rsidRPr="00CA4C14" w:rsidRDefault="00067380" w:rsidP="00CA2D5D">
            <w:pPr>
              <w:pStyle w:val="Tabletext"/>
              <w:rPr>
                <w:i/>
                <w:iCs/>
                <w:lang w:val="ru-RU"/>
              </w:rPr>
            </w:pPr>
            <w:r w:rsidRPr="00CA4C14">
              <w:rPr>
                <w:i/>
                <w:iCs/>
                <w:color w:val="000000"/>
                <w:lang w:val="ru-RU" w:eastAsia="en-GB"/>
              </w:rPr>
              <w:sym w:font="Symbol" w:char="F02D"/>
            </w:r>
            <w:r w:rsidRPr="00CA4C14">
              <w:rPr>
                <w:i/>
                <w:iCs/>
                <w:color w:val="000000"/>
                <w:lang w:val="ru-RU" w:eastAsia="en-GB"/>
              </w:rPr>
              <w:tab/>
              <w:t>Добровольные взносы</w:t>
            </w:r>
          </w:p>
        </w:tc>
        <w:tc>
          <w:tcPr>
            <w:tcW w:w="625" w:type="pct"/>
            <w:noWrap/>
            <w:vAlign w:val="bottom"/>
            <w:hideMark/>
          </w:tcPr>
          <w:p w14:paraId="5FAE8DF9"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3,9</w:t>
            </w:r>
          </w:p>
        </w:tc>
        <w:tc>
          <w:tcPr>
            <w:tcW w:w="1171" w:type="pct"/>
            <w:noWrap/>
            <w:vAlign w:val="bottom"/>
            <w:hideMark/>
          </w:tcPr>
          <w:p w14:paraId="46896279"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3,9</w:t>
            </w:r>
          </w:p>
        </w:tc>
      </w:tr>
      <w:tr w:rsidR="00067380" w:rsidRPr="00CA4C14" w14:paraId="3CBEB244" w14:textId="77777777" w:rsidTr="00EE4F94">
        <w:tc>
          <w:tcPr>
            <w:tcW w:w="3204" w:type="pct"/>
            <w:noWrap/>
            <w:hideMark/>
          </w:tcPr>
          <w:p w14:paraId="7AB012BF" w14:textId="77777777" w:rsidR="00067380" w:rsidRPr="00CA4C14" w:rsidRDefault="00067380" w:rsidP="00CA2D5D">
            <w:pPr>
              <w:pStyle w:val="Tabletext"/>
              <w:rPr>
                <w:i/>
                <w:iCs/>
                <w:lang w:val="ru-RU"/>
              </w:rPr>
            </w:pPr>
            <w:r w:rsidRPr="00CA4C14">
              <w:rPr>
                <w:i/>
                <w:iCs/>
                <w:color w:val="000000"/>
                <w:lang w:val="ru-RU" w:eastAsia="en-GB"/>
              </w:rPr>
              <w:sym w:font="Symbol" w:char="F02D"/>
            </w:r>
            <w:r w:rsidRPr="00CA4C14">
              <w:rPr>
                <w:i/>
                <w:iCs/>
                <w:color w:val="000000"/>
                <w:lang w:val="ru-RU" w:eastAsia="en-GB"/>
              </w:rPr>
              <w:tab/>
              <w:t>Взносы в целевые фонды</w:t>
            </w:r>
          </w:p>
        </w:tc>
        <w:tc>
          <w:tcPr>
            <w:tcW w:w="625" w:type="pct"/>
            <w:tcBorders>
              <w:bottom w:val="single" w:sz="4" w:space="0" w:color="auto"/>
            </w:tcBorders>
            <w:noWrap/>
            <w:vAlign w:val="bottom"/>
            <w:hideMark/>
          </w:tcPr>
          <w:p w14:paraId="4FCC19DA"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15,1</w:t>
            </w:r>
          </w:p>
        </w:tc>
        <w:tc>
          <w:tcPr>
            <w:tcW w:w="1171" w:type="pct"/>
            <w:tcBorders>
              <w:bottom w:val="single" w:sz="4" w:space="0" w:color="auto"/>
            </w:tcBorders>
            <w:noWrap/>
            <w:vAlign w:val="bottom"/>
            <w:hideMark/>
          </w:tcPr>
          <w:p w14:paraId="6408B2C2"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14,0</w:t>
            </w:r>
          </w:p>
        </w:tc>
      </w:tr>
      <w:tr w:rsidR="00067380" w:rsidRPr="00CA4C14" w14:paraId="19672A35" w14:textId="77777777" w:rsidTr="00EE4F94">
        <w:tc>
          <w:tcPr>
            <w:tcW w:w="3204" w:type="pct"/>
            <w:noWrap/>
            <w:hideMark/>
          </w:tcPr>
          <w:p w14:paraId="7AC9A2DB" w14:textId="46D77BDE" w:rsidR="00067380" w:rsidRPr="00CA4C14" w:rsidRDefault="00067380" w:rsidP="00CA2D5D">
            <w:pPr>
              <w:pStyle w:val="Tabletext"/>
              <w:rPr>
                <w:i/>
                <w:iCs/>
                <w:lang w:val="ru-RU"/>
              </w:rPr>
            </w:pPr>
            <w:r w:rsidRPr="00CA4C14">
              <w:rPr>
                <w:i/>
                <w:iCs/>
                <w:lang w:val="ru-RU"/>
              </w:rPr>
              <w:t>Всего</w:t>
            </w:r>
            <w:r w:rsidR="00DC0E8F" w:rsidRPr="00CA4C14">
              <w:rPr>
                <w:i/>
                <w:iCs/>
                <w:lang w:val="ru-RU"/>
              </w:rPr>
              <w:t>:</w:t>
            </w:r>
            <w:r w:rsidRPr="00CA4C14">
              <w:rPr>
                <w:i/>
                <w:iCs/>
                <w:lang w:val="ru-RU"/>
              </w:rPr>
              <w:t xml:space="preserve"> </w:t>
            </w:r>
            <w:r w:rsidR="00DC0E8F" w:rsidRPr="00CA4C14">
              <w:rPr>
                <w:i/>
                <w:iCs/>
                <w:color w:val="000000"/>
                <w:lang w:val="ru-RU" w:eastAsia="en-GB"/>
              </w:rPr>
              <w:t xml:space="preserve">внебюджетные </w:t>
            </w:r>
            <w:r w:rsidRPr="00CA4C14">
              <w:rPr>
                <w:i/>
                <w:iCs/>
                <w:color w:val="000000"/>
                <w:lang w:val="ru-RU" w:eastAsia="en-GB"/>
              </w:rPr>
              <w:t>взносы</w:t>
            </w:r>
          </w:p>
        </w:tc>
        <w:tc>
          <w:tcPr>
            <w:tcW w:w="625" w:type="pct"/>
            <w:tcBorders>
              <w:top w:val="single" w:sz="4" w:space="0" w:color="auto"/>
            </w:tcBorders>
            <w:noWrap/>
            <w:vAlign w:val="bottom"/>
            <w:hideMark/>
          </w:tcPr>
          <w:p w14:paraId="2479A8B1"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19,0</w:t>
            </w:r>
          </w:p>
        </w:tc>
        <w:tc>
          <w:tcPr>
            <w:tcW w:w="1171" w:type="pct"/>
            <w:tcBorders>
              <w:top w:val="single" w:sz="4" w:space="0" w:color="auto"/>
            </w:tcBorders>
            <w:noWrap/>
            <w:vAlign w:val="bottom"/>
            <w:hideMark/>
          </w:tcPr>
          <w:p w14:paraId="6A494EF6"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17,9</w:t>
            </w:r>
          </w:p>
        </w:tc>
      </w:tr>
      <w:tr w:rsidR="00067380" w:rsidRPr="00CA4C14" w14:paraId="120BFDD9" w14:textId="77777777" w:rsidTr="00EE4F94">
        <w:tc>
          <w:tcPr>
            <w:tcW w:w="3204" w:type="pct"/>
            <w:noWrap/>
            <w:hideMark/>
          </w:tcPr>
          <w:p w14:paraId="25CAE9E1" w14:textId="77777777" w:rsidR="00067380" w:rsidRPr="00CA4C14" w:rsidRDefault="00067380" w:rsidP="00CA2D5D">
            <w:pPr>
              <w:pStyle w:val="Tabletext"/>
              <w:spacing w:before="0" w:after="0"/>
              <w:rPr>
                <w:lang w:val="ru-RU"/>
              </w:rPr>
            </w:pPr>
          </w:p>
        </w:tc>
        <w:tc>
          <w:tcPr>
            <w:tcW w:w="625" w:type="pct"/>
            <w:noWrap/>
            <w:vAlign w:val="bottom"/>
            <w:hideMark/>
          </w:tcPr>
          <w:p w14:paraId="747B202C" w14:textId="77777777" w:rsidR="00067380" w:rsidRPr="00CA4C14" w:rsidRDefault="00067380" w:rsidP="00CA2D5D">
            <w:pPr>
              <w:pStyle w:val="Tabletext"/>
              <w:spacing w:before="0" w:after="0"/>
              <w:jc w:val="right"/>
              <w:rPr>
                <w:i/>
                <w:iCs/>
                <w:color w:val="000000"/>
                <w:szCs w:val="18"/>
                <w:lang w:val="ru-RU" w:eastAsia="en-GB"/>
              </w:rPr>
            </w:pPr>
          </w:p>
        </w:tc>
        <w:tc>
          <w:tcPr>
            <w:tcW w:w="1171" w:type="pct"/>
            <w:noWrap/>
            <w:vAlign w:val="bottom"/>
            <w:hideMark/>
          </w:tcPr>
          <w:p w14:paraId="328E241B" w14:textId="77777777" w:rsidR="00067380" w:rsidRPr="00CA4C14" w:rsidRDefault="00067380" w:rsidP="00CA2D5D">
            <w:pPr>
              <w:pStyle w:val="Tabletext"/>
              <w:spacing w:before="0" w:after="0"/>
              <w:jc w:val="right"/>
              <w:rPr>
                <w:color w:val="000000"/>
                <w:szCs w:val="18"/>
                <w:lang w:val="ru-RU" w:eastAsia="en-GB"/>
              </w:rPr>
            </w:pPr>
          </w:p>
        </w:tc>
      </w:tr>
      <w:tr w:rsidR="00067380" w:rsidRPr="00CA4C14" w14:paraId="387EE5D5" w14:textId="77777777" w:rsidTr="00EE4F94">
        <w:tc>
          <w:tcPr>
            <w:tcW w:w="3204" w:type="pct"/>
            <w:noWrap/>
            <w:hideMark/>
          </w:tcPr>
          <w:p w14:paraId="71161FBB" w14:textId="07F0EE94" w:rsidR="00067380" w:rsidRPr="00CA4C14" w:rsidRDefault="001028FE" w:rsidP="00CA2D5D">
            <w:pPr>
              <w:pStyle w:val="Tabletext"/>
              <w:rPr>
                <w:i/>
                <w:iCs/>
                <w:color w:val="000000"/>
                <w:lang w:val="ru-RU" w:eastAsia="en-GB"/>
              </w:rPr>
            </w:pPr>
            <w:r w:rsidRPr="00CA4C14">
              <w:rPr>
                <w:i/>
                <w:iCs/>
                <w:color w:val="000000"/>
                <w:lang w:val="ru-RU" w:eastAsia="en-GB"/>
              </w:rPr>
              <w:t>Прочие доходы от деятельности</w:t>
            </w:r>
          </w:p>
        </w:tc>
        <w:tc>
          <w:tcPr>
            <w:tcW w:w="625" w:type="pct"/>
            <w:noWrap/>
            <w:vAlign w:val="bottom"/>
            <w:hideMark/>
          </w:tcPr>
          <w:p w14:paraId="78CC4815" w14:textId="77777777" w:rsidR="00067380" w:rsidRPr="00CA4C14" w:rsidRDefault="00067380" w:rsidP="00CA2D5D">
            <w:pPr>
              <w:pStyle w:val="Tabletext"/>
              <w:jc w:val="right"/>
              <w:rPr>
                <w:i/>
                <w:iCs/>
                <w:color w:val="000000"/>
                <w:szCs w:val="18"/>
                <w:lang w:val="ru-RU" w:eastAsia="en-GB"/>
              </w:rPr>
            </w:pPr>
          </w:p>
        </w:tc>
        <w:tc>
          <w:tcPr>
            <w:tcW w:w="1171" w:type="pct"/>
            <w:noWrap/>
            <w:vAlign w:val="bottom"/>
            <w:hideMark/>
          </w:tcPr>
          <w:p w14:paraId="4FF65746" w14:textId="77777777" w:rsidR="00067380" w:rsidRPr="00CA4C14" w:rsidRDefault="00067380" w:rsidP="00CA2D5D">
            <w:pPr>
              <w:pStyle w:val="Tabletext"/>
              <w:jc w:val="right"/>
              <w:rPr>
                <w:color w:val="000000"/>
                <w:szCs w:val="18"/>
                <w:lang w:val="ru-RU" w:eastAsia="en-GB"/>
              </w:rPr>
            </w:pPr>
          </w:p>
        </w:tc>
      </w:tr>
      <w:tr w:rsidR="00067380" w:rsidRPr="00CA4C14" w14:paraId="6A4914A6" w14:textId="77777777" w:rsidTr="00EE4F94">
        <w:tc>
          <w:tcPr>
            <w:tcW w:w="3204" w:type="pct"/>
            <w:noWrap/>
            <w:hideMark/>
          </w:tcPr>
          <w:p w14:paraId="7743E834" w14:textId="77777777" w:rsidR="00067380" w:rsidRPr="00CA4C14" w:rsidRDefault="00067380" w:rsidP="00CA2D5D">
            <w:pPr>
              <w:pStyle w:val="Tabletext"/>
              <w:rPr>
                <w:i/>
                <w:iCs/>
                <w:lang w:val="ru-RU"/>
              </w:rPr>
            </w:pPr>
            <w:r w:rsidRPr="00CA4C14">
              <w:rPr>
                <w:i/>
                <w:iCs/>
                <w:color w:val="000000"/>
                <w:lang w:val="ru-RU" w:eastAsia="en-GB"/>
              </w:rPr>
              <w:sym w:font="Symbol" w:char="F02D"/>
            </w:r>
            <w:r w:rsidRPr="00CA4C14">
              <w:rPr>
                <w:i/>
                <w:iCs/>
                <w:color w:val="000000"/>
                <w:lang w:val="ru-RU" w:eastAsia="en-GB"/>
              </w:rPr>
              <w:tab/>
              <w:t>Публикации</w:t>
            </w:r>
          </w:p>
        </w:tc>
        <w:tc>
          <w:tcPr>
            <w:tcW w:w="625" w:type="pct"/>
            <w:noWrap/>
            <w:vAlign w:val="bottom"/>
            <w:hideMark/>
          </w:tcPr>
          <w:p w14:paraId="03300C34"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16,7</w:t>
            </w:r>
          </w:p>
        </w:tc>
        <w:tc>
          <w:tcPr>
            <w:tcW w:w="1171" w:type="pct"/>
            <w:noWrap/>
            <w:vAlign w:val="bottom"/>
            <w:hideMark/>
          </w:tcPr>
          <w:p w14:paraId="6550DD5D"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14,6</w:t>
            </w:r>
          </w:p>
        </w:tc>
      </w:tr>
      <w:tr w:rsidR="00067380" w:rsidRPr="00CA4C14" w14:paraId="17F5C88A" w14:textId="77777777" w:rsidTr="00EE4F94">
        <w:tc>
          <w:tcPr>
            <w:tcW w:w="3204" w:type="pct"/>
            <w:noWrap/>
            <w:hideMark/>
          </w:tcPr>
          <w:p w14:paraId="10AA0950" w14:textId="40FD66AD" w:rsidR="00067380" w:rsidRPr="00CA4C14" w:rsidRDefault="00067380" w:rsidP="00CA2D5D">
            <w:pPr>
              <w:pStyle w:val="Tabletext"/>
              <w:rPr>
                <w:i/>
                <w:iCs/>
                <w:lang w:val="ru-RU"/>
              </w:rPr>
            </w:pPr>
            <w:r w:rsidRPr="00CA4C14">
              <w:rPr>
                <w:i/>
                <w:iCs/>
                <w:color w:val="000000"/>
                <w:lang w:val="ru-RU" w:eastAsia="en-GB"/>
              </w:rPr>
              <w:sym w:font="Symbol" w:char="F02D"/>
            </w:r>
            <w:r w:rsidR="007B4277" w:rsidRPr="00CA4C14">
              <w:rPr>
                <w:i/>
                <w:iCs/>
                <w:color w:val="000000"/>
                <w:lang w:val="ru-RU" w:eastAsia="en-GB"/>
              </w:rPr>
              <w:tab/>
            </w:r>
            <w:r w:rsidRPr="00CA4C14">
              <w:rPr>
                <w:i/>
                <w:iCs/>
                <w:color w:val="000000"/>
                <w:lang w:val="ru-RU" w:eastAsia="en-GB"/>
              </w:rPr>
              <w:tab/>
              <w:t>Обработка заявок на регистрацию спутниковых сетей (SNF)</w:t>
            </w:r>
          </w:p>
        </w:tc>
        <w:tc>
          <w:tcPr>
            <w:tcW w:w="625" w:type="pct"/>
            <w:noWrap/>
            <w:vAlign w:val="bottom"/>
            <w:hideMark/>
          </w:tcPr>
          <w:p w14:paraId="6633EFD7"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10,6</w:t>
            </w:r>
          </w:p>
        </w:tc>
        <w:tc>
          <w:tcPr>
            <w:tcW w:w="1171" w:type="pct"/>
            <w:noWrap/>
            <w:vAlign w:val="bottom"/>
            <w:hideMark/>
          </w:tcPr>
          <w:p w14:paraId="71850AA1"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10,3</w:t>
            </w:r>
          </w:p>
        </w:tc>
      </w:tr>
      <w:tr w:rsidR="00067380" w:rsidRPr="00CA4C14" w14:paraId="603B672F" w14:textId="77777777" w:rsidTr="00EE4F94">
        <w:tc>
          <w:tcPr>
            <w:tcW w:w="3204" w:type="pct"/>
            <w:noWrap/>
            <w:hideMark/>
          </w:tcPr>
          <w:p w14:paraId="4B1B07F6" w14:textId="77777777" w:rsidR="00067380" w:rsidRPr="00CA4C14" w:rsidRDefault="00067380" w:rsidP="00CA2D5D">
            <w:pPr>
              <w:pStyle w:val="Tabletext"/>
              <w:rPr>
                <w:i/>
                <w:iCs/>
                <w:lang w:val="ru-RU"/>
              </w:rPr>
            </w:pPr>
            <w:r w:rsidRPr="00CA4C14">
              <w:rPr>
                <w:i/>
                <w:iCs/>
                <w:color w:val="000000"/>
                <w:lang w:val="ru-RU" w:eastAsia="en-GB"/>
              </w:rPr>
              <w:sym w:font="Symbol" w:char="F02D"/>
            </w:r>
            <w:r w:rsidRPr="00CA4C14">
              <w:rPr>
                <w:i/>
                <w:iCs/>
                <w:color w:val="000000"/>
                <w:lang w:val="ru-RU" w:eastAsia="en-GB"/>
              </w:rPr>
              <w:tab/>
              <w:t>Прочие доходы</w:t>
            </w:r>
          </w:p>
        </w:tc>
        <w:tc>
          <w:tcPr>
            <w:tcW w:w="625" w:type="pct"/>
            <w:tcBorders>
              <w:bottom w:val="single" w:sz="4" w:space="0" w:color="auto"/>
            </w:tcBorders>
            <w:noWrap/>
            <w:vAlign w:val="bottom"/>
            <w:hideMark/>
          </w:tcPr>
          <w:p w14:paraId="670D3A30"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6,8</w:t>
            </w:r>
          </w:p>
        </w:tc>
        <w:tc>
          <w:tcPr>
            <w:tcW w:w="1171" w:type="pct"/>
            <w:tcBorders>
              <w:bottom w:val="single" w:sz="4" w:space="0" w:color="auto"/>
            </w:tcBorders>
            <w:noWrap/>
            <w:vAlign w:val="bottom"/>
            <w:hideMark/>
          </w:tcPr>
          <w:p w14:paraId="017E2AC5"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1,6</w:t>
            </w:r>
          </w:p>
        </w:tc>
      </w:tr>
      <w:tr w:rsidR="00067380" w:rsidRPr="00CA4C14" w14:paraId="19DB882B" w14:textId="77777777" w:rsidTr="00EE4F94">
        <w:tc>
          <w:tcPr>
            <w:tcW w:w="3204" w:type="pct"/>
            <w:noWrap/>
            <w:hideMark/>
          </w:tcPr>
          <w:p w14:paraId="61F268F0" w14:textId="7241926E" w:rsidR="00067380" w:rsidRPr="00CA4C14" w:rsidRDefault="00067380" w:rsidP="00CA2D5D">
            <w:pPr>
              <w:pStyle w:val="Tabletext"/>
              <w:rPr>
                <w:i/>
                <w:iCs/>
                <w:lang w:val="ru-RU"/>
              </w:rPr>
            </w:pPr>
            <w:r w:rsidRPr="00CA4C14">
              <w:rPr>
                <w:i/>
                <w:iCs/>
                <w:lang w:val="ru-RU"/>
              </w:rPr>
              <w:t>Всего</w:t>
            </w:r>
            <w:r w:rsidR="00DC0E8F" w:rsidRPr="00CA4C14">
              <w:rPr>
                <w:i/>
                <w:iCs/>
                <w:lang w:val="ru-RU"/>
              </w:rPr>
              <w:t>:</w:t>
            </w:r>
            <w:r w:rsidRPr="00CA4C14">
              <w:rPr>
                <w:i/>
                <w:iCs/>
                <w:lang w:val="ru-RU"/>
              </w:rPr>
              <w:t xml:space="preserve"> </w:t>
            </w:r>
            <w:r w:rsidR="00DC0E8F" w:rsidRPr="00CA4C14">
              <w:rPr>
                <w:i/>
                <w:iCs/>
                <w:lang w:val="ru-RU"/>
              </w:rPr>
              <w:t xml:space="preserve">прочие </w:t>
            </w:r>
            <w:r w:rsidRPr="00CA4C14">
              <w:rPr>
                <w:i/>
                <w:iCs/>
                <w:lang w:val="ru-RU"/>
              </w:rPr>
              <w:t>доходы от деятельности</w:t>
            </w:r>
          </w:p>
        </w:tc>
        <w:tc>
          <w:tcPr>
            <w:tcW w:w="625" w:type="pct"/>
            <w:tcBorders>
              <w:top w:val="single" w:sz="4" w:space="0" w:color="auto"/>
            </w:tcBorders>
            <w:noWrap/>
            <w:vAlign w:val="bottom"/>
            <w:hideMark/>
          </w:tcPr>
          <w:p w14:paraId="2BB0B5F3"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34,1</w:t>
            </w:r>
          </w:p>
        </w:tc>
        <w:tc>
          <w:tcPr>
            <w:tcW w:w="1171" w:type="pct"/>
            <w:tcBorders>
              <w:top w:val="single" w:sz="4" w:space="0" w:color="auto"/>
            </w:tcBorders>
            <w:noWrap/>
            <w:vAlign w:val="bottom"/>
            <w:hideMark/>
          </w:tcPr>
          <w:p w14:paraId="3541014C" w14:textId="77777777" w:rsidR="00067380" w:rsidRPr="00CA4C14" w:rsidRDefault="00067380" w:rsidP="00CA2D5D">
            <w:pPr>
              <w:pStyle w:val="Tabletext"/>
              <w:jc w:val="right"/>
              <w:rPr>
                <w:i/>
                <w:iCs/>
                <w:color w:val="000000"/>
                <w:szCs w:val="18"/>
                <w:lang w:val="ru-RU" w:eastAsia="en-GB"/>
              </w:rPr>
            </w:pPr>
            <w:r w:rsidRPr="00CA4C14">
              <w:rPr>
                <w:i/>
                <w:iCs/>
                <w:color w:val="000000"/>
                <w:szCs w:val="18"/>
                <w:lang w:val="ru-RU" w:eastAsia="en-GB"/>
              </w:rPr>
              <w:t>26,5</w:t>
            </w:r>
          </w:p>
        </w:tc>
      </w:tr>
      <w:tr w:rsidR="00067380" w:rsidRPr="00CA4C14" w14:paraId="23F7CAD9" w14:textId="77777777" w:rsidTr="00EE4F94">
        <w:tc>
          <w:tcPr>
            <w:tcW w:w="5000" w:type="pct"/>
            <w:gridSpan w:val="3"/>
            <w:noWrap/>
            <w:hideMark/>
          </w:tcPr>
          <w:p w14:paraId="16039F02" w14:textId="77777777" w:rsidR="00067380" w:rsidRPr="00CA4C14" w:rsidRDefault="00067380" w:rsidP="00CA2D5D">
            <w:pPr>
              <w:pStyle w:val="Tabletext"/>
              <w:spacing w:before="0" w:after="0"/>
              <w:rPr>
                <w:color w:val="000000"/>
                <w:szCs w:val="18"/>
                <w:lang w:val="ru-RU" w:eastAsia="en-GB"/>
              </w:rPr>
            </w:pPr>
          </w:p>
        </w:tc>
      </w:tr>
      <w:tr w:rsidR="00067380" w:rsidRPr="00CA4C14" w14:paraId="31BD47A9" w14:textId="77777777" w:rsidTr="00EE4F94">
        <w:tc>
          <w:tcPr>
            <w:tcW w:w="3204" w:type="pct"/>
            <w:noWrap/>
            <w:hideMark/>
          </w:tcPr>
          <w:p w14:paraId="742DA65E" w14:textId="0AB93452" w:rsidR="00067380" w:rsidRPr="00CA4C14" w:rsidRDefault="00897864" w:rsidP="00CA2D5D">
            <w:pPr>
              <w:pStyle w:val="Tabletext"/>
              <w:rPr>
                <w:lang w:val="ru-RU"/>
              </w:rPr>
            </w:pPr>
            <w:r w:rsidRPr="00CA4C14">
              <w:rPr>
                <w:lang w:val="ru-RU"/>
              </w:rPr>
              <w:t>Взносы в натуральной форме</w:t>
            </w:r>
          </w:p>
        </w:tc>
        <w:tc>
          <w:tcPr>
            <w:tcW w:w="625" w:type="pct"/>
            <w:noWrap/>
            <w:vAlign w:val="bottom"/>
            <w:hideMark/>
          </w:tcPr>
          <w:p w14:paraId="1654658D" w14:textId="77777777" w:rsidR="00067380" w:rsidRPr="00CA4C14" w:rsidRDefault="00067380" w:rsidP="00CA2D5D">
            <w:pPr>
              <w:pStyle w:val="Tabletext"/>
              <w:jc w:val="right"/>
              <w:rPr>
                <w:color w:val="000000"/>
                <w:szCs w:val="18"/>
                <w:lang w:val="ru-RU" w:eastAsia="en-GB"/>
              </w:rPr>
            </w:pPr>
          </w:p>
        </w:tc>
        <w:tc>
          <w:tcPr>
            <w:tcW w:w="1171" w:type="pct"/>
            <w:noWrap/>
            <w:vAlign w:val="bottom"/>
            <w:hideMark/>
          </w:tcPr>
          <w:p w14:paraId="3EC8A060" w14:textId="77777777" w:rsidR="00067380" w:rsidRPr="00CA4C14" w:rsidRDefault="00067380" w:rsidP="00CA2D5D">
            <w:pPr>
              <w:pStyle w:val="Tabletext"/>
              <w:jc w:val="right"/>
              <w:rPr>
                <w:color w:val="000000"/>
                <w:szCs w:val="18"/>
                <w:lang w:val="ru-RU" w:eastAsia="en-GB"/>
              </w:rPr>
            </w:pPr>
          </w:p>
        </w:tc>
      </w:tr>
      <w:tr w:rsidR="00067380" w:rsidRPr="00CA4C14" w14:paraId="400E3A6A" w14:textId="77777777" w:rsidTr="00EE4F94">
        <w:tc>
          <w:tcPr>
            <w:tcW w:w="3204" w:type="pct"/>
            <w:noWrap/>
            <w:hideMark/>
          </w:tcPr>
          <w:p w14:paraId="4572EE7E" w14:textId="4E53131F" w:rsidR="00067380" w:rsidRPr="00CA4C14" w:rsidRDefault="00F847FD" w:rsidP="00CA2D5D">
            <w:pPr>
              <w:pStyle w:val="Tabletext"/>
              <w:rPr>
                <w:lang w:val="ru-RU"/>
              </w:rPr>
            </w:pPr>
            <w:r w:rsidRPr="00CA4C14">
              <w:rPr>
                <w:color w:val="000000"/>
                <w:szCs w:val="18"/>
                <w:lang w:val="ru-RU" w:eastAsia="en-GB"/>
              </w:rPr>
              <w:t>Финансовые доходы/(</w:t>
            </w:r>
            <w:r w:rsidR="00897864" w:rsidRPr="00CA4C14">
              <w:rPr>
                <w:color w:val="000000"/>
                <w:szCs w:val="18"/>
                <w:lang w:val="ru-RU" w:eastAsia="en-GB"/>
              </w:rPr>
              <w:t>затраты</w:t>
            </w:r>
            <w:r w:rsidRPr="00CA4C14">
              <w:rPr>
                <w:color w:val="000000"/>
                <w:szCs w:val="18"/>
                <w:lang w:val="ru-RU" w:eastAsia="en-GB"/>
              </w:rPr>
              <w:t>)</w:t>
            </w:r>
          </w:p>
        </w:tc>
        <w:tc>
          <w:tcPr>
            <w:tcW w:w="625" w:type="pct"/>
            <w:noWrap/>
            <w:vAlign w:val="bottom"/>
            <w:hideMark/>
          </w:tcPr>
          <w:p w14:paraId="65343847"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(8,3)</w:t>
            </w:r>
          </w:p>
        </w:tc>
        <w:tc>
          <w:tcPr>
            <w:tcW w:w="1171" w:type="pct"/>
            <w:noWrap/>
            <w:vAlign w:val="bottom"/>
            <w:hideMark/>
          </w:tcPr>
          <w:p w14:paraId="1F5FFA33" w14:textId="77777777" w:rsidR="00067380" w:rsidRPr="00CA4C14" w:rsidRDefault="00067380" w:rsidP="00CA2D5D">
            <w:pPr>
              <w:pStyle w:val="Tabletext"/>
              <w:jc w:val="right"/>
              <w:rPr>
                <w:color w:val="000000"/>
                <w:szCs w:val="18"/>
                <w:lang w:val="ru-RU" w:eastAsia="en-GB"/>
              </w:rPr>
            </w:pPr>
            <w:r w:rsidRPr="00CA4C14">
              <w:rPr>
                <w:color w:val="000000"/>
                <w:szCs w:val="18"/>
                <w:lang w:val="ru-RU" w:eastAsia="en-GB"/>
              </w:rPr>
              <w:t>6,5</w:t>
            </w:r>
          </w:p>
        </w:tc>
      </w:tr>
      <w:tr w:rsidR="00067380" w:rsidRPr="00CA4C14" w14:paraId="589B542B" w14:textId="77777777" w:rsidTr="00EE4F94">
        <w:tc>
          <w:tcPr>
            <w:tcW w:w="3204" w:type="pct"/>
            <w:shd w:val="clear" w:color="auto" w:fill="0070C0"/>
            <w:noWrap/>
            <w:vAlign w:val="center"/>
            <w:hideMark/>
          </w:tcPr>
          <w:p w14:paraId="24607207" w14:textId="3C1F3CA9" w:rsidR="00067380" w:rsidRPr="00CA4C14" w:rsidRDefault="00F847FD" w:rsidP="00CA2D5D">
            <w:pPr>
              <w:pStyle w:val="Tabletext"/>
              <w:rPr>
                <w:b/>
                <w:bCs/>
                <w:lang w:val="ru-RU"/>
              </w:rPr>
            </w:pPr>
            <w:r w:rsidRPr="00CA4C14">
              <w:rPr>
                <w:b/>
                <w:bCs/>
                <w:color w:val="000000"/>
                <w:szCs w:val="18"/>
                <w:lang w:val="ru-RU" w:eastAsia="en-GB"/>
              </w:rPr>
              <w:t>Всего</w:t>
            </w:r>
            <w:r w:rsidR="00DC0E8F" w:rsidRPr="00CA4C14">
              <w:rPr>
                <w:b/>
                <w:bCs/>
                <w:color w:val="000000"/>
                <w:szCs w:val="18"/>
                <w:lang w:val="ru-RU" w:eastAsia="en-GB"/>
              </w:rPr>
              <w:t xml:space="preserve"> − Доходы</w:t>
            </w:r>
          </w:p>
        </w:tc>
        <w:tc>
          <w:tcPr>
            <w:tcW w:w="625" w:type="pct"/>
            <w:shd w:val="clear" w:color="auto" w:fill="0070C0"/>
            <w:noWrap/>
            <w:vAlign w:val="center"/>
            <w:hideMark/>
          </w:tcPr>
          <w:p w14:paraId="23033E54" w14:textId="77777777" w:rsidR="00067380" w:rsidRPr="00CA4C14" w:rsidRDefault="00067380" w:rsidP="00CA2D5D">
            <w:pPr>
              <w:pStyle w:val="Tabletext"/>
              <w:jc w:val="right"/>
              <w:rPr>
                <w:b/>
                <w:bCs/>
                <w:color w:val="000000"/>
                <w:szCs w:val="18"/>
                <w:lang w:val="ru-RU" w:eastAsia="en-GB"/>
              </w:rPr>
            </w:pPr>
            <w:r w:rsidRPr="00CA4C14">
              <w:rPr>
                <w:b/>
                <w:bCs/>
                <w:color w:val="000000"/>
                <w:szCs w:val="18"/>
                <w:lang w:val="ru-RU" w:eastAsia="en-GB"/>
              </w:rPr>
              <w:t>172,4</w:t>
            </w:r>
          </w:p>
        </w:tc>
        <w:tc>
          <w:tcPr>
            <w:tcW w:w="1171" w:type="pct"/>
            <w:shd w:val="clear" w:color="auto" w:fill="0070C0"/>
            <w:noWrap/>
            <w:vAlign w:val="center"/>
            <w:hideMark/>
          </w:tcPr>
          <w:p w14:paraId="4E7AD071" w14:textId="77777777" w:rsidR="00067380" w:rsidRPr="00CA4C14" w:rsidRDefault="00067380" w:rsidP="00CA2D5D">
            <w:pPr>
              <w:pStyle w:val="Tabletext"/>
              <w:jc w:val="right"/>
              <w:rPr>
                <w:b/>
                <w:bCs/>
                <w:color w:val="000000"/>
                <w:szCs w:val="18"/>
                <w:lang w:val="ru-RU" w:eastAsia="en-GB"/>
              </w:rPr>
            </w:pPr>
            <w:r w:rsidRPr="00CA4C14">
              <w:rPr>
                <w:b/>
                <w:bCs/>
                <w:color w:val="000000"/>
                <w:szCs w:val="18"/>
                <w:lang w:val="ru-RU" w:eastAsia="en-GB"/>
              </w:rPr>
              <w:t>178,5</w:t>
            </w:r>
          </w:p>
        </w:tc>
      </w:tr>
    </w:tbl>
    <w:p w14:paraId="78935070" w14:textId="42427657" w:rsidR="00067380" w:rsidRPr="00CA4C14" w:rsidRDefault="00E445F6" w:rsidP="00E445F6">
      <w:pPr>
        <w:pStyle w:val="Figuretitle"/>
        <w:rPr>
          <w:lang w:val="ru-RU"/>
        </w:rPr>
      </w:pPr>
      <w:r w:rsidRPr="00CA4C14">
        <w:rPr>
          <w:lang w:val="ru-RU"/>
        </w:rPr>
        <w:lastRenderedPageBreak/>
        <w:t xml:space="preserve">Рисунок </w:t>
      </w:r>
      <w:r w:rsidR="002E2BBB" w:rsidRPr="00CA4C14">
        <w:rPr>
          <w:lang w:val="ru-RU"/>
        </w:rPr>
        <w:t>2</w:t>
      </w:r>
      <w:r w:rsidRPr="00CA4C14">
        <w:rPr>
          <w:lang w:val="ru-RU"/>
        </w:rPr>
        <w:t xml:space="preserve"> </w:t>
      </w:r>
      <w:r w:rsidR="00F378FA" w:rsidRPr="00CA4C14">
        <w:rPr>
          <w:lang w:val="ru-RU"/>
        </w:rPr>
        <w:t>−</w:t>
      </w:r>
      <w:r w:rsidRPr="00CA4C14">
        <w:rPr>
          <w:lang w:val="ru-RU"/>
        </w:rPr>
        <w:t xml:space="preserve"> Анализ доходов </w:t>
      </w:r>
      <w:r w:rsidR="00897864" w:rsidRPr="00CA4C14">
        <w:rPr>
          <w:lang w:val="ru-RU"/>
        </w:rPr>
        <w:t>в разбивке за</w:t>
      </w:r>
      <w:r w:rsidRPr="00CA4C14">
        <w:rPr>
          <w:lang w:val="ru-RU"/>
        </w:rPr>
        <w:t xml:space="preserve"> 2023 год</w:t>
      </w:r>
    </w:p>
    <w:p w14:paraId="4CB69938" w14:textId="33578AE7" w:rsidR="002454E2" w:rsidRPr="00CA4C14" w:rsidRDefault="002454E2" w:rsidP="00FD41E0">
      <w:pPr>
        <w:rPr>
          <w:lang w:val="ru-RU"/>
        </w:rPr>
      </w:pPr>
      <w:r w:rsidRPr="00CA4C14">
        <w:rPr>
          <w:noProof/>
          <w:lang w:val="ru-RU"/>
        </w:rPr>
        <w:drawing>
          <wp:inline distT="0" distB="0" distL="0" distR="0" wp14:anchorId="40788BE5" wp14:editId="184533FC">
            <wp:extent cx="5760085" cy="3472180"/>
            <wp:effectExtent l="0" t="0" r="0" b="0"/>
            <wp:docPr id="714525850" name="Chart 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630100" w14:textId="29A6675F" w:rsidR="00E445F6" w:rsidRPr="00CA4C14" w:rsidRDefault="00E445F6" w:rsidP="00E445F6">
      <w:pPr>
        <w:rPr>
          <w:lang w:val="ru-RU"/>
        </w:rPr>
      </w:pPr>
      <w:r w:rsidRPr="00CA4C14">
        <w:rPr>
          <w:lang w:val="ru-RU"/>
        </w:rPr>
        <w:t>10</w:t>
      </w:r>
      <w:r w:rsidRPr="00CA4C14">
        <w:rPr>
          <w:lang w:val="ru-RU"/>
        </w:rPr>
        <w:tab/>
        <w:t xml:space="preserve">Как видно из </w:t>
      </w:r>
      <w:r w:rsidR="00967CBA" w:rsidRPr="00CA4C14">
        <w:rPr>
          <w:lang w:val="ru-RU"/>
        </w:rPr>
        <w:t>Р</w:t>
      </w:r>
      <w:r w:rsidRPr="00CA4C14">
        <w:rPr>
          <w:lang w:val="ru-RU"/>
        </w:rPr>
        <w:t>исунка 2</w:t>
      </w:r>
      <w:r w:rsidR="00DC0E8F" w:rsidRPr="00CA4C14">
        <w:rPr>
          <w:lang w:val="ru-RU"/>
        </w:rPr>
        <w:t>,</w:t>
      </w:r>
      <w:r w:rsidRPr="00CA4C14">
        <w:rPr>
          <w:lang w:val="ru-RU"/>
        </w:rPr>
        <w:t xml:space="preserve"> выше, основным источником доходов </w:t>
      </w:r>
      <w:r w:rsidR="00061FF1" w:rsidRPr="00CA4C14">
        <w:rPr>
          <w:lang w:val="ru-RU"/>
        </w:rPr>
        <w:t xml:space="preserve">МСЭ </w:t>
      </w:r>
      <w:r w:rsidRPr="00CA4C14">
        <w:rPr>
          <w:lang w:val="ru-RU"/>
        </w:rPr>
        <w:t xml:space="preserve">являются начисленные взносы, составляющие 71 процент, за которыми следуют </w:t>
      </w:r>
      <w:r w:rsidR="00061FF1" w:rsidRPr="00CA4C14">
        <w:rPr>
          <w:lang w:val="ru-RU"/>
        </w:rPr>
        <w:t>прочие доходы от деятельности</w:t>
      </w:r>
      <w:r w:rsidRPr="00CA4C14">
        <w:rPr>
          <w:lang w:val="ru-RU"/>
        </w:rPr>
        <w:t xml:space="preserve">, составляющие 18 процентов, к которым относятся продажа публикаций и </w:t>
      </w:r>
      <w:r w:rsidR="002E2BBB" w:rsidRPr="00CA4C14">
        <w:rPr>
          <w:lang w:val="ru-RU"/>
        </w:rPr>
        <w:t xml:space="preserve">обработка </w:t>
      </w:r>
      <w:r w:rsidRPr="00CA4C14">
        <w:rPr>
          <w:lang w:val="ru-RU"/>
        </w:rPr>
        <w:t>заяв</w:t>
      </w:r>
      <w:r w:rsidR="002E2BBB" w:rsidRPr="00CA4C14">
        <w:rPr>
          <w:lang w:val="ru-RU"/>
        </w:rPr>
        <w:t>ок</w:t>
      </w:r>
      <w:r w:rsidRPr="00CA4C14">
        <w:rPr>
          <w:lang w:val="ru-RU"/>
        </w:rPr>
        <w:t xml:space="preserve"> на регистрацию спутниковых сетей (SNF).</w:t>
      </w:r>
    </w:p>
    <w:p w14:paraId="2AEC2C32" w14:textId="6BCC6034" w:rsidR="00E445F6" w:rsidRPr="00CA4C14" w:rsidRDefault="00E445F6" w:rsidP="00E445F6">
      <w:pPr>
        <w:rPr>
          <w:rFonts w:cstheme="minorHAnsi"/>
          <w:lang w:val="ru-RU"/>
        </w:rPr>
      </w:pPr>
      <w:bookmarkStart w:id="30" w:name="lt_pId043"/>
      <w:r w:rsidRPr="00CA4C14">
        <w:rPr>
          <w:lang w:val="ru-RU"/>
        </w:rPr>
        <w:t>11</w:t>
      </w:r>
      <w:r w:rsidRPr="00CA4C14">
        <w:rPr>
          <w:lang w:val="ru-RU"/>
        </w:rPr>
        <w:tab/>
      </w:r>
      <w:r w:rsidR="00061FF1" w:rsidRPr="00CA4C14">
        <w:rPr>
          <w:lang w:val="ru-RU"/>
        </w:rPr>
        <w:t>Внебюджетные взносы, признанные за</w:t>
      </w:r>
      <w:r w:rsidRPr="00CA4C14">
        <w:rPr>
          <w:rFonts w:cstheme="minorHAnsi"/>
          <w:lang w:val="ru-RU"/>
        </w:rPr>
        <w:t xml:space="preserve"> 2023</w:t>
      </w:r>
      <w:r w:rsidR="009053A9" w:rsidRPr="00CA4C14">
        <w:rPr>
          <w:rFonts w:cstheme="minorHAnsi"/>
          <w:lang w:val="ru-RU"/>
        </w:rPr>
        <w:t> год</w:t>
      </w:r>
      <w:r w:rsidR="00061FF1" w:rsidRPr="00CA4C14">
        <w:rPr>
          <w:rFonts w:cstheme="minorHAnsi"/>
          <w:lang w:val="ru-RU"/>
        </w:rPr>
        <w:t xml:space="preserve">, составляют </w:t>
      </w:r>
      <w:r w:rsidRPr="00CA4C14">
        <w:rPr>
          <w:rFonts w:cstheme="minorHAnsi"/>
          <w:lang w:val="ru-RU"/>
        </w:rPr>
        <w:t>11</w:t>
      </w:r>
      <w:r w:rsidR="00061FF1" w:rsidRPr="00CA4C14">
        <w:rPr>
          <w:rFonts w:cstheme="minorHAnsi"/>
          <w:lang w:val="ru-RU"/>
        </w:rPr>
        <w:t xml:space="preserve"> процентов всех доходов</w:t>
      </w:r>
      <w:r w:rsidRPr="00CA4C14">
        <w:rPr>
          <w:rFonts w:cstheme="minorHAnsi"/>
          <w:lang w:val="ru-RU"/>
        </w:rPr>
        <w:t xml:space="preserve"> (18,7</w:t>
      </w:r>
      <w:r w:rsidR="009053A9" w:rsidRPr="00CA4C14">
        <w:rPr>
          <w:rFonts w:cstheme="minorHAnsi"/>
          <w:lang w:val="ru-RU"/>
        </w:rPr>
        <w:t> </w:t>
      </w:r>
      <w:proofErr w:type="gramStart"/>
      <w:r w:rsidR="009053A9" w:rsidRPr="00CA4C14">
        <w:rPr>
          <w:rFonts w:cstheme="minorHAnsi"/>
          <w:lang w:val="ru-RU"/>
        </w:rPr>
        <w:t>млн.</w:t>
      </w:r>
      <w:proofErr w:type="gramEnd"/>
      <w:r w:rsidR="009053A9" w:rsidRPr="00CA4C14">
        <w:rPr>
          <w:rFonts w:cstheme="minorHAnsi"/>
          <w:lang w:val="ru-RU"/>
        </w:rPr>
        <w:t xml:space="preserve"> шв</w:t>
      </w:r>
      <w:r w:rsidR="00A91F97" w:rsidRPr="00CA4C14">
        <w:rPr>
          <w:rFonts w:cstheme="minorHAnsi"/>
          <w:lang w:val="ru-RU"/>
        </w:rPr>
        <w:t>.</w:t>
      </w:r>
      <w:r w:rsidRPr="00CA4C14">
        <w:rPr>
          <w:lang w:val="ru-RU"/>
        </w:rPr>
        <w:t xml:space="preserve"> фр</w:t>
      </w:r>
      <w:r w:rsidR="00A91F97" w:rsidRPr="00CA4C14">
        <w:rPr>
          <w:lang w:val="ru-RU"/>
        </w:rPr>
        <w:t>.</w:t>
      </w:r>
      <w:r w:rsidRPr="00CA4C14">
        <w:rPr>
          <w:rFonts w:cstheme="minorHAnsi"/>
          <w:lang w:val="ru-RU"/>
        </w:rPr>
        <w:t>) (17,9</w:t>
      </w:r>
      <w:r w:rsidR="009053A9" w:rsidRPr="00CA4C14">
        <w:rPr>
          <w:rFonts w:cstheme="minorHAnsi"/>
          <w:lang w:val="ru-RU"/>
        </w:rPr>
        <w:t> млн. шв</w:t>
      </w:r>
      <w:r w:rsidR="00A91F97" w:rsidRPr="00CA4C14">
        <w:rPr>
          <w:rFonts w:cstheme="minorHAnsi"/>
          <w:lang w:val="ru-RU"/>
        </w:rPr>
        <w:t>.</w:t>
      </w:r>
      <w:r w:rsidRPr="00CA4C14">
        <w:rPr>
          <w:lang w:val="ru-RU"/>
        </w:rPr>
        <w:t xml:space="preserve"> фр</w:t>
      </w:r>
      <w:r w:rsidR="00A91F97" w:rsidRPr="00CA4C14">
        <w:rPr>
          <w:lang w:val="ru-RU"/>
        </w:rPr>
        <w:t>.</w:t>
      </w:r>
      <w:r w:rsidRPr="00CA4C14">
        <w:rPr>
          <w:lang w:val="ru-RU"/>
        </w:rPr>
        <w:t xml:space="preserve"> в </w:t>
      </w:r>
      <w:r w:rsidRPr="00CA4C14">
        <w:rPr>
          <w:rFonts w:cstheme="minorHAnsi"/>
          <w:lang w:val="ru-RU"/>
        </w:rPr>
        <w:t xml:space="preserve">2022 г.). </w:t>
      </w:r>
      <w:r w:rsidRPr="00CA4C14">
        <w:rPr>
          <w:lang w:val="ru-RU"/>
        </w:rPr>
        <w:t xml:space="preserve">Увеличение связано с ростом темпов освоения целевых фондов в </w:t>
      </w:r>
      <w:r w:rsidRPr="00CA4C14">
        <w:rPr>
          <w:rFonts w:cstheme="minorHAnsi"/>
          <w:lang w:val="ru-RU"/>
        </w:rPr>
        <w:t xml:space="preserve">2023 году </w:t>
      </w:r>
      <w:r w:rsidRPr="00CA4C14">
        <w:rPr>
          <w:lang w:val="ru-RU"/>
        </w:rPr>
        <w:t xml:space="preserve">по сравнению с </w:t>
      </w:r>
      <w:r w:rsidRPr="00CA4C14">
        <w:rPr>
          <w:rFonts w:cstheme="minorHAnsi"/>
          <w:lang w:val="ru-RU"/>
        </w:rPr>
        <w:t>2022 годом.</w:t>
      </w:r>
    </w:p>
    <w:bookmarkEnd w:id="30"/>
    <w:p w14:paraId="6FE9ECC2" w14:textId="3219DFFF" w:rsidR="00E445F6" w:rsidRPr="00CA4C14" w:rsidRDefault="00E445F6" w:rsidP="00E445F6">
      <w:pPr>
        <w:rPr>
          <w:rFonts w:cstheme="minorHAnsi"/>
          <w:lang w:val="ru-RU"/>
        </w:rPr>
      </w:pPr>
      <w:r w:rsidRPr="00CA4C14">
        <w:rPr>
          <w:rFonts w:cstheme="minorHAnsi"/>
          <w:lang w:val="ru-RU"/>
        </w:rPr>
        <w:t>12</w:t>
      </w:r>
      <w:r w:rsidRPr="00CA4C14">
        <w:rPr>
          <w:rFonts w:cstheme="minorHAnsi"/>
          <w:lang w:val="ru-RU"/>
        </w:rPr>
        <w:tab/>
      </w:r>
      <w:r w:rsidR="007B4277" w:rsidRPr="00CA4C14">
        <w:rPr>
          <w:rFonts w:asciiTheme="minorHAnsi" w:hAnsiTheme="minorHAnsi" w:cstheme="minorBidi"/>
          <w:lang w:val="ru-RU"/>
        </w:rPr>
        <w:t xml:space="preserve">Реализация проектов, осуществляемых за счет целевых фондов (FIT), принесла доход в размере </w:t>
      </w:r>
      <w:r w:rsidRPr="00CA4C14">
        <w:rPr>
          <w:rFonts w:cstheme="minorHAnsi"/>
          <w:lang w:val="ru-RU"/>
        </w:rPr>
        <w:t>1</w:t>
      </w:r>
      <w:r w:rsidR="00E3139E" w:rsidRPr="00CA4C14">
        <w:rPr>
          <w:rFonts w:cstheme="minorHAnsi"/>
          <w:lang w:val="ru-RU"/>
        </w:rPr>
        <w:t>,</w:t>
      </w:r>
      <w:r w:rsidRPr="00CA4C14">
        <w:rPr>
          <w:rFonts w:cstheme="minorHAnsi"/>
          <w:lang w:val="ru-RU"/>
        </w:rPr>
        <w:t>014</w:t>
      </w:r>
      <w:r w:rsidR="009053A9" w:rsidRPr="00CA4C14">
        <w:rPr>
          <w:rFonts w:cstheme="minorHAnsi"/>
          <w:lang w:val="ru-RU"/>
        </w:rPr>
        <w:t> </w:t>
      </w:r>
      <w:proofErr w:type="gramStart"/>
      <w:r w:rsidR="009053A9" w:rsidRPr="00CA4C14">
        <w:rPr>
          <w:rFonts w:cstheme="minorHAnsi"/>
          <w:lang w:val="ru-RU"/>
        </w:rPr>
        <w:t>млн.</w:t>
      </w:r>
      <w:proofErr w:type="gramEnd"/>
      <w:r w:rsidR="009053A9" w:rsidRPr="00CA4C14">
        <w:rPr>
          <w:rFonts w:cstheme="minorHAnsi"/>
          <w:lang w:val="ru-RU"/>
        </w:rPr>
        <w:t xml:space="preserve"> швейцарск</w:t>
      </w:r>
      <w:r w:rsidR="00E3139E" w:rsidRPr="00CA4C14">
        <w:rPr>
          <w:lang w:val="ru-RU"/>
        </w:rPr>
        <w:t xml:space="preserve">их франков </w:t>
      </w:r>
      <w:r w:rsidR="007B4277" w:rsidRPr="00CA4C14">
        <w:rPr>
          <w:rFonts w:cstheme="minorHAnsi"/>
          <w:lang w:val="ru-RU"/>
        </w:rPr>
        <w:t>в</w:t>
      </w:r>
      <w:r w:rsidRPr="00CA4C14">
        <w:rPr>
          <w:rFonts w:cstheme="minorHAnsi"/>
          <w:lang w:val="ru-RU"/>
        </w:rPr>
        <w:t xml:space="preserve"> 2023</w:t>
      </w:r>
      <w:r w:rsidR="007B4277" w:rsidRPr="00CA4C14">
        <w:rPr>
          <w:rFonts w:cstheme="minorHAnsi"/>
          <w:lang w:val="ru-RU"/>
        </w:rPr>
        <w:t> году</w:t>
      </w:r>
      <w:r w:rsidRPr="00CA4C14">
        <w:rPr>
          <w:rFonts w:cstheme="minorHAnsi"/>
          <w:lang w:val="ru-RU"/>
        </w:rPr>
        <w:t xml:space="preserve"> (0</w:t>
      </w:r>
      <w:r w:rsidR="007B4277" w:rsidRPr="00CA4C14">
        <w:rPr>
          <w:rFonts w:cstheme="minorHAnsi"/>
          <w:lang w:val="ru-RU"/>
        </w:rPr>
        <w:t>,</w:t>
      </w:r>
      <w:r w:rsidRPr="00CA4C14">
        <w:rPr>
          <w:rFonts w:cstheme="minorHAnsi"/>
          <w:lang w:val="ru-RU"/>
        </w:rPr>
        <w:t>941</w:t>
      </w:r>
      <w:r w:rsidR="009053A9" w:rsidRPr="00CA4C14">
        <w:rPr>
          <w:rFonts w:cstheme="minorHAnsi"/>
          <w:lang w:val="ru-RU"/>
        </w:rPr>
        <w:t> млн. шв</w:t>
      </w:r>
      <w:r w:rsidR="00A91F97" w:rsidRPr="00CA4C14">
        <w:rPr>
          <w:rFonts w:cstheme="minorHAnsi"/>
          <w:lang w:val="ru-RU"/>
        </w:rPr>
        <w:t>.</w:t>
      </w:r>
      <w:r w:rsidR="007B4277" w:rsidRPr="00CA4C14">
        <w:rPr>
          <w:lang w:val="ru-RU"/>
        </w:rPr>
        <w:t xml:space="preserve"> фр</w:t>
      </w:r>
      <w:r w:rsidR="00A91F97" w:rsidRPr="00CA4C14">
        <w:rPr>
          <w:lang w:val="ru-RU"/>
        </w:rPr>
        <w:t>.</w:t>
      </w:r>
      <w:r w:rsidR="007B4277" w:rsidRPr="00CA4C14">
        <w:rPr>
          <w:lang w:val="ru-RU"/>
        </w:rPr>
        <w:t xml:space="preserve"> </w:t>
      </w:r>
      <w:r w:rsidR="007B4277" w:rsidRPr="00CA4C14">
        <w:rPr>
          <w:rFonts w:cstheme="minorHAnsi"/>
          <w:lang w:val="ru-RU"/>
        </w:rPr>
        <w:t>в</w:t>
      </w:r>
      <w:r w:rsidRPr="00CA4C14">
        <w:rPr>
          <w:rFonts w:cstheme="minorHAnsi"/>
          <w:lang w:val="ru-RU"/>
        </w:rPr>
        <w:t xml:space="preserve"> 2022</w:t>
      </w:r>
      <w:r w:rsidR="007B4277" w:rsidRPr="00CA4C14">
        <w:rPr>
          <w:rFonts w:cstheme="minorHAnsi"/>
          <w:lang w:val="ru-RU"/>
        </w:rPr>
        <w:t> г</w:t>
      </w:r>
      <w:r w:rsidR="00A91F97" w:rsidRPr="00CA4C14">
        <w:rPr>
          <w:rFonts w:cstheme="minorHAnsi"/>
          <w:lang w:val="ru-RU"/>
        </w:rPr>
        <w:t>.</w:t>
      </w:r>
      <w:r w:rsidRPr="00CA4C14">
        <w:rPr>
          <w:rFonts w:cstheme="minorHAnsi"/>
          <w:lang w:val="ru-RU"/>
        </w:rPr>
        <w:t xml:space="preserve">) </w:t>
      </w:r>
      <w:r w:rsidR="007B4277" w:rsidRPr="00CA4C14">
        <w:rPr>
          <w:rFonts w:asciiTheme="minorHAnsi" w:hAnsiTheme="minorHAnsi" w:cstheme="minorBidi"/>
          <w:lang w:val="ru-RU"/>
        </w:rPr>
        <w:t>по линии вспомогательных затрат</w:t>
      </w:r>
      <w:r w:rsidRPr="00CA4C14">
        <w:rPr>
          <w:rFonts w:cstheme="minorHAnsi"/>
          <w:lang w:val="ru-RU"/>
        </w:rPr>
        <w:t>.</w:t>
      </w:r>
    </w:p>
    <w:p w14:paraId="025F9E28" w14:textId="77777777" w:rsidR="00E445F6" w:rsidRPr="00CA4C14" w:rsidRDefault="00E445F6" w:rsidP="00E445F6">
      <w:pPr>
        <w:pStyle w:val="Headingb"/>
        <w:rPr>
          <w:lang w:val="ru-RU"/>
        </w:rPr>
      </w:pPr>
      <w:r w:rsidRPr="00CA4C14">
        <w:rPr>
          <w:lang w:val="ru-RU"/>
        </w:rPr>
        <w:t>Расходы</w:t>
      </w:r>
    </w:p>
    <w:p w14:paraId="294316A9" w14:textId="790F1EDF" w:rsidR="00E445F6" w:rsidRPr="00CA4C14" w:rsidRDefault="00E445F6" w:rsidP="00E3770A">
      <w:pPr>
        <w:rPr>
          <w:rFonts w:asciiTheme="minorHAnsi" w:hAnsiTheme="minorHAnsi" w:cstheme="minorBidi"/>
          <w:lang w:val="ru-RU"/>
        </w:rPr>
      </w:pPr>
      <w:bookmarkStart w:id="31" w:name="lt_pId049"/>
      <w:r w:rsidRPr="00CA4C14">
        <w:rPr>
          <w:rFonts w:asciiTheme="minorHAnsi" w:hAnsiTheme="minorHAnsi" w:cstheme="minorBidi"/>
          <w:lang w:val="ru-RU"/>
        </w:rPr>
        <w:t>1</w:t>
      </w:r>
      <w:r w:rsidR="00E3770A" w:rsidRPr="00CA4C14">
        <w:rPr>
          <w:rFonts w:asciiTheme="minorHAnsi" w:hAnsiTheme="minorHAnsi" w:cstheme="minorBidi"/>
          <w:lang w:val="ru-RU"/>
        </w:rPr>
        <w:t>3</w:t>
      </w:r>
      <w:r w:rsidRPr="00CA4C14">
        <w:rPr>
          <w:rFonts w:asciiTheme="minorHAnsi" w:hAnsiTheme="minorHAnsi" w:cstheme="minorBidi"/>
          <w:lang w:val="ru-RU"/>
        </w:rPr>
        <w:tab/>
        <w:t>В 202</w:t>
      </w:r>
      <w:r w:rsidR="00291929" w:rsidRPr="00CA4C14">
        <w:rPr>
          <w:rFonts w:asciiTheme="minorHAnsi" w:hAnsiTheme="minorHAnsi" w:cstheme="minorBidi"/>
          <w:lang w:val="ru-RU"/>
        </w:rPr>
        <w:t>3</w:t>
      </w:r>
      <w:r w:rsidR="009053A9" w:rsidRPr="00CA4C14">
        <w:rPr>
          <w:rFonts w:asciiTheme="minorHAnsi" w:hAnsiTheme="minorHAnsi" w:cstheme="minorBidi"/>
          <w:lang w:val="ru-RU"/>
        </w:rPr>
        <w:t> год</w:t>
      </w:r>
      <w:r w:rsidRPr="00CA4C14">
        <w:rPr>
          <w:rFonts w:asciiTheme="minorHAnsi" w:hAnsiTheme="minorHAnsi" w:cstheme="minorBidi"/>
          <w:lang w:val="ru-RU"/>
        </w:rPr>
        <w:t>у расходы МСЭ составили 19</w:t>
      </w:r>
      <w:r w:rsidR="000F25DD" w:rsidRPr="00CA4C14">
        <w:rPr>
          <w:rFonts w:asciiTheme="minorHAnsi" w:hAnsiTheme="minorHAnsi" w:cstheme="minorBidi"/>
          <w:lang w:val="ru-RU"/>
        </w:rPr>
        <w:t>7</w:t>
      </w:r>
      <w:r w:rsidRPr="00CA4C14">
        <w:rPr>
          <w:rFonts w:asciiTheme="minorHAnsi" w:hAnsiTheme="minorHAnsi" w:cstheme="minorBidi"/>
          <w:lang w:val="ru-RU"/>
        </w:rPr>
        <w:t>,</w:t>
      </w:r>
      <w:r w:rsidR="000F25DD" w:rsidRPr="00CA4C14">
        <w:rPr>
          <w:rFonts w:asciiTheme="minorHAnsi" w:hAnsiTheme="minorHAnsi" w:cstheme="minorBidi"/>
          <w:lang w:val="ru-RU"/>
        </w:rPr>
        <w:t>2</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rFonts w:asciiTheme="minorHAnsi" w:hAnsiTheme="minorHAnsi" w:cstheme="minorBidi"/>
          <w:lang w:val="ru-RU"/>
        </w:rPr>
        <w:t>их франков (19</w:t>
      </w:r>
      <w:r w:rsidR="00291929" w:rsidRPr="00CA4C14">
        <w:rPr>
          <w:rFonts w:asciiTheme="minorHAnsi" w:hAnsiTheme="minorHAnsi" w:cstheme="minorBidi"/>
          <w:lang w:val="ru-RU"/>
        </w:rPr>
        <w:t>6</w:t>
      </w:r>
      <w:r w:rsidRPr="00CA4C14">
        <w:rPr>
          <w:rFonts w:asciiTheme="minorHAnsi" w:hAnsiTheme="minorHAnsi" w:cstheme="minorBidi"/>
          <w:lang w:val="ru-RU"/>
        </w:rPr>
        <w:t>,</w:t>
      </w:r>
      <w:r w:rsidR="00291929" w:rsidRPr="00CA4C14">
        <w:rPr>
          <w:rFonts w:asciiTheme="minorHAnsi" w:hAnsiTheme="minorHAnsi" w:cstheme="minorBidi"/>
          <w:lang w:val="ru-RU"/>
        </w:rPr>
        <w:t>8</w:t>
      </w:r>
      <w:r w:rsidR="009053A9" w:rsidRPr="00CA4C14">
        <w:rPr>
          <w:rFonts w:asciiTheme="minorHAnsi" w:hAnsiTheme="minorHAnsi" w:cstheme="minorBidi"/>
          <w:lang w:val="ru-RU"/>
        </w:rPr>
        <w:t> млн.</w:t>
      </w:r>
      <w:r w:rsidR="00DC0E8F" w:rsidRPr="00CA4C14">
        <w:rPr>
          <w:rFonts w:asciiTheme="minorHAnsi" w:hAnsiTheme="minorHAnsi" w:cstheme="minorBidi"/>
          <w:lang w:val="ru-RU"/>
        </w:rPr>
        <w:t> </w:t>
      </w:r>
      <w:r w:rsidR="009053A9" w:rsidRPr="00CA4C14">
        <w:rPr>
          <w:rFonts w:asciiTheme="minorHAnsi" w:hAnsiTheme="minorHAnsi" w:cstheme="minorBidi"/>
          <w:lang w:val="ru-RU"/>
        </w:rPr>
        <w:t>шв</w:t>
      </w:r>
      <w:r w:rsidR="00A91F97" w:rsidRPr="00CA4C14">
        <w:rPr>
          <w:rFonts w:asciiTheme="minorHAnsi" w:hAnsiTheme="minorHAnsi" w:cstheme="minorBidi"/>
          <w:lang w:val="ru-RU"/>
        </w:rPr>
        <w:t>. </w:t>
      </w:r>
      <w:r w:rsidRPr="00CA4C14">
        <w:rPr>
          <w:rFonts w:asciiTheme="minorHAnsi" w:hAnsiTheme="minorHAnsi" w:cstheme="minorBidi"/>
          <w:lang w:val="ru-RU"/>
        </w:rPr>
        <w:t>фр</w:t>
      </w:r>
      <w:r w:rsidR="00A91F97" w:rsidRPr="00CA4C14">
        <w:rPr>
          <w:rFonts w:asciiTheme="minorHAnsi" w:hAnsiTheme="minorHAnsi" w:cstheme="minorBidi"/>
          <w:lang w:val="ru-RU"/>
        </w:rPr>
        <w:t>.</w:t>
      </w:r>
      <w:r w:rsidRPr="00CA4C14">
        <w:rPr>
          <w:rFonts w:asciiTheme="minorHAnsi" w:hAnsiTheme="minorHAnsi" w:cstheme="minorBidi"/>
          <w:lang w:val="ru-RU"/>
        </w:rPr>
        <w:t xml:space="preserve"> в 202</w:t>
      </w:r>
      <w:r w:rsidR="00291929" w:rsidRPr="00CA4C14">
        <w:rPr>
          <w:rFonts w:asciiTheme="minorHAnsi" w:hAnsiTheme="minorHAnsi" w:cstheme="minorBidi"/>
          <w:lang w:val="ru-RU"/>
        </w:rPr>
        <w:t>2</w:t>
      </w:r>
      <w:r w:rsidR="009053A9" w:rsidRPr="00CA4C14">
        <w:rPr>
          <w:rFonts w:asciiTheme="minorHAnsi" w:hAnsiTheme="minorHAnsi" w:cstheme="minorBidi"/>
          <w:lang w:val="ru-RU"/>
        </w:rPr>
        <w:t> г.</w:t>
      </w:r>
      <w:r w:rsidRPr="00CA4C14">
        <w:rPr>
          <w:rFonts w:asciiTheme="minorHAnsi" w:hAnsiTheme="minorHAnsi" w:cstheme="minorBidi"/>
          <w:lang w:val="ru-RU"/>
        </w:rPr>
        <w:t xml:space="preserve">), то есть выросли на </w:t>
      </w:r>
      <w:r w:rsidR="00291929" w:rsidRPr="00CA4C14">
        <w:rPr>
          <w:rFonts w:asciiTheme="minorHAnsi" w:hAnsiTheme="minorHAnsi" w:cstheme="minorBidi"/>
          <w:lang w:val="ru-RU"/>
        </w:rPr>
        <w:t>0</w:t>
      </w:r>
      <w:r w:rsidRPr="00CA4C14">
        <w:rPr>
          <w:rFonts w:asciiTheme="minorHAnsi" w:hAnsiTheme="minorHAnsi" w:cstheme="minorBidi"/>
          <w:lang w:val="ru-RU"/>
        </w:rPr>
        <w:t>,</w:t>
      </w:r>
      <w:r w:rsidR="00291929" w:rsidRPr="00CA4C14">
        <w:rPr>
          <w:rFonts w:asciiTheme="minorHAnsi" w:hAnsiTheme="minorHAnsi" w:cstheme="minorBidi"/>
          <w:lang w:val="ru-RU"/>
        </w:rPr>
        <w:t>2</w:t>
      </w:r>
      <w:r w:rsidRPr="00CA4C14">
        <w:rPr>
          <w:rFonts w:asciiTheme="minorHAnsi" w:hAnsiTheme="minorHAnsi" w:cstheme="minorBidi"/>
          <w:lang w:val="ru-RU"/>
        </w:rPr>
        <w:t>% по сравнению с 202</w:t>
      </w:r>
      <w:r w:rsidR="00291929" w:rsidRPr="00CA4C14">
        <w:rPr>
          <w:rFonts w:asciiTheme="minorHAnsi" w:hAnsiTheme="minorHAnsi" w:cstheme="minorBidi"/>
          <w:lang w:val="ru-RU"/>
        </w:rPr>
        <w:t>2</w:t>
      </w:r>
      <w:r w:rsidRPr="00CA4C14">
        <w:rPr>
          <w:rFonts w:asciiTheme="minorHAnsi" w:hAnsiTheme="minorHAnsi" w:cstheme="minorBidi"/>
          <w:lang w:val="ru-RU"/>
        </w:rPr>
        <w:t xml:space="preserve"> годом. </w:t>
      </w:r>
      <w:r w:rsidR="00BE4441" w:rsidRPr="00CA4C14">
        <w:rPr>
          <w:rFonts w:asciiTheme="minorHAnsi" w:hAnsiTheme="minorHAnsi" w:cstheme="minorBidi"/>
          <w:lang w:val="ru-RU"/>
        </w:rPr>
        <w:t>В</w:t>
      </w:r>
      <w:r w:rsidR="002E2BBB" w:rsidRPr="00CA4C14">
        <w:rPr>
          <w:rFonts w:asciiTheme="minorHAnsi" w:hAnsiTheme="minorHAnsi" w:cstheme="minorBidi"/>
          <w:lang w:val="ru-RU"/>
        </w:rPr>
        <w:t> </w:t>
      </w:r>
      <w:r w:rsidR="00BE4441" w:rsidRPr="00CA4C14">
        <w:rPr>
          <w:rFonts w:asciiTheme="minorHAnsi" w:hAnsiTheme="minorHAnsi" w:cstheme="minorBidi"/>
          <w:lang w:val="ru-RU"/>
        </w:rPr>
        <w:t>Таблице</w:t>
      </w:r>
      <w:r w:rsidR="002E2BBB" w:rsidRPr="00CA4C14">
        <w:rPr>
          <w:rFonts w:asciiTheme="minorHAnsi" w:hAnsiTheme="minorHAnsi" w:cstheme="minorBidi"/>
          <w:lang w:val="ru-RU"/>
        </w:rPr>
        <w:t> </w:t>
      </w:r>
      <w:r w:rsidR="00BE4441" w:rsidRPr="00CA4C14">
        <w:rPr>
          <w:rFonts w:asciiTheme="minorHAnsi" w:hAnsiTheme="minorHAnsi" w:cstheme="minorBidi"/>
          <w:lang w:val="ru-RU"/>
        </w:rPr>
        <w:t>2 проведено сравнение р</w:t>
      </w:r>
      <w:r w:rsidR="00291929" w:rsidRPr="00CA4C14">
        <w:rPr>
          <w:rFonts w:asciiTheme="minorHAnsi" w:hAnsiTheme="minorHAnsi" w:cstheme="minorBidi"/>
          <w:lang w:val="ru-RU"/>
        </w:rPr>
        <w:t>асход</w:t>
      </w:r>
      <w:r w:rsidR="00BE4441" w:rsidRPr="00CA4C14">
        <w:rPr>
          <w:rFonts w:asciiTheme="minorHAnsi" w:hAnsiTheme="minorHAnsi" w:cstheme="minorBidi"/>
          <w:lang w:val="ru-RU"/>
        </w:rPr>
        <w:t>ов</w:t>
      </w:r>
      <w:r w:rsidR="00291929" w:rsidRPr="00CA4C14">
        <w:rPr>
          <w:rFonts w:asciiTheme="minorHAnsi" w:hAnsiTheme="minorHAnsi" w:cstheme="minorBidi"/>
          <w:lang w:val="ru-RU"/>
        </w:rPr>
        <w:t xml:space="preserve"> за 2023 и 2022</w:t>
      </w:r>
      <w:r w:rsidR="009053A9" w:rsidRPr="00CA4C14">
        <w:rPr>
          <w:rFonts w:asciiTheme="minorHAnsi" w:hAnsiTheme="minorHAnsi" w:cstheme="minorBidi"/>
          <w:lang w:val="ru-RU"/>
        </w:rPr>
        <w:t> год</w:t>
      </w:r>
      <w:r w:rsidR="00291929" w:rsidRPr="00CA4C14">
        <w:rPr>
          <w:rFonts w:asciiTheme="minorHAnsi" w:hAnsiTheme="minorHAnsi" w:cstheme="minorBidi"/>
          <w:lang w:val="ru-RU"/>
        </w:rPr>
        <w:t>ы</w:t>
      </w:r>
      <w:r w:rsidRPr="00CA4C14">
        <w:rPr>
          <w:rFonts w:asciiTheme="minorHAnsi" w:hAnsiTheme="minorHAnsi" w:cstheme="minorBidi"/>
          <w:lang w:val="ru-RU"/>
        </w:rPr>
        <w:t>. Отмечается, что наибольшие расходы</w:t>
      </w:r>
      <w:r w:rsidR="002E2BBB" w:rsidRPr="00CA4C14">
        <w:rPr>
          <w:rFonts w:asciiTheme="minorHAnsi" w:hAnsiTheme="minorHAnsi" w:cstheme="minorBidi"/>
          <w:lang w:val="ru-RU"/>
        </w:rPr>
        <w:t> </w:t>
      </w:r>
      <w:r w:rsidR="00057A81" w:rsidRPr="00CA4C14">
        <w:rPr>
          <w:rFonts w:asciiTheme="minorHAnsi" w:hAnsiTheme="minorHAnsi" w:cstheme="minorBidi"/>
          <w:lang w:val="ru-RU"/>
        </w:rPr>
        <w:t>−</w:t>
      </w:r>
      <w:r w:rsidRPr="00CA4C14">
        <w:rPr>
          <w:rFonts w:asciiTheme="minorHAnsi" w:hAnsiTheme="minorHAnsi" w:cstheme="minorBidi"/>
          <w:lang w:val="ru-RU"/>
        </w:rPr>
        <w:t xml:space="preserve"> расходы по персоналу</w:t>
      </w:r>
      <w:r w:rsidR="002E2BBB" w:rsidRPr="00CA4C14">
        <w:rPr>
          <w:rFonts w:asciiTheme="minorHAnsi" w:hAnsiTheme="minorHAnsi" w:cstheme="minorBidi"/>
          <w:lang w:val="ru-RU"/>
        </w:rPr>
        <w:t> </w:t>
      </w:r>
      <w:r w:rsidR="00057A81" w:rsidRPr="00CA4C14">
        <w:rPr>
          <w:rFonts w:asciiTheme="minorHAnsi" w:hAnsiTheme="minorHAnsi" w:cstheme="minorBidi"/>
          <w:lang w:val="ru-RU"/>
        </w:rPr>
        <w:t>−</w:t>
      </w:r>
      <w:r w:rsidRPr="00CA4C14">
        <w:rPr>
          <w:rFonts w:asciiTheme="minorHAnsi" w:hAnsiTheme="minorHAnsi" w:cstheme="minorBidi"/>
          <w:lang w:val="ru-RU"/>
        </w:rPr>
        <w:t xml:space="preserve"> в 202</w:t>
      </w:r>
      <w:r w:rsidR="00291929" w:rsidRPr="00CA4C14">
        <w:rPr>
          <w:rFonts w:asciiTheme="minorHAnsi" w:hAnsiTheme="minorHAnsi" w:cstheme="minorBidi"/>
          <w:lang w:val="ru-RU"/>
        </w:rPr>
        <w:t>3</w:t>
      </w:r>
      <w:r w:rsidRPr="00CA4C14">
        <w:rPr>
          <w:rFonts w:asciiTheme="minorHAnsi" w:hAnsiTheme="minorHAnsi" w:cstheme="minorBidi"/>
          <w:lang w:val="ru-RU"/>
        </w:rPr>
        <w:t xml:space="preserve"> году </w:t>
      </w:r>
      <w:r w:rsidR="00BE4441" w:rsidRPr="00CA4C14">
        <w:rPr>
          <w:rFonts w:asciiTheme="minorHAnsi" w:hAnsiTheme="minorHAnsi" w:cstheme="minorBidi"/>
          <w:lang w:val="ru-RU"/>
        </w:rPr>
        <w:t>несколько ниже, чем в</w:t>
      </w:r>
      <w:r w:rsidRPr="00CA4C14">
        <w:rPr>
          <w:rFonts w:asciiTheme="minorHAnsi" w:hAnsiTheme="minorHAnsi" w:cstheme="minorBidi"/>
          <w:lang w:val="ru-RU"/>
        </w:rPr>
        <w:t xml:space="preserve"> 202</w:t>
      </w:r>
      <w:r w:rsidR="00291929" w:rsidRPr="00CA4C14">
        <w:rPr>
          <w:rFonts w:asciiTheme="minorHAnsi" w:hAnsiTheme="minorHAnsi" w:cstheme="minorBidi"/>
          <w:lang w:val="ru-RU"/>
        </w:rPr>
        <w:t>2</w:t>
      </w:r>
      <w:r w:rsidR="009053A9" w:rsidRPr="00CA4C14">
        <w:rPr>
          <w:rFonts w:asciiTheme="minorHAnsi" w:hAnsiTheme="minorHAnsi" w:cstheme="minorBidi"/>
          <w:lang w:val="ru-RU"/>
        </w:rPr>
        <w:t> год</w:t>
      </w:r>
      <w:r w:rsidR="00BE4441" w:rsidRPr="00CA4C14">
        <w:rPr>
          <w:rFonts w:asciiTheme="minorHAnsi" w:hAnsiTheme="minorHAnsi" w:cstheme="minorBidi"/>
          <w:lang w:val="ru-RU"/>
        </w:rPr>
        <w:t>у,</w:t>
      </w:r>
      <w:r w:rsidR="00484352" w:rsidRPr="00CA4C14">
        <w:rPr>
          <w:rFonts w:asciiTheme="minorHAnsi" w:hAnsiTheme="minorHAnsi" w:cstheme="minorBidi"/>
          <w:lang w:val="ru-RU"/>
        </w:rPr>
        <w:t xml:space="preserve"> и компенсирует увеличение затрат, не связанных с персоналом, </w:t>
      </w:r>
      <w:r w:rsidR="00484352" w:rsidRPr="00CA4C14">
        <w:rPr>
          <w:lang w:val="ru-RU"/>
        </w:rPr>
        <w:t>в</w:t>
      </w:r>
      <w:r w:rsidR="00291929" w:rsidRPr="00CA4C14">
        <w:rPr>
          <w:lang w:val="ru-RU"/>
        </w:rPr>
        <w:t xml:space="preserve"> 2023</w:t>
      </w:r>
      <w:r w:rsidR="009053A9" w:rsidRPr="00CA4C14">
        <w:rPr>
          <w:lang w:val="ru-RU"/>
        </w:rPr>
        <w:t> год</w:t>
      </w:r>
      <w:r w:rsidR="00291929" w:rsidRPr="00CA4C14">
        <w:rPr>
          <w:lang w:val="ru-RU"/>
        </w:rPr>
        <w:t xml:space="preserve">у. </w:t>
      </w:r>
      <w:r w:rsidRPr="00CA4C14">
        <w:rPr>
          <w:rFonts w:asciiTheme="minorHAnsi" w:hAnsiTheme="minorHAnsi" w:cstheme="minorBidi"/>
          <w:lang w:val="ru-RU"/>
        </w:rPr>
        <w:t>Основное увеличение расходов в 202</w:t>
      </w:r>
      <w:r w:rsidR="00291929" w:rsidRPr="00CA4C14">
        <w:rPr>
          <w:rFonts w:asciiTheme="minorHAnsi" w:hAnsiTheme="minorHAnsi" w:cstheme="minorBidi"/>
          <w:lang w:val="ru-RU"/>
        </w:rPr>
        <w:t>3</w:t>
      </w:r>
      <w:r w:rsidR="009053A9" w:rsidRPr="00CA4C14">
        <w:rPr>
          <w:rFonts w:asciiTheme="minorHAnsi" w:hAnsiTheme="minorHAnsi" w:cstheme="minorBidi"/>
          <w:lang w:val="ru-RU"/>
        </w:rPr>
        <w:t> год</w:t>
      </w:r>
      <w:r w:rsidRPr="00CA4C14">
        <w:rPr>
          <w:rFonts w:asciiTheme="minorHAnsi" w:hAnsiTheme="minorHAnsi" w:cstheme="minorBidi"/>
          <w:lang w:val="ru-RU"/>
        </w:rPr>
        <w:t xml:space="preserve">у связано с путевыми расходами, которые выросли до </w:t>
      </w:r>
      <w:r w:rsidR="00291929" w:rsidRPr="00CA4C14">
        <w:rPr>
          <w:rFonts w:asciiTheme="minorHAnsi" w:hAnsiTheme="minorHAnsi" w:cstheme="minorBidi"/>
          <w:lang w:val="ru-RU"/>
        </w:rPr>
        <w:t>7,8</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rFonts w:asciiTheme="minorHAnsi" w:hAnsiTheme="minorHAnsi" w:cstheme="minorBidi"/>
          <w:lang w:val="ru-RU"/>
        </w:rPr>
        <w:t xml:space="preserve">их франков, </w:t>
      </w:r>
      <w:r w:rsidR="00484352" w:rsidRPr="00CA4C14">
        <w:rPr>
          <w:rFonts w:asciiTheme="minorHAnsi" w:hAnsiTheme="minorHAnsi" w:cstheme="minorBidi"/>
          <w:lang w:val="ru-RU"/>
        </w:rPr>
        <w:t xml:space="preserve">превысив уровень </w:t>
      </w:r>
      <w:r w:rsidR="00291929" w:rsidRPr="00CA4C14">
        <w:rPr>
          <w:rFonts w:asciiTheme="minorHAnsi" w:hAnsiTheme="minorHAnsi" w:cstheme="minorBidi"/>
          <w:lang w:val="ru-RU"/>
        </w:rPr>
        <w:t>2019</w:t>
      </w:r>
      <w:r w:rsidR="009053A9" w:rsidRPr="00CA4C14">
        <w:rPr>
          <w:rFonts w:asciiTheme="minorHAnsi" w:hAnsiTheme="minorHAnsi" w:cstheme="minorBidi"/>
          <w:lang w:val="ru-RU"/>
        </w:rPr>
        <w:t> год</w:t>
      </w:r>
      <w:r w:rsidR="00291929" w:rsidRPr="00CA4C14">
        <w:rPr>
          <w:rFonts w:asciiTheme="minorHAnsi" w:hAnsiTheme="minorHAnsi" w:cstheme="minorBidi"/>
          <w:lang w:val="ru-RU"/>
        </w:rPr>
        <w:t xml:space="preserve">а </w:t>
      </w:r>
      <w:r w:rsidRPr="00CA4C14">
        <w:rPr>
          <w:rFonts w:asciiTheme="minorHAnsi" w:hAnsiTheme="minorHAnsi" w:cstheme="minorBidi"/>
          <w:lang w:val="ru-RU"/>
        </w:rPr>
        <w:t>до COVID</w:t>
      </w:r>
      <w:r w:rsidR="00484352" w:rsidRPr="00CA4C14">
        <w:rPr>
          <w:rFonts w:asciiTheme="minorHAnsi" w:hAnsiTheme="minorHAnsi" w:cstheme="minorBidi"/>
          <w:lang w:val="ru-RU"/>
        </w:rPr>
        <w:t>, составлявший</w:t>
      </w:r>
      <w:r w:rsidRPr="00CA4C14">
        <w:rPr>
          <w:rFonts w:asciiTheme="minorHAnsi" w:hAnsiTheme="minorHAnsi" w:cstheme="minorBidi"/>
          <w:lang w:val="ru-RU"/>
        </w:rPr>
        <w:t xml:space="preserve"> 7,7</w:t>
      </w:r>
      <w:r w:rsidR="009053A9" w:rsidRPr="00CA4C14">
        <w:rPr>
          <w:rFonts w:asciiTheme="minorHAnsi" w:hAnsiTheme="minorHAnsi" w:cstheme="minorBidi"/>
          <w:lang w:val="ru-RU"/>
        </w:rPr>
        <w:t> млн. швейцарск</w:t>
      </w:r>
      <w:r w:rsidRPr="00CA4C14">
        <w:rPr>
          <w:rFonts w:asciiTheme="minorHAnsi" w:hAnsiTheme="minorHAnsi" w:cstheme="minorBidi"/>
          <w:lang w:val="ru-RU"/>
        </w:rPr>
        <w:t>их франков.</w:t>
      </w:r>
      <w:r w:rsidR="00291929" w:rsidRPr="00CA4C14">
        <w:rPr>
          <w:rFonts w:asciiTheme="minorHAnsi" w:hAnsiTheme="minorHAnsi" w:cstheme="minorBidi"/>
          <w:lang w:val="ru-RU"/>
        </w:rPr>
        <w:t xml:space="preserve"> </w:t>
      </w:r>
      <w:r w:rsidR="00484352" w:rsidRPr="00CA4C14">
        <w:rPr>
          <w:rFonts w:asciiTheme="minorHAnsi" w:hAnsiTheme="minorHAnsi" w:cstheme="minorBidi"/>
          <w:lang w:val="ru-RU"/>
        </w:rPr>
        <w:t>Это</w:t>
      </w:r>
      <w:r w:rsidR="00DC0E8F" w:rsidRPr="00CA4C14">
        <w:rPr>
          <w:rFonts w:asciiTheme="minorHAnsi" w:hAnsiTheme="minorHAnsi" w:cstheme="minorBidi"/>
          <w:lang w:val="ru-RU"/>
        </w:rPr>
        <w:t> </w:t>
      </w:r>
      <w:r w:rsidR="00484352" w:rsidRPr="00CA4C14">
        <w:rPr>
          <w:rFonts w:asciiTheme="minorHAnsi" w:hAnsiTheme="minorHAnsi" w:cstheme="minorBidi"/>
          <w:lang w:val="ru-RU"/>
        </w:rPr>
        <w:t>объясняется в основном конференциями,</w:t>
      </w:r>
      <w:r w:rsidR="00D8342B" w:rsidRPr="00CA4C14">
        <w:rPr>
          <w:rFonts w:asciiTheme="minorHAnsi" w:hAnsiTheme="minorHAnsi" w:cstheme="minorBidi"/>
          <w:lang w:val="ru-RU"/>
        </w:rPr>
        <w:t xml:space="preserve"> которые</w:t>
      </w:r>
      <w:r w:rsidR="00484352" w:rsidRPr="00CA4C14">
        <w:rPr>
          <w:rFonts w:asciiTheme="minorHAnsi" w:hAnsiTheme="minorHAnsi" w:cstheme="minorBidi"/>
          <w:lang w:val="ru-RU"/>
        </w:rPr>
        <w:t xml:space="preserve"> проводи</w:t>
      </w:r>
      <w:r w:rsidR="00D8342B" w:rsidRPr="00CA4C14">
        <w:rPr>
          <w:rFonts w:asciiTheme="minorHAnsi" w:hAnsiTheme="minorHAnsi" w:cstheme="minorBidi"/>
          <w:lang w:val="ru-RU"/>
        </w:rPr>
        <w:t>лись</w:t>
      </w:r>
      <w:r w:rsidR="00484352" w:rsidRPr="00CA4C14">
        <w:rPr>
          <w:rFonts w:asciiTheme="minorHAnsi" w:hAnsiTheme="minorHAnsi" w:cstheme="minorBidi"/>
          <w:lang w:val="ru-RU"/>
        </w:rPr>
        <w:t xml:space="preserve"> в течение года.</w:t>
      </w:r>
    </w:p>
    <w:p w14:paraId="14119161" w14:textId="064931BA" w:rsidR="00094C6B" w:rsidRPr="00CA4C14" w:rsidRDefault="00094C6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lang w:val="ru-RU"/>
        </w:rPr>
      </w:pPr>
      <w:r w:rsidRPr="00CA4C14">
        <w:rPr>
          <w:rFonts w:asciiTheme="minorHAnsi" w:hAnsiTheme="minorHAnsi" w:cstheme="minorBidi"/>
          <w:lang w:val="ru-RU"/>
        </w:rPr>
        <w:br w:type="page"/>
      </w:r>
    </w:p>
    <w:bookmarkEnd w:id="31"/>
    <w:p w14:paraId="2CBAA4C4" w14:textId="4AFE187B" w:rsidR="00D4567B" w:rsidRPr="00CA4C14" w:rsidRDefault="00E3770A" w:rsidP="00E3770A">
      <w:pPr>
        <w:pStyle w:val="Tabletitle"/>
        <w:rPr>
          <w:lang w:val="ru-RU"/>
        </w:rPr>
      </w:pPr>
      <w:r w:rsidRPr="00CA4C14">
        <w:rPr>
          <w:lang w:val="ru-RU"/>
        </w:rPr>
        <w:lastRenderedPageBreak/>
        <w:t xml:space="preserve">Таблица </w:t>
      </w:r>
      <w:r w:rsidR="00D4567B" w:rsidRPr="00CA4C14">
        <w:rPr>
          <w:rFonts w:asciiTheme="minorHAnsi" w:hAnsiTheme="minorHAnsi" w:cstheme="minorHAnsi"/>
          <w:bCs/>
          <w:lang w:val="ru-RU"/>
        </w:rPr>
        <w:t xml:space="preserve">2 </w:t>
      </w:r>
      <w:r w:rsidR="00057A81" w:rsidRPr="00CA4C14">
        <w:rPr>
          <w:rFonts w:asciiTheme="minorHAnsi" w:hAnsiTheme="minorHAnsi" w:cstheme="minorHAnsi"/>
          <w:bCs/>
          <w:lang w:val="ru-RU"/>
        </w:rPr>
        <w:t>−</w:t>
      </w:r>
      <w:r w:rsidR="00D4567B" w:rsidRPr="00CA4C14">
        <w:rPr>
          <w:rFonts w:asciiTheme="minorHAnsi" w:hAnsiTheme="minorHAnsi" w:cstheme="minorHAnsi"/>
          <w:bCs/>
          <w:lang w:val="ru-RU"/>
        </w:rPr>
        <w:t xml:space="preserve"> </w:t>
      </w:r>
      <w:r w:rsidRPr="00CA4C14">
        <w:rPr>
          <w:rFonts w:asciiTheme="minorHAnsi" w:hAnsiTheme="minorHAnsi" w:cstheme="minorHAnsi"/>
          <w:bCs/>
          <w:lang w:val="ru-RU"/>
        </w:rPr>
        <w:t xml:space="preserve">Сравнение расходов в </w:t>
      </w:r>
      <w:r w:rsidR="00D4567B" w:rsidRPr="00CA4C14">
        <w:rPr>
          <w:rFonts w:asciiTheme="minorHAnsi" w:hAnsiTheme="minorHAnsi" w:cstheme="minorHAnsi"/>
          <w:bCs/>
          <w:lang w:val="ru-RU"/>
        </w:rPr>
        <w:t xml:space="preserve">2023 </w:t>
      </w:r>
      <w:r w:rsidRPr="00CA4C14">
        <w:rPr>
          <w:rFonts w:asciiTheme="minorHAnsi" w:hAnsiTheme="minorHAnsi" w:cstheme="minorHAnsi"/>
          <w:bCs/>
          <w:lang w:val="ru-RU"/>
        </w:rPr>
        <w:t>и</w:t>
      </w:r>
      <w:r w:rsidR="00D4567B" w:rsidRPr="00CA4C14">
        <w:rPr>
          <w:rFonts w:asciiTheme="minorHAnsi" w:hAnsiTheme="minorHAnsi" w:cstheme="minorHAnsi"/>
          <w:bCs/>
          <w:lang w:val="ru-RU"/>
        </w:rPr>
        <w:t xml:space="preserve"> 2022</w:t>
      </w:r>
      <w:r w:rsidRPr="00CA4C14">
        <w:rPr>
          <w:rFonts w:asciiTheme="minorHAnsi" w:hAnsiTheme="minorHAnsi" w:cstheme="minorHAnsi"/>
          <w:bCs/>
          <w:lang w:val="ru-RU"/>
        </w:rPr>
        <w:t> годах</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1965"/>
        <w:gridCol w:w="1965"/>
      </w:tblGrid>
      <w:tr w:rsidR="006B63B1" w:rsidRPr="00CA4C14" w14:paraId="4A32910F" w14:textId="77777777" w:rsidTr="002860BD">
        <w:trPr>
          <w:trHeight w:val="480"/>
        </w:trPr>
        <w:tc>
          <w:tcPr>
            <w:tcW w:w="2834" w:type="pct"/>
            <w:shd w:val="clear" w:color="auto" w:fill="0070C0"/>
            <w:noWrap/>
            <w:vAlign w:val="center"/>
            <w:hideMark/>
          </w:tcPr>
          <w:p w14:paraId="62E6C50D" w14:textId="4342D364" w:rsidR="006B63B1" w:rsidRPr="00CA4C14" w:rsidRDefault="00191580" w:rsidP="00E3770A">
            <w:pPr>
              <w:pStyle w:val="Tablehead"/>
              <w:rPr>
                <w:szCs w:val="18"/>
                <w:lang w:val="ru-RU"/>
              </w:rPr>
            </w:pPr>
            <w:r w:rsidRPr="00CA4C14">
              <w:rPr>
                <w:lang w:val="ru-RU" w:eastAsia="en-GB"/>
              </w:rPr>
              <w:t>В тыс. шв. фр.</w:t>
            </w:r>
          </w:p>
        </w:tc>
        <w:tc>
          <w:tcPr>
            <w:tcW w:w="1083" w:type="pct"/>
            <w:shd w:val="clear" w:color="auto" w:fill="0070C0"/>
            <w:noWrap/>
            <w:vAlign w:val="center"/>
            <w:hideMark/>
          </w:tcPr>
          <w:p w14:paraId="4A225E89" w14:textId="09241F91" w:rsidR="006B63B1" w:rsidRPr="00CA4C14" w:rsidRDefault="006B63B1" w:rsidP="00E3770A">
            <w:pPr>
              <w:pStyle w:val="Tablehead"/>
              <w:rPr>
                <w:szCs w:val="18"/>
                <w:lang w:val="ru-RU"/>
              </w:rPr>
            </w:pPr>
            <w:r w:rsidRPr="00CA4C14">
              <w:rPr>
                <w:szCs w:val="18"/>
                <w:lang w:val="ru-RU"/>
              </w:rPr>
              <w:t>2023 г.</w:t>
            </w:r>
          </w:p>
        </w:tc>
        <w:tc>
          <w:tcPr>
            <w:tcW w:w="1083" w:type="pct"/>
            <w:shd w:val="clear" w:color="auto" w:fill="0070C0"/>
            <w:vAlign w:val="center"/>
            <w:hideMark/>
          </w:tcPr>
          <w:p w14:paraId="21E6B384" w14:textId="1DD9BC56" w:rsidR="006B63B1" w:rsidRPr="00CA4C14" w:rsidRDefault="006B63B1" w:rsidP="00E3770A">
            <w:pPr>
              <w:pStyle w:val="Tablehead"/>
              <w:rPr>
                <w:szCs w:val="18"/>
                <w:lang w:val="ru-RU"/>
              </w:rPr>
            </w:pPr>
            <w:r w:rsidRPr="00CA4C14">
              <w:rPr>
                <w:szCs w:val="18"/>
                <w:lang w:val="ru-RU"/>
              </w:rPr>
              <w:t>2022 г.</w:t>
            </w:r>
          </w:p>
        </w:tc>
      </w:tr>
      <w:tr w:rsidR="001B2BA5" w:rsidRPr="00CA4C14" w14:paraId="69865801" w14:textId="77777777" w:rsidTr="00CA2D5D">
        <w:trPr>
          <w:trHeight w:val="255"/>
        </w:trPr>
        <w:tc>
          <w:tcPr>
            <w:tcW w:w="2834" w:type="pct"/>
            <w:noWrap/>
            <w:hideMark/>
          </w:tcPr>
          <w:p w14:paraId="4637BA7E" w14:textId="6356119E" w:rsidR="001B2BA5" w:rsidRPr="00CA4C14" w:rsidRDefault="001B2BA5" w:rsidP="00CA2D5D">
            <w:pPr>
              <w:pStyle w:val="Tabletext"/>
              <w:rPr>
                <w:lang w:val="ru-RU"/>
              </w:rPr>
            </w:pPr>
            <w:r w:rsidRPr="00CA4C14">
              <w:rPr>
                <w:lang w:val="ru-RU" w:eastAsia="fr-FR"/>
              </w:rPr>
              <w:t>Расходы по персоналу</w:t>
            </w:r>
          </w:p>
        </w:tc>
        <w:tc>
          <w:tcPr>
            <w:tcW w:w="1083" w:type="pct"/>
            <w:noWrap/>
            <w:vAlign w:val="bottom"/>
            <w:hideMark/>
          </w:tcPr>
          <w:p w14:paraId="62FA3C61" w14:textId="301A9B96"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150 724</w:t>
            </w:r>
          </w:p>
        </w:tc>
        <w:tc>
          <w:tcPr>
            <w:tcW w:w="1083" w:type="pct"/>
            <w:noWrap/>
            <w:vAlign w:val="bottom"/>
            <w:hideMark/>
          </w:tcPr>
          <w:p w14:paraId="3D88434B" w14:textId="41C59C0E"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153 510</w:t>
            </w:r>
          </w:p>
        </w:tc>
      </w:tr>
      <w:tr w:rsidR="001B2BA5" w:rsidRPr="00CA4C14" w14:paraId="250F2FD2" w14:textId="77777777" w:rsidTr="00CA2D5D">
        <w:trPr>
          <w:trHeight w:val="252"/>
        </w:trPr>
        <w:tc>
          <w:tcPr>
            <w:tcW w:w="2834" w:type="pct"/>
            <w:hideMark/>
          </w:tcPr>
          <w:p w14:paraId="61EAFEDF" w14:textId="1F03519D" w:rsidR="001B2BA5" w:rsidRPr="00CA4C14" w:rsidRDefault="001B2BA5" w:rsidP="00CA2D5D">
            <w:pPr>
              <w:pStyle w:val="Tabletext"/>
              <w:rPr>
                <w:lang w:val="ru-RU"/>
              </w:rPr>
            </w:pPr>
            <w:r w:rsidRPr="00CA4C14">
              <w:rPr>
                <w:lang w:val="ru-RU" w:eastAsia="fr-FR"/>
              </w:rPr>
              <w:t>Служебные командировки</w:t>
            </w:r>
          </w:p>
        </w:tc>
        <w:tc>
          <w:tcPr>
            <w:tcW w:w="1083" w:type="pct"/>
            <w:noWrap/>
            <w:vAlign w:val="bottom"/>
            <w:hideMark/>
          </w:tcPr>
          <w:p w14:paraId="0F40890E" w14:textId="120650FB"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7 788</w:t>
            </w:r>
          </w:p>
        </w:tc>
        <w:tc>
          <w:tcPr>
            <w:tcW w:w="1083" w:type="pct"/>
            <w:noWrap/>
            <w:vAlign w:val="bottom"/>
            <w:hideMark/>
          </w:tcPr>
          <w:p w14:paraId="7A1096A9" w14:textId="77CD1CF9"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5 589</w:t>
            </w:r>
          </w:p>
        </w:tc>
      </w:tr>
      <w:tr w:rsidR="001B2BA5" w:rsidRPr="00CA4C14" w14:paraId="7C88D41A" w14:textId="77777777" w:rsidTr="00CA2D5D">
        <w:trPr>
          <w:trHeight w:val="252"/>
        </w:trPr>
        <w:tc>
          <w:tcPr>
            <w:tcW w:w="2834" w:type="pct"/>
            <w:hideMark/>
          </w:tcPr>
          <w:p w14:paraId="52AA5312" w14:textId="16A5B7BA" w:rsidR="001B2BA5" w:rsidRPr="00CA4C14" w:rsidRDefault="001B2BA5" w:rsidP="00CA2D5D">
            <w:pPr>
              <w:pStyle w:val="Tabletext"/>
              <w:rPr>
                <w:lang w:val="ru-RU"/>
              </w:rPr>
            </w:pPr>
            <w:r w:rsidRPr="00CA4C14">
              <w:rPr>
                <w:lang w:val="ru-RU" w:eastAsia="fr-FR"/>
              </w:rPr>
              <w:t>Контрактные услуги</w:t>
            </w:r>
          </w:p>
        </w:tc>
        <w:tc>
          <w:tcPr>
            <w:tcW w:w="1083" w:type="pct"/>
            <w:noWrap/>
            <w:vAlign w:val="bottom"/>
            <w:hideMark/>
          </w:tcPr>
          <w:p w14:paraId="6B41B3D3" w14:textId="543845D5"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21 821</w:t>
            </w:r>
          </w:p>
        </w:tc>
        <w:tc>
          <w:tcPr>
            <w:tcW w:w="1083" w:type="pct"/>
            <w:noWrap/>
            <w:vAlign w:val="bottom"/>
            <w:hideMark/>
          </w:tcPr>
          <w:p w14:paraId="5DDE7C60" w14:textId="47C3FC59"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20 527</w:t>
            </w:r>
          </w:p>
        </w:tc>
      </w:tr>
      <w:tr w:rsidR="001B2BA5" w:rsidRPr="00CA4C14" w14:paraId="7BA706A8" w14:textId="77777777" w:rsidTr="00CA2D5D">
        <w:trPr>
          <w:trHeight w:val="252"/>
        </w:trPr>
        <w:tc>
          <w:tcPr>
            <w:tcW w:w="2834" w:type="pct"/>
            <w:hideMark/>
          </w:tcPr>
          <w:p w14:paraId="283DD33F" w14:textId="27B33596" w:rsidR="001B2BA5" w:rsidRPr="00CA4C14" w:rsidRDefault="001B2BA5" w:rsidP="00CA2D5D">
            <w:pPr>
              <w:pStyle w:val="Tabletext"/>
              <w:rPr>
                <w:lang w:val="ru-RU"/>
              </w:rPr>
            </w:pPr>
            <w:r w:rsidRPr="00CA4C14">
              <w:rPr>
                <w:lang w:val="ru-RU" w:eastAsia="fr-FR"/>
              </w:rPr>
              <w:t>Аренда и эксплуатация помещений и оборудования</w:t>
            </w:r>
          </w:p>
        </w:tc>
        <w:tc>
          <w:tcPr>
            <w:tcW w:w="1083" w:type="pct"/>
            <w:noWrap/>
            <w:vAlign w:val="bottom"/>
            <w:hideMark/>
          </w:tcPr>
          <w:p w14:paraId="66DDDDA5" w14:textId="66897FCC"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3 537</w:t>
            </w:r>
          </w:p>
        </w:tc>
        <w:tc>
          <w:tcPr>
            <w:tcW w:w="1083" w:type="pct"/>
            <w:noWrap/>
            <w:vAlign w:val="bottom"/>
            <w:hideMark/>
          </w:tcPr>
          <w:p w14:paraId="7F9CCF36" w14:textId="365C3ABA"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2 860</w:t>
            </w:r>
          </w:p>
        </w:tc>
      </w:tr>
      <w:tr w:rsidR="001B2BA5" w:rsidRPr="00CA4C14" w14:paraId="169C5300" w14:textId="77777777" w:rsidTr="00CA2D5D">
        <w:trPr>
          <w:trHeight w:val="252"/>
        </w:trPr>
        <w:tc>
          <w:tcPr>
            <w:tcW w:w="2834" w:type="pct"/>
            <w:hideMark/>
          </w:tcPr>
          <w:p w14:paraId="51B74B46" w14:textId="361ADF25" w:rsidR="001B2BA5" w:rsidRPr="00CA4C14" w:rsidRDefault="001B2BA5" w:rsidP="00CA2D5D">
            <w:pPr>
              <w:pStyle w:val="Tabletext"/>
              <w:rPr>
                <w:lang w:val="ru-RU"/>
              </w:rPr>
            </w:pPr>
            <w:r w:rsidRPr="00CA4C14">
              <w:rPr>
                <w:lang w:val="ru-RU" w:eastAsia="fr-FR"/>
              </w:rPr>
              <w:t>Оборудование и предметы снабжения</w:t>
            </w:r>
          </w:p>
        </w:tc>
        <w:tc>
          <w:tcPr>
            <w:tcW w:w="1083" w:type="pct"/>
            <w:noWrap/>
            <w:vAlign w:val="bottom"/>
            <w:hideMark/>
          </w:tcPr>
          <w:p w14:paraId="7FCF9A29" w14:textId="1048A4EE"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3 150</w:t>
            </w:r>
          </w:p>
        </w:tc>
        <w:tc>
          <w:tcPr>
            <w:tcW w:w="1083" w:type="pct"/>
            <w:noWrap/>
            <w:vAlign w:val="bottom"/>
            <w:hideMark/>
          </w:tcPr>
          <w:p w14:paraId="4E8AFC83" w14:textId="722E5904"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2 460</w:t>
            </w:r>
          </w:p>
        </w:tc>
      </w:tr>
      <w:tr w:rsidR="001B2BA5" w:rsidRPr="00CA4C14" w14:paraId="64181FFB" w14:textId="77777777" w:rsidTr="00CA2D5D">
        <w:trPr>
          <w:trHeight w:val="252"/>
        </w:trPr>
        <w:tc>
          <w:tcPr>
            <w:tcW w:w="2834" w:type="pct"/>
            <w:hideMark/>
          </w:tcPr>
          <w:p w14:paraId="0628F66E" w14:textId="5BBD43A4" w:rsidR="001B2BA5" w:rsidRPr="00CA4C14" w:rsidRDefault="001B2BA5" w:rsidP="00CA2D5D">
            <w:pPr>
              <w:pStyle w:val="Tabletext"/>
              <w:rPr>
                <w:lang w:val="ru-RU"/>
              </w:rPr>
            </w:pPr>
            <w:r w:rsidRPr="00CA4C14">
              <w:rPr>
                <w:lang w:val="ru-RU" w:eastAsia="fr-FR"/>
              </w:rPr>
              <w:t>Амортизация и потеря стоимости</w:t>
            </w:r>
          </w:p>
        </w:tc>
        <w:tc>
          <w:tcPr>
            <w:tcW w:w="1083" w:type="pct"/>
            <w:noWrap/>
            <w:vAlign w:val="bottom"/>
            <w:hideMark/>
          </w:tcPr>
          <w:p w14:paraId="6C827BC0" w14:textId="39165281"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5 660</w:t>
            </w:r>
          </w:p>
        </w:tc>
        <w:tc>
          <w:tcPr>
            <w:tcW w:w="1083" w:type="pct"/>
            <w:noWrap/>
            <w:vAlign w:val="bottom"/>
            <w:hideMark/>
          </w:tcPr>
          <w:p w14:paraId="7867ABC3" w14:textId="38AE5833"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9 495</w:t>
            </w:r>
          </w:p>
        </w:tc>
      </w:tr>
      <w:tr w:rsidR="001B2BA5" w:rsidRPr="00CA4C14" w14:paraId="587DDC3A" w14:textId="77777777" w:rsidTr="00CA2D5D">
        <w:trPr>
          <w:trHeight w:val="252"/>
        </w:trPr>
        <w:tc>
          <w:tcPr>
            <w:tcW w:w="2834" w:type="pct"/>
            <w:hideMark/>
          </w:tcPr>
          <w:p w14:paraId="0C8FD7EC" w14:textId="47557320" w:rsidR="001B2BA5" w:rsidRPr="00CA4C14" w:rsidRDefault="001B2BA5" w:rsidP="00CA2D5D">
            <w:pPr>
              <w:pStyle w:val="Tabletext"/>
              <w:rPr>
                <w:lang w:val="ru-RU"/>
              </w:rPr>
            </w:pPr>
            <w:r w:rsidRPr="00CA4C14">
              <w:rPr>
                <w:lang w:val="ru-RU" w:eastAsia="fr-FR"/>
              </w:rPr>
              <w:t>Расходы по перевозке, электросвязи и услугам</w:t>
            </w:r>
          </w:p>
        </w:tc>
        <w:tc>
          <w:tcPr>
            <w:tcW w:w="1083" w:type="pct"/>
            <w:noWrap/>
            <w:vAlign w:val="bottom"/>
            <w:hideMark/>
          </w:tcPr>
          <w:p w14:paraId="055B3641" w14:textId="5BE80826"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2 673</w:t>
            </w:r>
          </w:p>
        </w:tc>
        <w:tc>
          <w:tcPr>
            <w:tcW w:w="1083" w:type="pct"/>
            <w:noWrap/>
            <w:vAlign w:val="bottom"/>
            <w:hideMark/>
          </w:tcPr>
          <w:p w14:paraId="1D338EA0" w14:textId="202757CA"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2 242</w:t>
            </w:r>
          </w:p>
        </w:tc>
      </w:tr>
      <w:tr w:rsidR="001B2BA5" w:rsidRPr="00CA4C14" w14:paraId="7C4255C0" w14:textId="77777777" w:rsidTr="00CA2D5D">
        <w:trPr>
          <w:trHeight w:val="252"/>
        </w:trPr>
        <w:tc>
          <w:tcPr>
            <w:tcW w:w="2834" w:type="pct"/>
            <w:hideMark/>
          </w:tcPr>
          <w:p w14:paraId="6F769075" w14:textId="754014AC" w:rsidR="001B2BA5" w:rsidRPr="00CA4C14" w:rsidRDefault="001B2BA5" w:rsidP="00CA2D5D">
            <w:pPr>
              <w:pStyle w:val="Tabletext"/>
              <w:rPr>
                <w:lang w:val="ru-RU"/>
              </w:rPr>
            </w:pPr>
            <w:r w:rsidRPr="00CA4C14">
              <w:rPr>
                <w:lang w:val="ru-RU" w:eastAsia="fr-FR"/>
              </w:rPr>
              <w:t>Прочие расходы</w:t>
            </w:r>
          </w:p>
        </w:tc>
        <w:tc>
          <w:tcPr>
            <w:tcW w:w="1083" w:type="pct"/>
            <w:noWrap/>
            <w:vAlign w:val="bottom"/>
            <w:hideMark/>
          </w:tcPr>
          <w:p w14:paraId="3290CE38" w14:textId="0F619D75"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1 808</w:t>
            </w:r>
          </w:p>
        </w:tc>
        <w:tc>
          <w:tcPr>
            <w:tcW w:w="1083" w:type="pct"/>
            <w:noWrap/>
            <w:vAlign w:val="bottom"/>
            <w:hideMark/>
          </w:tcPr>
          <w:p w14:paraId="63184B2A" w14:textId="0904DFD5" w:rsidR="001B2BA5" w:rsidRPr="00CA4C14" w:rsidRDefault="001B2BA5" w:rsidP="00CA2D5D">
            <w:pPr>
              <w:pStyle w:val="Tabletext"/>
              <w:jc w:val="right"/>
              <w:rPr>
                <w:rFonts w:eastAsia="Times New Roman" w:cs="Calibri"/>
                <w:color w:val="000000"/>
                <w:szCs w:val="18"/>
                <w:lang w:val="ru-RU" w:eastAsia="en-GB"/>
              </w:rPr>
            </w:pPr>
            <w:r w:rsidRPr="00CA4C14">
              <w:rPr>
                <w:rFonts w:eastAsia="Times New Roman" w:cs="Calibri"/>
                <w:color w:val="000000"/>
                <w:szCs w:val="18"/>
                <w:lang w:val="ru-RU" w:eastAsia="en-GB"/>
              </w:rPr>
              <w:t>122</w:t>
            </w:r>
          </w:p>
        </w:tc>
      </w:tr>
      <w:tr w:rsidR="001B2BA5" w:rsidRPr="00CA4C14" w14:paraId="0F56E51F" w14:textId="77777777" w:rsidTr="00CA2D5D">
        <w:trPr>
          <w:trHeight w:val="423"/>
        </w:trPr>
        <w:tc>
          <w:tcPr>
            <w:tcW w:w="2834" w:type="pct"/>
            <w:shd w:val="clear" w:color="auto" w:fill="0070C0"/>
            <w:noWrap/>
            <w:vAlign w:val="center"/>
            <w:hideMark/>
          </w:tcPr>
          <w:p w14:paraId="23F633AE" w14:textId="6F29763B" w:rsidR="001B2BA5" w:rsidRPr="00CA4C14" w:rsidRDefault="001B2BA5" w:rsidP="00CA2D5D">
            <w:pPr>
              <w:pStyle w:val="Tabletext"/>
              <w:rPr>
                <w:b/>
                <w:bCs/>
                <w:lang w:val="ru-RU"/>
              </w:rPr>
            </w:pPr>
            <w:r w:rsidRPr="00CA4C14">
              <w:rPr>
                <w:b/>
                <w:bCs/>
                <w:lang w:val="ru-RU" w:eastAsia="fr-FR"/>
              </w:rPr>
              <w:t>Всего</w:t>
            </w:r>
            <w:r w:rsidR="00DC0E8F" w:rsidRPr="00CA4C14">
              <w:rPr>
                <w:b/>
                <w:bCs/>
                <w:lang w:val="ru-RU" w:eastAsia="fr-FR"/>
              </w:rPr>
              <w:t xml:space="preserve"> − Расходы</w:t>
            </w:r>
          </w:p>
        </w:tc>
        <w:tc>
          <w:tcPr>
            <w:tcW w:w="1083" w:type="pct"/>
            <w:shd w:val="clear" w:color="auto" w:fill="0070C0"/>
            <w:noWrap/>
            <w:vAlign w:val="center"/>
            <w:hideMark/>
          </w:tcPr>
          <w:p w14:paraId="37295422" w14:textId="3A015CE8" w:rsidR="001B2BA5" w:rsidRPr="00CA4C14" w:rsidRDefault="001B2BA5" w:rsidP="00CA2D5D">
            <w:pPr>
              <w:pStyle w:val="Tabletext"/>
              <w:jc w:val="right"/>
              <w:rPr>
                <w:b/>
                <w:bCs/>
                <w:color w:val="000000"/>
                <w:szCs w:val="18"/>
                <w:lang w:val="ru-RU" w:eastAsia="en-GB"/>
              </w:rPr>
            </w:pPr>
            <w:r w:rsidRPr="00CA4C14">
              <w:rPr>
                <w:b/>
                <w:bCs/>
                <w:color w:val="000000"/>
                <w:szCs w:val="18"/>
                <w:lang w:val="ru-RU" w:eastAsia="en-GB"/>
              </w:rPr>
              <w:t>197 161</w:t>
            </w:r>
          </w:p>
        </w:tc>
        <w:tc>
          <w:tcPr>
            <w:tcW w:w="1083" w:type="pct"/>
            <w:shd w:val="clear" w:color="auto" w:fill="0070C0"/>
            <w:noWrap/>
            <w:vAlign w:val="center"/>
            <w:hideMark/>
          </w:tcPr>
          <w:p w14:paraId="15950EA9" w14:textId="3D1415D5" w:rsidR="001B2BA5" w:rsidRPr="00CA4C14" w:rsidRDefault="001B2BA5" w:rsidP="00CA2D5D">
            <w:pPr>
              <w:pStyle w:val="Tabletext"/>
              <w:jc w:val="right"/>
              <w:rPr>
                <w:b/>
                <w:bCs/>
                <w:color w:val="000000"/>
                <w:szCs w:val="18"/>
                <w:lang w:val="ru-RU" w:eastAsia="en-GB"/>
              </w:rPr>
            </w:pPr>
            <w:r w:rsidRPr="00CA4C14">
              <w:rPr>
                <w:b/>
                <w:bCs/>
                <w:color w:val="000000"/>
                <w:szCs w:val="18"/>
                <w:lang w:val="ru-RU" w:eastAsia="en-GB"/>
              </w:rPr>
              <w:t>196 805</w:t>
            </w:r>
          </w:p>
        </w:tc>
      </w:tr>
    </w:tbl>
    <w:p w14:paraId="488ED735" w14:textId="16A3E320" w:rsidR="0078304C" w:rsidRPr="00CA4C14" w:rsidRDefault="00E3770A" w:rsidP="00CA2D5D">
      <w:pPr>
        <w:rPr>
          <w:rFonts w:asciiTheme="minorHAnsi" w:hAnsiTheme="minorHAnsi" w:cstheme="minorBidi"/>
          <w:lang w:val="ru-RU"/>
        </w:rPr>
      </w:pPr>
      <w:r w:rsidRPr="00CA4C14">
        <w:rPr>
          <w:rFonts w:asciiTheme="minorHAnsi" w:hAnsiTheme="minorHAnsi" w:cstheme="minorBidi"/>
          <w:lang w:val="ru-RU"/>
        </w:rPr>
        <w:t>14</w:t>
      </w:r>
      <w:r w:rsidRPr="00CA4C14">
        <w:rPr>
          <w:rFonts w:asciiTheme="minorHAnsi" w:hAnsiTheme="minorHAnsi" w:cstheme="minorBidi"/>
          <w:lang w:val="ru-RU"/>
        </w:rPr>
        <w:tab/>
        <w:t xml:space="preserve">На </w:t>
      </w:r>
      <w:r w:rsidR="00967CBA" w:rsidRPr="00CA4C14">
        <w:rPr>
          <w:rFonts w:asciiTheme="minorHAnsi" w:hAnsiTheme="minorHAnsi" w:cstheme="minorBidi"/>
          <w:lang w:val="ru-RU"/>
        </w:rPr>
        <w:t>Р</w:t>
      </w:r>
      <w:r w:rsidRPr="00CA4C14">
        <w:rPr>
          <w:rFonts w:asciiTheme="minorHAnsi" w:hAnsiTheme="minorHAnsi" w:cstheme="minorBidi"/>
          <w:lang w:val="ru-RU"/>
        </w:rPr>
        <w:t xml:space="preserve">исунке </w:t>
      </w:r>
      <w:r w:rsidR="00A65E5F" w:rsidRPr="00CA4C14">
        <w:rPr>
          <w:rFonts w:asciiTheme="minorHAnsi" w:hAnsiTheme="minorHAnsi" w:cstheme="minorBidi"/>
          <w:lang w:val="ru-RU"/>
        </w:rPr>
        <w:t>3</w:t>
      </w:r>
      <w:r w:rsidRPr="00CA4C14">
        <w:rPr>
          <w:rFonts w:asciiTheme="minorHAnsi" w:hAnsiTheme="minorHAnsi" w:cstheme="minorBidi"/>
          <w:lang w:val="ru-RU"/>
        </w:rPr>
        <w:t xml:space="preserve"> </w:t>
      </w:r>
      <w:r w:rsidR="002E2BBB" w:rsidRPr="00CA4C14">
        <w:rPr>
          <w:rFonts w:asciiTheme="minorHAnsi" w:hAnsiTheme="minorHAnsi" w:cstheme="minorBidi"/>
          <w:lang w:val="ru-RU"/>
        </w:rPr>
        <w:t xml:space="preserve">"Структура расходов </w:t>
      </w:r>
      <w:r w:rsidRPr="00CA4C14">
        <w:rPr>
          <w:rFonts w:asciiTheme="minorHAnsi" w:hAnsiTheme="minorHAnsi" w:cstheme="minorBidi"/>
          <w:lang w:val="ru-RU"/>
        </w:rPr>
        <w:t>в 2023</w:t>
      </w:r>
      <w:r w:rsidR="009053A9" w:rsidRPr="00CA4C14">
        <w:rPr>
          <w:rFonts w:asciiTheme="minorHAnsi" w:hAnsiTheme="minorHAnsi" w:cstheme="minorBidi"/>
          <w:lang w:val="ru-RU"/>
        </w:rPr>
        <w:t> год</w:t>
      </w:r>
      <w:r w:rsidRPr="00CA4C14">
        <w:rPr>
          <w:rFonts w:asciiTheme="minorHAnsi" w:hAnsiTheme="minorHAnsi" w:cstheme="minorBidi"/>
          <w:lang w:val="ru-RU"/>
        </w:rPr>
        <w:t>у</w:t>
      </w:r>
      <w:r w:rsidR="002E2BBB" w:rsidRPr="00CA4C14">
        <w:rPr>
          <w:rFonts w:asciiTheme="minorHAnsi" w:hAnsiTheme="minorHAnsi" w:cstheme="minorBidi"/>
          <w:lang w:val="ru-RU"/>
        </w:rPr>
        <w:t>"</w:t>
      </w:r>
      <w:r w:rsidRPr="00CA4C14">
        <w:rPr>
          <w:rFonts w:asciiTheme="minorHAnsi" w:hAnsiTheme="minorHAnsi" w:cstheme="minorBidi"/>
          <w:lang w:val="ru-RU"/>
        </w:rPr>
        <w:t xml:space="preserve"> показана разбивка </w:t>
      </w:r>
      <w:r w:rsidR="006A38AB" w:rsidRPr="00CA4C14">
        <w:rPr>
          <w:rFonts w:asciiTheme="minorHAnsi" w:hAnsiTheme="minorHAnsi" w:cstheme="minorBidi"/>
          <w:lang w:val="ru-RU"/>
        </w:rPr>
        <w:t xml:space="preserve">расходов </w:t>
      </w:r>
      <w:r w:rsidRPr="00CA4C14">
        <w:rPr>
          <w:rFonts w:asciiTheme="minorHAnsi" w:hAnsiTheme="minorHAnsi" w:cstheme="minorBidi"/>
          <w:lang w:val="ru-RU"/>
        </w:rPr>
        <w:t xml:space="preserve">по типам, </w:t>
      </w:r>
      <w:r w:rsidR="00FA5DE5" w:rsidRPr="00CA4C14">
        <w:rPr>
          <w:rFonts w:asciiTheme="minorHAnsi" w:hAnsiTheme="minorHAnsi" w:cstheme="minorBidi"/>
          <w:lang w:val="ru-RU"/>
        </w:rPr>
        <w:t>отражающ</w:t>
      </w:r>
      <w:r w:rsidR="002E2BBB" w:rsidRPr="00CA4C14">
        <w:rPr>
          <w:rFonts w:asciiTheme="minorHAnsi" w:hAnsiTheme="minorHAnsi" w:cstheme="minorBidi"/>
          <w:lang w:val="ru-RU"/>
        </w:rPr>
        <w:t>ая</w:t>
      </w:r>
      <w:r w:rsidRPr="00CA4C14">
        <w:rPr>
          <w:rFonts w:asciiTheme="minorHAnsi" w:hAnsiTheme="minorHAnsi" w:cstheme="minorBidi"/>
          <w:lang w:val="ru-RU"/>
        </w:rPr>
        <w:t xml:space="preserve"> высокий уровень расходов </w:t>
      </w:r>
      <w:r w:rsidRPr="00CA4C14">
        <w:rPr>
          <w:lang w:val="ru-RU"/>
        </w:rPr>
        <w:t>по</w:t>
      </w:r>
      <w:r w:rsidRPr="00CA4C14">
        <w:rPr>
          <w:rFonts w:asciiTheme="minorHAnsi" w:hAnsiTheme="minorHAnsi" w:cstheme="minorBidi"/>
          <w:lang w:val="ru-RU"/>
        </w:rPr>
        <w:t xml:space="preserve"> персоналу МСЭ, которые составляют 7</w:t>
      </w:r>
      <w:r w:rsidR="00A65E5F" w:rsidRPr="00CA4C14">
        <w:rPr>
          <w:rFonts w:asciiTheme="minorHAnsi" w:hAnsiTheme="minorHAnsi" w:cstheme="minorBidi"/>
          <w:lang w:val="ru-RU"/>
        </w:rPr>
        <w:t>6</w:t>
      </w:r>
      <w:r w:rsidRPr="00CA4C14">
        <w:rPr>
          <w:rFonts w:asciiTheme="minorHAnsi" w:hAnsiTheme="minorHAnsi" w:cstheme="minorBidi"/>
          <w:lang w:val="ru-RU"/>
        </w:rPr>
        <w:t xml:space="preserve"> процентов всех расходов. Контрактные услуги представляют собой следующую по величине категорию расходов и составляют 1</w:t>
      </w:r>
      <w:r w:rsidR="00A65E5F" w:rsidRPr="00CA4C14">
        <w:rPr>
          <w:rFonts w:asciiTheme="minorHAnsi" w:hAnsiTheme="minorHAnsi" w:cstheme="minorBidi"/>
          <w:lang w:val="ru-RU"/>
        </w:rPr>
        <w:t>1</w:t>
      </w:r>
      <w:r w:rsidRPr="00CA4C14">
        <w:rPr>
          <w:lang w:val="ru-RU"/>
        </w:rPr>
        <w:t> </w:t>
      </w:r>
      <w:r w:rsidRPr="00CA4C14">
        <w:rPr>
          <w:rFonts w:asciiTheme="minorHAnsi" w:hAnsiTheme="minorHAnsi" w:cstheme="minorBidi"/>
          <w:lang w:val="ru-RU"/>
        </w:rPr>
        <w:t>процентов, что сопоставимо с 202</w:t>
      </w:r>
      <w:r w:rsidR="00A65E5F" w:rsidRPr="00CA4C14">
        <w:rPr>
          <w:rFonts w:asciiTheme="minorHAnsi" w:hAnsiTheme="minorHAnsi" w:cstheme="minorBidi"/>
          <w:lang w:val="ru-RU"/>
        </w:rPr>
        <w:t>2</w:t>
      </w:r>
      <w:r w:rsidR="009053A9" w:rsidRPr="00CA4C14">
        <w:rPr>
          <w:rFonts w:asciiTheme="minorHAnsi" w:hAnsiTheme="minorHAnsi" w:cstheme="minorBidi"/>
          <w:lang w:val="ru-RU"/>
        </w:rPr>
        <w:t> год</w:t>
      </w:r>
      <w:r w:rsidRPr="00CA4C14">
        <w:rPr>
          <w:rFonts w:asciiTheme="minorHAnsi" w:hAnsiTheme="minorHAnsi" w:cstheme="minorBidi"/>
          <w:lang w:val="ru-RU"/>
        </w:rPr>
        <w:t>ом.</w:t>
      </w:r>
      <w:r w:rsidR="00BE285C" w:rsidRPr="00CA4C14">
        <w:rPr>
          <w:rFonts w:asciiTheme="minorHAnsi" w:hAnsiTheme="minorHAnsi" w:cstheme="minorBidi"/>
          <w:lang w:val="ru-RU"/>
        </w:rPr>
        <w:t xml:space="preserve"> </w:t>
      </w:r>
      <w:r w:rsidR="00E303F2" w:rsidRPr="00CA4C14">
        <w:rPr>
          <w:rFonts w:asciiTheme="minorHAnsi" w:hAnsiTheme="minorHAnsi" w:cstheme="minorBidi"/>
          <w:lang w:val="ru-RU"/>
        </w:rPr>
        <w:t>Прочие расходы увеличились в 2023</w:t>
      </w:r>
      <w:r w:rsidR="009053A9" w:rsidRPr="00CA4C14">
        <w:rPr>
          <w:rFonts w:asciiTheme="minorHAnsi" w:hAnsiTheme="minorHAnsi" w:cstheme="minorBidi"/>
          <w:lang w:val="ru-RU"/>
        </w:rPr>
        <w:t> год</w:t>
      </w:r>
      <w:r w:rsidR="00E303F2" w:rsidRPr="00CA4C14">
        <w:rPr>
          <w:rFonts w:asciiTheme="minorHAnsi" w:hAnsiTheme="minorHAnsi" w:cstheme="minorBidi"/>
          <w:lang w:val="ru-RU"/>
        </w:rPr>
        <w:t>у в связи с увеличением резервного фонда для сомнительных долгов</w:t>
      </w:r>
      <w:r w:rsidR="00BE285C" w:rsidRPr="00CA4C14">
        <w:rPr>
          <w:rFonts w:asciiTheme="minorHAnsi" w:hAnsiTheme="minorHAnsi" w:cstheme="minorBidi"/>
          <w:lang w:val="ru-RU"/>
        </w:rPr>
        <w:t>.</w:t>
      </w:r>
    </w:p>
    <w:p w14:paraId="1B466117" w14:textId="5E937B71" w:rsidR="006B63B1" w:rsidRPr="00CA4C14" w:rsidRDefault="00FE33F9" w:rsidP="00FE0DEB">
      <w:pPr>
        <w:pStyle w:val="Figuretitle"/>
        <w:spacing w:before="480"/>
        <w:rPr>
          <w:lang w:val="ru-RU"/>
        </w:rPr>
      </w:pPr>
      <w:r w:rsidRPr="00CA4C14">
        <w:rPr>
          <w:lang w:val="ru-RU"/>
        </w:rPr>
        <w:t xml:space="preserve">Рисунок </w:t>
      </w:r>
      <w:r w:rsidR="00D4567B" w:rsidRPr="00CA4C14">
        <w:rPr>
          <w:lang w:val="ru-RU"/>
        </w:rPr>
        <w:t xml:space="preserve">3 </w:t>
      </w:r>
      <w:r w:rsidR="00057A81" w:rsidRPr="00CA4C14">
        <w:rPr>
          <w:lang w:val="ru-RU"/>
        </w:rPr>
        <w:t>−</w:t>
      </w:r>
      <w:r w:rsidR="00D4567B" w:rsidRPr="00CA4C14">
        <w:rPr>
          <w:lang w:val="ru-RU"/>
        </w:rPr>
        <w:t xml:space="preserve"> </w:t>
      </w:r>
      <w:r w:rsidR="00FA5DE5" w:rsidRPr="00CA4C14">
        <w:rPr>
          <w:lang w:val="ru-RU"/>
        </w:rPr>
        <w:t>С</w:t>
      </w:r>
      <w:r w:rsidRPr="00CA4C14">
        <w:rPr>
          <w:lang w:val="ru-RU"/>
        </w:rPr>
        <w:t>труктур</w:t>
      </w:r>
      <w:r w:rsidR="00FA5DE5" w:rsidRPr="00CA4C14">
        <w:rPr>
          <w:lang w:val="ru-RU"/>
        </w:rPr>
        <w:t>а</w:t>
      </w:r>
      <w:r w:rsidRPr="00CA4C14">
        <w:rPr>
          <w:lang w:val="ru-RU"/>
        </w:rPr>
        <w:t xml:space="preserve"> расходов в 2023 году </w:t>
      </w:r>
      <w:r w:rsidR="00D4567B" w:rsidRPr="00CA4C14">
        <w:rPr>
          <w:lang w:val="ru-RU"/>
        </w:rPr>
        <w:t>(197</w:t>
      </w:r>
      <w:r w:rsidRPr="00CA4C14">
        <w:rPr>
          <w:lang w:val="ru-RU"/>
        </w:rPr>
        <w:t>,</w:t>
      </w:r>
      <w:r w:rsidR="00D4567B" w:rsidRPr="00CA4C14">
        <w:rPr>
          <w:lang w:val="ru-RU"/>
        </w:rPr>
        <w:t>2</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w:t>
      </w:r>
      <w:r w:rsidR="00A91F97" w:rsidRPr="00CA4C14">
        <w:rPr>
          <w:lang w:val="ru-RU"/>
        </w:rPr>
        <w:t>.</w:t>
      </w:r>
      <w:r w:rsidRPr="00CA4C14">
        <w:rPr>
          <w:lang w:val="ru-RU"/>
        </w:rPr>
        <w:t xml:space="preserve"> фр</w:t>
      </w:r>
      <w:r w:rsidR="00A91F97" w:rsidRPr="00CA4C14">
        <w:rPr>
          <w:lang w:val="ru-RU"/>
        </w:rPr>
        <w:t>.</w:t>
      </w:r>
      <w:r w:rsidR="00D4567B" w:rsidRPr="00CA4C14">
        <w:rPr>
          <w:lang w:val="ru-RU"/>
        </w:rPr>
        <w:t>)</w:t>
      </w:r>
    </w:p>
    <w:p w14:paraId="60E2BBBB" w14:textId="4A2F1D50" w:rsidR="001028FE" w:rsidRPr="00CA4C14" w:rsidRDefault="001028FE" w:rsidP="00BE285C">
      <w:pPr>
        <w:pStyle w:val="Figure"/>
        <w:rPr>
          <w:lang w:val="ru-RU"/>
        </w:rPr>
      </w:pPr>
      <w:r w:rsidRPr="00CA4C14">
        <w:rPr>
          <w:noProof/>
          <w:lang w:val="ru-RU"/>
        </w:rPr>
        <w:drawing>
          <wp:inline distT="0" distB="0" distL="0" distR="0" wp14:anchorId="0C846C31" wp14:editId="6930FCF5">
            <wp:extent cx="5760085" cy="3717925"/>
            <wp:effectExtent l="0" t="0" r="0" b="0"/>
            <wp:docPr id="236864367" name="Chart 1">
              <a:extLst xmlns:a="http://schemas.openxmlformats.org/drawingml/2006/main">
                <a:ext uri="{FF2B5EF4-FFF2-40B4-BE49-F238E27FC236}">
                  <a16:creationId xmlns:a16="http://schemas.microsoft.com/office/drawing/2014/main" id="{FFE41578-C55C-4757-AC0A-93F07FE349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78DB44" w14:textId="77777777" w:rsidR="006C2F75" w:rsidRPr="00CA4C14" w:rsidRDefault="006C2F75" w:rsidP="00F378FA">
      <w:pPr>
        <w:rPr>
          <w:lang w:val="ru-RU"/>
        </w:rPr>
      </w:pPr>
      <w:bookmarkStart w:id="32" w:name="_Toc167956614"/>
      <w:bookmarkStart w:id="33" w:name="_Toc167956853"/>
      <w:bookmarkStart w:id="34" w:name="_Toc167957157"/>
      <w:r w:rsidRPr="00CA4C14">
        <w:rPr>
          <w:lang w:val="ru-RU"/>
        </w:rPr>
        <w:br w:type="page"/>
      </w:r>
    </w:p>
    <w:p w14:paraId="1B2073CB" w14:textId="640874E2" w:rsidR="0013302A" w:rsidRPr="00CA4C14" w:rsidRDefault="0013302A" w:rsidP="0013302A">
      <w:pPr>
        <w:pStyle w:val="Heading1"/>
        <w:rPr>
          <w:lang w:val="ru-RU"/>
        </w:rPr>
      </w:pPr>
      <w:bookmarkStart w:id="35" w:name="_Toc168578438"/>
      <w:r w:rsidRPr="00CA4C14">
        <w:rPr>
          <w:lang w:val="ru-RU"/>
        </w:rPr>
        <w:lastRenderedPageBreak/>
        <w:t>Финансовое положение</w:t>
      </w:r>
      <w:bookmarkEnd w:id="32"/>
      <w:bookmarkEnd w:id="33"/>
      <w:bookmarkEnd w:id="34"/>
      <w:bookmarkEnd w:id="35"/>
    </w:p>
    <w:p w14:paraId="36B30034" w14:textId="24A9A887" w:rsidR="00510327" w:rsidRPr="00CA4C14" w:rsidRDefault="0013302A" w:rsidP="00806C72">
      <w:pPr>
        <w:spacing w:after="120"/>
        <w:rPr>
          <w:rFonts w:asciiTheme="minorHAnsi" w:hAnsiTheme="minorHAnsi" w:cstheme="minorBidi"/>
          <w:lang w:val="ru-RU"/>
        </w:rPr>
      </w:pPr>
      <w:bookmarkStart w:id="36" w:name="lt_pId058"/>
      <w:r w:rsidRPr="00CA4C14">
        <w:rPr>
          <w:lang w:val="ru-RU"/>
        </w:rPr>
        <w:t>15</w:t>
      </w:r>
      <w:r w:rsidRPr="00CA4C14">
        <w:rPr>
          <w:lang w:val="ru-RU"/>
        </w:rPr>
        <w:tab/>
      </w:r>
      <w:r w:rsidR="00731BFB" w:rsidRPr="00CA4C14">
        <w:rPr>
          <w:lang w:val="ru-RU"/>
        </w:rPr>
        <w:t>По состоянию на 31</w:t>
      </w:r>
      <w:r w:rsidR="002E2BBB" w:rsidRPr="00CA4C14">
        <w:rPr>
          <w:lang w:val="ru-RU"/>
        </w:rPr>
        <w:t> декабря</w:t>
      </w:r>
      <w:r w:rsidR="00731BFB" w:rsidRPr="00CA4C14">
        <w:rPr>
          <w:lang w:val="ru-RU"/>
        </w:rPr>
        <w:t xml:space="preserve"> </w:t>
      </w:r>
      <w:r w:rsidR="00510327" w:rsidRPr="00CA4C14">
        <w:rPr>
          <w:rFonts w:asciiTheme="minorHAnsi" w:hAnsiTheme="minorHAnsi" w:cstheme="minorBidi"/>
          <w:lang w:val="ru-RU"/>
        </w:rPr>
        <w:t xml:space="preserve">2023 года, </w:t>
      </w:r>
      <w:r w:rsidR="00C3139E" w:rsidRPr="00CA4C14">
        <w:rPr>
          <w:lang w:val="ru-RU"/>
        </w:rPr>
        <w:t xml:space="preserve">чистые активы организации имели отрицательное значение </w:t>
      </w:r>
      <w:r w:rsidR="00510327" w:rsidRPr="00CA4C14">
        <w:rPr>
          <w:rFonts w:asciiTheme="minorHAnsi" w:hAnsiTheme="minorHAnsi" w:cstheme="minorBidi"/>
          <w:lang w:val="ru-RU"/>
        </w:rPr>
        <w:t>257,4</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00510327" w:rsidRPr="00CA4C14">
        <w:rPr>
          <w:lang w:val="ru-RU"/>
        </w:rPr>
        <w:t>их франков</w:t>
      </w:r>
      <w:r w:rsidR="00510327" w:rsidRPr="00CA4C14">
        <w:rPr>
          <w:rFonts w:asciiTheme="minorHAnsi" w:hAnsiTheme="minorHAnsi" w:cstheme="minorBidi"/>
          <w:lang w:val="ru-RU"/>
        </w:rPr>
        <w:t xml:space="preserve">, </w:t>
      </w:r>
      <w:r w:rsidR="002B6A23" w:rsidRPr="00CA4C14">
        <w:rPr>
          <w:lang w:val="ru-RU"/>
        </w:rPr>
        <w:t xml:space="preserve">при этом общие активы составили </w:t>
      </w:r>
      <w:r w:rsidR="00510327" w:rsidRPr="00CA4C14">
        <w:rPr>
          <w:rFonts w:asciiTheme="minorHAnsi" w:hAnsiTheme="minorHAnsi" w:cstheme="minorBidi"/>
          <w:lang w:val="ru-RU"/>
        </w:rPr>
        <w:t>305,8</w:t>
      </w:r>
      <w:r w:rsidR="009053A9" w:rsidRPr="00CA4C14">
        <w:rPr>
          <w:rFonts w:asciiTheme="minorHAnsi" w:hAnsiTheme="minorHAnsi" w:cstheme="minorBidi"/>
          <w:lang w:val="ru-RU"/>
        </w:rPr>
        <w:t> млн. швейцарск</w:t>
      </w:r>
      <w:r w:rsidR="00597715" w:rsidRPr="00CA4C14">
        <w:rPr>
          <w:lang w:val="ru-RU"/>
        </w:rPr>
        <w:t>их франков</w:t>
      </w:r>
      <w:r w:rsidR="00E13BCC" w:rsidRPr="00CA4C14">
        <w:rPr>
          <w:lang w:val="ru-RU"/>
        </w:rPr>
        <w:t>,</w:t>
      </w:r>
      <w:r w:rsidR="00597715" w:rsidRPr="00CA4C14">
        <w:rPr>
          <w:rFonts w:asciiTheme="minorHAnsi" w:hAnsiTheme="minorHAnsi" w:cstheme="minorBidi"/>
          <w:lang w:val="ru-RU"/>
        </w:rPr>
        <w:t xml:space="preserve"> </w:t>
      </w:r>
      <w:r w:rsidR="002B6A23" w:rsidRPr="00CA4C14">
        <w:rPr>
          <w:lang w:val="ru-RU"/>
        </w:rPr>
        <w:t xml:space="preserve">а общий размер пассивов составил </w:t>
      </w:r>
      <w:r w:rsidR="00510327" w:rsidRPr="00CA4C14">
        <w:rPr>
          <w:rFonts w:asciiTheme="minorHAnsi" w:hAnsiTheme="minorHAnsi" w:cstheme="minorBidi"/>
          <w:lang w:val="ru-RU"/>
        </w:rPr>
        <w:t>565,9</w:t>
      </w:r>
      <w:r w:rsidR="009053A9" w:rsidRPr="00CA4C14">
        <w:rPr>
          <w:rFonts w:asciiTheme="minorHAnsi" w:hAnsiTheme="minorHAnsi" w:cstheme="minorBidi"/>
          <w:lang w:val="ru-RU"/>
        </w:rPr>
        <w:t> млн. швейцарск</w:t>
      </w:r>
      <w:r w:rsidR="00510327" w:rsidRPr="00CA4C14">
        <w:rPr>
          <w:lang w:val="ru-RU"/>
        </w:rPr>
        <w:t>их франков</w:t>
      </w:r>
      <w:r w:rsidR="00E13BCC" w:rsidRPr="00CA4C14">
        <w:rPr>
          <w:lang w:val="ru-RU"/>
        </w:rPr>
        <w:t>,</w:t>
      </w:r>
      <w:r w:rsidR="00510327" w:rsidRPr="00CA4C14">
        <w:rPr>
          <w:rFonts w:asciiTheme="minorHAnsi" w:hAnsiTheme="minorHAnsi" w:cstheme="minorBidi"/>
          <w:lang w:val="ru-RU"/>
        </w:rPr>
        <w:t xml:space="preserve"> </w:t>
      </w:r>
      <w:r w:rsidR="002B6A23" w:rsidRPr="00CA4C14">
        <w:rPr>
          <w:lang w:val="ru-RU"/>
        </w:rPr>
        <w:t xml:space="preserve">как показано в Таблице </w:t>
      </w:r>
      <w:r w:rsidR="00510327" w:rsidRPr="00CA4C14">
        <w:rPr>
          <w:rFonts w:asciiTheme="minorHAnsi" w:hAnsiTheme="minorHAnsi" w:cstheme="minorBidi"/>
          <w:lang w:val="ru-RU"/>
        </w:rPr>
        <w:t>3</w:t>
      </w:r>
      <w:r w:rsidR="00DC0E8F" w:rsidRPr="00CA4C14">
        <w:rPr>
          <w:rFonts w:asciiTheme="minorHAnsi" w:hAnsiTheme="minorHAnsi" w:cstheme="minorBidi"/>
          <w:lang w:val="ru-RU"/>
        </w:rPr>
        <w:t>,</w:t>
      </w:r>
      <w:r w:rsidR="00510327" w:rsidRPr="00CA4C14">
        <w:rPr>
          <w:rFonts w:asciiTheme="minorHAnsi" w:hAnsiTheme="minorHAnsi" w:cstheme="minorBidi"/>
          <w:lang w:val="ru-RU"/>
        </w:rPr>
        <w:t xml:space="preserve"> </w:t>
      </w:r>
      <w:r w:rsidR="002B6A23" w:rsidRPr="00CA4C14">
        <w:rPr>
          <w:rFonts w:asciiTheme="minorHAnsi" w:hAnsiTheme="minorHAnsi" w:cstheme="minorBidi"/>
          <w:lang w:val="ru-RU"/>
        </w:rPr>
        <w:t>ниже</w:t>
      </w:r>
      <w:r w:rsidR="00510327" w:rsidRPr="00CA4C14">
        <w:rPr>
          <w:rFonts w:asciiTheme="minorHAnsi" w:hAnsiTheme="minorHAnsi" w:cstheme="minorBidi"/>
          <w:lang w:val="ru-RU"/>
        </w:rPr>
        <w:t xml:space="preserve">. </w:t>
      </w:r>
      <w:r w:rsidR="00CF4C4E" w:rsidRPr="00CA4C14">
        <w:rPr>
          <w:lang w:val="ru-RU"/>
        </w:rPr>
        <w:t xml:space="preserve">Чистые активы </w:t>
      </w:r>
      <w:r w:rsidR="00E13BCC" w:rsidRPr="00CA4C14">
        <w:rPr>
          <w:lang w:val="ru-RU"/>
        </w:rPr>
        <w:t>были ниже</w:t>
      </w:r>
      <w:r w:rsidR="00CF4C4E" w:rsidRPr="00CA4C14">
        <w:rPr>
          <w:lang w:val="ru-RU"/>
        </w:rPr>
        <w:t xml:space="preserve"> на </w:t>
      </w:r>
      <w:r w:rsidR="00510327" w:rsidRPr="00CA4C14">
        <w:rPr>
          <w:rFonts w:asciiTheme="minorHAnsi" w:hAnsiTheme="minorHAnsi" w:cstheme="minorBidi"/>
          <w:lang w:val="ru-RU"/>
        </w:rPr>
        <w:t>44,4</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00510327" w:rsidRPr="00CA4C14">
        <w:rPr>
          <w:lang w:val="ru-RU"/>
        </w:rPr>
        <w:t>их франков</w:t>
      </w:r>
      <w:r w:rsidR="00510327" w:rsidRPr="00CA4C14">
        <w:rPr>
          <w:rFonts w:asciiTheme="minorHAnsi" w:hAnsiTheme="minorHAnsi" w:cstheme="minorBidi"/>
          <w:lang w:val="ru-RU"/>
        </w:rPr>
        <w:t xml:space="preserve"> </w:t>
      </w:r>
      <w:r w:rsidR="00CF4C4E" w:rsidRPr="00CA4C14">
        <w:rPr>
          <w:lang w:val="ru-RU"/>
        </w:rPr>
        <w:t xml:space="preserve">по сравнению с </w:t>
      </w:r>
      <w:r w:rsidR="00510327" w:rsidRPr="00CA4C14">
        <w:rPr>
          <w:rFonts w:asciiTheme="minorHAnsi" w:hAnsiTheme="minorHAnsi" w:cstheme="minorBidi"/>
          <w:lang w:val="ru-RU"/>
        </w:rPr>
        <w:t>2022</w:t>
      </w:r>
      <w:r w:rsidR="006C2F75" w:rsidRPr="00CA4C14">
        <w:rPr>
          <w:rFonts w:asciiTheme="minorHAnsi" w:hAnsiTheme="minorHAnsi" w:cstheme="minorBidi"/>
          <w:lang w:val="ru-RU"/>
        </w:rPr>
        <w:t> годом</w:t>
      </w:r>
      <w:r w:rsidR="00510327" w:rsidRPr="00CA4C14">
        <w:rPr>
          <w:rFonts w:asciiTheme="minorHAnsi" w:hAnsiTheme="minorHAnsi" w:cstheme="minorBidi"/>
          <w:lang w:val="ru-RU"/>
        </w:rPr>
        <w:t xml:space="preserve">. </w:t>
      </w:r>
      <w:r w:rsidR="00E13BCC" w:rsidRPr="00CA4C14">
        <w:rPr>
          <w:rFonts w:asciiTheme="minorHAnsi" w:hAnsiTheme="minorHAnsi" w:cstheme="minorBidi"/>
          <w:lang w:val="ru-RU"/>
        </w:rPr>
        <w:t xml:space="preserve">Это в значительной степени </w:t>
      </w:r>
      <w:r w:rsidR="00957FB1" w:rsidRPr="00CA4C14">
        <w:rPr>
          <w:rFonts w:asciiTheme="minorHAnsi" w:hAnsiTheme="minorHAnsi" w:cstheme="minorBidi"/>
          <w:lang w:val="ru-RU"/>
        </w:rPr>
        <w:t xml:space="preserve">было </w:t>
      </w:r>
      <w:r w:rsidR="00E13BCC" w:rsidRPr="00CA4C14">
        <w:rPr>
          <w:rFonts w:asciiTheme="minorHAnsi" w:hAnsiTheme="minorHAnsi" w:cstheme="minorBidi"/>
          <w:lang w:val="ru-RU"/>
        </w:rPr>
        <w:t>обусловлено изменением ставок дисконтирования и допущений, использованных для оценки АСХИ в 2023</w:t>
      </w:r>
      <w:r w:rsidR="00957FB1" w:rsidRPr="00CA4C14">
        <w:rPr>
          <w:rFonts w:asciiTheme="minorHAnsi" w:hAnsiTheme="minorHAnsi" w:cstheme="minorBidi"/>
          <w:lang w:val="ru-RU"/>
        </w:rPr>
        <w:t> </w:t>
      </w:r>
      <w:r w:rsidR="00E13BCC" w:rsidRPr="00CA4C14">
        <w:rPr>
          <w:rFonts w:asciiTheme="minorHAnsi" w:hAnsiTheme="minorHAnsi" w:cstheme="minorBidi"/>
          <w:lang w:val="ru-RU"/>
        </w:rPr>
        <w:t>году по сравнению с 2022</w:t>
      </w:r>
      <w:r w:rsidR="00957FB1" w:rsidRPr="00CA4C14">
        <w:rPr>
          <w:rFonts w:asciiTheme="minorHAnsi" w:hAnsiTheme="minorHAnsi" w:cstheme="minorBidi"/>
          <w:lang w:val="ru-RU"/>
        </w:rPr>
        <w:t> </w:t>
      </w:r>
      <w:r w:rsidR="00E13BCC" w:rsidRPr="00CA4C14">
        <w:rPr>
          <w:rFonts w:asciiTheme="minorHAnsi" w:hAnsiTheme="minorHAnsi" w:cstheme="minorBidi"/>
          <w:lang w:val="ru-RU"/>
        </w:rPr>
        <w:t>годом. Эти изменения привели к увеличению обязательств по медицинскому страхованию после выхода в отставку (АСХИ) на 31,2</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00E13BCC" w:rsidRPr="00CA4C14">
        <w:rPr>
          <w:rFonts w:asciiTheme="minorHAnsi" w:hAnsiTheme="minorHAnsi" w:cstheme="minorBidi"/>
          <w:lang w:val="ru-RU"/>
        </w:rPr>
        <w:t>их франков с 344,1</w:t>
      </w:r>
      <w:r w:rsidR="009053A9" w:rsidRPr="00CA4C14">
        <w:rPr>
          <w:rFonts w:asciiTheme="minorHAnsi" w:hAnsiTheme="minorHAnsi" w:cstheme="minorBidi"/>
          <w:lang w:val="ru-RU"/>
        </w:rPr>
        <w:t> млн. швейцарск</w:t>
      </w:r>
      <w:r w:rsidR="00E13BCC" w:rsidRPr="00CA4C14">
        <w:rPr>
          <w:rFonts w:asciiTheme="minorHAnsi" w:hAnsiTheme="minorHAnsi" w:cstheme="minorBidi"/>
          <w:lang w:val="ru-RU"/>
        </w:rPr>
        <w:t>их франков до 375,3</w:t>
      </w:r>
      <w:r w:rsidR="009053A9" w:rsidRPr="00CA4C14">
        <w:rPr>
          <w:rFonts w:asciiTheme="minorHAnsi" w:hAnsiTheme="minorHAnsi" w:cstheme="minorBidi"/>
          <w:lang w:val="ru-RU"/>
        </w:rPr>
        <w:t> млн. швейцарск</w:t>
      </w:r>
      <w:r w:rsidR="00E13BCC" w:rsidRPr="00CA4C14">
        <w:rPr>
          <w:rFonts w:asciiTheme="minorHAnsi" w:hAnsiTheme="minorHAnsi" w:cstheme="minorBidi"/>
          <w:lang w:val="ru-RU"/>
        </w:rPr>
        <w:t xml:space="preserve">их франков. </w:t>
      </w:r>
      <w:r w:rsidR="003C1709" w:rsidRPr="00CA4C14">
        <w:rPr>
          <w:lang w:val="ru-RU"/>
        </w:rPr>
        <w:t>Вопросы, касающиеся модели вознаграждения сотрудников, работающих на основе долгосрочных контрактов, являются критическим условием изменения этой тенденции.</w:t>
      </w:r>
    </w:p>
    <w:bookmarkEnd w:id="36"/>
    <w:p w14:paraId="29072EEE" w14:textId="7258D856" w:rsidR="00D4567B" w:rsidRPr="00CA4C14" w:rsidRDefault="004D3B4C" w:rsidP="00FE0DEB">
      <w:pPr>
        <w:pStyle w:val="Tabletitle"/>
        <w:spacing w:before="360"/>
        <w:rPr>
          <w:rFonts w:asciiTheme="minorHAnsi" w:hAnsiTheme="minorHAnsi" w:cstheme="minorBidi"/>
          <w:b w:val="0"/>
          <w:szCs w:val="22"/>
          <w:lang w:val="ru-RU"/>
        </w:rPr>
      </w:pPr>
      <w:r w:rsidRPr="00CA4C14">
        <w:rPr>
          <w:lang w:val="ru-RU"/>
        </w:rPr>
        <w:t>Таблица</w:t>
      </w:r>
      <w:r w:rsidR="00D4567B" w:rsidRPr="00CA4C14">
        <w:rPr>
          <w:lang w:val="ru-RU"/>
        </w:rPr>
        <w:t xml:space="preserve"> 3 </w:t>
      </w:r>
      <w:r w:rsidR="00057A81" w:rsidRPr="00CA4C14">
        <w:rPr>
          <w:lang w:val="ru-RU"/>
        </w:rPr>
        <w:t>−</w:t>
      </w:r>
      <w:r w:rsidR="00D4567B" w:rsidRPr="00CA4C14">
        <w:rPr>
          <w:lang w:val="ru-RU"/>
        </w:rPr>
        <w:t xml:space="preserve"> </w:t>
      </w:r>
      <w:r w:rsidRPr="00CA4C14">
        <w:rPr>
          <w:lang w:val="ru-RU"/>
        </w:rPr>
        <w:t>Сводные данные об активах, пассивах</w:t>
      </w:r>
      <w:r w:rsidR="001B57AB" w:rsidRPr="00CA4C14">
        <w:rPr>
          <w:lang w:val="ru-RU"/>
        </w:rPr>
        <w:t xml:space="preserve"> и</w:t>
      </w:r>
      <w:r w:rsidRPr="00CA4C14">
        <w:rPr>
          <w:lang w:val="ru-RU"/>
        </w:rPr>
        <w:t xml:space="preserve"> чистых активах</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517"/>
        <w:gridCol w:w="1518"/>
        <w:gridCol w:w="1518"/>
      </w:tblGrid>
      <w:tr w:rsidR="00191580" w:rsidRPr="00CA4C14" w14:paraId="5E399F47" w14:textId="77777777" w:rsidTr="00FE0DEB">
        <w:tc>
          <w:tcPr>
            <w:tcW w:w="2490" w:type="pct"/>
            <w:shd w:val="clear" w:color="auto" w:fill="0070C0"/>
            <w:noWrap/>
            <w:vAlign w:val="center"/>
            <w:hideMark/>
          </w:tcPr>
          <w:p w14:paraId="22FD65B9" w14:textId="33804A47" w:rsidR="006B63B1" w:rsidRPr="00CA4C14" w:rsidRDefault="00191580" w:rsidP="00CA2D5D">
            <w:pPr>
              <w:pStyle w:val="Tablehead"/>
              <w:rPr>
                <w:lang w:val="ru-RU"/>
              </w:rPr>
            </w:pPr>
            <w:r w:rsidRPr="00CA4C14">
              <w:rPr>
                <w:lang w:val="ru-RU"/>
              </w:rPr>
              <w:t>В тыс. шв. фр.</w:t>
            </w:r>
          </w:p>
        </w:tc>
        <w:tc>
          <w:tcPr>
            <w:tcW w:w="836" w:type="pct"/>
            <w:shd w:val="clear" w:color="auto" w:fill="0070C0"/>
            <w:noWrap/>
            <w:vAlign w:val="center"/>
            <w:hideMark/>
          </w:tcPr>
          <w:p w14:paraId="6E34265F" w14:textId="0C5DDAC4" w:rsidR="006B63B1" w:rsidRPr="00CA4C14" w:rsidRDefault="006B63B1" w:rsidP="00CA2D5D">
            <w:pPr>
              <w:pStyle w:val="Tablehead"/>
              <w:rPr>
                <w:lang w:val="ru-RU"/>
              </w:rPr>
            </w:pPr>
            <w:r w:rsidRPr="00CA4C14">
              <w:rPr>
                <w:lang w:val="ru-RU"/>
              </w:rPr>
              <w:t>2023</w:t>
            </w:r>
            <w:r w:rsidR="004D3B4C" w:rsidRPr="00CA4C14">
              <w:rPr>
                <w:lang w:val="ru-RU"/>
              </w:rPr>
              <w:t> г.</w:t>
            </w:r>
          </w:p>
        </w:tc>
        <w:tc>
          <w:tcPr>
            <w:tcW w:w="837" w:type="pct"/>
            <w:shd w:val="clear" w:color="auto" w:fill="0070C0"/>
            <w:vAlign w:val="center"/>
            <w:hideMark/>
          </w:tcPr>
          <w:p w14:paraId="61B1053E" w14:textId="0EEFB8D9" w:rsidR="006B63B1" w:rsidRPr="00CA4C14" w:rsidRDefault="006B63B1" w:rsidP="00CA2D5D">
            <w:pPr>
              <w:pStyle w:val="Tablehead"/>
              <w:rPr>
                <w:lang w:val="ru-RU"/>
              </w:rPr>
            </w:pPr>
            <w:r w:rsidRPr="00CA4C14">
              <w:rPr>
                <w:lang w:val="ru-RU"/>
              </w:rPr>
              <w:t>2022</w:t>
            </w:r>
            <w:r w:rsidR="004D3B4C" w:rsidRPr="00CA4C14">
              <w:rPr>
                <w:lang w:val="ru-RU"/>
              </w:rPr>
              <w:t> г.</w:t>
            </w:r>
          </w:p>
        </w:tc>
        <w:tc>
          <w:tcPr>
            <w:tcW w:w="837" w:type="pct"/>
            <w:shd w:val="clear" w:color="auto" w:fill="0070C0"/>
            <w:noWrap/>
            <w:vAlign w:val="center"/>
            <w:hideMark/>
          </w:tcPr>
          <w:p w14:paraId="5F2309BE" w14:textId="4EEF9530" w:rsidR="006B63B1" w:rsidRPr="00CA4C14" w:rsidRDefault="004D3B4C" w:rsidP="00CA2D5D">
            <w:pPr>
              <w:pStyle w:val="Tablehead"/>
              <w:rPr>
                <w:lang w:val="ru-RU"/>
              </w:rPr>
            </w:pPr>
            <w:r w:rsidRPr="00CA4C14">
              <w:rPr>
                <w:lang w:val="ru-RU"/>
              </w:rPr>
              <w:t>Разница</w:t>
            </w:r>
          </w:p>
        </w:tc>
      </w:tr>
      <w:tr w:rsidR="00191580" w:rsidRPr="00CA4C14" w14:paraId="13EA2446" w14:textId="77777777" w:rsidTr="00FE0DEB">
        <w:tc>
          <w:tcPr>
            <w:tcW w:w="2490" w:type="pct"/>
            <w:noWrap/>
            <w:vAlign w:val="center"/>
            <w:hideMark/>
          </w:tcPr>
          <w:p w14:paraId="45B37BEF" w14:textId="30B4ADBC" w:rsidR="00191580" w:rsidRPr="00CA4C14" w:rsidRDefault="00191580" w:rsidP="00CA2D5D">
            <w:pPr>
              <w:pStyle w:val="Tabletext"/>
              <w:rPr>
                <w:b/>
                <w:bCs/>
                <w:lang w:val="ru-RU"/>
              </w:rPr>
            </w:pPr>
            <w:r w:rsidRPr="00CA4C14">
              <w:rPr>
                <w:b/>
                <w:bCs/>
                <w:lang w:val="ru-RU" w:eastAsia="en-GB"/>
              </w:rPr>
              <w:t>Активы</w:t>
            </w:r>
          </w:p>
        </w:tc>
        <w:tc>
          <w:tcPr>
            <w:tcW w:w="836" w:type="pct"/>
            <w:noWrap/>
            <w:vAlign w:val="bottom"/>
            <w:hideMark/>
          </w:tcPr>
          <w:p w14:paraId="11A66894" w14:textId="343C36AC" w:rsidR="00191580" w:rsidRPr="00CA4C14" w:rsidRDefault="00191580" w:rsidP="00CA2D5D">
            <w:pPr>
              <w:pStyle w:val="Tabletext"/>
              <w:jc w:val="right"/>
              <w:rPr>
                <w:b/>
                <w:bCs/>
                <w:color w:val="000000"/>
                <w:szCs w:val="18"/>
                <w:lang w:val="ru-RU" w:eastAsia="en-GB"/>
              </w:rPr>
            </w:pPr>
            <w:r w:rsidRPr="00CA4C14">
              <w:rPr>
                <w:b/>
                <w:bCs/>
                <w:color w:val="000000"/>
                <w:szCs w:val="18"/>
                <w:lang w:val="ru-RU" w:eastAsia="en-GB"/>
              </w:rPr>
              <w:t>308,5</w:t>
            </w:r>
          </w:p>
        </w:tc>
        <w:tc>
          <w:tcPr>
            <w:tcW w:w="837" w:type="pct"/>
            <w:noWrap/>
            <w:vAlign w:val="bottom"/>
            <w:hideMark/>
          </w:tcPr>
          <w:p w14:paraId="3806A6B2" w14:textId="59D43851" w:rsidR="00191580" w:rsidRPr="00CA4C14" w:rsidRDefault="00191580" w:rsidP="00CA2D5D">
            <w:pPr>
              <w:pStyle w:val="Tabletext"/>
              <w:jc w:val="right"/>
              <w:rPr>
                <w:b/>
                <w:bCs/>
                <w:color w:val="000000"/>
                <w:szCs w:val="18"/>
                <w:lang w:val="ru-RU" w:eastAsia="en-GB"/>
              </w:rPr>
            </w:pPr>
            <w:r w:rsidRPr="00CA4C14">
              <w:rPr>
                <w:b/>
                <w:bCs/>
                <w:color w:val="000000"/>
                <w:szCs w:val="18"/>
                <w:lang w:val="ru-RU" w:eastAsia="en-GB"/>
              </w:rPr>
              <w:t>317,9</w:t>
            </w:r>
          </w:p>
        </w:tc>
        <w:tc>
          <w:tcPr>
            <w:tcW w:w="837" w:type="pct"/>
            <w:noWrap/>
            <w:vAlign w:val="bottom"/>
            <w:hideMark/>
          </w:tcPr>
          <w:p w14:paraId="7235C597" w14:textId="7505D358" w:rsidR="00191580" w:rsidRPr="00CA4C14" w:rsidRDefault="00191580" w:rsidP="00CA2D5D">
            <w:pPr>
              <w:pStyle w:val="Tabletext"/>
              <w:jc w:val="right"/>
              <w:rPr>
                <w:b/>
                <w:bCs/>
                <w:color w:val="000000"/>
                <w:szCs w:val="18"/>
                <w:lang w:val="ru-RU" w:eastAsia="en-GB"/>
              </w:rPr>
            </w:pPr>
            <w:r w:rsidRPr="00CA4C14">
              <w:rPr>
                <w:b/>
                <w:bCs/>
                <w:color w:val="000000"/>
                <w:szCs w:val="18"/>
                <w:lang w:val="ru-RU" w:eastAsia="en-GB"/>
              </w:rPr>
              <w:t>(9,4)</w:t>
            </w:r>
          </w:p>
        </w:tc>
      </w:tr>
      <w:tr w:rsidR="00191580" w:rsidRPr="00CA4C14" w14:paraId="1C42117A" w14:textId="77777777" w:rsidTr="00FE0DEB">
        <w:tc>
          <w:tcPr>
            <w:tcW w:w="2490" w:type="pct"/>
            <w:noWrap/>
            <w:vAlign w:val="center"/>
            <w:hideMark/>
          </w:tcPr>
          <w:p w14:paraId="187E52FF" w14:textId="41A373B8" w:rsidR="00191580" w:rsidRPr="00CA4C14" w:rsidRDefault="00191580" w:rsidP="00CA2D5D">
            <w:pPr>
              <w:pStyle w:val="Tabletext"/>
              <w:rPr>
                <w:b/>
                <w:bCs/>
                <w:lang w:val="ru-RU"/>
              </w:rPr>
            </w:pPr>
            <w:bookmarkStart w:id="37" w:name="_Hlk160033316"/>
            <w:r w:rsidRPr="00CA4C14">
              <w:rPr>
                <w:b/>
                <w:bCs/>
                <w:lang w:val="ru-RU" w:eastAsia="en-GB"/>
              </w:rPr>
              <w:t>Пассивы</w:t>
            </w:r>
            <w:bookmarkEnd w:id="37"/>
          </w:p>
        </w:tc>
        <w:tc>
          <w:tcPr>
            <w:tcW w:w="836" w:type="pct"/>
            <w:noWrap/>
            <w:vAlign w:val="bottom"/>
            <w:hideMark/>
          </w:tcPr>
          <w:p w14:paraId="4142B1A4" w14:textId="050A22E7" w:rsidR="00191580" w:rsidRPr="00CA4C14" w:rsidRDefault="00191580" w:rsidP="00CA2D5D">
            <w:pPr>
              <w:pStyle w:val="Tabletext"/>
              <w:jc w:val="right"/>
              <w:rPr>
                <w:b/>
                <w:bCs/>
                <w:color w:val="000000"/>
                <w:szCs w:val="18"/>
                <w:lang w:val="ru-RU" w:eastAsia="en-GB"/>
              </w:rPr>
            </w:pPr>
            <w:r w:rsidRPr="00CA4C14">
              <w:rPr>
                <w:b/>
                <w:bCs/>
                <w:color w:val="000000"/>
                <w:szCs w:val="18"/>
                <w:lang w:val="ru-RU" w:eastAsia="en-GB"/>
              </w:rPr>
              <w:t>565,9</w:t>
            </w:r>
          </w:p>
        </w:tc>
        <w:tc>
          <w:tcPr>
            <w:tcW w:w="837" w:type="pct"/>
            <w:noWrap/>
            <w:vAlign w:val="bottom"/>
            <w:hideMark/>
          </w:tcPr>
          <w:p w14:paraId="36A5B27A" w14:textId="3D817243" w:rsidR="00191580" w:rsidRPr="00CA4C14" w:rsidRDefault="00191580" w:rsidP="00CA2D5D">
            <w:pPr>
              <w:pStyle w:val="Tabletext"/>
              <w:jc w:val="right"/>
              <w:rPr>
                <w:b/>
                <w:bCs/>
                <w:color w:val="000000"/>
                <w:szCs w:val="18"/>
                <w:lang w:val="ru-RU" w:eastAsia="en-GB"/>
              </w:rPr>
            </w:pPr>
            <w:r w:rsidRPr="00CA4C14">
              <w:rPr>
                <w:b/>
                <w:bCs/>
                <w:color w:val="000000"/>
                <w:szCs w:val="18"/>
                <w:lang w:val="ru-RU" w:eastAsia="en-GB"/>
              </w:rPr>
              <w:t>530,9</w:t>
            </w:r>
          </w:p>
        </w:tc>
        <w:tc>
          <w:tcPr>
            <w:tcW w:w="837" w:type="pct"/>
            <w:noWrap/>
            <w:vAlign w:val="bottom"/>
            <w:hideMark/>
          </w:tcPr>
          <w:p w14:paraId="0DBCBA41" w14:textId="46EA3D92" w:rsidR="00191580" w:rsidRPr="00CA4C14" w:rsidRDefault="00191580" w:rsidP="00CA2D5D">
            <w:pPr>
              <w:pStyle w:val="Tabletext"/>
              <w:jc w:val="right"/>
              <w:rPr>
                <w:b/>
                <w:bCs/>
                <w:color w:val="000000"/>
                <w:szCs w:val="18"/>
                <w:lang w:val="ru-RU" w:eastAsia="en-GB"/>
              </w:rPr>
            </w:pPr>
            <w:r w:rsidRPr="00CA4C14">
              <w:rPr>
                <w:b/>
                <w:bCs/>
                <w:color w:val="000000"/>
                <w:szCs w:val="18"/>
                <w:lang w:val="ru-RU" w:eastAsia="en-GB"/>
              </w:rPr>
              <w:t>35,0</w:t>
            </w:r>
          </w:p>
        </w:tc>
      </w:tr>
      <w:tr w:rsidR="00191580" w:rsidRPr="00CA4C14" w14:paraId="49D02573" w14:textId="77777777" w:rsidTr="00FE0DEB">
        <w:tc>
          <w:tcPr>
            <w:tcW w:w="2490" w:type="pct"/>
            <w:shd w:val="clear" w:color="auto" w:fill="0070C0"/>
            <w:noWrap/>
            <w:vAlign w:val="center"/>
            <w:hideMark/>
          </w:tcPr>
          <w:p w14:paraId="4F4B2326" w14:textId="01501028" w:rsidR="006B63B1" w:rsidRPr="00CA4C14" w:rsidRDefault="00191580" w:rsidP="00CA2D5D">
            <w:pPr>
              <w:pStyle w:val="Tabletext"/>
              <w:rPr>
                <w:b/>
                <w:bCs/>
                <w:lang w:val="ru-RU"/>
              </w:rPr>
            </w:pPr>
            <w:r w:rsidRPr="00CA4C14">
              <w:rPr>
                <w:b/>
                <w:bCs/>
                <w:lang w:val="ru-RU" w:eastAsia="en-GB"/>
              </w:rPr>
              <w:t>Чистые активы</w:t>
            </w:r>
          </w:p>
        </w:tc>
        <w:tc>
          <w:tcPr>
            <w:tcW w:w="836" w:type="pct"/>
            <w:shd w:val="clear" w:color="auto" w:fill="0070C0"/>
            <w:noWrap/>
            <w:vAlign w:val="center"/>
            <w:hideMark/>
          </w:tcPr>
          <w:p w14:paraId="10903888" w14:textId="4BFDCC7E" w:rsidR="006B63B1" w:rsidRPr="00CA4C14" w:rsidRDefault="006B63B1" w:rsidP="00CA2D5D">
            <w:pPr>
              <w:pStyle w:val="Tabletext"/>
              <w:jc w:val="right"/>
              <w:rPr>
                <w:b/>
                <w:bCs/>
                <w:color w:val="000000"/>
                <w:szCs w:val="18"/>
                <w:lang w:val="ru-RU" w:eastAsia="en-GB"/>
              </w:rPr>
            </w:pPr>
            <w:r w:rsidRPr="00CA4C14">
              <w:rPr>
                <w:b/>
                <w:bCs/>
                <w:color w:val="000000"/>
                <w:szCs w:val="18"/>
                <w:lang w:val="ru-RU" w:eastAsia="en-GB"/>
              </w:rPr>
              <w:t>(</w:t>
            </w:r>
            <w:r w:rsidRPr="00CA4C14">
              <w:rPr>
                <w:rFonts w:eastAsia="Times New Roman" w:cs="Calibri"/>
                <w:b/>
                <w:bCs/>
                <w:color w:val="000000"/>
                <w:szCs w:val="18"/>
                <w:lang w:val="ru-RU" w:eastAsia="en-GB"/>
              </w:rPr>
              <w:t>257</w:t>
            </w:r>
            <w:r w:rsidR="00191580" w:rsidRPr="00CA4C14">
              <w:rPr>
                <w:b/>
                <w:bCs/>
                <w:color w:val="000000"/>
                <w:szCs w:val="18"/>
                <w:lang w:val="ru-RU" w:eastAsia="en-GB"/>
              </w:rPr>
              <w:t>,</w:t>
            </w:r>
            <w:r w:rsidRPr="00CA4C14">
              <w:rPr>
                <w:b/>
                <w:bCs/>
                <w:color w:val="000000"/>
                <w:szCs w:val="18"/>
                <w:lang w:val="ru-RU" w:eastAsia="en-GB"/>
              </w:rPr>
              <w:t>4)</w:t>
            </w:r>
          </w:p>
        </w:tc>
        <w:tc>
          <w:tcPr>
            <w:tcW w:w="837" w:type="pct"/>
            <w:shd w:val="clear" w:color="auto" w:fill="0070C0"/>
            <w:noWrap/>
            <w:vAlign w:val="center"/>
            <w:hideMark/>
          </w:tcPr>
          <w:p w14:paraId="07D57713" w14:textId="6A0C2B2B" w:rsidR="006B63B1" w:rsidRPr="00CA4C14" w:rsidRDefault="006B63B1" w:rsidP="00CA2D5D">
            <w:pPr>
              <w:pStyle w:val="Tabletext"/>
              <w:jc w:val="right"/>
              <w:rPr>
                <w:b/>
                <w:bCs/>
                <w:color w:val="000000"/>
                <w:szCs w:val="18"/>
                <w:lang w:val="ru-RU" w:eastAsia="en-GB"/>
              </w:rPr>
            </w:pPr>
            <w:r w:rsidRPr="00CA4C14">
              <w:rPr>
                <w:b/>
                <w:bCs/>
                <w:color w:val="000000"/>
                <w:szCs w:val="18"/>
                <w:lang w:val="ru-RU" w:eastAsia="en-GB"/>
              </w:rPr>
              <w:t>(213</w:t>
            </w:r>
            <w:r w:rsidR="00191580" w:rsidRPr="00CA4C14">
              <w:rPr>
                <w:b/>
                <w:bCs/>
                <w:color w:val="000000"/>
                <w:szCs w:val="18"/>
                <w:lang w:val="ru-RU" w:eastAsia="en-GB"/>
              </w:rPr>
              <w:t>,</w:t>
            </w:r>
            <w:r w:rsidRPr="00CA4C14">
              <w:rPr>
                <w:b/>
                <w:bCs/>
                <w:color w:val="000000"/>
                <w:szCs w:val="18"/>
                <w:lang w:val="ru-RU" w:eastAsia="en-GB"/>
              </w:rPr>
              <w:t>0)</w:t>
            </w:r>
          </w:p>
        </w:tc>
        <w:tc>
          <w:tcPr>
            <w:tcW w:w="837" w:type="pct"/>
            <w:shd w:val="clear" w:color="auto" w:fill="0070C0"/>
            <w:noWrap/>
            <w:vAlign w:val="center"/>
            <w:hideMark/>
          </w:tcPr>
          <w:p w14:paraId="2345DA30" w14:textId="27B9C70D" w:rsidR="006B63B1" w:rsidRPr="00CA4C14" w:rsidRDefault="006B63B1" w:rsidP="00CA2D5D">
            <w:pPr>
              <w:pStyle w:val="Tabletext"/>
              <w:jc w:val="right"/>
              <w:rPr>
                <w:b/>
                <w:bCs/>
                <w:color w:val="000000"/>
                <w:szCs w:val="18"/>
                <w:lang w:val="ru-RU" w:eastAsia="en-GB"/>
              </w:rPr>
            </w:pPr>
            <w:r w:rsidRPr="00CA4C14">
              <w:rPr>
                <w:b/>
                <w:bCs/>
                <w:color w:val="000000"/>
                <w:szCs w:val="18"/>
                <w:lang w:val="ru-RU" w:eastAsia="en-GB"/>
              </w:rPr>
              <w:t>(44</w:t>
            </w:r>
            <w:r w:rsidR="00191580" w:rsidRPr="00CA4C14">
              <w:rPr>
                <w:b/>
                <w:bCs/>
                <w:color w:val="000000"/>
                <w:szCs w:val="18"/>
                <w:lang w:val="ru-RU" w:eastAsia="en-GB"/>
              </w:rPr>
              <w:t>,</w:t>
            </w:r>
            <w:r w:rsidRPr="00CA4C14">
              <w:rPr>
                <w:b/>
                <w:bCs/>
                <w:color w:val="000000"/>
                <w:szCs w:val="18"/>
                <w:lang w:val="ru-RU" w:eastAsia="en-GB"/>
              </w:rPr>
              <w:t>4)</w:t>
            </w:r>
          </w:p>
        </w:tc>
      </w:tr>
    </w:tbl>
    <w:p w14:paraId="2BEE07B0" w14:textId="3514609F" w:rsidR="008A35F7" w:rsidRPr="00CA4C14" w:rsidRDefault="008A35F7" w:rsidP="008A35F7">
      <w:pPr>
        <w:pStyle w:val="Heading1"/>
        <w:rPr>
          <w:rFonts w:asciiTheme="minorHAnsi" w:hAnsiTheme="minorHAnsi" w:cstheme="minorHAnsi"/>
          <w:b w:val="0"/>
          <w:sz w:val="28"/>
          <w:szCs w:val="28"/>
          <w:lang w:val="ru-RU"/>
        </w:rPr>
      </w:pPr>
      <w:bookmarkStart w:id="38" w:name="_Toc167956615"/>
      <w:bookmarkStart w:id="39" w:name="_Toc167956854"/>
      <w:bookmarkStart w:id="40" w:name="_Toc167957158"/>
      <w:bookmarkStart w:id="41" w:name="_Toc168578439"/>
      <w:r w:rsidRPr="00CA4C14">
        <w:rPr>
          <w:lang w:val="ru-RU"/>
        </w:rPr>
        <w:t>Активы</w:t>
      </w:r>
      <w:bookmarkEnd w:id="38"/>
      <w:bookmarkEnd w:id="39"/>
      <w:bookmarkEnd w:id="40"/>
      <w:bookmarkEnd w:id="41"/>
    </w:p>
    <w:p w14:paraId="65A9A574" w14:textId="06821584" w:rsidR="008A35F7" w:rsidRPr="00CA4C14" w:rsidRDefault="008A35F7" w:rsidP="008A35F7">
      <w:pPr>
        <w:rPr>
          <w:rFonts w:asciiTheme="minorHAnsi" w:hAnsiTheme="minorHAnsi" w:cstheme="minorBidi"/>
          <w:lang w:val="ru-RU"/>
        </w:rPr>
      </w:pPr>
      <w:r w:rsidRPr="00CA4C14">
        <w:rPr>
          <w:rFonts w:asciiTheme="minorHAnsi" w:hAnsiTheme="minorHAnsi" w:cstheme="minorBidi"/>
          <w:lang w:val="ru-RU"/>
        </w:rPr>
        <w:t>16</w:t>
      </w:r>
      <w:r w:rsidRPr="00CA4C14">
        <w:rPr>
          <w:rFonts w:asciiTheme="minorHAnsi" w:hAnsiTheme="minorHAnsi" w:cstheme="minorBidi"/>
          <w:lang w:val="ru-RU"/>
        </w:rPr>
        <w:tab/>
      </w:r>
      <w:r w:rsidR="00D25D25" w:rsidRPr="00CA4C14">
        <w:rPr>
          <w:rFonts w:asciiTheme="minorHAnsi" w:hAnsiTheme="minorHAnsi" w:cstheme="minorBidi"/>
          <w:lang w:val="ru-RU"/>
        </w:rPr>
        <w:t xml:space="preserve">Текущие активы </w:t>
      </w:r>
      <w:r w:rsidR="003C1709" w:rsidRPr="00CA4C14">
        <w:rPr>
          <w:rFonts w:asciiTheme="minorHAnsi" w:hAnsiTheme="minorHAnsi" w:cstheme="minorBidi"/>
          <w:lang w:val="ru-RU"/>
        </w:rPr>
        <w:t>превышают текущие пассивы на</w:t>
      </w:r>
      <w:r w:rsidR="00D25D25" w:rsidRPr="00CA4C14">
        <w:rPr>
          <w:rFonts w:asciiTheme="minorHAnsi" w:hAnsiTheme="minorHAnsi" w:cstheme="minorBidi"/>
          <w:lang w:val="ru-RU"/>
        </w:rPr>
        <w:t xml:space="preserve"> </w:t>
      </w:r>
      <w:r w:rsidRPr="00CA4C14">
        <w:rPr>
          <w:rFonts w:asciiTheme="minorHAnsi" w:hAnsiTheme="minorHAnsi" w:cstheme="minorBidi"/>
          <w:lang w:val="ru-RU"/>
        </w:rPr>
        <w:t>11</w:t>
      </w:r>
      <w:r w:rsidR="00514991" w:rsidRPr="00CA4C14">
        <w:rPr>
          <w:rFonts w:asciiTheme="minorHAnsi" w:hAnsiTheme="minorHAnsi" w:cstheme="minorBidi"/>
          <w:lang w:val="ru-RU"/>
        </w:rPr>
        <w:t>8</w:t>
      </w:r>
      <w:r w:rsidRPr="00CA4C14">
        <w:rPr>
          <w:rFonts w:asciiTheme="minorHAnsi" w:hAnsiTheme="minorHAnsi" w:cstheme="minorBidi"/>
          <w:lang w:val="ru-RU"/>
        </w:rPr>
        <w:t>,5</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rFonts w:asciiTheme="minorHAnsi" w:hAnsiTheme="minorHAnsi" w:cstheme="minorBidi"/>
          <w:lang w:val="ru-RU"/>
        </w:rPr>
        <w:t>их франков (</w:t>
      </w:r>
      <w:r w:rsidR="003C1709" w:rsidRPr="00CA4C14">
        <w:rPr>
          <w:rFonts w:asciiTheme="minorHAnsi" w:hAnsiTheme="minorHAnsi" w:cstheme="minorBidi"/>
          <w:lang w:val="ru-RU"/>
        </w:rPr>
        <w:t>по</w:t>
      </w:r>
      <w:r w:rsidR="00CE2183" w:rsidRPr="00CA4C14">
        <w:rPr>
          <w:rFonts w:asciiTheme="minorHAnsi" w:hAnsiTheme="minorHAnsi" w:cstheme="minorBidi"/>
          <w:lang w:val="ru-RU"/>
        </w:rPr>
        <w:t> </w:t>
      </w:r>
      <w:r w:rsidR="003C1709" w:rsidRPr="00CA4C14">
        <w:rPr>
          <w:rFonts w:asciiTheme="minorHAnsi" w:hAnsiTheme="minorHAnsi" w:cstheme="minorBidi"/>
          <w:lang w:val="ru-RU"/>
        </w:rPr>
        <w:t>сравнению с</w:t>
      </w:r>
      <w:r w:rsidRPr="00CA4C14">
        <w:rPr>
          <w:rFonts w:asciiTheme="minorHAnsi" w:hAnsiTheme="minorHAnsi" w:cstheme="minorBidi"/>
          <w:lang w:val="ru-RU"/>
        </w:rPr>
        <w:t xml:space="preserve"> 128,4</w:t>
      </w:r>
      <w:r w:rsidR="009053A9" w:rsidRPr="00CA4C14">
        <w:rPr>
          <w:rFonts w:asciiTheme="minorHAnsi" w:hAnsiTheme="minorHAnsi" w:cstheme="minorBidi"/>
          <w:lang w:val="ru-RU"/>
        </w:rPr>
        <w:t> млн. шв</w:t>
      </w:r>
      <w:r w:rsidR="00A91F97" w:rsidRPr="00CA4C14">
        <w:rPr>
          <w:rFonts w:asciiTheme="minorHAnsi" w:hAnsiTheme="minorHAnsi" w:cstheme="minorBidi"/>
          <w:lang w:val="ru-RU"/>
        </w:rPr>
        <w:t xml:space="preserve">. </w:t>
      </w:r>
      <w:r w:rsidRPr="00CA4C14">
        <w:rPr>
          <w:rFonts w:asciiTheme="minorHAnsi" w:hAnsiTheme="minorHAnsi" w:cstheme="minorBidi"/>
          <w:lang w:val="ru-RU"/>
        </w:rPr>
        <w:t>фр</w:t>
      </w:r>
      <w:r w:rsidR="00A91F97" w:rsidRPr="00CA4C14">
        <w:rPr>
          <w:rFonts w:asciiTheme="minorHAnsi" w:hAnsiTheme="minorHAnsi" w:cstheme="minorBidi"/>
          <w:lang w:val="ru-RU"/>
        </w:rPr>
        <w:t>.</w:t>
      </w:r>
      <w:r w:rsidRPr="00CA4C14">
        <w:rPr>
          <w:rFonts w:asciiTheme="minorHAnsi" w:hAnsiTheme="minorHAnsi" w:cstheme="minorBidi"/>
          <w:lang w:val="ru-RU"/>
        </w:rPr>
        <w:t xml:space="preserve"> </w:t>
      </w:r>
      <w:r w:rsidR="003C1709" w:rsidRPr="00CA4C14">
        <w:rPr>
          <w:rFonts w:asciiTheme="minorHAnsi" w:hAnsiTheme="minorHAnsi" w:cstheme="minorBidi"/>
          <w:lang w:val="ru-RU"/>
        </w:rPr>
        <w:t>в</w:t>
      </w:r>
      <w:r w:rsidRPr="00CA4C14">
        <w:rPr>
          <w:rFonts w:asciiTheme="minorHAnsi" w:hAnsiTheme="minorHAnsi" w:cstheme="minorBidi"/>
          <w:lang w:val="ru-RU"/>
        </w:rPr>
        <w:t xml:space="preserve"> 2022</w:t>
      </w:r>
      <w:r w:rsidR="009053A9" w:rsidRPr="00CA4C14">
        <w:rPr>
          <w:rFonts w:asciiTheme="minorHAnsi" w:hAnsiTheme="minorHAnsi" w:cstheme="minorBidi"/>
          <w:lang w:val="ru-RU"/>
        </w:rPr>
        <w:t> г.</w:t>
      </w:r>
      <w:r w:rsidR="003C1709" w:rsidRPr="00CA4C14">
        <w:rPr>
          <w:rFonts w:asciiTheme="minorHAnsi" w:hAnsiTheme="minorHAnsi" w:cstheme="minorBidi"/>
          <w:lang w:val="ru-RU"/>
        </w:rPr>
        <w:t>), в основном вследствие значительного уровня</w:t>
      </w:r>
      <w:r w:rsidR="00514991" w:rsidRPr="00CA4C14">
        <w:rPr>
          <w:rFonts w:asciiTheme="minorHAnsi" w:hAnsiTheme="minorHAnsi" w:cstheme="minorBidi"/>
          <w:lang w:val="ru-RU"/>
        </w:rPr>
        <w:t xml:space="preserve"> денежны</w:t>
      </w:r>
      <w:r w:rsidR="003C1709" w:rsidRPr="00CA4C14">
        <w:rPr>
          <w:rFonts w:asciiTheme="minorHAnsi" w:hAnsiTheme="minorHAnsi" w:cstheme="minorBidi"/>
          <w:lang w:val="ru-RU"/>
        </w:rPr>
        <w:t>х</w:t>
      </w:r>
      <w:r w:rsidR="00514991" w:rsidRPr="00CA4C14">
        <w:rPr>
          <w:rFonts w:asciiTheme="minorHAnsi" w:hAnsiTheme="minorHAnsi" w:cstheme="minorBidi"/>
          <w:lang w:val="ru-RU"/>
        </w:rPr>
        <w:t xml:space="preserve"> средств и их эквивалент</w:t>
      </w:r>
      <w:r w:rsidR="003C1709" w:rsidRPr="00CA4C14">
        <w:rPr>
          <w:rFonts w:asciiTheme="minorHAnsi" w:hAnsiTheme="minorHAnsi" w:cstheme="minorBidi"/>
          <w:lang w:val="ru-RU"/>
        </w:rPr>
        <w:t>ов</w:t>
      </w:r>
      <w:r w:rsidRPr="00CA4C14">
        <w:rPr>
          <w:rFonts w:asciiTheme="minorHAnsi" w:hAnsiTheme="minorHAnsi" w:cstheme="minorBidi"/>
          <w:lang w:val="ru-RU"/>
        </w:rPr>
        <w:t xml:space="preserve">. </w:t>
      </w:r>
      <w:r w:rsidR="00514991" w:rsidRPr="00CA4C14">
        <w:rPr>
          <w:rFonts w:asciiTheme="minorHAnsi" w:hAnsiTheme="minorHAnsi" w:cstheme="minorBidi"/>
          <w:lang w:val="ru-RU"/>
        </w:rPr>
        <w:t>По состоянию на 31</w:t>
      </w:r>
      <w:r w:rsidR="002E2BBB" w:rsidRPr="00CA4C14">
        <w:rPr>
          <w:rFonts w:asciiTheme="minorHAnsi" w:hAnsiTheme="minorHAnsi" w:cstheme="minorBidi"/>
          <w:lang w:val="ru-RU"/>
        </w:rPr>
        <w:t> декабря</w:t>
      </w:r>
      <w:r w:rsidR="00514991" w:rsidRPr="00CA4C14">
        <w:rPr>
          <w:rFonts w:asciiTheme="minorHAnsi" w:hAnsiTheme="minorHAnsi" w:cstheme="minorBidi"/>
          <w:lang w:val="ru-RU"/>
        </w:rPr>
        <w:t xml:space="preserve"> </w:t>
      </w:r>
      <w:r w:rsidRPr="00CA4C14">
        <w:rPr>
          <w:rFonts w:asciiTheme="minorHAnsi" w:hAnsiTheme="minorHAnsi" w:cstheme="minorBidi"/>
          <w:lang w:val="ru-RU"/>
        </w:rPr>
        <w:t>2023</w:t>
      </w:r>
      <w:r w:rsidR="00514991" w:rsidRPr="00CA4C14">
        <w:rPr>
          <w:rFonts w:asciiTheme="minorHAnsi" w:hAnsiTheme="minorHAnsi" w:cstheme="minorBidi"/>
          <w:lang w:val="ru-RU"/>
        </w:rPr>
        <w:t> год</w:t>
      </w:r>
      <w:r w:rsidRPr="00CA4C14">
        <w:rPr>
          <w:rFonts w:asciiTheme="minorHAnsi" w:hAnsiTheme="minorHAnsi" w:cstheme="minorBidi"/>
          <w:lang w:val="ru-RU"/>
        </w:rPr>
        <w:t xml:space="preserve"> </w:t>
      </w:r>
      <w:r w:rsidR="00514991" w:rsidRPr="00CA4C14">
        <w:rPr>
          <w:rFonts w:asciiTheme="minorHAnsi" w:hAnsiTheme="minorHAnsi" w:cstheme="minorBidi"/>
          <w:lang w:val="ru-RU"/>
        </w:rPr>
        <w:t xml:space="preserve">денежные средства и их эквиваленты составили </w:t>
      </w:r>
      <w:r w:rsidRPr="00CA4C14">
        <w:rPr>
          <w:rFonts w:asciiTheme="minorHAnsi" w:hAnsiTheme="minorHAnsi" w:cstheme="minorBidi"/>
          <w:lang w:val="ru-RU"/>
        </w:rPr>
        <w:t>155,9</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rFonts w:asciiTheme="minorHAnsi" w:hAnsiTheme="minorHAnsi" w:cstheme="minorBidi"/>
          <w:lang w:val="ru-RU"/>
        </w:rPr>
        <w:t>их франков</w:t>
      </w:r>
      <w:r w:rsidR="00514991" w:rsidRPr="00CA4C14">
        <w:rPr>
          <w:rFonts w:asciiTheme="minorHAnsi" w:hAnsiTheme="minorHAnsi" w:cstheme="minorBidi"/>
          <w:lang w:val="ru-RU"/>
        </w:rPr>
        <w:t xml:space="preserve"> по сравнению с </w:t>
      </w:r>
      <w:r w:rsidRPr="00CA4C14">
        <w:rPr>
          <w:rFonts w:asciiTheme="minorHAnsi" w:hAnsiTheme="minorHAnsi" w:cstheme="minorBidi"/>
          <w:lang w:val="ru-RU"/>
        </w:rPr>
        <w:t>193,9</w:t>
      </w:r>
      <w:r w:rsidR="009053A9" w:rsidRPr="00CA4C14">
        <w:rPr>
          <w:rFonts w:asciiTheme="minorHAnsi" w:hAnsiTheme="minorHAnsi" w:cstheme="minorBidi"/>
          <w:lang w:val="ru-RU"/>
        </w:rPr>
        <w:t> млн.</w:t>
      </w:r>
      <w:r w:rsidR="00DC0E8F" w:rsidRPr="00CA4C14">
        <w:rPr>
          <w:rFonts w:asciiTheme="minorHAnsi" w:hAnsiTheme="minorHAnsi" w:cstheme="minorBidi"/>
          <w:lang w:val="ru-RU"/>
        </w:rPr>
        <w:t> </w:t>
      </w:r>
      <w:r w:rsidR="009053A9" w:rsidRPr="00CA4C14">
        <w:rPr>
          <w:rFonts w:asciiTheme="minorHAnsi" w:hAnsiTheme="minorHAnsi" w:cstheme="minorBidi"/>
          <w:lang w:val="ru-RU"/>
        </w:rPr>
        <w:t>швейцарск</w:t>
      </w:r>
      <w:r w:rsidRPr="00CA4C14">
        <w:rPr>
          <w:rFonts w:asciiTheme="minorHAnsi" w:hAnsiTheme="minorHAnsi" w:cstheme="minorBidi"/>
          <w:lang w:val="ru-RU"/>
        </w:rPr>
        <w:t xml:space="preserve">их франков </w:t>
      </w:r>
      <w:r w:rsidR="00514991" w:rsidRPr="00CA4C14">
        <w:rPr>
          <w:rFonts w:asciiTheme="minorHAnsi" w:hAnsiTheme="minorHAnsi" w:cstheme="minorBidi"/>
          <w:lang w:val="ru-RU"/>
        </w:rPr>
        <w:t>в</w:t>
      </w:r>
      <w:r w:rsidRPr="00CA4C14">
        <w:rPr>
          <w:rFonts w:asciiTheme="minorHAnsi" w:hAnsiTheme="minorHAnsi" w:cstheme="minorBidi"/>
          <w:lang w:val="ru-RU"/>
        </w:rPr>
        <w:t xml:space="preserve"> 2021 году.</w:t>
      </w:r>
    </w:p>
    <w:p w14:paraId="22E711D3" w14:textId="54057FFA" w:rsidR="008A35F7" w:rsidRPr="00CA4C14" w:rsidRDefault="008A35F7" w:rsidP="008A35F7">
      <w:pPr>
        <w:pStyle w:val="Headingb"/>
        <w:rPr>
          <w:rFonts w:asciiTheme="minorHAnsi" w:hAnsiTheme="minorHAnsi" w:cstheme="minorHAnsi"/>
          <w:lang w:val="ru-RU"/>
        </w:rPr>
      </w:pPr>
      <w:bookmarkStart w:id="42" w:name="lt_pId068"/>
      <w:r w:rsidRPr="00CA4C14">
        <w:rPr>
          <w:lang w:val="ru-RU"/>
        </w:rPr>
        <w:t>Задолженность по начисленным взносам</w:t>
      </w:r>
      <w:bookmarkEnd w:id="42"/>
    </w:p>
    <w:p w14:paraId="15A396BC" w14:textId="316AFC4C" w:rsidR="008A35F7" w:rsidRPr="00CA4C14" w:rsidRDefault="00D25D25" w:rsidP="008A35F7">
      <w:pPr>
        <w:rPr>
          <w:rFonts w:asciiTheme="minorHAnsi" w:hAnsiTheme="minorHAnsi" w:cstheme="minorBidi"/>
          <w:lang w:val="ru-RU"/>
        </w:rPr>
      </w:pPr>
      <w:r w:rsidRPr="00CA4C14">
        <w:rPr>
          <w:rFonts w:asciiTheme="minorHAnsi" w:hAnsiTheme="minorHAnsi" w:cstheme="minorBidi"/>
          <w:lang w:val="ru-RU"/>
        </w:rPr>
        <w:t>17</w:t>
      </w:r>
      <w:r w:rsidRPr="00CA4C14">
        <w:rPr>
          <w:rFonts w:asciiTheme="minorHAnsi" w:hAnsiTheme="minorHAnsi" w:cstheme="minorBidi"/>
          <w:lang w:val="ru-RU"/>
        </w:rPr>
        <w:tab/>
        <w:t xml:space="preserve">Сбор начисленных взносов оказывает прямое влияние на </w:t>
      </w:r>
      <w:r w:rsidR="00813097" w:rsidRPr="00CA4C14">
        <w:rPr>
          <w:rFonts w:asciiTheme="minorHAnsi" w:hAnsiTheme="minorHAnsi" w:cstheme="minorBidi"/>
          <w:lang w:val="ru-RU"/>
        </w:rPr>
        <w:t>наличие</w:t>
      </w:r>
      <w:r w:rsidRPr="00CA4C14">
        <w:rPr>
          <w:rFonts w:asciiTheme="minorHAnsi" w:hAnsiTheme="minorHAnsi" w:cstheme="minorBidi"/>
          <w:lang w:val="ru-RU"/>
        </w:rPr>
        <w:t xml:space="preserve"> ликвидн</w:t>
      </w:r>
      <w:r w:rsidR="00813097" w:rsidRPr="00CA4C14">
        <w:rPr>
          <w:rFonts w:asciiTheme="minorHAnsi" w:hAnsiTheme="minorHAnsi" w:cstheme="minorBidi"/>
          <w:lang w:val="ru-RU"/>
        </w:rPr>
        <w:t>ых средств МСЭ</w:t>
      </w:r>
      <w:r w:rsidRPr="00CA4C14">
        <w:rPr>
          <w:rFonts w:asciiTheme="minorHAnsi" w:hAnsiTheme="minorHAnsi" w:cstheme="minorBidi"/>
          <w:lang w:val="ru-RU"/>
        </w:rPr>
        <w:t xml:space="preserve"> и, как таковой, чрезвычайно важен для планомерного выполнения выделенного бюджета регулярных программ</w:t>
      </w:r>
      <w:r w:rsidR="00813097" w:rsidRPr="00CA4C14">
        <w:rPr>
          <w:rFonts w:asciiTheme="minorHAnsi" w:hAnsiTheme="minorHAnsi" w:cstheme="minorBidi"/>
          <w:lang w:val="ru-RU"/>
        </w:rPr>
        <w:t xml:space="preserve"> МСЭ</w:t>
      </w:r>
      <w:r w:rsidR="008A35F7" w:rsidRPr="00CA4C14">
        <w:rPr>
          <w:rFonts w:asciiTheme="minorHAnsi" w:hAnsiTheme="minorHAnsi" w:cstheme="minorBidi"/>
          <w:lang w:val="ru-RU"/>
        </w:rPr>
        <w:t xml:space="preserve">. </w:t>
      </w:r>
      <w:r w:rsidR="00813097" w:rsidRPr="00CA4C14">
        <w:rPr>
          <w:rFonts w:asciiTheme="minorHAnsi" w:hAnsiTheme="minorHAnsi" w:cstheme="minorBidi"/>
          <w:lang w:val="ru-RU"/>
        </w:rPr>
        <w:t>Полномочная конференция утверждает функционирование Резервного фонда на минимальном уровне 6% (10</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w:t>
      </w:r>
      <w:r w:rsidR="00A91F97" w:rsidRPr="00CA4C14">
        <w:rPr>
          <w:rFonts w:asciiTheme="minorHAnsi" w:hAnsiTheme="minorHAnsi" w:cstheme="minorBidi"/>
          <w:lang w:val="ru-RU"/>
        </w:rPr>
        <w:t>.</w:t>
      </w:r>
      <w:r w:rsidR="00813097" w:rsidRPr="00CA4C14">
        <w:rPr>
          <w:rFonts w:asciiTheme="minorHAnsi" w:hAnsiTheme="minorHAnsi" w:cstheme="minorBidi"/>
          <w:lang w:val="ru-RU"/>
        </w:rPr>
        <w:t xml:space="preserve"> фр</w:t>
      </w:r>
      <w:r w:rsidR="00A91F97" w:rsidRPr="00CA4C14">
        <w:rPr>
          <w:rFonts w:asciiTheme="minorHAnsi" w:hAnsiTheme="minorHAnsi" w:cstheme="minorBidi"/>
          <w:lang w:val="ru-RU"/>
        </w:rPr>
        <w:t>.</w:t>
      </w:r>
      <w:r w:rsidR="00813097" w:rsidRPr="00CA4C14">
        <w:rPr>
          <w:rFonts w:asciiTheme="minorHAnsi" w:hAnsiTheme="minorHAnsi" w:cstheme="minorBidi"/>
          <w:lang w:val="ru-RU"/>
        </w:rPr>
        <w:t xml:space="preserve">), </w:t>
      </w:r>
      <w:r w:rsidR="00813097" w:rsidRPr="00CA4C14">
        <w:rPr>
          <w:lang w:val="ru-RU"/>
        </w:rPr>
        <w:t xml:space="preserve">однако </w:t>
      </w:r>
      <w:r w:rsidR="00813097" w:rsidRPr="00CA4C14">
        <w:rPr>
          <w:rFonts w:asciiTheme="minorHAnsi" w:hAnsiTheme="minorHAnsi" w:cstheme="minorBidi"/>
          <w:lang w:val="ru-RU"/>
        </w:rPr>
        <w:t>это составляет лишь три недели расходов, необходимых для поддержания работоспособности организации. Объем Резервного фонда в настоящее время составляет 26,3</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00813097" w:rsidRPr="00CA4C14">
        <w:rPr>
          <w:rFonts w:asciiTheme="minorHAnsi" w:hAnsiTheme="minorHAnsi" w:cstheme="minorBidi"/>
          <w:lang w:val="ru-RU"/>
        </w:rPr>
        <w:t>их франков, что представляет собой расходы бюджета по программам на 2023</w:t>
      </w:r>
      <w:r w:rsidR="009053A9" w:rsidRPr="00CA4C14">
        <w:rPr>
          <w:rFonts w:asciiTheme="minorHAnsi" w:hAnsiTheme="minorHAnsi" w:cstheme="minorBidi"/>
          <w:lang w:val="ru-RU"/>
        </w:rPr>
        <w:t> год</w:t>
      </w:r>
      <w:r w:rsidR="00813097" w:rsidRPr="00CA4C14">
        <w:rPr>
          <w:rFonts w:asciiTheme="minorHAnsi" w:hAnsiTheme="minorHAnsi" w:cstheme="minorBidi"/>
          <w:lang w:val="ru-RU"/>
        </w:rPr>
        <w:t xml:space="preserve"> в течение девяти недель. Уровень собираемости взносов за год, завершившийся 31</w:t>
      </w:r>
      <w:r w:rsidR="002E2BBB" w:rsidRPr="00CA4C14">
        <w:rPr>
          <w:rFonts w:asciiTheme="minorHAnsi" w:hAnsiTheme="minorHAnsi" w:cstheme="minorBidi"/>
          <w:lang w:val="ru-RU"/>
        </w:rPr>
        <w:t> декабря</w:t>
      </w:r>
      <w:r w:rsidR="00813097" w:rsidRPr="00CA4C14">
        <w:rPr>
          <w:rFonts w:asciiTheme="minorHAnsi" w:hAnsiTheme="minorHAnsi" w:cstheme="minorBidi"/>
          <w:lang w:val="ru-RU"/>
        </w:rPr>
        <w:t xml:space="preserve"> 2023</w:t>
      </w:r>
      <w:r w:rsidR="009053A9" w:rsidRPr="00CA4C14">
        <w:rPr>
          <w:rFonts w:asciiTheme="minorHAnsi" w:hAnsiTheme="minorHAnsi" w:cstheme="minorBidi"/>
          <w:lang w:val="ru-RU"/>
        </w:rPr>
        <w:t> год</w:t>
      </w:r>
      <w:r w:rsidR="00813097" w:rsidRPr="00CA4C14">
        <w:rPr>
          <w:rFonts w:asciiTheme="minorHAnsi" w:hAnsiTheme="minorHAnsi" w:cstheme="minorBidi"/>
          <w:lang w:val="ru-RU"/>
        </w:rPr>
        <w:t>а, составил около 92% по сравнению с 93% в декабре 2022</w:t>
      </w:r>
      <w:r w:rsidR="009053A9" w:rsidRPr="00CA4C14">
        <w:rPr>
          <w:rFonts w:asciiTheme="minorHAnsi" w:hAnsiTheme="minorHAnsi" w:cstheme="minorBidi"/>
          <w:lang w:val="ru-RU"/>
        </w:rPr>
        <w:t> год</w:t>
      </w:r>
      <w:r w:rsidR="00813097" w:rsidRPr="00CA4C14">
        <w:rPr>
          <w:rFonts w:asciiTheme="minorHAnsi" w:hAnsiTheme="minorHAnsi" w:cstheme="minorBidi"/>
          <w:lang w:val="ru-RU"/>
        </w:rPr>
        <w:t>а.</w:t>
      </w:r>
    </w:p>
    <w:p w14:paraId="37520658" w14:textId="210267CE" w:rsidR="008A35F7" w:rsidRPr="00CA4C14" w:rsidRDefault="00D25D25" w:rsidP="008A35F7">
      <w:pPr>
        <w:rPr>
          <w:rFonts w:asciiTheme="minorHAnsi" w:hAnsiTheme="minorHAnsi" w:cstheme="minorBidi"/>
          <w:lang w:val="ru-RU"/>
        </w:rPr>
      </w:pPr>
      <w:r w:rsidRPr="00CA4C14">
        <w:rPr>
          <w:rFonts w:asciiTheme="minorHAnsi" w:hAnsiTheme="minorHAnsi" w:cstheme="minorBidi"/>
          <w:lang w:val="ru-RU"/>
        </w:rPr>
        <w:t>18</w:t>
      </w:r>
      <w:r w:rsidRPr="00CA4C14">
        <w:rPr>
          <w:rFonts w:asciiTheme="minorHAnsi" w:hAnsiTheme="minorHAnsi" w:cstheme="minorBidi"/>
          <w:lang w:val="ru-RU"/>
        </w:rPr>
        <w:tab/>
      </w:r>
      <w:r w:rsidR="00753FE8" w:rsidRPr="00CA4C14">
        <w:rPr>
          <w:rFonts w:asciiTheme="minorHAnsi" w:hAnsiTheme="minorHAnsi" w:cstheme="minorBidi"/>
          <w:lang w:val="ru-RU"/>
        </w:rPr>
        <w:t xml:space="preserve">Валовые начисленные взносы причитаются и подлежат уплате </w:t>
      </w:r>
      <w:r w:rsidR="00DA2C17" w:rsidRPr="00CA4C14">
        <w:rPr>
          <w:rFonts w:asciiTheme="minorHAnsi" w:hAnsiTheme="minorHAnsi" w:cstheme="minorBidi"/>
          <w:lang w:val="ru-RU"/>
        </w:rPr>
        <w:t>МСЭ</w:t>
      </w:r>
      <w:r w:rsidR="00753FE8" w:rsidRPr="00CA4C14">
        <w:rPr>
          <w:rFonts w:asciiTheme="minorHAnsi" w:hAnsiTheme="minorHAnsi" w:cstheme="minorBidi"/>
          <w:lang w:val="ru-RU"/>
        </w:rPr>
        <w:t xml:space="preserve"> в соответствии с Уставом и Финансовым регламентом. Однако, как того требуют IPSAS, если уплата взносов не ожидается, производ</w:t>
      </w:r>
      <w:r w:rsidR="00A57B7C" w:rsidRPr="00CA4C14">
        <w:rPr>
          <w:rFonts w:asciiTheme="minorHAnsi" w:hAnsiTheme="minorHAnsi" w:cstheme="minorBidi"/>
          <w:lang w:val="ru-RU"/>
        </w:rPr>
        <w:t>и</w:t>
      </w:r>
      <w:r w:rsidR="00753FE8" w:rsidRPr="00CA4C14">
        <w:rPr>
          <w:rFonts w:asciiTheme="minorHAnsi" w:hAnsiTheme="minorHAnsi" w:cstheme="minorBidi"/>
          <w:lang w:val="ru-RU"/>
        </w:rPr>
        <w:t>тся компенсаци</w:t>
      </w:r>
      <w:r w:rsidR="00A57B7C" w:rsidRPr="00CA4C14">
        <w:rPr>
          <w:rFonts w:asciiTheme="minorHAnsi" w:hAnsiTheme="minorHAnsi" w:cstheme="minorBidi"/>
          <w:lang w:val="ru-RU"/>
        </w:rPr>
        <w:t>я</w:t>
      </w:r>
      <w:r w:rsidR="00753FE8" w:rsidRPr="00CA4C14">
        <w:rPr>
          <w:rFonts w:asciiTheme="minorHAnsi" w:hAnsiTheme="minorHAnsi" w:cstheme="minorBidi"/>
          <w:lang w:val="ru-RU"/>
        </w:rPr>
        <w:t xml:space="preserve"> в соответствии с Финансовым регламентом и правилами</w:t>
      </w:r>
      <w:r w:rsidR="008A35F7" w:rsidRPr="00CA4C14">
        <w:rPr>
          <w:rFonts w:asciiTheme="minorHAnsi" w:hAnsiTheme="minorHAnsi" w:cstheme="minorBidi"/>
          <w:lang w:val="ru-RU"/>
        </w:rPr>
        <w:t>.</w:t>
      </w:r>
    </w:p>
    <w:p w14:paraId="56573615" w14:textId="292813F3" w:rsidR="008A35F7" w:rsidRPr="00CA4C14" w:rsidRDefault="00D25D25" w:rsidP="00D25D25">
      <w:pPr>
        <w:pStyle w:val="Heading1"/>
        <w:rPr>
          <w:rFonts w:asciiTheme="minorHAnsi" w:hAnsiTheme="minorHAnsi" w:cstheme="minorHAnsi"/>
          <w:b w:val="0"/>
          <w:sz w:val="28"/>
          <w:szCs w:val="28"/>
          <w:lang w:val="ru-RU"/>
        </w:rPr>
      </w:pPr>
      <w:bookmarkStart w:id="43" w:name="_Toc167956616"/>
      <w:bookmarkStart w:id="44" w:name="_Toc167956855"/>
      <w:bookmarkStart w:id="45" w:name="_Toc167957159"/>
      <w:bookmarkStart w:id="46" w:name="_Toc168578440"/>
      <w:r w:rsidRPr="00CA4C14">
        <w:rPr>
          <w:lang w:val="ru-RU"/>
        </w:rPr>
        <w:lastRenderedPageBreak/>
        <w:t>Пассивы</w:t>
      </w:r>
      <w:bookmarkEnd w:id="43"/>
      <w:bookmarkEnd w:id="44"/>
      <w:bookmarkEnd w:id="45"/>
      <w:bookmarkEnd w:id="46"/>
    </w:p>
    <w:p w14:paraId="2D01905B" w14:textId="4825F1BD" w:rsidR="001B1A7A" w:rsidRPr="00CA4C14" w:rsidRDefault="001B1A7A" w:rsidP="00DC0E8F">
      <w:pPr>
        <w:keepNext/>
        <w:keepLines/>
        <w:rPr>
          <w:rFonts w:asciiTheme="minorHAnsi" w:hAnsiTheme="minorHAnsi" w:cstheme="minorBidi"/>
          <w:lang w:val="ru-RU"/>
        </w:rPr>
      </w:pPr>
      <w:r w:rsidRPr="00CA4C14">
        <w:rPr>
          <w:rFonts w:asciiTheme="minorHAnsi" w:hAnsiTheme="minorHAnsi" w:cstheme="minorBidi"/>
          <w:lang w:val="ru-RU"/>
        </w:rPr>
        <w:t>19</w:t>
      </w:r>
      <w:r w:rsidRPr="00CA4C14">
        <w:rPr>
          <w:rFonts w:asciiTheme="minorHAnsi" w:hAnsiTheme="minorHAnsi" w:cstheme="minorBidi"/>
          <w:lang w:val="ru-RU"/>
        </w:rPr>
        <w:tab/>
        <w:t>Общий размер пассивов по состоянию на 31</w:t>
      </w:r>
      <w:r w:rsidR="002E2BBB" w:rsidRPr="00CA4C14">
        <w:rPr>
          <w:rFonts w:asciiTheme="minorHAnsi" w:hAnsiTheme="minorHAnsi" w:cstheme="minorBidi"/>
          <w:lang w:val="ru-RU"/>
        </w:rPr>
        <w:t> декабря</w:t>
      </w:r>
      <w:r w:rsidRPr="00CA4C14">
        <w:rPr>
          <w:rFonts w:asciiTheme="minorHAnsi" w:hAnsiTheme="minorHAnsi" w:cstheme="minorBidi"/>
          <w:lang w:val="ru-RU"/>
        </w:rPr>
        <w:t xml:space="preserve"> 2023</w:t>
      </w:r>
      <w:r w:rsidR="009053A9" w:rsidRPr="00CA4C14">
        <w:rPr>
          <w:rFonts w:asciiTheme="minorHAnsi" w:hAnsiTheme="minorHAnsi" w:cstheme="minorBidi"/>
          <w:lang w:val="ru-RU"/>
        </w:rPr>
        <w:t> год</w:t>
      </w:r>
      <w:r w:rsidRPr="00CA4C14">
        <w:rPr>
          <w:rFonts w:asciiTheme="minorHAnsi" w:hAnsiTheme="minorHAnsi" w:cstheme="minorBidi"/>
          <w:lang w:val="ru-RU"/>
        </w:rPr>
        <w:t xml:space="preserve"> составил 565,9</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DC0E8F" w:rsidRPr="00CA4C14">
        <w:rPr>
          <w:rFonts w:asciiTheme="minorHAnsi" w:hAnsiTheme="minorHAnsi" w:cstheme="minorBidi"/>
          <w:lang w:val="ru-RU"/>
        </w:rPr>
        <w:t> </w:t>
      </w:r>
      <w:r w:rsidR="009053A9" w:rsidRPr="00CA4C14">
        <w:rPr>
          <w:rFonts w:asciiTheme="minorHAnsi" w:hAnsiTheme="minorHAnsi" w:cstheme="minorBidi"/>
          <w:lang w:val="ru-RU"/>
        </w:rPr>
        <w:t>швейцарск</w:t>
      </w:r>
      <w:r w:rsidRPr="00CA4C14">
        <w:rPr>
          <w:rFonts w:asciiTheme="minorHAnsi" w:hAnsiTheme="minorHAnsi" w:cstheme="minorBidi"/>
          <w:lang w:val="ru-RU"/>
        </w:rPr>
        <w:t>их франков (</w:t>
      </w:r>
      <w:r w:rsidR="00813097" w:rsidRPr="00CA4C14">
        <w:rPr>
          <w:rFonts w:asciiTheme="minorHAnsi" w:hAnsiTheme="minorHAnsi" w:cstheme="minorBidi"/>
          <w:lang w:val="ru-RU"/>
        </w:rPr>
        <w:t>по сравнению с</w:t>
      </w:r>
      <w:r w:rsidRPr="00CA4C14">
        <w:rPr>
          <w:rFonts w:asciiTheme="minorHAnsi" w:hAnsiTheme="minorHAnsi" w:cstheme="minorBidi"/>
          <w:lang w:val="ru-RU"/>
        </w:rPr>
        <w:t xml:space="preserve"> 530</w:t>
      </w:r>
      <w:r w:rsidR="00DA2C17" w:rsidRPr="00CA4C14">
        <w:rPr>
          <w:rFonts w:asciiTheme="minorHAnsi" w:hAnsiTheme="minorHAnsi" w:cstheme="minorBidi"/>
          <w:lang w:val="ru-RU"/>
        </w:rPr>
        <w:t>,</w:t>
      </w:r>
      <w:r w:rsidRPr="00CA4C14">
        <w:rPr>
          <w:rFonts w:asciiTheme="minorHAnsi" w:hAnsiTheme="minorHAnsi" w:cstheme="minorBidi"/>
          <w:lang w:val="ru-RU"/>
        </w:rPr>
        <w:t>9</w:t>
      </w:r>
      <w:r w:rsidR="009053A9" w:rsidRPr="00CA4C14">
        <w:rPr>
          <w:rFonts w:asciiTheme="minorHAnsi" w:hAnsiTheme="minorHAnsi" w:cstheme="minorBidi"/>
          <w:lang w:val="ru-RU"/>
        </w:rPr>
        <w:t> млн. шв</w:t>
      </w:r>
      <w:r w:rsidR="00A91F97" w:rsidRPr="00CA4C14">
        <w:rPr>
          <w:rFonts w:asciiTheme="minorHAnsi" w:hAnsiTheme="minorHAnsi" w:cstheme="minorBidi"/>
          <w:lang w:val="ru-RU"/>
        </w:rPr>
        <w:t>.</w:t>
      </w:r>
      <w:r w:rsidRPr="00CA4C14">
        <w:rPr>
          <w:rFonts w:asciiTheme="minorHAnsi" w:hAnsiTheme="minorHAnsi" w:cstheme="minorBidi"/>
          <w:lang w:val="ru-RU"/>
        </w:rPr>
        <w:t xml:space="preserve"> фр</w:t>
      </w:r>
      <w:r w:rsidR="00A91F97" w:rsidRPr="00CA4C14">
        <w:rPr>
          <w:rFonts w:asciiTheme="minorHAnsi" w:hAnsiTheme="minorHAnsi" w:cstheme="minorBidi"/>
          <w:lang w:val="ru-RU"/>
        </w:rPr>
        <w:t>.</w:t>
      </w:r>
      <w:r w:rsidRPr="00CA4C14">
        <w:rPr>
          <w:rFonts w:asciiTheme="minorHAnsi" w:hAnsiTheme="minorHAnsi" w:cstheme="minorBidi"/>
          <w:lang w:val="ru-RU"/>
        </w:rPr>
        <w:t xml:space="preserve"> на 31</w:t>
      </w:r>
      <w:r w:rsidR="002E2BBB" w:rsidRPr="00CA4C14">
        <w:rPr>
          <w:rFonts w:asciiTheme="minorHAnsi" w:hAnsiTheme="minorHAnsi" w:cstheme="minorBidi"/>
          <w:lang w:val="ru-RU"/>
        </w:rPr>
        <w:t> декабря</w:t>
      </w:r>
      <w:r w:rsidRPr="00CA4C14">
        <w:rPr>
          <w:rFonts w:asciiTheme="minorHAnsi" w:hAnsiTheme="minorHAnsi" w:cstheme="minorBidi"/>
          <w:lang w:val="ru-RU"/>
        </w:rPr>
        <w:t xml:space="preserve"> 2022</w:t>
      </w:r>
      <w:r w:rsidR="009053A9" w:rsidRPr="00CA4C14">
        <w:rPr>
          <w:rFonts w:asciiTheme="minorHAnsi" w:hAnsiTheme="minorHAnsi" w:cstheme="minorBidi"/>
          <w:lang w:val="ru-RU"/>
        </w:rPr>
        <w:t> г.</w:t>
      </w:r>
      <w:r w:rsidRPr="00CA4C14">
        <w:rPr>
          <w:rFonts w:asciiTheme="minorHAnsi" w:hAnsiTheme="minorHAnsi" w:cstheme="minorBidi"/>
          <w:lang w:val="ru-RU"/>
        </w:rPr>
        <w:t>).</w:t>
      </w:r>
    </w:p>
    <w:p w14:paraId="28E9527F" w14:textId="5A296A67" w:rsidR="008A35F7" w:rsidRPr="00CA4C14" w:rsidRDefault="001B1A7A" w:rsidP="00D25D25">
      <w:pPr>
        <w:pStyle w:val="Headingb"/>
        <w:rPr>
          <w:rFonts w:asciiTheme="minorHAnsi" w:hAnsiTheme="minorHAnsi" w:cstheme="minorHAnsi"/>
          <w:b w:val="0"/>
          <w:lang w:val="ru-RU"/>
        </w:rPr>
      </w:pPr>
      <w:r w:rsidRPr="00CA4C14">
        <w:rPr>
          <w:lang w:val="ru-RU"/>
        </w:rPr>
        <w:t>Вознаграждение сотрудников</w:t>
      </w:r>
    </w:p>
    <w:p w14:paraId="64532F7C" w14:textId="0CC7D74E" w:rsidR="00DB1D37" w:rsidRPr="00CA4C14" w:rsidRDefault="001B1A7A" w:rsidP="008A35F7">
      <w:pPr>
        <w:rPr>
          <w:rFonts w:asciiTheme="minorHAnsi" w:hAnsiTheme="minorHAnsi" w:cstheme="minorBidi"/>
          <w:lang w:val="ru-RU"/>
        </w:rPr>
      </w:pPr>
      <w:r w:rsidRPr="00CA4C14">
        <w:rPr>
          <w:rFonts w:asciiTheme="minorHAnsi" w:hAnsiTheme="minorHAnsi" w:cstheme="minorBidi"/>
          <w:lang w:val="ru-RU"/>
        </w:rPr>
        <w:t>20</w:t>
      </w:r>
      <w:r w:rsidRPr="00CA4C14">
        <w:rPr>
          <w:rFonts w:asciiTheme="minorHAnsi" w:hAnsiTheme="minorHAnsi" w:cstheme="minorBidi"/>
          <w:lang w:val="ru-RU"/>
        </w:rPr>
        <w:tab/>
      </w:r>
      <w:r w:rsidR="00DB1D37" w:rsidRPr="00CA4C14">
        <w:rPr>
          <w:lang w:val="ru-RU"/>
        </w:rPr>
        <w:t>Наиболее значительные пассивы связаны с будущим вознаграждением сотрудников, накапливаемым как членами персонала, так и вышедшими в отставку сотрудниками</w:t>
      </w:r>
      <w:r w:rsidR="00DB1D37" w:rsidRPr="00CA4C14">
        <w:rPr>
          <w:rFonts w:asciiTheme="minorHAnsi" w:hAnsiTheme="minorHAnsi" w:cstheme="minorBidi"/>
          <w:lang w:val="ru-RU"/>
        </w:rPr>
        <w:t xml:space="preserve">. </w:t>
      </w:r>
      <w:bookmarkStart w:id="47" w:name="lt_pId079"/>
      <w:r w:rsidR="00DB1D37" w:rsidRPr="00CA4C14">
        <w:rPr>
          <w:rFonts w:asciiTheme="minorHAnsi" w:hAnsiTheme="minorHAnsi" w:cstheme="minorBidi"/>
          <w:lang w:val="ru-RU"/>
        </w:rPr>
        <w:t>Только обязательства по медицинскому страхованию после выхода в отставку (АСХИ) составляют 71</w:t>
      </w:r>
      <w:r w:rsidR="00A57B7C" w:rsidRPr="00CA4C14">
        <w:rPr>
          <w:rFonts w:asciiTheme="minorHAnsi" w:hAnsiTheme="minorHAnsi" w:cstheme="minorBidi"/>
          <w:lang w:val="ru-RU"/>
        </w:rPr>
        <w:t> процент</w:t>
      </w:r>
      <w:r w:rsidR="00DB1D37" w:rsidRPr="00CA4C14">
        <w:rPr>
          <w:rFonts w:asciiTheme="minorHAnsi" w:hAnsiTheme="minorHAnsi" w:cstheme="minorBidi"/>
          <w:lang w:val="ru-RU"/>
        </w:rPr>
        <w:t xml:space="preserve"> общих пассивов МСЭ по состоянию на 31</w:t>
      </w:r>
      <w:r w:rsidR="002E2BBB" w:rsidRPr="00CA4C14">
        <w:rPr>
          <w:rFonts w:asciiTheme="minorHAnsi" w:hAnsiTheme="minorHAnsi" w:cstheme="minorBidi"/>
          <w:lang w:val="ru-RU"/>
        </w:rPr>
        <w:t> декабря</w:t>
      </w:r>
      <w:r w:rsidR="00DB1D37" w:rsidRPr="00CA4C14">
        <w:rPr>
          <w:rFonts w:asciiTheme="minorHAnsi" w:hAnsiTheme="minorHAnsi" w:cstheme="minorBidi"/>
          <w:lang w:val="ru-RU"/>
        </w:rPr>
        <w:t xml:space="preserve"> 2023</w:t>
      </w:r>
      <w:r w:rsidR="009053A9" w:rsidRPr="00CA4C14">
        <w:rPr>
          <w:rFonts w:asciiTheme="minorHAnsi" w:hAnsiTheme="minorHAnsi" w:cstheme="minorBidi"/>
          <w:lang w:val="ru-RU"/>
        </w:rPr>
        <w:t> год</w:t>
      </w:r>
      <w:r w:rsidR="00DB1D37" w:rsidRPr="00CA4C14">
        <w:rPr>
          <w:rFonts w:asciiTheme="minorHAnsi" w:hAnsiTheme="minorHAnsi" w:cstheme="minorBidi"/>
          <w:lang w:val="ru-RU"/>
        </w:rPr>
        <w:t xml:space="preserve">а. </w:t>
      </w:r>
      <w:r w:rsidR="006060B6" w:rsidRPr="00CA4C14">
        <w:rPr>
          <w:rFonts w:asciiTheme="minorHAnsi" w:hAnsiTheme="minorHAnsi" w:cstheme="minorBidi"/>
          <w:lang w:val="ru-RU"/>
        </w:rPr>
        <w:t xml:space="preserve">Эти </w:t>
      </w:r>
      <w:r w:rsidR="00DB1D37" w:rsidRPr="00CA4C14">
        <w:rPr>
          <w:rFonts w:asciiTheme="minorHAnsi" w:hAnsiTheme="minorHAnsi" w:cstheme="minorBidi"/>
          <w:lang w:val="ru-RU"/>
        </w:rPr>
        <w:t xml:space="preserve">обязательства по АСХИ </w:t>
      </w:r>
      <w:r w:rsidR="006060B6" w:rsidRPr="00CA4C14">
        <w:rPr>
          <w:rFonts w:asciiTheme="minorHAnsi" w:hAnsiTheme="minorHAnsi" w:cstheme="minorBidi"/>
          <w:lang w:val="ru-RU"/>
        </w:rPr>
        <w:t>возросли</w:t>
      </w:r>
      <w:r w:rsidR="00DB1D37" w:rsidRPr="00CA4C14">
        <w:rPr>
          <w:rFonts w:asciiTheme="minorHAnsi" w:hAnsiTheme="minorHAnsi" w:cstheme="minorBidi"/>
          <w:lang w:val="ru-RU"/>
        </w:rPr>
        <w:t xml:space="preserve"> в 2023</w:t>
      </w:r>
      <w:r w:rsidR="009053A9" w:rsidRPr="00CA4C14">
        <w:rPr>
          <w:rFonts w:asciiTheme="minorHAnsi" w:hAnsiTheme="minorHAnsi" w:cstheme="minorBidi"/>
          <w:lang w:val="ru-RU"/>
        </w:rPr>
        <w:t> год</w:t>
      </w:r>
      <w:r w:rsidR="00DB1D37" w:rsidRPr="00CA4C14">
        <w:rPr>
          <w:rFonts w:asciiTheme="minorHAnsi" w:hAnsiTheme="minorHAnsi" w:cstheme="minorBidi"/>
          <w:lang w:val="ru-RU"/>
        </w:rPr>
        <w:t>у на 30,4</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00DB1D37" w:rsidRPr="00CA4C14">
        <w:rPr>
          <w:rFonts w:asciiTheme="minorHAnsi" w:hAnsiTheme="minorHAnsi" w:cstheme="minorBidi"/>
          <w:lang w:val="ru-RU"/>
        </w:rPr>
        <w:t>их франков по сравнению с 202</w:t>
      </w:r>
      <w:r w:rsidR="00DA2C17" w:rsidRPr="00CA4C14">
        <w:rPr>
          <w:rFonts w:asciiTheme="minorHAnsi" w:hAnsiTheme="minorHAnsi" w:cstheme="minorBidi"/>
          <w:lang w:val="ru-RU"/>
        </w:rPr>
        <w:t>2</w:t>
      </w:r>
      <w:r w:rsidR="00DB1D37" w:rsidRPr="00CA4C14">
        <w:rPr>
          <w:rFonts w:asciiTheme="minorHAnsi" w:hAnsiTheme="minorHAnsi" w:cstheme="minorBidi"/>
          <w:lang w:val="ru-RU"/>
        </w:rPr>
        <w:t xml:space="preserve"> годом. В основном это было обусловлено </w:t>
      </w:r>
      <w:r w:rsidR="006060B6" w:rsidRPr="00CA4C14">
        <w:rPr>
          <w:rFonts w:asciiTheme="minorHAnsi" w:hAnsiTheme="minorHAnsi" w:cstheme="minorBidi"/>
          <w:lang w:val="ru-RU"/>
        </w:rPr>
        <w:t>снижением</w:t>
      </w:r>
      <w:r w:rsidR="00DB1D37" w:rsidRPr="00CA4C14">
        <w:rPr>
          <w:rFonts w:asciiTheme="minorHAnsi" w:hAnsiTheme="minorHAnsi" w:cstheme="minorBidi"/>
          <w:lang w:val="ru-RU"/>
        </w:rPr>
        <w:t xml:space="preserve"> ставки</w:t>
      </w:r>
      <w:r w:rsidR="006060B6" w:rsidRPr="00CA4C14">
        <w:rPr>
          <w:rFonts w:asciiTheme="minorHAnsi" w:hAnsiTheme="minorHAnsi" w:cstheme="minorBidi"/>
          <w:lang w:val="ru-RU"/>
        </w:rPr>
        <w:t xml:space="preserve"> дисконтирования</w:t>
      </w:r>
      <w:r w:rsidR="00DB1D37" w:rsidRPr="00CA4C14">
        <w:rPr>
          <w:rFonts w:asciiTheme="minorHAnsi" w:hAnsiTheme="minorHAnsi" w:cstheme="minorBidi"/>
          <w:lang w:val="ru-RU"/>
        </w:rPr>
        <w:t>.</w:t>
      </w:r>
      <w:bookmarkEnd w:id="47"/>
    </w:p>
    <w:p w14:paraId="25FD310B" w14:textId="20EB4A1C" w:rsidR="00DB1D37" w:rsidRPr="00CA4C14" w:rsidRDefault="001B1A7A" w:rsidP="008A35F7">
      <w:pPr>
        <w:rPr>
          <w:rFonts w:asciiTheme="minorHAnsi" w:hAnsiTheme="minorHAnsi" w:cstheme="minorBidi"/>
          <w:lang w:val="ru-RU"/>
        </w:rPr>
      </w:pPr>
      <w:r w:rsidRPr="00CA4C14">
        <w:rPr>
          <w:rFonts w:asciiTheme="minorHAnsi" w:hAnsiTheme="minorHAnsi" w:cstheme="minorBidi"/>
          <w:lang w:val="ru-RU"/>
        </w:rPr>
        <w:t>21</w:t>
      </w:r>
      <w:r w:rsidRPr="00CA4C14">
        <w:rPr>
          <w:rFonts w:asciiTheme="minorHAnsi" w:hAnsiTheme="minorHAnsi" w:cstheme="minorBidi"/>
          <w:lang w:val="ru-RU"/>
        </w:rPr>
        <w:tab/>
      </w:r>
      <w:r w:rsidR="00DB1D37" w:rsidRPr="00CA4C14">
        <w:rPr>
          <w:rFonts w:asciiTheme="minorHAnsi" w:hAnsiTheme="minorHAnsi" w:cstheme="minorBidi"/>
          <w:lang w:val="ru-RU"/>
        </w:rPr>
        <w:t xml:space="preserve">МСЭ финансирует платежи, причитающиеся по его обязательствам по АСХИ, на распределительной основе. Резолюция 1405 о бюджете на </w:t>
      </w:r>
      <w:proofErr w:type="gramStart"/>
      <w:r w:rsidR="00DB1D37" w:rsidRPr="00CA4C14">
        <w:rPr>
          <w:rFonts w:asciiTheme="minorHAnsi" w:hAnsiTheme="minorHAnsi" w:cstheme="minorBidi"/>
          <w:lang w:val="ru-RU"/>
        </w:rPr>
        <w:t>2022</w:t>
      </w:r>
      <w:r w:rsidR="008E3E9F" w:rsidRPr="00CA4C14">
        <w:rPr>
          <w:rFonts w:asciiTheme="minorHAnsi" w:hAnsiTheme="minorHAnsi" w:cstheme="minorBidi"/>
          <w:lang w:val="ru-RU"/>
        </w:rPr>
        <w:t>−</w:t>
      </w:r>
      <w:r w:rsidR="00DB1D37" w:rsidRPr="00CA4C14">
        <w:rPr>
          <w:rFonts w:asciiTheme="minorHAnsi" w:hAnsiTheme="minorHAnsi" w:cstheme="minorBidi"/>
          <w:lang w:val="ru-RU"/>
        </w:rPr>
        <w:t>2023</w:t>
      </w:r>
      <w:proofErr w:type="gramEnd"/>
      <w:r w:rsidR="009053A9" w:rsidRPr="00CA4C14">
        <w:rPr>
          <w:rFonts w:asciiTheme="minorHAnsi" w:hAnsiTheme="minorHAnsi" w:cstheme="minorBidi"/>
          <w:lang w:val="ru-RU"/>
        </w:rPr>
        <w:t> год</w:t>
      </w:r>
      <w:r w:rsidR="00DB1D37" w:rsidRPr="00CA4C14">
        <w:rPr>
          <w:rFonts w:asciiTheme="minorHAnsi" w:hAnsiTheme="minorHAnsi" w:cstheme="minorBidi"/>
          <w:lang w:val="ru-RU"/>
        </w:rPr>
        <w:t xml:space="preserve">ы предусматривает снятие </w:t>
      </w:r>
      <w:r w:rsidR="00A57B7C" w:rsidRPr="00CA4C14">
        <w:rPr>
          <w:rFonts w:asciiTheme="minorHAnsi" w:hAnsiTheme="minorHAnsi" w:cstheme="minorBidi"/>
          <w:lang w:val="ru-RU"/>
        </w:rPr>
        <w:t xml:space="preserve">за каждый двухгодичный период </w:t>
      </w:r>
      <w:r w:rsidR="00DB1D37" w:rsidRPr="00CA4C14">
        <w:rPr>
          <w:rFonts w:asciiTheme="minorHAnsi" w:hAnsiTheme="minorHAnsi" w:cstheme="minorBidi"/>
          <w:lang w:val="ru-RU"/>
        </w:rPr>
        <w:t>1</w:t>
      </w:r>
      <w:r w:rsidR="009053A9" w:rsidRPr="00CA4C14">
        <w:rPr>
          <w:rFonts w:asciiTheme="minorHAnsi" w:hAnsiTheme="minorHAnsi" w:cstheme="minorBidi"/>
          <w:lang w:val="ru-RU"/>
        </w:rPr>
        <w:t> млн. швейцарск</w:t>
      </w:r>
      <w:r w:rsidR="00DB1D37" w:rsidRPr="00CA4C14">
        <w:rPr>
          <w:rFonts w:asciiTheme="minorHAnsi" w:hAnsiTheme="minorHAnsi" w:cstheme="minorBidi"/>
          <w:lang w:val="ru-RU"/>
        </w:rPr>
        <w:t>их франков с резервного счета для финансирования долгосрочных обязательств. В соответствии с IPSAS</w:t>
      </w:r>
      <w:r w:rsidR="00172BB0" w:rsidRPr="00CA4C14">
        <w:rPr>
          <w:rFonts w:asciiTheme="minorHAnsi" w:hAnsiTheme="minorHAnsi" w:cstheme="minorBidi"/>
          <w:lang w:val="ru-RU"/>
        </w:rPr>
        <w:t>-</w:t>
      </w:r>
      <w:r w:rsidR="00DB1D37" w:rsidRPr="00CA4C14">
        <w:rPr>
          <w:rFonts w:asciiTheme="minorHAnsi" w:hAnsiTheme="minorHAnsi" w:cstheme="minorBidi"/>
          <w:lang w:val="ru-RU"/>
        </w:rPr>
        <w:t>39 активы плана не были зачтены в счет обязательств, однако по состоянию на 31</w:t>
      </w:r>
      <w:r w:rsidR="002E2BBB" w:rsidRPr="00CA4C14">
        <w:rPr>
          <w:rFonts w:asciiTheme="minorHAnsi" w:hAnsiTheme="minorHAnsi" w:cstheme="minorBidi"/>
          <w:lang w:val="ru-RU"/>
        </w:rPr>
        <w:t> декабря</w:t>
      </w:r>
      <w:r w:rsidR="00DB1D37" w:rsidRPr="00CA4C14">
        <w:rPr>
          <w:rFonts w:asciiTheme="minorHAnsi" w:hAnsiTheme="minorHAnsi" w:cstheme="minorBidi"/>
          <w:lang w:val="ru-RU"/>
        </w:rPr>
        <w:t xml:space="preserve"> 202</w:t>
      </w:r>
      <w:r w:rsidR="00172BB0" w:rsidRPr="00CA4C14">
        <w:rPr>
          <w:rFonts w:asciiTheme="minorHAnsi" w:hAnsiTheme="minorHAnsi" w:cstheme="minorBidi"/>
          <w:lang w:val="ru-RU"/>
        </w:rPr>
        <w:t>3</w:t>
      </w:r>
      <w:r w:rsidR="00DB1D37" w:rsidRPr="00CA4C14">
        <w:rPr>
          <w:rFonts w:asciiTheme="minorHAnsi" w:hAnsiTheme="minorHAnsi" w:cstheme="minorBidi"/>
          <w:lang w:val="ru-RU"/>
        </w:rPr>
        <w:t> года на специальном счете АСХИ была накоплена сумма в размере 14</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00DB1D37" w:rsidRPr="00CA4C14">
        <w:rPr>
          <w:rFonts w:asciiTheme="minorHAnsi" w:hAnsiTheme="minorHAnsi" w:cstheme="minorBidi"/>
          <w:lang w:val="ru-RU"/>
        </w:rPr>
        <w:t>их франков для покрытия будущих обязательств.</w:t>
      </w:r>
    </w:p>
    <w:p w14:paraId="5B315706" w14:textId="46D72CDF" w:rsidR="008A35F7" w:rsidRPr="00CA4C14" w:rsidRDefault="001B1A7A" w:rsidP="00D25D25">
      <w:pPr>
        <w:pStyle w:val="Headingb"/>
        <w:rPr>
          <w:rFonts w:asciiTheme="minorHAnsi" w:hAnsiTheme="minorHAnsi" w:cstheme="minorHAnsi"/>
          <w:b w:val="0"/>
          <w:lang w:val="ru-RU"/>
        </w:rPr>
      </w:pPr>
      <w:r w:rsidRPr="00CA4C14">
        <w:rPr>
          <w:lang w:val="ru-RU"/>
        </w:rPr>
        <w:t>Долгосрочные займы</w:t>
      </w:r>
    </w:p>
    <w:p w14:paraId="3A8BDE78" w14:textId="2B0ED7ED" w:rsidR="001B1A7A" w:rsidRPr="00CA4C14" w:rsidRDefault="001B1A7A" w:rsidP="008A35F7">
      <w:pPr>
        <w:rPr>
          <w:lang w:val="ru-RU"/>
        </w:rPr>
      </w:pPr>
      <w:r w:rsidRPr="00CA4C14">
        <w:rPr>
          <w:lang w:val="ru-RU"/>
        </w:rPr>
        <w:t>22</w:t>
      </w:r>
      <w:r w:rsidRPr="00CA4C14">
        <w:rPr>
          <w:lang w:val="ru-RU"/>
        </w:rPr>
        <w:tab/>
        <w:t>В настоящее время у МСЭ есть четыре беспроцентных ссуды в Фонде недвижимого имущества для международных организаций (ФИПОИ). По состоянию на 31</w:t>
      </w:r>
      <w:r w:rsidR="002E2BBB" w:rsidRPr="00CA4C14">
        <w:rPr>
          <w:lang w:val="ru-RU"/>
        </w:rPr>
        <w:t> декабря</w:t>
      </w:r>
      <w:r w:rsidRPr="00CA4C14">
        <w:rPr>
          <w:lang w:val="ru-RU"/>
        </w:rPr>
        <w:t xml:space="preserve"> 2023</w:t>
      </w:r>
      <w:r w:rsidR="009053A9" w:rsidRPr="00CA4C14">
        <w:rPr>
          <w:lang w:val="ru-RU"/>
        </w:rPr>
        <w:t> год</w:t>
      </w:r>
      <w:r w:rsidRPr="00CA4C14">
        <w:rPr>
          <w:lang w:val="ru-RU"/>
        </w:rPr>
        <w:t xml:space="preserve">а три из этих ссуд отражены в финансовой отчетности по справедливой стоимости. </w:t>
      </w:r>
      <w:r w:rsidR="00DA2C17" w:rsidRPr="00CA4C14">
        <w:rPr>
          <w:lang w:val="ru-RU"/>
        </w:rPr>
        <w:t>Для четвертой ссуды график погашения</w:t>
      </w:r>
      <w:r w:rsidR="009A514D" w:rsidRPr="00CA4C14">
        <w:rPr>
          <w:lang w:val="ru-RU"/>
        </w:rPr>
        <w:t xml:space="preserve"> в настоящее время отсутствует</w:t>
      </w:r>
      <w:r w:rsidR="00DA2C17" w:rsidRPr="00CA4C14">
        <w:rPr>
          <w:lang w:val="ru-RU"/>
        </w:rPr>
        <w:t>, и поэтому до начала выплат по ней она оценивается по амортизированной стоимости</w:t>
      </w:r>
      <w:r w:rsidRPr="00CA4C14">
        <w:rPr>
          <w:lang w:val="ru-RU"/>
        </w:rPr>
        <w:t xml:space="preserve">. </w:t>
      </w:r>
      <w:r w:rsidR="009A514D" w:rsidRPr="00CA4C14">
        <w:rPr>
          <w:lang w:val="ru-RU"/>
        </w:rPr>
        <w:t>Дополнительная информация представлена в</w:t>
      </w:r>
      <w:r w:rsidRPr="00CA4C14">
        <w:rPr>
          <w:lang w:val="ru-RU"/>
        </w:rPr>
        <w:t xml:space="preserve"> </w:t>
      </w:r>
      <w:r w:rsidR="00DA2C17" w:rsidRPr="00CA4C14">
        <w:rPr>
          <w:lang w:val="ru-RU"/>
        </w:rPr>
        <w:t>Примечании</w:t>
      </w:r>
      <w:r w:rsidR="008F1FB7" w:rsidRPr="00CA4C14">
        <w:rPr>
          <w:lang w:val="ru-RU"/>
        </w:rPr>
        <w:t> </w:t>
      </w:r>
      <w:r w:rsidRPr="00CA4C14">
        <w:rPr>
          <w:lang w:val="ru-RU"/>
        </w:rPr>
        <w:t xml:space="preserve">16. </w:t>
      </w:r>
      <w:r w:rsidR="009A514D" w:rsidRPr="00CA4C14">
        <w:rPr>
          <w:lang w:val="ru-RU"/>
        </w:rPr>
        <w:t xml:space="preserve">Выгода, полученная МСЭ в результате предоставления беспроцентных ссуд, оценивается в </w:t>
      </w:r>
      <w:r w:rsidR="008F1FB7" w:rsidRPr="00CA4C14">
        <w:rPr>
          <w:lang w:val="ru-RU"/>
        </w:rPr>
        <w:t xml:space="preserve">размере </w:t>
      </w:r>
      <w:r w:rsidR="009A514D" w:rsidRPr="00CA4C14">
        <w:rPr>
          <w:lang w:val="ru-RU"/>
        </w:rPr>
        <w:t>0,93</w:t>
      </w:r>
      <w:r w:rsidR="009053A9" w:rsidRPr="00CA4C14">
        <w:rPr>
          <w:lang w:val="ru-RU"/>
        </w:rPr>
        <w:t> </w:t>
      </w:r>
      <w:proofErr w:type="gramStart"/>
      <w:r w:rsidR="009053A9" w:rsidRPr="00CA4C14">
        <w:rPr>
          <w:lang w:val="ru-RU"/>
        </w:rPr>
        <w:t>млн.</w:t>
      </w:r>
      <w:proofErr w:type="gramEnd"/>
      <w:r w:rsidR="009053A9" w:rsidRPr="00CA4C14">
        <w:rPr>
          <w:lang w:val="ru-RU"/>
        </w:rPr>
        <w:t xml:space="preserve"> швейцарск</w:t>
      </w:r>
      <w:r w:rsidR="009A514D" w:rsidRPr="00CA4C14">
        <w:rPr>
          <w:lang w:val="ru-RU"/>
        </w:rPr>
        <w:t>их франков в 2023</w:t>
      </w:r>
      <w:r w:rsidR="009053A9" w:rsidRPr="00CA4C14">
        <w:rPr>
          <w:lang w:val="ru-RU"/>
        </w:rPr>
        <w:t> год</w:t>
      </w:r>
      <w:r w:rsidR="009A514D" w:rsidRPr="00CA4C14">
        <w:rPr>
          <w:lang w:val="ru-RU"/>
        </w:rPr>
        <w:t>у.</w:t>
      </w:r>
    </w:p>
    <w:p w14:paraId="59050A89" w14:textId="2909C2FB" w:rsidR="008A35F7" w:rsidRPr="00CA4C14" w:rsidRDefault="00D25D25" w:rsidP="00D25D25">
      <w:pPr>
        <w:pStyle w:val="Headingb"/>
        <w:rPr>
          <w:rFonts w:asciiTheme="minorHAnsi" w:hAnsiTheme="minorHAnsi" w:cstheme="minorHAnsi"/>
          <w:b w:val="0"/>
          <w:lang w:val="ru-RU"/>
        </w:rPr>
      </w:pPr>
      <w:bookmarkStart w:id="48" w:name="lt_pId093"/>
      <w:r w:rsidRPr="00CA4C14">
        <w:rPr>
          <w:rFonts w:asciiTheme="minorHAnsi" w:hAnsiTheme="minorHAnsi" w:cstheme="minorHAnsi"/>
          <w:bCs/>
          <w:lang w:val="ru-RU"/>
        </w:rPr>
        <w:t>Предусмотренный в бюджете результат и результат согласно IPSAS</w:t>
      </w:r>
      <w:bookmarkEnd w:id="48"/>
    </w:p>
    <w:p w14:paraId="47E7E264" w14:textId="69E12162" w:rsidR="00D25D25" w:rsidRPr="00CA4C14" w:rsidRDefault="00D25D25" w:rsidP="008A35F7">
      <w:pPr>
        <w:rPr>
          <w:rFonts w:asciiTheme="minorHAnsi" w:hAnsiTheme="minorHAnsi" w:cstheme="minorBidi"/>
          <w:lang w:val="ru-RU"/>
        </w:rPr>
      </w:pPr>
      <w:r w:rsidRPr="00CA4C14">
        <w:rPr>
          <w:rFonts w:asciiTheme="minorHAnsi" w:hAnsiTheme="minorHAnsi" w:cstheme="minorBidi"/>
          <w:lang w:val="ru-RU"/>
        </w:rPr>
        <w:t>23</w:t>
      </w:r>
      <w:r w:rsidRPr="00CA4C14">
        <w:rPr>
          <w:rFonts w:asciiTheme="minorHAnsi" w:hAnsiTheme="minorHAnsi" w:cstheme="minorBidi"/>
          <w:lang w:val="ru-RU"/>
        </w:rPr>
        <w:tab/>
      </w:r>
      <w:r w:rsidR="008F1FB7" w:rsidRPr="00CA4C14">
        <w:rPr>
          <w:rFonts w:asciiTheme="minorHAnsi" w:hAnsiTheme="minorHAnsi" w:cstheme="minorBidi"/>
          <w:lang w:val="ru-RU"/>
        </w:rPr>
        <w:t>Отчет </w:t>
      </w:r>
      <w:r w:rsidRPr="00CA4C14">
        <w:rPr>
          <w:rFonts w:asciiTheme="minorHAnsi" w:hAnsiTheme="minorHAnsi" w:cstheme="minorBidi"/>
          <w:lang w:val="ru-RU"/>
        </w:rPr>
        <w:t xml:space="preserve">V о финансовой деятельности был подготовлен на основе регулярного бюджета согласно структуре бюджета МСЭ и дает представление об использовании выделенного регулярного бюджета на основе модифицированного кассового метода. Исходя из этого, </w:t>
      </w:r>
      <w:r w:rsidR="009A514D" w:rsidRPr="00CA4C14">
        <w:rPr>
          <w:rFonts w:asciiTheme="minorHAnsi" w:hAnsiTheme="minorHAnsi" w:cstheme="minorBidi"/>
          <w:lang w:val="ru-RU"/>
        </w:rPr>
        <w:t xml:space="preserve">организация достигла </w:t>
      </w:r>
      <w:r w:rsidR="006E043B" w:rsidRPr="00CA4C14">
        <w:rPr>
          <w:rFonts w:asciiTheme="minorHAnsi" w:hAnsiTheme="minorHAnsi" w:cstheme="minorBidi"/>
          <w:lang w:val="ru-RU"/>
        </w:rPr>
        <w:t>активного сальдо по сравнению с</w:t>
      </w:r>
      <w:r w:rsidR="009A514D" w:rsidRPr="00CA4C14">
        <w:rPr>
          <w:rFonts w:asciiTheme="minorHAnsi" w:hAnsiTheme="minorHAnsi" w:cstheme="minorBidi"/>
          <w:lang w:val="ru-RU"/>
        </w:rPr>
        <w:t xml:space="preserve"> </w:t>
      </w:r>
      <w:r w:rsidRPr="00CA4C14">
        <w:rPr>
          <w:rFonts w:asciiTheme="minorHAnsi" w:hAnsiTheme="minorHAnsi" w:cstheme="minorBidi"/>
          <w:lang w:val="ru-RU"/>
        </w:rPr>
        <w:t>выделенны</w:t>
      </w:r>
      <w:r w:rsidR="006E043B" w:rsidRPr="00CA4C14">
        <w:rPr>
          <w:rFonts w:asciiTheme="minorHAnsi" w:hAnsiTheme="minorHAnsi" w:cstheme="minorBidi"/>
          <w:lang w:val="ru-RU"/>
        </w:rPr>
        <w:t>ми</w:t>
      </w:r>
      <w:r w:rsidRPr="00CA4C14">
        <w:rPr>
          <w:rFonts w:asciiTheme="minorHAnsi" w:hAnsiTheme="minorHAnsi" w:cstheme="minorBidi"/>
          <w:lang w:val="ru-RU"/>
        </w:rPr>
        <w:t xml:space="preserve"> средств</w:t>
      </w:r>
      <w:r w:rsidR="006E043B" w:rsidRPr="00CA4C14">
        <w:rPr>
          <w:rFonts w:asciiTheme="minorHAnsi" w:hAnsiTheme="minorHAnsi" w:cstheme="minorBidi"/>
          <w:lang w:val="ru-RU"/>
        </w:rPr>
        <w:t>ами</w:t>
      </w:r>
      <w:r w:rsidRPr="00CA4C14">
        <w:rPr>
          <w:rFonts w:asciiTheme="minorHAnsi" w:hAnsiTheme="minorHAnsi" w:cstheme="minorBidi"/>
          <w:lang w:val="ru-RU"/>
        </w:rPr>
        <w:t xml:space="preserve"> регулярного бюджета </w:t>
      </w:r>
      <w:r w:rsidR="009A514D" w:rsidRPr="00CA4C14">
        <w:rPr>
          <w:rFonts w:asciiTheme="minorHAnsi" w:hAnsiTheme="minorHAnsi" w:cstheme="minorBidi"/>
          <w:lang w:val="ru-RU"/>
        </w:rPr>
        <w:t>в размере</w:t>
      </w:r>
      <w:r w:rsidRPr="00CA4C14">
        <w:rPr>
          <w:rFonts w:asciiTheme="minorHAnsi" w:hAnsiTheme="minorHAnsi" w:cstheme="minorBidi"/>
          <w:lang w:val="ru-RU"/>
        </w:rPr>
        <w:t xml:space="preserve"> </w:t>
      </w:r>
      <w:r w:rsidR="0009102D" w:rsidRPr="00CA4C14">
        <w:rPr>
          <w:rFonts w:asciiTheme="minorHAnsi" w:hAnsiTheme="minorHAnsi" w:cstheme="minorBidi"/>
          <w:lang w:val="ru-RU"/>
        </w:rPr>
        <w:t>1,4</w:t>
      </w:r>
      <w:r w:rsidR="009053A9" w:rsidRPr="00CA4C14">
        <w:rPr>
          <w:rFonts w:asciiTheme="minorHAnsi" w:hAnsiTheme="minorHAnsi" w:cstheme="minorBidi"/>
          <w:lang w:val="ru-RU"/>
        </w:rPr>
        <w:t> </w:t>
      </w:r>
      <w:proofErr w:type="gramStart"/>
      <w:r w:rsidR="009053A9" w:rsidRPr="00CA4C14">
        <w:rPr>
          <w:rFonts w:asciiTheme="minorHAnsi" w:hAnsiTheme="minorHAnsi" w:cstheme="minorBidi"/>
          <w:lang w:val="ru-RU"/>
        </w:rPr>
        <w:t>млн.</w:t>
      </w:r>
      <w:proofErr w:type="gramEnd"/>
      <w:r w:rsidR="009053A9" w:rsidRPr="00CA4C14">
        <w:rPr>
          <w:rFonts w:asciiTheme="minorHAnsi" w:hAnsiTheme="minorHAnsi" w:cstheme="minorBidi"/>
          <w:lang w:val="ru-RU"/>
        </w:rPr>
        <w:t xml:space="preserve"> швейцарск</w:t>
      </w:r>
      <w:r w:rsidRPr="00CA4C14">
        <w:rPr>
          <w:rFonts w:asciiTheme="minorHAnsi" w:hAnsiTheme="minorHAnsi" w:cstheme="minorBidi"/>
          <w:lang w:val="ru-RU"/>
        </w:rPr>
        <w:t>их франков</w:t>
      </w:r>
      <w:r w:rsidR="0009102D" w:rsidRPr="00CA4C14">
        <w:rPr>
          <w:rFonts w:asciiTheme="minorHAnsi" w:hAnsiTheme="minorHAnsi" w:cstheme="minorBidi"/>
          <w:lang w:val="ru-RU"/>
        </w:rPr>
        <w:t>.</w:t>
      </w:r>
    </w:p>
    <w:p w14:paraId="22945556" w14:textId="1D351552" w:rsidR="008A35F7" w:rsidRPr="00CA4C14" w:rsidRDefault="00D25D25" w:rsidP="008A35F7">
      <w:pPr>
        <w:rPr>
          <w:rFonts w:asciiTheme="minorHAnsi" w:hAnsiTheme="minorHAnsi" w:cstheme="minorBidi"/>
          <w:lang w:val="ru-RU"/>
        </w:rPr>
      </w:pPr>
      <w:r w:rsidRPr="00CA4C14">
        <w:rPr>
          <w:rFonts w:asciiTheme="minorHAnsi" w:hAnsiTheme="minorHAnsi" w:cstheme="minorBidi"/>
          <w:lang w:val="ru-RU"/>
        </w:rPr>
        <w:t>24</w:t>
      </w:r>
      <w:r w:rsidRPr="00CA4C14">
        <w:rPr>
          <w:rFonts w:asciiTheme="minorHAnsi" w:hAnsiTheme="minorHAnsi" w:cstheme="minorBidi"/>
          <w:lang w:val="ru-RU"/>
        </w:rPr>
        <w:tab/>
      </w:r>
      <w:r w:rsidR="001B1A7A" w:rsidRPr="00CA4C14">
        <w:rPr>
          <w:rFonts w:asciiTheme="minorHAnsi" w:hAnsiTheme="minorHAnsi" w:cstheme="minorBidi"/>
          <w:lang w:val="ru-RU"/>
        </w:rPr>
        <w:t>Сопоставление предусмотренн</w:t>
      </w:r>
      <w:r w:rsidR="006E043B" w:rsidRPr="00CA4C14">
        <w:rPr>
          <w:rFonts w:asciiTheme="minorHAnsi" w:hAnsiTheme="minorHAnsi" w:cstheme="minorBidi"/>
          <w:lang w:val="ru-RU"/>
        </w:rPr>
        <w:t>ых</w:t>
      </w:r>
      <w:r w:rsidR="001B1A7A" w:rsidRPr="00CA4C14">
        <w:rPr>
          <w:rFonts w:asciiTheme="minorHAnsi" w:hAnsiTheme="minorHAnsi" w:cstheme="minorBidi"/>
          <w:lang w:val="ru-RU"/>
        </w:rPr>
        <w:t xml:space="preserve"> в бюджете результат</w:t>
      </w:r>
      <w:r w:rsidR="006E043B" w:rsidRPr="00CA4C14">
        <w:rPr>
          <w:rFonts w:asciiTheme="minorHAnsi" w:hAnsiTheme="minorHAnsi" w:cstheme="minorBidi"/>
          <w:lang w:val="ru-RU"/>
        </w:rPr>
        <w:t>ов</w:t>
      </w:r>
      <w:r w:rsidR="001B1A7A" w:rsidRPr="00CA4C14">
        <w:rPr>
          <w:rFonts w:asciiTheme="minorHAnsi" w:hAnsiTheme="minorHAnsi" w:cstheme="minorBidi"/>
          <w:lang w:val="ru-RU"/>
        </w:rPr>
        <w:t xml:space="preserve"> и результат</w:t>
      </w:r>
      <w:r w:rsidR="006E043B" w:rsidRPr="00CA4C14">
        <w:rPr>
          <w:rFonts w:asciiTheme="minorHAnsi" w:hAnsiTheme="minorHAnsi" w:cstheme="minorBidi"/>
          <w:lang w:val="ru-RU"/>
        </w:rPr>
        <w:t>ов</w:t>
      </w:r>
      <w:r w:rsidR="001B1A7A" w:rsidRPr="00CA4C14">
        <w:rPr>
          <w:rFonts w:asciiTheme="minorHAnsi" w:hAnsiTheme="minorHAnsi" w:cstheme="minorBidi"/>
          <w:lang w:val="ru-RU"/>
        </w:rPr>
        <w:t xml:space="preserve"> согласно IPSAS включен</w:t>
      </w:r>
      <w:r w:rsidR="006E043B" w:rsidRPr="00CA4C14">
        <w:rPr>
          <w:rFonts w:asciiTheme="minorHAnsi" w:hAnsiTheme="minorHAnsi" w:cstheme="minorBidi"/>
          <w:lang w:val="ru-RU"/>
        </w:rPr>
        <w:t>ы</w:t>
      </w:r>
      <w:r w:rsidR="001B1A7A" w:rsidRPr="00CA4C14">
        <w:rPr>
          <w:rFonts w:asciiTheme="minorHAnsi" w:hAnsiTheme="minorHAnsi" w:cstheme="minorBidi"/>
          <w:lang w:val="ru-RU"/>
        </w:rPr>
        <w:t xml:space="preserve"> в финансовую отчетность (</w:t>
      </w:r>
      <w:r w:rsidR="008F1FB7" w:rsidRPr="00CA4C14">
        <w:rPr>
          <w:rFonts w:asciiTheme="minorHAnsi" w:hAnsiTheme="minorHAnsi" w:cstheme="minorBidi"/>
          <w:lang w:val="ru-RU"/>
        </w:rPr>
        <w:t>Отчет </w:t>
      </w:r>
      <w:r w:rsidR="001B1A7A" w:rsidRPr="00CA4C14">
        <w:rPr>
          <w:rFonts w:asciiTheme="minorHAnsi" w:hAnsiTheme="minorHAnsi" w:cstheme="minorBidi"/>
          <w:lang w:val="ru-RU"/>
        </w:rPr>
        <w:t xml:space="preserve">V). </w:t>
      </w:r>
      <w:r w:rsidR="006E043B" w:rsidRPr="00CA4C14">
        <w:rPr>
          <w:rFonts w:asciiTheme="minorHAnsi" w:hAnsiTheme="minorHAnsi" w:cstheme="minorBidi"/>
          <w:lang w:val="ru-RU"/>
        </w:rPr>
        <w:t>Следует</w:t>
      </w:r>
      <w:r w:rsidR="001B1A7A" w:rsidRPr="00CA4C14">
        <w:rPr>
          <w:rFonts w:asciiTheme="minorHAnsi" w:hAnsiTheme="minorHAnsi" w:cstheme="minorBidi"/>
          <w:lang w:val="ru-RU"/>
        </w:rPr>
        <w:t xml:space="preserve"> отметить, что отчет о результатах финансовой деятельности (</w:t>
      </w:r>
      <w:r w:rsidR="008F1FB7" w:rsidRPr="00CA4C14">
        <w:rPr>
          <w:rFonts w:asciiTheme="minorHAnsi" w:hAnsiTheme="minorHAnsi" w:cstheme="minorBidi"/>
          <w:lang w:val="ru-RU"/>
        </w:rPr>
        <w:t>Отчет </w:t>
      </w:r>
      <w:r w:rsidR="001B1A7A" w:rsidRPr="00CA4C14">
        <w:rPr>
          <w:rFonts w:asciiTheme="minorHAnsi" w:hAnsiTheme="minorHAnsi" w:cstheme="minorBidi"/>
          <w:lang w:val="ru-RU"/>
        </w:rPr>
        <w:t xml:space="preserve">II) включает другие области, такие как </w:t>
      </w:r>
      <w:r w:rsidR="006E043B" w:rsidRPr="00CA4C14">
        <w:rPr>
          <w:rFonts w:asciiTheme="minorHAnsi" w:hAnsiTheme="minorHAnsi" w:cstheme="minorBidi"/>
          <w:lang w:val="ru-RU"/>
        </w:rPr>
        <w:t>внебюджетные</w:t>
      </w:r>
      <w:r w:rsidR="001B1A7A" w:rsidRPr="00CA4C14">
        <w:rPr>
          <w:rFonts w:asciiTheme="minorHAnsi" w:hAnsiTheme="minorHAnsi" w:cstheme="minorBidi"/>
          <w:lang w:val="ru-RU"/>
        </w:rPr>
        <w:t xml:space="preserve"> взносы, амортизация и другие структурные различия, которые не включены в бюджет. </w:t>
      </w:r>
      <w:r w:rsidR="008F1FB7" w:rsidRPr="00CA4C14">
        <w:rPr>
          <w:rFonts w:asciiTheme="minorHAnsi" w:hAnsiTheme="minorHAnsi" w:cstheme="minorBidi"/>
          <w:lang w:val="ru-RU"/>
        </w:rPr>
        <w:t>Отчет </w:t>
      </w:r>
      <w:r w:rsidR="001B1A7A" w:rsidRPr="00CA4C14">
        <w:rPr>
          <w:rFonts w:asciiTheme="minorHAnsi" w:hAnsiTheme="minorHAnsi" w:cstheme="minorBidi"/>
          <w:lang w:val="ru-RU"/>
        </w:rPr>
        <w:t>V содержит основные различия между бюджетом организации и общими доходами и расходами.</w:t>
      </w:r>
    </w:p>
    <w:p w14:paraId="1C9D5C26" w14:textId="65CFD6D6" w:rsidR="008A35F7" w:rsidRPr="00CA4C14" w:rsidRDefault="00D25D25" w:rsidP="00D25D25">
      <w:pPr>
        <w:pStyle w:val="Headingb"/>
        <w:rPr>
          <w:lang w:val="ru-RU"/>
        </w:rPr>
      </w:pPr>
      <w:r w:rsidRPr="00CA4C14">
        <w:rPr>
          <w:rFonts w:asciiTheme="minorHAnsi" w:hAnsiTheme="minorHAnsi" w:cstheme="minorHAnsi"/>
          <w:bCs/>
          <w:lang w:val="ru-RU"/>
        </w:rPr>
        <w:t>Ответственность</w:t>
      </w:r>
    </w:p>
    <w:p w14:paraId="5BE4EB5B" w14:textId="288FFC72" w:rsidR="008A35F7" w:rsidRPr="00CA4C14" w:rsidRDefault="00D25D25" w:rsidP="008A35F7">
      <w:pPr>
        <w:rPr>
          <w:rFonts w:asciiTheme="minorHAnsi" w:hAnsiTheme="minorHAnsi"/>
          <w:lang w:val="ru-RU"/>
        </w:rPr>
      </w:pPr>
      <w:r w:rsidRPr="00CA4C14">
        <w:rPr>
          <w:rFonts w:asciiTheme="minorHAnsi" w:hAnsiTheme="minorHAnsi"/>
          <w:lang w:val="ru-RU"/>
        </w:rPr>
        <w:t>25</w:t>
      </w:r>
      <w:r w:rsidRPr="00CA4C14">
        <w:rPr>
          <w:rFonts w:asciiTheme="minorHAnsi" w:hAnsiTheme="minorHAnsi"/>
          <w:lang w:val="ru-RU"/>
        </w:rPr>
        <w:tab/>
      </w:r>
      <w:r w:rsidRPr="00CA4C14">
        <w:rPr>
          <w:lang w:val="ru-RU"/>
        </w:rPr>
        <w:t>Как предусм</w:t>
      </w:r>
      <w:r w:rsidR="008F1FB7" w:rsidRPr="00CA4C14">
        <w:rPr>
          <w:lang w:val="ru-RU"/>
        </w:rPr>
        <w:t>отрено</w:t>
      </w:r>
      <w:r w:rsidRPr="00CA4C14">
        <w:rPr>
          <w:lang w:val="ru-RU"/>
        </w:rPr>
        <w:t xml:space="preserve"> в Статье</w:t>
      </w:r>
      <w:r w:rsidR="008F1FB7" w:rsidRPr="00CA4C14">
        <w:rPr>
          <w:lang w:val="ru-RU"/>
        </w:rPr>
        <w:t> </w:t>
      </w:r>
      <w:r w:rsidRPr="00CA4C14">
        <w:rPr>
          <w:lang w:val="ru-RU"/>
        </w:rPr>
        <w:t xml:space="preserve">30 Финансового регламента Союза, представленная ниже финансовая отчетность </w:t>
      </w:r>
      <w:r w:rsidR="006E043B" w:rsidRPr="00CA4C14">
        <w:rPr>
          <w:lang w:val="ru-RU"/>
        </w:rPr>
        <w:t>была подготовлена</w:t>
      </w:r>
      <w:r w:rsidRPr="00CA4C14">
        <w:rPr>
          <w:lang w:val="ru-RU"/>
        </w:rPr>
        <w:t xml:space="preserve"> в соответствии со стандартами IPSAS. Финансовая отчетность и примечания к ней являются неотъемлемой частью настоящего документа и правдиво отражают финансовое положение Союза на 31</w:t>
      </w:r>
      <w:r w:rsidR="002E2BBB" w:rsidRPr="00CA4C14">
        <w:rPr>
          <w:lang w:val="ru-RU"/>
        </w:rPr>
        <w:t> декабря</w:t>
      </w:r>
      <w:r w:rsidRPr="00CA4C14">
        <w:rPr>
          <w:lang w:val="ru-RU"/>
        </w:rPr>
        <w:t xml:space="preserve"> 2023</w:t>
      </w:r>
      <w:r w:rsidR="009053A9" w:rsidRPr="00CA4C14">
        <w:rPr>
          <w:lang w:val="ru-RU"/>
        </w:rPr>
        <w:t> год</w:t>
      </w:r>
      <w:r w:rsidRPr="00CA4C14">
        <w:rPr>
          <w:lang w:val="ru-RU"/>
        </w:rPr>
        <w:t>а.</w:t>
      </w:r>
    </w:p>
    <w:p w14:paraId="4CF0DF55" w14:textId="4236EFBC" w:rsidR="00D25D25" w:rsidRPr="00CA4C14" w:rsidRDefault="00D25D25" w:rsidP="00DC0E8F">
      <w:pPr>
        <w:pStyle w:val="enumlev1"/>
        <w:rPr>
          <w:lang w:val="ru-RU"/>
        </w:rPr>
      </w:pPr>
      <w:r w:rsidRPr="00CA4C14">
        <w:rPr>
          <w:lang w:val="ru-RU"/>
        </w:rPr>
        <w:t>I</w:t>
      </w:r>
      <w:r w:rsidRPr="00CA4C14">
        <w:rPr>
          <w:lang w:val="ru-RU"/>
        </w:rPr>
        <w:tab/>
        <w:t>Отчет о финансовом положении по состоянию на 31</w:t>
      </w:r>
      <w:r w:rsidR="002E2BBB" w:rsidRPr="00CA4C14">
        <w:rPr>
          <w:lang w:val="ru-RU"/>
        </w:rPr>
        <w:t> декабря</w:t>
      </w:r>
      <w:r w:rsidRPr="00CA4C14">
        <w:rPr>
          <w:lang w:val="ru-RU"/>
        </w:rPr>
        <w:t xml:space="preserve"> 2023</w:t>
      </w:r>
      <w:r w:rsidR="009053A9" w:rsidRPr="00CA4C14">
        <w:rPr>
          <w:lang w:val="ru-RU"/>
        </w:rPr>
        <w:t> год</w:t>
      </w:r>
      <w:r w:rsidRPr="00CA4C14">
        <w:rPr>
          <w:lang w:val="ru-RU"/>
        </w:rPr>
        <w:t>а.</w:t>
      </w:r>
    </w:p>
    <w:p w14:paraId="4FB4A82E" w14:textId="5097C8A7" w:rsidR="00D25D25" w:rsidRPr="00CA4C14" w:rsidRDefault="00D25D25" w:rsidP="00D25D25">
      <w:pPr>
        <w:pStyle w:val="enumlev1"/>
        <w:rPr>
          <w:lang w:val="ru-RU"/>
        </w:rPr>
      </w:pPr>
      <w:r w:rsidRPr="00CA4C14">
        <w:rPr>
          <w:lang w:val="ru-RU"/>
        </w:rPr>
        <w:t>II</w:t>
      </w:r>
      <w:r w:rsidRPr="00CA4C14">
        <w:rPr>
          <w:lang w:val="ru-RU"/>
        </w:rPr>
        <w:tab/>
        <w:t>Отчет о результатах финансовой деятельности за год, завершившийся 31 декабря 2023 года.</w:t>
      </w:r>
    </w:p>
    <w:p w14:paraId="60A4C08E" w14:textId="69F981D6" w:rsidR="00D25D25" w:rsidRPr="00CA4C14" w:rsidRDefault="00D25D25" w:rsidP="00D25D25">
      <w:pPr>
        <w:pStyle w:val="enumlev1"/>
        <w:rPr>
          <w:lang w:val="ru-RU"/>
        </w:rPr>
      </w:pPr>
      <w:r w:rsidRPr="00CA4C14">
        <w:rPr>
          <w:lang w:val="ru-RU"/>
        </w:rPr>
        <w:lastRenderedPageBreak/>
        <w:t>III</w:t>
      </w:r>
      <w:r w:rsidRPr="00CA4C14">
        <w:rPr>
          <w:lang w:val="ru-RU"/>
        </w:rPr>
        <w:tab/>
        <w:t>Отчет об изменениях в чистых активах за год, завершившийся 31 декабря 2023 года.</w:t>
      </w:r>
    </w:p>
    <w:p w14:paraId="2B7BEB3E" w14:textId="23F6E069" w:rsidR="00D25D25" w:rsidRPr="00CA4C14" w:rsidRDefault="00D25D25" w:rsidP="00D25D25">
      <w:pPr>
        <w:pStyle w:val="enumlev1"/>
        <w:rPr>
          <w:lang w:val="ru-RU"/>
        </w:rPr>
      </w:pPr>
      <w:r w:rsidRPr="00CA4C14">
        <w:rPr>
          <w:lang w:val="ru-RU"/>
        </w:rPr>
        <w:t>IV</w:t>
      </w:r>
      <w:r w:rsidRPr="00CA4C14">
        <w:rPr>
          <w:lang w:val="ru-RU"/>
        </w:rPr>
        <w:tab/>
        <w:t>Отчет о движении денежных средств за год, завершившийся 31 декабря 2023 года.</w:t>
      </w:r>
    </w:p>
    <w:p w14:paraId="5A1BF1FE" w14:textId="510BE4AD" w:rsidR="008A35F7" w:rsidRPr="00CA4C14" w:rsidRDefault="00D25D25" w:rsidP="00601C27">
      <w:pPr>
        <w:pStyle w:val="enumlev1"/>
        <w:rPr>
          <w:lang w:val="ru-RU"/>
        </w:rPr>
      </w:pPr>
      <w:r w:rsidRPr="00CA4C14">
        <w:rPr>
          <w:lang w:val="ru-RU"/>
        </w:rPr>
        <w:t>V</w:t>
      </w:r>
      <w:r w:rsidRPr="00CA4C14">
        <w:rPr>
          <w:lang w:val="ru-RU"/>
        </w:rPr>
        <w:tab/>
        <w:t>Отчет о сопоставлении бюджета и фактических сумм за год, завершившийся 31 декабря 2023 года.</w:t>
      </w:r>
    </w:p>
    <w:p w14:paraId="3C3A78EC" w14:textId="35AD0690" w:rsidR="008A35F7" w:rsidRPr="00CA4C14" w:rsidRDefault="00D25D25" w:rsidP="00601C27">
      <w:pPr>
        <w:pStyle w:val="Headingb"/>
        <w:rPr>
          <w:lang w:val="ru-RU"/>
        </w:rPr>
      </w:pPr>
      <w:bookmarkStart w:id="49" w:name="_Toc167956617"/>
      <w:bookmarkStart w:id="50" w:name="_Toc167956856"/>
      <w:bookmarkStart w:id="51" w:name="_Toc167957160"/>
      <w:r w:rsidRPr="00CA4C14">
        <w:rPr>
          <w:lang w:val="ru-RU"/>
        </w:rPr>
        <w:t>Внешняя аудиторская проверка Союза</w:t>
      </w:r>
      <w:bookmarkEnd w:id="49"/>
      <w:bookmarkEnd w:id="50"/>
      <w:bookmarkEnd w:id="51"/>
    </w:p>
    <w:p w14:paraId="2E08CD8C" w14:textId="77777777" w:rsidR="00F378FA" w:rsidRPr="00CA4C14" w:rsidRDefault="00D25D25" w:rsidP="00FD497C">
      <w:pPr>
        <w:rPr>
          <w:rFonts w:asciiTheme="minorHAnsi" w:hAnsiTheme="minorHAnsi"/>
          <w:lang w:val="ru-RU"/>
        </w:rPr>
      </w:pPr>
      <w:r w:rsidRPr="00CA4C14">
        <w:rPr>
          <w:rFonts w:asciiTheme="minorHAnsi" w:hAnsiTheme="minorHAnsi"/>
          <w:lang w:val="ru-RU"/>
        </w:rPr>
        <w:t>26</w:t>
      </w:r>
      <w:r w:rsidRPr="00CA4C14">
        <w:rPr>
          <w:rFonts w:asciiTheme="minorHAnsi" w:hAnsiTheme="minorHAnsi"/>
          <w:lang w:val="ru-RU"/>
        </w:rPr>
        <w:tab/>
        <w:t>В соответствии со Статьей</w:t>
      </w:r>
      <w:r w:rsidR="008F1FB7" w:rsidRPr="00CA4C14">
        <w:rPr>
          <w:rFonts w:asciiTheme="minorHAnsi" w:hAnsiTheme="minorHAnsi"/>
          <w:lang w:val="ru-RU"/>
        </w:rPr>
        <w:t> </w:t>
      </w:r>
      <w:r w:rsidRPr="00CA4C14">
        <w:rPr>
          <w:rFonts w:asciiTheme="minorHAnsi" w:hAnsiTheme="minorHAnsi"/>
          <w:lang w:val="ru-RU"/>
        </w:rPr>
        <w:t>28 Финансового регламента и Финансовых правил, а также в соответствии с Решением</w:t>
      </w:r>
      <w:r w:rsidR="008F1FB7" w:rsidRPr="00CA4C14">
        <w:rPr>
          <w:rFonts w:asciiTheme="minorHAnsi" w:hAnsiTheme="minorHAnsi"/>
          <w:lang w:val="ru-RU"/>
        </w:rPr>
        <w:t> </w:t>
      </w:r>
      <w:r w:rsidRPr="00CA4C14">
        <w:rPr>
          <w:rFonts w:asciiTheme="minorHAnsi" w:hAnsiTheme="minorHAnsi"/>
          <w:lang w:val="ru-RU"/>
        </w:rPr>
        <w:t>621 Совета 2020</w:t>
      </w:r>
      <w:r w:rsidR="009053A9" w:rsidRPr="00CA4C14">
        <w:rPr>
          <w:rFonts w:asciiTheme="minorHAnsi" w:hAnsiTheme="minorHAnsi"/>
          <w:lang w:val="ru-RU"/>
        </w:rPr>
        <w:t> год</w:t>
      </w:r>
      <w:r w:rsidRPr="00CA4C14">
        <w:rPr>
          <w:rFonts w:asciiTheme="minorHAnsi" w:hAnsiTheme="minorHAnsi"/>
          <w:lang w:val="ru-RU"/>
        </w:rPr>
        <w:t>а, принятым в ходе вторых виртуальных консультаций, Внешним аудитором счетов Союза было назначено Национальное ревизионное управление Соединенного Королевства Великобритании и Северной Ирландии в порядке, определяемом Полномочной конференцией МСЭ, на четырехлетний срок.</w:t>
      </w:r>
      <w:bookmarkStart w:id="52" w:name="_Toc131080994"/>
      <w:bookmarkStart w:id="53" w:name="_Toc131156413"/>
      <w:bookmarkStart w:id="54" w:name="_Toc305764056"/>
    </w:p>
    <w:p w14:paraId="08B09E0E" w14:textId="3ACB8DB9" w:rsidR="008A35F7" w:rsidRPr="00CA4C14" w:rsidRDefault="008A35F7" w:rsidP="00FD497C">
      <w:pPr>
        <w:rPr>
          <w:lang w:val="ru-RU"/>
        </w:rPr>
      </w:pPr>
      <w:r w:rsidRPr="00CA4C14">
        <w:rPr>
          <w:lang w:val="ru-RU"/>
        </w:rPr>
        <w:br w:type="page"/>
      </w:r>
    </w:p>
    <w:p w14:paraId="0F6235A2" w14:textId="77777777" w:rsidR="008F5CF8" w:rsidRPr="00CA4C14" w:rsidRDefault="008F5CF8" w:rsidP="00E25FB5">
      <w:pPr>
        <w:tabs>
          <w:tab w:val="left" w:pos="284"/>
          <w:tab w:val="right" w:pos="5670"/>
          <w:tab w:val="right" w:pos="7655"/>
          <w:tab w:val="left" w:pos="8789"/>
        </w:tabs>
        <w:spacing w:before="720"/>
        <w:jc w:val="center"/>
        <w:rPr>
          <w:b/>
          <w:lang w:val="ru-RU"/>
        </w:rPr>
      </w:pPr>
      <w:bookmarkStart w:id="55" w:name="CurrentLocation"/>
      <w:bookmarkStart w:id="56" w:name="_Toc131156412"/>
      <w:bookmarkEnd w:id="52"/>
      <w:bookmarkEnd w:id="53"/>
      <w:bookmarkEnd w:id="54"/>
      <w:bookmarkEnd w:id="55"/>
      <w:r w:rsidRPr="00CA4C14">
        <w:rPr>
          <w:noProof/>
          <w:lang w:val="ru-RU" w:eastAsia="zh-CN"/>
        </w:rPr>
        <w:lastRenderedPageBreak/>
        <w:drawing>
          <wp:inline distT="0" distB="0" distL="0" distR="0" wp14:anchorId="0AB789FC" wp14:editId="3E353B6C">
            <wp:extent cx="682402" cy="720000"/>
            <wp:effectExtent l="0" t="0" r="3810" b="444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p w14:paraId="45B04FA2" w14:textId="77777777" w:rsidR="008F5CF8" w:rsidRPr="00CA4C14" w:rsidRDefault="008F5CF8" w:rsidP="00336417">
      <w:pPr>
        <w:tabs>
          <w:tab w:val="left" w:pos="284"/>
          <w:tab w:val="right" w:pos="5670"/>
          <w:tab w:val="right" w:pos="7655"/>
          <w:tab w:val="left" w:pos="8789"/>
        </w:tabs>
        <w:spacing w:before="4320"/>
        <w:jc w:val="center"/>
        <w:rPr>
          <w:rFonts w:asciiTheme="minorHAnsi" w:hAnsiTheme="minorHAnsi"/>
          <w:sz w:val="26"/>
          <w:szCs w:val="26"/>
          <w:lang w:val="ru-RU"/>
        </w:rPr>
      </w:pPr>
      <w:r w:rsidRPr="00CA4C14">
        <w:rPr>
          <w:rFonts w:asciiTheme="minorHAnsi" w:hAnsiTheme="minorHAnsi"/>
          <w:b/>
          <w:sz w:val="26"/>
          <w:szCs w:val="26"/>
          <w:lang w:val="ru-RU"/>
        </w:rPr>
        <w:t>Заключение о внутреннем контроле за 2023 год</w:t>
      </w:r>
    </w:p>
    <w:p w14:paraId="17EBD425" w14:textId="77777777" w:rsidR="008F5CF8" w:rsidRPr="00CA4C14" w:rsidRDefault="008F5CF8" w:rsidP="00E25FB5">
      <w:pPr>
        <w:tabs>
          <w:tab w:val="left" w:pos="284"/>
          <w:tab w:val="right" w:pos="5670"/>
          <w:tab w:val="right" w:pos="7655"/>
          <w:tab w:val="left" w:pos="8789"/>
        </w:tabs>
        <w:spacing w:before="1080"/>
        <w:jc w:val="center"/>
        <w:rPr>
          <w:rFonts w:asciiTheme="minorHAnsi" w:hAnsiTheme="minorHAnsi"/>
          <w:b/>
          <w:smallCaps/>
          <w:sz w:val="26"/>
          <w:szCs w:val="26"/>
          <w:lang w:val="ru-RU"/>
        </w:rPr>
      </w:pPr>
      <w:bookmarkStart w:id="57" w:name="lt_pId115"/>
      <w:r w:rsidRPr="00CA4C14">
        <w:rPr>
          <w:rFonts w:asciiTheme="minorHAnsi" w:hAnsiTheme="minorHAnsi"/>
          <w:b/>
          <w:smallCaps/>
          <w:sz w:val="26"/>
          <w:szCs w:val="26"/>
          <w:lang w:val="ru-RU"/>
        </w:rPr>
        <w:t xml:space="preserve">Международный Союз Электросвязи, </w:t>
      </w:r>
      <w:bookmarkEnd w:id="57"/>
      <w:r w:rsidRPr="00CA4C14">
        <w:rPr>
          <w:rFonts w:asciiTheme="minorHAnsi" w:hAnsiTheme="minorHAnsi"/>
          <w:b/>
          <w:smallCaps/>
          <w:sz w:val="26"/>
          <w:szCs w:val="26"/>
          <w:lang w:val="ru-RU"/>
        </w:rPr>
        <w:t>Женева</w:t>
      </w:r>
    </w:p>
    <w:bookmarkEnd w:id="56"/>
    <w:p w14:paraId="4D363E32" w14:textId="77777777" w:rsidR="008F5CF8" w:rsidRPr="00CA4C14" w:rsidRDefault="008F5CF8" w:rsidP="00CA2D5D">
      <w:pPr>
        <w:rPr>
          <w:lang w:val="ru-RU"/>
        </w:rPr>
      </w:pPr>
      <w:r w:rsidRPr="00CA4C14">
        <w:rPr>
          <w:lang w:val="ru-RU"/>
        </w:rPr>
        <w:br w:type="page"/>
      </w:r>
    </w:p>
    <w:p w14:paraId="34FCEB31" w14:textId="77777777" w:rsidR="008F5CF8" w:rsidRPr="00CA4C14" w:rsidRDefault="008F5CF8" w:rsidP="003E53E4">
      <w:pPr>
        <w:pStyle w:val="Annextitle"/>
        <w:rPr>
          <w:color w:val="0070C0"/>
          <w:w w:val="105"/>
          <w:lang w:val="ru-RU"/>
        </w:rPr>
      </w:pPr>
      <w:bookmarkStart w:id="58" w:name="_Toc167956618"/>
      <w:bookmarkStart w:id="59" w:name="_Toc167956857"/>
      <w:bookmarkStart w:id="60" w:name="_Toc167957161"/>
      <w:bookmarkStart w:id="61" w:name="_Toc168578441"/>
      <w:r w:rsidRPr="00CA4C14">
        <w:rPr>
          <w:color w:val="0070C0"/>
          <w:w w:val="105"/>
          <w:lang w:val="ru-RU"/>
        </w:rPr>
        <w:lastRenderedPageBreak/>
        <w:t>Заключение о внутреннем контроле за 2023 год</w:t>
      </w:r>
      <w:bookmarkEnd w:id="58"/>
      <w:bookmarkEnd w:id="59"/>
      <w:bookmarkEnd w:id="60"/>
      <w:bookmarkEnd w:id="61"/>
    </w:p>
    <w:p w14:paraId="65D78746" w14:textId="77777777" w:rsidR="008F5CF8" w:rsidRPr="00CA4C14" w:rsidRDefault="008F5CF8" w:rsidP="00E25FB5">
      <w:pPr>
        <w:pStyle w:val="Headingb"/>
        <w:rPr>
          <w:color w:val="0070C0"/>
          <w:lang w:val="ru-RU"/>
        </w:rPr>
      </w:pPr>
      <w:r w:rsidRPr="00CA4C14">
        <w:rPr>
          <w:color w:val="0070C0"/>
          <w:lang w:val="ru-RU"/>
        </w:rPr>
        <w:t>Сфера ответственности</w:t>
      </w:r>
    </w:p>
    <w:p w14:paraId="186D656B" w14:textId="41691F70" w:rsidR="008F5CF8" w:rsidRPr="00CA4C14" w:rsidRDefault="008F5CF8" w:rsidP="00E25FB5">
      <w:pPr>
        <w:rPr>
          <w:rFonts w:asciiTheme="minorHAnsi" w:hAnsiTheme="minorHAnsi" w:cstheme="minorHAnsi"/>
          <w:szCs w:val="24"/>
          <w:lang w:val="ru-RU"/>
        </w:rPr>
      </w:pPr>
      <w:r w:rsidRPr="00CA4C14">
        <w:rPr>
          <w:rFonts w:asciiTheme="minorHAnsi" w:hAnsiTheme="minorHAnsi" w:cstheme="minorHAnsi"/>
          <w:szCs w:val="24"/>
          <w:lang w:val="ru-RU"/>
        </w:rPr>
        <w:t>Являясь Генеральным секретарем, я отвечаю за управление МСЭ в целях выполнения его мандата, программ и ведения иной деятельности. В соответствии с пунктами</w:t>
      </w:r>
      <w:r w:rsidR="00DC0E8F" w:rsidRPr="00CA4C14">
        <w:rPr>
          <w:rFonts w:asciiTheme="minorHAnsi" w:hAnsiTheme="minorHAnsi" w:cstheme="minorHAnsi"/>
          <w:szCs w:val="24"/>
          <w:lang w:val="ru-RU"/>
        </w:rPr>
        <w:t> </w:t>
      </w:r>
      <w:r w:rsidRPr="00CA4C14">
        <w:rPr>
          <w:rFonts w:asciiTheme="minorHAnsi" w:hAnsiTheme="minorHAnsi" w:cstheme="minorHAnsi"/>
          <w:szCs w:val="24"/>
          <w:lang w:val="ru-RU"/>
        </w:rPr>
        <w:t>73</w:t>
      </w:r>
      <w:r w:rsidRPr="00CA4C14">
        <w:rPr>
          <w:rFonts w:asciiTheme="minorHAnsi" w:hAnsiTheme="minorHAnsi" w:cstheme="minorHAnsi"/>
          <w:i/>
          <w:iCs/>
          <w:szCs w:val="24"/>
          <w:lang w:val="ru-RU"/>
        </w:rPr>
        <w:t>bis</w:t>
      </w:r>
      <w:r w:rsidRPr="00CA4C14">
        <w:rPr>
          <w:rFonts w:asciiTheme="minorHAnsi" w:hAnsiTheme="minorHAnsi" w:cstheme="minorHAnsi"/>
          <w:szCs w:val="24"/>
          <w:lang w:val="ru-RU"/>
        </w:rPr>
        <w:t xml:space="preserve"> и 75 Устава (Статья 11) и Статьями</w:t>
      </w:r>
      <w:r w:rsidR="00DC0E8F" w:rsidRPr="00CA4C14">
        <w:rPr>
          <w:rFonts w:asciiTheme="minorHAnsi" w:hAnsiTheme="minorHAnsi" w:cstheme="minorHAnsi"/>
          <w:szCs w:val="24"/>
          <w:lang w:val="ru-RU"/>
        </w:rPr>
        <w:t> </w:t>
      </w:r>
      <w:r w:rsidRPr="00CA4C14">
        <w:rPr>
          <w:rFonts w:asciiTheme="minorHAnsi" w:hAnsiTheme="minorHAnsi" w:cstheme="minorHAnsi"/>
          <w:szCs w:val="24"/>
          <w:lang w:val="ru-RU"/>
        </w:rPr>
        <w:t>1, 10, 16, 28, 29 и 30 Финансового регламента и Финансовых правил, на меня возложены обязанности, которые предусматривают поддержание системы внутреннего контроля, предназначенной для обеспечения достаточных гарантий выполнения задач при надежной финансовой и нефинансовой отчетности, эффективные и действенные операции и соблюдение нормативных положений, правил, служебных приказов и политики, в том числе в отношении предотвращения и обнаружения мошеннических действий.</w:t>
      </w:r>
    </w:p>
    <w:p w14:paraId="37D87D4F" w14:textId="77777777" w:rsidR="008F5CF8" w:rsidRPr="00CA4C14" w:rsidRDefault="008F5CF8" w:rsidP="00E25FB5">
      <w:pPr>
        <w:pStyle w:val="Headingb"/>
        <w:rPr>
          <w:color w:val="0070C0"/>
          <w:lang w:val="ru-RU"/>
        </w:rPr>
      </w:pPr>
      <w:r w:rsidRPr="00CA4C14">
        <w:rPr>
          <w:color w:val="0070C0"/>
          <w:lang w:val="ru-RU"/>
        </w:rPr>
        <w:t>Система контроля и анализ эффективности</w:t>
      </w:r>
    </w:p>
    <w:p w14:paraId="074C0576" w14:textId="3D6528DC" w:rsidR="008F5CF8" w:rsidRPr="00CA4C14" w:rsidRDefault="008F5CF8" w:rsidP="00E25FB5">
      <w:pPr>
        <w:rPr>
          <w:lang w:val="ru-RU"/>
        </w:rPr>
      </w:pPr>
      <w:r w:rsidRPr="00CA4C14">
        <w:rPr>
          <w:rFonts w:eastAsia="Calibri"/>
          <w:lang w:val="ru-RU"/>
        </w:rPr>
        <w:t>Как Генеральный секретарь МСЭ я понимаю, какой динамичный характер носит глобальная среда, в которой функционирует МСЭ. Я приняла меры к тому, чтобы механизмы внутреннего контроля МСЭ становились лучше и приспосабливались к появляющимся трудностям. В частности, это предполагает систематический подход, позволяющий более оптимально внедрять управление рисками в бизнес-процессы, укреплять информационные системы МСЭ, а</w:t>
      </w:r>
      <w:r w:rsidR="00FE0DEB" w:rsidRPr="00CA4C14">
        <w:rPr>
          <w:rFonts w:eastAsia="Calibri"/>
          <w:lang w:val="ru-RU"/>
        </w:rPr>
        <w:t> </w:t>
      </w:r>
      <w:r w:rsidRPr="00CA4C14">
        <w:rPr>
          <w:rFonts w:eastAsia="Calibri"/>
          <w:lang w:val="ru-RU"/>
        </w:rPr>
        <w:t>также поощрять культуру ответственности и прозрачности.</w:t>
      </w:r>
    </w:p>
    <w:p w14:paraId="0A7A3778" w14:textId="77777777" w:rsidR="008F5CF8" w:rsidRPr="00CA4C14" w:rsidRDefault="008F5CF8" w:rsidP="00E25FB5">
      <w:pPr>
        <w:rPr>
          <w:lang w:val="ru-RU"/>
        </w:rPr>
      </w:pPr>
      <w:r w:rsidRPr="00CA4C14">
        <w:rPr>
          <w:rFonts w:eastAsia="Calibri"/>
          <w:lang w:val="ru-RU"/>
        </w:rPr>
        <w:t xml:space="preserve">Данная работа направляется Комплексной системой внутреннего контроля, разработанной Комитетом организаций − спонсоров Комиссии </w:t>
      </w:r>
      <w:proofErr w:type="spellStart"/>
      <w:r w:rsidRPr="00CA4C14">
        <w:rPr>
          <w:rFonts w:eastAsia="Calibri"/>
          <w:lang w:val="ru-RU"/>
        </w:rPr>
        <w:t>Тредуэя</w:t>
      </w:r>
      <w:proofErr w:type="spellEnd"/>
      <w:r w:rsidRPr="00CA4C14">
        <w:rPr>
          <w:rFonts w:eastAsia="Calibri"/>
          <w:lang w:val="ru-RU"/>
        </w:rPr>
        <w:t xml:space="preserve"> (COSO). Система COSO представляет собой всеобъемлющую модель эффективного организационного руководства и управления рисками, в рамках которой уделяется особое внимание пяти взаимосвязанным компонентам: среде контроля, оценке рисков, деятельности по контролю, информационно-коммуникационной деятельности и деятельности по мониторингу.</w:t>
      </w:r>
    </w:p>
    <w:p w14:paraId="0DAEA188" w14:textId="77777777" w:rsidR="008F5CF8" w:rsidRPr="00CA4C14" w:rsidRDefault="008F5CF8" w:rsidP="00E25FB5">
      <w:pPr>
        <w:pStyle w:val="Headingb"/>
        <w:rPr>
          <w:lang w:val="ru-RU"/>
        </w:rPr>
      </w:pPr>
      <w:r w:rsidRPr="00CA4C14">
        <w:rPr>
          <w:rFonts w:eastAsia="Calibri"/>
          <w:lang w:val="ru-RU"/>
        </w:rPr>
        <w:t>Укрепление системы внутреннего контроля с января 2023 года</w:t>
      </w:r>
    </w:p>
    <w:p w14:paraId="7F7794F3" w14:textId="77777777" w:rsidR="008F5CF8" w:rsidRPr="00CA4C14" w:rsidRDefault="008F5CF8" w:rsidP="00B351B7">
      <w:pPr>
        <w:rPr>
          <w:lang w:val="ru-RU"/>
        </w:rPr>
      </w:pPr>
      <w:r w:rsidRPr="00CA4C14">
        <w:rPr>
          <w:rFonts w:eastAsia="Calibri" w:cs="Calibri"/>
          <w:szCs w:val="24"/>
          <w:lang w:val="ru-RU"/>
        </w:rPr>
        <w:t>Вступив в должность Генерального секретаря 1 января 2023 года, я приступила к работе по усовершенствованию системы внутреннего контроля МСЭ, с тем чтобы она лучше соответствовала нашим развивающимся организационным потребностям. МСЭ продолжает работу над планом трансформации, утвержденным в июле 2023 года, и дорожной картой, направленной на усовершенствование административных процессов, систем поддержки и внутреннего контроля в течение всего срока моего пребывания в должности.</w:t>
      </w:r>
    </w:p>
    <w:p w14:paraId="299A3779" w14:textId="77777777" w:rsidR="008F5CF8" w:rsidRPr="00CA4C14" w:rsidRDefault="008F5CF8" w:rsidP="00E25FB5">
      <w:pPr>
        <w:pStyle w:val="Headingb"/>
        <w:rPr>
          <w:lang w:val="ru-RU"/>
        </w:rPr>
      </w:pPr>
      <w:r w:rsidRPr="00CA4C14">
        <w:rPr>
          <w:rFonts w:eastAsia="Calibri"/>
          <w:lang w:val="ru-RU"/>
        </w:rPr>
        <w:t>Создание и работа Подразделения по надзору</w:t>
      </w:r>
    </w:p>
    <w:p w14:paraId="1C4EE6EA" w14:textId="77777777" w:rsidR="008F5CF8" w:rsidRPr="00CA4C14" w:rsidRDefault="008F5CF8" w:rsidP="00E25FB5">
      <w:pPr>
        <w:rPr>
          <w:lang w:val="ru-RU"/>
        </w:rPr>
      </w:pPr>
      <w:r w:rsidRPr="00CA4C14">
        <w:rPr>
          <w:rFonts w:eastAsia="Calibri"/>
          <w:lang w:val="ru-RU"/>
        </w:rPr>
        <w:t>В сентябре 2023 года, после соответствующего утверждения Советом МСЭ, я учредила Подразделение по надзору, которое совмещает в себе функции внутреннего аудита и ведения расследований. В 2024 году к нему также перейдут функции по оценке. Подразделение по надзору, и в особенности функция внутреннего контроля, обеспечивает независимые гарантии эффективности нашей системы внутреннего контроля и будет способствовать повышению прозрачности и подотчетности. Что касается функции ведения расследований, то в 2023 году Подразделению по надзору было поручено расследование по шести делам. По трем из шести дел расследование было завершено, причем одно из них было закрыто по причине необоснованности обвинений. По остальным трем делам ведется расследование. Пять из шести дел не имеют финансовых последствий. Одно дело имело несущественные финансовые последствия и было доведено до сведения Внешнего аудитора в течение 2023 года.</w:t>
      </w:r>
    </w:p>
    <w:p w14:paraId="19FD5D33" w14:textId="77777777" w:rsidR="008F5CF8" w:rsidRPr="00CA4C14" w:rsidRDefault="008F5CF8" w:rsidP="00E25FB5">
      <w:pPr>
        <w:pStyle w:val="Headingb"/>
        <w:rPr>
          <w:lang w:val="ru-RU"/>
        </w:rPr>
      </w:pPr>
      <w:r w:rsidRPr="00CA4C14">
        <w:rPr>
          <w:rFonts w:eastAsia="Calibri"/>
          <w:lang w:val="ru-RU"/>
        </w:rPr>
        <w:t>Обязанности и подотчетность</w:t>
      </w:r>
    </w:p>
    <w:p w14:paraId="27ED3E3A" w14:textId="77777777" w:rsidR="008F5CF8" w:rsidRPr="00CA4C14" w:rsidRDefault="008F5CF8" w:rsidP="00E25FB5">
      <w:pPr>
        <w:rPr>
          <w:lang w:val="ru-RU"/>
        </w:rPr>
      </w:pPr>
      <w:r w:rsidRPr="00CA4C14">
        <w:rPr>
          <w:rFonts w:eastAsia="Calibri" w:cs="Calibri"/>
          <w:szCs w:val="24"/>
          <w:lang w:val="ru-RU"/>
        </w:rPr>
        <w:t xml:space="preserve">В соответствии с Финансовым регламентом и Финансовыми правилами, Положениями и Правилами о персонале я делегировала полномочия и подотчетность избираемым </w:t>
      </w:r>
      <w:r w:rsidRPr="00CA4C14">
        <w:rPr>
          <w:rFonts w:eastAsia="Calibri" w:cs="Calibri"/>
          <w:szCs w:val="24"/>
          <w:lang w:val="ru-RU"/>
        </w:rPr>
        <w:lastRenderedPageBreak/>
        <w:t>должностным лицам и высшему руководящему составу; таким образом, каждый сотрудник МСЭ вносит свой вклад в создание надежной среды внутреннего контроля. Избираемым должностным лицам и высшему руководящему составу поручено обеспечить эффективное применение механизмов внутреннего контроля в соответствующей сфере полномочий. Гарантии соблюдения обеспечиваются внутренними сопроводительными письмами, которые подписываются избираемыми должностными лицами и старшими руководителями, подтверждающими приверженность нашему внутреннему контролю и использованию средств МСЭ. В МСЭ внедрен опросник по самооценке, посвященный выполнению задач внутреннего контроля. В 2024 году мы продолжим рассмотрение вопросников по самооценке и внутренних сопроводительных писем, чтобы подготовить высшему руководящему составу ответные замечания по областям, где возможны улучшения.</w:t>
      </w:r>
    </w:p>
    <w:p w14:paraId="53790299" w14:textId="77777777" w:rsidR="008F5CF8" w:rsidRPr="00CA4C14" w:rsidRDefault="008F5CF8" w:rsidP="00E25FB5">
      <w:pPr>
        <w:pStyle w:val="Headingb"/>
        <w:rPr>
          <w:lang w:val="ru-RU"/>
        </w:rPr>
      </w:pPr>
      <w:r w:rsidRPr="00CA4C14">
        <w:rPr>
          <w:rFonts w:eastAsia="Calibri" w:cs="Calibri"/>
          <w:bCs/>
          <w:szCs w:val="24"/>
          <w:lang w:val="ru-RU"/>
        </w:rPr>
        <w:t>Новая модель и система подотчетности МСЭ</w:t>
      </w:r>
    </w:p>
    <w:p w14:paraId="64658504" w14:textId="77777777" w:rsidR="008F5CF8" w:rsidRPr="00CA4C14" w:rsidRDefault="008F5CF8" w:rsidP="00F41A0E">
      <w:pPr>
        <w:rPr>
          <w:lang w:val="ru-RU"/>
        </w:rPr>
      </w:pPr>
      <w:r w:rsidRPr="00CA4C14">
        <w:rPr>
          <w:rFonts w:eastAsia="Calibri" w:cs="Calibri"/>
          <w:szCs w:val="24"/>
          <w:lang w:val="ru-RU"/>
        </w:rPr>
        <w:t>В марте 2022 года Совет МСЭ одобрил новую Модель и систему подотчетности МСЭ. Мы совершенствуем информационные панели руководства, с тем чтобы предоставлять бизнес-данные из нашей системы ERP и других источников в режиме реального времени, содействуя тем самым динамическому анализу тенденций и отчетности. Эти усовершенствования на регулярной основе рассматриваются Координационным комитетом, Руководящей координационной группой и надзорными органами.</w:t>
      </w:r>
    </w:p>
    <w:p w14:paraId="25ACD7B3" w14:textId="77777777" w:rsidR="008F5CF8" w:rsidRPr="00CA4C14" w:rsidRDefault="008F5CF8" w:rsidP="00E25FB5">
      <w:pPr>
        <w:pStyle w:val="Headingb"/>
        <w:rPr>
          <w:lang w:val="ru-RU"/>
        </w:rPr>
      </w:pPr>
      <w:r w:rsidRPr="00CA4C14">
        <w:rPr>
          <w:rFonts w:eastAsia="Calibri" w:cs="Calibri"/>
          <w:bCs/>
          <w:szCs w:val="24"/>
          <w:lang w:val="ru-RU"/>
        </w:rPr>
        <w:t>Выполнение рекомендаций надзорных органов</w:t>
      </w:r>
    </w:p>
    <w:p w14:paraId="72DBC16B" w14:textId="77777777" w:rsidR="008F5CF8" w:rsidRPr="00CA4C14" w:rsidRDefault="008F5CF8" w:rsidP="00537CD9">
      <w:pPr>
        <w:rPr>
          <w:lang w:val="ru-RU"/>
        </w:rPr>
      </w:pPr>
      <w:r w:rsidRPr="00CA4C14">
        <w:rPr>
          <w:rFonts w:eastAsia="Calibri" w:cs="Calibri"/>
          <w:szCs w:val="24"/>
          <w:lang w:val="ru-RU"/>
        </w:rPr>
        <w:t>Рассматриваются рекомендации Подразделения по надзору, Объединенной инспекционной группы, Независимого консультативного комитета по управлению и Внешних аудиторов. Эти рекомендации учитываются в принимаемых нами мерах в целях укрепления системы руководства, управления рисками, а также деятельности по контролю.</w:t>
      </w:r>
    </w:p>
    <w:p w14:paraId="73982C71" w14:textId="77777777" w:rsidR="008F5CF8" w:rsidRPr="00CA4C14" w:rsidRDefault="008F5CF8" w:rsidP="00E25FB5">
      <w:pPr>
        <w:pStyle w:val="Headingb"/>
        <w:rPr>
          <w:lang w:val="ru-RU"/>
        </w:rPr>
      </w:pPr>
      <w:r w:rsidRPr="00CA4C14">
        <w:rPr>
          <w:rFonts w:eastAsia="Calibri" w:cs="Calibri"/>
          <w:bCs/>
          <w:szCs w:val="24"/>
          <w:lang w:val="ru-RU"/>
        </w:rPr>
        <w:t>Анализ эффективности по состоянию на 2023 год</w:t>
      </w:r>
    </w:p>
    <w:p w14:paraId="2FEDCD95" w14:textId="77777777" w:rsidR="008F5CF8" w:rsidRPr="00CA4C14" w:rsidRDefault="008F5CF8" w:rsidP="00537CD9">
      <w:pPr>
        <w:rPr>
          <w:lang w:val="ru-RU"/>
        </w:rPr>
      </w:pPr>
      <w:r w:rsidRPr="00CA4C14">
        <w:rPr>
          <w:rFonts w:eastAsia="Calibri" w:cs="Calibri"/>
          <w:szCs w:val="24"/>
          <w:lang w:val="ru-RU"/>
        </w:rPr>
        <w:t xml:space="preserve">В ноябре 2020 года МСЭ ввел корпоративную информационную панель по вопросам соблюдения для отслеживания и выполнения рекомендаций наших надзорных органов и судебно-бухгалтерской экспертизы 2021 года. К концу 2023 года нам удалось добиться показателя выполнения этих рекомендаций 77%. В ходе всеобъемлющего анализа, проведенного в августе 2023 года, были определены ключевые оперативные, стратегические и фидуциарные риски, что позволяет осуществлять постоянное обновление нашего реестра корпоративных рисков. </w:t>
      </w:r>
    </w:p>
    <w:p w14:paraId="50F4A193" w14:textId="77777777" w:rsidR="008F5CF8" w:rsidRPr="00CA4C14" w:rsidRDefault="008F5CF8" w:rsidP="00E25FB5">
      <w:pPr>
        <w:pStyle w:val="Headingb"/>
        <w:rPr>
          <w:color w:val="0070C0"/>
          <w:lang w:val="ru-RU"/>
        </w:rPr>
      </w:pPr>
      <w:r w:rsidRPr="00CA4C14">
        <w:rPr>
          <w:color w:val="0070C0"/>
          <w:lang w:val="ru-RU"/>
        </w:rPr>
        <w:t>Основные вопросы внутреннего контроля, определенные в течение 2023 года</w:t>
      </w:r>
    </w:p>
    <w:p w14:paraId="53E75313" w14:textId="77777777" w:rsidR="008F5CF8" w:rsidRPr="00CA4C14" w:rsidRDefault="008F5CF8" w:rsidP="00537CD9">
      <w:pPr>
        <w:rPr>
          <w:lang w:val="ru-RU"/>
        </w:rPr>
      </w:pPr>
      <w:r w:rsidRPr="00CA4C14">
        <w:rPr>
          <w:rFonts w:eastAsia="Calibri" w:cs="Calibri"/>
          <w:szCs w:val="24"/>
          <w:lang w:val="ru-RU"/>
        </w:rPr>
        <w:t>В 2023 году Международный союз электросвязи (МСЭ) провел тщательную оценку своих систем внутреннего контроля при помощи различных механизмов, включая вопросники самооценки и надзорные поручения. Этот анализ позволил выявить ряд требующих усовершенствования областей, которые имеют важнейшее значение для укрепления нашей системы руководства, управления рисками и внутреннего контроля. В целях систематического решения наиболее важных проблем внутреннего контроля мы структурировали инициативы МСЭ в соответствии с пятью ключевыми компонентами вышеупомянутой системы COSO. Ниже приводятся ключевые вопросы внутреннего контроля, определенные в течение 2023 года, и излагаются принятые меры.</w:t>
      </w:r>
    </w:p>
    <w:p w14:paraId="6C6AF576" w14:textId="77777777" w:rsidR="008F5CF8" w:rsidRPr="00CA4C14" w:rsidRDefault="008F5CF8" w:rsidP="00CF3DA3">
      <w:pPr>
        <w:pStyle w:val="Heading2"/>
        <w:rPr>
          <w:lang w:val="ru-RU"/>
        </w:rPr>
      </w:pPr>
      <w:r w:rsidRPr="00CA4C14">
        <w:rPr>
          <w:rFonts w:eastAsia="Calibri"/>
          <w:lang w:val="ru-RU"/>
        </w:rPr>
        <w:t>1</w:t>
      </w:r>
      <w:r w:rsidRPr="00CA4C14">
        <w:rPr>
          <w:rFonts w:eastAsia="Calibri"/>
          <w:lang w:val="ru-RU"/>
        </w:rPr>
        <w:tab/>
        <w:t>Среда контроля</w:t>
      </w:r>
    </w:p>
    <w:p w14:paraId="5E57AFD8" w14:textId="77777777" w:rsidR="008F5CF8" w:rsidRPr="00CA4C14" w:rsidRDefault="008F5CF8" w:rsidP="00CF3DA3">
      <w:pPr>
        <w:rPr>
          <w:rFonts w:eastAsia="Calibri"/>
          <w:color w:val="333333"/>
          <w:lang w:val="ru-RU"/>
        </w:rPr>
      </w:pPr>
      <w:r w:rsidRPr="00CA4C14">
        <w:rPr>
          <w:rFonts w:eastAsia="Calibri"/>
          <w:i/>
          <w:iCs/>
          <w:lang w:val="ru-RU"/>
        </w:rPr>
        <w:t>Приверженность руководства</w:t>
      </w:r>
      <w:r w:rsidRPr="00CA4C14">
        <w:rPr>
          <w:rFonts w:eastAsia="Calibri"/>
          <w:lang w:val="ru-RU"/>
        </w:rPr>
        <w:t>.</w:t>
      </w:r>
      <w:r w:rsidRPr="00CA4C14">
        <w:rPr>
          <w:rFonts w:eastAsia="Calibri"/>
          <w:i/>
          <w:iCs/>
          <w:lang w:val="ru-RU"/>
        </w:rPr>
        <w:t xml:space="preserve"> </w:t>
      </w:r>
      <w:r w:rsidRPr="00CA4C14">
        <w:rPr>
          <w:rFonts w:eastAsia="Calibri"/>
          <w:lang w:val="ru-RU"/>
        </w:rPr>
        <w:t xml:space="preserve">Наша команда руководства "задает тон на самом верху", демонстрируя приверженность соблюдению этических норм и надежному управлению в соответствии с учредительной нормативно-правовой базой МСЭ, обеспечивая при этом наличие соответствующих структур отчетности, которые выстраиваются по нисходящей и по </w:t>
      </w:r>
      <w:r w:rsidRPr="00CA4C14">
        <w:rPr>
          <w:rFonts w:eastAsia="Calibri"/>
          <w:lang w:val="ru-RU"/>
        </w:rPr>
        <w:lastRenderedPageBreak/>
        <w:t>всей организации с четким делегированием полномочий, ответственности и связанной с этим подотчетности. Команда руководства также привержена делу поощрения производственной культуры, основанной на компетентности, уважении и служении нашим Членам. Поэтому команда уделила пристальное внимание результатам опроса персонала в 2023 году и приняла меры по исправлению положения, где это было необходимо.</w:t>
      </w:r>
    </w:p>
    <w:p w14:paraId="6501D499" w14:textId="77777777" w:rsidR="008F5CF8" w:rsidRPr="00CA4C14" w:rsidRDefault="008F5CF8" w:rsidP="00CF3DA3">
      <w:pPr>
        <w:rPr>
          <w:lang w:val="ru-RU"/>
        </w:rPr>
      </w:pPr>
      <w:r w:rsidRPr="00CA4C14">
        <w:rPr>
          <w:rFonts w:eastAsia="Calibri" w:cs="Calibri"/>
          <w:i/>
          <w:iCs/>
          <w:szCs w:val="24"/>
          <w:lang w:val="ru-RU"/>
        </w:rPr>
        <w:t>Заявление о заинтересованности</w:t>
      </w:r>
      <w:r w:rsidRPr="00CA4C14">
        <w:rPr>
          <w:rFonts w:eastAsia="Calibri" w:cs="Calibri"/>
          <w:szCs w:val="24"/>
          <w:lang w:val="ru-RU"/>
        </w:rPr>
        <w:t>. Высший руководящий состав продолжает осуществлять неусыпный надзор и совершенствование нашей системы внутреннего контроля, в особенности в таких областях как привлечение консультантов и соблюдение Политики по заявлению о заинтересованности. Нашу приверженность этичному управлению подчеркивает ежегодное мероприятие по подаче заявлений о заинтересованности, обновленных в 2022 году для учета обладателей специальных соглашений об услугах. Тем не менее требуется дальнейшая работа, чтобы обеспечить своевременное выполнение, а также последующий контроль неполученных заявлений.</w:t>
      </w:r>
    </w:p>
    <w:p w14:paraId="1245D756" w14:textId="77777777" w:rsidR="008F5CF8" w:rsidRPr="00CA4C14" w:rsidRDefault="008F5CF8" w:rsidP="00CF3DA3">
      <w:pPr>
        <w:rPr>
          <w:lang w:val="ru-RU"/>
        </w:rPr>
      </w:pPr>
      <w:r w:rsidRPr="00CA4C14">
        <w:rPr>
          <w:rFonts w:eastAsia="Calibri" w:cs="Calibri"/>
          <w:i/>
          <w:iCs/>
          <w:szCs w:val="24"/>
          <w:lang w:val="ru-RU"/>
        </w:rPr>
        <w:t>Выводы</w:t>
      </w:r>
      <w:r w:rsidRPr="00CA4C14">
        <w:rPr>
          <w:rFonts w:eastAsia="Calibri" w:cs="Calibri"/>
          <w:szCs w:val="24"/>
          <w:lang w:val="ru-RU"/>
        </w:rPr>
        <w:t>,</w:t>
      </w:r>
      <w:r w:rsidRPr="00CA4C14">
        <w:rPr>
          <w:rFonts w:eastAsia="Calibri" w:cs="Calibri"/>
          <w:i/>
          <w:iCs/>
          <w:szCs w:val="24"/>
          <w:lang w:val="ru-RU"/>
        </w:rPr>
        <w:t xml:space="preserve"> сделанные Подразделением по надзору</w:t>
      </w:r>
      <w:r w:rsidRPr="00CA4C14">
        <w:rPr>
          <w:rFonts w:eastAsia="Calibri" w:cs="Calibri"/>
          <w:szCs w:val="24"/>
          <w:lang w:val="ru-RU"/>
        </w:rPr>
        <w:t>,</w:t>
      </w:r>
      <w:r w:rsidRPr="00CA4C14">
        <w:rPr>
          <w:rFonts w:eastAsia="Calibri" w:cs="Calibri"/>
          <w:i/>
          <w:iCs/>
          <w:szCs w:val="24"/>
          <w:lang w:val="ru-RU"/>
        </w:rPr>
        <w:t xml:space="preserve"> </w:t>
      </w:r>
      <w:r w:rsidRPr="00CA4C14">
        <w:rPr>
          <w:rFonts w:eastAsia="Calibri" w:cs="Calibri"/>
          <w:szCs w:val="24"/>
          <w:lang w:val="ru-RU"/>
        </w:rPr>
        <w:t>подчеркивают необходимость повышения эффективности руководства и контроля. Руководители взяли на себя обязательство решить выявленные проблемы путем выполнения рекомендованных шагов, а Подразделение по надзору будет отслеживать прогресс при помощи информационной панели по вопросам осуществления. Кроме того, Независимый консультативный комитет по управлению продолжает предоставлять экспертные руководящие указания мне и Совету МСЭ, обеспечивая эффективность нашей системы управления и внутреннего контроля.</w:t>
      </w:r>
    </w:p>
    <w:p w14:paraId="1C62CB59" w14:textId="33B82B40" w:rsidR="008F5CF8" w:rsidRPr="00CA4C14" w:rsidRDefault="008F5CF8" w:rsidP="00CF3DA3">
      <w:pPr>
        <w:rPr>
          <w:lang w:val="ru-RU"/>
        </w:rPr>
      </w:pPr>
      <w:r w:rsidRPr="00CA4C14">
        <w:rPr>
          <w:rFonts w:eastAsia="Calibri" w:cs="Calibri"/>
          <w:i/>
          <w:iCs/>
          <w:szCs w:val="24"/>
          <w:lang w:val="ru-RU"/>
        </w:rPr>
        <w:t>Создание Группы по трансформации</w:t>
      </w:r>
      <w:r w:rsidRPr="00CA4C14">
        <w:rPr>
          <w:rFonts w:eastAsia="Calibri" w:cs="Calibri"/>
          <w:szCs w:val="24"/>
          <w:lang w:val="ru-RU"/>
        </w:rPr>
        <w:t>. В 2023 году Совет утвердил создание Группы МСЭ по трансформации, мандат которой подразумевает содействие преобразованию МСЭ на пути самосовершенствования на организационном уровне. Был назначен временный руководитель Группы по трансформации, приступивший к работе с 11 декабря 2023 года, для того чтобы определить состав Группы по трансформации, окончательно проработать детали и определить сроки дорожной карты по трансформации, которая будет представлена Совету на его сессии 2024</w:t>
      </w:r>
      <w:r w:rsidR="00DC0E8F" w:rsidRPr="00CA4C14">
        <w:rPr>
          <w:rFonts w:eastAsia="Calibri" w:cs="Calibri"/>
          <w:szCs w:val="24"/>
          <w:lang w:val="ru-RU"/>
        </w:rPr>
        <w:t> </w:t>
      </w:r>
      <w:r w:rsidRPr="00CA4C14">
        <w:rPr>
          <w:rFonts w:eastAsia="Calibri" w:cs="Calibri"/>
          <w:szCs w:val="24"/>
          <w:lang w:val="ru-RU"/>
        </w:rPr>
        <w:t>года. В настоящее время идет процесс отбора кандидатов на должность Руководителя Группы по трансформации на уровне D1, который, как ожидается, завершится во 2-м квартале 2024</w:t>
      </w:r>
      <w:r w:rsidR="00DC0E8F" w:rsidRPr="00CA4C14">
        <w:rPr>
          <w:rFonts w:eastAsia="Calibri" w:cs="Calibri"/>
          <w:szCs w:val="24"/>
          <w:lang w:val="ru-RU"/>
        </w:rPr>
        <w:t> </w:t>
      </w:r>
      <w:r w:rsidRPr="00CA4C14">
        <w:rPr>
          <w:rFonts w:eastAsia="Calibri" w:cs="Calibri"/>
          <w:szCs w:val="24"/>
          <w:lang w:val="ru-RU"/>
        </w:rPr>
        <w:t>года.</w:t>
      </w:r>
    </w:p>
    <w:p w14:paraId="151FC54A" w14:textId="75BEA24B" w:rsidR="008F5CF8" w:rsidRPr="00CA4C14" w:rsidRDefault="008F5CF8" w:rsidP="00CF3DA3">
      <w:pPr>
        <w:rPr>
          <w:lang w:val="ru-RU"/>
        </w:rPr>
      </w:pPr>
      <w:r w:rsidRPr="00CA4C14">
        <w:rPr>
          <w:rFonts w:eastAsia="Calibri" w:cs="Calibri"/>
          <w:i/>
          <w:iCs/>
          <w:szCs w:val="24"/>
          <w:lang w:val="ru-RU"/>
        </w:rPr>
        <w:t>Управление, ориентированное на результаты (УОР)</w:t>
      </w:r>
      <w:r w:rsidRPr="00CA4C14">
        <w:rPr>
          <w:rFonts w:eastAsia="Calibri" w:cs="Calibri"/>
          <w:szCs w:val="24"/>
          <w:lang w:val="ru-RU"/>
        </w:rPr>
        <w:t>. В июле 2023 года Совет принял к сведению План трансформации процесса управления финансами, содержащийся в Документе</w:t>
      </w:r>
      <w:r w:rsidR="00DC0E8F" w:rsidRPr="00CA4C14">
        <w:rPr>
          <w:rFonts w:eastAsia="Calibri" w:cs="Calibri"/>
          <w:szCs w:val="24"/>
          <w:lang w:val="ru-RU"/>
        </w:rPr>
        <w:t> </w:t>
      </w:r>
      <w:hyperlink r:id="rId15" w:history="1">
        <w:r w:rsidRPr="00CA4C14">
          <w:rPr>
            <w:rStyle w:val="Hyperlink"/>
            <w:rFonts w:eastAsia="Calibri" w:cs="Calibri"/>
            <w:szCs w:val="24"/>
            <w:lang w:val="ru-RU"/>
          </w:rPr>
          <w:t>C23/50</w:t>
        </w:r>
      </w:hyperlink>
      <w:r w:rsidRPr="00CA4C14">
        <w:rPr>
          <w:rFonts w:eastAsia="Calibri" w:cs="Calibri"/>
          <w:szCs w:val="24"/>
          <w:lang w:val="ru-RU"/>
        </w:rPr>
        <w:t>. В соответствии с данным планом, МСЭ будет улучшать систему подотчетности, прозрачность и эффективность программ организации при помощи УОР. Это будет способствовать дальнейшему повышению прозрачности в отношении расстановки приоритетов в организации и эффективное распределение ресурсов. Предварительная работа началась на основании текущих процессов и соответствующих систем. В этой области необходима дальнейшая серьезная работа, которая станет частью дорожной карты по трансформации.</w:t>
      </w:r>
    </w:p>
    <w:p w14:paraId="7EE064F2" w14:textId="77777777" w:rsidR="008F5CF8" w:rsidRPr="00CA4C14" w:rsidRDefault="008F5CF8" w:rsidP="00CF3DA3">
      <w:pPr>
        <w:pStyle w:val="Heading2"/>
        <w:rPr>
          <w:lang w:val="ru-RU"/>
        </w:rPr>
      </w:pPr>
      <w:r w:rsidRPr="00CA4C14">
        <w:rPr>
          <w:rFonts w:eastAsia="Calibri" w:cs="Calibri"/>
          <w:bCs/>
          <w:szCs w:val="24"/>
          <w:lang w:val="ru-RU"/>
        </w:rPr>
        <w:t>2</w:t>
      </w:r>
      <w:r w:rsidRPr="00CA4C14">
        <w:rPr>
          <w:rFonts w:eastAsia="Calibri" w:cs="Calibri"/>
          <w:b w:val="0"/>
          <w:bCs/>
          <w:szCs w:val="24"/>
          <w:lang w:val="ru-RU"/>
        </w:rPr>
        <w:tab/>
      </w:r>
      <w:r w:rsidRPr="00CA4C14">
        <w:rPr>
          <w:rFonts w:eastAsia="Calibri" w:cs="Calibri"/>
          <w:bCs/>
          <w:szCs w:val="24"/>
          <w:lang w:val="ru-RU"/>
        </w:rPr>
        <w:t>Оценка рисков</w:t>
      </w:r>
    </w:p>
    <w:p w14:paraId="018D998B" w14:textId="77777777" w:rsidR="008F5CF8" w:rsidRPr="00CA4C14" w:rsidRDefault="008F5CF8" w:rsidP="00CF3DA3">
      <w:pPr>
        <w:rPr>
          <w:lang w:val="ru-RU"/>
        </w:rPr>
      </w:pPr>
      <w:r w:rsidRPr="00CA4C14">
        <w:rPr>
          <w:rFonts w:eastAsia="Calibri" w:cs="Calibri"/>
          <w:i/>
          <w:iCs/>
          <w:szCs w:val="24"/>
          <w:lang w:val="ru-RU"/>
        </w:rPr>
        <w:t>Процессы управления рисками</w:t>
      </w:r>
      <w:r w:rsidRPr="00CA4C14">
        <w:rPr>
          <w:rFonts w:eastAsia="Calibri" w:cs="Calibri"/>
          <w:szCs w:val="24"/>
          <w:lang w:val="ru-RU"/>
        </w:rPr>
        <w:t>.</w:t>
      </w:r>
      <w:r w:rsidRPr="00CA4C14">
        <w:rPr>
          <w:rFonts w:eastAsia="Calibri" w:cs="Calibri"/>
          <w:i/>
          <w:iCs/>
          <w:szCs w:val="24"/>
          <w:lang w:val="ru-RU"/>
        </w:rPr>
        <w:t xml:space="preserve"> </w:t>
      </w:r>
      <w:r w:rsidRPr="00CA4C14">
        <w:rPr>
          <w:rFonts w:eastAsia="Calibri" w:cs="Calibri"/>
          <w:szCs w:val="24"/>
          <w:lang w:val="ru-RU"/>
        </w:rPr>
        <w:t>Процессы управления рисками в МСЭ, охватывающие определение, оценку и реагирование на риски, закреплены в реестре корпоративных рисков. В рамках нынешнего обновления реестра корпоративных рисков в сферу охвата вошли также риски, связанные с управлением людскими ресурсами и деятельностью по закупкам. Кроме того, серьезные риски доводятся до сведения Руководящей координационной группы.</w:t>
      </w:r>
    </w:p>
    <w:p w14:paraId="30482644" w14:textId="77777777" w:rsidR="008F5CF8" w:rsidRPr="00CA4C14" w:rsidRDefault="008F5CF8" w:rsidP="00CF3DA3">
      <w:pPr>
        <w:pStyle w:val="Heading2"/>
        <w:rPr>
          <w:lang w:val="ru-RU"/>
        </w:rPr>
      </w:pPr>
      <w:r w:rsidRPr="00CA4C14">
        <w:rPr>
          <w:rFonts w:eastAsia="Calibri" w:cs="Calibri"/>
          <w:bCs/>
          <w:szCs w:val="24"/>
          <w:lang w:val="ru-RU"/>
        </w:rPr>
        <w:t>3</w:t>
      </w:r>
      <w:r w:rsidRPr="00CA4C14">
        <w:rPr>
          <w:rFonts w:eastAsia="Calibri" w:cs="Calibri"/>
          <w:b w:val="0"/>
          <w:bCs/>
          <w:szCs w:val="24"/>
          <w:lang w:val="ru-RU"/>
        </w:rPr>
        <w:tab/>
      </w:r>
      <w:r w:rsidRPr="00CA4C14">
        <w:rPr>
          <w:rFonts w:eastAsia="Calibri" w:cs="Calibri"/>
          <w:bCs/>
          <w:szCs w:val="24"/>
          <w:lang w:val="ru-RU"/>
        </w:rPr>
        <w:t>Деятельность по контролю</w:t>
      </w:r>
    </w:p>
    <w:p w14:paraId="5AF0BE18" w14:textId="77777777" w:rsidR="008F5CF8" w:rsidRPr="00CA4C14" w:rsidRDefault="008F5CF8" w:rsidP="00CF3DA3">
      <w:pPr>
        <w:rPr>
          <w:lang w:val="ru-RU"/>
        </w:rPr>
      </w:pPr>
      <w:r w:rsidRPr="00CA4C14">
        <w:rPr>
          <w:rFonts w:eastAsia="Calibri" w:cs="Calibri"/>
          <w:i/>
          <w:iCs/>
          <w:szCs w:val="24"/>
          <w:lang w:val="ru-RU"/>
        </w:rPr>
        <w:t>Усовершенствования финансовой отчетности</w:t>
      </w:r>
      <w:r w:rsidRPr="00CA4C14">
        <w:rPr>
          <w:rFonts w:eastAsia="Calibri" w:cs="Calibri"/>
          <w:szCs w:val="24"/>
          <w:lang w:val="ru-RU"/>
        </w:rPr>
        <w:t xml:space="preserve">. Финансовая отчетность за 2022 год была утверждена в январе 2024 года; продолжается работа по ключевым направлениям в целях </w:t>
      </w:r>
      <w:r w:rsidRPr="00CA4C14">
        <w:rPr>
          <w:rFonts w:eastAsia="Calibri" w:cs="Calibri"/>
          <w:szCs w:val="24"/>
          <w:lang w:val="ru-RU"/>
        </w:rPr>
        <w:lastRenderedPageBreak/>
        <w:t>улучшения процесса отчетности МСЭ за 2023 и будущие годы. В результате этих усилий была пересмотрена политика в области бухгалтерского учета, повышено качество выверок, а также проведен тщательный анализ существующей в МСЭ практики закрытия финансового года.</w:t>
      </w:r>
      <w:r w:rsidRPr="00CA4C14">
        <w:rPr>
          <w:lang w:val="ru-RU"/>
        </w:rPr>
        <w:t xml:space="preserve"> </w:t>
      </w:r>
      <w:r w:rsidRPr="00CA4C14">
        <w:rPr>
          <w:rFonts w:eastAsia="Calibri" w:cs="Calibri"/>
          <w:szCs w:val="24"/>
          <w:lang w:val="ru-RU"/>
        </w:rPr>
        <w:t>МСЭ воспользовался услугами внешних экспертов, чтобы обеспечить выполнение требований к отчетности по IPSAS к 2023 году, а также укрепил штат сотрудников, создав две дополнительные должности для содействия службам бухгалтерского учета и финансовой отчетности в долгосрочной перспективе. Будет проделана дополнительная работа над процессами предоставления отчетности в 2023 году, с тем чтобы гарантировать оптимизацию деятельности МСЭ на этом направлении. Постоянные усовершенствования представляют собой практические шаги по укреплению деятельности МСЭ по контролю в целях обеспечения надежности и достоверности финансовой отчетности.</w:t>
      </w:r>
    </w:p>
    <w:p w14:paraId="60B97752" w14:textId="77777777" w:rsidR="008F5CF8" w:rsidRPr="00CA4C14" w:rsidRDefault="008F5CF8" w:rsidP="00CF3DA3">
      <w:pPr>
        <w:rPr>
          <w:lang w:val="ru-RU"/>
        </w:rPr>
      </w:pPr>
      <w:r w:rsidRPr="00CA4C14">
        <w:rPr>
          <w:rFonts w:eastAsia="Calibri" w:cs="Calibri"/>
          <w:i/>
          <w:iCs/>
          <w:szCs w:val="24"/>
          <w:lang w:val="ru-RU"/>
        </w:rPr>
        <w:t>Отмена добровольных платежей</w:t>
      </w:r>
      <w:r w:rsidRPr="00CA4C14">
        <w:rPr>
          <w:rFonts w:eastAsia="Calibri" w:cs="Calibri"/>
          <w:szCs w:val="24"/>
          <w:lang w:val="ru-RU"/>
        </w:rPr>
        <w:t>. Решение отменить эти платежи и предложить упразднить Статью 10.4 свидетельствует о приверженности соблюдению стандартов этики и добросовестности. Действительно, в 2023 году Совет утвердил предложенное изменение, согласно которому Генеральный секретарь больше не сможет осуществлять платежи. В 2023 году добровольных платежей не производилось.</w:t>
      </w:r>
    </w:p>
    <w:p w14:paraId="462369CB" w14:textId="77777777" w:rsidR="008F5CF8" w:rsidRPr="00CA4C14" w:rsidRDefault="008F5CF8" w:rsidP="00CF3DA3">
      <w:pPr>
        <w:pStyle w:val="Heading2"/>
        <w:rPr>
          <w:lang w:val="ru-RU"/>
        </w:rPr>
      </w:pPr>
      <w:r w:rsidRPr="00CA4C14">
        <w:rPr>
          <w:rFonts w:eastAsia="Calibri" w:cs="Calibri"/>
          <w:bCs/>
          <w:szCs w:val="24"/>
          <w:lang w:val="ru-RU"/>
        </w:rPr>
        <w:t>4</w:t>
      </w:r>
      <w:r w:rsidRPr="00CA4C14">
        <w:rPr>
          <w:rFonts w:eastAsia="Calibri" w:cs="Calibri"/>
          <w:b w:val="0"/>
          <w:bCs/>
          <w:szCs w:val="24"/>
          <w:lang w:val="ru-RU"/>
        </w:rPr>
        <w:tab/>
      </w:r>
      <w:r w:rsidRPr="00CA4C14">
        <w:rPr>
          <w:rFonts w:eastAsia="Calibri" w:cs="Calibri"/>
          <w:bCs/>
          <w:szCs w:val="24"/>
          <w:lang w:val="ru-RU"/>
        </w:rPr>
        <w:t>Информационно-коммуникационная деятельность</w:t>
      </w:r>
    </w:p>
    <w:p w14:paraId="579E64E4" w14:textId="77777777" w:rsidR="008F5CF8" w:rsidRPr="00CA4C14" w:rsidRDefault="008F5CF8" w:rsidP="00CF3DA3">
      <w:pPr>
        <w:rPr>
          <w:lang w:val="ru-RU"/>
        </w:rPr>
      </w:pPr>
      <w:r w:rsidRPr="00CA4C14">
        <w:rPr>
          <w:rFonts w:eastAsia="Calibri" w:cs="Calibri"/>
          <w:i/>
          <w:iCs/>
          <w:szCs w:val="24"/>
          <w:lang w:val="ru-RU"/>
        </w:rPr>
        <w:t>Портал, электронная почта и корпоративный интранет</w:t>
      </w:r>
      <w:r w:rsidRPr="00CA4C14">
        <w:rPr>
          <w:rFonts w:eastAsia="Calibri" w:cs="Calibri"/>
          <w:szCs w:val="24"/>
          <w:lang w:val="ru-RU"/>
        </w:rPr>
        <w:t>.</w:t>
      </w:r>
      <w:r w:rsidRPr="00CA4C14">
        <w:rPr>
          <w:lang w:val="ru-RU"/>
        </w:rPr>
        <w:t xml:space="preserve"> </w:t>
      </w:r>
      <w:r w:rsidRPr="00CA4C14">
        <w:rPr>
          <w:rFonts w:eastAsia="Calibri" w:cs="Calibri"/>
          <w:szCs w:val="24"/>
          <w:lang w:val="ru-RU"/>
        </w:rPr>
        <w:t>На этих платформах регулярно публикуется обновленная информация, охватывающая различные темы, которые имеют важное значение для процессов внутреннего контроля. К таковым относятся сведения о методах телеработы, напоминания о требованиях к поездкам ДОБ ООН, обновления по служебным приказам и уведомления об упразднении утративших актуальность служебных меморандумов.</w:t>
      </w:r>
    </w:p>
    <w:p w14:paraId="729157FD" w14:textId="77777777" w:rsidR="008F5CF8" w:rsidRPr="00CA4C14" w:rsidRDefault="008F5CF8" w:rsidP="00CF3DA3">
      <w:pPr>
        <w:rPr>
          <w:lang w:val="ru-RU"/>
        </w:rPr>
      </w:pPr>
      <w:r w:rsidRPr="00CA4C14">
        <w:rPr>
          <w:rFonts w:eastAsia="Calibri" w:cs="Calibri"/>
          <w:i/>
          <w:iCs/>
          <w:szCs w:val="24"/>
          <w:lang w:val="ru-RU"/>
        </w:rPr>
        <w:t>Общие собрания</w:t>
      </w:r>
      <w:r w:rsidRPr="00CA4C14">
        <w:rPr>
          <w:rFonts w:eastAsia="Calibri" w:cs="Calibri"/>
          <w:szCs w:val="24"/>
          <w:lang w:val="ru-RU"/>
        </w:rPr>
        <w:t>. Информация по вопросам контроля также доводится до сведения персонала в ходе регулярных общих собраний, что обеспечивает широкую информированность и соблюдение в рамках организации.</w:t>
      </w:r>
    </w:p>
    <w:p w14:paraId="4CE98AF5" w14:textId="77777777" w:rsidR="008F5CF8" w:rsidRPr="00CA4C14" w:rsidRDefault="008F5CF8" w:rsidP="00CF3DA3">
      <w:pPr>
        <w:rPr>
          <w:lang w:val="ru-RU"/>
        </w:rPr>
      </w:pPr>
      <w:r w:rsidRPr="00CA4C14">
        <w:rPr>
          <w:rFonts w:eastAsia="Calibri" w:cs="Calibri"/>
          <w:szCs w:val="24"/>
          <w:lang w:val="ru-RU"/>
        </w:rPr>
        <w:t>Благодаря этим механизмам персонал осведомлен о требованиях в области внутреннего контроля, которые имеют важнейшее значение для организационной целостности и соблюдения нормативных положений.</w:t>
      </w:r>
    </w:p>
    <w:p w14:paraId="3684B132" w14:textId="77777777" w:rsidR="008F5CF8" w:rsidRPr="00CA4C14" w:rsidRDefault="008F5CF8" w:rsidP="00CF3DA3">
      <w:pPr>
        <w:rPr>
          <w:lang w:val="ru-RU"/>
        </w:rPr>
      </w:pPr>
      <w:r w:rsidRPr="00CA4C14">
        <w:rPr>
          <w:rFonts w:eastAsia="Calibri" w:cs="Calibri"/>
          <w:i/>
          <w:iCs/>
          <w:szCs w:val="24"/>
          <w:lang w:val="ru-RU"/>
        </w:rPr>
        <w:t>Обновленная информация о строительстве нового здания</w:t>
      </w:r>
      <w:r w:rsidRPr="00CA4C14">
        <w:rPr>
          <w:rFonts w:eastAsia="Calibri" w:cs="Calibri"/>
          <w:szCs w:val="24"/>
          <w:lang w:val="ru-RU"/>
        </w:rPr>
        <w:t>. Продолжается процесс обсуждений с Членами МСЭ проекта нового здания. Демонтаж здания "Варембе" и последующее строительство зависят от окончательного решения Членов Союза и обеспечения полного финансирования. Недавно МСЭ назначил нового руководителя Отдела административно-хозяйственного управления и проекта строительства здания, который приступил к работе с 1 мая 2024 года. Надзор за реализацией проекта осуществляет заместитель Генерального секретаря. Структура управления включает в себя Правление проекта по строительству нового здания (на оперативном уровне) и Руководящий комитет (на стратегическом уровне), в состав которых входят представители всех соответствующих подразделений Секретариата МСЭ, включая Совет персонала, а также Консультативную группу государств-членов (КГГЧ). В январе 2024 года секретариат представил обновленную информацию РГС-ФЛР, а также будет информировать собрание РГС-ФЛР в июне и Совет 2024 года.</w:t>
      </w:r>
    </w:p>
    <w:p w14:paraId="1B8E9CFD" w14:textId="77777777" w:rsidR="008F5CF8" w:rsidRPr="00CA4C14" w:rsidRDefault="008F5CF8" w:rsidP="00CF3DA3">
      <w:pPr>
        <w:rPr>
          <w:lang w:val="ru-RU"/>
        </w:rPr>
      </w:pPr>
      <w:r w:rsidRPr="00CA4C14">
        <w:rPr>
          <w:rFonts w:eastAsia="Calibri" w:cs="Calibri"/>
          <w:i/>
          <w:iCs/>
          <w:szCs w:val="24"/>
          <w:lang w:val="ru-RU"/>
        </w:rPr>
        <w:t>Информационная работа по дорожной карте трансформации</w:t>
      </w:r>
      <w:r w:rsidRPr="00CA4C14">
        <w:rPr>
          <w:rFonts w:eastAsia="Calibri" w:cs="Calibri"/>
          <w:szCs w:val="24"/>
          <w:lang w:val="ru-RU"/>
        </w:rPr>
        <w:t>. Благодаря постоянному информированию о дорожной карте трансформации, в том числе запланированному докладу Совету, все подразделения МСЭ координируют деятельность и информируются об изменениях; это имеет жизненно важное значение для эффективности информации и коммуникаций в соответствии с требованиями COSO.</w:t>
      </w:r>
    </w:p>
    <w:p w14:paraId="492956DF" w14:textId="77777777" w:rsidR="008F5CF8" w:rsidRPr="00CA4C14" w:rsidRDefault="008F5CF8" w:rsidP="00CF3DA3">
      <w:pPr>
        <w:pStyle w:val="Heading2"/>
        <w:rPr>
          <w:lang w:val="ru-RU"/>
        </w:rPr>
      </w:pPr>
      <w:r w:rsidRPr="00CA4C14">
        <w:rPr>
          <w:rFonts w:eastAsia="Calibri" w:cs="Calibri"/>
          <w:bCs/>
          <w:szCs w:val="24"/>
          <w:lang w:val="ru-RU"/>
        </w:rPr>
        <w:lastRenderedPageBreak/>
        <w:t>5</w:t>
      </w:r>
      <w:r w:rsidRPr="00CA4C14">
        <w:rPr>
          <w:rFonts w:eastAsia="Calibri" w:cs="Calibri"/>
          <w:b w:val="0"/>
          <w:bCs/>
          <w:szCs w:val="24"/>
          <w:lang w:val="ru-RU"/>
        </w:rPr>
        <w:tab/>
      </w:r>
      <w:r w:rsidRPr="00CA4C14">
        <w:rPr>
          <w:rFonts w:eastAsia="Calibri" w:cs="Calibri"/>
          <w:bCs/>
          <w:szCs w:val="24"/>
          <w:lang w:val="ru-RU"/>
        </w:rPr>
        <w:t>Деятельность по мониторингу</w:t>
      </w:r>
    </w:p>
    <w:p w14:paraId="51F6955B" w14:textId="77777777" w:rsidR="008F5CF8" w:rsidRPr="00CA4C14" w:rsidRDefault="008F5CF8" w:rsidP="00CF3DA3">
      <w:pPr>
        <w:rPr>
          <w:lang w:val="ru-RU"/>
        </w:rPr>
      </w:pPr>
      <w:r w:rsidRPr="00CA4C14">
        <w:rPr>
          <w:rFonts w:eastAsia="Calibri" w:cs="Calibri"/>
          <w:i/>
          <w:iCs/>
          <w:szCs w:val="24"/>
          <w:lang w:val="ru-RU"/>
        </w:rPr>
        <w:t>Оценка механизма контроля ERP</w:t>
      </w:r>
      <w:r w:rsidRPr="00CA4C14">
        <w:rPr>
          <w:rFonts w:eastAsia="Calibri" w:cs="Calibri"/>
          <w:szCs w:val="24"/>
          <w:lang w:val="ru-RU"/>
        </w:rPr>
        <w:t>. В 2023 году МСЭ обратился к помощи внешних экспертов для проведения тщательного анализа нашей системы планирования ресурсов предприятия (ERP) с упором на потенциальные конфликты в области разделения обязанностей, недочеты и проблемы с соблюдением требований, в том числе в отношении важнейших видов деятельности и подпроцессов, которые могут быть использованы для мошеннических действий. Начиная с 2024 года эти обзоры будут проводиться ежегодно, учитывая растущую центральную роль системы ERP в бизнес-процессах МСЭ. Кроме того, МСЭ рассматривает рекомендацию надзорных органов приобрести и внедрить в нашу систему ERP такой компонент как "управление, управление рисками и обеспечение соответствия"</w:t>
      </w:r>
      <w:r w:rsidRPr="00CA4C14">
        <w:rPr>
          <w:rFonts w:eastAsia="Calibri" w:cs="Calibri"/>
          <w:i/>
          <w:iCs/>
          <w:szCs w:val="24"/>
          <w:lang w:val="ru-RU"/>
        </w:rPr>
        <w:t xml:space="preserve"> </w:t>
      </w:r>
      <w:r w:rsidRPr="00CA4C14">
        <w:rPr>
          <w:rFonts w:eastAsia="Calibri" w:cs="Calibri"/>
          <w:szCs w:val="24"/>
          <w:lang w:val="ru-RU"/>
        </w:rPr>
        <w:t>(GRC).</w:t>
      </w:r>
    </w:p>
    <w:p w14:paraId="7BCCB6EC" w14:textId="77777777" w:rsidR="008F5CF8" w:rsidRPr="00CA4C14" w:rsidRDefault="008F5CF8" w:rsidP="00F41A0E">
      <w:pPr>
        <w:pStyle w:val="Headingb"/>
        <w:rPr>
          <w:color w:val="0070C0"/>
          <w:lang w:val="ru-RU"/>
        </w:rPr>
      </w:pPr>
      <w:r w:rsidRPr="00CA4C14">
        <w:rPr>
          <w:color w:val="0070C0"/>
          <w:lang w:val="ru-RU"/>
        </w:rPr>
        <w:t>Вывод и будущие обязательства</w:t>
      </w:r>
    </w:p>
    <w:p w14:paraId="77926707" w14:textId="77777777" w:rsidR="008F5CF8" w:rsidRPr="00CA4C14" w:rsidRDefault="008F5CF8" w:rsidP="00CF3DA3">
      <w:pPr>
        <w:rPr>
          <w:lang w:val="ru-RU"/>
        </w:rPr>
      </w:pPr>
      <w:r w:rsidRPr="00CA4C14">
        <w:rPr>
          <w:rFonts w:eastAsia="Calibri"/>
          <w:lang w:val="ru-RU"/>
        </w:rPr>
        <w:t>Заключение о внутреннем контроле МСЭ за год, завершившийся 31 декабря 2023 года, свидетельствует о нашей приверженности делу укрепления системы внутреннего контроля в целях обеспечения эффективного и результативного функционирования организации, а также соблюдения соответствующих нормативных положений и политики. В течение года был достигнут прогресс, в особенности после учреждения Подразделения по надзору и эффективного выполнения рекомендаций внутреннего контроля и внешнего аудита. Оценки, проведенные Подразделением по надзору в 2023 году, позволили сделать вывод о том, что хотя наша система внутреннего контроля достаточно работоспособна, она нуждается в целенаправленных улучшениях для повышения эффективности.</w:t>
      </w:r>
    </w:p>
    <w:p w14:paraId="46877BF1" w14:textId="77777777" w:rsidR="008F5CF8" w:rsidRPr="00CA4C14" w:rsidRDefault="008F5CF8" w:rsidP="00CF3DA3">
      <w:pPr>
        <w:rPr>
          <w:lang w:val="ru-RU"/>
        </w:rPr>
      </w:pPr>
      <w:r w:rsidRPr="00CA4C14">
        <w:rPr>
          <w:rFonts w:eastAsia="Calibri"/>
          <w:lang w:val="ru-RU"/>
        </w:rPr>
        <w:t>Были достигнуты значительные успехи, однако необходимость постоянного совершенствования в таких ключевых областях, как процессы управления рисками, достоверность финансовой отчетности и управление человеческими ресурсами, по-прежнему очевидна.</w:t>
      </w:r>
    </w:p>
    <w:p w14:paraId="56AAA4E4" w14:textId="3D2269F3" w:rsidR="008F5CF8" w:rsidRPr="00CA4C14" w:rsidRDefault="008F5CF8" w:rsidP="00CF3DA3">
      <w:pPr>
        <w:rPr>
          <w:lang w:val="ru-RU"/>
        </w:rPr>
      </w:pPr>
      <w:r w:rsidRPr="00CA4C14">
        <w:rPr>
          <w:rFonts w:eastAsia="Calibri"/>
          <w:lang w:val="ru-RU"/>
        </w:rPr>
        <w:t xml:space="preserve">По мере </w:t>
      </w:r>
      <w:proofErr w:type="gramStart"/>
      <w:r w:rsidRPr="00CA4C14">
        <w:rPr>
          <w:rFonts w:eastAsia="Calibri"/>
          <w:lang w:val="ru-RU"/>
        </w:rPr>
        <w:t>того</w:t>
      </w:r>
      <w:proofErr w:type="gramEnd"/>
      <w:r w:rsidRPr="00CA4C14">
        <w:rPr>
          <w:rFonts w:eastAsia="Calibri"/>
          <w:lang w:val="ru-RU"/>
        </w:rPr>
        <w:t xml:space="preserve"> как МСЭ развивается, мы твердо намерены заняться решением этих вопросов внутреннего контроля. Я полна решимости содействовать повышению прозрачности, усилению подотчетности и укреплению наших структур управления. Применяя признанные передовые методы и формируя надежную культуру добросовестности и соблюдения требований, МСЭ сможет более эффективно и действенно достичь своих стратегических целей в ближайшие годы. Данная работа носит итеративный и непрерывный характер, что свидетельствует о</w:t>
      </w:r>
      <w:r w:rsidR="000F116B" w:rsidRPr="00CA4C14">
        <w:rPr>
          <w:rFonts w:eastAsia="Calibri"/>
          <w:lang w:val="ru-RU"/>
        </w:rPr>
        <w:t> </w:t>
      </w:r>
      <w:r w:rsidRPr="00CA4C14">
        <w:rPr>
          <w:rFonts w:eastAsia="Calibri"/>
          <w:lang w:val="ru-RU"/>
        </w:rPr>
        <w:t>нашем стремлении постоянно совершенствовать систему внутреннего контроля как для удовлетворения нынешних потребностей, так и для выполнения будущих задач.</w:t>
      </w:r>
    </w:p>
    <w:p w14:paraId="6B849E96" w14:textId="77777777" w:rsidR="008F5CF8" w:rsidRPr="00CA4C14" w:rsidRDefault="008F5CF8" w:rsidP="00F41A0E">
      <w:pPr>
        <w:snapToGrid w:val="0"/>
        <w:spacing w:before="240"/>
        <w:jc w:val="both"/>
        <w:rPr>
          <w:rFonts w:asciiTheme="minorHAnsi" w:hAnsiTheme="minorHAnsi" w:cstheme="minorHAnsi"/>
          <w:szCs w:val="24"/>
          <w:lang w:val="ru-RU"/>
        </w:rPr>
      </w:pPr>
      <w:r w:rsidRPr="00CA4C14">
        <w:rPr>
          <w:rFonts w:asciiTheme="minorHAnsi" w:hAnsiTheme="minorHAnsi" w:cstheme="minorHAnsi"/>
          <w:noProof/>
          <w:szCs w:val="24"/>
          <w:lang w:val="ru-RU"/>
        </w:rPr>
        <w:drawing>
          <wp:inline distT="0" distB="0" distL="0" distR="0" wp14:anchorId="1B3584E4" wp14:editId="6F37CC75">
            <wp:extent cx="1476581" cy="562053"/>
            <wp:effectExtent l="0" t="0" r="9525" b="9525"/>
            <wp:docPr id="1025234865" name="Picture 1" descr="A blue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34865" name="Picture 1" descr="A blue line drawn on a white surface&#10;&#10;Description automatically generated"/>
                    <pic:cNvPicPr/>
                  </pic:nvPicPr>
                  <pic:blipFill>
                    <a:blip r:embed="rId16"/>
                    <a:stretch>
                      <a:fillRect/>
                    </a:stretch>
                  </pic:blipFill>
                  <pic:spPr>
                    <a:xfrm>
                      <a:off x="0" y="0"/>
                      <a:ext cx="1476581" cy="562053"/>
                    </a:xfrm>
                    <a:prstGeom prst="rect">
                      <a:avLst/>
                    </a:prstGeom>
                  </pic:spPr>
                </pic:pic>
              </a:graphicData>
            </a:graphic>
          </wp:inline>
        </w:drawing>
      </w:r>
    </w:p>
    <w:p w14:paraId="59C4BF93" w14:textId="77777777" w:rsidR="008F5CF8" w:rsidRPr="00CA4C14" w:rsidRDefault="008F5CF8" w:rsidP="00F41A0E">
      <w:pPr>
        <w:snapToGrid w:val="0"/>
        <w:spacing w:before="240"/>
        <w:jc w:val="both"/>
        <w:rPr>
          <w:rFonts w:asciiTheme="minorHAnsi" w:hAnsiTheme="minorHAnsi" w:cstheme="minorHAnsi"/>
          <w:szCs w:val="24"/>
          <w:lang w:val="ru-RU"/>
        </w:rPr>
      </w:pPr>
      <w:r w:rsidRPr="00CA4C14">
        <w:rPr>
          <w:rFonts w:asciiTheme="minorHAnsi" w:hAnsiTheme="minorHAnsi" w:cstheme="minorHAnsi"/>
          <w:szCs w:val="24"/>
          <w:lang w:val="ru-RU"/>
        </w:rPr>
        <w:t>Дорин Богдан-Мартин</w:t>
      </w:r>
    </w:p>
    <w:p w14:paraId="6BF65792" w14:textId="77777777" w:rsidR="008F5CF8" w:rsidRPr="00CA4C14" w:rsidRDefault="008F5CF8" w:rsidP="00F41A0E">
      <w:pPr>
        <w:snapToGrid w:val="0"/>
        <w:spacing w:before="0"/>
        <w:jc w:val="both"/>
        <w:rPr>
          <w:rFonts w:asciiTheme="minorHAnsi" w:hAnsiTheme="minorHAnsi" w:cstheme="minorHAnsi"/>
          <w:szCs w:val="24"/>
          <w:lang w:val="ru-RU"/>
        </w:rPr>
      </w:pPr>
      <w:r w:rsidRPr="00CA4C14">
        <w:rPr>
          <w:rFonts w:asciiTheme="minorHAnsi" w:hAnsiTheme="minorHAnsi" w:cstheme="minorHAnsi"/>
          <w:szCs w:val="24"/>
          <w:lang w:val="ru-RU"/>
        </w:rPr>
        <w:t>Генеральный секретарь</w:t>
      </w:r>
    </w:p>
    <w:p w14:paraId="648A6ED4" w14:textId="77777777" w:rsidR="008F5CF8" w:rsidRPr="00CA4C14" w:rsidRDefault="008F5CF8" w:rsidP="00EA5216">
      <w:pPr>
        <w:spacing w:before="720"/>
        <w:jc w:val="both"/>
        <w:rPr>
          <w:lang w:val="ru-RU"/>
        </w:rPr>
      </w:pPr>
      <w:bookmarkStart w:id="62" w:name="lt_pId232"/>
      <w:r w:rsidRPr="00CA4C14">
        <w:rPr>
          <w:rFonts w:asciiTheme="minorHAnsi" w:hAnsiTheme="minorHAnsi" w:cstheme="minorHAnsi"/>
          <w:szCs w:val="24"/>
          <w:lang w:val="ru-RU"/>
        </w:rPr>
        <w:t>Женева, 29 апреля 2024</w:t>
      </w:r>
      <w:bookmarkEnd w:id="62"/>
      <w:r w:rsidRPr="00CA4C14">
        <w:rPr>
          <w:rFonts w:asciiTheme="minorHAnsi" w:hAnsiTheme="minorHAnsi" w:cstheme="minorHAnsi"/>
          <w:szCs w:val="24"/>
          <w:lang w:val="ru-RU"/>
        </w:rPr>
        <w:t> года</w:t>
      </w:r>
    </w:p>
    <w:p w14:paraId="2DCA9F59" w14:textId="77777777" w:rsidR="008F5CF8" w:rsidRPr="00CA4C14" w:rsidRDefault="008F5CF8" w:rsidP="005E266A">
      <w:pPr>
        <w:rPr>
          <w:lang w:val="ru-RU"/>
        </w:rPr>
      </w:pPr>
      <w:r w:rsidRPr="00CA4C14">
        <w:rPr>
          <w:lang w:val="ru-RU"/>
        </w:rPr>
        <w:br w:type="page"/>
      </w:r>
    </w:p>
    <w:p w14:paraId="514FD520" w14:textId="77777777" w:rsidR="008F5CF8" w:rsidRPr="00CA4C14" w:rsidRDefault="008F5CF8" w:rsidP="006C7798">
      <w:pPr>
        <w:pStyle w:val="Annextitle"/>
        <w:rPr>
          <w:color w:val="0070C0"/>
          <w:w w:val="105"/>
          <w:lang w:val="ru-RU"/>
        </w:rPr>
      </w:pPr>
      <w:bookmarkStart w:id="63" w:name="_Toc168578442"/>
      <w:r w:rsidRPr="00CA4C14">
        <w:rPr>
          <w:color w:val="0070C0"/>
          <w:w w:val="105"/>
          <w:lang w:val="ru-RU"/>
        </w:rPr>
        <w:lastRenderedPageBreak/>
        <w:t>Заключение о внешнем аудите</w:t>
      </w:r>
      <w:bookmarkEnd w:id="63"/>
    </w:p>
    <w:p w14:paraId="26FE7A75" w14:textId="77777777" w:rsidR="005E266A" w:rsidRPr="00CA4C14" w:rsidRDefault="005E266A" w:rsidP="005E266A">
      <w:pPr>
        <w:rPr>
          <w:lang w:val="ru-RU"/>
        </w:rPr>
      </w:pPr>
    </w:p>
    <w:p w14:paraId="7EB00483" w14:textId="7D6501AE" w:rsidR="008F5CF8" w:rsidRPr="00CA4C14" w:rsidRDefault="008F5CF8" w:rsidP="005E266A">
      <w:pPr>
        <w:rPr>
          <w:lang w:val="ru-RU"/>
        </w:rPr>
      </w:pPr>
      <w:r w:rsidRPr="00CA4C14">
        <w:rPr>
          <w:lang w:val="ru-RU"/>
        </w:rPr>
        <w:br w:type="page"/>
      </w:r>
    </w:p>
    <w:p w14:paraId="41AA1844" w14:textId="77777777" w:rsidR="008F5CF8" w:rsidRPr="00CA4C14" w:rsidRDefault="008F5CF8" w:rsidP="005E266A">
      <w:pPr>
        <w:rPr>
          <w:lang w:val="ru-RU"/>
        </w:rPr>
      </w:pPr>
    </w:p>
    <w:p w14:paraId="3571BA27" w14:textId="77777777" w:rsidR="008F5CF8" w:rsidRPr="00CA4C14" w:rsidRDefault="008F5CF8" w:rsidP="005E266A">
      <w:pPr>
        <w:rPr>
          <w:lang w:val="ru-RU"/>
        </w:rPr>
      </w:pPr>
      <w:r w:rsidRPr="00CA4C14">
        <w:rPr>
          <w:lang w:val="ru-RU"/>
        </w:rPr>
        <w:br w:type="page"/>
      </w:r>
    </w:p>
    <w:p w14:paraId="7CF95603" w14:textId="77777777" w:rsidR="005E266A" w:rsidRPr="00CA4C14" w:rsidRDefault="005E266A" w:rsidP="005E266A">
      <w:pPr>
        <w:rPr>
          <w:lang w:val="ru-RU"/>
        </w:rPr>
      </w:pPr>
    </w:p>
    <w:p w14:paraId="66FF2EA6" w14:textId="6D695546" w:rsidR="008F5CF8" w:rsidRPr="00CA4C14" w:rsidRDefault="008F5CF8" w:rsidP="005E266A">
      <w:pPr>
        <w:rPr>
          <w:lang w:val="ru-RU"/>
        </w:rPr>
      </w:pPr>
      <w:r w:rsidRPr="00CA4C14">
        <w:rPr>
          <w:lang w:val="ru-RU"/>
        </w:rPr>
        <w:br w:type="page"/>
      </w:r>
    </w:p>
    <w:p w14:paraId="66AD9741" w14:textId="77777777" w:rsidR="008F5CF8" w:rsidRPr="00CA4C14" w:rsidRDefault="008F5CF8" w:rsidP="002860BD">
      <w:pPr>
        <w:pStyle w:val="Annextitle"/>
        <w:rPr>
          <w:color w:val="0070C0"/>
          <w:lang w:val="ru-RU"/>
        </w:rPr>
      </w:pPr>
      <w:bookmarkStart w:id="64" w:name="_Toc168578443"/>
      <w:r w:rsidRPr="00CA4C14">
        <w:rPr>
          <w:color w:val="0070C0"/>
          <w:lang w:val="ru-RU"/>
        </w:rPr>
        <w:lastRenderedPageBreak/>
        <w:t>Финансовая отчетность</w:t>
      </w:r>
      <w:bookmarkEnd w:id="64"/>
    </w:p>
    <w:p w14:paraId="2C90899B" w14:textId="77777777" w:rsidR="008F5CF8" w:rsidRPr="00CA4C14" w:rsidRDefault="008F5CF8" w:rsidP="005E266A">
      <w:pPr>
        <w:pStyle w:val="Annextitle"/>
        <w:jc w:val="left"/>
        <w:rPr>
          <w:color w:val="0070C0"/>
          <w:w w:val="105"/>
          <w:lang w:val="ru-RU"/>
        </w:rPr>
      </w:pPr>
      <w:bookmarkStart w:id="65" w:name="lt_pId301"/>
      <w:bookmarkStart w:id="66" w:name="_Toc168578444"/>
      <w:bookmarkStart w:id="67" w:name="_Hlk131149648"/>
      <w:r w:rsidRPr="00CA4C14">
        <w:rPr>
          <w:color w:val="0070C0"/>
          <w:w w:val="105"/>
          <w:lang w:val="ru-RU"/>
        </w:rPr>
        <w:t xml:space="preserve">Отчет I: </w:t>
      </w:r>
      <w:bookmarkEnd w:id="65"/>
      <w:r w:rsidRPr="00CA4C14">
        <w:rPr>
          <w:color w:val="0070C0"/>
          <w:w w:val="105"/>
          <w:lang w:val="ru-RU"/>
        </w:rPr>
        <w:t>Отчет о финансовом положении</w:t>
      </w:r>
      <w:bookmarkEnd w:id="66"/>
    </w:p>
    <w:p w14:paraId="3FFBD5DA" w14:textId="77777777" w:rsidR="008F5CF8" w:rsidRPr="00CA4C14" w:rsidRDefault="008F5CF8" w:rsidP="005E266A">
      <w:pPr>
        <w:rPr>
          <w:lang w:val="ru-RU"/>
        </w:rPr>
      </w:pPr>
      <w:bookmarkStart w:id="68" w:name="lt_pId302"/>
      <w:r w:rsidRPr="00CA4C14">
        <w:rPr>
          <w:lang w:val="ru-RU"/>
        </w:rPr>
        <w:t>За год, завершившийся 31 декабря 202</w:t>
      </w:r>
      <w:bookmarkEnd w:id="67"/>
      <w:bookmarkEnd w:id="68"/>
      <w:r w:rsidRPr="00CA4C14">
        <w:rPr>
          <w:lang w:val="ru-RU"/>
        </w:rPr>
        <w:t>3 года</w:t>
      </w:r>
    </w:p>
    <w:p w14:paraId="3B47DE2B" w14:textId="1AD9E5A6" w:rsidR="008F5CF8" w:rsidRPr="00CA4C14" w:rsidRDefault="008F5CF8" w:rsidP="005E266A">
      <w:pPr>
        <w:spacing w:after="120"/>
        <w:rPr>
          <w:lang w:val="ru-RU"/>
        </w:rPr>
      </w:pPr>
      <w:bookmarkStart w:id="69" w:name="lt_pId303"/>
      <w:r w:rsidRPr="00CA4C14">
        <w:rPr>
          <w:lang w:val="ru-RU"/>
        </w:rPr>
        <w:t>(</w:t>
      </w:r>
      <w:bookmarkEnd w:id="69"/>
      <w:r w:rsidR="005E266A" w:rsidRPr="00CA4C14">
        <w:rPr>
          <w:lang w:val="ru-RU"/>
        </w:rPr>
        <w:t>В</w:t>
      </w:r>
      <w:r w:rsidRPr="00CA4C14">
        <w:rPr>
          <w:lang w:val="ru-RU"/>
        </w:rPr>
        <w:t xml:space="preserve"> тыс. шв</w:t>
      </w:r>
      <w:r w:rsidR="005E266A" w:rsidRPr="00CA4C14">
        <w:rPr>
          <w:lang w:val="ru-RU"/>
        </w:rPr>
        <w:t>.</w:t>
      </w:r>
      <w:r w:rsidRPr="00CA4C14">
        <w:rPr>
          <w:lang w:val="ru-RU"/>
        </w:rPr>
        <w:t xml:space="preserve"> фр</w:t>
      </w:r>
      <w:r w:rsidR="005E266A" w:rsidRPr="00CA4C14">
        <w:rPr>
          <w:lang w:val="ru-RU"/>
        </w:rPr>
        <w:t>.</w:t>
      </w:r>
      <w:r w:rsidRPr="00CA4C14">
        <w:rPr>
          <w:lang w:val="ru-RU"/>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1442"/>
        <w:gridCol w:w="1546"/>
        <w:gridCol w:w="1546"/>
      </w:tblGrid>
      <w:tr w:rsidR="008F5CF8" w:rsidRPr="00CA4C14" w14:paraId="7D071628" w14:textId="77777777" w:rsidTr="000A17CC">
        <w:trPr>
          <w:trHeight w:val="574"/>
          <w:tblHeader/>
        </w:trPr>
        <w:tc>
          <w:tcPr>
            <w:tcW w:w="2500" w:type="pct"/>
            <w:shd w:val="clear" w:color="auto" w:fill="0070C0"/>
            <w:noWrap/>
            <w:vAlign w:val="center"/>
            <w:hideMark/>
          </w:tcPr>
          <w:p w14:paraId="4F22E685" w14:textId="77777777" w:rsidR="008F5CF8" w:rsidRPr="00CA4C14" w:rsidRDefault="008F5CF8" w:rsidP="00C732E8">
            <w:pPr>
              <w:pStyle w:val="Tablehead"/>
              <w:rPr>
                <w:bCs/>
                <w:lang w:val="ru-RU"/>
              </w:rPr>
            </w:pPr>
            <w:r w:rsidRPr="00CA4C14">
              <w:rPr>
                <w:lang w:val="ru-RU"/>
              </w:rPr>
              <w:t>Описание</w:t>
            </w:r>
          </w:p>
        </w:tc>
        <w:tc>
          <w:tcPr>
            <w:tcW w:w="795" w:type="pct"/>
            <w:shd w:val="clear" w:color="auto" w:fill="0070C0"/>
            <w:noWrap/>
            <w:vAlign w:val="center"/>
            <w:hideMark/>
          </w:tcPr>
          <w:p w14:paraId="08F2606D" w14:textId="77777777" w:rsidR="008F5CF8" w:rsidRPr="00CA4C14" w:rsidRDefault="008F5CF8" w:rsidP="00C732E8">
            <w:pPr>
              <w:pStyle w:val="Tablehead"/>
              <w:rPr>
                <w:bCs/>
                <w:lang w:val="ru-RU"/>
              </w:rPr>
            </w:pPr>
            <w:r w:rsidRPr="00CA4C14">
              <w:rPr>
                <w:lang w:val="ru-RU"/>
              </w:rPr>
              <w:t>Примечания</w:t>
            </w:r>
          </w:p>
        </w:tc>
        <w:tc>
          <w:tcPr>
            <w:tcW w:w="852" w:type="pct"/>
            <w:shd w:val="clear" w:color="auto" w:fill="0070C0"/>
            <w:noWrap/>
            <w:vAlign w:val="center"/>
            <w:hideMark/>
          </w:tcPr>
          <w:p w14:paraId="5569DC7C" w14:textId="77777777" w:rsidR="008F5CF8" w:rsidRPr="00CA4C14" w:rsidRDefault="008F5CF8" w:rsidP="000A17CC">
            <w:pPr>
              <w:pStyle w:val="Tablehead"/>
              <w:ind w:left="-57" w:right="-57"/>
              <w:rPr>
                <w:bCs/>
                <w:lang w:val="ru-RU"/>
              </w:rPr>
            </w:pPr>
            <w:r w:rsidRPr="00CA4C14">
              <w:rPr>
                <w:bCs/>
                <w:lang w:val="ru-RU"/>
              </w:rPr>
              <w:t>31 декабря 2023 г.</w:t>
            </w:r>
          </w:p>
        </w:tc>
        <w:tc>
          <w:tcPr>
            <w:tcW w:w="852" w:type="pct"/>
            <w:shd w:val="clear" w:color="auto" w:fill="0070C0"/>
            <w:noWrap/>
            <w:vAlign w:val="center"/>
            <w:hideMark/>
          </w:tcPr>
          <w:p w14:paraId="593C654D" w14:textId="77777777" w:rsidR="008F5CF8" w:rsidRPr="00CA4C14" w:rsidRDefault="008F5CF8" w:rsidP="000A17CC">
            <w:pPr>
              <w:pStyle w:val="Tablehead"/>
              <w:ind w:left="-57" w:right="-57"/>
              <w:rPr>
                <w:bCs/>
                <w:lang w:val="ru-RU"/>
              </w:rPr>
            </w:pPr>
            <w:r w:rsidRPr="00CA4C14">
              <w:rPr>
                <w:bCs/>
                <w:lang w:val="ru-RU"/>
              </w:rPr>
              <w:t>31 декабря 2022 г.</w:t>
            </w:r>
          </w:p>
        </w:tc>
      </w:tr>
      <w:tr w:rsidR="008F5CF8" w:rsidRPr="00CA4C14" w14:paraId="5CC3ADF5" w14:textId="77777777" w:rsidTr="009E5311">
        <w:trPr>
          <w:trHeight w:val="259"/>
        </w:trPr>
        <w:tc>
          <w:tcPr>
            <w:tcW w:w="2500" w:type="pct"/>
            <w:noWrap/>
            <w:hideMark/>
          </w:tcPr>
          <w:p w14:paraId="13E9FEE9" w14:textId="77777777" w:rsidR="008F5CF8" w:rsidRPr="00CA4C14" w:rsidRDefault="008F5CF8" w:rsidP="000A17CC">
            <w:pPr>
              <w:pStyle w:val="Tabletext"/>
              <w:spacing w:before="20" w:after="20"/>
              <w:rPr>
                <w:b/>
                <w:bCs/>
                <w:lang w:val="ru-RU"/>
              </w:rPr>
            </w:pPr>
            <w:r w:rsidRPr="00CA4C14">
              <w:rPr>
                <w:b/>
                <w:bCs/>
                <w:lang w:val="ru-RU" w:eastAsia="zh-CN"/>
              </w:rPr>
              <w:t>АКТИВЫ</w:t>
            </w:r>
          </w:p>
        </w:tc>
        <w:tc>
          <w:tcPr>
            <w:tcW w:w="795" w:type="pct"/>
            <w:noWrap/>
            <w:hideMark/>
          </w:tcPr>
          <w:p w14:paraId="12E4E639" w14:textId="77777777" w:rsidR="008F5CF8" w:rsidRPr="00CA4C14" w:rsidRDefault="008F5CF8" w:rsidP="000A17CC">
            <w:pPr>
              <w:pStyle w:val="Tabletext"/>
              <w:spacing w:before="20" w:after="20"/>
              <w:jc w:val="center"/>
              <w:rPr>
                <w:b/>
                <w:bCs/>
                <w:lang w:val="ru-RU"/>
              </w:rPr>
            </w:pPr>
          </w:p>
        </w:tc>
        <w:tc>
          <w:tcPr>
            <w:tcW w:w="852" w:type="pct"/>
            <w:noWrap/>
            <w:vAlign w:val="bottom"/>
            <w:hideMark/>
          </w:tcPr>
          <w:p w14:paraId="7260C74F" w14:textId="77777777" w:rsidR="008F5CF8" w:rsidRPr="00CA4C14" w:rsidRDefault="008F5CF8" w:rsidP="000A17CC">
            <w:pPr>
              <w:pStyle w:val="Tabletext"/>
              <w:spacing w:before="20" w:after="20"/>
              <w:jc w:val="right"/>
              <w:rPr>
                <w:b/>
                <w:bCs/>
                <w:lang w:val="ru-RU"/>
              </w:rPr>
            </w:pPr>
          </w:p>
        </w:tc>
        <w:tc>
          <w:tcPr>
            <w:tcW w:w="852" w:type="pct"/>
            <w:noWrap/>
            <w:vAlign w:val="bottom"/>
            <w:hideMark/>
          </w:tcPr>
          <w:p w14:paraId="05CB2128" w14:textId="77777777" w:rsidR="008F5CF8" w:rsidRPr="00CA4C14" w:rsidRDefault="008F5CF8" w:rsidP="000A17CC">
            <w:pPr>
              <w:pStyle w:val="Tabletext"/>
              <w:spacing w:before="20" w:after="20"/>
              <w:jc w:val="right"/>
              <w:rPr>
                <w:b/>
                <w:bCs/>
                <w:lang w:val="ru-RU"/>
              </w:rPr>
            </w:pPr>
          </w:p>
        </w:tc>
      </w:tr>
      <w:tr w:rsidR="008F5CF8" w:rsidRPr="00CA4C14" w14:paraId="72CEC92A" w14:textId="77777777" w:rsidTr="009E5311">
        <w:trPr>
          <w:trHeight w:val="259"/>
        </w:trPr>
        <w:tc>
          <w:tcPr>
            <w:tcW w:w="2500" w:type="pct"/>
            <w:noWrap/>
            <w:hideMark/>
          </w:tcPr>
          <w:p w14:paraId="59F57335" w14:textId="77777777" w:rsidR="008F5CF8" w:rsidRPr="00CA4C14" w:rsidRDefault="008F5CF8" w:rsidP="000A17CC">
            <w:pPr>
              <w:pStyle w:val="Tabletext"/>
              <w:spacing w:before="20" w:after="20"/>
              <w:rPr>
                <w:b/>
                <w:bCs/>
                <w:lang w:val="ru-RU"/>
              </w:rPr>
            </w:pPr>
            <w:r w:rsidRPr="00CA4C14">
              <w:rPr>
                <w:b/>
                <w:bCs/>
                <w:lang w:val="ru-RU" w:eastAsia="en-GB"/>
              </w:rPr>
              <w:t>Текущие активы</w:t>
            </w:r>
          </w:p>
        </w:tc>
        <w:tc>
          <w:tcPr>
            <w:tcW w:w="795" w:type="pct"/>
            <w:noWrap/>
            <w:hideMark/>
          </w:tcPr>
          <w:p w14:paraId="3851A4FA" w14:textId="77777777" w:rsidR="008F5CF8" w:rsidRPr="00CA4C14" w:rsidRDefault="008F5CF8" w:rsidP="000A17CC">
            <w:pPr>
              <w:pStyle w:val="Tabletext"/>
              <w:spacing w:before="20" w:after="20"/>
              <w:jc w:val="center"/>
              <w:rPr>
                <w:b/>
                <w:bCs/>
                <w:color w:val="000000"/>
                <w:lang w:val="ru-RU" w:eastAsia="en-GB"/>
              </w:rPr>
            </w:pPr>
          </w:p>
        </w:tc>
        <w:tc>
          <w:tcPr>
            <w:tcW w:w="852" w:type="pct"/>
            <w:noWrap/>
            <w:vAlign w:val="bottom"/>
            <w:hideMark/>
          </w:tcPr>
          <w:p w14:paraId="2F32D3CD" w14:textId="77777777" w:rsidR="008F5CF8" w:rsidRPr="00CA4C14" w:rsidRDefault="008F5CF8" w:rsidP="000A17CC">
            <w:pPr>
              <w:pStyle w:val="Tabletext"/>
              <w:spacing w:before="20" w:after="20"/>
              <w:jc w:val="right"/>
              <w:rPr>
                <w:b/>
                <w:bCs/>
                <w:color w:val="000000"/>
                <w:lang w:val="ru-RU" w:eastAsia="en-GB"/>
              </w:rPr>
            </w:pPr>
          </w:p>
        </w:tc>
        <w:tc>
          <w:tcPr>
            <w:tcW w:w="852" w:type="pct"/>
            <w:noWrap/>
            <w:vAlign w:val="bottom"/>
            <w:hideMark/>
          </w:tcPr>
          <w:p w14:paraId="4BF4362A" w14:textId="77777777" w:rsidR="008F5CF8" w:rsidRPr="00CA4C14" w:rsidRDefault="008F5CF8" w:rsidP="000A17CC">
            <w:pPr>
              <w:pStyle w:val="Tabletext"/>
              <w:spacing w:before="20" w:after="20"/>
              <w:jc w:val="right"/>
              <w:rPr>
                <w:b/>
                <w:bCs/>
                <w:color w:val="000000"/>
                <w:lang w:val="ru-RU" w:eastAsia="en-GB"/>
              </w:rPr>
            </w:pPr>
          </w:p>
        </w:tc>
      </w:tr>
      <w:tr w:rsidR="008F5CF8" w:rsidRPr="00CA4C14" w14:paraId="6124E312" w14:textId="77777777" w:rsidTr="009E5311">
        <w:trPr>
          <w:trHeight w:val="282"/>
        </w:trPr>
        <w:tc>
          <w:tcPr>
            <w:tcW w:w="2500" w:type="pct"/>
            <w:noWrap/>
            <w:hideMark/>
          </w:tcPr>
          <w:p w14:paraId="02083D48" w14:textId="77777777" w:rsidR="008F5CF8" w:rsidRPr="00CA4C14" w:rsidRDefault="008F5CF8" w:rsidP="000A17CC">
            <w:pPr>
              <w:pStyle w:val="Tabletext"/>
              <w:spacing w:before="20" w:after="20"/>
              <w:rPr>
                <w:lang w:val="ru-RU"/>
              </w:rPr>
            </w:pPr>
            <w:r w:rsidRPr="00CA4C14">
              <w:rPr>
                <w:szCs w:val="18"/>
                <w:lang w:val="ru-RU"/>
              </w:rPr>
              <w:t>Денежные средства и эквиваленты денежных средств</w:t>
            </w:r>
          </w:p>
        </w:tc>
        <w:tc>
          <w:tcPr>
            <w:tcW w:w="795" w:type="pct"/>
            <w:noWrap/>
            <w:hideMark/>
          </w:tcPr>
          <w:p w14:paraId="1123B1B9"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7</w:t>
            </w:r>
          </w:p>
        </w:tc>
        <w:tc>
          <w:tcPr>
            <w:tcW w:w="852" w:type="pct"/>
            <w:noWrap/>
            <w:vAlign w:val="bottom"/>
            <w:hideMark/>
          </w:tcPr>
          <w:p w14:paraId="2165D363"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155 868</w:t>
            </w:r>
          </w:p>
        </w:tc>
        <w:tc>
          <w:tcPr>
            <w:tcW w:w="852" w:type="pct"/>
            <w:noWrap/>
            <w:vAlign w:val="bottom"/>
            <w:hideMark/>
          </w:tcPr>
          <w:p w14:paraId="5A6B4AE4"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193 868</w:t>
            </w:r>
          </w:p>
        </w:tc>
      </w:tr>
      <w:tr w:rsidR="008F5CF8" w:rsidRPr="00CA4C14" w14:paraId="05F889CF" w14:textId="77777777" w:rsidTr="009E5311">
        <w:trPr>
          <w:trHeight w:val="282"/>
        </w:trPr>
        <w:tc>
          <w:tcPr>
            <w:tcW w:w="2500" w:type="pct"/>
            <w:noWrap/>
            <w:hideMark/>
          </w:tcPr>
          <w:p w14:paraId="5F280600" w14:textId="77777777" w:rsidR="008F5CF8" w:rsidRPr="00CA4C14" w:rsidRDefault="008F5CF8" w:rsidP="000A17CC">
            <w:pPr>
              <w:pStyle w:val="Tabletext"/>
              <w:spacing w:before="20" w:after="20"/>
              <w:rPr>
                <w:lang w:val="ru-RU"/>
              </w:rPr>
            </w:pPr>
            <w:r w:rsidRPr="00CA4C14">
              <w:rPr>
                <w:szCs w:val="18"/>
                <w:lang w:val="ru-RU"/>
              </w:rPr>
              <w:t>Инвестиции</w:t>
            </w:r>
          </w:p>
        </w:tc>
        <w:tc>
          <w:tcPr>
            <w:tcW w:w="795" w:type="pct"/>
            <w:noWrap/>
            <w:hideMark/>
          </w:tcPr>
          <w:p w14:paraId="1D7B0D63"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8</w:t>
            </w:r>
          </w:p>
        </w:tc>
        <w:tc>
          <w:tcPr>
            <w:tcW w:w="852" w:type="pct"/>
            <w:noWrap/>
            <w:vAlign w:val="bottom"/>
            <w:hideMark/>
          </w:tcPr>
          <w:p w14:paraId="14BD4B36"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35 070</w:t>
            </w:r>
          </w:p>
        </w:tc>
        <w:tc>
          <w:tcPr>
            <w:tcW w:w="852" w:type="pct"/>
            <w:noWrap/>
            <w:vAlign w:val="bottom"/>
            <w:hideMark/>
          </w:tcPr>
          <w:p w14:paraId="3CFB0B98"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13 860</w:t>
            </w:r>
          </w:p>
        </w:tc>
      </w:tr>
      <w:tr w:rsidR="008F5CF8" w:rsidRPr="00CA4C14" w14:paraId="14A187D5" w14:textId="77777777" w:rsidTr="009E5311">
        <w:trPr>
          <w:trHeight w:val="282"/>
        </w:trPr>
        <w:tc>
          <w:tcPr>
            <w:tcW w:w="2500" w:type="pct"/>
            <w:noWrap/>
            <w:hideMark/>
          </w:tcPr>
          <w:p w14:paraId="2ACB7788" w14:textId="77777777" w:rsidR="008F5CF8" w:rsidRPr="00CA4C14" w:rsidRDefault="008F5CF8" w:rsidP="000A17CC">
            <w:pPr>
              <w:pStyle w:val="Tabletext"/>
              <w:spacing w:before="20" w:after="20"/>
              <w:rPr>
                <w:lang w:val="ru-RU"/>
              </w:rPr>
            </w:pPr>
            <w:r w:rsidRPr="00CA4C14">
              <w:rPr>
                <w:szCs w:val="18"/>
                <w:lang w:val="ru-RU"/>
              </w:rPr>
              <w:t>Долговые обязательства по обменным операциям</w:t>
            </w:r>
          </w:p>
        </w:tc>
        <w:tc>
          <w:tcPr>
            <w:tcW w:w="795" w:type="pct"/>
            <w:noWrap/>
            <w:hideMark/>
          </w:tcPr>
          <w:p w14:paraId="5AB5721F"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9</w:t>
            </w:r>
          </w:p>
        </w:tc>
        <w:tc>
          <w:tcPr>
            <w:tcW w:w="852" w:type="pct"/>
            <w:noWrap/>
            <w:vAlign w:val="bottom"/>
            <w:hideMark/>
          </w:tcPr>
          <w:p w14:paraId="7DE807AB"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6 446</w:t>
            </w:r>
          </w:p>
        </w:tc>
        <w:tc>
          <w:tcPr>
            <w:tcW w:w="852" w:type="pct"/>
            <w:noWrap/>
            <w:vAlign w:val="bottom"/>
            <w:hideMark/>
          </w:tcPr>
          <w:p w14:paraId="497B275A"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5 333</w:t>
            </w:r>
          </w:p>
        </w:tc>
      </w:tr>
      <w:tr w:rsidR="008F5CF8" w:rsidRPr="00CA4C14" w14:paraId="27AD70FB" w14:textId="77777777" w:rsidTr="009E5311">
        <w:trPr>
          <w:trHeight w:val="282"/>
        </w:trPr>
        <w:tc>
          <w:tcPr>
            <w:tcW w:w="2500" w:type="pct"/>
            <w:noWrap/>
            <w:hideMark/>
          </w:tcPr>
          <w:p w14:paraId="13E4AB95" w14:textId="77777777" w:rsidR="008F5CF8" w:rsidRPr="00CA4C14" w:rsidRDefault="008F5CF8" w:rsidP="000A17CC">
            <w:pPr>
              <w:pStyle w:val="Tabletext"/>
              <w:spacing w:before="20" w:after="20"/>
              <w:rPr>
                <w:lang w:val="ru-RU"/>
              </w:rPr>
            </w:pPr>
            <w:r w:rsidRPr="00CA4C14">
              <w:rPr>
                <w:szCs w:val="18"/>
                <w:lang w:val="ru-RU"/>
              </w:rPr>
              <w:t>Долговые обязательства по необменным операциям</w:t>
            </w:r>
          </w:p>
        </w:tc>
        <w:tc>
          <w:tcPr>
            <w:tcW w:w="795" w:type="pct"/>
            <w:noWrap/>
            <w:hideMark/>
          </w:tcPr>
          <w:p w14:paraId="46972542"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9</w:t>
            </w:r>
          </w:p>
        </w:tc>
        <w:tc>
          <w:tcPr>
            <w:tcW w:w="852" w:type="pct"/>
            <w:noWrap/>
            <w:vAlign w:val="bottom"/>
            <w:hideMark/>
          </w:tcPr>
          <w:p w14:paraId="2F7D1C4F"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13 132</w:t>
            </w:r>
          </w:p>
        </w:tc>
        <w:tc>
          <w:tcPr>
            <w:tcW w:w="852" w:type="pct"/>
            <w:noWrap/>
            <w:vAlign w:val="bottom"/>
            <w:hideMark/>
          </w:tcPr>
          <w:p w14:paraId="6DB3D98A"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12 461</w:t>
            </w:r>
          </w:p>
        </w:tc>
      </w:tr>
      <w:tr w:rsidR="008F5CF8" w:rsidRPr="00CA4C14" w14:paraId="63495A48" w14:textId="77777777" w:rsidTr="009E5311">
        <w:trPr>
          <w:trHeight w:val="282"/>
        </w:trPr>
        <w:tc>
          <w:tcPr>
            <w:tcW w:w="2500" w:type="pct"/>
            <w:noWrap/>
            <w:hideMark/>
          </w:tcPr>
          <w:p w14:paraId="43D40BC0" w14:textId="77777777" w:rsidR="008F5CF8" w:rsidRPr="00CA4C14" w:rsidRDefault="008F5CF8" w:rsidP="000A17CC">
            <w:pPr>
              <w:pStyle w:val="Tabletext"/>
              <w:spacing w:before="20" w:after="20"/>
              <w:rPr>
                <w:lang w:val="ru-RU"/>
              </w:rPr>
            </w:pPr>
            <w:r w:rsidRPr="00CA4C14">
              <w:rPr>
                <w:szCs w:val="18"/>
                <w:lang w:val="ru-RU"/>
              </w:rPr>
              <w:t>Запасы</w:t>
            </w:r>
          </w:p>
        </w:tc>
        <w:tc>
          <w:tcPr>
            <w:tcW w:w="795" w:type="pct"/>
            <w:noWrap/>
            <w:hideMark/>
          </w:tcPr>
          <w:p w14:paraId="38D391ED" w14:textId="77777777" w:rsidR="008F5CF8" w:rsidRPr="00CA4C14" w:rsidRDefault="008F5CF8" w:rsidP="000A17CC">
            <w:pPr>
              <w:pStyle w:val="Tabletext"/>
              <w:spacing w:before="20" w:after="20"/>
              <w:jc w:val="center"/>
              <w:rPr>
                <w:color w:val="000000"/>
                <w:szCs w:val="18"/>
                <w:lang w:val="ru-RU" w:eastAsia="en-GB"/>
              </w:rPr>
            </w:pPr>
          </w:p>
        </w:tc>
        <w:tc>
          <w:tcPr>
            <w:tcW w:w="852" w:type="pct"/>
            <w:noWrap/>
            <w:vAlign w:val="bottom"/>
            <w:hideMark/>
          </w:tcPr>
          <w:p w14:paraId="27920E63"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sym w:font="Symbol" w:char="F02D"/>
            </w:r>
          </w:p>
        </w:tc>
        <w:tc>
          <w:tcPr>
            <w:tcW w:w="852" w:type="pct"/>
            <w:noWrap/>
            <w:vAlign w:val="bottom"/>
            <w:hideMark/>
          </w:tcPr>
          <w:p w14:paraId="293EA4E9"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307</w:t>
            </w:r>
          </w:p>
        </w:tc>
      </w:tr>
      <w:tr w:rsidR="008F5CF8" w:rsidRPr="00CA4C14" w14:paraId="0F1C358F" w14:textId="77777777" w:rsidTr="009E5311">
        <w:trPr>
          <w:trHeight w:val="282"/>
        </w:trPr>
        <w:tc>
          <w:tcPr>
            <w:tcW w:w="2500" w:type="pct"/>
            <w:noWrap/>
            <w:hideMark/>
          </w:tcPr>
          <w:p w14:paraId="10195B9E" w14:textId="77777777" w:rsidR="008F5CF8" w:rsidRPr="00CA4C14" w:rsidRDefault="008F5CF8" w:rsidP="000A17CC">
            <w:pPr>
              <w:pStyle w:val="Tabletext"/>
              <w:spacing w:before="20" w:after="20"/>
              <w:rPr>
                <w:lang w:val="ru-RU"/>
              </w:rPr>
            </w:pPr>
            <w:r w:rsidRPr="00CA4C14">
              <w:rPr>
                <w:szCs w:val="18"/>
                <w:lang w:val="ru-RU"/>
              </w:rPr>
              <w:t>Прочие долговые обязательства</w:t>
            </w:r>
          </w:p>
        </w:tc>
        <w:tc>
          <w:tcPr>
            <w:tcW w:w="795" w:type="pct"/>
            <w:noWrap/>
            <w:hideMark/>
          </w:tcPr>
          <w:p w14:paraId="37DC7F9C"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10</w:t>
            </w:r>
          </w:p>
        </w:tc>
        <w:tc>
          <w:tcPr>
            <w:tcW w:w="852" w:type="pct"/>
            <w:noWrap/>
            <w:vAlign w:val="bottom"/>
            <w:hideMark/>
          </w:tcPr>
          <w:p w14:paraId="21185AE4"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6 238</w:t>
            </w:r>
          </w:p>
        </w:tc>
        <w:tc>
          <w:tcPr>
            <w:tcW w:w="852" w:type="pct"/>
            <w:noWrap/>
            <w:vAlign w:val="bottom"/>
            <w:hideMark/>
          </w:tcPr>
          <w:p w14:paraId="3E63A0CA"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5 441</w:t>
            </w:r>
          </w:p>
        </w:tc>
      </w:tr>
      <w:tr w:rsidR="008F5CF8" w:rsidRPr="00CA4C14" w14:paraId="0F26A1D9" w14:textId="77777777" w:rsidTr="009E5311">
        <w:trPr>
          <w:trHeight w:val="259"/>
        </w:trPr>
        <w:tc>
          <w:tcPr>
            <w:tcW w:w="2500" w:type="pct"/>
            <w:noWrap/>
            <w:hideMark/>
          </w:tcPr>
          <w:p w14:paraId="483F7010" w14:textId="77777777" w:rsidR="008F5CF8" w:rsidRPr="00CA4C14" w:rsidRDefault="008F5CF8" w:rsidP="000A17CC">
            <w:pPr>
              <w:pStyle w:val="Tabletext"/>
              <w:spacing w:before="20" w:after="20"/>
              <w:rPr>
                <w:b/>
                <w:bCs/>
                <w:lang w:val="ru-RU"/>
              </w:rPr>
            </w:pPr>
            <w:r w:rsidRPr="00CA4C14">
              <w:rPr>
                <w:b/>
                <w:bCs/>
                <w:szCs w:val="18"/>
                <w:lang w:val="ru-RU"/>
              </w:rPr>
              <w:t>Всего: текущие активы</w:t>
            </w:r>
          </w:p>
        </w:tc>
        <w:tc>
          <w:tcPr>
            <w:tcW w:w="795" w:type="pct"/>
            <w:noWrap/>
            <w:hideMark/>
          </w:tcPr>
          <w:p w14:paraId="44BAE9BB"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51A5958E"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216 754</w:t>
            </w:r>
          </w:p>
        </w:tc>
        <w:tc>
          <w:tcPr>
            <w:tcW w:w="852" w:type="pct"/>
            <w:noWrap/>
            <w:vAlign w:val="bottom"/>
            <w:hideMark/>
          </w:tcPr>
          <w:p w14:paraId="586754A2"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231 270</w:t>
            </w:r>
          </w:p>
        </w:tc>
      </w:tr>
      <w:tr w:rsidR="008F5CF8" w:rsidRPr="00CA4C14" w14:paraId="67347A6C" w14:textId="77777777" w:rsidTr="009E5311">
        <w:trPr>
          <w:trHeight w:val="150"/>
        </w:trPr>
        <w:tc>
          <w:tcPr>
            <w:tcW w:w="2500" w:type="pct"/>
            <w:noWrap/>
            <w:hideMark/>
          </w:tcPr>
          <w:p w14:paraId="581BB0E3" w14:textId="77777777" w:rsidR="008F5CF8" w:rsidRPr="00CA4C14" w:rsidRDefault="008F5CF8" w:rsidP="00CA2D5D">
            <w:pPr>
              <w:pStyle w:val="Tabletext"/>
              <w:spacing w:before="0" w:after="0"/>
              <w:rPr>
                <w:lang w:val="ru-RU"/>
              </w:rPr>
            </w:pPr>
          </w:p>
        </w:tc>
        <w:tc>
          <w:tcPr>
            <w:tcW w:w="795" w:type="pct"/>
            <w:noWrap/>
            <w:hideMark/>
          </w:tcPr>
          <w:p w14:paraId="395DD101" w14:textId="77777777" w:rsidR="008F5CF8" w:rsidRPr="00CA4C14" w:rsidRDefault="008F5CF8" w:rsidP="00CA2D5D">
            <w:pPr>
              <w:pStyle w:val="Tabletext"/>
              <w:spacing w:before="0" w:after="0"/>
              <w:jc w:val="center"/>
              <w:rPr>
                <w:color w:val="000000"/>
                <w:szCs w:val="18"/>
                <w:lang w:val="ru-RU" w:eastAsia="en-GB"/>
              </w:rPr>
            </w:pPr>
          </w:p>
        </w:tc>
        <w:tc>
          <w:tcPr>
            <w:tcW w:w="852" w:type="pct"/>
            <w:noWrap/>
            <w:vAlign w:val="bottom"/>
            <w:hideMark/>
          </w:tcPr>
          <w:p w14:paraId="5F27D35A" w14:textId="77777777" w:rsidR="008F5CF8" w:rsidRPr="00CA4C14" w:rsidRDefault="008F5CF8" w:rsidP="00CA2D5D">
            <w:pPr>
              <w:pStyle w:val="Tabletext"/>
              <w:spacing w:before="0" w:after="0"/>
              <w:jc w:val="right"/>
              <w:rPr>
                <w:color w:val="000000"/>
                <w:szCs w:val="18"/>
                <w:lang w:val="ru-RU" w:eastAsia="en-GB"/>
              </w:rPr>
            </w:pPr>
          </w:p>
        </w:tc>
        <w:tc>
          <w:tcPr>
            <w:tcW w:w="852" w:type="pct"/>
            <w:noWrap/>
            <w:vAlign w:val="bottom"/>
            <w:hideMark/>
          </w:tcPr>
          <w:p w14:paraId="15E4022F" w14:textId="77777777" w:rsidR="008F5CF8" w:rsidRPr="00CA4C14" w:rsidRDefault="008F5CF8" w:rsidP="00CA2D5D">
            <w:pPr>
              <w:pStyle w:val="Tabletext"/>
              <w:spacing w:before="0" w:after="0"/>
              <w:jc w:val="right"/>
              <w:rPr>
                <w:color w:val="000000"/>
                <w:szCs w:val="18"/>
                <w:lang w:val="ru-RU" w:eastAsia="en-GB"/>
              </w:rPr>
            </w:pPr>
          </w:p>
        </w:tc>
      </w:tr>
      <w:tr w:rsidR="008F5CF8" w:rsidRPr="00CA4C14" w14:paraId="4049A433" w14:textId="77777777" w:rsidTr="009E5311">
        <w:trPr>
          <w:trHeight w:val="259"/>
        </w:trPr>
        <w:tc>
          <w:tcPr>
            <w:tcW w:w="2500" w:type="pct"/>
            <w:noWrap/>
            <w:hideMark/>
          </w:tcPr>
          <w:p w14:paraId="634967A9" w14:textId="77777777" w:rsidR="008F5CF8" w:rsidRPr="00CA4C14" w:rsidRDefault="008F5CF8" w:rsidP="000A17CC">
            <w:pPr>
              <w:pStyle w:val="Tabletext"/>
              <w:spacing w:before="20" w:after="20"/>
              <w:rPr>
                <w:b/>
                <w:bCs/>
                <w:lang w:val="ru-RU"/>
              </w:rPr>
            </w:pPr>
            <w:proofErr w:type="spellStart"/>
            <w:r w:rsidRPr="00CA4C14">
              <w:rPr>
                <w:b/>
                <w:bCs/>
                <w:szCs w:val="18"/>
                <w:lang w:val="ru-RU"/>
              </w:rPr>
              <w:t>Нетекущие</w:t>
            </w:r>
            <w:proofErr w:type="spellEnd"/>
            <w:r w:rsidRPr="00CA4C14">
              <w:rPr>
                <w:b/>
                <w:bCs/>
                <w:szCs w:val="18"/>
                <w:lang w:val="ru-RU"/>
              </w:rPr>
              <w:t xml:space="preserve"> активы</w:t>
            </w:r>
          </w:p>
        </w:tc>
        <w:tc>
          <w:tcPr>
            <w:tcW w:w="795" w:type="pct"/>
            <w:noWrap/>
            <w:hideMark/>
          </w:tcPr>
          <w:p w14:paraId="121AA3DA"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230C936D" w14:textId="77777777" w:rsidR="008F5CF8" w:rsidRPr="00CA4C14" w:rsidRDefault="008F5CF8" w:rsidP="000A17CC">
            <w:pPr>
              <w:pStyle w:val="Tabletext"/>
              <w:spacing w:before="20" w:after="20"/>
              <w:jc w:val="right"/>
              <w:rPr>
                <w:b/>
                <w:bCs/>
                <w:color w:val="000000"/>
                <w:szCs w:val="18"/>
                <w:lang w:val="ru-RU" w:eastAsia="en-GB"/>
              </w:rPr>
            </w:pPr>
          </w:p>
        </w:tc>
        <w:tc>
          <w:tcPr>
            <w:tcW w:w="852" w:type="pct"/>
            <w:noWrap/>
            <w:vAlign w:val="bottom"/>
            <w:hideMark/>
          </w:tcPr>
          <w:p w14:paraId="34807D09" w14:textId="77777777" w:rsidR="008F5CF8" w:rsidRPr="00CA4C14" w:rsidRDefault="008F5CF8" w:rsidP="000A17CC">
            <w:pPr>
              <w:pStyle w:val="Tabletext"/>
              <w:spacing w:before="20" w:after="20"/>
              <w:jc w:val="right"/>
              <w:rPr>
                <w:b/>
                <w:bCs/>
                <w:color w:val="000000"/>
                <w:szCs w:val="18"/>
                <w:lang w:val="ru-RU" w:eastAsia="en-GB"/>
              </w:rPr>
            </w:pPr>
          </w:p>
        </w:tc>
      </w:tr>
      <w:tr w:rsidR="008F5CF8" w:rsidRPr="00CA4C14" w14:paraId="325244E6" w14:textId="77777777" w:rsidTr="009E5311">
        <w:trPr>
          <w:trHeight w:val="259"/>
        </w:trPr>
        <w:tc>
          <w:tcPr>
            <w:tcW w:w="2500" w:type="pct"/>
            <w:noWrap/>
            <w:hideMark/>
          </w:tcPr>
          <w:p w14:paraId="642D21E0" w14:textId="77777777" w:rsidR="008F5CF8" w:rsidRPr="00CA4C14" w:rsidRDefault="008F5CF8" w:rsidP="000A17CC">
            <w:pPr>
              <w:pStyle w:val="Tabletext"/>
              <w:spacing w:before="20" w:after="20"/>
              <w:rPr>
                <w:lang w:val="ru-RU"/>
              </w:rPr>
            </w:pPr>
            <w:r w:rsidRPr="00CA4C14">
              <w:rPr>
                <w:szCs w:val="18"/>
                <w:lang w:val="ru-RU"/>
              </w:rPr>
              <w:t>Материальные активы</w:t>
            </w:r>
          </w:p>
        </w:tc>
        <w:tc>
          <w:tcPr>
            <w:tcW w:w="795" w:type="pct"/>
            <w:noWrap/>
            <w:hideMark/>
          </w:tcPr>
          <w:p w14:paraId="3279770D"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11</w:t>
            </w:r>
          </w:p>
        </w:tc>
        <w:tc>
          <w:tcPr>
            <w:tcW w:w="852" w:type="pct"/>
            <w:noWrap/>
            <w:vAlign w:val="bottom"/>
            <w:hideMark/>
          </w:tcPr>
          <w:p w14:paraId="78D8FE0B"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59 459</w:t>
            </w:r>
          </w:p>
        </w:tc>
        <w:tc>
          <w:tcPr>
            <w:tcW w:w="852" w:type="pct"/>
            <w:noWrap/>
            <w:vAlign w:val="bottom"/>
            <w:hideMark/>
          </w:tcPr>
          <w:p w14:paraId="3796E169"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63 412</w:t>
            </w:r>
          </w:p>
        </w:tc>
      </w:tr>
      <w:tr w:rsidR="008F5CF8" w:rsidRPr="00CA4C14" w14:paraId="20B2B5F8" w14:textId="77777777" w:rsidTr="009E5311">
        <w:trPr>
          <w:trHeight w:val="259"/>
        </w:trPr>
        <w:tc>
          <w:tcPr>
            <w:tcW w:w="2500" w:type="pct"/>
            <w:noWrap/>
            <w:hideMark/>
          </w:tcPr>
          <w:p w14:paraId="1929F789" w14:textId="77777777" w:rsidR="008F5CF8" w:rsidRPr="00CA4C14" w:rsidRDefault="008F5CF8" w:rsidP="000A17CC">
            <w:pPr>
              <w:pStyle w:val="Tabletext"/>
              <w:spacing w:before="20" w:after="20"/>
              <w:rPr>
                <w:lang w:val="ru-RU"/>
              </w:rPr>
            </w:pPr>
            <w:r w:rsidRPr="00CA4C14">
              <w:rPr>
                <w:szCs w:val="18"/>
                <w:lang w:val="ru-RU"/>
              </w:rPr>
              <w:t>Нематериальные активы</w:t>
            </w:r>
          </w:p>
        </w:tc>
        <w:tc>
          <w:tcPr>
            <w:tcW w:w="795" w:type="pct"/>
            <w:noWrap/>
            <w:hideMark/>
          </w:tcPr>
          <w:p w14:paraId="7A09FD49"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12</w:t>
            </w:r>
          </w:p>
        </w:tc>
        <w:tc>
          <w:tcPr>
            <w:tcW w:w="852" w:type="pct"/>
            <w:noWrap/>
            <w:vAlign w:val="bottom"/>
            <w:hideMark/>
          </w:tcPr>
          <w:p w14:paraId="6C46D466"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2 949</w:t>
            </w:r>
          </w:p>
        </w:tc>
        <w:tc>
          <w:tcPr>
            <w:tcW w:w="852" w:type="pct"/>
            <w:noWrap/>
            <w:vAlign w:val="bottom"/>
            <w:hideMark/>
          </w:tcPr>
          <w:p w14:paraId="744F490F"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3 431</w:t>
            </w:r>
          </w:p>
        </w:tc>
      </w:tr>
      <w:tr w:rsidR="008F5CF8" w:rsidRPr="00CA4C14" w14:paraId="179061AE" w14:textId="77777777" w:rsidTr="009E5311">
        <w:trPr>
          <w:trHeight w:val="259"/>
        </w:trPr>
        <w:tc>
          <w:tcPr>
            <w:tcW w:w="2500" w:type="pct"/>
            <w:noWrap/>
            <w:hideMark/>
          </w:tcPr>
          <w:p w14:paraId="02FBA5C4" w14:textId="25AAE3C9" w:rsidR="008F5CF8" w:rsidRPr="00CA4C14" w:rsidRDefault="00492C61" w:rsidP="000A17CC">
            <w:pPr>
              <w:pStyle w:val="Tabletext"/>
              <w:spacing w:before="20" w:after="20"/>
              <w:rPr>
                <w:lang w:val="ru-RU"/>
              </w:rPr>
            </w:pPr>
            <w:r w:rsidRPr="00CA4C14">
              <w:rPr>
                <w:szCs w:val="18"/>
                <w:lang w:val="ru-RU"/>
              </w:rPr>
              <w:t>Активы на этапе</w:t>
            </w:r>
            <w:r w:rsidR="008F5CF8" w:rsidRPr="00CA4C14">
              <w:rPr>
                <w:szCs w:val="18"/>
                <w:lang w:val="ru-RU"/>
              </w:rPr>
              <w:t xml:space="preserve"> строительства</w:t>
            </w:r>
          </w:p>
        </w:tc>
        <w:tc>
          <w:tcPr>
            <w:tcW w:w="795" w:type="pct"/>
            <w:noWrap/>
            <w:hideMark/>
          </w:tcPr>
          <w:p w14:paraId="0B130C4D"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13</w:t>
            </w:r>
          </w:p>
        </w:tc>
        <w:tc>
          <w:tcPr>
            <w:tcW w:w="852" w:type="pct"/>
            <w:noWrap/>
            <w:vAlign w:val="bottom"/>
            <w:hideMark/>
          </w:tcPr>
          <w:p w14:paraId="74CB8D02"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26 597</w:t>
            </w:r>
          </w:p>
        </w:tc>
        <w:tc>
          <w:tcPr>
            <w:tcW w:w="852" w:type="pct"/>
            <w:noWrap/>
            <w:vAlign w:val="bottom"/>
            <w:hideMark/>
          </w:tcPr>
          <w:p w14:paraId="3FED8EE9"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19 769</w:t>
            </w:r>
          </w:p>
        </w:tc>
      </w:tr>
      <w:tr w:rsidR="008F5CF8" w:rsidRPr="00CA4C14" w14:paraId="5313E0D2" w14:textId="77777777" w:rsidTr="009E5311">
        <w:trPr>
          <w:trHeight w:val="259"/>
        </w:trPr>
        <w:tc>
          <w:tcPr>
            <w:tcW w:w="2500" w:type="pct"/>
            <w:noWrap/>
            <w:hideMark/>
          </w:tcPr>
          <w:p w14:paraId="19000C4E" w14:textId="77777777" w:rsidR="008F5CF8" w:rsidRPr="00CA4C14" w:rsidRDefault="008F5CF8" w:rsidP="000A17CC">
            <w:pPr>
              <w:pStyle w:val="Tabletext"/>
              <w:spacing w:before="20" w:after="20"/>
              <w:rPr>
                <w:lang w:val="ru-RU"/>
              </w:rPr>
            </w:pPr>
            <w:r w:rsidRPr="00CA4C14">
              <w:rPr>
                <w:lang w:val="ru-RU"/>
              </w:rPr>
              <w:t xml:space="preserve">Долговые обязательства по необменным операциям, </w:t>
            </w:r>
            <w:proofErr w:type="spellStart"/>
            <w:r w:rsidRPr="00CA4C14">
              <w:rPr>
                <w:lang w:val="ru-RU"/>
              </w:rPr>
              <w:t>нетекущие</w:t>
            </w:r>
            <w:proofErr w:type="spellEnd"/>
          </w:p>
        </w:tc>
        <w:tc>
          <w:tcPr>
            <w:tcW w:w="795" w:type="pct"/>
            <w:noWrap/>
            <w:hideMark/>
          </w:tcPr>
          <w:p w14:paraId="31E4D9BD"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9</w:t>
            </w:r>
          </w:p>
        </w:tc>
        <w:tc>
          <w:tcPr>
            <w:tcW w:w="852" w:type="pct"/>
            <w:noWrap/>
            <w:vAlign w:val="bottom"/>
            <w:hideMark/>
          </w:tcPr>
          <w:p w14:paraId="3381F37D"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2 780</w:t>
            </w:r>
          </w:p>
        </w:tc>
        <w:tc>
          <w:tcPr>
            <w:tcW w:w="852" w:type="pct"/>
            <w:noWrap/>
            <w:vAlign w:val="bottom"/>
            <w:hideMark/>
          </w:tcPr>
          <w:p w14:paraId="1B66D55C"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sym w:font="Symbol" w:char="F02D"/>
            </w:r>
          </w:p>
        </w:tc>
      </w:tr>
      <w:tr w:rsidR="008F5CF8" w:rsidRPr="00CA4C14" w14:paraId="1D9D7C4A" w14:textId="77777777" w:rsidTr="009E5311">
        <w:trPr>
          <w:trHeight w:val="259"/>
        </w:trPr>
        <w:tc>
          <w:tcPr>
            <w:tcW w:w="2500" w:type="pct"/>
            <w:noWrap/>
            <w:hideMark/>
          </w:tcPr>
          <w:p w14:paraId="3CA4AD2F" w14:textId="77777777" w:rsidR="008F5CF8" w:rsidRPr="00CA4C14" w:rsidRDefault="008F5CF8" w:rsidP="000A17CC">
            <w:pPr>
              <w:pStyle w:val="Tabletext"/>
              <w:spacing w:before="20" w:after="20"/>
              <w:rPr>
                <w:b/>
                <w:bCs/>
                <w:lang w:val="ru-RU"/>
              </w:rPr>
            </w:pPr>
            <w:r w:rsidRPr="00CA4C14">
              <w:rPr>
                <w:b/>
                <w:bCs/>
                <w:szCs w:val="18"/>
                <w:lang w:val="ru-RU"/>
              </w:rPr>
              <w:t xml:space="preserve">Всего: </w:t>
            </w:r>
            <w:proofErr w:type="spellStart"/>
            <w:r w:rsidRPr="00CA4C14">
              <w:rPr>
                <w:b/>
                <w:bCs/>
                <w:szCs w:val="18"/>
                <w:lang w:val="ru-RU"/>
              </w:rPr>
              <w:t>нетекущие</w:t>
            </w:r>
            <w:proofErr w:type="spellEnd"/>
            <w:r w:rsidRPr="00CA4C14">
              <w:rPr>
                <w:b/>
                <w:bCs/>
                <w:szCs w:val="18"/>
                <w:lang w:val="ru-RU"/>
              </w:rPr>
              <w:t xml:space="preserve"> активы</w:t>
            </w:r>
          </w:p>
        </w:tc>
        <w:tc>
          <w:tcPr>
            <w:tcW w:w="795" w:type="pct"/>
            <w:noWrap/>
            <w:hideMark/>
          </w:tcPr>
          <w:p w14:paraId="1494B633"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281E7901"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91 785</w:t>
            </w:r>
          </w:p>
        </w:tc>
        <w:tc>
          <w:tcPr>
            <w:tcW w:w="852" w:type="pct"/>
            <w:noWrap/>
            <w:vAlign w:val="bottom"/>
            <w:hideMark/>
          </w:tcPr>
          <w:p w14:paraId="3414D0DD"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86 612</w:t>
            </w:r>
          </w:p>
        </w:tc>
      </w:tr>
      <w:tr w:rsidR="008F5CF8" w:rsidRPr="00CA4C14" w14:paraId="6ECD2F69" w14:textId="77777777" w:rsidTr="009E5311">
        <w:trPr>
          <w:trHeight w:val="150"/>
        </w:trPr>
        <w:tc>
          <w:tcPr>
            <w:tcW w:w="2500" w:type="pct"/>
            <w:noWrap/>
            <w:hideMark/>
          </w:tcPr>
          <w:p w14:paraId="3DB5D9BB" w14:textId="77777777" w:rsidR="008F5CF8" w:rsidRPr="00CA4C14" w:rsidRDefault="008F5CF8" w:rsidP="00CA2D5D">
            <w:pPr>
              <w:pStyle w:val="Tabletext"/>
              <w:spacing w:before="0" w:after="0"/>
              <w:rPr>
                <w:lang w:val="ru-RU"/>
              </w:rPr>
            </w:pPr>
          </w:p>
        </w:tc>
        <w:tc>
          <w:tcPr>
            <w:tcW w:w="795" w:type="pct"/>
            <w:noWrap/>
            <w:hideMark/>
          </w:tcPr>
          <w:p w14:paraId="046EB347" w14:textId="77777777" w:rsidR="008F5CF8" w:rsidRPr="00CA4C14" w:rsidRDefault="008F5CF8" w:rsidP="00CA2D5D">
            <w:pPr>
              <w:pStyle w:val="Tabletext"/>
              <w:spacing w:before="0" w:after="0"/>
              <w:jc w:val="center"/>
              <w:rPr>
                <w:color w:val="000000"/>
                <w:szCs w:val="18"/>
                <w:lang w:val="ru-RU" w:eastAsia="en-GB"/>
              </w:rPr>
            </w:pPr>
          </w:p>
        </w:tc>
        <w:tc>
          <w:tcPr>
            <w:tcW w:w="852" w:type="pct"/>
            <w:noWrap/>
            <w:vAlign w:val="bottom"/>
            <w:hideMark/>
          </w:tcPr>
          <w:p w14:paraId="25E06431" w14:textId="77777777" w:rsidR="008F5CF8" w:rsidRPr="00CA4C14" w:rsidRDefault="008F5CF8" w:rsidP="00CA2D5D">
            <w:pPr>
              <w:pStyle w:val="Tabletext"/>
              <w:spacing w:before="0" w:after="0"/>
              <w:jc w:val="right"/>
              <w:rPr>
                <w:color w:val="000000"/>
                <w:szCs w:val="18"/>
                <w:lang w:val="ru-RU" w:eastAsia="en-GB"/>
              </w:rPr>
            </w:pPr>
          </w:p>
        </w:tc>
        <w:tc>
          <w:tcPr>
            <w:tcW w:w="852" w:type="pct"/>
            <w:noWrap/>
            <w:vAlign w:val="bottom"/>
            <w:hideMark/>
          </w:tcPr>
          <w:p w14:paraId="2C706486" w14:textId="77777777" w:rsidR="008F5CF8" w:rsidRPr="00CA4C14" w:rsidRDefault="008F5CF8" w:rsidP="00CA2D5D">
            <w:pPr>
              <w:pStyle w:val="Tabletext"/>
              <w:spacing w:before="0" w:after="0"/>
              <w:jc w:val="right"/>
              <w:rPr>
                <w:color w:val="000000"/>
                <w:szCs w:val="18"/>
                <w:lang w:val="ru-RU" w:eastAsia="en-GB"/>
              </w:rPr>
            </w:pPr>
          </w:p>
        </w:tc>
      </w:tr>
      <w:tr w:rsidR="008F5CF8" w:rsidRPr="00CA4C14" w14:paraId="0F11E132" w14:textId="77777777" w:rsidTr="009E5311">
        <w:trPr>
          <w:trHeight w:val="70"/>
        </w:trPr>
        <w:tc>
          <w:tcPr>
            <w:tcW w:w="2500" w:type="pct"/>
            <w:noWrap/>
            <w:hideMark/>
          </w:tcPr>
          <w:p w14:paraId="50A0BAF7" w14:textId="23F4B8F8" w:rsidR="008F5CF8" w:rsidRPr="00CA4C14" w:rsidRDefault="008F5CF8" w:rsidP="000A17CC">
            <w:pPr>
              <w:pStyle w:val="Tabletext"/>
              <w:spacing w:before="20" w:after="20"/>
              <w:rPr>
                <w:b/>
                <w:bCs/>
                <w:lang w:val="ru-RU"/>
              </w:rPr>
            </w:pPr>
            <w:r w:rsidRPr="00CA4C14">
              <w:rPr>
                <w:b/>
                <w:bCs/>
                <w:szCs w:val="18"/>
                <w:lang w:val="ru-RU"/>
              </w:rPr>
              <w:t>ВСЕГО</w:t>
            </w:r>
            <w:r w:rsidR="00FA15F6" w:rsidRPr="00CA4C14">
              <w:rPr>
                <w:b/>
                <w:bCs/>
                <w:szCs w:val="18"/>
                <w:lang w:val="ru-RU"/>
              </w:rPr>
              <w:t>:</w:t>
            </w:r>
            <w:r w:rsidRPr="00CA4C14">
              <w:rPr>
                <w:b/>
                <w:bCs/>
                <w:szCs w:val="18"/>
                <w:lang w:val="ru-RU"/>
              </w:rPr>
              <w:t xml:space="preserve"> АКТИВЫ</w:t>
            </w:r>
          </w:p>
        </w:tc>
        <w:tc>
          <w:tcPr>
            <w:tcW w:w="795" w:type="pct"/>
            <w:noWrap/>
            <w:hideMark/>
          </w:tcPr>
          <w:p w14:paraId="41317E41"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22C56C5D"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308 539</w:t>
            </w:r>
          </w:p>
        </w:tc>
        <w:tc>
          <w:tcPr>
            <w:tcW w:w="852" w:type="pct"/>
            <w:noWrap/>
            <w:vAlign w:val="bottom"/>
            <w:hideMark/>
          </w:tcPr>
          <w:p w14:paraId="0ADB0315"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317 882</w:t>
            </w:r>
          </w:p>
        </w:tc>
      </w:tr>
      <w:tr w:rsidR="00CE2183" w:rsidRPr="00CA4C14" w14:paraId="7F9B2F50" w14:textId="77777777" w:rsidTr="009E5311">
        <w:trPr>
          <w:trHeight w:val="70"/>
        </w:trPr>
        <w:tc>
          <w:tcPr>
            <w:tcW w:w="2500" w:type="pct"/>
            <w:noWrap/>
          </w:tcPr>
          <w:p w14:paraId="7C474C6E" w14:textId="77777777" w:rsidR="00CE2183" w:rsidRPr="00CA4C14" w:rsidRDefault="00CE2183" w:rsidP="00CA2D5D">
            <w:pPr>
              <w:pStyle w:val="Tabletext"/>
              <w:spacing w:before="0" w:after="0"/>
              <w:rPr>
                <w:b/>
                <w:bCs/>
                <w:szCs w:val="18"/>
                <w:lang w:val="ru-RU"/>
              </w:rPr>
            </w:pPr>
          </w:p>
        </w:tc>
        <w:tc>
          <w:tcPr>
            <w:tcW w:w="795" w:type="pct"/>
            <w:noWrap/>
          </w:tcPr>
          <w:p w14:paraId="564C0A73" w14:textId="77777777" w:rsidR="00CE2183" w:rsidRPr="00CA4C14" w:rsidRDefault="00CE2183" w:rsidP="00CA2D5D">
            <w:pPr>
              <w:pStyle w:val="Tabletext"/>
              <w:spacing w:before="0" w:after="0"/>
              <w:jc w:val="center"/>
              <w:rPr>
                <w:b/>
                <w:bCs/>
                <w:color w:val="000000"/>
                <w:szCs w:val="18"/>
                <w:lang w:val="ru-RU" w:eastAsia="en-GB"/>
              </w:rPr>
            </w:pPr>
          </w:p>
        </w:tc>
        <w:tc>
          <w:tcPr>
            <w:tcW w:w="852" w:type="pct"/>
            <w:noWrap/>
            <w:vAlign w:val="bottom"/>
          </w:tcPr>
          <w:p w14:paraId="3E39CC99" w14:textId="77777777" w:rsidR="00CE2183" w:rsidRPr="00CA4C14" w:rsidRDefault="00CE2183" w:rsidP="00CA2D5D">
            <w:pPr>
              <w:pStyle w:val="Tabletext"/>
              <w:spacing w:before="0" w:after="0"/>
              <w:jc w:val="right"/>
              <w:rPr>
                <w:b/>
                <w:bCs/>
                <w:color w:val="000000"/>
                <w:szCs w:val="18"/>
                <w:lang w:val="ru-RU" w:eastAsia="en-GB"/>
              </w:rPr>
            </w:pPr>
          </w:p>
        </w:tc>
        <w:tc>
          <w:tcPr>
            <w:tcW w:w="852" w:type="pct"/>
            <w:noWrap/>
            <w:vAlign w:val="bottom"/>
          </w:tcPr>
          <w:p w14:paraId="4A6AD5DC" w14:textId="77777777" w:rsidR="00CE2183" w:rsidRPr="00CA4C14" w:rsidRDefault="00CE2183" w:rsidP="00CA2D5D">
            <w:pPr>
              <w:pStyle w:val="Tabletext"/>
              <w:spacing w:before="0" w:after="0"/>
              <w:jc w:val="right"/>
              <w:rPr>
                <w:b/>
                <w:bCs/>
                <w:color w:val="000000"/>
                <w:szCs w:val="18"/>
                <w:lang w:val="ru-RU" w:eastAsia="en-GB"/>
              </w:rPr>
            </w:pPr>
          </w:p>
        </w:tc>
      </w:tr>
      <w:tr w:rsidR="008F5CF8" w:rsidRPr="00CA4C14" w14:paraId="43270F9F" w14:textId="77777777" w:rsidTr="009E5311">
        <w:trPr>
          <w:trHeight w:val="259"/>
        </w:trPr>
        <w:tc>
          <w:tcPr>
            <w:tcW w:w="2500" w:type="pct"/>
            <w:noWrap/>
            <w:hideMark/>
          </w:tcPr>
          <w:p w14:paraId="3BF90738" w14:textId="77777777" w:rsidR="008F5CF8" w:rsidRPr="00CA4C14" w:rsidRDefault="008F5CF8" w:rsidP="000A17CC">
            <w:pPr>
              <w:pStyle w:val="Tabletext"/>
              <w:spacing w:before="20" w:after="20"/>
              <w:rPr>
                <w:b/>
                <w:bCs/>
                <w:lang w:val="ru-RU"/>
              </w:rPr>
            </w:pPr>
            <w:r w:rsidRPr="00CA4C14">
              <w:rPr>
                <w:b/>
                <w:bCs/>
                <w:szCs w:val="18"/>
                <w:lang w:val="ru-RU"/>
              </w:rPr>
              <w:t>ПАССИВЫ</w:t>
            </w:r>
          </w:p>
        </w:tc>
        <w:tc>
          <w:tcPr>
            <w:tcW w:w="795" w:type="pct"/>
            <w:noWrap/>
            <w:hideMark/>
          </w:tcPr>
          <w:p w14:paraId="5B96B0D4"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3F0AABC7" w14:textId="77777777" w:rsidR="008F5CF8" w:rsidRPr="00CA4C14" w:rsidRDefault="008F5CF8" w:rsidP="000A17CC">
            <w:pPr>
              <w:pStyle w:val="Tabletext"/>
              <w:spacing w:before="20" w:after="20"/>
              <w:jc w:val="right"/>
              <w:rPr>
                <w:b/>
                <w:bCs/>
                <w:color w:val="000000"/>
                <w:szCs w:val="18"/>
                <w:lang w:val="ru-RU" w:eastAsia="en-GB"/>
              </w:rPr>
            </w:pPr>
          </w:p>
        </w:tc>
        <w:tc>
          <w:tcPr>
            <w:tcW w:w="852" w:type="pct"/>
            <w:noWrap/>
            <w:vAlign w:val="bottom"/>
            <w:hideMark/>
          </w:tcPr>
          <w:p w14:paraId="176CC750" w14:textId="77777777" w:rsidR="008F5CF8" w:rsidRPr="00CA4C14" w:rsidRDefault="008F5CF8" w:rsidP="000A17CC">
            <w:pPr>
              <w:pStyle w:val="Tabletext"/>
              <w:spacing w:before="20" w:after="20"/>
              <w:jc w:val="right"/>
              <w:rPr>
                <w:b/>
                <w:bCs/>
                <w:color w:val="000000"/>
                <w:szCs w:val="18"/>
                <w:lang w:val="ru-RU" w:eastAsia="en-GB"/>
              </w:rPr>
            </w:pPr>
          </w:p>
        </w:tc>
      </w:tr>
      <w:tr w:rsidR="008F5CF8" w:rsidRPr="00CA4C14" w14:paraId="760636B0" w14:textId="77777777" w:rsidTr="009E5311">
        <w:trPr>
          <w:trHeight w:val="259"/>
        </w:trPr>
        <w:tc>
          <w:tcPr>
            <w:tcW w:w="2500" w:type="pct"/>
            <w:noWrap/>
            <w:hideMark/>
          </w:tcPr>
          <w:p w14:paraId="4C8F0C25" w14:textId="77777777" w:rsidR="008F5CF8" w:rsidRPr="00CA4C14" w:rsidRDefault="008F5CF8" w:rsidP="000A17CC">
            <w:pPr>
              <w:pStyle w:val="Tabletext"/>
              <w:spacing w:before="20" w:after="20"/>
              <w:rPr>
                <w:b/>
                <w:bCs/>
                <w:lang w:val="ru-RU"/>
              </w:rPr>
            </w:pPr>
            <w:r w:rsidRPr="00CA4C14">
              <w:rPr>
                <w:b/>
                <w:bCs/>
                <w:lang w:val="ru-RU" w:eastAsia="en-GB"/>
              </w:rPr>
              <w:t>Текущие пассивы</w:t>
            </w:r>
          </w:p>
        </w:tc>
        <w:tc>
          <w:tcPr>
            <w:tcW w:w="795" w:type="pct"/>
            <w:noWrap/>
            <w:hideMark/>
          </w:tcPr>
          <w:p w14:paraId="26D1C8ED"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5915EBA3" w14:textId="77777777" w:rsidR="008F5CF8" w:rsidRPr="00CA4C14" w:rsidRDefault="008F5CF8" w:rsidP="000A17CC">
            <w:pPr>
              <w:pStyle w:val="Tabletext"/>
              <w:spacing w:before="20" w:after="20"/>
              <w:jc w:val="right"/>
              <w:rPr>
                <w:b/>
                <w:bCs/>
                <w:color w:val="000000"/>
                <w:szCs w:val="18"/>
                <w:lang w:val="ru-RU" w:eastAsia="en-GB"/>
              </w:rPr>
            </w:pPr>
          </w:p>
        </w:tc>
        <w:tc>
          <w:tcPr>
            <w:tcW w:w="852" w:type="pct"/>
            <w:noWrap/>
            <w:vAlign w:val="bottom"/>
            <w:hideMark/>
          </w:tcPr>
          <w:p w14:paraId="38FDA741" w14:textId="77777777" w:rsidR="008F5CF8" w:rsidRPr="00CA4C14" w:rsidRDefault="008F5CF8" w:rsidP="000A17CC">
            <w:pPr>
              <w:pStyle w:val="Tabletext"/>
              <w:spacing w:before="20" w:after="20"/>
              <w:jc w:val="right"/>
              <w:rPr>
                <w:b/>
                <w:bCs/>
                <w:color w:val="000000"/>
                <w:szCs w:val="18"/>
                <w:lang w:val="ru-RU" w:eastAsia="en-GB"/>
              </w:rPr>
            </w:pPr>
          </w:p>
        </w:tc>
      </w:tr>
      <w:tr w:rsidR="008F5CF8" w:rsidRPr="00CA4C14" w14:paraId="7561F249" w14:textId="77777777" w:rsidTr="009E5311">
        <w:trPr>
          <w:trHeight w:val="259"/>
        </w:trPr>
        <w:tc>
          <w:tcPr>
            <w:tcW w:w="2500" w:type="pct"/>
            <w:noWrap/>
            <w:hideMark/>
          </w:tcPr>
          <w:p w14:paraId="676CE21D" w14:textId="3544D4C1" w:rsidR="008F5CF8" w:rsidRPr="00CA4C14" w:rsidRDefault="008F5CF8" w:rsidP="000A17CC">
            <w:pPr>
              <w:pStyle w:val="Tabletext"/>
              <w:spacing w:before="20" w:after="20"/>
              <w:rPr>
                <w:lang w:val="ru-RU"/>
              </w:rPr>
            </w:pPr>
            <w:r w:rsidRPr="00CA4C14">
              <w:rPr>
                <w:lang w:val="ru-RU" w:eastAsia="en-GB"/>
              </w:rPr>
              <w:t>Подлежащие уплате</w:t>
            </w:r>
            <w:r w:rsidR="00492C61" w:rsidRPr="00CA4C14">
              <w:rPr>
                <w:lang w:val="ru-RU" w:eastAsia="en-GB"/>
              </w:rPr>
              <w:t xml:space="preserve"> средства</w:t>
            </w:r>
          </w:p>
        </w:tc>
        <w:tc>
          <w:tcPr>
            <w:tcW w:w="795" w:type="pct"/>
            <w:noWrap/>
            <w:hideMark/>
          </w:tcPr>
          <w:p w14:paraId="572B6D31"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14</w:t>
            </w:r>
          </w:p>
        </w:tc>
        <w:tc>
          <w:tcPr>
            <w:tcW w:w="852" w:type="pct"/>
            <w:noWrap/>
            <w:vAlign w:val="bottom"/>
            <w:hideMark/>
          </w:tcPr>
          <w:p w14:paraId="3808D7E7"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13 042</w:t>
            </w:r>
          </w:p>
        </w:tc>
        <w:tc>
          <w:tcPr>
            <w:tcW w:w="852" w:type="pct"/>
            <w:noWrap/>
            <w:vAlign w:val="bottom"/>
            <w:hideMark/>
          </w:tcPr>
          <w:p w14:paraId="464F905C"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10 541</w:t>
            </w:r>
          </w:p>
        </w:tc>
      </w:tr>
      <w:tr w:rsidR="008F5CF8" w:rsidRPr="00CA4C14" w14:paraId="28544874" w14:textId="77777777" w:rsidTr="009E5311">
        <w:trPr>
          <w:trHeight w:val="259"/>
        </w:trPr>
        <w:tc>
          <w:tcPr>
            <w:tcW w:w="2500" w:type="pct"/>
            <w:noWrap/>
            <w:hideMark/>
          </w:tcPr>
          <w:p w14:paraId="4998C4B1" w14:textId="77777777" w:rsidR="008F5CF8" w:rsidRPr="00CA4C14" w:rsidRDefault="008F5CF8" w:rsidP="000A17CC">
            <w:pPr>
              <w:pStyle w:val="Tabletext"/>
              <w:spacing w:before="20" w:after="20"/>
              <w:rPr>
                <w:lang w:val="ru-RU"/>
              </w:rPr>
            </w:pPr>
            <w:r w:rsidRPr="00CA4C14">
              <w:rPr>
                <w:lang w:val="ru-RU" w:eastAsia="en-GB"/>
              </w:rPr>
              <w:t>Взносы, уплаченные авансом</w:t>
            </w:r>
          </w:p>
        </w:tc>
        <w:tc>
          <w:tcPr>
            <w:tcW w:w="795" w:type="pct"/>
            <w:noWrap/>
            <w:hideMark/>
          </w:tcPr>
          <w:p w14:paraId="04BEA2FB"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15</w:t>
            </w:r>
          </w:p>
        </w:tc>
        <w:tc>
          <w:tcPr>
            <w:tcW w:w="852" w:type="pct"/>
            <w:noWrap/>
            <w:vAlign w:val="bottom"/>
            <w:hideMark/>
          </w:tcPr>
          <w:p w14:paraId="207F2125"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50 544</w:t>
            </w:r>
          </w:p>
        </w:tc>
        <w:tc>
          <w:tcPr>
            <w:tcW w:w="852" w:type="pct"/>
            <w:noWrap/>
            <w:vAlign w:val="bottom"/>
            <w:hideMark/>
          </w:tcPr>
          <w:p w14:paraId="4827577E"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50 823</w:t>
            </w:r>
          </w:p>
        </w:tc>
      </w:tr>
      <w:tr w:rsidR="008F5CF8" w:rsidRPr="00CA4C14" w14:paraId="6B420B08" w14:textId="77777777" w:rsidTr="009E5311">
        <w:trPr>
          <w:trHeight w:val="259"/>
        </w:trPr>
        <w:tc>
          <w:tcPr>
            <w:tcW w:w="2500" w:type="pct"/>
            <w:noWrap/>
            <w:hideMark/>
          </w:tcPr>
          <w:p w14:paraId="446C4F26" w14:textId="77777777" w:rsidR="008F5CF8" w:rsidRPr="00CA4C14" w:rsidRDefault="008F5CF8" w:rsidP="000A17CC">
            <w:pPr>
              <w:pStyle w:val="Tabletext"/>
              <w:spacing w:before="20" w:after="20"/>
              <w:rPr>
                <w:lang w:val="ru-RU"/>
              </w:rPr>
            </w:pPr>
            <w:r w:rsidRPr="00CA4C14">
              <w:rPr>
                <w:lang w:val="ru-RU" w:eastAsia="en-GB"/>
              </w:rPr>
              <w:t>Доходы будущих периодов</w:t>
            </w:r>
          </w:p>
        </w:tc>
        <w:tc>
          <w:tcPr>
            <w:tcW w:w="795" w:type="pct"/>
            <w:noWrap/>
            <w:hideMark/>
          </w:tcPr>
          <w:p w14:paraId="0A2549D0"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15</w:t>
            </w:r>
          </w:p>
        </w:tc>
        <w:tc>
          <w:tcPr>
            <w:tcW w:w="852" w:type="pct"/>
            <w:noWrap/>
            <w:vAlign w:val="bottom"/>
            <w:hideMark/>
          </w:tcPr>
          <w:p w14:paraId="538D5E58"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3 590</w:t>
            </w:r>
          </w:p>
        </w:tc>
        <w:tc>
          <w:tcPr>
            <w:tcW w:w="852" w:type="pct"/>
            <w:noWrap/>
            <w:vAlign w:val="bottom"/>
            <w:hideMark/>
          </w:tcPr>
          <w:p w14:paraId="71692F21"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10 011</w:t>
            </w:r>
          </w:p>
        </w:tc>
      </w:tr>
      <w:tr w:rsidR="008F5CF8" w:rsidRPr="00CA4C14" w14:paraId="36AE49A5" w14:textId="77777777" w:rsidTr="009E5311">
        <w:trPr>
          <w:trHeight w:val="259"/>
        </w:trPr>
        <w:tc>
          <w:tcPr>
            <w:tcW w:w="2500" w:type="pct"/>
            <w:noWrap/>
            <w:hideMark/>
          </w:tcPr>
          <w:p w14:paraId="5FAE3075" w14:textId="77777777" w:rsidR="008F5CF8" w:rsidRPr="00CA4C14" w:rsidRDefault="008F5CF8" w:rsidP="000A17CC">
            <w:pPr>
              <w:pStyle w:val="Tabletext"/>
              <w:spacing w:before="20" w:after="20"/>
              <w:rPr>
                <w:lang w:val="ru-RU"/>
              </w:rPr>
            </w:pPr>
            <w:r w:rsidRPr="00CA4C14">
              <w:rPr>
                <w:szCs w:val="18"/>
                <w:lang w:val="ru-RU"/>
              </w:rPr>
              <w:t>Займы и финансовая задолженность</w:t>
            </w:r>
          </w:p>
        </w:tc>
        <w:tc>
          <w:tcPr>
            <w:tcW w:w="795" w:type="pct"/>
            <w:noWrap/>
            <w:hideMark/>
          </w:tcPr>
          <w:p w14:paraId="3885F0C4"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16</w:t>
            </w:r>
          </w:p>
        </w:tc>
        <w:tc>
          <w:tcPr>
            <w:tcW w:w="852" w:type="pct"/>
            <w:noWrap/>
            <w:vAlign w:val="bottom"/>
            <w:hideMark/>
          </w:tcPr>
          <w:p w14:paraId="05725723"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1 391</w:t>
            </w:r>
          </w:p>
        </w:tc>
        <w:tc>
          <w:tcPr>
            <w:tcW w:w="852" w:type="pct"/>
            <w:noWrap/>
            <w:vAlign w:val="bottom"/>
            <w:hideMark/>
          </w:tcPr>
          <w:p w14:paraId="0E859B95"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1 391</w:t>
            </w:r>
          </w:p>
        </w:tc>
      </w:tr>
      <w:tr w:rsidR="008F5CF8" w:rsidRPr="00CA4C14" w14:paraId="4F9ABFB0" w14:textId="77777777" w:rsidTr="009E5311">
        <w:trPr>
          <w:trHeight w:val="259"/>
        </w:trPr>
        <w:tc>
          <w:tcPr>
            <w:tcW w:w="2500" w:type="pct"/>
            <w:noWrap/>
            <w:hideMark/>
          </w:tcPr>
          <w:p w14:paraId="574C005A" w14:textId="77777777" w:rsidR="008F5CF8" w:rsidRPr="00CA4C14" w:rsidRDefault="008F5CF8" w:rsidP="000A17CC">
            <w:pPr>
              <w:pStyle w:val="Tabletext"/>
              <w:spacing w:before="20" w:after="20"/>
              <w:rPr>
                <w:lang w:val="ru-RU"/>
              </w:rPr>
            </w:pPr>
            <w:r w:rsidRPr="00CA4C14">
              <w:rPr>
                <w:szCs w:val="18"/>
                <w:lang w:val="ru-RU"/>
              </w:rPr>
              <w:t>Вознаграждение сотрудников</w:t>
            </w:r>
          </w:p>
        </w:tc>
        <w:tc>
          <w:tcPr>
            <w:tcW w:w="795" w:type="pct"/>
            <w:noWrap/>
            <w:hideMark/>
          </w:tcPr>
          <w:p w14:paraId="19B66C7E"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17</w:t>
            </w:r>
          </w:p>
        </w:tc>
        <w:tc>
          <w:tcPr>
            <w:tcW w:w="852" w:type="pct"/>
            <w:noWrap/>
            <w:vAlign w:val="bottom"/>
            <w:hideMark/>
          </w:tcPr>
          <w:p w14:paraId="066CD18D"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527</w:t>
            </w:r>
          </w:p>
        </w:tc>
        <w:tc>
          <w:tcPr>
            <w:tcW w:w="852" w:type="pct"/>
            <w:noWrap/>
            <w:vAlign w:val="bottom"/>
            <w:hideMark/>
          </w:tcPr>
          <w:p w14:paraId="17AFD568"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245</w:t>
            </w:r>
          </w:p>
        </w:tc>
      </w:tr>
      <w:tr w:rsidR="008F5CF8" w:rsidRPr="00CA4C14" w14:paraId="6FF5353C" w14:textId="77777777" w:rsidTr="009E5311">
        <w:trPr>
          <w:trHeight w:val="259"/>
        </w:trPr>
        <w:tc>
          <w:tcPr>
            <w:tcW w:w="2500" w:type="pct"/>
            <w:noWrap/>
            <w:hideMark/>
          </w:tcPr>
          <w:p w14:paraId="7EB892A8" w14:textId="77777777" w:rsidR="008F5CF8" w:rsidRPr="00CA4C14" w:rsidRDefault="008F5CF8" w:rsidP="000A17CC">
            <w:pPr>
              <w:pStyle w:val="Tabletext"/>
              <w:spacing w:before="20" w:after="20"/>
              <w:rPr>
                <w:lang w:val="ru-RU"/>
              </w:rPr>
            </w:pPr>
            <w:r w:rsidRPr="00CA4C14">
              <w:rPr>
                <w:szCs w:val="18"/>
                <w:lang w:val="ru-RU"/>
              </w:rPr>
              <w:t>Резервные фонды</w:t>
            </w:r>
          </w:p>
        </w:tc>
        <w:tc>
          <w:tcPr>
            <w:tcW w:w="795" w:type="pct"/>
            <w:noWrap/>
            <w:hideMark/>
          </w:tcPr>
          <w:p w14:paraId="09DF416D"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18</w:t>
            </w:r>
          </w:p>
        </w:tc>
        <w:tc>
          <w:tcPr>
            <w:tcW w:w="852" w:type="pct"/>
            <w:noWrap/>
            <w:vAlign w:val="bottom"/>
            <w:hideMark/>
          </w:tcPr>
          <w:p w14:paraId="54DDB8F4"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1 778</w:t>
            </w:r>
          </w:p>
        </w:tc>
        <w:tc>
          <w:tcPr>
            <w:tcW w:w="852" w:type="pct"/>
            <w:noWrap/>
            <w:vAlign w:val="bottom"/>
            <w:hideMark/>
          </w:tcPr>
          <w:p w14:paraId="590D57FC"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1 459</w:t>
            </w:r>
          </w:p>
        </w:tc>
      </w:tr>
      <w:tr w:rsidR="008F5CF8" w:rsidRPr="00CA4C14" w14:paraId="2E4CE296" w14:textId="77777777" w:rsidTr="009E5311">
        <w:trPr>
          <w:trHeight w:val="259"/>
        </w:trPr>
        <w:tc>
          <w:tcPr>
            <w:tcW w:w="2500" w:type="pct"/>
            <w:noWrap/>
            <w:hideMark/>
          </w:tcPr>
          <w:p w14:paraId="2D084512" w14:textId="77777777" w:rsidR="008F5CF8" w:rsidRPr="00CA4C14" w:rsidRDefault="008F5CF8" w:rsidP="000A17CC">
            <w:pPr>
              <w:pStyle w:val="Tabletext"/>
              <w:spacing w:before="20" w:after="20"/>
              <w:rPr>
                <w:lang w:val="ru-RU"/>
              </w:rPr>
            </w:pPr>
            <w:r w:rsidRPr="00CA4C14">
              <w:rPr>
                <w:szCs w:val="18"/>
                <w:lang w:val="ru-RU"/>
              </w:rPr>
              <w:t>Прочая задолженность</w:t>
            </w:r>
          </w:p>
        </w:tc>
        <w:tc>
          <w:tcPr>
            <w:tcW w:w="795" w:type="pct"/>
            <w:noWrap/>
            <w:hideMark/>
          </w:tcPr>
          <w:p w14:paraId="314E8A33"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19</w:t>
            </w:r>
          </w:p>
        </w:tc>
        <w:tc>
          <w:tcPr>
            <w:tcW w:w="852" w:type="pct"/>
            <w:noWrap/>
            <w:vAlign w:val="bottom"/>
            <w:hideMark/>
          </w:tcPr>
          <w:p w14:paraId="2D188505"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3 057</w:t>
            </w:r>
          </w:p>
        </w:tc>
        <w:tc>
          <w:tcPr>
            <w:tcW w:w="852" w:type="pct"/>
            <w:noWrap/>
            <w:vAlign w:val="bottom"/>
            <w:hideMark/>
          </w:tcPr>
          <w:p w14:paraId="20B3D707"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2 230</w:t>
            </w:r>
          </w:p>
        </w:tc>
      </w:tr>
      <w:tr w:rsidR="008F5CF8" w:rsidRPr="00CA4C14" w14:paraId="5E1BAA0E" w14:textId="77777777" w:rsidTr="009E5311">
        <w:trPr>
          <w:trHeight w:val="259"/>
        </w:trPr>
        <w:tc>
          <w:tcPr>
            <w:tcW w:w="2500" w:type="pct"/>
            <w:noWrap/>
            <w:hideMark/>
          </w:tcPr>
          <w:p w14:paraId="569D736D" w14:textId="77777777" w:rsidR="008F5CF8" w:rsidRPr="00CA4C14" w:rsidRDefault="008F5CF8" w:rsidP="000A17CC">
            <w:pPr>
              <w:pStyle w:val="Tabletext"/>
              <w:spacing w:before="20" w:after="20"/>
              <w:rPr>
                <w:szCs w:val="18"/>
                <w:lang w:val="ru-RU" w:eastAsia="fr-FR"/>
              </w:rPr>
            </w:pPr>
            <w:r w:rsidRPr="00CA4C14">
              <w:rPr>
                <w:szCs w:val="18"/>
                <w:lang w:val="ru-RU" w:eastAsia="fr-FR"/>
              </w:rPr>
              <w:t>Средства третьих сторон</w:t>
            </w:r>
          </w:p>
        </w:tc>
        <w:tc>
          <w:tcPr>
            <w:tcW w:w="795" w:type="pct"/>
            <w:noWrap/>
            <w:hideMark/>
          </w:tcPr>
          <w:p w14:paraId="7161FBC1"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20</w:t>
            </w:r>
          </w:p>
        </w:tc>
        <w:tc>
          <w:tcPr>
            <w:tcW w:w="852" w:type="pct"/>
            <w:noWrap/>
            <w:vAlign w:val="bottom"/>
            <w:hideMark/>
          </w:tcPr>
          <w:p w14:paraId="57040F2D"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24 359</w:t>
            </w:r>
          </w:p>
        </w:tc>
        <w:tc>
          <w:tcPr>
            <w:tcW w:w="852" w:type="pct"/>
            <w:noWrap/>
            <w:vAlign w:val="bottom"/>
            <w:hideMark/>
          </w:tcPr>
          <w:p w14:paraId="51C7191F"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26 226</w:t>
            </w:r>
          </w:p>
        </w:tc>
      </w:tr>
      <w:tr w:rsidR="008F5CF8" w:rsidRPr="00CA4C14" w14:paraId="5E5DBCA9" w14:textId="77777777" w:rsidTr="009E5311">
        <w:trPr>
          <w:trHeight w:val="259"/>
        </w:trPr>
        <w:tc>
          <w:tcPr>
            <w:tcW w:w="2500" w:type="pct"/>
            <w:noWrap/>
            <w:hideMark/>
          </w:tcPr>
          <w:p w14:paraId="6657B539" w14:textId="77777777" w:rsidR="008F5CF8" w:rsidRPr="00CA4C14" w:rsidRDefault="008F5CF8" w:rsidP="000A17CC">
            <w:pPr>
              <w:pStyle w:val="Tabletext"/>
              <w:spacing w:before="20" w:after="20"/>
              <w:rPr>
                <w:b/>
                <w:bCs/>
                <w:lang w:val="ru-RU"/>
              </w:rPr>
            </w:pPr>
            <w:r w:rsidRPr="00CA4C14">
              <w:rPr>
                <w:b/>
                <w:bCs/>
                <w:szCs w:val="18"/>
                <w:lang w:val="ru-RU" w:eastAsia="fr-FR"/>
              </w:rPr>
              <w:t>Всего: текущие пассивы</w:t>
            </w:r>
          </w:p>
        </w:tc>
        <w:tc>
          <w:tcPr>
            <w:tcW w:w="795" w:type="pct"/>
            <w:noWrap/>
            <w:hideMark/>
          </w:tcPr>
          <w:p w14:paraId="4DD03940"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48313B85"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98 288</w:t>
            </w:r>
          </w:p>
        </w:tc>
        <w:tc>
          <w:tcPr>
            <w:tcW w:w="852" w:type="pct"/>
            <w:noWrap/>
            <w:vAlign w:val="bottom"/>
            <w:hideMark/>
          </w:tcPr>
          <w:p w14:paraId="23C52D0B"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102 926</w:t>
            </w:r>
          </w:p>
        </w:tc>
      </w:tr>
      <w:tr w:rsidR="008F5CF8" w:rsidRPr="00CA4C14" w14:paraId="06BC964E" w14:textId="77777777" w:rsidTr="009E5311">
        <w:trPr>
          <w:trHeight w:val="150"/>
        </w:trPr>
        <w:tc>
          <w:tcPr>
            <w:tcW w:w="2500" w:type="pct"/>
            <w:noWrap/>
            <w:hideMark/>
          </w:tcPr>
          <w:p w14:paraId="4D1B8C0A" w14:textId="77777777" w:rsidR="008F5CF8" w:rsidRPr="00CA4C14" w:rsidRDefault="008F5CF8" w:rsidP="00CA2D5D">
            <w:pPr>
              <w:pStyle w:val="Tabletext"/>
              <w:spacing w:before="0" w:after="0"/>
              <w:rPr>
                <w:b/>
                <w:bCs/>
                <w:lang w:val="ru-RU"/>
              </w:rPr>
            </w:pPr>
          </w:p>
        </w:tc>
        <w:tc>
          <w:tcPr>
            <w:tcW w:w="795" w:type="pct"/>
            <w:noWrap/>
            <w:hideMark/>
          </w:tcPr>
          <w:p w14:paraId="34D84402" w14:textId="77777777" w:rsidR="008F5CF8" w:rsidRPr="00CA4C14" w:rsidRDefault="008F5CF8" w:rsidP="00CA2D5D">
            <w:pPr>
              <w:pStyle w:val="Tabletext"/>
              <w:spacing w:before="0" w:after="0"/>
              <w:jc w:val="center"/>
              <w:rPr>
                <w:b/>
                <w:bCs/>
                <w:color w:val="000000"/>
                <w:szCs w:val="18"/>
                <w:lang w:val="ru-RU" w:eastAsia="en-GB"/>
              </w:rPr>
            </w:pPr>
          </w:p>
        </w:tc>
        <w:tc>
          <w:tcPr>
            <w:tcW w:w="852" w:type="pct"/>
            <w:noWrap/>
            <w:vAlign w:val="bottom"/>
            <w:hideMark/>
          </w:tcPr>
          <w:p w14:paraId="67B5DB8A" w14:textId="77777777" w:rsidR="008F5CF8" w:rsidRPr="00CA4C14" w:rsidRDefault="008F5CF8" w:rsidP="00CA2D5D">
            <w:pPr>
              <w:pStyle w:val="Tabletext"/>
              <w:spacing w:before="0" w:after="0"/>
              <w:jc w:val="right"/>
              <w:rPr>
                <w:b/>
                <w:bCs/>
                <w:color w:val="000000"/>
                <w:szCs w:val="18"/>
                <w:lang w:val="ru-RU" w:eastAsia="en-GB"/>
              </w:rPr>
            </w:pPr>
          </w:p>
        </w:tc>
        <w:tc>
          <w:tcPr>
            <w:tcW w:w="852" w:type="pct"/>
            <w:noWrap/>
            <w:vAlign w:val="bottom"/>
            <w:hideMark/>
          </w:tcPr>
          <w:p w14:paraId="46B41CAB" w14:textId="77777777" w:rsidR="008F5CF8" w:rsidRPr="00CA4C14" w:rsidRDefault="008F5CF8" w:rsidP="00CA2D5D">
            <w:pPr>
              <w:pStyle w:val="Tabletext"/>
              <w:spacing w:before="0" w:after="0"/>
              <w:jc w:val="right"/>
              <w:rPr>
                <w:b/>
                <w:bCs/>
                <w:color w:val="000000"/>
                <w:szCs w:val="18"/>
                <w:lang w:val="ru-RU" w:eastAsia="en-GB"/>
              </w:rPr>
            </w:pPr>
          </w:p>
        </w:tc>
      </w:tr>
      <w:tr w:rsidR="008F5CF8" w:rsidRPr="00CA4C14" w14:paraId="4B9C823F" w14:textId="77777777" w:rsidTr="009E5311">
        <w:trPr>
          <w:trHeight w:val="259"/>
        </w:trPr>
        <w:tc>
          <w:tcPr>
            <w:tcW w:w="2500" w:type="pct"/>
            <w:noWrap/>
            <w:hideMark/>
          </w:tcPr>
          <w:p w14:paraId="0BDEDB12" w14:textId="77777777" w:rsidR="008F5CF8" w:rsidRPr="00CA4C14" w:rsidRDefault="008F5CF8" w:rsidP="000A17CC">
            <w:pPr>
              <w:pStyle w:val="Tabletext"/>
              <w:spacing w:before="20" w:after="20"/>
              <w:rPr>
                <w:b/>
                <w:bCs/>
                <w:lang w:val="ru-RU"/>
              </w:rPr>
            </w:pPr>
            <w:proofErr w:type="spellStart"/>
            <w:r w:rsidRPr="00CA4C14">
              <w:rPr>
                <w:b/>
                <w:bCs/>
                <w:szCs w:val="18"/>
                <w:lang w:val="ru-RU"/>
              </w:rPr>
              <w:t>Нетекущие</w:t>
            </w:r>
            <w:proofErr w:type="spellEnd"/>
            <w:r w:rsidRPr="00CA4C14">
              <w:rPr>
                <w:b/>
                <w:bCs/>
                <w:szCs w:val="18"/>
                <w:lang w:val="ru-RU"/>
              </w:rPr>
              <w:t xml:space="preserve"> пассивы</w:t>
            </w:r>
          </w:p>
        </w:tc>
        <w:tc>
          <w:tcPr>
            <w:tcW w:w="795" w:type="pct"/>
            <w:noWrap/>
            <w:hideMark/>
          </w:tcPr>
          <w:p w14:paraId="7F8705DF"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79F92F06" w14:textId="77777777" w:rsidR="008F5CF8" w:rsidRPr="00CA4C14" w:rsidRDefault="008F5CF8" w:rsidP="000A17CC">
            <w:pPr>
              <w:pStyle w:val="Tabletext"/>
              <w:spacing w:before="20" w:after="20"/>
              <w:jc w:val="right"/>
              <w:rPr>
                <w:b/>
                <w:bCs/>
                <w:color w:val="000000"/>
                <w:szCs w:val="18"/>
                <w:lang w:val="ru-RU" w:eastAsia="en-GB"/>
              </w:rPr>
            </w:pPr>
          </w:p>
        </w:tc>
        <w:tc>
          <w:tcPr>
            <w:tcW w:w="852" w:type="pct"/>
            <w:noWrap/>
            <w:vAlign w:val="bottom"/>
            <w:hideMark/>
          </w:tcPr>
          <w:p w14:paraId="678DF27D" w14:textId="77777777" w:rsidR="008F5CF8" w:rsidRPr="00CA4C14" w:rsidRDefault="008F5CF8" w:rsidP="000A17CC">
            <w:pPr>
              <w:pStyle w:val="Tabletext"/>
              <w:spacing w:before="20" w:after="20"/>
              <w:jc w:val="right"/>
              <w:rPr>
                <w:b/>
                <w:bCs/>
                <w:color w:val="000000"/>
                <w:szCs w:val="18"/>
                <w:lang w:val="ru-RU" w:eastAsia="en-GB"/>
              </w:rPr>
            </w:pPr>
          </w:p>
        </w:tc>
      </w:tr>
      <w:tr w:rsidR="008F5CF8" w:rsidRPr="00CA4C14" w14:paraId="582B3796" w14:textId="77777777" w:rsidTr="009E5311">
        <w:trPr>
          <w:trHeight w:val="259"/>
        </w:trPr>
        <w:tc>
          <w:tcPr>
            <w:tcW w:w="2500" w:type="pct"/>
            <w:noWrap/>
          </w:tcPr>
          <w:p w14:paraId="4E3D86C0" w14:textId="77777777" w:rsidR="008F5CF8" w:rsidRPr="00CA4C14" w:rsidRDefault="008F5CF8" w:rsidP="000A17CC">
            <w:pPr>
              <w:pStyle w:val="Tabletext"/>
              <w:spacing w:before="20" w:after="20"/>
              <w:rPr>
                <w:szCs w:val="18"/>
                <w:lang w:val="ru-RU"/>
              </w:rPr>
            </w:pPr>
            <w:r w:rsidRPr="00CA4C14">
              <w:rPr>
                <w:szCs w:val="18"/>
                <w:lang w:val="ru-RU"/>
              </w:rPr>
              <w:t xml:space="preserve">Доходы будущих периодов, </w:t>
            </w:r>
            <w:proofErr w:type="spellStart"/>
            <w:r w:rsidRPr="00CA4C14">
              <w:rPr>
                <w:szCs w:val="18"/>
                <w:lang w:val="ru-RU"/>
              </w:rPr>
              <w:t>нетекущие</w:t>
            </w:r>
            <w:proofErr w:type="spellEnd"/>
          </w:p>
        </w:tc>
        <w:tc>
          <w:tcPr>
            <w:tcW w:w="795" w:type="pct"/>
            <w:noWrap/>
          </w:tcPr>
          <w:p w14:paraId="296741C1"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15</w:t>
            </w:r>
          </w:p>
        </w:tc>
        <w:tc>
          <w:tcPr>
            <w:tcW w:w="852" w:type="pct"/>
            <w:noWrap/>
            <w:vAlign w:val="bottom"/>
          </w:tcPr>
          <w:p w14:paraId="79523FF5"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2 780</w:t>
            </w:r>
          </w:p>
        </w:tc>
        <w:tc>
          <w:tcPr>
            <w:tcW w:w="852" w:type="pct"/>
            <w:noWrap/>
            <w:vAlign w:val="bottom"/>
          </w:tcPr>
          <w:p w14:paraId="636C98B5"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sym w:font="Symbol" w:char="F02D"/>
            </w:r>
          </w:p>
        </w:tc>
      </w:tr>
      <w:tr w:rsidR="008F5CF8" w:rsidRPr="00CA4C14" w14:paraId="2309673E" w14:textId="77777777" w:rsidTr="009E5311">
        <w:trPr>
          <w:trHeight w:val="259"/>
        </w:trPr>
        <w:tc>
          <w:tcPr>
            <w:tcW w:w="2500" w:type="pct"/>
            <w:noWrap/>
            <w:hideMark/>
          </w:tcPr>
          <w:p w14:paraId="0D005B8C" w14:textId="77777777" w:rsidR="008F5CF8" w:rsidRPr="00CA4C14" w:rsidRDefault="008F5CF8" w:rsidP="000A17CC">
            <w:pPr>
              <w:pStyle w:val="Tabletext"/>
              <w:spacing w:before="20" w:after="20"/>
              <w:rPr>
                <w:lang w:val="ru-RU"/>
              </w:rPr>
            </w:pPr>
            <w:r w:rsidRPr="00CA4C14">
              <w:rPr>
                <w:szCs w:val="18"/>
                <w:lang w:val="ru-RU"/>
              </w:rPr>
              <w:t>Займы</w:t>
            </w:r>
          </w:p>
        </w:tc>
        <w:tc>
          <w:tcPr>
            <w:tcW w:w="795" w:type="pct"/>
            <w:noWrap/>
            <w:hideMark/>
          </w:tcPr>
          <w:p w14:paraId="61C4CC78"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16</w:t>
            </w:r>
          </w:p>
        </w:tc>
        <w:tc>
          <w:tcPr>
            <w:tcW w:w="852" w:type="pct"/>
            <w:noWrap/>
            <w:vAlign w:val="bottom"/>
            <w:hideMark/>
          </w:tcPr>
          <w:p w14:paraId="55E503CA"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51 657</w:t>
            </w:r>
          </w:p>
        </w:tc>
        <w:tc>
          <w:tcPr>
            <w:tcW w:w="852" w:type="pct"/>
            <w:noWrap/>
            <w:vAlign w:val="bottom"/>
            <w:hideMark/>
          </w:tcPr>
          <w:p w14:paraId="4DCF4150"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46 940</w:t>
            </w:r>
          </w:p>
        </w:tc>
      </w:tr>
      <w:tr w:rsidR="008F5CF8" w:rsidRPr="00CA4C14" w14:paraId="60B9D1AC" w14:textId="77777777" w:rsidTr="009E5311">
        <w:trPr>
          <w:trHeight w:val="259"/>
        </w:trPr>
        <w:tc>
          <w:tcPr>
            <w:tcW w:w="2500" w:type="pct"/>
            <w:noWrap/>
            <w:hideMark/>
          </w:tcPr>
          <w:p w14:paraId="3ACA6C72" w14:textId="77777777" w:rsidR="008F5CF8" w:rsidRPr="00CA4C14" w:rsidRDefault="008F5CF8" w:rsidP="000A17CC">
            <w:pPr>
              <w:pStyle w:val="Tabletext"/>
              <w:spacing w:before="20" w:after="20"/>
              <w:rPr>
                <w:lang w:val="ru-RU"/>
              </w:rPr>
            </w:pPr>
            <w:r w:rsidRPr="00CA4C14">
              <w:rPr>
                <w:szCs w:val="18"/>
                <w:lang w:val="ru-RU"/>
              </w:rPr>
              <w:t>Вознаграждение сотрудников</w:t>
            </w:r>
          </w:p>
        </w:tc>
        <w:tc>
          <w:tcPr>
            <w:tcW w:w="795" w:type="pct"/>
            <w:noWrap/>
            <w:hideMark/>
          </w:tcPr>
          <w:p w14:paraId="02AF30BA"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17</w:t>
            </w:r>
          </w:p>
        </w:tc>
        <w:tc>
          <w:tcPr>
            <w:tcW w:w="852" w:type="pct"/>
            <w:noWrap/>
            <w:vAlign w:val="bottom"/>
            <w:hideMark/>
          </w:tcPr>
          <w:p w14:paraId="15ED04D9"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398 861</w:t>
            </w:r>
          </w:p>
        </w:tc>
        <w:tc>
          <w:tcPr>
            <w:tcW w:w="852" w:type="pct"/>
            <w:noWrap/>
            <w:vAlign w:val="bottom"/>
            <w:hideMark/>
          </w:tcPr>
          <w:p w14:paraId="40DFB1EE"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368 472</w:t>
            </w:r>
          </w:p>
        </w:tc>
      </w:tr>
      <w:tr w:rsidR="008F5CF8" w:rsidRPr="00CA4C14" w14:paraId="186C93D3" w14:textId="77777777" w:rsidTr="009E5311">
        <w:trPr>
          <w:trHeight w:val="259"/>
        </w:trPr>
        <w:tc>
          <w:tcPr>
            <w:tcW w:w="2500" w:type="pct"/>
            <w:noWrap/>
            <w:hideMark/>
          </w:tcPr>
          <w:p w14:paraId="53ADA7FF" w14:textId="77777777" w:rsidR="008F5CF8" w:rsidRPr="00CA4C14" w:rsidRDefault="008F5CF8" w:rsidP="000A17CC">
            <w:pPr>
              <w:pStyle w:val="Tabletext"/>
              <w:spacing w:before="20" w:after="20"/>
              <w:rPr>
                <w:lang w:val="ru-RU"/>
              </w:rPr>
            </w:pPr>
            <w:r w:rsidRPr="00CA4C14">
              <w:rPr>
                <w:szCs w:val="18"/>
                <w:lang w:val="ru-RU"/>
              </w:rPr>
              <w:t xml:space="preserve">Целевые средства третьих сторон, </w:t>
            </w:r>
            <w:proofErr w:type="spellStart"/>
            <w:r w:rsidRPr="00CA4C14">
              <w:rPr>
                <w:szCs w:val="18"/>
                <w:lang w:val="ru-RU"/>
              </w:rPr>
              <w:t>нетекущие</w:t>
            </w:r>
            <w:proofErr w:type="spellEnd"/>
          </w:p>
        </w:tc>
        <w:tc>
          <w:tcPr>
            <w:tcW w:w="795" w:type="pct"/>
            <w:noWrap/>
            <w:hideMark/>
          </w:tcPr>
          <w:p w14:paraId="4812CCC9"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20</w:t>
            </w:r>
          </w:p>
        </w:tc>
        <w:tc>
          <w:tcPr>
            <w:tcW w:w="852" w:type="pct"/>
            <w:noWrap/>
            <w:vAlign w:val="bottom"/>
            <w:hideMark/>
          </w:tcPr>
          <w:p w14:paraId="14470B1F"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14 308</w:t>
            </w:r>
          </w:p>
        </w:tc>
        <w:tc>
          <w:tcPr>
            <w:tcW w:w="852" w:type="pct"/>
            <w:noWrap/>
            <w:vAlign w:val="bottom"/>
            <w:hideMark/>
          </w:tcPr>
          <w:p w14:paraId="04825E69"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12 601</w:t>
            </w:r>
          </w:p>
        </w:tc>
      </w:tr>
      <w:tr w:rsidR="008F5CF8" w:rsidRPr="00CA4C14" w14:paraId="7F3EF772" w14:textId="77777777" w:rsidTr="009E5311">
        <w:trPr>
          <w:trHeight w:val="259"/>
        </w:trPr>
        <w:tc>
          <w:tcPr>
            <w:tcW w:w="2500" w:type="pct"/>
            <w:noWrap/>
            <w:hideMark/>
          </w:tcPr>
          <w:p w14:paraId="186FC98A" w14:textId="77777777" w:rsidR="008F5CF8" w:rsidRPr="00CA4C14" w:rsidRDefault="008F5CF8" w:rsidP="000A17CC">
            <w:pPr>
              <w:pStyle w:val="Tabletext"/>
              <w:spacing w:before="20" w:after="20"/>
              <w:rPr>
                <w:b/>
                <w:bCs/>
                <w:lang w:val="ru-RU"/>
              </w:rPr>
            </w:pPr>
            <w:r w:rsidRPr="00CA4C14">
              <w:rPr>
                <w:b/>
                <w:bCs/>
                <w:szCs w:val="18"/>
                <w:lang w:val="ru-RU" w:eastAsia="fr-FR"/>
              </w:rPr>
              <w:t xml:space="preserve">Всего: </w:t>
            </w:r>
            <w:proofErr w:type="spellStart"/>
            <w:r w:rsidRPr="00CA4C14">
              <w:rPr>
                <w:b/>
                <w:bCs/>
                <w:szCs w:val="18"/>
                <w:lang w:val="ru-RU" w:eastAsia="fr-FR"/>
              </w:rPr>
              <w:t>нетекущие</w:t>
            </w:r>
            <w:proofErr w:type="spellEnd"/>
            <w:r w:rsidRPr="00CA4C14">
              <w:rPr>
                <w:b/>
                <w:bCs/>
                <w:szCs w:val="18"/>
                <w:lang w:val="ru-RU" w:eastAsia="fr-FR"/>
              </w:rPr>
              <w:t xml:space="preserve"> пассивы</w:t>
            </w:r>
          </w:p>
        </w:tc>
        <w:tc>
          <w:tcPr>
            <w:tcW w:w="795" w:type="pct"/>
            <w:noWrap/>
            <w:hideMark/>
          </w:tcPr>
          <w:p w14:paraId="13937C57"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1C15DAD7"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467 606</w:t>
            </w:r>
          </w:p>
        </w:tc>
        <w:tc>
          <w:tcPr>
            <w:tcW w:w="852" w:type="pct"/>
            <w:noWrap/>
            <w:vAlign w:val="bottom"/>
            <w:hideMark/>
          </w:tcPr>
          <w:p w14:paraId="0D793DA7"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428 013</w:t>
            </w:r>
          </w:p>
        </w:tc>
      </w:tr>
      <w:tr w:rsidR="008F5CF8" w:rsidRPr="00CA4C14" w14:paraId="49168E1B" w14:textId="77777777" w:rsidTr="009E5311">
        <w:trPr>
          <w:trHeight w:val="79"/>
        </w:trPr>
        <w:tc>
          <w:tcPr>
            <w:tcW w:w="2500" w:type="pct"/>
            <w:noWrap/>
            <w:hideMark/>
          </w:tcPr>
          <w:p w14:paraId="2DA7D111" w14:textId="77777777" w:rsidR="008F5CF8" w:rsidRPr="00CA4C14" w:rsidRDefault="008F5CF8" w:rsidP="00CA2D5D">
            <w:pPr>
              <w:pStyle w:val="Tabletext"/>
              <w:spacing w:before="0" w:after="0"/>
              <w:rPr>
                <w:lang w:val="ru-RU"/>
              </w:rPr>
            </w:pPr>
          </w:p>
        </w:tc>
        <w:tc>
          <w:tcPr>
            <w:tcW w:w="795" w:type="pct"/>
            <w:noWrap/>
            <w:hideMark/>
          </w:tcPr>
          <w:p w14:paraId="1A0C4E5F" w14:textId="77777777" w:rsidR="008F5CF8" w:rsidRPr="00CA4C14" w:rsidRDefault="008F5CF8" w:rsidP="00CA2D5D">
            <w:pPr>
              <w:pStyle w:val="Tabletext"/>
              <w:spacing w:before="0" w:after="0"/>
              <w:jc w:val="center"/>
              <w:rPr>
                <w:color w:val="000000"/>
                <w:szCs w:val="18"/>
                <w:lang w:val="ru-RU" w:eastAsia="en-GB"/>
              </w:rPr>
            </w:pPr>
          </w:p>
        </w:tc>
        <w:tc>
          <w:tcPr>
            <w:tcW w:w="852" w:type="pct"/>
            <w:noWrap/>
            <w:vAlign w:val="bottom"/>
            <w:hideMark/>
          </w:tcPr>
          <w:p w14:paraId="65275A24" w14:textId="77777777" w:rsidR="008F5CF8" w:rsidRPr="00CA4C14" w:rsidRDefault="008F5CF8" w:rsidP="00CA2D5D">
            <w:pPr>
              <w:pStyle w:val="Tabletext"/>
              <w:spacing w:before="0" w:after="0"/>
              <w:jc w:val="right"/>
              <w:rPr>
                <w:color w:val="000000"/>
                <w:szCs w:val="18"/>
                <w:lang w:val="ru-RU" w:eastAsia="en-GB"/>
              </w:rPr>
            </w:pPr>
          </w:p>
        </w:tc>
        <w:tc>
          <w:tcPr>
            <w:tcW w:w="852" w:type="pct"/>
            <w:noWrap/>
            <w:vAlign w:val="bottom"/>
            <w:hideMark/>
          </w:tcPr>
          <w:p w14:paraId="31BA09CB" w14:textId="77777777" w:rsidR="008F5CF8" w:rsidRPr="00CA4C14" w:rsidRDefault="008F5CF8" w:rsidP="00CA2D5D">
            <w:pPr>
              <w:pStyle w:val="Tabletext"/>
              <w:spacing w:before="0" w:after="0"/>
              <w:jc w:val="right"/>
              <w:rPr>
                <w:color w:val="000000"/>
                <w:szCs w:val="18"/>
                <w:lang w:val="ru-RU" w:eastAsia="en-GB"/>
              </w:rPr>
            </w:pPr>
          </w:p>
        </w:tc>
      </w:tr>
      <w:tr w:rsidR="008F5CF8" w:rsidRPr="00CA4C14" w14:paraId="29783E6E" w14:textId="77777777" w:rsidTr="009E5311">
        <w:trPr>
          <w:trHeight w:val="70"/>
        </w:trPr>
        <w:tc>
          <w:tcPr>
            <w:tcW w:w="2500" w:type="pct"/>
            <w:noWrap/>
            <w:hideMark/>
          </w:tcPr>
          <w:p w14:paraId="01568817" w14:textId="4F3BEFEA" w:rsidR="008F5CF8" w:rsidRPr="00CA4C14" w:rsidRDefault="008F5CF8" w:rsidP="000A17CC">
            <w:pPr>
              <w:pStyle w:val="Tabletext"/>
              <w:spacing w:before="20" w:after="20"/>
              <w:rPr>
                <w:b/>
                <w:bCs/>
                <w:lang w:val="ru-RU"/>
              </w:rPr>
            </w:pPr>
            <w:r w:rsidRPr="00CA4C14">
              <w:rPr>
                <w:b/>
                <w:bCs/>
                <w:szCs w:val="18"/>
                <w:lang w:val="ru-RU"/>
              </w:rPr>
              <w:t>ВСЕГО</w:t>
            </w:r>
            <w:r w:rsidR="00FA15F6" w:rsidRPr="00CA4C14">
              <w:rPr>
                <w:b/>
                <w:bCs/>
                <w:szCs w:val="18"/>
                <w:lang w:val="ru-RU"/>
              </w:rPr>
              <w:t>:</w:t>
            </w:r>
            <w:r w:rsidRPr="00CA4C14">
              <w:rPr>
                <w:b/>
                <w:bCs/>
                <w:szCs w:val="18"/>
                <w:lang w:val="ru-RU"/>
              </w:rPr>
              <w:t xml:space="preserve"> ПАССИВЫ</w:t>
            </w:r>
          </w:p>
        </w:tc>
        <w:tc>
          <w:tcPr>
            <w:tcW w:w="795" w:type="pct"/>
            <w:noWrap/>
            <w:hideMark/>
          </w:tcPr>
          <w:p w14:paraId="6FAF8B81"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3C87DA10"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565 894</w:t>
            </w:r>
          </w:p>
        </w:tc>
        <w:tc>
          <w:tcPr>
            <w:tcW w:w="852" w:type="pct"/>
            <w:noWrap/>
            <w:vAlign w:val="bottom"/>
            <w:hideMark/>
          </w:tcPr>
          <w:p w14:paraId="42C5631E"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530 939</w:t>
            </w:r>
          </w:p>
        </w:tc>
      </w:tr>
      <w:tr w:rsidR="00DC0BD7" w:rsidRPr="00CA4C14" w14:paraId="79E1F3A0" w14:textId="77777777" w:rsidTr="009E5311">
        <w:trPr>
          <w:trHeight w:val="70"/>
        </w:trPr>
        <w:tc>
          <w:tcPr>
            <w:tcW w:w="2500" w:type="pct"/>
            <w:noWrap/>
          </w:tcPr>
          <w:p w14:paraId="00C7420D" w14:textId="77777777" w:rsidR="00DC0BD7" w:rsidRPr="00CA4C14" w:rsidRDefault="00DC0BD7" w:rsidP="00CA2D5D">
            <w:pPr>
              <w:pStyle w:val="Tabletext"/>
              <w:spacing w:before="0" w:after="0"/>
              <w:rPr>
                <w:b/>
                <w:bCs/>
                <w:szCs w:val="18"/>
                <w:lang w:val="ru-RU"/>
              </w:rPr>
            </w:pPr>
          </w:p>
        </w:tc>
        <w:tc>
          <w:tcPr>
            <w:tcW w:w="795" w:type="pct"/>
            <w:noWrap/>
          </w:tcPr>
          <w:p w14:paraId="773DAD28" w14:textId="77777777" w:rsidR="00DC0BD7" w:rsidRPr="00CA4C14" w:rsidRDefault="00DC0BD7" w:rsidP="00CA2D5D">
            <w:pPr>
              <w:pStyle w:val="Tabletext"/>
              <w:spacing w:before="0" w:after="0"/>
              <w:jc w:val="center"/>
              <w:rPr>
                <w:b/>
                <w:bCs/>
                <w:color w:val="000000"/>
                <w:szCs w:val="18"/>
                <w:lang w:val="ru-RU" w:eastAsia="en-GB"/>
              </w:rPr>
            </w:pPr>
          </w:p>
        </w:tc>
        <w:tc>
          <w:tcPr>
            <w:tcW w:w="852" w:type="pct"/>
            <w:noWrap/>
            <w:vAlign w:val="bottom"/>
          </w:tcPr>
          <w:p w14:paraId="1428DFD4" w14:textId="77777777" w:rsidR="00DC0BD7" w:rsidRPr="00CA4C14" w:rsidRDefault="00DC0BD7" w:rsidP="00CA2D5D">
            <w:pPr>
              <w:pStyle w:val="Tabletext"/>
              <w:spacing w:before="0" w:after="0"/>
              <w:jc w:val="right"/>
              <w:rPr>
                <w:b/>
                <w:bCs/>
                <w:color w:val="000000"/>
                <w:szCs w:val="18"/>
                <w:lang w:val="ru-RU" w:eastAsia="en-GB"/>
              </w:rPr>
            </w:pPr>
          </w:p>
        </w:tc>
        <w:tc>
          <w:tcPr>
            <w:tcW w:w="852" w:type="pct"/>
            <w:noWrap/>
            <w:vAlign w:val="bottom"/>
          </w:tcPr>
          <w:p w14:paraId="7F1F969D" w14:textId="77777777" w:rsidR="00DC0BD7" w:rsidRPr="00CA4C14" w:rsidRDefault="00DC0BD7" w:rsidP="00CA2D5D">
            <w:pPr>
              <w:pStyle w:val="Tabletext"/>
              <w:spacing w:before="0" w:after="0"/>
              <w:jc w:val="right"/>
              <w:rPr>
                <w:b/>
                <w:bCs/>
                <w:color w:val="000000"/>
                <w:szCs w:val="18"/>
                <w:lang w:val="ru-RU" w:eastAsia="en-GB"/>
              </w:rPr>
            </w:pPr>
          </w:p>
        </w:tc>
      </w:tr>
      <w:tr w:rsidR="008F5CF8" w:rsidRPr="00CA4C14" w14:paraId="777C3396" w14:textId="77777777" w:rsidTr="009E5311">
        <w:trPr>
          <w:trHeight w:val="81"/>
        </w:trPr>
        <w:tc>
          <w:tcPr>
            <w:tcW w:w="2500" w:type="pct"/>
            <w:noWrap/>
            <w:hideMark/>
          </w:tcPr>
          <w:p w14:paraId="04FFD536" w14:textId="1E8E421E" w:rsidR="008F5CF8" w:rsidRPr="00CA4C14" w:rsidRDefault="008F5CF8" w:rsidP="000A17CC">
            <w:pPr>
              <w:pStyle w:val="Tabletext"/>
              <w:spacing w:before="20" w:after="20"/>
              <w:rPr>
                <w:b/>
                <w:bCs/>
                <w:lang w:val="ru-RU"/>
              </w:rPr>
            </w:pPr>
            <w:r w:rsidRPr="00CA4C14">
              <w:rPr>
                <w:b/>
                <w:bCs/>
                <w:szCs w:val="18"/>
                <w:lang w:val="ru-RU"/>
              </w:rPr>
              <w:t>ВСЕГО</w:t>
            </w:r>
            <w:r w:rsidR="00FA15F6" w:rsidRPr="00CA4C14">
              <w:rPr>
                <w:b/>
                <w:bCs/>
                <w:szCs w:val="18"/>
                <w:lang w:val="ru-RU"/>
              </w:rPr>
              <w:t>:</w:t>
            </w:r>
            <w:r w:rsidRPr="00CA4C14">
              <w:rPr>
                <w:b/>
                <w:bCs/>
                <w:szCs w:val="18"/>
                <w:lang w:val="ru-RU"/>
              </w:rPr>
              <w:t xml:space="preserve"> ЧИСТЫЕ АКТИВЫ</w:t>
            </w:r>
          </w:p>
        </w:tc>
        <w:tc>
          <w:tcPr>
            <w:tcW w:w="795" w:type="pct"/>
            <w:noWrap/>
            <w:hideMark/>
          </w:tcPr>
          <w:p w14:paraId="65A32486" w14:textId="77777777" w:rsidR="008F5CF8" w:rsidRPr="00CA4C14" w:rsidRDefault="008F5CF8" w:rsidP="000A17CC">
            <w:pPr>
              <w:pStyle w:val="Tabletext"/>
              <w:spacing w:before="20" w:after="20"/>
              <w:jc w:val="center"/>
              <w:rPr>
                <w:b/>
                <w:bCs/>
                <w:color w:val="000000"/>
                <w:szCs w:val="18"/>
                <w:lang w:val="ru-RU" w:eastAsia="en-GB"/>
              </w:rPr>
            </w:pPr>
          </w:p>
        </w:tc>
        <w:tc>
          <w:tcPr>
            <w:tcW w:w="852" w:type="pct"/>
            <w:noWrap/>
            <w:vAlign w:val="bottom"/>
            <w:hideMark/>
          </w:tcPr>
          <w:p w14:paraId="3EBD1374"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(257 355)</w:t>
            </w:r>
          </w:p>
        </w:tc>
        <w:tc>
          <w:tcPr>
            <w:tcW w:w="852" w:type="pct"/>
            <w:noWrap/>
            <w:vAlign w:val="bottom"/>
            <w:hideMark/>
          </w:tcPr>
          <w:p w14:paraId="76A01CC2" w14:textId="77777777" w:rsidR="008F5CF8" w:rsidRPr="00CA4C14" w:rsidRDefault="008F5CF8" w:rsidP="000A17CC">
            <w:pPr>
              <w:pStyle w:val="Tabletext"/>
              <w:spacing w:before="20" w:after="20"/>
              <w:jc w:val="right"/>
              <w:rPr>
                <w:b/>
                <w:bCs/>
                <w:color w:val="000000"/>
                <w:szCs w:val="18"/>
                <w:lang w:val="ru-RU" w:eastAsia="en-GB"/>
              </w:rPr>
            </w:pPr>
            <w:r w:rsidRPr="00CA4C14">
              <w:rPr>
                <w:b/>
                <w:bCs/>
                <w:color w:val="000000"/>
                <w:szCs w:val="18"/>
                <w:lang w:val="ru-RU" w:eastAsia="en-GB"/>
              </w:rPr>
              <w:t>(213 057)</w:t>
            </w:r>
          </w:p>
        </w:tc>
      </w:tr>
      <w:tr w:rsidR="008F5CF8" w:rsidRPr="00CA4C14" w14:paraId="1EC2A767" w14:textId="77777777" w:rsidTr="009E5311">
        <w:trPr>
          <w:trHeight w:val="120"/>
        </w:trPr>
        <w:tc>
          <w:tcPr>
            <w:tcW w:w="2500" w:type="pct"/>
            <w:noWrap/>
            <w:hideMark/>
          </w:tcPr>
          <w:p w14:paraId="72D3FE18" w14:textId="77777777" w:rsidR="008F5CF8" w:rsidRPr="00CA4C14" w:rsidRDefault="008F5CF8" w:rsidP="00CA2D5D">
            <w:pPr>
              <w:pStyle w:val="Tabletext"/>
              <w:spacing w:before="0" w:after="0"/>
              <w:rPr>
                <w:lang w:val="ru-RU"/>
              </w:rPr>
            </w:pPr>
          </w:p>
        </w:tc>
        <w:tc>
          <w:tcPr>
            <w:tcW w:w="795" w:type="pct"/>
            <w:noWrap/>
            <w:hideMark/>
          </w:tcPr>
          <w:p w14:paraId="49C7E19E" w14:textId="77777777" w:rsidR="008F5CF8" w:rsidRPr="00CA4C14" w:rsidRDefault="008F5CF8" w:rsidP="00CA2D5D">
            <w:pPr>
              <w:pStyle w:val="Tabletext"/>
              <w:spacing w:before="0" w:after="0"/>
              <w:jc w:val="center"/>
              <w:rPr>
                <w:color w:val="000000"/>
                <w:szCs w:val="18"/>
                <w:lang w:val="ru-RU" w:eastAsia="en-GB"/>
              </w:rPr>
            </w:pPr>
          </w:p>
        </w:tc>
        <w:tc>
          <w:tcPr>
            <w:tcW w:w="852" w:type="pct"/>
            <w:noWrap/>
            <w:vAlign w:val="bottom"/>
            <w:hideMark/>
          </w:tcPr>
          <w:p w14:paraId="142750D4" w14:textId="77777777" w:rsidR="008F5CF8" w:rsidRPr="00CA4C14" w:rsidRDefault="008F5CF8" w:rsidP="00CA2D5D">
            <w:pPr>
              <w:pStyle w:val="Tabletext"/>
              <w:spacing w:before="0" w:after="0"/>
              <w:jc w:val="right"/>
              <w:rPr>
                <w:color w:val="000000"/>
                <w:szCs w:val="18"/>
                <w:lang w:val="ru-RU" w:eastAsia="en-GB"/>
              </w:rPr>
            </w:pPr>
          </w:p>
        </w:tc>
        <w:tc>
          <w:tcPr>
            <w:tcW w:w="852" w:type="pct"/>
            <w:noWrap/>
            <w:vAlign w:val="bottom"/>
            <w:hideMark/>
          </w:tcPr>
          <w:p w14:paraId="4354941B" w14:textId="77777777" w:rsidR="008F5CF8" w:rsidRPr="00CA4C14" w:rsidRDefault="008F5CF8" w:rsidP="00CA2D5D">
            <w:pPr>
              <w:pStyle w:val="Tabletext"/>
              <w:spacing w:before="0" w:after="0"/>
              <w:jc w:val="right"/>
              <w:rPr>
                <w:color w:val="000000"/>
                <w:szCs w:val="18"/>
                <w:lang w:val="ru-RU" w:eastAsia="en-GB"/>
              </w:rPr>
            </w:pPr>
          </w:p>
        </w:tc>
      </w:tr>
      <w:tr w:rsidR="008F5CF8" w:rsidRPr="00CA4C14" w14:paraId="4501147E" w14:textId="77777777" w:rsidTr="009E5311">
        <w:trPr>
          <w:trHeight w:val="300"/>
        </w:trPr>
        <w:tc>
          <w:tcPr>
            <w:tcW w:w="2500" w:type="pct"/>
            <w:noWrap/>
            <w:hideMark/>
          </w:tcPr>
          <w:p w14:paraId="2C9CDADC" w14:textId="77777777" w:rsidR="008F5CF8" w:rsidRPr="00CA4C14" w:rsidRDefault="008F5CF8" w:rsidP="00CA2D5D">
            <w:pPr>
              <w:pStyle w:val="Tabletext"/>
              <w:keepNext/>
              <w:keepLines/>
              <w:spacing w:before="20" w:after="20"/>
              <w:rPr>
                <w:lang w:val="ru-RU"/>
              </w:rPr>
            </w:pPr>
            <w:r w:rsidRPr="00CA4C14">
              <w:rPr>
                <w:lang w:val="ru-RU" w:eastAsia="en-GB"/>
              </w:rPr>
              <w:lastRenderedPageBreak/>
              <w:t>Резервный счет МСЭ</w:t>
            </w:r>
          </w:p>
        </w:tc>
        <w:tc>
          <w:tcPr>
            <w:tcW w:w="795" w:type="pct"/>
            <w:noWrap/>
            <w:hideMark/>
          </w:tcPr>
          <w:p w14:paraId="1884E57E"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4</w:t>
            </w:r>
          </w:p>
        </w:tc>
        <w:tc>
          <w:tcPr>
            <w:tcW w:w="852" w:type="pct"/>
            <w:noWrap/>
            <w:vAlign w:val="bottom"/>
            <w:hideMark/>
          </w:tcPr>
          <w:p w14:paraId="3D64D5C3"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26 271</w:t>
            </w:r>
          </w:p>
        </w:tc>
        <w:tc>
          <w:tcPr>
            <w:tcW w:w="852" w:type="pct"/>
            <w:noWrap/>
            <w:vAlign w:val="bottom"/>
            <w:hideMark/>
          </w:tcPr>
          <w:p w14:paraId="60695C26"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28 388</w:t>
            </w:r>
          </w:p>
        </w:tc>
      </w:tr>
      <w:tr w:rsidR="008F5CF8" w:rsidRPr="00CA4C14" w14:paraId="0E0F03BE" w14:textId="77777777" w:rsidTr="009E5311">
        <w:trPr>
          <w:trHeight w:val="300"/>
        </w:trPr>
        <w:tc>
          <w:tcPr>
            <w:tcW w:w="2500" w:type="pct"/>
            <w:noWrap/>
            <w:hideMark/>
          </w:tcPr>
          <w:p w14:paraId="557BF4D2" w14:textId="77777777" w:rsidR="008F5CF8" w:rsidRPr="00CA4C14" w:rsidRDefault="008F5CF8" w:rsidP="000A17CC">
            <w:pPr>
              <w:pStyle w:val="Tabletext"/>
              <w:spacing w:before="20" w:after="20"/>
              <w:rPr>
                <w:lang w:val="ru-RU"/>
              </w:rPr>
            </w:pPr>
            <w:r w:rsidRPr="00CA4C14">
              <w:rPr>
                <w:lang w:val="ru-RU" w:eastAsia="en-GB"/>
              </w:rPr>
              <w:t>Прочие резервы и фонды</w:t>
            </w:r>
          </w:p>
        </w:tc>
        <w:tc>
          <w:tcPr>
            <w:tcW w:w="795" w:type="pct"/>
            <w:noWrap/>
            <w:hideMark/>
          </w:tcPr>
          <w:p w14:paraId="0F6C0E55"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4</w:t>
            </w:r>
          </w:p>
        </w:tc>
        <w:tc>
          <w:tcPr>
            <w:tcW w:w="852" w:type="pct"/>
            <w:noWrap/>
            <w:vAlign w:val="bottom"/>
            <w:hideMark/>
          </w:tcPr>
          <w:p w14:paraId="3F6E97E3"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65 557</w:t>
            </w:r>
          </w:p>
        </w:tc>
        <w:tc>
          <w:tcPr>
            <w:tcW w:w="852" w:type="pct"/>
            <w:noWrap/>
            <w:vAlign w:val="bottom"/>
            <w:hideMark/>
          </w:tcPr>
          <w:p w14:paraId="10C5C479"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64 322</w:t>
            </w:r>
          </w:p>
        </w:tc>
      </w:tr>
      <w:tr w:rsidR="008F5CF8" w:rsidRPr="00CA4C14" w14:paraId="7494A1A3" w14:textId="77777777" w:rsidTr="009E5311">
        <w:trPr>
          <w:trHeight w:val="300"/>
        </w:trPr>
        <w:tc>
          <w:tcPr>
            <w:tcW w:w="2500" w:type="pct"/>
            <w:noWrap/>
            <w:hideMark/>
          </w:tcPr>
          <w:p w14:paraId="710F42D2" w14:textId="77777777" w:rsidR="008F5CF8" w:rsidRPr="00CA4C14" w:rsidRDefault="008F5CF8" w:rsidP="000A17CC">
            <w:pPr>
              <w:pStyle w:val="Tabletext"/>
              <w:spacing w:before="20" w:after="20"/>
              <w:rPr>
                <w:lang w:val="ru-RU"/>
              </w:rPr>
            </w:pPr>
            <w:r w:rsidRPr="00CA4C14">
              <w:rPr>
                <w:lang w:val="ru-RU" w:eastAsia="en-GB"/>
              </w:rPr>
              <w:t>Внебюджетные средства</w:t>
            </w:r>
          </w:p>
        </w:tc>
        <w:tc>
          <w:tcPr>
            <w:tcW w:w="795" w:type="pct"/>
            <w:noWrap/>
            <w:hideMark/>
          </w:tcPr>
          <w:p w14:paraId="71837855"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4</w:t>
            </w:r>
          </w:p>
        </w:tc>
        <w:tc>
          <w:tcPr>
            <w:tcW w:w="852" w:type="pct"/>
            <w:noWrap/>
            <w:vAlign w:val="bottom"/>
            <w:hideMark/>
          </w:tcPr>
          <w:p w14:paraId="5BAC536E"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13 353</w:t>
            </w:r>
          </w:p>
        </w:tc>
        <w:tc>
          <w:tcPr>
            <w:tcW w:w="852" w:type="pct"/>
            <w:noWrap/>
            <w:vAlign w:val="bottom"/>
            <w:hideMark/>
          </w:tcPr>
          <w:p w14:paraId="7D099B38"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14 036</w:t>
            </w:r>
          </w:p>
        </w:tc>
      </w:tr>
      <w:tr w:rsidR="008F5CF8" w:rsidRPr="00CA4C14" w14:paraId="7FDCD72D" w14:textId="77777777" w:rsidTr="009E5311">
        <w:trPr>
          <w:trHeight w:val="300"/>
        </w:trPr>
        <w:tc>
          <w:tcPr>
            <w:tcW w:w="2500" w:type="pct"/>
            <w:noWrap/>
            <w:hideMark/>
          </w:tcPr>
          <w:p w14:paraId="0509D272" w14:textId="77777777" w:rsidR="008F5CF8" w:rsidRPr="00CA4C14" w:rsidRDefault="008F5CF8" w:rsidP="000A17CC">
            <w:pPr>
              <w:pStyle w:val="Tabletext"/>
              <w:spacing w:before="20" w:after="20"/>
              <w:rPr>
                <w:lang w:val="ru-RU"/>
              </w:rPr>
            </w:pPr>
            <w:r w:rsidRPr="00CA4C14">
              <w:rPr>
                <w:szCs w:val="18"/>
                <w:lang w:val="ru-RU"/>
              </w:rPr>
              <w:t>Актуарные прибыли</w:t>
            </w:r>
            <w:r w:rsidRPr="00CA4C14">
              <w:rPr>
                <w:lang w:val="ru-RU" w:eastAsia="en-GB"/>
              </w:rPr>
              <w:t>/(потери)</w:t>
            </w:r>
            <w:r w:rsidRPr="00CA4C14">
              <w:rPr>
                <w:szCs w:val="18"/>
                <w:lang w:val="ru-RU"/>
              </w:rPr>
              <w:t xml:space="preserve"> АСХИ</w:t>
            </w:r>
          </w:p>
        </w:tc>
        <w:tc>
          <w:tcPr>
            <w:tcW w:w="795" w:type="pct"/>
            <w:noWrap/>
            <w:hideMark/>
          </w:tcPr>
          <w:p w14:paraId="64DB0600" w14:textId="77777777" w:rsidR="008F5CF8" w:rsidRPr="00CA4C14" w:rsidRDefault="008F5CF8" w:rsidP="000A17CC">
            <w:pPr>
              <w:pStyle w:val="Tabletext"/>
              <w:spacing w:before="20" w:after="20"/>
              <w:jc w:val="center"/>
              <w:rPr>
                <w:color w:val="000000"/>
                <w:szCs w:val="18"/>
                <w:lang w:val="ru-RU" w:eastAsia="en-GB"/>
              </w:rPr>
            </w:pPr>
            <w:r w:rsidRPr="00CA4C14">
              <w:rPr>
                <w:color w:val="000000"/>
                <w:szCs w:val="18"/>
                <w:lang w:val="ru-RU" w:eastAsia="en-GB"/>
              </w:rPr>
              <w:t>17</w:t>
            </w:r>
          </w:p>
        </w:tc>
        <w:tc>
          <w:tcPr>
            <w:tcW w:w="852" w:type="pct"/>
            <w:noWrap/>
            <w:vAlign w:val="bottom"/>
            <w:hideMark/>
          </w:tcPr>
          <w:p w14:paraId="41821CBF"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31 911</w:t>
            </w:r>
          </w:p>
        </w:tc>
        <w:tc>
          <w:tcPr>
            <w:tcW w:w="852" w:type="pct"/>
            <w:noWrap/>
            <w:vAlign w:val="bottom"/>
            <w:hideMark/>
          </w:tcPr>
          <w:p w14:paraId="379590B2"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51 435</w:t>
            </w:r>
          </w:p>
        </w:tc>
      </w:tr>
      <w:tr w:rsidR="008F5CF8" w:rsidRPr="00CA4C14" w14:paraId="05E7F0CC" w14:textId="77777777" w:rsidTr="009E5311">
        <w:trPr>
          <w:trHeight w:val="300"/>
        </w:trPr>
        <w:tc>
          <w:tcPr>
            <w:tcW w:w="2500" w:type="pct"/>
            <w:noWrap/>
            <w:hideMark/>
          </w:tcPr>
          <w:p w14:paraId="5637C35F" w14:textId="77777777" w:rsidR="008F5CF8" w:rsidRPr="00CA4C14" w:rsidRDefault="008F5CF8" w:rsidP="000A17CC">
            <w:pPr>
              <w:pStyle w:val="Tabletext"/>
              <w:spacing w:before="20" w:after="20"/>
              <w:rPr>
                <w:lang w:val="ru-RU"/>
              </w:rPr>
            </w:pPr>
            <w:r w:rsidRPr="00CA4C14">
              <w:rPr>
                <w:lang w:val="ru-RU" w:eastAsia="en-GB"/>
              </w:rPr>
              <w:t>Накопленные излишки/(дефицит)</w:t>
            </w:r>
          </w:p>
        </w:tc>
        <w:tc>
          <w:tcPr>
            <w:tcW w:w="795" w:type="pct"/>
            <w:noWrap/>
            <w:hideMark/>
          </w:tcPr>
          <w:p w14:paraId="344EEE40" w14:textId="77777777" w:rsidR="008F5CF8" w:rsidRPr="00CA4C14" w:rsidRDefault="008F5CF8" w:rsidP="000A17CC">
            <w:pPr>
              <w:pStyle w:val="Tabletext"/>
              <w:spacing w:before="20" w:after="20"/>
              <w:jc w:val="center"/>
              <w:rPr>
                <w:color w:val="000000"/>
                <w:szCs w:val="18"/>
                <w:lang w:val="ru-RU" w:eastAsia="en-GB"/>
              </w:rPr>
            </w:pPr>
          </w:p>
        </w:tc>
        <w:tc>
          <w:tcPr>
            <w:tcW w:w="852" w:type="pct"/>
            <w:noWrap/>
            <w:vAlign w:val="bottom"/>
            <w:hideMark/>
          </w:tcPr>
          <w:p w14:paraId="5316E5D0"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394 447</w:t>
            </w:r>
          </w:p>
        </w:tc>
        <w:tc>
          <w:tcPr>
            <w:tcW w:w="852" w:type="pct"/>
            <w:noWrap/>
            <w:vAlign w:val="bottom"/>
            <w:hideMark/>
          </w:tcPr>
          <w:p w14:paraId="307B513A" w14:textId="77777777" w:rsidR="008F5CF8" w:rsidRPr="00CA4C14" w:rsidRDefault="008F5CF8" w:rsidP="000A17CC">
            <w:pPr>
              <w:pStyle w:val="Tabletext"/>
              <w:spacing w:before="20" w:after="20"/>
              <w:jc w:val="right"/>
              <w:rPr>
                <w:color w:val="000000"/>
                <w:szCs w:val="18"/>
                <w:lang w:val="ru-RU" w:eastAsia="en-GB"/>
              </w:rPr>
            </w:pPr>
            <w:r w:rsidRPr="00CA4C14">
              <w:rPr>
                <w:color w:val="000000"/>
                <w:szCs w:val="18"/>
                <w:lang w:val="ru-RU" w:eastAsia="en-GB"/>
              </w:rPr>
              <w:t>(371 238)</w:t>
            </w:r>
          </w:p>
        </w:tc>
      </w:tr>
      <w:tr w:rsidR="008F5CF8" w:rsidRPr="00CA4C14" w14:paraId="7A96BF99" w14:textId="77777777" w:rsidTr="009E5311">
        <w:trPr>
          <w:trHeight w:val="499"/>
        </w:trPr>
        <w:tc>
          <w:tcPr>
            <w:tcW w:w="2500" w:type="pct"/>
            <w:shd w:val="clear" w:color="auto" w:fill="0070C0"/>
            <w:noWrap/>
            <w:vAlign w:val="center"/>
            <w:hideMark/>
          </w:tcPr>
          <w:p w14:paraId="2E0D639B" w14:textId="77777777" w:rsidR="008F5CF8" w:rsidRPr="00CA4C14" w:rsidRDefault="008F5CF8" w:rsidP="00DC0BD7">
            <w:pPr>
              <w:pStyle w:val="Tabletext"/>
              <w:rPr>
                <w:b/>
                <w:bCs/>
                <w:lang w:val="ru-RU"/>
              </w:rPr>
            </w:pPr>
            <w:r w:rsidRPr="00CA4C14">
              <w:rPr>
                <w:b/>
                <w:bCs/>
                <w:lang w:val="ru-RU" w:eastAsia="en-GB"/>
              </w:rPr>
              <w:t>РЕЗЕРВЫ И ОСТАТКИ СРЕДСТВ</w:t>
            </w:r>
          </w:p>
        </w:tc>
        <w:tc>
          <w:tcPr>
            <w:tcW w:w="795" w:type="pct"/>
            <w:shd w:val="clear" w:color="auto" w:fill="0070C0"/>
            <w:noWrap/>
            <w:vAlign w:val="center"/>
            <w:hideMark/>
          </w:tcPr>
          <w:p w14:paraId="52B2EC34" w14:textId="77777777" w:rsidR="008F5CF8" w:rsidRPr="00CA4C14" w:rsidRDefault="008F5CF8" w:rsidP="009E5311">
            <w:pPr>
              <w:pStyle w:val="Tabletext"/>
              <w:jc w:val="center"/>
              <w:rPr>
                <w:b/>
                <w:bCs/>
                <w:color w:val="000000"/>
                <w:szCs w:val="18"/>
                <w:lang w:val="ru-RU" w:eastAsia="en-GB"/>
              </w:rPr>
            </w:pPr>
          </w:p>
        </w:tc>
        <w:tc>
          <w:tcPr>
            <w:tcW w:w="852" w:type="pct"/>
            <w:shd w:val="clear" w:color="auto" w:fill="0070C0"/>
            <w:noWrap/>
            <w:vAlign w:val="center"/>
            <w:hideMark/>
          </w:tcPr>
          <w:p w14:paraId="351C57E4" w14:textId="77777777" w:rsidR="008F5CF8" w:rsidRPr="00CA4C14" w:rsidRDefault="008F5CF8" w:rsidP="009E5311">
            <w:pPr>
              <w:pStyle w:val="Tabletext"/>
              <w:jc w:val="right"/>
              <w:rPr>
                <w:b/>
                <w:bCs/>
                <w:color w:val="000000"/>
                <w:szCs w:val="18"/>
                <w:lang w:val="ru-RU" w:eastAsia="en-GB"/>
              </w:rPr>
            </w:pPr>
            <w:r w:rsidRPr="00CA4C14">
              <w:rPr>
                <w:b/>
                <w:bCs/>
                <w:color w:val="000000"/>
                <w:szCs w:val="18"/>
                <w:lang w:val="ru-RU" w:eastAsia="en-GB"/>
              </w:rPr>
              <w:t>257 355</w:t>
            </w:r>
          </w:p>
        </w:tc>
        <w:tc>
          <w:tcPr>
            <w:tcW w:w="852" w:type="pct"/>
            <w:shd w:val="clear" w:color="auto" w:fill="0070C0"/>
            <w:noWrap/>
            <w:vAlign w:val="center"/>
            <w:hideMark/>
          </w:tcPr>
          <w:p w14:paraId="1B6486DE" w14:textId="77777777" w:rsidR="008F5CF8" w:rsidRPr="00CA4C14" w:rsidRDefault="008F5CF8" w:rsidP="009E5311">
            <w:pPr>
              <w:pStyle w:val="Tabletext"/>
              <w:jc w:val="right"/>
              <w:rPr>
                <w:b/>
                <w:bCs/>
                <w:color w:val="000000"/>
                <w:szCs w:val="18"/>
                <w:lang w:val="ru-RU" w:eastAsia="en-GB"/>
              </w:rPr>
            </w:pPr>
            <w:r w:rsidRPr="00CA4C14">
              <w:rPr>
                <w:b/>
                <w:bCs/>
                <w:color w:val="000000"/>
                <w:szCs w:val="18"/>
                <w:lang w:val="ru-RU" w:eastAsia="en-GB"/>
              </w:rPr>
              <w:t>(213 057)</w:t>
            </w:r>
          </w:p>
        </w:tc>
      </w:tr>
    </w:tbl>
    <w:p w14:paraId="56273EF9" w14:textId="77777777" w:rsidR="008F5CF8" w:rsidRPr="00CA4C14" w:rsidRDefault="008F5CF8">
      <w:pPr>
        <w:tabs>
          <w:tab w:val="clear" w:pos="794"/>
          <w:tab w:val="clear" w:pos="1191"/>
          <w:tab w:val="clear" w:pos="1588"/>
          <w:tab w:val="clear" w:pos="1985"/>
        </w:tabs>
        <w:overflowPunct/>
        <w:autoSpaceDE/>
        <w:autoSpaceDN/>
        <w:adjustRightInd/>
        <w:spacing w:before="0"/>
        <w:textAlignment w:val="auto"/>
        <w:rPr>
          <w:lang w:val="ru-RU"/>
        </w:rPr>
      </w:pPr>
      <w:r w:rsidRPr="00CA4C14">
        <w:rPr>
          <w:lang w:val="ru-RU"/>
        </w:rPr>
        <w:br w:type="page"/>
      </w:r>
    </w:p>
    <w:p w14:paraId="3AA7BEE8" w14:textId="77777777" w:rsidR="008F5CF8" w:rsidRPr="00CA4C14" w:rsidRDefault="008F5CF8" w:rsidP="005E266A">
      <w:pPr>
        <w:pStyle w:val="Annextitle"/>
        <w:jc w:val="left"/>
        <w:rPr>
          <w:color w:val="0070C0"/>
          <w:w w:val="105"/>
          <w:lang w:val="ru-RU"/>
        </w:rPr>
      </w:pPr>
      <w:bookmarkStart w:id="70" w:name="lt_pId306"/>
      <w:bookmarkStart w:id="71" w:name="_Toc168578445"/>
      <w:r w:rsidRPr="00CA4C14">
        <w:rPr>
          <w:color w:val="0070C0"/>
          <w:w w:val="105"/>
          <w:lang w:val="ru-RU"/>
        </w:rPr>
        <w:lastRenderedPageBreak/>
        <w:t xml:space="preserve">Отчет II: </w:t>
      </w:r>
      <w:bookmarkEnd w:id="70"/>
      <w:r w:rsidRPr="00CA4C14">
        <w:rPr>
          <w:color w:val="0070C0"/>
          <w:w w:val="105"/>
          <w:lang w:val="ru-RU"/>
        </w:rPr>
        <w:t>Отчет о результатах финансовой деятельности</w:t>
      </w:r>
      <w:bookmarkEnd w:id="71"/>
    </w:p>
    <w:p w14:paraId="5053AC10" w14:textId="77777777" w:rsidR="008F5CF8" w:rsidRPr="00CA4C14" w:rsidRDefault="008F5CF8" w:rsidP="00A022EB">
      <w:pPr>
        <w:rPr>
          <w:lang w:val="ru-RU"/>
        </w:rPr>
      </w:pPr>
      <w:bookmarkStart w:id="72" w:name="_Hlk160100266"/>
      <w:r w:rsidRPr="00CA4C14">
        <w:rPr>
          <w:lang w:val="ru-RU"/>
        </w:rPr>
        <w:t>За год, завершившийся 31 декабря 2023 года</w:t>
      </w:r>
    </w:p>
    <w:p w14:paraId="34FCBD3A" w14:textId="5E29E58B" w:rsidR="008F5CF8" w:rsidRPr="00CA4C14" w:rsidRDefault="008F5CF8" w:rsidP="00A022EB">
      <w:pPr>
        <w:spacing w:after="120"/>
        <w:rPr>
          <w:sz w:val="24"/>
          <w:szCs w:val="24"/>
          <w:lang w:val="ru-RU"/>
        </w:rPr>
      </w:pPr>
      <w:r w:rsidRPr="00CA4C14">
        <w:rPr>
          <w:lang w:val="ru-RU"/>
        </w:rPr>
        <w:t>(</w:t>
      </w:r>
      <w:r w:rsidR="005F20DB" w:rsidRPr="00CA4C14">
        <w:rPr>
          <w:lang w:val="ru-RU"/>
        </w:rPr>
        <w:t>В</w:t>
      </w:r>
      <w:r w:rsidRPr="00CA4C14">
        <w:rPr>
          <w:lang w:val="ru-RU"/>
        </w:rPr>
        <w:t xml:space="preserve"> тыс. шв</w:t>
      </w:r>
      <w:r w:rsidR="005F20DB" w:rsidRPr="00CA4C14">
        <w:rPr>
          <w:lang w:val="ru-RU"/>
        </w:rPr>
        <w:t>.</w:t>
      </w:r>
      <w:r w:rsidRPr="00CA4C14">
        <w:rPr>
          <w:lang w:val="ru-RU"/>
        </w:rPr>
        <w:t xml:space="preserve"> фр</w:t>
      </w:r>
      <w:r w:rsidR="005F20DB" w:rsidRPr="00CA4C14">
        <w:rPr>
          <w:lang w:val="ru-RU"/>
        </w:rPr>
        <w:t>.</w:t>
      </w:r>
      <w:r w:rsidRPr="00CA4C14">
        <w:rPr>
          <w:lang w:val="ru-RU"/>
        </w:rPr>
        <w:t>)</w:t>
      </w:r>
      <w:bookmarkEnd w:id="7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1304"/>
        <w:gridCol w:w="1687"/>
        <w:gridCol w:w="1684"/>
      </w:tblGrid>
      <w:tr w:rsidR="008F5CF8" w:rsidRPr="00CA4C14" w14:paraId="6809CFA5" w14:textId="77777777" w:rsidTr="00FE0DEB">
        <w:trPr>
          <w:trHeight w:val="529"/>
        </w:trPr>
        <w:tc>
          <w:tcPr>
            <w:tcW w:w="2423" w:type="pct"/>
            <w:shd w:val="clear" w:color="auto" w:fill="0070C0"/>
            <w:noWrap/>
            <w:vAlign w:val="center"/>
            <w:hideMark/>
          </w:tcPr>
          <w:p w14:paraId="5EF4249F" w14:textId="77777777" w:rsidR="008F5CF8" w:rsidRPr="00CA4C14" w:rsidRDefault="008F5CF8" w:rsidP="000963C2">
            <w:pPr>
              <w:pStyle w:val="Tablehead"/>
              <w:rPr>
                <w:lang w:val="ru-RU"/>
              </w:rPr>
            </w:pPr>
            <w:r w:rsidRPr="00CA4C14">
              <w:rPr>
                <w:lang w:val="ru-RU"/>
              </w:rPr>
              <w:t>Описание</w:t>
            </w:r>
          </w:p>
        </w:tc>
        <w:tc>
          <w:tcPr>
            <w:tcW w:w="719" w:type="pct"/>
            <w:shd w:val="clear" w:color="auto" w:fill="0070C0"/>
            <w:vAlign w:val="center"/>
            <w:hideMark/>
          </w:tcPr>
          <w:p w14:paraId="572DDDB3" w14:textId="77777777" w:rsidR="008F5CF8" w:rsidRPr="00CA4C14" w:rsidRDefault="008F5CF8" w:rsidP="000963C2">
            <w:pPr>
              <w:pStyle w:val="Tablehead"/>
              <w:rPr>
                <w:lang w:val="ru-RU"/>
              </w:rPr>
            </w:pPr>
            <w:r w:rsidRPr="00CA4C14">
              <w:rPr>
                <w:lang w:val="ru-RU"/>
              </w:rPr>
              <w:t>Примечания</w:t>
            </w:r>
          </w:p>
        </w:tc>
        <w:tc>
          <w:tcPr>
            <w:tcW w:w="930" w:type="pct"/>
            <w:shd w:val="clear" w:color="auto" w:fill="0070C0"/>
            <w:vAlign w:val="center"/>
            <w:hideMark/>
          </w:tcPr>
          <w:p w14:paraId="159EF21F" w14:textId="77777777" w:rsidR="008F5CF8" w:rsidRPr="00CA4C14" w:rsidRDefault="008F5CF8" w:rsidP="000963C2">
            <w:pPr>
              <w:pStyle w:val="Tablehead"/>
              <w:rPr>
                <w:lang w:val="ru-RU"/>
              </w:rPr>
            </w:pPr>
            <w:r w:rsidRPr="00CA4C14">
              <w:rPr>
                <w:lang w:val="ru-RU"/>
              </w:rPr>
              <w:t>31 декабря 2023 г.</w:t>
            </w:r>
          </w:p>
        </w:tc>
        <w:tc>
          <w:tcPr>
            <w:tcW w:w="929" w:type="pct"/>
            <w:shd w:val="clear" w:color="auto" w:fill="0070C0"/>
            <w:vAlign w:val="center"/>
            <w:hideMark/>
          </w:tcPr>
          <w:p w14:paraId="0DBB5DCA" w14:textId="77777777" w:rsidR="008F5CF8" w:rsidRPr="00CA4C14" w:rsidRDefault="008F5CF8" w:rsidP="000963C2">
            <w:pPr>
              <w:pStyle w:val="Tablehead"/>
              <w:rPr>
                <w:lang w:val="ru-RU"/>
              </w:rPr>
            </w:pPr>
            <w:r w:rsidRPr="00CA4C14">
              <w:rPr>
                <w:lang w:val="ru-RU"/>
              </w:rPr>
              <w:t xml:space="preserve">31 декабря 2022 г. </w:t>
            </w:r>
            <w:r w:rsidRPr="00CA4C14">
              <w:rPr>
                <w:lang w:val="ru-RU" w:eastAsia="en-GB"/>
              </w:rPr>
              <w:t>(пересчитанные)</w:t>
            </w:r>
          </w:p>
        </w:tc>
      </w:tr>
      <w:tr w:rsidR="008F5CF8" w:rsidRPr="00CA4C14" w14:paraId="01CA148A" w14:textId="77777777" w:rsidTr="00FE0DEB">
        <w:trPr>
          <w:trHeight w:val="255"/>
        </w:trPr>
        <w:tc>
          <w:tcPr>
            <w:tcW w:w="2423" w:type="pct"/>
            <w:noWrap/>
            <w:hideMark/>
          </w:tcPr>
          <w:p w14:paraId="5B6FCECC" w14:textId="77777777" w:rsidR="008F5CF8" w:rsidRPr="00CA4C14" w:rsidRDefault="008F5CF8" w:rsidP="006457E5">
            <w:pPr>
              <w:pStyle w:val="Tabletext"/>
              <w:rPr>
                <w:b/>
                <w:bCs/>
                <w:color w:val="000000"/>
                <w:lang w:val="ru-RU" w:eastAsia="en-GB"/>
              </w:rPr>
            </w:pPr>
            <w:r w:rsidRPr="00CA4C14">
              <w:rPr>
                <w:b/>
                <w:bCs/>
                <w:lang w:val="ru-RU" w:eastAsia="fr-FR"/>
              </w:rPr>
              <w:t>ДОХОДЫ</w:t>
            </w:r>
          </w:p>
        </w:tc>
        <w:tc>
          <w:tcPr>
            <w:tcW w:w="719" w:type="pct"/>
            <w:noWrap/>
            <w:hideMark/>
          </w:tcPr>
          <w:p w14:paraId="6B5D4A7D" w14:textId="77777777" w:rsidR="008F5CF8" w:rsidRPr="00CA4C14" w:rsidRDefault="008F5CF8" w:rsidP="00FA15F6">
            <w:pPr>
              <w:pStyle w:val="Tabletext"/>
              <w:jc w:val="center"/>
              <w:rPr>
                <w:color w:val="000000"/>
                <w:lang w:val="ru-RU" w:eastAsia="en-GB"/>
              </w:rPr>
            </w:pPr>
            <w:r w:rsidRPr="00CA4C14">
              <w:rPr>
                <w:color w:val="000000"/>
                <w:lang w:val="ru-RU" w:eastAsia="en-GB"/>
              </w:rPr>
              <w:t>21</w:t>
            </w:r>
          </w:p>
        </w:tc>
        <w:tc>
          <w:tcPr>
            <w:tcW w:w="930" w:type="pct"/>
            <w:noWrap/>
            <w:vAlign w:val="bottom"/>
            <w:hideMark/>
          </w:tcPr>
          <w:p w14:paraId="74FF8A34" w14:textId="77777777" w:rsidR="008F5CF8" w:rsidRPr="00CA4C14" w:rsidRDefault="008F5CF8" w:rsidP="00FA15F6">
            <w:pPr>
              <w:pStyle w:val="Tabletext"/>
              <w:jc w:val="right"/>
              <w:rPr>
                <w:color w:val="000000"/>
                <w:lang w:val="ru-RU" w:eastAsia="en-GB"/>
              </w:rPr>
            </w:pPr>
          </w:p>
        </w:tc>
        <w:tc>
          <w:tcPr>
            <w:tcW w:w="929" w:type="pct"/>
            <w:noWrap/>
            <w:vAlign w:val="bottom"/>
            <w:hideMark/>
          </w:tcPr>
          <w:p w14:paraId="0A65E335" w14:textId="77777777" w:rsidR="008F5CF8" w:rsidRPr="00CA4C14" w:rsidRDefault="008F5CF8" w:rsidP="00FA15F6">
            <w:pPr>
              <w:pStyle w:val="Tabletext"/>
              <w:jc w:val="right"/>
              <w:rPr>
                <w:color w:val="000000"/>
                <w:lang w:val="ru-RU" w:eastAsia="en-GB"/>
              </w:rPr>
            </w:pPr>
          </w:p>
        </w:tc>
      </w:tr>
      <w:tr w:rsidR="008F5CF8" w:rsidRPr="00CA4C14" w14:paraId="5E09BA69" w14:textId="77777777" w:rsidTr="00FE0DEB">
        <w:trPr>
          <w:trHeight w:val="150"/>
        </w:trPr>
        <w:tc>
          <w:tcPr>
            <w:tcW w:w="2423" w:type="pct"/>
            <w:noWrap/>
            <w:hideMark/>
          </w:tcPr>
          <w:p w14:paraId="4082B305" w14:textId="77777777" w:rsidR="008F5CF8" w:rsidRPr="00CA4C14" w:rsidRDefault="008F5CF8" w:rsidP="006457E5">
            <w:pPr>
              <w:pStyle w:val="Tabletext"/>
              <w:spacing w:before="0" w:after="0"/>
              <w:rPr>
                <w:color w:val="000000"/>
                <w:lang w:val="ru-RU" w:eastAsia="en-GB"/>
              </w:rPr>
            </w:pPr>
          </w:p>
        </w:tc>
        <w:tc>
          <w:tcPr>
            <w:tcW w:w="719" w:type="pct"/>
            <w:noWrap/>
            <w:hideMark/>
          </w:tcPr>
          <w:p w14:paraId="711AAC32" w14:textId="77777777" w:rsidR="008F5CF8" w:rsidRPr="00CA4C14" w:rsidRDefault="008F5CF8" w:rsidP="00FA15F6">
            <w:pPr>
              <w:pStyle w:val="Tabletext"/>
              <w:spacing w:before="0" w:after="0"/>
              <w:jc w:val="center"/>
              <w:rPr>
                <w:color w:val="000000"/>
                <w:lang w:val="ru-RU" w:eastAsia="en-GB"/>
              </w:rPr>
            </w:pPr>
          </w:p>
        </w:tc>
        <w:tc>
          <w:tcPr>
            <w:tcW w:w="930" w:type="pct"/>
            <w:noWrap/>
            <w:vAlign w:val="bottom"/>
            <w:hideMark/>
          </w:tcPr>
          <w:p w14:paraId="274CE1CB" w14:textId="77777777" w:rsidR="008F5CF8" w:rsidRPr="00CA4C14" w:rsidRDefault="008F5CF8" w:rsidP="00FA15F6">
            <w:pPr>
              <w:pStyle w:val="Tabletext"/>
              <w:spacing w:before="0" w:after="0"/>
              <w:jc w:val="right"/>
              <w:rPr>
                <w:color w:val="000000"/>
                <w:lang w:val="ru-RU" w:eastAsia="en-GB"/>
              </w:rPr>
            </w:pPr>
          </w:p>
        </w:tc>
        <w:tc>
          <w:tcPr>
            <w:tcW w:w="929" w:type="pct"/>
            <w:noWrap/>
            <w:vAlign w:val="bottom"/>
            <w:hideMark/>
          </w:tcPr>
          <w:p w14:paraId="4B7EE450" w14:textId="77777777" w:rsidR="008F5CF8" w:rsidRPr="00CA4C14" w:rsidRDefault="008F5CF8" w:rsidP="00FA15F6">
            <w:pPr>
              <w:pStyle w:val="Tabletext"/>
              <w:spacing w:before="0" w:after="0"/>
              <w:jc w:val="right"/>
              <w:rPr>
                <w:color w:val="000000"/>
                <w:lang w:val="ru-RU" w:eastAsia="en-GB"/>
              </w:rPr>
            </w:pPr>
          </w:p>
        </w:tc>
      </w:tr>
      <w:tr w:rsidR="008F5CF8" w:rsidRPr="00CA4C14" w14:paraId="6085CA5D" w14:textId="77777777" w:rsidTr="00FE0DEB">
        <w:trPr>
          <w:trHeight w:val="300"/>
        </w:trPr>
        <w:tc>
          <w:tcPr>
            <w:tcW w:w="2423" w:type="pct"/>
            <w:noWrap/>
            <w:hideMark/>
          </w:tcPr>
          <w:p w14:paraId="364136D2" w14:textId="77777777" w:rsidR="008F5CF8" w:rsidRPr="00CA4C14" w:rsidRDefault="008F5CF8" w:rsidP="006457E5">
            <w:pPr>
              <w:pStyle w:val="Tabletext"/>
              <w:rPr>
                <w:color w:val="000000"/>
                <w:lang w:val="ru-RU" w:eastAsia="en-GB"/>
              </w:rPr>
            </w:pPr>
            <w:r w:rsidRPr="00CA4C14">
              <w:rPr>
                <w:lang w:val="ru-RU" w:eastAsia="fr-FR"/>
              </w:rPr>
              <w:t>Начисленные взносы</w:t>
            </w:r>
          </w:p>
        </w:tc>
        <w:tc>
          <w:tcPr>
            <w:tcW w:w="719" w:type="pct"/>
            <w:noWrap/>
            <w:hideMark/>
          </w:tcPr>
          <w:p w14:paraId="7EE0E69C"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14FBE416" w14:textId="77777777" w:rsidR="008F5CF8" w:rsidRPr="00CA4C14" w:rsidRDefault="008F5CF8" w:rsidP="00FA15F6">
            <w:pPr>
              <w:pStyle w:val="Tabletext"/>
              <w:jc w:val="right"/>
              <w:rPr>
                <w:color w:val="000000"/>
                <w:lang w:val="ru-RU" w:eastAsia="en-GB"/>
              </w:rPr>
            </w:pPr>
            <w:r w:rsidRPr="00CA4C14">
              <w:rPr>
                <w:color w:val="000000"/>
                <w:lang w:val="ru-RU" w:eastAsia="en-GB"/>
              </w:rPr>
              <w:t>127 562</w:t>
            </w:r>
          </w:p>
        </w:tc>
        <w:tc>
          <w:tcPr>
            <w:tcW w:w="929" w:type="pct"/>
            <w:noWrap/>
            <w:vAlign w:val="bottom"/>
            <w:hideMark/>
          </w:tcPr>
          <w:p w14:paraId="1E69EBBF" w14:textId="77777777" w:rsidR="008F5CF8" w:rsidRPr="00CA4C14" w:rsidRDefault="008F5CF8" w:rsidP="00FA15F6">
            <w:pPr>
              <w:pStyle w:val="Tabletext"/>
              <w:jc w:val="right"/>
              <w:rPr>
                <w:color w:val="000000"/>
                <w:lang w:val="ru-RU" w:eastAsia="en-GB"/>
              </w:rPr>
            </w:pPr>
            <w:r w:rsidRPr="00CA4C14">
              <w:rPr>
                <w:color w:val="000000"/>
                <w:lang w:val="ru-RU" w:eastAsia="en-GB"/>
              </w:rPr>
              <w:t>127 613</w:t>
            </w:r>
          </w:p>
        </w:tc>
      </w:tr>
      <w:tr w:rsidR="008F5CF8" w:rsidRPr="00CA4C14" w14:paraId="63956102" w14:textId="77777777" w:rsidTr="00FE0DEB">
        <w:trPr>
          <w:trHeight w:val="300"/>
        </w:trPr>
        <w:tc>
          <w:tcPr>
            <w:tcW w:w="2423" w:type="pct"/>
            <w:noWrap/>
            <w:hideMark/>
          </w:tcPr>
          <w:p w14:paraId="07B132AC" w14:textId="77777777" w:rsidR="008F5CF8" w:rsidRPr="00CA4C14" w:rsidRDefault="008F5CF8" w:rsidP="006457E5">
            <w:pPr>
              <w:pStyle w:val="Tabletext"/>
              <w:rPr>
                <w:color w:val="000000"/>
                <w:lang w:val="ru-RU" w:eastAsia="en-GB"/>
              </w:rPr>
            </w:pPr>
            <w:r w:rsidRPr="00CA4C14">
              <w:rPr>
                <w:lang w:val="ru-RU" w:eastAsia="en-GB"/>
              </w:rPr>
              <w:t>Внебюджетные взносы</w:t>
            </w:r>
          </w:p>
        </w:tc>
        <w:tc>
          <w:tcPr>
            <w:tcW w:w="719" w:type="pct"/>
            <w:noWrap/>
            <w:hideMark/>
          </w:tcPr>
          <w:p w14:paraId="33F19EA4"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575FCF38" w14:textId="77777777" w:rsidR="008F5CF8" w:rsidRPr="00CA4C14" w:rsidRDefault="008F5CF8" w:rsidP="00FA15F6">
            <w:pPr>
              <w:pStyle w:val="Tabletext"/>
              <w:jc w:val="right"/>
              <w:rPr>
                <w:color w:val="000000"/>
                <w:lang w:val="ru-RU" w:eastAsia="en-GB"/>
              </w:rPr>
            </w:pPr>
            <w:r w:rsidRPr="00CA4C14">
              <w:rPr>
                <w:color w:val="000000"/>
                <w:lang w:val="ru-RU" w:eastAsia="en-GB"/>
              </w:rPr>
              <w:t>18 952</w:t>
            </w:r>
          </w:p>
        </w:tc>
        <w:tc>
          <w:tcPr>
            <w:tcW w:w="929" w:type="pct"/>
            <w:noWrap/>
            <w:vAlign w:val="bottom"/>
            <w:hideMark/>
          </w:tcPr>
          <w:p w14:paraId="119D88CA" w14:textId="77777777" w:rsidR="008F5CF8" w:rsidRPr="00CA4C14" w:rsidRDefault="008F5CF8" w:rsidP="00FA15F6">
            <w:pPr>
              <w:pStyle w:val="Tabletext"/>
              <w:jc w:val="right"/>
              <w:rPr>
                <w:color w:val="000000"/>
                <w:lang w:val="ru-RU" w:eastAsia="en-GB"/>
              </w:rPr>
            </w:pPr>
            <w:r w:rsidRPr="00CA4C14">
              <w:rPr>
                <w:color w:val="000000"/>
                <w:lang w:val="ru-RU" w:eastAsia="en-GB"/>
              </w:rPr>
              <w:t>17 965</w:t>
            </w:r>
          </w:p>
        </w:tc>
      </w:tr>
      <w:tr w:rsidR="008F5CF8" w:rsidRPr="00CA4C14" w14:paraId="72632061" w14:textId="77777777" w:rsidTr="00FE0DEB">
        <w:trPr>
          <w:trHeight w:val="300"/>
        </w:trPr>
        <w:tc>
          <w:tcPr>
            <w:tcW w:w="2423" w:type="pct"/>
            <w:noWrap/>
            <w:hideMark/>
          </w:tcPr>
          <w:p w14:paraId="74B76955" w14:textId="77777777" w:rsidR="008F5CF8" w:rsidRPr="00CA4C14" w:rsidRDefault="008F5CF8" w:rsidP="006457E5">
            <w:pPr>
              <w:pStyle w:val="Tabletext"/>
              <w:rPr>
                <w:color w:val="000000"/>
                <w:lang w:val="ru-RU" w:eastAsia="en-GB"/>
              </w:rPr>
            </w:pPr>
            <w:r w:rsidRPr="00CA4C14">
              <w:rPr>
                <w:lang w:val="ru-RU" w:eastAsia="fr-FR"/>
              </w:rPr>
              <w:t>Прочие доходы от деятельности</w:t>
            </w:r>
          </w:p>
        </w:tc>
        <w:tc>
          <w:tcPr>
            <w:tcW w:w="719" w:type="pct"/>
            <w:noWrap/>
            <w:hideMark/>
          </w:tcPr>
          <w:p w14:paraId="3B50D964"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27B0A061" w14:textId="77777777" w:rsidR="008F5CF8" w:rsidRPr="00CA4C14" w:rsidRDefault="008F5CF8" w:rsidP="00FA15F6">
            <w:pPr>
              <w:pStyle w:val="Tabletext"/>
              <w:jc w:val="right"/>
              <w:rPr>
                <w:color w:val="000000"/>
                <w:lang w:val="ru-RU" w:eastAsia="en-GB"/>
              </w:rPr>
            </w:pPr>
            <w:r w:rsidRPr="00CA4C14">
              <w:rPr>
                <w:color w:val="000000"/>
                <w:lang w:val="ru-RU" w:eastAsia="en-GB"/>
              </w:rPr>
              <w:t>34 145</w:t>
            </w:r>
          </w:p>
        </w:tc>
        <w:tc>
          <w:tcPr>
            <w:tcW w:w="929" w:type="pct"/>
            <w:noWrap/>
            <w:vAlign w:val="bottom"/>
            <w:hideMark/>
          </w:tcPr>
          <w:p w14:paraId="3E0574EB" w14:textId="77777777" w:rsidR="008F5CF8" w:rsidRPr="00CA4C14" w:rsidRDefault="008F5CF8" w:rsidP="00FA15F6">
            <w:pPr>
              <w:pStyle w:val="Tabletext"/>
              <w:jc w:val="right"/>
              <w:rPr>
                <w:color w:val="000000"/>
                <w:lang w:val="ru-RU" w:eastAsia="en-GB"/>
              </w:rPr>
            </w:pPr>
            <w:r w:rsidRPr="00CA4C14">
              <w:rPr>
                <w:color w:val="000000"/>
                <w:lang w:val="ru-RU" w:eastAsia="en-GB"/>
              </w:rPr>
              <w:t>26 473</w:t>
            </w:r>
          </w:p>
        </w:tc>
      </w:tr>
      <w:tr w:rsidR="006457E5" w:rsidRPr="00CA4C14" w14:paraId="64A72466" w14:textId="77777777" w:rsidTr="00FE0DEB">
        <w:trPr>
          <w:trHeight w:val="70"/>
        </w:trPr>
        <w:tc>
          <w:tcPr>
            <w:tcW w:w="2423" w:type="pct"/>
            <w:noWrap/>
          </w:tcPr>
          <w:p w14:paraId="55019DDF" w14:textId="77777777" w:rsidR="006457E5" w:rsidRPr="00CA4C14" w:rsidRDefault="006457E5" w:rsidP="006457E5">
            <w:pPr>
              <w:pStyle w:val="Tabletext"/>
              <w:spacing w:before="0" w:after="0"/>
              <w:rPr>
                <w:lang w:val="ru-RU" w:eastAsia="fr-FR"/>
              </w:rPr>
            </w:pPr>
          </w:p>
        </w:tc>
        <w:tc>
          <w:tcPr>
            <w:tcW w:w="719" w:type="pct"/>
            <w:noWrap/>
          </w:tcPr>
          <w:p w14:paraId="3A12550B" w14:textId="77777777" w:rsidR="006457E5" w:rsidRPr="00CA4C14" w:rsidRDefault="006457E5" w:rsidP="00FA15F6">
            <w:pPr>
              <w:pStyle w:val="Tabletext"/>
              <w:spacing w:before="0" w:after="0"/>
              <w:jc w:val="center"/>
              <w:rPr>
                <w:color w:val="000000"/>
                <w:lang w:val="ru-RU" w:eastAsia="en-GB"/>
              </w:rPr>
            </w:pPr>
          </w:p>
        </w:tc>
        <w:tc>
          <w:tcPr>
            <w:tcW w:w="930" w:type="pct"/>
            <w:noWrap/>
            <w:vAlign w:val="bottom"/>
          </w:tcPr>
          <w:p w14:paraId="6C556973" w14:textId="77777777" w:rsidR="006457E5" w:rsidRPr="00CA4C14" w:rsidRDefault="006457E5" w:rsidP="00FA15F6">
            <w:pPr>
              <w:pStyle w:val="Tabletext"/>
              <w:spacing w:before="0" w:after="0"/>
              <w:jc w:val="right"/>
              <w:rPr>
                <w:color w:val="000000"/>
                <w:lang w:val="ru-RU" w:eastAsia="en-GB"/>
              </w:rPr>
            </w:pPr>
          </w:p>
        </w:tc>
        <w:tc>
          <w:tcPr>
            <w:tcW w:w="929" w:type="pct"/>
            <w:noWrap/>
            <w:vAlign w:val="bottom"/>
          </w:tcPr>
          <w:p w14:paraId="23BB548B" w14:textId="77777777" w:rsidR="006457E5" w:rsidRPr="00CA4C14" w:rsidRDefault="006457E5" w:rsidP="00FA15F6">
            <w:pPr>
              <w:pStyle w:val="Tabletext"/>
              <w:spacing w:before="0" w:after="0"/>
              <w:jc w:val="right"/>
              <w:rPr>
                <w:color w:val="000000"/>
                <w:lang w:val="ru-RU" w:eastAsia="en-GB"/>
              </w:rPr>
            </w:pPr>
          </w:p>
        </w:tc>
      </w:tr>
      <w:tr w:rsidR="008F5CF8" w:rsidRPr="00CA4C14" w14:paraId="17796C37" w14:textId="77777777" w:rsidTr="00FE0DEB">
        <w:trPr>
          <w:trHeight w:val="289"/>
        </w:trPr>
        <w:tc>
          <w:tcPr>
            <w:tcW w:w="2423" w:type="pct"/>
            <w:noWrap/>
            <w:hideMark/>
          </w:tcPr>
          <w:p w14:paraId="62525D49" w14:textId="77777777" w:rsidR="008F5CF8" w:rsidRPr="00CA4C14" w:rsidRDefault="008F5CF8" w:rsidP="006457E5">
            <w:pPr>
              <w:pStyle w:val="Tabletext"/>
              <w:rPr>
                <w:b/>
                <w:bCs/>
                <w:color w:val="000000"/>
                <w:lang w:val="ru-RU" w:eastAsia="en-GB"/>
              </w:rPr>
            </w:pPr>
            <w:r w:rsidRPr="00CA4C14">
              <w:rPr>
                <w:b/>
                <w:bCs/>
                <w:lang w:val="ru-RU" w:eastAsia="fr-FR"/>
              </w:rPr>
              <w:t>Всего: доходы</w:t>
            </w:r>
          </w:p>
        </w:tc>
        <w:tc>
          <w:tcPr>
            <w:tcW w:w="719" w:type="pct"/>
            <w:noWrap/>
            <w:hideMark/>
          </w:tcPr>
          <w:p w14:paraId="0CD19935" w14:textId="77777777" w:rsidR="008F5CF8" w:rsidRPr="00CA4C14" w:rsidRDefault="008F5CF8" w:rsidP="00FA15F6">
            <w:pPr>
              <w:pStyle w:val="Tabletext"/>
              <w:jc w:val="center"/>
              <w:rPr>
                <w:b/>
                <w:bCs/>
                <w:color w:val="000000"/>
                <w:lang w:val="ru-RU" w:eastAsia="en-GB"/>
              </w:rPr>
            </w:pPr>
          </w:p>
        </w:tc>
        <w:tc>
          <w:tcPr>
            <w:tcW w:w="930" w:type="pct"/>
            <w:noWrap/>
            <w:vAlign w:val="bottom"/>
            <w:hideMark/>
          </w:tcPr>
          <w:p w14:paraId="5FEF3801" w14:textId="77777777" w:rsidR="008F5CF8" w:rsidRPr="00CA4C14" w:rsidRDefault="008F5CF8" w:rsidP="00FA15F6">
            <w:pPr>
              <w:pStyle w:val="Tabletext"/>
              <w:jc w:val="right"/>
              <w:rPr>
                <w:b/>
                <w:bCs/>
                <w:color w:val="000000"/>
                <w:lang w:val="ru-RU" w:eastAsia="en-GB"/>
              </w:rPr>
            </w:pPr>
            <w:r w:rsidRPr="00CA4C14">
              <w:rPr>
                <w:b/>
                <w:bCs/>
                <w:color w:val="000000"/>
                <w:lang w:val="ru-RU" w:eastAsia="en-GB"/>
              </w:rPr>
              <w:t>180 659</w:t>
            </w:r>
          </w:p>
        </w:tc>
        <w:tc>
          <w:tcPr>
            <w:tcW w:w="929" w:type="pct"/>
            <w:noWrap/>
            <w:vAlign w:val="bottom"/>
            <w:hideMark/>
          </w:tcPr>
          <w:p w14:paraId="77446F94" w14:textId="77777777" w:rsidR="008F5CF8" w:rsidRPr="00CA4C14" w:rsidRDefault="008F5CF8" w:rsidP="00FA15F6">
            <w:pPr>
              <w:pStyle w:val="Tabletext"/>
              <w:jc w:val="right"/>
              <w:rPr>
                <w:b/>
                <w:bCs/>
                <w:color w:val="000000"/>
                <w:lang w:val="ru-RU" w:eastAsia="en-GB"/>
              </w:rPr>
            </w:pPr>
            <w:r w:rsidRPr="00CA4C14">
              <w:rPr>
                <w:b/>
                <w:bCs/>
                <w:color w:val="000000"/>
                <w:lang w:val="ru-RU" w:eastAsia="en-GB"/>
              </w:rPr>
              <w:t>172 051</w:t>
            </w:r>
          </w:p>
        </w:tc>
      </w:tr>
      <w:tr w:rsidR="006457E5" w:rsidRPr="00CA4C14" w14:paraId="7020C7A2" w14:textId="77777777" w:rsidTr="00FE0DEB">
        <w:trPr>
          <w:trHeight w:val="70"/>
        </w:trPr>
        <w:tc>
          <w:tcPr>
            <w:tcW w:w="2423" w:type="pct"/>
            <w:noWrap/>
          </w:tcPr>
          <w:p w14:paraId="7D226AA9" w14:textId="77777777" w:rsidR="006457E5" w:rsidRPr="00CA4C14" w:rsidRDefault="006457E5" w:rsidP="006457E5">
            <w:pPr>
              <w:pStyle w:val="Tabletext"/>
              <w:spacing w:before="0" w:after="0"/>
              <w:rPr>
                <w:b/>
                <w:bCs/>
                <w:lang w:val="ru-RU" w:eastAsia="fr-FR"/>
              </w:rPr>
            </w:pPr>
          </w:p>
        </w:tc>
        <w:tc>
          <w:tcPr>
            <w:tcW w:w="719" w:type="pct"/>
            <w:noWrap/>
          </w:tcPr>
          <w:p w14:paraId="2C62CF01" w14:textId="77777777" w:rsidR="006457E5" w:rsidRPr="00CA4C14" w:rsidRDefault="006457E5" w:rsidP="00FA15F6">
            <w:pPr>
              <w:pStyle w:val="Tabletext"/>
              <w:spacing w:before="0" w:after="0"/>
              <w:jc w:val="center"/>
              <w:rPr>
                <w:b/>
                <w:bCs/>
                <w:color w:val="000000"/>
                <w:lang w:val="ru-RU" w:eastAsia="en-GB"/>
              </w:rPr>
            </w:pPr>
          </w:p>
        </w:tc>
        <w:tc>
          <w:tcPr>
            <w:tcW w:w="930" w:type="pct"/>
            <w:noWrap/>
            <w:vAlign w:val="bottom"/>
          </w:tcPr>
          <w:p w14:paraId="65AC2BB5" w14:textId="77777777" w:rsidR="006457E5" w:rsidRPr="00CA4C14" w:rsidRDefault="006457E5" w:rsidP="00FA15F6">
            <w:pPr>
              <w:pStyle w:val="Tabletext"/>
              <w:spacing w:before="0" w:after="0"/>
              <w:jc w:val="right"/>
              <w:rPr>
                <w:b/>
                <w:bCs/>
                <w:color w:val="000000"/>
                <w:lang w:val="ru-RU" w:eastAsia="en-GB"/>
              </w:rPr>
            </w:pPr>
          </w:p>
        </w:tc>
        <w:tc>
          <w:tcPr>
            <w:tcW w:w="929" w:type="pct"/>
            <w:noWrap/>
            <w:vAlign w:val="bottom"/>
          </w:tcPr>
          <w:p w14:paraId="1915B07F" w14:textId="77777777" w:rsidR="006457E5" w:rsidRPr="00CA4C14" w:rsidRDefault="006457E5" w:rsidP="00FA15F6">
            <w:pPr>
              <w:pStyle w:val="Tabletext"/>
              <w:spacing w:before="0" w:after="0"/>
              <w:jc w:val="right"/>
              <w:rPr>
                <w:b/>
                <w:bCs/>
                <w:color w:val="000000"/>
                <w:lang w:val="ru-RU" w:eastAsia="en-GB"/>
              </w:rPr>
            </w:pPr>
          </w:p>
        </w:tc>
      </w:tr>
      <w:tr w:rsidR="008F5CF8" w:rsidRPr="00CA4C14" w14:paraId="37E7AE5C" w14:textId="77777777" w:rsidTr="00FE0DEB">
        <w:trPr>
          <w:trHeight w:val="70"/>
        </w:trPr>
        <w:tc>
          <w:tcPr>
            <w:tcW w:w="2423" w:type="pct"/>
            <w:noWrap/>
            <w:hideMark/>
          </w:tcPr>
          <w:p w14:paraId="6FB08C0E" w14:textId="77777777" w:rsidR="008F5CF8" w:rsidRPr="00CA4C14" w:rsidRDefault="008F5CF8" w:rsidP="006457E5">
            <w:pPr>
              <w:pStyle w:val="Tabletext"/>
              <w:rPr>
                <w:b/>
                <w:bCs/>
                <w:color w:val="000000"/>
                <w:lang w:val="ru-RU" w:eastAsia="en-GB"/>
              </w:rPr>
            </w:pPr>
            <w:r w:rsidRPr="00CA4C14">
              <w:rPr>
                <w:b/>
                <w:bCs/>
                <w:lang w:val="ru-RU" w:eastAsia="fr-FR"/>
              </w:rPr>
              <w:t>РАСХОДЫ</w:t>
            </w:r>
          </w:p>
        </w:tc>
        <w:tc>
          <w:tcPr>
            <w:tcW w:w="719" w:type="pct"/>
            <w:noWrap/>
            <w:hideMark/>
          </w:tcPr>
          <w:p w14:paraId="62F9F85C" w14:textId="77777777" w:rsidR="008F5CF8" w:rsidRPr="00CA4C14" w:rsidRDefault="008F5CF8" w:rsidP="00FA15F6">
            <w:pPr>
              <w:pStyle w:val="Tabletext"/>
              <w:jc w:val="center"/>
              <w:rPr>
                <w:color w:val="000000"/>
                <w:lang w:val="ru-RU" w:eastAsia="en-GB"/>
              </w:rPr>
            </w:pPr>
            <w:r w:rsidRPr="00CA4C14">
              <w:rPr>
                <w:color w:val="000000"/>
                <w:lang w:val="ru-RU" w:eastAsia="en-GB"/>
              </w:rPr>
              <w:t>22</w:t>
            </w:r>
          </w:p>
        </w:tc>
        <w:tc>
          <w:tcPr>
            <w:tcW w:w="930" w:type="pct"/>
            <w:noWrap/>
            <w:vAlign w:val="bottom"/>
            <w:hideMark/>
          </w:tcPr>
          <w:p w14:paraId="2AB9C441" w14:textId="77777777" w:rsidR="008F5CF8" w:rsidRPr="00CA4C14" w:rsidRDefault="008F5CF8" w:rsidP="00FA15F6">
            <w:pPr>
              <w:pStyle w:val="Tabletext"/>
              <w:jc w:val="right"/>
              <w:rPr>
                <w:color w:val="000000"/>
                <w:lang w:val="ru-RU" w:eastAsia="en-GB"/>
              </w:rPr>
            </w:pPr>
          </w:p>
        </w:tc>
        <w:tc>
          <w:tcPr>
            <w:tcW w:w="929" w:type="pct"/>
            <w:noWrap/>
            <w:vAlign w:val="bottom"/>
            <w:hideMark/>
          </w:tcPr>
          <w:p w14:paraId="33AABB7E" w14:textId="77777777" w:rsidR="008F5CF8" w:rsidRPr="00CA4C14" w:rsidRDefault="008F5CF8" w:rsidP="00FA15F6">
            <w:pPr>
              <w:pStyle w:val="Tabletext"/>
              <w:jc w:val="right"/>
              <w:rPr>
                <w:color w:val="000000"/>
                <w:lang w:val="ru-RU" w:eastAsia="en-GB"/>
              </w:rPr>
            </w:pPr>
          </w:p>
        </w:tc>
      </w:tr>
      <w:tr w:rsidR="006457E5" w:rsidRPr="00CA4C14" w14:paraId="17392866" w14:textId="77777777" w:rsidTr="00FE0DEB">
        <w:trPr>
          <w:trHeight w:val="70"/>
        </w:trPr>
        <w:tc>
          <w:tcPr>
            <w:tcW w:w="2423" w:type="pct"/>
            <w:noWrap/>
          </w:tcPr>
          <w:p w14:paraId="358A83EA" w14:textId="77777777" w:rsidR="006457E5" w:rsidRPr="00CA4C14" w:rsidRDefault="006457E5" w:rsidP="006457E5">
            <w:pPr>
              <w:pStyle w:val="Tabletext"/>
              <w:spacing w:before="0" w:after="0"/>
              <w:rPr>
                <w:b/>
                <w:bCs/>
                <w:lang w:val="ru-RU" w:eastAsia="fr-FR"/>
              </w:rPr>
            </w:pPr>
          </w:p>
        </w:tc>
        <w:tc>
          <w:tcPr>
            <w:tcW w:w="719" w:type="pct"/>
            <w:noWrap/>
          </w:tcPr>
          <w:p w14:paraId="1DF3861F" w14:textId="77777777" w:rsidR="006457E5" w:rsidRPr="00CA4C14" w:rsidRDefault="006457E5" w:rsidP="00FA15F6">
            <w:pPr>
              <w:pStyle w:val="Tabletext"/>
              <w:spacing w:before="0" w:after="0"/>
              <w:jc w:val="center"/>
              <w:rPr>
                <w:color w:val="000000"/>
                <w:lang w:val="ru-RU" w:eastAsia="en-GB"/>
              </w:rPr>
            </w:pPr>
          </w:p>
        </w:tc>
        <w:tc>
          <w:tcPr>
            <w:tcW w:w="930" w:type="pct"/>
            <w:noWrap/>
            <w:vAlign w:val="bottom"/>
          </w:tcPr>
          <w:p w14:paraId="226D0C22" w14:textId="77777777" w:rsidR="006457E5" w:rsidRPr="00CA4C14" w:rsidRDefault="006457E5" w:rsidP="00FA15F6">
            <w:pPr>
              <w:pStyle w:val="Tabletext"/>
              <w:spacing w:before="0" w:after="0"/>
              <w:jc w:val="right"/>
              <w:rPr>
                <w:color w:val="000000"/>
                <w:lang w:val="ru-RU" w:eastAsia="en-GB"/>
              </w:rPr>
            </w:pPr>
          </w:p>
        </w:tc>
        <w:tc>
          <w:tcPr>
            <w:tcW w:w="929" w:type="pct"/>
            <w:noWrap/>
            <w:vAlign w:val="bottom"/>
          </w:tcPr>
          <w:p w14:paraId="4C774905" w14:textId="77777777" w:rsidR="006457E5" w:rsidRPr="00CA4C14" w:rsidRDefault="006457E5" w:rsidP="00FA15F6">
            <w:pPr>
              <w:pStyle w:val="Tabletext"/>
              <w:spacing w:before="0" w:after="0"/>
              <w:jc w:val="right"/>
              <w:rPr>
                <w:color w:val="000000"/>
                <w:lang w:val="ru-RU" w:eastAsia="en-GB"/>
              </w:rPr>
            </w:pPr>
          </w:p>
        </w:tc>
      </w:tr>
      <w:tr w:rsidR="008F5CF8" w:rsidRPr="00CA4C14" w14:paraId="0A276572" w14:textId="77777777" w:rsidTr="00FE0DEB">
        <w:trPr>
          <w:trHeight w:val="300"/>
        </w:trPr>
        <w:tc>
          <w:tcPr>
            <w:tcW w:w="2423" w:type="pct"/>
            <w:noWrap/>
            <w:hideMark/>
          </w:tcPr>
          <w:p w14:paraId="0B4CE2CF" w14:textId="77777777" w:rsidR="008F5CF8" w:rsidRPr="00CA4C14" w:rsidRDefault="008F5CF8" w:rsidP="006457E5">
            <w:pPr>
              <w:pStyle w:val="Tabletext"/>
              <w:rPr>
                <w:color w:val="000000"/>
                <w:lang w:val="ru-RU" w:eastAsia="en-GB"/>
              </w:rPr>
            </w:pPr>
            <w:r w:rsidRPr="00CA4C14">
              <w:rPr>
                <w:lang w:val="ru-RU" w:eastAsia="fr-FR"/>
              </w:rPr>
              <w:t xml:space="preserve">Расходы по персоналу </w:t>
            </w:r>
          </w:p>
        </w:tc>
        <w:tc>
          <w:tcPr>
            <w:tcW w:w="719" w:type="pct"/>
            <w:noWrap/>
            <w:hideMark/>
          </w:tcPr>
          <w:p w14:paraId="1FA5D453"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37CF45AD" w14:textId="77777777" w:rsidR="008F5CF8" w:rsidRPr="00CA4C14" w:rsidRDefault="008F5CF8" w:rsidP="00FA15F6">
            <w:pPr>
              <w:pStyle w:val="Tabletext"/>
              <w:jc w:val="right"/>
              <w:rPr>
                <w:color w:val="000000"/>
                <w:lang w:val="ru-RU" w:eastAsia="en-GB"/>
              </w:rPr>
            </w:pPr>
            <w:r w:rsidRPr="00CA4C14">
              <w:rPr>
                <w:color w:val="000000"/>
                <w:lang w:val="ru-RU" w:eastAsia="en-GB"/>
              </w:rPr>
              <w:t>150 724</w:t>
            </w:r>
          </w:p>
        </w:tc>
        <w:tc>
          <w:tcPr>
            <w:tcW w:w="929" w:type="pct"/>
            <w:noWrap/>
            <w:vAlign w:val="bottom"/>
            <w:hideMark/>
          </w:tcPr>
          <w:p w14:paraId="25B0C94D" w14:textId="77777777" w:rsidR="008F5CF8" w:rsidRPr="00CA4C14" w:rsidRDefault="008F5CF8" w:rsidP="00FA15F6">
            <w:pPr>
              <w:pStyle w:val="Tabletext"/>
              <w:jc w:val="right"/>
              <w:rPr>
                <w:color w:val="000000"/>
                <w:lang w:val="ru-RU" w:eastAsia="en-GB"/>
              </w:rPr>
            </w:pPr>
            <w:r w:rsidRPr="00CA4C14">
              <w:rPr>
                <w:color w:val="000000"/>
                <w:lang w:val="ru-RU" w:eastAsia="en-GB"/>
              </w:rPr>
              <w:t>153 510</w:t>
            </w:r>
          </w:p>
        </w:tc>
      </w:tr>
      <w:tr w:rsidR="008F5CF8" w:rsidRPr="00CA4C14" w14:paraId="0836FAC8" w14:textId="77777777" w:rsidTr="00FE0DEB">
        <w:trPr>
          <w:trHeight w:val="300"/>
        </w:trPr>
        <w:tc>
          <w:tcPr>
            <w:tcW w:w="2423" w:type="pct"/>
            <w:noWrap/>
            <w:hideMark/>
          </w:tcPr>
          <w:p w14:paraId="246B6B0E" w14:textId="77777777" w:rsidR="008F5CF8" w:rsidRPr="00CA4C14" w:rsidRDefault="008F5CF8" w:rsidP="006457E5">
            <w:pPr>
              <w:pStyle w:val="Tabletext"/>
              <w:rPr>
                <w:color w:val="000000"/>
                <w:lang w:val="ru-RU" w:eastAsia="en-GB"/>
              </w:rPr>
            </w:pPr>
            <w:r w:rsidRPr="00CA4C14">
              <w:rPr>
                <w:lang w:val="ru-RU" w:eastAsia="fr-FR"/>
              </w:rPr>
              <w:t>Служебные командировки</w:t>
            </w:r>
          </w:p>
        </w:tc>
        <w:tc>
          <w:tcPr>
            <w:tcW w:w="719" w:type="pct"/>
            <w:noWrap/>
            <w:hideMark/>
          </w:tcPr>
          <w:p w14:paraId="47F6CB1B"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61DAAE89" w14:textId="77777777" w:rsidR="008F5CF8" w:rsidRPr="00CA4C14" w:rsidRDefault="008F5CF8" w:rsidP="00FA15F6">
            <w:pPr>
              <w:pStyle w:val="Tabletext"/>
              <w:jc w:val="right"/>
              <w:rPr>
                <w:color w:val="000000"/>
                <w:lang w:val="ru-RU" w:eastAsia="en-GB"/>
              </w:rPr>
            </w:pPr>
            <w:r w:rsidRPr="00CA4C14">
              <w:rPr>
                <w:color w:val="000000"/>
                <w:lang w:val="ru-RU" w:eastAsia="en-GB"/>
              </w:rPr>
              <w:t>7 788</w:t>
            </w:r>
          </w:p>
        </w:tc>
        <w:tc>
          <w:tcPr>
            <w:tcW w:w="929" w:type="pct"/>
            <w:noWrap/>
            <w:vAlign w:val="bottom"/>
            <w:hideMark/>
          </w:tcPr>
          <w:p w14:paraId="1D66B4E8" w14:textId="77777777" w:rsidR="008F5CF8" w:rsidRPr="00CA4C14" w:rsidRDefault="008F5CF8" w:rsidP="00FA15F6">
            <w:pPr>
              <w:pStyle w:val="Tabletext"/>
              <w:jc w:val="right"/>
              <w:rPr>
                <w:color w:val="000000"/>
                <w:lang w:val="ru-RU" w:eastAsia="en-GB"/>
              </w:rPr>
            </w:pPr>
            <w:r w:rsidRPr="00CA4C14">
              <w:rPr>
                <w:color w:val="000000"/>
                <w:lang w:val="ru-RU" w:eastAsia="en-GB"/>
              </w:rPr>
              <w:t>5 589</w:t>
            </w:r>
          </w:p>
        </w:tc>
      </w:tr>
      <w:tr w:rsidR="008F5CF8" w:rsidRPr="00CA4C14" w14:paraId="76C412DF" w14:textId="77777777" w:rsidTr="00FE0DEB">
        <w:trPr>
          <w:trHeight w:val="300"/>
        </w:trPr>
        <w:tc>
          <w:tcPr>
            <w:tcW w:w="2423" w:type="pct"/>
            <w:noWrap/>
            <w:hideMark/>
          </w:tcPr>
          <w:p w14:paraId="403F7D9C" w14:textId="77777777" w:rsidR="008F5CF8" w:rsidRPr="00CA4C14" w:rsidRDefault="008F5CF8" w:rsidP="006457E5">
            <w:pPr>
              <w:pStyle w:val="Tabletext"/>
              <w:rPr>
                <w:color w:val="000000"/>
                <w:lang w:val="ru-RU" w:eastAsia="en-GB"/>
              </w:rPr>
            </w:pPr>
            <w:r w:rsidRPr="00CA4C14">
              <w:rPr>
                <w:lang w:val="ru-RU" w:eastAsia="fr-FR"/>
              </w:rPr>
              <w:t>Контрактные услуги</w:t>
            </w:r>
          </w:p>
        </w:tc>
        <w:tc>
          <w:tcPr>
            <w:tcW w:w="719" w:type="pct"/>
            <w:noWrap/>
            <w:hideMark/>
          </w:tcPr>
          <w:p w14:paraId="5EC290ED"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693ECA55" w14:textId="77777777" w:rsidR="008F5CF8" w:rsidRPr="00CA4C14" w:rsidRDefault="008F5CF8" w:rsidP="00FA15F6">
            <w:pPr>
              <w:pStyle w:val="Tabletext"/>
              <w:jc w:val="right"/>
              <w:rPr>
                <w:color w:val="000000"/>
                <w:lang w:val="ru-RU" w:eastAsia="en-GB"/>
              </w:rPr>
            </w:pPr>
            <w:r w:rsidRPr="00CA4C14">
              <w:rPr>
                <w:color w:val="000000"/>
                <w:lang w:val="ru-RU" w:eastAsia="en-GB"/>
              </w:rPr>
              <w:t>21 821</w:t>
            </w:r>
          </w:p>
        </w:tc>
        <w:tc>
          <w:tcPr>
            <w:tcW w:w="929" w:type="pct"/>
            <w:noWrap/>
            <w:vAlign w:val="bottom"/>
            <w:hideMark/>
          </w:tcPr>
          <w:p w14:paraId="28E510D9" w14:textId="77777777" w:rsidR="008F5CF8" w:rsidRPr="00CA4C14" w:rsidRDefault="008F5CF8" w:rsidP="00FA15F6">
            <w:pPr>
              <w:pStyle w:val="Tabletext"/>
              <w:jc w:val="right"/>
              <w:rPr>
                <w:color w:val="000000"/>
                <w:lang w:val="ru-RU" w:eastAsia="en-GB"/>
              </w:rPr>
            </w:pPr>
            <w:r w:rsidRPr="00CA4C14">
              <w:rPr>
                <w:color w:val="000000"/>
                <w:lang w:val="ru-RU" w:eastAsia="en-GB"/>
              </w:rPr>
              <w:t>20 527</w:t>
            </w:r>
          </w:p>
        </w:tc>
      </w:tr>
      <w:tr w:rsidR="008F5CF8" w:rsidRPr="00CA4C14" w14:paraId="5F42D427" w14:textId="77777777" w:rsidTr="00FE0DEB">
        <w:trPr>
          <w:trHeight w:val="300"/>
        </w:trPr>
        <w:tc>
          <w:tcPr>
            <w:tcW w:w="2423" w:type="pct"/>
            <w:noWrap/>
            <w:hideMark/>
          </w:tcPr>
          <w:p w14:paraId="5B14DE23" w14:textId="77777777" w:rsidR="008F5CF8" w:rsidRPr="00CA4C14" w:rsidRDefault="008F5CF8" w:rsidP="006457E5">
            <w:pPr>
              <w:pStyle w:val="Tabletext"/>
              <w:rPr>
                <w:color w:val="000000"/>
                <w:lang w:val="ru-RU" w:eastAsia="en-GB"/>
              </w:rPr>
            </w:pPr>
            <w:r w:rsidRPr="00CA4C14">
              <w:rPr>
                <w:lang w:val="ru-RU" w:eastAsia="fr-FR"/>
              </w:rPr>
              <w:t xml:space="preserve">Аренда и эксплуатация помещений и оборудования </w:t>
            </w:r>
          </w:p>
        </w:tc>
        <w:tc>
          <w:tcPr>
            <w:tcW w:w="719" w:type="pct"/>
            <w:noWrap/>
            <w:hideMark/>
          </w:tcPr>
          <w:p w14:paraId="4A9AB88F"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2CA7299B" w14:textId="77777777" w:rsidR="008F5CF8" w:rsidRPr="00CA4C14" w:rsidRDefault="008F5CF8" w:rsidP="00FA15F6">
            <w:pPr>
              <w:pStyle w:val="Tabletext"/>
              <w:jc w:val="right"/>
              <w:rPr>
                <w:color w:val="000000"/>
                <w:lang w:val="ru-RU" w:eastAsia="en-GB"/>
              </w:rPr>
            </w:pPr>
            <w:r w:rsidRPr="00CA4C14">
              <w:rPr>
                <w:color w:val="000000"/>
                <w:lang w:val="ru-RU" w:eastAsia="en-GB"/>
              </w:rPr>
              <w:t>3 537</w:t>
            </w:r>
          </w:p>
        </w:tc>
        <w:tc>
          <w:tcPr>
            <w:tcW w:w="929" w:type="pct"/>
            <w:noWrap/>
            <w:vAlign w:val="bottom"/>
            <w:hideMark/>
          </w:tcPr>
          <w:p w14:paraId="23F3E91D" w14:textId="77777777" w:rsidR="008F5CF8" w:rsidRPr="00CA4C14" w:rsidRDefault="008F5CF8" w:rsidP="00FA15F6">
            <w:pPr>
              <w:pStyle w:val="Tabletext"/>
              <w:jc w:val="right"/>
              <w:rPr>
                <w:color w:val="000000"/>
                <w:lang w:val="ru-RU" w:eastAsia="en-GB"/>
              </w:rPr>
            </w:pPr>
            <w:r w:rsidRPr="00CA4C14">
              <w:rPr>
                <w:color w:val="000000"/>
                <w:lang w:val="ru-RU" w:eastAsia="en-GB"/>
              </w:rPr>
              <w:t>2 860</w:t>
            </w:r>
          </w:p>
        </w:tc>
      </w:tr>
      <w:tr w:rsidR="008F5CF8" w:rsidRPr="00CA4C14" w14:paraId="3E7A9BE7" w14:textId="77777777" w:rsidTr="00FE0DEB">
        <w:trPr>
          <w:trHeight w:val="300"/>
        </w:trPr>
        <w:tc>
          <w:tcPr>
            <w:tcW w:w="2423" w:type="pct"/>
            <w:noWrap/>
            <w:hideMark/>
          </w:tcPr>
          <w:p w14:paraId="21D1B51C" w14:textId="77777777" w:rsidR="008F5CF8" w:rsidRPr="00CA4C14" w:rsidRDefault="008F5CF8" w:rsidP="006457E5">
            <w:pPr>
              <w:pStyle w:val="Tabletext"/>
              <w:rPr>
                <w:color w:val="000000"/>
                <w:lang w:val="ru-RU" w:eastAsia="en-GB"/>
              </w:rPr>
            </w:pPr>
            <w:r w:rsidRPr="00CA4C14">
              <w:rPr>
                <w:lang w:val="ru-RU" w:eastAsia="fr-FR"/>
              </w:rPr>
              <w:t>Оборудование и предметы снабжения</w:t>
            </w:r>
          </w:p>
        </w:tc>
        <w:tc>
          <w:tcPr>
            <w:tcW w:w="719" w:type="pct"/>
            <w:noWrap/>
            <w:hideMark/>
          </w:tcPr>
          <w:p w14:paraId="051DBDF4"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610CF7C1" w14:textId="77777777" w:rsidR="008F5CF8" w:rsidRPr="00CA4C14" w:rsidRDefault="008F5CF8" w:rsidP="00FA15F6">
            <w:pPr>
              <w:pStyle w:val="Tabletext"/>
              <w:jc w:val="right"/>
              <w:rPr>
                <w:color w:val="000000"/>
                <w:lang w:val="ru-RU" w:eastAsia="en-GB"/>
              </w:rPr>
            </w:pPr>
            <w:r w:rsidRPr="00CA4C14">
              <w:rPr>
                <w:color w:val="000000"/>
                <w:lang w:val="ru-RU" w:eastAsia="en-GB"/>
              </w:rPr>
              <w:t>3 150</w:t>
            </w:r>
          </w:p>
        </w:tc>
        <w:tc>
          <w:tcPr>
            <w:tcW w:w="929" w:type="pct"/>
            <w:noWrap/>
            <w:vAlign w:val="bottom"/>
            <w:hideMark/>
          </w:tcPr>
          <w:p w14:paraId="49899735" w14:textId="77777777" w:rsidR="008F5CF8" w:rsidRPr="00CA4C14" w:rsidRDefault="008F5CF8" w:rsidP="00FA15F6">
            <w:pPr>
              <w:pStyle w:val="Tabletext"/>
              <w:jc w:val="right"/>
              <w:rPr>
                <w:color w:val="000000"/>
                <w:lang w:val="ru-RU" w:eastAsia="en-GB"/>
              </w:rPr>
            </w:pPr>
            <w:r w:rsidRPr="00CA4C14">
              <w:rPr>
                <w:color w:val="000000"/>
                <w:lang w:val="ru-RU" w:eastAsia="en-GB"/>
              </w:rPr>
              <w:t>2 460</w:t>
            </w:r>
          </w:p>
        </w:tc>
      </w:tr>
      <w:tr w:rsidR="008F5CF8" w:rsidRPr="00CA4C14" w14:paraId="4E959A29" w14:textId="77777777" w:rsidTr="00FE0DEB">
        <w:trPr>
          <w:trHeight w:val="300"/>
        </w:trPr>
        <w:tc>
          <w:tcPr>
            <w:tcW w:w="2423" w:type="pct"/>
            <w:noWrap/>
            <w:hideMark/>
          </w:tcPr>
          <w:p w14:paraId="00BBC9FC" w14:textId="77777777" w:rsidR="008F5CF8" w:rsidRPr="00CA4C14" w:rsidRDefault="008F5CF8" w:rsidP="006457E5">
            <w:pPr>
              <w:pStyle w:val="Tabletext"/>
              <w:rPr>
                <w:color w:val="000000"/>
                <w:lang w:val="ru-RU" w:eastAsia="en-GB"/>
              </w:rPr>
            </w:pPr>
            <w:r w:rsidRPr="00CA4C14">
              <w:rPr>
                <w:lang w:val="ru-RU" w:eastAsia="fr-FR"/>
              </w:rPr>
              <w:t xml:space="preserve">Амортизация и потеря стоимости </w:t>
            </w:r>
          </w:p>
        </w:tc>
        <w:tc>
          <w:tcPr>
            <w:tcW w:w="719" w:type="pct"/>
            <w:noWrap/>
            <w:hideMark/>
          </w:tcPr>
          <w:p w14:paraId="3F406C96"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25929E7F" w14:textId="77777777" w:rsidR="008F5CF8" w:rsidRPr="00CA4C14" w:rsidRDefault="008F5CF8" w:rsidP="00FA15F6">
            <w:pPr>
              <w:pStyle w:val="Tabletext"/>
              <w:jc w:val="right"/>
              <w:rPr>
                <w:color w:val="000000"/>
                <w:lang w:val="ru-RU" w:eastAsia="en-GB"/>
              </w:rPr>
            </w:pPr>
            <w:r w:rsidRPr="00CA4C14">
              <w:rPr>
                <w:color w:val="000000"/>
                <w:lang w:val="ru-RU" w:eastAsia="en-GB"/>
              </w:rPr>
              <w:t>5 660</w:t>
            </w:r>
          </w:p>
        </w:tc>
        <w:tc>
          <w:tcPr>
            <w:tcW w:w="929" w:type="pct"/>
            <w:noWrap/>
            <w:vAlign w:val="bottom"/>
            <w:hideMark/>
          </w:tcPr>
          <w:p w14:paraId="04D73193" w14:textId="77777777" w:rsidR="008F5CF8" w:rsidRPr="00CA4C14" w:rsidRDefault="008F5CF8" w:rsidP="00FA15F6">
            <w:pPr>
              <w:pStyle w:val="Tabletext"/>
              <w:jc w:val="right"/>
              <w:rPr>
                <w:color w:val="000000"/>
                <w:lang w:val="ru-RU" w:eastAsia="en-GB"/>
              </w:rPr>
            </w:pPr>
            <w:r w:rsidRPr="00CA4C14">
              <w:rPr>
                <w:color w:val="000000"/>
                <w:lang w:val="ru-RU" w:eastAsia="en-GB"/>
              </w:rPr>
              <w:t>9 495</w:t>
            </w:r>
          </w:p>
        </w:tc>
      </w:tr>
      <w:tr w:rsidR="008F5CF8" w:rsidRPr="00CA4C14" w14:paraId="6AF9C17A" w14:textId="77777777" w:rsidTr="00FE0DEB">
        <w:trPr>
          <w:trHeight w:val="300"/>
        </w:trPr>
        <w:tc>
          <w:tcPr>
            <w:tcW w:w="2423" w:type="pct"/>
            <w:noWrap/>
            <w:hideMark/>
          </w:tcPr>
          <w:p w14:paraId="5C47F4DA" w14:textId="77777777" w:rsidR="008F5CF8" w:rsidRPr="00CA4C14" w:rsidRDefault="008F5CF8" w:rsidP="006457E5">
            <w:pPr>
              <w:pStyle w:val="Tabletext"/>
              <w:rPr>
                <w:color w:val="000000"/>
                <w:lang w:val="ru-RU" w:eastAsia="en-GB"/>
              </w:rPr>
            </w:pPr>
            <w:r w:rsidRPr="00CA4C14">
              <w:rPr>
                <w:lang w:val="ru-RU" w:eastAsia="fr-FR"/>
              </w:rPr>
              <w:t xml:space="preserve">Расходы по перевозке, электросвязи и услугам </w:t>
            </w:r>
          </w:p>
        </w:tc>
        <w:tc>
          <w:tcPr>
            <w:tcW w:w="719" w:type="pct"/>
            <w:noWrap/>
            <w:hideMark/>
          </w:tcPr>
          <w:p w14:paraId="4F8946DB"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60701C78" w14:textId="77777777" w:rsidR="008F5CF8" w:rsidRPr="00CA4C14" w:rsidRDefault="008F5CF8" w:rsidP="00FA15F6">
            <w:pPr>
              <w:pStyle w:val="Tabletext"/>
              <w:jc w:val="right"/>
              <w:rPr>
                <w:color w:val="000000"/>
                <w:lang w:val="ru-RU" w:eastAsia="en-GB"/>
              </w:rPr>
            </w:pPr>
            <w:r w:rsidRPr="00CA4C14">
              <w:rPr>
                <w:color w:val="000000"/>
                <w:lang w:val="ru-RU" w:eastAsia="en-GB"/>
              </w:rPr>
              <w:t>2 673</w:t>
            </w:r>
          </w:p>
        </w:tc>
        <w:tc>
          <w:tcPr>
            <w:tcW w:w="929" w:type="pct"/>
            <w:noWrap/>
            <w:vAlign w:val="bottom"/>
            <w:hideMark/>
          </w:tcPr>
          <w:p w14:paraId="48010A6D" w14:textId="77777777" w:rsidR="008F5CF8" w:rsidRPr="00CA4C14" w:rsidRDefault="008F5CF8" w:rsidP="00FA15F6">
            <w:pPr>
              <w:pStyle w:val="Tabletext"/>
              <w:jc w:val="right"/>
              <w:rPr>
                <w:color w:val="000000"/>
                <w:lang w:val="ru-RU" w:eastAsia="en-GB"/>
              </w:rPr>
            </w:pPr>
            <w:r w:rsidRPr="00CA4C14">
              <w:rPr>
                <w:color w:val="000000"/>
                <w:lang w:val="ru-RU" w:eastAsia="en-GB"/>
              </w:rPr>
              <w:t>2 242</w:t>
            </w:r>
          </w:p>
        </w:tc>
      </w:tr>
      <w:tr w:rsidR="008F5CF8" w:rsidRPr="00CA4C14" w14:paraId="6CC7BED2" w14:textId="77777777" w:rsidTr="00FE0DEB">
        <w:trPr>
          <w:trHeight w:val="255"/>
        </w:trPr>
        <w:tc>
          <w:tcPr>
            <w:tcW w:w="2423" w:type="pct"/>
            <w:noWrap/>
            <w:hideMark/>
          </w:tcPr>
          <w:p w14:paraId="0A8042E9" w14:textId="77777777" w:rsidR="008F5CF8" w:rsidRPr="00CA4C14" w:rsidRDefault="008F5CF8" w:rsidP="006457E5">
            <w:pPr>
              <w:pStyle w:val="Tabletext"/>
              <w:rPr>
                <w:color w:val="000000"/>
                <w:lang w:val="ru-RU" w:eastAsia="en-GB"/>
              </w:rPr>
            </w:pPr>
            <w:r w:rsidRPr="00CA4C14">
              <w:rPr>
                <w:lang w:val="ru-RU" w:eastAsia="fr-FR"/>
              </w:rPr>
              <w:t>Прочие расходы</w:t>
            </w:r>
          </w:p>
        </w:tc>
        <w:tc>
          <w:tcPr>
            <w:tcW w:w="719" w:type="pct"/>
            <w:noWrap/>
            <w:hideMark/>
          </w:tcPr>
          <w:p w14:paraId="7593932C" w14:textId="77777777" w:rsidR="008F5CF8" w:rsidRPr="00CA4C14" w:rsidRDefault="008F5CF8" w:rsidP="00FA15F6">
            <w:pPr>
              <w:pStyle w:val="Tabletext"/>
              <w:jc w:val="center"/>
              <w:rPr>
                <w:color w:val="000000"/>
                <w:lang w:val="ru-RU" w:eastAsia="en-GB"/>
              </w:rPr>
            </w:pPr>
          </w:p>
        </w:tc>
        <w:tc>
          <w:tcPr>
            <w:tcW w:w="930" w:type="pct"/>
            <w:noWrap/>
            <w:vAlign w:val="bottom"/>
            <w:hideMark/>
          </w:tcPr>
          <w:p w14:paraId="3981F778" w14:textId="77777777" w:rsidR="008F5CF8" w:rsidRPr="00CA4C14" w:rsidRDefault="008F5CF8" w:rsidP="00FA15F6">
            <w:pPr>
              <w:pStyle w:val="Tabletext"/>
              <w:jc w:val="right"/>
              <w:rPr>
                <w:color w:val="000000"/>
                <w:lang w:val="ru-RU" w:eastAsia="en-GB"/>
              </w:rPr>
            </w:pPr>
            <w:r w:rsidRPr="00CA4C14">
              <w:rPr>
                <w:color w:val="000000"/>
                <w:lang w:val="ru-RU" w:eastAsia="en-GB"/>
              </w:rPr>
              <w:t>1 808</w:t>
            </w:r>
          </w:p>
        </w:tc>
        <w:tc>
          <w:tcPr>
            <w:tcW w:w="929" w:type="pct"/>
            <w:noWrap/>
            <w:vAlign w:val="bottom"/>
            <w:hideMark/>
          </w:tcPr>
          <w:p w14:paraId="49FF936E" w14:textId="77777777" w:rsidR="008F5CF8" w:rsidRPr="00CA4C14" w:rsidRDefault="008F5CF8" w:rsidP="00FA15F6">
            <w:pPr>
              <w:pStyle w:val="Tabletext"/>
              <w:jc w:val="right"/>
              <w:rPr>
                <w:color w:val="000000"/>
                <w:lang w:val="ru-RU" w:eastAsia="en-GB"/>
              </w:rPr>
            </w:pPr>
            <w:r w:rsidRPr="00CA4C14">
              <w:rPr>
                <w:color w:val="000000"/>
                <w:lang w:val="ru-RU" w:eastAsia="en-GB"/>
              </w:rPr>
              <w:t>122</w:t>
            </w:r>
          </w:p>
        </w:tc>
      </w:tr>
      <w:tr w:rsidR="006457E5" w:rsidRPr="00CA4C14" w14:paraId="5C0BE282" w14:textId="77777777" w:rsidTr="00FE0DEB">
        <w:trPr>
          <w:trHeight w:val="70"/>
        </w:trPr>
        <w:tc>
          <w:tcPr>
            <w:tcW w:w="2423" w:type="pct"/>
            <w:noWrap/>
          </w:tcPr>
          <w:p w14:paraId="11DEB060" w14:textId="77777777" w:rsidR="006457E5" w:rsidRPr="00CA4C14" w:rsidRDefault="006457E5" w:rsidP="006457E5">
            <w:pPr>
              <w:pStyle w:val="Tabletext"/>
              <w:spacing w:before="0" w:after="0"/>
              <w:rPr>
                <w:lang w:val="ru-RU" w:eastAsia="fr-FR"/>
              </w:rPr>
            </w:pPr>
          </w:p>
        </w:tc>
        <w:tc>
          <w:tcPr>
            <w:tcW w:w="719" w:type="pct"/>
            <w:noWrap/>
          </w:tcPr>
          <w:p w14:paraId="27211ABC" w14:textId="77777777" w:rsidR="006457E5" w:rsidRPr="00CA4C14" w:rsidRDefault="006457E5" w:rsidP="00FA15F6">
            <w:pPr>
              <w:pStyle w:val="Tabletext"/>
              <w:spacing w:before="0" w:after="0"/>
              <w:jc w:val="center"/>
              <w:rPr>
                <w:color w:val="000000"/>
                <w:lang w:val="ru-RU" w:eastAsia="en-GB"/>
              </w:rPr>
            </w:pPr>
          </w:p>
        </w:tc>
        <w:tc>
          <w:tcPr>
            <w:tcW w:w="930" w:type="pct"/>
            <w:noWrap/>
            <w:vAlign w:val="bottom"/>
          </w:tcPr>
          <w:p w14:paraId="3C0B5931" w14:textId="77777777" w:rsidR="006457E5" w:rsidRPr="00CA4C14" w:rsidRDefault="006457E5" w:rsidP="00FA15F6">
            <w:pPr>
              <w:pStyle w:val="Tabletext"/>
              <w:spacing w:before="0" w:after="0"/>
              <w:jc w:val="right"/>
              <w:rPr>
                <w:color w:val="000000"/>
                <w:lang w:val="ru-RU" w:eastAsia="en-GB"/>
              </w:rPr>
            </w:pPr>
          </w:p>
        </w:tc>
        <w:tc>
          <w:tcPr>
            <w:tcW w:w="929" w:type="pct"/>
            <w:noWrap/>
            <w:vAlign w:val="bottom"/>
          </w:tcPr>
          <w:p w14:paraId="1A697DCD" w14:textId="77777777" w:rsidR="006457E5" w:rsidRPr="00CA4C14" w:rsidRDefault="006457E5" w:rsidP="00FA15F6">
            <w:pPr>
              <w:pStyle w:val="Tabletext"/>
              <w:spacing w:before="0" w:after="0"/>
              <w:jc w:val="right"/>
              <w:rPr>
                <w:color w:val="000000"/>
                <w:lang w:val="ru-RU" w:eastAsia="en-GB"/>
              </w:rPr>
            </w:pPr>
          </w:p>
        </w:tc>
      </w:tr>
      <w:tr w:rsidR="008F5CF8" w:rsidRPr="00CA4C14" w14:paraId="58236D0D" w14:textId="77777777" w:rsidTr="00FE0DEB">
        <w:trPr>
          <w:trHeight w:val="289"/>
        </w:trPr>
        <w:tc>
          <w:tcPr>
            <w:tcW w:w="2423" w:type="pct"/>
            <w:noWrap/>
            <w:hideMark/>
          </w:tcPr>
          <w:p w14:paraId="139A68F4" w14:textId="77777777" w:rsidR="008F5CF8" w:rsidRPr="00CA4C14" w:rsidRDefault="008F5CF8" w:rsidP="006457E5">
            <w:pPr>
              <w:pStyle w:val="Tabletext"/>
              <w:rPr>
                <w:b/>
                <w:bCs/>
                <w:color w:val="000000"/>
                <w:lang w:val="ru-RU" w:eastAsia="en-GB"/>
              </w:rPr>
            </w:pPr>
            <w:r w:rsidRPr="00CA4C14">
              <w:rPr>
                <w:b/>
                <w:bCs/>
                <w:lang w:val="ru-RU" w:eastAsia="fr-FR"/>
              </w:rPr>
              <w:t>Всего: расходы</w:t>
            </w:r>
          </w:p>
        </w:tc>
        <w:tc>
          <w:tcPr>
            <w:tcW w:w="719" w:type="pct"/>
            <w:noWrap/>
            <w:hideMark/>
          </w:tcPr>
          <w:p w14:paraId="25B90DEB" w14:textId="77777777" w:rsidR="008F5CF8" w:rsidRPr="00CA4C14" w:rsidRDefault="008F5CF8" w:rsidP="00FA15F6">
            <w:pPr>
              <w:pStyle w:val="Tabletext"/>
              <w:jc w:val="center"/>
              <w:rPr>
                <w:b/>
                <w:bCs/>
                <w:color w:val="000000"/>
                <w:lang w:val="ru-RU" w:eastAsia="en-GB"/>
              </w:rPr>
            </w:pPr>
          </w:p>
        </w:tc>
        <w:tc>
          <w:tcPr>
            <w:tcW w:w="930" w:type="pct"/>
            <w:noWrap/>
            <w:vAlign w:val="bottom"/>
            <w:hideMark/>
          </w:tcPr>
          <w:p w14:paraId="4757A977" w14:textId="77777777" w:rsidR="008F5CF8" w:rsidRPr="00CA4C14" w:rsidRDefault="008F5CF8" w:rsidP="00FA15F6">
            <w:pPr>
              <w:pStyle w:val="Tabletext"/>
              <w:jc w:val="right"/>
              <w:rPr>
                <w:b/>
                <w:bCs/>
                <w:color w:val="000000"/>
                <w:lang w:val="ru-RU" w:eastAsia="en-GB"/>
              </w:rPr>
            </w:pPr>
            <w:r w:rsidRPr="00CA4C14">
              <w:rPr>
                <w:b/>
                <w:bCs/>
                <w:color w:val="000000"/>
                <w:lang w:val="ru-RU" w:eastAsia="en-GB"/>
              </w:rPr>
              <w:t>197 161</w:t>
            </w:r>
          </w:p>
        </w:tc>
        <w:tc>
          <w:tcPr>
            <w:tcW w:w="929" w:type="pct"/>
            <w:noWrap/>
            <w:vAlign w:val="bottom"/>
            <w:hideMark/>
          </w:tcPr>
          <w:p w14:paraId="090D23CF" w14:textId="77777777" w:rsidR="008F5CF8" w:rsidRPr="00CA4C14" w:rsidRDefault="008F5CF8" w:rsidP="00FA15F6">
            <w:pPr>
              <w:pStyle w:val="Tabletext"/>
              <w:jc w:val="right"/>
              <w:rPr>
                <w:b/>
                <w:bCs/>
                <w:color w:val="000000"/>
                <w:lang w:val="ru-RU" w:eastAsia="en-GB"/>
              </w:rPr>
            </w:pPr>
            <w:r w:rsidRPr="00CA4C14">
              <w:rPr>
                <w:b/>
                <w:bCs/>
                <w:color w:val="000000"/>
                <w:lang w:val="ru-RU" w:eastAsia="en-GB"/>
              </w:rPr>
              <w:t>196 805</w:t>
            </w:r>
          </w:p>
        </w:tc>
      </w:tr>
      <w:tr w:rsidR="008F5CF8" w:rsidRPr="00CA4C14" w14:paraId="6AC83E70" w14:textId="77777777" w:rsidTr="00FE0DEB">
        <w:trPr>
          <w:trHeight w:val="289"/>
        </w:trPr>
        <w:tc>
          <w:tcPr>
            <w:tcW w:w="2423" w:type="pct"/>
            <w:noWrap/>
            <w:hideMark/>
          </w:tcPr>
          <w:p w14:paraId="621B760B" w14:textId="528B325E" w:rsidR="008F5CF8" w:rsidRPr="00CA4C14" w:rsidRDefault="008F5CF8" w:rsidP="006457E5">
            <w:pPr>
              <w:pStyle w:val="Tabletext"/>
              <w:rPr>
                <w:color w:val="000000"/>
                <w:lang w:val="ru-RU" w:eastAsia="en-GB"/>
              </w:rPr>
            </w:pPr>
            <w:r w:rsidRPr="00CA4C14">
              <w:rPr>
                <w:lang w:val="ru-RU" w:eastAsia="en-GB"/>
              </w:rPr>
              <w:t>Финансовые доходы/(затраты)</w:t>
            </w:r>
          </w:p>
        </w:tc>
        <w:tc>
          <w:tcPr>
            <w:tcW w:w="719" w:type="pct"/>
            <w:noWrap/>
            <w:hideMark/>
          </w:tcPr>
          <w:p w14:paraId="528C7A88" w14:textId="77777777" w:rsidR="008F5CF8" w:rsidRPr="00CA4C14" w:rsidRDefault="008F5CF8" w:rsidP="00FA15F6">
            <w:pPr>
              <w:pStyle w:val="Tabletext"/>
              <w:jc w:val="center"/>
              <w:rPr>
                <w:color w:val="000000"/>
                <w:lang w:val="ru-RU" w:eastAsia="en-GB"/>
              </w:rPr>
            </w:pPr>
            <w:r w:rsidRPr="00CA4C14">
              <w:rPr>
                <w:color w:val="000000"/>
                <w:lang w:val="ru-RU" w:eastAsia="en-GB"/>
              </w:rPr>
              <w:t>21</w:t>
            </w:r>
          </w:p>
        </w:tc>
        <w:tc>
          <w:tcPr>
            <w:tcW w:w="930" w:type="pct"/>
            <w:noWrap/>
            <w:vAlign w:val="bottom"/>
            <w:hideMark/>
          </w:tcPr>
          <w:p w14:paraId="72459AE1" w14:textId="77777777" w:rsidR="008F5CF8" w:rsidRPr="00CA4C14" w:rsidRDefault="008F5CF8" w:rsidP="00FA15F6">
            <w:pPr>
              <w:pStyle w:val="Tabletext"/>
              <w:jc w:val="right"/>
              <w:rPr>
                <w:color w:val="000000"/>
                <w:lang w:val="ru-RU" w:eastAsia="en-GB"/>
              </w:rPr>
            </w:pPr>
            <w:r w:rsidRPr="00CA4C14">
              <w:rPr>
                <w:color w:val="000000"/>
                <w:lang w:val="ru-RU" w:eastAsia="en-GB"/>
              </w:rPr>
              <w:t>(8 272)</w:t>
            </w:r>
          </w:p>
        </w:tc>
        <w:tc>
          <w:tcPr>
            <w:tcW w:w="929" w:type="pct"/>
            <w:noWrap/>
            <w:vAlign w:val="bottom"/>
            <w:hideMark/>
          </w:tcPr>
          <w:p w14:paraId="7353A405" w14:textId="77777777" w:rsidR="008F5CF8" w:rsidRPr="00CA4C14" w:rsidRDefault="008F5CF8" w:rsidP="00FA15F6">
            <w:pPr>
              <w:pStyle w:val="Tabletext"/>
              <w:jc w:val="right"/>
              <w:rPr>
                <w:color w:val="000000"/>
                <w:lang w:val="ru-RU" w:eastAsia="en-GB"/>
              </w:rPr>
            </w:pPr>
            <w:r w:rsidRPr="00CA4C14">
              <w:rPr>
                <w:color w:val="000000"/>
                <w:lang w:val="ru-RU" w:eastAsia="en-GB"/>
              </w:rPr>
              <w:t>6 489</w:t>
            </w:r>
          </w:p>
        </w:tc>
      </w:tr>
      <w:tr w:rsidR="008F5CF8" w:rsidRPr="00CA4C14" w14:paraId="0FA51607" w14:textId="77777777" w:rsidTr="00FE0DEB">
        <w:trPr>
          <w:trHeight w:val="441"/>
        </w:trPr>
        <w:tc>
          <w:tcPr>
            <w:tcW w:w="2423" w:type="pct"/>
            <w:shd w:val="clear" w:color="auto" w:fill="0070C0"/>
            <w:noWrap/>
            <w:vAlign w:val="center"/>
            <w:hideMark/>
          </w:tcPr>
          <w:p w14:paraId="2248D711" w14:textId="77777777" w:rsidR="008F5CF8" w:rsidRPr="00CA4C14" w:rsidRDefault="008F5CF8" w:rsidP="00CA2D5D">
            <w:pPr>
              <w:pStyle w:val="Tabletext"/>
              <w:rPr>
                <w:b/>
                <w:bCs/>
                <w:color w:val="000000"/>
                <w:lang w:val="ru-RU" w:eastAsia="en-GB"/>
              </w:rPr>
            </w:pPr>
            <w:r w:rsidRPr="00CA4C14">
              <w:rPr>
                <w:b/>
                <w:bCs/>
                <w:lang w:val="ru-RU" w:eastAsia="fr-FR"/>
              </w:rPr>
              <w:t>Активное сальдо/(дефицит) за финансовый период</w:t>
            </w:r>
          </w:p>
        </w:tc>
        <w:tc>
          <w:tcPr>
            <w:tcW w:w="719" w:type="pct"/>
            <w:shd w:val="clear" w:color="auto" w:fill="0070C0"/>
            <w:noWrap/>
            <w:hideMark/>
          </w:tcPr>
          <w:p w14:paraId="5F6F599A" w14:textId="77777777" w:rsidR="008F5CF8" w:rsidRPr="00CA4C14" w:rsidRDefault="008F5CF8" w:rsidP="00FA15F6">
            <w:pPr>
              <w:pStyle w:val="Tabletext"/>
              <w:jc w:val="center"/>
              <w:rPr>
                <w:b/>
                <w:bCs/>
                <w:color w:val="000000"/>
                <w:lang w:val="ru-RU" w:eastAsia="en-GB"/>
              </w:rPr>
            </w:pPr>
          </w:p>
        </w:tc>
        <w:tc>
          <w:tcPr>
            <w:tcW w:w="930" w:type="pct"/>
            <w:shd w:val="clear" w:color="auto" w:fill="0070C0"/>
            <w:noWrap/>
            <w:vAlign w:val="center"/>
            <w:hideMark/>
          </w:tcPr>
          <w:p w14:paraId="4DCD4C26" w14:textId="77777777" w:rsidR="008F5CF8" w:rsidRPr="00CA4C14" w:rsidRDefault="008F5CF8" w:rsidP="00FA15F6">
            <w:pPr>
              <w:pStyle w:val="Tabletext"/>
              <w:jc w:val="right"/>
              <w:rPr>
                <w:b/>
                <w:bCs/>
                <w:color w:val="000000"/>
                <w:lang w:val="ru-RU" w:eastAsia="en-GB"/>
              </w:rPr>
            </w:pPr>
            <w:r w:rsidRPr="00CA4C14">
              <w:rPr>
                <w:b/>
                <w:bCs/>
                <w:color w:val="000000"/>
                <w:lang w:val="ru-RU" w:eastAsia="en-GB"/>
              </w:rPr>
              <w:t>(24 774)</w:t>
            </w:r>
          </w:p>
        </w:tc>
        <w:tc>
          <w:tcPr>
            <w:tcW w:w="929" w:type="pct"/>
            <w:shd w:val="clear" w:color="auto" w:fill="0070C0"/>
            <w:noWrap/>
            <w:vAlign w:val="center"/>
            <w:hideMark/>
          </w:tcPr>
          <w:p w14:paraId="57EF3A86" w14:textId="77777777" w:rsidR="008F5CF8" w:rsidRPr="00CA4C14" w:rsidRDefault="008F5CF8" w:rsidP="00FA15F6">
            <w:pPr>
              <w:pStyle w:val="Tabletext"/>
              <w:jc w:val="right"/>
              <w:rPr>
                <w:b/>
                <w:bCs/>
                <w:color w:val="000000"/>
                <w:lang w:val="ru-RU" w:eastAsia="en-GB"/>
              </w:rPr>
            </w:pPr>
            <w:r w:rsidRPr="00CA4C14">
              <w:rPr>
                <w:b/>
                <w:bCs/>
                <w:color w:val="000000"/>
                <w:lang w:val="ru-RU" w:eastAsia="en-GB"/>
              </w:rPr>
              <w:t>(18 266)</w:t>
            </w:r>
          </w:p>
        </w:tc>
      </w:tr>
    </w:tbl>
    <w:p w14:paraId="4B4ABADF" w14:textId="77777777" w:rsidR="008F5CF8" w:rsidRPr="00CA4C14" w:rsidRDefault="008F5CF8" w:rsidP="00FA15F6">
      <w:pPr>
        <w:rPr>
          <w:lang w:val="ru-RU"/>
        </w:rPr>
      </w:pPr>
      <w:r w:rsidRPr="00CA4C14">
        <w:rPr>
          <w:lang w:val="ru-RU"/>
        </w:rPr>
        <w:br w:type="page"/>
      </w:r>
    </w:p>
    <w:p w14:paraId="0CEFDCEC" w14:textId="77777777" w:rsidR="008F5CF8" w:rsidRPr="00CA4C14" w:rsidRDefault="008F5CF8" w:rsidP="005E266A">
      <w:pPr>
        <w:pStyle w:val="Annextitle"/>
        <w:jc w:val="left"/>
        <w:rPr>
          <w:color w:val="0070C0"/>
          <w:w w:val="105"/>
          <w:lang w:val="ru-RU"/>
        </w:rPr>
      </w:pPr>
      <w:bookmarkStart w:id="73" w:name="lt_pId311"/>
      <w:bookmarkStart w:id="74" w:name="_Toc168578446"/>
      <w:r w:rsidRPr="00CA4C14">
        <w:rPr>
          <w:color w:val="0070C0"/>
          <w:w w:val="105"/>
          <w:lang w:val="ru-RU"/>
        </w:rPr>
        <w:lastRenderedPageBreak/>
        <w:t xml:space="preserve">Отчет III: </w:t>
      </w:r>
      <w:bookmarkEnd w:id="73"/>
      <w:r w:rsidRPr="00CA4C14">
        <w:rPr>
          <w:color w:val="0070C0"/>
          <w:w w:val="105"/>
          <w:lang w:val="ru-RU"/>
        </w:rPr>
        <w:t>Отчет об изменениях в чистых активах</w:t>
      </w:r>
      <w:bookmarkEnd w:id="74"/>
    </w:p>
    <w:p w14:paraId="68FB1064" w14:textId="77777777" w:rsidR="008F5CF8" w:rsidRPr="00CA4C14" w:rsidRDefault="008F5CF8" w:rsidP="00852122">
      <w:pPr>
        <w:rPr>
          <w:lang w:val="ru-RU"/>
        </w:rPr>
      </w:pPr>
      <w:r w:rsidRPr="00CA4C14">
        <w:rPr>
          <w:lang w:val="ru-RU"/>
        </w:rPr>
        <w:t>За год, завершившийся 31 декабря 2023 года</w:t>
      </w:r>
    </w:p>
    <w:p w14:paraId="02B0B130" w14:textId="00EBBC23" w:rsidR="008F5CF8" w:rsidRPr="00CA4C14" w:rsidRDefault="008F5CF8" w:rsidP="00852122">
      <w:pPr>
        <w:spacing w:after="120"/>
        <w:rPr>
          <w:sz w:val="24"/>
          <w:szCs w:val="24"/>
          <w:lang w:val="ru-RU"/>
        </w:rPr>
      </w:pPr>
      <w:r w:rsidRPr="00CA4C14">
        <w:rPr>
          <w:lang w:val="ru-RU"/>
        </w:rPr>
        <w:t>(</w:t>
      </w:r>
      <w:r w:rsidR="005F20DB" w:rsidRPr="00CA4C14">
        <w:rPr>
          <w:lang w:val="ru-RU"/>
        </w:rPr>
        <w:t>В</w:t>
      </w:r>
      <w:r w:rsidRPr="00CA4C14">
        <w:rPr>
          <w:lang w:val="ru-RU"/>
        </w:rPr>
        <w:t xml:space="preserve"> тыс. шв</w:t>
      </w:r>
      <w:r w:rsidR="005F20DB" w:rsidRPr="00CA4C14">
        <w:rPr>
          <w:lang w:val="ru-RU"/>
        </w:rPr>
        <w:t>.</w:t>
      </w:r>
      <w:r w:rsidRPr="00CA4C14">
        <w:rPr>
          <w:lang w:val="ru-RU"/>
        </w:rPr>
        <w:t xml:space="preserve"> фр</w:t>
      </w:r>
      <w:r w:rsidR="005F20DB" w:rsidRPr="00CA4C14">
        <w:rPr>
          <w:lang w:val="ru-RU"/>
        </w:rPr>
        <w:t>.</w:t>
      </w:r>
      <w:r w:rsidRPr="00CA4C14">
        <w:rPr>
          <w:lang w:val="ru-RU"/>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1132"/>
        <w:gridCol w:w="1132"/>
        <w:gridCol w:w="1132"/>
        <w:gridCol w:w="1134"/>
        <w:gridCol w:w="1246"/>
        <w:gridCol w:w="1103"/>
      </w:tblGrid>
      <w:tr w:rsidR="00FE0DEB" w:rsidRPr="00CA4C14" w14:paraId="6DE0AD0C" w14:textId="77777777" w:rsidTr="00FE0DEB">
        <w:trPr>
          <w:trHeight w:val="960"/>
        </w:trPr>
        <w:tc>
          <w:tcPr>
            <w:tcW w:w="1208" w:type="pct"/>
            <w:shd w:val="clear" w:color="auto" w:fill="0070C0"/>
            <w:noWrap/>
            <w:vAlign w:val="center"/>
            <w:hideMark/>
          </w:tcPr>
          <w:p w14:paraId="4F8A1E48" w14:textId="77777777" w:rsidR="008F5CF8" w:rsidRPr="00CA4C14" w:rsidRDefault="008F5CF8" w:rsidP="00FE0DEB">
            <w:pPr>
              <w:pStyle w:val="Tablehead"/>
              <w:ind w:left="-57" w:right="-57"/>
              <w:rPr>
                <w:bCs/>
                <w:lang w:val="ru-RU"/>
              </w:rPr>
            </w:pPr>
            <w:r w:rsidRPr="00CA4C14">
              <w:rPr>
                <w:lang w:val="ru-RU"/>
              </w:rPr>
              <w:t>Описание</w:t>
            </w:r>
          </w:p>
        </w:tc>
        <w:tc>
          <w:tcPr>
            <w:tcW w:w="624" w:type="pct"/>
            <w:shd w:val="clear" w:color="auto" w:fill="0070C0"/>
            <w:vAlign w:val="center"/>
            <w:hideMark/>
          </w:tcPr>
          <w:p w14:paraId="00B89192" w14:textId="77777777" w:rsidR="008F5CF8" w:rsidRPr="00CA4C14" w:rsidRDefault="008F5CF8" w:rsidP="00FE0DEB">
            <w:pPr>
              <w:pStyle w:val="Tablehead"/>
              <w:ind w:left="-57" w:right="-57"/>
              <w:rPr>
                <w:bCs/>
                <w:lang w:val="ru-RU"/>
              </w:rPr>
            </w:pPr>
            <w:r w:rsidRPr="00CA4C14">
              <w:rPr>
                <w:lang w:val="ru-RU"/>
              </w:rPr>
              <w:t>Резервный счет МСЭ</w:t>
            </w:r>
          </w:p>
        </w:tc>
        <w:tc>
          <w:tcPr>
            <w:tcW w:w="624" w:type="pct"/>
            <w:shd w:val="clear" w:color="auto" w:fill="0070C0"/>
            <w:vAlign w:val="center"/>
            <w:hideMark/>
          </w:tcPr>
          <w:p w14:paraId="43B53740" w14:textId="77777777" w:rsidR="008F5CF8" w:rsidRPr="00CA4C14" w:rsidRDefault="008F5CF8" w:rsidP="00FE0DEB">
            <w:pPr>
              <w:pStyle w:val="Tablehead"/>
              <w:ind w:left="-57" w:right="-57"/>
              <w:rPr>
                <w:bCs/>
                <w:lang w:val="ru-RU"/>
              </w:rPr>
            </w:pPr>
            <w:r w:rsidRPr="00CA4C14">
              <w:rPr>
                <w:lang w:val="ru-RU"/>
              </w:rPr>
              <w:t>Прочие резервы и фонды</w:t>
            </w:r>
          </w:p>
        </w:tc>
        <w:tc>
          <w:tcPr>
            <w:tcW w:w="624" w:type="pct"/>
            <w:shd w:val="clear" w:color="auto" w:fill="0070C0"/>
            <w:vAlign w:val="center"/>
            <w:hideMark/>
          </w:tcPr>
          <w:p w14:paraId="1A156859" w14:textId="305E2003" w:rsidR="008F5CF8" w:rsidRPr="00CA4C14" w:rsidRDefault="008F5CF8" w:rsidP="00FE0DEB">
            <w:pPr>
              <w:pStyle w:val="Tablehead"/>
              <w:ind w:left="-57" w:right="-57"/>
              <w:rPr>
                <w:bCs/>
                <w:lang w:val="ru-RU"/>
              </w:rPr>
            </w:pPr>
            <w:proofErr w:type="spellStart"/>
            <w:r w:rsidRPr="00CA4C14">
              <w:rPr>
                <w:lang w:val="ru-RU"/>
              </w:rPr>
              <w:t>Внебюджет</w:t>
            </w:r>
            <w:r w:rsidR="00FE0DEB" w:rsidRPr="00CA4C14">
              <w:rPr>
                <w:lang w:val="ru-RU"/>
              </w:rPr>
              <w:t>-</w:t>
            </w:r>
            <w:r w:rsidRPr="00CA4C14">
              <w:rPr>
                <w:lang w:val="ru-RU"/>
              </w:rPr>
              <w:t>ные</w:t>
            </w:r>
            <w:proofErr w:type="spellEnd"/>
            <w:r w:rsidRPr="00CA4C14">
              <w:rPr>
                <w:lang w:val="ru-RU"/>
              </w:rPr>
              <w:t xml:space="preserve"> </w:t>
            </w:r>
            <w:r w:rsidR="00FE0DEB" w:rsidRPr="00CA4C14">
              <w:rPr>
                <w:lang w:val="ru-RU"/>
              </w:rPr>
              <w:br/>
            </w:r>
            <w:r w:rsidRPr="00CA4C14">
              <w:rPr>
                <w:lang w:val="ru-RU"/>
              </w:rPr>
              <w:t>резервы</w:t>
            </w:r>
          </w:p>
        </w:tc>
        <w:tc>
          <w:tcPr>
            <w:tcW w:w="625" w:type="pct"/>
            <w:shd w:val="clear" w:color="auto" w:fill="0070C0"/>
            <w:vAlign w:val="center"/>
            <w:hideMark/>
          </w:tcPr>
          <w:p w14:paraId="4250D1F5" w14:textId="77777777" w:rsidR="008F5CF8" w:rsidRPr="00CA4C14" w:rsidRDefault="008F5CF8" w:rsidP="00FE0DEB">
            <w:pPr>
              <w:pStyle w:val="Tablehead"/>
              <w:ind w:left="-57" w:right="-57"/>
              <w:rPr>
                <w:bCs/>
                <w:lang w:val="ru-RU"/>
              </w:rPr>
            </w:pPr>
            <w:r w:rsidRPr="00CA4C14">
              <w:rPr>
                <w:lang w:val="ru-RU" w:eastAsia="en-GB"/>
              </w:rPr>
              <w:t>Актуарные прибыли/</w:t>
            </w:r>
            <w:r w:rsidRPr="00CA4C14">
              <w:rPr>
                <w:lang w:val="ru-RU" w:eastAsia="en-GB"/>
              </w:rPr>
              <w:br/>
              <w:t>(потери) АСХИ</w:t>
            </w:r>
          </w:p>
        </w:tc>
        <w:tc>
          <w:tcPr>
            <w:tcW w:w="687" w:type="pct"/>
            <w:shd w:val="clear" w:color="auto" w:fill="0070C0"/>
            <w:vAlign w:val="center"/>
            <w:hideMark/>
          </w:tcPr>
          <w:p w14:paraId="3193839D" w14:textId="77777777" w:rsidR="008F5CF8" w:rsidRPr="00CA4C14" w:rsidRDefault="008F5CF8" w:rsidP="00FE0DEB">
            <w:pPr>
              <w:pStyle w:val="Tablehead"/>
              <w:ind w:left="-57" w:right="-57"/>
              <w:rPr>
                <w:bCs/>
                <w:lang w:val="ru-RU"/>
              </w:rPr>
            </w:pPr>
            <w:r w:rsidRPr="00CA4C14">
              <w:rPr>
                <w:lang w:val="ru-RU" w:eastAsia="en-GB"/>
              </w:rPr>
              <w:t>Накопленное активное сальдо/</w:t>
            </w:r>
            <w:r w:rsidRPr="00CA4C14">
              <w:rPr>
                <w:lang w:val="ru-RU" w:eastAsia="en-GB"/>
              </w:rPr>
              <w:br/>
              <w:t>(дефицит)</w:t>
            </w:r>
          </w:p>
        </w:tc>
        <w:tc>
          <w:tcPr>
            <w:tcW w:w="609" w:type="pct"/>
            <w:shd w:val="clear" w:color="auto" w:fill="0070C0"/>
            <w:vAlign w:val="center"/>
            <w:hideMark/>
          </w:tcPr>
          <w:p w14:paraId="032CEF30" w14:textId="77777777" w:rsidR="008F5CF8" w:rsidRPr="00CA4C14" w:rsidRDefault="008F5CF8" w:rsidP="00FE0DEB">
            <w:pPr>
              <w:pStyle w:val="Tablehead"/>
              <w:ind w:left="-57" w:right="-57"/>
              <w:rPr>
                <w:bCs/>
                <w:lang w:val="ru-RU"/>
              </w:rPr>
            </w:pPr>
            <w:r w:rsidRPr="00CA4C14">
              <w:rPr>
                <w:lang w:val="ru-RU" w:eastAsia="en-GB"/>
              </w:rPr>
              <w:t>Общие чистые активы</w:t>
            </w:r>
          </w:p>
        </w:tc>
      </w:tr>
      <w:tr w:rsidR="00FE0DEB" w:rsidRPr="00CA4C14" w14:paraId="372D0531" w14:textId="77777777" w:rsidTr="00FE0DEB">
        <w:trPr>
          <w:trHeight w:val="529"/>
        </w:trPr>
        <w:tc>
          <w:tcPr>
            <w:tcW w:w="1208" w:type="pct"/>
            <w:shd w:val="clear" w:color="auto" w:fill="B8CCE4" w:themeFill="accent1" w:themeFillTint="66"/>
            <w:hideMark/>
          </w:tcPr>
          <w:p w14:paraId="5F5B906F" w14:textId="77777777" w:rsidR="008F5CF8" w:rsidRPr="00CA4C14" w:rsidRDefault="008F5CF8" w:rsidP="00FA15F6">
            <w:pPr>
              <w:pStyle w:val="Tabletext"/>
              <w:rPr>
                <w:b/>
                <w:bCs/>
                <w:lang w:val="ru-RU"/>
              </w:rPr>
            </w:pPr>
            <w:r w:rsidRPr="00CA4C14">
              <w:rPr>
                <w:b/>
                <w:bCs/>
                <w:lang w:val="ru-RU"/>
              </w:rPr>
              <w:t>31 декабря 2021 г. (</w:t>
            </w:r>
            <w:r w:rsidRPr="00CA4C14">
              <w:rPr>
                <w:b/>
                <w:bCs/>
                <w:lang w:val="ru-RU" w:eastAsia="en-GB"/>
              </w:rPr>
              <w:t>пересчитанные</w:t>
            </w:r>
            <w:r w:rsidRPr="00CA4C14">
              <w:rPr>
                <w:b/>
                <w:bCs/>
                <w:lang w:val="ru-RU"/>
              </w:rPr>
              <w:t>)</w:t>
            </w:r>
          </w:p>
        </w:tc>
        <w:tc>
          <w:tcPr>
            <w:tcW w:w="624" w:type="pct"/>
            <w:shd w:val="clear" w:color="auto" w:fill="B8CCE4" w:themeFill="accent1" w:themeFillTint="66"/>
            <w:noWrap/>
            <w:vAlign w:val="bottom"/>
            <w:hideMark/>
          </w:tcPr>
          <w:p w14:paraId="56C0D275"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29 388</w:t>
            </w:r>
          </w:p>
        </w:tc>
        <w:tc>
          <w:tcPr>
            <w:tcW w:w="624" w:type="pct"/>
            <w:shd w:val="clear" w:color="auto" w:fill="B8CCE4" w:themeFill="accent1" w:themeFillTint="66"/>
            <w:noWrap/>
            <w:vAlign w:val="bottom"/>
            <w:hideMark/>
          </w:tcPr>
          <w:p w14:paraId="3E56AE11"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68 063</w:t>
            </w:r>
          </w:p>
        </w:tc>
        <w:tc>
          <w:tcPr>
            <w:tcW w:w="624" w:type="pct"/>
            <w:shd w:val="clear" w:color="auto" w:fill="B8CCE4" w:themeFill="accent1" w:themeFillTint="66"/>
            <w:noWrap/>
            <w:vAlign w:val="bottom"/>
            <w:hideMark/>
          </w:tcPr>
          <w:p w14:paraId="1E609AAB"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16 621</w:t>
            </w:r>
          </w:p>
        </w:tc>
        <w:tc>
          <w:tcPr>
            <w:tcW w:w="625" w:type="pct"/>
            <w:shd w:val="clear" w:color="auto" w:fill="B8CCE4" w:themeFill="accent1" w:themeFillTint="66"/>
            <w:noWrap/>
            <w:vAlign w:val="bottom"/>
            <w:hideMark/>
          </w:tcPr>
          <w:p w14:paraId="7B1A5973"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(164 075)</w:t>
            </w:r>
          </w:p>
        </w:tc>
        <w:tc>
          <w:tcPr>
            <w:tcW w:w="687" w:type="pct"/>
            <w:shd w:val="clear" w:color="auto" w:fill="B8CCE4" w:themeFill="accent1" w:themeFillTint="66"/>
            <w:noWrap/>
            <w:vAlign w:val="bottom"/>
            <w:hideMark/>
          </w:tcPr>
          <w:p w14:paraId="3CE68DFC"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(360 781)</w:t>
            </w:r>
          </w:p>
        </w:tc>
        <w:tc>
          <w:tcPr>
            <w:tcW w:w="609" w:type="pct"/>
            <w:shd w:val="clear" w:color="auto" w:fill="B8CCE4" w:themeFill="accent1" w:themeFillTint="66"/>
            <w:noWrap/>
            <w:vAlign w:val="bottom"/>
            <w:hideMark/>
          </w:tcPr>
          <w:p w14:paraId="73E1C41A"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(410 784)</w:t>
            </w:r>
          </w:p>
        </w:tc>
      </w:tr>
      <w:tr w:rsidR="008F5CF8" w:rsidRPr="00CA4C14" w14:paraId="4ED6009A" w14:textId="77777777" w:rsidTr="00FE0DEB">
        <w:trPr>
          <w:trHeight w:val="510"/>
        </w:trPr>
        <w:tc>
          <w:tcPr>
            <w:tcW w:w="1208" w:type="pct"/>
            <w:hideMark/>
          </w:tcPr>
          <w:p w14:paraId="552D0A6E" w14:textId="2DB3BBCE" w:rsidR="008F5CF8" w:rsidRPr="00CA4C14" w:rsidRDefault="008F5CF8" w:rsidP="00FA15F6">
            <w:pPr>
              <w:pStyle w:val="Tabletext"/>
              <w:rPr>
                <w:lang w:val="ru-RU"/>
              </w:rPr>
            </w:pPr>
            <w:r w:rsidRPr="00CA4C14">
              <w:rPr>
                <w:lang w:val="ru-RU" w:eastAsia="en-GB"/>
              </w:rPr>
              <w:t>Активное сальдо/</w:t>
            </w:r>
            <w:r w:rsidR="00EA5D58" w:rsidRPr="00CA4C14">
              <w:rPr>
                <w:lang w:val="ru-RU" w:eastAsia="en-GB"/>
              </w:rPr>
              <w:br/>
            </w:r>
            <w:r w:rsidRPr="00CA4C14">
              <w:rPr>
                <w:lang w:val="ru-RU" w:eastAsia="en-GB"/>
              </w:rPr>
              <w:t>(дефицит) за 2022 г. (пересчитанные)</w:t>
            </w:r>
          </w:p>
        </w:tc>
        <w:tc>
          <w:tcPr>
            <w:tcW w:w="624" w:type="pct"/>
            <w:noWrap/>
            <w:vAlign w:val="bottom"/>
            <w:hideMark/>
          </w:tcPr>
          <w:p w14:paraId="3BF611CD" w14:textId="77777777" w:rsidR="008F5CF8" w:rsidRPr="00CA4C14" w:rsidRDefault="008F5CF8" w:rsidP="00FA15F6">
            <w:pPr>
              <w:pStyle w:val="Tabletext"/>
              <w:jc w:val="right"/>
              <w:rPr>
                <w:color w:val="000000"/>
                <w:szCs w:val="18"/>
                <w:lang w:val="ru-RU" w:eastAsia="en-GB"/>
              </w:rPr>
            </w:pPr>
          </w:p>
        </w:tc>
        <w:tc>
          <w:tcPr>
            <w:tcW w:w="624" w:type="pct"/>
            <w:noWrap/>
            <w:vAlign w:val="bottom"/>
            <w:hideMark/>
          </w:tcPr>
          <w:p w14:paraId="6A15B844"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(4 440)</w:t>
            </w:r>
          </w:p>
        </w:tc>
        <w:tc>
          <w:tcPr>
            <w:tcW w:w="624" w:type="pct"/>
            <w:noWrap/>
            <w:vAlign w:val="bottom"/>
            <w:hideMark/>
          </w:tcPr>
          <w:p w14:paraId="5E4AFDE4"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(2 886)</w:t>
            </w:r>
          </w:p>
        </w:tc>
        <w:tc>
          <w:tcPr>
            <w:tcW w:w="625" w:type="pct"/>
            <w:noWrap/>
            <w:vAlign w:val="bottom"/>
            <w:hideMark/>
          </w:tcPr>
          <w:p w14:paraId="7DFAF0F6" w14:textId="77777777" w:rsidR="008F5CF8" w:rsidRPr="00CA4C14" w:rsidRDefault="008F5CF8" w:rsidP="00FA15F6">
            <w:pPr>
              <w:pStyle w:val="Tabletext"/>
              <w:jc w:val="right"/>
              <w:rPr>
                <w:color w:val="000000"/>
                <w:szCs w:val="18"/>
                <w:lang w:val="ru-RU" w:eastAsia="en-GB"/>
              </w:rPr>
            </w:pPr>
          </w:p>
        </w:tc>
        <w:tc>
          <w:tcPr>
            <w:tcW w:w="687" w:type="pct"/>
            <w:noWrap/>
            <w:vAlign w:val="bottom"/>
            <w:hideMark/>
          </w:tcPr>
          <w:p w14:paraId="1EFB051B"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(10 941)</w:t>
            </w:r>
          </w:p>
        </w:tc>
        <w:tc>
          <w:tcPr>
            <w:tcW w:w="609" w:type="pct"/>
            <w:noWrap/>
            <w:vAlign w:val="bottom"/>
            <w:hideMark/>
          </w:tcPr>
          <w:p w14:paraId="1EFF9A7A"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(18 267)</w:t>
            </w:r>
          </w:p>
        </w:tc>
      </w:tr>
      <w:tr w:rsidR="008F5CF8" w:rsidRPr="00CA4C14" w14:paraId="391D0742" w14:textId="77777777" w:rsidTr="00FE0DEB">
        <w:trPr>
          <w:trHeight w:val="360"/>
        </w:trPr>
        <w:tc>
          <w:tcPr>
            <w:tcW w:w="1208" w:type="pct"/>
            <w:hideMark/>
          </w:tcPr>
          <w:p w14:paraId="02E1FC53" w14:textId="77777777" w:rsidR="008F5CF8" w:rsidRPr="00CA4C14" w:rsidRDefault="008F5CF8" w:rsidP="00FA15F6">
            <w:pPr>
              <w:pStyle w:val="Tabletext"/>
              <w:rPr>
                <w:lang w:val="ru-RU"/>
              </w:rPr>
            </w:pPr>
            <w:r w:rsidRPr="00CA4C14">
              <w:rPr>
                <w:lang w:val="ru-RU" w:eastAsia="en-GB"/>
              </w:rPr>
              <w:t>Другие корректировки</w:t>
            </w:r>
          </w:p>
        </w:tc>
        <w:tc>
          <w:tcPr>
            <w:tcW w:w="624" w:type="pct"/>
            <w:noWrap/>
            <w:vAlign w:val="bottom"/>
            <w:hideMark/>
          </w:tcPr>
          <w:p w14:paraId="3299B09A"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(1 000)</w:t>
            </w:r>
          </w:p>
        </w:tc>
        <w:tc>
          <w:tcPr>
            <w:tcW w:w="624" w:type="pct"/>
            <w:noWrap/>
            <w:vAlign w:val="bottom"/>
            <w:hideMark/>
          </w:tcPr>
          <w:p w14:paraId="4D18E37B"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699</w:t>
            </w:r>
          </w:p>
        </w:tc>
        <w:tc>
          <w:tcPr>
            <w:tcW w:w="624" w:type="pct"/>
            <w:noWrap/>
            <w:vAlign w:val="bottom"/>
            <w:hideMark/>
          </w:tcPr>
          <w:p w14:paraId="4EDBC6DD"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301</w:t>
            </w:r>
          </w:p>
        </w:tc>
        <w:tc>
          <w:tcPr>
            <w:tcW w:w="625" w:type="pct"/>
            <w:noWrap/>
            <w:vAlign w:val="bottom"/>
            <w:hideMark/>
          </w:tcPr>
          <w:p w14:paraId="6068FCAD"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215 510</w:t>
            </w:r>
          </w:p>
        </w:tc>
        <w:tc>
          <w:tcPr>
            <w:tcW w:w="687" w:type="pct"/>
            <w:noWrap/>
            <w:vAlign w:val="bottom"/>
            <w:hideMark/>
          </w:tcPr>
          <w:p w14:paraId="36B2645F"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485</w:t>
            </w:r>
          </w:p>
        </w:tc>
        <w:tc>
          <w:tcPr>
            <w:tcW w:w="609" w:type="pct"/>
            <w:noWrap/>
            <w:vAlign w:val="bottom"/>
            <w:hideMark/>
          </w:tcPr>
          <w:p w14:paraId="74C15D16"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215 995</w:t>
            </w:r>
          </w:p>
        </w:tc>
      </w:tr>
      <w:tr w:rsidR="00FE0DEB" w:rsidRPr="00CA4C14" w14:paraId="6729FF65" w14:textId="77777777" w:rsidTr="00FE0DEB">
        <w:trPr>
          <w:trHeight w:val="518"/>
        </w:trPr>
        <w:tc>
          <w:tcPr>
            <w:tcW w:w="1208" w:type="pct"/>
            <w:shd w:val="clear" w:color="auto" w:fill="B8CCE4" w:themeFill="accent1" w:themeFillTint="66"/>
            <w:vAlign w:val="center"/>
            <w:hideMark/>
          </w:tcPr>
          <w:p w14:paraId="29AC48F8" w14:textId="77777777" w:rsidR="008F5CF8" w:rsidRPr="00CA4C14" w:rsidRDefault="008F5CF8" w:rsidP="00FA15F6">
            <w:pPr>
              <w:pStyle w:val="Tabletext"/>
              <w:rPr>
                <w:b/>
                <w:bCs/>
                <w:lang w:val="ru-RU"/>
              </w:rPr>
            </w:pPr>
            <w:r w:rsidRPr="00CA4C14">
              <w:rPr>
                <w:b/>
                <w:bCs/>
                <w:lang w:val="ru-RU"/>
              </w:rPr>
              <w:t>31 декабря 2022 г.</w:t>
            </w:r>
          </w:p>
        </w:tc>
        <w:tc>
          <w:tcPr>
            <w:tcW w:w="624" w:type="pct"/>
            <w:shd w:val="clear" w:color="auto" w:fill="B8CCE4" w:themeFill="accent1" w:themeFillTint="66"/>
            <w:noWrap/>
            <w:vAlign w:val="center"/>
            <w:hideMark/>
          </w:tcPr>
          <w:p w14:paraId="51780B57"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28 388</w:t>
            </w:r>
          </w:p>
        </w:tc>
        <w:tc>
          <w:tcPr>
            <w:tcW w:w="624" w:type="pct"/>
            <w:shd w:val="clear" w:color="auto" w:fill="B8CCE4" w:themeFill="accent1" w:themeFillTint="66"/>
            <w:noWrap/>
            <w:vAlign w:val="center"/>
            <w:hideMark/>
          </w:tcPr>
          <w:p w14:paraId="0557D9C2"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64 322</w:t>
            </w:r>
          </w:p>
        </w:tc>
        <w:tc>
          <w:tcPr>
            <w:tcW w:w="624" w:type="pct"/>
            <w:shd w:val="clear" w:color="auto" w:fill="B8CCE4" w:themeFill="accent1" w:themeFillTint="66"/>
            <w:noWrap/>
            <w:vAlign w:val="center"/>
            <w:hideMark/>
          </w:tcPr>
          <w:p w14:paraId="16499017"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14 036</w:t>
            </w:r>
          </w:p>
        </w:tc>
        <w:tc>
          <w:tcPr>
            <w:tcW w:w="625" w:type="pct"/>
            <w:shd w:val="clear" w:color="auto" w:fill="B8CCE4" w:themeFill="accent1" w:themeFillTint="66"/>
            <w:noWrap/>
            <w:vAlign w:val="center"/>
            <w:hideMark/>
          </w:tcPr>
          <w:p w14:paraId="1F298711"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51 435</w:t>
            </w:r>
          </w:p>
        </w:tc>
        <w:tc>
          <w:tcPr>
            <w:tcW w:w="687" w:type="pct"/>
            <w:shd w:val="clear" w:color="auto" w:fill="B8CCE4" w:themeFill="accent1" w:themeFillTint="66"/>
            <w:noWrap/>
            <w:vAlign w:val="center"/>
            <w:hideMark/>
          </w:tcPr>
          <w:p w14:paraId="172F604F"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(371 238)</w:t>
            </w:r>
          </w:p>
        </w:tc>
        <w:tc>
          <w:tcPr>
            <w:tcW w:w="609" w:type="pct"/>
            <w:shd w:val="clear" w:color="auto" w:fill="B8CCE4" w:themeFill="accent1" w:themeFillTint="66"/>
            <w:noWrap/>
            <w:vAlign w:val="center"/>
            <w:hideMark/>
          </w:tcPr>
          <w:p w14:paraId="0F8E74F8"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(213 057)</w:t>
            </w:r>
          </w:p>
        </w:tc>
      </w:tr>
      <w:tr w:rsidR="008F5CF8" w:rsidRPr="00CA4C14" w14:paraId="3E9D8983" w14:textId="77777777" w:rsidTr="00FE0DEB">
        <w:trPr>
          <w:trHeight w:val="360"/>
        </w:trPr>
        <w:tc>
          <w:tcPr>
            <w:tcW w:w="1208" w:type="pct"/>
            <w:hideMark/>
          </w:tcPr>
          <w:p w14:paraId="5137B376" w14:textId="633892EB" w:rsidR="008F5CF8" w:rsidRPr="00CA4C14" w:rsidRDefault="008F5CF8" w:rsidP="00FA15F6">
            <w:pPr>
              <w:pStyle w:val="Tabletext"/>
              <w:rPr>
                <w:lang w:val="ru-RU"/>
              </w:rPr>
            </w:pPr>
            <w:r w:rsidRPr="00CA4C14">
              <w:rPr>
                <w:lang w:val="ru-RU" w:eastAsia="en-GB"/>
              </w:rPr>
              <w:t>Активное сальдо/</w:t>
            </w:r>
            <w:r w:rsidR="00EA5D58" w:rsidRPr="00CA4C14">
              <w:rPr>
                <w:lang w:val="ru-RU" w:eastAsia="en-GB"/>
              </w:rPr>
              <w:br/>
            </w:r>
            <w:r w:rsidRPr="00CA4C14">
              <w:rPr>
                <w:lang w:val="ru-RU" w:eastAsia="en-GB"/>
              </w:rPr>
              <w:t>(дефицит) за</w:t>
            </w:r>
            <w:r w:rsidR="00FA15F6" w:rsidRPr="00CA4C14">
              <w:rPr>
                <w:lang w:val="ru-RU" w:eastAsia="en-GB"/>
              </w:rPr>
              <w:t> </w:t>
            </w:r>
            <w:r w:rsidRPr="00CA4C14">
              <w:rPr>
                <w:lang w:val="ru-RU" w:eastAsia="en-GB"/>
              </w:rPr>
              <w:t>2023 г.</w:t>
            </w:r>
          </w:p>
        </w:tc>
        <w:tc>
          <w:tcPr>
            <w:tcW w:w="624" w:type="pct"/>
            <w:noWrap/>
            <w:vAlign w:val="bottom"/>
            <w:hideMark/>
          </w:tcPr>
          <w:p w14:paraId="60EC93AD"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(2 117)</w:t>
            </w:r>
          </w:p>
        </w:tc>
        <w:tc>
          <w:tcPr>
            <w:tcW w:w="624" w:type="pct"/>
            <w:noWrap/>
            <w:vAlign w:val="bottom"/>
            <w:hideMark/>
          </w:tcPr>
          <w:p w14:paraId="6EEA3D92"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1 235</w:t>
            </w:r>
          </w:p>
        </w:tc>
        <w:tc>
          <w:tcPr>
            <w:tcW w:w="624" w:type="pct"/>
            <w:noWrap/>
            <w:vAlign w:val="bottom"/>
            <w:hideMark/>
          </w:tcPr>
          <w:p w14:paraId="2B48EF32"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(683)</w:t>
            </w:r>
          </w:p>
        </w:tc>
        <w:tc>
          <w:tcPr>
            <w:tcW w:w="625" w:type="pct"/>
            <w:noWrap/>
            <w:vAlign w:val="bottom"/>
            <w:hideMark/>
          </w:tcPr>
          <w:p w14:paraId="280D0D09" w14:textId="77777777" w:rsidR="008F5CF8" w:rsidRPr="00CA4C14" w:rsidRDefault="008F5CF8" w:rsidP="00FA15F6">
            <w:pPr>
              <w:pStyle w:val="Tabletext"/>
              <w:jc w:val="right"/>
              <w:rPr>
                <w:color w:val="000000"/>
                <w:szCs w:val="18"/>
                <w:lang w:val="ru-RU" w:eastAsia="en-GB"/>
              </w:rPr>
            </w:pPr>
          </w:p>
        </w:tc>
        <w:tc>
          <w:tcPr>
            <w:tcW w:w="687" w:type="pct"/>
            <w:noWrap/>
            <w:vAlign w:val="bottom"/>
            <w:hideMark/>
          </w:tcPr>
          <w:p w14:paraId="17B9CAC5"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(23 209)</w:t>
            </w:r>
          </w:p>
        </w:tc>
        <w:tc>
          <w:tcPr>
            <w:tcW w:w="609" w:type="pct"/>
            <w:noWrap/>
            <w:vAlign w:val="bottom"/>
            <w:hideMark/>
          </w:tcPr>
          <w:p w14:paraId="4DA49965"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(24 774)</w:t>
            </w:r>
          </w:p>
        </w:tc>
      </w:tr>
      <w:tr w:rsidR="008F5CF8" w:rsidRPr="00CA4C14" w14:paraId="2A02D5F5" w14:textId="77777777" w:rsidTr="00FE0DEB">
        <w:trPr>
          <w:trHeight w:val="360"/>
        </w:trPr>
        <w:tc>
          <w:tcPr>
            <w:tcW w:w="1208" w:type="pct"/>
            <w:hideMark/>
          </w:tcPr>
          <w:p w14:paraId="3CB14DEB" w14:textId="77777777" w:rsidR="008F5CF8" w:rsidRPr="00CA4C14" w:rsidRDefault="008F5CF8" w:rsidP="00FA15F6">
            <w:pPr>
              <w:pStyle w:val="Tabletext"/>
              <w:rPr>
                <w:lang w:val="ru-RU"/>
              </w:rPr>
            </w:pPr>
            <w:r w:rsidRPr="00CA4C14">
              <w:rPr>
                <w:lang w:val="ru-RU" w:eastAsia="en-GB"/>
              </w:rPr>
              <w:t>Другие корректировки</w:t>
            </w:r>
          </w:p>
        </w:tc>
        <w:tc>
          <w:tcPr>
            <w:tcW w:w="624" w:type="pct"/>
            <w:noWrap/>
            <w:vAlign w:val="bottom"/>
            <w:hideMark/>
          </w:tcPr>
          <w:p w14:paraId="7906F65A" w14:textId="77777777" w:rsidR="008F5CF8" w:rsidRPr="00CA4C14" w:rsidRDefault="008F5CF8" w:rsidP="00FA15F6">
            <w:pPr>
              <w:pStyle w:val="Tabletext"/>
              <w:jc w:val="right"/>
              <w:rPr>
                <w:color w:val="000000"/>
                <w:szCs w:val="18"/>
                <w:lang w:val="ru-RU" w:eastAsia="en-GB"/>
              </w:rPr>
            </w:pPr>
          </w:p>
        </w:tc>
        <w:tc>
          <w:tcPr>
            <w:tcW w:w="624" w:type="pct"/>
            <w:noWrap/>
            <w:vAlign w:val="bottom"/>
            <w:hideMark/>
          </w:tcPr>
          <w:p w14:paraId="1B25CD90" w14:textId="77777777" w:rsidR="008F5CF8" w:rsidRPr="00CA4C14" w:rsidRDefault="008F5CF8" w:rsidP="00FA15F6">
            <w:pPr>
              <w:pStyle w:val="Tabletext"/>
              <w:jc w:val="right"/>
              <w:rPr>
                <w:color w:val="000000"/>
                <w:szCs w:val="18"/>
                <w:lang w:val="ru-RU" w:eastAsia="en-GB"/>
              </w:rPr>
            </w:pPr>
          </w:p>
        </w:tc>
        <w:tc>
          <w:tcPr>
            <w:tcW w:w="624" w:type="pct"/>
            <w:noWrap/>
            <w:vAlign w:val="bottom"/>
            <w:hideMark/>
          </w:tcPr>
          <w:p w14:paraId="144BD253" w14:textId="77777777" w:rsidR="008F5CF8" w:rsidRPr="00CA4C14" w:rsidRDefault="008F5CF8" w:rsidP="00FA15F6">
            <w:pPr>
              <w:pStyle w:val="Tabletext"/>
              <w:jc w:val="right"/>
              <w:rPr>
                <w:color w:val="000000"/>
                <w:szCs w:val="18"/>
                <w:lang w:val="ru-RU" w:eastAsia="en-GB"/>
              </w:rPr>
            </w:pPr>
          </w:p>
        </w:tc>
        <w:tc>
          <w:tcPr>
            <w:tcW w:w="625" w:type="pct"/>
            <w:noWrap/>
            <w:vAlign w:val="bottom"/>
            <w:hideMark/>
          </w:tcPr>
          <w:p w14:paraId="3BD078CB" w14:textId="77777777" w:rsidR="008F5CF8" w:rsidRPr="00CA4C14" w:rsidRDefault="008F5CF8" w:rsidP="00FA15F6">
            <w:pPr>
              <w:pStyle w:val="Tabletext"/>
              <w:jc w:val="right"/>
              <w:rPr>
                <w:color w:val="000000"/>
                <w:szCs w:val="18"/>
                <w:lang w:val="ru-RU" w:eastAsia="en-GB"/>
              </w:rPr>
            </w:pPr>
            <w:r w:rsidRPr="00CA4C14">
              <w:rPr>
                <w:color w:val="000000"/>
                <w:szCs w:val="18"/>
                <w:lang w:val="ru-RU" w:eastAsia="en-GB"/>
              </w:rPr>
              <w:t>(19 524)</w:t>
            </w:r>
          </w:p>
        </w:tc>
        <w:tc>
          <w:tcPr>
            <w:tcW w:w="687" w:type="pct"/>
            <w:noWrap/>
            <w:vAlign w:val="bottom"/>
            <w:hideMark/>
          </w:tcPr>
          <w:p w14:paraId="47B6D7E4" w14:textId="77777777" w:rsidR="008F5CF8" w:rsidRPr="00CA4C14" w:rsidRDefault="008F5CF8" w:rsidP="00FA15F6">
            <w:pPr>
              <w:pStyle w:val="Tabletext"/>
              <w:jc w:val="right"/>
              <w:rPr>
                <w:color w:val="000000"/>
                <w:szCs w:val="18"/>
                <w:lang w:val="ru-RU" w:eastAsia="en-GB"/>
              </w:rPr>
            </w:pPr>
          </w:p>
        </w:tc>
        <w:tc>
          <w:tcPr>
            <w:tcW w:w="609" w:type="pct"/>
            <w:noWrap/>
            <w:vAlign w:val="bottom"/>
            <w:hideMark/>
          </w:tcPr>
          <w:p w14:paraId="4C851EFE"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(19 524)</w:t>
            </w:r>
          </w:p>
        </w:tc>
      </w:tr>
      <w:tr w:rsidR="00FE0DEB" w:rsidRPr="00CA4C14" w14:paraId="02CB22E6" w14:textId="77777777" w:rsidTr="00FE0DEB">
        <w:trPr>
          <w:trHeight w:val="518"/>
        </w:trPr>
        <w:tc>
          <w:tcPr>
            <w:tcW w:w="1208" w:type="pct"/>
            <w:shd w:val="clear" w:color="auto" w:fill="0070C0"/>
            <w:vAlign w:val="center"/>
            <w:hideMark/>
          </w:tcPr>
          <w:p w14:paraId="49D6F01F" w14:textId="77777777" w:rsidR="008F5CF8" w:rsidRPr="00CA4C14" w:rsidRDefault="008F5CF8" w:rsidP="00FA15F6">
            <w:pPr>
              <w:pStyle w:val="Tabletext"/>
              <w:rPr>
                <w:b/>
                <w:bCs/>
                <w:lang w:val="ru-RU"/>
              </w:rPr>
            </w:pPr>
            <w:r w:rsidRPr="00CA4C14">
              <w:rPr>
                <w:b/>
                <w:bCs/>
                <w:lang w:val="ru-RU"/>
              </w:rPr>
              <w:t>31 декабря 2023 г.</w:t>
            </w:r>
          </w:p>
        </w:tc>
        <w:tc>
          <w:tcPr>
            <w:tcW w:w="624" w:type="pct"/>
            <w:shd w:val="clear" w:color="auto" w:fill="0070C0"/>
            <w:noWrap/>
            <w:vAlign w:val="center"/>
            <w:hideMark/>
          </w:tcPr>
          <w:p w14:paraId="55C6A01D"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26 271</w:t>
            </w:r>
          </w:p>
        </w:tc>
        <w:tc>
          <w:tcPr>
            <w:tcW w:w="624" w:type="pct"/>
            <w:shd w:val="clear" w:color="auto" w:fill="0070C0"/>
            <w:noWrap/>
            <w:vAlign w:val="center"/>
            <w:hideMark/>
          </w:tcPr>
          <w:p w14:paraId="3FF963FC"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65 557</w:t>
            </w:r>
          </w:p>
        </w:tc>
        <w:tc>
          <w:tcPr>
            <w:tcW w:w="624" w:type="pct"/>
            <w:shd w:val="clear" w:color="auto" w:fill="0070C0"/>
            <w:noWrap/>
            <w:vAlign w:val="center"/>
            <w:hideMark/>
          </w:tcPr>
          <w:p w14:paraId="5D7D8027"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13 353</w:t>
            </w:r>
          </w:p>
        </w:tc>
        <w:tc>
          <w:tcPr>
            <w:tcW w:w="625" w:type="pct"/>
            <w:shd w:val="clear" w:color="auto" w:fill="0070C0"/>
            <w:noWrap/>
            <w:vAlign w:val="center"/>
            <w:hideMark/>
          </w:tcPr>
          <w:p w14:paraId="32AA4E8E"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31 911</w:t>
            </w:r>
          </w:p>
        </w:tc>
        <w:tc>
          <w:tcPr>
            <w:tcW w:w="687" w:type="pct"/>
            <w:shd w:val="clear" w:color="auto" w:fill="0070C0"/>
            <w:noWrap/>
            <w:vAlign w:val="center"/>
            <w:hideMark/>
          </w:tcPr>
          <w:p w14:paraId="4A947720"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(394 447)</w:t>
            </w:r>
          </w:p>
        </w:tc>
        <w:tc>
          <w:tcPr>
            <w:tcW w:w="609" w:type="pct"/>
            <w:shd w:val="clear" w:color="auto" w:fill="0070C0"/>
            <w:noWrap/>
            <w:vAlign w:val="center"/>
            <w:hideMark/>
          </w:tcPr>
          <w:p w14:paraId="3CAAE2CA" w14:textId="77777777" w:rsidR="008F5CF8" w:rsidRPr="00CA4C14" w:rsidRDefault="008F5CF8" w:rsidP="00FA15F6">
            <w:pPr>
              <w:pStyle w:val="Tabletext"/>
              <w:jc w:val="right"/>
              <w:rPr>
                <w:b/>
                <w:bCs/>
                <w:color w:val="000000"/>
                <w:szCs w:val="18"/>
                <w:lang w:val="ru-RU" w:eastAsia="en-GB"/>
              </w:rPr>
            </w:pPr>
            <w:r w:rsidRPr="00CA4C14">
              <w:rPr>
                <w:b/>
                <w:bCs/>
                <w:color w:val="000000"/>
                <w:szCs w:val="18"/>
                <w:lang w:val="ru-RU" w:eastAsia="en-GB"/>
              </w:rPr>
              <w:t>(257 355)</w:t>
            </w:r>
          </w:p>
        </w:tc>
      </w:tr>
    </w:tbl>
    <w:p w14:paraId="460677EB" w14:textId="77777777" w:rsidR="008F5CF8" w:rsidRPr="00CA4C14" w:rsidRDefault="008F5CF8" w:rsidP="002C7AB2">
      <w:pPr>
        <w:pStyle w:val="Tablelegend"/>
        <w:rPr>
          <w:i/>
          <w:iCs/>
          <w:lang w:val="ru-RU"/>
        </w:rPr>
      </w:pPr>
      <w:r w:rsidRPr="00CA4C14">
        <w:rPr>
          <w:i/>
          <w:iCs/>
          <w:lang w:val="ru-RU"/>
        </w:rPr>
        <w:t>Более подробная информация приводится в Примечании 4.</w:t>
      </w:r>
    </w:p>
    <w:p w14:paraId="01334C37" w14:textId="77777777" w:rsidR="008F5CF8" w:rsidRPr="00CA4C14" w:rsidRDefault="008F5CF8" w:rsidP="00C72B42">
      <w:pPr>
        <w:rPr>
          <w:lang w:val="ru-RU"/>
        </w:rPr>
      </w:pPr>
      <w:r w:rsidRPr="00CA4C14">
        <w:rPr>
          <w:lang w:val="ru-RU"/>
        </w:rPr>
        <w:br w:type="page"/>
      </w:r>
    </w:p>
    <w:p w14:paraId="27FF9C4B" w14:textId="77777777" w:rsidR="008F5CF8" w:rsidRPr="00CA4C14" w:rsidRDefault="008F5CF8" w:rsidP="005E266A">
      <w:pPr>
        <w:pStyle w:val="Annextitle"/>
        <w:jc w:val="left"/>
        <w:rPr>
          <w:color w:val="0070C0"/>
          <w:w w:val="105"/>
          <w:lang w:val="ru-RU"/>
        </w:rPr>
      </w:pPr>
      <w:bookmarkStart w:id="75" w:name="lt_pId316"/>
      <w:bookmarkStart w:id="76" w:name="_Toc168578447"/>
      <w:bookmarkStart w:id="77" w:name="_Toc305764059"/>
      <w:r w:rsidRPr="00CA4C14">
        <w:rPr>
          <w:color w:val="0070C0"/>
          <w:w w:val="105"/>
          <w:lang w:val="ru-RU"/>
        </w:rPr>
        <w:lastRenderedPageBreak/>
        <w:t xml:space="preserve">Отчет IV: </w:t>
      </w:r>
      <w:bookmarkEnd w:id="75"/>
      <w:r w:rsidRPr="00CA4C14">
        <w:rPr>
          <w:color w:val="0070C0"/>
          <w:w w:val="105"/>
          <w:lang w:val="ru-RU"/>
        </w:rPr>
        <w:t>Отчет о движении денежных средств</w:t>
      </w:r>
      <w:bookmarkEnd w:id="76"/>
    </w:p>
    <w:p w14:paraId="141BB993" w14:textId="77777777" w:rsidR="008F5CF8" w:rsidRPr="00CA4C14" w:rsidRDefault="008F5CF8" w:rsidP="00391A59">
      <w:pPr>
        <w:rPr>
          <w:lang w:val="ru-RU"/>
        </w:rPr>
      </w:pPr>
      <w:bookmarkStart w:id="78" w:name="_Hlk160112883"/>
      <w:r w:rsidRPr="00CA4C14">
        <w:rPr>
          <w:lang w:val="ru-RU"/>
        </w:rPr>
        <w:t>За год, завершившийся 31 декабря 2023 года</w:t>
      </w:r>
    </w:p>
    <w:p w14:paraId="06AAF098" w14:textId="55582E21" w:rsidR="008F5CF8" w:rsidRPr="00CA4C14" w:rsidRDefault="008F5CF8" w:rsidP="00391A59">
      <w:pPr>
        <w:spacing w:after="120"/>
        <w:rPr>
          <w:lang w:val="ru-RU"/>
        </w:rPr>
      </w:pPr>
      <w:r w:rsidRPr="00CA4C14">
        <w:rPr>
          <w:lang w:val="ru-RU"/>
        </w:rPr>
        <w:t>(</w:t>
      </w:r>
      <w:r w:rsidR="005F20DB" w:rsidRPr="00CA4C14">
        <w:rPr>
          <w:lang w:val="ru-RU"/>
        </w:rPr>
        <w:t>В</w:t>
      </w:r>
      <w:r w:rsidRPr="00CA4C14">
        <w:rPr>
          <w:lang w:val="ru-RU"/>
        </w:rPr>
        <w:t xml:space="preserve"> тыс. шв</w:t>
      </w:r>
      <w:r w:rsidR="005F20DB" w:rsidRPr="00CA4C14">
        <w:rPr>
          <w:lang w:val="ru-RU"/>
        </w:rPr>
        <w:t>.</w:t>
      </w:r>
      <w:r w:rsidRPr="00CA4C14">
        <w:rPr>
          <w:lang w:val="ru-RU"/>
        </w:rPr>
        <w:t xml:space="preserve"> фр</w:t>
      </w:r>
      <w:r w:rsidR="005F20DB" w:rsidRPr="00CA4C14">
        <w:rPr>
          <w:lang w:val="ru-RU"/>
        </w:rPr>
        <w:t>.</w:t>
      </w:r>
      <w:r w:rsidRPr="00CA4C14">
        <w:rPr>
          <w:lang w:val="ru-RU"/>
        </w:rPr>
        <w:t>)</w:t>
      </w:r>
      <w:bookmarkEnd w:id="7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1368"/>
        <w:gridCol w:w="1281"/>
        <w:gridCol w:w="1557"/>
      </w:tblGrid>
      <w:tr w:rsidR="008F5CF8" w:rsidRPr="00CA4C14" w14:paraId="24A1F4DD" w14:textId="77777777" w:rsidTr="00A4418B">
        <w:trPr>
          <w:trHeight w:val="522"/>
          <w:tblHeader/>
        </w:trPr>
        <w:tc>
          <w:tcPr>
            <w:tcW w:w="2682" w:type="pct"/>
            <w:shd w:val="clear" w:color="auto" w:fill="0070C0"/>
            <w:noWrap/>
            <w:vAlign w:val="center"/>
            <w:hideMark/>
          </w:tcPr>
          <w:bookmarkEnd w:id="77"/>
          <w:p w14:paraId="66DCAB2E" w14:textId="77777777" w:rsidR="008F5CF8" w:rsidRPr="00CA4C14" w:rsidRDefault="008F5CF8" w:rsidP="001F2C02">
            <w:pPr>
              <w:pStyle w:val="Tablehead"/>
              <w:rPr>
                <w:lang w:val="ru-RU"/>
              </w:rPr>
            </w:pPr>
            <w:r w:rsidRPr="00CA4C14">
              <w:rPr>
                <w:lang w:val="ru-RU"/>
              </w:rPr>
              <w:t>Описание</w:t>
            </w:r>
          </w:p>
        </w:tc>
        <w:tc>
          <w:tcPr>
            <w:tcW w:w="754" w:type="pct"/>
            <w:shd w:val="clear" w:color="auto" w:fill="0070C0"/>
            <w:noWrap/>
            <w:vAlign w:val="center"/>
            <w:hideMark/>
          </w:tcPr>
          <w:p w14:paraId="3A9FEF7F" w14:textId="77777777" w:rsidR="008F5CF8" w:rsidRPr="00CA4C14" w:rsidRDefault="008F5CF8" w:rsidP="001F2C02">
            <w:pPr>
              <w:pStyle w:val="Tablehead"/>
              <w:rPr>
                <w:lang w:val="ru-RU"/>
              </w:rPr>
            </w:pPr>
            <w:r w:rsidRPr="00CA4C14">
              <w:rPr>
                <w:lang w:val="ru-RU"/>
              </w:rPr>
              <w:t>Примечания</w:t>
            </w:r>
          </w:p>
        </w:tc>
        <w:tc>
          <w:tcPr>
            <w:tcW w:w="706" w:type="pct"/>
            <w:shd w:val="clear" w:color="auto" w:fill="0070C0"/>
            <w:vAlign w:val="center"/>
            <w:hideMark/>
          </w:tcPr>
          <w:p w14:paraId="24B3ACF6" w14:textId="77777777" w:rsidR="008F5CF8" w:rsidRPr="00CA4C14" w:rsidRDefault="008F5CF8" w:rsidP="00570972">
            <w:pPr>
              <w:pStyle w:val="Tablehead"/>
              <w:rPr>
                <w:lang w:val="ru-RU"/>
              </w:rPr>
            </w:pPr>
            <w:r w:rsidRPr="00CA4C14">
              <w:rPr>
                <w:lang w:val="ru-RU"/>
              </w:rPr>
              <w:t>31 декабря 2023 г.</w:t>
            </w:r>
          </w:p>
        </w:tc>
        <w:tc>
          <w:tcPr>
            <w:tcW w:w="859" w:type="pct"/>
            <w:shd w:val="clear" w:color="auto" w:fill="0070C0"/>
            <w:hideMark/>
          </w:tcPr>
          <w:p w14:paraId="1BFF1A55" w14:textId="77777777" w:rsidR="008F5CF8" w:rsidRPr="00CA4C14" w:rsidRDefault="008F5CF8" w:rsidP="00A4418B">
            <w:pPr>
              <w:pStyle w:val="Tablehead"/>
              <w:ind w:left="-57" w:right="-57"/>
              <w:rPr>
                <w:lang w:val="ru-RU"/>
              </w:rPr>
            </w:pPr>
            <w:r w:rsidRPr="00CA4C14">
              <w:rPr>
                <w:lang w:val="ru-RU"/>
              </w:rPr>
              <w:t>31 декабря 2022 г.</w:t>
            </w:r>
            <w:r w:rsidRPr="00CA4C14">
              <w:rPr>
                <w:lang w:val="ru-RU"/>
              </w:rPr>
              <w:br/>
              <w:t>(пересчитано)</w:t>
            </w:r>
          </w:p>
        </w:tc>
      </w:tr>
      <w:tr w:rsidR="008F5CF8" w:rsidRPr="009A3216" w14:paraId="527E236B" w14:textId="77777777" w:rsidTr="00A4418B">
        <w:trPr>
          <w:trHeight w:val="255"/>
        </w:trPr>
        <w:tc>
          <w:tcPr>
            <w:tcW w:w="2682" w:type="pct"/>
            <w:hideMark/>
          </w:tcPr>
          <w:p w14:paraId="25D87949" w14:textId="77777777" w:rsidR="008F5CF8" w:rsidRPr="00CA4C14" w:rsidRDefault="008F5CF8" w:rsidP="00A4418B">
            <w:pPr>
              <w:pStyle w:val="Tabletext"/>
              <w:spacing w:before="20" w:after="20"/>
              <w:rPr>
                <w:lang w:val="ru-RU"/>
              </w:rPr>
            </w:pPr>
            <w:r w:rsidRPr="00CA4C14">
              <w:rPr>
                <w:b/>
                <w:bCs/>
                <w:lang w:val="ru-RU" w:eastAsia="en-GB"/>
              </w:rPr>
              <w:t>Движение денежных средств в результате оперативной деятельности</w:t>
            </w:r>
          </w:p>
        </w:tc>
        <w:tc>
          <w:tcPr>
            <w:tcW w:w="754" w:type="pct"/>
            <w:hideMark/>
          </w:tcPr>
          <w:p w14:paraId="7CB1ABE0" w14:textId="77777777" w:rsidR="008F5CF8" w:rsidRPr="00CA4C14" w:rsidRDefault="008F5CF8" w:rsidP="00A4418B">
            <w:pPr>
              <w:pStyle w:val="Tabletext"/>
              <w:spacing w:before="20" w:after="20"/>
              <w:jc w:val="center"/>
              <w:rPr>
                <w:lang w:val="ru-RU" w:eastAsia="en-GB"/>
              </w:rPr>
            </w:pPr>
          </w:p>
        </w:tc>
        <w:tc>
          <w:tcPr>
            <w:tcW w:w="706" w:type="pct"/>
            <w:noWrap/>
            <w:vAlign w:val="bottom"/>
            <w:hideMark/>
          </w:tcPr>
          <w:p w14:paraId="471B9FB8" w14:textId="77777777" w:rsidR="008F5CF8" w:rsidRPr="00CA4C14" w:rsidRDefault="008F5CF8" w:rsidP="00A4418B">
            <w:pPr>
              <w:pStyle w:val="Tabletext"/>
              <w:spacing w:before="20" w:after="20"/>
              <w:jc w:val="right"/>
              <w:rPr>
                <w:lang w:val="ru-RU" w:eastAsia="en-GB"/>
              </w:rPr>
            </w:pPr>
          </w:p>
        </w:tc>
        <w:tc>
          <w:tcPr>
            <w:tcW w:w="859" w:type="pct"/>
            <w:noWrap/>
            <w:vAlign w:val="bottom"/>
            <w:hideMark/>
          </w:tcPr>
          <w:p w14:paraId="09CB2CB0" w14:textId="77777777" w:rsidR="008F5CF8" w:rsidRPr="00CA4C14" w:rsidRDefault="008F5CF8" w:rsidP="00A4418B">
            <w:pPr>
              <w:pStyle w:val="Tabletext"/>
              <w:spacing w:before="20" w:after="20"/>
              <w:jc w:val="right"/>
              <w:rPr>
                <w:lang w:val="ru-RU" w:eastAsia="en-GB"/>
              </w:rPr>
            </w:pPr>
          </w:p>
        </w:tc>
      </w:tr>
      <w:tr w:rsidR="005F20DB" w:rsidRPr="009A3216" w14:paraId="10B8FCD9" w14:textId="77777777" w:rsidTr="00A4418B">
        <w:trPr>
          <w:trHeight w:val="70"/>
        </w:trPr>
        <w:tc>
          <w:tcPr>
            <w:tcW w:w="2682" w:type="pct"/>
          </w:tcPr>
          <w:p w14:paraId="253E7A4A" w14:textId="77777777" w:rsidR="005F20DB" w:rsidRPr="00CA4C14" w:rsidRDefault="005F20DB" w:rsidP="00A4418B">
            <w:pPr>
              <w:pStyle w:val="Tabletext"/>
              <w:spacing w:before="0" w:after="0"/>
              <w:rPr>
                <w:b/>
                <w:bCs/>
                <w:lang w:val="ru-RU" w:eastAsia="en-GB"/>
              </w:rPr>
            </w:pPr>
          </w:p>
        </w:tc>
        <w:tc>
          <w:tcPr>
            <w:tcW w:w="754" w:type="pct"/>
          </w:tcPr>
          <w:p w14:paraId="68E61DA1" w14:textId="77777777" w:rsidR="005F20DB" w:rsidRPr="00CA4C14" w:rsidRDefault="005F20DB" w:rsidP="00A4418B">
            <w:pPr>
              <w:pStyle w:val="Tabletext"/>
              <w:spacing w:before="0" w:after="0"/>
              <w:jc w:val="center"/>
              <w:rPr>
                <w:lang w:val="ru-RU" w:eastAsia="en-GB"/>
              </w:rPr>
            </w:pPr>
          </w:p>
        </w:tc>
        <w:tc>
          <w:tcPr>
            <w:tcW w:w="706" w:type="pct"/>
            <w:noWrap/>
            <w:vAlign w:val="bottom"/>
          </w:tcPr>
          <w:p w14:paraId="5F0BA4E5" w14:textId="77777777" w:rsidR="005F20DB" w:rsidRPr="00CA4C14" w:rsidRDefault="005F20DB" w:rsidP="00A4418B">
            <w:pPr>
              <w:pStyle w:val="Tabletext"/>
              <w:spacing w:before="0" w:after="0"/>
              <w:jc w:val="right"/>
              <w:rPr>
                <w:lang w:val="ru-RU" w:eastAsia="en-GB"/>
              </w:rPr>
            </w:pPr>
          </w:p>
        </w:tc>
        <w:tc>
          <w:tcPr>
            <w:tcW w:w="859" w:type="pct"/>
            <w:noWrap/>
            <w:vAlign w:val="bottom"/>
          </w:tcPr>
          <w:p w14:paraId="5CC1C53F" w14:textId="77777777" w:rsidR="005F20DB" w:rsidRPr="00CA4C14" w:rsidRDefault="005F20DB" w:rsidP="00A4418B">
            <w:pPr>
              <w:pStyle w:val="Tabletext"/>
              <w:spacing w:before="0" w:after="0"/>
              <w:jc w:val="right"/>
              <w:rPr>
                <w:lang w:val="ru-RU" w:eastAsia="en-GB"/>
              </w:rPr>
            </w:pPr>
          </w:p>
        </w:tc>
      </w:tr>
      <w:tr w:rsidR="008F5CF8" w:rsidRPr="00CA4C14" w14:paraId="7D628191" w14:textId="77777777" w:rsidTr="00A4418B">
        <w:trPr>
          <w:trHeight w:val="255"/>
        </w:trPr>
        <w:tc>
          <w:tcPr>
            <w:tcW w:w="2682" w:type="pct"/>
            <w:vAlign w:val="center"/>
            <w:hideMark/>
          </w:tcPr>
          <w:p w14:paraId="0BA3FED0" w14:textId="77777777" w:rsidR="008F5CF8" w:rsidRPr="00CA4C14" w:rsidRDefault="008F5CF8" w:rsidP="00A4418B">
            <w:pPr>
              <w:pStyle w:val="Tabletext"/>
              <w:spacing w:before="20" w:after="20"/>
              <w:rPr>
                <w:lang w:val="ru-RU"/>
              </w:rPr>
            </w:pPr>
            <w:r w:rsidRPr="00CA4C14">
              <w:rPr>
                <w:lang w:val="ru-RU" w:eastAsia="en-GB"/>
              </w:rPr>
              <w:t xml:space="preserve">Общее </w:t>
            </w:r>
            <w:r w:rsidRPr="00CA4C14">
              <w:rPr>
                <w:lang w:val="ru-RU"/>
              </w:rPr>
              <w:t>а</w:t>
            </w:r>
            <w:r w:rsidRPr="00CA4C14">
              <w:rPr>
                <w:szCs w:val="18"/>
                <w:lang w:val="ru-RU"/>
              </w:rPr>
              <w:t>ктивное сальдо (дефицит) за финансовый период</w:t>
            </w:r>
          </w:p>
        </w:tc>
        <w:tc>
          <w:tcPr>
            <w:tcW w:w="754" w:type="pct"/>
            <w:hideMark/>
          </w:tcPr>
          <w:p w14:paraId="2D7329C3" w14:textId="77777777" w:rsidR="008F5CF8" w:rsidRPr="00CA4C14" w:rsidRDefault="008F5CF8" w:rsidP="00A4418B">
            <w:pPr>
              <w:pStyle w:val="Tabletext"/>
              <w:spacing w:before="20" w:after="20"/>
              <w:jc w:val="center"/>
              <w:rPr>
                <w:lang w:val="ru-RU" w:eastAsia="en-GB"/>
              </w:rPr>
            </w:pPr>
            <w:r w:rsidRPr="00CA4C14">
              <w:rPr>
                <w:lang w:val="ru-RU" w:eastAsia="en-GB"/>
              </w:rPr>
              <w:t>Отчет II</w:t>
            </w:r>
          </w:p>
        </w:tc>
        <w:tc>
          <w:tcPr>
            <w:tcW w:w="706" w:type="pct"/>
            <w:noWrap/>
            <w:vAlign w:val="bottom"/>
            <w:hideMark/>
          </w:tcPr>
          <w:p w14:paraId="3615DA28"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(24 774)</w:t>
            </w:r>
          </w:p>
        </w:tc>
        <w:tc>
          <w:tcPr>
            <w:tcW w:w="859" w:type="pct"/>
            <w:noWrap/>
            <w:vAlign w:val="bottom"/>
            <w:hideMark/>
          </w:tcPr>
          <w:p w14:paraId="7F5F12D5"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(18 266)</w:t>
            </w:r>
          </w:p>
        </w:tc>
      </w:tr>
      <w:tr w:rsidR="008F5CF8" w:rsidRPr="00CA4C14" w14:paraId="49F9348C" w14:textId="77777777" w:rsidTr="00A4418B">
        <w:trPr>
          <w:trHeight w:val="255"/>
        </w:trPr>
        <w:tc>
          <w:tcPr>
            <w:tcW w:w="2682" w:type="pct"/>
            <w:vAlign w:val="center"/>
            <w:hideMark/>
          </w:tcPr>
          <w:p w14:paraId="4711922F" w14:textId="77777777" w:rsidR="008F5CF8" w:rsidRPr="00CA4C14" w:rsidRDefault="008F5CF8" w:rsidP="00A4418B">
            <w:pPr>
              <w:pStyle w:val="Tabletext"/>
              <w:spacing w:before="20" w:after="20"/>
              <w:rPr>
                <w:lang w:val="ru-RU"/>
              </w:rPr>
            </w:pPr>
            <w:r w:rsidRPr="00CA4C14">
              <w:rPr>
                <w:szCs w:val="18"/>
                <w:lang w:val="ru-RU"/>
              </w:rPr>
              <w:t>Обесценение</w:t>
            </w:r>
          </w:p>
        </w:tc>
        <w:tc>
          <w:tcPr>
            <w:tcW w:w="754" w:type="pct"/>
            <w:hideMark/>
          </w:tcPr>
          <w:p w14:paraId="0821EE51" w14:textId="77777777" w:rsidR="008F5CF8" w:rsidRPr="00CA4C14" w:rsidRDefault="008F5CF8" w:rsidP="00A4418B">
            <w:pPr>
              <w:pStyle w:val="Tabletext"/>
              <w:spacing w:before="20" w:after="20"/>
              <w:jc w:val="center"/>
              <w:rPr>
                <w:lang w:val="ru-RU" w:eastAsia="en-GB"/>
              </w:rPr>
            </w:pPr>
            <w:r w:rsidRPr="00CA4C14">
              <w:rPr>
                <w:lang w:val="ru-RU" w:eastAsia="en-GB"/>
              </w:rPr>
              <w:t>11, 12</w:t>
            </w:r>
          </w:p>
        </w:tc>
        <w:tc>
          <w:tcPr>
            <w:tcW w:w="706" w:type="pct"/>
            <w:noWrap/>
            <w:vAlign w:val="bottom"/>
            <w:hideMark/>
          </w:tcPr>
          <w:p w14:paraId="18C059B8"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5 660</w:t>
            </w:r>
          </w:p>
        </w:tc>
        <w:tc>
          <w:tcPr>
            <w:tcW w:w="859" w:type="pct"/>
            <w:noWrap/>
            <w:vAlign w:val="bottom"/>
            <w:hideMark/>
          </w:tcPr>
          <w:p w14:paraId="263E957A"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9 495</w:t>
            </w:r>
          </w:p>
        </w:tc>
      </w:tr>
      <w:tr w:rsidR="008F5CF8" w:rsidRPr="00CA4C14" w14:paraId="2BF71AFD" w14:textId="77777777" w:rsidTr="00A4418B">
        <w:trPr>
          <w:trHeight w:val="255"/>
        </w:trPr>
        <w:tc>
          <w:tcPr>
            <w:tcW w:w="2682" w:type="pct"/>
            <w:vAlign w:val="center"/>
            <w:hideMark/>
          </w:tcPr>
          <w:p w14:paraId="7861C6C8" w14:textId="77777777" w:rsidR="008F5CF8" w:rsidRPr="00CA4C14" w:rsidRDefault="008F5CF8" w:rsidP="00A4418B">
            <w:pPr>
              <w:pStyle w:val="Tabletext"/>
              <w:spacing w:before="20" w:after="20"/>
              <w:rPr>
                <w:lang w:val="ru-RU"/>
              </w:rPr>
            </w:pPr>
            <w:r w:rsidRPr="00CA4C14">
              <w:rPr>
                <w:szCs w:val="18"/>
                <w:lang w:val="ru-RU"/>
              </w:rPr>
              <w:t>Фонд АСХИ</w:t>
            </w:r>
          </w:p>
        </w:tc>
        <w:tc>
          <w:tcPr>
            <w:tcW w:w="754" w:type="pct"/>
            <w:hideMark/>
          </w:tcPr>
          <w:p w14:paraId="5A13E462" w14:textId="77777777" w:rsidR="008F5CF8" w:rsidRPr="00CA4C14" w:rsidRDefault="008F5CF8" w:rsidP="00A4418B">
            <w:pPr>
              <w:pStyle w:val="Tabletext"/>
              <w:spacing w:before="20" w:after="20"/>
              <w:jc w:val="center"/>
              <w:rPr>
                <w:lang w:val="ru-RU" w:eastAsia="en-GB"/>
              </w:rPr>
            </w:pPr>
            <w:r w:rsidRPr="00CA4C14">
              <w:rPr>
                <w:lang w:val="ru-RU" w:eastAsia="en-GB"/>
              </w:rPr>
              <w:t>22</w:t>
            </w:r>
          </w:p>
        </w:tc>
        <w:tc>
          <w:tcPr>
            <w:tcW w:w="706" w:type="pct"/>
            <w:noWrap/>
            <w:vAlign w:val="bottom"/>
            <w:hideMark/>
          </w:tcPr>
          <w:p w14:paraId="482D7C03"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11 645</w:t>
            </w:r>
          </w:p>
        </w:tc>
        <w:tc>
          <w:tcPr>
            <w:tcW w:w="859" w:type="pct"/>
            <w:noWrap/>
            <w:vAlign w:val="bottom"/>
            <w:hideMark/>
          </w:tcPr>
          <w:p w14:paraId="13FB54F6"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13 976</w:t>
            </w:r>
          </w:p>
        </w:tc>
      </w:tr>
      <w:tr w:rsidR="008F5CF8" w:rsidRPr="00CA4C14" w14:paraId="37FA4F4D" w14:textId="77777777" w:rsidTr="00A4418B">
        <w:trPr>
          <w:trHeight w:val="255"/>
        </w:trPr>
        <w:tc>
          <w:tcPr>
            <w:tcW w:w="2682" w:type="pct"/>
            <w:vAlign w:val="center"/>
            <w:hideMark/>
          </w:tcPr>
          <w:p w14:paraId="41D32989" w14:textId="77777777" w:rsidR="008F5CF8" w:rsidRPr="00CA4C14" w:rsidRDefault="008F5CF8" w:rsidP="00A4418B">
            <w:pPr>
              <w:pStyle w:val="Tabletext"/>
              <w:spacing w:before="20" w:after="20"/>
              <w:rPr>
                <w:lang w:val="ru-RU"/>
              </w:rPr>
            </w:pPr>
            <w:r w:rsidRPr="00CA4C14">
              <w:rPr>
                <w:lang w:val="ru-RU" w:eastAsia="en-GB"/>
              </w:rPr>
              <w:t>(Увеличение)/уменьшение долговых обязательств</w:t>
            </w:r>
          </w:p>
        </w:tc>
        <w:tc>
          <w:tcPr>
            <w:tcW w:w="754" w:type="pct"/>
            <w:hideMark/>
          </w:tcPr>
          <w:p w14:paraId="5CED4D80" w14:textId="77777777" w:rsidR="008F5CF8" w:rsidRPr="00CA4C14" w:rsidRDefault="008F5CF8" w:rsidP="00A4418B">
            <w:pPr>
              <w:pStyle w:val="Tabletext"/>
              <w:spacing w:before="20" w:after="20"/>
              <w:jc w:val="center"/>
              <w:rPr>
                <w:lang w:val="ru-RU" w:eastAsia="en-GB"/>
              </w:rPr>
            </w:pPr>
            <w:r w:rsidRPr="00CA4C14">
              <w:rPr>
                <w:lang w:val="ru-RU" w:eastAsia="en-GB"/>
              </w:rPr>
              <w:t>9</w:t>
            </w:r>
          </w:p>
        </w:tc>
        <w:tc>
          <w:tcPr>
            <w:tcW w:w="706" w:type="pct"/>
            <w:noWrap/>
            <w:vAlign w:val="bottom"/>
            <w:hideMark/>
          </w:tcPr>
          <w:p w14:paraId="16C31473"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(3 456)</w:t>
            </w:r>
          </w:p>
        </w:tc>
        <w:tc>
          <w:tcPr>
            <w:tcW w:w="859" w:type="pct"/>
            <w:noWrap/>
            <w:vAlign w:val="bottom"/>
            <w:hideMark/>
          </w:tcPr>
          <w:p w14:paraId="54F4374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7 360</w:t>
            </w:r>
          </w:p>
        </w:tc>
      </w:tr>
      <w:tr w:rsidR="008F5CF8" w:rsidRPr="00CA4C14" w14:paraId="447661EF" w14:textId="77777777" w:rsidTr="00A4418B">
        <w:trPr>
          <w:trHeight w:val="255"/>
        </w:trPr>
        <w:tc>
          <w:tcPr>
            <w:tcW w:w="2682" w:type="pct"/>
            <w:vAlign w:val="center"/>
            <w:hideMark/>
          </w:tcPr>
          <w:p w14:paraId="18C11E02" w14:textId="77777777" w:rsidR="008F5CF8" w:rsidRPr="00CA4C14" w:rsidRDefault="008F5CF8" w:rsidP="00A4418B">
            <w:pPr>
              <w:pStyle w:val="Tabletext"/>
              <w:spacing w:before="20" w:after="20"/>
              <w:rPr>
                <w:lang w:val="ru-RU"/>
              </w:rPr>
            </w:pPr>
            <w:r w:rsidRPr="00CA4C14">
              <w:rPr>
                <w:lang w:val="ru-RU" w:eastAsia="en-GB"/>
              </w:rPr>
              <w:t>(Увеличение)/уменьшение прочих долговых обязательств</w:t>
            </w:r>
          </w:p>
        </w:tc>
        <w:tc>
          <w:tcPr>
            <w:tcW w:w="754" w:type="pct"/>
            <w:hideMark/>
          </w:tcPr>
          <w:p w14:paraId="43A8EED2" w14:textId="77777777" w:rsidR="008F5CF8" w:rsidRPr="00CA4C14" w:rsidRDefault="008F5CF8" w:rsidP="00A4418B">
            <w:pPr>
              <w:pStyle w:val="Tabletext"/>
              <w:spacing w:before="20" w:after="20"/>
              <w:jc w:val="center"/>
              <w:rPr>
                <w:lang w:val="ru-RU" w:eastAsia="en-GB"/>
              </w:rPr>
            </w:pPr>
            <w:r w:rsidRPr="00CA4C14">
              <w:rPr>
                <w:lang w:val="ru-RU" w:eastAsia="en-GB"/>
              </w:rPr>
              <w:t>10</w:t>
            </w:r>
          </w:p>
        </w:tc>
        <w:tc>
          <w:tcPr>
            <w:tcW w:w="706" w:type="pct"/>
            <w:noWrap/>
            <w:vAlign w:val="bottom"/>
            <w:hideMark/>
          </w:tcPr>
          <w:p w14:paraId="42DEBBB1"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(1 085)</w:t>
            </w:r>
          </w:p>
        </w:tc>
        <w:tc>
          <w:tcPr>
            <w:tcW w:w="859" w:type="pct"/>
            <w:noWrap/>
            <w:vAlign w:val="bottom"/>
            <w:hideMark/>
          </w:tcPr>
          <w:p w14:paraId="75D34120"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884</w:t>
            </w:r>
          </w:p>
        </w:tc>
      </w:tr>
      <w:tr w:rsidR="008F5CF8" w:rsidRPr="00CA4C14" w14:paraId="49EF7D3F" w14:textId="77777777" w:rsidTr="00A4418B">
        <w:trPr>
          <w:trHeight w:val="330"/>
        </w:trPr>
        <w:tc>
          <w:tcPr>
            <w:tcW w:w="2682" w:type="pct"/>
            <w:vAlign w:val="center"/>
            <w:hideMark/>
          </w:tcPr>
          <w:p w14:paraId="0C97EAAA" w14:textId="77777777" w:rsidR="008F5CF8" w:rsidRPr="00CA4C14" w:rsidRDefault="008F5CF8" w:rsidP="00A4418B">
            <w:pPr>
              <w:pStyle w:val="Tabletext"/>
              <w:spacing w:before="20" w:after="20"/>
              <w:rPr>
                <w:lang w:val="ru-RU"/>
              </w:rPr>
            </w:pPr>
            <w:r w:rsidRPr="00CA4C14">
              <w:rPr>
                <w:lang w:val="ru-RU" w:eastAsia="en-GB"/>
              </w:rPr>
              <w:t>(Увеличение)/уменьшение запасов</w:t>
            </w:r>
          </w:p>
        </w:tc>
        <w:tc>
          <w:tcPr>
            <w:tcW w:w="754" w:type="pct"/>
            <w:hideMark/>
          </w:tcPr>
          <w:p w14:paraId="3B123142" w14:textId="77777777" w:rsidR="008F5CF8" w:rsidRPr="00CA4C14" w:rsidRDefault="008F5CF8" w:rsidP="00A4418B">
            <w:pPr>
              <w:pStyle w:val="Tabletext"/>
              <w:spacing w:before="20" w:after="20"/>
              <w:jc w:val="center"/>
              <w:rPr>
                <w:lang w:val="ru-RU" w:eastAsia="en-GB"/>
              </w:rPr>
            </w:pPr>
          </w:p>
        </w:tc>
        <w:tc>
          <w:tcPr>
            <w:tcW w:w="706" w:type="pct"/>
            <w:noWrap/>
            <w:vAlign w:val="bottom"/>
            <w:hideMark/>
          </w:tcPr>
          <w:p w14:paraId="43F87EFA"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307</w:t>
            </w:r>
          </w:p>
        </w:tc>
        <w:tc>
          <w:tcPr>
            <w:tcW w:w="859" w:type="pct"/>
            <w:noWrap/>
            <w:vAlign w:val="bottom"/>
            <w:hideMark/>
          </w:tcPr>
          <w:p w14:paraId="2F2C1A08"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160</w:t>
            </w:r>
          </w:p>
        </w:tc>
      </w:tr>
      <w:tr w:rsidR="008F5CF8" w:rsidRPr="00CA4C14" w14:paraId="2DFD55B4" w14:textId="77777777" w:rsidTr="00A4418B">
        <w:trPr>
          <w:trHeight w:val="300"/>
        </w:trPr>
        <w:tc>
          <w:tcPr>
            <w:tcW w:w="2682" w:type="pct"/>
            <w:vAlign w:val="center"/>
            <w:hideMark/>
          </w:tcPr>
          <w:p w14:paraId="03A4B9A6" w14:textId="75298182" w:rsidR="008F5CF8" w:rsidRPr="00CA4C14" w:rsidRDefault="008F5CF8" w:rsidP="00A4418B">
            <w:pPr>
              <w:pStyle w:val="Tabletext"/>
              <w:spacing w:before="20" w:after="20"/>
              <w:rPr>
                <w:lang w:val="ru-RU"/>
              </w:rPr>
            </w:pPr>
            <w:r w:rsidRPr="00CA4C14">
              <w:rPr>
                <w:szCs w:val="18"/>
                <w:lang w:val="ru-RU"/>
              </w:rPr>
              <w:t>Увеличение</w:t>
            </w:r>
            <w:r w:rsidR="00EA5D58" w:rsidRPr="00CA4C14">
              <w:rPr>
                <w:szCs w:val="18"/>
                <w:lang w:val="ru-RU"/>
              </w:rPr>
              <w:t>/</w:t>
            </w:r>
            <w:r w:rsidRPr="00CA4C14">
              <w:rPr>
                <w:szCs w:val="18"/>
                <w:lang w:val="ru-RU"/>
              </w:rPr>
              <w:t>(уменьшение) суммы подлежащих уплате средств</w:t>
            </w:r>
          </w:p>
        </w:tc>
        <w:tc>
          <w:tcPr>
            <w:tcW w:w="754" w:type="pct"/>
            <w:hideMark/>
          </w:tcPr>
          <w:p w14:paraId="6172CE06" w14:textId="77777777" w:rsidR="008F5CF8" w:rsidRPr="00CA4C14" w:rsidRDefault="008F5CF8" w:rsidP="00A4418B">
            <w:pPr>
              <w:pStyle w:val="Tabletext"/>
              <w:spacing w:before="20" w:after="20"/>
              <w:jc w:val="center"/>
              <w:rPr>
                <w:lang w:val="ru-RU" w:eastAsia="en-GB"/>
              </w:rPr>
            </w:pPr>
            <w:r w:rsidRPr="00CA4C14">
              <w:rPr>
                <w:lang w:val="ru-RU" w:eastAsia="en-GB"/>
              </w:rPr>
              <w:t>14</w:t>
            </w:r>
          </w:p>
        </w:tc>
        <w:tc>
          <w:tcPr>
            <w:tcW w:w="706" w:type="pct"/>
            <w:noWrap/>
            <w:vAlign w:val="bottom"/>
            <w:hideMark/>
          </w:tcPr>
          <w:p w14:paraId="0C56A947"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2 497</w:t>
            </w:r>
          </w:p>
        </w:tc>
        <w:tc>
          <w:tcPr>
            <w:tcW w:w="859" w:type="pct"/>
            <w:noWrap/>
            <w:vAlign w:val="bottom"/>
            <w:hideMark/>
          </w:tcPr>
          <w:p w14:paraId="73A8CE40"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3 086</w:t>
            </w:r>
          </w:p>
        </w:tc>
      </w:tr>
      <w:tr w:rsidR="008F5CF8" w:rsidRPr="00CA4C14" w14:paraId="29640272" w14:textId="77777777" w:rsidTr="00A4418B">
        <w:trPr>
          <w:trHeight w:val="70"/>
        </w:trPr>
        <w:tc>
          <w:tcPr>
            <w:tcW w:w="2682" w:type="pct"/>
            <w:hideMark/>
          </w:tcPr>
          <w:p w14:paraId="6ACD95F5" w14:textId="77777777" w:rsidR="008F5CF8" w:rsidRPr="00CA4C14" w:rsidRDefault="008F5CF8" w:rsidP="00A4418B">
            <w:pPr>
              <w:pStyle w:val="Tabletext"/>
              <w:spacing w:before="20" w:after="20"/>
              <w:rPr>
                <w:lang w:val="ru-RU"/>
              </w:rPr>
            </w:pPr>
            <w:r w:rsidRPr="00CA4C14">
              <w:rPr>
                <w:szCs w:val="18"/>
                <w:lang w:val="ru-RU"/>
              </w:rPr>
              <w:t>Увеличение/(уменьшение) уплаченных авансом взносов</w:t>
            </w:r>
          </w:p>
        </w:tc>
        <w:tc>
          <w:tcPr>
            <w:tcW w:w="754" w:type="pct"/>
            <w:hideMark/>
          </w:tcPr>
          <w:p w14:paraId="6BFEC15A" w14:textId="77777777" w:rsidR="008F5CF8" w:rsidRPr="00CA4C14" w:rsidRDefault="008F5CF8" w:rsidP="00A4418B">
            <w:pPr>
              <w:pStyle w:val="Tabletext"/>
              <w:spacing w:before="20" w:after="20"/>
              <w:jc w:val="center"/>
              <w:rPr>
                <w:lang w:val="ru-RU" w:eastAsia="en-GB"/>
              </w:rPr>
            </w:pPr>
            <w:r w:rsidRPr="00CA4C14">
              <w:rPr>
                <w:lang w:val="ru-RU" w:eastAsia="en-GB"/>
              </w:rPr>
              <w:t>15</w:t>
            </w:r>
          </w:p>
        </w:tc>
        <w:tc>
          <w:tcPr>
            <w:tcW w:w="706" w:type="pct"/>
            <w:noWrap/>
            <w:vAlign w:val="bottom"/>
            <w:hideMark/>
          </w:tcPr>
          <w:p w14:paraId="274C8286"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(279)</w:t>
            </w:r>
          </w:p>
        </w:tc>
        <w:tc>
          <w:tcPr>
            <w:tcW w:w="859" w:type="pct"/>
            <w:noWrap/>
            <w:vAlign w:val="bottom"/>
            <w:hideMark/>
          </w:tcPr>
          <w:p w14:paraId="3D3806A7"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(2 749)</w:t>
            </w:r>
          </w:p>
        </w:tc>
      </w:tr>
      <w:tr w:rsidR="008F5CF8" w:rsidRPr="00CA4C14" w14:paraId="7FB0C76A" w14:textId="77777777" w:rsidTr="00A4418B">
        <w:trPr>
          <w:trHeight w:val="255"/>
        </w:trPr>
        <w:tc>
          <w:tcPr>
            <w:tcW w:w="2682" w:type="pct"/>
            <w:hideMark/>
          </w:tcPr>
          <w:p w14:paraId="7CBE97B7" w14:textId="77777777" w:rsidR="008F5CF8" w:rsidRPr="00CA4C14" w:rsidRDefault="008F5CF8" w:rsidP="00A4418B">
            <w:pPr>
              <w:pStyle w:val="Tabletext"/>
              <w:spacing w:before="20" w:after="20"/>
              <w:rPr>
                <w:lang w:val="ru-RU"/>
              </w:rPr>
            </w:pPr>
            <w:r w:rsidRPr="00CA4C14">
              <w:rPr>
                <w:szCs w:val="18"/>
                <w:lang w:val="ru-RU"/>
              </w:rPr>
              <w:t>Увеличение/(уменьшение) доходов будущих периодов</w:t>
            </w:r>
          </w:p>
        </w:tc>
        <w:tc>
          <w:tcPr>
            <w:tcW w:w="754" w:type="pct"/>
            <w:hideMark/>
          </w:tcPr>
          <w:p w14:paraId="36CF528C" w14:textId="77777777" w:rsidR="008F5CF8" w:rsidRPr="00CA4C14" w:rsidRDefault="008F5CF8" w:rsidP="00A4418B">
            <w:pPr>
              <w:pStyle w:val="Tabletext"/>
              <w:spacing w:before="20" w:after="20"/>
              <w:jc w:val="center"/>
              <w:rPr>
                <w:lang w:val="ru-RU" w:eastAsia="en-GB"/>
              </w:rPr>
            </w:pPr>
            <w:r w:rsidRPr="00CA4C14">
              <w:rPr>
                <w:lang w:val="ru-RU" w:eastAsia="en-GB"/>
              </w:rPr>
              <w:t>15</w:t>
            </w:r>
          </w:p>
        </w:tc>
        <w:tc>
          <w:tcPr>
            <w:tcW w:w="706" w:type="pct"/>
            <w:noWrap/>
            <w:vAlign w:val="bottom"/>
            <w:hideMark/>
          </w:tcPr>
          <w:p w14:paraId="4A9EA37E"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(3 642)</w:t>
            </w:r>
          </w:p>
        </w:tc>
        <w:tc>
          <w:tcPr>
            <w:tcW w:w="859" w:type="pct"/>
            <w:noWrap/>
            <w:vAlign w:val="bottom"/>
            <w:hideMark/>
          </w:tcPr>
          <w:p w14:paraId="42F3026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394</w:t>
            </w:r>
          </w:p>
        </w:tc>
      </w:tr>
      <w:tr w:rsidR="008F5CF8" w:rsidRPr="00CA4C14" w14:paraId="345D69E9" w14:textId="77777777" w:rsidTr="00A4418B">
        <w:trPr>
          <w:trHeight w:val="360"/>
        </w:trPr>
        <w:tc>
          <w:tcPr>
            <w:tcW w:w="2682" w:type="pct"/>
            <w:hideMark/>
          </w:tcPr>
          <w:p w14:paraId="3BDF3A13" w14:textId="24EBD494" w:rsidR="008F5CF8" w:rsidRPr="00CA4C14" w:rsidRDefault="008F5CF8" w:rsidP="00A4418B">
            <w:pPr>
              <w:pStyle w:val="Tabletext"/>
              <w:spacing w:before="20" w:after="20"/>
              <w:rPr>
                <w:lang w:val="ru-RU"/>
              </w:rPr>
            </w:pPr>
            <w:r w:rsidRPr="00CA4C14">
              <w:rPr>
                <w:szCs w:val="18"/>
                <w:lang w:val="ru-RU"/>
              </w:rPr>
              <w:t>Увеличение/(уменьшение) вознаграждения сотрудников</w:t>
            </w:r>
            <w:r w:rsidR="00EA5D58" w:rsidRPr="00CA4C14">
              <w:rPr>
                <w:szCs w:val="18"/>
                <w:lang w:val="ru-RU"/>
              </w:rPr>
              <w:t> </w:t>
            </w:r>
            <w:r w:rsidRPr="00CA4C14">
              <w:rPr>
                <w:szCs w:val="18"/>
                <w:lang w:val="ru-RU"/>
              </w:rPr>
              <w:sym w:font="Symbol" w:char="F02D"/>
            </w:r>
            <w:r w:rsidRPr="00CA4C14">
              <w:rPr>
                <w:szCs w:val="18"/>
                <w:lang w:val="ru-RU"/>
              </w:rPr>
              <w:t xml:space="preserve"> текущее</w:t>
            </w:r>
          </w:p>
        </w:tc>
        <w:tc>
          <w:tcPr>
            <w:tcW w:w="754" w:type="pct"/>
            <w:hideMark/>
          </w:tcPr>
          <w:p w14:paraId="7DC3BB72" w14:textId="77777777" w:rsidR="008F5CF8" w:rsidRPr="00CA4C14" w:rsidRDefault="008F5CF8" w:rsidP="00A4418B">
            <w:pPr>
              <w:pStyle w:val="Tabletext"/>
              <w:spacing w:before="20" w:after="20"/>
              <w:jc w:val="center"/>
              <w:rPr>
                <w:lang w:val="ru-RU" w:eastAsia="en-GB"/>
              </w:rPr>
            </w:pPr>
            <w:r w:rsidRPr="00CA4C14">
              <w:rPr>
                <w:lang w:val="ru-RU" w:eastAsia="en-GB"/>
              </w:rPr>
              <w:t>17</w:t>
            </w:r>
          </w:p>
        </w:tc>
        <w:tc>
          <w:tcPr>
            <w:tcW w:w="706" w:type="pct"/>
            <w:noWrap/>
            <w:vAlign w:val="bottom"/>
            <w:hideMark/>
          </w:tcPr>
          <w:p w14:paraId="58FB0EBB"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282</w:t>
            </w:r>
          </w:p>
        </w:tc>
        <w:tc>
          <w:tcPr>
            <w:tcW w:w="859" w:type="pct"/>
            <w:noWrap/>
            <w:vAlign w:val="bottom"/>
            <w:hideMark/>
          </w:tcPr>
          <w:p w14:paraId="327101C3"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(179)</w:t>
            </w:r>
          </w:p>
        </w:tc>
      </w:tr>
      <w:tr w:rsidR="008F5CF8" w:rsidRPr="00CA4C14" w14:paraId="4564E12A" w14:textId="77777777" w:rsidTr="00A4418B">
        <w:trPr>
          <w:trHeight w:val="255"/>
        </w:trPr>
        <w:tc>
          <w:tcPr>
            <w:tcW w:w="2682" w:type="pct"/>
            <w:vAlign w:val="center"/>
            <w:hideMark/>
          </w:tcPr>
          <w:p w14:paraId="7EB4E1D6" w14:textId="77777777" w:rsidR="008F5CF8" w:rsidRPr="00CA4C14" w:rsidRDefault="008F5CF8" w:rsidP="00A4418B">
            <w:pPr>
              <w:pStyle w:val="Tabletext"/>
              <w:spacing w:before="20" w:after="20"/>
              <w:rPr>
                <w:lang w:val="ru-RU"/>
              </w:rPr>
            </w:pPr>
            <w:r w:rsidRPr="00CA4C14">
              <w:rPr>
                <w:szCs w:val="18"/>
                <w:lang w:val="ru-RU"/>
              </w:rPr>
              <w:t>Увеличение/(уменьшение) резервного фонда</w:t>
            </w:r>
          </w:p>
        </w:tc>
        <w:tc>
          <w:tcPr>
            <w:tcW w:w="754" w:type="pct"/>
            <w:hideMark/>
          </w:tcPr>
          <w:p w14:paraId="7C48D8E8" w14:textId="77777777" w:rsidR="008F5CF8" w:rsidRPr="00CA4C14" w:rsidRDefault="008F5CF8" w:rsidP="00A4418B">
            <w:pPr>
              <w:pStyle w:val="Tabletext"/>
              <w:spacing w:before="20" w:after="20"/>
              <w:jc w:val="center"/>
              <w:rPr>
                <w:lang w:val="ru-RU" w:eastAsia="en-GB"/>
              </w:rPr>
            </w:pPr>
            <w:r w:rsidRPr="00CA4C14">
              <w:rPr>
                <w:lang w:val="ru-RU" w:eastAsia="en-GB"/>
              </w:rPr>
              <w:t>18</w:t>
            </w:r>
          </w:p>
        </w:tc>
        <w:tc>
          <w:tcPr>
            <w:tcW w:w="706" w:type="pct"/>
            <w:noWrap/>
            <w:vAlign w:val="bottom"/>
            <w:hideMark/>
          </w:tcPr>
          <w:p w14:paraId="11B63A64"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319</w:t>
            </w:r>
          </w:p>
        </w:tc>
        <w:tc>
          <w:tcPr>
            <w:tcW w:w="859" w:type="pct"/>
            <w:noWrap/>
            <w:vAlign w:val="bottom"/>
            <w:hideMark/>
          </w:tcPr>
          <w:p w14:paraId="16EAB66B"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87</w:t>
            </w:r>
          </w:p>
        </w:tc>
      </w:tr>
      <w:tr w:rsidR="008F5CF8" w:rsidRPr="00CA4C14" w14:paraId="69EB3DE2" w14:textId="77777777" w:rsidTr="00A4418B">
        <w:trPr>
          <w:trHeight w:val="255"/>
        </w:trPr>
        <w:tc>
          <w:tcPr>
            <w:tcW w:w="2682" w:type="pct"/>
            <w:vAlign w:val="center"/>
            <w:hideMark/>
          </w:tcPr>
          <w:p w14:paraId="4A1EEE3C" w14:textId="77777777" w:rsidR="008F5CF8" w:rsidRPr="00CA4C14" w:rsidRDefault="008F5CF8" w:rsidP="00A4418B">
            <w:pPr>
              <w:pStyle w:val="Tabletext"/>
              <w:spacing w:before="20" w:after="20"/>
              <w:rPr>
                <w:lang w:val="ru-RU"/>
              </w:rPr>
            </w:pPr>
            <w:r w:rsidRPr="00CA4C14">
              <w:rPr>
                <w:szCs w:val="18"/>
                <w:lang w:val="ru-RU"/>
              </w:rPr>
              <w:t>Увеличение</w:t>
            </w:r>
            <w:r w:rsidRPr="00CA4C14">
              <w:rPr>
                <w:lang w:val="ru-RU" w:eastAsia="en-GB"/>
              </w:rPr>
              <w:t>/(</w:t>
            </w:r>
            <w:r w:rsidRPr="00CA4C14">
              <w:rPr>
                <w:szCs w:val="18"/>
                <w:lang w:val="ru-RU"/>
              </w:rPr>
              <w:t>уменьшение</w:t>
            </w:r>
            <w:r w:rsidRPr="00CA4C14">
              <w:rPr>
                <w:lang w:val="ru-RU" w:eastAsia="en-GB"/>
              </w:rPr>
              <w:t xml:space="preserve">) </w:t>
            </w:r>
            <w:r w:rsidRPr="00CA4C14">
              <w:rPr>
                <w:szCs w:val="18"/>
                <w:lang w:val="ru-RU"/>
              </w:rPr>
              <w:t>прочей задолженности</w:t>
            </w:r>
          </w:p>
        </w:tc>
        <w:tc>
          <w:tcPr>
            <w:tcW w:w="754" w:type="pct"/>
            <w:hideMark/>
          </w:tcPr>
          <w:p w14:paraId="1FA655CE" w14:textId="77777777" w:rsidR="008F5CF8" w:rsidRPr="00CA4C14" w:rsidRDefault="008F5CF8" w:rsidP="00A4418B">
            <w:pPr>
              <w:pStyle w:val="Tabletext"/>
              <w:spacing w:before="20" w:after="20"/>
              <w:jc w:val="center"/>
              <w:rPr>
                <w:lang w:val="ru-RU" w:eastAsia="en-GB"/>
              </w:rPr>
            </w:pPr>
            <w:r w:rsidRPr="00CA4C14">
              <w:rPr>
                <w:lang w:val="ru-RU" w:eastAsia="en-GB"/>
              </w:rPr>
              <w:t>19</w:t>
            </w:r>
          </w:p>
        </w:tc>
        <w:tc>
          <w:tcPr>
            <w:tcW w:w="706" w:type="pct"/>
            <w:noWrap/>
            <w:vAlign w:val="bottom"/>
            <w:hideMark/>
          </w:tcPr>
          <w:p w14:paraId="4B3689CA"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827</w:t>
            </w:r>
          </w:p>
        </w:tc>
        <w:tc>
          <w:tcPr>
            <w:tcW w:w="859" w:type="pct"/>
            <w:noWrap/>
            <w:vAlign w:val="bottom"/>
            <w:hideMark/>
          </w:tcPr>
          <w:p w14:paraId="0650EEF1"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(2 732)</w:t>
            </w:r>
          </w:p>
        </w:tc>
      </w:tr>
      <w:tr w:rsidR="008F5CF8" w:rsidRPr="00CA4C14" w14:paraId="4313C41D" w14:textId="77777777" w:rsidTr="00A4418B">
        <w:trPr>
          <w:trHeight w:val="255"/>
        </w:trPr>
        <w:tc>
          <w:tcPr>
            <w:tcW w:w="2682" w:type="pct"/>
            <w:vAlign w:val="center"/>
            <w:hideMark/>
          </w:tcPr>
          <w:p w14:paraId="00B1F8FF" w14:textId="06595F90" w:rsidR="008F5CF8" w:rsidRPr="00CA4C14" w:rsidRDefault="008F5CF8" w:rsidP="00A4418B">
            <w:pPr>
              <w:pStyle w:val="Tabletext"/>
              <w:spacing w:before="20" w:after="20"/>
              <w:rPr>
                <w:lang w:val="ru-RU"/>
              </w:rPr>
            </w:pPr>
            <w:r w:rsidRPr="00CA4C14">
              <w:rPr>
                <w:szCs w:val="18"/>
                <w:lang w:val="ru-RU"/>
              </w:rPr>
              <w:t>Увеличение/(уменьшение) вознаграждения сотрудников</w:t>
            </w:r>
            <w:r w:rsidR="00EA5D58" w:rsidRPr="00CA4C14">
              <w:rPr>
                <w:szCs w:val="18"/>
                <w:lang w:val="ru-RU"/>
              </w:rPr>
              <w:t> </w:t>
            </w:r>
            <w:r w:rsidRPr="00CA4C14">
              <w:rPr>
                <w:szCs w:val="18"/>
                <w:lang w:val="ru-RU"/>
              </w:rPr>
              <w:t xml:space="preserve">– </w:t>
            </w:r>
            <w:proofErr w:type="spellStart"/>
            <w:r w:rsidRPr="00CA4C14">
              <w:rPr>
                <w:szCs w:val="18"/>
                <w:lang w:val="ru-RU"/>
              </w:rPr>
              <w:t>нетекущее</w:t>
            </w:r>
            <w:proofErr w:type="spellEnd"/>
          </w:p>
        </w:tc>
        <w:tc>
          <w:tcPr>
            <w:tcW w:w="754" w:type="pct"/>
            <w:hideMark/>
          </w:tcPr>
          <w:p w14:paraId="46AA05B5" w14:textId="77777777" w:rsidR="008F5CF8" w:rsidRPr="00CA4C14" w:rsidRDefault="008F5CF8" w:rsidP="00A4418B">
            <w:pPr>
              <w:pStyle w:val="Tabletext"/>
              <w:spacing w:before="20" w:after="20"/>
              <w:jc w:val="center"/>
              <w:rPr>
                <w:lang w:val="ru-RU" w:eastAsia="en-GB"/>
              </w:rPr>
            </w:pPr>
            <w:r w:rsidRPr="00CA4C14">
              <w:rPr>
                <w:lang w:val="ru-RU" w:eastAsia="en-GB"/>
              </w:rPr>
              <w:t>17</w:t>
            </w:r>
          </w:p>
        </w:tc>
        <w:tc>
          <w:tcPr>
            <w:tcW w:w="706" w:type="pct"/>
            <w:noWrap/>
            <w:vAlign w:val="bottom"/>
            <w:hideMark/>
          </w:tcPr>
          <w:p w14:paraId="03A9DE01"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(780)</w:t>
            </w:r>
          </w:p>
        </w:tc>
        <w:tc>
          <w:tcPr>
            <w:tcW w:w="859" w:type="pct"/>
            <w:noWrap/>
            <w:vAlign w:val="bottom"/>
            <w:hideMark/>
          </w:tcPr>
          <w:p w14:paraId="26B684D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77</w:t>
            </w:r>
          </w:p>
        </w:tc>
      </w:tr>
      <w:tr w:rsidR="008F5CF8" w:rsidRPr="00CA4C14" w14:paraId="30AB3E68" w14:textId="77777777" w:rsidTr="00A4418B">
        <w:trPr>
          <w:trHeight w:val="255"/>
        </w:trPr>
        <w:tc>
          <w:tcPr>
            <w:tcW w:w="2682" w:type="pct"/>
            <w:vAlign w:val="center"/>
            <w:hideMark/>
          </w:tcPr>
          <w:p w14:paraId="68575E5B" w14:textId="77777777" w:rsidR="008F5CF8" w:rsidRPr="00CA4C14" w:rsidRDefault="008F5CF8" w:rsidP="00A4418B">
            <w:pPr>
              <w:pStyle w:val="Tabletext"/>
              <w:spacing w:before="20" w:after="20"/>
              <w:rPr>
                <w:lang w:val="ru-RU"/>
              </w:rPr>
            </w:pPr>
            <w:r w:rsidRPr="00CA4C14">
              <w:rPr>
                <w:szCs w:val="18"/>
                <w:lang w:val="ru-RU"/>
              </w:rPr>
              <w:t>Увеличение/(уменьшение) средств третьих сторон</w:t>
            </w:r>
          </w:p>
        </w:tc>
        <w:tc>
          <w:tcPr>
            <w:tcW w:w="754" w:type="pct"/>
            <w:hideMark/>
          </w:tcPr>
          <w:p w14:paraId="7ACBB062" w14:textId="77777777" w:rsidR="008F5CF8" w:rsidRPr="00CA4C14" w:rsidRDefault="008F5CF8" w:rsidP="00A4418B">
            <w:pPr>
              <w:pStyle w:val="Tabletext"/>
              <w:spacing w:before="20" w:after="20"/>
              <w:jc w:val="center"/>
              <w:rPr>
                <w:lang w:val="ru-RU" w:eastAsia="en-GB"/>
              </w:rPr>
            </w:pPr>
            <w:r w:rsidRPr="00CA4C14">
              <w:rPr>
                <w:lang w:val="ru-RU" w:eastAsia="en-GB"/>
              </w:rPr>
              <w:t>20</w:t>
            </w:r>
          </w:p>
        </w:tc>
        <w:tc>
          <w:tcPr>
            <w:tcW w:w="706" w:type="pct"/>
            <w:noWrap/>
            <w:vAlign w:val="bottom"/>
            <w:hideMark/>
          </w:tcPr>
          <w:p w14:paraId="733A8BF2"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(160)</w:t>
            </w:r>
          </w:p>
        </w:tc>
        <w:tc>
          <w:tcPr>
            <w:tcW w:w="859" w:type="pct"/>
            <w:noWrap/>
            <w:vAlign w:val="bottom"/>
            <w:hideMark/>
          </w:tcPr>
          <w:p w14:paraId="2817B5EE"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(8 657)</w:t>
            </w:r>
          </w:p>
        </w:tc>
      </w:tr>
      <w:tr w:rsidR="008F5CF8" w:rsidRPr="00CA4C14" w14:paraId="55659DE5" w14:textId="77777777" w:rsidTr="00A4418B">
        <w:trPr>
          <w:trHeight w:val="270"/>
        </w:trPr>
        <w:tc>
          <w:tcPr>
            <w:tcW w:w="2682" w:type="pct"/>
            <w:hideMark/>
          </w:tcPr>
          <w:p w14:paraId="3485F88B" w14:textId="77777777" w:rsidR="008F5CF8" w:rsidRPr="00CA4C14" w:rsidRDefault="008F5CF8" w:rsidP="00A4418B">
            <w:pPr>
              <w:pStyle w:val="Tabletext"/>
              <w:spacing w:before="20" w:after="20"/>
              <w:rPr>
                <w:lang w:val="ru-RU"/>
              </w:rPr>
            </w:pPr>
            <w:r w:rsidRPr="00CA4C14">
              <w:rPr>
                <w:lang w:val="ru-RU" w:eastAsia="en-GB"/>
              </w:rPr>
              <w:t>Резервный фонд для сомнительных долгов</w:t>
            </w:r>
          </w:p>
        </w:tc>
        <w:tc>
          <w:tcPr>
            <w:tcW w:w="754" w:type="pct"/>
            <w:hideMark/>
          </w:tcPr>
          <w:p w14:paraId="129CC165" w14:textId="77777777" w:rsidR="008F5CF8" w:rsidRPr="00CA4C14" w:rsidRDefault="008F5CF8" w:rsidP="00A4418B">
            <w:pPr>
              <w:pStyle w:val="Tabletext"/>
              <w:spacing w:before="20" w:after="20"/>
              <w:jc w:val="center"/>
              <w:rPr>
                <w:lang w:val="ru-RU" w:eastAsia="en-GB"/>
              </w:rPr>
            </w:pPr>
            <w:r w:rsidRPr="00CA4C14">
              <w:rPr>
                <w:lang w:val="ru-RU" w:eastAsia="en-GB"/>
              </w:rPr>
              <w:t>9</w:t>
            </w:r>
          </w:p>
        </w:tc>
        <w:tc>
          <w:tcPr>
            <w:tcW w:w="706" w:type="pct"/>
            <w:noWrap/>
            <w:vAlign w:val="bottom"/>
            <w:hideMark/>
          </w:tcPr>
          <w:p w14:paraId="22B3EB74"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(1 786)</w:t>
            </w:r>
          </w:p>
        </w:tc>
        <w:tc>
          <w:tcPr>
            <w:tcW w:w="859" w:type="pct"/>
            <w:noWrap/>
            <w:vAlign w:val="bottom"/>
            <w:hideMark/>
          </w:tcPr>
          <w:p w14:paraId="6B5C779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(5 662)</w:t>
            </w:r>
          </w:p>
        </w:tc>
      </w:tr>
      <w:tr w:rsidR="008F5CF8" w:rsidRPr="00CA4C14" w14:paraId="0D308098" w14:textId="77777777" w:rsidTr="00A4418B">
        <w:trPr>
          <w:trHeight w:val="270"/>
        </w:trPr>
        <w:tc>
          <w:tcPr>
            <w:tcW w:w="2682" w:type="pct"/>
            <w:hideMark/>
          </w:tcPr>
          <w:p w14:paraId="36674EB5" w14:textId="77777777" w:rsidR="008F5CF8" w:rsidRPr="00CA4C14" w:rsidRDefault="008F5CF8" w:rsidP="00A4418B">
            <w:pPr>
              <w:pStyle w:val="Tabletext"/>
              <w:spacing w:before="20" w:after="20"/>
              <w:rPr>
                <w:lang w:val="ru-RU"/>
              </w:rPr>
            </w:pPr>
            <w:r w:rsidRPr="00CA4C14">
              <w:rPr>
                <w:szCs w:val="18"/>
                <w:lang w:val="ru-RU"/>
              </w:rPr>
              <w:t>Увеличение/(уменьшение) в результате переоценки долгосрочных займов</w:t>
            </w:r>
          </w:p>
        </w:tc>
        <w:tc>
          <w:tcPr>
            <w:tcW w:w="754" w:type="pct"/>
            <w:hideMark/>
          </w:tcPr>
          <w:p w14:paraId="34433A8A" w14:textId="77777777" w:rsidR="008F5CF8" w:rsidRPr="00CA4C14" w:rsidRDefault="008F5CF8" w:rsidP="00A4418B">
            <w:pPr>
              <w:pStyle w:val="Tabletext"/>
              <w:spacing w:before="20" w:after="20"/>
              <w:jc w:val="center"/>
              <w:rPr>
                <w:lang w:val="ru-RU" w:eastAsia="en-GB"/>
              </w:rPr>
            </w:pPr>
            <w:r w:rsidRPr="00CA4C14">
              <w:rPr>
                <w:lang w:val="ru-RU" w:eastAsia="en-GB"/>
              </w:rPr>
              <w:t>16</w:t>
            </w:r>
          </w:p>
        </w:tc>
        <w:tc>
          <w:tcPr>
            <w:tcW w:w="706" w:type="pct"/>
            <w:noWrap/>
            <w:vAlign w:val="bottom"/>
            <w:hideMark/>
          </w:tcPr>
          <w:p w14:paraId="1229903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4 055</w:t>
            </w:r>
          </w:p>
        </w:tc>
        <w:tc>
          <w:tcPr>
            <w:tcW w:w="859" w:type="pct"/>
            <w:noWrap/>
            <w:vAlign w:val="bottom"/>
            <w:hideMark/>
          </w:tcPr>
          <w:p w14:paraId="5F8F07F1"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(6 176)</w:t>
            </w:r>
          </w:p>
        </w:tc>
      </w:tr>
      <w:tr w:rsidR="008F5CF8" w:rsidRPr="00CA4C14" w14:paraId="6D67D5D3" w14:textId="77777777" w:rsidTr="00A4418B">
        <w:trPr>
          <w:trHeight w:val="270"/>
        </w:trPr>
        <w:tc>
          <w:tcPr>
            <w:tcW w:w="2682" w:type="pct"/>
            <w:vAlign w:val="center"/>
            <w:hideMark/>
          </w:tcPr>
          <w:p w14:paraId="18C20B1B" w14:textId="77777777" w:rsidR="008F5CF8" w:rsidRPr="00CA4C14" w:rsidRDefault="008F5CF8" w:rsidP="00A4418B">
            <w:pPr>
              <w:pStyle w:val="Tabletext"/>
              <w:spacing w:before="20" w:after="20"/>
              <w:rPr>
                <w:lang w:val="ru-RU"/>
              </w:rPr>
            </w:pPr>
            <w:r w:rsidRPr="00CA4C14">
              <w:rPr>
                <w:szCs w:val="18"/>
                <w:lang w:val="ru-RU"/>
              </w:rPr>
              <w:t>(Полученные)/выплаченные проценты</w:t>
            </w:r>
          </w:p>
        </w:tc>
        <w:tc>
          <w:tcPr>
            <w:tcW w:w="754" w:type="pct"/>
            <w:hideMark/>
          </w:tcPr>
          <w:p w14:paraId="6730D403" w14:textId="77777777" w:rsidR="008F5CF8" w:rsidRPr="00CA4C14" w:rsidRDefault="008F5CF8" w:rsidP="00A4418B">
            <w:pPr>
              <w:pStyle w:val="Tabletext"/>
              <w:spacing w:before="20" w:after="20"/>
              <w:jc w:val="center"/>
              <w:rPr>
                <w:lang w:val="ru-RU" w:eastAsia="en-GB"/>
              </w:rPr>
            </w:pPr>
            <w:r w:rsidRPr="00CA4C14">
              <w:rPr>
                <w:lang w:val="ru-RU" w:eastAsia="en-GB"/>
              </w:rPr>
              <w:t>21</w:t>
            </w:r>
          </w:p>
        </w:tc>
        <w:tc>
          <w:tcPr>
            <w:tcW w:w="706" w:type="pct"/>
            <w:noWrap/>
            <w:vAlign w:val="bottom"/>
            <w:hideMark/>
          </w:tcPr>
          <w:p w14:paraId="574262B0"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(4 559)</w:t>
            </w:r>
          </w:p>
        </w:tc>
        <w:tc>
          <w:tcPr>
            <w:tcW w:w="859" w:type="pct"/>
            <w:noWrap/>
            <w:vAlign w:val="bottom"/>
            <w:hideMark/>
          </w:tcPr>
          <w:p w14:paraId="28D0CD7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(1 523)</w:t>
            </w:r>
          </w:p>
        </w:tc>
      </w:tr>
      <w:tr w:rsidR="008F5CF8" w:rsidRPr="00CA4C14" w14:paraId="0F29A9E9" w14:textId="77777777" w:rsidTr="00A4418B">
        <w:trPr>
          <w:trHeight w:val="270"/>
        </w:trPr>
        <w:tc>
          <w:tcPr>
            <w:tcW w:w="2682" w:type="pct"/>
            <w:vAlign w:val="center"/>
            <w:hideMark/>
          </w:tcPr>
          <w:p w14:paraId="4383004E" w14:textId="77777777" w:rsidR="008F5CF8" w:rsidRPr="00CA4C14" w:rsidRDefault="008F5CF8" w:rsidP="00A4418B">
            <w:pPr>
              <w:pStyle w:val="Tabletext"/>
              <w:spacing w:before="20" w:after="20"/>
              <w:rPr>
                <w:lang w:val="ru-RU"/>
              </w:rPr>
            </w:pPr>
            <w:r w:rsidRPr="00CA4C14">
              <w:rPr>
                <w:lang w:val="ru-RU" w:eastAsia="en-GB"/>
              </w:rPr>
              <w:t>Неполученные курсовые прибыли/убытки по операциям</w:t>
            </w:r>
          </w:p>
        </w:tc>
        <w:tc>
          <w:tcPr>
            <w:tcW w:w="754" w:type="pct"/>
            <w:hideMark/>
          </w:tcPr>
          <w:p w14:paraId="13AF8588" w14:textId="77777777" w:rsidR="008F5CF8" w:rsidRPr="00CA4C14" w:rsidRDefault="008F5CF8" w:rsidP="00A4418B">
            <w:pPr>
              <w:pStyle w:val="Tabletext"/>
              <w:spacing w:before="20" w:after="20"/>
              <w:jc w:val="center"/>
              <w:rPr>
                <w:lang w:val="ru-RU" w:eastAsia="en-GB"/>
              </w:rPr>
            </w:pPr>
            <w:r w:rsidRPr="00CA4C14">
              <w:rPr>
                <w:lang w:val="ru-RU" w:eastAsia="en-GB"/>
              </w:rPr>
              <w:t>21</w:t>
            </w:r>
          </w:p>
        </w:tc>
        <w:tc>
          <w:tcPr>
            <w:tcW w:w="706" w:type="pct"/>
            <w:noWrap/>
            <w:vAlign w:val="bottom"/>
            <w:hideMark/>
          </w:tcPr>
          <w:p w14:paraId="4FA27A09"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17</w:t>
            </w:r>
          </w:p>
        </w:tc>
        <w:tc>
          <w:tcPr>
            <w:tcW w:w="859" w:type="pct"/>
            <w:noWrap/>
            <w:vAlign w:val="bottom"/>
            <w:hideMark/>
          </w:tcPr>
          <w:p w14:paraId="27309DFD"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(617)</w:t>
            </w:r>
          </w:p>
        </w:tc>
      </w:tr>
      <w:tr w:rsidR="008F5CF8" w:rsidRPr="00CA4C14" w14:paraId="022BFB44" w14:textId="77777777" w:rsidTr="00A4418B">
        <w:trPr>
          <w:trHeight w:val="70"/>
        </w:trPr>
        <w:tc>
          <w:tcPr>
            <w:tcW w:w="2682" w:type="pct"/>
            <w:noWrap/>
            <w:hideMark/>
          </w:tcPr>
          <w:p w14:paraId="4C680F8F" w14:textId="77777777" w:rsidR="008F5CF8" w:rsidRPr="00CA4C14" w:rsidRDefault="008F5CF8" w:rsidP="00A4418B">
            <w:pPr>
              <w:pStyle w:val="Tabletext"/>
              <w:spacing w:before="0" w:after="0"/>
              <w:rPr>
                <w:lang w:val="ru-RU"/>
              </w:rPr>
            </w:pPr>
          </w:p>
        </w:tc>
        <w:tc>
          <w:tcPr>
            <w:tcW w:w="754" w:type="pct"/>
            <w:noWrap/>
            <w:hideMark/>
          </w:tcPr>
          <w:p w14:paraId="4F29B877" w14:textId="77777777" w:rsidR="008F5CF8" w:rsidRPr="00CA4C14" w:rsidRDefault="008F5CF8" w:rsidP="00A4418B">
            <w:pPr>
              <w:pStyle w:val="Tabletext"/>
              <w:spacing w:before="0" w:after="0"/>
              <w:jc w:val="center"/>
              <w:rPr>
                <w:lang w:val="ru-RU" w:eastAsia="en-GB"/>
              </w:rPr>
            </w:pPr>
          </w:p>
        </w:tc>
        <w:tc>
          <w:tcPr>
            <w:tcW w:w="706" w:type="pct"/>
            <w:noWrap/>
            <w:vAlign w:val="bottom"/>
            <w:hideMark/>
          </w:tcPr>
          <w:p w14:paraId="0E968D11" w14:textId="77777777" w:rsidR="008F5CF8" w:rsidRPr="00CA4C14" w:rsidRDefault="008F5CF8" w:rsidP="00A4418B">
            <w:pPr>
              <w:pStyle w:val="Tabletext"/>
              <w:spacing w:before="0" w:after="0"/>
              <w:jc w:val="right"/>
              <w:rPr>
                <w:szCs w:val="18"/>
                <w:lang w:val="ru-RU" w:eastAsia="en-GB"/>
              </w:rPr>
            </w:pPr>
          </w:p>
        </w:tc>
        <w:tc>
          <w:tcPr>
            <w:tcW w:w="859" w:type="pct"/>
            <w:noWrap/>
            <w:vAlign w:val="bottom"/>
            <w:hideMark/>
          </w:tcPr>
          <w:p w14:paraId="40AE84DD" w14:textId="77777777" w:rsidR="008F5CF8" w:rsidRPr="00CA4C14" w:rsidRDefault="008F5CF8" w:rsidP="00A4418B">
            <w:pPr>
              <w:pStyle w:val="Tabletext"/>
              <w:spacing w:before="0" w:after="0"/>
              <w:jc w:val="right"/>
              <w:rPr>
                <w:szCs w:val="18"/>
                <w:lang w:val="ru-RU" w:eastAsia="en-GB"/>
              </w:rPr>
            </w:pPr>
          </w:p>
        </w:tc>
      </w:tr>
      <w:tr w:rsidR="008F5CF8" w:rsidRPr="00CA4C14" w14:paraId="1E4ED62B" w14:textId="77777777" w:rsidTr="00A4418B">
        <w:trPr>
          <w:trHeight w:val="255"/>
        </w:trPr>
        <w:tc>
          <w:tcPr>
            <w:tcW w:w="2682" w:type="pct"/>
            <w:hideMark/>
          </w:tcPr>
          <w:p w14:paraId="6C52FF2C" w14:textId="77777777" w:rsidR="008F5CF8" w:rsidRPr="00CA4C14" w:rsidRDefault="008F5CF8" w:rsidP="00A4418B">
            <w:pPr>
              <w:pStyle w:val="Tabletext"/>
              <w:spacing w:before="20" w:after="20"/>
              <w:rPr>
                <w:lang w:val="ru-RU"/>
              </w:rPr>
            </w:pPr>
            <w:r w:rsidRPr="00CA4C14">
              <w:rPr>
                <w:b/>
                <w:bCs/>
                <w:szCs w:val="18"/>
                <w:lang w:val="ru-RU"/>
              </w:rPr>
              <w:t>Движение денежных средств в результате инвестиционной деятельности</w:t>
            </w:r>
          </w:p>
        </w:tc>
        <w:tc>
          <w:tcPr>
            <w:tcW w:w="754" w:type="pct"/>
            <w:hideMark/>
          </w:tcPr>
          <w:p w14:paraId="47141FEA" w14:textId="77777777" w:rsidR="008F5CF8" w:rsidRPr="00CA4C14" w:rsidRDefault="008F5CF8" w:rsidP="00A4418B">
            <w:pPr>
              <w:pStyle w:val="Tabletext"/>
              <w:spacing w:before="20" w:after="20"/>
              <w:jc w:val="center"/>
              <w:rPr>
                <w:lang w:val="ru-RU" w:eastAsia="en-GB"/>
              </w:rPr>
            </w:pPr>
          </w:p>
        </w:tc>
        <w:tc>
          <w:tcPr>
            <w:tcW w:w="706" w:type="pct"/>
            <w:noWrap/>
            <w:vAlign w:val="bottom"/>
            <w:hideMark/>
          </w:tcPr>
          <w:p w14:paraId="6A19382F"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(14 912)</w:t>
            </w:r>
          </w:p>
        </w:tc>
        <w:tc>
          <w:tcPr>
            <w:tcW w:w="859" w:type="pct"/>
            <w:noWrap/>
            <w:vAlign w:val="bottom"/>
            <w:hideMark/>
          </w:tcPr>
          <w:p w14:paraId="648D5DA8"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(11 041)</w:t>
            </w:r>
          </w:p>
        </w:tc>
      </w:tr>
      <w:tr w:rsidR="008F5CF8" w:rsidRPr="00CA4C14" w14:paraId="771A1E98" w14:textId="77777777" w:rsidTr="00A4418B">
        <w:trPr>
          <w:trHeight w:val="70"/>
        </w:trPr>
        <w:tc>
          <w:tcPr>
            <w:tcW w:w="2682" w:type="pct"/>
            <w:hideMark/>
          </w:tcPr>
          <w:p w14:paraId="517AE4D2" w14:textId="77777777" w:rsidR="008F5CF8" w:rsidRPr="00CA4C14" w:rsidRDefault="008F5CF8" w:rsidP="00A4418B">
            <w:pPr>
              <w:pStyle w:val="Tabletext"/>
              <w:spacing w:before="0" w:after="0"/>
              <w:rPr>
                <w:lang w:val="ru-RU"/>
              </w:rPr>
            </w:pPr>
          </w:p>
        </w:tc>
        <w:tc>
          <w:tcPr>
            <w:tcW w:w="754" w:type="pct"/>
            <w:hideMark/>
          </w:tcPr>
          <w:p w14:paraId="72A924C7" w14:textId="77777777" w:rsidR="008F5CF8" w:rsidRPr="00CA4C14" w:rsidRDefault="008F5CF8" w:rsidP="00A4418B">
            <w:pPr>
              <w:pStyle w:val="Tabletext"/>
              <w:spacing w:before="0" w:after="0"/>
              <w:jc w:val="center"/>
              <w:rPr>
                <w:lang w:val="ru-RU" w:eastAsia="en-GB"/>
              </w:rPr>
            </w:pPr>
          </w:p>
        </w:tc>
        <w:tc>
          <w:tcPr>
            <w:tcW w:w="706" w:type="pct"/>
            <w:noWrap/>
            <w:vAlign w:val="bottom"/>
            <w:hideMark/>
          </w:tcPr>
          <w:p w14:paraId="5DF4D3FD" w14:textId="77777777" w:rsidR="008F5CF8" w:rsidRPr="00CA4C14" w:rsidRDefault="008F5CF8" w:rsidP="00A4418B">
            <w:pPr>
              <w:pStyle w:val="Tabletext"/>
              <w:spacing w:before="0" w:after="0"/>
              <w:jc w:val="right"/>
              <w:rPr>
                <w:szCs w:val="18"/>
                <w:lang w:val="ru-RU" w:eastAsia="en-GB"/>
              </w:rPr>
            </w:pPr>
          </w:p>
        </w:tc>
        <w:tc>
          <w:tcPr>
            <w:tcW w:w="859" w:type="pct"/>
            <w:noWrap/>
            <w:vAlign w:val="bottom"/>
            <w:hideMark/>
          </w:tcPr>
          <w:p w14:paraId="147567C1" w14:textId="77777777" w:rsidR="008F5CF8" w:rsidRPr="00CA4C14" w:rsidRDefault="008F5CF8" w:rsidP="00A4418B">
            <w:pPr>
              <w:pStyle w:val="Tabletext"/>
              <w:spacing w:before="0" w:after="0"/>
              <w:jc w:val="right"/>
              <w:rPr>
                <w:szCs w:val="18"/>
                <w:lang w:val="ru-RU" w:eastAsia="en-GB"/>
              </w:rPr>
            </w:pPr>
          </w:p>
        </w:tc>
      </w:tr>
      <w:tr w:rsidR="008F5CF8" w:rsidRPr="009A3216" w14:paraId="4FD4BF05" w14:textId="77777777" w:rsidTr="00A4418B">
        <w:trPr>
          <w:trHeight w:val="255"/>
        </w:trPr>
        <w:tc>
          <w:tcPr>
            <w:tcW w:w="2682" w:type="pct"/>
            <w:hideMark/>
          </w:tcPr>
          <w:p w14:paraId="401491FF" w14:textId="77777777" w:rsidR="008F5CF8" w:rsidRPr="00CA4C14" w:rsidRDefault="008F5CF8" w:rsidP="00A4418B">
            <w:pPr>
              <w:pStyle w:val="Tabletext"/>
              <w:spacing w:before="20" w:after="20"/>
              <w:rPr>
                <w:lang w:val="ru-RU"/>
              </w:rPr>
            </w:pPr>
            <w:r w:rsidRPr="00CA4C14">
              <w:rPr>
                <w:b/>
                <w:bCs/>
                <w:szCs w:val="18"/>
                <w:lang w:val="ru-RU"/>
              </w:rPr>
              <w:t>Движение денежных средств в результате инвестиционной деятельности</w:t>
            </w:r>
          </w:p>
        </w:tc>
        <w:tc>
          <w:tcPr>
            <w:tcW w:w="754" w:type="pct"/>
            <w:hideMark/>
          </w:tcPr>
          <w:p w14:paraId="7031C950" w14:textId="77777777" w:rsidR="008F5CF8" w:rsidRPr="00CA4C14" w:rsidRDefault="008F5CF8" w:rsidP="00A4418B">
            <w:pPr>
              <w:pStyle w:val="Tabletext"/>
              <w:spacing w:before="20" w:after="20"/>
              <w:jc w:val="center"/>
              <w:rPr>
                <w:lang w:val="ru-RU" w:eastAsia="en-GB"/>
              </w:rPr>
            </w:pPr>
          </w:p>
        </w:tc>
        <w:tc>
          <w:tcPr>
            <w:tcW w:w="706" w:type="pct"/>
            <w:noWrap/>
            <w:vAlign w:val="bottom"/>
            <w:hideMark/>
          </w:tcPr>
          <w:p w14:paraId="4104EE8F" w14:textId="77777777" w:rsidR="008F5CF8" w:rsidRPr="00CA4C14" w:rsidRDefault="008F5CF8" w:rsidP="00A4418B">
            <w:pPr>
              <w:pStyle w:val="Tabletext"/>
              <w:spacing w:before="20" w:after="20"/>
              <w:jc w:val="right"/>
              <w:rPr>
                <w:szCs w:val="18"/>
                <w:lang w:val="ru-RU" w:eastAsia="en-GB"/>
              </w:rPr>
            </w:pPr>
          </w:p>
        </w:tc>
        <w:tc>
          <w:tcPr>
            <w:tcW w:w="859" w:type="pct"/>
            <w:noWrap/>
            <w:vAlign w:val="bottom"/>
            <w:hideMark/>
          </w:tcPr>
          <w:p w14:paraId="7540BE62" w14:textId="77777777" w:rsidR="008F5CF8" w:rsidRPr="00CA4C14" w:rsidRDefault="008F5CF8" w:rsidP="00A4418B">
            <w:pPr>
              <w:pStyle w:val="Tabletext"/>
              <w:spacing w:before="20" w:after="20"/>
              <w:jc w:val="right"/>
              <w:rPr>
                <w:szCs w:val="18"/>
                <w:lang w:val="ru-RU" w:eastAsia="en-GB"/>
              </w:rPr>
            </w:pPr>
          </w:p>
        </w:tc>
      </w:tr>
      <w:tr w:rsidR="008F5CF8" w:rsidRPr="00CA4C14" w14:paraId="313360F2" w14:textId="77777777" w:rsidTr="00A4418B">
        <w:trPr>
          <w:trHeight w:val="255"/>
        </w:trPr>
        <w:tc>
          <w:tcPr>
            <w:tcW w:w="2682" w:type="pct"/>
            <w:hideMark/>
          </w:tcPr>
          <w:p w14:paraId="2FB101C0" w14:textId="77777777" w:rsidR="008F5CF8" w:rsidRPr="00CA4C14" w:rsidRDefault="008F5CF8" w:rsidP="00A4418B">
            <w:pPr>
              <w:pStyle w:val="Tabletext"/>
              <w:spacing w:before="20" w:after="20"/>
              <w:rPr>
                <w:lang w:val="ru-RU"/>
              </w:rPr>
            </w:pPr>
            <w:r w:rsidRPr="00CA4C14">
              <w:rPr>
                <w:lang w:val="ru-RU" w:eastAsia="en-GB"/>
              </w:rPr>
              <w:t>Проценты, полученные от краткосрочных инвестиций</w:t>
            </w:r>
          </w:p>
        </w:tc>
        <w:tc>
          <w:tcPr>
            <w:tcW w:w="754" w:type="pct"/>
            <w:hideMark/>
          </w:tcPr>
          <w:p w14:paraId="349D01E9" w14:textId="77777777" w:rsidR="008F5CF8" w:rsidRPr="00CA4C14" w:rsidRDefault="008F5CF8" w:rsidP="00A4418B">
            <w:pPr>
              <w:pStyle w:val="Tabletext"/>
              <w:spacing w:before="20" w:after="20"/>
              <w:jc w:val="center"/>
              <w:rPr>
                <w:lang w:val="ru-RU" w:eastAsia="en-GB"/>
              </w:rPr>
            </w:pPr>
            <w:r w:rsidRPr="00CA4C14">
              <w:rPr>
                <w:lang w:val="ru-RU" w:eastAsia="en-GB"/>
              </w:rPr>
              <w:t>21</w:t>
            </w:r>
          </w:p>
        </w:tc>
        <w:tc>
          <w:tcPr>
            <w:tcW w:w="706" w:type="pct"/>
            <w:noWrap/>
            <w:vAlign w:val="bottom"/>
            <w:hideMark/>
          </w:tcPr>
          <w:p w14:paraId="065F1559"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4 559</w:t>
            </w:r>
          </w:p>
        </w:tc>
        <w:tc>
          <w:tcPr>
            <w:tcW w:w="859" w:type="pct"/>
            <w:noWrap/>
            <w:vAlign w:val="bottom"/>
            <w:hideMark/>
          </w:tcPr>
          <w:p w14:paraId="08C2B8A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1 523</w:t>
            </w:r>
          </w:p>
        </w:tc>
      </w:tr>
      <w:tr w:rsidR="008F5CF8" w:rsidRPr="00CA4C14" w14:paraId="5527C309" w14:textId="77777777" w:rsidTr="00A4418B">
        <w:trPr>
          <w:trHeight w:val="255"/>
        </w:trPr>
        <w:tc>
          <w:tcPr>
            <w:tcW w:w="2682" w:type="pct"/>
            <w:hideMark/>
          </w:tcPr>
          <w:p w14:paraId="1B1B022D" w14:textId="77777777" w:rsidR="008F5CF8" w:rsidRPr="00CA4C14" w:rsidRDefault="008F5CF8" w:rsidP="00A4418B">
            <w:pPr>
              <w:pStyle w:val="Tabletext"/>
              <w:spacing w:before="20" w:after="20"/>
              <w:rPr>
                <w:lang w:val="ru-RU"/>
              </w:rPr>
            </w:pPr>
            <w:r w:rsidRPr="00CA4C14">
              <w:rPr>
                <w:szCs w:val="18"/>
                <w:lang w:val="ru-RU"/>
              </w:rPr>
              <w:t>(Увеличение)/</w:t>
            </w:r>
            <w:r w:rsidRPr="00CA4C14">
              <w:rPr>
                <w:lang w:val="ru-RU" w:eastAsia="en-GB"/>
              </w:rPr>
              <w:t>реализация инвестиций</w:t>
            </w:r>
          </w:p>
        </w:tc>
        <w:tc>
          <w:tcPr>
            <w:tcW w:w="754" w:type="pct"/>
            <w:hideMark/>
          </w:tcPr>
          <w:p w14:paraId="762F3F27" w14:textId="77777777" w:rsidR="008F5CF8" w:rsidRPr="00CA4C14" w:rsidRDefault="008F5CF8" w:rsidP="00A4418B">
            <w:pPr>
              <w:pStyle w:val="Tabletext"/>
              <w:spacing w:before="20" w:after="20"/>
              <w:jc w:val="center"/>
              <w:rPr>
                <w:lang w:val="ru-RU" w:eastAsia="en-GB"/>
              </w:rPr>
            </w:pPr>
            <w:r w:rsidRPr="00CA4C14">
              <w:rPr>
                <w:lang w:val="ru-RU" w:eastAsia="en-GB"/>
              </w:rPr>
              <w:t>8</w:t>
            </w:r>
          </w:p>
        </w:tc>
        <w:tc>
          <w:tcPr>
            <w:tcW w:w="706" w:type="pct"/>
            <w:noWrap/>
            <w:vAlign w:val="bottom"/>
            <w:hideMark/>
          </w:tcPr>
          <w:p w14:paraId="0D96ADF6"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(22 874)</w:t>
            </w:r>
          </w:p>
        </w:tc>
        <w:tc>
          <w:tcPr>
            <w:tcW w:w="859" w:type="pct"/>
            <w:noWrap/>
            <w:vAlign w:val="bottom"/>
            <w:hideMark/>
          </w:tcPr>
          <w:p w14:paraId="689C7455"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7 415</w:t>
            </w:r>
          </w:p>
        </w:tc>
      </w:tr>
      <w:tr w:rsidR="008F5CF8" w:rsidRPr="00CA4C14" w14:paraId="65A9F41C" w14:textId="77777777" w:rsidTr="00A4418B">
        <w:trPr>
          <w:trHeight w:val="270"/>
        </w:trPr>
        <w:tc>
          <w:tcPr>
            <w:tcW w:w="2682" w:type="pct"/>
            <w:vAlign w:val="center"/>
            <w:hideMark/>
          </w:tcPr>
          <w:p w14:paraId="71720828" w14:textId="77777777" w:rsidR="008F5CF8" w:rsidRPr="00CA4C14" w:rsidRDefault="008F5CF8" w:rsidP="00A4418B">
            <w:pPr>
              <w:pStyle w:val="Tabletext"/>
              <w:spacing w:before="20" w:after="20"/>
              <w:rPr>
                <w:lang w:val="ru-RU"/>
              </w:rPr>
            </w:pPr>
            <w:r w:rsidRPr="00CA4C14">
              <w:rPr>
                <w:lang w:val="ru-RU" w:eastAsia="en-GB"/>
              </w:rPr>
              <w:t>Неполученные курсовые прибыли/убытки по инвестициям</w:t>
            </w:r>
          </w:p>
        </w:tc>
        <w:tc>
          <w:tcPr>
            <w:tcW w:w="754" w:type="pct"/>
            <w:hideMark/>
          </w:tcPr>
          <w:p w14:paraId="3EAFE935" w14:textId="77777777" w:rsidR="008F5CF8" w:rsidRPr="00CA4C14" w:rsidRDefault="008F5CF8" w:rsidP="00A4418B">
            <w:pPr>
              <w:pStyle w:val="Tabletext"/>
              <w:spacing w:before="20" w:after="20"/>
              <w:jc w:val="center"/>
              <w:rPr>
                <w:lang w:val="ru-RU" w:eastAsia="en-GB"/>
              </w:rPr>
            </w:pPr>
            <w:r w:rsidRPr="00CA4C14">
              <w:rPr>
                <w:lang w:val="ru-RU" w:eastAsia="en-GB"/>
              </w:rPr>
              <w:t>21</w:t>
            </w:r>
          </w:p>
        </w:tc>
        <w:tc>
          <w:tcPr>
            <w:tcW w:w="706" w:type="pct"/>
            <w:noWrap/>
            <w:vAlign w:val="bottom"/>
            <w:hideMark/>
          </w:tcPr>
          <w:p w14:paraId="7D9267B3"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2 614</w:t>
            </w:r>
          </w:p>
        </w:tc>
        <w:tc>
          <w:tcPr>
            <w:tcW w:w="859" w:type="pct"/>
            <w:noWrap/>
            <w:vAlign w:val="bottom"/>
            <w:hideMark/>
          </w:tcPr>
          <w:p w14:paraId="74A128DF"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950</w:t>
            </w:r>
          </w:p>
        </w:tc>
      </w:tr>
      <w:tr w:rsidR="008F5CF8" w:rsidRPr="00CA4C14" w14:paraId="7C1C7D2A" w14:textId="77777777" w:rsidTr="00A4418B">
        <w:trPr>
          <w:trHeight w:val="255"/>
        </w:trPr>
        <w:tc>
          <w:tcPr>
            <w:tcW w:w="2682" w:type="pct"/>
            <w:vAlign w:val="center"/>
            <w:hideMark/>
          </w:tcPr>
          <w:p w14:paraId="4406D52D" w14:textId="77777777" w:rsidR="008F5CF8" w:rsidRPr="00CA4C14" w:rsidRDefault="008F5CF8" w:rsidP="00A4418B">
            <w:pPr>
              <w:pStyle w:val="Tabletext"/>
              <w:spacing w:before="20" w:after="20"/>
              <w:rPr>
                <w:lang w:val="ru-RU"/>
              </w:rPr>
            </w:pPr>
            <w:r w:rsidRPr="00CA4C14">
              <w:rPr>
                <w:szCs w:val="18"/>
                <w:lang w:val="ru-RU"/>
              </w:rPr>
              <w:t>(Увеличение)/уменьшение материальных активов</w:t>
            </w:r>
          </w:p>
        </w:tc>
        <w:tc>
          <w:tcPr>
            <w:tcW w:w="754" w:type="pct"/>
            <w:hideMark/>
          </w:tcPr>
          <w:p w14:paraId="552CF49D" w14:textId="77777777" w:rsidR="008F5CF8" w:rsidRPr="00CA4C14" w:rsidRDefault="008F5CF8" w:rsidP="00A4418B">
            <w:pPr>
              <w:pStyle w:val="Tabletext"/>
              <w:spacing w:before="20" w:after="20"/>
              <w:jc w:val="center"/>
              <w:rPr>
                <w:lang w:val="ru-RU" w:eastAsia="en-GB"/>
              </w:rPr>
            </w:pPr>
            <w:r w:rsidRPr="00CA4C14">
              <w:rPr>
                <w:lang w:val="ru-RU" w:eastAsia="en-GB"/>
              </w:rPr>
              <w:t>11</w:t>
            </w:r>
          </w:p>
        </w:tc>
        <w:tc>
          <w:tcPr>
            <w:tcW w:w="706" w:type="pct"/>
            <w:noWrap/>
            <w:vAlign w:val="bottom"/>
            <w:hideMark/>
          </w:tcPr>
          <w:p w14:paraId="38B12000"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(86)</w:t>
            </w:r>
          </w:p>
        </w:tc>
        <w:tc>
          <w:tcPr>
            <w:tcW w:w="859" w:type="pct"/>
            <w:noWrap/>
            <w:vAlign w:val="bottom"/>
            <w:hideMark/>
          </w:tcPr>
          <w:p w14:paraId="7E25683A"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(283)</w:t>
            </w:r>
          </w:p>
        </w:tc>
      </w:tr>
      <w:tr w:rsidR="008F5CF8" w:rsidRPr="00CA4C14" w14:paraId="0D54CB69" w14:textId="77777777" w:rsidTr="00A4418B">
        <w:trPr>
          <w:trHeight w:val="255"/>
        </w:trPr>
        <w:tc>
          <w:tcPr>
            <w:tcW w:w="2682" w:type="pct"/>
            <w:vAlign w:val="center"/>
            <w:hideMark/>
          </w:tcPr>
          <w:p w14:paraId="6BFABD73" w14:textId="6BFDD466" w:rsidR="008F5CF8" w:rsidRPr="00CA4C14" w:rsidRDefault="008F5CF8" w:rsidP="00A4418B">
            <w:pPr>
              <w:pStyle w:val="Tabletext"/>
              <w:spacing w:before="20" w:after="20"/>
              <w:rPr>
                <w:lang w:val="ru-RU"/>
              </w:rPr>
            </w:pPr>
            <w:r w:rsidRPr="00CA4C14">
              <w:rPr>
                <w:szCs w:val="18"/>
                <w:lang w:val="ru-RU"/>
              </w:rPr>
              <w:t>(Увеличение)</w:t>
            </w:r>
            <w:r w:rsidRPr="00CA4C14">
              <w:rPr>
                <w:lang w:val="ru-RU" w:eastAsia="en-GB"/>
              </w:rPr>
              <w:t>/</w:t>
            </w:r>
            <w:r w:rsidRPr="00CA4C14">
              <w:rPr>
                <w:szCs w:val="18"/>
                <w:lang w:val="ru-RU"/>
              </w:rPr>
              <w:t>уменьшение</w:t>
            </w:r>
            <w:r w:rsidRPr="00CA4C14">
              <w:rPr>
                <w:lang w:val="ru-RU" w:eastAsia="en-GB"/>
              </w:rPr>
              <w:t xml:space="preserve"> </w:t>
            </w:r>
            <w:r w:rsidRPr="00CA4C14">
              <w:rPr>
                <w:szCs w:val="18"/>
                <w:lang w:val="ru-RU"/>
              </w:rPr>
              <w:t>нематериальных активов</w:t>
            </w:r>
          </w:p>
        </w:tc>
        <w:tc>
          <w:tcPr>
            <w:tcW w:w="754" w:type="pct"/>
            <w:hideMark/>
          </w:tcPr>
          <w:p w14:paraId="0D42D519" w14:textId="77777777" w:rsidR="008F5CF8" w:rsidRPr="00CA4C14" w:rsidRDefault="008F5CF8" w:rsidP="00A4418B">
            <w:pPr>
              <w:pStyle w:val="Tabletext"/>
              <w:spacing w:before="20" w:after="20"/>
              <w:jc w:val="center"/>
              <w:rPr>
                <w:lang w:val="ru-RU" w:eastAsia="en-GB"/>
              </w:rPr>
            </w:pPr>
            <w:r w:rsidRPr="00CA4C14">
              <w:rPr>
                <w:lang w:val="ru-RU" w:eastAsia="en-GB"/>
              </w:rPr>
              <w:t>12</w:t>
            </w:r>
          </w:p>
        </w:tc>
        <w:tc>
          <w:tcPr>
            <w:tcW w:w="706" w:type="pct"/>
            <w:noWrap/>
            <w:vAlign w:val="bottom"/>
            <w:hideMark/>
          </w:tcPr>
          <w:p w14:paraId="57F5DE59"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(773)</w:t>
            </w:r>
          </w:p>
        </w:tc>
        <w:tc>
          <w:tcPr>
            <w:tcW w:w="859" w:type="pct"/>
            <w:noWrap/>
            <w:vAlign w:val="bottom"/>
            <w:hideMark/>
          </w:tcPr>
          <w:p w14:paraId="0E5FD400"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(3 286)</w:t>
            </w:r>
          </w:p>
        </w:tc>
      </w:tr>
      <w:tr w:rsidR="008F5CF8" w:rsidRPr="00CA4C14" w14:paraId="54B4EE10" w14:textId="77777777" w:rsidTr="00A4418B">
        <w:trPr>
          <w:trHeight w:val="255"/>
        </w:trPr>
        <w:tc>
          <w:tcPr>
            <w:tcW w:w="2682" w:type="pct"/>
            <w:vAlign w:val="center"/>
            <w:hideMark/>
          </w:tcPr>
          <w:p w14:paraId="090C3298" w14:textId="103F2209" w:rsidR="008F5CF8" w:rsidRPr="00CA4C14" w:rsidRDefault="008F5CF8" w:rsidP="00A4418B">
            <w:pPr>
              <w:pStyle w:val="Tabletext"/>
              <w:spacing w:before="20" w:after="20"/>
              <w:rPr>
                <w:lang w:val="ru-RU"/>
              </w:rPr>
            </w:pPr>
            <w:r w:rsidRPr="00CA4C14">
              <w:rPr>
                <w:szCs w:val="18"/>
                <w:lang w:val="ru-RU"/>
              </w:rPr>
              <w:t xml:space="preserve">(Увеличение)/уменьшение </w:t>
            </w:r>
            <w:r w:rsidR="00492C61" w:rsidRPr="00CA4C14">
              <w:rPr>
                <w:szCs w:val="18"/>
                <w:lang w:val="ru-RU"/>
              </w:rPr>
              <w:t xml:space="preserve">активов на этапе </w:t>
            </w:r>
            <w:r w:rsidRPr="00CA4C14">
              <w:rPr>
                <w:szCs w:val="18"/>
                <w:lang w:val="ru-RU"/>
              </w:rPr>
              <w:t>строительства</w:t>
            </w:r>
          </w:p>
        </w:tc>
        <w:tc>
          <w:tcPr>
            <w:tcW w:w="754" w:type="pct"/>
            <w:hideMark/>
          </w:tcPr>
          <w:p w14:paraId="33FDB495" w14:textId="77777777" w:rsidR="008F5CF8" w:rsidRPr="00CA4C14" w:rsidRDefault="008F5CF8" w:rsidP="00A4418B">
            <w:pPr>
              <w:pStyle w:val="Tabletext"/>
              <w:spacing w:before="20" w:after="20"/>
              <w:jc w:val="center"/>
              <w:rPr>
                <w:lang w:val="ru-RU" w:eastAsia="en-GB"/>
              </w:rPr>
            </w:pPr>
            <w:r w:rsidRPr="00CA4C14">
              <w:rPr>
                <w:lang w:val="ru-RU" w:eastAsia="en-GB"/>
              </w:rPr>
              <w:t>13</w:t>
            </w:r>
          </w:p>
        </w:tc>
        <w:tc>
          <w:tcPr>
            <w:tcW w:w="706" w:type="pct"/>
            <w:noWrap/>
            <w:vAlign w:val="bottom"/>
            <w:hideMark/>
          </w:tcPr>
          <w:p w14:paraId="270576EC"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(7 191)</w:t>
            </w:r>
          </w:p>
        </w:tc>
        <w:tc>
          <w:tcPr>
            <w:tcW w:w="859" w:type="pct"/>
            <w:noWrap/>
            <w:vAlign w:val="bottom"/>
            <w:hideMark/>
          </w:tcPr>
          <w:p w14:paraId="17AFF774"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(6 347)</w:t>
            </w:r>
          </w:p>
        </w:tc>
      </w:tr>
      <w:tr w:rsidR="008F5CF8" w:rsidRPr="00CA4C14" w14:paraId="2055D583" w14:textId="77777777" w:rsidTr="00A4418B">
        <w:trPr>
          <w:trHeight w:val="255"/>
        </w:trPr>
        <w:tc>
          <w:tcPr>
            <w:tcW w:w="2682" w:type="pct"/>
            <w:hideMark/>
          </w:tcPr>
          <w:p w14:paraId="3C1DBC3F" w14:textId="77777777" w:rsidR="008F5CF8" w:rsidRPr="00CA4C14" w:rsidRDefault="008F5CF8" w:rsidP="00A4418B">
            <w:pPr>
              <w:pStyle w:val="Tabletext"/>
              <w:spacing w:before="20" w:after="20"/>
              <w:rPr>
                <w:lang w:val="ru-RU"/>
              </w:rPr>
            </w:pPr>
            <w:r w:rsidRPr="00CA4C14">
              <w:rPr>
                <w:b/>
                <w:bCs/>
                <w:szCs w:val="18"/>
                <w:lang w:val="ru-RU"/>
              </w:rPr>
              <w:t>Чистое движение денежных средств в результате инвестиционной деятельности</w:t>
            </w:r>
          </w:p>
        </w:tc>
        <w:tc>
          <w:tcPr>
            <w:tcW w:w="754" w:type="pct"/>
            <w:hideMark/>
          </w:tcPr>
          <w:p w14:paraId="5BCB8DF5" w14:textId="77777777" w:rsidR="008F5CF8" w:rsidRPr="00CA4C14" w:rsidRDefault="008F5CF8" w:rsidP="00A4418B">
            <w:pPr>
              <w:pStyle w:val="Tabletext"/>
              <w:spacing w:before="20" w:after="20"/>
              <w:jc w:val="center"/>
              <w:rPr>
                <w:lang w:val="ru-RU" w:eastAsia="en-GB"/>
              </w:rPr>
            </w:pPr>
          </w:p>
        </w:tc>
        <w:tc>
          <w:tcPr>
            <w:tcW w:w="706" w:type="pct"/>
            <w:noWrap/>
            <w:vAlign w:val="bottom"/>
            <w:hideMark/>
          </w:tcPr>
          <w:p w14:paraId="2B11DE60"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(23 751)</w:t>
            </w:r>
          </w:p>
        </w:tc>
        <w:tc>
          <w:tcPr>
            <w:tcW w:w="859" w:type="pct"/>
            <w:noWrap/>
            <w:vAlign w:val="bottom"/>
            <w:hideMark/>
          </w:tcPr>
          <w:p w14:paraId="678CD1B4"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(28)</w:t>
            </w:r>
          </w:p>
        </w:tc>
      </w:tr>
      <w:tr w:rsidR="008F5CF8" w:rsidRPr="00CA4C14" w14:paraId="3A76790E" w14:textId="77777777" w:rsidTr="00A4418B">
        <w:trPr>
          <w:trHeight w:val="70"/>
        </w:trPr>
        <w:tc>
          <w:tcPr>
            <w:tcW w:w="2682" w:type="pct"/>
            <w:hideMark/>
          </w:tcPr>
          <w:p w14:paraId="17ECC461" w14:textId="77777777" w:rsidR="008F5CF8" w:rsidRPr="00CA4C14" w:rsidRDefault="008F5CF8" w:rsidP="00A4418B">
            <w:pPr>
              <w:pStyle w:val="Tabletext"/>
              <w:spacing w:before="0" w:after="0"/>
              <w:rPr>
                <w:lang w:val="ru-RU"/>
              </w:rPr>
            </w:pPr>
          </w:p>
        </w:tc>
        <w:tc>
          <w:tcPr>
            <w:tcW w:w="754" w:type="pct"/>
            <w:hideMark/>
          </w:tcPr>
          <w:p w14:paraId="71368325" w14:textId="77777777" w:rsidR="008F5CF8" w:rsidRPr="00CA4C14" w:rsidRDefault="008F5CF8" w:rsidP="00A4418B">
            <w:pPr>
              <w:pStyle w:val="Tabletext"/>
              <w:spacing w:before="0" w:after="0"/>
              <w:jc w:val="center"/>
              <w:rPr>
                <w:lang w:val="ru-RU" w:eastAsia="en-GB"/>
              </w:rPr>
            </w:pPr>
          </w:p>
        </w:tc>
        <w:tc>
          <w:tcPr>
            <w:tcW w:w="706" w:type="pct"/>
            <w:noWrap/>
            <w:vAlign w:val="bottom"/>
            <w:hideMark/>
          </w:tcPr>
          <w:p w14:paraId="53520E56" w14:textId="77777777" w:rsidR="008F5CF8" w:rsidRPr="00CA4C14" w:rsidRDefault="008F5CF8" w:rsidP="00A4418B">
            <w:pPr>
              <w:pStyle w:val="Tabletext"/>
              <w:spacing w:before="0" w:after="0"/>
              <w:jc w:val="right"/>
              <w:rPr>
                <w:szCs w:val="18"/>
                <w:lang w:val="ru-RU" w:eastAsia="en-GB"/>
              </w:rPr>
            </w:pPr>
          </w:p>
        </w:tc>
        <w:tc>
          <w:tcPr>
            <w:tcW w:w="859" w:type="pct"/>
            <w:noWrap/>
            <w:vAlign w:val="bottom"/>
            <w:hideMark/>
          </w:tcPr>
          <w:p w14:paraId="0DFCE8AA" w14:textId="77777777" w:rsidR="008F5CF8" w:rsidRPr="00CA4C14" w:rsidRDefault="008F5CF8" w:rsidP="00A4418B">
            <w:pPr>
              <w:pStyle w:val="Tabletext"/>
              <w:spacing w:before="0" w:after="0"/>
              <w:jc w:val="right"/>
              <w:rPr>
                <w:szCs w:val="18"/>
                <w:lang w:val="ru-RU" w:eastAsia="en-GB"/>
              </w:rPr>
            </w:pPr>
          </w:p>
        </w:tc>
      </w:tr>
      <w:tr w:rsidR="008F5CF8" w:rsidRPr="009A3216" w14:paraId="5245E1C7" w14:textId="77777777" w:rsidTr="00A4418B">
        <w:trPr>
          <w:trHeight w:val="255"/>
        </w:trPr>
        <w:tc>
          <w:tcPr>
            <w:tcW w:w="2682" w:type="pct"/>
            <w:hideMark/>
          </w:tcPr>
          <w:p w14:paraId="6E0EE9DF" w14:textId="77777777" w:rsidR="008F5CF8" w:rsidRPr="00CA4C14" w:rsidRDefault="008F5CF8" w:rsidP="00A4418B">
            <w:pPr>
              <w:pStyle w:val="Tabletext"/>
              <w:spacing w:before="20" w:after="20"/>
              <w:rPr>
                <w:lang w:val="ru-RU"/>
              </w:rPr>
            </w:pPr>
            <w:r w:rsidRPr="00CA4C14">
              <w:rPr>
                <w:b/>
                <w:bCs/>
                <w:szCs w:val="18"/>
                <w:lang w:val="ru-RU"/>
              </w:rPr>
              <w:t xml:space="preserve">Движение денежных средств в результате </w:t>
            </w:r>
            <w:r w:rsidRPr="00CA4C14">
              <w:rPr>
                <w:rFonts w:asciiTheme="minorHAnsi" w:hAnsiTheme="minorHAnsi" w:cs="Arial"/>
                <w:b/>
                <w:bCs/>
                <w:szCs w:val="18"/>
                <w:lang w:val="ru-RU" w:eastAsia="zh-CN"/>
              </w:rPr>
              <w:t>финансовой</w:t>
            </w:r>
            <w:r w:rsidRPr="00CA4C14">
              <w:rPr>
                <w:b/>
                <w:bCs/>
                <w:szCs w:val="18"/>
                <w:lang w:val="ru-RU"/>
              </w:rPr>
              <w:t xml:space="preserve"> деятельности</w:t>
            </w:r>
          </w:p>
        </w:tc>
        <w:tc>
          <w:tcPr>
            <w:tcW w:w="754" w:type="pct"/>
            <w:hideMark/>
          </w:tcPr>
          <w:p w14:paraId="4D2EFD68" w14:textId="77777777" w:rsidR="008F5CF8" w:rsidRPr="00CA4C14" w:rsidRDefault="008F5CF8" w:rsidP="00A4418B">
            <w:pPr>
              <w:pStyle w:val="Tabletext"/>
              <w:spacing w:before="20" w:after="20"/>
              <w:jc w:val="center"/>
              <w:rPr>
                <w:lang w:val="ru-RU" w:eastAsia="en-GB"/>
              </w:rPr>
            </w:pPr>
          </w:p>
        </w:tc>
        <w:tc>
          <w:tcPr>
            <w:tcW w:w="706" w:type="pct"/>
            <w:noWrap/>
            <w:vAlign w:val="bottom"/>
            <w:hideMark/>
          </w:tcPr>
          <w:p w14:paraId="1EBC601E" w14:textId="77777777" w:rsidR="008F5CF8" w:rsidRPr="00CA4C14" w:rsidRDefault="008F5CF8" w:rsidP="00A4418B">
            <w:pPr>
              <w:pStyle w:val="Tabletext"/>
              <w:spacing w:before="20" w:after="20"/>
              <w:jc w:val="right"/>
              <w:rPr>
                <w:szCs w:val="18"/>
                <w:lang w:val="ru-RU" w:eastAsia="en-GB"/>
              </w:rPr>
            </w:pPr>
          </w:p>
        </w:tc>
        <w:tc>
          <w:tcPr>
            <w:tcW w:w="859" w:type="pct"/>
            <w:noWrap/>
            <w:vAlign w:val="bottom"/>
            <w:hideMark/>
          </w:tcPr>
          <w:p w14:paraId="3BC01080" w14:textId="77777777" w:rsidR="008F5CF8" w:rsidRPr="00CA4C14" w:rsidRDefault="008F5CF8" w:rsidP="00A4418B">
            <w:pPr>
              <w:pStyle w:val="Tabletext"/>
              <w:spacing w:before="20" w:after="20"/>
              <w:jc w:val="right"/>
              <w:rPr>
                <w:szCs w:val="18"/>
                <w:lang w:val="ru-RU" w:eastAsia="en-GB"/>
              </w:rPr>
            </w:pPr>
          </w:p>
        </w:tc>
      </w:tr>
      <w:tr w:rsidR="008F5CF8" w:rsidRPr="00CA4C14" w14:paraId="175C0FC3" w14:textId="77777777" w:rsidTr="00A4418B">
        <w:trPr>
          <w:trHeight w:val="255"/>
        </w:trPr>
        <w:tc>
          <w:tcPr>
            <w:tcW w:w="2682" w:type="pct"/>
            <w:hideMark/>
          </w:tcPr>
          <w:p w14:paraId="5DF382FB" w14:textId="77777777" w:rsidR="008F5CF8" w:rsidRPr="00CA4C14" w:rsidRDefault="008F5CF8" w:rsidP="00A4418B">
            <w:pPr>
              <w:pStyle w:val="Tabletext"/>
              <w:spacing w:before="20" w:after="20"/>
              <w:rPr>
                <w:lang w:val="ru-RU"/>
              </w:rPr>
            </w:pPr>
            <w:r w:rsidRPr="00CA4C14">
              <w:rPr>
                <w:szCs w:val="18"/>
                <w:lang w:val="ru-RU"/>
              </w:rPr>
              <w:t>Увеличение/(уменьшение) долгосрочных займов </w:t>
            </w:r>
          </w:p>
        </w:tc>
        <w:tc>
          <w:tcPr>
            <w:tcW w:w="754" w:type="pct"/>
            <w:hideMark/>
          </w:tcPr>
          <w:p w14:paraId="61F4C267" w14:textId="77777777" w:rsidR="008F5CF8" w:rsidRPr="00CA4C14" w:rsidRDefault="008F5CF8" w:rsidP="00A4418B">
            <w:pPr>
              <w:pStyle w:val="Tabletext"/>
              <w:spacing w:before="20" w:after="20"/>
              <w:jc w:val="center"/>
              <w:rPr>
                <w:lang w:val="ru-RU" w:eastAsia="en-GB"/>
              </w:rPr>
            </w:pPr>
            <w:r w:rsidRPr="00CA4C14">
              <w:rPr>
                <w:lang w:val="ru-RU" w:eastAsia="en-GB"/>
              </w:rPr>
              <w:t>16</w:t>
            </w:r>
          </w:p>
        </w:tc>
        <w:tc>
          <w:tcPr>
            <w:tcW w:w="706" w:type="pct"/>
            <w:noWrap/>
            <w:vAlign w:val="bottom"/>
            <w:hideMark/>
          </w:tcPr>
          <w:p w14:paraId="05D2E6DA"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662</w:t>
            </w:r>
          </w:p>
        </w:tc>
        <w:tc>
          <w:tcPr>
            <w:tcW w:w="859" w:type="pct"/>
            <w:noWrap/>
            <w:vAlign w:val="bottom"/>
            <w:hideMark/>
          </w:tcPr>
          <w:p w14:paraId="06EEEF39" w14:textId="77777777" w:rsidR="008F5CF8" w:rsidRPr="00CA4C14" w:rsidRDefault="008F5CF8" w:rsidP="00A4418B">
            <w:pPr>
              <w:pStyle w:val="Tabletext"/>
              <w:spacing w:before="20" w:after="20"/>
              <w:jc w:val="right"/>
              <w:rPr>
                <w:szCs w:val="18"/>
                <w:lang w:val="ru-RU" w:eastAsia="en-GB"/>
              </w:rPr>
            </w:pPr>
            <w:r w:rsidRPr="00CA4C14">
              <w:rPr>
                <w:szCs w:val="18"/>
                <w:lang w:val="ru-RU" w:eastAsia="en-GB"/>
              </w:rPr>
              <w:t>1 126</w:t>
            </w:r>
          </w:p>
        </w:tc>
      </w:tr>
      <w:tr w:rsidR="008F5CF8" w:rsidRPr="00CA4C14" w14:paraId="57916A4B" w14:textId="77777777" w:rsidTr="00A4418B">
        <w:trPr>
          <w:trHeight w:val="255"/>
        </w:trPr>
        <w:tc>
          <w:tcPr>
            <w:tcW w:w="2682" w:type="pct"/>
            <w:hideMark/>
          </w:tcPr>
          <w:p w14:paraId="41D56C34" w14:textId="77777777" w:rsidR="008F5CF8" w:rsidRPr="00CA4C14" w:rsidRDefault="008F5CF8" w:rsidP="00A4418B">
            <w:pPr>
              <w:pStyle w:val="Tabletext"/>
              <w:spacing w:before="20" w:after="20"/>
              <w:rPr>
                <w:lang w:val="ru-RU"/>
              </w:rPr>
            </w:pPr>
            <w:r w:rsidRPr="00CA4C14">
              <w:rPr>
                <w:b/>
                <w:bCs/>
                <w:lang w:val="ru-RU" w:eastAsia="en-GB"/>
              </w:rPr>
              <w:t xml:space="preserve">Чистое </w:t>
            </w:r>
            <w:r w:rsidRPr="00CA4C14">
              <w:rPr>
                <w:b/>
                <w:bCs/>
                <w:szCs w:val="18"/>
                <w:lang w:val="ru-RU"/>
              </w:rPr>
              <w:t xml:space="preserve">движение денежных средств в результате </w:t>
            </w:r>
            <w:r w:rsidRPr="00CA4C14">
              <w:rPr>
                <w:rFonts w:asciiTheme="minorHAnsi" w:hAnsiTheme="minorHAnsi" w:cs="Arial"/>
                <w:b/>
                <w:bCs/>
                <w:szCs w:val="18"/>
                <w:lang w:val="ru-RU" w:eastAsia="zh-CN"/>
              </w:rPr>
              <w:t>финансовой</w:t>
            </w:r>
            <w:r w:rsidRPr="00CA4C14">
              <w:rPr>
                <w:b/>
                <w:bCs/>
                <w:szCs w:val="18"/>
                <w:lang w:val="ru-RU"/>
              </w:rPr>
              <w:t xml:space="preserve"> деятельности</w:t>
            </w:r>
          </w:p>
        </w:tc>
        <w:tc>
          <w:tcPr>
            <w:tcW w:w="754" w:type="pct"/>
            <w:hideMark/>
          </w:tcPr>
          <w:p w14:paraId="33A4E1DB" w14:textId="77777777" w:rsidR="008F5CF8" w:rsidRPr="00CA4C14" w:rsidRDefault="008F5CF8" w:rsidP="00A4418B">
            <w:pPr>
              <w:pStyle w:val="Tabletext"/>
              <w:spacing w:before="20" w:after="20"/>
              <w:jc w:val="center"/>
              <w:rPr>
                <w:lang w:val="ru-RU" w:eastAsia="en-GB"/>
              </w:rPr>
            </w:pPr>
          </w:p>
        </w:tc>
        <w:tc>
          <w:tcPr>
            <w:tcW w:w="706" w:type="pct"/>
            <w:noWrap/>
            <w:vAlign w:val="bottom"/>
            <w:hideMark/>
          </w:tcPr>
          <w:p w14:paraId="577955AA"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663</w:t>
            </w:r>
          </w:p>
        </w:tc>
        <w:tc>
          <w:tcPr>
            <w:tcW w:w="859" w:type="pct"/>
            <w:noWrap/>
            <w:vAlign w:val="bottom"/>
            <w:hideMark/>
          </w:tcPr>
          <w:p w14:paraId="64D8430E"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1 126</w:t>
            </w:r>
          </w:p>
        </w:tc>
      </w:tr>
      <w:tr w:rsidR="008F5CF8" w:rsidRPr="00CA4C14" w14:paraId="3B862536" w14:textId="77777777" w:rsidTr="00A4418B">
        <w:trPr>
          <w:trHeight w:val="70"/>
        </w:trPr>
        <w:tc>
          <w:tcPr>
            <w:tcW w:w="2682" w:type="pct"/>
            <w:hideMark/>
          </w:tcPr>
          <w:p w14:paraId="00A7A2E8" w14:textId="77777777" w:rsidR="008F5CF8" w:rsidRPr="00CA4C14" w:rsidRDefault="008F5CF8" w:rsidP="00A4418B">
            <w:pPr>
              <w:pStyle w:val="Tabletext"/>
              <w:spacing w:before="0" w:after="0"/>
              <w:rPr>
                <w:lang w:val="ru-RU"/>
              </w:rPr>
            </w:pPr>
          </w:p>
        </w:tc>
        <w:tc>
          <w:tcPr>
            <w:tcW w:w="754" w:type="pct"/>
            <w:hideMark/>
          </w:tcPr>
          <w:p w14:paraId="3A2141B9" w14:textId="77777777" w:rsidR="008F5CF8" w:rsidRPr="00CA4C14" w:rsidRDefault="008F5CF8" w:rsidP="00A4418B">
            <w:pPr>
              <w:pStyle w:val="Tabletext"/>
              <w:spacing w:before="0" w:after="0"/>
              <w:jc w:val="center"/>
              <w:rPr>
                <w:lang w:val="ru-RU" w:eastAsia="en-GB"/>
              </w:rPr>
            </w:pPr>
          </w:p>
        </w:tc>
        <w:tc>
          <w:tcPr>
            <w:tcW w:w="706" w:type="pct"/>
            <w:noWrap/>
            <w:vAlign w:val="bottom"/>
            <w:hideMark/>
          </w:tcPr>
          <w:p w14:paraId="28E32CD4" w14:textId="77777777" w:rsidR="008F5CF8" w:rsidRPr="00CA4C14" w:rsidRDefault="008F5CF8" w:rsidP="00A4418B">
            <w:pPr>
              <w:pStyle w:val="Tabletext"/>
              <w:spacing w:before="0" w:after="0"/>
              <w:jc w:val="right"/>
              <w:rPr>
                <w:szCs w:val="18"/>
                <w:lang w:val="ru-RU" w:eastAsia="en-GB"/>
              </w:rPr>
            </w:pPr>
          </w:p>
        </w:tc>
        <w:tc>
          <w:tcPr>
            <w:tcW w:w="859" w:type="pct"/>
            <w:noWrap/>
            <w:vAlign w:val="bottom"/>
            <w:hideMark/>
          </w:tcPr>
          <w:p w14:paraId="2E3B7F0F" w14:textId="77777777" w:rsidR="008F5CF8" w:rsidRPr="00CA4C14" w:rsidRDefault="008F5CF8" w:rsidP="00A4418B">
            <w:pPr>
              <w:pStyle w:val="Tabletext"/>
              <w:spacing w:before="0" w:after="0"/>
              <w:jc w:val="right"/>
              <w:rPr>
                <w:szCs w:val="18"/>
                <w:lang w:val="ru-RU" w:eastAsia="en-GB"/>
              </w:rPr>
            </w:pPr>
          </w:p>
        </w:tc>
      </w:tr>
      <w:tr w:rsidR="008F5CF8" w:rsidRPr="00CA4C14" w14:paraId="362B9E54" w14:textId="77777777" w:rsidTr="00A4418B">
        <w:trPr>
          <w:trHeight w:val="255"/>
        </w:trPr>
        <w:tc>
          <w:tcPr>
            <w:tcW w:w="2682" w:type="pct"/>
            <w:hideMark/>
          </w:tcPr>
          <w:p w14:paraId="244E5C64" w14:textId="428EBCC2" w:rsidR="008F5CF8" w:rsidRPr="00CA4C14" w:rsidRDefault="008F5CF8" w:rsidP="00802B51">
            <w:pPr>
              <w:pStyle w:val="Tabletext"/>
              <w:keepNext/>
              <w:spacing w:before="20" w:after="20"/>
              <w:rPr>
                <w:lang w:val="ru-RU"/>
              </w:rPr>
            </w:pPr>
            <w:r w:rsidRPr="00CA4C14">
              <w:rPr>
                <w:b/>
                <w:bCs/>
                <w:lang w:val="ru-RU" w:eastAsia="en-GB"/>
              </w:rPr>
              <w:lastRenderedPageBreak/>
              <w:t xml:space="preserve">Чистое увеличение/(уменьшение) </w:t>
            </w:r>
            <w:r w:rsidRPr="00CA4C14">
              <w:rPr>
                <w:b/>
                <w:bCs/>
                <w:szCs w:val="18"/>
                <w:lang w:val="ru-RU"/>
              </w:rPr>
              <w:t>денежных средств и</w:t>
            </w:r>
            <w:r w:rsidR="00A4418B" w:rsidRPr="00CA4C14">
              <w:rPr>
                <w:b/>
                <w:bCs/>
                <w:szCs w:val="18"/>
                <w:lang w:val="ru-RU"/>
              </w:rPr>
              <w:t> </w:t>
            </w:r>
            <w:r w:rsidRPr="00CA4C14">
              <w:rPr>
                <w:b/>
                <w:bCs/>
                <w:szCs w:val="18"/>
                <w:lang w:val="ru-RU"/>
              </w:rPr>
              <w:t>эквивалентов денежных средств</w:t>
            </w:r>
          </w:p>
        </w:tc>
        <w:tc>
          <w:tcPr>
            <w:tcW w:w="754" w:type="pct"/>
            <w:hideMark/>
          </w:tcPr>
          <w:p w14:paraId="6D3B1EA6" w14:textId="77777777" w:rsidR="008F5CF8" w:rsidRPr="00CA4C14" w:rsidRDefault="008F5CF8" w:rsidP="00802B51">
            <w:pPr>
              <w:pStyle w:val="Tabletext"/>
              <w:keepNext/>
              <w:spacing w:before="20" w:after="20"/>
              <w:jc w:val="center"/>
              <w:rPr>
                <w:lang w:val="ru-RU" w:eastAsia="en-GB"/>
              </w:rPr>
            </w:pPr>
          </w:p>
        </w:tc>
        <w:tc>
          <w:tcPr>
            <w:tcW w:w="706" w:type="pct"/>
            <w:noWrap/>
            <w:vAlign w:val="bottom"/>
            <w:hideMark/>
          </w:tcPr>
          <w:p w14:paraId="1013BA99" w14:textId="77777777" w:rsidR="008F5CF8" w:rsidRPr="00CA4C14" w:rsidRDefault="008F5CF8" w:rsidP="00802B51">
            <w:pPr>
              <w:pStyle w:val="Tabletext"/>
              <w:keepNext/>
              <w:spacing w:before="20" w:after="20"/>
              <w:jc w:val="right"/>
              <w:rPr>
                <w:b/>
                <w:bCs/>
                <w:szCs w:val="18"/>
                <w:lang w:val="ru-RU" w:eastAsia="en-GB"/>
              </w:rPr>
            </w:pPr>
            <w:r w:rsidRPr="00CA4C14">
              <w:rPr>
                <w:b/>
                <w:bCs/>
                <w:szCs w:val="18"/>
                <w:lang w:val="ru-RU" w:eastAsia="en-GB"/>
              </w:rPr>
              <w:t>(38 000)</w:t>
            </w:r>
          </w:p>
        </w:tc>
        <w:tc>
          <w:tcPr>
            <w:tcW w:w="859" w:type="pct"/>
            <w:noWrap/>
            <w:vAlign w:val="bottom"/>
            <w:hideMark/>
          </w:tcPr>
          <w:p w14:paraId="5FEA2F76" w14:textId="77777777" w:rsidR="008F5CF8" w:rsidRPr="00CA4C14" w:rsidRDefault="008F5CF8" w:rsidP="00802B51">
            <w:pPr>
              <w:pStyle w:val="Tabletext"/>
              <w:keepNext/>
              <w:spacing w:before="20" w:after="20"/>
              <w:jc w:val="right"/>
              <w:rPr>
                <w:b/>
                <w:bCs/>
                <w:szCs w:val="18"/>
                <w:lang w:val="ru-RU" w:eastAsia="en-GB"/>
              </w:rPr>
            </w:pPr>
            <w:r w:rsidRPr="00CA4C14">
              <w:rPr>
                <w:b/>
                <w:bCs/>
                <w:szCs w:val="18"/>
                <w:lang w:val="ru-RU" w:eastAsia="en-GB"/>
              </w:rPr>
              <w:t>(9 943)</w:t>
            </w:r>
          </w:p>
        </w:tc>
      </w:tr>
      <w:tr w:rsidR="008F5CF8" w:rsidRPr="00CA4C14" w14:paraId="3A152D4C" w14:textId="77777777" w:rsidTr="00A4418B">
        <w:trPr>
          <w:trHeight w:val="108"/>
        </w:trPr>
        <w:tc>
          <w:tcPr>
            <w:tcW w:w="2682" w:type="pct"/>
            <w:noWrap/>
            <w:hideMark/>
          </w:tcPr>
          <w:p w14:paraId="4265DBE6" w14:textId="77777777" w:rsidR="008F5CF8" w:rsidRPr="00CA4C14" w:rsidRDefault="008F5CF8" w:rsidP="00A4418B">
            <w:pPr>
              <w:pStyle w:val="Tabletext"/>
              <w:spacing w:before="0" w:after="0"/>
              <w:rPr>
                <w:lang w:val="ru-RU"/>
              </w:rPr>
            </w:pPr>
          </w:p>
        </w:tc>
        <w:tc>
          <w:tcPr>
            <w:tcW w:w="754" w:type="pct"/>
            <w:noWrap/>
            <w:hideMark/>
          </w:tcPr>
          <w:p w14:paraId="58B1E929" w14:textId="77777777" w:rsidR="008F5CF8" w:rsidRPr="00CA4C14" w:rsidRDefault="008F5CF8" w:rsidP="00A4418B">
            <w:pPr>
              <w:pStyle w:val="Tabletext"/>
              <w:spacing w:before="0" w:after="0"/>
              <w:jc w:val="center"/>
              <w:rPr>
                <w:lang w:val="ru-RU" w:eastAsia="en-GB"/>
              </w:rPr>
            </w:pPr>
          </w:p>
        </w:tc>
        <w:tc>
          <w:tcPr>
            <w:tcW w:w="706" w:type="pct"/>
            <w:noWrap/>
            <w:vAlign w:val="bottom"/>
            <w:hideMark/>
          </w:tcPr>
          <w:p w14:paraId="3C4AA53C" w14:textId="77777777" w:rsidR="008F5CF8" w:rsidRPr="00CA4C14" w:rsidRDefault="008F5CF8" w:rsidP="00A4418B">
            <w:pPr>
              <w:pStyle w:val="Tabletext"/>
              <w:spacing w:before="0" w:after="0"/>
              <w:jc w:val="right"/>
              <w:rPr>
                <w:szCs w:val="18"/>
                <w:lang w:val="ru-RU" w:eastAsia="en-GB"/>
              </w:rPr>
            </w:pPr>
          </w:p>
        </w:tc>
        <w:tc>
          <w:tcPr>
            <w:tcW w:w="859" w:type="pct"/>
            <w:noWrap/>
            <w:vAlign w:val="bottom"/>
            <w:hideMark/>
          </w:tcPr>
          <w:p w14:paraId="16B1B263" w14:textId="77777777" w:rsidR="008F5CF8" w:rsidRPr="00CA4C14" w:rsidRDefault="008F5CF8" w:rsidP="00A4418B">
            <w:pPr>
              <w:pStyle w:val="Tabletext"/>
              <w:spacing w:before="0" w:after="0"/>
              <w:jc w:val="right"/>
              <w:rPr>
                <w:szCs w:val="18"/>
                <w:lang w:val="ru-RU" w:eastAsia="en-GB"/>
              </w:rPr>
            </w:pPr>
          </w:p>
        </w:tc>
      </w:tr>
      <w:tr w:rsidR="008F5CF8" w:rsidRPr="00CA4C14" w14:paraId="2BD0224B" w14:textId="77777777" w:rsidTr="00A4418B">
        <w:trPr>
          <w:trHeight w:val="255"/>
        </w:trPr>
        <w:tc>
          <w:tcPr>
            <w:tcW w:w="2682" w:type="pct"/>
            <w:hideMark/>
          </w:tcPr>
          <w:p w14:paraId="59779253" w14:textId="20351366" w:rsidR="008F5CF8" w:rsidRPr="00CA4C14" w:rsidRDefault="008F5CF8" w:rsidP="00A4418B">
            <w:pPr>
              <w:pStyle w:val="Tabletext"/>
              <w:spacing w:before="20" w:after="20"/>
              <w:rPr>
                <w:lang w:val="ru-RU"/>
              </w:rPr>
            </w:pPr>
            <w:r w:rsidRPr="00CA4C14">
              <w:rPr>
                <w:b/>
                <w:bCs/>
                <w:szCs w:val="18"/>
                <w:lang w:val="ru-RU"/>
              </w:rPr>
              <w:t>Денежные средства и эквиваленты денежных средств на</w:t>
            </w:r>
            <w:r w:rsidR="00A4418B" w:rsidRPr="00CA4C14">
              <w:rPr>
                <w:b/>
                <w:bCs/>
                <w:szCs w:val="18"/>
                <w:lang w:val="ru-RU"/>
              </w:rPr>
              <w:t> </w:t>
            </w:r>
            <w:r w:rsidRPr="00CA4C14">
              <w:rPr>
                <w:b/>
                <w:bCs/>
                <w:szCs w:val="18"/>
                <w:lang w:val="ru-RU"/>
              </w:rPr>
              <w:t>начало периода</w:t>
            </w:r>
          </w:p>
        </w:tc>
        <w:tc>
          <w:tcPr>
            <w:tcW w:w="754" w:type="pct"/>
            <w:hideMark/>
          </w:tcPr>
          <w:p w14:paraId="5B357290" w14:textId="77777777" w:rsidR="008F5CF8" w:rsidRPr="00CA4C14" w:rsidRDefault="008F5CF8" w:rsidP="00A4418B">
            <w:pPr>
              <w:pStyle w:val="Tabletext"/>
              <w:spacing w:before="20" w:after="20"/>
              <w:jc w:val="center"/>
              <w:rPr>
                <w:lang w:val="ru-RU" w:eastAsia="en-GB"/>
              </w:rPr>
            </w:pPr>
            <w:r w:rsidRPr="00CA4C14">
              <w:rPr>
                <w:lang w:val="ru-RU" w:eastAsia="en-GB"/>
              </w:rPr>
              <w:t>7</w:t>
            </w:r>
          </w:p>
        </w:tc>
        <w:tc>
          <w:tcPr>
            <w:tcW w:w="706" w:type="pct"/>
            <w:noWrap/>
            <w:vAlign w:val="bottom"/>
            <w:hideMark/>
          </w:tcPr>
          <w:p w14:paraId="2C78D42F"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193 868</w:t>
            </w:r>
          </w:p>
        </w:tc>
        <w:tc>
          <w:tcPr>
            <w:tcW w:w="859" w:type="pct"/>
            <w:noWrap/>
            <w:vAlign w:val="bottom"/>
            <w:hideMark/>
          </w:tcPr>
          <w:p w14:paraId="3270C8B2" w14:textId="77777777" w:rsidR="008F5CF8" w:rsidRPr="00CA4C14" w:rsidRDefault="008F5CF8" w:rsidP="00A4418B">
            <w:pPr>
              <w:pStyle w:val="Tabletext"/>
              <w:spacing w:before="20" w:after="20"/>
              <w:jc w:val="right"/>
              <w:rPr>
                <w:b/>
                <w:bCs/>
                <w:szCs w:val="18"/>
                <w:lang w:val="ru-RU" w:eastAsia="en-GB"/>
              </w:rPr>
            </w:pPr>
            <w:r w:rsidRPr="00CA4C14">
              <w:rPr>
                <w:b/>
                <w:bCs/>
                <w:szCs w:val="18"/>
                <w:lang w:val="ru-RU" w:eastAsia="en-GB"/>
              </w:rPr>
              <w:t>203 811</w:t>
            </w:r>
          </w:p>
        </w:tc>
      </w:tr>
      <w:tr w:rsidR="008F5CF8" w:rsidRPr="00CA4C14" w14:paraId="4A25E4E6" w14:textId="77777777" w:rsidTr="00E13004">
        <w:trPr>
          <w:trHeight w:val="203"/>
        </w:trPr>
        <w:tc>
          <w:tcPr>
            <w:tcW w:w="2682" w:type="pct"/>
            <w:shd w:val="clear" w:color="auto" w:fill="0070C0"/>
            <w:vAlign w:val="center"/>
            <w:hideMark/>
          </w:tcPr>
          <w:p w14:paraId="1E05738F" w14:textId="0DBD0B84" w:rsidR="008F5CF8" w:rsidRPr="00CA4C14" w:rsidRDefault="008F5CF8" w:rsidP="00A4418B">
            <w:pPr>
              <w:pStyle w:val="Tabletext"/>
              <w:spacing w:before="20" w:after="20"/>
              <w:rPr>
                <w:b/>
                <w:bCs/>
                <w:lang w:val="ru-RU"/>
              </w:rPr>
            </w:pPr>
            <w:r w:rsidRPr="00CA4C14">
              <w:rPr>
                <w:b/>
                <w:bCs/>
                <w:szCs w:val="18"/>
                <w:lang w:val="ru-RU"/>
              </w:rPr>
              <w:t>Денежные средства и эквиваленты денежных средств на</w:t>
            </w:r>
            <w:r w:rsidR="005F20DB" w:rsidRPr="00CA4C14">
              <w:rPr>
                <w:b/>
                <w:bCs/>
                <w:szCs w:val="18"/>
                <w:lang w:val="ru-RU"/>
              </w:rPr>
              <w:t> </w:t>
            </w:r>
            <w:r w:rsidRPr="00CA4C14">
              <w:rPr>
                <w:b/>
                <w:bCs/>
                <w:szCs w:val="18"/>
                <w:lang w:val="ru-RU"/>
              </w:rPr>
              <w:t>конец периода</w:t>
            </w:r>
          </w:p>
        </w:tc>
        <w:tc>
          <w:tcPr>
            <w:tcW w:w="754" w:type="pct"/>
            <w:shd w:val="clear" w:color="auto" w:fill="0070C0"/>
            <w:hideMark/>
          </w:tcPr>
          <w:p w14:paraId="522F02B9" w14:textId="77777777" w:rsidR="008F5CF8" w:rsidRPr="00CA4C14" w:rsidRDefault="008F5CF8" w:rsidP="00A4418B">
            <w:pPr>
              <w:pStyle w:val="Tabletext"/>
              <w:spacing w:before="20" w:after="20"/>
              <w:jc w:val="center"/>
              <w:rPr>
                <w:b/>
                <w:bCs/>
                <w:lang w:val="ru-RU" w:eastAsia="en-GB"/>
              </w:rPr>
            </w:pPr>
          </w:p>
        </w:tc>
        <w:tc>
          <w:tcPr>
            <w:tcW w:w="706" w:type="pct"/>
            <w:shd w:val="clear" w:color="auto" w:fill="0070C0"/>
            <w:noWrap/>
            <w:vAlign w:val="bottom"/>
            <w:hideMark/>
          </w:tcPr>
          <w:p w14:paraId="708861E0" w14:textId="77777777" w:rsidR="008F5CF8" w:rsidRPr="00CA4C14" w:rsidRDefault="008F5CF8" w:rsidP="00E13004">
            <w:pPr>
              <w:pStyle w:val="Tabletext"/>
              <w:spacing w:before="20" w:after="20"/>
              <w:jc w:val="right"/>
              <w:rPr>
                <w:b/>
                <w:bCs/>
                <w:szCs w:val="18"/>
                <w:lang w:val="ru-RU" w:eastAsia="en-GB"/>
              </w:rPr>
            </w:pPr>
            <w:r w:rsidRPr="00CA4C14">
              <w:rPr>
                <w:b/>
                <w:bCs/>
                <w:szCs w:val="18"/>
                <w:lang w:val="ru-RU" w:eastAsia="en-GB"/>
              </w:rPr>
              <w:t>155 868</w:t>
            </w:r>
          </w:p>
        </w:tc>
        <w:tc>
          <w:tcPr>
            <w:tcW w:w="859" w:type="pct"/>
            <w:shd w:val="clear" w:color="auto" w:fill="0070C0"/>
            <w:noWrap/>
            <w:vAlign w:val="bottom"/>
            <w:hideMark/>
          </w:tcPr>
          <w:p w14:paraId="3B1FB314" w14:textId="77777777" w:rsidR="008F5CF8" w:rsidRPr="00CA4C14" w:rsidRDefault="008F5CF8" w:rsidP="00E13004">
            <w:pPr>
              <w:pStyle w:val="Tabletext"/>
              <w:spacing w:before="20" w:after="20"/>
              <w:jc w:val="right"/>
              <w:rPr>
                <w:b/>
                <w:bCs/>
                <w:szCs w:val="18"/>
                <w:lang w:val="ru-RU" w:eastAsia="en-GB"/>
              </w:rPr>
            </w:pPr>
            <w:r w:rsidRPr="00CA4C14">
              <w:rPr>
                <w:b/>
                <w:bCs/>
                <w:szCs w:val="18"/>
                <w:lang w:val="ru-RU" w:eastAsia="en-GB"/>
              </w:rPr>
              <w:t>193 868</w:t>
            </w:r>
          </w:p>
        </w:tc>
      </w:tr>
    </w:tbl>
    <w:p w14:paraId="2ACB3535" w14:textId="77777777" w:rsidR="008F5CF8" w:rsidRPr="00CA4C14" w:rsidRDefault="008F5CF8" w:rsidP="00C72B42">
      <w:pPr>
        <w:rPr>
          <w:lang w:val="ru-RU"/>
        </w:rPr>
      </w:pPr>
      <w:r w:rsidRPr="00CA4C14">
        <w:rPr>
          <w:lang w:val="ru-RU"/>
        </w:rPr>
        <w:br w:type="page"/>
      </w:r>
    </w:p>
    <w:p w14:paraId="50C4EA13" w14:textId="77777777" w:rsidR="008F5CF8" w:rsidRPr="00CA4C14" w:rsidRDefault="008F5CF8" w:rsidP="005E266A">
      <w:pPr>
        <w:pStyle w:val="Annextitle"/>
        <w:jc w:val="left"/>
        <w:rPr>
          <w:color w:val="0070C0"/>
          <w:w w:val="105"/>
          <w:lang w:val="ru-RU"/>
        </w:rPr>
      </w:pPr>
      <w:bookmarkStart w:id="79" w:name="lt_pId320"/>
      <w:bookmarkStart w:id="80" w:name="_Toc168578448"/>
      <w:r w:rsidRPr="00CA4C14">
        <w:rPr>
          <w:color w:val="0070C0"/>
          <w:w w:val="105"/>
          <w:lang w:val="ru-RU"/>
        </w:rPr>
        <w:lastRenderedPageBreak/>
        <w:t xml:space="preserve">Отчет V: Отчет о сопоставлении бюджета и </w:t>
      </w:r>
      <w:bookmarkEnd w:id="79"/>
      <w:r w:rsidRPr="00CA4C14">
        <w:rPr>
          <w:color w:val="0070C0"/>
          <w:w w:val="105"/>
          <w:lang w:val="ru-RU"/>
        </w:rPr>
        <w:t>фактических сумм</w:t>
      </w:r>
      <w:bookmarkEnd w:id="80"/>
    </w:p>
    <w:p w14:paraId="2D54C11B" w14:textId="77777777" w:rsidR="008F5CF8" w:rsidRPr="00CA4C14" w:rsidRDefault="008F5CF8" w:rsidP="0080012C">
      <w:pPr>
        <w:rPr>
          <w:lang w:val="ru-RU"/>
        </w:rPr>
      </w:pPr>
      <w:r w:rsidRPr="00CA4C14">
        <w:rPr>
          <w:lang w:val="ru-RU"/>
        </w:rPr>
        <w:t>За год, завершившийся 31 декабря 2023 года</w:t>
      </w:r>
    </w:p>
    <w:p w14:paraId="2780F95C" w14:textId="369537E9" w:rsidR="008F5CF8" w:rsidRPr="00CA4C14" w:rsidRDefault="008F5CF8" w:rsidP="0080012C">
      <w:pPr>
        <w:spacing w:after="120"/>
        <w:rPr>
          <w:sz w:val="24"/>
          <w:szCs w:val="24"/>
          <w:lang w:val="ru-RU"/>
        </w:rPr>
      </w:pPr>
      <w:r w:rsidRPr="00CA4C14">
        <w:rPr>
          <w:lang w:val="ru-RU"/>
        </w:rPr>
        <w:t>(</w:t>
      </w:r>
      <w:r w:rsidR="00E13004" w:rsidRPr="00CA4C14">
        <w:rPr>
          <w:lang w:val="ru-RU"/>
        </w:rPr>
        <w:t>В</w:t>
      </w:r>
      <w:r w:rsidRPr="00CA4C14">
        <w:rPr>
          <w:lang w:val="ru-RU"/>
        </w:rPr>
        <w:t xml:space="preserve"> тыс. шв</w:t>
      </w:r>
      <w:r w:rsidR="00E13004" w:rsidRPr="00CA4C14">
        <w:rPr>
          <w:lang w:val="ru-RU"/>
        </w:rPr>
        <w:t>.</w:t>
      </w:r>
      <w:r w:rsidRPr="00CA4C14">
        <w:rPr>
          <w:lang w:val="ru-RU"/>
        </w:rPr>
        <w:t xml:space="preserve"> фр</w:t>
      </w:r>
      <w:r w:rsidR="00E13004" w:rsidRPr="00CA4C14">
        <w:rPr>
          <w:lang w:val="ru-RU"/>
        </w:rPr>
        <w:t>.</w:t>
      </w:r>
      <w:r w:rsidRPr="00CA4C14">
        <w:rPr>
          <w:lang w:val="ru-RU"/>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1156"/>
        <w:gridCol w:w="1156"/>
        <w:gridCol w:w="1157"/>
        <w:gridCol w:w="1488"/>
        <w:gridCol w:w="1486"/>
      </w:tblGrid>
      <w:tr w:rsidR="008F5CF8" w:rsidRPr="009A3216" w14:paraId="0F08E84A" w14:textId="77777777" w:rsidTr="00FE0DEB">
        <w:trPr>
          <w:trHeight w:val="255"/>
        </w:trPr>
        <w:tc>
          <w:tcPr>
            <w:tcW w:w="1449" w:type="pct"/>
            <w:vMerge w:val="restart"/>
            <w:shd w:val="clear" w:color="auto" w:fill="0070C0"/>
            <w:hideMark/>
          </w:tcPr>
          <w:p w14:paraId="19EAFC04" w14:textId="77777777" w:rsidR="008F5CF8" w:rsidRPr="00CA4C14" w:rsidRDefault="008F5CF8" w:rsidP="00FE0DEB">
            <w:pPr>
              <w:pStyle w:val="Tablehead"/>
              <w:ind w:left="-57" w:right="-57"/>
              <w:rPr>
                <w:lang w:val="ru-RU"/>
              </w:rPr>
            </w:pPr>
          </w:p>
        </w:tc>
        <w:tc>
          <w:tcPr>
            <w:tcW w:w="1912" w:type="pct"/>
            <w:gridSpan w:val="3"/>
            <w:shd w:val="clear" w:color="auto" w:fill="0070C0"/>
            <w:noWrap/>
            <w:hideMark/>
          </w:tcPr>
          <w:p w14:paraId="66D2E4C4" w14:textId="77777777" w:rsidR="008F5CF8" w:rsidRPr="00CA4C14" w:rsidRDefault="008F5CF8" w:rsidP="00FE0DEB">
            <w:pPr>
              <w:pStyle w:val="Tablehead"/>
              <w:ind w:left="-57" w:right="-57"/>
              <w:rPr>
                <w:lang w:val="ru-RU"/>
              </w:rPr>
            </w:pPr>
            <w:r w:rsidRPr="00CA4C14">
              <w:rPr>
                <w:szCs w:val="18"/>
                <w:lang w:val="ru-RU"/>
              </w:rPr>
              <w:t>Предусмотренные в бюджете суммы</w:t>
            </w:r>
          </w:p>
        </w:tc>
        <w:tc>
          <w:tcPr>
            <w:tcW w:w="820" w:type="pct"/>
            <w:vMerge w:val="restart"/>
            <w:shd w:val="clear" w:color="auto" w:fill="0070C0"/>
            <w:vAlign w:val="center"/>
            <w:hideMark/>
          </w:tcPr>
          <w:p w14:paraId="439F1FB3" w14:textId="77777777" w:rsidR="008F5CF8" w:rsidRPr="00CA4C14" w:rsidRDefault="008F5CF8" w:rsidP="00FE0DEB">
            <w:pPr>
              <w:pStyle w:val="Tablehead"/>
              <w:ind w:left="-57" w:right="-57"/>
              <w:rPr>
                <w:lang w:val="ru-RU"/>
              </w:rPr>
            </w:pPr>
            <w:r w:rsidRPr="00CA4C14">
              <w:rPr>
                <w:spacing w:val="-6"/>
                <w:szCs w:val="18"/>
                <w:lang w:val="ru-RU"/>
              </w:rPr>
              <w:t xml:space="preserve">Фактические суммы, </w:t>
            </w:r>
            <w:proofErr w:type="gramStart"/>
            <w:r w:rsidRPr="00CA4C14">
              <w:rPr>
                <w:spacing w:val="-6"/>
                <w:szCs w:val="18"/>
                <w:lang w:val="ru-RU"/>
              </w:rPr>
              <w:t>представ-ленные</w:t>
            </w:r>
            <w:proofErr w:type="gramEnd"/>
            <w:r w:rsidRPr="00CA4C14">
              <w:rPr>
                <w:spacing w:val="-6"/>
                <w:szCs w:val="18"/>
                <w:lang w:val="ru-RU"/>
              </w:rPr>
              <w:t xml:space="preserve"> на сопоставимой основе</w:t>
            </w:r>
          </w:p>
        </w:tc>
        <w:tc>
          <w:tcPr>
            <w:tcW w:w="819" w:type="pct"/>
            <w:vMerge w:val="restart"/>
            <w:shd w:val="clear" w:color="auto" w:fill="0070C0"/>
            <w:vAlign w:val="center"/>
            <w:hideMark/>
          </w:tcPr>
          <w:p w14:paraId="4A8FF077" w14:textId="77777777" w:rsidR="008F5CF8" w:rsidRPr="00CA4C14" w:rsidRDefault="008F5CF8" w:rsidP="00FE0DEB">
            <w:pPr>
              <w:pStyle w:val="Tablehead"/>
              <w:ind w:left="-57" w:right="-57"/>
              <w:rPr>
                <w:lang w:val="ru-RU"/>
              </w:rPr>
            </w:pPr>
            <w:r w:rsidRPr="00CA4C14">
              <w:rPr>
                <w:spacing w:val="-6"/>
                <w:szCs w:val="18"/>
                <w:lang w:val="ru-RU"/>
              </w:rPr>
              <w:t>Разница между окончательным бюджетом и фактическими суммами</w:t>
            </w:r>
          </w:p>
        </w:tc>
      </w:tr>
      <w:tr w:rsidR="008F5CF8" w:rsidRPr="00CA4C14" w14:paraId="51556DA0" w14:textId="77777777" w:rsidTr="00FE0DEB">
        <w:trPr>
          <w:trHeight w:val="855"/>
        </w:trPr>
        <w:tc>
          <w:tcPr>
            <w:tcW w:w="1449" w:type="pct"/>
            <w:vMerge/>
            <w:shd w:val="clear" w:color="auto" w:fill="0070C0"/>
            <w:hideMark/>
          </w:tcPr>
          <w:p w14:paraId="63C4174D" w14:textId="77777777" w:rsidR="008F5CF8" w:rsidRPr="00CA4C14" w:rsidRDefault="008F5CF8" w:rsidP="00FE0DEB">
            <w:pPr>
              <w:pStyle w:val="Tablehead"/>
              <w:ind w:left="-57" w:right="-57"/>
              <w:rPr>
                <w:bCs/>
                <w:lang w:val="ru-RU"/>
              </w:rPr>
            </w:pPr>
          </w:p>
        </w:tc>
        <w:tc>
          <w:tcPr>
            <w:tcW w:w="637" w:type="pct"/>
            <w:shd w:val="clear" w:color="auto" w:fill="0070C0"/>
            <w:hideMark/>
          </w:tcPr>
          <w:p w14:paraId="74BEDC8E" w14:textId="4330E87D" w:rsidR="008F5CF8" w:rsidRPr="00CA4C14" w:rsidRDefault="008F5CF8" w:rsidP="00FE0DEB">
            <w:pPr>
              <w:pStyle w:val="Tablehead"/>
              <w:ind w:left="-57" w:right="-57"/>
              <w:rPr>
                <w:bCs/>
                <w:lang w:val="ru-RU"/>
              </w:rPr>
            </w:pPr>
            <w:r w:rsidRPr="00CA4C14">
              <w:rPr>
                <w:szCs w:val="18"/>
                <w:lang w:val="ru-RU"/>
              </w:rPr>
              <w:t>Перво-</w:t>
            </w:r>
            <w:r w:rsidRPr="00CA4C14">
              <w:rPr>
                <w:szCs w:val="18"/>
                <w:lang w:val="ru-RU"/>
              </w:rPr>
              <w:br/>
              <w:t>начальный бюджет </w:t>
            </w:r>
            <w:r w:rsidR="0052224D" w:rsidRPr="00CA4C14">
              <w:rPr>
                <w:szCs w:val="18"/>
                <w:lang w:val="ru-RU"/>
              </w:rPr>
              <w:t xml:space="preserve">− </w:t>
            </w:r>
            <w:r w:rsidRPr="00CA4C14">
              <w:rPr>
                <w:szCs w:val="18"/>
                <w:lang w:val="ru-RU"/>
              </w:rPr>
              <w:br/>
            </w:r>
            <w:r w:rsidRPr="00CA4C14">
              <w:rPr>
                <w:bCs/>
                <w:lang w:val="ru-RU"/>
              </w:rPr>
              <w:t>2023 г.</w:t>
            </w:r>
          </w:p>
        </w:tc>
        <w:tc>
          <w:tcPr>
            <w:tcW w:w="637" w:type="pct"/>
            <w:shd w:val="clear" w:color="auto" w:fill="0070C0"/>
            <w:hideMark/>
          </w:tcPr>
          <w:p w14:paraId="59202FE4" w14:textId="57FD6762" w:rsidR="008F5CF8" w:rsidRPr="00CA4C14" w:rsidRDefault="008F5CF8" w:rsidP="00FE0DEB">
            <w:pPr>
              <w:pStyle w:val="Tablehead"/>
              <w:ind w:left="-57" w:right="-57"/>
              <w:rPr>
                <w:bCs/>
                <w:lang w:val="ru-RU"/>
              </w:rPr>
            </w:pPr>
            <w:r w:rsidRPr="00CA4C14">
              <w:rPr>
                <w:szCs w:val="18"/>
                <w:lang w:val="ru-RU"/>
              </w:rPr>
              <w:t xml:space="preserve">Бюджетные </w:t>
            </w:r>
            <w:proofErr w:type="gramStart"/>
            <w:r w:rsidRPr="00CA4C14">
              <w:rPr>
                <w:szCs w:val="18"/>
                <w:lang w:val="ru-RU"/>
              </w:rPr>
              <w:t>транс-ферты</w:t>
            </w:r>
            <w:proofErr w:type="gramEnd"/>
            <w:r w:rsidRPr="00CA4C14">
              <w:rPr>
                <w:szCs w:val="18"/>
                <w:lang w:val="ru-RU"/>
              </w:rPr>
              <w:t> </w:t>
            </w:r>
            <w:r w:rsidR="0052224D" w:rsidRPr="00CA4C14">
              <w:rPr>
                <w:lang w:val="ru-RU"/>
              </w:rPr>
              <w:t xml:space="preserve">− </w:t>
            </w:r>
            <w:r w:rsidRPr="00CA4C14">
              <w:rPr>
                <w:lang w:val="ru-RU"/>
              </w:rPr>
              <w:br/>
            </w:r>
            <w:r w:rsidRPr="00CA4C14">
              <w:rPr>
                <w:bCs/>
                <w:lang w:val="ru-RU"/>
              </w:rPr>
              <w:t>2023 г.</w:t>
            </w:r>
          </w:p>
        </w:tc>
        <w:tc>
          <w:tcPr>
            <w:tcW w:w="638" w:type="pct"/>
            <w:shd w:val="clear" w:color="auto" w:fill="0070C0"/>
            <w:hideMark/>
          </w:tcPr>
          <w:p w14:paraId="42DA24DB" w14:textId="03D9DCEF" w:rsidR="008F5CF8" w:rsidRPr="00CA4C14" w:rsidRDefault="008F5CF8" w:rsidP="00FE0DEB">
            <w:pPr>
              <w:pStyle w:val="Tablehead"/>
              <w:ind w:left="-57" w:right="-57"/>
              <w:rPr>
                <w:bCs/>
                <w:lang w:val="ru-RU"/>
              </w:rPr>
            </w:pPr>
            <w:proofErr w:type="spellStart"/>
            <w:proofErr w:type="gramStart"/>
            <w:r w:rsidRPr="00CA4C14">
              <w:rPr>
                <w:szCs w:val="18"/>
                <w:lang w:val="ru-RU" w:eastAsia="fr-FR"/>
              </w:rPr>
              <w:t>Оконча</w:t>
            </w:r>
            <w:proofErr w:type="spellEnd"/>
            <w:r w:rsidRPr="00CA4C14">
              <w:rPr>
                <w:szCs w:val="18"/>
                <w:lang w:val="ru-RU" w:eastAsia="fr-FR"/>
              </w:rPr>
              <w:t>-тельный</w:t>
            </w:r>
            <w:proofErr w:type="gramEnd"/>
            <w:r w:rsidRPr="00CA4C14">
              <w:rPr>
                <w:szCs w:val="18"/>
                <w:lang w:val="ru-RU" w:eastAsia="fr-FR"/>
              </w:rPr>
              <w:t xml:space="preserve"> бюджет </w:t>
            </w:r>
            <w:r w:rsidR="0052224D" w:rsidRPr="00CA4C14">
              <w:rPr>
                <w:lang w:val="ru-RU"/>
              </w:rPr>
              <w:t xml:space="preserve">− </w:t>
            </w:r>
            <w:r w:rsidR="0052224D" w:rsidRPr="00CA4C14">
              <w:rPr>
                <w:lang w:val="ru-RU"/>
              </w:rPr>
              <w:br/>
            </w:r>
            <w:r w:rsidRPr="00CA4C14">
              <w:rPr>
                <w:bCs/>
                <w:lang w:val="ru-RU"/>
              </w:rPr>
              <w:t>2023 г.</w:t>
            </w:r>
          </w:p>
        </w:tc>
        <w:tc>
          <w:tcPr>
            <w:tcW w:w="820" w:type="pct"/>
            <w:vMerge/>
            <w:shd w:val="clear" w:color="auto" w:fill="0070C0"/>
            <w:hideMark/>
          </w:tcPr>
          <w:p w14:paraId="45C4B608" w14:textId="77777777" w:rsidR="008F5CF8" w:rsidRPr="00CA4C14" w:rsidRDefault="008F5CF8" w:rsidP="00FE0DEB">
            <w:pPr>
              <w:pStyle w:val="Tablehead"/>
              <w:ind w:left="-57" w:right="-57"/>
              <w:rPr>
                <w:bCs/>
                <w:lang w:val="ru-RU"/>
              </w:rPr>
            </w:pPr>
          </w:p>
        </w:tc>
        <w:tc>
          <w:tcPr>
            <w:tcW w:w="819" w:type="pct"/>
            <w:vMerge/>
            <w:shd w:val="clear" w:color="auto" w:fill="0070C0"/>
            <w:hideMark/>
          </w:tcPr>
          <w:p w14:paraId="26882DE5" w14:textId="77777777" w:rsidR="008F5CF8" w:rsidRPr="00CA4C14" w:rsidRDefault="008F5CF8" w:rsidP="00FE0DEB">
            <w:pPr>
              <w:pStyle w:val="Tablehead"/>
              <w:ind w:left="-57" w:right="-57"/>
              <w:rPr>
                <w:bCs/>
                <w:lang w:val="ru-RU"/>
              </w:rPr>
            </w:pPr>
          </w:p>
        </w:tc>
      </w:tr>
      <w:tr w:rsidR="00E13004" w:rsidRPr="00CA4C14" w14:paraId="741FA8D2" w14:textId="77777777" w:rsidTr="00FE0DEB">
        <w:trPr>
          <w:trHeight w:val="255"/>
        </w:trPr>
        <w:tc>
          <w:tcPr>
            <w:tcW w:w="1449" w:type="pct"/>
            <w:noWrap/>
          </w:tcPr>
          <w:p w14:paraId="7CF299FE" w14:textId="53845BDC" w:rsidR="00E13004" w:rsidRPr="00CA4C14" w:rsidRDefault="00E13004" w:rsidP="00E13004">
            <w:pPr>
              <w:pStyle w:val="Tabletext"/>
              <w:rPr>
                <w:szCs w:val="18"/>
                <w:lang w:val="ru-RU"/>
              </w:rPr>
            </w:pPr>
            <w:r w:rsidRPr="00CA4C14">
              <w:rPr>
                <w:b/>
                <w:bCs/>
                <w:szCs w:val="18"/>
                <w:lang w:val="ru-RU"/>
              </w:rPr>
              <w:t>Доходы</w:t>
            </w:r>
          </w:p>
        </w:tc>
        <w:tc>
          <w:tcPr>
            <w:tcW w:w="637" w:type="pct"/>
            <w:noWrap/>
            <w:vAlign w:val="bottom"/>
          </w:tcPr>
          <w:p w14:paraId="020A98D1" w14:textId="77777777" w:rsidR="00E13004" w:rsidRPr="00CA4C14" w:rsidRDefault="00E13004" w:rsidP="00E13004">
            <w:pPr>
              <w:pStyle w:val="Tabletext"/>
              <w:jc w:val="right"/>
              <w:rPr>
                <w:lang w:val="ru-RU" w:eastAsia="en-GB"/>
              </w:rPr>
            </w:pPr>
          </w:p>
        </w:tc>
        <w:tc>
          <w:tcPr>
            <w:tcW w:w="637" w:type="pct"/>
            <w:noWrap/>
            <w:vAlign w:val="bottom"/>
          </w:tcPr>
          <w:p w14:paraId="6B9540FF" w14:textId="77777777" w:rsidR="00E13004" w:rsidRPr="00CA4C14" w:rsidRDefault="00E13004" w:rsidP="00E13004">
            <w:pPr>
              <w:pStyle w:val="Tabletext"/>
              <w:jc w:val="right"/>
              <w:rPr>
                <w:lang w:val="ru-RU" w:eastAsia="en-GB"/>
              </w:rPr>
            </w:pPr>
          </w:p>
        </w:tc>
        <w:tc>
          <w:tcPr>
            <w:tcW w:w="638" w:type="pct"/>
            <w:noWrap/>
            <w:vAlign w:val="bottom"/>
          </w:tcPr>
          <w:p w14:paraId="57EB63E2" w14:textId="77777777" w:rsidR="00E13004" w:rsidRPr="00CA4C14" w:rsidRDefault="00E13004" w:rsidP="00E13004">
            <w:pPr>
              <w:pStyle w:val="Tabletext"/>
              <w:jc w:val="right"/>
              <w:rPr>
                <w:lang w:val="ru-RU" w:eastAsia="en-GB"/>
              </w:rPr>
            </w:pPr>
          </w:p>
        </w:tc>
        <w:tc>
          <w:tcPr>
            <w:tcW w:w="820" w:type="pct"/>
            <w:noWrap/>
            <w:vAlign w:val="bottom"/>
          </w:tcPr>
          <w:p w14:paraId="7C63BF92" w14:textId="77777777" w:rsidR="00E13004" w:rsidRPr="00CA4C14" w:rsidRDefault="00E13004" w:rsidP="00E13004">
            <w:pPr>
              <w:pStyle w:val="Tabletext"/>
              <w:jc w:val="right"/>
              <w:rPr>
                <w:lang w:val="ru-RU" w:eastAsia="en-GB"/>
              </w:rPr>
            </w:pPr>
          </w:p>
        </w:tc>
        <w:tc>
          <w:tcPr>
            <w:tcW w:w="819" w:type="pct"/>
            <w:noWrap/>
            <w:vAlign w:val="bottom"/>
          </w:tcPr>
          <w:p w14:paraId="19B94884" w14:textId="77777777" w:rsidR="00E13004" w:rsidRPr="00CA4C14" w:rsidRDefault="00E13004" w:rsidP="00E13004">
            <w:pPr>
              <w:pStyle w:val="Tabletext"/>
              <w:jc w:val="right"/>
              <w:rPr>
                <w:lang w:val="ru-RU" w:eastAsia="en-GB"/>
              </w:rPr>
            </w:pPr>
          </w:p>
        </w:tc>
      </w:tr>
      <w:tr w:rsidR="00E13004" w:rsidRPr="00CA4C14" w14:paraId="060E5B74" w14:textId="77777777" w:rsidTr="00FE0DEB">
        <w:trPr>
          <w:trHeight w:val="70"/>
        </w:trPr>
        <w:tc>
          <w:tcPr>
            <w:tcW w:w="1449" w:type="pct"/>
            <w:noWrap/>
          </w:tcPr>
          <w:p w14:paraId="51ED8B15" w14:textId="77777777" w:rsidR="00E13004" w:rsidRPr="00CA4C14" w:rsidRDefault="00E13004" w:rsidP="00E13004">
            <w:pPr>
              <w:pStyle w:val="Tabletext"/>
              <w:spacing w:before="0" w:after="0"/>
              <w:rPr>
                <w:szCs w:val="18"/>
                <w:lang w:val="ru-RU"/>
              </w:rPr>
            </w:pPr>
          </w:p>
        </w:tc>
        <w:tc>
          <w:tcPr>
            <w:tcW w:w="637" w:type="pct"/>
            <w:noWrap/>
            <w:vAlign w:val="bottom"/>
          </w:tcPr>
          <w:p w14:paraId="20FD8164" w14:textId="77777777" w:rsidR="00E13004" w:rsidRPr="00CA4C14" w:rsidRDefault="00E13004" w:rsidP="00E13004">
            <w:pPr>
              <w:pStyle w:val="Tabletext"/>
              <w:spacing w:before="0" w:after="0"/>
              <w:jc w:val="right"/>
              <w:rPr>
                <w:lang w:val="ru-RU" w:eastAsia="en-GB"/>
              </w:rPr>
            </w:pPr>
          </w:p>
        </w:tc>
        <w:tc>
          <w:tcPr>
            <w:tcW w:w="637" w:type="pct"/>
            <w:noWrap/>
            <w:vAlign w:val="bottom"/>
          </w:tcPr>
          <w:p w14:paraId="3859AE39" w14:textId="77777777" w:rsidR="00E13004" w:rsidRPr="00CA4C14" w:rsidRDefault="00E13004" w:rsidP="00E13004">
            <w:pPr>
              <w:pStyle w:val="Tabletext"/>
              <w:spacing w:before="0" w:after="0"/>
              <w:jc w:val="right"/>
              <w:rPr>
                <w:lang w:val="ru-RU" w:eastAsia="en-GB"/>
              </w:rPr>
            </w:pPr>
          </w:p>
        </w:tc>
        <w:tc>
          <w:tcPr>
            <w:tcW w:w="638" w:type="pct"/>
            <w:noWrap/>
            <w:vAlign w:val="bottom"/>
          </w:tcPr>
          <w:p w14:paraId="637D92D4" w14:textId="77777777" w:rsidR="00E13004" w:rsidRPr="00CA4C14" w:rsidRDefault="00E13004" w:rsidP="00E13004">
            <w:pPr>
              <w:pStyle w:val="Tabletext"/>
              <w:spacing w:before="0" w:after="0"/>
              <w:jc w:val="right"/>
              <w:rPr>
                <w:lang w:val="ru-RU" w:eastAsia="en-GB"/>
              </w:rPr>
            </w:pPr>
          </w:p>
        </w:tc>
        <w:tc>
          <w:tcPr>
            <w:tcW w:w="820" w:type="pct"/>
            <w:noWrap/>
            <w:vAlign w:val="bottom"/>
          </w:tcPr>
          <w:p w14:paraId="6376ABDA" w14:textId="77777777" w:rsidR="00E13004" w:rsidRPr="00CA4C14" w:rsidRDefault="00E13004" w:rsidP="00E13004">
            <w:pPr>
              <w:pStyle w:val="Tabletext"/>
              <w:spacing w:before="0" w:after="0"/>
              <w:jc w:val="right"/>
              <w:rPr>
                <w:lang w:val="ru-RU" w:eastAsia="en-GB"/>
              </w:rPr>
            </w:pPr>
          </w:p>
        </w:tc>
        <w:tc>
          <w:tcPr>
            <w:tcW w:w="819" w:type="pct"/>
            <w:noWrap/>
            <w:vAlign w:val="bottom"/>
          </w:tcPr>
          <w:p w14:paraId="5AABA60E" w14:textId="77777777" w:rsidR="00E13004" w:rsidRPr="00CA4C14" w:rsidRDefault="00E13004" w:rsidP="00E13004">
            <w:pPr>
              <w:pStyle w:val="Tabletext"/>
              <w:spacing w:before="0" w:after="0"/>
              <w:jc w:val="right"/>
              <w:rPr>
                <w:lang w:val="ru-RU" w:eastAsia="en-GB"/>
              </w:rPr>
            </w:pPr>
          </w:p>
        </w:tc>
      </w:tr>
      <w:tr w:rsidR="008F5CF8" w:rsidRPr="00CA4C14" w14:paraId="13F9B99F" w14:textId="77777777" w:rsidTr="00FE0DEB">
        <w:trPr>
          <w:trHeight w:val="255"/>
        </w:trPr>
        <w:tc>
          <w:tcPr>
            <w:tcW w:w="1449" w:type="pct"/>
            <w:noWrap/>
            <w:hideMark/>
          </w:tcPr>
          <w:p w14:paraId="4F5EFEEB" w14:textId="77777777" w:rsidR="008F5CF8" w:rsidRPr="00CA4C14" w:rsidRDefault="008F5CF8" w:rsidP="00E13004">
            <w:pPr>
              <w:pStyle w:val="Tabletext"/>
              <w:rPr>
                <w:lang w:val="ru-RU"/>
              </w:rPr>
            </w:pPr>
            <w:r w:rsidRPr="00CA4C14">
              <w:rPr>
                <w:szCs w:val="18"/>
                <w:lang w:val="ru-RU"/>
              </w:rPr>
              <w:t>Начисленные взносы</w:t>
            </w:r>
          </w:p>
        </w:tc>
        <w:tc>
          <w:tcPr>
            <w:tcW w:w="637" w:type="pct"/>
            <w:noWrap/>
            <w:vAlign w:val="bottom"/>
            <w:hideMark/>
          </w:tcPr>
          <w:p w14:paraId="0A6661EE" w14:textId="77777777" w:rsidR="008F5CF8" w:rsidRPr="00CA4C14" w:rsidRDefault="008F5CF8" w:rsidP="00E13004">
            <w:pPr>
              <w:pStyle w:val="Tabletext"/>
              <w:jc w:val="right"/>
              <w:rPr>
                <w:lang w:val="ru-RU" w:eastAsia="en-GB"/>
              </w:rPr>
            </w:pPr>
            <w:r w:rsidRPr="00CA4C14">
              <w:rPr>
                <w:lang w:val="ru-RU" w:eastAsia="en-GB"/>
              </w:rPr>
              <w:t>125 710</w:t>
            </w:r>
          </w:p>
        </w:tc>
        <w:tc>
          <w:tcPr>
            <w:tcW w:w="637" w:type="pct"/>
            <w:noWrap/>
            <w:vAlign w:val="bottom"/>
            <w:hideMark/>
          </w:tcPr>
          <w:p w14:paraId="14C791CC" w14:textId="77777777" w:rsidR="008F5CF8" w:rsidRPr="00CA4C14" w:rsidRDefault="008F5CF8" w:rsidP="00E13004">
            <w:pPr>
              <w:pStyle w:val="Tabletext"/>
              <w:jc w:val="right"/>
              <w:rPr>
                <w:lang w:val="ru-RU" w:eastAsia="en-GB"/>
              </w:rPr>
            </w:pPr>
            <w:r w:rsidRPr="00CA4C14">
              <w:rPr>
                <w:lang w:val="ru-RU" w:eastAsia="en-GB"/>
              </w:rPr>
              <w:t>191</w:t>
            </w:r>
          </w:p>
        </w:tc>
        <w:tc>
          <w:tcPr>
            <w:tcW w:w="638" w:type="pct"/>
            <w:noWrap/>
            <w:vAlign w:val="bottom"/>
            <w:hideMark/>
          </w:tcPr>
          <w:p w14:paraId="47310AA3" w14:textId="77777777" w:rsidR="008F5CF8" w:rsidRPr="00CA4C14" w:rsidRDefault="008F5CF8" w:rsidP="00E13004">
            <w:pPr>
              <w:pStyle w:val="Tabletext"/>
              <w:jc w:val="right"/>
              <w:rPr>
                <w:lang w:val="ru-RU" w:eastAsia="en-GB"/>
              </w:rPr>
            </w:pPr>
            <w:r w:rsidRPr="00CA4C14">
              <w:rPr>
                <w:lang w:val="ru-RU" w:eastAsia="en-GB"/>
              </w:rPr>
              <w:t>125 901</w:t>
            </w:r>
          </w:p>
        </w:tc>
        <w:tc>
          <w:tcPr>
            <w:tcW w:w="820" w:type="pct"/>
            <w:noWrap/>
            <w:vAlign w:val="bottom"/>
            <w:hideMark/>
          </w:tcPr>
          <w:p w14:paraId="3F71ECA7" w14:textId="77777777" w:rsidR="008F5CF8" w:rsidRPr="00CA4C14" w:rsidRDefault="008F5CF8" w:rsidP="00E13004">
            <w:pPr>
              <w:pStyle w:val="Tabletext"/>
              <w:jc w:val="right"/>
              <w:rPr>
                <w:lang w:val="ru-RU" w:eastAsia="en-GB"/>
              </w:rPr>
            </w:pPr>
            <w:r w:rsidRPr="00CA4C14">
              <w:rPr>
                <w:lang w:val="ru-RU" w:eastAsia="en-GB"/>
              </w:rPr>
              <w:t>126 027</w:t>
            </w:r>
          </w:p>
        </w:tc>
        <w:tc>
          <w:tcPr>
            <w:tcW w:w="819" w:type="pct"/>
            <w:noWrap/>
            <w:vAlign w:val="bottom"/>
            <w:hideMark/>
          </w:tcPr>
          <w:p w14:paraId="1090898E" w14:textId="77777777" w:rsidR="008F5CF8" w:rsidRPr="00CA4C14" w:rsidRDefault="008F5CF8" w:rsidP="00E13004">
            <w:pPr>
              <w:pStyle w:val="Tabletext"/>
              <w:jc w:val="right"/>
              <w:rPr>
                <w:lang w:val="ru-RU" w:eastAsia="en-GB"/>
              </w:rPr>
            </w:pPr>
            <w:r w:rsidRPr="00CA4C14">
              <w:rPr>
                <w:lang w:val="ru-RU" w:eastAsia="en-GB"/>
              </w:rPr>
              <w:t>(126)</w:t>
            </w:r>
          </w:p>
        </w:tc>
      </w:tr>
      <w:tr w:rsidR="008F5CF8" w:rsidRPr="00CA4C14" w14:paraId="7A5AEEFA" w14:textId="77777777" w:rsidTr="00FE0DEB">
        <w:trPr>
          <w:trHeight w:val="255"/>
        </w:trPr>
        <w:tc>
          <w:tcPr>
            <w:tcW w:w="1449" w:type="pct"/>
            <w:noWrap/>
            <w:hideMark/>
          </w:tcPr>
          <w:p w14:paraId="6E52C29B" w14:textId="77777777" w:rsidR="008F5CF8" w:rsidRPr="00CA4C14" w:rsidRDefault="008F5CF8" w:rsidP="00E13004">
            <w:pPr>
              <w:pStyle w:val="Tabletext"/>
              <w:rPr>
                <w:lang w:val="ru-RU"/>
              </w:rPr>
            </w:pPr>
            <w:r w:rsidRPr="00CA4C14">
              <w:rPr>
                <w:szCs w:val="18"/>
                <w:lang w:val="ru-RU"/>
              </w:rPr>
              <w:t>Возмещение затрат</w:t>
            </w:r>
          </w:p>
        </w:tc>
        <w:tc>
          <w:tcPr>
            <w:tcW w:w="637" w:type="pct"/>
            <w:noWrap/>
            <w:vAlign w:val="bottom"/>
            <w:hideMark/>
          </w:tcPr>
          <w:p w14:paraId="780096D6" w14:textId="77777777" w:rsidR="008F5CF8" w:rsidRPr="00CA4C14" w:rsidRDefault="008F5CF8" w:rsidP="00E13004">
            <w:pPr>
              <w:pStyle w:val="Tabletext"/>
              <w:jc w:val="right"/>
              <w:rPr>
                <w:lang w:val="ru-RU" w:eastAsia="en-GB"/>
              </w:rPr>
            </w:pPr>
            <w:r w:rsidRPr="00CA4C14">
              <w:rPr>
                <w:lang w:val="ru-RU" w:eastAsia="en-GB"/>
              </w:rPr>
              <w:t>36 500</w:t>
            </w:r>
          </w:p>
        </w:tc>
        <w:tc>
          <w:tcPr>
            <w:tcW w:w="637" w:type="pct"/>
            <w:noWrap/>
            <w:vAlign w:val="bottom"/>
            <w:hideMark/>
          </w:tcPr>
          <w:p w14:paraId="49A78A8D"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3B7B11F9" w14:textId="77777777" w:rsidR="008F5CF8" w:rsidRPr="00CA4C14" w:rsidRDefault="008F5CF8" w:rsidP="00E13004">
            <w:pPr>
              <w:pStyle w:val="Tabletext"/>
              <w:jc w:val="right"/>
              <w:rPr>
                <w:lang w:val="ru-RU" w:eastAsia="en-GB"/>
              </w:rPr>
            </w:pPr>
            <w:r w:rsidRPr="00CA4C14">
              <w:rPr>
                <w:lang w:val="ru-RU" w:eastAsia="en-GB"/>
              </w:rPr>
              <w:t>36 500</w:t>
            </w:r>
          </w:p>
        </w:tc>
        <w:tc>
          <w:tcPr>
            <w:tcW w:w="820" w:type="pct"/>
            <w:noWrap/>
            <w:vAlign w:val="bottom"/>
            <w:hideMark/>
          </w:tcPr>
          <w:p w14:paraId="7B6D539F" w14:textId="77777777" w:rsidR="008F5CF8" w:rsidRPr="00CA4C14" w:rsidRDefault="008F5CF8" w:rsidP="00E13004">
            <w:pPr>
              <w:pStyle w:val="Tabletext"/>
              <w:jc w:val="right"/>
              <w:rPr>
                <w:lang w:val="ru-RU" w:eastAsia="en-GB"/>
              </w:rPr>
            </w:pPr>
            <w:r w:rsidRPr="00CA4C14">
              <w:rPr>
                <w:lang w:val="ru-RU" w:eastAsia="en-GB"/>
              </w:rPr>
              <w:t>28 674</w:t>
            </w:r>
          </w:p>
        </w:tc>
        <w:tc>
          <w:tcPr>
            <w:tcW w:w="819" w:type="pct"/>
            <w:noWrap/>
            <w:vAlign w:val="bottom"/>
            <w:hideMark/>
          </w:tcPr>
          <w:p w14:paraId="2C2DF69F" w14:textId="77777777" w:rsidR="008F5CF8" w:rsidRPr="00CA4C14" w:rsidRDefault="008F5CF8" w:rsidP="00E13004">
            <w:pPr>
              <w:pStyle w:val="Tabletext"/>
              <w:jc w:val="right"/>
              <w:rPr>
                <w:lang w:val="ru-RU" w:eastAsia="en-GB"/>
              </w:rPr>
            </w:pPr>
            <w:r w:rsidRPr="00CA4C14">
              <w:rPr>
                <w:lang w:val="ru-RU" w:eastAsia="en-GB"/>
              </w:rPr>
              <w:t>7 826</w:t>
            </w:r>
          </w:p>
        </w:tc>
      </w:tr>
      <w:tr w:rsidR="008F5CF8" w:rsidRPr="00CA4C14" w14:paraId="71989E7C" w14:textId="77777777" w:rsidTr="00FE0DEB">
        <w:trPr>
          <w:trHeight w:val="255"/>
        </w:trPr>
        <w:tc>
          <w:tcPr>
            <w:tcW w:w="1449" w:type="pct"/>
            <w:noWrap/>
            <w:hideMark/>
          </w:tcPr>
          <w:p w14:paraId="0D8ED606" w14:textId="77777777" w:rsidR="008F5CF8" w:rsidRPr="00CA4C14" w:rsidRDefault="008F5CF8" w:rsidP="00E13004">
            <w:pPr>
              <w:pStyle w:val="Tabletext"/>
              <w:rPr>
                <w:lang w:val="ru-RU"/>
              </w:rPr>
            </w:pPr>
            <w:r w:rsidRPr="00CA4C14">
              <w:rPr>
                <w:szCs w:val="18"/>
                <w:lang w:val="ru-RU"/>
              </w:rPr>
              <w:t>Проценты</w:t>
            </w:r>
          </w:p>
        </w:tc>
        <w:tc>
          <w:tcPr>
            <w:tcW w:w="637" w:type="pct"/>
            <w:noWrap/>
            <w:vAlign w:val="bottom"/>
            <w:hideMark/>
          </w:tcPr>
          <w:p w14:paraId="3BB5588E" w14:textId="77777777" w:rsidR="008F5CF8" w:rsidRPr="00CA4C14" w:rsidRDefault="008F5CF8" w:rsidP="00E13004">
            <w:pPr>
              <w:pStyle w:val="Tabletext"/>
              <w:jc w:val="right"/>
              <w:rPr>
                <w:lang w:val="ru-RU" w:eastAsia="en-GB"/>
              </w:rPr>
            </w:pPr>
            <w:r w:rsidRPr="00CA4C14">
              <w:rPr>
                <w:lang w:val="ru-RU" w:eastAsia="en-GB"/>
              </w:rPr>
              <w:t>300</w:t>
            </w:r>
          </w:p>
        </w:tc>
        <w:tc>
          <w:tcPr>
            <w:tcW w:w="637" w:type="pct"/>
            <w:noWrap/>
            <w:vAlign w:val="bottom"/>
            <w:hideMark/>
          </w:tcPr>
          <w:p w14:paraId="37131827"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72925E77" w14:textId="77777777" w:rsidR="008F5CF8" w:rsidRPr="00CA4C14" w:rsidRDefault="008F5CF8" w:rsidP="00E13004">
            <w:pPr>
              <w:pStyle w:val="Tabletext"/>
              <w:jc w:val="right"/>
              <w:rPr>
                <w:lang w:val="ru-RU" w:eastAsia="en-GB"/>
              </w:rPr>
            </w:pPr>
            <w:r w:rsidRPr="00CA4C14">
              <w:rPr>
                <w:lang w:val="ru-RU" w:eastAsia="en-GB"/>
              </w:rPr>
              <w:t>300</w:t>
            </w:r>
          </w:p>
        </w:tc>
        <w:tc>
          <w:tcPr>
            <w:tcW w:w="820" w:type="pct"/>
            <w:noWrap/>
            <w:vAlign w:val="bottom"/>
            <w:hideMark/>
          </w:tcPr>
          <w:p w14:paraId="743EF450" w14:textId="77777777" w:rsidR="008F5CF8" w:rsidRPr="00CA4C14" w:rsidRDefault="008F5CF8" w:rsidP="00E13004">
            <w:pPr>
              <w:pStyle w:val="Tabletext"/>
              <w:jc w:val="right"/>
              <w:rPr>
                <w:lang w:val="ru-RU" w:eastAsia="en-GB"/>
              </w:rPr>
            </w:pPr>
            <w:r w:rsidRPr="00CA4C14">
              <w:rPr>
                <w:lang w:val="ru-RU" w:eastAsia="en-GB"/>
              </w:rPr>
              <w:t>2 935</w:t>
            </w:r>
          </w:p>
        </w:tc>
        <w:tc>
          <w:tcPr>
            <w:tcW w:w="819" w:type="pct"/>
            <w:noWrap/>
            <w:vAlign w:val="bottom"/>
            <w:hideMark/>
          </w:tcPr>
          <w:p w14:paraId="2E2F8F49" w14:textId="77777777" w:rsidR="008F5CF8" w:rsidRPr="00CA4C14" w:rsidRDefault="008F5CF8" w:rsidP="00E13004">
            <w:pPr>
              <w:pStyle w:val="Tabletext"/>
              <w:jc w:val="right"/>
              <w:rPr>
                <w:lang w:val="ru-RU" w:eastAsia="en-GB"/>
              </w:rPr>
            </w:pPr>
            <w:r w:rsidRPr="00CA4C14">
              <w:rPr>
                <w:lang w:val="ru-RU" w:eastAsia="en-GB"/>
              </w:rPr>
              <w:t>(2 635)</w:t>
            </w:r>
          </w:p>
        </w:tc>
      </w:tr>
      <w:tr w:rsidR="008F5CF8" w:rsidRPr="00CA4C14" w14:paraId="69C29D35" w14:textId="77777777" w:rsidTr="00FE0DEB">
        <w:trPr>
          <w:trHeight w:val="270"/>
        </w:trPr>
        <w:tc>
          <w:tcPr>
            <w:tcW w:w="1449" w:type="pct"/>
            <w:noWrap/>
            <w:hideMark/>
          </w:tcPr>
          <w:p w14:paraId="0704F961" w14:textId="77777777" w:rsidR="008F5CF8" w:rsidRPr="00CA4C14" w:rsidRDefault="008F5CF8" w:rsidP="00E13004">
            <w:pPr>
              <w:pStyle w:val="Tabletext"/>
              <w:rPr>
                <w:lang w:val="ru-RU"/>
              </w:rPr>
            </w:pPr>
            <w:r w:rsidRPr="00CA4C14">
              <w:rPr>
                <w:szCs w:val="18"/>
                <w:lang w:val="ru-RU"/>
              </w:rPr>
              <w:t>Прочие доходы</w:t>
            </w:r>
          </w:p>
        </w:tc>
        <w:tc>
          <w:tcPr>
            <w:tcW w:w="637" w:type="pct"/>
            <w:noWrap/>
            <w:vAlign w:val="bottom"/>
            <w:hideMark/>
          </w:tcPr>
          <w:p w14:paraId="64DFBB4E" w14:textId="77777777" w:rsidR="008F5CF8" w:rsidRPr="00CA4C14" w:rsidRDefault="008F5CF8" w:rsidP="00E13004">
            <w:pPr>
              <w:pStyle w:val="Tabletext"/>
              <w:jc w:val="right"/>
              <w:rPr>
                <w:lang w:val="ru-RU" w:eastAsia="en-GB"/>
              </w:rPr>
            </w:pPr>
            <w:r w:rsidRPr="00CA4C14">
              <w:rPr>
                <w:lang w:val="ru-RU" w:eastAsia="en-GB"/>
              </w:rPr>
              <w:t>200</w:t>
            </w:r>
          </w:p>
        </w:tc>
        <w:tc>
          <w:tcPr>
            <w:tcW w:w="637" w:type="pct"/>
            <w:noWrap/>
            <w:vAlign w:val="bottom"/>
            <w:hideMark/>
          </w:tcPr>
          <w:p w14:paraId="76217A98"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7D69228F" w14:textId="77777777" w:rsidR="008F5CF8" w:rsidRPr="00CA4C14" w:rsidRDefault="008F5CF8" w:rsidP="00E13004">
            <w:pPr>
              <w:pStyle w:val="Tabletext"/>
              <w:jc w:val="right"/>
              <w:rPr>
                <w:lang w:val="ru-RU" w:eastAsia="en-GB"/>
              </w:rPr>
            </w:pPr>
            <w:r w:rsidRPr="00CA4C14">
              <w:rPr>
                <w:lang w:val="ru-RU" w:eastAsia="en-GB"/>
              </w:rPr>
              <w:t>200</w:t>
            </w:r>
          </w:p>
        </w:tc>
        <w:tc>
          <w:tcPr>
            <w:tcW w:w="820" w:type="pct"/>
            <w:noWrap/>
            <w:vAlign w:val="bottom"/>
            <w:hideMark/>
          </w:tcPr>
          <w:p w14:paraId="455FC634" w14:textId="77777777" w:rsidR="008F5CF8" w:rsidRPr="00CA4C14" w:rsidRDefault="008F5CF8" w:rsidP="00E13004">
            <w:pPr>
              <w:pStyle w:val="Tabletext"/>
              <w:jc w:val="right"/>
              <w:rPr>
                <w:lang w:val="ru-RU" w:eastAsia="en-GB"/>
              </w:rPr>
            </w:pPr>
            <w:r w:rsidRPr="00CA4C14">
              <w:rPr>
                <w:lang w:val="ru-RU" w:eastAsia="en-GB"/>
              </w:rPr>
              <w:t>630</w:t>
            </w:r>
          </w:p>
        </w:tc>
        <w:tc>
          <w:tcPr>
            <w:tcW w:w="819" w:type="pct"/>
            <w:noWrap/>
            <w:vAlign w:val="bottom"/>
            <w:hideMark/>
          </w:tcPr>
          <w:p w14:paraId="06439548" w14:textId="77777777" w:rsidR="008F5CF8" w:rsidRPr="00CA4C14" w:rsidRDefault="008F5CF8" w:rsidP="00E13004">
            <w:pPr>
              <w:pStyle w:val="Tabletext"/>
              <w:jc w:val="right"/>
              <w:rPr>
                <w:lang w:val="ru-RU" w:eastAsia="en-GB"/>
              </w:rPr>
            </w:pPr>
            <w:r w:rsidRPr="00CA4C14">
              <w:rPr>
                <w:lang w:val="ru-RU" w:eastAsia="en-GB"/>
              </w:rPr>
              <w:t>(430)</w:t>
            </w:r>
          </w:p>
        </w:tc>
      </w:tr>
      <w:tr w:rsidR="008F5CF8" w:rsidRPr="00CA4C14" w14:paraId="46B15928" w14:textId="77777777" w:rsidTr="00FE0DEB">
        <w:trPr>
          <w:trHeight w:val="255"/>
        </w:trPr>
        <w:tc>
          <w:tcPr>
            <w:tcW w:w="1449" w:type="pct"/>
            <w:noWrap/>
            <w:hideMark/>
          </w:tcPr>
          <w:p w14:paraId="6A15E0FA" w14:textId="77777777" w:rsidR="008F5CF8" w:rsidRPr="00CA4C14" w:rsidRDefault="008F5CF8" w:rsidP="00E13004">
            <w:pPr>
              <w:pStyle w:val="Tabletext"/>
              <w:rPr>
                <w:lang w:val="ru-RU"/>
              </w:rPr>
            </w:pPr>
            <w:r w:rsidRPr="00CA4C14">
              <w:rPr>
                <w:szCs w:val="18"/>
                <w:lang w:val="ru-RU" w:eastAsia="en-GB"/>
              </w:rPr>
              <w:t>Платежи в Фонды ИКТ и строительства нового здания</w:t>
            </w:r>
          </w:p>
        </w:tc>
        <w:tc>
          <w:tcPr>
            <w:tcW w:w="637" w:type="pct"/>
            <w:noWrap/>
            <w:vAlign w:val="bottom"/>
            <w:hideMark/>
          </w:tcPr>
          <w:p w14:paraId="6464D825" w14:textId="77777777" w:rsidR="008F5CF8" w:rsidRPr="00CA4C14" w:rsidRDefault="008F5CF8" w:rsidP="00E13004">
            <w:pPr>
              <w:pStyle w:val="Tabletext"/>
              <w:jc w:val="right"/>
              <w:rPr>
                <w:lang w:val="ru-RU" w:eastAsia="en-GB"/>
              </w:rPr>
            </w:pPr>
            <w:r w:rsidRPr="00CA4C14">
              <w:rPr>
                <w:lang w:val="ru-RU" w:eastAsia="en-GB"/>
              </w:rPr>
              <w:t>(1 250)</w:t>
            </w:r>
          </w:p>
        </w:tc>
        <w:tc>
          <w:tcPr>
            <w:tcW w:w="637" w:type="pct"/>
            <w:noWrap/>
            <w:vAlign w:val="bottom"/>
            <w:hideMark/>
          </w:tcPr>
          <w:p w14:paraId="0BC4F0EA"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1D5B02F2" w14:textId="77777777" w:rsidR="008F5CF8" w:rsidRPr="00CA4C14" w:rsidRDefault="008F5CF8" w:rsidP="00E13004">
            <w:pPr>
              <w:pStyle w:val="Tabletext"/>
              <w:jc w:val="right"/>
              <w:rPr>
                <w:lang w:val="ru-RU" w:eastAsia="en-GB"/>
              </w:rPr>
            </w:pPr>
            <w:r w:rsidRPr="00CA4C14">
              <w:rPr>
                <w:lang w:val="ru-RU" w:eastAsia="en-GB"/>
              </w:rPr>
              <w:t>(1 250)</w:t>
            </w:r>
          </w:p>
        </w:tc>
        <w:tc>
          <w:tcPr>
            <w:tcW w:w="820" w:type="pct"/>
            <w:noWrap/>
            <w:vAlign w:val="bottom"/>
            <w:hideMark/>
          </w:tcPr>
          <w:p w14:paraId="478CD1C2" w14:textId="77777777" w:rsidR="008F5CF8" w:rsidRPr="00CA4C14" w:rsidRDefault="008F5CF8" w:rsidP="00E13004">
            <w:pPr>
              <w:pStyle w:val="Tabletext"/>
              <w:jc w:val="right"/>
              <w:rPr>
                <w:lang w:val="ru-RU" w:eastAsia="en-GB"/>
              </w:rPr>
            </w:pPr>
            <w:r w:rsidRPr="00CA4C14">
              <w:rPr>
                <w:lang w:val="ru-RU" w:eastAsia="en-GB"/>
              </w:rPr>
              <w:t>(1 250)</w:t>
            </w:r>
          </w:p>
        </w:tc>
        <w:tc>
          <w:tcPr>
            <w:tcW w:w="819" w:type="pct"/>
            <w:noWrap/>
            <w:vAlign w:val="bottom"/>
            <w:hideMark/>
          </w:tcPr>
          <w:p w14:paraId="0057E323" w14:textId="77777777" w:rsidR="008F5CF8" w:rsidRPr="00CA4C14" w:rsidRDefault="008F5CF8" w:rsidP="00E13004">
            <w:pPr>
              <w:pStyle w:val="Tabletext"/>
              <w:jc w:val="right"/>
              <w:rPr>
                <w:lang w:val="ru-RU" w:eastAsia="en-GB"/>
              </w:rPr>
            </w:pPr>
            <w:r w:rsidRPr="00CA4C14">
              <w:rPr>
                <w:lang w:val="ru-RU" w:eastAsia="en-GB"/>
              </w:rPr>
              <w:sym w:font="Symbol" w:char="F02D"/>
            </w:r>
          </w:p>
        </w:tc>
      </w:tr>
      <w:tr w:rsidR="008F5CF8" w:rsidRPr="00CA4C14" w14:paraId="650B8DFE" w14:textId="77777777" w:rsidTr="00FE0DEB">
        <w:trPr>
          <w:trHeight w:val="255"/>
        </w:trPr>
        <w:tc>
          <w:tcPr>
            <w:tcW w:w="1449" w:type="pct"/>
            <w:noWrap/>
            <w:hideMark/>
          </w:tcPr>
          <w:p w14:paraId="1CB62A27" w14:textId="77777777" w:rsidR="008F5CF8" w:rsidRPr="00CA4C14" w:rsidRDefault="008F5CF8" w:rsidP="00E13004">
            <w:pPr>
              <w:pStyle w:val="Tabletext"/>
              <w:rPr>
                <w:lang w:val="ru-RU"/>
              </w:rPr>
            </w:pPr>
            <w:r w:rsidRPr="00CA4C14">
              <w:rPr>
                <w:color w:val="000000"/>
                <w:szCs w:val="18"/>
                <w:lang w:val="ru-RU"/>
              </w:rPr>
              <w:t>Экономия при исполнении бюджета</w:t>
            </w:r>
          </w:p>
        </w:tc>
        <w:tc>
          <w:tcPr>
            <w:tcW w:w="637" w:type="pct"/>
            <w:noWrap/>
            <w:vAlign w:val="bottom"/>
            <w:hideMark/>
          </w:tcPr>
          <w:p w14:paraId="137BDB22" w14:textId="77777777" w:rsidR="008F5CF8" w:rsidRPr="00CA4C14" w:rsidRDefault="008F5CF8" w:rsidP="00E13004">
            <w:pPr>
              <w:pStyle w:val="Tabletext"/>
              <w:jc w:val="right"/>
              <w:rPr>
                <w:lang w:val="ru-RU" w:eastAsia="en-GB"/>
              </w:rPr>
            </w:pPr>
            <w:r w:rsidRPr="00CA4C14">
              <w:rPr>
                <w:lang w:val="ru-RU" w:eastAsia="en-GB"/>
              </w:rPr>
              <w:t>1 734</w:t>
            </w:r>
          </w:p>
        </w:tc>
        <w:tc>
          <w:tcPr>
            <w:tcW w:w="637" w:type="pct"/>
            <w:noWrap/>
            <w:vAlign w:val="bottom"/>
            <w:hideMark/>
          </w:tcPr>
          <w:p w14:paraId="11926D56"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397948BF" w14:textId="77777777" w:rsidR="008F5CF8" w:rsidRPr="00CA4C14" w:rsidRDefault="008F5CF8" w:rsidP="00E13004">
            <w:pPr>
              <w:pStyle w:val="Tabletext"/>
              <w:jc w:val="right"/>
              <w:rPr>
                <w:lang w:val="ru-RU" w:eastAsia="en-GB"/>
              </w:rPr>
            </w:pPr>
            <w:r w:rsidRPr="00CA4C14">
              <w:rPr>
                <w:lang w:val="ru-RU" w:eastAsia="en-GB"/>
              </w:rPr>
              <w:t>1 734</w:t>
            </w:r>
          </w:p>
        </w:tc>
        <w:tc>
          <w:tcPr>
            <w:tcW w:w="820" w:type="pct"/>
            <w:noWrap/>
            <w:vAlign w:val="bottom"/>
            <w:hideMark/>
          </w:tcPr>
          <w:p w14:paraId="7CE88C51"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819" w:type="pct"/>
            <w:noWrap/>
            <w:vAlign w:val="bottom"/>
            <w:hideMark/>
          </w:tcPr>
          <w:p w14:paraId="005C03D4" w14:textId="77777777" w:rsidR="008F5CF8" w:rsidRPr="00CA4C14" w:rsidRDefault="008F5CF8" w:rsidP="00E13004">
            <w:pPr>
              <w:pStyle w:val="Tabletext"/>
              <w:jc w:val="right"/>
              <w:rPr>
                <w:lang w:val="ru-RU" w:eastAsia="en-GB"/>
              </w:rPr>
            </w:pPr>
            <w:r w:rsidRPr="00CA4C14">
              <w:rPr>
                <w:lang w:val="ru-RU" w:eastAsia="en-GB"/>
              </w:rPr>
              <w:t>1 734</w:t>
            </w:r>
          </w:p>
        </w:tc>
      </w:tr>
      <w:tr w:rsidR="00E13004" w:rsidRPr="00CA4C14" w14:paraId="2D29F99B" w14:textId="77777777" w:rsidTr="00FE0DEB">
        <w:trPr>
          <w:trHeight w:val="70"/>
        </w:trPr>
        <w:tc>
          <w:tcPr>
            <w:tcW w:w="1449" w:type="pct"/>
            <w:noWrap/>
          </w:tcPr>
          <w:p w14:paraId="4B3BFAEF" w14:textId="77777777" w:rsidR="00E13004" w:rsidRPr="00CA4C14" w:rsidRDefault="00E13004" w:rsidP="00E13004">
            <w:pPr>
              <w:pStyle w:val="Tabletext"/>
              <w:spacing w:before="0" w:after="0"/>
              <w:rPr>
                <w:color w:val="000000"/>
                <w:szCs w:val="18"/>
                <w:lang w:val="ru-RU"/>
              </w:rPr>
            </w:pPr>
          </w:p>
        </w:tc>
        <w:tc>
          <w:tcPr>
            <w:tcW w:w="637" w:type="pct"/>
            <w:noWrap/>
            <w:vAlign w:val="bottom"/>
          </w:tcPr>
          <w:p w14:paraId="57167D6A" w14:textId="77777777" w:rsidR="00E13004" w:rsidRPr="00CA4C14" w:rsidRDefault="00E13004" w:rsidP="00E13004">
            <w:pPr>
              <w:pStyle w:val="Tabletext"/>
              <w:spacing w:before="0" w:after="0"/>
              <w:jc w:val="right"/>
              <w:rPr>
                <w:lang w:val="ru-RU" w:eastAsia="en-GB"/>
              </w:rPr>
            </w:pPr>
          </w:p>
        </w:tc>
        <w:tc>
          <w:tcPr>
            <w:tcW w:w="637" w:type="pct"/>
            <w:noWrap/>
            <w:vAlign w:val="bottom"/>
          </w:tcPr>
          <w:p w14:paraId="14D62D24" w14:textId="77777777" w:rsidR="00E13004" w:rsidRPr="00CA4C14" w:rsidRDefault="00E13004" w:rsidP="00E13004">
            <w:pPr>
              <w:pStyle w:val="Tabletext"/>
              <w:spacing w:before="0" w:after="0"/>
              <w:jc w:val="right"/>
              <w:rPr>
                <w:lang w:val="ru-RU" w:eastAsia="en-GB"/>
              </w:rPr>
            </w:pPr>
          </w:p>
        </w:tc>
        <w:tc>
          <w:tcPr>
            <w:tcW w:w="638" w:type="pct"/>
            <w:noWrap/>
            <w:vAlign w:val="bottom"/>
          </w:tcPr>
          <w:p w14:paraId="778E8B8D" w14:textId="77777777" w:rsidR="00E13004" w:rsidRPr="00CA4C14" w:rsidRDefault="00E13004" w:rsidP="00E13004">
            <w:pPr>
              <w:pStyle w:val="Tabletext"/>
              <w:spacing w:before="0" w:after="0"/>
              <w:jc w:val="right"/>
              <w:rPr>
                <w:lang w:val="ru-RU" w:eastAsia="en-GB"/>
              </w:rPr>
            </w:pPr>
          </w:p>
        </w:tc>
        <w:tc>
          <w:tcPr>
            <w:tcW w:w="820" w:type="pct"/>
            <w:noWrap/>
            <w:vAlign w:val="bottom"/>
          </w:tcPr>
          <w:p w14:paraId="328C9962" w14:textId="77777777" w:rsidR="00E13004" w:rsidRPr="00CA4C14" w:rsidRDefault="00E13004" w:rsidP="00E13004">
            <w:pPr>
              <w:pStyle w:val="Tabletext"/>
              <w:spacing w:before="0" w:after="0"/>
              <w:jc w:val="right"/>
              <w:rPr>
                <w:lang w:val="ru-RU" w:eastAsia="en-GB"/>
              </w:rPr>
            </w:pPr>
          </w:p>
        </w:tc>
        <w:tc>
          <w:tcPr>
            <w:tcW w:w="819" w:type="pct"/>
            <w:noWrap/>
            <w:vAlign w:val="bottom"/>
          </w:tcPr>
          <w:p w14:paraId="56E51380" w14:textId="77777777" w:rsidR="00E13004" w:rsidRPr="00CA4C14" w:rsidRDefault="00E13004" w:rsidP="00E13004">
            <w:pPr>
              <w:pStyle w:val="Tabletext"/>
              <w:spacing w:before="0" w:after="0"/>
              <w:jc w:val="right"/>
              <w:rPr>
                <w:lang w:val="ru-RU" w:eastAsia="en-GB"/>
              </w:rPr>
            </w:pPr>
          </w:p>
        </w:tc>
      </w:tr>
      <w:tr w:rsidR="008F5CF8" w:rsidRPr="00CA4C14" w14:paraId="3E0E8D55" w14:textId="77777777" w:rsidTr="00FE0DEB">
        <w:trPr>
          <w:trHeight w:val="255"/>
        </w:trPr>
        <w:tc>
          <w:tcPr>
            <w:tcW w:w="1449" w:type="pct"/>
            <w:noWrap/>
            <w:hideMark/>
          </w:tcPr>
          <w:p w14:paraId="448D1C2D" w14:textId="77777777" w:rsidR="008F5CF8" w:rsidRPr="00CA4C14" w:rsidRDefault="008F5CF8" w:rsidP="00E13004">
            <w:pPr>
              <w:pStyle w:val="Tabletext"/>
              <w:rPr>
                <w:b/>
                <w:bCs/>
                <w:lang w:val="ru-RU"/>
              </w:rPr>
            </w:pPr>
            <w:r w:rsidRPr="00CA4C14">
              <w:rPr>
                <w:b/>
                <w:szCs w:val="18"/>
                <w:lang w:val="ru-RU"/>
              </w:rPr>
              <w:t>Всего: доходы</w:t>
            </w:r>
          </w:p>
        </w:tc>
        <w:tc>
          <w:tcPr>
            <w:tcW w:w="637" w:type="pct"/>
            <w:noWrap/>
            <w:vAlign w:val="bottom"/>
            <w:hideMark/>
          </w:tcPr>
          <w:p w14:paraId="747EBE31" w14:textId="77777777" w:rsidR="008F5CF8" w:rsidRPr="00CA4C14" w:rsidRDefault="008F5CF8" w:rsidP="00E13004">
            <w:pPr>
              <w:pStyle w:val="Tabletext"/>
              <w:jc w:val="right"/>
              <w:rPr>
                <w:b/>
                <w:bCs/>
                <w:lang w:val="ru-RU" w:eastAsia="en-GB"/>
              </w:rPr>
            </w:pPr>
            <w:r w:rsidRPr="00CA4C14">
              <w:rPr>
                <w:b/>
                <w:bCs/>
                <w:lang w:val="ru-RU" w:eastAsia="en-GB"/>
              </w:rPr>
              <w:t>163 194</w:t>
            </w:r>
          </w:p>
        </w:tc>
        <w:tc>
          <w:tcPr>
            <w:tcW w:w="637" w:type="pct"/>
            <w:noWrap/>
            <w:vAlign w:val="bottom"/>
            <w:hideMark/>
          </w:tcPr>
          <w:p w14:paraId="3D534175" w14:textId="77777777" w:rsidR="008F5CF8" w:rsidRPr="00CA4C14" w:rsidRDefault="008F5CF8" w:rsidP="00E13004">
            <w:pPr>
              <w:pStyle w:val="Tabletext"/>
              <w:jc w:val="right"/>
              <w:rPr>
                <w:b/>
                <w:bCs/>
                <w:lang w:val="ru-RU" w:eastAsia="en-GB"/>
              </w:rPr>
            </w:pPr>
            <w:r w:rsidRPr="00CA4C14">
              <w:rPr>
                <w:b/>
                <w:bCs/>
                <w:lang w:val="ru-RU" w:eastAsia="en-GB"/>
              </w:rPr>
              <w:t>191</w:t>
            </w:r>
          </w:p>
        </w:tc>
        <w:tc>
          <w:tcPr>
            <w:tcW w:w="638" w:type="pct"/>
            <w:noWrap/>
            <w:vAlign w:val="bottom"/>
            <w:hideMark/>
          </w:tcPr>
          <w:p w14:paraId="3E02EF75" w14:textId="77777777" w:rsidR="008F5CF8" w:rsidRPr="00CA4C14" w:rsidRDefault="008F5CF8" w:rsidP="00E13004">
            <w:pPr>
              <w:pStyle w:val="Tabletext"/>
              <w:jc w:val="right"/>
              <w:rPr>
                <w:b/>
                <w:bCs/>
                <w:lang w:val="ru-RU" w:eastAsia="en-GB"/>
              </w:rPr>
            </w:pPr>
            <w:r w:rsidRPr="00CA4C14">
              <w:rPr>
                <w:b/>
                <w:bCs/>
                <w:lang w:val="ru-RU" w:eastAsia="en-GB"/>
              </w:rPr>
              <w:t>163 385</w:t>
            </w:r>
          </w:p>
        </w:tc>
        <w:tc>
          <w:tcPr>
            <w:tcW w:w="820" w:type="pct"/>
            <w:noWrap/>
            <w:vAlign w:val="bottom"/>
            <w:hideMark/>
          </w:tcPr>
          <w:p w14:paraId="11A94010" w14:textId="77777777" w:rsidR="008F5CF8" w:rsidRPr="00CA4C14" w:rsidRDefault="008F5CF8" w:rsidP="00E13004">
            <w:pPr>
              <w:pStyle w:val="Tabletext"/>
              <w:jc w:val="right"/>
              <w:rPr>
                <w:b/>
                <w:bCs/>
                <w:lang w:val="ru-RU" w:eastAsia="en-GB"/>
              </w:rPr>
            </w:pPr>
            <w:r w:rsidRPr="00CA4C14">
              <w:rPr>
                <w:b/>
                <w:bCs/>
                <w:lang w:val="ru-RU" w:eastAsia="en-GB"/>
              </w:rPr>
              <w:t>157 016</w:t>
            </w:r>
          </w:p>
        </w:tc>
        <w:tc>
          <w:tcPr>
            <w:tcW w:w="819" w:type="pct"/>
            <w:noWrap/>
            <w:vAlign w:val="bottom"/>
            <w:hideMark/>
          </w:tcPr>
          <w:p w14:paraId="250B5026" w14:textId="77777777" w:rsidR="008F5CF8" w:rsidRPr="00CA4C14" w:rsidRDefault="008F5CF8" w:rsidP="00E13004">
            <w:pPr>
              <w:pStyle w:val="Tabletext"/>
              <w:jc w:val="right"/>
              <w:rPr>
                <w:b/>
                <w:bCs/>
                <w:lang w:val="ru-RU" w:eastAsia="en-GB"/>
              </w:rPr>
            </w:pPr>
            <w:r w:rsidRPr="00CA4C14">
              <w:rPr>
                <w:b/>
                <w:bCs/>
                <w:lang w:val="ru-RU" w:eastAsia="en-GB"/>
              </w:rPr>
              <w:t>6 369</w:t>
            </w:r>
          </w:p>
        </w:tc>
      </w:tr>
      <w:tr w:rsidR="00E13004" w:rsidRPr="00CA4C14" w14:paraId="1C73A003" w14:textId="77777777" w:rsidTr="00FE0DEB">
        <w:trPr>
          <w:trHeight w:val="70"/>
        </w:trPr>
        <w:tc>
          <w:tcPr>
            <w:tcW w:w="1449" w:type="pct"/>
            <w:noWrap/>
          </w:tcPr>
          <w:p w14:paraId="465F1E88" w14:textId="77777777" w:rsidR="00E13004" w:rsidRPr="00CA4C14" w:rsidRDefault="00E13004" w:rsidP="00E13004">
            <w:pPr>
              <w:pStyle w:val="Tabletext"/>
              <w:spacing w:before="0" w:after="0"/>
              <w:rPr>
                <w:szCs w:val="18"/>
                <w:lang w:val="ru-RU"/>
              </w:rPr>
            </w:pPr>
          </w:p>
        </w:tc>
        <w:tc>
          <w:tcPr>
            <w:tcW w:w="637" w:type="pct"/>
            <w:noWrap/>
            <w:vAlign w:val="bottom"/>
          </w:tcPr>
          <w:p w14:paraId="4A232A50" w14:textId="77777777" w:rsidR="00E13004" w:rsidRPr="00CA4C14" w:rsidRDefault="00E13004" w:rsidP="00E13004">
            <w:pPr>
              <w:pStyle w:val="Tabletext"/>
              <w:spacing w:before="0" w:after="0"/>
              <w:jc w:val="right"/>
              <w:rPr>
                <w:lang w:val="ru-RU" w:eastAsia="en-GB"/>
              </w:rPr>
            </w:pPr>
          </w:p>
        </w:tc>
        <w:tc>
          <w:tcPr>
            <w:tcW w:w="637" w:type="pct"/>
            <w:noWrap/>
            <w:vAlign w:val="bottom"/>
          </w:tcPr>
          <w:p w14:paraId="421B0FE9" w14:textId="77777777" w:rsidR="00E13004" w:rsidRPr="00CA4C14" w:rsidRDefault="00E13004" w:rsidP="00E13004">
            <w:pPr>
              <w:pStyle w:val="Tabletext"/>
              <w:spacing w:before="0" w:after="0"/>
              <w:jc w:val="right"/>
              <w:rPr>
                <w:lang w:val="ru-RU" w:eastAsia="en-GB"/>
              </w:rPr>
            </w:pPr>
          </w:p>
        </w:tc>
        <w:tc>
          <w:tcPr>
            <w:tcW w:w="638" w:type="pct"/>
            <w:noWrap/>
            <w:vAlign w:val="bottom"/>
          </w:tcPr>
          <w:p w14:paraId="233E371C" w14:textId="77777777" w:rsidR="00E13004" w:rsidRPr="00CA4C14" w:rsidRDefault="00E13004" w:rsidP="00E13004">
            <w:pPr>
              <w:pStyle w:val="Tabletext"/>
              <w:spacing w:before="0" w:after="0"/>
              <w:jc w:val="right"/>
              <w:rPr>
                <w:lang w:val="ru-RU" w:eastAsia="en-GB"/>
              </w:rPr>
            </w:pPr>
          </w:p>
        </w:tc>
        <w:tc>
          <w:tcPr>
            <w:tcW w:w="820" w:type="pct"/>
            <w:noWrap/>
            <w:vAlign w:val="bottom"/>
          </w:tcPr>
          <w:p w14:paraId="24D5025E" w14:textId="77777777" w:rsidR="00E13004" w:rsidRPr="00CA4C14" w:rsidRDefault="00E13004" w:rsidP="00E13004">
            <w:pPr>
              <w:pStyle w:val="Tabletext"/>
              <w:spacing w:before="0" w:after="0"/>
              <w:jc w:val="right"/>
              <w:rPr>
                <w:lang w:val="ru-RU" w:eastAsia="en-GB"/>
              </w:rPr>
            </w:pPr>
          </w:p>
        </w:tc>
        <w:tc>
          <w:tcPr>
            <w:tcW w:w="819" w:type="pct"/>
            <w:noWrap/>
            <w:vAlign w:val="bottom"/>
          </w:tcPr>
          <w:p w14:paraId="1AC897C8" w14:textId="77777777" w:rsidR="00E13004" w:rsidRPr="00CA4C14" w:rsidRDefault="00E13004" w:rsidP="00E13004">
            <w:pPr>
              <w:pStyle w:val="Tabletext"/>
              <w:spacing w:before="0" w:after="0"/>
              <w:jc w:val="right"/>
              <w:rPr>
                <w:lang w:val="ru-RU" w:eastAsia="en-GB"/>
              </w:rPr>
            </w:pPr>
          </w:p>
        </w:tc>
      </w:tr>
      <w:tr w:rsidR="00E13004" w:rsidRPr="00CA4C14" w14:paraId="29F0F4B9" w14:textId="77777777" w:rsidTr="00FE0DEB">
        <w:trPr>
          <w:trHeight w:val="70"/>
        </w:trPr>
        <w:tc>
          <w:tcPr>
            <w:tcW w:w="1449" w:type="pct"/>
            <w:noWrap/>
          </w:tcPr>
          <w:p w14:paraId="27174F7B" w14:textId="644B1404" w:rsidR="00E13004" w:rsidRPr="00CA4C14" w:rsidRDefault="00E13004" w:rsidP="00E13004">
            <w:pPr>
              <w:pStyle w:val="Tabletext"/>
              <w:rPr>
                <w:szCs w:val="18"/>
                <w:lang w:val="ru-RU"/>
              </w:rPr>
            </w:pPr>
            <w:r w:rsidRPr="00CA4C14">
              <w:rPr>
                <w:b/>
                <w:bCs/>
                <w:szCs w:val="18"/>
                <w:lang w:val="ru-RU"/>
              </w:rPr>
              <w:t>Расходы</w:t>
            </w:r>
          </w:p>
        </w:tc>
        <w:tc>
          <w:tcPr>
            <w:tcW w:w="637" w:type="pct"/>
            <w:noWrap/>
            <w:vAlign w:val="bottom"/>
          </w:tcPr>
          <w:p w14:paraId="4450F381" w14:textId="77777777" w:rsidR="00E13004" w:rsidRPr="00CA4C14" w:rsidRDefault="00E13004" w:rsidP="00E13004">
            <w:pPr>
              <w:pStyle w:val="Tabletext"/>
              <w:jc w:val="right"/>
              <w:rPr>
                <w:lang w:val="ru-RU" w:eastAsia="en-GB"/>
              </w:rPr>
            </w:pPr>
          </w:p>
        </w:tc>
        <w:tc>
          <w:tcPr>
            <w:tcW w:w="637" w:type="pct"/>
            <w:noWrap/>
            <w:vAlign w:val="bottom"/>
          </w:tcPr>
          <w:p w14:paraId="709A8330" w14:textId="77777777" w:rsidR="00E13004" w:rsidRPr="00CA4C14" w:rsidRDefault="00E13004" w:rsidP="00E13004">
            <w:pPr>
              <w:pStyle w:val="Tabletext"/>
              <w:jc w:val="right"/>
              <w:rPr>
                <w:lang w:val="ru-RU" w:eastAsia="en-GB"/>
              </w:rPr>
            </w:pPr>
          </w:p>
        </w:tc>
        <w:tc>
          <w:tcPr>
            <w:tcW w:w="638" w:type="pct"/>
            <w:noWrap/>
            <w:vAlign w:val="bottom"/>
          </w:tcPr>
          <w:p w14:paraId="72A7B4C8" w14:textId="77777777" w:rsidR="00E13004" w:rsidRPr="00CA4C14" w:rsidRDefault="00E13004" w:rsidP="00E13004">
            <w:pPr>
              <w:pStyle w:val="Tabletext"/>
              <w:jc w:val="right"/>
              <w:rPr>
                <w:lang w:val="ru-RU" w:eastAsia="en-GB"/>
              </w:rPr>
            </w:pPr>
          </w:p>
        </w:tc>
        <w:tc>
          <w:tcPr>
            <w:tcW w:w="820" w:type="pct"/>
            <w:noWrap/>
            <w:vAlign w:val="bottom"/>
          </w:tcPr>
          <w:p w14:paraId="26CF4FAC" w14:textId="77777777" w:rsidR="00E13004" w:rsidRPr="00CA4C14" w:rsidRDefault="00E13004" w:rsidP="00E13004">
            <w:pPr>
              <w:pStyle w:val="Tabletext"/>
              <w:jc w:val="right"/>
              <w:rPr>
                <w:lang w:val="ru-RU" w:eastAsia="en-GB"/>
              </w:rPr>
            </w:pPr>
          </w:p>
        </w:tc>
        <w:tc>
          <w:tcPr>
            <w:tcW w:w="819" w:type="pct"/>
            <w:noWrap/>
            <w:vAlign w:val="bottom"/>
          </w:tcPr>
          <w:p w14:paraId="7A304C6D" w14:textId="77777777" w:rsidR="00E13004" w:rsidRPr="00CA4C14" w:rsidRDefault="00E13004" w:rsidP="00E13004">
            <w:pPr>
              <w:pStyle w:val="Tabletext"/>
              <w:jc w:val="right"/>
              <w:rPr>
                <w:lang w:val="ru-RU" w:eastAsia="en-GB"/>
              </w:rPr>
            </w:pPr>
          </w:p>
        </w:tc>
      </w:tr>
      <w:tr w:rsidR="00E13004" w:rsidRPr="00CA4C14" w14:paraId="14E815F5" w14:textId="77777777" w:rsidTr="00FE0DEB">
        <w:trPr>
          <w:trHeight w:val="70"/>
        </w:trPr>
        <w:tc>
          <w:tcPr>
            <w:tcW w:w="1449" w:type="pct"/>
            <w:noWrap/>
          </w:tcPr>
          <w:p w14:paraId="57DE1B11" w14:textId="77777777" w:rsidR="00E13004" w:rsidRPr="00CA4C14" w:rsidRDefault="00E13004" w:rsidP="00E13004">
            <w:pPr>
              <w:pStyle w:val="Tabletext"/>
              <w:spacing w:before="0" w:after="0"/>
              <w:rPr>
                <w:szCs w:val="18"/>
                <w:lang w:val="ru-RU"/>
              </w:rPr>
            </w:pPr>
          </w:p>
        </w:tc>
        <w:tc>
          <w:tcPr>
            <w:tcW w:w="637" w:type="pct"/>
            <w:noWrap/>
            <w:vAlign w:val="bottom"/>
          </w:tcPr>
          <w:p w14:paraId="7EC14CD7" w14:textId="77777777" w:rsidR="00E13004" w:rsidRPr="00CA4C14" w:rsidRDefault="00E13004" w:rsidP="00E13004">
            <w:pPr>
              <w:pStyle w:val="Tabletext"/>
              <w:spacing w:before="0" w:after="0"/>
              <w:jc w:val="right"/>
              <w:rPr>
                <w:lang w:val="ru-RU" w:eastAsia="en-GB"/>
              </w:rPr>
            </w:pPr>
          </w:p>
        </w:tc>
        <w:tc>
          <w:tcPr>
            <w:tcW w:w="637" w:type="pct"/>
            <w:noWrap/>
            <w:vAlign w:val="bottom"/>
          </w:tcPr>
          <w:p w14:paraId="58ADC300" w14:textId="77777777" w:rsidR="00E13004" w:rsidRPr="00CA4C14" w:rsidRDefault="00E13004" w:rsidP="00E13004">
            <w:pPr>
              <w:pStyle w:val="Tabletext"/>
              <w:spacing w:before="0" w:after="0"/>
              <w:jc w:val="right"/>
              <w:rPr>
                <w:lang w:val="ru-RU" w:eastAsia="en-GB"/>
              </w:rPr>
            </w:pPr>
          </w:p>
        </w:tc>
        <w:tc>
          <w:tcPr>
            <w:tcW w:w="638" w:type="pct"/>
            <w:noWrap/>
            <w:vAlign w:val="bottom"/>
          </w:tcPr>
          <w:p w14:paraId="1D1EAA3F" w14:textId="77777777" w:rsidR="00E13004" w:rsidRPr="00CA4C14" w:rsidRDefault="00E13004" w:rsidP="00E13004">
            <w:pPr>
              <w:pStyle w:val="Tabletext"/>
              <w:spacing w:before="0" w:after="0"/>
              <w:jc w:val="right"/>
              <w:rPr>
                <w:lang w:val="ru-RU" w:eastAsia="en-GB"/>
              </w:rPr>
            </w:pPr>
          </w:p>
        </w:tc>
        <w:tc>
          <w:tcPr>
            <w:tcW w:w="820" w:type="pct"/>
            <w:noWrap/>
            <w:vAlign w:val="bottom"/>
          </w:tcPr>
          <w:p w14:paraId="3C760529" w14:textId="77777777" w:rsidR="00E13004" w:rsidRPr="00CA4C14" w:rsidRDefault="00E13004" w:rsidP="00E13004">
            <w:pPr>
              <w:pStyle w:val="Tabletext"/>
              <w:spacing w:before="0" w:after="0"/>
              <w:jc w:val="right"/>
              <w:rPr>
                <w:lang w:val="ru-RU" w:eastAsia="en-GB"/>
              </w:rPr>
            </w:pPr>
          </w:p>
        </w:tc>
        <w:tc>
          <w:tcPr>
            <w:tcW w:w="819" w:type="pct"/>
            <w:noWrap/>
            <w:vAlign w:val="bottom"/>
          </w:tcPr>
          <w:p w14:paraId="16B0BA4F" w14:textId="77777777" w:rsidR="00E13004" w:rsidRPr="00CA4C14" w:rsidRDefault="00E13004" w:rsidP="00E13004">
            <w:pPr>
              <w:pStyle w:val="Tabletext"/>
              <w:spacing w:before="0" w:after="0"/>
              <w:jc w:val="right"/>
              <w:rPr>
                <w:lang w:val="ru-RU" w:eastAsia="en-GB"/>
              </w:rPr>
            </w:pPr>
          </w:p>
        </w:tc>
      </w:tr>
      <w:tr w:rsidR="008F5CF8" w:rsidRPr="00CA4C14" w14:paraId="12AF7E05" w14:textId="77777777" w:rsidTr="00FE0DEB">
        <w:trPr>
          <w:trHeight w:val="255"/>
        </w:trPr>
        <w:tc>
          <w:tcPr>
            <w:tcW w:w="1449" w:type="pct"/>
            <w:noWrap/>
            <w:hideMark/>
          </w:tcPr>
          <w:p w14:paraId="393C432E" w14:textId="0C75DF74" w:rsidR="008F5CF8" w:rsidRPr="00CA4C14" w:rsidRDefault="008F5CF8" w:rsidP="00E13004">
            <w:pPr>
              <w:pStyle w:val="Tabletext"/>
              <w:rPr>
                <w:lang w:val="ru-RU"/>
              </w:rPr>
            </w:pPr>
            <w:r w:rsidRPr="00CA4C14">
              <w:rPr>
                <w:szCs w:val="18"/>
                <w:lang w:val="ru-RU"/>
              </w:rPr>
              <w:t>Генеральный секретариат</w:t>
            </w:r>
          </w:p>
        </w:tc>
        <w:tc>
          <w:tcPr>
            <w:tcW w:w="637" w:type="pct"/>
            <w:noWrap/>
            <w:vAlign w:val="bottom"/>
            <w:hideMark/>
          </w:tcPr>
          <w:p w14:paraId="57EA0058" w14:textId="77777777" w:rsidR="008F5CF8" w:rsidRPr="00CA4C14" w:rsidRDefault="008F5CF8" w:rsidP="00E13004">
            <w:pPr>
              <w:pStyle w:val="Tabletext"/>
              <w:jc w:val="right"/>
              <w:rPr>
                <w:lang w:val="ru-RU" w:eastAsia="en-GB"/>
              </w:rPr>
            </w:pPr>
            <w:r w:rsidRPr="00CA4C14">
              <w:rPr>
                <w:lang w:val="ru-RU" w:eastAsia="en-GB"/>
              </w:rPr>
              <w:t>90 307</w:t>
            </w:r>
          </w:p>
        </w:tc>
        <w:tc>
          <w:tcPr>
            <w:tcW w:w="637" w:type="pct"/>
            <w:noWrap/>
            <w:vAlign w:val="bottom"/>
            <w:hideMark/>
          </w:tcPr>
          <w:p w14:paraId="471C187E"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1BE48287" w14:textId="77777777" w:rsidR="008F5CF8" w:rsidRPr="00CA4C14" w:rsidRDefault="008F5CF8" w:rsidP="00E13004">
            <w:pPr>
              <w:pStyle w:val="Tabletext"/>
              <w:jc w:val="right"/>
              <w:rPr>
                <w:lang w:val="ru-RU" w:eastAsia="en-GB"/>
              </w:rPr>
            </w:pPr>
            <w:r w:rsidRPr="00CA4C14">
              <w:rPr>
                <w:lang w:val="ru-RU" w:eastAsia="en-GB"/>
              </w:rPr>
              <w:t>90 307</w:t>
            </w:r>
          </w:p>
        </w:tc>
        <w:tc>
          <w:tcPr>
            <w:tcW w:w="820" w:type="pct"/>
            <w:noWrap/>
            <w:vAlign w:val="bottom"/>
            <w:hideMark/>
          </w:tcPr>
          <w:p w14:paraId="287025F9" w14:textId="77777777" w:rsidR="008F5CF8" w:rsidRPr="00CA4C14" w:rsidRDefault="008F5CF8" w:rsidP="00E13004">
            <w:pPr>
              <w:pStyle w:val="Tabletext"/>
              <w:jc w:val="right"/>
              <w:rPr>
                <w:lang w:val="ru-RU" w:eastAsia="en-GB"/>
              </w:rPr>
            </w:pPr>
            <w:r w:rsidRPr="00CA4C14">
              <w:rPr>
                <w:lang w:val="ru-RU" w:eastAsia="en-GB"/>
              </w:rPr>
              <w:t>86 564</w:t>
            </w:r>
          </w:p>
        </w:tc>
        <w:tc>
          <w:tcPr>
            <w:tcW w:w="819" w:type="pct"/>
            <w:noWrap/>
            <w:vAlign w:val="bottom"/>
            <w:hideMark/>
          </w:tcPr>
          <w:p w14:paraId="716D8C62" w14:textId="77777777" w:rsidR="008F5CF8" w:rsidRPr="00CA4C14" w:rsidRDefault="008F5CF8" w:rsidP="00E13004">
            <w:pPr>
              <w:pStyle w:val="Tabletext"/>
              <w:jc w:val="right"/>
              <w:rPr>
                <w:lang w:val="ru-RU" w:eastAsia="en-GB"/>
              </w:rPr>
            </w:pPr>
            <w:r w:rsidRPr="00CA4C14">
              <w:rPr>
                <w:lang w:val="ru-RU" w:eastAsia="en-GB"/>
              </w:rPr>
              <w:t>3 743</w:t>
            </w:r>
          </w:p>
        </w:tc>
      </w:tr>
      <w:tr w:rsidR="008F5CF8" w:rsidRPr="00CA4C14" w14:paraId="08903C38" w14:textId="77777777" w:rsidTr="00FE0DEB">
        <w:trPr>
          <w:trHeight w:val="255"/>
        </w:trPr>
        <w:tc>
          <w:tcPr>
            <w:tcW w:w="1449" w:type="pct"/>
            <w:noWrap/>
            <w:hideMark/>
          </w:tcPr>
          <w:p w14:paraId="71824760" w14:textId="77777777" w:rsidR="008F5CF8" w:rsidRPr="00CA4C14" w:rsidRDefault="008F5CF8" w:rsidP="00E13004">
            <w:pPr>
              <w:pStyle w:val="Tabletext"/>
              <w:rPr>
                <w:lang w:val="ru-RU"/>
              </w:rPr>
            </w:pPr>
            <w:r w:rsidRPr="00CA4C14">
              <w:rPr>
                <w:szCs w:val="18"/>
                <w:lang w:val="ru-RU"/>
              </w:rPr>
              <w:t>Сектор радиосвязи</w:t>
            </w:r>
          </w:p>
        </w:tc>
        <w:tc>
          <w:tcPr>
            <w:tcW w:w="637" w:type="pct"/>
            <w:noWrap/>
            <w:vAlign w:val="bottom"/>
            <w:hideMark/>
          </w:tcPr>
          <w:p w14:paraId="2DF92B9B" w14:textId="77777777" w:rsidR="008F5CF8" w:rsidRPr="00CA4C14" w:rsidRDefault="008F5CF8" w:rsidP="00E13004">
            <w:pPr>
              <w:pStyle w:val="Tabletext"/>
              <w:jc w:val="right"/>
              <w:rPr>
                <w:lang w:val="ru-RU" w:eastAsia="en-GB"/>
              </w:rPr>
            </w:pPr>
            <w:r w:rsidRPr="00CA4C14">
              <w:rPr>
                <w:lang w:val="ru-RU" w:eastAsia="en-GB"/>
              </w:rPr>
              <w:t>32 455</w:t>
            </w:r>
          </w:p>
        </w:tc>
        <w:tc>
          <w:tcPr>
            <w:tcW w:w="637" w:type="pct"/>
            <w:noWrap/>
            <w:vAlign w:val="bottom"/>
            <w:hideMark/>
          </w:tcPr>
          <w:p w14:paraId="4B0AAB5B"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735C97EC" w14:textId="77777777" w:rsidR="008F5CF8" w:rsidRPr="00CA4C14" w:rsidRDefault="008F5CF8" w:rsidP="00E13004">
            <w:pPr>
              <w:pStyle w:val="Tabletext"/>
              <w:jc w:val="right"/>
              <w:rPr>
                <w:lang w:val="ru-RU" w:eastAsia="en-GB"/>
              </w:rPr>
            </w:pPr>
            <w:r w:rsidRPr="00CA4C14">
              <w:rPr>
                <w:lang w:val="ru-RU" w:eastAsia="en-GB"/>
              </w:rPr>
              <w:t>32 455</w:t>
            </w:r>
          </w:p>
        </w:tc>
        <w:tc>
          <w:tcPr>
            <w:tcW w:w="820" w:type="pct"/>
            <w:noWrap/>
            <w:vAlign w:val="bottom"/>
            <w:hideMark/>
          </w:tcPr>
          <w:p w14:paraId="423D3F15" w14:textId="77777777" w:rsidR="008F5CF8" w:rsidRPr="00CA4C14" w:rsidRDefault="008F5CF8" w:rsidP="00E13004">
            <w:pPr>
              <w:pStyle w:val="Tabletext"/>
              <w:jc w:val="right"/>
              <w:rPr>
                <w:lang w:val="ru-RU" w:eastAsia="en-GB"/>
              </w:rPr>
            </w:pPr>
            <w:r w:rsidRPr="00CA4C14">
              <w:rPr>
                <w:lang w:val="ru-RU" w:eastAsia="en-GB"/>
              </w:rPr>
              <w:t>29 943</w:t>
            </w:r>
          </w:p>
        </w:tc>
        <w:tc>
          <w:tcPr>
            <w:tcW w:w="819" w:type="pct"/>
            <w:noWrap/>
            <w:vAlign w:val="bottom"/>
            <w:hideMark/>
          </w:tcPr>
          <w:p w14:paraId="42A9D654" w14:textId="77777777" w:rsidR="008F5CF8" w:rsidRPr="00CA4C14" w:rsidRDefault="008F5CF8" w:rsidP="00E13004">
            <w:pPr>
              <w:pStyle w:val="Tabletext"/>
              <w:jc w:val="right"/>
              <w:rPr>
                <w:lang w:val="ru-RU" w:eastAsia="en-GB"/>
              </w:rPr>
            </w:pPr>
            <w:r w:rsidRPr="00CA4C14">
              <w:rPr>
                <w:lang w:val="ru-RU" w:eastAsia="en-GB"/>
              </w:rPr>
              <w:t>2 512</w:t>
            </w:r>
          </w:p>
        </w:tc>
      </w:tr>
      <w:tr w:rsidR="008F5CF8" w:rsidRPr="00CA4C14" w14:paraId="0D10CDB0" w14:textId="77777777" w:rsidTr="00FE0DEB">
        <w:trPr>
          <w:trHeight w:val="270"/>
        </w:trPr>
        <w:tc>
          <w:tcPr>
            <w:tcW w:w="1449" w:type="pct"/>
            <w:noWrap/>
            <w:hideMark/>
          </w:tcPr>
          <w:p w14:paraId="2062F2CF" w14:textId="77777777" w:rsidR="008F5CF8" w:rsidRPr="00CA4C14" w:rsidRDefault="008F5CF8" w:rsidP="00E13004">
            <w:pPr>
              <w:pStyle w:val="Tabletext"/>
              <w:rPr>
                <w:lang w:val="ru-RU"/>
              </w:rPr>
            </w:pPr>
            <w:r w:rsidRPr="00CA4C14">
              <w:rPr>
                <w:szCs w:val="18"/>
                <w:lang w:val="ru-RU"/>
              </w:rPr>
              <w:t>Сектор стандартизации электросвязи</w:t>
            </w:r>
          </w:p>
        </w:tc>
        <w:tc>
          <w:tcPr>
            <w:tcW w:w="637" w:type="pct"/>
            <w:noWrap/>
            <w:vAlign w:val="bottom"/>
            <w:hideMark/>
          </w:tcPr>
          <w:p w14:paraId="0F09A719" w14:textId="77777777" w:rsidR="008F5CF8" w:rsidRPr="00CA4C14" w:rsidRDefault="008F5CF8" w:rsidP="00E13004">
            <w:pPr>
              <w:pStyle w:val="Tabletext"/>
              <w:jc w:val="right"/>
              <w:rPr>
                <w:lang w:val="ru-RU" w:eastAsia="en-GB"/>
              </w:rPr>
            </w:pPr>
            <w:r w:rsidRPr="00CA4C14">
              <w:rPr>
                <w:lang w:val="ru-RU" w:eastAsia="en-GB"/>
              </w:rPr>
              <w:t>13 195</w:t>
            </w:r>
          </w:p>
        </w:tc>
        <w:tc>
          <w:tcPr>
            <w:tcW w:w="637" w:type="pct"/>
            <w:noWrap/>
            <w:vAlign w:val="bottom"/>
            <w:hideMark/>
          </w:tcPr>
          <w:p w14:paraId="005C30E5" w14:textId="77777777" w:rsidR="008F5CF8" w:rsidRPr="00CA4C14" w:rsidRDefault="008F5CF8" w:rsidP="00E13004">
            <w:pPr>
              <w:pStyle w:val="Tabletext"/>
              <w:jc w:val="right"/>
              <w:rPr>
                <w:lang w:val="ru-RU" w:eastAsia="en-GB"/>
              </w:rPr>
            </w:pPr>
            <w:r w:rsidRPr="00CA4C14">
              <w:rPr>
                <w:lang w:val="ru-RU" w:eastAsia="en-GB"/>
              </w:rPr>
              <w:sym w:font="Symbol" w:char="F02D"/>
            </w:r>
          </w:p>
        </w:tc>
        <w:tc>
          <w:tcPr>
            <w:tcW w:w="638" w:type="pct"/>
            <w:noWrap/>
            <w:vAlign w:val="bottom"/>
            <w:hideMark/>
          </w:tcPr>
          <w:p w14:paraId="6BCC6741" w14:textId="77777777" w:rsidR="008F5CF8" w:rsidRPr="00CA4C14" w:rsidRDefault="008F5CF8" w:rsidP="00E13004">
            <w:pPr>
              <w:pStyle w:val="Tabletext"/>
              <w:jc w:val="right"/>
              <w:rPr>
                <w:lang w:val="ru-RU" w:eastAsia="en-GB"/>
              </w:rPr>
            </w:pPr>
            <w:r w:rsidRPr="00CA4C14">
              <w:rPr>
                <w:lang w:val="ru-RU" w:eastAsia="en-GB"/>
              </w:rPr>
              <w:t>13 195</w:t>
            </w:r>
          </w:p>
        </w:tc>
        <w:tc>
          <w:tcPr>
            <w:tcW w:w="820" w:type="pct"/>
            <w:noWrap/>
            <w:vAlign w:val="bottom"/>
            <w:hideMark/>
          </w:tcPr>
          <w:p w14:paraId="1BA20CF2" w14:textId="77777777" w:rsidR="008F5CF8" w:rsidRPr="00CA4C14" w:rsidRDefault="008F5CF8" w:rsidP="00E13004">
            <w:pPr>
              <w:pStyle w:val="Tabletext"/>
              <w:jc w:val="right"/>
              <w:rPr>
                <w:lang w:val="ru-RU" w:eastAsia="en-GB"/>
              </w:rPr>
            </w:pPr>
            <w:r w:rsidRPr="00CA4C14">
              <w:rPr>
                <w:lang w:val="ru-RU" w:eastAsia="en-GB"/>
              </w:rPr>
              <w:t>12 451</w:t>
            </w:r>
          </w:p>
        </w:tc>
        <w:tc>
          <w:tcPr>
            <w:tcW w:w="819" w:type="pct"/>
            <w:noWrap/>
            <w:vAlign w:val="bottom"/>
            <w:hideMark/>
          </w:tcPr>
          <w:p w14:paraId="32D76A2B" w14:textId="77777777" w:rsidR="008F5CF8" w:rsidRPr="00CA4C14" w:rsidRDefault="008F5CF8" w:rsidP="00E13004">
            <w:pPr>
              <w:pStyle w:val="Tabletext"/>
              <w:jc w:val="right"/>
              <w:rPr>
                <w:lang w:val="ru-RU" w:eastAsia="en-GB"/>
              </w:rPr>
            </w:pPr>
            <w:r w:rsidRPr="00CA4C14">
              <w:rPr>
                <w:lang w:val="ru-RU" w:eastAsia="en-GB"/>
              </w:rPr>
              <w:t>744</w:t>
            </w:r>
          </w:p>
        </w:tc>
      </w:tr>
      <w:tr w:rsidR="008F5CF8" w:rsidRPr="00CA4C14" w14:paraId="1DE778DB" w14:textId="77777777" w:rsidTr="00FE0DEB">
        <w:trPr>
          <w:trHeight w:val="240"/>
        </w:trPr>
        <w:tc>
          <w:tcPr>
            <w:tcW w:w="1449" w:type="pct"/>
            <w:noWrap/>
            <w:hideMark/>
          </w:tcPr>
          <w:p w14:paraId="58AF9926" w14:textId="77777777" w:rsidR="008F5CF8" w:rsidRPr="00CA4C14" w:rsidRDefault="008F5CF8" w:rsidP="00E13004">
            <w:pPr>
              <w:pStyle w:val="Tabletext"/>
              <w:rPr>
                <w:lang w:val="ru-RU"/>
              </w:rPr>
            </w:pPr>
            <w:r w:rsidRPr="00CA4C14">
              <w:rPr>
                <w:szCs w:val="18"/>
                <w:lang w:val="ru-RU"/>
              </w:rPr>
              <w:t>Сектор развития электросвязи</w:t>
            </w:r>
          </w:p>
        </w:tc>
        <w:tc>
          <w:tcPr>
            <w:tcW w:w="637" w:type="pct"/>
            <w:noWrap/>
            <w:vAlign w:val="bottom"/>
            <w:hideMark/>
          </w:tcPr>
          <w:p w14:paraId="63933A31" w14:textId="77777777" w:rsidR="008F5CF8" w:rsidRPr="00CA4C14" w:rsidRDefault="008F5CF8" w:rsidP="00E13004">
            <w:pPr>
              <w:pStyle w:val="Tabletext"/>
              <w:jc w:val="right"/>
              <w:rPr>
                <w:lang w:val="ru-RU" w:eastAsia="en-GB"/>
              </w:rPr>
            </w:pPr>
            <w:r w:rsidRPr="00CA4C14">
              <w:rPr>
                <w:lang w:val="ru-RU" w:eastAsia="en-GB"/>
              </w:rPr>
              <w:t>27 237</w:t>
            </w:r>
          </w:p>
        </w:tc>
        <w:tc>
          <w:tcPr>
            <w:tcW w:w="637" w:type="pct"/>
            <w:noWrap/>
            <w:vAlign w:val="bottom"/>
            <w:hideMark/>
          </w:tcPr>
          <w:p w14:paraId="222C5F84" w14:textId="77777777" w:rsidR="008F5CF8" w:rsidRPr="00CA4C14" w:rsidRDefault="008F5CF8" w:rsidP="00E13004">
            <w:pPr>
              <w:pStyle w:val="Tabletext"/>
              <w:jc w:val="right"/>
              <w:rPr>
                <w:lang w:val="ru-RU" w:eastAsia="en-GB"/>
              </w:rPr>
            </w:pPr>
            <w:r w:rsidRPr="00CA4C14">
              <w:rPr>
                <w:lang w:val="ru-RU" w:eastAsia="en-GB"/>
              </w:rPr>
              <w:t>191</w:t>
            </w:r>
          </w:p>
        </w:tc>
        <w:tc>
          <w:tcPr>
            <w:tcW w:w="638" w:type="pct"/>
            <w:noWrap/>
            <w:vAlign w:val="bottom"/>
            <w:hideMark/>
          </w:tcPr>
          <w:p w14:paraId="1B590C25" w14:textId="77777777" w:rsidR="008F5CF8" w:rsidRPr="00CA4C14" w:rsidRDefault="008F5CF8" w:rsidP="00E13004">
            <w:pPr>
              <w:pStyle w:val="Tabletext"/>
              <w:jc w:val="right"/>
              <w:rPr>
                <w:lang w:val="ru-RU" w:eastAsia="en-GB"/>
              </w:rPr>
            </w:pPr>
            <w:r w:rsidRPr="00CA4C14">
              <w:rPr>
                <w:lang w:val="ru-RU" w:eastAsia="en-GB"/>
              </w:rPr>
              <w:t>27 428</w:t>
            </w:r>
          </w:p>
        </w:tc>
        <w:tc>
          <w:tcPr>
            <w:tcW w:w="820" w:type="pct"/>
            <w:noWrap/>
            <w:vAlign w:val="bottom"/>
            <w:hideMark/>
          </w:tcPr>
          <w:p w14:paraId="42339BF7" w14:textId="77777777" w:rsidR="008F5CF8" w:rsidRPr="00CA4C14" w:rsidRDefault="008F5CF8" w:rsidP="00E13004">
            <w:pPr>
              <w:pStyle w:val="Tabletext"/>
              <w:jc w:val="right"/>
              <w:rPr>
                <w:lang w:val="ru-RU" w:eastAsia="en-GB"/>
              </w:rPr>
            </w:pPr>
            <w:r w:rsidRPr="00CA4C14">
              <w:rPr>
                <w:lang w:val="ru-RU" w:eastAsia="en-GB"/>
              </w:rPr>
              <w:t>26 634</w:t>
            </w:r>
          </w:p>
        </w:tc>
        <w:tc>
          <w:tcPr>
            <w:tcW w:w="819" w:type="pct"/>
            <w:noWrap/>
            <w:vAlign w:val="bottom"/>
            <w:hideMark/>
          </w:tcPr>
          <w:p w14:paraId="50F3393B" w14:textId="77777777" w:rsidR="008F5CF8" w:rsidRPr="00CA4C14" w:rsidRDefault="008F5CF8" w:rsidP="00E13004">
            <w:pPr>
              <w:pStyle w:val="Tabletext"/>
              <w:jc w:val="right"/>
              <w:rPr>
                <w:lang w:val="ru-RU" w:eastAsia="en-GB"/>
              </w:rPr>
            </w:pPr>
            <w:r w:rsidRPr="00CA4C14">
              <w:rPr>
                <w:lang w:val="ru-RU" w:eastAsia="en-GB"/>
              </w:rPr>
              <w:t>794</w:t>
            </w:r>
          </w:p>
        </w:tc>
      </w:tr>
      <w:tr w:rsidR="00E13004" w:rsidRPr="00CA4C14" w14:paraId="290925CD" w14:textId="77777777" w:rsidTr="00FE0DEB">
        <w:trPr>
          <w:trHeight w:val="255"/>
        </w:trPr>
        <w:tc>
          <w:tcPr>
            <w:tcW w:w="1449" w:type="pct"/>
            <w:noWrap/>
          </w:tcPr>
          <w:p w14:paraId="0F28D1EC" w14:textId="77777777" w:rsidR="00E13004" w:rsidRPr="00CA4C14" w:rsidRDefault="00E13004" w:rsidP="00E13004">
            <w:pPr>
              <w:pStyle w:val="Tabletext"/>
              <w:rPr>
                <w:b/>
                <w:bCs/>
                <w:szCs w:val="18"/>
                <w:lang w:val="ru-RU"/>
              </w:rPr>
            </w:pPr>
          </w:p>
        </w:tc>
        <w:tc>
          <w:tcPr>
            <w:tcW w:w="637" w:type="pct"/>
            <w:noWrap/>
            <w:vAlign w:val="bottom"/>
          </w:tcPr>
          <w:p w14:paraId="2C0A14EA" w14:textId="77777777" w:rsidR="00E13004" w:rsidRPr="00CA4C14" w:rsidRDefault="00E13004" w:rsidP="00E13004">
            <w:pPr>
              <w:pStyle w:val="Tabletext"/>
              <w:jc w:val="right"/>
              <w:rPr>
                <w:b/>
                <w:bCs/>
                <w:lang w:val="ru-RU" w:eastAsia="en-GB"/>
              </w:rPr>
            </w:pPr>
          </w:p>
        </w:tc>
        <w:tc>
          <w:tcPr>
            <w:tcW w:w="637" w:type="pct"/>
            <w:noWrap/>
            <w:vAlign w:val="bottom"/>
          </w:tcPr>
          <w:p w14:paraId="19D1281B" w14:textId="77777777" w:rsidR="00E13004" w:rsidRPr="00CA4C14" w:rsidRDefault="00E13004" w:rsidP="00E13004">
            <w:pPr>
              <w:pStyle w:val="Tabletext"/>
              <w:jc w:val="right"/>
              <w:rPr>
                <w:b/>
                <w:bCs/>
                <w:lang w:val="ru-RU" w:eastAsia="en-GB"/>
              </w:rPr>
            </w:pPr>
          </w:p>
        </w:tc>
        <w:tc>
          <w:tcPr>
            <w:tcW w:w="638" w:type="pct"/>
            <w:noWrap/>
            <w:vAlign w:val="bottom"/>
          </w:tcPr>
          <w:p w14:paraId="07FC5826" w14:textId="77777777" w:rsidR="00E13004" w:rsidRPr="00CA4C14" w:rsidRDefault="00E13004" w:rsidP="00E13004">
            <w:pPr>
              <w:pStyle w:val="Tabletext"/>
              <w:jc w:val="right"/>
              <w:rPr>
                <w:b/>
                <w:bCs/>
                <w:lang w:val="ru-RU" w:eastAsia="en-GB"/>
              </w:rPr>
            </w:pPr>
          </w:p>
        </w:tc>
        <w:tc>
          <w:tcPr>
            <w:tcW w:w="820" w:type="pct"/>
            <w:noWrap/>
            <w:vAlign w:val="bottom"/>
          </w:tcPr>
          <w:p w14:paraId="76CE5017" w14:textId="77777777" w:rsidR="00E13004" w:rsidRPr="00CA4C14" w:rsidRDefault="00E13004" w:rsidP="00E13004">
            <w:pPr>
              <w:pStyle w:val="Tabletext"/>
              <w:jc w:val="right"/>
              <w:rPr>
                <w:b/>
                <w:bCs/>
                <w:lang w:val="ru-RU" w:eastAsia="en-GB"/>
              </w:rPr>
            </w:pPr>
          </w:p>
        </w:tc>
        <w:tc>
          <w:tcPr>
            <w:tcW w:w="819" w:type="pct"/>
            <w:noWrap/>
            <w:vAlign w:val="bottom"/>
          </w:tcPr>
          <w:p w14:paraId="63E37B96" w14:textId="77777777" w:rsidR="00E13004" w:rsidRPr="00CA4C14" w:rsidRDefault="00E13004" w:rsidP="00E13004">
            <w:pPr>
              <w:pStyle w:val="Tabletext"/>
              <w:jc w:val="right"/>
              <w:rPr>
                <w:b/>
                <w:bCs/>
                <w:lang w:val="ru-RU" w:eastAsia="en-GB"/>
              </w:rPr>
            </w:pPr>
          </w:p>
        </w:tc>
      </w:tr>
      <w:tr w:rsidR="008F5CF8" w:rsidRPr="00CA4C14" w14:paraId="1FE5C221" w14:textId="77777777" w:rsidTr="00FE0DEB">
        <w:trPr>
          <w:trHeight w:val="255"/>
        </w:trPr>
        <w:tc>
          <w:tcPr>
            <w:tcW w:w="1449" w:type="pct"/>
            <w:noWrap/>
            <w:hideMark/>
          </w:tcPr>
          <w:p w14:paraId="79389D40" w14:textId="77777777" w:rsidR="008F5CF8" w:rsidRPr="00CA4C14" w:rsidRDefault="008F5CF8" w:rsidP="00E13004">
            <w:pPr>
              <w:pStyle w:val="Tabletext"/>
              <w:rPr>
                <w:b/>
                <w:bCs/>
                <w:lang w:val="ru-RU"/>
              </w:rPr>
            </w:pPr>
            <w:r w:rsidRPr="00CA4C14">
              <w:rPr>
                <w:b/>
                <w:bCs/>
                <w:szCs w:val="18"/>
                <w:lang w:val="ru-RU"/>
              </w:rPr>
              <w:t>Всего: расходы</w:t>
            </w:r>
          </w:p>
        </w:tc>
        <w:tc>
          <w:tcPr>
            <w:tcW w:w="637" w:type="pct"/>
            <w:noWrap/>
            <w:vAlign w:val="bottom"/>
            <w:hideMark/>
          </w:tcPr>
          <w:p w14:paraId="0BF59B5C" w14:textId="77777777" w:rsidR="008F5CF8" w:rsidRPr="00CA4C14" w:rsidRDefault="008F5CF8" w:rsidP="00E13004">
            <w:pPr>
              <w:pStyle w:val="Tabletext"/>
              <w:jc w:val="right"/>
              <w:rPr>
                <w:b/>
                <w:bCs/>
                <w:lang w:val="ru-RU" w:eastAsia="en-GB"/>
              </w:rPr>
            </w:pPr>
            <w:r w:rsidRPr="00CA4C14">
              <w:rPr>
                <w:b/>
                <w:bCs/>
                <w:lang w:val="ru-RU" w:eastAsia="en-GB"/>
              </w:rPr>
              <w:t>163 194</w:t>
            </w:r>
          </w:p>
        </w:tc>
        <w:tc>
          <w:tcPr>
            <w:tcW w:w="637" w:type="pct"/>
            <w:noWrap/>
            <w:vAlign w:val="bottom"/>
            <w:hideMark/>
          </w:tcPr>
          <w:p w14:paraId="6855DCAE" w14:textId="77777777" w:rsidR="008F5CF8" w:rsidRPr="00CA4C14" w:rsidRDefault="008F5CF8" w:rsidP="00E13004">
            <w:pPr>
              <w:pStyle w:val="Tabletext"/>
              <w:jc w:val="right"/>
              <w:rPr>
                <w:b/>
                <w:bCs/>
                <w:lang w:val="ru-RU" w:eastAsia="en-GB"/>
              </w:rPr>
            </w:pPr>
            <w:r w:rsidRPr="00CA4C14">
              <w:rPr>
                <w:b/>
                <w:bCs/>
                <w:lang w:val="ru-RU" w:eastAsia="en-GB"/>
              </w:rPr>
              <w:t>191</w:t>
            </w:r>
          </w:p>
        </w:tc>
        <w:tc>
          <w:tcPr>
            <w:tcW w:w="638" w:type="pct"/>
            <w:noWrap/>
            <w:vAlign w:val="bottom"/>
            <w:hideMark/>
          </w:tcPr>
          <w:p w14:paraId="40FFEB42" w14:textId="77777777" w:rsidR="008F5CF8" w:rsidRPr="00CA4C14" w:rsidRDefault="008F5CF8" w:rsidP="00E13004">
            <w:pPr>
              <w:pStyle w:val="Tabletext"/>
              <w:jc w:val="right"/>
              <w:rPr>
                <w:b/>
                <w:bCs/>
                <w:lang w:val="ru-RU" w:eastAsia="en-GB"/>
              </w:rPr>
            </w:pPr>
            <w:r w:rsidRPr="00CA4C14">
              <w:rPr>
                <w:b/>
                <w:bCs/>
                <w:lang w:val="ru-RU" w:eastAsia="en-GB"/>
              </w:rPr>
              <w:t>163 385</w:t>
            </w:r>
          </w:p>
        </w:tc>
        <w:tc>
          <w:tcPr>
            <w:tcW w:w="820" w:type="pct"/>
            <w:noWrap/>
            <w:vAlign w:val="bottom"/>
            <w:hideMark/>
          </w:tcPr>
          <w:p w14:paraId="34F119F8" w14:textId="77777777" w:rsidR="008F5CF8" w:rsidRPr="00CA4C14" w:rsidRDefault="008F5CF8" w:rsidP="00E13004">
            <w:pPr>
              <w:pStyle w:val="Tabletext"/>
              <w:jc w:val="right"/>
              <w:rPr>
                <w:b/>
                <w:bCs/>
                <w:lang w:val="ru-RU" w:eastAsia="en-GB"/>
              </w:rPr>
            </w:pPr>
            <w:r w:rsidRPr="00CA4C14">
              <w:rPr>
                <w:b/>
                <w:bCs/>
                <w:lang w:val="ru-RU" w:eastAsia="en-GB"/>
              </w:rPr>
              <w:t>155 592</w:t>
            </w:r>
          </w:p>
        </w:tc>
        <w:tc>
          <w:tcPr>
            <w:tcW w:w="819" w:type="pct"/>
            <w:noWrap/>
            <w:vAlign w:val="bottom"/>
            <w:hideMark/>
          </w:tcPr>
          <w:p w14:paraId="207E1484" w14:textId="77777777" w:rsidR="008F5CF8" w:rsidRPr="00CA4C14" w:rsidRDefault="008F5CF8" w:rsidP="00E13004">
            <w:pPr>
              <w:pStyle w:val="Tabletext"/>
              <w:jc w:val="right"/>
              <w:rPr>
                <w:b/>
                <w:bCs/>
                <w:lang w:val="ru-RU" w:eastAsia="en-GB"/>
              </w:rPr>
            </w:pPr>
            <w:r w:rsidRPr="00CA4C14">
              <w:rPr>
                <w:b/>
                <w:bCs/>
                <w:lang w:val="ru-RU" w:eastAsia="en-GB"/>
              </w:rPr>
              <w:t>7 793</w:t>
            </w:r>
          </w:p>
        </w:tc>
      </w:tr>
      <w:tr w:rsidR="00E13004" w:rsidRPr="00CA4C14" w14:paraId="07486448" w14:textId="77777777" w:rsidTr="00FE0DEB">
        <w:trPr>
          <w:trHeight w:val="70"/>
        </w:trPr>
        <w:tc>
          <w:tcPr>
            <w:tcW w:w="1449" w:type="pct"/>
            <w:noWrap/>
          </w:tcPr>
          <w:p w14:paraId="31E6C78A" w14:textId="77777777" w:rsidR="00E13004" w:rsidRPr="00CA4C14" w:rsidRDefault="00E13004" w:rsidP="00E13004">
            <w:pPr>
              <w:pStyle w:val="Tabletext"/>
              <w:spacing w:before="0" w:after="0"/>
              <w:rPr>
                <w:b/>
                <w:bCs/>
                <w:szCs w:val="18"/>
                <w:lang w:val="ru-RU" w:eastAsia="en-GB"/>
              </w:rPr>
            </w:pPr>
          </w:p>
        </w:tc>
        <w:tc>
          <w:tcPr>
            <w:tcW w:w="637" w:type="pct"/>
            <w:noWrap/>
            <w:vAlign w:val="bottom"/>
          </w:tcPr>
          <w:p w14:paraId="7D81D4D7" w14:textId="77777777" w:rsidR="00E13004" w:rsidRPr="00CA4C14" w:rsidRDefault="00E13004" w:rsidP="00E13004">
            <w:pPr>
              <w:pStyle w:val="Tabletext"/>
              <w:spacing w:before="0" w:after="0"/>
              <w:jc w:val="right"/>
              <w:rPr>
                <w:lang w:val="ru-RU" w:eastAsia="en-GB"/>
              </w:rPr>
            </w:pPr>
          </w:p>
        </w:tc>
        <w:tc>
          <w:tcPr>
            <w:tcW w:w="637" w:type="pct"/>
            <w:noWrap/>
            <w:vAlign w:val="bottom"/>
          </w:tcPr>
          <w:p w14:paraId="78CF48E5" w14:textId="77777777" w:rsidR="00E13004" w:rsidRPr="00CA4C14" w:rsidRDefault="00E13004" w:rsidP="00E13004">
            <w:pPr>
              <w:pStyle w:val="Tabletext"/>
              <w:spacing w:before="0" w:after="0"/>
              <w:jc w:val="right"/>
              <w:rPr>
                <w:lang w:val="ru-RU" w:eastAsia="en-GB"/>
              </w:rPr>
            </w:pPr>
          </w:p>
        </w:tc>
        <w:tc>
          <w:tcPr>
            <w:tcW w:w="638" w:type="pct"/>
            <w:noWrap/>
            <w:vAlign w:val="bottom"/>
          </w:tcPr>
          <w:p w14:paraId="432C5EB8" w14:textId="77777777" w:rsidR="00E13004" w:rsidRPr="00CA4C14" w:rsidRDefault="00E13004" w:rsidP="00E13004">
            <w:pPr>
              <w:pStyle w:val="Tabletext"/>
              <w:spacing w:before="0" w:after="0"/>
              <w:jc w:val="right"/>
              <w:rPr>
                <w:lang w:val="ru-RU" w:eastAsia="en-GB"/>
              </w:rPr>
            </w:pPr>
          </w:p>
        </w:tc>
        <w:tc>
          <w:tcPr>
            <w:tcW w:w="820" w:type="pct"/>
            <w:noWrap/>
            <w:vAlign w:val="bottom"/>
          </w:tcPr>
          <w:p w14:paraId="183A977B" w14:textId="77777777" w:rsidR="00E13004" w:rsidRPr="00CA4C14" w:rsidRDefault="00E13004" w:rsidP="00E13004">
            <w:pPr>
              <w:pStyle w:val="Tabletext"/>
              <w:spacing w:before="0" w:after="0"/>
              <w:jc w:val="right"/>
              <w:rPr>
                <w:b/>
                <w:bCs/>
                <w:lang w:val="ru-RU" w:eastAsia="en-GB"/>
              </w:rPr>
            </w:pPr>
          </w:p>
        </w:tc>
        <w:tc>
          <w:tcPr>
            <w:tcW w:w="819" w:type="pct"/>
            <w:noWrap/>
            <w:vAlign w:val="bottom"/>
          </w:tcPr>
          <w:p w14:paraId="1AD20CF9" w14:textId="77777777" w:rsidR="00E13004" w:rsidRPr="00CA4C14" w:rsidRDefault="00E13004" w:rsidP="00E13004">
            <w:pPr>
              <w:pStyle w:val="Tabletext"/>
              <w:spacing w:before="0" w:after="0"/>
              <w:jc w:val="right"/>
              <w:rPr>
                <w:lang w:val="ru-RU" w:eastAsia="en-GB"/>
              </w:rPr>
            </w:pPr>
          </w:p>
        </w:tc>
      </w:tr>
      <w:tr w:rsidR="008F5CF8" w:rsidRPr="00CA4C14" w14:paraId="06B17EE9" w14:textId="77777777" w:rsidTr="00FE0DEB">
        <w:trPr>
          <w:trHeight w:val="255"/>
        </w:trPr>
        <w:tc>
          <w:tcPr>
            <w:tcW w:w="1449" w:type="pct"/>
            <w:noWrap/>
            <w:hideMark/>
          </w:tcPr>
          <w:p w14:paraId="599D300C" w14:textId="3B245A01" w:rsidR="008F5CF8" w:rsidRPr="00CA4C14" w:rsidRDefault="008F5CF8" w:rsidP="00E13004">
            <w:pPr>
              <w:pStyle w:val="Tabletext"/>
              <w:rPr>
                <w:b/>
                <w:bCs/>
                <w:lang w:val="ru-RU"/>
              </w:rPr>
            </w:pPr>
            <w:r w:rsidRPr="00CA4C14">
              <w:rPr>
                <w:b/>
                <w:bCs/>
                <w:szCs w:val="18"/>
                <w:lang w:val="ru-RU" w:eastAsia="en-GB"/>
              </w:rPr>
              <w:t>Активное сальдо бюджета по</w:t>
            </w:r>
            <w:r w:rsidR="00E13004" w:rsidRPr="00CA4C14">
              <w:rPr>
                <w:b/>
                <w:bCs/>
                <w:szCs w:val="18"/>
                <w:lang w:val="ru-RU" w:eastAsia="en-GB"/>
              </w:rPr>
              <w:t> </w:t>
            </w:r>
            <w:r w:rsidRPr="00CA4C14">
              <w:rPr>
                <w:b/>
                <w:bCs/>
                <w:szCs w:val="18"/>
                <w:lang w:val="ru-RU" w:eastAsia="en-GB"/>
              </w:rPr>
              <w:t>программам</w:t>
            </w:r>
          </w:p>
        </w:tc>
        <w:tc>
          <w:tcPr>
            <w:tcW w:w="637" w:type="pct"/>
            <w:noWrap/>
            <w:vAlign w:val="bottom"/>
            <w:hideMark/>
          </w:tcPr>
          <w:p w14:paraId="7E4922C8" w14:textId="77777777" w:rsidR="008F5CF8" w:rsidRPr="00CA4C14" w:rsidRDefault="008F5CF8" w:rsidP="00E13004">
            <w:pPr>
              <w:pStyle w:val="Tabletext"/>
              <w:jc w:val="right"/>
              <w:rPr>
                <w:lang w:val="ru-RU" w:eastAsia="en-GB"/>
              </w:rPr>
            </w:pPr>
          </w:p>
        </w:tc>
        <w:tc>
          <w:tcPr>
            <w:tcW w:w="637" w:type="pct"/>
            <w:noWrap/>
            <w:vAlign w:val="bottom"/>
            <w:hideMark/>
          </w:tcPr>
          <w:p w14:paraId="56C85E79" w14:textId="77777777" w:rsidR="008F5CF8" w:rsidRPr="00CA4C14" w:rsidRDefault="008F5CF8" w:rsidP="00E13004">
            <w:pPr>
              <w:pStyle w:val="Tabletext"/>
              <w:jc w:val="right"/>
              <w:rPr>
                <w:lang w:val="ru-RU" w:eastAsia="en-GB"/>
              </w:rPr>
            </w:pPr>
          </w:p>
        </w:tc>
        <w:tc>
          <w:tcPr>
            <w:tcW w:w="638" w:type="pct"/>
            <w:noWrap/>
            <w:vAlign w:val="bottom"/>
            <w:hideMark/>
          </w:tcPr>
          <w:p w14:paraId="5FDD1FB2" w14:textId="77777777" w:rsidR="008F5CF8" w:rsidRPr="00CA4C14" w:rsidRDefault="008F5CF8" w:rsidP="00E13004">
            <w:pPr>
              <w:pStyle w:val="Tabletext"/>
              <w:jc w:val="right"/>
              <w:rPr>
                <w:lang w:val="ru-RU" w:eastAsia="en-GB"/>
              </w:rPr>
            </w:pPr>
          </w:p>
        </w:tc>
        <w:tc>
          <w:tcPr>
            <w:tcW w:w="820" w:type="pct"/>
            <w:noWrap/>
            <w:vAlign w:val="bottom"/>
            <w:hideMark/>
          </w:tcPr>
          <w:p w14:paraId="4115E467" w14:textId="77777777" w:rsidR="008F5CF8" w:rsidRPr="00CA4C14" w:rsidRDefault="008F5CF8" w:rsidP="00E13004">
            <w:pPr>
              <w:pStyle w:val="Tabletext"/>
              <w:jc w:val="right"/>
              <w:rPr>
                <w:b/>
                <w:bCs/>
                <w:lang w:val="ru-RU" w:eastAsia="en-GB"/>
              </w:rPr>
            </w:pPr>
            <w:r w:rsidRPr="00CA4C14">
              <w:rPr>
                <w:b/>
                <w:bCs/>
                <w:lang w:val="ru-RU" w:eastAsia="en-GB"/>
              </w:rPr>
              <w:t>1 424</w:t>
            </w:r>
          </w:p>
        </w:tc>
        <w:tc>
          <w:tcPr>
            <w:tcW w:w="819" w:type="pct"/>
            <w:noWrap/>
            <w:vAlign w:val="bottom"/>
            <w:hideMark/>
          </w:tcPr>
          <w:p w14:paraId="7FE81D1B" w14:textId="77777777" w:rsidR="008F5CF8" w:rsidRPr="00CA4C14" w:rsidRDefault="008F5CF8" w:rsidP="00E13004">
            <w:pPr>
              <w:pStyle w:val="Tabletext"/>
              <w:jc w:val="right"/>
              <w:rPr>
                <w:lang w:val="ru-RU" w:eastAsia="en-GB"/>
              </w:rPr>
            </w:pPr>
          </w:p>
        </w:tc>
      </w:tr>
      <w:tr w:rsidR="00E13004" w:rsidRPr="00CA4C14" w14:paraId="48A9DD64" w14:textId="77777777" w:rsidTr="00FE0DEB">
        <w:trPr>
          <w:trHeight w:val="70"/>
        </w:trPr>
        <w:tc>
          <w:tcPr>
            <w:tcW w:w="1449" w:type="pct"/>
            <w:noWrap/>
          </w:tcPr>
          <w:p w14:paraId="0F74B048" w14:textId="77777777" w:rsidR="00E13004" w:rsidRPr="00CA4C14" w:rsidRDefault="00E13004" w:rsidP="00E13004">
            <w:pPr>
              <w:pStyle w:val="Tabletext"/>
              <w:spacing w:before="0" w:after="0"/>
              <w:rPr>
                <w:szCs w:val="18"/>
                <w:lang w:val="ru-RU" w:eastAsia="en-GB"/>
              </w:rPr>
            </w:pPr>
          </w:p>
        </w:tc>
        <w:tc>
          <w:tcPr>
            <w:tcW w:w="637" w:type="pct"/>
            <w:noWrap/>
            <w:vAlign w:val="bottom"/>
          </w:tcPr>
          <w:p w14:paraId="0A9B6EE9" w14:textId="77777777" w:rsidR="00E13004" w:rsidRPr="00CA4C14" w:rsidRDefault="00E13004" w:rsidP="00E13004">
            <w:pPr>
              <w:pStyle w:val="Tabletext"/>
              <w:spacing w:before="0" w:after="0"/>
              <w:jc w:val="right"/>
              <w:rPr>
                <w:lang w:val="ru-RU" w:eastAsia="en-GB"/>
              </w:rPr>
            </w:pPr>
          </w:p>
        </w:tc>
        <w:tc>
          <w:tcPr>
            <w:tcW w:w="637" w:type="pct"/>
            <w:noWrap/>
            <w:vAlign w:val="bottom"/>
          </w:tcPr>
          <w:p w14:paraId="07FA8F54" w14:textId="77777777" w:rsidR="00E13004" w:rsidRPr="00CA4C14" w:rsidRDefault="00E13004" w:rsidP="00E13004">
            <w:pPr>
              <w:pStyle w:val="Tabletext"/>
              <w:spacing w:before="0" w:after="0"/>
              <w:jc w:val="right"/>
              <w:rPr>
                <w:lang w:val="ru-RU" w:eastAsia="en-GB"/>
              </w:rPr>
            </w:pPr>
          </w:p>
        </w:tc>
        <w:tc>
          <w:tcPr>
            <w:tcW w:w="638" w:type="pct"/>
            <w:noWrap/>
            <w:vAlign w:val="bottom"/>
          </w:tcPr>
          <w:p w14:paraId="32594336" w14:textId="77777777" w:rsidR="00E13004" w:rsidRPr="00CA4C14" w:rsidRDefault="00E13004" w:rsidP="00E13004">
            <w:pPr>
              <w:pStyle w:val="Tabletext"/>
              <w:spacing w:before="0" w:after="0"/>
              <w:jc w:val="right"/>
              <w:rPr>
                <w:lang w:val="ru-RU" w:eastAsia="en-GB"/>
              </w:rPr>
            </w:pPr>
          </w:p>
        </w:tc>
        <w:tc>
          <w:tcPr>
            <w:tcW w:w="820" w:type="pct"/>
            <w:noWrap/>
            <w:vAlign w:val="bottom"/>
          </w:tcPr>
          <w:p w14:paraId="25744337" w14:textId="77777777" w:rsidR="00E13004" w:rsidRPr="00CA4C14" w:rsidRDefault="00E13004" w:rsidP="00E13004">
            <w:pPr>
              <w:pStyle w:val="Tabletext"/>
              <w:spacing w:before="0" w:after="0"/>
              <w:jc w:val="right"/>
              <w:rPr>
                <w:lang w:val="ru-RU" w:eastAsia="en-GB"/>
              </w:rPr>
            </w:pPr>
          </w:p>
        </w:tc>
        <w:tc>
          <w:tcPr>
            <w:tcW w:w="819" w:type="pct"/>
            <w:noWrap/>
            <w:vAlign w:val="bottom"/>
          </w:tcPr>
          <w:p w14:paraId="78434B3A" w14:textId="77777777" w:rsidR="00E13004" w:rsidRPr="00CA4C14" w:rsidRDefault="00E13004" w:rsidP="00E13004">
            <w:pPr>
              <w:pStyle w:val="Tabletext"/>
              <w:spacing w:before="0" w:after="0"/>
              <w:jc w:val="right"/>
              <w:rPr>
                <w:lang w:val="ru-RU" w:eastAsia="en-GB"/>
              </w:rPr>
            </w:pPr>
          </w:p>
        </w:tc>
      </w:tr>
      <w:tr w:rsidR="008F5CF8" w:rsidRPr="00CA4C14" w14:paraId="65663EE5" w14:textId="77777777" w:rsidTr="00FE0DEB">
        <w:trPr>
          <w:trHeight w:val="270"/>
        </w:trPr>
        <w:tc>
          <w:tcPr>
            <w:tcW w:w="1449" w:type="pct"/>
            <w:noWrap/>
            <w:hideMark/>
          </w:tcPr>
          <w:p w14:paraId="5C9810D7" w14:textId="77777777" w:rsidR="008F5CF8" w:rsidRPr="00CA4C14" w:rsidRDefault="008F5CF8" w:rsidP="00E13004">
            <w:pPr>
              <w:pStyle w:val="Tabletext"/>
              <w:rPr>
                <w:lang w:val="ru-RU"/>
              </w:rPr>
            </w:pPr>
            <w:r w:rsidRPr="00CA4C14">
              <w:rPr>
                <w:szCs w:val="18"/>
                <w:lang w:val="ru-RU" w:eastAsia="en-GB"/>
              </w:rPr>
              <w:t>Базисная разница</w:t>
            </w:r>
          </w:p>
        </w:tc>
        <w:tc>
          <w:tcPr>
            <w:tcW w:w="637" w:type="pct"/>
            <w:noWrap/>
            <w:vAlign w:val="bottom"/>
            <w:hideMark/>
          </w:tcPr>
          <w:p w14:paraId="50CAFD4B" w14:textId="77777777" w:rsidR="008F5CF8" w:rsidRPr="00CA4C14" w:rsidRDefault="008F5CF8" w:rsidP="00E13004">
            <w:pPr>
              <w:pStyle w:val="Tabletext"/>
              <w:jc w:val="right"/>
              <w:rPr>
                <w:lang w:val="ru-RU" w:eastAsia="en-GB"/>
              </w:rPr>
            </w:pPr>
          </w:p>
        </w:tc>
        <w:tc>
          <w:tcPr>
            <w:tcW w:w="637" w:type="pct"/>
            <w:noWrap/>
            <w:vAlign w:val="bottom"/>
            <w:hideMark/>
          </w:tcPr>
          <w:p w14:paraId="16640363" w14:textId="77777777" w:rsidR="008F5CF8" w:rsidRPr="00CA4C14" w:rsidRDefault="008F5CF8" w:rsidP="00E13004">
            <w:pPr>
              <w:pStyle w:val="Tabletext"/>
              <w:jc w:val="right"/>
              <w:rPr>
                <w:lang w:val="ru-RU" w:eastAsia="en-GB"/>
              </w:rPr>
            </w:pPr>
          </w:p>
        </w:tc>
        <w:tc>
          <w:tcPr>
            <w:tcW w:w="638" w:type="pct"/>
            <w:noWrap/>
            <w:vAlign w:val="bottom"/>
            <w:hideMark/>
          </w:tcPr>
          <w:p w14:paraId="15E297FA" w14:textId="77777777" w:rsidR="008F5CF8" w:rsidRPr="00CA4C14" w:rsidRDefault="008F5CF8" w:rsidP="00E13004">
            <w:pPr>
              <w:pStyle w:val="Tabletext"/>
              <w:jc w:val="right"/>
              <w:rPr>
                <w:lang w:val="ru-RU" w:eastAsia="en-GB"/>
              </w:rPr>
            </w:pPr>
          </w:p>
        </w:tc>
        <w:tc>
          <w:tcPr>
            <w:tcW w:w="820" w:type="pct"/>
            <w:noWrap/>
            <w:vAlign w:val="bottom"/>
            <w:hideMark/>
          </w:tcPr>
          <w:p w14:paraId="30ED0F56" w14:textId="77777777" w:rsidR="008F5CF8" w:rsidRPr="00CA4C14" w:rsidRDefault="008F5CF8" w:rsidP="00E13004">
            <w:pPr>
              <w:pStyle w:val="Tabletext"/>
              <w:jc w:val="right"/>
              <w:rPr>
                <w:lang w:val="ru-RU" w:eastAsia="en-GB"/>
              </w:rPr>
            </w:pPr>
            <w:r w:rsidRPr="00CA4C14">
              <w:rPr>
                <w:lang w:val="ru-RU" w:eastAsia="en-GB"/>
              </w:rPr>
              <w:t>(19 306)</w:t>
            </w:r>
          </w:p>
        </w:tc>
        <w:tc>
          <w:tcPr>
            <w:tcW w:w="819" w:type="pct"/>
            <w:noWrap/>
            <w:vAlign w:val="bottom"/>
            <w:hideMark/>
          </w:tcPr>
          <w:p w14:paraId="117234F4" w14:textId="77777777" w:rsidR="008F5CF8" w:rsidRPr="00CA4C14" w:rsidRDefault="008F5CF8" w:rsidP="00E13004">
            <w:pPr>
              <w:pStyle w:val="Tabletext"/>
              <w:jc w:val="right"/>
              <w:rPr>
                <w:lang w:val="ru-RU" w:eastAsia="en-GB"/>
              </w:rPr>
            </w:pPr>
          </w:p>
        </w:tc>
      </w:tr>
      <w:tr w:rsidR="008F5CF8" w:rsidRPr="00CA4C14" w14:paraId="3150127E" w14:textId="77777777" w:rsidTr="00FE0DEB">
        <w:trPr>
          <w:trHeight w:val="255"/>
        </w:trPr>
        <w:tc>
          <w:tcPr>
            <w:tcW w:w="1449" w:type="pct"/>
            <w:noWrap/>
            <w:hideMark/>
          </w:tcPr>
          <w:p w14:paraId="1E87B142" w14:textId="77777777" w:rsidR="008F5CF8" w:rsidRPr="00CA4C14" w:rsidRDefault="008F5CF8" w:rsidP="00E13004">
            <w:pPr>
              <w:pStyle w:val="Tabletext"/>
              <w:rPr>
                <w:lang w:val="ru-RU"/>
              </w:rPr>
            </w:pPr>
            <w:r w:rsidRPr="00CA4C14">
              <w:rPr>
                <w:szCs w:val="18"/>
                <w:lang w:val="ru-RU" w:eastAsia="en-GB"/>
              </w:rPr>
              <w:t>Структурная разница</w:t>
            </w:r>
          </w:p>
        </w:tc>
        <w:tc>
          <w:tcPr>
            <w:tcW w:w="637" w:type="pct"/>
            <w:noWrap/>
            <w:vAlign w:val="bottom"/>
            <w:hideMark/>
          </w:tcPr>
          <w:p w14:paraId="56A7F130" w14:textId="77777777" w:rsidR="008F5CF8" w:rsidRPr="00CA4C14" w:rsidRDefault="008F5CF8" w:rsidP="00E13004">
            <w:pPr>
              <w:pStyle w:val="Tabletext"/>
              <w:jc w:val="right"/>
              <w:rPr>
                <w:lang w:val="ru-RU" w:eastAsia="en-GB"/>
              </w:rPr>
            </w:pPr>
          </w:p>
        </w:tc>
        <w:tc>
          <w:tcPr>
            <w:tcW w:w="637" w:type="pct"/>
            <w:noWrap/>
            <w:vAlign w:val="bottom"/>
            <w:hideMark/>
          </w:tcPr>
          <w:p w14:paraId="03DCB1D5" w14:textId="77777777" w:rsidR="008F5CF8" w:rsidRPr="00CA4C14" w:rsidRDefault="008F5CF8" w:rsidP="00E13004">
            <w:pPr>
              <w:pStyle w:val="Tabletext"/>
              <w:jc w:val="right"/>
              <w:rPr>
                <w:lang w:val="ru-RU" w:eastAsia="en-GB"/>
              </w:rPr>
            </w:pPr>
          </w:p>
        </w:tc>
        <w:tc>
          <w:tcPr>
            <w:tcW w:w="638" w:type="pct"/>
            <w:noWrap/>
            <w:vAlign w:val="bottom"/>
            <w:hideMark/>
          </w:tcPr>
          <w:p w14:paraId="449EE15D" w14:textId="77777777" w:rsidR="008F5CF8" w:rsidRPr="00CA4C14" w:rsidRDefault="008F5CF8" w:rsidP="00E13004">
            <w:pPr>
              <w:pStyle w:val="Tabletext"/>
              <w:jc w:val="right"/>
              <w:rPr>
                <w:lang w:val="ru-RU" w:eastAsia="en-GB"/>
              </w:rPr>
            </w:pPr>
          </w:p>
        </w:tc>
        <w:tc>
          <w:tcPr>
            <w:tcW w:w="820" w:type="pct"/>
            <w:noWrap/>
            <w:vAlign w:val="bottom"/>
            <w:hideMark/>
          </w:tcPr>
          <w:p w14:paraId="1E389457" w14:textId="77777777" w:rsidR="008F5CF8" w:rsidRPr="00CA4C14" w:rsidRDefault="008F5CF8" w:rsidP="00E13004">
            <w:pPr>
              <w:pStyle w:val="Tabletext"/>
              <w:jc w:val="right"/>
              <w:rPr>
                <w:lang w:val="ru-RU" w:eastAsia="en-GB"/>
              </w:rPr>
            </w:pPr>
            <w:r w:rsidRPr="00CA4C14">
              <w:rPr>
                <w:lang w:val="ru-RU" w:eastAsia="en-GB"/>
              </w:rPr>
              <w:t>(6 892)</w:t>
            </w:r>
          </w:p>
        </w:tc>
        <w:tc>
          <w:tcPr>
            <w:tcW w:w="819" w:type="pct"/>
            <w:noWrap/>
            <w:vAlign w:val="bottom"/>
            <w:hideMark/>
          </w:tcPr>
          <w:p w14:paraId="7B9F8220" w14:textId="77777777" w:rsidR="008F5CF8" w:rsidRPr="00CA4C14" w:rsidRDefault="008F5CF8" w:rsidP="00E13004">
            <w:pPr>
              <w:pStyle w:val="Tabletext"/>
              <w:jc w:val="right"/>
              <w:rPr>
                <w:lang w:val="ru-RU" w:eastAsia="en-GB"/>
              </w:rPr>
            </w:pPr>
          </w:p>
        </w:tc>
      </w:tr>
      <w:tr w:rsidR="00E13004" w:rsidRPr="00CA4C14" w14:paraId="08F3C6BA" w14:textId="77777777" w:rsidTr="00FE0DEB">
        <w:trPr>
          <w:trHeight w:val="70"/>
        </w:trPr>
        <w:tc>
          <w:tcPr>
            <w:tcW w:w="1449" w:type="pct"/>
            <w:noWrap/>
          </w:tcPr>
          <w:p w14:paraId="34F954E2" w14:textId="77777777" w:rsidR="00E13004" w:rsidRPr="00CA4C14" w:rsidRDefault="00E13004" w:rsidP="00E13004">
            <w:pPr>
              <w:pStyle w:val="Tabletext"/>
              <w:spacing w:before="0" w:after="0"/>
              <w:rPr>
                <w:b/>
                <w:bCs/>
                <w:szCs w:val="18"/>
                <w:lang w:val="ru-RU"/>
              </w:rPr>
            </w:pPr>
          </w:p>
        </w:tc>
        <w:tc>
          <w:tcPr>
            <w:tcW w:w="637" w:type="pct"/>
            <w:noWrap/>
            <w:vAlign w:val="bottom"/>
          </w:tcPr>
          <w:p w14:paraId="5C3A3FB0" w14:textId="77777777" w:rsidR="00E13004" w:rsidRPr="00CA4C14" w:rsidRDefault="00E13004" w:rsidP="00E13004">
            <w:pPr>
              <w:pStyle w:val="Tabletext"/>
              <w:spacing w:before="0" w:after="0"/>
              <w:jc w:val="right"/>
              <w:rPr>
                <w:b/>
                <w:bCs/>
                <w:lang w:val="ru-RU" w:eastAsia="en-GB"/>
              </w:rPr>
            </w:pPr>
          </w:p>
        </w:tc>
        <w:tc>
          <w:tcPr>
            <w:tcW w:w="637" w:type="pct"/>
            <w:noWrap/>
            <w:vAlign w:val="bottom"/>
          </w:tcPr>
          <w:p w14:paraId="41AA2EC2" w14:textId="77777777" w:rsidR="00E13004" w:rsidRPr="00CA4C14" w:rsidRDefault="00E13004" w:rsidP="00E13004">
            <w:pPr>
              <w:pStyle w:val="Tabletext"/>
              <w:spacing w:before="0" w:after="0"/>
              <w:jc w:val="right"/>
              <w:rPr>
                <w:b/>
                <w:bCs/>
                <w:lang w:val="ru-RU" w:eastAsia="en-GB"/>
              </w:rPr>
            </w:pPr>
          </w:p>
        </w:tc>
        <w:tc>
          <w:tcPr>
            <w:tcW w:w="638" w:type="pct"/>
            <w:noWrap/>
            <w:vAlign w:val="bottom"/>
          </w:tcPr>
          <w:p w14:paraId="38D0B0ED" w14:textId="77777777" w:rsidR="00E13004" w:rsidRPr="00CA4C14" w:rsidRDefault="00E13004" w:rsidP="00E13004">
            <w:pPr>
              <w:pStyle w:val="Tabletext"/>
              <w:spacing w:before="0" w:after="0"/>
              <w:jc w:val="right"/>
              <w:rPr>
                <w:b/>
                <w:bCs/>
                <w:lang w:val="ru-RU" w:eastAsia="en-GB"/>
              </w:rPr>
            </w:pPr>
          </w:p>
        </w:tc>
        <w:tc>
          <w:tcPr>
            <w:tcW w:w="820" w:type="pct"/>
            <w:noWrap/>
            <w:vAlign w:val="bottom"/>
          </w:tcPr>
          <w:p w14:paraId="392055E1" w14:textId="77777777" w:rsidR="00E13004" w:rsidRPr="00CA4C14" w:rsidRDefault="00E13004" w:rsidP="00E13004">
            <w:pPr>
              <w:pStyle w:val="Tabletext"/>
              <w:spacing w:before="0" w:after="0"/>
              <w:jc w:val="right"/>
              <w:rPr>
                <w:b/>
                <w:bCs/>
                <w:lang w:val="ru-RU" w:eastAsia="en-GB"/>
              </w:rPr>
            </w:pPr>
          </w:p>
        </w:tc>
        <w:tc>
          <w:tcPr>
            <w:tcW w:w="819" w:type="pct"/>
            <w:noWrap/>
            <w:vAlign w:val="bottom"/>
          </w:tcPr>
          <w:p w14:paraId="288B7427" w14:textId="77777777" w:rsidR="00E13004" w:rsidRPr="00CA4C14" w:rsidRDefault="00E13004" w:rsidP="00E13004">
            <w:pPr>
              <w:pStyle w:val="Tabletext"/>
              <w:spacing w:before="0" w:after="0"/>
              <w:jc w:val="right"/>
              <w:rPr>
                <w:b/>
                <w:bCs/>
                <w:lang w:val="ru-RU" w:eastAsia="en-GB"/>
              </w:rPr>
            </w:pPr>
          </w:p>
        </w:tc>
      </w:tr>
      <w:tr w:rsidR="008F5CF8" w:rsidRPr="00CA4C14" w14:paraId="0D434C72" w14:textId="77777777" w:rsidTr="00FE0DEB">
        <w:trPr>
          <w:trHeight w:val="255"/>
        </w:trPr>
        <w:tc>
          <w:tcPr>
            <w:tcW w:w="1449" w:type="pct"/>
            <w:noWrap/>
            <w:hideMark/>
          </w:tcPr>
          <w:p w14:paraId="3C67EB02" w14:textId="77777777" w:rsidR="008F5CF8" w:rsidRPr="00CA4C14" w:rsidRDefault="008F5CF8" w:rsidP="00E13004">
            <w:pPr>
              <w:pStyle w:val="Tabletext"/>
              <w:rPr>
                <w:b/>
                <w:bCs/>
                <w:lang w:val="ru-RU"/>
              </w:rPr>
            </w:pPr>
            <w:r w:rsidRPr="00CA4C14">
              <w:rPr>
                <w:b/>
                <w:bCs/>
                <w:szCs w:val="18"/>
                <w:lang w:val="ru-RU"/>
              </w:rPr>
              <w:t>Всего: разница с IPSAS</w:t>
            </w:r>
          </w:p>
        </w:tc>
        <w:tc>
          <w:tcPr>
            <w:tcW w:w="637" w:type="pct"/>
            <w:noWrap/>
            <w:vAlign w:val="bottom"/>
            <w:hideMark/>
          </w:tcPr>
          <w:p w14:paraId="79AF8A35" w14:textId="77777777" w:rsidR="008F5CF8" w:rsidRPr="00CA4C14" w:rsidRDefault="008F5CF8" w:rsidP="00E13004">
            <w:pPr>
              <w:pStyle w:val="Tabletext"/>
              <w:jc w:val="right"/>
              <w:rPr>
                <w:b/>
                <w:bCs/>
                <w:lang w:val="ru-RU" w:eastAsia="en-GB"/>
              </w:rPr>
            </w:pPr>
          </w:p>
        </w:tc>
        <w:tc>
          <w:tcPr>
            <w:tcW w:w="637" w:type="pct"/>
            <w:noWrap/>
            <w:vAlign w:val="bottom"/>
            <w:hideMark/>
          </w:tcPr>
          <w:p w14:paraId="5E561554" w14:textId="77777777" w:rsidR="008F5CF8" w:rsidRPr="00CA4C14" w:rsidRDefault="008F5CF8" w:rsidP="00E13004">
            <w:pPr>
              <w:pStyle w:val="Tabletext"/>
              <w:jc w:val="right"/>
              <w:rPr>
                <w:b/>
                <w:bCs/>
                <w:lang w:val="ru-RU" w:eastAsia="en-GB"/>
              </w:rPr>
            </w:pPr>
          </w:p>
        </w:tc>
        <w:tc>
          <w:tcPr>
            <w:tcW w:w="638" w:type="pct"/>
            <w:noWrap/>
            <w:vAlign w:val="bottom"/>
            <w:hideMark/>
          </w:tcPr>
          <w:p w14:paraId="277D1DF2" w14:textId="77777777" w:rsidR="008F5CF8" w:rsidRPr="00CA4C14" w:rsidRDefault="008F5CF8" w:rsidP="00E13004">
            <w:pPr>
              <w:pStyle w:val="Tabletext"/>
              <w:jc w:val="right"/>
              <w:rPr>
                <w:b/>
                <w:bCs/>
                <w:lang w:val="ru-RU" w:eastAsia="en-GB"/>
              </w:rPr>
            </w:pPr>
          </w:p>
        </w:tc>
        <w:tc>
          <w:tcPr>
            <w:tcW w:w="820" w:type="pct"/>
            <w:noWrap/>
            <w:vAlign w:val="bottom"/>
            <w:hideMark/>
          </w:tcPr>
          <w:p w14:paraId="05F28C02" w14:textId="77777777" w:rsidR="008F5CF8" w:rsidRPr="00CA4C14" w:rsidRDefault="008F5CF8" w:rsidP="00E13004">
            <w:pPr>
              <w:pStyle w:val="Tabletext"/>
              <w:jc w:val="right"/>
              <w:rPr>
                <w:b/>
                <w:bCs/>
                <w:lang w:val="ru-RU" w:eastAsia="en-GB"/>
              </w:rPr>
            </w:pPr>
            <w:r w:rsidRPr="00CA4C14">
              <w:rPr>
                <w:b/>
                <w:bCs/>
                <w:lang w:val="ru-RU" w:eastAsia="en-GB"/>
              </w:rPr>
              <w:t>(26 198)</w:t>
            </w:r>
          </w:p>
        </w:tc>
        <w:tc>
          <w:tcPr>
            <w:tcW w:w="819" w:type="pct"/>
            <w:noWrap/>
            <w:vAlign w:val="bottom"/>
            <w:hideMark/>
          </w:tcPr>
          <w:p w14:paraId="44F1D9F4" w14:textId="77777777" w:rsidR="008F5CF8" w:rsidRPr="00CA4C14" w:rsidRDefault="008F5CF8" w:rsidP="00E13004">
            <w:pPr>
              <w:pStyle w:val="Tabletext"/>
              <w:jc w:val="right"/>
              <w:rPr>
                <w:b/>
                <w:bCs/>
                <w:lang w:val="ru-RU" w:eastAsia="en-GB"/>
              </w:rPr>
            </w:pPr>
          </w:p>
        </w:tc>
      </w:tr>
      <w:tr w:rsidR="008F5CF8" w:rsidRPr="00CA4C14" w14:paraId="46E505FA" w14:textId="77777777" w:rsidTr="00FE0DEB">
        <w:trPr>
          <w:trHeight w:val="70"/>
        </w:trPr>
        <w:tc>
          <w:tcPr>
            <w:tcW w:w="3361" w:type="pct"/>
            <w:gridSpan w:val="4"/>
            <w:shd w:val="clear" w:color="auto" w:fill="0070C0"/>
            <w:noWrap/>
            <w:vAlign w:val="center"/>
            <w:hideMark/>
          </w:tcPr>
          <w:p w14:paraId="7308C414" w14:textId="61305878" w:rsidR="008F5CF8" w:rsidRPr="00CA4C14" w:rsidRDefault="008F5CF8" w:rsidP="003E7795">
            <w:pPr>
              <w:pStyle w:val="Tabletext"/>
              <w:rPr>
                <w:b/>
                <w:bCs/>
                <w:lang w:val="ru-RU"/>
              </w:rPr>
            </w:pPr>
            <w:r w:rsidRPr="00CA4C14">
              <w:rPr>
                <w:b/>
                <w:bCs/>
                <w:szCs w:val="18"/>
                <w:lang w:val="ru-RU"/>
              </w:rPr>
              <w:t>Активное сальдо/дефицит, показанное/</w:t>
            </w:r>
            <w:r w:rsidR="00E13004" w:rsidRPr="00CA4C14">
              <w:rPr>
                <w:b/>
                <w:bCs/>
                <w:szCs w:val="18"/>
                <w:lang w:val="ru-RU"/>
              </w:rPr>
              <w:t>показанны</w:t>
            </w:r>
            <w:r w:rsidRPr="00CA4C14">
              <w:rPr>
                <w:b/>
                <w:bCs/>
                <w:szCs w:val="18"/>
                <w:lang w:val="ru-RU"/>
              </w:rPr>
              <w:t xml:space="preserve">й </w:t>
            </w:r>
            <w:r w:rsidR="00E13004" w:rsidRPr="00CA4C14">
              <w:rPr>
                <w:b/>
                <w:bCs/>
                <w:szCs w:val="18"/>
                <w:lang w:val="ru-RU"/>
              </w:rPr>
              <w:br/>
            </w:r>
            <w:r w:rsidRPr="00CA4C14">
              <w:rPr>
                <w:b/>
                <w:bCs/>
                <w:szCs w:val="18"/>
                <w:lang w:val="ru-RU"/>
              </w:rPr>
              <w:t>в Отчете о результатах финансовой деятельности</w:t>
            </w:r>
          </w:p>
        </w:tc>
        <w:tc>
          <w:tcPr>
            <w:tcW w:w="820" w:type="pct"/>
            <w:shd w:val="clear" w:color="auto" w:fill="0070C0"/>
            <w:vAlign w:val="bottom"/>
          </w:tcPr>
          <w:p w14:paraId="325729F4" w14:textId="77777777" w:rsidR="008F5CF8" w:rsidRPr="00CA4C14" w:rsidRDefault="008F5CF8" w:rsidP="00E13004">
            <w:pPr>
              <w:pStyle w:val="Tabletext"/>
              <w:jc w:val="right"/>
              <w:rPr>
                <w:b/>
                <w:bCs/>
                <w:lang w:val="ru-RU"/>
              </w:rPr>
            </w:pPr>
            <w:r w:rsidRPr="00CA4C14">
              <w:rPr>
                <w:b/>
                <w:bCs/>
                <w:lang w:val="ru-RU" w:eastAsia="en-GB"/>
              </w:rPr>
              <w:t>(24 774)</w:t>
            </w:r>
          </w:p>
        </w:tc>
        <w:tc>
          <w:tcPr>
            <w:tcW w:w="819" w:type="pct"/>
            <w:shd w:val="clear" w:color="auto" w:fill="0070C0"/>
            <w:noWrap/>
            <w:vAlign w:val="bottom"/>
            <w:hideMark/>
          </w:tcPr>
          <w:p w14:paraId="54F144B0" w14:textId="77777777" w:rsidR="008F5CF8" w:rsidRPr="00CA4C14" w:rsidRDefault="008F5CF8" w:rsidP="00E13004">
            <w:pPr>
              <w:pStyle w:val="Tabletext"/>
              <w:jc w:val="right"/>
              <w:rPr>
                <w:b/>
                <w:bCs/>
                <w:lang w:val="ru-RU" w:eastAsia="en-GB"/>
              </w:rPr>
            </w:pPr>
          </w:p>
        </w:tc>
      </w:tr>
    </w:tbl>
    <w:p w14:paraId="5B233331" w14:textId="210A2761" w:rsidR="008F5CF8" w:rsidRPr="00CA4C14" w:rsidRDefault="008F5CF8" w:rsidP="002C7AB2">
      <w:pPr>
        <w:pStyle w:val="Tablelegend"/>
        <w:rPr>
          <w:i/>
          <w:iCs/>
          <w:lang w:val="ru-RU"/>
        </w:rPr>
      </w:pPr>
      <w:r w:rsidRPr="00CA4C14">
        <w:rPr>
          <w:i/>
          <w:iCs/>
          <w:lang w:val="ru-RU"/>
        </w:rPr>
        <w:t xml:space="preserve">Вышеупомянутые доходы по процентам в размере 2,9 </w:t>
      </w:r>
      <w:proofErr w:type="gramStart"/>
      <w:r w:rsidRPr="00CA4C14">
        <w:rPr>
          <w:i/>
          <w:iCs/>
          <w:lang w:val="ru-RU"/>
        </w:rPr>
        <w:t>млн.</w:t>
      </w:r>
      <w:proofErr w:type="gramEnd"/>
      <w:r w:rsidRPr="00CA4C14">
        <w:rPr>
          <w:i/>
          <w:iCs/>
          <w:lang w:val="ru-RU"/>
        </w:rPr>
        <w:t xml:space="preserve"> швейцарских франков являются чистыми за вычетом списания 0,5 млн. швейцарских франков. Это списание, утвержденное Генеральным секретарем в 2023 году, обусловлено возмещением понесенных в период с 2010 по 2020 год убытков по внебюджетным субсидиям.</w:t>
      </w:r>
    </w:p>
    <w:p w14:paraId="706FC3CD" w14:textId="77777777" w:rsidR="008F5CF8" w:rsidRPr="00CA4C14" w:rsidRDefault="008F5CF8" w:rsidP="002C7AB2">
      <w:pPr>
        <w:pStyle w:val="Tablelegend"/>
        <w:rPr>
          <w:lang w:val="ru-RU"/>
        </w:rPr>
      </w:pPr>
      <w:r w:rsidRPr="00CA4C14">
        <w:rPr>
          <w:i/>
          <w:iCs/>
          <w:lang w:val="ru-RU"/>
        </w:rPr>
        <w:t>Более подробная информация о базисной и структурной разнице приводится в Примечании 24.</w:t>
      </w:r>
    </w:p>
    <w:p w14:paraId="2C159AFB" w14:textId="36930F81" w:rsidR="008F5CF8" w:rsidRPr="00CA4C14" w:rsidRDefault="008F5CF8" w:rsidP="00E13004">
      <w:pPr>
        <w:rPr>
          <w:lang w:val="ru-RU"/>
        </w:rPr>
      </w:pPr>
      <w:r w:rsidRPr="00CA4C14">
        <w:rPr>
          <w:lang w:val="ru-RU"/>
        </w:rPr>
        <w:br w:type="page"/>
      </w:r>
    </w:p>
    <w:p w14:paraId="2183FE79" w14:textId="77777777" w:rsidR="008F5CF8" w:rsidRPr="00CA4C14" w:rsidRDefault="008F5CF8" w:rsidP="008F5CF8">
      <w:pPr>
        <w:pStyle w:val="Heading1"/>
        <w:rPr>
          <w:lang w:val="ru-RU"/>
        </w:rPr>
      </w:pPr>
      <w:bookmarkStart w:id="81" w:name="_Toc329249357"/>
      <w:bookmarkStart w:id="82" w:name="_Toc358373627"/>
      <w:bookmarkStart w:id="83" w:name="_Toc387242708"/>
      <w:bookmarkStart w:id="84" w:name="_Toc387243278"/>
      <w:bookmarkStart w:id="85" w:name="_Toc419389919"/>
      <w:bookmarkStart w:id="86" w:name="_Toc419404352"/>
      <w:bookmarkStart w:id="87" w:name="_Toc452103234"/>
      <w:bookmarkStart w:id="88" w:name="_Toc452103483"/>
      <w:bookmarkStart w:id="89" w:name="_Toc482803657"/>
      <w:bookmarkStart w:id="90" w:name="_Toc482809962"/>
      <w:bookmarkStart w:id="91" w:name="_Toc482810301"/>
      <w:bookmarkStart w:id="92" w:name="_Toc511401659"/>
      <w:bookmarkStart w:id="93" w:name="_Toc10540772"/>
      <w:bookmarkStart w:id="94" w:name="_Toc41897516"/>
      <w:bookmarkStart w:id="95" w:name="_Toc41900392"/>
      <w:bookmarkStart w:id="96" w:name="_Toc73437975"/>
      <w:bookmarkStart w:id="97" w:name="_Toc73439153"/>
      <w:bookmarkStart w:id="98" w:name="_Toc111193856"/>
      <w:bookmarkStart w:id="99" w:name="_Toc168578449"/>
      <w:r w:rsidRPr="00CA4C14">
        <w:rPr>
          <w:lang w:val="ru-RU"/>
        </w:rPr>
        <w:lastRenderedPageBreak/>
        <w:t>Примечания к финансовой отчетности</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2B7DDC9" w14:textId="77777777" w:rsidR="00334590" w:rsidRPr="00CA4C14" w:rsidRDefault="00334590" w:rsidP="00334590">
      <w:pPr>
        <w:pStyle w:val="Heading5"/>
        <w:rPr>
          <w:lang w:val="ru-RU"/>
        </w:rPr>
      </w:pPr>
      <w:bookmarkStart w:id="100" w:name="_Toc329002755"/>
      <w:bookmarkStart w:id="101" w:name="_Toc358373628"/>
      <w:bookmarkStart w:id="102" w:name="_Toc387243008"/>
      <w:bookmarkStart w:id="103" w:name="_Toc419404353"/>
      <w:bookmarkStart w:id="104" w:name="_Toc482809963"/>
      <w:bookmarkStart w:id="105" w:name="_Toc482810302"/>
      <w:bookmarkStart w:id="106" w:name="_Toc482901561"/>
      <w:bookmarkStart w:id="107" w:name="_Toc511401537"/>
      <w:bookmarkStart w:id="108" w:name="_Toc511401660"/>
      <w:bookmarkStart w:id="109" w:name="_Toc10540773"/>
      <w:bookmarkStart w:id="110" w:name="_Toc41900393"/>
      <w:bookmarkStart w:id="111" w:name="_Toc73437976"/>
      <w:bookmarkStart w:id="112" w:name="_Toc73439154"/>
      <w:bookmarkStart w:id="113" w:name="_Toc111193857"/>
      <w:bookmarkStart w:id="114" w:name="_Toc168578450"/>
      <w:r w:rsidRPr="00CA4C14">
        <w:rPr>
          <w:lang w:val="ru-RU"/>
        </w:rPr>
        <w:t>Примечание 1</w:t>
      </w:r>
      <w:r w:rsidRPr="00CA4C14">
        <w:rPr>
          <w:lang w:val="ru-RU"/>
        </w:rPr>
        <w:tab/>
      </w:r>
      <w:bookmarkEnd w:id="100"/>
      <w:bookmarkEnd w:id="101"/>
      <w:bookmarkEnd w:id="102"/>
      <w:bookmarkEnd w:id="103"/>
      <w:r w:rsidRPr="00CA4C14">
        <w:rPr>
          <w:lang w:val="ru-RU"/>
        </w:rPr>
        <w:t>Задачи Союза</w:t>
      </w:r>
      <w:bookmarkEnd w:id="104"/>
      <w:bookmarkEnd w:id="105"/>
      <w:bookmarkEnd w:id="106"/>
      <w:bookmarkEnd w:id="107"/>
      <w:bookmarkEnd w:id="108"/>
      <w:bookmarkEnd w:id="109"/>
      <w:bookmarkEnd w:id="110"/>
      <w:bookmarkEnd w:id="111"/>
      <w:bookmarkEnd w:id="112"/>
      <w:bookmarkEnd w:id="113"/>
      <w:bookmarkEnd w:id="114"/>
    </w:p>
    <w:p w14:paraId="5078A794" w14:textId="77777777" w:rsidR="008F5CF8" w:rsidRPr="00CA4C14" w:rsidRDefault="008F5CF8" w:rsidP="00D6498C">
      <w:pPr>
        <w:rPr>
          <w:lang w:val="ru-RU"/>
        </w:rPr>
      </w:pPr>
      <w:r w:rsidRPr="00CA4C14">
        <w:rPr>
          <w:lang w:val="ru-RU"/>
        </w:rPr>
        <w:t xml:space="preserve">Международный союз электросвязи (МСЭ) является специализированным учреждением </w:t>
      </w:r>
      <w:hyperlink r:id="rId17" w:tgtFrame="_blank" w:history="1">
        <w:r w:rsidRPr="00CA4C14">
          <w:rPr>
            <w:rStyle w:val="Hyperlink"/>
            <w:rFonts w:cs="Calibri"/>
            <w:lang w:val="ru-RU"/>
          </w:rPr>
          <w:t>Организации Объединенных Наций</w:t>
        </w:r>
      </w:hyperlink>
      <w:r w:rsidRPr="00CA4C14">
        <w:rPr>
          <w:lang w:val="ru-RU"/>
        </w:rPr>
        <w:t xml:space="preserve"> в области информационно-коммуникационных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задействуя свой Генеральный секретариат и три ключевых Сектора: </w:t>
      </w:r>
      <w:hyperlink r:id="rId18" w:history="1">
        <w:r w:rsidRPr="00CA4C14">
          <w:rPr>
            <w:rStyle w:val="Hyperlink"/>
            <w:rFonts w:cs="Calibri"/>
            <w:lang w:val="ru-RU"/>
          </w:rPr>
          <w:t>Сектор радиосвязи</w:t>
        </w:r>
      </w:hyperlink>
      <w:r w:rsidRPr="00CA4C14">
        <w:rPr>
          <w:lang w:val="ru-RU"/>
        </w:rPr>
        <w:t xml:space="preserve">, </w:t>
      </w:r>
      <w:hyperlink r:id="rId19" w:history="1">
        <w:r w:rsidRPr="00CA4C14">
          <w:rPr>
            <w:rStyle w:val="Hyperlink"/>
            <w:rFonts w:cs="Calibri"/>
            <w:lang w:val="ru-RU"/>
          </w:rPr>
          <w:t>Сектор стандартизации электросвязи</w:t>
        </w:r>
      </w:hyperlink>
      <w:r w:rsidRPr="00CA4C14">
        <w:rPr>
          <w:lang w:val="ru-RU"/>
        </w:rPr>
        <w:t xml:space="preserve"> и </w:t>
      </w:r>
      <w:hyperlink r:id="rId20" w:history="1">
        <w:r w:rsidRPr="00CA4C14">
          <w:rPr>
            <w:rStyle w:val="Hyperlink"/>
            <w:rFonts w:cs="Calibri"/>
            <w:lang w:val="ru-RU"/>
          </w:rPr>
          <w:t>Сектор развития электросвязи</w:t>
        </w:r>
      </w:hyperlink>
      <w:r w:rsidRPr="00CA4C14">
        <w:rPr>
          <w:lang w:val="ru-RU"/>
        </w:rPr>
        <w:t>. МСЭ в полной мере признает за каждым государством суверенные права на регулирование своей электросвязи.</w:t>
      </w:r>
    </w:p>
    <w:p w14:paraId="3FC1BAD9" w14:textId="77777777" w:rsidR="008F5CF8" w:rsidRPr="00CA4C14" w:rsidRDefault="008F5CF8" w:rsidP="00D6498C">
      <w:pPr>
        <w:rPr>
          <w:rFonts w:cs="Calibri"/>
          <w:bCs/>
          <w:lang w:val="ru-RU"/>
        </w:rPr>
      </w:pPr>
      <w:r w:rsidRPr="00CA4C14">
        <w:rPr>
          <w:lang w:val="ru-RU" w:eastAsia="fr-FR"/>
        </w:rPr>
        <w:t>На МСЭ была возложена основная ответственность за организацию</w:t>
      </w:r>
      <w:r w:rsidRPr="00CA4C14">
        <w:rPr>
          <w:lang w:val="ru-RU"/>
        </w:rPr>
        <w:t xml:space="preserve"> </w:t>
      </w:r>
      <w:hyperlink r:id="rId21" w:history="1">
        <w:r w:rsidRPr="00CA4C14">
          <w:rPr>
            <w:rStyle w:val="Hyperlink"/>
            <w:rFonts w:cs="Arial"/>
            <w:szCs w:val="24"/>
            <w:lang w:val="ru-RU" w:eastAsia="fr-FR"/>
          </w:rPr>
          <w:t>Всемирной встречи на высшем уровне по вопросам информационного общества</w:t>
        </w:r>
      </w:hyperlink>
      <w:r w:rsidRPr="00CA4C14">
        <w:rPr>
          <w:lang w:val="ru-RU"/>
        </w:rPr>
        <w:t>.</w:t>
      </w:r>
    </w:p>
    <w:p w14:paraId="0629E7C2" w14:textId="77777777" w:rsidR="008F5CF8" w:rsidRPr="00CA4C14" w:rsidRDefault="008F5CF8" w:rsidP="00D6498C">
      <w:pPr>
        <w:rPr>
          <w:rFonts w:cs="Calibri"/>
          <w:bCs/>
          <w:lang w:val="ru-RU"/>
        </w:rPr>
      </w:pPr>
      <w:r w:rsidRPr="00CA4C14">
        <w:rPr>
          <w:lang w:val="ru-RU" w:eastAsia="fr-FR"/>
        </w:rPr>
        <w:t>В состав организации входят 193 </w:t>
      </w:r>
      <w:r w:rsidRPr="00CA4C14">
        <w:rPr>
          <w:lang w:val="ru-RU"/>
        </w:rPr>
        <w:t xml:space="preserve">Государства-Члена и более 1000 компаний, университетов, а также международных и региональных организаций. </w:t>
      </w:r>
      <w:r w:rsidRPr="00CA4C14">
        <w:rPr>
          <w:lang w:val="ru-RU" w:eastAsia="fr-FR"/>
        </w:rPr>
        <w:t>Штаб-квартира МСЭ находится в Женеве, Швейцария; Союз имеет четыре региональных отделения на каждом из континентов, представительство для взаимодействия с Организацией Объединенных Наций, расположенное в Нью-Йорке, и отдел координации для Европы в штаб-квартире</w:t>
      </w:r>
      <w:r w:rsidRPr="00CA4C14">
        <w:rPr>
          <w:rFonts w:cs="Calibri"/>
          <w:bCs/>
          <w:lang w:val="ru-RU"/>
        </w:rPr>
        <w:t>. МСЭ </w:t>
      </w:r>
      <w:proofErr w:type="gramStart"/>
      <w:r w:rsidRPr="00CA4C14">
        <w:rPr>
          <w:rFonts w:cs="Calibri"/>
          <w:bCs/>
          <w:lang w:val="ru-RU"/>
        </w:rPr>
        <w:t>− это старейшее учреждение</w:t>
      </w:r>
      <w:proofErr w:type="gramEnd"/>
      <w:r w:rsidRPr="00CA4C14">
        <w:rPr>
          <w:rFonts w:cs="Calibri"/>
          <w:bCs/>
          <w:lang w:val="ru-RU"/>
        </w:rPr>
        <w:t xml:space="preserve"> во всей системе ООН; оно служит объединению мира со времени появления телеграфной связи в 1865 году. Штаб-квартира МСЭ находится по адресу: Place des Nations, 1211 Geneva 20, Switzerland.</w:t>
      </w:r>
    </w:p>
    <w:p w14:paraId="10ACB78D" w14:textId="77777777" w:rsidR="008F5CF8" w:rsidRPr="00CA4C14" w:rsidRDefault="008F5CF8" w:rsidP="003B0954">
      <w:pPr>
        <w:keepNext/>
        <w:keepLines/>
        <w:rPr>
          <w:lang w:val="ru-RU"/>
        </w:rPr>
      </w:pPr>
      <w:r w:rsidRPr="00CA4C14">
        <w:rPr>
          <w:lang w:val="ru-RU"/>
        </w:rPr>
        <w:t>Цели Союза состоят в следующем:</w:t>
      </w:r>
    </w:p>
    <w:p w14:paraId="4D0A46EE" w14:textId="77777777" w:rsidR="008F5CF8" w:rsidRPr="00CA4C14" w:rsidRDefault="008F5CF8" w:rsidP="005D645A">
      <w:pPr>
        <w:pStyle w:val="enumlev1"/>
        <w:rPr>
          <w:lang w:val="ru-RU"/>
        </w:rPr>
      </w:pPr>
      <w:r w:rsidRPr="00CA4C14">
        <w:rPr>
          <w:lang w:val="ru-RU"/>
        </w:rPr>
        <w:t>–</w:t>
      </w:r>
      <w:r w:rsidRPr="00CA4C14">
        <w:rPr>
          <w:lang w:val="ru-RU"/>
        </w:rPr>
        <w:tab/>
        <w:t>поддержание и расширение международного сотрудничества между всеми своими Государствами-Членами с целью совершенствования и рационального использования всех видов электросвязи;</w:t>
      </w:r>
    </w:p>
    <w:p w14:paraId="1E5006D5" w14:textId="77777777" w:rsidR="008F5CF8" w:rsidRPr="00CA4C14" w:rsidRDefault="008F5CF8" w:rsidP="005D645A">
      <w:pPr>
        <w:pStyle w:val="enumlev1"/>
        <w:rPr>
          <w:lang w:val="ru-RU"/>
        </w:rPr>
      </w:pPr>
      <w:r w:rsidRPr="00CA4C14">
        <w:rPr>
          <w:lang w:val="ru-RU"/>
        </w:rPr>
        <w:t>–</w:t>
      </w:r>
      <w:r w:rsidRPr="00CA4C14">
        <w:rPr>
          <w:lang w:val="ru-RU"/>
        </w:rPr>
        <w:tab/>
        <w:t>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широкой доступности для населения;</w:t>
      </w:r>
    </w:p>
    <w:p w14:paraId="7F22E235" w14:textId="77777777" w:rsidR="008F5CF8" w:rsidRPr="00CA4C14" w:rsidRDefault="008F5CF8" w:rsidP="005D645A">
      <w:pPr>
        <w:pStyle w:val="enumlev1"/>
        <w:rPr>
          <w:lang w:val="ru-RU"/>
        </w:rPr>
      </w:pPr>
      <w:r w:rsidRPr="00CA4C14">
        <w:rPr>
          <w:lang w:val="ru-RU"/>
        </w:rPr>
        <w:t>–</w:t>
      </w:r>
      <w:r w:rsidRPr="00CA4C14">
        <w:rPr>
          <w:lang w:val="ru-RU"/>
        </w:rPr>
        <w:tab/>
        <w:t>содействие распространению преимуществ новых технологий в области электросвязи среди всех жителей планеты;</w:t>
      </w:r>
    </w:p>
    <w:p w14:paraId="784CFA5F" w14:textId="77777777" w:rsidR="008F5CF8" w:rsidRPr="00CA4C14" w:rsidRDefault="008F5CF8" w:rsidP="005D645A">
      <w:pPr>
        <w:pStyle w:val="enumlev1"/>
        <w:rPr>
          <w:lang w:val="ru-RU"/>
        </w:rPr>
      </w:pPr>
      <w:r w:rsidRPr="00CA4C14">
        <w:rPr>
          <w:lang w:val="ru-RU"/>
        </w:rPr>
        <w:t>–</w:t>
      </w:r>
      <w:r w:rsidRPr="00CA4C14">
        <w:rPr>
          <w:lang w:val="ru-RU"/>
        </w:rPr>
        <w:tab/>
        <w:t>содействие использованию служб электросвязи в целях помощи в обеспечении мирных отношений;</w:t>
      </w:r>
    </w:p>
    <w:p w14:paraId="3C2DF6BD" w14:textId="77777777" w:rsidR="008F5CF8" w:rsidRPr="00CA4C14" w:rsidRDefault="008F5CF8" w:rsidP="005D645A">
      <w:pPr>
        <w:pStyle w:val="enumlev1"/>
        <w:rPr>
          <w:lang w:val="ru-RU"/>
        </w:rPr>
      </w:pPr>
      <w:r w:rsidRPr="00CA4C14">
        <w:rPr>
          <w:lang w:val="ru-RU"/>
        </w:rPr>
        <w:t>–</w:t>
      </w:r>
      <w:r w:rsidRPr="00CA4C14">
        <w:rPr>
          <w:lang w:val="ru-RU"/>
        </w:rPr>
        <w:tab/>
        <w:t>согласование деятельности Государств-Членов и содействие плодотворному и конструктивному сотрудничеству и партнерству между Государствами-Членами и Членами Секторов для достижения вышеуказанных целей; и</w:t>
      </w:r>
    </w:p>
    <w:p w14:paraId="4A5F7D9C" w14:textId="77777777" w:rsidR="008F5CF8" w:rsidRPr="00CA4C14" w:rsidRDefault="008F5CF8" w:rsidP="005D645A">
      <w:pPr>
        <w:pStyle w:val="enumlev1"/>
        <w:rPr>
          <w:lang w:val="ru-RU"/>
        </w:rPr>
      </w:pPr>
      <w:r w:rsidRPr="00CA4C14">
        <w:rPr>
          <w:lang w:val="ru-RU"/>
        </w:rPr>
        <w:t>–</w:t>
      </w:r>
      <w:r w:rsidRPr="00CA4C14">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14:paraId="4C62B86A" w14:textId="77777777" w:rsidR="008F5CF8" w:rsidRPr="00CA4C14" w:rsidRDefault="008F5CF8" w:rsidP="003B0954">
      <w:pPr>
        <w:keepNext/>
        <w:keepLines/>
        <w:rPr>
          <w:szCs w:val="22"/>
          <w:lang w:val="ru-RU"/>
        </w:rPr>
      </w:pPr>
      <w:r w:rsidRPr="00CA4C14">
        <w:rPr>
          <w:lang w:val="ru-RU"/>
        </w:rPr>
        <w:t>Для этого МСЭ, в частности</w:t>
      </w:r>
      <w:r w:rsidRPr="00CA4C14">
        <w:rPr>
          <w:szCs w:val="22"/>
          <w:lang w:val="ru-RU"/>
        </w:rPr>
        <w:t>:</w:t>
      </w:r>
    </w:p>
    <w:p w14:paraId="0249A62F" w14:textId="77777777" w:rsidR="008F5CF8" w:rsidRPr="00CA4C14" w:rsidRDefault="008F5CF8" w:rsidP="005D645A">
      <w:pPr>
        <w:pStyle w:val="enumlev1"/>
        <w:rPr>
          <w:lang w:val="ru-RU"/>
        </w:rPr>
      </w:pPr>
      <w:r w:rsidRPr="00CA4C14">
        <w:rPr>
          <w:lang w:val="ru-RU"/>
        </w:rPr>
        <w:t>–</w:t>
      </w:r>
      <w:r w:rsidRPr="00CA4C14">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14:paraId="5E790D39" w14:textId="77777777" w:rsidR="008F5CF8" w:rsidRPr="00CA4C14" w:rsidRDefault="008F5CF8" w:rsidP="005D645A">
      <w:pPr>
        <w:pStyle w:val="enumlev1"/>
        <w:rPr>
          <w:lang w:val="ru-RU"/>
        </w:rPr>
      </w:pPr>
      <w:r w:rsidRPr="00CA4C14">
        <w:rPr>
          <w:lang w:val="ru-RU"/>
        </w:rPr>
        <w:t>–</w:t>
      </w:r>
      <w:r w:rsidRPr="00CA4C14">
        <w:rPr>
          <w:lang w:val="ru-RU"/>
        </w:rPr>
        <w:tab/>
        <w:t xml:space="preserve">координирует усилия, направленные на устранение вредных помех между радиостанциями различных стран и на улучшение использования радиочастотного </w:t>
      </w:r>
      <w:r w:rsidRPr="00CA4C14">
        <w:rPr>
          <w:lang w:val="ru-RU"/>
        </w:rPr>
        <w:lastRenderedPageBreak/>
        <w:t>спектра и орбиты геостационарных спутников и других спутниковых орбит для служб радиосвязи;</w:t>
      </w:r>
    </w:p>
    <w:p w14:paraId="64FD2DBB" w14:textId="77777777" w:rsidR="008F5CF8" w:rsidRPr="00CA4C14" w:rsidRDefault="008F5CF8" w:rsidP="005D645A">
      <w:pPr>
        <w:pStyle w:val="enumlev1"/>
        <w:rPr>
          <w:lang w:val="ru-RU"/>
        </w:rPr>
      </w:pPr>
      <w:r w:rsidRPr="00CA4C14">
        <w:rPr>
          <w:lang w:val="ru-RU"/>
        </w:rPr>
        <w:t>–</w:t>
      </w:r>
      <w:r w:rsidRPr="00CA4C14">
        <w:rPr>
          <w:lang w:val="ru-RU"/>
        </w:rPr>
        <w:tab/>
        <w:t>облегчает международную стандартизацию электросвязи с удовлетворительным качеством обслуживания;</w:t>
      </w:r>
    </w:p>
    <w:p w14:paraId="5FD05099" w14:textId="77777777" w:rsidR="008F5CF8" w:rsidRPr="00CA4C14" w:rsidRDefault="008F5CF8" w:rsidP="005D645A">
      <w:pPr>
        <w:pStyle w:val="enumlev1"/>
        <w:rPr>
          <w:lang w:val="ru-RU"/>
        </w:rPr>
      </w:pPr>
      <w:r w:rsidRPr="00CA4C14">
        <w:rPr>
          <w:lang w:val="ru-RU"/>
        </w:rPr>
        <w:t>–</w:t>
      </w:r>
      <w:r w:rsidRPr="00CA4C14">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14:paraId="55B0EC7A" w14:textId="77777777" w:rsidR="008F5CF8" w:rsidRPr="00CA4C14" w:rsidRDefault="008F5CF8" w:rsidP="005D645A">
      <w:pPr>
        <w:pStyle w:val="enumlev1"/>
        <w:rPr>
          <w:lang w:val="ru-RU"/>
        </w:rPr>
      </w:pPr>
      <w:r w:rsidRPr="00CA4C14">
        <w:rPr>
          <w:lang w:val="ru-RU"/>
        </w:rPr>
        <w:t>–</w:t>
      </w:r>
      <w:r w:rsidRPr="00CA4C14">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14:paraId="7F6CD790" w14:textId="77777777" w:rsidR="008F5CF8" w:rsidRPr="00CA4C14" w:rsidRDefault="008F5CF8" w:rsidP="005D645A">
      <w:pPr>
        <w:pStyle w:val="enumlev1"/>
        <w:rPr>
          <w:lang w:val="ru-RU"/>
        </w:rPr>
      </w:pPr>
      <w:r w:rsidRPr="00CA4C14">
        <w:rPr>
          <w:lang w:val="ru-RU"/>
        </w:rPr>
        <w:t>–</w:t>
      </w:r>
      <w:r w:rsidRPr="00CA4C14">
        <w:rPr>
          <w:lang w:val="ru-RU"/>
        </w:rPr>
        <w:tab/>
        <w:t>поощряет сотрудничество между Государствами-Членами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14:paraId="0D96A7F3" w14:textId="77777777" w:rsidR="008F5CF8" w:rsidRPr="00CA4C14" w:rsidRDefault="008F5CF8" w:rsidP="005D645A">
      <w:pPr>
        <w:pStyle w:val="enumlev1"/>
        <w:rPr>
          <w:lang w:val="ru-RU"/>
        </w:rPr>
      </w:pPr>
      <w:r w:rsidRPr="00CA4C14">
        <w:rPr>
          <w:lang w:val="ru-RU"/>
        </w:rPr>
        <w:t>–</w:t>
      </w:r>
      <w:r w:rsidRPr="00CA4C14">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14:paraId="67B5D9D6" w14:textId="77777777" w:rsidR="008F5CF8" w:rsidRPr="00CA4C14" w:rsidRDefault="008F5CF8" w:rsidP="005D645A">
      <w:pPr>
        <w:pStyle w:val="enumlev1"/>
        <w:rPr>
          <w:lang w:val="ru-RU"/>
        </w:rPr>
      </w:pPr>
      <w:r w:rsidRPr="00CA4C14">
        <w:rPr>
          <w:lang w:val="ru-RU"/>
        </w:rPr>
        <w:t>–</w:t>
      </w:r>
      <w:r w:rsidRPr="00CA4C14">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14:paraId="4672C84C" w14:textId="77777777" w:rsidR="008F5CF8" w:rsidRPr="00CA4C14" w:rsidRDefault="008F5CF8" w:rsidP="005D645A">
      <w:pPr>
        <w:pStyle w:val="enumlev1"/>
        <w:rPr>
          <w:lang w:val="ru-RU"/>
        </w:rPr>
      </w:pPr>
      <w:r w:rsidRPr="00CA4C14">
        <w:rPr>
          <w:lang w:val="ru-RU"/>
        </w:rPr>
        <w:t>–</w:t>
      </w:r>
      <w:r w:rsidRPr="00CA4C14">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14:paraId="3C7AF87B" w14:textId="77777777" w:rsidR="008F5CF8" w:rsidRPr="00CA4C14" w:rsidRDefault="008F5CF8" w:rsidP="005D645A">
      <w:pPr>
        <w:pStyle w:val="enumlev1"/>
        <w:rPr>
          <w:lang w:val="ru-RU"/>
        </w:rPr>
      </w:pPr>
      <w:r w:rsidRPr="00CA4C14">
        <w:rPr>
          <w:lang w:val="ru-RU"/>
        </w:rPr>
        <w:t>–</w:t>
      </w:r>
      <w:r w:rsidRPr="00CA4C14">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14:paraId="549B5D99" w14:textId="77777777" w:rsidR="008F5CF8" w:rsidRPr="00CA4C14" w:rsidRDefault="008F5CF8" w:rsidP="003B0954">
      <w:pPr>
        <w:keepNext/>
        <w:keepLines/>
        <w:rPr>
          <w:lang w:val="ru-RU"/>
        </w:rPr>
      </w:pPr>
      <w:r w:rsidRPr="00CA4C14">
        <w:rPr>
          <w:lang w:val="ru-RU"/>
        </w:rPr>
        <w:t>Высшим органом МСЭ является Полномочная конференция. Конференция, созываемая один раз в четыре года:</w:t>
      </w:r>
    </w:p>
    <w:p w14:paraId="6762AB65" w14:textId="77777777" w:rsidR="008F5CF8" w:rsidRPr="00CA4C14" w:rsidRDefault="008F5CF8" w:rsidP="005D645A">
      <w:pPr>
        <w:pStyle w:val="enumlev1"/>
        <w:rPr>
          <w:lang w:val="ru-RU"/>
        </w:rPr>
      </w:pPr>
      <w:r w:rsidRPr="00CA4C14">
        <w:rPr>
          <w:lang w:val="ru-RU"/>
        </w:rPr>
        <w:t>•</w:t>
      </w:r>
      <w:r w:rsidRPr="00CA4C14">
        <w:rPr>
          <w:lang w:val="ru-RU"/>
        </w:rPr>
        <w:tab/>
        <w:t>определяет общую политика Союза;</w:t>
      </w:r>
    </w:p>
    <w:p w14:paraId="4F562259" w14:textId="77777777" w:rsidR="008F5CF8" w:rsidRPr="00CA4C14" w:rsidRDefault="008F5CF8" w:rsidP="005D645A">
      <w:pPr>
        <w:pStyle w:val="enumlev1"/>
        <w:rPr>
          <w:lang w:val="ru-RU"/>
        </w:rPr>
      </w:pPr>
      <w:r w:rsidRPr="00CA4C14">
        <w:rPr>
          <w:lang w:val="ru-RU"/>
        </w:rPr>
        <w:t>•</w:t>
      </w:r>
      <w:r w:rsidRPr="00CA4C14">
        <w:rPr>
          <w:lang w:val="ru-RU"/>
        </w:rPr>
        <w:tab/>
        <w:t>принимает четырехгодичные стратегические и финансовые планы;</w:t>
      </w:r>
    </w:p>
    <w:p w14:paraId="3670964F" w14:textId="77777777" w:rsidR="008F5CF8" w:rsidRPr="00CA4C14" w:rsidRDefault="008F5CF8" w:rsidP="00FD6A21">
      <w:pPr>
        <w:pStyle w:val="enumlev1"/>
        <w:rPr>
          <w:lang w:val="ru-RU"/>
        </w:rPr>
      </w:pPr>
      <w:r w:rsidRPr="00CA4C14">
        <w:rPr>
          <w:lang w:val="ru-RU"/>
        </w:rPr>
        <w:t>•</w:t>
      </w:r>
      <w:r w:rsidRPr="00CA4C14">
        <w:rPr>
          <w:lang w:val="ru-RU"/>
        </w:rPr>
        <w:tab/>
        <w:t>рассматривает счета Союза и при необходимости окончательно утверждает их;</w:t>
      </w:r>
    </w:p>
    <w:p w14:paraId="184336B5" w14:textId="77777777" w:rsidR="008F5CF8" w:rsidRPr="00CA4C14" w:rsidRDefault="008F5CF8" w:rsidP="005D645A">
      <w:pPr>
        <w:pStyle w:val="enumlev1"/>
        <w:rPr>
          <w:lang w:val="ru-RU"/>
        </w:rPr>
      </w:pPr>
      <w:r w:rsidRPr="00CA4C14">
        <w:rPr>
          <w:lang w:val="ru-RU"/>
        </w:rPr>
        <w:t>•</w:t>
      </w:r>
      <w:r w:rsidRPr="00CA4C14">
        <w:rPr>
          <w:lang w:val="ru-RU"/>
        </w:rPr>
        <w:tab/>
        <w:t>избирает Государства-Члены в состав Совета;</w:t>
      </w:r>
    </w:p>
    <w:p w14:paraId="659687B5" w14:textId="77777777" w:rsidR="008F5CF8" w:rsidRPr="00CA4C14" w:rsidRDefault="008F5CF8" w:rsidP="005D645A">
      <w:pPr>
        <w:pStyle w:val="enumlev1"/>
        <w:rPr>
          <w:lang w:val="ru-RU"/>
        </w:rPr>
      </w:pPr>
      <w:r w:rsidRPr="00CA4C14">
        <w:rPr>
          <w:lang w:val="ru-RU"/>
        </w:rPr>
        <w:t>•</w:t>
      </w:r>
      <w:r w:rsidRPr="00CA4C14">
        <w:rPr>
          <w:lang w:val="ru-RU"/>
        </w:rPr>
        <w:tab/>
      </w:r>
      <w:bookmarkStart w:id="115" w:name="lt_pId360"/>
      <w:r w:rsidRPr="00CA4C14">
        <w:rPr>
          <w:lang w:val="ru-RU"/>
        </w:rPr>
        <w:t xml:space="preserve">избирает Генерального секретаря, заместителя Генерального секретаря и Директоров Бюро Секторов в качестве избираемых должностных лиц Союза; </w:t>
      </w:r>
      <w:bookmarkEnd w:id="115"/>
      <w:r w:rsidRPr="00CA4C14">
        <w:rPr>
          <w:lang w:val="ru-RU"/>
        </w:rPr>
        <w:t>и</w:t>
      </w:r>
    </w:p>
    <w:p w14:paraId="5AE10F4E" w14:textId="77777777" w:rsidR="008F5CF8" w:rsidRPr="00CA4C14" w:rsidRDefault="008F5CF8" w:rsidP="005D645A">
      <w:pPr>
        <w:pStyle w:val="enumlev1"/>
        <w:rPr>
          <w:b/>
          <w:lang w:val="ru-RU"/>
        </w:rPr>
      </w:pPr>
      <w:r w:rsidRPr="00CA4C14">
        <w:rPr>
          <w:lang w:val="ru-RU"/>
        </w:rPr>
        <w:t>•</w:t>
      </w:r>
      <w:r w:rsidRPr="00CA4C14">
        <w:rPr>
          <w:lang w:val="ru-RU"/>
        </w:rPr>
        <w:tab/>
        <w:t xml:space="preserve">избирает членов </w:t>
      </w:r>
      <w:hyperlink r:id="rId22" w:history="1">
        <w:r w:rsidRPr="00CA4C14">
          <w:rPr>
            <w:rStyle w:val="Hyperlink"/>
            <w:lang w:val="ru-RU"/>
          </w:rPr>
          <w:t>Радиорегламентарного комитета</w:t>
        </w:r>
      </w:hyperlink>
      <w:r w:rsidRPr="00CA4C14">
        <w:rPr>
          <w:lang w:val="ru-RU"/>
        </w:rPr>
        <w:t>.</w:t>
      </w:r>
    </w:p>
    <w:p w14:paraId="07151A67" w14:textId="77777777" w:rsidR="008F5CF8" w:rsidRPr="00CA4C14" w:rsidRDefault="008F5CF8" w:rsidP="005D645A">
      <w:pPr>
        <w:rPr>
          <w:lang w:val="ru-RU"/>
        </w:rPr>
      </w:pPr>
      <w:r w:rsidRPr="00CA4C14">
        <w:rPr>
          <w:lang w:val="ru-RU"/>
        </w:rPr>
        <w:t>Полномочная конференция </w:t>
      </w:r>
      <w:proofErr w:type="gramStart"/>
      <w:r w:rsidRPr="00CA4C14">
        <w:rPr>
          <w:lang w:val="ru-RU"/>
        </w:rPr>
        <w:t>− это основное мероприятие</w:t>
      </w:r>
      <w:proofErr w:type="gramEnd"/>
      <w:r w:rsidRPr="00CA4C14">
        <w:rPr>
          <w:lang w:val="ru-RU"/>
        </w:rPr>
        <w:t xml:space="preserve">,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14:paraId="4FA28695" w14:textId="77777777" w:rsidR="008F5CF8" w:rsidRPr="00CA4C14" w:rsidRDefault="008F5CF8" w:rsidP="00FD6A21">
      <w:pPr>
        <w:keepNext/>
        <w:rPr>
          <w:lang w:val="ru-RU"/>
        </w:rPr>
      </w:pPr>
      <w:r w:rsidRPr="00CA4C14">
        <w:rPr>
          <w:lang w:val="ru-RU"/>
        </w:rPr>
        <w:t xml:space="preserve">В соответствии со Статьей 10 Устава, Совет состоит из Государств-Членов, избираемых Полномочной конференцией в соответствии с положениями п. 61 данного Устава. В период </w:t>
      </w:r>
      <w:r w:rsidRPr="00CA4C14">
        <w:rPr>
          <w:lang w:val="ru-RU"/>
        </w:rPr>
        <w:lastRenderedPageBreak/>
        <w:t>между Полномочными конференциями Совет действует в качестве руководящего органа Союза от имени Полномочной конференции в пределах прав, предоставленных ему последней:</w:t>
      </w:r>
    </w:p>
    <w:p w14:paraId="2911DF91" w14:textId="1D957D98" w:rsidR="008F5CF8" w:rsidRPr="00CA4C14" w:rsidRDefault="008F5CF8" w:rsidP="003908FB">
      <w:pPr>
        <w:pStyle w:val="enumlev1"/>
        <w:rPr>
          <w:lang w:val="ru-RU"/>
        </w:rPr>
      </w:pPr>
      <w:r w:rsidRPr="00CA4C14">
        <w:rPr>
          <w:lang w:val="ru-RU"/>
        </w:rPr>
        <w:t>I</w:t>
      </w:r>
      <w:r w:rsidRPr="00CA4C14">
        <w:rPr>
          <w:lang w:val="ru-RU"/>
        </w:rPr>
        <w:tab/>
        <w:t>Совет принимает все меры для облегчения исполнения Государствами-Членами положений настоящего Устава, Конвенции, Административных регламентов, решений Полномочной конференции и, в соответствующих случаях, решений других конференций и собраний Союза, а также выполняет все другие задачи, возложенные на него Полномочной конференцией;</w:t>
      </w:r>
    </w:p>
    <w:p w14:paraId="2DBA848F" w14:textId="0B000365" w:rsidR="008F5CF8" w:rsidRPr="00CA4C14" w:rsidRDefault="008F5CF8" w:rsidP="003908FB">
      <w:pPr>
        <w:pStyle w:val="enumlev1"/>
        <w:rPr>
          <w:lang w:val="ru-RU"/>
        </w:rPr>
      </w:pPr>
      <w:proofErr w:type="gramStart"/>
      <w:r w:rsidRPr="00CA4C14">
        <w:rPr>
          <w:lang w:val="ru-RU"/>
        </w:rPr>
        <w:t>II</w:t>
      </w:r>
      <w:proofErr w:type="gramEnd"/>
      <w:r w:rsidRPr="00CA4C14">
        <w:rPr>
          <w:lang w:val="ru-RU"/>
        </w:rPr>
        <w:tab/>
        <w:t>руководствуясь общими указаниями Полномочной конференции, Совет рассматривает широкий круг вопросов политики в области электросвязи, с тем чтобы политический курс и стратегия Союза полностью учитывали изменения в среде электросвязи. Совет составляет отчет по политике и по стратегическому планированию, которые рекомендуются Союзу, а также по их финансовым последствиям, используя конкретные данные, подготовленные Генеральным секретарем согласно п. 74А, ниже;</w:t>
      </w:r>
    </w:p>
    <w:p w14:paraId="677C3558" w14:textId="1A8EDEA2" w:rsidR="008F5CF8" w:rsidRPr="00CA4C14" w:rsidRDefault="008F5CF8" w:rsidP="003908FB">
      <w:pPr>
        <w:pStyle w:val="enumlev1"/>
        <w:rPr>
          <w:lang w:val="ru-RU"/>
        </w:rPr>
      </w:pPr>
      <w:r w:rsidRPr="00CA4C14">
        <w:rPr>
          <w:lang w:val="ru-RU"/>
        </w:rPr>
        <w:t>III</w:t>
      </w:r>
      <w:r w:rsidRPr="00CA4C14">
        <w:rPr>
          <w:lang w:val="ru-RU"/>
        </w:rPr>
        <w:tab/>
        <w:t>он обеспечивает эффективную координацию деятельности Союза и осуществляет эффективный финансовый контроль за Генеральным секретариатом и тремя Секторами; и</w:t>
      </w:r>
    </w:p>
    <w:p w14:paraId="2317512E" w14:textId="75FFB561" w:rsidR="008F5CF8" w:rsidRPr="00CA4C14" w:rsidRDefault="008F5CF8" w:rsidP="003908FB">
      <w:pPr>
        <w:pStyle w:val="enumlev1"/>
        <w:rPr>
          <w:lang w:val="ru-RU"/>
        </w:rPr>
      </w:pPr>
      <w:r w:rsidRPr="00CA4C14">
        <w:rPr>
          <w:lang w:val="ru-RU"/>
        </w:rPr>
        <w:t>IV</w:t>
      </w:r>
      <w:r w:rsidRPr="00CA4C14">
        <w:rPr>
          <w:lang w:val="ru-RU"/>
        </w:rPr>
        <w:tab/>
        <w:t>в соответствии с целями Союза он содействует развитию электросвязи в развивающихся странах всеми имеющимися в его распоряжении средствами, в том числе путем участия Союза в соответствующих программах Организации Объединенных Наций.</w:t>
      </w:r>
    </w:p>
    <w:p w14:paraId="50920DE1" w14:textId="77777777" w:rsidR="008F5CF8" w:rsidRPr="00CA4C14" w:rsidRDefault="008F5CF8" w:rsidP="003908FB">
      <w:pPr>
        <w:rPr>
          <w:lang w:val="ru-RU"/>
        </w:rPr>
      </w:pPr>
      <w:r w:rsidRPr="00CA4C14">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Организация Объединенных Наций и ее специализированные учреждения.</w:t>
      </w:r>
    </w:p>
    <w:p w14:paraId="0E2B451C" w14:textId="77777777" w:rsidR="008F5CF8" w:rsidRPr="00CA4C14" w:rsidRDefault="008F5CF8" w:rsidP="00FD6A21">
      <w:pPr>
        <w:keepNext/>
        <w:keepLines/>
        <w:rPr>
          <w:lang w:val="ru-RU"/>
        </w:rPr>
      </w:pPr>
      <w:r w:rsidRPr="00CA4C14">
        <w:rPr>
          <w:lang w:val="ru-RU"/>
        </w:rPr>
        <w:t>По итогам 2023 года МСЭ принял энергичные меры, целями которых являлись:</w:t>
      </w:r>
    </w:p>
    <w:p w14:paraId="2D070AE1" w14:textId="7F07A2B6" w:rsidR="008F5CF8" w:rsidRPr="00CA4C14" w:rsidRDefault="008F5CF8" w:rsidP="003908FB">
      <w:pPr>
        <w:pStyle w:val="enumlev1"/>
        <w:rPr>
          <w:rFonts w:eastAsia="Avenir"/>
          <w:lang w:val="ru-RU"/>
        </w:rPr>
      </w:pPr>
      <w:r w:rsidRPr="00CA4C14">
        <w:rPr>
          <w:rFonts w:eastAsia="Avenir"/>
          <w:bCs/>
          <w:lang w:val="ru-RU"/>
        </w:rPr>
        <w:t>1</w:t>
      </w:r>
      <w:r w:rsidRPr="00CA4C14">
        <w:rPr>
          <w:rFonts w:eastAsia="Avenir"/>
          <w:bCs/>
          <w:lang w:val="ru-RU"/>
        </w:rPr>
        <w:tab/>
      </w:r>
      <w:r w:rsidRPr="00CA4C14">
        <w:rPr>
          <w:rFonts w:eastAsia="Avenir"/>
          <w:b/>
          <w:lang w:val="ru-RU"/>
        </w:rPr>
        <w:t>Охват цифровыми технологиями и цифровая трансформация</w:t>
      </w:r>
      <w:r w:rsidRPr="00CA4C14">
        <w:rPr>
          <w:rFonts w:eastAsia="Avenir"/>
          <w:lang w:val="ru-RU"/>
        </w:rPr>
        <w:t>. Невзирая на стремительный прогресс в области ИИ и вычислительных технологий, доступа к интернету по-прежнему не имеют 2,6 миллиарда человек; при этом сохраняется неравенство по различным демографическим и географическим признакам. МСЭ сосредоточил внимание на поиске комплексных решений, позволяющих обеспечить глобальную возможность установления соединений.</w:t>
      </w:r>
    </w:p>
    <w:p w14:paraId="02392D10" w14:textId="62FA2AE2" w:rsidR="008F5CF8" w:rsidRPr="00CA4C14" w:rsidRDefault="008F5CF8" w:rsidP="003908FB">
      <w:pPr>
        <w:pStyle w:val="enumlev1"/>
        <w:rPr>
          <w:rFonts w:asciiTheme="minorHAnsi" w:eastAsia="Avenir" w:hAnsiTheme="minorHAnsi" w:cstheme="minorHAnsi"/>
          <w:color w:val="2F2F2F"/>
          <w:szCs w:val="24"/>
          <w:lang w:val="ru-RU"/>
        </w:rPr>
      </w:pPr>
      <w:r w:rsidRPr="00CA4C14">
        <w:rPr>
          <w:rFonts w:eastAsia="Avenir"/>
          <w:bCs/>
          <w:lang w:val="ru-RU"/>
        </w:rPr>
        <w:t>2</w:t>
      </w:r>
      <w:r w:rsidRPr="00CA4C14">
        <w:rPr>
          <w:rFonts w:eastAsia="Avenir"/>
          <w:bCs/>
          <w:lang w:val="ru-RU"/>
        </w:rPr>
        <w:tab/>
      </w:r>
      <w:r w:rsidRPr="00CA4C14">
        <w:rPr>
          <w:rFonts w:asciiTheme="minorHAnsi" w:eastAsia="Avenir" w:hAnsiTheme="minorHAnsi" w:cstheme="minorHAnsi"/>
          <w:b/>
          <w:color w:val="2F2F2F"/>
          <w:szCs w:val="24"/>
          <w:lang w:val="ru-RU"/>
        </w:rPr>
        <w:t>Радиосвязь</w:t>
      </w:r>
      <w:r w:rsidRPr="00CA4C14">
        <w:rPr>
          <w:rFonts w:asciiTheme="minorHAnsi" w:eastAsia="Avenir" w:hAnsiTheme="minorHAnsi" w:cstheme="minorHAnsi"/>
          <w:color w:val="2F2F2F"/>
          <w:szCs w:val="24"/>
          <w:lang w:val="ru-RU"/>
        </w:rPr>
        <w:t>. Обновления, внесенные в Регламент радиосвязи на ВКР-23, позволили высвободить новые ресурсы спектра, что способствует внедрению технологических инноваций и расширению глобальной возможности установления соединений, с упором на обеспечение регламентарной стабильности и правовой определенности.</w:t>
      </w:r>
    </w:p>
    <w:p w14:paraId="668271B0" w14:textId="324C093A" w:rsidR="008F5CF8" w:rsidRPr="00CA4C14" w:rsidRDefault="008F5CF8" w:rsidP="003908FB">
      <w:pPr>
        <w:pStyle w:val="enumlev1"/>
        <w:rPr>
          <w:rFonts w:asciiTheme="minorHAnsi" w:eastAsia="Avenir" w:hAnsiTheme="minorHAnsi" w:cstheme="minorHAnsi"/>
          <w:color w:val="2F2F2F"/>
          <w:szCs w:val="24"/>
          <w:lang w:val="ru-RU"/>
        </w:rPr>
      </w:pPr>
      <w:r w:rsidRPr="00CA4C14">
        <w:rPr>
          <w:rFonts w:eastAsia="Avenir"/>
          <w:bCs/>
          <w:lang w:val="ru-RU"/>
        </w:rPr>
        <w:t>3</w:t>
      </w:r>
      <w:r w:rsidRPr="00CA4C14">
        <w:rPr>
          <w:rFonts w:eastAsia="Avenir"/>
          <w:bCs/>
          <w:lang w:val="ru-RU"/>
        </w:rPr>
        <w:tab/>
      </w:r>
      <w:r w:rsidRPr="00CA4C14">
        <w:rPr>
          <w:rFonts w:asciiTheme="minorHAnsi" w:eastAsia="Avenir" w:hAnsiTheme="minorHAnsi" w:cstheme="minorHAnsi"/>
          <w:b/>
          <w:color w:val="2F2F2F"/>
          <w:szCs w:val="24"/>
          <w:lang w:val="ru-RU"/>
        </w:rPr>
        <w:t>Стандарты в области использования ИИ и цифровых технологий</w:t>
      </w:r>
      <w:r w:rsidRPr="00CA4C14">
        <w:rPr>
          <w:rFonts w:asciiTheme="minorHAnsi" w:eastAsia="Avenir" w:hAnsiTheme="minorHAnsi" w:cstheme="minorHAnsi"/>
          <w:color w:val="2F2F2F"/>
          <w:szCs w:val="24"/>
          <w:lang w:val="ru-RU"/>
        </w:rPr>
        <w:t>. Растущее понимание важности стандартов определяет принципы управления ИИ и поддерживает цифровые преобразования в различных секторах, способствуя повышению их вклада в достижение Целей в области устойчивого развития (ЦУР).</w:t>
      </w:r>
    </w:p>
    <w:p w14:paraId="35505398" w14:textId="2A0AC9D8" w:rsidR="008F5CF8" w:rsidRPr="00CA4C14" w:rsidRDefault="008F5CF8" w:rsidP="003908FB">
      <w:pPr>
        <w:pStyle w:val="enumlev1"/>
        <w:rPr>
          <w:rFonts w:asciiTheme="minorHAnsi" w:eastAsia="Avenir" w:hAnsiTheme="minorHAnsi" w:cstheme="minorHAnsi"/>
          <w:color w:val="2F2F2F"/>
          <w:szCs w:val="24"/>
          <w:lang w:val="ru-RU"/>
        </w:rPr>
      </w:pPr>
      <w:r w:rsidRPr="00CA4C14">
        <w:rPr>
          <w:rFonts w:eastAsia="Avenir"/>
          <w:bCs/>
          <w:lang w:val="ru-RU"/>
        </w:rPr>
        <w:t>4</w:t>
      </w:r>
      <w:r w:rsidRPr="00CA4C14">
        <w:rPr>
          <w:rFonts w:eastAsia="Avenir"/>
          <w:bCs/>
          <w:lang w:val="ru-RU"/>
        </w:rPr>
        <w:tab/>
      </w:r>
      <w:r w:rsidRPr="00CA4C14">
        <w:rPr>
          <w:rFonts w:asciiTheme="minorHAnsi" w:eastAsia="Avenir" w:hAnsiTheme="minorHAnsi" w:cstheme="minorHAnsi"/>
          <w:b/>
          <w:color w:val="2F2F2F"/>
          <w:szCs w:val="24"/>
          <w:lang w:val="ru-RU"/>
        </w:rPr>
        <w:t>Развитие и цифровое равенство</w:t>
      </w:r>
      <w:r w:rsidRPr="00CA4C14">
        <w:rPr>
          <w:rFonts w:asciiTheme="minorHAnsi" w:eastAsia="Avenir" w:hAnsiTheme="minorHAnsi" w:cstheme="minorHAnsi"/>
          <w:color w:val="2F2F2F"/>
          <w:szCs w:val="24"/>
          <w:lang w:val="ru-RU"/>
        </w:rPr>
        <w:t>. МСЭ ищет решение проблеме усугубляющегося цифрового разрыва, в особенности в отношении доступа к технологиям 5G, поощряя разработку инклюзивной политики и развитие потенциала в целях содействия устойчивому развитию во всех его измерениях.</w:t>
      </w:r>
    </w:p>
    <w:p w14:paraId="65A3B2DA" w14:textId="16EF341F" w:rsidR="008F5CF8" w:rsidRPr="00CA4C14" w:rsidRDefault="008F5CF8" w:rsidP="003908FB">
      <w:pPr>
        <w:pStyle w:val="enumlev1"/>
        <w:rPr>
          <w:rFonts w:asciiTheme="minorHAnsi" w:eastAsia="Avenir" w:hAnsiTheme="minorHAnsi" w:cstheme="minorHAnsi"/>
          <w:color w:val="2F2F2F"/>
          <w:szCs w:val="24"/>
          <w:lang w:val="ru-RU"/>
        </w:rPr>
      </w:pPr>
      <w:r w:rsidRPr="00CA4C14">
        <w:rPr>
          <w:rFonts w:eastAsia="Avenir"/>
          <w:bCs/>
          <w:lang w:val="ru-RU"/>
        </w:rPr>
        <w:t>5</w:t>
      </w:r>
      <w:r w:rsidRPr="00CA4C14">
        <w:rPr>
          <w:rFonts w:eastAsia="Avenir"/>
          <w:bCs/>
          <w:lang w:val="ru-RU"/>
        </w:rPr>
        <w:tab/>
      </w:r>
      <w:r w:rsidRPr="00CA4C14">
        <w:rPr>
          <w:rFonts w:asciiTheme="minorHAnsi" w:eastAsia="Avenir" w:hAnsiTheme="minorHAnsi" w:cstheme="minorHAnsi"/>
          <w:b/>
          <w:color w:val="2F2F2F"/>
          <w:szCs w:val="24"/>
          <w:lang w:val="ru-RU"/>
        </w:rPr>
        <w:t>Соблюдение баланса между технологическими преимуществами и рисками</w:t>
      </w:r>
      <w:r w:rsidRPr="00CA4C14">
        <w:rPr>
          <w:rFonts w:asciiTheme="minorHAnsi" w:eastAsia="Avenir" w:hAnsiTheme="minorHAnsi" w:cstheme="minorHAnsi"/>
          <w:color w:val="2F2F2F"/>
          <w:szCs w:val="24"/>
          <w:lang w:val="ru-RU"/>
        </w:rPr>
        <w:t>. В</w:t>
      </w:r>
      <w:r w:rsidR="000F116B" w:rsidRPr="00CA4C14">
        <w:rPr>
          <w:rFonts w:asciiTheme="minorHAnsi" w:eastAsia="Avenir" w:hAnsiTheme="minorHAnsi" w:cstheme="minorHAnsi"/>
          <w:color w:val="2F2F2F"/>
          <w:szCs w:val="24"/>
          <w:lang w:val="ru-RU"/>
        </w:rPr>
        <w:t> </w:t>
      </w:r>
      <w:r w:rsidRPr="00CA4C14">
        <w:rPr>
          <w:rFonts w:asciiTheme="minorHAnsi" w:eastAsia="Avenir" w:hAnsiTheme="minorHAnsi" w:cstheme="minorHAnsi"/>
          <w:color w:val="2F2F2F"/>
          <w:szCs w:val="24"/>
          <w:lang w:val="ru-RU"/>
        </w:rPr>
        <w:t>разработанной МСЭ Программе ускорения "Цифровые технологии для ЦУР" подчеркивается потенциал ИИ по содействию достижению большинства целевых показателей ЦУР и поощряется ответственная разработка и внедрение в рамках таких инициатив как "ИИ во благо".</w:t>
      </w:r>
    </w:p>
    <w:p w14:paraId="54113DB8" w14:textId="1B604EAD" w:rsidR="008F5CF8" w:rsidRPr="00CA4C14" w:rsidRDefault="008F5CF8" w:rsidP="003908FB">
      <w:pPr>
        <w:pStyle w:val="enumlev1"/>
        <w:rPr>
          <w:rFonts w:asciiTheme="minorHAnsi" w:eastAsia="Avenir" w:hAnsiTheme="minorHAnsi" w:cstheme="minorHAnsi"/>
          <w:color w:val="2F2F2F"/>
          <w:szCs w:val="24"/>
          <w:lang w:val="ru-RU"/>
        </w:rPr>
      </w:pPr>
      <w:r w:rsidRPr="00CA4C14">
        <w:rPr>
          <w:rFonts w:eastAsia="Avenir"/>
          <w:bCs/>
          <w:lang w:val="ru-RU"/>
        </w:rPr>
        <w:lastRenderedPageBreak/>
        <w:t>6</w:t>
      </w:r>
      <w:r w:rsidRPr="00CA4C14">
        <w:rPr>
          <w:rFonts w:eastAsia="Avenir"/>
          <w:bCs/>
          <w:lang w:val="ru-RU"/>
        </w:rPr>
        <w:tab/>
      </w:r>
      <w:r w:rsidRPr="00CA4C14">
        <w:rPr>
          <w:rFonts w:asciiTheme="minorHAnsi" w:eastAsia="Avenir" w:hAnsiTheme="minorHAnsi" w:cstheme="minorHAnsi"/>
          <w:b/>
          <w:color w:val="2F2F2F"/>
          <w:szCs w:val="24"/>
          <w:lang w:val="ru-RU"/>
        </w:rPr>
        <w:t>Глобальное участие</w:t>
      </w:r>
      <w:r w:rsidRPr="00CA4C14">
        <w:rPr>
          <w:rFonts w:asciiTheme="minorHAnsi" w:eastAsia="Avenir" w:hAnsiTheme="minorHAnsi" w:cstheme="minorHAnsi"/>
          <w:color w:val="2F2F2F"/>
          <w:szCs w:val="24"/>
          <w:lang w:val="ru-RU"/>
        </w:rPr>
        <w:t>. Активное участие МСЭ в процессах и инициативах ООН подчеркивает его роль как ключевого игрока в глобальной цифровой политике и политике в области развития.</w:t>
      </w:r>
    </w:p>
    <w:p w14:paraId="3479A498" w14:textId="58B6F2BA" w:rsidR="008F5CF8" w:rsidRPr="00CA4C14" w:rsidRDefault="008F5CF8" w:rsidP="003908FB">
      <w:pPr>
        <w:pStyle w:val="enumlev1"/>
        <w:rPr>
          <w:rFonts w:asciiTheme="minorHAnsi" w:eastAsia="Avenir" w:hAnsiTheme="minorHAnsi" w:cstheme="minorHAnsi"/>
          <w:color w:val="2F2F2F"/>
          <w:szCs w:val="24"/>
          <w:lang w:val="ru-RU"/>
        </w:rPr>
      </w:pPr>
      <w:r w:rsidRPr="00CA4C14">
        <w:rPr>
          <w:rFonts w:eastAsia="Avenir"/>
          <w:bCs/>
          <w:lang w:val="ru-RU"/>
        </w:rPr>
        <w:t>7</w:t>
      </w:r>
      <w:r w:rsidRPr="00CA4C14">
        <w:rPr>
          <w:rFonts w:eastAsia="Avenir"/>
          <w:bCs/>
          <w:lang w:val="ru-RU"/>
        </w:rPr>
        <w:tab/>
      </w:r>
      <w:r w:rsidRPr="00CA4C14">
        <w:rPr>
          <w:rFonts w:asciiTheme="minorHAnsi" w:eastAsia="Avenir" w:hAnsiTheme="minorHAnsi" w:cstheme="minorHAnsi"/>
          <w:b/>
          <w:color w:val="2F2F2F"/>
          <w:szCs w:val="24"/>
          <w:lang w:val="ru-RU"/>
        </w:rPr>
        <w:t>Потенциал партнерства</w:t>
      </w:r>
      <w:r w:rsidRPr="00CA4C14">
        <w:rPr>
          <w:rFonts w:asciiTheme="minorHAnsi" w:eastAsia="Avenir" w:hAnsiTheme="minorHAnsi" w:cstheme="minorHAnsi"/>
          <w:color w:val="2F2F2F"/>
          <w:szCs w:val="24"/>
          <w:lang w:val="ru-RU"/>
        </w:rPr>
        <w:t>. МСЭ поощряет налаживание значимых партнерских связей в целях обеспечения универсальной возможности установления соединений и устойчивой цифровой трансформации в интересах преодоления глобального цифрового разрыва.</w:t>
      </w:r>
    </w:p>
    <w:p w14:paraId="39AC3283" w14:textId="77777777" w:rsidR="008F5CF8" w:rsidRPr="00CA4C14" w:rsidRDefault="008F5CF8" w:rsidP="00334590">
      <w:pPr>
        <w:pStyle w:val="Heading5"/>
        <w:rPr>
          <w:lang w:val="ru-RU"/>
        </w:rPr>
      </w:pPr>
      <w:bookmarkStart w:id="116" w:name="_Toc168578451"/>
      <w:r w:rsidRPr="00CA4C14">
        <w:rPr>
          <w:lang w:val="ru-RU"/>
        </w:rPr>
        <w:t>Примечание 2</w:t>
      </w:r>
      <w:r w:rsidRPr="00CA4C14">
        <w:rPr>
          <w:lang w:val="ru-RU"/>
        </w:rPr>
        <w:tab/>
        <w:t>Основа для подготовки и представления</w:t>
      </w:r>
      <w:bookmarkEnd w:id="116"/>
    </w:p>
    <w:p w14:paraId="1E1A9685" w14:textId="77777777" w:rsidR="008F5CF8" w:rsidRPr="00CA4C14" w:rsidRDefault="008F5CF8" w:rsidP="00D6498C">
      <w:pPr>
        <w:rPr>
          <w:rFonts w:eastAsia="Calibri" w:cs="Calibri"/>
          <w:lang w:val="ru-RU"/>
        </w:rPr>
      </w:pPr>
      <w:r w:rsidRPr="00CA4C14">
        <w:rPr>
          <w:lang w:val="ru-RU"/>
        </w:rPr>
        <w:t>Финансовая отчетность за 2023 год подготовлена с использованием метода начисления в соответствии с Международными стандартами финансовой отчетности для общественного сектора (IPSAS), разработанными и утвержденными Советом по Международным стандартам учета в государственном секторе (IPSASB). Финансовый год длится с января по декабрь. Отчетность подготавливалась на основании соглашения об исторических затратах.</w:t>
      </w:r>
    </w:p>
    <w:p w14:paraId="7D0D385D" w14:textId="77777777" w:rsidR="008F5CF8" w:rsidRPr="00CA4C14" w:rsidRDefault="008F5CF8" w:rsidP="00D6498C">
      <w:pPr>
        <w:rPr>
          <w:lang w:val="ru-RU"/>
        </w:rPr>
      </w:pPr>
      <w:r w:rsidRPr="00CA4C14">
        <w:rPr>
          <w:lang w:val="ru-RU"/>
        </w:rPr>
        <w:t>Финансовым регламентом и Финансовыми правилами МСЭ установлен двухгодичный бюджетный период; однако для наглядного сравнения с финансовой отчетностью за 2023 год бюджет на 2023 год представлен в Отчете V (Отчет о сопоставлении бюджета и фактических сумм) на ежегодной основе.</w:t>
      </w:r>
    </w:p>
    <w:p w14:paraId="7F3855FF" w14:textId="77777777" w:rsidR="008F5CF8" w:rsidRPr="00CA4C14" w:rsidRDefault="008F5CF8" w:rsidP="00D6498C">
      <w:pPr>
        <w:rPr>
          <w:lang w:val="ru-RU"/>
        </w:rPr>
      </w:pPr>
      <w:r w:rsidRPr="00CA4C14">
        <w:rPr>
          <w:lang w:val="ru-RU"/>
        </w:rPr>
        <w:t>Отчет о движении денежных средств (Отчет IV) подготовлен с использованием косвенного метода.</w:t>
      </w:r>
    </w:p>
    <w:p w14:paraId="2F480E8D" w14:textId="77777777" w:rsidR="008F5CF8" w:rsidRPr="00CA4C14" w:rsidRDefault="008F5CF8" w:rsidP="00D6498C">
      <w:pPr>
        <w:rPr>
          <w:lang w:val="ru-RU"/>
        </w:rPr>
      </w:pPr>
      <w:r w:rsidRPr="00CA4C14">
        <w:rPr>
          <w:lang w:val="ru-RU"/>
        </w:rPr>
        <w:t>МСЭ применил и выполнил требования согласно стандартам IPSAS, действующим на 1 января 2023 года; применяемые принципы бухгалтерской отчетности изложены в Примечании 3. Значения округлены до тысяч и выражены в миллионах и/или тысячах швейцарских франков, если не указано иное</w:t>
      </w:r>
      <w:r w:rsidRPr="00CA4C14">
        <w:rPr>
          <w:rFonts w:eastAsia="Calibri" w:cs="Calibri"/>
          <w:lang w:val="ru-RU"/>
        </w:rPr>
        <w:t>.</w:t>
      </w:r>
    </w:p>
    <w:p w14:paraId="7A62F4E3" w14:textId="77777777" w:rsidR="008F5CF8" w:rsidRPr="00CA4C14" w:rsidRDefault="008F5CF8" w:rsidP="00D6498C">
      <w:pPr>
        <w:rPr>
          <w:rFonts w:asciiTheme="minorHAnsi" w:hAnsiTheme="minorHAnsi" w:cstheme="minorBidi"/>
          <w:lang w:val="ru-RU"/>
        </w:rPr>
      </w:pPr>
      <w:r w:rsidRPr="00CA4C14">
        <w:rPr>
          <w:lang w:val="ru-RU"/>
        </w:rPr>
        <w:t>Подготовка</w:t>
      </w:r>
      <w:r w:rsidRPr="00CA4C14">
        <w:rPr>
          <w:rFonts w:eastAsia="SimSun"/>
          <w:lang w:val="ru-RU"/>
        </w:rPr>
        <w:t xml:space="preserve"> финансовой отчетности МСЭ велась на основе соображения о том, что Союз продолжит свою деятельность в непрерывном режиме, с учетом утвержденного бюджета, прогноза финансирования и разнообразия существующего и ожидаемого эффекта от неопределенности в отношении деятельности организации</w:t>
      </w:r>
      <w:r w:rsidRPr="00CA4C14">
        <w:rPr>
          <w:rFonts w:asciiTheme="minorHAnsi" w:eastAsia="SimSun" w:hAnsiTheme="minorHAnsi" w:cstheme="minorBidi"/>
          <w:lang w:val="ru-RU"/>
        </w:rPr>
        <w:t>.</w:t>
      </w:r>
    </w:p>
    <w:p w14:paraId="4159951C" w14:textId="77777777" w:rsidR="008F5CF8" w:rsidRPr="00CA4C14" w:rsidRDefault="008F5CF8" w:rsidP="000802E0">
      <w:pPr>
        <w:pStyle w:val="Headingb"/>
        <w:rPr>
          <w:rFonts w:eastAsia="Calibri"/>
          <w:lang w:val="ru-RU"/>
        </w:rPr>
      </w:pPr>
      <w:r w:rsidRPr="00CA4C14">
        <w:rPr>
          <w:rFonts w:eastAsia="Calibri"/>
          <w:lang w:val="ru-RU"/>
        </w:rPr>
        <w:t>Пересчеты и изменения в представлении или классификации статей</w:t>
      </w:r>
    </w:p>
    <w:p w14:paraId="24BA3BB3" w14:textId="5F81C489" w:rsidR="008F5CF8" w:rsidRPr="00CA4C14" w:rsidRDefault="008F5CF8" w:rsidP="000802E0">
      <w:pPr>
        <w:rPr>
          <w:lang w:val="ru-RU"/>
        </w:rPr>
      </w:pPr>
      <w:r w:rsidRPr="00CA4C14">
        <w:rPr>
          <w:lang w:val="ru-RU"/>
        </w:rPr>
        <w:t>Изменение в чистой приведенной стоимости займа, напрямую отраженное в Отчете об изменениях в чистых активах в рамках Отчета о финансовой деятельности, было включено в Отчет о результатах финансовой деятельности за 2023 год. В итоге были пересчитаны Отчет о</w:t>
      </w:r>
      <w:r w:rsidR="000F116B" w:rsidRPr="00CA4C14">
        <w:rPr>
          <w:lang w:val="ru-RU"/>
        </w:rPr>
        <w:t> </w:t>
      </w:r>
      <w:r w:rsidRPr="00CA4C14">
        <w:rPr>
          <w:lang w:val="ru-RU"/>
        </w:rPr>
        <w:t>движении средств и Примечание 21 "Доходы/(затраты) от финансовой деятельности".</w:t>
      </w:r>
    </w:p>
    <w:p w14:paraId="1791046B" w14:textId="77777777" w:rsidR="008F5CF8" w:rsidRPr="00CA4C14" w:rsidRDefault="008F5CF8" w:rsidP="003E0FF8">
      <w:pPr>
        <w:keepNext/>
        <w:keepLines/>
        <w:rPr>
          <w:lang w:val="ru-RU"/>
        </w:rPr>
      </w:pPr>
      <w:r w:rsidRPr="00CA4C14">
        <w:rPr>
          <w:lang w:val="ru-RU"/>
        </w:rPr>
        <w:t xml:space="preserve">Для повышения качества представления и обеспечения соответствия требованиям по раскрытию информации для текущего финансового года и другим требованиям, приведенная ниже сравнительная информация была </w:t>
      </w:r>
      <w:proofErr w:type="spellStart"/>
      <w:r w:rsidRPr="00CA4C14">
        <w:rPr>
          <w:lang w:val="ru-RU"/>
        </w:rPr>
        <w:t>переклассифицирована</w:t>
      </w:r>
      <w:proofErr w:type="spellEnd"/>
      <w:r w:rsidRPr="00CA4C14">
        <w:rPr>
          <w:lang w:val="ru-RU"/>
        </w:rPr>
        <w:t xml:space="preserve"> или представлена в ином виде:</w:t>
      </w:r>
    </w:p>
    <w:p w14:paraId="31632DCD" w14:textId="77777777" w:rsidR="008F5CF8" w:rsidRPr="00CA4C14" w:rsidRDefault="008F5CF8" w:rsidP="000802E0">
      <w:pPr>
        <w:pStyle w:val="enumlev1"/>
        <w:rPr>
          <w:lang w:val="ru-RU"/>
        </w:rPr>
      </w:pPr>
      <w:r w:rsidRPr="00CA4C14">
        <w:rPr>
          <w:lang w:val="ru-RU"/>
        </w:rPr>
        <w:t>•</w:t>
      </w:r>
      <w:r w:rsidRPr="00CA4C14">
        <w:rPr>
          <w:rFonts w:eastAsia="SimSun"/>
          <w:lang w:val="ru-RU"/>
        </w:rPr>
        <w:tab/>
      </w:r>
      <w:r w:rsidRPr="00CA4C14">
        <w:rPr>
          <w:lang w:val="ru-RU"/>
        </w:rPr>
        <w:t xml:space="preserve">Строка "Доходы будущих периодов" (10,8 млн. шв. фр. в 2022 г.) была разбита на "Обработка заявок на регистрацию спутниковых сетей" (5,1 млн. шв. фр. в 2022 г.) и "Спонсорство на строительство нового здания" (4,9 млн. шв. фр.); строка "Взносы − внебюджетные" (0,798 млн. шв. фр.) была </w:t>
      </w:r>
      <w:proofErr w:type="spellStart"/>
      <w:r w:rsidRPr="00CA4C14">
        <w:rPr>
          <w:lang w:val="ru-RU"/>
        </w:rPr>
        <w:t>переклассифицирована</w:t>
      </w:r>
      <w:proofErr w:type="spellEnd"/>
      <w:r w:rsidRPr="00CA4C14">
        <w:rPr>
          <w:lang w:val="ru-RU"/>
        </w:rPr>
        <w:t xml:space="preserve"> как "Внебюджетные средства" в строке "Средства третьих сторон, которые будут получены" (Примечание 20 "Внебюджетные средства"). Такие средства относятся к соглашениям, подписанным и выставленным в 2023 году, сбор по которым ожидается в 2024 году.</w:t>
      </w:r>
    </w:p>
    <w:p w14:paraId="44E0DC67" w14:textId="77777777" w:rsidR="008F5CF8" w:rsidRPr="00CA4C14" w:rsidRDefault="008F5CF8" w:rsidP="000802E0">
      <w:pPr>
        <w:pStyle w:val="enumlev1"/>
        <w:rPr>
          <w:lang w:val="ru-RU"/>
        </w:rPr>
      </w:pPr>
      <w:r w:rsidRPr="00CA4C14">
        <w:rPr>
          <w:lang w:val="ru-RU"/>
        </w:rPr>
        <w:t>•</w:t>
      </w:r>
      <w:r w:rsidRPr="00CA4C14">
        <w:rPr>
          <w:lang w:val="ru-RU"/>
        </w:rPr>
        <w:tab/>
        <w:t>Строка "Целевые средства третьих сторон" (35,4 </w:t>
      </w:r>
      <w:proofErr w:type="gramStart"/>
      <w:r w:rsidRPr="00CA4C14">
        <w:rPr>
          <w:lang w:val="ru-RU"/>
        </w:rPr>
        <w:t>млн.</w:t>
      </w:r>
      <w:proofErr w:type="gramEnd"/>
      <w:r w:rsidRPr="00CA4C14">
        <w:rPr>
          <w:lang w:val="ru-RU"/>
        </w:rPr>
        <w:t xml:space="preserve"> шв. фр. в 2022 г.), включенная в Примечание 20 "Внебюджетные средства", была разбита на </w:t>
      </w:r>
      <w:proofErr w:type="spellStart"/>
      <w:r w:rsidRPr="00CA4C14">
        <w:rPr>
          <w:lang w:val="ru-RU"/>
        </w:rPr>
        <w:t>нетекущую</w:t>
      </w:r>
      <w:proofErr w:type="spellEnd"/>
      <w:r w:rsidRPr="00CA4C14">
        <w:rPr>
          <w:lang w:val="ru-RU"/>
        </w:rPr>
        <w:t xml:space="preserve"> и текущую части, составляющие 12,6 млн. швейцарских франков и 22,8 млн. швейцарских франков, соответственно.</w:t>
      </w:r>
    </w:p>
    <w:p w14:paraId="01742779" w14:textId="77777777" w:rsidR="008F5CF8" w:rsidRPr="00CA4C14" w:rsidRDefault="008F5CF8" w:rsidP="000802E0">
      <w:pPr>
        <w:pStyle w:val="enumlev1"/>
        <w:rPr>
          <w:lang w:val="ru-RU"/>
        </w:rPr>
      </w:pPr>
      <w:r w:rsidRPr="00CA4C14">
        <w:rPr>
          <w:lang w:val="ru-RU"/>
        </w:rPr>
        <w:lastRenderedPageBreak/>
        <w:t>•</w:t>
      </w:r>
      <w:r w:rsidRPr="00CA4C14">
        <w:rPr>
          <w:lang w:val="ru-RU"/>
        </w:rPr>
        <w:tab/>
        <w:t>В рамках "Доходов от финансовой деятельности" Примечание 21 "Убытки, понесенные от курсовой разницы" (1,0 млн. шв. фр. в 2022 г.) были разбиты на "Полученные курсовые прибыли по инвестициям" на сумму 1,9 млн. швейцарских франков и "Курсовые убытки, понесенные по операциям" на сумму 3,0 млн. швейцарских франков. Такая разбивка позволяет по отдельности представить воздействие реализованных валютных операций на инвестиции и на регулярную операционную деятельность.</w:t>
      </w:r>
    </w:p>
    <w:p w14:paraId="601B0E71" w14:textId="7FDD7228" w:rsidR="008F5CF8" w:rsidRPr="00CA4C14" w:rsidRDefault="008F5CF8" w:rsidP="000802E0">
      <w:pPr>
        <w:rPr>
          <w:rFonts w:asciiTheme="minorHAnsi" w:eastAsia="Calibri" w:hAnsiTheme="minorHAnsi" w:cstheme="minorBidi"/>
          <w:lang w:val="ru-RU"/>
        </w:rPr>
      </w:pPr>
      <w:r w:rsidRPr="00CA4C14">
        <w:rPr>
          <w:rFonts w:asciiTheme="minorHAnsi" w:eastAsia="Calibri" w:hAnsiTheme="minorHAnsi" w:cstheme="minorBidi"/>
          <w:lang w:val="ru-RU"/>
        </w:rPr>
        <w:t>Кроме того, "</w:t>
      </w:r>
      <w:r w:rsidR="00492C61" w:rsidRPr="00CA4C14">
        <w:rPr>
          <w:rFonts w:asciiTheme="minorHAnsi" w:eastAsia="Calibri" w:hAnsiTheme="minorHAnsi" w:cstheme="minorBidi"/>
          <w:lang w:val="ru-RU"/>
        </w:rPr>
        <w:t>Активы на этапе строительства</w:t>
      </w:r>
      <w:r w:rsidRPr="00CA4C14">
        <w:rPr>
          <w:rFonts w:asciiTheme="minorHAnsi" w:eastAsia="Calibri" w:hAnsiTheme="minorHAnsi" w:cstheme="minorBidi"/>
          <w:lang w:val="ru-RU"/>
        </w:rPr>
        <w:t>" были разбиты так, чтобы отдельно раскрыть информацию о суммах понесенных затрат по проекту строительства нового здания.</w:t>
      </w:r>
    </w:p>
    <w:p w14:paraId="0905FBD1" w14:textId="77777777" w:rsidR="008F5CF8" w:rsidRPr="00CA4C14" w:rsidRDefault="008F5CF8" w:rsidP="000802E0">
      <w:pPr>
        <w:pStyle w:val="Headingb"/>
        <w:rPr>
          <w:rFonts w:eastAsia="Calibri" w:cs="Calibri"/>
          <w:b w:val="0"/>
          <w:bCs/>
          <w:szCs w:val="24"/>
          <w:lang w:val="ru-RU"/>
        </w:rPr>
      </w:pPr>
      <w:bookmarkStart w:id="117" w:name="lt_pId390"/>
      <w:r w:rsidRPr="00CA4C14">
        <w:rPr>
          <w:rFonts w:eastAsia="Calibri" w:cs="Calibri"/>
          <w:bCs/>
          <w:szCs w:val="24"/>
          <w:lang w:val="ru-RU"/>
        </w:rPr>
        <w:t>Основные заключения и оценки</w:t>
      </w:r>
      <w:bookmarkEnd w:id="117"/>
    </w:p>
    <w:p w14:paraId="459A3C0B" w14:textId="77777777" w:rsidR="008F5CF8" w:rsidRPr="00CA4C14" w:rsidRDefault="008F5CF8" w:rsidP="000802E0">
      <w:pPr>
        <w:rPr>
          <w:rFonts w:eastAsia="Calibri" w:cs="Calibri"/>
          <w:lang w:val="ru-RU"/>
        </w:rPr>
      </w:pPr>
      <w:r w:rsidRPr="00CA4C14">
        <w:rPr>
          <w:lang w:val="ru-RU"/>
        </w:rPr>
        <w:t>Подготовка финансовой отчетности в соответствии с IPSAS требует от руководства вынесения суждений, оценок и допущений, которые влияют на применение политики бухгалтерского учета и отчетные суммы активов, пассивов, доходов и расходов. Оценки и связанные с ними допущения основываются на прежнем опыте и различных других факторах, которые считаются целесообразными при данных обстоятельствах, и информации, имеющейся на дату подготовки финансовой отчетности; их результаты в свою очередь ложатся в основу суждений о балансовой стоимости активов и пассивов, которая не очевидна на основании других источников. Фактические результаты могут отличаться от этих оценок. Оценки и лежащие в их основе допущения пересматриваются на постоянной основе. Изменения в оценках отражаются на периоде, в котором они стали известны. К важным оценкам и допущениям относятся: актуарная оценка вознаграждений сотрудников; оценка полезного использования и методы амортизации/износа материальных активов/нематериальных активов; потеря стоимости активов; классификация финансовых инструментов; оценка стоимости инвестиционных активов; и резервы. МСЭ принял решение списать запасы в финансовой отчетности за 2023 год в связи с несущественной стоимостью запасов; все статьи были отнесены на расходы. Такой подход обеспечивает ясность и позволяет сосредоточиться на более значимых финансовых данных, что способствует более простому и содержательному анализу. Эти активы остаются под контролем, но их стоимость не отражается в финансовой отчетности.</w:t>
      </w:r>
    </w:p>
    <w:p w14:paraId="48FE57E6" w14:textId="77777777" w:rsidR="008F5CF8" w:rsidRPr="00CA4C14" w:rsidRDefault="008F5CF8" w:rsidP="000802E0">
      <w:pPr>
        <w:pStyle w:val="Headingb"/>
        <w:rPr>
          <w:color w:val="000000"/>
          <w:highlight w:val="lightGray"/>
          <w:lang w:val="ru-RU" w:eastAsia="zh-CN"/>
        </w:rPr>
      </w:pPr>
      <w:bookmarkStart w:id="118" w:name="lt_pId396"/>
      <w:bookmarkStart w:id="119" w:name="_Toc305764063"/>
      <w:bookmarkStart w:id="120" w:name="_Toc747902407"/>
      <w:bookmarkStart w:id="121" w:name="_Toc164845537"/>
      <w:r w:rsidRPr="00CA4C14">
        <w:rPr>
          <w:lang w:val="ru-RU" w:eastAsia="zh-CN"/>
        </w:rPr>
        <w:t>Будущие изменения в учете</w:t>
      </w:r>
      <w:bookmarkEnd w:id="118"/>
    </w:p>
    <w:p w14:paraId="607EED97" w14:textId="69C87B31" w:rsidR="008F5CF8" w:rsidRPr="00CA4C14" w:rsidRDefault="008F5CF8" w:rsidP="003C6DB0">
      <w:pPr>
        <w:spacing w:after="120"/>
        <w:rPr>
          <w:rFonts w:cs="Calibri"/>
          <w:color w:val="000000" w:themeColor="text1"/>
          <w:lang w:val="ru-RU" w:eastAsia="zh-CN"/>
        </w:rPr>
      </w:pPr>
      <w:bookmarkStart w:id="122" w:name="lt_pId397"/>
      <w:r w:rsidRPr="00CA4C14">
        <w:rPr>
          <w:rFonts w:cs="Calibri"/>
          <w:color w:val="000000" w:themeColor="text1"/>
          <w:lang w:val="ru-RU" w:eastAsia="zh-CN"/>
        </w:rPr>
        <w:t xml:space="preserve">По </w:t>
      </w:r>
      <w:r w:rsidRPr="00CA4C14">
        <w:rPr>
          <w:lang w:val="ru-RU"/>
        </w:rPr>
        <w:t>состоянию</w:t>
      </w:r>
      <w:r w:rsidRPr="00CA4C14">
        <w:rPr>
          <w:rFonts w:cs="Calibri"/>
          <w:color w:val="000000" w:themeColor="text1"/>
          <w:lang w:val="ru-RU" w:eastAsia="zh-CN"/>
        </w:rPr>
        <w:t xml:space="preserve"> на 31 декабря 2023 года, дату Отчета о финансовом положении, были изданы, но</w:t>
      </w:r>
      <w:r w:rsidR="000F116B" w:rsidRPr="00CA4C14">
        <w:rPr>
          <w:rFonts w:cs="Calibri"/>
          <w:color w:val="000000" w:themeColor="text1"/>
          <w:lang w:val="ru-RU" w:eastAsia="zh-CN"/>
        </w:rPr>
        <w:t> </w:t>
      </w:r>
      <w:r w:rsidRPr="00CA4C14">
        <w:rPr>
          <w:rFonts w:cs="Calibri"/>
          <w:color w:val="000000" w:themeColor="text1"/>
          <w:lang w:val="ru-RU" w:eastAsia="zh-CN"/>
        </w:rPr>
        <w:t>не вступили в силу следующие стандарты IPSAS:</w:t>
      </w:r>
      <w:bookmarkEnd w:id="122"/>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
      <w:tblGrid>
        <w:gridCol w:w="1102"/>
        <w:gridCol w:w="2361"/>
        <w:gridCol w:w="1583"/>
        <w:gridCol w:w="4019"/>
      </w:tblGrid>
      <w:tr w:rsidR="008F5CF8" w:rsidRPr="009A3216" w14:paraId="423A6529" w14:textId="77777777" w:rsidTr="00515C3A">
        <w:trPr>
          <w:trHeight w:val="300"/>
          <w:tblHeader/>
        </w:trPr>
        <w:tc>
          <w:tcPr>
            <w:tcW w:w="608" w:type="pct"/>
            <w:shd w:val="clear" w:color="auto" w:fill="0070C0"/>
            <w:vAlign w:val="center"/>
          </w:tcPr>
          <w:p w14:paraId="006DAE4C" w14:textId="77777777" w:rsidR="008F5CF8" w:rsidRPr="00CA4C14" w:rsidRDefault="008F5CF8" w:rsidP="00A7491F">
            <w:pPr>
              <w:pStyle w:val="Tablehead"/>
              <w:rPr>
                <w:lang w:val="ru-RU" w:eastAsia="zh-CN"/>
              </w:rPr>
            </w:pPr>
            <w:r w:rsidRPr="00CA4C14">
              <w:rPr>
                <w:lang w:val="ru-RU"/>
              </w:rPr>
              <w:t>Стандарт</w:t>
            </w:r>
          </w:p>
        </w:tc>
        <w:tc>
          <w:tcPr>
            <w:tcW w:w="1302" w:type="pct"/>
            <w:shd w:val="clear" w:color="auto" w:fill="0070C0"/>
            <w:vAlign w:val="center"/>
          </w:tcPr>
          <w:p w14:paraId="0AC4576E" w14:textId="77777777" w:rsidR="008F5CF8" w:rsidRPr="00CA4C14" w:rsidRDefault="008F5CF8" w:rsidP="000802E0">
            <w:pPr>
              <w:pStyle w:val="Tablehead"/>
              <w:keepLines/>
              <w:rPr>
                <w:szCs w:val="18"/>
                <w:lang w:val="ru-RU" w:eastAsia="zh-CN"/>
              </w:rPr>
            </w:pPr>
            <w:r w:rsidRPr="00CA4C14">
              <w:rPr>
                <w:szCs w:val="18"/>
                <w:lang w:val="ru-RU" w:eastAsia="zh-CN"/>
              </w:rPr>
              <w:t>Название</w:t>
            </w:r>
          </w:p>
        </w:tc>
        <w:tc>
          <w:tcPr>
            <w:tcW w:w="873" w:type="pct"/>
            <w:shd w:val="clear" w:color="auto" w:fill="0070C0"/>
            <w:vAlign w:val="center"/>
          </w:tcPr>
          <w:p w14:paraId="295AC4D2" w14:textId="77777777" w:rsidR="008F5CF8" w:rsidRPr="00CA4C14" w:rsidRDefault="008F5CF8" w:rsidP="000802E0">
            <w:pPr>
              <w:pStyle w:val="Tablehead"/>
              <w:keepLines/>
              <w:rPr>
                <w:szCs w:val="18"/>
                <w:lang w:val="ru-RU" w:eastAsia="zh-CN"/>
              </w:rPr>
            </w:pPr>
            <w:r w:rsidRPr="00CA4C14">
              <w:rPr>
                <w:szCs w:val="18"/>
                <w:lang w:val="ru-RU" w:eastAsia="zh-CN"/>
              </w:rPr>
              <w:t>Дата вступления в силу</w:t>
            </w:r>
          </w:p>
        </w:tc>
        <w:tc>
          <w:tcPr>
            <w:tcW w:w="2217" w:type="pct"/>
            <w:shd w:val="clear" w:color="auto" w:fill="0070C0"/>
            <w:vAlign w:val="center"/>
          </w:tcPr>
          <w:p w14:paraId="1A3D7190" w14:textId="77777777" w:rsidR="008F5CF8" w:rsidRPr="00CA4C14" w:rsidRDefault="008F5CF8" w:rsidP="000802E0">
            <w:pPr>
              <w:pStyle w:val="Tablehead"/>
              <w:keepLines/>
              <w:rPr>
                <w:szCs w:val="18"/>
                <w:lang w:val="ru-RU" w:eastAsia="zh-CN"/>
              </w:rPr>
            </w:pPr>
            <w:r w:rsidRPr="00CA4C14">
              <w:rPr>
                <w:szCs w:val="18"/>
                <w:lang w:val="ru-RU" w:eastAsia="zh-CN"/>
              </w:rPr>
              <w:t>Потенциальное воздействие в год принятия</w:t>
            </w:r>
          </w:p>
        </w:tc>
      </w:tr>
      <w:tr w:rsidR="008F5CF8" w:rsidRPr="009A3216" w14:paraId="7BDB0F2B" w14:textId="77777777" w:rsidTr="00515C3A">
        <w:trPr>
          <w:trHeight w:val="300"/>
        </w:trPr>
        <w:tc>
          <w:tcPr>
            <w:tcW w:w="608" w:type="pct"/>
          </w:tcPr>
          <w:p w14:paraId="5547AECC" w14:textId="77777777" w:rsidR="008F5CF8" w:rsidRPr="00CA4C14" w:rsidRDefault="008F5CF8" w:rsidP="000802E0">
            <w:pPr>
              <w:pStyle w:val="Tabletext"/>
              <w:keepLines/>
              <w:rPr>
                <w:szCs w:val="18"/>
                <w:lang w:val="ru-RU" w:eastAsia="zh-CN"/>
              </w:rPr>
            </w:pPr>
            <w:bookmarkStart w:id="123" w:name="lt_pId415"/>
            <w:r w:rsidRPr="00CA4C14">
              <w:rPr>
                <w:szCs w:val="18"/>
                <w:lang w:val="ru-RU" w:eastAsia="zh-CN"/>
              </w:rPr>
              <w:t>IPSAS 43</w:t>
            </w:r>
            <w:bookmarkEnd w:id="123"/>
          </w:p>
        </w:tc>
        <w:tc>
          <w:tcPr>
            <w:tcW w:w="1302" w:type="pct"/>
          </w:tcPr>
          <w:p w14:paraId="3A09A2A0" w14:textId="77777777" w:rsidR="008F5CF8" w:rsidRPr="00CA4C14" w:rsidRDefault="008F5CF8" w:rsidP="000802E0">
            <w:pPr>
              <w:pStyle w:val="Tabletext"/>
              <w:keepLines/>
              <w:rPr>
                <w:szCs w:val="18"/>
                <w:lang w:val="ru-RU" w:eastAsia="zh-CN"/>
              </w:rPr>
            </w:pPr>
            <w:bookmarkStart w:id="124" w:name="lt_pId416"/>
            <w:r w:rsidRPr="00CA4C14">
              <w:rPr>
                <w:szCs w:val="18"/>
                <w:lang w:val="ru-RU" w:eastAsia="zh-CN"/>
              </w:rPr>
              <w:t>Аренда</w:t>
            </w:r>
            <w:bookmarkEnd w:id="124"/>
          </w:p>
        </w:tc>
        <w:tc>
          <w:tcPr>
            <w:tcW w:w="873" w:type="pct"/>
          </w:tcPr>
          <w:p w14:paraId="1EB097CA" w14:textId="77777777" w:rsidR="008F5CF8" w:rsidRPr="00CA4C14" w:rsidRDefault="008F5CF8" w:rsidP="000802E0">
            <w:pPr>
              <w:pStyle w:val="Tabletext"/>
              <w:keepLines/>
              <w:rPr>
                <w:szCs w:val="18"/>
                <w:lang w:val="ru-RU" w:eastAsia="zh-CN"/>
              </w:rPr>
            </w:pPr>
            <w:r w:rsidRPr="00CA4C14">
              <w:rPr>
                <w:szCs w:val="18"/>
                <w:lang w:val="ru-RU" w:eastAsia="zh-CN"/>
              </w:rPr>
              <w:t xml:space="preserve">1 </w:t>
            </w:r>
            <w:bookmarkStart w:id="125" w:name="lt_pId418"/>
            <w:r w:rsidRPr="00CA4C14">
              <w:rPr>
                <w:szCs w:val="18"/>
                <w:lang w:val="ru-RU" w:eastAsia="zh-CN"/>
              </w:rPr>
              <w:t>января 2025</w:t>
            </w:r>
            <w:bookmarkEnd w:id="125"/>
            <w:r w:rsidRPr="00CA4C14">
              <w:rPr>
                <w:szCs w:val="18"/>
                <w:lang w:val="ru-RU" w:eastAsia="zh-CN"/>
              </w:rPr>
              <w:t xml:space="preserve"> г.</w:t>
            </w:r>
          </w:p>
        </w:tc>
        <w:tc>
          <w:tcPr>
            <w:tcW w:w="2217" w:type="pct"/>
          </w:tcPr>
          <w:p w14:paraId="77BBD4AE" w14:textId="77777777" w:rsidR="008F5CF8" w:rsidRPr="00CA4C14" w:rsidRDefault="008F5CF8" w:rsidP="000802E0">
            <w:pPr>
              <w:pStyle w:val="Tabletext"/>
              <w:keepLines/>
              <w:rPr>
                <w:rFonts w:eastAsia="Times New Roman" w:cs="Times New Roman"/>
                <w:szCs w:val="18"/>
                <w:highlight w:val="lightGray"/>
                <w:lang w:val="ru-RU"/>
              </w:rPr>
            </w:pPr>
            <w:bookmarkStart w:id="126" w:name="lt_pId419"/>
            <w:r w:rsidRPr="00CA4C14">
              <w:rPr>
                <w:szCs w:val="18"/>
                <w:lang w:val="ru-RU"/>
              </w:rPr>
              <w:t>Заменяет IPSAS 13 (Аренда) и вводит для аренды модель права пользования. Он устанавливает принципы признания, измерения, отображения аренды и раскрытия информации о ней. В настоящее время этот новый стандарт не оказывает существенного влияния на финансовую отчетность МСЭ, поскольку на данный момент у МСЭ нет договоров аренды. Однако, учитывая смену обстоятельств и сферу применения этого нового стандарта, МСЭ тщательно проанализирует свою политику и системы учета, чтобы быть готовым к вступлению этого стандарта в силу.</w:t>
            </w:r>
            <w:bookmarkEnd w:id="126"/>
          </w:p>
        </w:tc>
      </w:tr>
      <w:tr w:rsidR="008F5CF8" w:rsidRPr="009A3216" w14:paraId="2E6AE201" w14:textId="77777777" w:rsidTr="00515C3A">
        <w:trPr>
          <w:trHeight w:val="300"/>
        </w:trPr>
        <w:tc>
          <w:tcPr>
            <w:tcW w:w="608" w:type="pct"/>
          </w:tcPr>
          <w:p w14:paraId="1DE1DD7C" w14:textId="77777777" w:rsidR="008F5CF8" w:rsidRPr="00CA4C14" w:rsidRDefault="008F5CF8" w:rsidP="00F81957">
            <w:pPr>
              <w:pStyle w:val="Tabletext"/>
              <w:rPr>
                <w:szCs w:val="18"/>
                <w:lang w:val="ru-RU" w:eastAsia="zh-CN"/>
              </w:rPr>
            </w:pPr>
            <w:bookmarkStart w:id="127" w:name="lt_pId422"/>
            <w:r w:rsidRPr="00CA4C14">
              <w:rPr>
                <w:szCs w:val="18"/>
                <w:lang w:val="ru-RU" w:eastAsia="zh-CN"/>
              </w:rPr>
              <w:t>IPSAS 44</w:t>
            </w:r>
            <w:bookmarkEnd w:id="127"/>
          </w:p>
        </w:tc>
        <w:tc>
          <w:tcPr>
            <w:tcW w:w="1302" w:type="pct"/>
          </w:tcPr>
          <w:p w14:paraId="7CFA9112" w14:textId="77777777" w:rsidR="008F5CF8" w:rsidRPr="00CA4C14" w:rsidRDefault="008F5CF8" w:rsidP="00F81957">
            <w:pPr>
              <w:pStyle w:val="Tabletext"/>
              <w:rPr>
                <w:szCs w:val="18"/>
                <w:lang w:val="ru-RU"/>
              </w:rPr>
            </w:pPr>
            <w:bookmarkStart w:id="128" w:name="lt_pId423"/>
            <w:proofErr w:type="spellStart"/>
            <w:r w:rsidRPr="00CA4C14">
              <w:rPr>
                <w:szCs w:val="18"/>
                <w:lang w:val="ru-RU"/>
              </w:rPr>
              <w:t>Нетекущие</w:t>
            </w:r>
            <w:proofErr w:type="spellEnd"/>
            <w:r w:rsidRPr="00CA4C14">
              <w:rPr>
                <w:szCs w:val="18"/>
                <w:lang w:val="ru-RU"/>
              </w:rPr>
              <w:t xml:space="preserve"> активы, предназначенные для продажи, и прекращенная деятельность</w:t>
            </w:r>
            <w:bookmarkEnd w:id="128"/>
          </w:p>
        </w:tc>
        <w:tc>
          <w:tcPr>
            <w:tcW w:w="873" w:type="pct"/>
          </w:tcPr>
          <w:p w14:paraId="339C5421" w14:textId="77777777" w:rsidR="008F5CF8" w:rsidRPr="00CA4C14" w:rsidRDefault="008F5CF8" w:rsidP="00F81957">
            <w:pPr>
              <w:pStyle w:val="Tabletext"/>
              <w:rPr>
                <w:szCs w:val="18"/>
                <w:lang w:val="ru-RU" w:eastAsia="zh-CN"/>
              </w:rPr>
            </w:pPr>
            <w:r w:rsidRPr="00CA4C14">
              <w:rPr>
                <w:szCs w:val="18"/>
                <w:lang w:val="ru-RU" w:eastAsia="zh-CN"/>
              </w:rPr>
              <w:t xml:space="preserve">1 </w:t>
            </w:r>
            <w:bookmarkStart w:id="129" w:name="lt_pId425"/>
            <w:r w:rsidRPr="00CA4C14">
              <w:rPr>
                <w:szCs w:val="18"/>
                <w:lang w:val="ru-RU" w:eastAsia="zh-CN"/>
              </w:rPr>
              <w:t>января 2025</w:t>
            </w:r>
            <w:bookmarkEnd w:id="129"/>
            <w:r w:rsidRPr="00CA4C14">
              <w:rPr>
                <w:szCs w:val="18"/>
                <w:lang w:val="ru-RU" w:eastAsia="zh-CN"/>
              </w:rPr>
              <w:t xml:space="preserve"> г.</w:t>
            </w:r>
          </w:p>
        </w:tc>
        <w:tc>
          <w:tcPr>
            <w:tcW w:w="2217" w:type="pct"/>
          </w:tcPr>
          <w:p w14:paraId="0F5441BE" w14:textId="5199CF14" w:rsidR="008F5CF8" w:rsidRPr="00CA4C14" w:rsidRDefault="008F5CF8" w:rsidP="00F81957">
            <w:pPr>
              <w:pStyle w:val="Tabletext"/>
              <w:rPr>
                <w:rFonts w:eastAsia="Times New Roman" w:cs="Times New Roman"/>
                <w:szCs w:val="18"/>
                <w:highlight w:val="lightGray"/>
                <w:lang w:val="ru-RU"/>
              </w:rPr>
            </w:pPr>
            <w:bookmarkStart w:id="130" w:name="lt_pId426"/>
            <w:r w:rsidRPr="00CA4C14">
              <w:rPr>
                <w:szCs w:val="18"/>
                <w:lang w:val="ru-RU"/>
              </w:rPr>
              <w:t>Этот новый стандарт определяет учет активов, предназначенных для продажи, а также отображение и раскрытие информации о</w:t>
            </w:r>
            <w:r w:rsidR="00232149" w:rsidRPr="00CA4C14">
              <w:rPr>
                <w:szCs w:val="18"/>
                <w:lang w:val="ru-RU"/>
              </w:rPr>
              <w:t> </w:t>
            </w:r>
            <w:r w:rsidRPr="00CA4C14">
              <w:rPr>
                <w:szCs w:val="18"/>
                <w:lang w:val="ru-RU"/>
              </w:rPr>
              <w:t xml:space="preserve">прекращенной деятельности. Для оценки </w:t>
            </w:r>
            <w:r w:rsidRPr="00CA4C14">
              <w:rPr>
                <w:szCs w:val="18"/>
                <w:lang w:val="ru-RU"/>
              </w:rPr>
              <w:lastRenderedPageBreak/>
              <w:t>потенциального воздействия на финансовую отчетность МСЭ будет проведен анализ.</w:t>
            </w:r>
            <w:bookmarkEnd w:id="130"/>
          </w:p>
        </w:tc>
      </w:tr>
      <w:tr w:rsidR="008F5CF8" w:rsidRPr="009A3216" w14:paraId="31D1F710" w14:textId="77777777" w:rsidTr="00515C3A">
        <w:trPr>
          <w:trHeight w:val="300"/>
        </w:trPr>
        <w:tc>
          <w:tcPr>
            <w:tcW w:w="608" w:type="pct"/>
          </w:tcPr>
          <w:p w14:paraId="556CFAE2" w14:textId="77777777" w:rsidR="008F5CF8" w:rsidRPr="00CA4C14" w:rsidRDefault="008F5CF8" w:rsidP="00AF25C8">
            <w:pPr>
              <w:pStyle w:val="Tabletext"/>
              <w:rPr>
                <w:szCs w:val="18"/>
                <w:lang w:val="ru-RU" w:eastAsia="zh-CN"/>
              </w:rPr>
            </w:pPr>
            <w:bookmarkStart w:id="131" w:name="lt_pId428"/>
            <w:r w:rsidRPr="00CA4C14">
              <w:rPr>
                <w:szCs w:val="18"/>
                <w:lang w:val="ru-RU" w:eastAsia="zh-CN"/>
              </w:rPr>
              <w:lastRenderedPageBreak/>
              <w:t>IPSAS 45</w:t>
            </w:r>
            <w:bookmarkEnd w:id="131"/>
          </w:p>
        </w:tc>
        <w:tc>
          <w:tcPr>
            <w:tcW w:w="1302" w:type="pct"/>
          </w:tcPr>
          <w:p w14:paraId="50E1849F" w14:textId="77777777" w:rsidR="008F5CF8" w:rsidRPr="00CA4C14" w:rsidRDefault="008F5CF8" w:rsidP="00AF25C8">
            <w:pPr>
              <w:pStyle w:val="Tabletext"/>
              <w:rPr>
                <w:szCs w:val="18"/>
                <w:highlight w:val="lightGray"/>
                <w:lang w:val="ru-RU"/>
              </w:rPr>
            </w:pPr>
            <w:bookmarkStart w:id="132" w:name="lt_pId429"/>
            <w:r w:rsidRPr="00CA4C14">
              <w:rPr>
                <w:szCs w:val="18"/>
                <w:lang w:val="ru-RU"/>
              </w:rPr>
              <w:t>Материальные активы</w:t>
            </w:r>
            <w:bookmarkEnd w:id="132"/>
          </w:p>
        </w:tc>
        <w:tc>
          <w:tcPr>
            <w:tcW w:w="873" w:type="pct"/>
          </w:tcPr>
          <w:p w14:paraId="76A99D67" w14:textId="77777777" w:rsidR="008F5CF8" w:rsidRPr="00CA4C14" w:rsidRDefault="008F5CF8" w:rsidP="00AF25C8">
            <w:pPr>
              <w:pStyle w:val="Tabletext"/>
              <w:rPr>
                <w:szCs w:val="18"/>
                <w:lang w:val="ru-RU" w:eastAsia="zh-CN"/>
              </w:rPr>
            </w:pPr>
            <w:r w:rsidRPr="00CA4C14">
              <w:rPr>
                <w:szCs w:val="18"/>
                <w:lang w:val="ru-RU" w:eastAsia="zh-CN"/>
              </w:rPr>
              <w:t xml:space="preserve">1 </w:t>
            </w:r>
            <w:bookmarkStart w:id="133" w:name="lt_pId431"/>
            <w:r w:rsidRPr="00CA4C14">
              <w:rPr>
                <w:szCs w:val="18"/>
                <w:lang w:val="ru-RU" w:eastAsia="zh-CN"/>
              </w:rPr>
              <w:t>января 2025</w:t>
            </w:r>
            <w:bookmarkEnd w:id="133"/>
            <w:r w:rsidRPr="00CA4C14">
              <w:rPr>
                <w:szCs w:val="18"/>
                <w:lang w:val="ru-RU" w:eastAsia="zh-CN"/>
              </w:rPr>
              <w:t xml:space="preserve"> г.</w:t>
            </w:r>
          </w:p>
        </w:tc>
        <w:tc>
          <w:tcPr>
            <w:tcW w:w="2217" w:type="pct"/>
          </w:tcPr>
          <w:p w14:paraId="640869DC" w14:textId="77777777" w:rsidR="008F5CF8" w:rsidRPr="00CA4C14" w:rsidRDefault="008F5CF8" w:rsidP="00AF25C8">
            <w:pPr>
              <w:pStyle w:val="Tabletext"/>
              <w:rPr>
                <w:color w:val="000000" w:themeColor="text1"/>
                <w:szCs w:val="18"/>
                <w:highlight w:val="lightGray"/>
                <w:lang w:val="ru-RU"/>
              </w:rPr>
            </w:pPr>
            <w:bookmarkStart w:id="134" w:name="lt_pId432"/>
            <w:r w:rsidRPr="00CA4C14">
              <w:rPr>
                <w:szCs w:val="18"/>
                <w:lang w:val="ru-RU"/>
              </w:rPr>
              <w:t>IPSAS 45 заменяет IPSAS 17 "Материальные активы": текущая операционная стоимость добавлена в качестве основы измерения в обновленную модель текущей стоимости для активов, входящих в его сферу применения, определены характеристики объектов наследия и инфраструктурных активов, и добавлены новые руководящие указания о том, как эти важные виды активов должны признаваться и измеряться в общественном секторе. Хотя предполагается, что данный новый стандарт не окажет существенного влияния на финансовую отчетность МСЭ, поскольку в настоящее время МСЭ не имеет существенных активов в виде объектов культурного наследия и инфраструктуры, проводится тщательный обзор на предмет соответствия новому стандарту.</w:t>
            </w:r>
            <w:bookmarkEnd w:id="134"/>
          </w:p>
        </w:tc>
      </w:tr>
      <w:tr w:rsidR="008F5CF8" w:rsidRPr="009A3216" w14:paraId="0B17A73C" w14:textId="77777777" w:rsidTr="00515C3A">
        <w:trPr>
          <w:trHeight w:val="300"/>
        </w:trPr>
        <w:tc>
          <w:tcPr>
            <w:tcW w:w="608" w:type="pct"/>
          </w:tcPr>
          <w:p w14:paraId="5EFFE7FE" w14:textId="77777777" w:rsidR="008F5CF8" w:rsidRPr="00CA4C14" w:rsidRDefault="008F5CF8" w:rsidP="00AF25C8">
            <w:pPr>
              <w:pStyle w:val="Tabletext"/>
              <w:rPr>
                <w:szCs w:val="18"/>
                <w:lang w:val="ru-RU" w:eastAsia="zh-CN"/>
              </w:rPr>
            </w:pPr>
            <w:bookmarkStart w:id="135" w:name="lt_pId434"/>
            <w:r w:rsidRPr="00CA4C14">
              <w:rPr>
                <w:szCs w:val="18"/>
                <w:lang w:val="ru-RU" w:eastAsia="zh-CN"/>
              </w:rPr>
              <w:t>IPSAS 46</w:t>
            </w:r>
            <w:bookmarkEnd w:id="135"/>
          </w:p>
        </w:tc>
        <w:tc>
          <w:tcPr>
            <w:tcW w:w="1302" w:type="pct"/>
          </w:tcPr>
          <w:p w14:paraId="1A73EA8B" w14:textId="77777777" w:rsidR="008F5CF8" w:rsidRPr="00CA4C14" w:rsidRDefault="008F5CF8" w:rsidP="00AF25C8">
            <w:pPr>
              <w:pStyle w:val="Tabletext"/>
              <w:rPr>
                <w:szCs w:val="18"/>
                <w:lang w:val="ru-RU"/>
              </w:rPr>
            </w:pPr>
            <w:bookmarkStart w:id="136" w:name="lt_pId435"/>
            <w:r w:rsidRPr="00CA4C14">
              <w:rPr>
                <w:szCs w:val="18"/>
                <w:lang w:val="ru-RU"/>
              </w:rPr>
              <w:t>Проведение измерений</w:t>
            </w:r>
            <w:bookmarkEnd w:id="136"/>
          </w:p>
        </w:tc>
        <w:tc>
          <w:tcPr>
            <w:tcW w:w="873" w:type="pct"/>
          </w:tcPr>
          <w:p w14:paraId="6BF9A638" w14:textId="77777777" w:rsidR="008F5CF8" w:rsidRPr="00CA4C14" w:rsidRDefault="008F5CF8" w:rsidP="00AF25C8">
            <w:pPr>
              <w:pStyle w:val="Tabletext"/>
              <w:rPr>
                <w:szCs w:val="18"/>
                <w:lang w:val="ru-RU" w:eastAsia="zh-CN"/>
              </w:rPr>
            </w:pPr>
            <w:r w:rsidRPr="00CA4C14">
              <w:rPr>
                <w:szCs w:val="18"/>
                <w:lang w:val="ru-RU" w:eastAsia="zh-CN"/>
              </w:rPr>
              <w:t xml:space="preserve">1 </w:t>
            </w:r>
            <w:bookmarkStart w:id="137" w:name="lt_pId437"/>
            <w:r w:rsidRPr="00CA4C14">
              <w:rPr>
                <w:szCs w:val="18"/>
                <w:lang w:val="ru-RU" w:eastAsia="zh-CN"/>
              </w:rPr>
              <w:t>января 2025</w:t>
            </w:r>
            <w:bookmarkEnd w:id="137"/>
            <w:r w:rsidRPr="00CA4C14">
              <w:rPr>
                <w:szCs w:val="18"/>
                <w:lang w:val="ru-RU" w:eastAsia="zh-CN"/>
              </w:rPr>
              <w:t xml:space="preserve"> г.</w:t>
            </w:r>
          </w:p>
        </w:tc>
        <w:tc>
          <w:tcPr>
            <w:tcW w:w="2217" w:type="pct"/>
          </w:tcPr>
          <w:p w14:paraId="636A965F" w14:textId="77777777" w:rsidR="008F5CF8" w:rsidRPr="00CA4C14" w:rsidRDefault="008F5CF8" w:rsidP="00AF25C8">
            <w:pPr>
              <w:pStyle w:val="Tabletext"/>
              <w:rPr>
                <w:color w:val="000000" w:themeColor="text1"/>
                <w:szCs w:val="18"/>
                <w:highlight w:val="lightGray"/>
                <w:lang w:val="ru-RU"/>
              </w:rPr>
            </w:pPr>
            <w:bookmarkStart w:id="138" w:name="lt_pId438"/>
            <w:r w:rsidRPr="00CA4C14">
              <w:rPr>
                <w:szCs w:val="18"/>
                <w:lang w:val="ru-RU"/>
              </w:rPr>
              <w:t>IPSAS 46 представляет собой собранные в рамках одного стандарта новые руководящие указания в отношении способов применения на практике широко используемых основ измерения. В нем впервые содержатся руководящие указания общего характера, касающиеся справедливой стоимости, и вводится текущая операционная стоимость как основа измерения текущей стоимости, специфичная для общественного сектора, которая отвечает мнению участников о том, что в отношении определенных активов общественного сектора необходимо использовать основу измерения текущей стоимости, отличную от справедливой стоимости. В настоящее время МСЭ проводит количественную оценку влияния этого стандарта на финансовую отчетность.</w:t>
            </w:r>
            <w:bookmarkEnd w:id="138"/>
            <w:r w:rsidRPr="00CA4C14">
              <w:rPr>
                <w:szCs w:val="18"/>
                <w:lang w:val="ru-RU"/>
              </w:rPr>
              <w:t xml:space="preserve"> </w:t>
            </w:r>
          </w:p>
        </w:tc>
      </w:tr>
      <w:tr w:rsidR="008F5CF8" w:rsidRPr="009A3216" w14:paraId="66F840BF" w14:textId="77777777" w:rsidTr="00515C3A">
        <w:trPr>
          <w:trHeight w:val="300"/>
        </w:trPr>
        <w:tc>
          <w:tcPr>
            <w:tcW w:w="608" w:type="pct"/>
          </w:tcPr>
          <w:p w14:paraId="257771C7" w14:textId="77777777" w:rsidR="008F5CF8" w:rsidRPr="00CA4C14" w:rsidRDefault="008F5CF8" w:rsidP="00AF25C8">
            <w:pPr>
              <w:pStyle w:val="Tabletext"/>
              <w:rPr>
                <w:szCs w:val="18"/>
                <w:lang w:val="ru-RU" w:eastAsia="zh-CN"/>
              </w:rPr>
            </w:pPr>
            <w:bookmarkStart w:id="139" w:name="lt_pId441"/>
            <w:r w:rsidRPr="00CA4C14">
              <w:rPr>
                <w:szCs w:val="18"/>
                <w:lang w:val="ru-RU" w:eastAsia="zh-CN"/>
              </w:rPr>
              <w:t>IPSAS 47</w:t>
            </w:r>
            <w:bookmarkEnd w:id="139"/>
          </w:p>
        </w:tc>
        <w:tc>
          <w:tcPr>
            <w:tcW w:w="1302" w:type="pct"/>
          </w:tcPr>
          <w:p w14:paraId="7254B5FB" w14:textId="77777777" w:rsidR="008F5CF8" w:rsidRPr="00CA4C14" w:rsidRDefault="008F5CF8" w:rsidP="00AF25C8">
            <w:pPr>
              <w:pStyle w:val="Tabletext"/>
              <w:rPr>
                <w:szCs w:val="18"/>
                <w:highlight w:val="lightGray"/>
                <w:lang w:val="ru-RU"/>
              </w:rPr>
            </w:pPr>
            <w:bookmarkStart w:id="140" w:name="lt_pId442"/>
            <w:r w:rsidRPr="00CA4C14">
              <w:rPr>
                <w:szCs w:val="18"/>
                <w:lang w:val="ru-RU"/>
              </w:rPr>
              <w:t>Доходы</w:t>
            </w:r>
            <w:bookmarkEnd w:id="140"/>
          </w:p>
        </w:tc>
        <w:tc>
          <w:tcPr>
            <w:tcW w:w="873" w:type="pct"/>
          </w:tcPr>
          <w:p w14:paraId="36D66475" w14:textId="77777777" w:rsidR="008F5CF8" w:rsidRPr="00CA4C14" w:rsidRDefault="008F5CF8" w:rsidP="00AF25C8">
            <w:pPr>
              <w:pStyle w:val="Tabletext"/>
              <w:rPr>
                <w:szCs w:val="18"/>
                <w:lang w:val="ru-RU" w:eastAsia="zh-CN"/>
              </w:rPr>
            </w:pPr>
            <w:r w:rsidRPr="00CA4C14">
              <w:rPr>
                <w:szCs w:val="18"/>
                <w:lang w:val="ru-RU" w:eastAsia="zh-CN"/>
              </w:rPr>
              <w:t xml:space="preserve">1 </w:t>
            </w:r>
            <w:bookmarkStart w:id="141" w:name="lt_pId444"/>
            <w:r w:rsidRPr="00CA4C14">
              <w:rPr>
                <w:szCs w:val="18"/>
                <w:lang w:val="ru-RU" w:eastAsia="zh-CN"/>
              </w:rPr>
              <w:t>января 2026</w:t>
            </w:r>
            <w:bookmarkEnd w:id="141"/>
            <w:r w:rsidRPr="00CA4C14">
              <w:rPr>
                <w:szCs w:val="18"/>
                <w:lang w:val="ru-RU" w:eastAsia="zh-CN"/>
              </w:rPr>
              <w:t xml:space="preserve"> г.</w:t>
            </w:r>
          </w:p>
        </w:tc>
        <w:tc>
          <w:tcPr>
            <w:tcW w:w="2217" w:type="pct"/>
          </w:tcPr>
          <w:p w14:paraId="59D8A329" w14:textId="77777777" w:rsidR="008F5CF8" w:rsidRPr="00CA4C14" w:rsidRDefault="008F5CF8" w:rsidP="00AF25C8">
            <w:pPr>
              <w:pStyle w:val="Tabletext"/>
              <w:rPr>
                <w:color w:val="000000" w:themeColor="text1"/>
                <w:szCs w:val="18"/>
                <w:highlight w:val="lightGray"/>
                <w:lang w:val="ru-RU"/>
              </w:rPr>
            </w:pPr>
            <w:bookmarkStart w:id="142" w:name="lt_pId445"/>
            <w:r w:rsidRPr="00CA4C14">
              <w:rPr>
                <w:szCs w:val="18"/>
                <w:lang w:val="ru-RU"/>
              </w:rPr>
              <w:t>IPSAS 47 "Доходы" является единым источником руководящих указаний по учету доходов в общественном секторе, в котором представлены две модели учета, основанные на существовании ограничительного режима. Этот новый стандарт содержит руководящие указания, ориентированные на помощь объектам хозяйствования в применении принципов учета операций, связанных с доходами, в общественном секторе. В настоящее время МСЭ проводит количественную оценку влияния этого стандарта на финансовую отчетность.</w:t>
            </w:r>
            <w:bookmarkEnd w:id="142"/>
          </w:p>
        </w:tc>
      </w:tr>
      <w:tr w:rsidR="008F5CF8" w:rsidRPr="009A3216" w14:paraId="4D1C2F4C" w14:textId="77777777" w:rsidTr="00515C3A">
        <w:trPr>
          <w:trHeight w:val="300"/>
        </w:trPr>
        <w:tc>
          <w:tcPr>
            <w:tcW w:w="608" w:type="pct"/>
          </w:tcPr>
          <w:p w14:paraId="5CD8CBF5" w14:textId="77777777" w:rsidR="008F5CF8" w:rsidRPr="00CA4C14" w:rsidRDefault="008F5CF8" w:rsidP="00F81957">
            <w:pPr>
              <w:pStyle w:val="Tabletext"/>
              <w:rPr>
                <w:szCs w:val="18"/>
                <w:lang w:val="ru-RU" w:eastAsia="zh-CN"/>
              </w:rPr>
            </w:pPr>
            <w:bookmarkStart w:id="143" w:name="lt_pId448"/>
            <w:r w:rsidRPr="00CA4C14">
              <w:rPr>
                <w:szCs w:val="18"/>
                <w:lang w:val="ru-RU" w:eastAsia="zh-CN"/>
              </w:rPr>
              <w:t>IPSAS 48</w:t>
            </w:r>
            <w:bookmarkEnd w:id="143"/>
          </w:p>
        </w:tc>
        <w:tc>
          <w:tcPr>
            <w:tcW w:w="1302" w:type="pct"/>
          </w:tcPr>
          <w:p w14:paraId="0415576A" w14:textId="77777777" w:rsidR="008F5CF8" w:rsidRPr="00CA4C14" w:rsidRDefault="008F5CF8" w:rsidP="00F81957">
            <w:pPr>
              <w:pStyle w:val="Tabletext"/>
              <w:rPr>
                <w:szCs w:val="18"/>
                <w:lang w:val="ru-RU"/>
              </w:rPr>
            </w:pPr>
            <w:bookmarkStart w:id="144" w:name="lt_pId449"/>
            <w:r w:rsidRPr="00CA4C14">
              <w:rPr>
                <w:szCs w:val="18"/>
                <w:lang w:val="ru-RU"/>
              </w:rPr>
              <w:t>Трансфертные расходы</w:t>
            </w:r>
            <w:bookmarkEnd w:id="144"/>
          </w:p>
        </w:tc>
        <w:tc>
          <w:tcPr>
            <w:tcW w:w="873" w:type="pct"/>
          </w:tcPr>
          <w:p w14:paraId="41C73614" w14:textId="77777777" w:rsidR="008F5CF8" w:rsidRPr="00CA4C14" w:rsidRDefault="008F5CF8" w:rsidP="00F81957">
            <w:pPr>
              <w:pStyle w:val="Tabletext"/>
              <w:rPr>
                <w:szCs w:val="18"/>
                <w:lang w:val="ru-RU" w:eastAsia="zh-CN"/>
              </w:rPr>
            </w:pPr>
            <w:r w:rsidRPr="00CA4C14">
              <w:rPr>
                <w:szCs w:val="18"/>
                <w:lang w:val="ru-RU" w:eastAsia="zh-CN"/>
              </w:rPr>
              <w:t xml:space="preserve">1 </w:t>
            </w:r>
            <w:bookmarkStart w:id="145" w:name="lt_pId451"/>
            <w:r w:rsidRPr="00CA4C14">
              <w:rPr>
                <w:szCs w:val="18"/>
                <w:lang w:val="ru-RU" w:eastAsia="zh-CN"/>
              </w:rPr>
              <w:t>января 2026</w:t>
            </w:r>
            <w:bookmarkEnd w:id="145"/>
            <w:r w:rsidRPr="00CA4C14">
              <w:rPr>
                <w:szCs w:val="18"/>
                <w:lang w:val="ru-RU" w:eastAsia="zh-CN"/>
              </w:rPr>
              <w:t xml:space="preserve"> г.</w:t>
            </w:r>
          </w:p>
        </w:tc>
        <w:tc>
          <w:tcPr>
            <w:tcW w:w="2217" w:type="pct"/>
          </w:tcPr>
          <w:p w14:paraId="12727C6D" w14:textId="347CD3E7" w:rsidR="008F5CF8" w:rsidRPr="00CA4C14" w:rsidRDefault="008F5CF8" w:rsidP="00F81957">
            <w:pPr>
              <w:pStyle w:val="Tabletext"/>
              <w:rPr>
                <w:color w:val="000000" w:themeColor="text1"/>
                <w:szCs w:val="18"/>
                <w:lang w:val="ru-RU"/>
              </w:rPr>
            </w:pPr>
            <w:bookmarkStart w:id="146" w:name="lt_pId452"/>
            <w:r w:rsidRPr="00CA4C14">
              <w:rPr>
                <w:szCs w:val="18"/>
                <w:lang w:val="ru-RU"/>
              </w:rPr>
              <w:t xml:space="preserve">IPSAS 48 "Трансфертные расходы" содержит руководящие указания по учету трансфертных расходов, которые составляют значительную часть расходов многих объектов хозяйствования в общественном секторе. Этот новый стандарт заполняет серьезный пробел в литературе IPSASB и содержит руководящие указания, помогающие объектам хозяйствования учитывать операции, связанные </w:t>
            </w:r>
            <w:r w:rsidRPr="00CA4C14">
              <w:rPr>
                <w:szCs w:val="18"/>
                <w:lang w:val="ru-RU"/>
              </w:rPr>
              <w:lastRenderedPageBreak/>
              <w:t>с</w:t>
            </w:r>
            <w:r w:rsidR="000D1E72" w:rsidRPr="00CA4C14">
              <w:rPr>
                <w:szCs w:val="18"/>
                <w:lang w:val="ru-RU"/>
              </w:rPr>
              <w:t> </w:t>
            </w:r>
            <w:r w:rsidRPr="00CA4C14">
              <w:rPr>
                <w:szCs w:val="18"/>
                <w:lang w:val="ru-RU"/>
              </w:rPr>
              <w:t>трансфертными расходами, в общественном секторе. В настоящее время МСЭ проводит количественную оценку влияния этого стандарта на финансовую отчетность.</w:t>
            </w:r>
            <w:bookmarkEnd w:id="146"/>
          </w:p>
        </w:tc>
      </w:tr>
    </w:tbl>
    <w:p w14:paraId="4D4F5E4F" w14:textId="77777777" w:rsidR="008F5CF8" w:rsidRPr="00CA4C14" w:rsidRDefault="008F5CF8" w:rsidP="000802E0">
      <w:pPr>
        <w:rPr>
          <w:rFonts w:eastAsia="Calibri" w:cs="Calibri"/>
          <w:lang w:val="ru-RU"/>
        </w:rPr>
      </w:pPr>
      <w:bookmarkStart w:id="147" w:name="lt_pId455"/>
      <w:r w:rsidRPr="00CA4C14">
        <w:rPr>
          <w:rFonts w:eastAsia="Calibri" w:cs="Calibri"/>
          <w:lang w:val="ru-RU"/>
        </w:rPr>
        <w:lastRenderedPageBreak/>
        <w:t>МСЭ продолжает заниматься оценкой влияния вышеуказанных стандартов на будущую финансовую отчетность заблаговременно, до их вступления в силу.</w:t>
      </w:r>
    </w:p>
    <w:p w14:paraId="78E1E585" w14:textId="7883CEB7" w:rsidR="008F5CF8" w:rsidRPr="00CA4C14" w:rsidRDefault="008F5CF8" w:rsidP="000802E0">
      <w:pPr>
        <w:rPr>
          <w:rFonts w:eastAsia="Calibri"/>
          <w:lang w:val="ru-RU"/>
        </w:rPr>
      </w:pPr>
      <w:bookmarkStart w:id="148" w:name="lt_pId456"/>
      <w:bookmarkEnd w:id="147"/>
      <w:r w:rsidRPr="00CA4C14">
        <w:rPr>
          <w:rFonts w:eastAsia="Calibri"/>
          <w:lang w:val="ru-RU"/>
        </w:rPr>
        <w:t>Кроме того, МСЭ продолжает следить за разработкой проектов стандартов (ПС) и активно участвует в работе Совета</w:t>
      </w:r>
      <w:r w:rsidR="00C72B42" w:rsidRPr="00CA4C14">
        <w:rPr>
          <w:rFonts w:eastAsia="Calibri"/>
          <w:lang w:val="ru-RU"/>
        </w:rPr>
        <w:t xml:space="preserve"> по</w:t>
      </w:r>
      <w:r w:rsidRPr="00CA4C14">
        <w:rPr>
          <w:rFonts w:eastAsia="Calibri"/>
          <w:lang w:val="ru-RU"/>
        </w:rPr>
        <w:t xml:space="preserve"> IPSAS </w:t>
      </w:r>
      <w:r w:rsidRPr="00CA4C14">
        <w:rPr>
          <w:rFonts w:eastAsia="Calibri" w:cs="Calibri"/>
          <w:lang w:val="ru-RU"/>
        </w:rPr>
        <w:t>через</w:t>
      </w:r>
      <w:r w:rsidRPr="00CA4C14">
        <w:rPr>
          <w:rFonts w:eastAsia="Calibri"/>
          <w:lang w:val="ru-RU"/>
        </w:rPr>
        <w:t xml:space="preserve"> Целевую группу системы Организации Объединенных Наций по стандартам учета ввиду того, что их применение может оказать влияние на финансовую отчетность МСЭ в будущем.</w:t>
      </w:r>
      <w:bookmarkEnd w:id="119"/>
      <w:bookmarkEnd w:id="120"/>
      <w:bookmarkEnd w:id="121"/>
      <w:bookmarkEnd w:id="148"/>
    </w:p>
    <w:p w14:paraId="1D1334FD" w14:textId="77777777" w:rsidR="00232149" w:rsidRPr="00CA4C14" w:rsidRDefault="00232149" w:rsidP="005021A9">
      <w:pPr>
        <w:pStyle w:val="Heading5"/>
        <w:rPr>
          <w:lang w:val="ru-RU"/>
        </w:rPr>
      </w:pPr>
      <w:bookmarkStart w:id="149" w:name="_Toc168578452"/>
      <w:r w:rsidRPr="00CA4C14">
        <w:rPr>
          <w:lang w:val="ru-RU"/>
        </w:rPr>
        <w:t>Примечание 3</w:t>
      </w:r>
      <w:r w:rsidRPr="00CA4C14">
        <w:rPr>
          <w:lang w:val="ru-RU"/>
        </w:rPr>
        <w:tab/>
        <w:t>Основные методы бухгалтерского учета</w:t>
      </w:r>
      <w:bookmarkEnd w:id="149"/>
    </w:p>
    <w:p w14:paraId="04E49000" w14:textId="77777777" w:rsidR="00232149" w:rsidRPr="00CA4C14" w:rsidRDefault="00232149" w:rsidP="00B91496">
      <w:pPr>
        <w:pStyle w:val="Heading3"/>
        <w:rPr>
          <w:lang w:val="ru-RU"/>
        </w:rPr>
      </w:pPr>
      <w:bookmarkStart w:id="150" w:name="_Toc936643014"/>
      <w:bookmarkStart w:id="151" w:name="_Toc164845538"/>
      <w:bookmarkStart w:id="152" w:name="_Toc168578453"/>
      <w:bookmarkStart w:id="153" w:name="_Toc168578828"/>
      <w:bookmarkStart w:id="154" w:name="_Toc305764064"/>
      <w:bookmarkStart w:id="155" w:name="_Toc131156417"/>
      <w:r w:rsidRPr="00CA4C14">
        <w:rPr>
          <w:lang w:val="ru-RU"/>
        </w:rPr>
        <w:t>3.1</w:t>
      </w:r>
      <w:r w:rsidRPr="00CA4C14">
        <w:rPr>
          <w:lang w:val="ru-RU"/>
        </w:rPr>
        <w:tab/>
      </w:r>
      <w:bookmarkEnd w:id="150"/>
      <w:bookmarkEnd w:id="151"/>
      <w:r w:rsidRPr="00CA4C14">
        <w:rPr>
          <w:lang w:val="ru-RU"/>
        </w:rPr>
        <w:t>Обменный курс рабочей валюты</w:t>
      </w:r>
      <w:bookmarkEnd w:id="152"/>
      <w:bookmarkEnd w:id="153"/>
    </w:p>
    <w:p w14:paraId="4F750B6B" w14:textId="77777777" w:rsidR="00232149" w:rsidRPr="00CA4C14" w:rsidRDefault="00232149" w:rsidP="00101958">
      <w:pPr>
        <w:rPr>
          <w:lang w:val="ru-RU"/>
        </w:rPr>
      </w:pPr>
      <w:bookmarkStart w:id="156" w:name="lt_pId461"/>
      <w:bookmarkEnd w:id="154"/>
      <w:bookmarkEnd w:id="155"/>
      <w:r w:rsidRPr="00CA4C14">
        <w:rPr>
          <w:lang w:val="ru-RU"/>
        </w:rPr>
        <w:t xml:space="preserve">Швейцарский франк (шв. фр.) является рабочей валютой МСЭ, используемой при представлении финансовой отчетности. </w:t>
      </w:r>
      <w:bookmarkStart w:id="157" w:name="lt_pId462"/>
      <w:bookmarkEnd w:id="156"/>
      <w:r w:rsidRPr="00CA4C14">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w:t>
      </w:r>
      <w:bookmarkEnd w:id="157"/>
      <w:r w:rsidRPr="00CA4C14">
        <w:rPr>
          <w:lang w:val="ru-RU"/>
        </w:rPr>
        <w:t xml:space="preserve">Денежные активы и обязательства, представленные в иностранной валюте, конвертируются в швейцарские франки по обменному курсу UNORE, действующему на дату окончания </w:t>
      </w:r>
      <w:r w:rsidRPr="00CA4C14">
        <w:rPr>
          <w:rFonts w:eastAsia="Calibri" w:cs="Calibri"/>
          <w:lang w:val="ru-RU"/>
        </w:rPr>
        <w:t>финансового</w:t>
      </w:r>
      <w:r w:rsidRPr="00CA4C14">
        <w:rPr>
          <w:lang w:val="ru-RU"/>
        </w:rPr>
        <w:t xml:space="preserve">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(Отчет II).</w:t>
      </w:r>
    </w:p>
    <w:p w14:paraId="5843E348" w14:textId="77777777" w:rsidR="00232149" w:rsidRPr="00CA4C14" w:rsidRDefault="00232149" w:rsidP="00B91496">
      <w:pPr>
        <w:pStyle w:val="Heading3"/>
        <w:rPr>
          <w:lang w:val="ru-RU"/>
        </w:rPr>
      </w:pPr>
      <w:bookmarkStart w:id="158" w:name="_Toc437528963"/>
      <w:bookmarkStart w:id="159" w:name="_Toc164845539"/>
      <w:bookmarkStart w:id="160" w:name="_Toc168578454"/>
      <w:bookmarkStart w:id="161" w:name="_Toc168578829"/>
      <w:bookmarkStart w:id="162" w:name="_Toc305764065"/>
      <w:r w:rsidRPr="00CA4C14">
        <w:rPr>
          <w:lang w:val="ru-RU"/>
        </w:rPr>
        <w:t>3.2</w:t>
      </w:r>
      <w:r w:rsidRPr="00CA4C14">
        <w:rPr>
          <w:lang w:val="ru-RU"/>
        </w:rPr>
        <w:tab/>
      </w:r>
      <w:bookmarkStart w:id="163" w:name="_Toc329002759"/>
      <w:bookmarkStart w:id="164" w:name="_Toc358373632"/>
      <w:bookmarkStart w:id="165" w:name="_Toc387243012"/>
      <w:bookmarkStart w:id="166" w:name="_Toc419404357"/>
      <w:bookmarkStart w:id="167" w:name="_Toc482810305"/>
      <w:bookmarkStart w:id="168" w:name="_Toc511401540"/>
      <w:bookmarkStart w:id="169" w:name="_Toc511401663"/>
      <w:bookmarkStart w:id="170" w:name="_Toc10540776"/>
      <w:bookmarkStart w:id="171" w:name="_Toc41900396"/>
      <w:bookmarkStart w:id="172" w:name="_Toc73437979"/>
      <w:bookmarkStart w:id="173" w:name="_Toc73438608"/>
      <w:bookmarkStart w:id="174" w:name="_Toc73438866"/>
      <w:bookmarkStart w:id="175" w:name="_Toc73439157"/>
      <w:bookmarkEnd w:id="158"/>
      <w:bookmarkEnd w:id="159"/>
      <w:r w:rsidRPr="00CA4C14">
        <w:rPr>
          <w:lang w:val="ru-RU"/>
        </w:rPr>
        <w:t xml:space="preserve">Финансовые </w:t>
      </w:r>
      <w:bookmarkEnd w:id="163"/>
      <w:bookmarkEnd w:id="164"/>
      <w:r w:rsidRPr="00CA4C14">
        <w:rPr>
          <w:lang w:val="ru-RU"/>
        </w:rPr>
        <w:t>инструменты</w:t>
      </w:r>
      <w:bookmarkEnd w:id="165"/>
      <w:bookmarkEnd w:id="166"/>
      <w:bookmarkEnd w:id="167"/>
      <w:bookmarkEnd w:id="168"/>
      <w:bookmarkEnd w:id="169"/>
      <w:bookmarkEnd w:id="170"/>
      <w:bookmarkEnd w:id="171"/>
      <w:bookmarkEnd w:id="172"/>
      <w:bookmarkEnd w:id="173"/>
      <w:bookmarkEnd w:id="174"/>
      <w:bookmarkEnd w:id="175"/>
      <w:bookmarkEnd w:id="160"/>
      <w:bookmarkEnd w:id="161"/>
    </w:p>
    <w:p w14:paraId="3F733213" w14:textId="77777777" w:rsidR="00232149" w:rsidRPr="00CA4C14" w:rsidRDefault="00232149" w:rsidP="005021A9">
      <w:pPr>
        <w:rPr>
          <w:lang w:val="ru-RU"/>
        </w:rPr>
      </w:pPr>
      <w:bookmarkStart w:id="176" w:name="lt_pId466"/>
      <w:r w:rsidRPr="00CA4C14">
        <w:rPr>
          <w:lang w:val="ru-RU"/>
        </w:rPr>
        <w:t xml:space="preserve">Финансовые инструменты МСЭ включают: денежные средства и краткосрочные депозиты, </w:t>
      </w:r>
      <w:r w:rsidRPr="00CA4C14">
        <w:rPr>
          <w:rFonts w:eastAsia="Calibri" w:cs="Calibri"/>
          <w:lang w:val="ru-RU"/>
        </w:rPr>
        <w:t>инвестиции</w:t>
      </w:r>
      <w:r w:rsidRPr="00CA4C14">
        <w:rPr>
          <w:lang w:val="ru-RU"/>
        </w:rPr>
        <w:t>, долговые обязательства по обменным и необменным операциям, торговую кредиторскую задолженность, ссуды и займы.</w:t>
      </w:r>
    </w:p>
    <w:p w14:paraId="4154D27A" w14:textId="77777777" w:rsidR="00232149" w:rsidRPr="00CA4C14" w:rsidRDefault="00232149" w:rsidP="00A7491F">
      <w:pPr>
        <w:pStyle w:val="Headingi"/>
        <w:rPr>
          <w:b/>
          <w:bCs/>
          <w:lang w:val="ru-RU"/>
        </w:rPr>
      </w:pPr>
      <w:bookmarkStart w:id="177" w:name="_Toc131078186"/>
      <w:bookmarkEnd w:id="176"/>
      <w:r w:rsidRPr="00CA4C14">
        <w:rPr>
          <w:bCs/>
          <w:lang w:val="ru-RU"/>
        </w:rPr>
        <w:t>3.2.1</w:t>
      </w:r>
      <w:bookmarkEnd w:id="177"/>
      <w:r w:rsidRPr="00CA4C14">
        <w:rPr>
          <w:bCs/>
          <w:lang w:val="ru-RU"/>
        </w:rPr>
        <w:tab/>
      </w:r>
      <w:r w:rsidRPr="00CA4C14">
        <w:rPr>
          <w:lang w:val="ru-RU"/>
        </w:rPr>
        <w:t>Денежные средства и эквиваленты денежных средств</w:t>
      </w:r>
    </w:p>
    <w:p w14:paraId="6E1B6869" w14:textId="77777777" w:rsidR="00232149" w:rsidRPr="00CA4C14" w:rsidRDefault="00232149" w:rsidP="005D645A">
      <w:pPr>
        <w:rPr>
          <w:lang w:val="ru-RU"/>
        </w:rPr>
      </w:pPr>
      <w:r w:rsidRPr="00CA4C14">
        <w:rPr>
          <w:rFonts w:eastAsia="Calibri" w:cs="Calibri"/>
          <w:lang w:val="ru-RU"/>
        </w:rPr>
        <w:t>Денежные</w:t>
      </w:r>
      <w:r w:rsidRPr="00CA4C14">
        <w:rPr>
          <w:lang w:val="ru-RU"/>
        </w:rPr>
        <w:t xml:space="preserve"> средства и эквиваленты денежных средств включают кассовую наличность, а также денежные средства в банках и краткосрочные депозиты со сроком погашения не более трех месяцев. </w:t>
      </w:r>
      <w:bookmarkEnd w:id="162"/>
    </w:p>
    <w:p w14:paraId="2C817909" w14:textId="77777777" w:rsidR="00232149" w:rsidRPr="00CA4C14" w:rsidRDefault="00232149" w:rsidP="00A7491F">
      <w:pPr>
        <w:pStyle w:val="Headingi"/>
        <w:rPr>
          <w:b/>
          <w:bCs/>
          <w:lang w:val="ru-RU"/>
        </w:rPr>
      </w:pPr>
      <w:r w:rsidRPr="00CA4C14">
        <w:rPr>
          <w:bCs/>
          <w:lang w:val="ru-RU"/>
        </w:rPr>
        <w:t>3.2.2</w:t>
      </w:r>
      <w:r w:rsidRPr="00CA4C14">
        <w:rPr>
          <w:bCs/>
          <w:lang w:val="ru-RU"/>
        </w:rPr>
        <w:tab/>
      </w:r>
      <w:r w:rsidRPr="00CA4C14">
        <w:rPr>
          <w:lang w:val="ru-RU"/>
        </w:rPr>
        <w:t>Инвестиции</w:t>
      </w:r>
    </w:p>
    <w:p w14:paraId="7E0D0F87" w14:textId="0D19E106" w:rsidR="00232149" w:rsidRPr="00CA4C14" w:rsidRDefault="00232149" w:rsidP="003C6DB0">
      <w:pPr>
        <w:rPr>
          <w:lang w:val="ru-RU"/>
        </w:rPr>
      </w:pPr>
      <w:r w:rsidRPr="00CA4C14">
        <w:rPr>
          <w:lang w:val="ru-RU" w:bidi="ru-RU"/>
        </w:rPr>
        <w:t>Срочные депозиты со сроком погашения свыше трех месяцев и до девяти месяцев, которые являются высоколиквидными, конвертируемыми в известную сумму денежных средств и которые подвергаются незначительному риску изменения стоимости, учитываются по амортизированной стоимости в соответствии с IPSAS 41. Инвестиции представлены в отчете о</w:t>
      </w:r>
      <w:r w:rsidR="00515C3A" w:rsidRPr="00CA4C14">
        <w:rPr>
          <w:lang w:val="ru-RU" w:bidi="ru-RU"/>
        </w:rPr>
        <w:t> </w:t>
      </w:r>
      <w:r w:rsidRPr="00CA4C14">
        <w:rPr>
          <w:lang w:val="ru-RU" w:bidi="ru-RU"/>
        </w:rPr>
        <w:t>финансовом положении как текущие активы</w:t>
      </w:r>
      <w:r w:rsidRPr="00CA4C14">
        <w:rPr>
          <w:lang w:val="ru-RU"/>
        </w:rPr>
        <w:t>.</w:t>
      </w:r>
    </w:p>
    <w:p w14:paraId="5619B643" w14:textId="77777777" w:rsidR="00232149" w:rsidRPr="00CA4C14" w:rsidRDefault="00232149" w:rsidP="00A7491F">
      <w:pPr>
        <w:pStyle w:val="Headingi"/>
        <w:rPr>
          <w:lang w:val="ru-RU"/>
        </w:rPr>
      </w:pPr>
      <w:r w:rsidRPr="00CA4C14">
        <w:rPr>
          <w:lang w:val="ru-RU"/>
        </w:rPr>
        <w:t>3.2.3</w:t>
      </w:r>
      <w:r w:rsidRPr="00CA4C14">
        <w:rPr>
          <w:lang w:val="ru-RU"/>
        </w:rPr>
        <w:tab/>
        <w:t>Финансовые пассивы и ссуда ФИПОИ</w:t>
      </w:r>
    </w:p>
    <w:p w14:paraId="33720ADF" w14:textId="77777777" w:rsidR="00232149" w:rsidRPr="00CA4C14" w:rsidRDefault="00232149" w:rsidP="005021A9">
      <w:pPr>
        <w:rPr>
          <w:lang w:val="ru-RU"/>
        </w:rPr>
      </w:pPr>
      <w:r w:rsidRPr="00CA4C14">
        <w:rPr>
          <w:rFonts w:eastAsia="Calibri" w:cs="Calibri"/>
          <w:lang w:val="ru-RU"/>
        </w:rPr>
        <w:t>Финансовые</w:t>
      </w:r>
      <w:r w:rsidRPr="00CA4C14">
        <w:rPr>
          <w:lang w:val="ru-RU"/>
        </w:rPr>
        <w:t xml:space="preserve"> пассивы включают займы, прочие источники финансирования, задолженность перед поставщиками и торговую кредиторскую задолженность. Эти обязательства отражаются в отчете о финансовом положении как текущие или </w:t>
      </w:r>
      <w:proofErr w:type="spellStart"/>
      <w:r w:rsidRPr="00CA4C14">
        <w:rPr>
          <w:lang w:val="ru-RU"/>
        </w:rPr>
        <w:t>нетекущие</w:t>
      </w:r>
      <w:proofErr w:type="spellEnd"/>
      <w:r w:rsidRPr="00CA4C14">
        <w:rPr>
          <w:lang w:val="ru-RU"/>
        </w:rPr>
        <w:t xml:space="preserve"> пассивы в зависимости от того, составляют сроки их погашения меньше или больше года соответственно.</w:t>
      </w:r>
    </w:p>
    <w:p w14:paraId="3917E162" w14:textId="09E2809A" w:rsidR="00232149" w:rsidRPr="00CA4C14" w:rsidRDefault="00232149" w:rsidP="00094543">
      <w:pPr>
        <w:rPr>
          <w:lang w:val="ru-RU"/>
        </w:rPr>
      </w:pPr>
      <w:r w:rsidRPr="00CA4C14">
        <w:rPr>
          <w:lang w:val="ru-RU" w:bidi="ru-RU"/>
        </w:rPr>
        <w:lastRenderedPageBreak/>
        <w:t>Суммы, отраженные в данной финансовой отчетности как займы, представляют собой беспроцентные займы, предоставленные Фондом недвижимого имущества для международных организаций (ФИПОИ) для финансирования строительства зданий МСЭ.</w:t>
      </w:r>
    </w:p>
    <w:p w14:paraId="642E344E" w14:textId="423E971B" w:rsidR="00232149" w:rsidRPr="00CA4C14" w:rsidRDefault="00232149" w:rsidP="00094543">
      <w:pPr>
        <w:rPr>
          <w:lang w:val="ru-RU"/>
        </w:rPr>
      </w:pPr>
      <w:r w:rsidRPr="00CA4C14">
        <w:rPr>
          <w:lang w:val="ru-RU" w:bidi="ru-RU"/>
        </w:rPr>
        <w:t>МСЭ учитывает ссуды по справедливой стоимости. Сумма непогашенной ссуды была дисконтирована на основании ставки по 30-летним облигациям Швейцарской Конфедерации в размере 0,499% на декабрь 2023 года (1,476% на 2022 г.). Более подробная информация представлена в Примечании 16.</w:t>
      </w:r>
    </w:p>
    <w:p w14:paraId="5B998E05" w14:textId="77777777" w:rsidR="00232149" w:rsidRPr="00CA4C14" w:rsidRDefault="00232149" w:rsidP="00094543">
      <w:pPr>
        <w:rPr>
          <w:lang w:val="ru-RU" w:eastAsia="fr-FR"/>
        </w:rPr>
      </w:pPr>
      <w:r w:rsidRPr="00CA4C14">
        <w:rPr>
          <w:lang w:val="ru-RU" w:bidi="ru-RU"/>
        </w:rPr>
        <w:t>Погашение ссуды, предоставленной для новых помещений МСЭ, начнется только после успешной приемки нового здания в эксплуатацию. Данная ссуда была первоначально признана по справедливой стоимости и впоследствии ее размер будет определяться по амортизированной стоимости. При рассмотрении этой ссуды будет использован подход, аналогичный подходу, который применяется к другим льготным ссудам, предоставленным ФИПОИ. В настоящее время проект строительства МСЭ не начат, и план погашения ссуды не разработан. Как только появится новая информация, МСЭ отразит эти решения в своей финансовой отчетности</w:t>
      </w:r>
      <w:r w:rsidRPr="00CA4C14">
        <w:rPr>
          <w:lang w:val="ru-RU" w:eastAsia="fr-FR"/>
        </w:rPr>
        <w:t>.</w:t>
      </w:r>
    </w:p>
    <w:p w14:paraId="2CEA2F0F" w14:textId="77777777" w:rsidR="00232149" w:rsidRPr="00CA4C14" w:rsidRDefault="00232149" w:rsidP="005021A9">
      <w:pPr>
        <w:rPr>
          <w:lang w:val="ru-RU"/>
        </w:rPr>
      </w:pPr>
      <w:bookmarkStart w:id="178" w:name="lt_pId491"/>
      <w:r w:rsidRPr="00CA4C14">
        <w:rPr>
          <w:lang w:val="ru-RU"/>
        </w:rPr>
        <w:t xml:space="preserve">Здания штаб-квартиры МСЭ расположены на земельном участке, принадлежащем кантону Женева. </w:t>
      </w:r>
      <w:r w:rsidRPr="00CA4C14">
        <w:rPr>
          <w:rFonts w:eastAsia="Calibri" w:cs="Calibri"/>
          <w:lang w:val="ru-RU"/>
        </w:rPr>
        <w:t>МСЭ</w:t>
      </w:r>
      <w:r w:rsidRPr="00CA4C14">
        <w:rPr>
          <w:lang w:val="ru-RU"/>
        </w:rPr>
        <w:t xml:space="preserve"> имеет право </w:t>
      </w:r>
      <w:proofErr w:type="spellStart"/>
      <w:r w:rsidRPr="00CA4C14">
        <w:rPr>
          <w:lang w:val="ru-RU"/>
        </w:rPr>
        <w:t>суперфиция</w:t>
      </w:r>
      <w:proofErr w:type="spellEnd"/>
      <w:r w:rsidRPr="00CA4C14">
        <w:rPr>
          <w:lang w:val="ru-RU"/>
        </w:rPr>
        <w:t xml:space="preserve"> на земельный участок, принадлежащий кантону Женева. По соглашению о праве </w:t>
      </w:r>
      <w:proofErr w:type="spellStart"/>
      <w:r w:rsidRPr="00CA4C14">
        <w:rPr>
          <w:lang w:val="ru-RU"/>
        </w:rPr>
        <w:t>суперфиция</w:t>
      </w:r>
      <w:proofErr w:type="spellEnd"/>
      <w:r w:rsidRPr="00CA4C14">
        <w:rPr>
          <w:lang w:val="ru-RU"/>
        </w:rPr>
        <w:t xml:space="preserve"> ("</w:t>
      </w:r>
      <w:proofErr w:type="spellStart"/>
      <w:r w:rsidRPr="00CA4C14">
        <w:rPr>
          <w:lang w:val="ru-RU"/>
        </w:rPr>
        <w:t>droits</w:t>
      </w:r>
      <w:proofErr w:type="spellEnd"/>
      <w:r w:rsidRPr="00CA4C14">
        <w:rPr>
          <w:lang w:val="ru-RU"/>
        </w:rPr>
        <w:t xml:space="preserve"> de </w:t>
      </w:r>
      <w:proofErr w:type="spellStart"/>
      <w:r w:rsidRPr="00CA4C14">
        <w:rPr>
          <w:lang w:val="ru-RU"/>
        </w:rPr>
        <w:t>superficie</w:t>
      </w:r>
      <w:proofErr w:type="spellEnd"/>
      <w:r w:rsidRPr="00CA4C14">
        <w:rPr>
          <w:lang w:val="ru-RU"/>
        </w:rPr>
        <w:t xml:space="preserve">") МСЭ имеет право пользования земельным участком до 31 декабря 2079 года. МСЭ не является собственником этого земельного участка, а право </w:t>
      </w:r>
      <w:proofErr w:type="spellStart"/>
      <w:r w:rsidRPr="00CA4C14">
        <w:rPr>
          <w:lang w:val="ru-RU"/>
        </w:rPr>
        <w:t>суперфиция</w:t>
      </w:r>
      <w:proofErr w:type="spellEnd"/>
      <w:r w:rsidRPr="00CA4C14">
        <w:rPr>
          <w:lang w:val="ru-RU"/>
        </w:rPr>
        <w:t xml:space="preserve"> предоставляется бесплатно. Никакая стоимость земельного участка не отражена в бухгалтерском учете, поскольку МСЭ не может распоряжаться этими правами в рамках коммерческих сделок. Срок полезного использования, взятый для расчета амортизации зданий штаб</w:t>
      </w:r>
      <w:r w:rsidRPr="00CA4C14">
        <w:rPr>
          <w:lang w:val="ru-RU"/>
        </w:rPr>
        <w:noBreakHyphen/>
        <w:t xml:space="preserve">квартиры МСЭ, равен сроку полезного использования соответствующих элементов здания штаб-квартиры МСЭ или сроку действия соответствующего соглашения о праве </w:t>
      </w:r>
      <w:proofErr w:type="spellStart"/>
      <w:r w:rsidRPr="00CA4C14">
        <w:rPr>
          <w:lang w:val="ru-RU"/>
        </w:rPr>
        <w:t>суперфиция</w:t>
      </w:r>
      <w:proofErr w:type="spellEnd"/>
      <w:r w:rsidRPr="00CA4C14">
        <w:rPr>
          <w:lang w:val="ru-RU"/>
        </w:rPr>
        <w:t>, при этом используется наименьший срок.</w:t>
      </w:r>
    </w:p>
    <w:bookmarkEnd w:id="178"/>
    <w:p w14:paraId="2F1C12BD" w14:textId="77777777" w:rsidR="00232149" w:rsidRPr="00CA4C14" w:rsidRDefault="00232149" w:rsidP="00A7491F">
      <w:pPr>
        <w:pStyle w:val="Headingi"/>
        <w:rPr>
          <w:lang w:val="ru-RU"/>
        </w:rPr>
      </w:pPr>
      <w:r w:rsidRPr="00CA4C14">
        <w:rPr>
          <w:lang w:val="ru-RU"/>
        </w:rPr>
        <w:t>3.2.4</w:t>
      </w:r>
      <w:r w:rsidRPr="00CA4C14">
        <w:rPr>
          <w:lang w:val="ru-RU"/>
        </w:rPr>
        <w:tab/>
        <w:t xml:space="preserve">Долговые обязательства </w:t>
      </w:r>
    </w:p>
    <w:p w14:paraId="6307B0A7" w14:textId="77777777" w:rsidR="00232149" w:rsidRPr="00CA4C14" w:rsidRDefault="00232149" w:rsidP="005021A9">
      <w:pPr>
        <w:rPr>
          <w:lang w:val="ru-RU"/>
        </w:rPr>
      </w:pPr>
      <w:bookmarkStart w:id="179" w:name="lt_pId499"/>
      <w:r w:rsidRPr="00CA4C14">
        <w:rPr>
          <w:lang w:val="ru-RU"/>
        </w:rPr>
        <w:t>Долговые обязательства МСЭ классифицируются как долговые обязательства и ссуды, являющиеся непроизводными финансовыми активами с установленными или определимыми сроками действия, которые не обращаются на активном рынке.</w:t>
      </w:r>
      <w:bookmarkEnd w:id="179"/>
      <w:r w:rsidRPr="00CA4C14">
        <w:rPr>
          <w:lang w:val="ru-RU"/>
        </w:rPr>
        <w:t xml:space="preserve">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w:t>
      </w:r>
      <w:r w:rsidRPr="00CA4C14">
        <w:rPr>
          <w:rFonts w:eastAsia="Calibri" w:cs="Calibri"/>
          <w:lang w:val="ru-RU"/>
        </w:rPr>
        <w:t>классифицируются как</w:t>
      </w:r>
      <w:r w:rsidRPr="00CA4C14">
        <w:rPr>
          <w:lang w:val="ru-RU"/>
        </w:rPr>
        <w:t xml:space="preserve"> текущие активы, за исключением тех из них, срок действия которых превышает 12 месяцев после даты закрытия счетов и которые классифицируются как </w:t>
      </w:r>
      <w:proofErr w:type="spellStart"/>
      <w:r w:rsidRPr="00CA4C14">
        <w:rPr>
          <w:lang w:val="ru-RU"/>
        </w:rPr>
        <w:t>нетекущие</w:t>
      </w:r>
      <w:proofErr w:type="spellEnd"/>
      <w:r w:rsidRPr="00CA4C14">
        <w:rPr>
          <w:lang w:val="ru-RU"/>
        </w:rPr>
        <w:t xml:space="preserve"> активы.</w:t>
      </w:r>
    </w:p>
    <w:p w14:paraId="3910E843" w14:textId="77777777" w:rsidR="00232149" w:rsidRPr="00CA4C14" w:rsidRDefault="00232149" w:rsidP="005021A9">
      <w:pPr>
        <w:rPr>
          <w:lang w:val="ru-RU"/>
        </w:rPr>
      </w:pPr>
      <w:bookmarkStart w:id="180" w:name="lt_pId502"/>
      <w:r w:rsidRPr="00CA4C14">
        <w:rPr>
          <w:lang w:val="ru-RU"/>
        </w:rPr>
        <w:t xml:space="preserve">Долговые обязательства делятся на две категории: долговые обязательства по обменным </w:t>
      </w:r>
      <w:r w:rsidRPr="00CA4C14">
        <w:rPr>
          <w:rFonts w:eastAsia="Calibri" w:cs="Calibri"/>
          <w:lang w:val="ru-RU"/>
        </w:rPr>
        <w:t>операциям</w:t>
      </w:r>
      <w:r w:rsidRPr="00CA4C14">
        <w:rPr>
          <w:lang w:val="ru-RU"/>
        </w:rPr>
        <w:t>, например связанные с деятельностью по продаже публикаций или заявками на регистрацию спутниковых сетей; и долговые обязательства по необменным операциям, в первую очередь связанные с начисленными взносами в МСЭ, а также с добровольными взносами и спонсорской поддержкой.</w:t>
      </w:r>
    </w:p>
    <w:p w14:paraId="58AB13E7" w14:textId="77777777" w:rsidR="00232149" w:rsidRPr="00CA4C14" w:rsidRDefault="00232149" w:rsidP="005021A9">
      <w:pPr>
        <w:rPr>
          <w:lang w:val="ru-RU"/>
        </w:rPr>
      </w:pPr>
      <w:bookmarkStart w:id="181" w:name="lt_pId503"/>
      <w:bookmarkEnd w:id="180"/>
      <w:r w:rsidRPr="00CA4C14">
        <w:rPr>
          <w:lang w:val="ru-RU"/>
        </w:rPr>
        <w:t xml:space="preserve">Долговые обязательства учитываются по амортизированной стоимости. Данная сумма </w:t>
      </w:r>
      <w:r w:rsidRPr="00CA4C14">
        <w:rPr>
          <w:rFonts w:eastAsia="Calibri" w:cs="Calibri"/>
          <w:lang w:val="ru-RU"/>
        </w:rPr>
        <w:t>корректируется</w:t>
      </w:r>
      <w:r w:rsidRPr="00CA4C14">
        <w:rPr>
          <w:lang w:val="ru-RU"/>
        </w:rPr>
        <w:t xml:space="preserve"> с учетом резервного фонда под сомнительные долги в ходе рассмотрения сомнительных долгов в момент годового закрытия счетов.</w:t>
      </w:r>
    </w:p>
    <w:p w14:paraId="36275C49" w14:textId="77777777" w:rsidR="00232149" w:rsidRPr="00CA4C14" w:rsidRDefault="00232149" w:rsidP="005021A9">
      <w:pPr>
        <w:rPr>
          <w:color w:val="000000"/>
          <w:lang w:val="ru-RU"/>
        </w:rPr>
      </w:pPr>
      <w:bookmarkStart w:id="182" w:name="lt_pId505"/>
      <w:bookmarkEnd w:id="181"/>
      <w:r w:rsidRPr="00CA4C14">
        <w:rPr>
          <w:lang w:val="ru-RU"/>
        </w:rPr>
        <w:t xml:space="preserve">На каждую отчетную дату МСЭ оценивает наличие объективных свидетельств обесценения финансового актива. Финансовый актив или группа финансовых активов считаются обесцененными тогда и только тогда, когда существуют объективные доказательства </w:t>
      </w:r>
      <w:r w:rsidRPr="00CA4C14">
        <w:rPr>
          <w:rFonts w:eastAsia="Calibri" w:cs="Calibri"/>
          <w:lang w:val="ru-RU"/>
        </w:rPr>
        <w:t>обесценения</w:t>
      </w:r>
      <w:r w:rsidRPr="00CA4C14">
        <w:rPr>
          <w:lang w:val="ru-RU"/>
        </w:rPr>
        <w:t xml:space="preserve"> в результате одного или нескольких событий, произошедших после первоначального признания актива и оказывающих влияние на расчетные будущие денежные </w:t>
      </w:r>
      <w:r w:rsidRPr="00CA4C14">
        <w:rPr>
          <w:lang w:val="ru-RU"/>
        </w:rPr>
        <w:lastRenderedPageBreak/>
        <w:t xml:space="preserve">потоки финансового актива или группы финансовых активов, которые можно надежно оценить </w:t>
      </w:r>
      <w:bookmarkStart w:id="183" w:name="lt_pId507"/>
      <w:bookmarkEnd w:id="182"/>
      <w:r w:rsidRPr="00CA4C14">
        <w:rPr>
          <w:lang w:val="ru-RU"/>
        </w:rPr>
        <w:t>Балансовая стоимость актива уменьшается с использованием счета резерва, а сумма убытка признается как активное сальдо или дефицит. Если в последующий год сумма предполагаемого убытка от обесценения увеличивается или уменьшается из-за события, произошедшего после признания обесценения, то ранее признанный убыток от обесценения увеличивается или уменьшается путем корректировки счета резерва. Если списание позднее восстанавливается, то оно зачисляется в счет активного сальдо или дефицита доходов.</w:t>
      </w:r>
      <w:bookmarkEnd w:id="183"/>
    </w:p>
    <w:p w14:paraId="1F0C2E6B" w14:textId="77777777" w:rsidR="00232149" w:rsidRPr="00CA4C14" w:rsidRDefault="00232149" w:rsidP="00B91496">
      <w:pPr>
        <w:pStyle w:val="Heading3"/>
        <w:rPr>
          <w:lang w:val="ru-RU"/>
        </w:rPr>
      </w:pPr>
      <w:bookmarkStart w:id="184" w:name="_Toc582192861"/>
      <w:bookmarkStart w:id="185" w:name="_Toc164845540"/>
      <w:bookmarkStart w:id="186" w:name="_Toc168578455"/>
      <w:bookmarkStart w:id="187" w:name="_Toc168578830"/>
      <w:r w:rsidRPr="00CA4C14">
        <w:rPr>
          <w:lang w:val="ru-RU"/>
        </w:rPr>
        <w:t>3.3</w:t>
      </w:r>
      <w:r w:rsidRPr="00CA4C14">
        <w:rPr>
          <w:lang w:val="ru-RU"/>
        </w:rPr>
        <w:tab/>
      </w:r>
      <w:bookmarkEnd w:id="184"/>
      <w:bookmarkEnd w:id="185"/>
      <w:r w:rsidRPr="00CA4C14">
        <w:rPr>
          <w:lang w:val="ru-RU" w:bidi="ru-RU"/>
        </w:rPr>
        <w:t>Внедрение новых стандартов IPSAS</w:t>
      </w:r>
      <w:bookmarkEnd w:id="186"/>
      <w:bookmarkEnd w:id="187"/>
    </w:p>
    <w:p w14:paraId="315D86CE" w14:textId="19BA29CA" w:rsidR="00232149" w:rsidRPr="00CA4C14" w:rsidRDefault="00232149" w:rsidP="00094543">
      <w:pPr>
        <w:rPr>
          <w:rFonts w:asciiTheme="minorHAnsi" w:hAnsiTheme="minorHAnsi" w:cstheme="minorBidi"/>
          <w:lang w:val="ru-RU"/>
        </w:rPr>
      </w:pPr>
      <w:r w:rsidRPr="00CA4C14">
        <w:rPr>
          <w:lang w:val="ru-RU" w:bidi="ru-RU"/>
        </w:rPr>
        <w:t xml:space="preserve">Были пересмотрены два новых основных стандарта бухгалтерского учета на </w:t>
      </w:r>
      <w:bookmarkStart w:id="188" w:name="_Int_VplMx4bv"/>
      <w:r w:rsidRPr="00CA4C14">
        <w:rPr>
          <w:lang w:val="ru-RU" w:bidi="ru-RU"/>
        </w:rPr>
        <w:t>финансовый 2023 год</w:t>
      </w:r>
      <w:bookmarkEnd w:id="188"/>
      <w:r w:rsidRPr="00CA4C14">
        <w:rPr>
          <w:lang w:val="ru-RU" w:bidi="ru-RU"/>
        </w:rPr>
        <w:t>: IPSAS 41 "Финансовые инструменты" и IPSAS 42 "Социальные выплаты".</w:t>
      </w:r>
    </w:p>
    <w:p w14:paraId="6C094EB2" w14:textId="77777777" w:rsidR="00232149" w:rsidRPr="00CA4C14" w:rsidRDefault="00232149" w:rsidP="00094543">
      <w:pPr>
        <w:rPr>
          <w:rFonts w:asciiTheme="minorHAnsi" w:hAnsiTheme="minorHAnsi" w:cstheme="minorHAnsi"/>
          <w:szCs w:val="24"/>
          <w:lang w:val="ru-RU"/>
        </w:rPr>
      </w:pPr>
      <w:r w:rsidRPr="00CA4C14">
        <w:rPr>
          <w:lang w:val="ru-RU" w:bidi="ru-RU"/>
        </w:rPr>
        <w:t>Стандарт IPSAS 42 призван установить принципы и требования для признания, определения размера и представления социальных выплат в финансовой отчетности. В результате анализа было установлено, что IPSAS 42 не повлиял на финансовую отчетность МСЭ и поэтому не был принят.</w:t>
      </w:r>
    </w:p>
    <w:p w14:paraId="3C1CF5E8" w14:textId="2E4CEDFF" w:rsidR="00232149" w:rsidRPr="00CA4C14" w:rsidRDefault="00232149" w:rsidP="00094543">
      <w:pPr>
        <w:rPr>
          <w:rFonts w:asciiTheme="minorHAnsi" w:hAnsiTheme="minorHAnsi" w:cstheme="minorBidi"/>
          <w:lang w:val="ru-RU"/>
        </w:rPr>
      </w:pPr>
      <w:r w:rsidRPr="00CA4C14">
        <w:rPr>
          <w:lang w:val="ru-RU" w:bidi="ru-RU"/>
        </w:rPr>
        <w:t xml:space="preserve">IPSAS 41: этот новый стандарт заменяет IPSAS 29, расширяя принципы финансовой отчетности по финансовым активам и обязательствам. Этот стандарт играет ключевую роль в оценке сумм, установлении сроков и неопределенности будущих денежных потоков организации. В частности, переход на IPSAS 41 повлиял на нашу финансовую отчетность </w:t>
      </w:r>
      <w:bookmarkStart w:id="189" w:name="_Int_T0u7GanI"/>
      <w:r w:rsidRPr="00CA4C14">
        <w:rPr>
          <w:lang w:val="ru-RU" w:bidi="ru-RU"/>
        </w:rPr>
        <w:t>в части пояснительных примечаний</w:t>
      </w:r>
      <w:bookmarkEnd w:id="189"/>
      <w:r w:rsidRPr="00CA4C14">
        <w:rPr>
          <w:lang w:val="ru-RU" w:bidi="ru-RU"/>
        </w:rPr>
        <w:t>. Изменения включают в себя терминологические корректировки и вводят требование о расчете ожидаемых кредитных убытков (ECL). При внедрении этого стандарта МСЭ использовал рекомендации финансово-бюджетной сети Организации Объединенных Наций. Более подробная информация о внедрении данного стандарта содержится в Примечании 5</w:t>
      </w:r>
      <w:r w:rsidRPr="00CA4C14">
        <w:rPr>
          <w:rFonts w:asciiTheme="minorHAnsi" w:hAnsiTheme="minorHAnsi" w:cstheme="minorBidi"/>
          <w:lang w:val="ru-RU"/>
        </w:rPr>
        <w:t>.</w:t>
      </w:r>
    </w:p>
    <w:p w14:paraId="3E1286D8" w14:textId="77777777" w:rsidR="00232149" w:rsidRPr="00CA4C14" w:rsidRDefault="00232149" w:rsidP="00094543">
      <w:pPr>
        <w:pStyle w:val="Headingb"/>
        <w:rPr>
          <w:lang w:val="ru-RU"/>
        </w:rPr>
      </w:pPr>
      <w:r w:rsidRPr="00CA4C14">
        <w:rPr>
          <w:lang w:val="ru-RU" w:bidi="ru-RU"/>
        </w:rPr>
        <w:t>Классификация и оценка финансовых инструментов МСЭ</w:t>
      </w:r>
    </w:p>
    <w:p w14:paraId="67CBE3D5" w14:textId="15E1F996" w:rsidR="00232149" w:rsidRPr="00CA4C14" w:rsidRDefault="00232149" w:rsidP="00094543">
      <w:pPr>
        <w:rPr>
          <w:lang w:val="ru-RU"/>
        </w:rPr>
      </w:pPr>
      <w:r w:rsidRPr="00CA4C14">
        <w:rPr>
          <w:lang w:val="ru-RU" w:bidi="ru-RU"/>
        </w:rPr>
        <w:t>Финансовые инструменты отражаются в учете с даты заключения сделки, когда МСЭ становится стороной договорных положений инструмента, до тех пор, пока не истечет срок действия прав на получение денежных потоков от этих активов или пока такие права не будут переданы, и Организация не передаст практически все риски и выгоды, связанные с правом собственности.</w:t>
      </w:r>
    </w:p>
    <w:p w14:paraId="13F05AA4" w14:textId="77777777" w:rsidR="00232149" w:rsidRPr="00CA4C14" w:rsidRDefault="00232149" w:rsidP="00094543">
      <w:pPr>
        <w:rPr>
          <w:lang w:val="ru-RU"/>
        </w:rPr>
      </w:pPr>
      <w:r w:rsidRPr="00CA4C14">
        <w:rPr>
          <w:lang w:val="ru-RU" w:bidi="ru-RU"/>
        </w:rPr>
        <w:t xml:space="preserve">При подготовке настоящей финансовой отчетности в отношении финансовой отчетности по финансовым активам применялись принципы IPSAS 41, </w:t>
      </w:r>
      <w:proofErr w:type="gramStart"/>
      <w:r w:rsidRPr="00CA4C14">
        <w:rPr>
          <w:lang w:val="ru-RU" w:bidi="ru-RU"/>
        </w:rPr>
        <w:t>и</w:t>
      </w:r>
      <w:proofErr w:type="gramEnd"/>
      <w:r w:rsidRPr="00CA4C14">
        <w:rPr>
          <w:lang w:val="ru-RU" w:bidi="ru-RU"/>
        </w:rPr>
        <w:t xml:space="preserve"> в связи с этим при определении классификации и оценки финансовых активов и обязательств были рассмотрены следующие критерии:</w:t>
      </w:r>
    </w:p>
    <w:p w14:paraId="06D20D83" w14:textId="336D79B2" w:rsidR="00232149" w:rsidRPr="00CA4C14" w:rsidRDefault="00232149" w:rsidP="00094543">
      <w:pPr>
        <w:pStyle w:val="enumlev1"/>
        <w:rPr>
          <w:lang w:val="ru-RU"/>
        </w:rPr>
      </w:pPr>
      <w:r w:rsidRPr="00CA4C14">
        <w:rPr>
          <w:lang w:val="ru-RU" w:bidi="ru-RU"/>
        </w:rPr>
        <w:t>a)</w:t>
      </w:r>
      <w:r w:rsidRPr="00CA4C14">
        <w:rPr>
          <w:lang w:val="ru-RU" w:bidi="ru-RU"/>
        </w:rPr>
        <w:tab/>
        <w:t>бизнес-модель управления финансовыми активами и обязательствами; и</w:t>
      </w:r>
    </w:p>
    <w:p w14:paraId="435D1C74" w14:textId="77777777" w:rsidR="00232149" w:rsidRPr="00CA4C14" w:rsidRDefault="00232149" w:rsidP="00094543">
      <w:pPr>
        <w:pStyle w:val="enumlev1"/>
        <w:rPr>
          <w:lang w:val="ru-RU"/>
        </w:rPr>
      </w:pPr>
      <w:r w:rsidRPr="00CA4C14">
        <w:rPr>
          <w:lang w:val="ru-RU" w:bidi="ru-RU"/>
        </w:rPr>
        <w:t>b)</w:t>
      </w:r>
      <w:r w:rsidRPr="00CA4C14">
        <w:rPr>
          <w:lang w:val="ru-RU" w:bidi="ru-RU"/>
        </w:rPr>
        <w:tab/>
        <w:t>характеристики потоков денежных средств в рамках договоров по финансовым активам и обязательствам.</w:t>
      </w:r>
    </w:p>
    <w:p w14:paraId="66195B04" w14:textId="77777777" w:rsidR="00232149" w:rsidRPr="00CA4C14" w:rsidRDefault="00232149" w:rsidP="00094543">
      <w:pPr>
        <w:rPr>
          <w:lang w:val="ru-RU"/>
        </w:rPr>
      </w:pPr>
      <w:r w:rsidRPr="00CA4C14">
        <w:rPr>
          <w:lang w:val="ru-RU" w:bidi="ru-RU"/>
        </w:rPr>
        <w:t>Эти критерии классификации определяют, какую из баз оценки следует применять в соответствии с IPSAS 41 для каждой категории финансовых активов или обязательств: амортизированную стоимость, справедливую стоимость через чистые активы/капитал или справедливую стоимость через активное сальдо или дефицит.</w:t>
      </w:r>
    </w:p>
    <w:p w14:paraId="75C5903A" w14:textId="77777777" w:rsidR="00232149" w:rsidRPr="00CA4C14" w:rsidRDefault="00232149" w:rsidP="00094543">
      <w:pPr>
        <w:rPr>
          <w:lang w:val="ru-RU"/>
        </w:rPr>
      </w:pPr>
      <w:r w:rsidRPr="00CA4C14">
        <w:rPr>
          <w:lang w:val="ru-RU" w:bidi="ru-RU"/>
        </w:rPr>
        <w:t xml:space="preserve">Финансовые активы и обязательства были </w:t>
      </w:r>
      <w:proofErr w:type="spellStart"/>
      <w:r w:rsidRPr="00CA4C14">
        <w:rPr>
          <w:lang w:val="ru-RU" w:bidi="ru-RU"/>
        </w:rPr>
        <w:t>реклассифицированы</w:t>
      </w:r>
      <w:proofErr w:type="spellEnd"/>
      <w:r w:rsidRPr="00CA4C14">
        <w:rPr>
          <w:lang w:val="ru-RU" w:bidi="ru-RU"/>
        </w:rPr>
        <w:t xml:space="preserve"> в соответствии с IPSAS 41 следующим образом:</w:t>
      </w:r>
    </w:p>
    <w:p w14:paraId="373AF0DD" w14:textId="77777777" w:rsidR="00232149" w:rsidRPr="00CA4C14" w:rsidRDefault="00232149" w:rsidP="00094543">
      <w:pPr>
        <w:pStyle w:val="Headingb"/>
        <w:rPr>
          <w:lang w:val="ru-RU"/>
        </w:rPr>
      </w:pPr>
      <w:r w:rsidRPr="00CA4C14">
        <w:rPr>
          <w:lang w:val="ru-RU" w:bidi="ru-RU"/>
        </w:rPr>
        <w:t>Денежные средства и их эквиваленты</w:t>
      </w:r>
    </w:p>
    <w:p w14:paraId="6B37286C" w14:textId="77777777" w:rsidR="00232149" w:rsidRPr="00CA4C14" w:rsidRDefault="00232149" w:rsidP="00094543">
      <w:pPr>
        <w:rPr>
          <w:rFonts w:asciiTheme="minorHAnsi" w:hAnsiTheme="minorHAnsi" w:cstheme="minorBidi"/>
          <w:b/>
          <w:bCs/>
          <w:lang w:val="ru-RU"/>
        </w:rPr>
      </w:pPr>
      <w:r w:rsidRPr="00CA4C14">
        <w:rPr>
          <w:lang w:val="ru-RU" w:bidi="ru-RU"/>
        </w:rPr>
        <w:t xml:space="preserve">Денежные средства и их эквиваленты включают текущие или депозитные счета, инструменты денежного рынка (на срок не более 90 дней), которые предполагают один или два денежных потока, выплату основной суммы и процентов в зависимости от применяемой ставки. Денежные средства на банковских счетах включают денежные средства, имеющиеся МСЭ в </w:t>
      </w:r>
      <w:r w:rsidRPr="00CA4C14">
        <w:rPr>
          <w:lang w:val="ru-RU" w:bidi="ru-RU"/>
        </w:rPr>
        <w:lastRenderedPageBreak/>
        <w:t xml:space="preserve">штаб-квартире и страновых отделениях в различных валютах. Счета открыты </w:t>
      </w:r>
      <w:bookmarkStart w:id="190" w:name="_Int_spNBCEfV"/>
      <w:r w:rsidRPr="00CA4C14">
        <w:rPr>
          <w:lang w:val="ru-RU" w:bidi="ru-RU"/>
        </w:rPr>
        <w:t>для того, чтобы</w:t>
      </w:r>
      <w:bookmarkEnd w:id="190"/>
      <w:r w:rsidRPr="00CA4C14">
        <w:rPr>
          <w:lang w:val="ru-RU" w:bidi="ru-RU"/>
        </w:rPr>
        <w:t xml:space="preserve"> получить предусмотренные договором денежные потоки. Поэтому текущие и депозитные счета будут классифицироваться как оцениваемые по амортизированной стоимости в соответствии с пунктом 40 IPSAS 41.</w:t>
      </w:r>
    </w:p>
    <w:p w14:paraId="3E16A4C8" w14:textId="0EF3A0D3" w:rsidR="00232149" w:rsidRPr="00CA4C14" w:rsidRDefault="00232149" w:rsidP="00094543">
      <w:pPr>
        <w:pStyle w:val="Headingb"/>
        <w:rPr>
          <w:lang w:val="ru-RU"/>
        </w:rPr>
      </w:pPr>
      <w:r w:rsidRPr="00CA4C14">
        <w:rPr>
          <w:lang w:val="ru-RU" w:bidi="ru-RU"/>
        </w:rPr>
        <w:t>Ссуды и дебиторская задолженность</w:t>
      </w:r>
    </w:p>
    <w:p w14:paraId="05BC55B7" w14:textId="77777777" w:rsidR="00232149" w:rsidRPr="00CA4C14" w:rsidRDefault="00232149" w:rsidP="00094543">
      <w:pPr>
        <w:rPr>
          <w:rFonts w:asciiTheme="minorHAnsi" w:eastAsiaTheme="majorEastAsia" w:hAnsiTheme="minorHAnsi" w:cstheme="minorHAnsi"/>
          <w:szCs w:val="24"/>
          <w:lang w:val="ru-RU"/>
        </w:rPr>
      </w:pPr>
      <w:r w:rsidRPr="00CA4C14">
        <w:rPr>
          <w:lang w:val="ru-RU" w:bidi="ru-RU"/>
        </w:rPr>
        <w:t>Дебиторская задолженность по необменным операциям, соглашениям о добровольных взносах, прочая дебиторская задолженность и инвестиции в срочные депозиты и прочие связанные инструменты оцениваются по амортизированной стоимости.</w:t>
      </w:r>
      <w:bookmarkStart w:id="191" w:name="_Hlk131677249"/>
      <w:r w:rsidRPr="00CA4C14">
        <w:rPr>
          <w:lang w:val="ru-RU" w:bidi="ru-RU"/>
        </w:rPr>
        <w:t xml:space="preserve"> МСЭ не имеет в своем текущем портфеле инвестиций в долевые или производные инструменты.</w:t>
      </w:r>
    </w:p>
    <w:bookmarkEnd w:id="191"/>
    <w:p w14:paraId="253104C8" w14:textId="77777777" w:rsidR="00232149" w:rsidRPr="00CA4C14" w:rsidRDefault="00232149" w:rsidP="00094543">
      <w:pPr>
        <w:spacing w:after="120"/>
        <w:rPr>
          <w:rFonts w:asciiTheme="minorHAnsi" w:hAnsiTheme="minorHAnsi" w:cstheme="minorHAnsi"/>
          <w:szCs w:val="24"/>
          <w:lang w:val="ru-RU"/>
        </w:rPr>
      </w:pPr>
      <w:r w:rsidRPr="00CA4C14">
        <w:rPr>
          <w:lang w:val="ru-RU" w:bidi="ru-RU"/>
        </w:rPr>
        <w:t>В таблице ниже представлена классификация наиболее распространенных видов финансовых активов МСЭ, которая была определена на основе группы финансовых активов в соответствии с тестами "Модель управления МСЭ" и "Выплата исключительно основного долга и процентов" (SPPI) для заключения о соответствующей классификационной категории</w:t>
      </w:r>
      <w:r w:rsidRPr="00CA4C14">
        <w:rPr>
          <w:rFonts w:asciiTheme="minorHAnsi" w:hAnsiTheme="minorHAnsi" w:cstheme="minorHAnsi"/>
          <w:szCs w:val="24"/>
          <w:lang w:val="ru-RU"/>
        </w:rPr>
        <w:t>:</w:t>
      </w:r>
    </w:p>
    <w:tbl>
      <w:tblPr>
        <w:tblStyle w:val="TableGrid"/>
        <w:tblW w:w="5000" w:type="pct"/>
        <w:tblLayout w:type="fixed"/>
        <w:tblCellMar>
          <w:left w:w="57" w:type="dxa"/>
          <w:right w:w="57" w:type="dxa"/>
        </w:tblCellMar>
        <w:tblLook w:val="04A0" w:firstRow="1" w:lastRow="0" w:firstColumn="1" w:lastColumn="0" w:noHBand="0" w:noVBand="1"/>
      </w:tblPr>
      <w:tblGrid>
        <w:gridCol w:w="1556"/>
        <w:gridCol w:w="2127"/>
        <w:gridCol w:w="1558"/>
        <w:gridCol w:w="1375"/>
        <w:gridCol w:w="892"/>
        <w:gridCol w:w="1553"/>
      </w:tblGrid>
      <w:tr w:rsidR="00232149" w:rsidRPr="009A3216" w14:paraId="1053180E" w14:textId="77777777" w:rsidTr="00F81957">
        <w:trPr>
          <w:tblHeader/>
        </w:trPr>
        <w:tc>
          <w:tcPr>
            <w:tcW w:w="858" w:type="pct"/>
            <w:vMerge w:val="restart"/>
            <w:shd w:val="clear" w:color="auto" w:fill="0070C0"/>
            <w:vAlign w:val="center"/>
          </w:tcPr>
          <w:p w14:paraId="64912214" w14:textId="77777777" w:rsidR="00232149" w:rsidRPr="00CA4C14" w:rsidRDefault="00232149" w:rsidP="0061108A">
            <w:pPr>
              <w:pStyle w:val="Tablehead"/>
              <w:rPr>
                <w:lang w:val="ru-RU"/>
              </w:rPr>
            </w:pPr>
            <w:bookmarkStart w:id="192" w:name="_Toc150172439"/>
            <w:r w:rsidRPr="00CA4C14">
              <w:rPr>
                <w:lang w:val="ru-RU" w:bidi="ru-RU"/>
              </w:rPr>
              <w:t>Портфель/категория активов</w:t>
            </w:r>
          </w:p>
        </w:tc>
        <w:tc>
          <w:tcPr>
            <w:tcW w:w="1173" w:type="pct"/>
            <w:vMerge w:val="restart"/>
            <w:shd w:val="clear" w:color="auto" w:fill="0070C0"/>
            <w:vAlign w:val="center"/>
          </w:tcPr>
          <w:p w14:paraId="2ED546AA" w14:textId="77777777" w:rsidR="00232149" w:rsidRPr="00CA4C14" w:rsidRDefault="00232149" w:rsidP="0061108A">
            <w:pPr>
              <w:pStyle w:val="Tablehead"/>
              <w:rPr>
                <w:lang w:val="ru-RU"/>
              </w:rPr>
            </w:pPr>
            <w:r w:rsidRPr="00CA4C14">
              <w:rPr>
                <w:lang w:val="ru-RU" w:bidi="ru-RU"/>
              </w:rPr>
              <w:t>Финансовый актив</w:t>
            </w:r>
          </w:p>
        </w:tc>
        <w:tc>
          <w:tcPr>
            <w:tcW w:w="860" w:type="pct"/>
            <w:vMerge w:val="restart"/>
            <w:shd w:val="clear" w:color="auto" w:fill="0070C0"/>
            <w:vAlign w:val="center"/>
          </w:tcPr>
          <w:p w14:paraId="4704A2BA" w14:textId="3246272F" w:rsidR="00232149" w:rsidRPr="00CA4C14" w:rsidRDefault="00232149" w:rsidP="0061108A">
            <w:pPr>
              <w:pStyle w:val="Tablehead"/>
              <w:rPr>
                <w:lang w:val="ru-RU"/>
              </w:rPr>
            </w:pPr>
            <w:r w:rsidRPr="00CA4C14">
              <w:rPr>
                <w:lang w:val="ru-RU" w:bidi="ru-RU"/>
              </w:rPr>
              <w:t xml:space="preserve">Классификация </w:t>
            </w:r>
            <w:r w:rsidR="007A6F16" w:rsidRPr="00CA4C14">
              <w:rPr>
                <w:lang w:val="ru-RU" w:bidi="ru-RU"/>
              </w:rPr>
              <w:br/>
            </w:r>
            <w:r w:rsidRPr="00CA4C14">
              <w:rPr>
                <w:lang w:val="ru-RU" w:bidi="ru-RU"/>
              </w:rPr>
              <w:t>в соответствии с</w:t>
            </w:r>
            <w:r w:rsidR="007A6F16" w:rsidRPr="00CA4C14">
              <w:rPr>
                <w:lang w:val="ru-RU" w:bidi="ru-RU"/>
              </w:rPr>
              <w:t> </w:t>
            </w:r>
            <w:r w:rsidRPr="00CA4C14">
              <w:rPr>
                <w:lang w:val="ru-RU" w:bidi="ru-RU"/>
              </w:rPr>
              <w:t>IPSAS 29</w:t>
            </w:r>
          </w:p>
        </w:tc>
        <w:tc>
          <w:tcPr>
            <w:tcW w:w="2108" w:type="pct"/>
            <w:gridSpan w:val="3"/>
            <w:shd w:val="clear" w:color="auto" w:fill="0070C0"/>
            <w:vAlign w:val="center"/>
          </w:tcPr>
          <w:p w14:paraId="17E3918A" w14:textId="77777777" w:rsidR="00232149" w:rsidRPr="00CA4C14" w:rsidRDefault="00232149" w:rsidP="0061108A">
            <w:pPr>
              <w:pStyle w:val="Tablehead"/>
              <w:rPr>
                <w:lang w:val="ru-RU"/>
              </w:rPr>
            </w:pPr>
            <w:r w:rsidRPr="00CA4C14">
              <w:rPr>
                <w:lang w:val="ru-RU" w:bidi="ru-RU"/>
              </w:rPr>
              <w:t>Классификация в соответствии с IPSAS 41</w:t>
            </w:r>
          </w:p>
        </w:tc>
      </w:tr>
      <w:tr w:rsidR="00F81957" w:rsidRPr="00CA4C14" w14:paraId="0DF9A084" w14:textId="77777777" w:rsidTr="00F81957">
        <w:trPr>
          <w:tblHeader/>
        </w:trPr>
        <w:tc>
          <w:tcPr>
            <w:tcW w:w="858" w:type="pct"/>
            <w:vMerge/>
            <w:shd w:val="clear" w:color="auto" w:fill="0070C0"/>
          </w:tcPr>
          <w:p w14:paraId="5ECE780C" w14:textId="77777777" w:rsidR="00232149" w:rsidRPr="00CA4C14" w:rsidRDefault="00232149" w:rsidP="0061108A">
            <w:pPr>
              <w:pStyle w:val="Tablehead"/>
              <w:rPr>
                <w:lang w:val="ru-RU"/>
              </w:rPr>
            </w:pPr>
          </w:p>
        </w:tc>
        <w:tc>
          <w:tcPr>
            <w:tcW w:w="1173" w:type="pct"/>
            <w:vMerge/>
            <w:shd w:val="clear" w:color="auto" w:fill="0070C0"/>
            <w:vAlign w:val="center"/>
          </w:tcPr>
          <w:p w14:paraId="31E04F95" w14:textId="77777777" w:rsidR="00232149" w:rsidRPr="00CA4C14" w:rsidRDefault="00232149" w:rsidP="0061108A">
            <w:pPr>
              <w:pStyle w:val="Tablehead"/>
              <w:rPr>
                <w:lang w:val="ru-RU"/>
              </w:rPr>
            </w:pPr>
          </w:p>
        </w:tc>
        <w:tc>
          <w:tcPr>
            <w:tcW w:w="860" w:type="pct"/>
            <w:vMerge/>
            <w:shd w:val="clear" w:color="auto" w:fill="0070C0"/>
          </w:tcPr>
          <w:p w14:paraId="0559DE33" w14:textId="77777777" w:rsidR="00232149" w:rsidRPr="00CA4C14" w:rsidRDefault="00232149" w:rsidP="0061108A">
            <w:pPr>
              <w:pStyle w:val="Tablehead"/>
              <w:rPr>
                <w:lang w:val="ru-RU"/>
              </w:rPr>
            </w:pPr>
          </w:p>
        </w:tc>
        <w:tc>
          <w:tcPr>
            <w:tcW w:w="759" w:type="pct"/>
            <w:shd w:val="clear" w:color="auto" w:fill="0070C0"/>
            <w:vAlign w:val="center"/>
          </w:tcPr>
          <w:p w14:paraId="63AE008C" w14:textId="77777777" w:rsidR="00232149" w:rsidRPr="00CA4C14" w:rsidRDefault="00232149" w:rsidP="0061108A">
            <w:pPr>
              <w:pStyle w:val="Tablehead"/>
              <w:rPr>
                <w:lang w:val="ru-RU"/>
              </w:rPr>
            </w:pPr>
            <w:r w:rsidRPr="00CA4C14">
              <w:rPr>
                <w:lang w:val="ru-RU" w:bidi="ru-RU"/>
              </w:rPr>
              <w:t>Тест модели управления</w:t>
            </w:r>
          </w:p>
        </w:tc>
        <w:tc>
          <w:tcPr>
            <w:tcW w:w="492" w:type="pct"/>
            <w:shd w:val="clear" w:color="auto" w:fill="0070C0"/>
            <w:vAlign w:val="center"/>
          </w:tcPr>
          <w:p w14:paraId="2557F9A4" w14:textId="77777777" w:rsidR="00232149" w:rsidRPr="00CA4C14" w:rsidRDefault="00232149" w:rsidP="0061108A">
            <w:pPr>
              <w:pStyle w:val="Tablehead"/>
              <w:rPr>
                <w:lang w:val="ru-RU"/>
              </w:rPr>
            </w:pPr>
            <w:r w:rsidRPr="00CA4C14">
              <w:rPr>
                <w:lang w:val="ru-RU" w:bidi="ru-RU"/>
              </w:rPr>
              <w:t>Тест SPPI</w:t>
            </w:r>
            <w:r w:rsidRPr="00CA4C14">
              <w:rPr>
                <w:rStyle w:val="FootnoteReference"/>
                <w:b w:val="0"/>
                <w:lang w:val="ru-RU" w:bidi="ru-RU"/>
              </w:rPr>
              <w:footnoteReference w:id="1"/>
            </w:r>
          </w:p>
        </w:tc>
        <w:tc>
          <w:tcPr>
            <w:tcW w:w="857" w:type="pct"/>
            <w:shd w:val="clear" w:color="auto" w:fill="0070C0"/>
            <w:vAlign w:val="center"/>
          </w:tcPr>
          <w:p w14:paraId="3B10C8F1" w14:textId="77777777" w:rsidR="00232149" w:rsidRPr="00CA4C14" w:rsidRDefault="00232149" w:rsidP="0061108A">
            <w:pPr>
              <w:pStyle w:val="Tablehead"/>
              <w:rPr>
                <w:lang w:val="ru-RU"/>
              </w:rPr>
            </w:pPr>
            <w:r w:rsidRPr="00CA4C14">
              <w:rPr>
                <w:lang w:val="ru-RU" w:bidi="ru-RU"/>
              </w:rPr>
              <w:t xml:space="preserve">Категория классификации </w:t>
            </w:r>
          </w:p>
        </w:tc>
      </w:tr>
      <w:tr w:rsidR="00232149" w:rsidRPr="00CA4C14" w14:paraId="26D18EA9" w14:textId="77777777" w:rsidTr="0009602F">
        <w:tc>
          <w:tcPr>
            <w:tcW w:w="858" w:type="pct"/>
            <w:vMerge w:val="restart"/>
            <w:vAlign w:val="center"/>
          </w:tcPr>
          <w:p w14:paraId="3C8FAF10" w14:textId="77777777" w:rsidR="00232149" w:rsidRPr="00CA4C14" w:rsidRDefault="00232149" w:rsidP="0009602F">
            <w:pPr>
              <w:pStyle w:val="Tabletext"/>
              <w:keepNext/>
              <w:keepLines/>
              <w:rPr>
                <w:lang w:val="ru-RU"/>
              </w:rPr>
            </w:pPr>
            <w:r w:rsidRPr="00CA4C14">
              <w:rPr>
                <w:lang w:val="ru-RU" w:bidi="ru-RU"/>
              </w:rPr>
              <w:t>Денежные средства и их эквиваленты</w:t>
            </w:r>
          </w:p>
        </w:tc>
        <w:tc>
          <w:tcPr>
            <w:tcW w:w="1173" w:type="pct"/>
            <w:vAlign w:val="center"/>
          </w:tcPr>
          <w:p w14:paraId="6F3BBABF" w14:textId="77777777" w:rsidR="00232149" w:rsidRPr="00CA4C14" w:rsidRDefault="00232149" w:rsidP="0009602F">
            <w:pPr>
              <w:pStyle w:val="Tabletext"/>
              <w:keepNext/>
              <w:keepLines/>
              <w:rPr>
                <w:lang w:val="ru-RU"/>
              </w:rPr>
            </w:pPr>
            <w:r w:rsidRPr="00CA4C14">
              <w:rPr>
                <w:lang w:val="ru-RU" w:bidi="ru-RU"/>
              </w:rPr>
              <w:t>Денежные средства в банке и в кассе – конвертируемые и неконвертируемые</w:t>
            </w:r>
          </w:p>
        </w:tc>
        <w:tc>
          <w:tcPr>
            <w:tcW w:w="860" w:type="pct"/>
            <w:vAlign w:val="center"/>
          </w:tcPr>
          <w:p w14:paraId="61782B98" w14:textId="77777777" w:rsidR="00232149" w:rsidRPr="00CA4C14" w:rsidRDefault="00232149" w:rsidP="0009602F">
            <w:pPr>
              <w:pStyle w:val="Tabletext"/>
              <w:keepNext/>
              <w:keepLines/>
              <w:rPr>
                <w:lang w:val="ru-RU"/>
              </w:rPr>
            </w:pPr>
            <w:r w:rsidRPr="00CA4C14">
              <w:rPr>
                <w:lang w:val="ru-RU" w:bidi="ru-RU"/>
              </w:rPr>
              <w:t>Ссуды и долговые обязательства</w:t>
            </w:r>
          </w:p>
        </w:tc>
        <w:tc>
          <w:tcPr>
            <w:tcW w:w="759" w:type="pct"/>
            <w:vMerge w:val="restart"/>
            <w:vAlign w:val="center"/>
          </w:tcPr>
          <w:p w14:paraId="5A2D49F2" w14:textId="77777777" w:rsidR="00232149" w:rsidRPr="00CA4C14" w:rsidRDefault="00232149" w:rsidP="0009602F">
            <w:pPr>
              <w:pStyle w:val="Tabletext"/>
              <w:keepNext/>
              <w:keepLines/>
              <w:rPr>
                <w:lang w:val="ru-RU"/>
              </w:rPr>
            </w:pPr>
            <w:r w:rsidRPr="00CA4C14">
              <w:rPr>
                <w:lang w:val="ru-RU" w:bidi="ru-RU"/>
              </w:rPr>
              <w:t>Удерживается для получения потоков денежных средств</w:t>
            </w:r>
          </w:p>
        </w:tc>
        <w:tc>
          <w:tcPr>
            <w:tcW w:w="492" w:type="pct"/>
            <w:vMerge w:val="restart"/>
            <w:vAlign w:val="center"/>
          </w:tcPr>
          <w:p w14:paraId="167AC00E" w14:textId="41A5C141" w:rsidR="00232149" w:rsidRPr="00CA4C14" w:rsidRDefault="00232149" w:rsidP="0009602F">
            <w:pPr>
              <w:pStyle w:val="Tabletext"/>
              <w:keepNext/>
              <w:keepLines/>
              <w:rPr>
                <w:lang w:val="ru-RU"/>
              </w:rPr>
            </w:pPr>
            <w:r w:rsidRPr="00CA4C14">
              <w:rPr>
                <w:lang w:val="ru-RU" w:bidi="ru-RU"/>
              </w:rPr>
              <w:t>Н/Д</w:t>
            </w:r>
          </w:p>
        </w:tc>
        <w:tc>
          <w:tcPr>
            <w:tcW w:w="857" w:type="pct"/>
            <w:vAlign w:val="center"/>
          </w:tcPr>
          <w:p w14:paraId="7E268537"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4562B2F3" w14:textId="77777777" w:rsidTr="0009602F">
        <w:tc>
          <w:tcPr>
            <w:tcW w:w="858" w:type="pct"/>
            <w:vMerge/>
            <w:vAlign w:val="center"/>
          </w:tcPr>
          <w:p w14:paraId="505AB0A7" w14:textId="77777777" w:rsidR="00232149" w:rsidRPr="00CA4C14" w:rsidRDefault="00232149" w:rsidP="0009602F">
            <w:pPr>
              <w:pStyle w:val="Tabletext"/>
              <w:keepNext/>
              <w:keepLines/>
              <w:rPr>
                <w:lang w:val="ru-RU"/>
              </w:rPr>
            </w:pPr>
          </w:p>
        </w:tc>
        <w:tc>
          <w:tcPr>
            <w:tcW w:w="1173" w:type="pct"/>
            <w:vAlign w:val="center"/>
          </w:tcPr>
          <w:p w14:paraId="4237C68B" w14:textId="77777777" w:rsidR="00232149" w:rsidRPr="00CA4C14" w:rsidRDefault="00232149" w:rsidP="0009602F">
            <w:pPr>
              <w:pStyle w:val="Tabletext"/>
              <w:keepNext/>
              <w:keepLines/>
              <w:rPr>
                <w:lang w:val="ru-RU"/>
              </w:rPr>
            </w:pPr>
            <w:r w:rsidRPr="00CA4C14">
              <w:rPr>
                <w:lang w:val="ru-RU" w:bidi="ru-RU"/>
              </w:rPr>
              <w:t>Денежные средства на счетах денежного рынка до востребования</w:t>
            </w:r>
          </w:p>
        </w:tc>
        <w:tc>
          <w:tcPr>
            <w:tcW w:w="860" w:type="pct"/>
            <w:vAlign w:val="center"/>
          </w:tcPr>
          <w:p w14:paraId="70C88E19" w14:textId="77777777" w:rsidR="00232149" w:rsidRPr="00CA4C14" w:rsidRDefault="00232149" w:rsidP="0009602F">
            <w:pPr>
              <w:pStyle w:val="Tabletext"/>
              <w:keepNext/>
              <w:keepLines/>
              <w:rPr>
                <w:lang w:val="ru-RU"/>
              </w:rPr>
            </w:pPr>
            <w:r w:rsidRPr="00CA4C14">
              <w:rPr>
                <w:lang w:val="ru-RU" w:bidi="ru-RU"/>
              </w:rPr>
              <w:t>Ссуды и долговые обязательства</w:t>
            </w:r>
          </w:p>
        </w:tc>
        <w:tc>
          <w:tcPr>
            <w:tcW w:w="759" w:type="pct"/>
            <w:vMerge/>
            <w:vAlign w:val="center"/>
          </w:tcPr>
          <w:p w14:paraId="5900397C" w14:textId="77777777" w:rsidR="00232149" w:rsidRPr="00CA4C14" w:rsidRDefault="00232149" w:rsidP="0009602F">
            <w:pPr>
              <w:pStyle w:val="Tabletext"/>
              <w:keepNext/>
              <w:keepLines/>
              <w:rPr>
                <w:lang w:val="ru-RU"/>
              </w:rPr>
            </w:pPr>
          </w:p>
        </w:tc>
        <w:tc>
          <w:tcPr>
            <w:tcW w:w="492" w:type="pct"/>
            <w:vMerge/>
            <w:vAlign w:val="center"/>
          </w:tcPr>
          <w:p w14:paraId="78AA332B" w14:textId="77777777" w:rsidR="00232149" w:rsidRPr="00CA4C14" w:rsidRDefault="00232149" w:rsidP="0009602F">
            <w:pPr>
              <w:pStyle w:val="Tabletext"/>
              <w:keepNext/>
              <w:keepLines/>
              <w:rPr>
                <w:lang w:val="ru-RU"/>
              </w:rPr>
            </w:pPr>
          </w:p>
        </w:tc>
        <w:tc>
          <w:tcPr>
            <w:tcW w:w="857" w:type="pct"/>
            <w:vAlign w:val="center"/>
          </w:tcPr>
          <w:p w14:paraId="3479F2C1"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51B514EB" w14:textId="77777777" w:rsidTr="0009602F">
        <w:tc>
          <w:tcPr>
            <w:tcW w:w="858" w:type="pct"/>
            <w:vMerge/>
            <w:vAlign w:val="center"/>
          </w:tcPr>
          <w:p w14:paraId="7677F023" w14:textId="77777777" w:rsidR="00232149" w:rsidRPr="00CA4C14" w:rsidRDefault="00232149" w:rsidP="0009602F">
            <w:pPr>
              <w:pStyle w:val="Tabletext"/>
              <w:keepNext/>
              <w:keepLines/>
              <w:rPr>
                <w:lang w:val="ru-RU"/>
              </w:rPr>
            </w:pPr>
          </w:p>
        </w:tc>
        <w:tc>
          <w:tcPr>
            <w:tcW w:w="1173" w:type="pct"/>
            <w:vAlign w:val="center"/>
          </w:tcPr>
          <w:p w14:paraId="72446313" w14:textId="77777777" w:rsidR="00232149" w:rsidRPr="00CA4C14" w:rsidRDefault="00232149" w:rsidP="0009602F">
            <w:pPr>
              <w:pStyle w:val="Tabletext"/>
              <w:keepNext/>
              <w:keepLines/>
              <w:rPr>
                <w:lang w:val="ru-RU"/>
              </w:rPr>
            </w:pPr>
            <w:r w:rsidRPr="00CA4C14">
              <w:rPr>
                <w:lang w:val="ru-RU" w:bidi="ru-RU"/>
              </w:rPr>
              <w:t xml:space="preserve">Срочные депозиты и прочие </w:t>
            </w:r>
            <w:proofErr w:type="gramStart"/>
            <w:r w:rsidRPr="00CA4C14">
              <w:rPr>
                <w:lang w:val="ru-RU" w:bidi="ru-RU"/>
              </w:rPr>
              <w:t>(&lt; 90</w:t>
            </w:r>
            <w:proofErr w:type="gramEnd"/>
            <w:r w:rsidRPr="00CA4C14">
              <w:rPr>
                <w:lang w:val="ru-RU" w:bidi="ru-RU"/>
              </w:rPr>
              <w:t xml:space="preserve"> дней)</w:t>
            </w:r>
          </w:p>
        </w:tc>
        <w:tc>
          <w:tcPr>
            <w:tcW w:w="860" w:type="pct"/>
            <w:vAlign w:val="center"/>
          </w:tcPr>
          <w:p w14:paraId="4499D38D" w14:textId="77777777" w:rsidR="00232149" w:rsidRPr="00CA4C14" w:rsidRDefault="00232149" w:rsidP="0009602F">
            <w:pPr>
              <w:pStyle w:val="Tabletext"/>
              <w:keepNext/>
              <w:keepLines/>
              <w:rPr>
                <w:lang w:val="ru-RU"/>
              </w:rPr>
            </w:pPr>
            <w:r w:rsidRPr="00CA4C14">
              <w:rPr>
                <w:lang w:val="ru-RU" w:bidi="ru-RU"/>
              </w:rPr>
              <w:t>Ссуды и долговые обязательства</w:t>
            </w:r>
          </w:p>
        </w:tc>
        <w:tc>
          <w:tcPr>
            <w:tcW w:w="759" w:type="pct"/>
            <w:vMerge/>
            <w:vAlign w:val="center"/>
          </w:tcPr>
          <w:p w14:paraId="5C55A79B" w14:textId="77777777" w:rsidR="00232149" w:rsidRPr="00CA4C14" w:rsidRDefault="00232149" w:rsidP="0009602F">
            <w:pPr>
              <w:pStyle w:val="Tabletext"/>
              <w:keepNext/>
              <w:keepLines/>
              <w:rPr>
                <w:lang w:val="ru-RU"/>
              </w:rPr>
            </w:pPr>
          </w:p>
        </w:tc>
        <w:tc>
          <w:tcPr>
            <w:tcW w:w="492" w:type="pct"/>
            <w:vAlign w:val="center"/>
          </w:tcPr>
          <w:p w14:paraId="5D0BC7EA" w14:textId="77777777" w:rsidR="00232149" w:rsidRPr="00CA4C14" w:rsidRDefault="00232149" w:rsidP="0009602F">
            <w:pPr>
              <w:pStyle w:val="Tabletext"/>
              <w:keepNext/>
              <w:keepLines/>
              <w:rPr>
                <w:lang w:val="ru-RU"/>
              </w:rPr>
            </w:pPr>
            <w:r w:rsidRPr="00CA4C14">
              <w:rPr>
                <w:lang w:val="ru-RU" w:bidi="ru-RU"/>
              </w:rPr>
              <w:t>Пройден</w:t>
            </w:r>
          </w:p>
        </w:tc>
        <w:tc>
          <w:tcPr>
            <w:tcW w:w="857" w:type="pct"/>
            <w:vAlign w:val="center"/>
          </w:tcPr>
          <w:p w14:paraId="28013759"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02EFADDC" w14:textId="77777777" w:rsidTr="0009602F">
        <w:tc>
          <w:tcPr>
            <w:tcW w:w="858" w:type="pct"/>
            <w:vMerge w:val="restart"/>
            <w:vAlign w:val="center"/>
          </w:tcPr>
          <w:p w14:paraId="2AF04F11" w14:textId="77777777" w:rsidR="00232149" w:rsidRPr="00CA4C14" w:rsidRDefault="00232149" w:rsidP="0009602F">
            <w:pPr>
              <w:pStyle w:val="Tabletext"/>
              <w:keepNext/>
              <w:keepLines/>
              <w:rPr>
                <w:lang w:val="ru-RU"/>
              </w:rPr>
            </w:pPr>
            <w:r w:rsidRPr="00CA4C14">
              <w:rPr>
                <w:lang w:val="ru-RU" w:bidi="ru-RU"/>
              </w:rPr>
              <w:t>Инвестиционный портфель</w:t>
            </w:r>
          </w:p>
        </w:tc>
        <w:tc>
          <w:tcPr>
            <w:tcW w:w="1173" w:type="pct"/>
            <w:vAlign w:val="center"/>
          </w:tcPr>
          <w:p w14:paraId="601614E4" w14:textId="4B093341" w:rsidR="00232149" w:rsidRPr="00CA4C14" w:rsidRDefault="00232149" w:rsidP="0009602F">
            <w:pPr>
              <w:pStyle w:val="Tabletext"/>
              <w:keepNext/>
              <w:keepLines/>
              <w:rPr>
                <w:lang w:val="ru-RU"/>
              </w:rPr>
            </w:pPr>
            <w:r w:rsidRPr="00CA4C14">
              <w:rPr>
                <w:lang w:val="ru-RU" w:bidi="ru-RU"/>
              </w:rPr>
              <w:t xml:space="preserve">Срочные депозиты </w:t>
            </w:r>
            <w:r w:rsidR="00F81957" w:rsidRPr="00CA4C14">
              <w:rPr>
                <w:lang w:val="ru-RU" w:bidi="ru-RU"/>
              </w:rPr>
              <w:br/>
            </w:r>
            <w:r w:rsidRPr="00CA4C14">
              <w:rPr>
                <w:lang w:val="ru-RU" w:bidi="ru-RU"/>
              </w:rPr>
              <w:t>(от 90 до 180 дней)</w:t>
            </w:r>
          </w:p>
        </w:tc>
        <w:tc>
          <w:tcPr>
            <w:tcW w:w="860" w:type="pct"/>
            <w:vAlign w:val="center"/>
          </w:tcPr>
          <w:p w14:paraId="4A2C673D" w14:textId="77777777" w:rsidR="00232149" w:rsidRPr="00CA4C14" w:rsidRDefault="00232149" w:rsidP="0009602F">
            <w:pPr>
              <w:pStyle w:val="Tabletext"/>
              <w:keepNext/>
              <w:keepLines/>
              <w:rPr>
                <w:lang w:val="ru-RU"/>
              </w:rPr>
            </w:pPr>
            <w:r w:rsidRPr="00CA4C14">
              <w:rPr>
                <w:lang w:val="ru-RU" w:bidi="ru-RU"/>
              </w:rPr>
              <w:t>Ссуды и долговые обязательства</w:t>
            </w:r>
          </w:p>
        </w:tc>
        <w:tc>
          <w:tcPr>
            <w:tcW w:w="759" w:type="pct"/>
            <w:vMerge w:val="restart"/>
            <w:vAlign w:val="center"/>
          </w:tcPr>
          <w:p w14:paraId="24816508" w14:textId="77777777" w:rsidR="00232149" w:rsidRPr="00CA4C14" w:rsidRDefault="00232149" w:rsidP="0009602F">
            <w:pPr>
              <w:pStyle w:val="Tabletext"/>
              <w:keepNext/>
              <w:keepLines/>
              <w:rPr>
                <w:lang w:val="ru-RU"/>
              </w:rPr>
            </w:pPr>
            <w:r w:rsidRPr="00CA4C14">
              <w:rPr>
                <w:lang w:val="ru-RU" w:bidi="ru-RU"/>
              </w:rPr>
              <w:t xml:space="preserve">Удерживается для получения потоков денежных средств </w:t>
            </w:r>
          </w:p>
        </w:tc>
        <w:tc>
          <w:tcPr>
            <w:tcW w:w="492" w:type="pct"/>
            <w:vMerge w:val="restart"/>
            <w:vAlign w:val="center"/>
          </w:tcPr>
          <w:p w14:paraId="130D9D87" w14:textId="77777777" w:rsidR="00232149" w:rsidRPr="00CA4C14" w:rsidRDefault="00232149" w:rsidP="0009602F">
            <w:pPr>
              <w:pStyle w:val="Tabletext"/>
              <w:keepNext/>
              <w:keepLines/>
              <w:rPr>
                <w:lang w:val="ru-RU"/>
              </w:rPr>
            </w:pPr>
            <w:r w:rsidRPr="00CA4C14">
              <w:rPr>
                <w:lang w:val="ru-RU" w:bidi="ru-RU"/>
              </w:rPr>
              <w:t>Пройден</w:t>
            </w:r>
          </w:p>
        </w:tc>
        <w:tc>
          <w:tcPr>
            <w:tcW w:w="857" w:type="pct"/>
            <w:vAlign w:val="center"/>
          </w:tcPr>
          <w:p w14:paraId="0C6111AC"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36300893" w14:textId="77777777" w:rsidTr="0009602F">
        <w:tc>
          <w:tcPr>
            <w:tcW w:w="858" w:type="pct"/>
            <w:vMerge/>
            <w:vAlign w:val="center"/>
          </w:tcPr>
          <w:p w14:paraId="3FED7124" w14:textId="77777777" w:rsidR="00232149" w:rsidRPr="00CA4C14" w:rsidRDefault="00232149" w:rsidP="0009602F">
            <w:pPr>
              <w:pStyle w:val="Tabletext"/>
              <w:keepNext/>
              <w:keepLines/>
              <w:rPr>
                <w:lang w:val="ru-RU"/>
              </w:rPr>
            </w:pPr>
          </w:p>
        </w:tc>
        <w:tc>
          <w:tcPr>
            <w:tcW w:w="1173" w:type="pct"/>
            <w:vAlign w:val="center"/>
          </w:tcPr>
          <w:p w14:paraId="131A4FF8" w14:textId="77777777" w:rsidR="00232149" w:rsidRPr="00CA4C14" w:rsidRDefault="00232149" w:rsidP="0009602F">
            <w:pPr>
              <w:pStyle w:val="Tabletext"/>
              <w:keepNext/>
              <w:keepLines/>
              <w:rPr>
                <w:lang w:val="ru-RU"/>
              </w:rPr>
            </w:pPr>
            <w:r w:rsidRPr="00CA4C14">
              <w:rPr>
                <w:lang w:val="ru-RU" w:bidi="ru-RU"/>
              </w:rPr>
              <w:t>Депозитный сертификат</w:t>
            </w:r>
          </w:p>
        </w:tc>
        <w:tc>
          <w:tcPr>
            <w:tcW w:w="860" w:type="pct"/>
            <w:vAlign w:val="center"/>
          </w:tcPr>
          <w:p w14:paraId="737A980F" w14:textId="77777777" w:rsidR="00232149" w:rsidRPr="00CA4C14" w:rsidRDefault="00232149" w:rsidP="0009602F">
            <w:pPr>
              <w:pStyle w:val="Tabletext"/>
              <w:keepNext/>
              <w:keepLines/>
              <w:rPr>
                <w:lang w:val="ru-RU"/>
              </w:rPr>
            </w:pPr>
            <w:r w:rsidRPr="00CA4C14">
              <w:rPr>
                <w:lang w:val="ru-RU" w:bidi="ru-RU"/>
              </w:rPr>
              <w:t>Ссуды и долговые обязательства</w:t>
            </w:r>
          </w:p>
        </w:tc>
        <w:tc>
          <w:tcPr>
            <w:tcW w:w="759" w:type="pct"/>
            <w:vMerge/>
            <w:vAlign w:val="center"/>
          </w:tcPr>
          <w:p w14:paraId="412875C7" w14:textId="77777777" w:rsidR="00232149" w:rsidRPr="00CA4C14" w:rsidRDefault="00232149" w:rsidP="0009602F">
            <w:pPr>
              <w:pStyle w:val="Tabletext"/>
              <w:keepNext/>
              <w:keepLines/>
              <w:rPr>
                <w:lang w:val="ru-RU"/>
              </w:rPr>
            </w:pPr>
          </w:p>
        </w:tc>
        <w:tc>
          <w:tcPr>
            <w:tcW w:w="492" w:type="pct"/>
            <w:vMerge/>
            <w:vAlign w:val="center"/>
          </w:tcPr>
          <w:p w14:paraId="483B36B9" w14:textId="77777777" w:rsidR="00232149" w:rsidRPr="00CA4C14" w:rsidRDefault="00232149" w:rsidP="0009602F">
            <w:pPr>
              <w:pStyle w:val="Tabletext"/>
              <w:keepNext/>
              <w:keepLines/>
              <w:rPr>
                <w:lang w:val="ru-RU"/>
              </w:rPr>
            </w:pPr>
          </w:p>
        </w:tc>
        <w:tc>
          <w:tcPr>
            <w:tcW w:w="857" w:type="pct"/>
            <w:vAlign w:val="center"/>
          </w:tcPr>
          <w:p w14:paraId="22AF3279"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664CA280" w14:textId="77777777" w:rsidTr="0009602F">
        <w:tc>
          <w:tcPr>
            <w:tcW w:w="858" w:type="pct"/>
            <w:vMerge w:val="restart"/>
            <w:vAlign w:val="center"/>
          </w:tcPr>
          <w:p w14:paraId="6BC5C737" w14:textId="77777777" w:rsidR="00232149" w:rsidRPr="00CA4C14" w:rsidRDefault="00232149" w:rsidP="0009602F">
            <w:pPr>
              <w:pStyle w:val="Tabletext"/>
              <w:keepNext/>
              <w:keepLines/>
              <w:rPr>
                <w:lang w:val="ru-RU"/>
              </w:rPr>
            </w:pPr>
            <w:r w:rsidRPr="00CA4C14">
              <w:rPr>
                <w:lang w:val="ru-RU" w:bidi="ru-RU"/>
              </w:rPr>
              <w:t>Долговые обязательства</w:t>
            </w:r>
          </w:p>
        </w:tc>
        <w:tc>
          <w:tcPr>
            <w:tcW w:w="1173" w:type="pct"/>
            <w:vAlign w:val="center"/>
          </w:tcPr>
          <w:p w14:paraId="1D7884B1" w14:textId="77777777" w:rsidR="00232149" w:rsidRPr="00CA4C14" w:rsidRDefault="00232149" w:rsidP="0009602F">
            <w:pPr>
              <w:pStyle w:val="Tabletext"/>
              <w:keepNext/>
              <w:keepLines/>
              <w:rPr>
                <w:lang w:val="ru-RU"/>
              </w:rPr>
            </w:pPr>
            <w:r w:rsidRPr="00CA4C14">
              <w:rPr>
                <w:lang w:val="ru-RU" w:bidi="ru-RU"/>
              </w:rPr>
              <w:t>Долговые обязательства по начисленным взносам</w:t>
            </w:r>
          </w:p>
        </w:tc>
        <w:tc>
          <w:tcPr>
            <w:tcW w:w="860" w:type="pct"/>
            <w:vMerge w:val="restart"/>
            <w:vAlign w:val="center"/>
          </w:tcPr>
          <w:p w14:paraId="33872995" w14:textId="77777777" w:rsidR="00232149" w:rsidRPr="00CA4C14" w:rsidRDefault="00232149" w:rsidP="0009602F">
            <w:pPr>
              <w:pStyle w:val="Tabletext"/>
              <w:keepNext/>
              <w:keepLines/>
              <w:rPr>
                <w:lang w:val="ru-RU"/>
              </w:rPr>
            </w:pPr>
            <w:r w:rsidRPr="00CA4C14">
              <w:rPr>
                <w:lang w:val="ru-RU" w:bidi="ru-RU"/>
              </w:rPr>
              <w:t>Ссуды и долговые обязательства</w:t>
            </w:r>
          </w:p>
        </w:tc>
        <w:tc>
          <w:tcPr>
            <w:tcW w:w="759" w:type="pct"/>
            <w:vMerge w:val="restart"/>
            <w:vAlign w:val="center"/>
          </w:tcPr>
          <w:p w14:paraId="63530435" w14:textId="77777777" w:rsidR="00232149" w:rsidRPr="00CA4C14" w:rsidRDefault="00232149" w:rsidP="0009602F">
            <w:pPr>
              <w:pStyle w:val="Tabletext"/>
              <w:keepNext/>
              <w:keepLines/>
              <w:rPr>
                <w:lang w:val="ru-RU"/>
              </w:rPr>
            </w:pPr>
            <w:r w:rsidRPr="00CA4C14">
              <w:rPr>
                <w:lang w:val="ru-RU" w:bidi="ru-RU"/>
              </w:rPr>
              <w:t>Удерживается для получения потоков денежных средств</w:t>
            </w:r>
          </w:p>
        </w:tc>
        <w:tc>
          <w:tcPr>
            <w:tcW w:w="492" w:type="pct"/>
            <w:vMerge w:val="restart"/>
            <w:vAlign w:val="center"/>
          </w:tcPr>
          <w:p w14:paraId="02D53F3F" w14:textId="77777777" w:rsidR="00232149" w:rsidRPr="00CA4C14" w:rsidRDefault="00232149" w:rsidP="0009602F">
            <w:pPr>
              <w:pStyle w:val="Tabletext"/>
              <w:keepNext/>
              <w:keepLines/>
              <w:rPr>
                <w:lang w:val="ru-RU"/>
              </w:rPr>
            </w:pPr>
            <w:r w:rsidRPr="00CA4C14">
              <w:rPr>
                <w:lang w:val="ru-RU" w:bidi="ru-RU"/>
              </w:rPr>
              <w:t>Пройден</w:t>
            </w:r>
          </w:p>
        </w:tc>
        <w:tc>
          <w:tcPr>
            <w:tcW w:w="857" w:type="pct"/>
            <w:vAlign w:val="center"/>
          </w:tcPr>
          <w:p w14:paraId="49E80D22"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72A2BBF7" w14:textId="77777777" w:rsidTr="0009602F">
        <w:tc>
          <w:tcPr>
            <w:tcW w:w="858" w:type="pct"/>
            <w:vMerge/>
            <w:vAlign w:val="center"/>
          </w:tcPr>
          <w:p w14:paraId="2502EE7B" w14:textId="77777777" w:rsidR="00232149" w:rsidRPr="00CA4C14" w:rsidRDefault="00232149" w:rsidP="0009602F">
            <w:pPr>
              <w:pStyle w:val="Tabletext"/>
              <w:keepNext/>
              <w:keepLines/>
              <w:rPr>
                <w:lang w:val="ru-RU"/>
              </w:rPr>
            </w:pPr>
          </w:p>
        </w:tc>
        <w:tc>
          <w:tcPr>
            <w:tcW w:w="1173" w:type="pct"/>
            <w:vAlign w:val="center"/>
          </w:tcPr>
          <w:p w14:paraId="7C83A053" w14:textId="77777777" w:rsidR="00232149" w:rsidRPr="00CA4C14" w:rsidRDefault="00232149" w:rsidP="0009602F">
            <w:pPr>
              <w:pStyle w:val="Tabletext"/>
              <w:keepNext/>
              <w:keepLines/>
              <w:rPr>
                <w:lang w:val="ru-RU"/>
              </w:rPr>
            </w:pPr>
            <w:r w:rsidRPr="00CA4C14">
              <w:rPr>
                <w:lang w:val="ru-RU" w:bidi="ru-RU"/>
              </w:rPr>
              <w:t>Долговые обязательства по добровольным взносам</w:t>
            </w:r>
          </w:p>
        </w:tc>
        <w:tc>
          <w:tcPr>
            <w:tcW w:w="860" w:type="pct"/>
            <w:vMerge/>
            <w:vAlign w:val="center"/>
          </w:tcPr>
          <w:p w14:paraId="60AA8078" w14:textId="77777777" w:rsidR="00232149" w:rsidRPr="00CA4C14" w:rsidRDefault="00232149" w:rsidP="0009602F">
            <w:pPr>
              <w:pStyle w:val="Tabletext"/>
              <w:keepNext/>
              <w:keepLines/>
              <w:rPr>
                <w:lang w:val="ru-RU"/>
              </w:rPr>
            </w:pPr>
          </w:p>
        </w:tc>
        <w:tc>
          <w:tcPr>
            <w:tcW w:w="759" w:type="pct"/>
            <w:vMerge/>
            <w:vAlign w:val="center"/>
          </w:tcPr>
          <w:p w14:paraId="080F603A" w14:textId="77777777" w:rsidR="00232149" w:rsidRPr="00CA4C14" w:rsidRDefault="00232149" w:rsidP="0009602F">
            <w:pPr>
              <w:pStyle w:val="Tabletext"/>
              <w:keepNext/>
              <w:keepLines/>
              <w:rPr>
                <w:lang w:val="ru-RU"/>
              </w:rPr>
            </w:pPr>
          </w:p>
        </w:tc>
        <w:tc>
          <w:tcPr>
            <w:tcW w:w="492" w:type="pct"/>
            <w:vMerge/>
            <w:vAlign w:val="center"/>
          </w:tcPr>
          <w:p w14:paraId="50EB425F" w14:textId="77777777" w:rsidR="00232149" w:rsidRPr="00CA4C14" w:rsidRDefault="00232149" w:rsidP="0009602F">
            <w:pPr>
              <w:pStyle w:val="Tabletext"/>
              <w:keepNext/>
              <w:keepLines/>
              <w:rPr>
                <w:lang w:val="ru-RU"/>
              </w:rPr>
            </w:pPr>
          </w:p>
        </w:tc>
        <w:tc>
          <w:tcPr>
            <w:tcW w:w="857" w:type="pct"/>
            <w:vAlign w:val="center"/>
          </w:tcPr>
          <w:p w14:paraId="6C5E2447"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0F7C700C" w14:textId="77777777" w:rsidTr="0009602F">
        <w:tc>
          <w:tcPr>
            <w:tcW w:w="858" w:type="pct"/>
            <w:vMerge/>
            <w:vAlign w:val="center"/>
          </w:tcPr>
          <w:p w14:paraId="6811DC74" w14:textId="77777777" w:rsidR="00232149" w:rsidRPr="00CA4C14" w:rsidRDefault="00232149" w:rsidP="0009602F">
            <w:pPr>
              <w:pStyle w:val="Tabletext"/>
              <w:keepNext/>
              <w:keepLines/>
              <w:rPr>
                <w:lang w:val="ru-RU"/>
              </w:rPr>
            </w:pPr>
          </w:p>
        </w:tc>
        <w:tc>
          <w:tcPr>
            <w:tcW w:w="1173" w:type="pct"/>
            <w:vAlign w:val="center"/>
          </w:tcPr>
          <w:p w14:paraId="1043335F" w14:textId="77777777" w:rsidR="00232149" w:rsidRPr="00CA4C14" w:rsidRDefault="00232149" w:rsidP="0009602F">
            <w:pPr>
              <w:pStyle w:val="Tabletext"/>
              <w:keepNext/>
              <w:keepLines/>
              <w:rPr>
                <w:lang w:val="ru-RU"/>
              </w:rPr>
            </w:pPr>
            <w:r w:rsidRPr="00CA4C14">
              <w:rPr>
                <w:lang w:val="ru-RU" w:bidi="ru-RU"/>
              </w:rPr>
              <w:t>Прочие долговые обязательства</w:t>
            </w:r>
          </w:p>
        </w:tc>
        <w:tc>
          <w:tcPr>
            <w:tcW w:w="860" w:type="pct"/>
            <w:vMerge/>
            <w:vAlign w:val="center"/>
          </w:tcPr>
          <w:p w14:paraId="7D168632" w14:textId="77777777" w:rsidR="00232149" w:rsidRPr="00CA4C14" w:rsidRDefault="00232149" w:rsidP="0009602F">
            <w:pPr>
              <w:pStyle w:val="Tabletext"/>
              <w:keepNext/>
              <w:keepLines/>
              <w:rPr>
                <w:lang w:val="ru-RU"/>
              </w:rPr>
            </w:pPr>
          </w:p>
        </w:tc>
        <w:tc>
          <w:tcPr>
            <w:tcW w:w="759" w:type="pct"/>
            <w:vMerge/>
            <w:vAlign w:val="center"/>
          </w:tcPr>
          <w:p w14:paraId="64271F54" w14:textId="77777777" w:rsidR="00232149" w:rsidRPr="00CA4C14" w:rsidRDefault="00232149" w:rsidP="0009602F">
            <w:pPr>
              <w:pStyle w:val="Tabletext"/>
              <w:keepNext/>
              <w:keepLines/>
              <w:rPr>
                <w:lang w:val="ru-RU"/>
              </w:rPr>
            </w:pPr>
          </w:p>
        </w:tc>
        <w:tc>
          <w:tcPr>
            <w:tcW w:w="492" w:type="pct"/>
            <w:vMerge/>
            <w:vAlign w:val="center"/>
          </w:tcPr>
          <w:p w14:paraId="4BE9BA66" w14:textId="77777777" w:rsidR="00232149" w:rsidRPr="00CA4C14" w:rsidRDefault="00232149" w:rsidP="0009602F">
            <w:pPr>
              <w:pStyle w:val="Tabletext"/>
              <w:keepNext/>
              <w:keepLines/>
              <w:rPr>
                <w:lang w:val="ru-RU"/>
              </w:rPr>
            </w:pPr>
          </w:p>
        </w:tc>
        <w:tc>
          <w:tcPr>
            <w:tcW w:w="857" w:type="pct"/>
            <w:vAlign w:val="center"/>
          </w:tcPr>
          <w:p w14:paraId="60A0AF92" w14:textId="77777777" w:rsidR="00232149" w:rsidRPr="00CA4C14" w:rsidRDefault="00232149" w:rsidP="0009602F">
            <w:pPr>
              <w:pStyle w:val="Tabletext"/>
              <w:keepNext/>
              <w:keepLines/>
              <w:rPr>
                <w:lang w:val="ru-RU"/>
              </w:rPr>
            </w:pPr>
            <w:r w:rsidRPr="00CA4C14">
              <w:rPr>
                <w:lang w:val="ru-RU" w:bidi="ru-RU"/>
              </w:rPr>
              <w:t>Амортизационная стоимость</w:t>
            </w:r>
          </w:p>
        </w:tc>
      </w:tr>
      <w:tr w:rsidR="00232149" w:rsidRPr="00CA4C14" w14:paraId="289704CD" w14:textId="77777777" w:rsidTr="0009602F">
        <w:tc>
          <w:tcPr>
            <w:tcW w:w="858" w:type="pct"/>
            <w:vAlign w:val="center"/>
          </w:tcPr>
          <w:p w14:paraId="33E34770" w14:textId="14F9B7B4" w:rsidR="00232149" w:rsidRPr="00CA4C14" w:rsidRDefault="00232149" w:rsidP="0009602F">
            <w:pPr>
              <w:pStyle w:val="Tabletext"/>
              <w:keepLines/>
              <w:rPr>
                <w:lang w:val="ru-RU"/>
              </w:rPr>
            </w:pPr>
            <w:r w:rsidRPr="00CA4C14">
              <w:rPr>
                <w:lang w:val="ru-RU" w:bidi="ru-RU"/>
              </w:rPr>
              <w:t>Производные инструменты (в</w:t>
            </w:r>
            <w:r w:rsidR="00F81957" w:rsidRPr="00CA4C14">
              <w:rPr>
                <w:lang w:val="ru-RU" w:bidi="ru-RU"/>
              </w:rPr>
              <w:t> </w:t>
            </w:r>
            <w:r w:rsidRPr="00CA4C14">
              <w:rPr>
                <w:lang w:val="ru-RU" w:bidi="ru-RU"/>
              </w:rPr>
              <w:t>настоящее время не применимо)</w:t>
            </w:r>
          </w:p>
        </w:tc>
        <w:tc>
          <w:tcPr>
            <w:tcW w:w="1173" w:type="pct"/>
            <w:vAlign w:val="center"/>
          </w:tcPr>
          <w:p w14:paraId="31386DAD" w14:textId="77777777" w:rsidR="00232149" w:rsidRPr="00CA4C14" w:rsidRDefault="00232149" w:rsidP="0009602F">
            <w:pPr>
              <w:pStyle w:val="Tabletext"/>
              <w:keepLines/>
              <w:rPr>
                <w:lang w:val="ru-RU"/>
              </w:rPr>
            </w:pPr>
            <w:r w:rsidRPr="00CA4C14">
              <w:rPr>
                <w:lang w:val="ru-RU" w:bidi="ru-RU"/>
              </w:rPr>
              <w:t>Форвардные контракты/опционы на иностранную валюту</w:t>
            </w:r>
          </w:p>
        </w:tc>
        <w:tc>
          <w:tcPr>
            <w:tcW w:w="860" w:type="pct"/>
            <w:vAlign w:val="center"/>
          </w:tcPr>
          <w:p w14:paraId="5CD46574" w14:textId="77777777" w:rsidR="00232149" w:rsidRPr="00CA4C14" w:rsidRDefault="00232149" w:rsidP="0009602F">
            <w:pPr>
              <w:pStyle w:val="Tabletext"/>
              <w:keepLines/>
              <w:rPr>
                <w:lang w:val="ru-RU"/>
              </w:rPr>
            </w:pPr>
            <w:r w:rsidRPr="00CA4C14">
              <w:rPr>
                <w:lang w:val="ru-RU" w:bidi="ru-RU"/>
              </w:rPr>
              <w:t>Удерживается для трейдинговых операций</w:t>
            </w:r>
          </w:p>
        </w:tc>
        <w:tc>
          <w:tcPr>
            <w:tcW w:w="759" w:type="pct"/>
            <w:vAlign w:val="center"/>
          </w:tcPr>
          <w:p w14:paraId="5B450AA6" w14:textId="77777777" w:rsidR="00232149" w:rsidRPr="00CA4C14" w:rsidRDefault="00232149" w:rsidP="0009602F">
            <w:pPr>
              <w:pStyle w:val="Tabletext"/>
              <w:keepLines/>
              <w:rPr>
                <w:lang w:val="ru-RU"/>
              </w:rPr>
            </w:pPr>
            <w:r w:rsidRPr="00CA4C14">
              <w:rPr>
                <w:lang w:val="ru-RU" w:bidi="ru-RU"/>
              </w:rPr>
              <w:t>Удерживается для трейдинговых операций</w:t>
            </w:r>
          </w:p>
        </w:tc>
        <w:tc>
          <w:tcPr>
            <w:tcW w:w="492" w:type="pct"/>
            <w:vAlign w:val="center"/>
          </w:tcPr>
          <w:p w14:paraId="02B677A5" w14:textId="77777777" w:rsidR="00232149" w:rsidRPr="00CA4C14" w:rsidRDefault="00232149" w:rsidP="0009602F">
            <w:pPr>
              <w:pStyle w:val="Tabletext"/>
              <w:keepLines/>
              <w:rPr>
                <w:lang w:val="ru-RU"/>
              </w:rPr>
            </w:pPr>
            <w:r w:rsidRPr="00CA4C14">
              <w:rPr>
                <w:lang w:val="ru-RU" w:bidi="ru-RU"/>
              </w:rPr>
              <w:t>Н/Д</w:t>
            </w:r>
          </w:p>
        </w:tc>
        <w:tc>
          <w:tcPr>
            <w:tcW w:w="857" w:type="pct"/>
            <w:vAlign w:val="center"/>
          </w:tcPr>
          <w:p w14:paraId="2D18B9A7" w14:textId="77777777" w:rsidR="00232149" w:rsidRPr="00CA4C14" w:rsidRDefault="00232149" w:rsidP="0009602F">
            <w:pPr>
              <w:pStyle w:val="Tabletext"/>
              <w:keepLines/>
              <w:rPr>
                <w:lang w:val="ru-RU"/>
              </w:rPr>
            </w:pPr>
            <w:r w:rsidRPr="00CA4C14">
              <w:rPr>
                <w:lang w:val="ru-RU" w:bidi="ru-RU"/>
              </w:rPr>
              <w:t>FVSD</w:t>
            </w:r>
          </w:p>
        </w:tc>
      </w:tr>
      <w:bookmarkEnd w:id="192"/>
    </w:tbl>
    <w:p w14:paraId="17F8EBF5" w14:textId="77777777" w:rsidR="00F81957" w:rsidRPr="00CA4C14" w:rsidRDefault="00F81957">
      <w:pPr>
        <w:tabs>
          <w:tab w:val="clear" w:pos="794"/>
          <w:tab w:val="clear" w:pos="1191"/>
          <w:tab w:val="clear" w:pos="1588"/>
          <w:tab w:val="clear" w:pos="1985"/>
        </w:tabs>
        <w:overflowPunct/>
        <w:autoSpaceDE/>
        <w:autoSpaceDN/>
        <w:adjustRightInd/>
        <w:spacing w:before="0"/>
        <w:textAlignment w:val="auto"/>
        <w:rPr>
          <w:b/>
          <w:lang w:val="ru-RU" w:bidi="ru-RU"/>
        </w:rPr>
      </w:pPr>
      <w:r w:rsidRPr="00CA4C14">
        <w:rPr>
          <w:lang w:val="ru-RU" w:bidi="ru-RU"/>
        </w:rPr>
        <w:br w:type="page"/>
      </w:r>
    </w:p>
    <w:p w14:paraId="496FA49F" w14:textId="2A83A90C" w:rsidR="00232149" w:rsidRPr="00CA4C14" w:rsidRDefault="00232149" w:rsidP="00094543">
      <w:pPr>
        <w:pStyle w:val="Headingb"/>
        <w:rPr>
          <w:lang w:val="ru-RU"/>
        </w:rPr>
      </w:pPr>
      <w:r w:rsidRPr="00CA4C14">
        <w:rPr>
          <w:lang w:val="ru-RU" w:bidi="ru-RU"/>
        </w:rPr>
        <w:lastRenderedPageBreak/>
        <w:t>Классификация финансовых обязательств</w:t>
      </w:r>
    </w:p>
    <w:p w14:paraId="5B0B565B" w14:textId="77777777" w:rsidR="00232149" w:rsidRPr="00CA4C14" w:rsidRDefault="00232149" w:rsidP="00094543">
      <w:pPr>
        <w:rPr>
          <w:rFonts w:asciiTheme="minorHAnsi" w:hAnsiTheme="minorHAnsi" w:cstheme="minorHAnsi"/>
          <w:szCs w:val="24"/>
          <w:lang w:val="ru-RU"/>
        </w:rPr>
      </w:pPr>
      <w:r w:rsidRPr="00CA4C14">
        <w:rPr>
          <w:lang w:val="ru-RU" w:bidi="ru-RU"/>
        </w:rPr>
        <w:t xml:space="preserve">Размер финансовых обязательств подлежат определению на основании: </w:t>
      </w:r>
    </w:p>
    <w:p w14:paraId="5CFCBECB" w14:textId="77777777" w:rsidR="00232149" w:rsidRPr="00CA4C14" w:rsidRDefault="00232149" w:rsidP="00094543">
      <w:pPr>
        <w:pStyle w:val="enumlev1"/>
        <w:rPr>
          <w:lang w:val="ru-RU"/>
        </w:rPr>
      </w:pPr>
      <w:r w:rsidRPr="00CA4C14">
        <w:rPr>
          <w:lang w:val="ru-RU" w:bidi="ru-RU"/>
        </w:rPr>
        <w:t>–</w:t>
      </w:r>
      <w:r w:rsidRPr="00CA4C14">
        <w:rPr>
          <w:lang w:val="ru-RU" w:bidi="ru-RU"/>
        </w:rPr>
        <w:tab/>
        <w:t>амортизационной стоимости, рассчитанной с использованием метода эффективной процентной ставки, или</w:t>
      </w:r>
    </w:p>
    <w:p w14:paraId="67305480" w14:textId="77777777" w:rsidR="00232149" w:rsidRPr="00CA4C14" w:rsidRDefault="00232149" w:rsidP="00094543">
      <w:pPr>
        <w:pStyle w:val="enumlev1"/>
        <w:rPr>
          <w:lang w:val="ru-RU"/>
        </w:rPr>
      </w:pPr>
      <w:r w:rsidRPr="00CA4C14">
        <w:rPr>
          <w:lang w:val="ru-RU" w:bidi="ru-RU"/>
        </w:rPr>
        <w:t>–</w:t>
      </w:r>
      <w:r w:rsidRPr="00CA4C14">
        <w:rPr>
          <w:lang w:val="ru-RU" w:bidi="ru-RU"/>
        </w:rPr>
        <w:tab/>
        <w:t>справедливой стоимости через активное сальдо или дефицит (FVSD).</w:t>
      </w:r>
    </w:p>
    <w:p w14:paraId="44269BC6" w14:textId="77777777" w:rsidR="00232149" w:rsidRPr="00CA4C14" w:rsidRDefault="00232149" w:rsidP="00094543">
      <w:pPr>
        <w:spacing w:after="120"/>
        <w:rPr>
          <w:rFonts w:asciiTheme="minorHAnsi" w:hAnsiTheme="minorHAnsi" w:cstheme="minorBidi"/>
          <w:lang w:val="ru-RU"/>
        </w:rPr>
      </w:pPr>
      <w:r w:rsidRPr="00CA4C14">
        <w:rPr>
          <w:lang w:val="ru-RU" w:bidi="ru-RU"/>
        </w:rPr>
        <w:t xml:space="preserve">В результате принятия IPSAS 41 классификация финансовых обязательств компании </w:t>
      </w:r>
      <w:bookmarkStart w:id="193" w:name="_Int_95hrCH39"/>
      <w:r w:rsidRPr="00CA4C14">
        <w:rPr>
          <w:lang w:val="ru-RU" w:bidi="ru-RU"/>
        </w:rPr>
        <w:t>не изменилась</w:t>
      </w:r>
      <w:bookmarkEnd w:id="193"/>
      <w:r w:rsidRPr="00CA4C14">
        <w:rPr>
          <w:lang w:val="ru-RU" w:bidi="ru-RU"/>
        </w:rPr>
        <w:t>.</w:t>
      </w:r>
    </w:p>
    <w:tbl>
      <w:tblPr>
        <w:tblStyle w:val="TableGrid"/>
        <w:tblW w:w="5000" w:type="pct"/>
        <w:tblLayout w:type="fixed"/>
        <w:tblLook w:val="04A0" w:firstRow="1" w:lastRow="0" w:firstColumn="1" w:lastColumn="0" w:noHBand="0" w:noVBand="1"/>
      </w:tblPr>
      <w:tblGrid>
        <w:gridCol w:w="2405"/>
        <w:gridCol w:w="4253"/>
        <w:gridCol w:w="2403"/>
      </w:tblGrid>
      <w:tr w:rsidR="00232149" w:rsidRPr="00CA4C14" w14:paraId="7A1130E3" w14:textId="77777777" w:rsidTr="00F81957">
        <w:trPr>
          <w:tblHeader/>
        </w:trPr>
        <w:tc>
          <w:tcPr>
            <w:tcW w:w="1327" w:type="pct"/>
            <w:shd w:val="clear" w:color="auto" w:fill="0070C0"/>
            <w:vAlign w:val="center"/>
          </w:tcPr>
          <w:p w14:paraId="1832DCA4" w14:textId="77777777" w:rsidR="00232149" w:rsidRPr="00CA4C14" w:rsidRDefault="00232149" w:rsidP="0061108A">
            <w:pPr>
              <w:pStyle w:val="Tablehead"/>
              <w:rPr>
                <w:lang w:val="ru-RU"/>
              </w:rPr>
            </w:pPr>
            <w:r w:rsidRPr="00CA4C14">
              <w:rPr>
                <w:lang w:val="ru-RU" w:bidi="ru-RU"/>
              </w:rPr>
              <w:t>Категория финансовых обязательств</w:t>
            </w:r>
          </w:p>
        </w:tc>
        <w:tc>
          <w:tcPr>
            <w:tcW w:w="2347" w:type="pct"/>
            <w:shd w:val="clear" w:color="auto" w:fill="0070C0"/>
            <w:vAlign w:val="center"/>
          </w:tcPr>
          <w:p w14:paraId="72472DA8" w14:textId="77777777" w:rsidR="00232149" w:rsidRPr="00CA4C14" w:rsidRDefault="00232149" w:rsidP="0061108A">
            <w:pPr>
              <w:pStyle w:val="Tablehead"/>
              <w:rPr>
                <w:lang w:val="ru-RU"/>
              </w:rPr>
            </w:pPr>
            <w:r w:rsidRPr="00CA4C14">
              <w:rPr>
                <w:lang w:val="ru-RU" w:bidi="ru-RU"/>
              </w:rPr>
              <w:t xml:space="preserve">Анализ </w:t>
            </w:r>
            <w:bookmarkStart w:id="194" w:name="_Hlk168555936"/>
            <w:r w:rsidRPr="00CA4C14">
              <w:rPr>
                <w:lang w:val="ru-RU" w:bidi="ru-RU"/>
              </w:rPr>
              <w:t xml:space="preserve">IPSAS </w:t>
            </w:r>
            <w:bookmarkEnd w:id="194"/>
            <w:r w:rsidRPr="00CA4C14">
              <w:rPr>
                <w:lang w:val="ru-RU" w:bidi="ru-RU"/>
              </w:rPr>
              <w:t>41</w:t>
            </w:r>
          </w:p>
        </w:tc>
        <w:tc>
          <w:tcPr>
            <w:tcW w:w="1326" w:type="pct"/>
            <w:shd w:val="clear" w:color="auto" w:fill="0070C0"/>
            <w:vAlign w:val="center"/>
          </w:tcPr>
          <w:p w14:paraId="2FAF7B12" w14:textId="77777777" w:rsidR="00232149" w:rsidRPr="00CA4C14" w:rsidRDefault="00232149" w:rsidP="0061108A">
            <w:pPr>
              <w:pStyle w:val="Tablehead"/>
              <w:rPr>
                <w:lang w:val="ru-RU"/>
              </w:rPr>
            </w:pPr>
            <w:r w:rsidRPr="00CA4C14">
              <w:rPr>
                <w:lang w:val="ru-RU" w:bidi="ru-RU"/>
              </w:rPr>
              <w:t>Классификация IPSAS 41</w:t>
            </w:r>
          </w:p>
        </w:tc>
      </w:tr>
      <w:tr w:rsidR="00232149" w:rsidRPr="00CA4C14" w14:paraId="2880E77A" w14:textId="77777777" w:rsidTr="00F83C58">
        <w:tc>
          <w:tcPr>
            <w:tcW w:w="1327" w:type="pct"/>
            <w:vAlign w:val="center"/>
          </w:tcPr>
          <w:p w14:paraId="008D5C05" w14:textId="77777777" w:rsidR="00232149" w:rsidRPr="00CA4C14" w:rsidRDefault="00232149" w:rsidP="00F83C58">
            <w:pPr>
              <w:pStyle w:val="Tabletext"/>
              <w:rPr>
                <w:lang w:val="ru-RU"/>
              </w:rPr>
            </w:pPr>
            <w:r w:rsidRPr="00CA4C14">
              <w:rPr>
                <w:lang w:val="ru-RU"/>
              </w:rPr>
              <w:t xml:space="preserve">Кредиторская задолженность и начисленные обязательства </w:t>
            </w:r>
          </w:p>
        </w:tc>
        <w:tc>
          <w:tcPr>
            <w:tcW w:w="2347" w:type="pct"/>
            <w:vAlign w:val="center"/>
          </w:tcPr>
          <w:p w14:paraId="4A0FE07E" w14:textId="77777777" w:rsidR="00232149" w:rsidRPr="00CA4C14" w:rsidRDefault="00232149" w:rsidP="00F81957">
            <w:pPr>
              <w:pStyle w:val="Tabletext"/>
              <w:rPr>
                <w:lang w:val="ru-RU"/>
              </w:rPr>
            </w:pPr>
            <w:r w:rsidRPr="00CA4C14">
              <w:rPr>
                <w:lang w:val="ru-RU"/>
              </w:rPr>
              <w:t>Кредиторская задолженность и начисления, возникающие при покупке товаров и услуг, первоначально отражаются по справедливой стоимости и впоследствии оцениваются по амортизационной стоимости в момент поставки/оказания и приемки товаров/услуг МСЭ</w:t>
            </w:r>
          </w:p>
        </w:tc>
        <w:tc>
          <w:tcPr>
            <w:tcW w:w="1326" w:type="pct"/>
            <w:vAlign w:val="center"/>
          </w:tcPr>
          <w:p w14:paraId="5E240FD9" w14:textId="77777777" w:rsidR="00232149" w:rsidRPr="00CA4C14" w:rsidRDefault="00232149" w:rsidP="00F81957">
            <w:pPr>
              <w:pStyle w:val="Tabletext"/>
              <w:rPr>
                <w:lang w:val="ru-RU"/>
              </w:rPr>
            </w:pPr>
            <w:r w:rsidRPr="00CA4C14">
              <w:rPr>
                <w:lang w:val="ru-RU"/>
              </w:rPr>
              <w:t>Амортизированная стоимость</w:t>
            </w:r>
          </w:p>
        </w:tc>
      </w:tr>
      <w:tr w:rsidR="00232149" w:rsidRPr="00CA4C14" w14:paraId="3A308080" w14:textId="77777777" w:rsidTr="00F83C58">
        <w:tc>
          <w:tcPr>
            <w:tcW w:w="1327" w:type="pct"/>
            <w:vAlign w:val="center"/>
          </w:tcPr>
          <w:p w14:paraId="743CFF85" w14:textId="77777777" w:rsidR="00232149" w:rsidRPr="00CA4C14" w:rsidRDefault="00232149" w:rsidP="00F83C58">
            <w:pPr>
              <w:pStyle w:val="Tabletext"/>
              <w:rPr>
                <w:lang w:val="ru-RU"/>
              </w:rPr>
            </w:pPr>
            <w:r w:rsidRPr="00CA4C14">
              <w:rPr>
                <w:lang w:val="ru-RU" w:bidi="ru-RU"/>
              </w:rPr>
              <w:t xml:space="preserve">Взносы, полученные авансом </w:t>
            </w:r>
          </w:p>
        </w:tc>
        <w:tc>
          <w:tcPr>
            <w:tcW w:w="2347" w:type="pct"/>
            <w:vAlign w:val="center"/>
          </w:tcPr>
          <w:p w14:paraId="6323871A" w14:textId="77777777" w:rsidR="00232149" w:rsidRPr="00CA4C14" w:rsidRDefault="00232149" w:rsidP="00F81957">
            <w:pPr>
              <w:pStyle w:val="Tabletext"/>
              <w:rPr>
                <w:lang w:val="ru-RU"/>
              </w:rPr>
            </w:pPr>
            <w:r w:rsidRPr="00CA4C14">
              <w:rPr>
                <w:lang w:val="ru-RU" w:bidi="ru-RU"/>
              </w:rPr>
              <w:t>Не являются финансовыми обязательствами, поскольку не ожидается их погашение денежными средствами</w:t>
            </w:r>
          </w:p>
        </w:tc>
        <w:tc>
          <w:tcPr>
            <w:tcW w:w="1326" w:type="pct"/>
            <w:vAlign w:val="center"/>
          </w:tcPr>
          <w:p w14:paraId="6502DEF6" w14:textId="77777777" w:rsidR="00232149" w:rsidRPr="00CA4C14" w:rsidRDefault="00232149" w:rsidP="00F81957">
            <w:pPr>
              <w:pStyle w:val="Tabletext"/>
              <w:rPr>
                <w:lang w:val="ru-RU"/>
              </w:rPr>
            </w:pPr>
            <w:r w:rsidRPr="00CA4C14">
              <w:rPr>
                <w:lang w:val="ru-RU" w:bidi="ru-RU"/>
              </w:rPr>
              <w:t>Н/Д</w:t>
            </w:r>
          </w:p>
        </w:tc>
      </w:tr>
      <w:tr w:rsidR="00232149" w:rsidRPr="00CA4C14" w14:paraId="025CF8C5" w14:textId="77777777" w:rsidTr="00F83C58">
        <w:tc>
          <w:tcPr>
            <w:tcW w:w="1327" w:type="pct"/>
            <w:vAlign w:val="center"/>
          </w:tcPr>
          <w:p w14:paraId="71BE6F03" w14:textId="77777777" w:rsidR="00232149" w:rsidRPr="00CA4C14" w:rsidRDefault="00232149" w:rsidP="00F83C58">
            <w:pPr>
              <w:pStyle w:val="Tabletext"/>
              <w:rPr>
                <w:lang w:val="ru-RU"/>
              </w:rPr>
            </w:pPr>
            <w:r w:rsidRPr="00CA4C14">
              <w:rPr>
                <w:lang w:val="ru-RU" w:bidi="ru-RU"/>
              </w:rPr>
              <w:t xml:space="preserve">Средства, хранящиеся по поручению третьих лиц </w:t>
            </w:r>
          </w:p>
        </w:tc>
        <w:tc>
          <w:tcPr>
            <w:tcW w:w="2347" w:type="pct"/>
            <w:vAlign w:val="center"/>
          </w:tcPr>
          <w:p w14:paraId="31B5AEFE" w14:textId="77777777" w:rsidR="00232149" w:rsidRPr="00CA4C14" w:rsidRDefault="00232149" w:rsidP="00F81957">
            <w:pPr>
              <w:pStyle w:val="Tabletext"/>
              <w:rPr>
                <w:lang w:val="ru-RU"/>
              </w:rPr>
            </w:pPr>
            <w:r w:rsidRPr="00CA4C14">
              <w:rPr>
                <w:lang w:val="ru-RU" w:bidi="ru-RU"/>
              </w:rPr>
              <w:t xml:space="preserve">Финансовая отчетность МСЭ не содержит обязательств по денежным средствам, удерживаемым МСЭ от имени третьих лиц (конкретных неконсолидированных организаций). </w:t>
            </w:r>
          </w:p>
        </w:tc>
        <w:tc>
          <w:tcPr>
            <w:tcW w:w="1326" w:type="pct"/>
            <w:vAlign w:val="center"/>
          </w:tcPr>
          <w:p w14:paraId="22070524" w14:textId="77777777" w:rsidR="00232149" w:rsidRPr="00CA4C14" w:rsidRDefault="00232149" w:rsidP="00F81957">
            <w:pPr>
              <w:pStyle w:val="Tabletext"/>
              <w:rPr>
                <w:lang w:val="ru-RU"/>
              </w:rPr>
            </w:pPr>
            <w:r w:rsidRPr="00CA4C14">
              <w:rPr>
                <w:lang w:val="ru-RU" w:bidi="ru-RU"/>
              </w:rPr>
              <w:t>Амортизационная стоимость</w:t>
            </w:r>
          </w:p>
        </w:tc>
      </w:tr>
      <w:tr w:rsidR="00232149" w:rsidRPr="009A3216" w14:paraId="7DE45DD4" w14:textId="77777777" w:rsidTr="00BD26FA">
        <w:tc>
          <w:tcPr>
            <w:tcW w:w="1327" w:type="pct"/>
            <w:vAlign w:val="center"/>
          </w:tcPr>
          <w:p w14:paraId="43C04401" w14:textId="04FA2CE0" w:rsidR="00232149" w:rsidRPr="00CA4C14" w:rsidRDefault="00232149" w:rsidP="00F83C58">
            <w:pPr>
              <w:pStyle w:val="Tabletext"/>
              <w:rPr>
                <w:lang w:val="ru-RU"/>
              </w:rPr>
            </w:pPr>
            <w:r w:rsidRPr="00CA4C14">
              <w:rPr>
                <w:lang w:val="ru-RU" w:bidi="ru-RU"/>
              </w:rPr>
              <w:t>Производные обязательства (удерживаются для трейдинговых операций) (в</w:t>
            </w:r>
            <w:r w:rsidR="00F81957" w:rsidRPr="00CA4C14">
              <w:rPr>
                <w:lang w:val="ru-RU" w:bidi="ru-RU"/>
              </w:rPr>
              <w:t> </w:t>
            </w:r>
            <w:r w:rsidRPr="00CA4C14">
              <w:rPr>
                <w:lang w:val="ru-RU" w:bidi="ru-RU"/>
              </w:rPr>
              <w:t xml:space="preserve">настоящее время не применимо) </w:t>
            </w:r>
          </w:p>
        </w:tc>
        <w:tc>
          <w:tcPr>
            <w:tcW w:w="2347" w:type="pct"/>
            <w:vAlign w:val="center"/>
          </w:tcPr>
          <w:p w14:paraId="41FDBB2C" w14:textId="77777777" w:rsidR="00232149" w:rsidRPr="00CA4C14" w:rsidRDefault="00232149" w:rsidP="00BD26FA">
            <w:pPr>
              <w:pStyle w:val="Tabletext"/>
              <w:rPr>
                <w:lang w:val="ru-RU"/>
              </w:rPr>
            </w:pPr>
            <w:r w:rsidRPr="00CA4C14">
              <w:rPr>
                <w:lang w:val="ru-RU" w:bidi="ru-RU"/>
              </w:rPr>
              <w:t>МСЭ не использует производные финансовые инструменты для управления валютным риском, а если и использует, то с кредитоспособными контрагентами в соответствии с соответствующими руководящими указаниями МСЭ по инвестициям</w:t>
            </w:r>
          </w:p>
        </w:tc>
        <w:tc>
          <w:tcPr>
            <w:tcW w:w="1326" w:type="pct"/>
            <w:vAlign w:val="center"/>
          </w:tcPr>
          <w:p w14:paraId="3E026B8A" w14:textId="77777777" w:rsidR="00232149" w:rsidRPr="00CA4C14" w:rsidRDefault="00232149" w:rsidP="00BD26FA">
            <w:pPr>
              <w:pStyle w:val="Tabletext"/>
              <w:rPr>
                <w:lang w:val="ru-RU"/>
              </w:rPr>
            </w:pPr>
            <w:r w:rsidRPr="00CA4C14">
              <w:rPr>
                <w:lang w:val="ru-RU" w:bidi="ru-RU"/>
              </w:rPr>
              <w:t>Справедливая стоимость через активное сальдо или дефицит</w:t>
            </w:r>
          </w:p>
        </w:tc>
      </w:tr>
      <w:tr w:rsidR="00232149" w:rsidRPr="009A3216" w14:paraId="5833EC1D" w14:textId="77777777" w:rsidTr="00F83C58">
        <w:tc>
          <w:tcPr>
            <w:tcW w:w="1327" w:type="pct"/>
            <w:vAlign w:val="center"/>
          </w:tcPr>
          <w:p w14:paraId="3CF07FE8" w14:textId="77777777" w:rsidR="00232149" w:rsidRPr="00CA4C14" w:rsidRDefault="00232149" w:rsidP="00F83C58">
            <w:pPr>
              <w:pStyle w:val="Tabletext"/>
              <w:rPr>
                <w:lang w:val="ru-RU"/>
              </w:rPr>
            </w:pPr>
            <w:r w:rsidRPr="00CA4C14">
              <w:rPr>
                <w:lang w:val="ru-RU" w:bidi="ru-RU"/>
              </w:rPr>
              <w:t>Ссуды ФИПОИ</w:t>
            </w:r>
          </w:p>
        </w:tc>
        <w:tc>
          <w:tcPr>
            <w:tcW w:w="2347" w:type="pct"/>
          </w:tcPr>
          <w:p w14:paraId="7167C4B7" w14:textId="77777777" w:rsidR="00232149" w:rsidRPr="00CA4C14" w:rsidRDefault="00232149" w:rsidP="00F81957">
            <w:pPr>
              <w:pStyle w:val="Tabletext"/>
              <w:rPr>
                <w:lang w:val="ru-RU"/>
              </w:rPr>
            </w:pPr>
            <w:r w:rsidRPr="00CA4C14">
              <w:rPr>
                <w:lang w:val="ru-RU" w:bidi="ru-RU"/>
              </w:rPr>
              <w:t>В настоящее время МСЭ имеет четыре беспроцентных ссуды, выданных Фондом недвижимого имущества для международных организаций (ФИПОИ). Три ссуды отражаются по справедливой стоимости, в то время как для четвертой ссуды еще не установлен график погашения и поэтому она отражается по амортизационной стоимости.</w:t>
            </w:r>
          </w:p>
        </w:tc>
        <w:tc>
          <w:tcPr>
            <w:tcW w:w="1326" w:type="pct"/>
          </w:tcPr>
          <w:p w14:paraId="34F28DBA" w14:textId="77777777" w:rsidR="00232149" w:rsidRPr="00CA4C14" w:rsidRDefault="00232149" w:rsidP="00F81957">
            <w:pPr>
              <w:pStyle w:val="Tabletext"/>
              <w:rPr>
                <w:lang w:val="ru-RU"/>
              </w:rPr>
            </w:pPr>
            <w:r w:rsidRPr="00CA4C14">
              <w:rPr>
                <w:lang w:val="ru-RU" w:bidi="ru-RU"/>
              </w:rPr>
              <w:t>Справедливая стоимость через прибыль или убыток (для трех ссуд ФИПОИ) и амортизационная стоимость (для четвертой ссуды ФИПОИ в настоящее время не установлен график погашения)</w:t>
            </w:r>
          </w:p>
        </w:tc>
      </w:tr>
      <w:tr w:rsidR="00232149" w:rsidRPr="00CA4C14" w14:paraId="361ECA6D" w14:textId="77777777" w:rsidTr="00BD26FA">
        <w:tc>
          <w:tcPr>
            <w:tcW w:w="1327" w:type="pct"/>
            <w:vAlign w:val="center"/>
          </w:tcPr>
          <w:p w14:paraId="5AF602AE" w14:textId="77777777" w:rsidR="00232149" w:rsidRPr="00CA4C14" w:rsidRDefault="00232149" w:rsidP="00F83C58">
            <w:pPr>
              <w:pStyle w:val="Tabletext"/>
              <w:rPr>
                <w:lang w:val="ru-RU"/>
              </w:rPr>
            </w:pPr>
            <w:r w:rsidRPr="00CA4C14">
              <w:rPr>
                <w:lang w:val="ru-RU" w:bidi="ru-RU"/>
              </w:rPr>
              <w:t xml:space="preserve">Все финансовые обязательства, кроме тех, которые оцениваются по справедливой стоимости через активное сальдо или дефицит </w:t>
            </w:r>
          </w:p>
        </w:tc>
        <w:tc>
          <w:tcPr>
            <w:tcW w:w="2347" w:type="pct"/>
            <w:vAlign w:val="center"/>
          </w:tcPr>
          <w:p w14:paraId="2AD1A780" w14:textId="77777777" w:rsidR="00232149" w:rsidRPr="00CA4C14" w:rsidRDefault="00232149" w:rsidP="00BD26FA">
            <w:pPr>
              <w:pStyle w:val="Tabletext"/>
              <w:rPr>
                <w:lang w:val="ru-RU"/>
              </w:rPr>
            </w:pPr>
            <w:r w:rsidRPr="00CA4C14">
              <w:rPr>
                <w:lang w:val="ru-RU" w:bidi="ru-RU"/>
              </w:rPr>
              <w:t>Субъект должен классифицировать все финансовые обязательства как оцениваемые впоследствии по амортизационной стоимости.</w:t>
            </w:r>
          </w:p>
        </w:tc>
        <w:tc>
          <w:tcPr>
            <w:tcW w:w="1326" w:type="pct"/>
            <w:vAlign w:val="center"/>
          </w:tcPr>
          <w:p w14:paraId="4813AE9E" w14:textId="77777777" w:rsidR="00232149" w:rsidRPr="00CA4C14" w:rsidRDefault="00232149" w:rsidP="00BD26FA">
            <w:pPr>
              <w:pStyle w:val="Tabletext"/>
              <w:rPr>
                <w:lang w:val="ru-RU"/>
              </w:rPr>
            </w:pPr>
            <w:r w:rsidRPr="00CA4C14">
              <w:rPr>
                <w:lang w:val="ru-RU" w:bidi="ru-RU"/>
              </w:rPr>
              <w:t>Амортизационная стоимость</w:t>
            </w:r>
          </w:p>
        </w:tc>
      </w:tr>
      <w:tr w:rsidR="00232149" w:rsidRPr="009A3216" w14:paraId="798A4563" w14:textId="77777777" w:rsidTr="00F83C58">
        <w:tc>
          <w:tcPr>
            <w:tcW w:w="1327" w:type="pct"/>
            <w:vAlign w:val="center"/>
          </w:tcPr>
          <w:p w14:paraId="56488812" w14:textId="77777777" w:rsidR="00232149" w:rsidRPr="00CA4C14" w:rsidRDefault="00232149" w:rsidP="00F83C58">
            <w:pPr>
              <w:pStyle w:val="Tabletext"/>
              <w:rPr>
                <w:lang w:val="ru-RU"/>
              </w:rPr>
            </w:pPr>
            <w:r w:rsidRPr="00CA4C14">
              <w:rPr>
                <w:lang w:val="ru-RU" w:bidi="ru-RU"/>
              </w:rPr>
              <w:t>Прочие обязательства</w:t>
            </w:r>
          </w:p>
        </w:tc>
        <w:tc>
          <w:tcPr>
            <w:tcW w:w="2347" w:type="pct"/>
            <w:vAlign w:val="center"/>
          </w:tcPr>
          <w:p w14:paraId="3798F787" w14:textId="77777777" w:rsidR="00232149" w:rsidRPr="00CA4C14" w:rsidRDefault="00232149" w:rsidP="00F81957">
            <w:pPr>
              <w:pStyle w:val="Tabletext"/>
              <w:ind w:left="240" w:hanging="240"/>
              <w:rPr>
                <w:lang w:val="ru-RU"/>
              </w:rPr>
            </w:pPr>
            <w:r w:rsidRPr="00CA4C14">
              <w:rPr>
                <w:lang w:val="ru-RU" w:bidi="ru-RU"/>
              </w:rPr>
              <w:t>•</w:t>
            </w:r>
            <w:r w:rsidRPr="00CA4C14">
              <w:rPr>
                <w:lang w:val="ru-RU" w:bidi="ru-RU"/>
              </w:rPr>
              <w:tab/>
              <w:t>Неполученный доход не является финансовым обязательством.</w:t>
            </w:r>
          </w:p>
          <w:p w14:paraId="025CB97C" w14:textId="77777777" w:rsidR="00232149" w:rsidRPr="00CA4C14" w:rsidRDefault="00232149" w:rsidP="00F81957">
            <w:pPr>
              <w:pStyle w:val="Tabletext"/>
              <w:ind w:left="240" w:hanging="240"/>
              <w:rPr>
                <w:lang w:val="ru-RU"/>
              </w:rPr>
            </w:pPr>
            <w:r w:rsidRPr="00CA4C14">
              <w:rPr>
                <w:lang w:val="ru-RU" w:bidi="ru-RU"/>
              </w:rPr>
              <w:t>•</w:t>
            </w:r>
            <w:r w:rsidRPr="00CA4C14">
              <w:rPr>
                <w:lang w:val="ru-RU" w:bidi="ru-RU"/>
              </w:rPr>
              <w:tab/>
              <w:t>МСЭ не имеет обязательств по финансовой аренде, которые оценивались бы в соответствии с IPSAS 13 "Аренда".</w:t>
            </w:r>
          </w:p>
          <w:p w14:paraId="3A446971" w14:textId="77777777" w:rsidR="00232149" w:rsidRPr="00CA4C14" w:rsidRDefault="00232149" w:rsidP="00F81957">
            <w:pPr>
              <w:pStyle w:val="Tabletext"/>
              <w:ind w:left="240" w:hanging="240"/>
              <w:rPr>
                <w:lang w:val="ru-RU"/>
              </w:rPr>
            </w:pPr>
            <w:r w:rsidRPr="00CA4C14">
              <w:rPr>
                <w:lang w:val="ru-RU" w:bidi="ru-RU"/>
              </w:rPr>
              <w:t>•</w:t>
            </w:r>
            <w:r w:rsidRPr="00CA4C14">
              <w:rPr>
                <w:lang w:val="ru-RU" w:bidi="ru-RU"/>
              </w:rPr>
              <w:tab/>
              <w:t xml:space="preserve">Обязательства по выплатам сотрудникам не являются финансовыми обязательствами </w:t>
            </w:r>
          </w:p>
        </w:tc>
        <w:tc>
          <w:tcPr>
            <w:tcW w:w="1326" w:type="pct"/>
            <w:vAlign w:val="center"/>
          </w:tcPr>
          <w:p w14:paraId="6D8DF203" w14:textId="77777777" w:rsidR="00232149" w:rsidRPr="00CA4C14" w:rsidRDefault="00232149" w:rsidP="00F81957">
            <w:pPr>
              <w:pStyle w:val="Tabletext"/>
              <w:rPr>
                <w:lang w:val="ru-RU"/>
              </w:rPr>
            </w:pPr>
            <w:r w:rsidRPr="00CA4C14">
              <w:rPr>
                <w:lang w:val="ru-RU" w:bidi="ru-RU"/>
              </w:rPr>
              <w:t xml:space="preserve">В соответствии с действующими стандартами </w:t>
            </w:r>
          </w:p>
        </w:tc>
      </w:tr>
    </w:tbl>
    <w:p w14:paraId="4894E12C" w14:textId="34DA5A07" w:rsidR="00232149" w:rsidRPr="00CA4C14" w:rsidRDefault="00232149" w:rsidP="00094543">
      <w:pPr>
        <w:rPr>
          <w:lang w:val="ru-RU"/>
        </w:rPr>
      </w:pPr>
      <w:r w:rsidRPr="00CA4C14">
        <w:rPr>
          <w:lang w:val="ru-RU" w:bidi="ru-RU"/>
        </w:rPr>
        <w:t>Согласно IPSAS 41, применяется единая перспективная модель обесценения, которая требует признания ожидаемых кредитных убытков в любой момент времени.</w:t>
      </w:r>
    </w:p>
    <w:p w14:paraId="128F38B8" w14:textId="77777777" w:rsidR="00232149" w:rsidRPr="00CA4C14" w:rsidRDefault="00232149" w:rsidP="000F116B">
      <w:pPr>
        <w:keepNext/>
        <w:keepLines/>
        <w:rPr>
          <w:bCs/>
          <w:lang w:val="ru-RU"/>
        </w:rPr>
      </w:pPr>
      <w:r w:rsidRPr="00CA4C14">
        <w:rPr>
          <w:lang w:val="ru-RU" w:bidi="ru-RU"/>
        </w:rPr>
        <w:lastRenderedPageBreak/>
        <w:t>Модель обесценения по IPSAS 41 была применена к финансовым активам, которые классифицируются как оцениваемые по амортизационной стоимости, в частности к денежным средствам и их эквивалентам, инвестиционному портфелю и долговым обязательствам. Расчет ожидаемых кредитных убытков по всем финансовым активам не является существенным в контексте данной финансовой отчетности и поэтому не раскрывается.</w:t>
      </w:r>
    </w:p>
    <w:p w14:paraId="1B7F9541" w14:textId="77777777" w:rsidR="00232149" w:rsidRPr="00CA4C14" w:rsidRDefault="00232149" w:rsidP="00094543">
      <w:pPr>
        <w:pStyle w:val="Heading3"/>
        <w:rPr>
          <w:lang w:val="ru-RU"/>
        </w:rPr>
      </w:pPr>
      <w:bookmarkStart w:id="195" w:name="_Toc168578456"/>
      <w:bookmarkStart w:id="196" w:name="_Toc168578831"/>
      <w:r w:rsidRPr="00CA4C14">
        <w:rPr>
          <w:lang w:val="ru-RU" w:bidi="ru-RU"/>
        </w:rPr>
        <w:t>3.4</w:t>
      </w:r>
      <w:r w:rsidRPr="00CA4C14">
        <w:rPr>
          <w:lang w:val="ru-RU" w:bidi="ru-RU"/>
        </w:rPr>
        <w:tab/>
        <w:t>Запасы</w:t>
      </w:r>
      <w:bookmarkEnd w:id="195"/>
      <w:bookmarkEnd w:id="196"/>
    </w:p>
    <w:p w14:paraId="088DB11D" w14:textId="77777777" w:rsidR="00232149" w:rsidRPr="00CA4C14" w:rsidRDefault="00232149" w:rsidP="00094543">
      <w:pPr>
        <w:rPr>
          <w:rFonts w:asciiTheme="minorHAnsi" w:hAnsiTheme="minorHAnsi" w:cstheme="minorBidi"/>
          <w:lang w:val="ru-RU"/>
        </w:rPr>
      </w:pPr>
      <w:r w:rsidRPr="00CA4C14">
        <w:rPr>
          <w:lang w:val="ru-RU" w:bidi="ru-RU"/>
        </w:rPr>
        <w:t>В 2023 году, в связи с несущественностью стоимости запасов, все статьи были списаны на расходы. Эти активы по-прежнему находятся под контролем МСЭ, но в финансовых отчетах их стоимость не указывается.</w:t>
      </w:r>
    </w:p>
    <w:p w14:paraId="3ED0587D" w14:textId="73F15345" w:rsidR="00232149" w:rsidRPr="00CA4C14" w:rsidRDefault="00232149" w:rsidP="00094543">
      <w:pPr>
        <w:pStyle w:val="Heading3"/>
        <w:rPr>
          <w:lang w:val="ru-RU"/>
        </w:rPr>
      </w:pPr>
      <w:bookmarkStart w:id="197" w:name="_Toc168578457"/>
      <w:bookmarkStart w:id="198" w:name="_Toc168578832"/>
      <w:r w:rsidRPr="00CA4C14">
        <w:rPr>
          <w:lang w:val="ru-RU" w:bidi="ru-RU"/>
        </w:rPr>
        <w:t>3.5</w:t>
      </w:r>
      <w:r w:rsidRPr="00CA4C14">
        <w:rPr>
          <w:lang w:val="ru-RU" w:bidi="ru-RU"/>
        </w:rPr>
        <w:tab/>
        <w:t>Материальные активы</w:t>
      </w:r>
      <w:bookmarkEnd w:id="197"/>
      <w:bookmarkEnd w:id="198"/>
    </w:p>
    <w:p w14:paraId="59DF7AAA" w14:textId="77777777" w:rsidR="00232149" w:rsidRPr="00CA4C14" w:rsidRDefault="00232149" w:rsidP="00094543">
      <w:pPr>
        <w:rPr>
          <w:rFonts w:asciiTheme="minorHAnsi" w:hAnsiTheme="minorHAnsi" w:cstheme="minorBidi"/>
          <w:lang w:val="ru-RU"/>
        </w:rPr>
      </w:pPr>
      <w:r w:rsidRPr="00CA4C14">
        <w:rPr>
          <w:lang w:val="ru-RU" w:bidi="ru-RU"/>
        </w:rPr>
        <w:t>Материальные активы, находящиеся в распоряжении МСЭ, оцениваются по стоимости их приобретения за вычетом совокупной амортизации и потери стоимости</w:t>
      </w:r>
      <w:r w:rsidRPr="00CA4C14">
        <w:rPr>
          <w:rFonts w:asciiTheme="minorHAnsi" w:eastAsiaTheme="minorEastAsia" w:hAnsiTheme="minorHAnsi" w:cstheme="minorBidi"/>
          <w:color w:val="000000" w:themeColor="text1"/>
          <w:lang w:val="ru-RU"/>
        </w:rPr>
        <w:t>.</w:t>
      </w:r>
    </w:p>
    <w:p w14:paraId="6D71C1FE" w14:textId="77777777" w:rsidR="00232149" w:rsidRPr="00CA4C14" w:rsidRDefault="00232149" w:rsidP="00A7491F">
      <w:pPr>
        <w:pStyle w:val="Headingi"/>
        <w:rPr>
          <w:rFonts w:eastAsiaTheme="minorEastAsia" w:cstheme="minorBidi"/>
          <w:iCs/>
          <w:color w:val="333333"/>
          <w:szCs w:val="24"/>
          <w:lang w:val="ru-RU"/>
        </w:rPr>
      </w:pPr>
      <w:bookmarkStart w:id="199" w:name="lt_pId545"/>
      <w:r w:rsidRPr="00CA4C14">
        <w:rPr>
          <w:rFonts w:eastAsiaTheme="minorEastAsia"/>
          <w:lang w:val="ru-RU"/>
        </w:rPr>
        <w:t>Прирост</w:t>
      </w:r>
      <w:bookmarkEnd w:id="199"/>
    </w:p>
    <w:p w14:paraId="402C1F3D" w14:textId="77777777" w:rsidR="00232149" w:rsidRPr="00CA4C14" w:rsidRDefault="00232149" w:rsidP="00DA678F">
      <w:pPr>
        <w:rPr>
          <w:rFonts w:eastAsiaTheme="minorEastAsia"/>
          <w:lang w:val="ru-RU"/>
        </w:rPr>
      </w:pPr>
      <w:bookmarkStart w:id="200" w:name="lt_pId546"/>
      <w:r w:rsidRPr="00CA4C14">
        <w:rPr>
          <w:rFonts w:eastAsiaTheme="minorEastAsia"/>
          <w:lang w:val="ru-RU"/>
        </w:rPr>
        <w:t xml:space="preserve">Стоимость объекта материальных активов признается в качестве актива, если существует вероятность того, что будущие экономические выгоды или потенциал полезного </w:t>
      </w:r>
      <w:r w:rsidRPr="00CA4C14">
        <w:rPr>
          <w:rFonts w:eastAsia="Calibri" w:cs="Calibri"/>
          <w:lang w:val="ru-RU"/>
        </w:rPr>
        <w:t>использования</w:t>
      </w:r>
      <w:r w:rsidRPr="00CA4C14">
        <w:rPr>
          <w:rFonts w:eastAsiaTheme="minorEastAsia"/>
          <w:lang w:val="ru-RU"/>
        </w:rPr>
        <w:t>, связанные с этим объектом, поступят в МСЭ, и стоимость объекта может быть надежно измерена. При передаче актива в дар его первоначальная стоимость оценивается как справедливая стоимость актива на дату приобретения.</w:t>
      </w:r>
    </w:p>
    <w:p w14:paraId="77B74BA3" w14:textId="77777777" w:rsidR="00232149" w:rsidRPr="00CA4C14" w:rsidRDefault="00232149" w:rsidP="00A7491F">
      <w:pPr>
        <w:pStyle w:val="Headingi"/>
        <w:rPr>
          <w:rFonts w:eastAsiaTheme="minorEastAsia"/>
          <w:lang w:val="ru-RU"/>
        </w:rPr>
      </w:pPr>
      <w:bookmarkStart w:id="201" w:name="lt_pId548"/>
      <w:bookmarkEnd w:id="200"/>
      <w:r w:rsidRPr="00CA4C14">
        <w:rPr>
          <w:rFonts w:eastAsiaTheme="minorEastAsia"/>
          <w:lang w:val="ru-RU"/>
        </w:rPr>
        <w:t>Выбытие</w:t>
      </w:r>
      <w:bookmarkEnd w:id="201"/>
    </w:p>
    <w:p w14:paraId="4DDD9C4F" w14:textId="77777777" w:rsidR="00232149" w:rsidRPr="00CA4C14" w:rsidRDefault="00232149" w:rsidP="003C6DB0">
      <w:pPr>
        <w:rPr>
          <w:rFonts w:asciiTheme="minorHAnsi" w:eastAsiaTheme="minorEastAsia" w:hAnsiTheme="minorHAnsi" w:cstheme="minorBidi"/>
          <w:color w:val="333333"/>
          <w:szCs w:val="24"/>
          <w:lang w:val="ru-RU"/>
        </w:rPr>
      </w:pPr>
      <w:r w:rsidRPr="00CA4C14">
        <w:rPr>
          <w:rFonts w:eastAsiaTheme="minorEastAsia"/>
          <w:lang w:val="ru-RU"/>
        </w:rPr>
        <w:t>Прибыли и убытки от выбытия определяются путем сравнения вырученных средств с балансовой стоимостью актива и включаются в отчет о результатах финансовой деятельности.</w:t>
      </w:r>
    </w:p>
    <w:p w14:paraId="49C25259" w14:textId="77777777" w:rsidR="00232149" w:rsidRPr="00CA4C14" w:rsidRDefault="00232149" w:rsidP="00A7491F">
      <w:pPr>
        <w:pStyle w:val="Headingi"/>
        <w:rPr>
          <w:rFonts w:eastAsiaTheme="minorEastAsia"/>
          <w:lang w:val="ru-RU"/>
        </w:rPr>
      </w:pPr>
      <w:bookmarkStart w:id="202" w:name="lt_pId550"/>
      <w:r w:rsidRPr="00CA4C14">
        <w:rPr>
          <w:rFonts w:eastAsiaTheme="minorEastAsia"/>
          <w:lang w:val="ru-RU"/>
        </w:rPr>
        <w:t>Последующие затраты</w:t>
      </w:r>
      <w:bookmarkEnd w:id="202"/>
    </w:p>
    <w:p w14:paraId="3EDDFD65" w14:textId="77777777" w:rsidR="00232149" w:rsidRPr="00CA4C14" w:rsidRDefault="00232149" w:rsidP="00DA678F">
      <w:pPr>
        <w:rPr>
          <w:rFonts w:eastAsiaTheme="minorEastAsia"/>
          <w:lang w:val="ru-RU"/>
        </w:rPr>
      </w:pPr>
      <w:bookmarkStart w:id="203" w:name="lt_pId551"/>
      <w:r w:rsidRPr="00CA4C14">
        <w:rPr>
          <w:rFonts w:eastAsiaTheme="minorEastAsia"/>
          <w:lang w:val="ru-RU"/>
        </w:rPr>
        <w:t>Затраты, понесенные после первоначального приобретения, капитализируются только в том случае, если существует вероятность того, что будущие экономические выгоды или потенциал полезного использования, связанные с данным объектом, поступят в МСЭ и себестоимость объекта может быть надежно измерена.</w:t>
      </w:r>
    </w:p>
    <w:bookmarkEnd w:id="203"/>
    <w:p w14:paraId="654ED618" w14:textId="77777777" w:rsidR="00232149" w:rsidRPr="00CA4C14" w:rsidRDefault="00232149" w:rsidP="003C6DB0">
      <w:pPr>
        <w:rPr>
          <w:lang w:val="ru-RU"/>
        </w:rPr>
      </w:pPr>
      <w:r w:rsidRPr="00CA4C14">
        <w:rPr>
          <w:lang w:val="ru-RU"/>
        </w:rPr>
        <w:t xml:space="preserve">Имущество стоимостью 5000 швейцарских франков или выше капитализируется в момент его </w:t>
      </w:r>
      <w:r w:rsidRPr="00CA4C14">
        <w:rPr>
          <w:rFonts w:eastAsia="Calibri" w:cs="Calibri"/>
          <w:lang w:val="ru-RU"/>
        </w:rPr>
        <w:t>получения</w:t>
      </w:r>
      <w:r w:rsidRPr="00CA4C14">
        <w:rPr>
          <w:lang w:val="ru-RU"/>
        </w:rPr>
        <w:t xml:space="preserve"> и затем амортизируется по линейному принципу.</w:t>
      </w:r>
    </w:p>
    <w:p w14:paraId="1C783EB9" w14:textId="77777777" w:rsidR="00232149" w:rsidRPr="00CA4C14" w:rsidRDefault="00232149" w:rsidP="007F03F0">
      <w:pPr>
        <w:rPr>
          <w:lang w:val="ru-RU"/>
        </w:rPr>
      </w:pPr>
      <w:r w:rsidRPr="00CA4C14">
        <w:rPr>
          <w:lang w:val="ru-RU" w:bidi="ru-RU"/>
        </w:rPr>
        <w:t>Имущество стоимостью менее 5000 швейцарских франков капитализируется в момент получения и впоследствии полностью амортизируется в год приобретения.</w:t>
      </w:r>
    </w:p>
    <w:p w14:paraId="4C0AF72E" w14:textId="77777777" w:rsidR="00232149" w:rsidRPr="00CA4C14" w:rsidRDefault="00232149" w:rsidP="007F03F0">
      <w:pPr>
        <w:rPr>
          <w:lang w:val="ru-RU"/>
        </w:rPr>
      </w:pPr>
      <w:r w:rsidRPr="00CA4C14">
        <w:rPr>
          <w:lang w:val="ru-RU" w:bidi="ru-RU"/>
        </w:rPr>
        <w:t>Если основное средство состоит из нескольких существенных компонентов, имеющих разные сроки полезного использования, каждый компонент отражается в учете отдельно. Амортизация рассчитывается линейным методом в соответствии с предполагаемым сроком полезного использования каждого объекта и, если применимо, с учетом конечного остаточного периода. Остаточная стоимость и сроки полезного использования активов, а также методы начисления амортизации пересматриваются и, при необходимости, корректируются при каждом ежегодном закрытии счетов.</w:t>
      </w:r>
    </w:p>
    <w:p w14:paraId="5BB96D7C" w14:textId="77777777" w:rsidR="00232149" w:rsidRPr="00CA4C14" w:rsidRDefault="00232149" w:rsidP="007F03F0">
      <w:pPr>
        <w:rPr>
          <w:lang w:val="ru-RU"/>
        </w:rPr>
      </w:pPr>
      <w:r w:rsidRPr="00CA4C14">
        <w:rPr>
          <w:lang w:val="ru-RU" w:bidi="ru-RU"/>
        </w:rPr>
        <w:t>Имущество и оборудование, приобретенные в связи с проектами, осуществляемыми в рамках внебюджетной деятельности (проекты Программы развития Организации Объединенных Наций, проекты, осуществляемые на национальном уровне, и добровольные взносы), в полном объеме учитываются в расходах в отчете о результатах финансовой деятельности при ежемесячном закрытии счетов после приобретения, поскольку они не контролируются МСЭ</w:t>
      </w:r>
      <w:r w:rsidRPr="00CA4C14">
        <w:rPr>
          <w:lang w:val="ru-RU"/>
        </w:rPr>
        <w:t>.</w:t>
      </w:r>
    </w:p>
    <w:p w14:paraId="73AA1CB7" w14:textId="77777777" w:rsidR="00232149" w:rsidRPr="00CA4C14" w:rsidRDefault="00232149" w:rsidP="00F81957">
      <w:pPr>
        <w:keepNext/>
        <w:spacing w:after="120"/>
        <w:rPr>
          <w:lang w:val="ru-RU"/>
        </w:rPr>
      </w:pPr>
      <w:bookmarkStart w:id="204" w:name="lt_pId557"/>
      <w:r w:rsidRPr="00CA4C14">
        <w:rPr>
          <w:lang w:val="ru-RU"/>
        </w:rPr>
        <w:lastRenderedPageBreak/>
        <w:t xml:space="preserve">В </w:t>
      </w:r>
      <w:r w:rsidRPr="00CA4C14">
        <w:rPr>
          <w:rFonts w:eastAsia="Calibri" w:cs="Calibri"/>
          <w:lang w:val="ru-RU"/>
        </w:rPr>
        <w:t>приведенной</w:t>
      </w:r>
      <w:r w:rsidRPr="00CA4C14">
        <w:rPr>
          <w:lang w:val="ru-RU"/>
        </w:rPr>
        <w:t xml:space="preserve"> ниже таблице показан прогнозируемый срок полезного использования активов</w:t>
      </w:r>
      <w:bookmarkEnd w:id="204"/>
      <w:r w:rsidRPr="00CA4C14">
        <w:rPr>
          <w:lang w:val="ru-RU"/>
        </w:rPr>
        <w:t>.</w:t>
      </w:r>
    </w:p>
    <w:tbl>
      <w:tblPr>
        <w:tblW w:w="5000" w:type="pct"/>
        <w:tblLayout w:type="fixed"/>
        <w:tblLook w:val="04A0" w:firstRow="1" w:lastRow="0" w:firstColumn="1" w:lastColumn="0" w:noHBand="0" w:noVBand="1"/>
      </w:tblPr>
      <w:tblGrid>
        <w:gridCol w:w="504"/>
        <w:gridCol w:w="6584"/>
        <w:gridCol w:w="1983"/>
      </w:tblGrid>
      <w:tr w:rsidR="00232149" w:rsidRPr="009A3216" w14:paraId="27A0D368" w14:textId="77777777" w:rsidTr="00F81957">
        <w:tc>
          <w:tcPr>
            <w:tcW w:w="3907" w:type="pct"/>
            <w:gridSpan w:val="2"/>
            <w:tcBorders>
              <w:top w:val="nil"/>
              <w:left w:val="nil"/>
              <w:bottom w:val="nil"/>
              <w:right w:val="nil"/>
            </w:tcBorders>
            <w:shd w:val="clear" w:color="auto" w:fill="0070C0"/>
            <w:vAlign w:val="center"/>
            <w:hideMark/>
          </w:tcPr>
          <w:p w14:paraId="601C7D2F" w14:textId="77777777" w:rsidR="00232149" w:rsidRPr="00CA4C14" w:rsidRDefault="00232149" w:rsidP="00BA6FBD">
            <w:pPr>
              <w:pStyle w:val="Tablehead"/>
              <w:keepLines/>
              <w:rPr>
                <w:lang w:val="ru-RU" w:eastAsia="en-GB"/>
              </w:rPr>
            </w:pPr>
            <w:bookmarkStart w:id="205" w:name="RANGE!B8:E33"/>
            <w:r w:rsidRPr="00CA4C14">
              <w:rPr>
                <w:lang w:val="ru-RU"/>
              </w:rPr>
              <w:t xml:space="preserve">Категории и подкатегории материальных активов </w:t>
            </w:r>
            <w:bookmarkEnd w:id="205"/>
            <w:r w:rsidRPr="00CA4C14">
              <w:rPr>
                <w:lang w:val="ru-RU"/>
              </w:rPr>
              <w:t>и нематериальных активов</w:t>
            </w:r>
          </w:p>
        </w:tc>
        <w:tc>
          <w:tcPr>
            <w:tcW w:w="1093" w:type="pct"/>
            <w:tcBorders>
              <w:top w:val="nil"/>
              <w:left w:val="nil"/>
              <w:bottom w:val="nil"/>
              <w:right w:val="nil"/>
            </w:tcBorders>
            <w:shd w:val="clear" w:color="auto" w:fill="0070C0"/>
            <w:vAlign w:val="center"/>
            <w:hideMark/>
          </w:tcPr>
          <w:p w14:paraId="3FFB52B5" w14:textId="2413A4E5" w:rsidR="00232149" w:rsidRPr="00CA4C14" w:rsidRDefault="00232149" w:rsidP="00BA6FBD">
            <w:pPr>
              <w:pStyle w:val="Tablehead"/>
              <w:keepLines/>
              <w:rPr>
                <w:lang w:val="ru-RU"/>
              </w:rPr>
            </w:pPr>
            <w:r w:rsidRPr="00CA4C14">
              <w:rPr>
                <w:rFonts w:cs="Calibri"/>
                <w:szCs w:val="18"/>
                <w:lang w:val="ru-RU"/>
              </w:rPr>
              <w:t>Прогнозируемый срок полезного использования (годы)</w:t>
            </w:r>
          </w:p>
        </w:tc>
      </w:tr>
      <w:tr w:rsidR="00232149" w:rsidRPr="00CA4C14" w14:paraId="434DE85A" w14:textId="77777777" w:rsidTr="00F81957">
        <w:tc>
          <w:tcPr>
            <w:tcW w:w="3907" w:type="pct"/>
            <w:gridSpan w:val="2"/>
            <w:tcBorders>
              <w:top w:val="nil"/>
              <w:left w:val="nil"/>
              <w:bottom w:val="nil"/>
              <w:right w:val="nil"/>
            </w:tcBorders>
            <w:shd w:val="clear" w:color="auto" w:fill="auto"/>
            <w:noWrap/>
            <w:hideMark/>
          </w:tcPr>
          <w:p w14:paraId="5FDAF49A" w14:textId="77777777" w:rsidR="00232149" w:rsidRPr="00CA4C14" w:rsidRDefault="00232149" w:rsidP="00B133E9">
            <w:pPr>
              <w:pStyle w:val="Tabletext"/>
              <w:keepNext/>
              <w:keepLines/>
              <w:rPr>
                <w:b/>
                <w:bCs/>
                <w:color w:val="000000"/>
                <w:lang w:val="ru-RU"/>
              </w:rPr>
            </w:pPr>
            <w:r w:rsidRPr="00CA4C14">
              <w:rPr>
                <w:b/>
                <w:bCs/>
                <w:color w:val="000000"/>
                <w:lang w:val="ru-RU"/>
              </w:rPr>
              <w:t xml:space="preserve">Материальные активы </w:t>
            </w:r>
          </w:p>
        </w:tc>
        <w:tc>
          <w:tcPr>
            <w:tcW w:w="1093" w:type="pct"/>
            <w:tcBorders>
              <w:top w:val="nil"/>
              <w:left w:val="nil"/>
              <w:bottom w:val="nil"/>
              <w:right w:val="nil"/>
            </w:tcBorders>
            <w:shd w:val="clear" w:color="auto" w:fill="auto"/>
            <w:noWrap/>
            <w:vAlign w:val="bottom"/>
            <w:hideMark/>
          </w:tcPr>
          <w:p w14:paraId="6DE69E25" w14:textId="77777777" w:rsidR="00232149" w:rsidRPr="00CA4C14" w:rsidRDefault="00232149" w:rsidP="00BA6FBD">
            <w:pPr>
              <w:pStyle w:val="Tabletext"/>
              <w:keepNext/>
              <w:keepLines/>
              <w:jc w:val="right"/>
              <w:rPr>
                <w:b/>
                <w:bCs/>
                <w:color w:val="000000"/>
                <w:lang w:val="ru-RU"/>
              </w:rPr>
            </w:pPr>
          </w:p>
        </w:tc>
      </w:tr>
      <w:tr w:rsidR="00232149" w:rsidRPr="00CA4C14" w14:paraId="3BB3F7DA" w14:textId="77777777" w:rsidTr="00F81957">
        <w:tc>
          <w:tcPr>
            <w:tcW w:w="278" w:type="pct"/>
            <w:tcBorders>
              <w:top w:val="nil"/>
              <w:left w:val="nil"/>
              <w:bottom w:val="nil"/>
              <w:right w:val="nil"/>
            </w:tcBorders>
            <w:shd w:val="clear" w:color="auto" w:fill="auto"/>
            <w:noWrap/>
            <w:vAlign w:val="bottom"/>
            <w:hideMark/>
          </w:tcPr>
          <w:p w14:paraId="1ED7A8BA" w14:textId="77777777" w:rsidR="00232149" w:rsidRPr="00CA4C14" w:rsidRDefault="00232149" w:rsidP="000C6E3F">
            <w:pPr>
              <w:pStyle w:val="Tabletext"/>
              <w:keepNext/>
              <w:keepLines/>
              <w:rPr>
                <w:b/>
                <w:bCs/>
                <w:lang w:val="ru-RU"/>
              </w:rPr>
            </w:pPr>
          </w:p>
        </w:tc>
        <w:tc>
          <w:tcPr>
            <w:tcW w:w="3629" w:type="pct"/>
            <w:tcBorders>
              <w:top w:val="nil"/>
              <w:left w:val="nil"/>
              <w:bottom w:val="nil"/>
              <w:right w:val="nil"/>
            </w:tcBorders>
            <w:shd w:val="clear" w:color="auto" w:fill="auto"/>
            <w:noWrap/>
            <w:hideMark/>
          </w:tcPr>
          <w:p w14:paraId="5270ADDA" w14:textId="77777777" w:rsidR="00232149" w:rsidRPr="00CA4C14" w:rsidRDefault="00232149" w:rsidP="000C6E3F">
            <w:pPr>
              <w:pStyle w:val="Tabletext"/>
              <w:keepNext/>
              <w:keepLines/>
              <w:rPr>
                <w:b/>
                <w:bCs/>
                <w:color w:val="000000"/>
                <w:lang w:val="ru-RU"/>
              </w:rPr>
            </w:pPr>
            <w:r w:rsidRPr="00CA4C14">
              <w:rPr>
                <w:b/>
                <w:bCs/>
                <w:color w:val="000000"/>
                <w:lang w:val="ru-RU"/>
              </w:rPr>
              <w:t>Здания</w:t>
            </w:r>
          </w:p>
        </w:tc>
        <w:tc>
          <w:tcPr>
            <w:tcW w:w="1093" w:type="pct"/>
            <w:tcBorders>
              <w:top w:val="nil"/>
              <w:left w:val="nil"/>
              <w:bottom w:val="nil"/>
              <w:right w:val="nil"/>
            </w:tcBorders>
            <w:shd w:val="clear" w:color="auto" w:fill="auto"/>
            <w:noWrap/>
            <w:vAlign w:val="bottom"/>
            <w:hideMark/>
          </w:tcPr>
          <w:p w14:paraId="47CA6C92" w14:textId="77777777" w:rsidR="00232149" w:rsidRPr="00CA4C14" w:rsidRDefault="00232149" w:rsidP="000C6E3F">
            <w:pPr>
              <w:pStyle w:val="Tabletext"/>
              <w:keepNext/>
              <w:keepLines/>
              <w:jc w:val="right"/>
              <w:rPr>
                <w:b/>
                <w:bCs/>
                <w:color w:val="000000"/>
                <w:lang w:val="ru-RU"/>
              </w:rPr>
            </w:pPr>
          </w:p>
        </w:tc>
      </w:tr>
      <w:tr w:rsidR="00F81957" w:rsidRPr="00CA4C14" w14:paraId="6AD69D62" w14:textId="77777777" w:rsidTr="00F81957">
        <w:tc>
          <w:tcPr>
            <w:tcW w:w="278" w:type="pct"/>
            <w:tcBorders>
              <w:top w:val="nil"/>
              <w:left w:val="nil"/>
              <w:bottom w:val="nil"/>
              <w:right w:val="nil"/>
            </w:tcBorders>
            <w:shd w:val="clear" w:color="auto" w:fill="auto"/>
            <w:noWrap/>
            <w:vAlign w:val="bottom"/>
            <w:hideMark/>
          </w:tcPr>
          <w:p w14:paraId="023845BC" w14:textId="77777777" w:rsidR="00F81957" w:rsidRPr="00CA4C14" w:rsidRDefault="00F81957" w:rsidP="000C6E3F">
            <w:pPr>
              <w:pStyle w:val="Tabletext"/>
              <w:keepNext/>
              <w:keepLines/>
              <w:rPr>
                <w:lang w:val="ru-RU"/>
              </w:rPr>
            </w:pPr>
          </w:p>
        </w:tc>
        <w:tc>
          <w:tcPr>
            <w:tcW w:w="3629" w:type="pct"/>
            <w:tcBorders>
              <w:top w:val="nil"/>
              <w:left w:val="nil"/>
              <w:bottom w:val="nil"/>
              <w:right w:val="nil"/>
            </w:tcBorders>
            <w:shd w:val="clear" w:color="auto" w:fill="auto"/>
            <w:noWrap/>
            <w:vAlign w:val="center"/>
            <w:hideMark/>
          </w:tcPr>
          <w:p w14:paraId="4BE3E8A2" w14:textId="02A197F1"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Конструкция сооружений </w:t>
            </w:r>
          </w:p>
        </w:tc>
        <w:tc>
          <w:tcPr>
            <w:tcW w:w="1093" w:type="pct"/>
            <w:tcBorders>
              <w:top w:val="nil"/>
              <w:left w:val="nil"/>
              <w:bottom w:val="nil"/>
              <w:right w:val="nil"/>
            </w:tcBorders>
            <w:shd w:val="clear" w:color="auto" w:fill="auto"/>
            <w:noWrap/>
            <w:vAlign w:val="bottom"/>
            <w:hideMark/>
          </w:tcPr>
          <w:p w14:paraId="01606A31" w14:textId="77777777" w:rsidR="00F81957" w:rsidRPr="00CA4C14" w:rsidRDefault="00F81957" w:rsidP="000C6E3F">
            <w:pPr>
              <w:pStyle w:val="Tabletext"/>
              <w:keepNext/>
              <w:keepLines/>
              <w:jc w:val="right"/>
              <w:rPr>
                <w:color w:val="000000"/>
                <w:lang w:val="ru-RU"/>
              </w:rPr>
            </w:pPr>
            <w:r w:rsidRPr="00CA4C14">
              <w:rPr>
                <w:color w:val="000000"/>
                <w:lang w:val="ru-RU"/>
              </w:rPr>
              <w:t>60</w:t>
            </w:r>
          </w:p>
        </w:tc>
      </w:tr>
      <w:tr w:rsidR="00F81957" w:rsidRPr="00CA4C14" w14:paraId="3015A40D" w14:textId="77777777" w:rsidTr="00F81957">
        <w:tc>
          <w:tcPr>
            <w:tcW w:w="278" w:type="pct"/>
            <w:tcBorders>
              <w:top w:val="nil"/>
              <w:left w:val="nil"/>
              <w:bottom w:val="nil"/>
              <w:right w:val="nil"/>
            </w:tcBorders>
            <w:shd w:val="clear" w:color="auto" w:fill="auto"/>
            <w:noWrap/>
            <w:vAlign w:val="bottom"/>
            <w:hideMark/>
          </w:tcPr>
          <w:p w14:paraId="4660B2A9"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17175D8A" w14:textId="1E775EC7"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Ограждающие конструкции (плоская кровля, изоляция, герметизация и т. д.) </w:t>
            </w:r>
          </w:p>
        </w:tc>
        <w:tc>
          <w:tcPr>
            <w:tcW w:w="1093" w:type="pct"/>
            <w:tcBorders>
              <w:top w:val="nil"/>
              <w:left w:val="nil"/>
              <w:bottom w:val="nil"/>
              <w:right w:val="nil"/>
            </w:tcBorders>
            <w:shd w:val="clear" w:color="auto" w:fill="auto"/>
            <w:noWrap/>
            <w:vAlign w:val="bottom"/>
            <w:hideMark/>
          </w:tcPr>
          <w:p w14:paraId="766C340C" w14:textId="77777777" w:rsidR="00F81957" w:rsidRPr="00CA4C14" w:rsidRDefault="00F81957" w:rsidP="000C6E3F">
            <w:pPr>
              <w:pStyle w:val="Tabletext"/>
              <w:keepNext/>
              <w:keepLines/>
              <w:jc w:val="right"/>
              <w:rPr>
                <w:color w:val="000000"/>
                <w:lang w:val="ru-RU"/>
              </w:rPr>
            </w:pPr>
            <w:r w:rsidRPr="00CA4C14">
              <w:rPr>
                <w:color w:val="000000"/>
                <w:lang w:val="ru-RU"/>
              </w:rPr>
              <w:t>40</w:t>
            </w:r>
          </w:p>
        </w:tc>
      </w:tr>
      <w:tr w:rsidR="00F81957" w:rsidRPr="00CA4C14" w14:paraId="264484F2" w14:textId="77777777" w:rsidTr="00F81957">
        <w:tc>
          <w:tcPr>
            <w:tcW w:w="278" w:type="pct"/>
            <w:tcBorders>
              <w:top w:val="nil"/>
              <w:left w:val="nil"/>
              <w:bottom w:val="nil"/>
              <w:right w:val="nil"/>
            </w:tcBorders>
            <w:shd w:val="clear" w:color="auto" w:fill="auto"/>
            <w:noWrap/>
            <w:vAlign w:val="bottom"/>
            <w:hideMark/>
          </w:tcPr>
          <w:p w14:paraId="49434B95"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5871DC8D" w14:textId="647BAEC4" w:rsidR="00F81957" w:rsidRPr="00CA4C14" w:rsidRDefault="00F81957" w:rsidP="000C6E3F">
            <w:pPr>
              <w:pStyle w:val="Tabletext"/>
              <w:keepNext/>
              <w:keepLines/>
              <w:ind w:left="284" w:hanging="284"/>
              <w:rPr>
                <w:color w:val="000000"/>
                <w:lang w:val="ru-RU"/>
              </w:rPr>
            </w:pPr>
            <w:r w:rsidRPr="00CA4C14">
              <w:rPr>
                <w:lang w:val="ru-RU"/>
              </w:rPr>
              <w:t>−</w:t>
            </w:r>
            <w:r w:rsidRPr="00CA4C14">
              <w:rPr>
                <w:lang w:val="ru-RU"/>
              </w:rPr>
              <w:tab/>
            </w:r>
            <w:r w:rsidRPr="00CA4C14">
              <w:rPr>
                <w:color w:val="000000"/>
                <w:lang w:val="ru-RU"/>
              </w:rPr>
              <w:t xml:space="preserve">Ограждающие конструкции (навесные вентилируемые фасады, алюминиевые оконные рамы и т. д.) </w:t>
            </w:r>
          </w:p>
        </w:tc>
        <w:tc>
          <w:tcPr>
            <w:tcW w:w="1093" w:type="pct"/>
            <w:tcBorders>
              <w:top w:val="nil"/>
              <w:left w:val="nil"/>
              <w:bottom w:val="nil"/>
              <w:right w:val="nil"/>
            </w:tcBorders>
            <w:shd w:val="clear" w:color="auto" w:fill="auto"/>
            <w:noWrap/>
            <w:vAlign w:val="bottom"/>
            <w:hideMark/>
          </w:tcPr>
          <w:p w14:paraId="2326E5A4" w14:textId="77777777" w:rsidR="00F81957" w:rsidRPr="00CA4C14" w:rsidRDefault="00F81957" w:rsidP="000C6E3F">
            <w:pPr>
              <w:pStyle w:val="Tabletext"/>
              <w:keepNext/>
              <w:keepLines/>
              <w:jc w:val="right"/>
              <w:rPr>
                <w:color w:val="000000"/>
                <w:lang w:val="ru-RU"/>
              </w:rPr>
            </w:pPr>
            <w:r w:rsidRPr="00CA4C14">
              <w:rPr>
                <w:color w:val="000000"/>
                <w:lang w:val="ru-RU"/>
              </w:rPr>
              <w:t>40</w:t>
            </w:r>
          </w:p>
        </w:tc>
      </w:tr>
      <w:tr w:rsidR="00F81957" w:rsidRPr="00CA4C14" w14:paraId="5F2255DF" w14:textId="77777777" w:rsidTr="00F81957">
        <w:tc>
          <w:tcPr>
            <w:tcW w:w="278" w:type="pct"/>
            <w:tcBorders>
              <w:top w:val="nil"/>
              <w:left w:val="nil"/>
              <w:bottom w:val="nil"/>
              <w:right w:val="nil"/>
            </w:tcBorders>
            <w:shd w:val="clear" w:color="auto" w:fill="auto"/>
            <w:noWrap/>
            <w:vAlign w:val="bottom"/>
            <w:hideMark/>
          </w:tcPr>
          <w:p w14:paraId="2DACEC84"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661E66BF" w14:textId="5424BEFC"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Внутренняя отделка (фальшполы, перегородки и т. д.) </w:t>
            </w:r>
          </w:p>
        </w:tc>
        <w:tc>
          <w:tcPr>
            <w:tcW w:w="1093" w:type="pct"/>
            <w:tcBorders>
              <w:top w:val="nil"/>
              <w:left w:val="nil"/>
              <w:bottom w:val="nil"/>
              <w:right w:val="nil"/>
            </w:tcBorders>
            <w:shd w:val="clear" w:color="auto" w:fill="auto"/>
            <w:noWrap/>
            <w:vAlign w:val="bottom"/>
            <w:hideMark/>
          </w:tcPr>
          <w:p w14:paraId="3758A798" w14:textId="77777777" w:rsidR="00F81957" w:rsidRPr="00CA4C14" w:rsidRDefault="00F81957" w:rsidP="000C6E3F">
            <w:pPr>
              <w:pStyle w:val="Tabletext"/>
              <w:keepNext/>
              <w:keepLines/>
              <w:jc w:val="right"/>
              <w:rPr>
                <w:color w:val="000000"/>
                <w:lang w:val="ru-RU"/>
              </w:rPr>
            </w:pPr>
            <w:r w:rsidRPr="00CA4C14">
              <w:rPr>
                <w:color w:val="000000"/>
                <w:lang w:val="ru-RU"/>
              </w:rPr>
              <w:t>25</w:t>
            </w:r>
          </w:p>
        </w:tc>
      </w:tr>
      <w:tr w:rsidR="00F81957" w:rsidRPr="00CA4C14" w14:paraId="2D7D9FA3" w14:textId="77777777" w:rsidTr="00F81957">
        <w:tc>
          <w:tcPr>
            <w:tcW w:w="278" w:type="pct"/>
            <w:tcBorders>
              <w:top w:val="nil"/>
              <w:left w:val="nil"/>
              <w:bottom w:val="nil"/>
              <w:right w:val="nil"/>
            </w:tcBorders>
            <w:shd w:val="clear" w:color="auto" w:fill="auto"/>
            <w:noWrap/>
            <w:vAlign w:val="bottom"/>
            <w:hideMark/>
          </w:tcPr>
          <w:p w14:paraId="43453C2E"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11AE7A75" w14:textId="20BF9C92"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Внутренняя отделка (покрытие полов, стен и потолков и т. д.) </w:t>
            </w:r>
          </w:p>
        </w:tc>
        <w:tc>
          <w:tcPr>
            <w:tcW w:w="1093" w:type="pct"/>
            <w:tcBorders>
              <w:top w:val="nil"/>
              <w:left w:val="nil"/>
              <w:bottom w:val="nil"/>
              <w:right w:val="nil"/>
            </w:tcBorders>
            <w:shd w:val="clear" w:color="auto" w:fill="auto"/>
            <w:noWrap/>
            <w:vAlign w:val="bottom"/>
            <w:hideMark/>
          </w:tcPr>
          <w:p w14:paraId="6D9CA548" w14:textId="77777777" w:rsidR="00F81957" w:rsidRPr="00CA4C14" w:rsidRDefault="00F81957" w:rsidP="000C6E3F">
            <w:pPr>
              <w:pStyle w:val="Tabletext"/>
              <w:keepNext/>
              <w:keepLines/>
              <w:jc w:val="right"/>
              <w:rPr>
                <w:color w:val="000000"/>
                <w:lang w:val="ru-RU"/>
              </w:rPr>
            </w:pPr>
            <w:r w:rsidRPr="00CA4C14">
              <w:rPr>
                <w:color w:val="000000"/>
                <w:lang w:val="ru-RU"/>
              </w:rPr>
              <w:t>25</w:t>
            </w:r>
          </w:p>
        </w:tc>
      </w:tr>
      <w:tr w:rsidR="00F81957" w:rsidRPr="00CA4C14" w14:paraId="67B61D29" w14:textId="77777777" w:rsidTr="00F81957">
        <w:tc>
          <w:tcPr>
            <w:tcW w:w="278" w:type="pct"/>
            <w:tcBorders>
              <w:top w:val="nil"/>
              <w:left w:val="nil"/>
              <w:bottom w:val="nil"/>
              <w:right w:val="nil"/>
            </w:tcBorders>
            <w:shd w:val="clear" w:color="auto" w:fill="auto"/>
            <w:noWrap/>
            <w:vAlign w:val="bottom"/>
            <w:hideMark/>
          </w:tcPr>
          <w:p w14:paraId="4761FA05"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5AD04343" w14:textId="71E64A67"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Специальное оборудование </w:t>
            </w:r>
          </w:p>
        </w:tc>
        <w:tc>
          <w:tcPr>
            <w:tcW w:w="1093" w:type="pct"/>
            <w:tcBorders>
              <w:top w:val="nil"/>
              <w:left w:val="nil"/>
              <w:bottom w:val="nil"/>
              <w:right w:val="nil"/>
            </w:tcBorders>
            <w:shd w:val="clear" w:color="auto" w:fill="auto"/>
            <w:noWrap/>
            <w:vAlign w:val="bottom"/>
            <w:hideMark/>
          </w:tcPr>
          <w:p w14:paraId="02B1527C" w14:textId="77777777" w:rsidR="00F81957" w:rsidRPr="00CA4C14" w:rsidRDefault="00F81957" w:rsidP="000C6E3F">
            <w:pPr>
              <w:pStyle w:val="Tabletext"/>
              <w:keepNext/>
              <w:keepLines/>
              <w:jc w:val="right"/>
              <w:rPr>
                <w:color w:val="000000"/>
                <w:lang w:val="ru-RU"/>
              </w:rPr>
            </w:pPr>
            <w:r w:rsidRPr="00CA4C14">
              <w:rPr>
                <w:color w:val="000000"/>
                <w:lang w:val="ru-RU"/>
              </w:rPr>
              <w:t>25</w:t>
            </w:r>
          </w:p>
        </w:tc>
      </w:tr>
      <w:tr w:rsidR="00F81957" w:rsidRPr="00CA4C14" w14:paraId="50D6CE06" w14:textId="77777777" w:rsidTr="00F81957">
        <w:tc>
          <w:tcPr>
            <w:tcW w:w="278" w:type="pct"/>
            <w:tcBorders>
              <w:top w:val="nil"/>
              <w:left w:val="nil"/>
              <w:bottom w:val="nil"/>
              <w:right w:val="nil"/>
            </w:tcBorders>
            <w:shd w:val="clear" w:color="auto" w:fill="auto"/>
            <w:noWrap/>
            <w:vAlign w:val="bottom"/>
            <w:hideMark/>
          </w:tcPr>
          <w:p w14:paraId="50899DFD"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7F6D3D4E" w14:textId="2AC1488E"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Техническое оборудование (электрическое) </w:t>
            </w:r>
          </w:p>
        </w:tc>
        <w:tc>
          <w:tcPr>
            <w:tcW w:w="1093" w:type="pct"/>
            <w:tcBorders>
              <w:top w:val="nil"/>
              <w:left w:val="nil"/>
              <w:bottom w:val="nil"/>
              <w:right w:val="nil"/>
            </w:tcBorders>
            <w:shd w:val="clear" w:color="auto" w:fill="auto"/>
            <w:noWrap/>
            <w:vAlign w:val="bottom"/>
            <w:hideMark/>
          </w:tcPr>
          <w:p w14:paraId="1CD5CAEE" w14:textId="77777777" w:rsidR="00F81957" w:rsidRPr="00CA4C14" w:rsidRDefault="00F81957" w:rsidP="000C6E3F">
            <w:pPr>
              <w:pStyle w:val="Tabletext"/>
              <w:keepNext/>
              <w:keepLines/>
              <w:jc w:val="right"/>
              <w:rPr>
                <w:color w:val="000000"/>
                <w:lang w:val="ru-RU"/>
              </w:rPr>
            </w:pPr>
            <w:r w:rsidRPr="00CA4C14">
              <w:rPr>
                <w:color w:val="000000"/>
                <w:lang w:val="ru-RU"/>
              </w:rPr>
              <w:t>50</w:t>
            </w:r>
          </w:p>
        </w:tc>
      </w:tr>
      <w:tr w:rsidR="00F81957" w:rsidRPr="00CA4C14" w14:paraId="7959089A" w14:textId="77777777" w:rsidTr="00F81957">
        <w:tc>
          <w:tcPr>
            <w:tcW w:w="278" w:type="pct"/>
            <w:tcBorders>
              <w:top w:val="nil"/>
              <w:left w:val="nil"/>
              <w:bottom w:val="nil"/>
              <w:right w:val="nil"/>
            </w:tcBorders>
            <w:shd w:val="clear" w:color="auto" w:fill="auto"/>
            <w:noWrap/>
            <w:vAlign w:val="bottom"/>
            <w:hideMark/>
          </w:tcPr>
          <w:p w14:paraId="5BAA938B"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0F2D6169" w14:textId="5409423B"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Техническое оборудование (санитарно-техническое) </w:t>
            </w:r>
          </w:p>
        </w:tc>
        <w:tc>
          <w:tcPr>
            <w:tcW w:w="1093" w:type="pct"/>
            <w:tcBorders>
              <w:top w:val="nil"/>
              <w:left w:val="nil"/>
              <w:bottom w:val="nil"/>
              <w:right w:val="nil"/>
            </w:tcBorders>
            <w:shd w:val="clear" w:color="auto" w:fill="auto"/>
            <w:noWrap/>
            <w:vAlign w:val="bottom"/>
            <w:hideMark/>
          </w:tcPr>
          <w:p w14:paraId="5AFEBB01" w14:textId="77777777" w:rsidR="00F81957" w:rsidRPr="00CA4C14" w:rsidRDefault="00F81957" w:rsidP="000C6E3F">
            <w:pPr>
              <w:pStyle w:val="Tabletext"/>
              <w:keepNext/>
              <w:keepLines/>
              <w:jc w:val="right"/>
              <w:rPr>
                <w:color w:val="000000"/>
                <w:lang w:val="ru-RU"/>
              </w:rPr>
            </w:pPr>
            <w:r w:rsidRPr="00CA4C14">
              <w:rPr>
                <w:color w:val="000000"/>
                <w:lang w:val="ru-RU"/>
              </w:rPr>
              <w:t>40</w:t>
            </w:r>
          </w:p>
        </w:tc>
      </w:tr>
      <w:tr w:rsidR="00F81957" w:rsidRPr="00CA4C14" w14:paraId="306A81A2" w14:textId="77777777" w:rsidTr="00F81957">
        <w:tc>
          <w:tcPr>
            <w:tcW w:w="278" w:type="pct"/>
            <w:tcBorders>
              <w:top w:val="nil"/>
              <w:left w:val="nil"/>
              <w:bottom w:val="nil"/>
              <w:right w:val="nil"/>
            </w:tcBorders>
            <w:shd w:val="clear" w:color="auto" w:fill="auto"/>
            <w:noWrap/>
            <w:vAlign w:val="bottom"/>
            <w:hideMark/>
          </w:tcPr>
          <w:p w14:paraId="67ABE3B8"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25B79C3A" w14:textId="04ADB180"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Техническое оборудование (отопление, вентиляция) </w:t>
            </w:r>
          </w:p>
        </w:tc>
        <w:tc>
          <w:tcPr>
            <w:tcW w:w="1093" w:type="pct"/>
            <w:tcBorders>
              <w:top w:val="nil"/>
              <w:left w:val="nil"/>
              <w:bottom w:val="nil"/>
              <w:right w:val="nil"/>
            </w:tcBorders>
            <w:shd w:val="clear" w:color="auto" w:fill="auto"/>
            <w:noWrap/>
            <w:vAlign w:val="bottom"/>
            <w:hideMark/>
          </w:tcPr>
          <w:p w14:paraId="0FF12022" w14:textId="77777777" w:rsidR="00F81957" w:rsidRPr="00CA4C14" w:rsidRDefault="00F81957" w:rsidP="000C6E3F">
            <w:pPr>
              <w:pStyle w:val="Tabletext"/>
              <w:keepNext/>
              <w:keepLines/>
              <w:jc w:val="right"/>
              <w:rPr>
                <w:color w:val="000000"/>
                <w:lang w:val="ru-RU"/>
              </w:rPr>
            </w:pPr>
            <w:r w:rsidRPr="00CA4C14">
              <w:rPr>
                <w:color w:val="000000"/>
                <w:lang w:val="ru-RU"/>
              </w:rPr>
              <w:t>30</w:t>
            </w:r>
          </w:p>
        </w:tc>
      </w:tr>
      <w:tr w:rsidR="00F81957" w:rsidRPr="00CA4C14" w14:paraId="431F5255" w14:textId="77777777" w:rsidTr="00F81957">
        <w:tc>
          <w:tcPr>
            <w:tcW w:w="278" w:type="pct"/>
            <w:tcBorders>
              <w:top w:val="nil"/>
              <w:left w:val="nil"/>
              <w:bottom w:val="nil"/>
              <w:right w:val="nil"/>
            </w:tcBorders>
            <w:shd w:val="clear" w:color="auto" w:fill="auto"/>
            <w:noWrap/>
            <w:vAlign w:val="bottom"/>
            <w:hideMark/>
          </w:tcPr>
          <w:p w14:paraId="00FBF00F"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7BFA21BE" w14:textId="3B3FF6F4"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Транспортное оборудование </w:t>
            </w:r>
          </w:p>
        </w:tc>
        <w:tc>
          <w:tcPr>
            <w:tcW w:w="1093" w:type="pct"/>
            <w:tcBorders>
              <w:top w:val="nil"/>
              <w:left w:val="nil"/>
              <w:bottom w:val="nil"/>
              <w:right w:val="nil"/>
            </w:tcBorders>
            <w:shd w:val="clear" w:color="auto" w:fill="auto"/>
            <w:noWrap/>
            <w:vAlign w:val="bottom"/>
            <w:hideMark/>
          </w:tcPr>
          <w:p w14:paraId="45ED7E9E" w14:textId="77777777" w:rsidR="00F81957" w:rsidRPr="00CA4C14" w:rsidRDefault="00F81957" w:rsidP="000C6E3F">
            <w:pPr>
              <w:pStyle w:val="Tabletext"/>
              <w:keepNext/>
              <w:keepLines/>
              <w:jc w:val="right"/>
              <w:rPr>
                <w:color w:val="000000"/>
                <w:lang w:val="ru-RU"/>
              </w:rPr>
            </w:pPr>
            <w:r w:rsidRPr="00CA4C14">
              <w:rPr>
                <w:color w:val="000000"/>
                <w:lang w:val="ru-RU"/>
              </w:rPr>
              <w:t>40</w:t>
            </w:r>
          </w:p>
        </w:tc>
      </w:tr>
      <w:tr w:rsidR="00F81957" w:rsidRPr="00CA4C14" w14:paraId="35AF0831" w14:textId="77777777" w:rsidTr="00F81957">
        <w:tc>
          <w:tcPr>
            <w:tcW w:w="278" w:type="pct"/>
            <w:tcBorders>
              <w:top w:val="nil"/>
              <w:left w:val="nil"/>
              <w:bottom w:val="nil"/>
              <w:right w:val="nil"/>
            </w:tcBorders>
            <w:shd w:val="clear" w:color="auto" w:fill="auto"/>
            <w:noWrap/>
            <w:vAlign w:val="bottom"/>
            <w:hideMark/>
          </w:tcPr>
          <w:p w14:paraId="23A6660A" w14:textId="77777777" w:rsidR="00F81957" w:rsidRPr="00CA4C14" w:rsidRDefault="00F81957" w:rsidP="000C6E3F">
            <w:pPr>
              <w:pStyle w:val="Tabletext"/>
              <w:keepNext/>
              <w:keepLines/>
              <w:rPr>
                <w:color w:val="000000"/>
                <w:lang w:val="ru-RU"/>
              </w:rPr>
            </w:pPr>
          </w:p>
        </w:tc>
        <w:tc>
          <w:tcPr>
            <w:tcW w:w="3629" w:type="pct"/>
            <w:tcBorders>
              <w:top w:val="nil"/>
              <w:left w:val="nil"/>
              <w:bottom w:val="nil"/>
              <w:right w:val="nil"/>
            </w:tcBorders>
            <w:shd w:val="clear" w:color="auto" w:fill="auto"/>
            <w:noWrap/>
            <w:vAlign w:val="center"/>
            <w:hideMark/>
          </w:tcPr>
          <w:p w14:paraId="7FADB393" w14:textId="18436F45" w:rsidR="00F81957" w:rsidRPr="00CA4C14" w:rsidRDefault="00F81957" w:rsidP="000C6E3F">
            <w:pPr>
              <w:pStyle w:val="Tabletext"/>
              <w:keepNext/>
              <w:keepLines/>
              <w:rPr>
                <w:color w:val="000000"/>
                <w:lang w:val="ru-RU"/>
              </w:rPr>
            </w:pPr>
            <w:r w:rsidRPr="00CA4C14">
              <w:rPr>
                <w:lang w:val="ru-RU"/>
              </w:rPr>
              <w:t>−</w:t>
            </w:r>
            <w:r w:rsidRPr="00CA4C14">
              <w:rPr>
                <w:lang w:val="ru-RU"/>
              </w:rPr>
              <w:tab/>
            </w:r>
            <w:r w:rsidRPr="00CA4C14">
              <w:rPr>
                <w:color w:val="000000"/>
                <w:lang w:val="ru-RU"/>
              </w:rPr>
              <w:t xml:space="preserve">Другие строительные активы </w:t>
            </w:r>
          </w:p>
        </w:tc>
        <w:tc>
          <w:tcPr>
            <w:tcW w:w="1093" w:type="pct"/>
            <w:tcBorders>
              <w:top w:val="nil"/>
              <w:left w:val="nil"/>
              <w:bottom w:val="nil"/>
              <w:right w:val="nil"/>
            </w:tcBorders>
            <w:shd w:val="clear" w:color="auto" w:fill="auto"/>
            <w:noWrap/>
            <w:vAlign w:val="bottom"/>
            <w:hideMark/>
          </w:tcPr>
          <w:p w14:paraId="45CF1D97" w14:textId="77777777" w:rsidR="00F81957" w:rsidRPr="00CA4C14" w:rsidRDefault="00F81957" w:rsidP="000C6E3F">
            <w:pPr>
              <w:pStyle w:val="Tabletext"/>
              <w:keepNext/>
              <w:keepLines/>
              <w:jc w:val="right"/>
              <w:rPr>
                <w:color w:val="000000"/>
                <w:lang w:val="ru-RU"/>
              </w:rPr>
            </w:pPr>
          </w:p>
        </w:tc>
      </w:tr>
      <w:tr w:rsidR="00232149" w:rsidRPr="00CA4C14" w14:paraId="456EF705" w14:textId="77777777" w:rsidTr="00F81957">
        <w:tc>
          <w:tcPr>
            <w:tcW w:w="278" w:type="pct"/>
            <w:tcBorders>
              <w:top w:val="nil"/>
              <w:left w:val="nil"/>
              <w:bottom w:val="nil"/>
              <w:right w:val="nil"/>
            </w:tcBorders>
            <w:shd w:val="clear" w:color="auto" w:fill="auto"/>
            <w:noWrap/>
            <w:vAlign w:val="bottom"/>
            <w:hideMark/>
          </w:tcPr>
          <w:p w14:paraId="440CC72E" w14:textId="77777777" w:rsidR="00232149" w:rsidRPr="00CA4C14" w:rsidRDefault="00232149" w:rsidP="000C6E3F">
            <w:pPr>
              <w:pStyle w:val="Tabletext"/>
              <w:keepNext/>
              <w:keepLines/>
              <w:rPr>
                <w:lang w:val="ru-RU"/>
              </w:rPr>
            </w:pPr>
          </w:p>
        </w:tc>
        <w:tc>
          <w:tcPr>
            <w:tcW w:w="3629" w:type="pct"/>
            <w:tcBorders>
              <w:top w:val="nil"/>
              <w:left w:val="nil"/>
              <w:bottom w:val="nil"/>
              <w:right w:val="nil"/>
            </w:tcBorders>
            <w:shd w:val="clear" w:color="auto" w:fill="auto"/>
            <w:noWrap/>
            <w:hideMark/>
          </w:tcPr>
          <w:p w14:paraId="39420E0C" w14:textId="77777777" w:rsidR="00232149" w:rsidRPr="00CA4C14" w:rsidRDefault="00232149" w:rsidP="000C6E3F">
            <w:pPr>
              <w:pStyle w:val="Tabletext"/>
              <w:keepNext/>
              <w:keepLines/>
              <w:rPr>
                <w:b/>
                <w:bCs/>
                <w:color w:val="000000"/>
                <w:lang w:val="ru-RU"/>
              </w:rPr>
            </w:pPr>
            <w:r w:rsidRPr="00CA4C14">
              <w:rPr>
                <w:b/>
                <w:bCs/>
                <w:color w:val="000000"/>
                <w:lang w:val="ru-RU"/>
              </w:rPr>
              <w:t>Машины и оборудование</w:t>
            </w:r>
          </w:p>
        </w:tc>
        <w:tc>
          <w:tcPr>
            <w:tcW w:w="1093" w:type="pct"/>
            <w:tcBorders>
              <w:top w:val="nil"/>
              <w:left w:val="nil"/>
              <w:bottom w:val="nil"/>
              <w:right w:val="nil"/>
            </w:tcBorders>
            <w:shd w:val="clear" w:color="auto" w:fill="auto"/>
            <w:noWrap/>
            <w:vAlign w:val="bottom"/>
            <w:hideMark/>
          </w:tcPr>
          <w:p w14:paraId="3621B023" w14:textId="77777777" w:rsidR="00232149" w:rsidRPr="00CA4C14" w:rsidRDefault="00232149" w:rsidP="000C6E3F">
            <w:pPr>
              <w:pStyle w:val="Tabletext"/>
              <w:keepNext/>
              <w:keepLines/>
              <w:jc w:val="right"/>
              <w:rPr>
                <w:color w:val="000000"/>
                <w:lang w:val="ru-RU"/>
              </w:rPr>
            </w:pPr>
            <w:r w:rsidRPr="00CA4C14">
              <w:rPr>
                <w:color w:val="000000"/>
                <w:lang w:val="ru-RU"/>
              </w:rPr>
              <w:t>5</w:t>
            </w:r>
          </w:p>
        </w:tc>
      </w:tr>
      <w:tr w:rsidR="00232149" w:rsidRPr="00CA4C14" w14:paraId="2E8AE90A" w14:textId="77777777" w:rsidTr="00F81957">
        <w:tc>
          <w:tcPr>
            <w:tcW w:w="278" w:type="pct"/>
            <w:tcBorders>
              <w:top w:val="nil"/>
              <w:left w:val="nil"/>
              <w:bottom w:val="nil"/>
              <w:right w:val="nil"/>
            </w:tcBorders>
            <w:shd w:val="clear" w:color="auto" w:fill="auto"/>
            <w:noWrap/>
            <w:vAlign w:val="bottom"/>
            <w:hideMark/>
          </w:tcPr>
          <w:p w14:paraId="607A005B" w14:textId="77777777" w:rsidR="00232149" w:rsidRPr="00CA4C14" w:rsidRDefault="00232149" w:rsidP="000C6E3F">
            <w:pPr>
              <w:pStyle w:val="Tabletext"/>
              <w:keepNext/>
              <w:keepLines/>
              <w:rPr>
                <w:lang w:val="ru-RU"/>
              </w:rPr>
            </w:pPr>
          </w:p>
        </w:tc>
        <w:tc>
          <w:tcPr>
            <w:tcW w:w="3629" w:type="pct"/>
            <w:tcBorders>
              <w:top w:val="nil"/>
              <w:left w:val="nil"/>
              <w:bottom w:val="nil"/>
              <w:right w:val="nil"/>
            </w:tcBorders>
            <w:shd w:val="clear" w:color="auto" w:fill="auto"/>
            <w:noWrap/>
            <w:hideMark/>
          </w:tcPr>
          <w:p w14:paraId="436C99F8" w14:textId="77777777" w:rsidR="00232149" w:rsidRPr="00CA4C14" w:rsidRDefault="00232149" w:rsidP="000C6E3F">
            <w:pPr>
              <w:pStyle w:val="Tabletext"/>
              <w:keepNext/>
              <w:keepLines/>
              <w:rPr>
                <w:b/>
                <w:bCs/>
                <w:color w:val="000000"/>
                <w:lang w:val="ru-RU"/>
              </w:rPr>
            </w:pPr>
            <w:r w:rsidRPr="00CA4C14">
              <w:rPr>
                <w:b/>
                <w:bCs/>
                <w:color w:val="000000"/>
                <w:lang w:val="ru-RU"/>
              </w:rPr>
              <w:t>Мебель и инвентарь</w:t>
            </w:r>
          </w:p>
        </w:tc>
        <w:tc>
          <w:tcPr>
            <w:tcW w:w="1093" w:type="pct"/>
            <w:tcBorders>
              <w:top w:val="nil"/>
              <w:left w:val="nil"/>
              <w:bottom w:val="nil"/>
              <w:right w:val="nil"/>
            </w:tcBorders>
            <w:shd w:val="clear" w:color="auto" w:fill="auto"/>
            <w:noWrap/>
            <w:vAlign w:val="bottom"/>
            <w:hideMark/>
          </w:tcPr>
          <w:p w14:paraId="385BA30D" w14:textId="77777777" w:rsidR="00232149" w:rsidRPr="00CA4C14" w:rsidRDefault="00232149" w:rsidP="000C6E3F">
            <w:pPr>
              <w:pStyle w:val="Tabletext"/>
              <w:keepNext/>
              <w:keepLines/>
              <w:jc w:val="right"/>
              <w:rPr>
                <w:color w:val="000000"/>
                <w:lang w:val="ru-RU"/>
              </w:rPr>
            </w:pPr>
            <w:r w:rsidRPr="00CA4C14">
              <w:rPr>
                <w:color w:val="000000"/>
                <w:lang w:val="ru-RU"/>
              </w:rPr>
              <w:t>5</w:t>
            </w:r>
          </w:p>
        </w:tc>
      </w:tr>
      <w:tr w:rsidR="00232149" w:rsidRPr="00CA4C14" w14:paraId="0BA1BC93" w14:textId="77777777" w:rsidTr="00F81957">
        <w:tc>
          <w:tcPr>
            <w:tcW w:w="278" w:type="pct"/>
            <w:tcBorders>
              <w:top w:val="nil"/>
              <w:left w:val="nil"/>
              <w:bottom w:val="nil"/>
              <w:right w:val="nil"/>
            </w:tcBorders>
            <w:shd w:val="clear" w:color="auto" w:fill="auto"/>
            <w:noWrap/>
            <w:vAlign w:val="bottom"/>
            <w:hideMark/>
          </w:tcPr>
          <w:p w14:paraId="69293C40" w14:textId="77777777" w:rsidR="00232149" w:rsidRPr="00CA4C14" w:rsidRDefault="00232149" w:rsidP="000C6E3F">
            <w:pPr>
              <w:pStyle w:val="Tabletext"/>
              <w:keepNext/>
              <w:keepLines/>
              <w:rPr>
                <w:lang w:val="ru-RU"/>
              </w:rPr>
            </w:pPr>
          </w:p>
        </w:tc>
        <w:tc>
          <w:tcPr>
            <w:tcW w:w="3629" w:type="pct"/>
            <w:tcBorders>
              <w:top w:val="nil"/>
              <w:left w:val="nil"/>
              <w:bottom w:val="nil"/>
              <w:right w:val="nil"/>
            </w:tcBorders>
            <w:shd w:val="clear" w:color="auto" w:fill="auto"/>
            <w:noWrap/>
            <w:hideMark/>
          </w:tcPr>
          <w:p w14:paraId="6DF95E48" w14:textId="77777777" w:rsidR="00232149" w:rsidRPr="00CA4C14" w:rsidRDefault="00232149" w:rsidP="000C6E3F">
            <w:pPr>
              <w:pStyle w:val="Tabletext"/>
              <w:keepNext/>
              <w:keepLines/>
              <w:rPr>
                <w:b/>
                <w:bCs/>
                <w:color w:val="000000"/>
                <w:lang w:val="ru-RU"/>
              </w:rPr>
            </w:pPr>
            <w:r w:rsidRPr="00CA4C14">
              <w:rPr>
                <w:b/>
                <w:bCs/>
                <w:color w:val="000000"/>
                <w:lang w:val="ru-RU"/>
              </w:rPr>
              <w:t>Автотранспортные средства</w:t>
            </w:r>
          </w:p>
        </w:tc>
        <w:tc>
          <w:tcPr>
            <w:tcW w:w="1093" w:type="pct"/>
            <w:tcBorders>
              <w:top w:val="nil"/>
              <w:left w:val="nil"/>
              <w:bottom w:val="nil"/>
              <w:right w:val="nil"/>
            </w:tcBorders>
            <w:shd w:val="clear" w:color="auto" w:fill="auto"/>
            <w:noWrap/>
            <w:vAlign w:val="bottom"/>
            <w:hideMark/>
          </w:tcPr>
          <w:p w14:paraId="12A2D3BD" w14:textId="77777777" w:rsidR="00232149" w:rsidRPr="00CA4C14" w:rsidRDefault="00232149" w:rsidP="000C6E3F">
            <w:pPr>
              <w:pStyle w:val="Tabletext"/>
              <w:keepNext/>
              <w:keepLines/>
              <w:jc w:val="right"/>
              <w:rPr>
                <w:color w:val="000000"/>
                <w:lang w:val="ru-RU"/>
              </w:rPr>
            </w:pPr>
            <w:r w:rsidRPr="00CA4C14">
              <w:rPr>
                <w:color w:val="000000"/>
                <w:lang w:val="ru-RU"/>
              </w:rPr>
              <w:t>5</w:t>
            </w:r>
          </w:p>
        </w:tc>
      </w:tr>
      <w:tr w:rsidR="00232149" w:rsidRPr="00CA4C14" w14:paraId="1B889C50" w14:textId="77777777" w:rsidTr="00F81957">
        <w:tc>
          <w:tcPr>
            <w:tcW w:w="278" w:type="pct"/>
            <w:tcBorders>
              <w:top w:val="nil"/>
              <w:left w:val="nil"/>
              <w:bottom w:val="nil"/>
              <w:right w:val="nil"/>
            </w:tcBorders>
            <w:shd w:val="clear" w:color="auto" w:fill="auto"/>
            <w:noWrap/>
            <w:vAlign w:val="bottom"/>
            <w:hideMark/>
          </w:tcPr>
          <w:p w14:paraId="304888E0" w14:textId="77777777" w:rsidR="00232149" w:rsidRPr="00CA4C14" w:rsidRDefault="00232149" w:rsidP="000C6E3F">
            <w:pPr>
              <w:pStyle w:val="Tabletext"/>
              <w:keepNext/>
              <w:keepLines/>
              <w:rPr>
                <w:lang w:val="ru-RU"/>
              </w:rPr>
            </w:pPr>
          </w:p>
        </w:tc>
        <w:tc>
          <w:tcPr>
            <w:tcW w:w="3629" w:type="pct"/>
            <w:tcBorders>
              <w:top w:val="nil"/>
              <w:left w:val="nil"/>
              <w:bottom w:val="nil"/>
              <w:right w:val="nil"/>
            </w:tcBorders>
            <w:shd w:val="clear" w:color="auto" w:fill="auto"/>
            <w:noWrap/>
            <w:hideMark/>
          </w:tcPr>
          <w:p w14:paraId="69B7D469" w14:textId="77777777" w:rsidR="00232149" w:rsidRPr="00CA4C14" w:rsidRDefault="00232149" w:rsidP="000C6E3F">
            <w:pPr>
              <w:pStyle w:val="Tabletext"/>
              <w:keepNext/>
              <w:keepLines/>
              <w:rPr>
                <w:b/>
                <w:bCs/>
                <w:color w:val="000000"/>
                <w:lang w:val="ru-RU"/>
              </w:rPr>
            </w:pPr>
            <w:r w:rsidRPr="00CA4C14">
              <w:rPr>
                <w:b/>
                <w:bCs/>
                <w:color w:val="000000"/>
                <w:lang w:val="ru-RU"/>
              </w:rPr>
              <w:t>Компьютерное оборудование</w:t>
            </w:r>
          </w:p>
        </w:tc>
        <w:tc>
          <w:tcPr>
            <w:tcW w:w="1093" w:type="pct"/>
            <w:tcBorders>
              <w:top w:val="nil"/>
              <w:left w:val="nil"/>
              <w:bottom w:val="nil"/>
              <w:right w:val="nil"/>
            </w:tcBorders>
            <w:shd w:val="clear" w:color="auto" w:fill="auto"/>
            <w:noWrap/>
            <w:vAlign w:val="bottom"/>
            <w:hideMark/>
          </w:tcPr>
          <w:p w14:paraId="4C5CB495" w14:textId="77777777" w:rsidR="00232149" w:rsidRPr="00CA4C14" w:rsidRDefault="00232149" w:rsidP="000C6E3F">
            <w:pPr>
              <w:pStyle w:val="Tabletext"/>
              <w:keepNext/>
              <w:keepLines/>
              <w:jc w:val="right"/>
              <w:rPr>
                <w:color w:val="000000"/>
                <w:lang w:val="ru-RU"/>
              </w:rPr>
            </w:pPr>
            <w:r w:rsidRPr="00CA4C14">
              <w:rPr>
                <w:color w:val="000000"/>
                <w:lang w:val="ru-RU"/>
              </w:rPr>
              <w:t>3</w:t>
            </w:r>
          </w:p>
        </w:tc>
      </w:tr>
      <w:tr w:rsidR="00232149" w:rsidRPr="00CA4C14" w14:paraId="486D116D" w14:textId="77777777" w:rsidTr="00F81957">
        <w:tc>
          <w:tcPr>
            <w:tcW w:w="3907" w:type="pct"/>
            <w:gridSpan w:val="2"/>
            <w:tcBorders>
              <w:top w:val="nil"/>
              <w:left w:val="nil"/>
              <w:bottom w:val="nil"/>
              <w:right w:val="nil"/>
            </w:tcBorders>
            <w:shd w:val="clear" w:color="auto" w:fill="auto"/>
            <w:noWrap/>
            <w:hideMark/>
          </w:tcPr>
          <w:p w14:paraId="62E156EB" w14:textId="77777777" w:rsidR="00232149" w:rsidRPr="00CA4C14" w:rsidRDefault="00232149" w:rsidP="000C6E3F">
            <w:pPr>
              <w:pStyle w:val="Tabletext"/>
              <w:keepNext/>
              <w:keepLines/>
              <w:spacing w:before="0" w:after="0"/>
              <w:rPr>
                <w:color w:val="000000"/>
                <w:lang w:val="ru-RU"/>
              </w:rPr>
            </w:pPr>
          </w:p>
        </w:tc>
        <w:tc>
          <w:tcPr>
            <w:tcW w:w="1093" w:type="pct"/>
            <w:tcBorders>
              <w:top w:val="nil"/>
              <w:left w:val="nil"/>
              <w:bottom w:val="nil"/>
              <w:right w:val="nil"/>
            </w:tcBorders>
            <w:shd w:val="clear" w:color="auto" w:fill="auto"/>
            <w:noWrap/>
            <w:vAlign w:val="bottom"/>
            <w:hideMark/>
          </w:tcPr>
          <w:p w14:paraId="79D05580" w14:textId="77777777" w:rsidR="00232149" w:rsidRPr="00CA4C14" w:rsidRDefault="00232149" w:rsidP="000C6E3F">
            <w:pPr>
              <w:pStyle w:val="Tabletext"/>
              <w:keepNext/>
              <w:keepLines/>
              <w:spacing w:before="0" w:after="0"/>
              <w:jc w:val="right"/>
              <w:rPr>
                <w:color w:val="000000"/>
                <w:lang w:val="ru-RU"/>
              </w:rPr>
            </w:pPr>
          </w:p>
        </w:tc>
      </w:tr>
      <w:tr w:rsidR="00232149" w:rsidRPr="00CA4C14" w14:paraId="7E57328F" w14:textId="77777777" w:rsidTr="00F81957">
        <w:tc>
          <w:tcPr>
            <w:tcW w:w="3907" w:type="pct"/>
            <w:gridSpan w:val="2"/>
            <w:tcBorders>
              <w:top w:val="nil"/>
              <w:left w:val="nil"/>
              <w:bottom w:val="nil"/>
              <w:right w:val="nil"/>
            </w:tcBorders>
            <w:shd w:val="clear" w:color="auto" w:fill="auto"/>
            <w:noWrap/>
            <w:hideMark/>
          </w:tcPr>
          <w:p w14:paraId="1B425B3E" w14:textId="77777777" w:rsidR="00232149" w:rsidRPr="00CA4C14" w:rsidRDefault="00232149" w:rsidP="000C6E3F">
            <w:pPr>
              <w:pStyle w:val="Tabletext"/>
              <w:keepNext/>
              <w:keepLines/>
              <w:rPr>
                <w:b/>
                <w:bCs/>
                <w:color w:val="000000"/>
                <w:lang w:val="ru-RU"/>
              </w:rPr>
            </w:pPr>
            <w:r w:rsidRPr="00CA4C14">
              <w:rPr>
                <w:b/>
                <w:bCs/>
                <w:color w:val="000000"/>
                <w:lang w:val="ru-RU"/>
              </w:rPr>
              <w:t>Нематериальные активы</w:t>
            </w:r>
          </w:p>
        </w:tc>
        <w:tc>
          <w:tcPr>
            <w:tcW w:w="1093" w:type="pct"/>
            <w:tcBorders>
              <w:top w:val="nil"/>
              <w:left w:val="nil"/>
              <w:bottom w:val="nil"/>
              <w:right w:val="nil"/>
            </w:tcBorders>
            <w:shd w:val="clear" w:color="auto" w:fill="auto"/>
            <w:noWrap/>
            <w:vAlign w:val="bottom"/>
            <w:hideMark/>
          </w:tcPr>
          <w:p w14:paraId="5BB3086D" w14:textId="77777777" w:rsidR="00232149" w:rsidRPr="00CA4C14" w:rsidRDefault="00232149" w:rsidP="000C6E3F">
            <w:pPr>
              <w:pStyle w:val="Tabletext"/>
              <w:keepNext/>
              <w:keepLines/>
              <w:jc w:val="right"/>
              <w:rPr>
                <w:color w:val="000000"/>
                <w:lang w:val="ru-RU"/>
              </w:rPr>
            </w:pPr>
          </w:p>
        </w:tc>
      </w:tr>
      <w:tr w:rsidR="00232149" w:rsidRPr="00CA4C14" w14:paraId="554FECA8" w14:textId="77777777" w:rsidTr="00F81957">
        <w:tc>
          <w:tcPr>
            <w:tcW w:w="278" w:type="pct"/>
            <w:tcBorders>
              <w:top w:val="nil"/>
              <w:left w:val="nil"/>
              <w:bottom w:val="nil"/>
              <w:right w:val="nil"/>
            </w:tcBorders>
            <w:shd w:val="clear" w:color="auto" w:fill="auto"/>
            <w:noWrap/>
            <w:vAlign w:val="bottom"/>
            <w:hideMark/>
          </w:tcPr>
          <w:p w14:paraId="723B868A" w14:textId="77777777" w:rsidR="00232149" w:rsidRPr="00CA4C14" w:rsidRDefault="00232149" w:rsidP="000C6E3F">
            <w:pPr>
              <w:pStyle w:val="Tabletext"/>
              <w:keepNext/>
              <w:keepLines/>
              <w:rPr>
                <w:lang w:val="ru-RU"/>
              </w:rPr>
            </w:pPr>
          </w:p>
        </w:tc>
        <w:tc>
          <w:tcPr>
            <w:tcW w:w="3629" w:type="pct"/>
            <w:tcBorders>
              <w:top w:val="nil"/>
              <w:left w:val="nil"/>
              <w:bottom w:val="nil"/>
              <w:right w:val="nil"/>
            </w:tcBorders>
            <w:shd w:val="clear" w:color="auto" w:fill="auto"/>
            <w:noWrap/>
            <w:hideMark/>
          </w:tcPr>
          <w:p w14:paraId="70A5603B" w14:textId="77777777" w:rsidR="00232149" w:rsidRPr="00CA4C14" w:rsidRDefault="00232149" w:rsidP="000C6E3F">
            <w:pPr>
              <w:pStyle w:val="Tabletext"/>
              <w:keepNext/>
              <w:keepLines/>
              <w:rPr>
                <w:b/>
                <w:bCs/>
                <w:color w:val="000000"/>
                <w:lang w:val="ru-RU"/>
              </w:rPr>
            </w:pPr>
            <w:r w:rsidRPr="00CA4C14">
              <w:rPr>
                <w:b/>
                <w:bCs/>
                <w:color w:val="000000"/>
                <w:lang w:val="ru-RU"/>
              </w:rPr>
              <w:t>Лицензии и программное обеспечение</w:t>
            </w:r>
          </w:p>
        </w:tc>
        <w:tc>
          <w:tcPr>
            <w:tcW w:w="1093" w:type="pct"/>
            <w:tcBorders>
              <w:top w:val="nil"/>
              <w:left w:val="nil"/>
              <w:bottom w:val="nil"/>
              <w:right w:val="nil"/>
            </w:tcBorders>
            <w:shd w:val="clear" w:color="auto" w:fill="auto"/>
            <w:noWrap/>
            <w:vAlign w:val="bottom"/>
            <w:hideMark/>
          </w:tcPr>
          <w:p w14:paraId="13699A44" w14:textId="2BC437B3" w:rsidR="00232149" w:rsidRPr="00CA4C14" w:rsidRDefault="00232149" w:rsidP="000C6E3F">
            <w:pPr>
              <w:pStyle w:val="Tabletext"/>
              <w:keepNext/>
              <w:keepLines/>
              <w:jc w:val="right"/>
              <w:rPr>
                <w:color w:val="000000"/>
                <w:lang w:val="ru-RU"/>
              </w:rPr>
            </w:pPr>
            <w:r w:rsidRPr="00CA4C14">
              <w:rPr>
                <w:color w:val="000000"/>
                <w:lang w:val="ru-RU"/>
              </w:rPr>
              <w:t>3</w:t>
            </w:r>
            <w:r w:rsidR="00F81957" w:rsidRPr="00CA4C14">
              <w:rPr>
                <w:color w:val="000000"/>
                <w:lang w:val="ru-RU"/>
              </w:rPr>
              <w:t>−</w:t>
            </w:r>
            <w:r w:rsidRPr="00CA4C14">
              <w:rPr>
                <w:color w:val="000000"/>
                <w:lang w:val="ru-RU"/>
              </w:rPr>
              <w:t>10</w:t>
            </w:r>
            <w:r w:rsidRPr="00CA4C14">
              <w:rPr>
                <w:rStyle w:val="FootnoteReference"/>
                <w:lang w:val="ru-RU"/>
              </w:rPr>
              <w:t>*</w:t>
            </w:r>
          </w:p>
        </w:tc>
      </w:tr>
      <w:tr w:rsidR="00232149" w:rsidRPr="00CA4C14" w14:paraId="6D685767" w14:textId="77777777" w:rsidTr="00F81957">
        <w:tc>
          <w:tcPr>
            <w:tcW w:w="3907" w:type="pct"/>
            <w:gridSpan w:val="2"/>
            <w:tcBorders>
              <w:top w:val="nil"/>
              <w:left w:val="nil"/>
              <w:bottom w:val="nil"/>
              <w:right w:val="nil"/>
            </w:tcBorders>
            <w:shd w:val="clear" w:color="auto" w:fill="auto"/>
            <w:noWrap/>
            <w:vAlign w:val="bottom"/>
            <w:hideMark/>
          </w:tcPr>
          <w:p w14:paraId="7636CD95" w14:textId="77777777" w:rsidR="00232149" w:rsidRPr="00CA4C14" w:rsidRDefault="00232149" w:rsidP="000C6E3F">
            <w:pPr>
              <w:pStyle w:val="Tabletext"/>
              <w:keepNext/>
              <w:keepLines/>
              <w:spacing w:before="0" w:after="0"/>
              <w:rPr>
                <w:lang w:val="ru-RU"/>
              </w:rPr>
            </w:pPr>
          </w:p>
        </w:tc>
        <w:tc>
          <w:tcPr>
            <w:tcW w:w="1093" w:type="pct"/>
            <w:tcBorders>
              <w:top w:val="nil"/>
              <w:left w:val="nil"/>
              <w:bottom w:val="nil"/>
              <w:right w:val="nil"/>
            </w:tcBorders>
            <w:shd w:val="clear" w:color="auto" w:fill="auto"/>
            <w:noWrap/>
            <w:vAlign w:val="bottom"/>
            <w:hideMark/>
          </w:tcPr>
          <w:p w14:paraId="2F79C431" w14:textId="77777777" w:rsidR="00232149" w:rsidRPr="00CA4C14" w:rsidRDefault="00232149" w:rsidP="000C6E3F">
            <w:pPr>
              <w:pStyle w:val="Tabletext"/>
              <w:keepNext/>
              <w:keepLines/>
              <w:spacing w:before="0" w:after="0"/>
              <w:rPr>
                <w:lang w:val="ru-RU"/>
              </w:rPr>
            </w:pPr>
          </w:p>
        </w:tc>
      </w:tr>
      <w:tr w:rsidR="00232149" w:rsidRPr="009A3216" w14:paraId="00EFD76B" w14:textId="77777777" w:rsidTr="00F81957">
        <w:tc>
          <w:tcPr>
            <w:tcW w:w="5000" w:type="pct"/>
            <w:gridSpan w:val="3"/>
            <w:tcBorders>
              <w:top w:val="nil"/>
              <w:left w:val="nil"/>
              <w:bottom w:val="nil"/>
              <w:right w:val="nil"/>
            </w:tcBorders>
            <w:shd w:val="clear" w:color="auto" w:fill="auto"/>
            <w:noWrap/>
            <w:vAlign w:val="bottom"/>
          </w:tcPr>
          <w:p w14:paraId="56EDEED2" w14:textId="77777777" w:rsidR="00232149" w:rsidRPr="00CA4C14" w:rsidRDefault="00232149" w:rsidP="00F81957">
            <w:pPr>
              <w:pStyle w:val="FootnoteText"/>
              <w:keepLines w:val="0"/>
              <w:rPr>
                <w:lang w:val="ru-RU"/>
              </w:rPr>
            </w:pPr>
            <w:r w:rsidRPr="00CA4C14">
              <w:rPr>
                <w:rStyle w:val="FootnoteReference"/>
                <w:lang w:val="ru-RU"/>
              </w:rPr>
              <w:t>*</w:t>
            </w:r>
            <w:r w:rsidRPr="00CA4C14">
              <w:rPr>
                <w:rStyle w:val="FootnoteReference"/>
                <w:sz w:val="18"/>
                <w:lang w:val="ru-RU"/>
              </w:rPr>
              <w:tab/>
            </w:r>
            <w:r w:rsidRPr="00CA4C14">
              <w:rPr>
                <w:lang w:val="ru-RU" w:bidi="ru-RU"/>
              </w:rPr>
              <w:t>Прогнозируемый срок полезного использования приобретенных лицензий на ИТ и программного обеспечения основан на сроке действия лицензионных договоров. Прогнозируемый срок полезного использования программного обеспечения, разработанного собственными силами, основан на анализе, проведенном соответствующими владельцами предприятий, поскольку МСЭ владеет программным обеспечением, и поэтому срок действия лицензий не установлен</w:t>
            </w:r>
            <w:r w:rsidRPr="00CA4C14">
              <w:rPr>
                <w:lang w:val="ru-RU"/>
              </w:rPr>
              <w:t>.</w:t>
            </w:r>
          </w:p>
        </w:tc>
      </w:tr>
    </w:tbl>
    <w:p w14:paraId="0C27D148" w14:textId="669C40A1" w:rsidR="00232149" w:rsidRPr="00CA4C14" w:rsidRDefault="00232149" w:rsidP="003C6DB0">
      <w:pPr>
        <w:rPr>
          <w:rFonts w:ascii="Verdana" w:hAnsi="Verdana" w:cs="Verdana"/>
          <w:color w:val="000000"/>
          <w:sz w:val="20"/>
          <w:lang w:val="ru-RU" w:eastAsia="zh-CN"/>
        </w:rPr>
      </w:pPr>
      <w:r w:rsidRPr="00CA4C14">
        <w:rPr>
          <w:lang w:val="ru-RU"/>
        </w:rPr>
        <w:t xml:space="preserve">На каждую дату ежегодного закрытия счетов МСЭ изучает, имеется ли какой-либо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 </w:t>
      </w:r>
      <w:r w:rsidRPr="00CA4C14">
        <w:rPr>
          <w:lang w:val="ru-RU" w:bidi="ru-RU"/>
        </w:rPr>
        <w:t>В</w:t>
      </w:r>
      <w:r w:rsidR="000F116B" w:rsidRPr="00CA4C14">
        <w:rPr>
          <w:lang w:val="ru-RU" w:bidi="ru-RU"/>
        </w:rPr>
        <w:t> </w:t>
      </w:r>
      <w:r w:rsidRPr="00CA4C14">
        <w:rPr>
          <w:lang w:val="ru-RU" w:bidi="ru-RU"/>
        </w:rPr>
        <w:t>течение 2023 года был проведен детальный обзор объекта на этапе строительства, и в Примечании 27 подробно описаны процесс и сценарии, имеющиеся в распоряжении МСЭ</w:t>
      </w:r>
      <w:r w:rsidRPr="00CA4C14">
        <w:rPr>
          <w:lang w:val="ru-RU"/>
        </w:rPr>
        <w:t>.</w:t>
      </w:r>
    </w:p>
    <w:p w14:paraId="4F38E11C" w14:textId="77777777" w:rsidR="00232149" w:rsidRPr="00CA4C14" w:rsidRDefault="00232149" w:rsidP="00D34817">
      <w:pPr>
        <w:pStyle w:val="Heading3"/>
        <w:rPr>
          <w:lang w:val="ru-RU" w:bidi="ru-RU"/>
        </w:rPr>
      </w:pPr>
      <w:bookmarkStart w:id="206" w:name="_Toc305764071"/>
      <w:bookmarkStart w:id="207" w:name="_Toc131156423"/>
      <w:bookmarkStart w:id="208" w:name="_Toc1925590882"/>
      <w:bookmarkStart w:id="209" w:name="_Toc164845543"/>
      <w:bookmarkStart w:id="210" w:name="_Toc168578833"/>
      <w:r w:rsidRPr="00CA4C14">
        <w:rPr>
          <w:lang w:val="ru-RU" w:bidi="ru-RU"/>
        </w:rPr>
        <w:t>3.6</w:t>
      </w:r>
      <w:r w:rsidRPr="00CA4C14">
        <w:rPr>
          <w:lang w:val="ru-RU" w:bidi="ru-RU"/>
        </w:rPr>
        <w:tab/>
      </w:r>
      <w:bookmarkStart w:id="211" w:name="_Toc305667748"/>
      <w:bookmarkStart w:id="212" w:name="_Toc306201412"/>
      <w:bookmarkStart w:id="213" w:name="_Toc329002767"/>
      <w:bookmarkStart w:id="214" w:name="_Toc358373641"/>
      <w:bookmarkStart w:id="215" w:name="_Toc387243018"/>
      <w:bookmarkStart w:id="216" w:name="_Toc419404363"/>
      <w:bookmarkStart w:id="217" w:name="_Toc482810311"/>
      <w:bookmarkStart w:id="218" w:name="_Toc511401546"/>
      <w:bookmarkStart w:id="219" w:name="_Toc511401669"/>
      <w:bookmarkStart w:id="220" w:name="_Toc10540782"/>
      <w:bookmarkStart w:id="221" w:name="_Toc41900402"/>
      <w:bookmarkStart w:id="222" w:name="_Toc73437985"/>
      <w:bookmarkStart w:id="223" w:name="_Toc73438614"/>
      <w:bookmarkStart w:id="224" w:name="_Toc73438872"/>
      <w:bookmarkStart w:id="225" w:name="_Toc73439163"/>
      <w:bookmarkEnd w:id="206"/>
      <w:bookmarkEnd w:id="207"/>
      <w:bookmarkEnd w:id="208"/>
      <w:bookmarkEnd w:id="209"/>
      <w:r w:rsidRPr="00CA4C14">
        <w:rPr>
          <w:lang w:val="ru-RU" w:bidi="ru-RU"/>
        </w:rPr>
        <w:t>Нематериальные активы</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10"/>
    </w:p>
    <w:p w14:paraId="5420D419" w14:textId="77777777" w:rsidR="00232149" w:rsidRPr="00CA4C14" w:rsidRDefault="00232149" w:rsidP="003C6DB0">
      <w:pPr>
        <w:rPr>
          <w:rFonts w:eastAsia="Calibri" w:cs="Calibri"/>
          <w:lang w:val="ru-RU"/>
        </w:rPr>
      </w:pPr>
      <w:r w:rsidRPr="00CA4C14">
        <w:rPr>
          <w:lang w:val="ru-RU" w:bidi="ru-RU"/>
        </w:rPr>
        <w:t>Нематериальные активы (лицензии на ИТ и программное обеспечение), принадлежащие МСЭ, состоят из активов, являющихся результатом собственной разработки и приобретенные у внешнего источника. Они отражаются по стоимости приобретения за вычетом совокупной амортизации и потери стоимости</w:t>
      </w:r>
      <w:r w:rsidRPr="00CA4C14">
        <w:rPr>
          <w:rFonts w:eastAsia="Calibri" w:cs="Calibri"/>
          <w:lang w:val="ru-RU"/>
        </w:rPr>
        <w:t>.</w:t>
      </w:r>
    </w:p>
    <w:p w14:paraId="0A75B6A0" w14:textId="77777777" w:rsidR="00232149" w:rsidRPr="00CA4C14" w:rsidRDefault="00232149" w:rsidP="003C6DB0">
      <w:pPr>
        <w:rPr>
          <w:lang w:val="ru-RU"/>
        </w:rPr>
      </w:pPr>
      <w:r w:rsidRPr="00CA4C14">
        <w:rPr>
          <w:rFonts w:eastAsia="Calibri" w:cs="Calibri"/>
          <w:lang w:val="ru-RU"/>
        </w:rPr>
        <w:t>Програм</w:t>
      </w:r>
      <w:r w:rsidRPr="00CA4C14">
        <w:rPr>
          <w:lang w:val="ru-RU"/>
        </w:rPr>
        <w:t xml:space="preserve">мное обеспечение, являющееся результатом собственной разработки, капитализируется,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w:t>
      </w:r>
      <w:r w:rsidRPr="00CA4C14">
        <w:rPr>
          <w:lang w:val="ru-RU"/>
        </w:rPr>
        <w:lastRenderedPageBreak/>
        <w:t>учитываются как нематериальные активы, если на дату закрытия счетов выполняются следующие критерии:</w:t>
      </w:r>
    </w:p>
    <w:p w14:paraId="60EBCF0C" w14:textId="77777777" w:rsidR="00232149" w:rsidRPr="00CA4C14" w:rsidRDefault="00232149" w:rsidP="00DA678F">
      <w:pPr>
        <w:pStyle w:val="enumlev1"/>
        <w:rPr>
          <w:lang w:val="ru-RU"/>
        </w:rPr>
      </w:pPr>
      <w:r w:rsidRPr="00CA4C14">
        <w:rPr>
          <w:lang w:val="ru-RU"/>
        </w:rPr>
        <w:t>−</w:t>
      </w:r>
      <w:r w:rsidRPr="00CA4C14">
        <w:rPr>
          <w:lang w:val="ru-RU"/>
        </w:rPr>
        <w:tab/>
        <w:t>технически возможно завершение разработки программного продукта, с тем чтобы он был доступен для использования;</w:t>
      </w:r>
    </w:p>
    <w:p w14:paraId="5172DEAB" w14:textId="77777777" w:rsidR="00232149" w:rsidRPr="00CA4C14" w:rsidRDefault="00232149" w:rsidP="00DA678F">
      <w:pPr>
        <w:pStyle w:val="enumlev1"/>
        <w:rPr>
          <w:lang w:val="ru-RU"/>
        </w:rPr>
      </w:pPr>
      <w:r w:rsidRPr="00CA4C14">
        <w:rPr>
          <w:lang w:val="ru-RU"/>
        </w:rPr>
        <w:t>−</w:t>
      </w:r>
      <w:r w:rsidRPr="00CA4C14">
        <w:rPr>
          <w:lang w:val="ru-RU"/>
        </w:rPr>
        <w:tab/>
        <w:t>руководство намерено завершить разработку программного продукта и использовать или продавать его;</w:t>
      </w:r>
    </w:p>
    <w:p w14:paraId="3ED521C2" w14:textId="77777777" w:rsidR="00232149" w:rsidRPr="00CA4C14" w:rsidRDefault="00232149" w:rsidP="00DA678F">
      <w:pPr>
        <w:pStyle w:val="enumlev1"/>
        <w:rPr>
          <w:lang w:val="ru-RU"/>
        </w:rPr>
      </w:pPr>
      <w:r w:rsidRPr="00CA4C14">
        <w:rPr>
          <w:lang w:val="ru-RU"/>
        </w:rPr>
        <w:t>−</w:t>
      </w:r>
      <w:r w:rsidRPr="00CA4C14">
        <w:rPr>
          <w:lang w:val="ru-RU"/>
        </w:rPr>
        <w:tab/>
        <w:t>существует возможность использовать или продавать программный продукт;</w:t>
      </w:r>
    </w:p>
    <w:p w14:paraId="117CEEF0" w14:textId="77777777" w:rsidR="00232149" w:rsidRPr="00CA4C14" w:rsidRDefault="00232149" w:rsidP="00DA678F">
      <w:pPr>
        <w:pStyle w:val="enumlev1"/>
        <w:rPr>
          <w:lang w:val="ru-RU"/>
        </w:rPr>
      </w:pPr>
      <w:r w:rsidRPr="00CA4C14">
        <w:rPr>
          <w:lang w:val="ru-RU"/>
        </w:rPr>
        <w:t>−</w:t>
      </w:r>
      <w:r w:rsidRPr="00CA4C14">
        <w:rPr>
          <w:lang w:val="ru-RU"/>
        </w:rPr>
        <w:tab/>
        <w:t>может быть продемонстрировано, каким образом программный продукт будет создавать вероятный будущий экономический эффект;</w:t>
      </w:r>
    </w:p>
    <w:p w14:paraId="00E73067" w14:textId="77777777" w:rsidR="00232149" w:rsidRPr="00CA4C14" w:rsidRDefault="00232149" w:rsidP="00DA678F">
      <w:pPr>
        <w:pStyle w:val="enumlev1"/>
        <w:rPr>
          <w:lang w:val="ru-RU"/>
        </w:rPr>
      </w:pPr>
      <w:r w:rsidRPr="00CA4C14">
        <w:rPr>
          <w:lang w:val="ru-RU"/>
        </w:rPr>
        <w:t>−</w:t>
      </w:r>
      <w:r w:rsidRPr="00CA4C14">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14:paraId="40389046" w14:textId="77777777" w:rsidR="00232149" w:rsidRPr="00CA4C14" w:rsidRDefault="00232149" w:rsidP="007F03F0">
      <w:pPr>
        <w:pStyle w:val="Headingi"/>
        <w:rPr>
          <w:lang w:val="ru-RU"/>
        </w:rPr>
      </w:pPr>
      <w:r w:rsidRPr="00CA4C14">
        <w:rPr>
          <w:lang w:val="ru-RU" w:bidi="ru-RU"/>
        </w:rPr>
        <w:t>Пороги капитализации:</w:t>
      </w:r>
    </w:p>
    <w:p w14:paraId="55039164" w14:textId="77777777" w:rsidR="00232149" w:rsidRPr="00CA4C14" w:rsidRDefault="00232149" w:rsidP="007F03F0">
      <w:pPr>
        <w:pStyle w:val="enumlev1"/>
        <w:rPr>
          <w:lang w:val="ru-RU"/>
        </w:rPr>
      </w:pPr>
      <w:r w:rsidRPr="00CA4C14">
        <w:rPr>
          <w:lang w:val="ru-RU" w:bidi="ru-RU"/>
        </w:rPr>
        <w:t>•</w:t>
      </w:r>
      <w:r w:rsidRPr="00CA4C14">
        <w:rPr>
          <w:lang w:val="ru-RU" w:bidi="ru-RU"/>
        </w:rPr>
        <w:tab/>
        <w:t xml:space="preserve">нематериальные активы (лицензии на ИТ и программное обеспечение), приобретенные у внешнего источника, стоимостью менее 5000 швейцарских франков, капитализируются и полностью амортизируются в течение одного финансового года, чтобы облегчить отслеживание запасов; </w:t>
      </w:r>
    </w:p>
    <w:p w14:paraId="04ED84F8" w14:textId="77777777" w:rsidR="00232149" w:rsidRPr="00CA4C14" w:rsidRDefault="00232149" w:rsidP="007F03F0">
      <w:pPr>
        <w:pStyle w:val="enumlev1"/>
        <w:rPr>
          <w:lang w:val="ru-RU"/>
        </w:rPr>
      </w:pPr>
      <w:r w:rsidRPr="00CA4C14">
        <w:rPr>
          <w:lang w:val="ru-RU" w:bidi="ru-RU"/>
        </w:rPr>
        <w:t>•</w:t>
      </w:r>
      <w:r w:rsidRPr="00CA4C14">
        <w:rPr>
          <w:lang w:val="ru-RU" w:bidi="ru-RU"/>
        </w:rPr>
        <w:tab/>
        <w:t>нематериальные активы (лицензии на ИТ и программное обеспечение), приобретенные у внешнего источника, стоимостью 5000 швейцарских франков и выше, капитализируются и амортизируются в течение трех лет, если только в договоре не указан срок действия (лицензии и программное обеспечение), в этом случае срок полезного использования соответствует условиям договора;</w:t>
      </w:r>
    </w:p>
    <w:p w14:paraId="2712D731" w14:textId="77777777" w:rsidR="00232149" w:rsidRPr="00CA4C14" w:rsidRDefault="00232149" w:rsidP="007F03F0">
      <w:pPr>
        <w:pStyle w:val="enumlev1"/>
        <w:rPr>
          <w:lang w:val="ru-RU"/>
        </w:rPr>
      </w:pPr>
      <w:r w:rsidRPr="00CA4C14">
        <w:rPr>
          <w:lang w:val="ru-RU" w:bidi="ru-RU"/>
        </w:rPr>
        <w:t>•</w:t>
      </w:r>
      <w:r w:rsidRPr="00CA4C14">
        <w:rPr>
          <w:lang w:val="ru-RU" w:bidi="ru-RU"/>
        </w:rPr>
        <w:tab/>
        <w:t>нематериальные активы (программное обеспечение) собственной разработки стоимостью более 50 000 швейцарских франков капитализируются и имеют минимальный срок полезного использования в три года. При определении срока полезного использования учитываются рекомендации владельцев предприятий, соответствие потребностям предприятия и предполагаемые будущие экономические выгоды. Капитализируются только непосредственно связанные с разработкой затраты, включая затраты на персонал, занятый разработкой программного обеспечения, и соответствующую часть накладных расходов. Затраты, связанные с этапами исследований, относятся на расходы.</w:t>
      </w:r>
    </w:p>
    <w:p w14:paraId="18D63604" w14:textId="77777777" w:rsidR="00232149" w:rsidRPr="00CA4C14" w:rsidRDefault="00232149" w:rsidP="007F03F0">
      <w:pPr>
        <w:pStyle w:val="Headingi"/>
        <w:rPr>
          <w:lang w:val="ru-RU"/>
        </w:rPr>
      </w:pPr>
      <w:r w:rsidRPr="00CA4C14">
        <w:rPr>
          <w:lang w:val="ru-RU" w:bidi="ru-RU"/>
        </w:rPr>
        <w:t>Амортизация и обслуживание</w:t>
      </w:r>
    </w:p>
    <w:p w14:paraId="6CE2E84E" w14:textId="77777777" w:rsidR="00232149" w:rsidRPr="00CA4C14" w:rsidRDefault="00232149" w:rsidP="007F03F0">
      <w:pPr>
        <w:rPr>
          <w:lang w:val="ru-RU"/>
        </w:rPr>
      </w:pPr>
      <w:r w:rsidRPr="00CA4C14">
        <w:rPr>
          <w:lang w:val="ru-RU" w:bidi="ru-RU"/>
        </w:rPr>
        <w:t>Амортизация капитализированных активов рассчитывается линейным методом в течение предполагаемого срока их полезного использования, который может быть продлен с учетом потребностей предприятия и продолжительности получения ожидаемых будущих экономических выгод.</w:t>
      </w:r>
    </w:p>
    <w:p w14:paraId="57F6E2A8" w14:textId="77777777" w:rsidR="00232149" w:rsidRPr="00CA4C14" w:rsidRDefault="00232149" w:rsidP="007F03F0">
      <w:pPr>
        <w:rPr>
          <w:lang w:val="ru-RU"/>
        </w:rPr>
      </w:pPr>
      <w:r w:rsidRPr="00CA4C14">
        <w:rPr>
          <w:lang w:val="ru-RU" w:bidi="ru-RU"/>
        </w:rPr>
        <w:t>Затраты, связанные с обслуживанием нематериальных активов, относятся на расходы</w:t>
      </w:r>
      <w:r w:rsidRPr="00CA4C14">
        <w:rPr>
          <w:lang w:val="ru-RU"/>
        </w:rPr>
        <w:t>.</w:t>
      </w:r>
    </w:p>
    <w:p w14:paraId="35623DA5" w14:textId="77777777" w:rsidR="00232149" w:rsidRPr="00CA4C14" w:rsidRDefault="00232149" w:rsidP="00B91496">
      <w:pPr>
        <w:pStyle w:val="Heading3"/>
        <w:rPr>
          <w:lang w:val="ru-RU"/>
        </w:rPr>
      </w:pPr>
      <w:bookmarkStart w:id="226" w:name="_Toc305764072"/>
      <w:bookmarkStart w:id="227" w:name="_Toc131156424"/>
      <w:bookmarkStart w:id="228" w:name="_Toc2084023521"/>
      <w:bookmarkStart w:id="229" w:name="_Toc164845544"/>
      <w:bookmarkStart w:id="230" w:name="_Toc168578458"/>
      <w:bookmarkStart w:id="231" w:name="_Toc168578834"/>
      <w:r w:rsidRPr="00CA4C14">
        <w:rPr>
          <w:lang w:val="ru-RU"/>
        </w:rPr>
        <w:t>3.7</w:t>
      </w:r>
      <w:r w:rsidRPr="00CA4C14">
        <w:rPr>
          <w:lang w:val="ru-RU"/>
        </w:rPr>
        <w:tab/>
      </w:r>
      <w:bookmarkEnd w:id="226"/>
      <w:bookmarkEnd w:id="227"/>
      <w:bookmarkEnd w:id="228"/>
      <w:bookmarkEnd w:id="229"/>
      <w:r w:rsidRPr="00CA4C14">
        <w:rPr>
          <w:lang w:val="ru-RU"/>
        </w:rPr>
        <w:t>Резервные фонды</w:t>
      </w:r>
      <w:bookmarkEnd w:id="230"/>
      <w:bookmarkEnd w:id="231"/>
    </w:p>
    <w:p w14:paraId="14E3AB06" w14:textId="77777777" w:rsidR="00232149" w:rsidRPr="00CA4C14" w:rsidRDefault="00232149" w:rsidP="003C6DB0">
      <w:pPr>
        <w:rPr>
          <w:lang w:val="ru-RU"/>
        </w:rPr>
      </w:pPr>
      <w:r w:rsidRPr="00CA4C14">
        <w:rPr>
          <w:lang w:val="ru-RU"/>
        </w:rPr>
        <w:t xml:space="preserve">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w:t>
      </w:r>
      <w:r w:rsidRPr="00CA4C14">
        <w:rPr>
          <w:rFonts w:eastAsia="Calibri" w:cs="Calibri"/>
          <w:lang w:val="ru-RU"/>
        </w:rPr>
        <w:t>подразумеваемое</w:t>
      </w:r>
      <w:r w:rsidRPr="00CA4C14">
        <w:rPr>
          <w:lang w:val="ru-RU"/>
        </w:rPr>
        <w:t xml:space="preserve">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w:t>
      </w:r>
    </w:p>
    <w:p w14:paraId="7D24D4FA" w14:textId="77777777" w:rsidR="00232149" w:rsidRPr="00CA4C14" w:rsidRDefault="00232149" w:rsidP="00B91496">
      <w:pPr>
        <w:pStyle w:val="Heading3"/>
        <w:rPr>
          <w:bCs/>
          <w:u w:val="single"/>
          <w:lang w:val="ru-RU"/>
        </w:rPr>
      </w:pPr>
      <w:bookmarkStart w:id="232" w:name="_Toc305764073"/>
      <w:bookmarkStart w:id="233" w:name="_Toc131156425"/>
      <w:bookmarkStart w:id="234" w:name="_Toc1964452081"/>
      <w:bookmarkStart w:id="235" w:name="_Toc164845545"/>
      <w:bookmarkStart w:id="236" w:name="_Toc168578459"/>
      <w:bookmarkStart w:id="237" w:name="_Toc168578835"/>
      <w:r w:rsidRPr="00CA4C14">
        <w:rPr>
          <w:bCs/>
          <w:lang w:val="ru-RU"/>
        </w:rPr>
        <w:lastRenderedPageBreak/>
        <w:t>3.8</w:t>
      </w:r>
      <w:r w:rsidRPr="00CA4C14">
        <w:rPr>
          <w:bCs/>
          <w:lang w:val="ru-RU"/>
        </w:rPr>
        <w:tab/>
      </w:r>
      <w:bookmarkEnd w:id="232"/>
      <w:bookmarkEnd w:id="233"/>
      <w:bookmarkEnd w:id="234"/>
      <w:bookmarkEnd w:id="235"/>
      <w:r w:rsidRPr="00CA4C14">
        <w:rPr>
          <w:lang w:val="ru-RU"/>
        </w:rPr>
        <w:t>Вероятные активы и пассивы</w:t>
      </w:r>
      <w:bookmarkEnd w:id="236"/>
      <w:bookmarkEnd w:id="237"/>
    </w:p>
    <w:p w14:paraId="090B65D2" w14:textId="77777777" w:rsidR="00232149" w:rsidRPr="00CA4C14" w:rsidRDefault="00232149" w:rsidP="00DA678F">
      <w:pPr>
        <w:rPr>
          <w:lang w:val="ru-RU"/>
        </w:rPr>
      </w:pPr>
      <w:bookmarkStart w:id="238" w:name="_Toc305764074"/>
      <w:r w:rsidRPr="00CA4C14">
        <w:rPr>
          <w:lang w:val="ru-RU"/>
        </w:rPr>
        <w:t xml:space="preserve">Вероятные активы и пассивы – это возможные права или обязательства, которые вытекают из прошлых </w:t>
      </w:r>
      <w:r w:rsidRPr="00CA4C14">
        <w:rPr>
          <w:rFonts w:eastAsia="Calibri" w:cs="Calibri"/>
          <w:lang w:val="ru-RU"/>
        </w:rPr>
        <w:t>событий</w:t>
      </w:r>
      <w:r w:rsidRPr="00CA4C14">
        <w:rPr>
          <w:lang w:val="ru-RU"/>
        </w:rPr>
        <w:t xml:space="preserve">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w:t>
      </w:r>
    </w:p>
    <w:p w14:paraId="154DEB74" w14:textId="77777777" w:rsidR="00232149" w:rsidRPr="00CA4C14" w:rsidRDefault="00232149" w:rsidP="00DA678F">
      <w:pPr>
        <w:rPr>
          <w:lang w:val="ru-RU"/>
        </w:rPr>
      </w:pPr>
      <w:r w:rsidRPr="00CA4C14">
        <w:rPr>
          <w:lang w:val="ru-RU"/>
        </w:rPr>
        <w:t xml:space="preserve">Вероятные пассивы раскрываются в тех случаях, когда возникновение возможного </w:t>
      </w:r>
      <w:r w:rsidRPr="00CA4C14">
        <w:rPr>
          <w:rFonts w:eastAsia="Calibri" w:cs="Calibri"/>
          <w:lang w:val="ru-RU"/>
        </w:rPr>
        <w:t>обязательства</w:t>
      </w:r>
      <w:r w:rsidRPr="00CA4C14">
        <w:rPr>
          <w:lang w:val="ru-RU"/>
        </w:rPr>
        <w:t xml:space="preserve"> не определено, но оно может быть измерено, или когда МСЭ имеет текущие обязательства, но не может надежно измерить возможное выбытие ресурсов. В настоящее время у МСЭ нет вероятных пассивов и существенных вероятных пассивов.</w:t>
      </w:r>
    </w:p>
    <w:p w14:paraId="694E8386" w14:textId="77777777" w:rsidR="00232149" w:rsidRPr="00CA4C14" w:rsidRDefault="00232149" w:rsidP="00B91496">
      <w:pPr>
        <w:pStyle w:val="Heading3"/>
        <w:rPr>
          <w:u w:val="single"/>
          <w:lang w:val="ru-RU"/>
        </w:rPr>
      </w:pPr>
      <w:bookmarkStart w:id="239" w:name="_Toc131156426"/>
      <w:bookmarkStart w:id="240" w:name="_Toc609249068"/>
      <w:bookmarkStart w:id="241" w:name="_Toc164845546"/>
      <w:bookmarkStart w:id="242" w:name="_Toc168578460"/>
      <w:bookmarkStart w:id="243" w:name="_Toc168578836"/>
      <w:r w:rsidRPr="00CA4C14">
        <w:rPr>
          <w:lang w:val="ru-RU"/>
        </w:rPr>
        <w:t>3.9</w:t>
      </w:r>
      <w:r w:rsidRPr="00CA4C14">
        <w:rPr>
          <w:lang w:val="ru-RU"/>
        </w:rPr>
        <w:tab/>
      </w:r>
      <w:bookmarkEnd w:id="238"/>
      <w:bookmarkEnd w:id="239"/>
      <w:bookmarkEnd w:id="240"/>
      <w:bookmarkEnd w:id="241"/>
      <w:r w:rsidRPr="00CA4C14">
        <w:rPr>
          <w:lang w:val="ru-RU"/>
        </w:rPr>
        <w:t>Вознаграждение сотрудников</w:t>
      </w:r>
      <w:bookmarkEnd w:id="242"/>
      <w:bookmarkEnd w:id="243"/>
    </w:p>
    <w:p w14:paraId="0418A957" w14:textId="77777777" w:rsidR="00232149" w:rsidRPr="00CA4C14" w:rsidRDefault="00232149" w:rsidP="00DA678F">
      <w:pPr>
        <w:rPr>
          <w:lang w:val="ru-RU"/>
        </w:rPr>
      </w:pPr>
      <w:r w:rsidRPr="00CA4C14">
        <w:rPr>
          <w:rFonts w:eastAsia="Calibri" w:cs="Calibri"/>
          <w:lang w:val="ru-RU"/>
        </w:rPr>
        <w:t>Учитываются</w:t>
      </w:r>
      <w:r w:rsidRPr="00CA4C14">
        <w:rPr>
          <w:lang w:val="ru-RU"/>
        </w:rPr>
        <w:t xml:space="preserve"> следующие виды вознаграждения сотрудников:</w:t>
      </w:r>
    </w:p>
    <w:p w14:paraId="4125132C" w14:textId="77777777" w:rsidR="00232149" w:rsidRPr="00CA4C14" w:rsidRDefault="00232149" w:rsidP="00DA678F">
      <w:pPr>
        <w:pStyle w:val="enumlev1"/>
        <w:rPr>
          <w:lang w:val="ru-RU"/>
        </w:rPr>
      </w:pPr>
      <w:r w:rsidRPr="00CA4C14">
        <w:rPr>
          <w:lang w:val="ru-RU"/>
        </w:rPr>
        <w:t>−</w:t>
      </w:r>
      <w:r w:rsidRPr="00CA4C14">
        <w:rPr>
          <w:lang w:val="ru-RU"/>
        </w:rPr>
        <w:tab/>
        <w:t>виды вознаграждения сотрудников, работающих на основе краткосрочных контрактов, которые полностью выплачиваются в течение 12 месяцев после отчетной даты и оцениваются по их номинальной стоимости на основе накопленных прав по текущим ставкам заработной платы. Виды вознаграждения сотрудников, работающих на основе краткосрочных контрактов, включают пособия, причитающиеся в связи с началом службы (субсидии при назначении на службу), регулярные ежемесячные вознаграждения (заработная плата, оклады, надбавки) и другие (субсидии на образование, отпуск для поездки на родину и т. д.). Расходы признаются, когда сотрудники оказывают услуги МСЭ, а обязательства признаются в отношении выплат, которые не были погашены на отчетную дату;</w:t>
      </w:r>
    </w:p>
    <w:p w14:paraId="465D4B09" w14:textId="43B64522" w:rsidR="00232149" w:rsidRPr="00CA4C14" w:rsidRDefault="00232149" w:rsidP="00B95211">
      <w:pPr>
        <w:pStyle w:val="enumlev1"/>
        <w:rPr>
          <w:lang w:val="ru-RU"/>
        </w:rPr>
      </w:pPr>
      <w:r w:rsidRPr="00CA4C14">
        <w:rPr>
          <w:lang w:val="ru-RU"/>
        </w:rPr>
        <w:t>−</w:t>
      </w:r>
      <w:r w:rsidRPr="00CA4C14">
        <w:rPr>
          <w:lang w:val="ru-RU"/>
        </w:rPr>
        <w:tab/>
        <w:t>прочие виды долгосрочного вознаграждения работникам представляют собой вознаграждения, выплата которых ожидается более чем через 12 месяцев после окончания отчетного периода; к ним относятся субсидии на репатриацию и оплаты накопленных дней отпуска. Обязательство, признанное в отношении субсидий на репатриацию, представляет собой приведенную стоимость обязательств по заранее определенным выплатам на отчетную дату. Это обязательство рассчитывается независимым актуарием с использованием метода прогнозируемой условной единицы. Затраты на проценты, затраты на покрытие стоимости за текущий период и актуарные прибыли или потери, возникающие в результате изменений в актуарных допущениях или корректировок, обусловленных опытом, признаются в отчете о</w:t>
      </w:r>
      <w:r w:rsidR="000F116B" w:rsidRPr="00CA4C14">
        <w:rPr>
          <w:lang w:val="ru-RU"/>
        </w:rPr>
        <w:t> </w:t>
      </w:r>
      <w:r w:rsidRPr="00CA4C14">
        <w:rPr>
          <w:lang w:val="ru-RU"/>
        </w:rPr>
        <w:t>результатах финансовой деятельности;</w:t>
      </w:r>
    </w:p>
    <w:p w14:paraId="04148020" w14:textId="77777777" w:rsidR="00232149" w:rsidRPr="00CA4C14" w:rsidRDefault="00232149" w:rsidP="00DA678F">
      <w:pPr>
        <w:pStyle w:val="enumlev1"/>
        <w:rPr>
          <w:lang w:val="ru-RU"/>
        </w:rPr>
      </w:pPr>
      <w:r w:rsidRPr="00CA4C14">
        <w:rPr>
          <w:lang w:val="ru-RU"/>
        </w:rPr>
        <w:t>−</w:t>
      </w:r>
      <w:r w:rsidRPr="00CA4C14">
        <w:rPr>
          <w:lang w:val="ru-RU"/>
        </w:rPr>
        <w:tab/>
        <w:t>обязательства, касающиеся Плана медицинского страхования после выхода в отставку (АСХИ); и</w:t>
      </w:r>
    </w:p>
    <w:p w14:paraId="2183F5A9" w14:textId="77777777" w:rsidR="00232149" w:rsidRPr="00CA4C14" w:rsidRDefault="00232149" w:rsidP="00DA678F">
      <w:pPr>
        <w:pStyle w:val="enumlev1"/>
        <w:rPr>
          <w:lang w:val="ru-RU"/>
        </w:rPr>
      </w:pPr>
      <w:r w:rsidRPr="00CA4C14">
        <w:rPr>
          <w:lang w:val="ru-RU"/>
        </w:rPr>
        <w:t>−</w:t>
      </w:r>
      <w:r w:rsidRPr="00CA4C14">
        <w:rPr>
          <w:lang w:val="ru-RU"/>
        </w:rPr>
        <w:tab/>
        <w:t>обязательства по прошлой пенсионной программе для определения обязательства МСЭ на дату закрытия финансового периода.</w:t>
      </w:r>
    </w:p>
    <w:p w14:paraId="5E742A69" w14:textId="77777777" w:rsidR="00232149" w:rsidRPr="00CA4C14" w:rsidRDefault="00232149" w:rsidP="00DA678F">
      <w:pPr>
        <w:rPr>
          <w:lang w:val="ru-RU"/>
        </w:rPr>
      </w:pPr>
      <w:r w:rsidRPr="00CA4C14">
        <w:rPr>
          <w:lang w:val="ru-RU"/>
        </w:rPr>
        <w:t xml:space="preserve">МСЭ является организацией-членом, участвующей в Объединенном пенсионном фонде </w:t>
      </w:r>
      <w:r w:rsidRPr="00CA4C14">
        <w:rPr>
          <w:rFonts w:eastAsia="Calibri" w:cs="Calibri"/>
          <w:lang w:val="ru-RU"/>
        </w:rPr>
        <w:t>персонала</w:t>
      </w:r>
      <w:r w:rsidRPr="00CA4C14">
        <w:rPr>
          <w:lang w:val="ru-RU"/>
        </w:rPr>
        <w:t xml:space="preserve">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298BEC11" w14:textId="77777777" w:rsidR="00232149" w:rsidRPr="00CA4C14" w:rsidRDefault="00232149" w:rsidP="00DA678F">
      <w:pPr>
        <w:rPr>
          <w:lang w:val="ru-RU"/>
        </w:rPr>
      </w:pPr>
      <w:r w:rsidRPr="00CA4C14">
        <w:rPr>
          <w:lang w:val="ru-RU"/>
        </w:rPr>
        <w:lastRenderedPageBreak/>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МСЭ и ОПФП ООН, наряду с другими участвующими в Фонде </w:t>
      </w:r>
      <w:r w:rsidRPr="00CA4C14">
        <w:rPr>
          <w:rFonts w:eastAsia="Calibri" w:cs="Calibri"/>
          <w:lang w:val="ru-RU"/>
        </w:rPr>
        <w:t>организациями</w:t>
      </w:r>
      <w:r w:rsidRPr="00CA4C14">
        <w:rPr>
          <w:lang w:val="ru-RU"/>
        </w:rPr>
        <w:t xml:space="preserve">, не могут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CA4C14">
        <w:rPr>
          <w:color w:val="000000"/>
          <w:lang w:val="ru-RU"/>
        </w:rPr>
        <w:t>"Вознаграждение сотрудников"</w:t>
      </w:r>
      <w:r w:rsidRPr="00CA4C14">
        <w:rPr>
          <w:lang w:val="ru-RU"/>
        </w:rPr>
        <w:t>. Взносы МСЭ в план в течение финансового периода учитываются как расходы в отчете о результатах финансовой деятельности.</w:t>
      </w:r>
    </w:p>
    <w:p w14:paraId="77EC0D8E" w14:textId="77777777" w:rsidR="00232149" w:rsidRPr="00CA4C14" w:rsidRDefault="00232149" w:rsidP="00DA678F">
      <w:pPr>
        <w:rPr>
          <w:lang w:val="ru-RU"/>
        </w:rPr>
      </w:pPr>
      <w:r w:rsidRPr="00CA4C14">
        <w:rPr>
          <w:lang w:val="ru-RU"/>
        </w:rPr>
        <w:t xml:space="preserve">С 1 января 2020 года МСЭ </w:t>
      </w:r>
      <w:r w:rsidRPr="00CA4C14">
        <w:rPr>
          <w:color w:val="000000"/>
          <w:lang w:val="ru-RU"/>
        </w:rPr>
        <w:t>присоединился к Обществу взаимного страхования сотрудников Организации Объединенных Наций (ЮНСМИС)</w:t>
      </w:r>
      <w:r w:rsidRPr="00CA4C14">
        <w:rPr>
          <w:lang w:val="ru-RU"/>
        </w:rPr>
        <w:t xml:space="preserve">. В соответствии со стандартом IPSAS 39 </w:t>
      </w:r>
      <w:r w:rsidRPr="00CA4C14">
        <w:rPr>
          <w:rFonts w:eastAsia="Calibri" w:cs="Calibri"/>
          <w:lang w:val="ru-RU"/>
        </w:rPr>
        <w:t>обязательства</w:t>
      </w:r>
      <w:r w:rsidRPr="00CA4C14">
        <w:rPr>
          <w:lang w:val="ru-RU"/>
        </w:rPr>
        <w:t>,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w:t>
      </w:r>
    </w:p>
    <w:p w14:paraId="35D1086F" w14:textId="77777777" w:rsidR="00232149" w:rsidRPr="00CA4C14" w:rsidRDefault="00232149" w:rsidP="00DA678F">
      <w:pPr>
        <w:rPr>
          <w:lang w:val="ru-RU"/>
        </w:rPr>
      </w:pPr>
      <w:r w:rsidRPr="00CA4C14">
        <w:rPr>
          <w:lang w:val="ru-RU"/>
        </w:rPr>
        <w:t>Обязательства МСЭ по АСХИ предусматривают право на получение страхового покрытия по АСХИ, которое приобретается и накапливается пенсионерами организации во время активной службы. Обязательство, признанное по данному плану, представляет собой приведенную стоимость обязательств по заранее определенным выплатам на отчетную дату. Это </w:t>
      </w:r>
      <w:r w:rsidRPr="00CA4C14">
        <w:rPr>
          <w:rFonts w:eastAsia="Calibri" w:cs="Calibri"/>
          <w:lang w:val="ru-RU"/>
        </w:rPr>
        <w:t>обязательство</w:t>
      </w:r>
      <w:r w:rsidRPr="00CA4C14">
        <w:rPr>
          <w:lang w:val="ru-RU"/>
        </w:rPr>
        <w:t xml:space="preserve"> рассчитывается независимым актуарием с использованием метода прогнозируемой условной единицы. Затраты на проценты и затраты на покрытие стоимости за текущий период признаются в отчете о результатах финансовой деятельности как составная часть расходов на персонал. Актуарные прибыли или потери, возникающие в результате изменений в актуарных допущениях или корректировок, обусловленных опытом, напрямую признаются непосредственно в составе чистых активов.</w:t>
      </w:r>
    </w:p>
    <w:p w14:paraId="2F3D49F1" w14:textId="77777777" w:rsidR="00232149" w:rsidRPr="00CA4C14" w:rsidRDefault="00232149" w:rsidP="00DA678F">
      <w:pPr>
        <w:rPr>
          <w:lang w:val="ru-RU"/>
        </w:rPr>
      </w:pPr>
      <w:r w:rsidRPr="00CA4C14">
        <w:rPr>
          <w:rFonts w:eastAsia="Calibri" w:cs="Calibri"/>
          <w:lang w:val="ru-RU"/>
        </w:rPr>
        <w:t>Касающиеся</w:t>
      </w:r>
      <w:r w:rsidRPr="00CA4C14">
        <w:rPr>
          <w:lang w:val="ru-RU"/>
        </w:rPr>
        <w:t xml:space="preserve"> МСЭ предположения описаны в Примечаниях 17 и 18, относящихся к вознаграждению сотрудников.</w:t>
      </w:r>
    </w:p>
    <w:p w14:paraId="5D4A5E31" w14:textId="77777777" w:rsidR="00232149" w:rsidRPr="00CA4C14" w:rsidRDefault="00232149" w:rsidP="00B91496">
      <w:pPr>
        <w:pStyle w:val="Heading3"/>
        <w:rPr>
          <w:lang w:val="ru-RU"/>
        </w:rPr>
      </w:pPr>
      <w:bookmarkStart w:id="244" w:name="_Toc305667752"/>
      <w:bookmarkStart w:id="245" w:name="_Toc306201418"/>
      <w:bookmarkStart w:id="246" w:name="_Toc329002773"/>
      <w:bookmarkStart w:id="247" w:name="_Toc358373647"/>
      <w:bookmarkStart w:id="248" w:name="_Toc387243026"/>
      <w:bookmarkStart w:id="249" w:name="_Toc419404371"/>
      <w:bookmarkStart w:id="250" w:name="_Toc482810319"/>
      <w:bookmarkStart w:id="251" w:name="_Toc511401555"/>
      <w:bookmarkStart w:id="252" w:name="_Toc511401678"/>
      <w:bookmarkStart w:id="253" w:name="_Toc10540791"/>
      <w:bookmarkStart w:id="254" w:name="_Toc41900411"/>
      <w:bookmarkStart w:id="255" w:name="_Toc73437994"/>
      <w:bookmarkStart w:id="256" w:name="_Toc73438623"/>
      <w:bookmarkStart w:id="257" w:name="_Toc73438881"/>
      <w:bookmarkStart w:id="258" w:name="_Toc73439172"/>
      <w:bookmarkStart w:id="259" w:name="_Toc168578461"/>
      <w:bookmarkStart w:id="260" w:name="_Toc168578837"/>
      <w:r w:rsidRPr="00CA4C14">
        <w:rPr>
          <w:lang w:val="ru-RU"/>
        </w:rPr>
        <w:t>3.10</w:t>
      </w:r>
      <w:r w:rsidRPr="00CA4C14">
        <w:rPr>
          <w:lang w:val="ru-RU"/>
        </w:rPr>
        <w:tab/>
        <w:t>Признание доходов</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90C6E1F" w14:textId="77777777" w:rsidR="00232149" w:rsidRPr="00CA4C14" w:rsidRDefault="00232149" w:rsidP="00DA678F">
      <w:pPr>
        <w:pStyle w:val="Headingb"/>
        <w:rPr>
          <w:lang w:val="ru-RU"/>
        </w:rPr>
      </w:pPr>
      <w:bookmarkStart w:id="261" w:name="lt_pId624"/>
      <w:r w:rsidRPr="00CA4C14">
        <w:rPr>
          <w:lang w:val="ru-RU"/>
        </w:rPr>
        <w:t>Доходы от необменных операций</w:t>
      </w:r>
      <w:bookmarkEnd w:id="261"/>
    </w:p>
    <w:p w14:paraId="3CE95974" w14:textId="77777777" w:rsidR="00232149" w:rsidRPr="00CA4C14" w:rsidRDefault="00232149" w:rsidP="00DA678F">
      <w:pPr>
        <w:rPr>
          <w:rFonts w:asciiTheme="minorHAnsi" w:hAnsiTheme="minorHAnsi" w:cstheme="minorBidi"/>
          <w:lang w:val="ru-RU"/>
        </w:rPr>
      </w:pPr>
      <w:bookmarkStart w:id="262" w:name="lt_pId625"/>
      <w:bookmarkStart w:id="263" w:name="_Hlk145689359"/>
      <w:r w:rsidRPr="00CA4C14">
        <w:rPr>
          <w:rFonts w:asciiTheme="minorHAnsi" w:hAnsiTheme="minorHAnsi" w:cstheme="minorBidi"/>
          <w:lang w:val="ru-RU"/>
        </w:rPr>
        <w:t xml:space="preserve">В соответствии с требованиями IPSAS начисленные взносы, добровольные взносы и </w:t>
      </w:r>
      <w:r w:rsidRPr="00CA4C14">
        <w:rPr>
          <w:rFonts w:eastAsia="Calibri" w:cs="Calibri"/>
          <w:lang w:val="ru-RU"/>
        </w:rPr>
        <w:t>спонсорская</w:t>
      </w:r>
      <w:r w:rsidRPr="00CA4C14">
        <w:rPr>
          <w:rFonts w:asciiTheme="minorHAnsi" w:hAnsiTheme="minorHAnsi" w:cstheme="minorBidi"/>
          <w:lang w:val="ru-RU"/>
        </w:rPr>
        <w:t xml:space="preserve"> поддержка, полученные или подтвержденные соглашением обязывающего характера, согласно IPSAS 23 "Доходы от необменных операций" признаются необменными операциями.</w:t>
      </w:r>
    </w:p>
    <w:p w14:paraId="5F1987D6" w14:textId="77777777" w:rsidR="00232149" w:rsidRPr="00CA4C14" w:rsidRDefault="00232149" w:rsidP="00A7491F">
      <w:pPr>
        <w:pStyle w:val="Headingi"/>
        <w:rPr>
          <w:rFonts w:cstheme="minorBidi"/>
          <w:lang w:val="ru-RU"/>
        </w:rPr>
      </w:pPr>
      <w:bookmarkStart w:id="264" w:name="lt_pId626"/>
      <w:bookmarkEnd w:id="262"/>
      <w:r w:rsidRPr="00CA4C14">
        <w:rPr>
          <w:lang w:val="ru-RU"/>
        </w:rPr>
        <w:t>–</w:t>
      </w:r>
      <w:r w:rsidRPr="00CA4C14">
        <w:rPr>
          <w:lang w:val="ru-RU"/>
        </w:rPr>
        <w:tab/>
        <w:t>Начисленные взносы</w:t>
      </w:r>
      <w:bookmarkEnd w:id="264"/>
    </w:p>
    <w:p w14:paraId="717D0EA1" w14:textId="77777777" w:rsidR="00232149" w:rsidRPr="00CA4C14" w:rsidRDefault="00232149" w:rsidP="00DA678F">
      <w:pPr>
        <w:rPr>
          <w:lang w:val="ru-RU"/>
        </w:rPr>
      </w:pPr>
      <w:r w:rsidRPr="00CA4C14">
        <w:rPr>
          <w:lang w:val="ru-RU"/>
        </w:rPr>
        <w:t xml:space="preserve">Речь идет главным образом о взносах Государств-Членов,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w:t>
      </w:r>
      <w:r w:rsidRPr="00CA4C14">
        <w:rPr>
          <w:rFonts w:eastAsia="Calibri" w:cs="Calibri"/>
          <w:lang w:val="ru-RU"/>
        </w:rPr>
        <w:t>последующие</w:t>
      </w:r>
      <w:r w:rsidRPr="00CA4C14">
        <w:rPr>
          <w:lang w:val="ru-RU"/>
        </w:rPr>
        <w:t xml:space="preserve"> четыре года. Государства-Члены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CA4C14">
        <w:rPr>
          <w:color w:val="000000"/>
          <w:lang w:val="ru-RU"/>
        </w:rPr>
        <w:t>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w:t>
      </w:r>
    </w:p>
    <w:p w14:paraId="65A73A49" w14:textId="77777777" w:rsidR="00232149" w:rsidRPr="00CA4C14" w:rsidRDefault="00232149" w:rsidP="00DA678F">
      <w:pPr>
        <w:rPr>
          <w:rFonts w:ascii="Verdana" w:hAnsi="Verdana" w:cs="Verdana"/>
          <w:sz w:val="20"/>
          <w:lang w:val="ru-RU"/>
        </w:rPr>
      </w:pPr>
      <w:bookmarkStart w:id="265" w:name="lt_pId631"/>
      <w:r w:rsidRPr="00CA4C14">
        <w:rPr>
          <w:lang w:val="ru-RU"/>
        </w:rPr>
        <w:t xml:space="preserve">Начисленные взносы признаются в качестве доходов ежегодно в первый день года, к которому они </w:t>
      </w:r>
      <w:r w:rsidRPr="00CA4C14">
        <w:rPr>
          <w:rFonts w:eastAsia="Calibri" w:cs="Calibri"/>
          <w:lang w:val="ru-RU"/>
        </w:rPr>
        <w:t>относятся</w:t>
      </w:r>
      <w:r w:rsidRPr="00CA4C14">
        <w:rPr>
          <w:lang w:val="ru-RU"/>
        </w:rPr>
        <w:t>.</w:t>
      </w:r>
      <w:bookmarkEnd w:id="265"/>
    </w:p>
    <w:p w14:paraId="5B73EFD7" w14:textId="77777777" w:rsidR="00232149" w:rsidRPr="00CA4C14" w:rsidRDefault="00232149" w:rsidP="00A7491F">
      <w:pPr>
        <w:pStyle w:val="Headingi"/>
        <w:rPr>
          <w:lang w:val="ru-RU"/>
        </w:rPr>
      </w:pPr>
      <w:bookmarkStart w:id="266" w:name="lt_pId632"/>
      <w:bookmarkEnd w:id="263"/>
      <w:r w:rsidRPr="00CA4C14">
        <w:rPr>
          <w:lang w:val="ru-RU"/>
        </w:rPr>
        <w:lastRenderedPageBreak/>
        <w:sym w:font="Symbol" w:char="F02D"/>
      </w:r>
      <w:r w:rsidRPr="00CA4C14">
        <w:rPr>
          <w:lang w:val="ru-RU"/>
        </w:rPr>
        <w:tab/>
        <w:t>Добровольные взносы и спонсорская поддержка</w:t>
      </w:r>
      <w:bookmarkEnd w:id="266"/>
    </w:p>
    <w:p w14:paraId="09C4E579" w14:textId="77777777" w:rsidR="00232149" w:rsidRPr="00CA4C14" w:rsidRDefault="00232149" w:rsidP="00DA678F">
      <w:pPr>
        <w:rPr>
          <w:lang w:val="ru-RU"/>
        </w:rPr>
      </w:pPr>
      <w:bookmarkStart w:id="267" w:name="lt_pId633"/>
      <w:r w:rsidRPr="00CA4C14">
        <w:rPr>
          <w:lang w:val="ru-RU"/>
        </w:rPr>
        <w:t xml:space="preserve">Добровольные взносы и спонсорская поддержка с самого начала признаются в качестве </w:t>
      </w:r>
      <w:r w:rsidRPr="00CA4C14">
        <w:rPr>
          <w:rFonts w:eastAsia="Calibri" w:cs="Calibri"/>
          <w:lang w:val="ru-RU"/>
        </w:rPr>
        <w:t>дохода</w:t>
      </w:r>
      <w:r w:rsidRPr="00CA4C14">
        <w:rPr>
          <w:lang w:val="ru-RU"/>
        </w:rPr>
        <w:t xml:space="preserve"> в момент, когда соглашение между МСЭ и донором становится обязывающим и устанавливается контроль над базовым активом, если только соглашение не включает ограничений в соответствии с определениями IPSAS 23.</w:t>
      </w:r>
    </w:p>
    <w:p w14:paraId="61A408AE" w14:textId="77777777" w:rsidR="00232149" w:rsidRPr="00CA4C14" w:rsidRDefault="00232149" w:rsidP="00DA678F">
      <w:pPr>
        <w:rPr>
          <w:lang w:val="ru-RU"/>
        </w:rPr>
      </w:pPr>
      <w:bookmarkStart w:id="268" w:name="lt_pId634"/>
      <w:bookmarkEnd w:id="267"/>
      <w:r w:rsidRPr="00CA4C14">
        <w:rPr>
          <w:lang w:val="ru-RU"/>
        </w:rPr>
        <w:t xml:space="preserve">Соглашения, содержащие такие условия, требуют первоначального признания обязательства и отсрочки признания дохода до тех пор, пока обязательство не будет погашено путем выполнения конкретных условий, включенных в соглашение, а также наличия имеющего </w:t>
      </w:r>
      <w:r w:rsidRPr="00CA4C14">
        <w:rPr>
          <w:rFonts w:eastAsia="Calibri" w:cs="Calibri"/>
          <w:lang w:val="ru-RU"/>
        </w:rPr>
        <w:t>правовое</w:t>
      </w:r>
      <w:r w:rsidRPr="00CA4C14">
        <w:rPr>
          <w:lang w:val="ru-RU"/>
        </w:rPr>
        <w:t xml:space="preserve"> обеспечение обязательства по возврату сумм, если они не будут использованы указанным образом. Сумма, признанная в качестве обязательства, представляет собой наилучшую оценку суммы, которая потребуется для погашения обязательства на отчетную дату.</w:t>
      </w:r>
    </w:p>
    <w:p w14:paraId="6CEDDE1D" w14:textId="77777777" w:rsidR="00232149" w:rsidRPr="00CA4C14" w:rsidRDefault="00232149" w:rsidP="00DA678F">
      <w:pPr>
        <w:rPr>
          <w:lang w:val="ru-RU"/>
        </w:rPr>
      </w:pPr>
      <w:bookmarkStart w:id="269" w:name="lt_pId636"/>
      <w:bookmarkEnd w:id="268"/>
      <w:r w:rsidRPr="00CA4C14">
        <w:rPr>
          <w:lang w:val="ru-RU"/>
        </w:rPr>
        <w:t xml:space="preserve">В </w:t>
      </w:r>
      <w:r w:rsidRPr="00CA4C14">
        <w:rPr>
          <w:rFonts w:eastAsia="Calibri" w:cs="Calibri"/>
          <w:lang w:val="ru-RU"/>
        </w:rPr>
        <w:t>ситуации</w:t>
      </w:r>
      <w:r w:rsidRPr="00CA4C14">
        <w:rPr>
          <w:lang w:val="ru-RU"/>
        </w:rPr>
        <w:t>, когда соглашения подписаны, взносы не получены и соглашение относится к будущим финансовым периодам, обязательство признается как доход будущих периодов.</w:t>
      </w:r>
    </w:p>
    <w:p w14:paraId="7C6EF5BE" w14:textId="77777777" w:rsidR="00232149" w:rsidRPr="00CA4C14" w:rsidRDefault="00232149" w:rsidP="00DA678F">
      <w:pPr>
        <w:pStyle w:val="Headingb"/>
        <w:rPr>
          <w:lang w:val="ru-RU"/>
        </w:rPr>
      </w:pPr>
      <w:bookmarkStart w:id="270" w:name="lt_pId637"/>
      <w:bookmarkEnd w:id="269"/>
      <w:r w:rsidRPr="00CA4C14">
        <w:rPr>
          <w:lang w:val="ru-RU"/>
        </w:rPr>
        <w:t>Доходы от обменных операций</w:t>
      </w:r>
      <w:bookmarkEnd w:id="270"/>
    </w:p>
    <w:p w14:paraId="47D679ED" w14:textId="77777777" w:rsidR="00232149" w:rsidRPr="00CA4C14" w:rsidRDefault="00232149" w:rsidP="00DA678F">
      <w:pPr>
        <w:rPr>
          <w:lang w:val="ru-RU"/>
        </w:rPr>
      </w:pPr>
      <w:bookmarkStart w:id="271" w:name="lt_pId638"/>
      <w:r w:rsidRPr="00CA4C14">
        <w:rPr>
          <w:rFonts w:eastAsia="Calibri" w:cs="Calibri"/>
          <w:lang w:val="ru-RU"/>
        </w:rPr>
        <w:t>Следующие</w:t>
      </w:r>
      <w:r w:rsidRPr="00CA4C14">
        <w:rPr>
          <w:lang w:val="ru-RU"/>
        </w:rPr>
        <w:t xml:space="preserve"> доходы соответствуют определению обменных операций согласно IPSAS 9 "Доходы от обменных операций" и учитываются в соответствии с данным стандартом.</w:t>
      </w:r>
    </w:p>
    <w:p w14:paraId="0A105557" w14:textId="77777777" w:rsidR="00232149" w:rsidRPr="00CA4C14" w:rsidRDefault="00232149" w:rsidP="00DA678F">
      <w:pPr>
        <w:rPr>
          <w:lang w:val="ru-RU"/>
        </w:rPr>
      </w:pPr>
      <w:bookmarkStart w:id="272" w:name="lt_pId639"/>
      <w:bookmarkEnd w:id="271"/>
      <w:r w:rsidRPr="00CA4C14">
        <w:rPr>
          <w:lang w:val="ru-RU"/>
        </w:rPr>
        <w:t>Доходы МСЭ от обменных операций оцениваются по справедливой стоимости полученного или подлежащего получению возмещения и признаются по мере поставки товаров и оказания услуг.</w:t>
      </w:r>
    </w:p>
    <w:p w14:paraId="2FA68EB9" w14:textId="77777777" w:rsidR="00232149" w:rsidRPr="00CA4C14" w:rsidRDefault="00232149" w:rsidP="00DA678F">
      <w:pPr>
        <w:rPr>
          <w:lang w:val="ru-RU"/>
        </w:rPr>
      </w:pPr>
      <w:bookmarkStart w:id="273" w:name="lt_pId640"/>
      <w:bookmarkEnd w:id="272"/>
      <w:r w:rsidRPr="00CA4C14">
        <w:rPr>
          <w:rFonts w:eastAsia="Calibri" w:cs="Calibri"/>
          <w:lang w:val="ru-RU"/>
        </w:rPr>
        <w:t>Доходы</w:t>
      </w:r>
      <w:r w:rsidRPr="00CA4C14">
        <w:rPr>
          <w:lang w:val="ru-RU"/>
        </w:rPr>
        <w:t xml:space="preserve"> от обменных операций относятся к следующим продуктам и услугам, к которым МСЭ применяет принцип возмещения затрат:</w:t>
      </w:r>
    </w:p>
    <w:bookmarkEnd w:id="273"/>
    <w:p w14:paraId="23BE17D1" w14:textId="77777777" w:rsidR="00232149" w:rsidRPr="00CA4C14" w:rsidRDefault="00232149" w:rsidP="00DA678F">
      <w:pPr>
        <w:pStyle w:val="enumlev1"/>
        <w:rPr>
          <w:lang w:val="ru-RU"/>
        </w:rPr>
      </w:pPr>
      <w:r w:rsidRPr="00CA4C14">
        <w:rPr>
          <w:lang w:val="ru-RU"/>
        </w:rPr>
        <w:t>–</w:t>
      </w:r>
      <w:r w:rsidRPr="00CA4C14">
        <w:rPr>
          <w:lang w:val="ru-RU"/>
        </w:rPr>
        <w:tab/>
      </w:r>
      <w:bookmarkStart w:id="274" w:name="lt_pId642"/>
      <w:r w:rsidRPr="00CA4C14">
        <w:rPr>
          <w:lang w:val="ru-RU"/>
        </w:rPr>
        <w:t>продажа публикаций: 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w:t>
      </w:r>
      <w:bookmarkEnd w:id="274"/>
    </w:p>
    <w:p w14:paraId="4EA460C7" w14:textId="77777777" w:rsidR="00232149" w:rsidRPr="00CA4C14" w:rsidRDefault="00232149" w:rsidP="00DA678F">
      <w:pPr>
        <w:pStyle w:val="enumlev1"/>
        <w:rPr>
          <w:lang w:val="ru-RU"/>
        </w:rPr>
      </w:pPr>
      <w:r w:rsidRPr="00CA4C14">
        <w:rPr>
          <w:lang w:val="ru-RU"/>
        </w:rPr>
        <w:t>–</w:t>
      </w:r>
      <w:r w:rsidRPr="00CA4C14">
        <w:rPr>
          <w:lang w:val="ru-RU"/>
        </w:rPr>
        <w:tab/>
      </w:r>
      <w:bookmarkStart w:id="275" w:name="lt_pId644"/>
      <w:r w:rsidRPr="00CA4C14">
        <w:rPr>
          <w:lang w:val="ru-RU"/>
        </w:rPr>
        <w:t>обработка заявок на регистрацию спутниковых сетей: доходы от заявок на регистрацию спутниковых сетей признаются в момент окончательной публикации заявок в Международном информационном циркуляре по частотам (ИФИК) БР; если публикация в ИФИК не вступает в силу в год выставления первоначального счета, то услуга считается не оказанной полностью, и поэтому доход будет отнесен к периоду окончательной публикации в ИФИК;</w:t>
      </w:r>
      <w:bookmarkEnd w:id="275"/>
    </w:p>
    <w:p w14:paraId="13218072" w14:textId="77777777" w:rsidR="00232149" w:rsidRPr="00CA4C14" w:rsidRDefault="00232149" w:rsidP="00DA678F">
      <w:pPr>
        <w:pStyle w:val="enumlev1"/>
        <w:rPr>
          <w:lang w:val="ru-RU"/>
        </w:rPr>
      </w:pPr>
      <w:r w:rsidRPr="00CA4C14">
        <w:rPr>
          <w:lang w:val="ru-RU"/>
        </w:rPr>
        <w:t>–</w:t>
      </w:r>
      <w:r w:rsidRPr="00CA4C14">
        <w:rPr>
          <w:lang w:val="ru-RU"/>
        </w:rPr>
        <w:tab/>
      </w:r>
      <w:bookmarkStart w:id="276" w:name="lt_pId646"/>
      <w:r w:rsidRPr="00CA4C14">
        <w:rPr>
          <w:lang w:val="ru-RU"/>
        </w:rPr>
        <w:t>регистрация универсальных международных номеров услуги бесплатного вызова (UIFN): МСЭ взимает авансом взносы на предоставление услуг по регистрации универсальных международных номеров услуги бесплатного вызова (UIFN), регистрации универсальных международных номеров услуги "вызов с оплатой по повышенному тарифу" (UIPRN) и универсальных международных номеров услуги "вызов с долевой оплатой" (UISCN).</w:t>
      </w:r>
      <w:bookmarkEnd w:id="276"/>
    </w:p>
    <w:p w14:paraId="07495A34" w14:textId="77777777" w:rsidR="00232149" w:rsidRPr="00CA4C14" w:rsidRDefault="00232149" w:rsidP="007F03F0">
      <w:pPr>
        <w:pStyle w:val="Heading3"/>
        <w:rPr>
          <w:u w:val="single"/>
          <w:lang w:val="ru-RU"/>
        </w:rPr>
      </w:pPr>
      <w:bookmarkStart w:id="277" w:name="_MON_1753114325"/>
      <w:bookmarkStart w:id="278" w:name="_MON_1753114393"/>
      <w:bookmarkStart w:id="279" w:name="_MON_1753114467"/>
      <w:bookmarkStart w:id="280" w:name="_Toc305764076"/>
      <w:bookmarkStart w:id="281" w:name="_Toc131156431"/>
      <w:bookmarkStart w:id="282" w:name="_Toc1515273631"/>
      <w:bookmarkStart w:id="283" w:name="_Toc164845548"/>
      <w:bookmarkStart w:id="284" w:name="_Toc168578462"/>
      <w:bookmarkStart w:id="285" w:name="_Toc168578838"/>
      <w:bookmarkEnd w:id="277"/>
      <w:bookmarkEnd w:id="278"/>
      <w:bookmarkEnd w:id="279"/>
      <w:r w:rsidRPr="00CA4C14">
        <w:rPr>
          <w:lang w:val="ru-RU"/>
        </w:rPr>
        <w:t>3.11</w:t>
      </w:r>
      <w:r w:rsidRPr="00CA4C14">
        <w:rPr>
          <w:lang w:val="ru-RU"/>
        </w:rPr>
        <w:tab/>
      </w:r>
      <w:bookmarkEnd w:id="280"/>
      <w:bookmarkEnd w:id="281"/>
      <w:bookmarkEnd w:id="282"/>
      <w:bookmarkEnd w:id="283"/>
      <w:r w:rsidRPr="00CA4C14">
        <w:rPr>
          <w:lang w:val="ru-RU" w:bidi="ru-RU"/>
        </w:rPr>
        <w:t>Представление информации по сегментам</w:t>
      </w:r>
      <w:bookmarkEnd w:id="284"/>
      <w:bookmarkEnd w:id="285"/>
    </w:p>
    <w:p w14:paraId="241626A1" w14:textId="5BB0334C" w:rsidR="00232149" w:rsidRPr="00CA4C14" w:rsidRDefault="00232149" w:rsidP="007F03F0">
      <w:pPr>
        <w:rPr>
          <w:lang w:val="ru-RU"/>
        </w:rPr>
      </w:pPr>
      <w:r w:rsidRPr="00CA4C14">
        <w:rPr>
          <w:lang w:val="ru-RU" w:bidi="ru-RU"/>
        </w:rPr>
        <w:t xml:space="preserve">Информация по сегментам основана на основных видах деятельности и источниках финансирования МСЭ, и она представляется в виде, согласованном со структурой организации и другими фондами, учрежденными в целях управления финансовыми ресурсами организации. Эти сегменты соответствуют программе работы МСЭ на </w:t>
      </w:r>
      <w:proofErr w:type="gramStart"/>
      <w:r w:rsidRPr="00CA4C14">
        <w:rPr>
          <w:lang w:val="ru-RU" w:bidi="ru-RU"/>
        </w:rPr>
        <w:t>2022−2023</w:t>
      </w:r>
      <w:proofErr w:type="gramEnd"/>
      <w:r w:rsidRPr="00CA4C14">
        <w:rPr>
          <w:lang w:val="ru-RU" w:bidi="ru-RU"/>
        </w:rPr>
        <w:t xml:space="preserve"> годы:</w:t>
      </w:r>
    </w:p>
    <w:p w14:paraId="00D4A8A3" w14:textId="77777777" w:rsidR="00232149" w:rsidRPr="00CA4C14" w:rsidRDefault="00232149" w:rsidP="007F03F0">
      <w:pPr>
        <w:pStyle w:val="enumlev1"/>
        <w:rPr>
          <w:lang w:val="ru-RU"/>
        </w:rPr>
      </w:pPr>
      <w:r w:rsidRPr="00CA4C14">
        <w:rPr>
          <w:lang w:val="ru-RU" w:bidi="ru-RU"/>
        </w:rPr>
        <w:t>–</w:t>
      </w:r>
      <w:r w:rsidRPr="00CA4C14">
        <w:rPr>
          <w:lang w:val="ru-RU" w:bidi="ru-RU"/>
        </w:rPr>
        <w:tab/>
        <w:t>Генеральный секретариат;</w:t>
      </w:r>
    </w:p>
    <w:p w14:paraId="795626E4" w14:textId="77777777" w:rsidR="00232149" w:rsidRPr="00CA4C14" w:rsidRDefault="00232149" w:rsidP="007F03F0">
      <w:pPr>
        <w:pStyle w:val="enumlev1"/>
        <w:rPr>
          <w:lang w:val="ru-RU"/>
        </w:rPr>
      </w:pPr>
      <w:r w:rsidRPr="00CA4C14">
        <w:rPr>
          <w:lang w:val="ru-RU" w:bidi="ru-RU"/>
        </w:rPr>
        <w:t>–</w:t>
      </w:r>
      <w:r w:rsidRPr="00CA4C14">
        <w:rPr>
          <w:lang w:val="ru-RU" w:bidi="ru-RU"/>
        </w:rPr>
        <w:tab/>
        <w:t>Сектор радиосвязи (МСЭ-R): управление использованием международных ресурсов, а именно спектра радиочастот и спутниковых орбит;</w:t>
      </w:r>
    </w:p>
    <w:p w14:paraId="791EE313" w14:textId="77777777" w:rsidR="00232149" w:rsidRPr="00CA4C14" w:rsidRDefault="00232149" w:rsidP="007F03F0">
      <w:pPr>
        <w:pStyle w:val="enumlev1"/>
        <w:rPr>
          <w:lang w:val="ru-RU"/>
        </w:rPr>
      </w:pPr>
      <w:r w:rsidRPr="00CA4C14">
        <w:rPr>
          <w:lang w:val="ru-RU" w:bidi="ru-RU"/>
        </w:rPr>
        <w:lastRenderedPageBreak/>
        <w:t>–</w:t>
      </w:r>
      <w:r w:rsidRPr="00CA4C14">
        <w:rPr>
          <w:lang w:val="ru-RU" w:bidi="ru-RU"/>
        </w:rPr>
        <w:tab/>
        <w:t>Сектор стандартизации электросвязи (МСЭ-Т): формирование согласованных методов работы и создание гибких методов сотрудничества для удовлетворения потребностей рынка;</w:t>
      </w:r>
    </w:p>
    <w:p w14:paraId="30FA4B03" w14:textId="77777777" w:rsidR="00232149" w:rsidRPr="00CA4C14" w:rsidRDefault="00232149" w:rsidP="007F03F0">
      <w:pPr>
        <w:pStyle w:val="enumlev1"/>
        <w:rPr>
          <w:lang w:val="ru-RU"/>
        </w:rPr>
      </w:pPr>
      <w:r w:rsidRPr="00CA4C14">
        <w:rPr>
          <w:lang w:val="ru-RU" w:bidi="ru-RU"/>
        </w:rPr>
        <w:t>–</w:t>
      </w:r>
      <w:r w:rsidRPr="00CA4C14">
        <w:rPr>
          <w:lang w:val="ru-RU" w:bidi="ru-RU"/>
        </w:rPr>
        <w:tab/>
        <w:t>Сектор развития электросвязи (МСЭ-D): предоставление на приемлемых в ценовом отношении условиях равноправного и устойчивого доступа к ИКТ;</w:t>
      </w:r>
    </w:p>
    <w:p w14:paraId="0D1C765A" w14:textId="77777777" w:rsidR="00232149" w:rsidRPr="00CA4C14" w:rsidRDefault="00232149" w:rsidP="007F03F0">
      <w:pPr>
        <w:pStyle w:val="enumlev1"/>
        <w:rPr>
          <w:lang w:val="ru-RU"/>
        </w:rPr>
      </w:pPr>
      <w:r w:rsidRPr="00CA4C14">
        <w:rPr>
          <w:lang w:val="ru-RU" w:bidi="ru-RU"/>
        </w:rPr>
        <w:t>–</w:t>
      </w:r>
      <w:r w:rsidRPr="00CA4C14">
        <w:rPr>
          <w:lang w:val="ru-RU" w:bidi="ru-RU"/>
        </w:rPr>
        <w:tab/>
        <w:t>Фонд строительства нового здания, который представляет проект по строительству новых помещений штаб-квартиры;</w:t>
      </w:r>
    </w:p>
    <w:p w14:paraId="17F52062" w14:textId="77777777" w:rsidR="00232149" w:rsidRPr="00CA4C14" w:rsidRDefault="00232149" w:rsidP="007F03F0">
      <w:pPr>
        <w:pStyle w:val="enumlev1"/>
        <w:rPr>
          <w:lang w:val="ru-RU"/>
        </w:rPr>
      </w:pPr>
      <w:r w:rsidRPr="00CA4C14">
        <w:rPr>
          <w:lang w:val="ru-RU" w:bidi="ru-RU"/>
        </w:rPr>
        <w:t>–</w:t>
      </w:r>
      <w:r w:rsidRPr="00CA4C14">
        <w:rPr>
          <w:lang w:val="ru-RU" w:bidi="ru-RU"/>
        </w:rPr>
        <w:tab/>
        <w:t>прежний Пенсионный фонд, перегруппированный в Пенсионный фонд и Фонд помощи;</w:t>
      </w:r>
    </w:p>
    <w:p w14:paraId="31E8003B" w14:textId="77777777" w:rsidR="00232149" w:rsidRPr="00CA4C14" w:rsidRDefault="00232149" w:rsidP="007F03F0">
      <w:pPr>
        <w:pStyle w:val="enumlev1"/>
        <w:rPr>
          <w:lang w:val="ru-RU"/>
        </w:rPr>
      </w:pPr>
      <w:r w:rsidRPr="00CA4C14">
        <w:rPr>
          <w:lang w:val="ru-RU" w:bidi="ru-RU"/>
        </w:rPr>
        <w:t>–</w:t>
      </w:r>
      <w:r w:rsidRPr="00CA4C14">
        <w:rPr>
          <w:lang w:val="ru-RU" w:bidi="ru-RU"/>
        </w:rPr>
        <w:tab/>
        <w:t>внебюджетные фонды, которые включают в себя фонды ПРООН, целевые фонды, Фонд развития ИКТ, добровольные взносы и ITU TELECOM.</w:t>
      </w:r>
    </w:p>
    <w:p w14:paraId="2C5DACDA" w14:textId="77777777" w:rsidR="00232149" w:rsidRPr="00CA4C14" w:rsidRDefault="00232149" w:rsidP="007F03F0">
      <w:pPr>
        <w:rPr>
          <w:rFonts w:asciiTheme="minorHAnsi" w:hAnsiTheme="minorHAnsi" w:cstheme="minorBidi"/>
          <w:lang w:val="ru-RU"/>
        </w:rPr>
      </w:pPr>
      <w:bookmarkStart w:id="286" w:name="_Int_MveimZ67"/>
      <w:r w:rsidRPr="00CA4C14">
        <w:rPr>
          <w:lang w:val="ru-RU" w:bidi="ru-RU"/>
        </w:rPr>
        <w:t>Принимая во внимание</w:t>
      </w:r>
      <w:bookmarkEnd w:id="286"/>
      <w:r w:rsidRPr="00CA4C14">
        <w:rPr>
          <w:lang w:val="ru-RU" w:bidi="ru-RU"/>
        </w:rPr>
        <w:t xml:space="preserve"> характер деятельности МСЭ, взносы Государств-Членов, материальные и нематериальные активы используются совместно всеми Секторами и не управляются каждым Сектором в отдельности.</w:t>
      </w:r>
    </w:p>
    <w:p w14:paraId="20BD03BC" w14:textId="1930A2BF" w:rsidR="00232149" w:rsidRPr="00CA4C14" w:rsidRDefault="00232149" w:rsidP="007F03F0">
      <w:pPr>
        <w:rPr>
          <w:rFonts w:asciiTheme="minorHAnsi" w:hAnsiTheme="minorHAnsi" w:cstheme="minorBidi"/>
          <w:lang w:val="ru-RU"/>
        </w:rPr>
      </w:pPr>
      <w:r w:rsidRPr="00CA4C14">
        <w:rPr>
          <w:lang w:val="ru-RU" w:bidi="ru-RU"/>
        </w:rPr>
        <w:t>Межсегментные переводы включают доходы и расходы, возникающие в результате переводов между сегментами. Такие переводы учитываются по себестоимости для каждого сегмента и исключаются при консолидации.</w:t>
      </w:r>
    </w:p>
    <w:p w14:paraId="0E45034A" w14:textId="77777777" w:rsidR="00232149" w:rsidRPr="00CA4C14" w:rsidRDefault="00232149" w:rsidP="007F03F0">
      <w:pPr>
        <w:rPr>
          <w:rFonts w:asciiTheme="minorHAnsi" w:hAnsiTheme="minorHAnsi" w:cstheme="minorBidi"/>
          <w:lang w:val="ru-RU"/>
        </w:rPr>
      </w:pPr>
      <w:bookmarkStart w:id="287" w:name="_Int_6V0HpEgA"/>
      <w:bookmarkStart w:id="288" w:name="_Hlk131084412"/>
      <w:r w:rsidRPr="00CA4C14">
        <w:rPr>
          <w:lang w:val="ru-RU" w:bidi="ru-RU"/>
        </w:rPr>
        <w:t>Для целей</w:t>
      </w:r>
      <w:bookmarkEnd w:id="287"/>
      <w:r w:rsidRPr="00CA4C14">
        <w:rPr>
          <w:lang w:val="ru-RU" w:bidi="ru-RU"/>
        </w:rPr>
        <w:t xml:space="preserve"> предоставления информации по сегментам МСЭ распределило эти доходы и расходы по четырем Секторам (включая Генеральный секретариат) на основе бюджетных показателей. Ежегодная корректировка АСХИ была распределена на основе численности сотрудников каждого Сектора.</w:t>
      </w:r>
    </w:p>
    <w:bookmarkEnd w:id="288"/>
    <w:p w14:paraId="089BE602" w14:textId="77777777" w:rsidR="00232149" w:rsidRPr="00CA4C14" w:rsidRDefault="00232149" w:rsidP="000F116B">
      <w:pPr>
        <w:rPr>
          <w:rFonts w:cstheme="minorBidi"/>
          <w:b/>
          <w:bCs/>
          <w:lang w:val="ru-RU"/>
        </w:rPr>
      </w:pPr>
      <w:r w:rsidRPr="00CA4C14">
        <w:rPr>
          <w:bCs/>
          <w:lang w:val="ru-RU" w:bidi="ru-RU"/>
        </w:rPr>
        <w:t xml:space="preserve">Активы и обязательства Союза, за исключением тех, которые представляют собой его чистые активы, находятся в собственности или в рамках сферы ответственности организации в целом и не представляют собой </w:t>
      </w:r>
      <w:bookmarkStart w:id="289" w:name="_Int_zEL0yuwE"/>
      <w:r w:rsidRPr="00CA4C14">
        <w:rPr>
          <w:bCs/>
          <w:lang w:val="ru-RU" w:bidi="ru-RU"/>
        </w:rPr>
        <w:t>активы</w:t>
      </w:r>
      <w:bookmarkEnd w:id="289"/>
      <w:r w:rsidRPr="00CA4C14">
        <w:rPr>
          <w:bCs/>
          <w:lang w:val="ru-RU" w:bidi="ru-RU"/>
        </w:rPr>
        <w:t xml:space="preserve"> и обязательства ее составных частей. Внебюджетные средства не включают основные </w:t>
      </w:r>
      <w:r w:rsidRPr="00CA4C14">
        <w:rPr>
          <w:lang w:val="ru-RU" w:bidi="ru-RU"/>
        </w:rPr>
        <w:t>средства</w:t>
      </w:r>
      <w:r w:rsidRPr="00CA4C14">
        <w:rPr>
          <w:bCs/>
          <w:lang w:val="ru-RU" w:bidi="ru-RU"/>
        </w:rPr>
        <w:t>.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w:t>
      </w:r>
      <w:r w:rsidRPr="00CA4C14">
        <w:rPr>
          <w:rFonts w:cstheme="minorBidi"/>
          <w:bCs/>
          <w:lang w:val="ru-RU"/>
        </w:rPr>
        <w:t>.</w:t>
      </w:r>
    </w:p>
    <w:p w14:paraId="5FD39013" w14:textId="3F2F2B5A" w:rsidR="00232149" w:rsidRPr="00CA4C14" w:rsidRDefault="00232149" w:rsidP="00D150AE">
      <w:pPr>
        <w:pStyle w:val="Heading3"/>
        <w:rPr>
          <w:lang w:val="ru-RU"/>
        </w:rPr>
      </w:pPr>
      <w:bookmarkStart w:id="290" w:name="_Toc330865252"/>
      <w:bookmarkStart w:id="291" w:name="_Toc164845549"/>
      <w:bookmarkStart w:id="292" w:name="_Toc305764077"/>
      <w:bookmarkStart w:id="293" w:name="_Toc131156432"/>
      <w:bookmarkStart w:id="294" w:name="_Toc168578463"/>
      <w:bookmarkStart w:id="295" w:name="_Toc168578839"/>
      <w:r w:rsidRPr="00CA4C14">
        <w:rPr>
          <w:lang w:val="ru-RU"/>
        </w:rPr>
        <w:t>3.12</w:t>
      </w:r>
      <w:r w:rsidRPr="00CA4C14">
        <w:rPr>
          <w:lang w:val="ru-RU"/>
        </w:rPr>
        <w:tab/>
      </w:r>
      <w:bookmarkEnd w:id="290"/>
      <w:bookmarkEnd w:id="291"/>
      <w:bookmarkEnd w:id="292"/>
      <w:bookmarkEnd w:id="293"/>
      <w:r w:rsidRPr="00CA4C14">
        <w:rPr>
          <w:lang w:val="ru-RU" w:bidi="ru-RU"/>
        </w:rPr>
        <w:t>Сравнительная таблица предусмотренных в бюджете сумм и фактических сумм</w:t>
      </w:r>
      <w:bookmarkEnd w:id="294"/>
      <w:bookmarkEnd w:id="295"/>
    </w:p>
    <w:p w14:paraId="524B0F54" w14:textId="77777777" w:rsidR="00232149" w:rsidRPr="00CA4C14" w:rsidRDefault="00232149" w:rsidP="00D150AE">
      <w:pPr>
        <w:rPr>
          <w:lang w:val="ru-RU"/>
        </w:rPr>
      </w:pPr>
      <w:r w:rsidRPr="00CA4C14">
        <w:rPr>
          <w:lang w:val="ru-RU" w:bidi="ru-RU"/>
        </w:rPr>
        <w:t xml:space="preserve">Бюджет Союза на </w:t>
      </w:r>
      <w:proofErr w:type="gramStart"/>
      <w:r w:rsidRPr="00CA4C14">
        <w:rPr>
          <w:lang w:val="ru-RU" w:bidi="ru-RU"/>
        </w:rPr>
        <w:t>2022−2023</w:t>
      </w:r>
      <w:proofErr w:type="gramEnd"/>
      <w:r w:rsidRPr="00CA4C14">
        <w:rPr>
          <w:lang w:val="ru-RU" w:bidi="ru-RU"/>
        </w:rPr>
        <w:t xml:space="preserve"> годы основан на Решении 5 (Пересм. Дубай, 2018 г.) "Доходы и расходы Союза на период </w:t>
      </w:r>
      <w:proofErr w:type="gramStart"/>
      <w:r w:rsidRPr="00CA4C14">
        <w:rPr>
          <w:lang w:val="ru-RU" w:bidi="ru-RU"/>
        </w:rPr>
        <w:t>2020−2023</w:t>
      </w:r>
      <w:proofErr w:type="gramEnd"/>
      <w:r w:rsidRPr="00CA4C14">
        <w:rPr>
          <w:lang w:val="ru-RU" w:bidi="ru-RU"/>
        </w:rPr>
        <w:t xml:space="preserve"> годов" и Стратегическом плане Союза на 2020−2023 годы, представленном в Резолюции 71 (Пересм. Дубай, 2018 г.) Полномочной конференции.</w:t>
      </w:r>
    </w:p>
    <w:p w14:paraId="2497EEF8" w14:textId="77777777" w:rsidR="00232149" w:rsidRPr="00CA4C14" w:rsidRDefault="00232149" w:rsidP="00D150AE">
      <w:pPr>
        <w:rPr>
          <w:lang w:val="ru-RU"/>
        </w:rPr>
      </w:pPr>
      <w:r w:rsidRPr="00CA4C14">
        <w:rPr>
          <w:lang w:val="ru-RU" w:bidi="ru-RU"/>
        </w:rPr>
        <w:t>Кроме того, бюджет программы координируется с оперативными планами Секторов и Генерального секретариата.</w:t>
      </w:r>
    </w:p>
    <w:p w14:paraId="73B777AF" w14:textId="77777777" w:rsidR="00232149" w:rsidRPr="00CA4C14" w:rsidRDefault="00232149" w:rsidP="00D150AE">
      <w:pPr>
        <w:rPr>
          <w:lang w:val="ru-RU"/>
        </w:rPr>
      </w:pPr>
      <w:r w:rsidRPr="00CA4C14">
        <w:rPr>
          <w:lang w:val="ru-RU" w:bidi="ru-RU"/>
        </w:rPr>
        <w:t xml:space="preserve">Согласно IPSAS 24 в годовую финансовую отчетность необходимо включать сравнение предусмотренных в бюджете сумм и фактических сумм (Отчет V). Бюджет Союза на </w:t>
      </w:r>
      <w:proofErr w:type="gramStart"/>
      <w:r w:rsidRPr="00CA4C14">
        <w:rPr>
          <w:lang w:val="ru-RU" w:bidi="ru-RU"/>
        </w:rPr>
        <w:t>2022−2023</w:t>
      </w:r>
      <w:proofErr w:type="gramEnd"/>
      <w:r w:rsidRPr="00CA4C14">
        <w:rPr>
          <w:lang w:val="ru-RU" w:bidi="ru-RU"/>
        </w:rPr>
        <w:t xml:space="preserve"> годы включает два годовых бюджета. Смета бюджета была составлена для каждого из </w:t>
      </w:r>
      <w:bookmarkStart w:id="296" w:name="_Int_QFPEVHRq"/>
      <w:r w:rsidRPr="00CA4C14">
        <w:rPr>
          <w:lang w:val="ru-RU" w:bidi="ru-RU"/>
        </w:rPr>
        <w:t>финансовых годов.</w:t>
      </w:r>
      <w:bookmarkEnd w:id="296"/>
    </w:p>
    <w:p w14:paraId="60775B60" w14:textId="3E114730" w:rsidR="00232149" w:rsidRPr="00CA4C14" w:rsidRDefault="00232149" w:rsidP="000F116B">
      <w:pPr>
        <w:rPr>
          <w:b/>
          <w:bCs/>
          <w:lang w:val="ru-RU"/>
        </w:rPr>
      </w:pPr>
      <w:r w:rsidRPr="00CA4C14">
        <w:rPr>
          <w:bCs/>
          <w:lang w:val="ru-RU" w:bidi="ru-RU"/>
        </w:rPr>
        <w:t xml:space="preserve">Окончательный бюджет на 2023 год был утвержден Советом на его сессии 2021 года в Резолюции 1405 (С21/97). В Отчете V содержится сравнительная таблица предусмотренных в окончательном бюджете сумм и фактических сумм. Бюджет и финансовая отчетность составлялись с </w:t>
      </w:r>
      <w:r w:rsidRPr="00CA4C14">
        <w:rPr>
          <w:lang w:val="ru-RU" w:bidi="ru-RU"/>
        </w:rPr>
        <w:t>использованием</w:t>
      </w:r>
      <w:r w:rsidRPr="00CA4C14">
        <w:rPr>
          <w:bCs/>
          <w:lang w:val="ru-RU" w:bidi="ru-RU"/>
        </w:rPr>
        <w:t xml:space="preserve"> разных оснований для учета, поэтому в Отчете V содержится сравнение предусмотренных в бюджете сумм и сумм, представленных в Отчете II "Отчет о</w:t>
      </w:r>
      <w:r w:rsidR="000F116B" w:rsidRPr="00CA4C14">
        <w:rPr>
          <w:bCs/>
          <w:lang w:val="ru-RU" w:bidi="ru-RU"/>
        </w:rPr>
        <w:t> </w:t>
      </w:r>
      <w:r w:rsidRPr="00CA4C14">
        <w:rPr>
          <w:bCs/>
          <w:lang w:val="ru-RU" w:bidi="ru-RU"/>
        </w:rPr>
        <w:t xml:space="preserve">результатах финансовой деятельности". Структурная разница связана с включением в финансовую отчетность Союза внебюджетных средств, а базисная разница отражает расходы и </w:t>
      </w:r>
      <w:r w:rsidRPr="00CA4C14">
        <w:rPr>
          <w:bCs/>
          <w:lang w:val="ru-RU" w:bidi="ru-RU"/>
        </w:rPr>
        <w:lastRenderedPageBreak/>
        <w:t xml:space="preserve">доходы, которые не включены в бюджет МСЭ или отражаются в соответствии с другими принципами учета согласно требованиям </w:t>
      </w:r>
      <w:r w:rsidRPr="00CA4C14">
        <w:rPr>
          <w:bCs/>
          <w:lang w:val="ru-RU"/>
        </w:rPr>
        <w:t>IPSAS</w:t>
      </w:r>
      <w:r w:rsidRPr="00CA4C14">
        <w:rPr>
          <w:bCs/>
          <w:lang w:val="ru-RU" w:bidi="ru-RU"/>
        </w:rPr>
        <w:t>. Более подробная информация представлена в Примечании 24</w:t>
      </w:r>
      <w:r w:rsidRPr="00CA4C14">
        <w:rPr>
          <w:bCs/>
          <w:lang w:val="ru-RU"/>
        </w:rPr>
        <w:t>.</w:t>
      </w:r>
    </w:p>
    <w:p w14:paraId="50E6D40A" w14:textId="77777777" w:rsidR="00492C61" w:rsidRPr="00CA4C14" w:rsidRDefault="00492C61" w:rsidP="003C6DB0">
      <w:pPr>
        <w:pStyle w:val="Heading5"/>
        <w:rPr>
          <w:lang w:val="ru-RU"/>
        </w:rPr>
      </w:pPr>
      <w:bookmarkStart w:id="297" w:name="_Toc305764078"/>
      <w:bookmarkStart w:id="298" w:name="_Toc2005462053"/>
      <w:bookmarkStart w:id="299" w:name="_Toc164845550"/>
      <w:bookmarkStart w:id="300" w:name="_Toc168578464"/>
      <w:r w:rsidRPr="00CA4C14">
        <w:rPr>
          <w:lang w:val="ru-RU"/>
        </w:rPr>
        <w:t>Примечание 4</w:t>
      </w:r>
      <w:r w:rsidRPr="00CA4C14">
        <w:rPr>
          <w:lang w:val="ru-RU"/>
        </w:rPr>
        <w:tab/>
      </w:r>
      <w:bookmarkEnd w:id="297"/>
      <w:bookmarkEnd w:id="298"/>
      <w:bookmarkEnd w:id="299"/>
      <w:r w:rsidRPr="00CA4C14">
        <w:rPr>
          <w:lang w:val="ru-RU"/>
        </w:rPr>
        <w:t>Управление чистыми активами</w:t>
      </w:r>
      <w:bookmarkEnd w:id="300"/>
    </w:p>
    <w:p w14:paraId="42615408" w14:textId="77777777" w:rsidR="00492C61" w:rsidRPr="00CA4C14" w:rsidRDefault="00492C61" w:rsidP="005D645A">
      <w:pPr>
        <w:tabs>
          <w:tab w:val="left" w:pos="7088"/>
        </w:tabs>
        <w:jc w:val="both"/>
        <w:rPr>
          <w:rFonts w:asciiTheme="minorHAnsi" w:hAnsiTheme="minorHAnsi" w:cstheme="minorHAnsi"/>
          <w:lang w:val="ru-RU"/>
        </w:rPr>
      </w:pPr>
      <w:r w:rsidRPr="00CA4C14">
        <w:rPr>
          <w:rFonts w:asciiTheme="minorHAnsi" w:hAnsiTheme="minorHAnsi" w:cstheme="minorHAnsi"/>
          <w:lang w:val="ru-RU"/>
        </w:rPr>
        <w:t>Чистые активы Союза включают:</w:t>
      </w:r>
    </w:p>
    <w:p w14:paraId="2AE18CED" w14:textId="77777777" w:rsidR="00492C61" w:rsidRPr="00CA4C14" w:rsidRDefault="00492C61" w:rsidP="003C6DB0">
      <w:pPr>
        <w:pStyle w:val="enumlev1"/>
        <w:rPr>
          <w:lang w:val="ru-RU"/>
        </w:rPr>
      </w:pPr>
      <w:r w:rsidRPr="00CA4C14">
        <w:rPr>
          <w:lang w:val="ru-RU"/>
        </w:rPr>
        <w:t>•</w:t>
      </w:r>
      <w:r w:rsidRPr="00CA4C14">
        <w:rPr>
          <w:lang w:val="ru-RU"/>
        </w:rPr>
        <w:tab/>
        <w:t>Резервный счет МСЭ;</w:t>
      </w:r>
    </w:p>
    <w:p w14:paraId="29E827A8" w14:textId="77777777" w:rsidR="00492C61" w:rsidRPr="00CA4C14" w:rsidRDefault="00492C61" w:rsidP="003C6DB0">
      <w:pPr>
        <w:pStyle w:val="enumlev1"/>
        <w:rPr>
          <w:lang w:val="ru-RU"/>
        </w:rPr>
      </w:pPr>
      <w:r w:rsidRPr="00CA4C14">
        <w:rPr>
          <w:lang w:val="ru-RU"/>
        </w:rPr>
        <w:t>•</w:t>
      </w:r>
      <w:r w:rsidRPr="00CA4C14">
        <w:rPr>
          <w:lang w:val="ru-RU"/>
        </w:rPr>
        <w:tab/>
        <w:t>прочие резервы и фонды;</w:t>
      </w:r>
    </w:p>
    <w:p w14:paraId="4A461D6A" w14:textId="77777777" w:rsidR="00492C61" w:rsidRPr="00CA4C14" w:rsidRDefault="00492C61" w:rsidP="003C6DB0">
      <w:pPr>
        <w:pStyle w:val="enumlev1"/>
        <w:rPr>
          <w:lang w:val="ru-RU"/>
        </w:rPr>
      </w:pPr>
      <w:r w:rsidRPr="00CA4C14">
        <w:rPr>
          <w:lang w:val="ru-RU"/>
        </w:rPr>
        <w:t>•</w:t>
      </w:r>
      <w:r w:rsidRPr="00CA4C14">
        <w:rPr>
          <w:lang w:val="ru-RU"/>
        </w:rPr>
        <w:tab/>
        <w:t>внебюджетные резервы;</w:t>
      </w:r>
    </w:p>
    <w:p w14:paraId="7EE34CFC" w14:textId="6BB04069" w:rsidR="00492C61" w:rsidRPr="00CA4C14" w:rsidRDefault="00492C61" w:rsidP="003C6DB0">
      <w:pPr>
        <w:pStyle w:val="enumlev1"/>
        <w:rPr>
          <w:lang w:val="ru-RU"/>
        </w:rPr>
      </w:pPr>
      <w:r w:rsidRPr="00CA4C14">
        <w:rPr>
          <w:lang w:val="ru-RU"/>
        </w:rPr>
        <w:t>•</w:t>
      </w:r>
      <w:r w:rsidRPr="00CA4C14">
        <w:rPr>
          <w:lang w:val="ru-RU"/>
        </w:rPr>
        <w:tab/>
        <w:t xml:space="preserve">актуарные прибыли/(потери) АСХИ в рамках чистых активов; </w:t>
      </w:r>
    </w:p>
    <w:p w14:paraId="710D6BCF" w14:textId="19DA80CB" w:rsidR="00492C61" w:rsidRPr="00CA4C14" w:rsidRDefault="00492C61" w:rsidP="003C6DB0">
      <w:pPr>
        <w:pStyle w:val="enumlev1"/>
        <w:rPr>
          <w:lang w:val="ru-RU"/>
        </w:rPr>
      </w:pPr>
      <w:r w:rsidRPr="00CA4C14">
        <w:rPr>
          <w:lang w:val="ru-RU"/>
        </w:rPr>
        <w:t>•</w:t>
      </w:r>
      <w:r w:rsidRPr="00CA4C14">
        <w:rPr>
          <w:lang w:val="ru-RU"/>
        </w:rPr>
        <w:tab/>
        <w:t>накопленное положительное сальдо/(дефицит).</w:t>
      </w:r>
    </w:p>
    <w:p w14:paraId="2AEDE59A" w14:textId="77777777" w:rsidR="00492C61" w:rsidRPr="00CA4C14" w:rsidRDefault="00492C61" w:rsidP="00A7491F">
      <w:pPr>
        <w:pStyle w:val="Headingb"/>
        <w:rPr>
          <w:lang w:val="ru-RU"/>
        </w:rPr>
      </w:pPr>
      <w:bookmarkStart w:id="301" w:name="_Toc387243023"/>
      <w:bookmarkStart w:id="302" w:name="_Toc419404368"/>
      <w:bookmarkStart w:id="303" w:name="_Toc482810316"/>
      <w:bookmarkStart w:id="304" w:name="_Toc511401551"/>
      <w:bookmarkStart w:id="305" w:name="_Toc511401674"/>
      <w:bookmarkStart w:id="306" w:name="_Toc10540787"/>
      <w:bookmarkStart w:id="307" w:name="_Toc41900407"/>
      <w:bookmarkStart w:id="308" w:name="_Toc73437990"/>
      <w:bookmarkStart w:id="309" w:name="_Toc73438619"/>
      <w:bookmarkStart w:id="310" w:name="_Toc73438877"/>
      <w:bookmarkStart w:id="311" w:name="_Toc73439168"/>
      <w:r w:rsidRPr="00CA4C14">
        <w:rPr>
          <w:lang w:val="ru-RU"/>
        </w:rPr>
        <w:t>Резервный счет</w:t>
      </w:r>
      <w:bookmarkEnd w:id="301"/>
      <w:bookmarkEnd w:id="302"/>
      <w:bookmarkEnd w:id="303"/>
      <w:bookmarkEnd w:id="304"/>
      <w:bookmarkEnd w:id="305"/>
      <w:bookmarkEnd w:id="306"/>
      <w:bookmarkEnd w:id="307"/>
      <w:bookmarkEnd w:id="308"/>
      <w:bookmarkEnd w:id="309"/>
      <w:bookmarkEnd w:id="310"/>
      <w:bookmarkEnd w:id="311"/>
      <w:r w:rsidRPr="00CA4C14">
        <w:rPr>
          <w:lang w:val="ru-RU"/>
        </w:rPr>
        <w:t xml:space="preserve"> МСЭ</w:t>
      </w:r>
    </w:p>
    <w:p w14:paraId="038E1319" w14:textId="77777777" w:rsidR="00492C61" w:rsidRPr="00CA4C14" w:rsidRDefault="00492C61" w:rsidP="00DA678F">
      <w:pPr>
        <w:rPr>
          <w:rFonts w:asciiTheme="minorHAnsi" w:hAnsiTheme="minorHAnsi" w:cstheme="minorHAnsi"/>
          <w:b/>
          <w:lang w:val="ru-RU"/>
        </w:rPr>
      </w:pPr>
      <w:r w:rsidRPr="00CA4C14">
        <w:rPr>
          <w:lang w:val="ru-RU"/>
        </w:rPr>
        <w:t xml:space="preserve">В соответствии с п. 485 Конвенции и Статьей 27 Финансового регламента средства на </w:t>
      </w:r>
      <w:r w:rsidRPr="00CA4C14">
        <w:rPr>
          <w:rFonts w:eastAsia="Calibri" w:cs="Calibri"/>
          <w:lang w:val="ru-RU"/>
        </w:rPr>
        <w:t>Резервный</w:t>
      </w:r>
      <w:r w:rsidRPr="00CA4C14">
        <w:rPr>
          <w:lang w:val="ru-RU"/>
        </w:rPr>
        <w:t xml:space="preserve"> счет поступают по линии неизрасходованных ассигнований. </w:t>
      </w:r>
      <w:r w:rsidRPr="00CA4C14">
        <w:rPr>
          <w:rFonts w:asciiTheme="minorHAnsi" w:hAnsiTheme="minorHAnsi" w:cstheme="minorHAnsi"/>
          <w:lang w:val="ru-RU"/>
        </w:rPr>
        <w:t xml:space="preserve">Динамика Резервного счета подробно </w:t>
      </w:r>
      <w:r w:rsidRPr="00CA4C14">
        <w:rPr>
          <w:lang w:val="ru-RU"/>
        </w:rPr>
        <w:t>приводится</w:t>
      </w:r>
      <w:r w:rsidRPr="00CA4C14">
        <w:rPr>
          <w:rFonts w:asciiTheme="minorHAnsi" w:hAnsiTheme="minorHAnsi" w:cstheme="minorHAnsi"/>
          <w:lang w:val="ru-RU"/>
        </w:rPr>
        <w:t xml:space="preserve"> в отчете об изменениях в чистых активах Союза. Он состоит из следующих элементов:</w:t>
      </w:r>
    </w:p>
    <w:p w14:paraId="7C7F6ADD" w14:textId="77777777" w:rsidR="00492C61" w:rsidRPr="00CA4C14" w:rsidRDefault="00492C61" w:rsidP="00DA678F">
      <w:pPr>
        <w:pStyle w:val="enumlev1"/>
        <w:rPr>
          <w:lang w:val="ru-RU"/>
        </w:rPr>
      </w:pPr>
      <w:r w:rsidRPr="00CA4C14">
        <w:rPr>
          <w:lang w:val="ru-RU"/>
        </w:rPr>
        <w:t>a)</w:t>
      </w:r>
      <w:r w:rsidRPr="00CA4C14">
        <w:rPr>
          <w:lang w:val="ru-RU"/>
        </w:rPr>
        <w:tab/>
        <w:t>чистого положительного или отрицательного сальдо по результатам исполнения регулярного бюджета за каждый финансовый период;</w:t>
      </w:r>
    </w:p>
    <w:p w14:paraId="3F3396BF" w14:textId="77777777" w:rsidR="00492C61" w:rsidRPr="00CA4C14" w:rsidRDefault="00492C61" w:rsidP="00DA678F">
      <w:pPr>
        <w:pStyle w:val="enumlev1"/>
        <w:rPr>
          <w:lang w:val="ru-RU"/>
        </w:rPr>
      </w:pPr>
      <w:r w:rsidRPr="00CA4C14">
        <w:rPr>
          <w:lang w:val="ru-RU"/>
        </w:rPr>
        <w:t>b)</w:t>
      </w:r>
      <w:r w:rsidRPr="00CA4C14">
        <w:rPr>
          <w:lang w:val="ru-RU"/>
        </w:rPr>
        <w:tab/>
        <w:t>трансфертов средств из других резервов/фондов по решению Совета;</w:t>
      </w:r>
    </w:p>
    <w:p w14:paraId="392AFDF8" w14:textId="77777777" w:rsidR="00492C61" w:rsidRPr="00CA4C14" w:rsidRDefault="00492C61" w:rsidP="00DA678F">
      <w:pPr>
        <w:pStyle w:val="enumlev1"/>
        <w:rPr>
          <w:lang w:val="ru-RU"/>
        </w:rPr>
      </w:pPr>
      <w:r w:rsidRPr="00CA4C14">
        <w:rPr>
          <w:lang w:val="ru-RU"/>
        </w:rPr>
        <w:t>c)</w:t>
      </w:r>
      <w:r w:rsidRPr="00CA4C14">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14:paraId="415DF21A" w14:textId="77777777" w:rsidR="00492C61" w:rsidRPr="00CA4C14" w:rsidRDefault="00492C61" w:rsidP="00DA678F">
      <w:pPr>
        <w:rPr>
          <w:lang w:val="ru-RU"/>
        </w:rPr>
      </w:pPr>
      <w:r w:rsidRPr="00CA4C14">
        <w:rPr>
          <w:lang w:val="ru-RU"/>
        </w:rPr>
        <w:t xml:space="preserve">Несмотря на пункт 4 b) Статьи 13 Финансового регламента МСЭ, памятуя о необходимости </w:t>
      </w:r>
      <w:r w:rsidRPr="00CA4C14">
        <w:rPr>
          <w:rFonts w:eastAsia="Calibri" w:cs="Calibri"/>
          <w:lang w:val="ru-RU"/>
        </w:rPr>
        <w:t>поддержания</w:t>
      </w:r>
      <w:r w:rsidRPr="00CA4C14">
        <w:rPr>
          <w:lang w:val="ru-RU"/>
        </w:rPr>
        <w:t xml:space="preserve">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w:t>
      </w:r>
    </w:p>
    <w:p w14:paraId="4C1DB592" w14:textId="77777777" w:rsidR="00492C61" w:rsidRPr="00CA4C14" w:rsidRDefault="00492C61" w:rsidP="00DA678F">
      <w:pPr>
        <w:pStyle w:val="enumlev1"/>
        <w:rPr>
          <w:lang w:val="ru-RU"/>
        </w:rPr>
      </w:pPr>
      <w:r w:rsidRPr="00CA4C14">
        <w:rPr>
          <w:lang w:val="ru-RU"/>
        </w:rPr>
        <w:t>a)</w:t>
      </w:r>
      <w:r w:rsidRPr="00CA4C14">
        <w:rPr>
          <w:lang w:val="ru-RU"/>
        </w:rPr>
        <w:tab/>
        <w:t>уменьшения размера единицы взносов;</w:t>
      </w:r>
    </w:p>
    <w:p w14:paraId="2ACB91FC" w14:textId="77777777" w:rsidR="00492C61" w:rsidRPr="00CA4C14" w:rsidRDefault="00492C61" w:rsidP="00DA678F">
      <w:pPr>
        <w:pStyle w:val="enumlev1"/>
        <w:rPr>
          <w:lang w:val="ru-RU"/>
        </w:rPr>
      </w:pPr>
      <w:r w:rsidRPr="00CA4C14">
        <w:rPr>
          <w:lang w:val="ru-RU"/>
        </w:rPr>
        <w:t>b)</w:t>
      </w:r>
      <w:r w:rsidRPr="00CA4C14">
        <w:rPr>
          <w:lang w:val="ru-RU"/>
        </w:rPr>
        <w:tab/>
        <w:t>уравновешивания бюджета Союза;</w:t>
      </w:r>
    </w:p>
    <w:p w14:paraId="5EAC3242" w14:textId="77777777" w:rsidR="00492C61" w:rsidRPr="00CA4C14" w:rsidRDefault="00492C61" w:rsidP="00DA678F">
      <w:pPr>
        <w:pStyle w:val="enumlev1"/>
        <w:rPr>
          <w:lang w:val="ru-RU"/>
        </w:rPr>
      </w:pPr>
      <w:r w:rsidRPr="00CA4C14">
        <w:rPr>
          <w:lang w:val="ru-RU"/>
        </w:rPr>
        <w:t>c)</w:t>
      </w:r>
      <w:r w:rsidRPr="00CA4C14">
        <w:rPr>
          <w:lang w:val="ru-RU"/>
        </w:rPr>
        <w:tab/>
        <w:t>осуществления трансфертов в другие резервы/фонды; или</w:t>
      </w:r>
    </w:p>
    <w:p w14:paraId="0F10F348" w14:textId="77777777" w:rsidR="00492C61" w:rsidRPr="00CA4C14" w:rsidRDefault="00492C61" w:rsidP="00DA678F">
      <w:pPr>
        <w:pStyle w:val="enumlev1"/>
        <w:rPr>
          <w:lang w:val="ru-RU"/>
        </w:rPr>
      </w:pPr>
      <w:r w:rsidRPr="00CA4C14">
        <w:rPr>
          <w:lang w:val="ru-RU"/>
        </w:rPr>
        <w:t>d)</w:t>
      </w:r>
      <w:r w:rsidRPr="00CA4C14">
        <w:rPr>
          <w:lang w:val="ru-RU"/>
        </w:rPr>
        <w:tab/>
        <w:t>внесения любых сумм на дебет Резервного счета, как предписано общими стандартами учета организаций системы Организации Объединенных Наций.</w:t>
      </w:r>
    </w:p>
    <w:p w14:paraId="1851DAD0" w14:textId="221BE6D9" w:rsidR="00492C61" w:rsidRPr="00CA4C14" w:rsidRDefault="00492C61" w:rsidP="00A11FFD">
      <w:pPr>
        <w:spacing w:after="120"/>
        <w:rPr>
          <w:lang w:val="ru-RU"/>
        </w:rPr>
      </w:pPr>
      <w:r w:rsidRPr="00CA4C14">
        <w:rPr>
          <w:lang w:val="ru-RU"/>
        </w:rPr>
        <w:t>Движение средств резервного счета МСЭ представлено в таблице ниже.</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771"/>
        <w:gridCol w:w="1771"/>
      </w:tblGrid>
      <w:tr w:rsidR="00492C61" w:rsidRPr="00CA4C14" w14:paraId="206C0A2E" w14:textId="77777777" w:rsidTr="004A62DA">
        <w:tc>
          <w:tcPr>
            <w:tcW w:w="3048" w:type="pct"/>
            <w:shd w:val="clear" w:color="auto" w:fill="0070C0"/>
            <w:noWrap/>
            <w:vAlign w:val="center"/>
            <w:hideMark/>
          </w:tcPr>
          <w:p w14:paraId="1744263F" w14:textId="77777777" w:rsidR="00492C61" w:rsidRPr="00CA4C14" w:rsidRDefault="00492C61" w:rsidP="00515C3A">
            <w:pPr>
              <w:pStyle w:val="Tablehead"/>
              <w:keepLines/>
              <w:rPr>
                <w:lang w:val="ru-RU"/>
              </w:rPr>
            </w:pPr>
            <w:bookmarkStart w:id="312" w:name="_Int_DhpB2v4J"/>
            <w:r w:rsidRPr="00CA4C14">
              <w:rPr>
                <w:szCs w:val="18"/>
                <w:lang w:val="ru-RU" w:eastAsia="en-GB"/>
              </w:rPr>
              <w:t>Описание (тыс. шв. фр.)</w:t>
            </w:r>
          </w:p>
        </w:tc>
        <w:tc>
          <w:tcPr>
            <w:tcW w:w="976" w:type="pct"/>
            <w:shd w:val="clear" w:color="auto" w:fill="0070C0"/>
            <w:vAlign w:val="center"/>
            <w:hideMark/>
          </w:tcPr>
          <w:p w14:paraId="2C7BF9B5" w14:textId="77777777" w:rsidR="00492C61" w:rsidRPr="00CA4C14" w:rsidRDefault="00492C61" w:rsidP="00515C3A">
            <w:pPr>
              <w:pStyle w:val="Tablehead"/>
              <w:keepLines/>
              <w:rPr>
                <w:lang w:val="ru-RU"/>
              </w:rPr>
            </w:pPr>
            <w:r w:rsidRPr="00CA4C14">
              <w:rPr>
                <w:lang w:val="ru-RU"/>
              </w:rPr>
              <w:t>31 декабря 2023 г.</w:t>
            </w:r>
          </w:p>
        </w:tc>
        <w:tc>
          <w:tcPr>
            <w:tcW w:w="976" w:type="pct"/>
            <w:shd w:val="clear" w:color="auto" w:fill="0070C0"/>
            <w:vAlign w:val="center"/>
            <w:hideMark/>
          </w:tcPr>
          <w:p w14:paraId="2B275EC9" w14:textId="77777777" w:rsidR="00492C61" w:rsidRPr="00CA4C14" w:rsidRDefault="00492C61" w:rsidP="00515C3A">
            <w:pPr>
              <w:pStyle w:val="Tablehead"/>
              <w:keepLines/>
              <w:rPr>
                <w:lang w:val="ru-RU"/>
              </w:rPr>
            </w:pPr>
            <w:r w:rsidRPr="00CA4C14">
              <w:rPr>
                <w:lang w:val="ru-RU"/>
              </w:rPr>
              <w:t>31 декабря 2022 г.</w:t>
            </w:r>
          </w:p>
        </w:tc>
      </w:tr>
      <w:tr w:rsidR="00492C61" w:rsidRPr="00CA4C14" w14:paraId="6ED40F3A" w14:textId="77777777" w:rsidTr="004A62DA">
        <w:tc>
          <w:tcPr>
            <w:tcW w:w="3048" w:type="pct"/>
            <w:noWrap/>
            <w:hideMark/>
          </w:tcPr>
          <w:p w14:paraId="7DAC5E63" w14:textId="77777777" w:rsidR="00492C61" w:rsidRPr="00CA4C14" w:rsidRDefault="00492C61" w:rsidP="00515C3A">
            <w:pPr>
              <w:pStyle w:val="Tabletext"/>
              <w:keepNext/>
              <w:keepLines/>
              <w:rPr>
                <w:lang w:val="ru-RU"/>
              </w:rPr>
            </w:pPr>
            <w:r w:rsidRPr="00CA4C14">
              <w:rPr>
                <w:lang w:val="ru-RU"/>
              </w:rPr>
              <w:t>Начальный остаток − 1 января 2022 г. и 2023 г.</w:t>
            </w:r>
          </w:p>
        </w:tc>
        <w:tc>
          <w:tcPr>
            <w:tcW w:w="976" w:type="pct"/>
            <w:noWrap/>
            <w:vAlign w:val="bottom"/>
            <w:hideMark/>
          </w:tcPr>
          <w:p w14:paraId="58ADF14D" w14:textId="77777777" w:rsidR="00492C61" w:rsidRPr="00CA4C14" w:rsidRDefault="00492C61" w:rsidP="00515C3A">
            <w:pPr>
              <w:pStyle w:val="Tabletext"/>
              <w:keepNext/>
              <w:keepLines/>
              <w:jc w:val="right"/>
              <w:rPr>
                <w:lang w:val="ru-RU"/>
              </w:rPr>
            </w:pPr>
            <w:r w:rsidRPr="00CA4C14">
              <w:rPr>
                <w:lang w:val="ru-RU"/>
              </w:rPr>
              <w:t>28 388</w:t>
            </w:r>
          </w:p>
        </w:tc>
        <w:tc>
          <w:tcPr>
            <w:tcW w:w="976" w:type="pct"/>
            <w:noWrap/>
            <w:vAlign w:val="bottom"/>
            <w:hideMark/>
          </w:tcPr>
          <w:p w14:paraId="240F0232" w14:textId="77777777" w:rsidR="00492C61" w:rsidRPr="00CA4C14" w:rsidRDefault="00492C61" w:rsidP="00515C3A">
            <w:pPr>
              <w:pStyle w:val="Tabletext"/>
              <w:keepNext/>
              <w:keepLines/>
              <w:jc w:val="right"/>
              <w:rPr>
                <w:lang w:val="ru-RU"/>
              </w:rPr>
            </w:pPr>
            <w:r w:rsidRPr="00CA4C14">
              <w:rPr>
                <w:lang w:val="ru-RU"/>
              </w:rPr>
              <w:t>29 388</w:t>
            </w:r>
          </w:p>
        </w:tc>
      </w:tr>
      <w:tr w:rsidR="00492C61" w:rsidRPr="00CA4C14" w14:paraId="405CB1C1" w14:textId="77777777" w:rsidTr="004A62DA">
        <w:tc>
          <w:tcPr>
            <w:tcW w:w="3048" w:type="pct"/>
            <w:noWrap/>
            <w:hideMark/>
          </w:tcPr>
          <w:p w14:paraId="585926D2" w14:textId="77777777" w:rsidR="00492C61" w:rsidRPr="00CA4C14" w:rsidRDefault="00492C61" w:rsidP="00515C3A">
            <w:pPr>
              <w:pStyle w:val="Tabletext"/>
              <w:keepNext/>
              <w:keepLines/>
              <w:rPr>
                <w:lang w:val="ru-RU"/>
              </w:rPr>
            </w:pPr>
            <w:r w:rsidRPr="00CA4C14">
              <w:rPr>
                <w:szCs w:val="18"/>
                <w:lang w:val="ru-RU" w:eastAsia="en-GB"/>
              </w:rPr>
              <w:t xml:space="preserve">Распределение положительного сальдо бюджета </w:t>
            </w:r>
            <w:r w:rsidRPr="00CA4C14">
              <w:rPr>
                <w:lang w:val="ru-RU"/>
              </w:rPr>
              <w:t>2023 г.</w:t>
            </w:r>
          </w:p>
        </w:tc>
        <w:tc>
          <w:tcPr>
            <w:tcW w:w="976" w:type="pct"/>
            <w:noWrap/>
            <w:vAlign w:val="bottom"/>
            <w:hideMark/>
          </w:tcPr>
          <w:p w14:paraId="6F331EC7" w14:textId="77777777" w:rsidR="00492C61" w:rsidRPr="00CA4C14" w:rsidRDefault="00492C61" w:rsidP="00515C3A">
            <w:pPr>
              <w:pStyle w:val="Tabletext"/>
              <w:keepNext/>
              <w:keepLines/>
              <w:jc w:val="right"/>
              <w:rPr>
                <w:lang w:val="ru-RU"/>
              </w:rPr>
            </w:pPr>
            <w:r w:rsidRPr="00CA4C14">
              <w:rPr>
                <w:lang w:val="ru-RU"/>
              </w:rPr>
              <w:t>1 424</w:t>
            </w:r>
          </w:p>
        </w:tc>
        <w:tc>
          <w:tcPr>
            <w:tcW w:w="976" w:type="pct"/>
            <w:noWrap/>
            <w:vAlign w:val="bottom"/>
            <w:hideMark/>
          </w:tcPr>
          <w:p w14:paraId="1730A5FE" w14:textId="77777777" w:rsidR="00492C61" w:rsidRPr="00CA4C14" w:rsidRDefault="00492C61" w:rsidP="00515C3A">
            <w:pPr>
              <w:pStyle w:val="Tabletext"/>
              <w:keepNext/>
              <w:keepLines/>
              <w:jc w:val="right"/>
              <w:rPr>
                <w:lang w:val="ru-RU"/>
              </w:rPr>
            </w:pPr>
          </w:p>
        </w:tc>
      </w:tr>
      <w:tr w:rsidR="00492C61" w:rsidRPr="00CA4C14" w14:paraId="679B78B0" w14:textId="77777777" w:rsidTr="004A62DA">
        <w:tc>
          <w:tcPr>
            <w:tcW w:w="3048" w:type="pct"/>
            <w:hideMark/>
          </w:tcPr>
          <w:p w14:paraId="3F1C0098" w14:textId="77777777" w:rsidR="00492C61" w:rsidRPr="00CA4C14" w:rsidRDefault="00492C61" w:rsidP="00515C3A">
            <w:pPr>
              <w:pStyle w:val="Tabletext"/>
              <w:keepNext/>
              <w:keepLines/>
              <w:rPr>
                <w:lang w:val="ru-RU"/>
              </w:rPr>
            </w:pPr>
            <w:r w:rsidRPr="00CA4C14">
              <w:rPr>
                <w:lang w:val="ru-RU"/>
              </w:rPr>
              <w:t xml:space="preserve">Программа добровольного прекращения службы – п. 6 раздела </w:t>
            </w:r>
            <w:r w:rsidRPr="00CA4C14">
              <w:rPr>
                <w:i/>
                <w:iCs/>
                <w:lang w:val="ru-RU"/>
              </w:rPr>
              <w:t>поручает Совету</w:t>
            </w:r>
            <w:r w:rsidRPr="00CA4C14">
              <w:rPr>
                <w:lang w:val="ru-RU"/>
              </w:rPr>
              <w:t xml:space="preserve"> Решения 5 (Пересм. Бухарест, 2022 г.)</w:t>
            </w:r>
          </w:p>
        </w:tc>
        <w:tc>
          <w:tcPr>
            <w:tcW w:w="976" w:type="pct"/>
            <w:noWrap/>
            <w:vAlign w:val="bottom"/>
            <w:hideMark/>
          </w:tcPr>
          <w:p w14:paraId="304FAC00" w14:textId="77777777" w:rsidR="00492C61" w:rsidRPr="00CA4C14" w:rsidRDefault="00492C61" w:rsidP="00515C3A">
            <w:pPr>
              <w:pStyle w:val="Tabletext"/>
              <w:keepNext/>
              <w:keepLines/>
              <w:jc w:val="right"/>
              <w:rPr>
                <w:lang w:val="ru-RU"/>
              </w:rPr>
            </w:pPr>
            <w:r w:rsidRPr="00CA4C14">
              <w:rPr>
                <w:lang w:val="ru-RU"/>
              </w:rPr>
              <w:t>(3 410)</w:t>
            </w:r>
          </w:p>
        </w:tc>
        <w:tc>
          <w:tcPr>
            <w:tcW w:w="976" w:type="pct"/>
            <w:noWrap/>
            <w:vAlign w:val="bottom"/>
            <w:hideMark/>
          </w:tcPr>
          <w:p w14:paraId="7B863B3C" w14:textId="77777777" w:rsidR="00492C61" w:rsidRPr="00CA4C14" w:rsidRDefault="00492C61" w:rsidP="00515C3A">
            <w:pPr>
              <w:pStyle w:val="Tabletext"/>
              <w:keepNext/>
              <w:keepLines/>
              <w:jc w:val="right"/>
              <w:rPr>
                <w:lang w:val="ru-RU"/>
              </w:rPr>
            </w:pPr>
          </w:p>
        </w:tc>
      </w:tr>
      <w:tr w:rsidR="00492C61" w:rsidRPr="00CA4C14" w14:paraId="6C62D989" w14:textId="77777777" w:rsidTr="004A62DA">
        <w:tc>
          <w:tcPr>
            <w:tcW w:w="3048" w:type="pct"/>
            <w:noWrap/>
            <w:hideMark/>
          </w:tcPr>
          <w:p w14:paraId="5271D692" w14:textId="5F698776" w:rsidR="00492C61" w:rsidRPr="00CA4C14" w:rsidRDefault="00492C61" w:rsidP="00515C3A">
            <w:pPr>
              <w:pStyle w:val="Tabletext"/>
              <w:keepNext/>
              <w:keepLines/>
              <w:rPr>
                <w:lang w:val="ru-RU"/>
              </w:rPr>
            </w:pPr>
            <w:r w:rsidRPr="00CA4C14">
              <w:rPr>
                <w:lang w:val="ru-RU"/>
              </w:rPr>
              <w:t>Затраты на проведение расследований – Решение 613, принятое на</w:t>
            </w:r>
            <w:r w:rsidR="004A62DA" w:rsidRPr="00CA4C14">
              <w:rPr>
                <w:lang w:val="ru-RU"/>
              </w:rPr>
              <w:t> </w:t>
            </w:r>
            <w:r w:rsidRPr="00CA4C14">
              <w:rPr>
                <w:lang w:val="ru-RU"/>
              </w:rPr>
              <w:t xml:space="preserve">девятом пленарном заседании Совета МСЭ </w:t>
            </w:r>
          </w:p>
        </w:tc>
        <w:tc>
          <w:tcPr>
            <w:tcW w:w="976" w:type="pct"/>
            <w:noWrap/>
            <w:vAlign w:val="bottom"/>
            <w:hideMark/>
          </w:tcPr>
          <w:p w14:paraId="744188AF" w14:textId="77777777" w:rsidR="00492C61" w:rsidRPr="00CA4C14" w:rsidRDefault="00492C61" w:rsidP="00515C3A">
            <w:pPr>
              <w:pStyle w:val="Tabletext"/>
              <w:keepNext/>
              <w:keepLines/>
              <w:jc w:val="right"/>
              <w:rPr>
                <w:lang w:val="ru-RU"/>
              </w:rPr>
            </w:pPr>
            <w:r w:rsidRPr="00CA4C14">
              <w:rPr>
                <w:lang w:val="ru-RU"/>
              </w:rPr>
              <w:t>(131)</w:t>
            </w:r>
          </w:p>
        </w:tc>
        <w:tc>
          <w:tcPr>
            <w:tcW w:w="976" w:type="pct"/>
            <w:noWrap/>
            <w:vAlign w:val="bottom"/>
            <w:hideMark/>
          </w:tcPr>
          <w:p w14:paraId="1125A620" w14:textId="77777777" w:rsidR="00492C61" w:rsidRPr="00CA4C14" w:rsidRDefault="00492C61" w:rsidP="00515C3A">
            <w:pPr>
              <w:pStyle w:val="Tabletext"/>
              <w:keepNext/>
              <w:keepLines/>
              <w:jc w:val="right"/>
              <w:rPr>
                <w:lang w:val="ru-RU"/>
              </w:rPr>
            </w:pPr>
          </w:p>
        </w:tc>
      </w:tr>
      <w:tr w:rsidR="00492C61" w:rsidRPr="00CA4C14" w14:paraId="4A0EDE54" w14:textId="77777777" w:rsidTr="004A62DA">
        <w:tc>
          <w:tcPr>
            <w:tcW w:w="3048" w:type="pct"/>
            <w:noWrap/>
            <w:hideMark/>
          </w:tcPr>
          <w:p w14:paraId="27405AA7" w14:textId="77777777" w:rsidR="00492C61" w:rsidRPr="00CA4C14" w:rsidRDefault="00492C61" w:rsidP="00515C3A">
            <w:pPr>
              <w:pStyle w:val="Tabletext"/>
              <w:keepNext/>
              <w:keepLines/>
              <w:rPr>
                <w:lang w:val="ru-RU"/>
              </w:rPr>
            </w:pPr>
            <w:r w:rsidRPr="00CA4C14">
              <w:rPr>
                <w:szCs w:val="18"/>
                <w:lang w:val="ru-RU" w:eastAsia="en-GB"/>
              </w:rPr>
              <w:t>Перевод в фонд АСХИ</w:t>
            </w:r>
          </w:p>
        </w:tc>
        <w:tc>
          <w:tcPr>
            <w:tcW w:w="976" w:type="pct"/>
            <w:noWrap/>
            <w:vAlign w:val="bottom"/>
            <w:hideMark/>
          </w:tcPr>
          <w:p w14:paraId="6AE27223" w14:textId="77777777" w:rsidR="00492C61" w:rsidRPr="00CA4C14" w:rsidRDefault="00492C61" w:rsidP="00515C3A">
            <w:pPr>
              <w:pStyle w:val="Tabletext"/>
              <w:keepNext/>
              <w:keepLines/>
              <w:jc w:val="right"/>
              <w:rPr>
                <w:lang w:val="ru-RU"/>
              </w:rPr>
            </w:pPr>
          </w:p>
        </w:tc>
        <w:tc>
          <w:tcPr>
            <w:tcW w:w="976" w:type="pct"/>
            <w:noWrap/>
            <w:vAlign w:val="bottom"/>
            <w:hideMark/>
          </w:tcPr>
          <w:p w14:paraId="0C418EC5" w14:textId="77777777" w:rsidR="00492C61" w:rsidRPr="00CA4C14" w:rsidRDefault="00492C61" w:rsidP="00515C3A">
            <w:pPr>
              <w:pStyle w:val="Tabletext"/>
              <w:keepNext/>
              <w:keepLines/>
              <w:jc w:val="right"/>
              <w:rPr>
                <w:lang w:val="ru-RU"/>
              </w:rPr>
            </w:pPr>
            <w:r w:rsidRPr="00CA4C14">
              <w:rPr>
                <w:lang w:val="ru-RU"/>
              </w:rPr>
              <w:t>(1 000)</w:t>
            </w:r>
          </w:p>
        </w:tc>
      </w:tr>
      <w:tr w:rsidR="00492C61" w:rsidRPr="00CA4C14" w14:paraId="39E6781A" w14:textId="77777777" w:rsidTr="004A62DA">
        <w:tc>
          <w:tcPr>
            <w:tcW w:w="3048" w:type="pct"/>
            <w:shd w:val="clear" w:color="auto" w:fill="0070C0"/>
            <w:noWrap/>
            <w:vAlign w:val="center"/>
            <w:hideMark/>
          </w:tcPr>
          <w:p w14:paraId="0315071B" w14:textId="77777777" w:rsidR="00492C61" w:rsidRPr="00CA4C14" w:rsidRDefault="00492C61" w:rsidP="00AB3674">
            <w:pPr>
              <w:pStyle w:val="Tabletext"/>
              <w:rPr>
                <w:b/>
                <w:bCs/>
                <w:lang w:val="ru-RU"/>
              </w:rPr>
            </w:pPr>
            <w:r w:rsidRPr="00CA4C14">
              <w:rPr>
                <w:b/>
                <w:bCs/>
                <w:lang w:val="ru-RU"/>
              </w:rPr>
              <w:t>Всего</w:t>
            </w:r>
          </w:p>
        </w:tc>
        <w:tc>
          <w:tcPr>
            <w:tcW w:w="976" w:type="pct"/>
            <w:shd w:val="clear" w:color="auto" w:fill="0070C0"/>
            <w:noWrap/>
            <w:vAlign w:val="center"/>
            <w:hideMark/>
          </w:tcPr>
          <w:p w14:paraId="58BE4FD4" w14:textId="77777777" w:rsidR="00492C61" w:rsidRPr="00CA4C14" w:rsidRDefault="00492C61" w:rsidP="00455CCB">
            <w:pPr>
              <w:pStyle w:val="Tabletext"/>
              <w:jc w:val="right"/>
              <w:rPr>
                <w:b/>
                <w:bCs/>
                <w:lang w:val="ru-RU"/>
              </w:rPr>
            </w:pPr>
            <w:r w:rsidRPr="00CA4C14">
              <w:rPr>
                <w:b/>
                <w:bCs/>
                <w:lang w:val="ru-RU"/>
              </w:rPr>
              <w:t>26 271</w:t>
            </w:r>
          </w:p>
        </w:tc>
        <w:tc>
          <w:tcPr>
            <w:tcW w:w="976" w:type="pct"/>
            <w:shd w:val="clear" w:color="auto" w:fill="0070C0"/>
            <w:noWrap/>
            <w:vAlign w:val="center"/>
            <w:hideMark/>
          </w:tcPr>
          <w:p w14:paraId="18095AA0" w14:textId="77777777" w:rsidR="00492C61" w:rsidRPr="00CA4C14" w:rsidRDefault="00492C61" w:rsidP="00AB3674">
            <w:pPr>
              <w:pStyle w:val="Tabletext"/>
              <w:jc w:val="right"/>
              <w:rPr>
                <w:b/>
                <w:bCs/>
                <w:lang w:val="ru-RU"/>
              </w:rPr>
            </w:pPr>
            <w:r w:rsidRPr="00CA4C14">
              <w:rPr>
                <w:b/>
                <w:bCs/>
                <w:lang w:val="ru-RU"/>
              </w:rPr>
              <w:t>28 388</w:t>
            </w:r>
          </w:p>
        </w:tc>
      </w:tr>
      <w:bookmarkEnd w:id="312"/>
    </w:tbl>
    <w:p w14:paraId="7C2F2256" w14:textId="77777777" w:rsidR="004A62DA" w:rsidRPr="00CA4C14" w:rsidRDefault="004A62D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Bidi"/>
          <w:lang w:val="ru-RU"/>
        </w:rPr>
      </w:pPr>
      <w:r w:rsidRPr="00CA4C14">
        <w:rPr>
          <w:rFonts w:asciiTheme="minorHAnsi" w:hAnsiTheme="minorHAnsi" w:cstheme="minorBidi"/>
          <w:lang w:val="ru-RU"/>
        </w:rPr>
        <w:br w:type="page"/>
      </w:r>
    </w:p>
    <w:p w14:paraId="599A5E54" w14:textId="033780C3" w:rsidR="00492C61" w:rsidRPr="00CA4C14" w:rsidRDefault="00492C61" w:rsidP="003C6DB0">
      <w:pPr>
        <w:rPr>
          <w:rFonts w:asciiTheme="minorHAnsi" w:hAnsiTheme="minorHAnsi" w:cstheme="minorBidi"/>
          <w:lang w:val="ru-RU"/>
        </w:rPr>
      </w:pPr>
      <w:r w:rsidRPr="00CA4C14">
        <w:rPr>
          <w:rFonts w:asciiTheme="minorHAnsi" w:hAnsiTheme="minorHAnsi" w:cstheme="minorBidi"/>
          <w:lang w:val="ru-RU"/>
        </w:rPr>
        <w:lastRenderedPageBreak/>
        <w:t>По состоянию на 31 декабря 2023 года активы Резервного счета составляли 26,3</w:t>
      </w:r>
      <w:r w:rsidR="004A62DA" w:rsidRPr="00CA4C14">
        <w:rPr>
          <w:rFonts w:asciiTheme="minorHAnsi" w:hAnsiTheme="minorHAnsi" w:cstheme="minorBidi"/>
          <w:lang w:val="ru-RU"/>
        </w:rPr>
        <w:t> </w:t>
      </w:r>
      <w:proofErr w:type="gramStart"/>
      <w:r w:rsidRPr="00CA4C14">
        <w:rPr>
          <w:rFonts w:asciiTheme="minorHAnsi" w:hAnsiTheme="minorHAnsi" w:cstheme="minorBidi"/>
          <w:lang w:val="ru-RU"/>
        </w:rPr>
        <w:t>млн.</w:t>
      </w:r>
      <w:proofErr w:type="gramEnd"/>
      <w:r w:rsidR="004A62DA" w:rsidRPr="00CA4C14">
        <w:rPr>
          <w:rFonts w:asciiTheme="minorHAnsi" w:hAnsiTheme="minorHAnsi" w:cstheme="minorBidi"/>
          <w:lang w:val="ru-RU"/>
        </w:rPr>
        <w:t> </w:t>
      </w:r>
      <w:r w:rsidRPr="00CA4C14">
        <w:rPr>
          <w:rFonts w:asciiTheme="minorHAnsi" w:hAnsiTheme="minorHAnsi" w:cstheme="minorBidi"/>
          <w:lang w:val="ru-RU"/>
        </w:rPr>
        <w:t>швейцарских франков (28,4 млн. шв</w:t>
      </w:r>
      <w:r w:rsidR="001E23F3" w:rsidRPr="00CA4C14">
        <w:rPr>
          <w:rFonts w:asciiTheme="minorHAnsi" w:hAnsiTheme="minorHAnsi" w:cstheme="minorBidi"/>
          <w:lang w:val="ru-RU"/>
        </w:rPr>
        <w:t>. фр.</w:t>
      </w:r>
      <w:r w:rsidRPr="00CA4C14">
        <w:rPr>
          <w:rFonts w:asciiTheme="minorHAnsi" w:hAnsiTheme="minorHAnsi" w:cstheme="minorBidi"/>
          <w:lang w:val="ru-RU"/>
        </w:rPr>
        <w:t xml:space="preserve"> в 2022 г.). Активы Резервного счета составляют 16,3% бюджета на 2023 год, что значительно превышает пороговое значение в 6%, предусмотренное Решением 5 (Пересм. Дубай, 2022 г.). Для совершенствования управления резервным счетом МСЭ и обеспечения его достаточности для удовлетворения ликвидности и оперативных потребностей будет проведен более подробный и всесторонний анализ. Этот анализ позволит защитить Организацию от любых потенциальных финансовых непредвиденных ситуаций, которые могут возникнуть в будущем.</w:t>
      </w:r>
    </w:p>
    <w:p w14:paraId="1221910A" w14:textId="77777777" w:rsidR="00492C61" w:rsidRPr="00CA4C14" w:rsidRDefault="00492C61" w:rsidP="00A7491F">
      <w:pPr>
        <w:pStyle w:val="Headingb"/>
        <w:rPr>
          <w:lang w:val="ru-RU"/>
        </w:rPr>
      </w:pPr>
      <w:r w:rsidRPr="00CA4C14">
        <w:rPr>
          <w:lang w:val="ru-RU"/>
        </w:rPr>
        <w:t>Прочие резервы и фонды</w:t>
      </w:r>
    </w:p>
    <w:p w14:paraId="2CC5DBEA" w14:textId="77777777" w:rsidR="00492C61" w:rsidRPr="00CA4C14" w:rsidRDefault="00492C61" w:rsidP="00DA678F">
      <w:pPr>
        <w:rPr>
          <w:lang w:val="ru-RU"/>
        </w:rPr>
      </w:pPr>
      <w:r w:rsidRPr="00CA4C14">
        <w:rPr>
          <w:lang w:val="ru-RU"/>
        </w:rPr>
        <w:t>К прочим резервам относятся:</w:t>
      </w:r>
    </w:p>
    <w:p w14:paraId="3D926B16" w14:textId="03257184" w:rsidR="00492C61" w:rsidRPr="00CA4C14" w:rsidRDefault="00492C61" w:rsidP="00DA678F">
      <w:pPr>
        <w:pStyle w:val="enumlev1"/>
        <w:rPr>
          <w:lang w:val="ru-RU"/>
        </w:rPr>
      </w:pPr>
      <w:bookmarkStart w:id="313" w:name="lt_pId670"/>
      <w:r w:rsidRPr="00CA4C14">
        <w:rPr>
          <w:lang w:val="ru-RU"/>
        </w:rPr>
        <w:sym w:font="Symbol" w:char="F02D"/>
      </w:r>
      <w:r w:rsidRPr="00CA4C14">
        <w:rPr>
          <w:lang w:val="ru-RU"/>
        </w:rPr>
        <w:tab/>
        <w:t>экономия за предыдущий год</w:t>
      </w:r>
      <w:bookmarkEnd w:id="313"/>
      <w:r w:rsidR="004A62DA" w:rsidRPr="00CA4C14">
        <w:rPr>
          <w:lang w:val="ru-RU"/>
        </w:rPr>
        <w:t>;</w:t>
      </w:r>
    </w:p>
    <w:p w14:paraId="352304FB" w14:textId="6C1A46BA" w:rsidR="00492C61" w:rsidRPr="00CA4C14" w:rsidRDefault="00492C61" w:rsidP="00DA678F">
      <w:pPr>
        <w:pStyle w:val="enumlev1"/>
        <w:rPr>
          <w:lang w:val="ru-RU"/>
        </w:rPr>
      </w:pPr>
      <w:bookmarkStart w:id="314" w:name="lt_pId671"/>
      <w:r w:rsidRPr="00CA4C14">
        <w:rPr>
          <w:lang w:val="ru-RU"/>
        </w:rPr>
        <w:sym w:font="Symbol" w:char="F02D"/>
      </w:r>
      <w:r w:rsidRPr="00CA4C14">
        <w:rPr>
          <w:lang w:val="ru-RU"/>
        </w:rPr>
        <w:tab/>
      </w:r>
      <w:r w:rsidR="004A62DA" w:rsidRPr="00CA4C14">
        <w:rPr>
          <w:lang w:val="ru-RU"/>
        </w:rPr>
        <w:t xml:space="preserve">инвестиционный </w:t>
      </w:r>
      <w:r w:rsidRPr="00CA4C14">
        <w:rPr>
          <w:lang w:val="ru-RU"/>
        </w:rPr>
        <w:t>фонд, включающий Фонд эксплуатации зданий и Фонд ИКТ</w:t>
      </w:r>
      <w:bookmarkEnd w:id="314"/>
      <w:r w:rsidRPr="00CA4C14">
        <w:rPr>
          <w:lang w:val="ru-RU"/>
        </w:rPr>
        <w:t>.</w:t>
      </w:r>
    </w:p>
    <w:p w14:paraId="1B82F0CB" w14:textId="77777777" w:rsidR="00492C61" w:rsidRPr="00CA4C14" w:rsidRDefault="00492C61" w:rsidP="00DA678F">
      <w:pPr>
        <w:rPr>
          <w:rFonts w:asciiTheme="minorHAnsi" w:hAnsiTheme="minorHAnsi"/>
          <w:lang w:val="ru-RU"/>
        </w:rPr>
      </w:pPr>
      <w:bookmarkStart w:id="315" w:name="lt_pId674"/>
      <w:r w:rsidRPr="00CA4C14">
        <w:rPr>
          <w:lang w:val="ru-RU"/>
        </w:rPr>
        <w:t xml:space="preserve">В своем </w:t>
      </w:r>
      <w:hyperlink r:id="rId23" w:history="1">
        <w:r w:rsidRPr="00CA4C14">
          <w:rPr>
            <w:rStyle w:val="Hyperlink"/>
            <w:rFonts w:asciiTheme="minorHAnsi" w:hAnsiTheme="minorHAnsi"/>
            <w:szCs w:val="22"/>
            <w:lang w:val="ru-RU"/>
          </w:rPr>
          <w:t>Решении 588</w:t>
        </w:r>
      </w:hyperlink>
      <w:r w:rsidRPr="00CA4C14">
        <w:rPr>
          <w:lang w:val="ru-RU"/>
        </w:rPr>
        <w:t xml:space="preserve"> Совет 2016 года решил заменить здание "Варембе" новым строением (далее именуемым "новое здание"), которое также будет включать служебные и </w:t>
      </w:r>
      <w:r w:rsidRPr="00CA4C14">
        <w:rPr>
          <w:rFonts w:eastAsia="Calibri" w:cs="Calibri"/>
          <w:lang w:val="ru-RU"/>
        </w:rPr>
        <w:t>функциональные</w:t>
      </w:r>
      <w:r w:rsidRPr="00CA4C14">
        <w:rPr>
          <w:lang w:val="ru-RU"/>
        </w:rPr>
        <w:t xml:space="preserve"> помещения здания "Башня" и дополнит здание "Монбрийан", которое будет сохранено и переоборудовано.</w:t>
      </w:r>
      <w:r w:rsidRPr="00CA4C14">
        <w:rPr>
          <w:rFonts w:asciiTheme="minorHAnsi" w:hAnsiTheme="minorHAnsi"/>
          <w:lang w:val="ru-RU"/>
        </w:rPr>
        <w:t xml:space="preserve"> Беспроцентная ссуда в размере до 150 </w:t>
      </w:r>
      <w:proofErr w:type="gramStart"/>
      <w:r w:rsidRPr="00CA4C14">
        <w:rPr>
          <w:rFonts w:asciiTheme="minorHAnsi" w:hAnsiTheme="minorHAnsi"/>
          <w:lang w:val="ru-RU"/>
        </w:rPr>
        <w:t>млн.</w:t>
      </w:r>
      <w:proofErr w:type="gramEnd"/>
      <w:r w:rsidRPr="00CA4C14">
        <w:rPr>
          <w:rFonts w:asciiTheme="minorHAnsi" w:hAnsiTheme="minorHAnsi"/>
          <w:lang w:val="ru-RU"/>
        </w:rPr>
        <w:t xml:space="preserve"> швейцарских франков для финансирования этого проекта была предоставлена Швейцарской Конфедерацией.</w:t>
      </w:r>
      <w:bookmarkEnd w:id="315"/>
    </w:p>
    <w:p w14:paraId="095C6CE6" w14:textId="77777777" w:rsidR="00492C61" w:rsidRPr="00CA4C14" w:rsidRDefault="00492C61" w:rsidP="00B91496">
      <w:pPr>
        <w:pStyle w:val="enumlev1"/>
        <w:rPr>
          <w:lang w:val="ru-RU"/>
        </w:rPr>
      </w:pPr>
      <w:bookmarkStart w:id="316" w:name="lt_pId675"/>
      <w:r w:rsidRPr="00CA4C14">
        <w:rPr>
          <w:lang w:val="ru-RU"/>
        </w:rPr>
        <w:sym w:font="Symbol" w:char="F02D"/>
      </w:r>
      <w:r w:rsidRPr="00CA4C14">
        <w:rPr>
          <w:lang w:val="ru-RU"/>
        </w:rPr>
        <w:tab/>
        <w:t>Резервный фонд для нового здания</w:t>
      </w:r>
      <w:bookmarkEnd w:id="316"/>
      <w:r w:rsidRPr="00CA4C14">
        <w:rPr>
          <w:lang w:val="ru-RU"/>
        </w:rPr>
        <w:t>:</w:t>
      </w:r>
    </w:p>
    <w:p w14:paraId="39CA5C2B" w14:textId="05E32AEE" w:rsidR="00492C61" w:rsidRPr="00CA4C14" w:rsidRDefault="00492C61" w:rsidP="00DA678F">
      <w:pPr>
        <w:rPr>
          <w:lang w:val="ru-RU"/>
        </w:rPr>
      </w:pPr>
      <w:bookmarkStart w:id="317" w:name="lt_pId676"/>
      <w:r w:rsidRPr="00CA4C14">
        <w:rPr>
          <w:rFonts w:asciiTheme="minorHAnsi" w:hAnsiTheme="minorHAnsi" w:cstheme="minorBidi"/>
          <w:lang w:val="ru-RU"/>
        </w:rPr>
        <w:t xml:space="preserve">Этот резервный фонд был создан для дополнения бюджета, финансируемого за счет ссуды, </w:t>
      </w:r>
      <w:r w:rsidRPr="00CA4C14">
        <w:rPr>
          <w:rFonts w:eastAsia="Calibri" w:cs="Calibri"/>
          <w:lang w:val="ru-RU"/>
        </w:rPr>
        <w:t>предоставленной</w:t>
      </w:r>
      <w:r w:rsidRPr="00CA4C14">
        <w:rPr>
          <w:rFonts w:asciiTheme="minorHAnsi" w:hAnsiTheme="minorHAnsi" w:cstheme="minorBidi"/>
          <w:lang w:val="ru-RU"/>
        </w:rPr>
        <w:t xml:space="preserve"> страной пребывания. Этот дополнительный бюджет составляет 20,14 </w:t>
      </w:r>
      <w:proofErr w:type="gramStart"/>
      <w:r w:rsidRPr="00CA4C14">
        <w:rPr>
          <w:rFonts w:asciiTheme="minorHAnsi" w:hAnsiTheme="minorHAnsi" w:cstheme="minorBidi"/>
          <w:lang w:val="ru-RU"/>
        </w:rPr>
        <w:t>млн.</w:t>
      </w:r>
      <w:proofErr w:type="gramEnd"/>
      <w:r w:rsidR="004A62DA" w:rsidRPr="00CA4C14">
        <w:rPr>
          <w:rFonts w:asciiTheme="minorHAnsi" w:hAnsiTheme="minorHAnsi" w:cstheme="minorBidi"/>
          <w:lang w:val="ru-RU"/>
        </w:rPr>
        <w:t> </w:t>
      </w:r>
      <w:r w:rsidRPr="00CA4C14">
        <w:rPr>
          <w:rFonts w:asciiTheme="minorHAnsi" w:hAnsiTheme="minorHAnsi" w:cstheme="minorBidi"/>
          <w:lang w:val="ru-RU"/>
        </w:rPr>
        <w:t>швейцарских франков, поступивших от спонсоров в виде добровольных пожертвований, а также в результате экономии, отнесенной к активному сальдо 2018 года</w:t>
      </w:r>
      <w:bookmarkStart w:id="318" w:name="lt_pId677"/>
      <w:bookmarkEnd w:id="317"/>
      <w:r w:rsidRPr="00CA4C14">
        <w:rPr>
          <w:rFonts w:asciiTheme="minorHAnsi" w:hAnsiTheme="minorHAnsi" w:cstheme="minorBidi"/>
          <w:lang w:val="ru-RU"/>
        </w:rPr>
        <w:t>.</w:t>
      </w:r>
      <w:bookmarkEnd w:id="318"/>
      <w:r w:rsidRPr="00CA4C14">
        <w:rPr>
          <w:rFonts w:asciiTheme="minorHAnsi" w:hAnsiTheme="minorHAnsi" w:cstheme="minorBidi"/>
          <w:lang w:val="ru-RU"/>
        </w:rPr>
        <w:t xml:space="preserve"> </w:t>
      </w:r>
      <w:bookmarkStart w:id="319" w:name="lt_pId679"/>
      <w:r w:rsidRPr="00CA4C14">
        <w:rPr>
          <w:lang w:val="ru-RU"/>
        </w:rPr>
        <w:t xml:space="preserve">В ходе виртуальных консультаций Советников (VCC) 2021 года был пересмотрен пункт 4 раздела </w:t>
      </w:r>
      <w:r w:rsidRPr="00CA4C14">
        <w:rPr>
          <w:i/>
          <w:iCs/>
          <w:lang w:val="ru-RU"/>
        </w:rPr>
        <w:t>решает</w:t>
      </w:r>
      <w:r w:rsidRPr="00CA4C14">
        <w:rPr>
          <w:lang w:val="ru-RU"/>
        </w:rPr>
        <w:t xml:space="preserve"> Решения 619, с тем чтобы обеспечить в будущем возможность спонсорской поддержки или пожертвований при заранее определенных условиях.</w:t>
      </w:r>
    </w:p>
    <w:p w14:paraId="233EA255" w14:textId="77777777" w:rsidR="00492C61" w:rsidRPr="00CA4C14" w:rsidRDefault="00492C61" w:rsidP="00B91496">
      <w:pPr>
        <w:pStyle w:val="enumlev1"/>
        <w:rPr>
          <w:rFonts w:cstheme="minorBidi"/>
          <w:lang w:val="ru-RU"/>
        </w:rPr>
      </w:pPr>
      <w:r w:rsidRPr="00CA4C14">
        <w:rPr>
          <w:lang w:val="ru-RU"/>
        </w:rPr>
        <w:sym w:font="Symbol" w:char="F02D"/>
      </w:r>
      <w:r w:rsidRPr="00CA4C14">
        <w:rPr>
          <w:lang w:val="ru-RU"/>
        </w:rPr>
        <w:tab/>
        <w:t>Фонд реестра рисков:</w:t>
      </w:r>
      <w:bookmarkEnd w:id="319"/>
    </w:p>
    <w:p w14:paraId="34E66003" w14:textId="77777777" w:rsidR="00492C61" w:rsidRPr="00CA4C14" w:rsidRDefault="00492C61" w:rsidP="00DA678F">
      <w:pPr>
        <w:rPr>
          <w:rFonts w:asciiTheme="minorHAnsi" w:hAnsiTheme="minorHAnsi" w:cstheme="minorBidi"/>
          <w:lang w:val="ru-RU"/>
        </w:rPr>
      </w:pPr>
      <w:r w:rsidRPr="00CA4C14">
        <w:rPr>
          <w:rFonts w:asciiTheme="minorHAnsi" w:hAnsiTheme="minorHAnsi"/>
          <w:lang w:val="ru-RU"/>
        </w:rPr>
        <w:t xml:space="preserve">Фонд </w:t>
      </w:r>
      <w:r w:rsidRPr="00CA4C14">
        <w:rPr>
          <w:rFonts w:eastAsia="Calibri" w:cs="Calibri"/>
          <w:lang w:val="ru-RU"/>
        </w:rPr>
        <w:t>реестра</w:t>
      </w:r>
      <w:r w:rsidRPr="00CA4C14">
        <w:rPr>
          <w:rFonts w:asciiTheme="minorHAnsi" w:hAnsiTheme="minorHAnsi"/>
          <w:lang w:val="ru-RU"/>
        </w:rPr>
        <w:t xml:space="preserve"> рисков был создан для случаев непредвиденного перерасхода средств на проект нового здания. </w:t>
      </w:r>
      <w:r w:rsidRPr="00CA4C14">
        <w:rPr>
          <w:lang w:val="ru-RU"/>
        </w:rPr>
        <w:t>На 31 декабря 2023 года Фонд реестра рисков составлял 3,43 </w:t>
      </w:r>
      <w:proofErr w:type="gramStart"/>
      <w:r w:rsidRPr="00CA4C14">
        <w:rPr>
          <w:lang w:val="ru-RU"/>
        </w:rPr>
        <w:t>млн.</w:t>
      </w:r>
      <w:proofErr w:type="gramEnd"/>
      <w:r w:rsidRPr="00CA4C14">
        <w:rPr>
          <w:lang w:val="ru-RU"/>
        </w:rPr>
        <w:t xml:space="preserve"> швейцарских франков.</w:t>
      </w:r>
    </w:p>
    <w:p w14:paraId="04FE115C" w14:textId="77777777" w:rsidR="00492C61" w:rsidRPr="00CA4C14" w:rsidRDefault="00492C61" w:rsidP="00DA678F">
      <w:pPr>
        <w:pStyle w:val="enumlev1"/>
        <w:rPr>
          <w:lang w:val="ru-RU"/>
        </w:rPr>
      </w:pPr>
      <w:bookmarkStart w:id="320" w:name="lt_pId682"/>
      <w:r w:rsidRPr="00CA4C14">
        <w:rPr>
          <w:rFonts w:asciiTheme="minorHAnsi" w:hAnsiTheme="minorHAnsi"/>
          <w:lang w:val="ru-RU"/>
        </w:rPr>
        <w:sym w:font="Symbol" w:char="F02D"/>
      </w:r>
      <w:r w:rsidRPr="00CA4C14">
        <w:rPr>
          <w:rFonts w:asciiTheme="minorHAnsi" w:hAnsiTheme="minorHAnsi"/>
          <w:lang w:val="ru-RU"/>
        </w:rPr>
        <w:tab/>
        <w:t xml:space="preserve">Фонд </w:t>
      </w:r>
      <w:r w:rsidRPr="00CA4C14">
        <w:rPr>
          <w:lang w:val="ru-RU"/>
        </w:rPr>
        <w:t>социального обеспечения сотрудников.</w:t>
      </w:r>
      <w:bookmarkEnd w:id="320"/>
    </w:p>
    <w:p w14:paraId="21ECA7BA" w14:textId="77777777" w:rsidR="00492C61" w:rsidRPr="00CA4C14" w:rsidRDefault="00492C61" w:rsidP="00DA678F">
      <w:pPr>
        <w:pStyle w:val="enumlev1"/>
        <w:rPr>
          <w:rFonts w:asciiTheme="minorHAnsi" w:hAnsiTheme="minorHAnsi" w:cstheme="minorBidi"/>
          <w:lang w:val="ru-RU"/>
        </w:rPr>
      </w:pPr>
      <w:bookmarkStart w:id="321" w:name="lt_pId683"/>
      <w:r w:rsidRPr="00CA4C14">
        <w:rPr>
          <w:lang w:val="ru-RU"/>
        </w:rPr>
        <w:sym w:font="Symbol" w:char="F02D"/>
      </w:r>
      <w:r w:rsidRPr="00CA4C14">
        <w:rPr>
          <w:lang w:val="ru-RU"/>
        </w:rPr>
        <w:tab/>
        <w:t>Фонд наград</w:t>
      </w:r>
      <w:r w:rsidRPr="00CA4C14">
        <w:rPr>
          <w:rFonts w:asciiTheme="minorHAnsi" w:hAnsiTheme="minorHAnsi"/>
          <w:lang w:val="ru-RU"/>
        </w:rPr>
        <w:t xml:space="preserve"> в связи со столетием МСЭ.</w:t>
      </w:r>
      <w:bookmarkEnd w:id="321"/>
    </w:p>
    <w:p w14:paraId="0EEB51FB" w14:textId="77777777" w:rsidR="00492C61" w:rsidRPr="00CA4C14" w:rsidRDefault="00492C61" w:rsidP="00DA678F">
      <w:pPr>
        <w:pStyle w:val="enumlev1"/>
        <w:rPr>
          <w:lang w:val="ru-RU"/>
        </w:rPr>
      </w:pPr>
      <w:bookmarkStart w:id="322" w:name="lt_pId684"/>
      <w:r w:rsidRPr="00CA4C14">
        <w:rPr>
          <w:rFonts w:asciiTheme="minorHAnsi" w:eastAsia="SimSun" w:hAnsiTheme="minorHAnsi"/>
          <w:szCs w:val="24"/>
          <w:lang w:val="ru-RU" w:eastAsia="zh-CN"/>
        </w:rPr>
        <w:sym w:font="Symbol" w:char="F02D"/>
      </w:r>
      <w:r w:rsidRPr="00CA4C14">
        <w:rPr>
          <w:rFonts w:asciiTheme="minorHAnsi" w:eastAsia="SimSun" w:hAnsiTheme="minorHAnsi"/>
          <w:szCs w:val="24"/>
          <w:lang w:val="ru-RU" w:eastAsia="zh-CN"/>
        </w:rPr>
        <w:tab/>
      </w:r>
      <w:r w:rsidRPr="00CA4C14">
        <w:rPr>
          <w:lang w:val="ru-RU"/>
        </w:rPr>
        <w:t>Страховая касса персонала МСЭ (SS&amp;BF), состоящая из Фонда резервных и дополнительных средств и Фонда помощи</w:t>
      </w:r>
      <w:bookmarkEnd w:id="322"/>
      <w:r w:rsidRPr="00CA4C14">
        <w:rPr>
          <w:lang w:val="ru-RU"/>
        </w:rPr>
        <w:t>:</w:t>
      </w:r>
    </w:p>
    <w:p w14:paraId="74B4C1A1" w14:textId="52734871" w:rsidR="00492C61" w:rsidRPr="00CA4C14" w:rsidRDefault="00492C61" w:rsidP="00DA678F">
      <w:pPr>
        <w:rPr>
          <w:lang w:val="ru-RU"/>
        </w:rPr>
      </w:pPr>
      <w:r w:rsidRPr="00CA4C14">
        <w:rPr>
          <w:lang w:val="ru-RU"/>
        </w:rPr>
        <w:t>Эти фонды гарантируют выплату пенсий сотрудникам, работавшим до 1 января 1960 года, т. е.</w:t>
      </w:r>
      <w:r w:rsidR="004A62DA" w:rsidRPr="00CA4C14">
        <w:rPr>
          <w:lang w:val="ru-RU"/>
        </w:rPr>
        <w:t> </w:t>
      </w:r>
      <w:r w:rsidRPr="00CA4C14">
        <w:rPr>
          <w:lang w:val="ru-RU"/>
        </w:rPr>
        <w:t>до даты присоединения МСЭ к ОПФП ООН</w:t>
      </w:r>
      <w:r w:rsidRPr="00CA4C14">
        <w:rPr>
          <w:color w:val="000000"/>
          <w:lang w:val="ru-RU"/>
        </w:rPr>
        <w:t xml:space="preserve">. </w:t>
      </w:r>
      <w:r w:rsidRPr="00CA4C14">
        <w:rPr>
          <w:lang w:val="ru-RU"/>
        </w:rPr>
        <w:t>В последний раз расчет обязательств по обеспечению страхователей Страховой кассы персонала МСЭ производился по состоянию на 31 декабря 2011 года (54 тыс. швейцарских франков). Поскольку сумма не была существенной, дальнейшая оценка не проводилась.</w:t>
      </w:r>
    </w:p>
    <w:p w14:paraId="55752736" w14:textId="77777777" w:rsidR="00492C61" w:rsidRPr="00CA4C14" w:rsidRDefault="00492C61" w:rsidP="00DA678F">
      <w:pPr>
        <w:rPr>
          <w:lang w:val="ru-RU"/>
        </w:rPr>
      </w:pPr>
      <w:r w:rsidRPr="00CA4C14">
        <w:rPr>
          <w:lang w:val="ru-RU"/>
        </w:rPr>
        <w:t xml:space="preserve">В </w:t>
      </w:r>
      <w:r w:rsidRPr="00CA4C14">
        <w:rPr>
          <w:rFonts w:eastAsia="Calibri" w:cs="Calibri"/>
          <w:lang w:val="ru-RU"/>
        </w:rPr>
        <w:t>соответствии</w:t>
      </w:r>
      <w:r w:rsidRPr="00CA4C14">
        <w:rPr>
          <w:lang w:val="ru-RU"/>
        </w:rPr>
        <w:t xml:space="preserve"> с Резолюцией 7 (Женева, 1959 г.) с 1 января 1960 года персонал МСЭ участвует в ОПФП ООН. Согласно Статье 86 Устава Страховой кассы персонала МСЭ она находится в ведении Союза. Активы Страховой кассы вкладываются в трастовые ценные бумаги.</w:t>
      </w:r>
    </w:p>
    <w:p w14:paraId="0A6E27D9" w14:textId="77777777" w:rsidR="00492C61" w:rsidRPr="00CA4C14" w:rsidRDefault="00492C61" w:rsidP="00DA678F">
      <w:pPr>
        <w:rPr>
          <w:lang w:val="ru-RU"/>
        </w:rPr>
      </w:pPr>
      <w:r w:rsidRPr="00CA4C14">
        <w:rPr>
          <w:lang w:val="ru-RU"/>
        </w:rPr>
        <w:t xml:space="preserve">Начиная с 2013 года к прочим средствам относятся также средства, предназначенные для </w:t>
      </w:r>
      <w:r w:rsidRPr="00CA4C14">
        <w:rPr>
          <w:rFonts w:eastAsia="Calibri" w:cs="Calibri"/>
          <w:lang w:val="ru-RU"/>
        </w:rPr>
        <w:t>долгосрочного</w:t>
      </w:r>
      <w:r w:rsidRPr="00CA4C14">
        <w:rPr>
          <w:lang w:val="ru-RU"/>
        </w:rPr>
        <w:t xml:space="preserve"> финансирования нефинансируемых обязательств АСХИ, и новый фонд медицинского страхования, который представляет собой гарантийный фонд для новой схемы медицинского страхования МСЭ с 2014 года.</w:t>
      </w:r>
    </w:p>
    <w:p w14:paraId="3EFB7285" w14:textId="77777777" w:rsidR="00492C61" w:rsidRPr="00CA4C14" w:rsidRDefault="00492C61" w:rsidP="00C663FA">
      <w:pPr>
        <w:keepNext/>
        <w:spacing w:after="120"/>
        <w:rPr>
          <w:lang w:val="ru-RU"/>
        </w:rPr>
      </w:pPr>
      <w:r w:rsidRPr="00CA4C14">
        <w:rPr>
          <w:lang w:val="ru-RU"/>
        </w:rPr>
        <w:lastRenderedPageBreak/>
        <w:t>Движение средств других резервов и фондов МСЭ представлено в таблице ниже.</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0"/>
        <w:gridCol w:w="1413"/>
        <w:gridCol w:w="1395"/>
        <w:gridCol w:w="1413"/>
      </w:tblGrid>
      <w:tr w:rsidR="00492C61" w:rsidRPr="00CA4C14" w14:paraId="40D0D705" w14:textId="77777777" w:rsidTr="004A62DA">
        <w:tc>
          <w:tcPr>
            <w:tcW w:w="2673" w:type="pct"/>
            <w:shd w:val="clear" w:color="auto" w:fill="0070C0"/>
            <w:vAlign w:val="center"/>
            <w:hideMark/>
          </w:tcPr>
          <w:p w14:paraId="4F65251E" w14:textId="77777777" w:rsidR="00492C61" w:rsidRPr="00CA4C14" w:rsidRDefault="00492C61" w:rsidP="00AB3674">
            <w:pPr>
              <w:pStyle w:val="Tablehead"/>
              <w:rPr>
                <w:lang w:val="ru-RU"/>
              </w:rPr>
            </w:pPr>
            <w:r w:rsidRPr="00CA4C14">
              <w:rPr>
                <w:lang w:val="ru-RU"/>
              </w:rPr>
              <w:t>Описание (тыс. шв. фр.)</w:t>
            </w:r>
          </w:p>
        </w:tc>
        <w:tc>
          <w:tcPr>
            <w:tcW w:w="779" w:type="pct"/>
            <w:shd w:val="clear" w:color="auto" w:fill="0070C0"/>
            <w:vAlign w:val="center"/>
            <w:hideMark/>
          </w:tcPr>
          <w:p w14:paraId="764DD0B4" w14:textId="77777777" w:rsidR="00492C61" w:rsidRPr="00CA4C14" w:rsidRDefault="00492C61" w:rsidP="00A11FFD">
            <w:pPr>
              <w:pStyle w:val="Tablehead"/>
              <w:rPr>
                <w:lang w:val="ru-RU"/>
              </w:rPr>
            </w:pPr>
            <w:r w:rsidRPr="00CA4C14">
              <w:rPr>
                <w:lang w:val="ru-RU"/>
              </w:rPr>
              <w:t>31 декабря 2023 г.</w:t>
            </w:r>
          </w:p>
        </w:tc>
        <w:tc>
          <w:tcPr>
            <w:tcW w:w="769" w:type="pct"/>
            <w:shd w:val="clear" w:color="auto" w:fill="0070C0"/>
            <w:vAlign w:val="center"/>
            <w:hideMark/>
          </w:tcPr>
          <w:p w14:paraId="224C7D4F" w14:textId="77777777" w:rsidR="00492C61" w:rsidRPr="00CA4C14" w:rsidRDefault="00492C61" w:rsidP="00A11FFD">
            <w:pPr>
              <w:pStyle w:val="Tablehead"/>
              <w:rPr>
                <w:lang w:val="ru-RU"/>
              </w:rPr>
            </w:pPr>
            <w:r w:rsidRPr="00CA4C14">
              <w:rPr>
                <w:sz w:val="16"/>
                <w:szCs w:val="16"/>
                <w:lang w:val="ru-RU" w:eastAsia="en-GB"/>
              </w:rPr>
              <w:t>Активное сальдо/</w:t>
            </w:r>
            <w:r w:rsidRPr="00CA4C14">
              <w:rPr>
                <w:sz w:val="16"/>
                <w:szCs w:val="16"/>
                <w:lang w:val="ru-RU" w:eastAsia="en-GB"/>
              </w:rPr>
              <w:br/>
              <w:t>(дефицит) − 2023 г.</w:t>
            </w:r>
          </w:p>
        </w:tc>
        <w:tc>
          <w:tcPr>
            <w:tcW w:w="779" w:type="pct"/>
            <w:shd w:val="clear" w:color="auto" w:fill="0070C0"/>
            <w:vAlign w:val="center"/>
            <w:hideMark/>
          </w:tcPr>
          <w:p w14:paraId="6B6FF32C" w14:textId="77777777" w:rsidR="00492C61" w:rsidRPr="00CA4C14" w:rsidRDefault="00492C61" w:rsidP="00A11FFD">
            <w:pPr>
              <w:pStyle w:val="Tablehead"/>
              <w:rPr>
                <w:lang w:val="ru-RU"/>
              </w:rPr>
            </w:pPr>
            <w:r w:rsidRPr="00CA4C14">
              <w:rPr>
                <w:lang w:val="ru-RU"/>
              </w:rPr>
              <w:t>31 декабря 2022 г.</w:t>
            </w:r>
          </w:p>
        </w:tc>
      </w:tr>
      <w:tr w:rsidR="00492C61" w:rsidRPr="00CA4C14" w14:paraId="66B6E814" w14:textId="77777777" w:rsidTr="004A62DA">
        <w:tc>
          <w:tcPr>
            <w:tcW w:w="2673" w:type="pct"/>
            <w:hideMark/>
          </w:tcPr>
          <w:p w14:paraId="00BFD2AD" w14:textId="77777777" w:rsidR="00492C61" w:rsidRPr="00CA4C14" w:rsidRDefault="00492C61" w:rsidP="00C663FA">
            <w:pPr>
              <w:pStyle w:val="Tabletext"/>
              <w:keepNext/>
              <w:keepLines/>
              <w:rPr>
                <w:b/>
                <w:bCs/>
                <w:lang w:val="ru-RU"/>
              </w:rPr>
            </w:pPr>
            <w:r w:rsidRPr="00CA4C14">
              <w:rPr>
                <w:b/>
                <w:bCs/>
                <w:lang w:val="ru-RU"/>
              </w:rPr>
              <w:t>Другие</w:t>
            </w:r>
            <w:r w:rsidRPr="00CA4C14">
              <w:rPr>
                <w:b/>
                <w:bCs/>
                <w:lang w:val="ru-RU" w:eastAsia="en-GB"/>
              </w:rPr>
              <w:t xml:space="preserve"> резервы</w:t>
            </w:r>
          </w:p>
        </w:tc>
        <w:tc>
          <w:tcPr>
            <w:tcW w:w="779" w:type="pct"/>
            <w:vAlign w:val="bottom"/>
            <w:hideMark/>
          </w:tcPr>
          <w:p w14:paraId="5A01E620" w14:textId="77777777" w:rsidR="00492C61" w:rsidRPr="00CA4C14" w:rsidRDefault="00492C61" w:rsidP="00C663FA">
            <w:pPr>
              <w:pStyle w:val="Tabletext"/>
              <w:keepNext/>
              <w:keepLines/>
              <w:jc w:val="right"/>
              <w:rPr>
                <w:lang w:val="ru-RU"/>
              </w:rPr>
            </w:pPr>
          </w:p>
        </w:tc>
        <w:tc>
          <w:tcPr>
            <w:tcW w:w="769" w:type="pct"/>
            <w:vAlign w:val="bottom"/>
            <w:hideMark/>
          </w:tcPr>
          <w:p w14:paraId="15E64B12" w14:textId="77777777" w:rsidR="00492C61" w:rsidRPr="00CA4C14" w:rsidRDefault="00492C61" w:rsidP="00C663FA">
            <w:pPr>
              <w:pStyle w:val="Tabletext"/>
              <w:keepNext/>
              <w:keepLines/>
              <w:jc w:val="right"/>
              <w:rPr>
                <w:lang w:val="ru-RU"/>
              </w:rPr>
            </w:pPr>
          </w:p>
        </w:tc>
        <w:tc>
          <w:tcPr>
            <w:tcW w:w="779" w:type="pct"/>
            <w:vAlign w:val="bottom"/>
            <w:hideMark/>
          </w:tcPr>
          <w:p w14:paraId="3EDAB0A1" w14:textId="77777777" w:rsidR="00492C61" w:rsidRPr="00CA4C14" w:rsidRDefault="00492C61" w:rsidP="00C663FA">
            <w:pPr>
              <w:pStyle w:val="Tabletext"/>
              <w:keepNext/>
              <w:keepLines/>
              <w:jc w:val="right"/>
              <w:rPr>
                <w:lang w:val="ru-RU"/>
              </w:rPr>
            </w:pPr>
          </w:p>
        </w:tc>
      </w:tr>
      <w:tr w:rsidR="00492C61" w:rsidRPr="00CA4C14" w14:paraId="65E4BDA6" w14:textId="77777777" w:rsidTr="004A62DA">
        <w:tc>
          <w:tcPr>
            <w:tcW w:w="2673" w:type="pct"/>
            <w:hideMark/>
          </w:tcPr>
          <w:p w14:paraId="11F22E12" w14:textId="6FCF7E58" w:rsidR="00492C61" w:rsidRPr="00CA4C14" w:rsidRDefault="00492C61" w:rsidP="00C663FA">
            <w:pPr>
              <w:pStyle w:val="Tabletext"/>
              <w:keepNext/>
              <w:keepLines/>
              <w:rPr>
                <w:b/>
                <w:bCs/>
                <w:lang w:val="ru-RU"/>
              </w:rPr>
            </w:pPr>
            <w:r w:rsidRPr="00CA4C14">
              <w:rPr>
                <w:rFonts w:cs="Calibri"/>
                <w:b/>
                <w:bCs/>
                <w:lang w:val="ru-RU"/>
              </w:rPr>
              <w:t>−</w:t>
            </w:r>
            <w:r w:rsidR="004A62DA" w:rsidRPr="00CA4C14">
              <w:rPr>
                <w:b/>
                <w:bCs/>
                <w:lang w:val="ru-RU"/>
              </w:rPr>
              <w:tab/>
            </w:r>
            <w:r w:rsidRPr="00CA4C14">
              <w:rPr>
                <w:b/>
                <w:bCs/>
                <w:i/>
                <w:iCs/>
                <w:lang w:val="ru-RU"/>
              </w:rPr>
              <w:t>Экономия по сравнению с предыдущим годом</w:t>
            </w:r>
          </w:p>
        </w:tc>
        <w:tc>
          <w:tcPr>
            <w:tcW w:w="779" w:type="pct"/>
            <w:noWrap/>
            <w:vAlign w:val="bottom"/>
            <w:hideMark/>
          </w:tcPr>
          <w:p w14:paraId="12DE241C" w14:textId="3AEA9B64" w:rsidR="00492C61" w:rsidRPr="00CA4C14" w:rsidRDefault="00492C61" w:rsidP="00C663FA">
            <w:pPr>
              <w:pStyle w:val="Tabletext"/>
              <w:keepNext/>
              <w:keepLines/>
              <w:jc w:val="right"/>
              <w:rPr>
                <w:b/>
                <w:bCs/>
                <w:lang w:val="ru-RU"/>
              </w:rPr>
            </w:pPr>
            <w:r w:rsidRPr="00CA4C14">
              <w:rPr>
                <w:b/>
                <w:bCs/>
                <w:lang w:val="ru-RU"/>
              </w:rPr>
              <w:t>2 771</w:t>
            </w:r>
          </w:p>
        </w:tc>
        <w:tc>
          <w:tcPr>
            <w:tcW w:w="769" w:type="pct"/>
            <w:noWrap/>
            <w:vAlign w:val="bottom"/>
            <w:hideMark/>
          </w:tcPr>
          <w:p w14:paraId="6F1C0928" w14:textId="77777777" w:rsidR="00492C61" w:rsidRPr="00CA4C14" w:rsidRDefault="00492C61" w:rsidP="00C663FA">
            <w:pPr>
              <w:pStyle w:val="Tabletext"/>
              <w:keepNext/>
              <w:keepLines/>
              <w:jc w:val="right"/>
              <w:rPr>
                <w:lang w:val="ru-RU"/>
              </w:rPr>
            </w:pPr>
            <w:r w:rsidRPr="00CA4C14">
              <w:rPr>
                <w:lang w:val="ru-RU"/>
              </w:rPr>
              <w:t>(453)</w:t>
            </w:r>
          </w:p>
        </w:tc>
        <w:tc>
          <w:tcPr>
            <w:tcW w:w="779" w:type="pct"/>
            <w:noWrap/>
            <w:vAlign w:val="bottom"/>
            <w:hideMark/>
          </w:tcPr>
          <w:p w14:paraId="21982C35" w14:textId="7EA8E840" w:rsidR="00492C61" w:rsidRPr="00CA4C14" w:rsidRDefault="00492C61" w:rsidP="00C663FA">
            <w:pPr>
              <w:pStyle w:val="Tabletext"/>
              <w:keepNext/>
              <w:keepLines/>
              <w:jc w:val="right"/>
              <w:rPr>
                <w:b/>
                <w:bCs/>
                <w:lang w:val="ru-RU"/>
              </w:rPr>
            </w:pPr>
            <w:r w:rsidRPr="00CA4C14">
              <w:rPr>
                <w:b/>
                <w:bCs/>
                <w:lang w:val="ru-RU"/>
              </w:rPr>
              <w:t>3 224</w:t>
            </w:r>
          </w:p>
        </w:tc>
      </w:tr>
      <w:tr w:rsidR="00492C61" w:rsidRPr="00CA4C14" w14:paraId="7C5EB7C0" w14:textId="77777777" w:rsidTr="004A62DA">
        <w:tc>
          <w:tcPr>
            <w:tcW w:w="2673" w:type="pct"/>
            <w:hideMark/>
          </w:tcPr>
          <w:p w14:paraId="134C85B0" w14:textId="5192D425" w:rsidR="00492C61" w:rsidRPr="00CA4C14" w:rsidRDefault="00492C61" w:rsidP="00C663FA">
            <w:pPr>
              <w:pStyle w:val="Tabletext"/>
              <w:keepNext/>
              <w:keepLines/>
              <w:rPr>
                <w:i/>
                <w:iCs/>
                <w:lang w:val="ru-RU"/>
              </w:rPr>
            </w:pPr>
            <w:r w:rsidRPr="00CA4C14">
              <w:rPr>
                <w:i/>
                <w:iCs/>
                <w:lang w:val="ru-RU"/>
              </w:rPr>
              <w:t>−</w:t>
            </w:r>
            <w:r w:rsidR="004A62DA" w:rsidRPr="00CA4C14">
              <w:rPr>
                <w:i/>
                <w:iCs/>
                <w:lang w:val="ru-RU"/>
              </w:rPr>
              <w:tab/>
            </w:r>
            <w:r w:rsidRPr="00CA4C14">
              <w:rPr>
                <w:i/>
                <w:iCs/>
                <w:lang w:val="ru-RU"/>
              </w:rPr>
              <w:t xml:space="preserve">Решение 619 (расходы 2022 г.) </w:t>
            </w:r>
          </w:p>
        </w:tc>
        <w:tc>
          <w:tcPr>
            <w:tcW w:w="779" w:type="pct"/>
            <w:noWrap/>
            <w:vAlign w:val="bottom"/>
            <w:hideMark/>
          </w:tcPr>
          <w:p w14:paraId="79B1787E" w14:textId="555826E4" w:rsidR="00492C61" w:rsidRPr="00CA4C14" w:rsidRDefault="00492C61" w:rsidP="00C663FA">
            <w:pPr>
              <w:pStyle w:val="Tabletext"/>
              <w:keepNext/>
              <w:keepLines/>
              <w:jc w:val="right"/>
              <w:rPr>
                <w:b/>
                <w:bCs/>
                <w:i/>
                <w:iCs/>
                <w:lang w:val="ru-RU"/>
              </w:rPr>
            </w:pPr>
            <w:r w:rsidRPr="00CA4C14">
              <w:rPr>
                <w:b/>
                <w:bCs/>
                <w:i/>
                <w:iCs/>
                <w:lang w:val="ru-RU"/>
              </w:rPr>
              <w:t>1 037</w:t>
            </w:r>
          </w:p>
        </w:tc>
        <w:tc>
          <w:tcPr>
            <w:tcW w:w="769" w:type="pct"/>
            <w:noWrap/>
            <w:vAlign w:val="bottom"/>
            <w:hideMark/>
          </w:tcPr>
          <w:p w14:paraId="28686586" w14:textId="77777777" w:rsidR="00492C61" w:rsidRPr="00CA4C14" w:rsidRDefault="00492C61" w:rsidP="00C663FA">
            <w:pPr>
              <w:pStyle w:val="Tabletext"/>
              <w:keepNext/>
              <w:keepLines/>
              <w:jc w:val="right"/>
              <w:rPr>
                <w:i/>
                <w:iCs/>
                <w:lang w:val="ru-RU"/>
              </w:rPr>
            </w:pPr>
            <w:r w:rsidRPr="00CA4C14">
              <w:rPr>
                <w:i/>
                <w:iCs/>
                <w:lang w:val="ru-RU"/>
              </w:rPr>
              <w:t>(453)</w:t>
            </w:r>
          </w:p>
        </w:tc>
        <w:tc>
          <w:tcPr>
            <w:tcW w:w="779" w:type="pct"/>
            <w:noWrap/>
            <w:vAlign w:val="bottom"/>
            <w:hideMark/>
          </w:tcPr>
          <w:p w14:paraId="480B80F3" w14:textId="30E2E96B" w:rsidR="00492C61" w:rsidRPr="00CA4C14" w:rsidRDefault="00492C61" w:rsidP="00C663FA">
            <w:pPr>
              <w:pStyle w:val="Tabletext"/>
              <w:keepNext/>
              <w:keepLines/>
              <w:jc w:val="right"/>
              <w:rPr>
                <w:b/>
                <w:bCs/>
                <w:i/>
                <w:iCs/>
                <w:lang w:val="ru-RU"/>
              </w:rPr>
            </w:pPr>
            <w:r w:rsidRPr="00CA4C14">
              <w:rPr>
                <w:b/>
                <w:bCs/>
                <w:i/>
                <w:iCs/>
                <w:lang w:val="ru-RU"/>
              </w:rPr>
              <w:t>1 490</w:t>
            </w:r>
          </w:p>
        </w:tc>
      </w:tr>
      <w:tr w:rsidR="00492C61" w:rsidRPr="00CA4C14" w14:paraId="5CE4BD6B" w14:textId="77777777" w:rsidTr="004A62DA">
        <w:tc>
          <w:tcPr>
            <w:tcW w:w="2673" w:type="pct"/>
            <w:hideMark/>
          </w:tcPr>
          <w:p w14:paraId="58BC39E8" w14:textId="4D56C0E2" w:rsidR="00492C61" w:rsidRPr="00CA4C14" w:rsidRDefault="00492C61" w:rsidP="00C663FA">
            <w:pPr>
              <w:pStyle w:val="Tabletext"/>
              <w:keepNext/>
              <w:keepLines/>
              <w:ind w:left="284" w:hanging="284"/>
              <w:rPr>
                <w:i/>
                <w:iCs/>
                <w:lang w:val="ru-RU"/>
              </w:rPr>
            </w:pPr>
            <w:r w:rsidRPr="00CA4C14">
              <w:rPr>
                <w:i/>
                <w:iCs/>
                <w:lang w:val="ru-RU"/>
              </w:rPr>
              <w:t>−</w:t>
            </w:r>
            <w:r w:rsidR="004A62DA" w:rsidRPr="00CA4C14">
              <w:rPr>
                <w:i/>
                <w:iCs/>
                <w:lang w:val="ru-RU"/>
              </w:rPr>
              <w:tab/>
            </w:r>
            <w:r w:rsidRPr="00CA4C14">
              <w:rPr>
                <w:i/>
                <w:iCs/>
                <w:lang w:val="ru-RU"/>
              </w:rPr>
              <w:t>Дефицит, финансируемый за счет Резолюции 1405 (Бухарест)</w:t>
            </w:r>
          </w:p>
        </w:tc>
        <w:tc>
          <w:tcPr>
            <w:tcW w:w="779" w:type="pct"/>
            <w:noWrap/>
            <w:vAlign w:val="bottom"/>
            <w:hideMark/>
          </w:tcPr>
          <w:p w14:paraId="48066E8B" w14:textId="31D8D152" w:rsidR="00492C61" w:rsidRPr="00CA4C14" w:rsidRDefault="00492C61" w:rsidP="00C663FA">
            <w:pPr>
              <w:pStyle w:val="Tabletext"/>
              <w:keepNext/>
              <w:keepLines/>
              <w:jc w:val="right"/>
              <w:rPr>
                <w:b/>
                <w:bCs/>
                <w:i/>
                <w:iCs/>
                <w:lang w:val="ru-RU"/>
              </w:rPr>
            </w:pPr>
            <w:r w:rsidRPr="00CA4C14">
              <w:rPr>
                <w:b/>
                <w:bCs/>
                <w:i/>
                <w:iCs/>
                <w:lang w:val="ru-RU"/>
              </w:rPr>
              <w:t>1 734</w:t>
            </w:r>
          </w:p>
        </w:tc>
        <w:tc>
          <w:tcPr>
            <w:tcW w:w="769" w:type="pct"/>
            <w:noWrap/>
            <w:vAlign w:val="bottom"/>
            <w:hideMark/>
          </w:tcPr>
          <w:p w14:paraId="39CBAE9A" w14:textId="77777777" w:rsidR="00492C61" w:rsidRPr="00CA4C14" w:rsidRDefault="00492C61" w:rsidP="00C663FA">
            <w:pPr>
              <w:pStyle w:val="Tabletext"/>
              <w:keepNext/>
              <w:keepLines/>
              <w:jc w:val="right"/>
              <w:rPr>
                <w:i/>
                <w:iCs/>
                <w:lang w:val="ru-RU"/>
              </w:rPr>
            </w:pPr>
            <w:r w:rsidRPr="00CA4C14">
              <w:rPr>
                <w:rFonts w:cs="Calibri"/>
                <w:i/>
                <w:iCs/>
                <w:lang w:val="ru-RU"/>
              </w:rPr>
              <w:t>−</w:t>
            </w:r>
          </w:p>
        </w:tc>
        <w:tc>
          <w:tcPr>
            <w:tcW w:w="779" w:type="pct"/>
            <w:noWrap/>
            <w:vAlign w:val="bottom"/>
            <w:hideMark/>
          </w:tcPr>
          <w:p w14:paraId="55F61732" w14:textId="0C21859E" w:rsidR="00492C61" w:rsidRPr="00CA4C14" w:rsidRDefault="00492C61" w:rsidP="00C663FA">
            <w:pPr>
              <w:pStyle w:val="Tabletext"/>
              <w:keepNext/>
              <w:keepLines/>
              <w:jc w:val="right"/>
              <w:rPr>
                <w:b/>
                <w:bCs/>
                <w:i/>
                <w:iCs/>
                <w:lang w:val="ru-RU"/>
              </w:rPr>
            </w:pPr>
            <w:r w:rsidRPr="00CA4C14">
              <w:rPr>
                <w:b/>
                <w:bCs/>
                <w:i/>
                <w:iCs/>
                <w:lang w:val="ru-RU"/>
              </w:rPr>
              <w:t>1 734</w:t>
            </w:r>
          </w:p>
        </w:tc>
      </w:tr>
      <w:tr w:rsidR="00492C61" w:rsidRPr="00CA4C14" w14:paraId="0BBEBCEE" w14:textId="77777777" w:rsidTr="004A62DA">
        <w:tc>
          <w:tcPr>
            <w:tcW w:w="2673" w:type="pct"/>
            <w:hideMark/>
          </w:tcPr>
          <w:p w14:paraId="4E438D0F" w14:textId="77777777" w:rsidR="00492C61" w:rsidRPr="00CA4C14" w:rsidRDefault="00492C61" w:rsidP="00C663FA">
            <w:pPr>
              <w:pStyle w:val="Tabletext"/>
              <w:keepNext/>
              <w:keepLines/>
              <w:spacing w:before="0" w:after="0"/>
              <w:rPr>
                <w:i/>
                <w:iCs/>
                <w:lang w:val="ru-RU"/>
              </w:rPr>
            </w:pPr>
          </w:p>
        </w:tc>
        <w:tc>
          <w:tcPr>
            <w:tcW w:w="779" w:type="pct"/>
            <w:noWrap/>
            <w:vAlign w:val="bottom"/>
            <w:hideMark/>
          </w:tcPr>
          <w:p w14:paraId="10875477" w14:textId="77777777" w:rsidR="00492C61" w:rsidRPr="00CA4C14" w:rsidRDefault="00492C61" w:rsidP="00C663FA">
            <w:pPr>
              <w:pStyle w:val="Tabletext"/>
              <w:keepNext/>
              <w:keepLines/>
              <w:spacing w:before="0" w:after="0"/>
              <w:jc w:val="right"/>
              <w:rPr>
                <w:b/>
                <w:bCs/>
                <w:lang w:val="ru-RU"/>
              </w:rPr>
            </w:pPr>
          </w:p>
        </w:tc>
        <w:tc>
          <w:tcPr>
            <w:tcW w:w="769" w:type="pct"/>
            <w:noWrap/>
            <w:vAlign w:val="bottom"/>
            <w:hideMark/>
          </w:tcPr>
          <w:p w14:paraId="32C00ECE" w14:textId="77777777" w:rsidR="00492C61" w:rsidRPr="00CA4C14" w:rsidRDefault="00492C61" w:rsidP="00C663FA">
            <w:pPr>
              <w:pStyle w:val="Tabletext"/>
              <w:keepNext/>
              <w:keepLines/>
              <w:spacing w:before="0" w:after="0"/>
              <w:jc w:val="right"/>
              <w:rPr>
                <w:lang w:val="ru-RU"/>
              </w:rPr>
            </w:pPr>
          </w:p>
        </w:tc>
        <w:tc>
          <w:tcPr>
            <w:tcW w:w="779" w:type="pct"/>
            <w:noWrap/>
            <w:vAlign w:val="bottom"/>
            <w:hideMark/>
          </w:tcPr>
          <w:p w14:paraId="0D04C9CF" w14:textId="77777777" w:rsidR="00492C61" w:rsidRPr="00CA4C14" w:rsidRDefault="00492C61" w:rsidP="00C663FA">
            <w:pPr>
              <w:pStyle w:val="Tabletext"/>
              <w:keepNext/>
              <w:keepLines/>
              <w:spacing w:before="0" w:after="0"/>
              <w:jc w:val="right"/>
              <w:rPr>
                <w:b/>
                <w:bCs/>
                <w:lang w:val="ru-RU"/>
              </w:rPr>
            </w:pPr>
          </w:p>
        </w:tc>
      </w:tr>
      <w:tr w:rsidR="00492C61" w:rsidRPr="00CA4C14" w14:paraId="54D9BCD7" w14:textId="77777777" w:rsidTr="004A62DA">
        <w:tc>
          <w:tcPr>
            <w:tcW w:w="2673" w:type="pct"/>
            <w:vAlign w:val="bottom"/>
            <w:hideMark/>
          </w:tcPr>
          <w:p w14:paraId="2F62A8D0" w14:textId="77777777" w:rsidR="00492C61" w:rsidRPr="00CA4C14" w:rsidRDefault="00492C61" w:rsidP="00C663FA">
            <w:pPr>
              <w:pStyle w:val="Tabletext"/>
              <w:keepNext/>
              <w:keepLines/>
              <w:rPr>
                <w:lang w:val="ru-RU"/>
              </w:rPr>
            </w:pPr>
            <w:r w:rsidRPr="00CA4C14">
              <w:rPr>
                <w:lang w:val="ru-RU"/>
              </w:rPr>
              <w:t>Инвестиционный фонд</w:t>
            </w:r>
          </w:p>
        </w:tc>
        <w:tc>
          <w:tcPr>
            <w:tcW w:w="779" w:type="pct"/>
            <w:noWrap/>
            <w:vAlign w:val="bottom"/>
            <w:hideMark/>
          </w:tcPr>
          <w:p w14:paraId="76F30FCC" w14:textId="65E2FE1E" w:rsidR="00492C61" w:rsidRPr="00CA4C14" w:rsidRDefault="00492C61" w:rsidP="00C663FA">
            <w:pPr>
              <w:pStyle w:val="Tabletext"/>
              <w:keepNext/>
              <w:keepLines/>
              <w:jc w:val="right"/>
              <w:rPr>
                <w:b/>
                <w:bCs/>
                <w:lang w:val="ru-RU"/>
              </w:rPr>
            </w:pPr>
            <w:r w:rsidRPr="00CA4C14">
              <w:rPr>
                <w:b/>
                <w:bCs/>
                <w:lang w:val="ru-RU"/>
              </w:rPr>
              <w:t>13 476</w:t>
            </w:r>
          </w:p>
        </w:tc>
        <w:tc>
          <w:tcPr>
            <w:tcW w:w="769" w:type="pct"/>
            <w:noWrap/>
            <w:vAlign w:val="bottom"/>
            <w:hideMark/>
          </w:tcPr>
          <w:p w14:paraId="65B1F5F3" w14:textId="77777777" w:rsidR="00492C61" w:rsidRPr="00CA4C14" w:rsidRDefault="00492C61" w:rsidP="00C663FA">
            <w:pPr>
              <w:pStyle w:val="Tabletext"/>
              <w:keepNext/>
              <w:keepLines/>
              <w:jc w:val="right"/>
              <w:rPr>
                <w:lang w:val="ru-RU"/>
              </w:rPr>
            </w:pPr>
            <w:r w:rsidRPr="00CA4C14">
              <w:rPr>
                <w:lang w:val="ru-RU"/>
              </w:rPr>
              <w:t>(1 373)</w:t>
            </w:r>
          </w:p>
        </w:tc>
        <w:tc>
          <w:tcPr>
            <w:tcW w:w="779" w:type="pct"/>
            <w:noWrap/>
            <w:vAlign w:val="bottom"/>
            <w:hideMark/>
          </w:tcPr>
          <w:p w14:paraId="77355A65" w14:textId="7D0FA668" w:rsidR="00492C61" w:rsidRPr="00CA4C14" w:rsidRDefault="00492C61" w:rsidP="00C663FA">
            <w:pPr>
              <w:pStyle w:val="Tabletext"/>
              <w:keepNext/>
              <w:keepLines/>
              <w:jc w:val="right"/>
              <w:rPr>
                <w:b/>
                <w:bCs/>
                <w:lang w:val="ru-RU"/>
              </w:rPr>
            </w:pPr>
            <w:r w:rsidRPr="00CA4C14">
              <w:rPr>
                <w:b/>
                <w:bCs/>
                <w:lang w:val="ru-RU"/>
              </w:rPr>
              <w:t>14 849</w:t>
            </w:r>
          </w:p>
        </w:tc>
      </w:tr>
      <w:tr w:rsidR="00492C61" w:rsidRPr="00CA4C14" w14:paraId="010C02C9" w14:textId="77777777" w:rsidTr="004A62DA">
        <w:tc>
          <w:tcPr>
            <w:tcW w:w="2673" w:type="pct"/>
            <w:vAlign w:val="bottom"/>
            <w:hideMark/>
          </w:tcPr>
          <w:p w14:paraId="402E7087" w14:textId="77777777" w:rsidR="00492C61" w:rsidRPr="00CA4C14" w:rsidRDefault="00492C61" w:rsidP="00C663FA">
            <w:pPr>
              <w:pStyle w:val="Tabletext"/>
              <w:keepNext/>
              <w:keepLines/>
              <w:rPr>
                <w:lang w:val="ru-RU"/>
              </w:rPr>
            </w:pPr>
            <w:r w:rsidRPr="00CA4C14">
              <w:rPr>
                <w:lang w:val="ru-RU"/>
              </w:rPr>
              <w:t>Резервный фонд строительства нового здания</w:t>
            </w:r>
          </w:p>
        </w:tc>
        <w:tc>
          <w:tcPr>
            <w:tcW w:w="779" w:type="pct"/>
            <w:noWrap/>
            <w:vAlign w:val="bottom"/>
            <w:hideMark/>
          </w:tcPr>
          <w:p w14:paraId="509FBE83" w14:textId="503BC21A" w:rsidR="00492C61" w:rsidRPr="00CA4C14" w:rsidRDefault="00492C61" w:rsidP="00C663FA">
            <w:pPr>
              <w:pStyle w:val="Tabletext"/>
              <w:keepNext/>
              <w:keepLines/>
              <w:jc w:val="right"/>
              <w:rPr>
                <w:b/>
                <w:bCs/>
                <w:lang w:val="ru-RU"/>
              </w:rPr>
            </w:pPr>
            <w:r w:rsidRPr="00CA4C14">
              <w:rPr>
                <w:b/>
                <w:bCs/>
                <w:lang w:val="ru-RU"/>
              </w:rPr>
              <w:t>23 278</w:t>
            </w:r>
          </w:p>
        </w:tc>
        <w:tc>
          <w:tcPr>
            <w:tcW w:w="769" w:type="pct"/>
            <w:noWrap/>
            <w:vAlign w:val="bottom"/>
            <w:hideMark/>
          </w:tcPr>
          <w:p w14:paraId="1B5C8EC5" w14:textId="77777777" w:rsidR="00492C61" w:rsidRPr="00CA4C14" w:rsidRDefault="00492C61" w:rsidP="00C663FA">
            <w:pPr>
              <w:pStyle w:val="Tabletext"/>
              <w:keepNext/>
              <w:keepLines/>
              <w:jc w:val="right"/>
              <w:rPr>
                <w:lang w:val="ru-RU"/>
              </w:rPr>
            </w:pPr>
            <w:r w:rsidRPr="00CA4C14">
              <w:rPr>
                <w:lang w:val="ru-RU"/>
              </w:rPr>
              <w:t xml:space="preserve">2 851 </w:t>
            </w:r>
          </w:p>
        </w:tc>
        <w:tc>
          <w:tcPr>
            <w:tcW w:w="779" w:type="pct"/>
            <w:noWrap/>
            <w:vAlign w:val="bottom"/>
            <w:hideMark/>
          </w:tcPr>
          <w:p w14:paraId="48DDD39D" w14:textId="5C6FE3D5" w:rsidR="00492C61" w:rsidRPr="00CA4C14" w:rsidRDefault="00492C61" w:rsidP="00C663FA">
            <w:pPr>
              <w:pStyle w:val="Tabletext"/>
              <w:keepNext/>
              <w:keepLines/>
              <w:jc w:val="right"/>
              <w:rPr>
                <w:b/>
                <w:bCs/>
                <w:lang w:val="ru-RU"/>
              </w:rPr>
            </w:pPr>
            <w:r w:rsidRPr="00CA4C14">
              <w:rPr>
                <w:b/>
                <w:bCs/>
                <w:lang w:val="ru-RU"/>
              </w:rPr>
              <w:t>20 427</w:t>
            </w:r>
          </w:p>
        </w:tc>
      </w:tr>
      <w:tr w:rsidR="00492C61" w:rsidRPr="00CA4C14" w14:paraId="127622E3" w14:textId="77777777" w:rsidTr="004A62DA">
        <w:tc>
          <w:tcPr>
            <w:tcW w:w="2673" w:type="pct"/>
            <w:vAlign w:val="bottom"/>
            <w:hideMark/>
          </w:tcPr>
          <w:p w14:paraId="44D376D7" w14:textId="77777777" w:rsidR="00492C61" w:rsidRPr="00CA4C14" w:rsidRDefault="00492C61" w:rsidP="00C663FA">
            <w:pPr>
              <w:pStyle w:val="Tabletext"/>
              <w:keepNext/>
              <w:keepLines/>
              <w:rPr>
                <w:lang w:val="ru-RU"/>
              </w:rPr>
            </w:pPr>
            <w:r w:rsidRPr="00CA4C14">
              <w:rPr>
                <w:lang w:val="ru-RU"/>
              </w:rPr>
              <w:t>Фонд реестра рисков</w:t>
            </w:r>
          </w:p>
        </w:tc>
        <w:tc>
          <w:tcPr>
            <w:tcW w:w="779" w:type="pct"/>
            <w:noWrap/>
            <w:vAlign w:val="bottom"/>
            <w:hideMark/>
          </w:tcPr>
          <w:p w14:paraId="7F82FB2E" w14:textId="1F924D4B" w:rsidR="00492C61" w:rsidRPr="00CA4C14" w:rsidRDefault="00492C61" w:rsidP="00C663FA">
            <w:pPr>
              <w:pStyle w:val="Tabletext"/>
              <w:keepNext/>
              <w:keepLines/>
              <w:jc w:val="right"/>
              <w:rPr>
                <w:b/>
                <w:bCs/>
                <w:lang w:val="ru-RU"/>
              </w:rPr>
            </w:pPr>
            <w:r w:rsidRPr="00CA4C14">
              <w:rPr>
                <w:b/>
                <w:bCs/>
                <w:lang w:val="ru-RU"/>
              </w:rPr>
              <w:t>3 430</w:t>
            </w:r>
          </w:p>
        </w:tc>
        <w:tc>
          <w:tcPr>
            <w:tcW w:w="769" w:type="pct"/>
            <w:noWrap/>
            <w:vAlign w:val="bottom"/>
            <w:hideMark/>
          </w:tcPr>
          <w:p w14:paraId="5EEB20A6" w14:textId="77777777" w:rsidR="00492C61" w:rsidRPr="00CA4C14" w:rsidRDefault="00492C61" w:rsidP="00C663FA">
            <w:pPr>
              <w:pStyle w:val="Tabletext"/>
              <w:keepNext/>
              <w:keepLines/>
              <w:jc w:val="right"/>
              <w:rPr>
                <w:lang w:val="ru-RU"/>
              </w:rPr>
            </w:pPr>
            <w:r w:rsidRPr="00CA4C14">
              <w:rPr>
                <w:rFonts w:cs="Calibri"/>
                <w:i/>
                <w:iCs/>
                <w:lang w:val="ru-RU"/>
              </w:rPr>
              <w:t>−</w:t>
            </w:r>
          </w:p>
        </w:tc>
        <w:tc>
          <w:tcPr>
            <w:tcW w:w="779" w:type="pct"/>
            <w:noWrap/>
            <w:vAlign w:val="bottom"/>
            <w:hideMark/>
          </w:tcPr>
          <w:p w14:paraId="7D5073C4" w14:textId="4B844C8D" w:rsidR="00492C61" w:rsidRPr="00CA4C14" w:rsidRDefault="00492C61" w:rsidP="00C663FA">
            <w:pPr>
              <w:pStyle w:val="Tabletext"/>
              <w:keepNext/>
              <w:keepLines/>
              <w:jc w:val="right"/>
              <w:rPr>
                <w:b/>
                <w:bCs/>
                <w:lang w:val="ru-RU"/>
              </w:rPr>
            </w:pPr>
            <w:r w:rsidRPr="00CA4C14">
              <w:rPr>
                <w:b/>
                <w:bCs/>
                <w:lang w:val="ru-RU"/>
              </w:rPr>
              <w:t>3 430</w:t>
            </w:r>
          </w:p>
        </w:tc>
      </w:tr>
      <w:tr w:rsidR="00492C61" w:rsidRPr="00CA4C14" w14:paraId="70DE7AA0" w14:textId="77777777" w:rsidTr="004A62DA">
        <w:tc>
          <w:tcPr>
            <w:tcW w:w="2673" w:type="pct"/>
            <w:vAlign w:val="bottom"/>
            <w:hideMark/>
          </w:tcPr>
          <w:p w14:paraId="59251B88" w14:textId="77777777" w:rsidR="00492C61" w:rsidRPr="00CA4C14" w:rsidRDefault="00492C61" w:rsidP="00C663FA">
            <w:pPr>
              <w:pStyle w:val="Tabletext"/>
              <w:keepNext/>
              <w:keepLines/>
              <w:rPr>
                <w:lang w:val="ru-RU"/>
              </w:rPr>
            </w:pPr>
            <w:r w:rsidRPr="00CA4C14">
              <w:rPr>
                <w:lang w:val="ru-RU"/>
              </w:rPr>
              <w:t>Фонд социального обеспечения сотрудников</w:t>
            </w:r>
          </w:p>
        </w:tc>
        <w:tc>
          <w:tcPr>
            <w:tcW w:w="779" w:type="pct"/>
            <w:noWrap/>
            <w:vAlign w:val="bottom"/>
            <w:hideMark/>
          </w:tcPr>
          <w:p w14:paraId="7F9E0BAA" w14:textId="4AABF4A9" w:rsidR="00492C61" w:rsidRPr="00CA4C14" w:rsidRDefault="00492C61" w:rsidP="00C663FA">
            <w:pPr>
              <w:pStyle w:val="Tabletext"/>
              <w:keepNext/>
              <w:keepLines/>
              <w:jc w:val="right"/>
              <w:rPr>
                <w:b/>
                <w:bCs/>
                <w:lang w:val="ru-RU"/>
              </w:rPr>
            </w:pPr>
            <w:r w:rsidRPr="00CA4C14">
              <w:rPr>
                <w:b/>
                <w:bCs/>
                <w:lang w:val="ru-RU"/>
              </w:rPr>
              <w:t>314</w:t>
            </w:r>
          </w:p>
        </w:tc>
        <w:tc>
          <w:tcPr>
            <w:tcW w:w="769" w:type="pct"/>
            <w:noWrap/>
            <w:vAlign w:val="bottom"/>
            <w:hideMark/>
          </w:tcPr>
          <w:p w14:paraId="6D328219" w14:textId="77777777" w:rsidR="00492C61" w:rsidRPr="00CA4C14" w:rsidRDefault="00492C61" w:rsidP="00C663FA">
            <w:pPr>
              <w:pStyle w:val="Tabletext"/>
              <w:keepNext/>
              <w:keepLines/>
              <w:jc w:val="right"/>
              <w:rPr>
                <w:lang w:val="ru-RU"/>
              </w:rPr>
            </w:pPr>
            <w:r w:rsidRPr="00CA4C14">
              <w:rPr>
                <w:lang w:val="ru-RU"/>
              </w:rPr>
              <w:t>(34)</w:t>
            </w:r>
          </w:p>
        </w:tc>
        <w:tc>
          <w:tcPr>
            <w:tcW w:w="779" w:type="pct"/>
            <w:noWrap/>
            <w:vAlign w:val="bottom"/>
            <w:hideMark/>
          </w:tcPr>
          <w:p w14:paraId="45B5F756" w14:textId="2D79A5D3" w:rsidR="00492C61" w:rsidRPr="00CA4C14" w:rsidRDefault="00492C61" w:rsidP="00C663FA">
            <w:pPr>
              <w:pStyle w:val="Tabletext"/>
              <w:keepNext/>
              <w:keepLines/>
              <w:jc w:val="right"/>
              <w:rPr>
                <w:b/>
                <w:bCs/>
                <w:lang w:val="ru-RU"/>
              </w:rPr>
            </w:pPr>
            <w:r w:rsidRPr="00CA4C14">
              <w:rPr>
                <w:b/>
                <w:bCs/>
                <w:lang w:val="ru-RU"/>
              </w:rPr>
              <w:t>348</w:t>
            </w:r>
          </w:p>
        </w:tc>
      </w:tr>
      <w:tr w:rsidR="00492C61" w:rsidRPr="00CA4C14" w14:paraId="4C5B6F44" w14:textId="77777777" w:rsidTr="004A62DA">
        <w:tc>
          <w:tcPr>
            <w:tcW w:w="2673" w:type="pct"/>
            <w:vAlign w:val="bottom"/>
            <w:hideMark/>
          </w:tcPr>
          <w:p w14:paraId="22134AE8" w14:textId="77777777" w:rsidR="00492C61" w:rsidRPr="00CA4C14" w:rsidRDefault="00492C61" w:rsidP="00C663FA">
            <w:pPr>
              <w:pStyle w:val="Tabletext"/>
              <w:keepNext/>
              <w:keepLines/>
              <w:rPr>
                <w:lang w:val="ru-RU"/>
              </w:rPr>
            </w:pPr>
            <w:r w:rsidRPr="00CA4C14">
              <w:rPr>
                <w:lang w:val="ru-RU"/>
              </w:rPr>
              <w:t>Фонд наград в связи со столетием МСЭ</w:t>
            </w:r>
          </w:p>
        </w:tc>
        <w:tc>
          <w:tcPr>
            <w:tcW w:w="779" w:type="pct"/>
            <w:noWrap/>
            <w:vAlign w:val="bottom"/>
            <w:hideMark/>
          </w:tcPr>
          <w:p w14:paraId="592D66A5" w14:textId="41D5DCFF" w:rsidR="00492C61" w:rsidRPr="00CA4C14" w:rsidRDefault="00492C61" w:rsidP="00C663FA">
            <w:pPr>
              <w:pStyle w:val="Tabletext"/>
              <w:keepNext/>
              <w:keepLines/>
              <w:jc w:val="right"/>
              <w:rPr>
                <w:b/>
                <w:bCs/>
                <w:lang w:val="ru-RU"/>
              </w:rPr>
            </w:pPr>
            <w:r w:rsidRPr="00CA4C14">
              <w:rPr>
                <w:b/>
                <w:bCs/>
                <w:lang w:val="ru-RU"/>
              </w:rPr>
              <w:t>212</w:t>
            </w:r>
          </w:p>
        </w:tc>
        <w:tc>
          <w:tcPr>
            <w:tcW w:w="769" w:type="pct"/>
            <w:noWrap/>
            <w:vAlign w:val="bottom"/>
            <w:hideMark/>
          </w:tcPr>
          <w:p w14:paraId="3DC7A2E8" w14:textId="77777777" w:rsidR="00492C61" w:rsidRPr="00CA4C14" w:rsidRDefault="00492C61" w:rsidP="00C663FA">
            <w:pPr>
              <w:pStyle w:val="Tabletext"/>
              <w:keepNext/>
              <w:keepLines/>
              <w:jc w:val="right"/>
              <w:rPr>
                <w:lang w:val="ru-RU"/>
              </w:rPr>
            </w:pPr>
            <w:r w:rsidRPr="00CA4C14">
              <w:rPr>
                <w:rFonts w:cs="Calibri"/>
                <w:i/>
                <w:iCs/>
                <w:lang w:val="ru-RU"/>
              </w:rPr>
              <w:t>−</w:t>
            </w:r>
          </w:p>
        </w:tc>
        <w:tc>
          <w:tcPr>
            <w:tcW w:w="779" w:type="pct"/>
            <w:noWrap/>
            <w:vAlign w:val="bottom"/>
            <w:hideMark/>
          </w:tcPr>
          <w:p w14:paraId="2EC16564" w14:textId="2EDB5902" w:rsidR="00492C61" w:rsidRPr="00CA4C14" w:rsidRDefault="00492C61" w:rsidP="00C663FA">
            <w:pPr>
              <w:pStyle w:val="Tabletext"/>
              <w:keepNext/>
              <w:keepLines/>
              <w:jc w:val="right"/>
              <w:rPr>
                <w:b/>
                <w:bCs/>
                <w:lang w:val="ru-RU"/>
              </w:rPr>
            </w:pPr>
            <w:r w:rsidRPr="00CA4C14">
              <w:rPr>
                <w:b/>
                <w:bCs/>
                <w:lang w:val="ru-RU"/>
              </w:rPr>
              <w:t>212</w:t>
            </w:r>
          </w:p>
        </w:tc>
      </w:tr>
      <w:tr w:rsidR="00492C61" w:rsidRPr="00CA4C14" w14:paraId="34B52071" w14:textId="77777777" w:rsidTr="004A62DA">
        <w:tc>
          <w:tcPr>
            <w:tcW w:w="2673" w:type="pct"/>
            <w:vAlign w:val="bottom"/>
            <w:hideMark/>
          </w:tcPr>
          <w:p w14:paraId="6AC8578C" w14:textId="77777777" w:rsidR="00492C61" w:rsidRPr="00CA4C14" w:rsidRDefault="00492C61" w:rsidP="00C663FA">
            <w:pPr>
              <w:pStyle w:val="Tabletext"/>
              <w:keepNext/>
              <w:keepLines/>
              <w:rPr>
                <w:lang w:val="ru-RU"/>
              </w:rPr>
            </w:pPr>
            <w:r w:rsidRPr="00CA4C14">
              <w:rPr>
                <w:lang w:val="ru-RU"/>
              </w:rPr>
              <w:t>Фонд дополнительных средств Страховой кассы</w:t>
            </w:r>
          </w:p>
        </w:tc>
        <w:tc>
          <w:tcPr>
            <w:tcW w:w="779" w:type="pct"/>
            <w:noWrap/>
            <w:vAlign w:val="bottom"/>
            <w:hideMark/>
          </w:tcPr>
          <w:p w14:paraId="22D37984" w14:textId="448C082A" w:rsidR="00492C61" w:rsidRPr="00CA4C14" w:rsidRDefault="00492C61" w:rsidP="00C663FA">
            <w:pPr>
              <w:pStyle w:val="Tabletext"/>
              <w:keepNext/>
              <w:keepLines/>
              <w:jc w:val="right"/>
              <w:rPr>
                <w:b/>
                <w:bCs/>
                <w:lang w:val="ru-RU"/>
              </w:rPr>
            </w:pPr>
            <w:r w:rsidRPr="00CA4C14">
              <w:rPr>
                <w:b/>
                <w:bCs/>
                <w:lang w:val="ru-RU"/>
              </w:rPr>
              <w:t>6 528</w:t>
            </w:r>
          </w:p>
        </w:tc>
        <w:tc>
          <w:tcPr>
            <w:tcW w:w="769" w:type="pct"/>
            <w:noWrap/>
            <w:vAlign w:val="bottom"/>
            <w:hideMark/>
          </w:tcPr>
          <w:p w14:paraId="25E986E9" w14:textId="77777777" w:rsidR="00492C61" w:rsidRPr="00CA4C14" w:rsidRDefault="00492C61" w:rsidP="00C663FA">
            <w:pPr>
              <w:pStyle w:val="Tabletext"/>
              <w:keepNext/>
              <w:keepLines/>
              <w:jc w:val="right"/>
              <w:rPr>
                <w:lang w:val="ru-RU"/>
              </w:rPr>
            </w:pPr>
            <w:r w:rsidRPr="00CA4C14">
              <w:rPr>
                <w:lang w:val="ru-RU"/>
              </w:rPr>
              <w:t xml:space="preserve">244 </w:t>
            </w:r>
          </w:p>
        </w:tc>
        <w:tc>
          <w:tcPr>
            <w:tcW w:w="779" w:type="pct"/>
            <w:noWrap/>
            <w:vAlign w:val="bottom"/>
            <w:hideMark/>
          </w:tcPr>
          <w:p w14:paraId="0AE956D7" w14:textId="2FF274E6" w:rsidR="00492C61" w:rsidRPr="00CA4C14" w:rsidRDefault="00492C61" w:rsidP="00C663FA">
            <w:pPr>
              <w:pStyle w:val="Tabletext"/>
              <w:keepNext/>
              <w:keepLines/>
              <w:jc w:val="right"/>
              <w:rPr>
                <w:b/>
                <w:bCs/>
                <w:lang w:val="ru-RU"/>
              </w:rPr>
            </w:pPr>
            <w:r w:rsidRPr="00CA4C14">
              <w:rPr>
                <w:b/>
                <w:bCs/>
                <w:lang w:val="ru-RU"/>
              </w:rPr>
              <w:t>6 284</w:t>
            </w:r>
          </w:p>
        </w:tc>
      </w:tr>
      <w:tr w:rsidR="00492C61" w:rsidRPr="00CA4C14" w14:paraId="4B26FD5C" w14:textId="77777777" w:rsidTr="004A62DA">
        <w:tc>
          <w:tcPr>
            <w:tcW w:w="2673" w:type="pct"/>
            <w:vAlign w:val="bottom"/>
            <w:hideMark/>
          </w:tcPr>
          <w:p w14:paraId="23AA5A95" w14:textId="77777777" w:rsidR="00492C61" w:rsidRPr="00CA4C14" w:rsidRDefault="00492C61" w:rsidP="00C663FA">
            <w:pPr>
              <w:pStyle w:val="Tabletext"/>
              <w:keepNext/>
              <w:keepLines/>
              <w:rPr>
                <w:lang w:val="ru-RU"/>
              </w:rPr>
            </w:pPr>
            <w:r w:rsidRPr="00CA4C14">
              <w:rPr>
                <w:lang w:val="ru-RU"/>
              </w:rPr>
              <w:t>Фонд помощи Страховой кассы</w:t>
            </w:r>
          </w:p>
        </w:tc>
        <w:tc>
          <w:tcPr>
            <w:tcW w:w="779" w:type="pct"/>
            <w:noWrap/>
            <w:vAlign w:val="bottom"/>
            <w:hideMark/>
          </w:tcPr>
          <w:p w14:paraId="5961BD33" w14:textId="4B2211D1" w:rsidR="00492C61" w:rsidRPr="00CA4C14" w:rsidRDefault="00492C61" w:rsidP="00C663FA">
            <w:pPr>
              <w:pStyle w:val="Tabletext"/>
              <w:keepNext/>
              <w:keepLines/>
              <w:jc w:val="right"/>
              <w:rPr>
                <w:b/>
                <w:bCs/>
                <w:lang w:val="ru-RU"/>
              </w:rPr>
            </w:pPr>
            <w:r w:rsidRPr="00CA4C14">
              <w:rPr>
                <w:b/>
                <w:bCs/>
                <w:lang w:val="ru-RU"/>
              </w:rPr>
              <w:t>276</w:t>
            </w:r>
          </w:p>
        </w:tc>
        <w:tc>
          <w:tcPr>
            <w:tcW w:w="769" w:type="pct"/>
            <w:noWrap/>
            <w:vAlign w:val="bottom"/>
            <w:hideMark/>
          </w:tcPr>
          <w:p w14:paraId="15A43AC7" w14:textId="77777777" w:rsidR="00492C61" w:rsidRPr="00CA4C14" w:rsidRDefault="00492C61" w:rsidP="00C663FA">
            <w:pPr>
              <w:pStyle w:val="Tabletext"/>
              <w:keepNext/>
              <w:keepLines/>
              <w:jc w:val="right"/>
              <w:rPr>
                <w:lang w:val="ru-RU"/>
              </w:rPr>
            </w:pPr>
            <w:r w:rsidRPr="00CA4C14">
              <w:rPr>
                <w:rFonts w:cs="Calibri"/>
                <w:i/>
                <w:iCs/>
                <w:lang w:val="ru-RU"/>
              </w:rPr>
              <w:t>−</w:t>
            </w:r>
          </w:p>
        </w:tc>
        <w:tc>
          <w:tcPr>
            <w:tcW w:w="779" w:type="pct"/>
            <w:noWrap/>
            <w:vAlign w:val="bottom"/>
            <w:hideMark/>
          </w:tcPr>
          <w:p w14:paraId="586F9153" w14:textId="037B66DD" w:rsidR="00492C61" w:rsidRPr="00CA4C14" w:rsidRDefault="00492C61" w:rsidP="00C663FA">
            <w:pPr>
              <w:pStyle w:val="Tabletext"/>
              <w:keepNext/>
              <w:keepLines/>
              <w:jc w:val="right"/>
              <w:rPr>
                <w:b/>
                <w:bCs/>
                <w:lang w:val="ru-RU"/>
              </w:rPr>
            </w:pPr>
            <w:r w:rsidRPr="00CA4C14">
              <w:rPr>
                <w:b/>
                <w:bCs/>
                <w:lang w:val="ru-RU"/>
              </w:rPr>
              <w:t>276</w:t>
            </w:r>
          </w:p>
        </w:tc>
      </w:tr>
      <w:tr w:rsidR="00492C61" w:rsidRPr="00CA4C14" w14:paraId="766C3D11" w14:textId="77777777" w:rsidTr="004A62DA">
        <w:tc>
          <w:tcPr>
            <w:tcW w:w="2673" w:type="pct"/>
            <w:vAlign w:val="center"/>
            <w:hideMark/>
          </w:tcPr>
          <w:p w14:paraId="31D294F4" w14:textId="77777777" w:rsidR="00492C61" w:rsidRPr="00CA4C14" w:rsidRDefault="00492C61" w:rsidP="00C663FA">
            <w:pPr>
              <w:pStyle w:val="Tabletext"/>
              <w:keepNext/>
              <w:keepLines/>
              <w:rPr>
                <w:lang w:val="ru-RU"/>
              </w:rPr>
            </w:pPr>
            <w:r w:rsidRPr="00CA4C14">
              <w:rPr>
                <w:lang w:val="ru-RU"/>
              </w:rPr>
              <w:t>Фонд АСХИ</w:t>
            </w:r>
          </w:p>
        </w:tc>
        <w:tc>
          <w:tcPr>
            <w:tcW w:w="779" w:type="pct"/>
            <w:noWrap/>
            <w:vAlign w:val="bottom"/>
            <w:hideMark/>
          </w:tcPr>
          <w:p w14:paraId="76A92902" w14:textId="7512619A" w:rsidR="00492C61" w:rsidRPr="00CA4C14" w:rsidRDefault="00492C61" w:rsidP="00C663FA">
            <w:pPr>
              <w:pStyle w:val="Tabletext"/>
              <w:keepNext/>
              <w:keepLines/>
              <w:jc w:val="right"/>
              <w:rPr>
                <w:b/>
                <w:bCs/>
                <w:lang w:val="ru-RU"/>
              </w:rPr>
            </w:pPr>
            <w:r w:rsidRPr="00CA4C14">
              <w:rPr>
                <w:b/>
                <w:bCs/>
                <w:lang w:val="ru-RU"/>
              </w:rPr>
              <w:t>14 000</w:t>
            </w:r>
          </w:p>
        </w:tc>
        <w:tc>
          <w:tcPr>
            <w:tcW w:w="769" w:type="pct"/>
            <w:noWrap/>
            <w:vAlign w:val="bottom"/>
            <w:hideMark/>
          </w:tcPr>
          <w:p w14:paraId="52971FCC" w14:textId="77777777" w:rsidR="00492C61" w:rsidRPr="00CA4C14" w:rsidRDefault="00492C61" w:rsidP="00C663FA">
            <w:pPr>
              <w:pStyle w:val="Tabletext"/>
              <w:keepNext/>
              <w:keepLines/>
              <w:jc w:val="right"/>
              <w:rPr>
                <w:lang w:val="ru-RU"/>
              </w:rPr>
            </w:pPr>
            <w:r w:rsidRPr="00CA4C14">
              <w:rPr>
                <w:rFonts w:cs="Calibri"/>
                <w:i/>
                <w:iCs/>
                <w:lang w:val="ru-RU"/>
              </w:rPr>
              <w:t>−</w:t>
            </w:r>
          </w:p>
        </w:tc>
        <w:tc>
          <w:tcPr>
            <w:tcW w:w="779" w:type="pct"/>
            <w:noWrap/>
            <w:vAlign w:val="bottom"/>
            <w:hideMark/>
          </w:tcPr>
          <w:p w14:paraId="0AABA882" w14:textId="3025CE74" w:rsidR="00492C61" w:rsidRPr="00CA4C14" w:rsidRDefault="00492C61" w:rsidP="00C663FA">
            <w:pPr>
              <w:pStyle w:val="Tabletext"/>
              <w:keepNext/>
              <w:keepLines/>
              <w:jc w:val="right"/>
              <w:rPr>
                <w:b/>
                <w:bCs/>
                <w:lang w:val="ru-RU"/>
              </w:rPr>
            </w:pPr>
            <w:r w:rsidRPr="00CA4C14">
              <w:rPr>
                <w:b/>
                <w:bCs/>
                <w:lang w:val="ru-RU"/>
              </w:rPr>
              <w:t>14 000</w:t>
            </w:r>
          </w:p>
        </w:tc>
      </w:tr>
      <w:tr w:rsidR="00492C61" w:rsidRPr="00CA4C14" w14:paraId="674F50E5" w14:textId="77777777" w:rsidTr="004A62DA">
        <w:tc>
          <w:tcPr>
            <w:tcW w:w="2673" w:type="pct"/>
            <w:vAlign w:val="center"/>
            <w:hideMark/>
          </w:tcPr>
          <w:p w14:paraId="316FBE12" w14:textId="77777777" w:rsidR="00492C61" w:rsidRPr="00CA4C14" w:rsidRDefault="00492C61" w:rsidP="00C663FA">
            <w:pPr>
              <w:pStyle w:val="Tabletext"/>
              <w:keepNext/>
              <w:keepLines/>
              <w:rPr>
                <w:lang w:val="ru-RU"/>
              </w:rPr>
            </w:pPr>
            <w:r w:rsidRPr="00CA4C14">
              <w:rPr>
                <w:lang w:val="ru-RU"/>
              </w:rPr>
              <w:t>Фонд медицинского страхования ‎</w:t>
            </w:r>
          </w:p>
        </w:tc>
        <w:tc>
          <w:tcPr>
            <w:tcW w:w="779" w:type="pct"/>
            <w:noWrap/>
            <w:vAlign w:val="bottom"/>
            <w:hideMark/>
          </w:tcPr>
          <w:p w14:paraId="26DB8CFC" w14:textId="5D37599D" w:rsidR="00492C61" w:rsidRPr="00CA4C14" w:rsidRDefault="00492C61" w:rsidP="00C663FA">
            <w:pPr>
              <w:pStyle w:val="Tabletext"/>
              <w:keepNext/>
              <w:keepLines/>
              <w:jc w:val="right"/>
              <w:rPr>
                <w:b/>
                <w:bCs/>
                <w:lang w:val="ru-RU"/>
              </w:rPr>
            </w:pPr>
            <w:r w:rsidRPr="00CA4C14">
              <w:rPr>
                <w:b/>
                <w:bCs/>
                <w:lang w:val="ru-RU"/>
              </w:rPr>
              <w:t>1 272</w:t>
            </w:r>
          </w:p>
        </w:tc>
        <w:tc>
          <w:tcPr>
            <w:tcW w:w="769" w:type="pct"/>
            <w:noWrap/>
            <w:vAlign w:val="bottom"/>
            <w:hideMark/>
          </w:tcPr>
          <w:p w14:paraId="4FBC6E39" w14:textId="77777777" w:rsidR="00492C61" w:rsidRPr="00CA4C14" w:rsidRDefault="00492C61" w:rsidP="00C663FA">
            <w:pPr>
              <w:pStyle w:val="Tabletext"/>
              <w:keepNext/>
              <w:keepLines/>
              <w:jc w:val="right"/>
              <w:rPr>
                <w:lang w:val="ru-RU"/>
              </w:rPr>
            </w:pPr>
            <w:r w:rsidRPr="00CA4C14">
              <w:rPr>
                <w:rFonts w:cs="Calibri"/>
                <w:i/>
                <w:iCs/>
                <w:lang w:val="ru-RU"/>
              </w:rPr>
              <w:t>−</w:t>
            </w:r>
          </w:p>
        </w:tc>
        <w:tc>
          <w:tcPr>
            <w:tcW w:w="779" w:type="pct"/>
            <w:noWrap/>
            <w:vAlign w:val="bottom"/>
            <w:hideMark/>
          </w:tcPr>
          <w:p w14:paraId="0ADD4FE9" w14:textId="356E0B63" w:rsidR="00492C61" w:rsidRPr="00CA4C14" w:rsidRDefault="00492C61" w:rsidP="00C663FA">
            <w:pPr>
              <w:pStyle w:val="Tabletext"/>
              <w:keepNext/>
              <w:keepLines/>
              <w:jc w:val="right"/>
              <w:rPr>
                <w:b/>
                <w:bCs/>
                <w:lang w:val="ru-RU"/>
              </w:rPr>
            </w:pPr>
            <w:r w:rsidRPr="00CA4C14">
              <w:rPr>
                <w:b/>
                <w:bCs/>
                <w:lang w:val="ru-RU"/>
              </w:rPr>
              <w:t>1 272</w:t>
            </w:r>
          </w:p>
        </w:tc>
      </w:tr>
      <w:tr w:rsidR="00492C61" w:rsidRPr="00CA4C14" w14:paraId="63F9F29B" w14:textId="77777777" w:rsidTr="004A62DA">
        <w:tc>
          <w:tcPr>
            <w:tcW w:w="2673" w:type="pct"/>
            <w:shd w:val="clear" w:color="auto" w:fill="0070C0"/>
            <w:vAlign w:val="center"/>
            <w:hideMark/>
          </w:tcPr>
          <w:p w14:paraId="1C57E3D0" w14:textId="77777777" w:rsidR="00492C61" w:rsidRPr="00CA4C14" w:rsidRDefault="00492C61" w:rsidP="00C663FA">
            <w:pPr>
              <w:pStyle w:val="Tabletext"/>
              <w:rPr>
                <w:b/>
                <w:bCs/>
                <w:lang w:val="ru-RU"/>
              </w:rPr>
            </w:pPr>
            <w:r w:rsidRPr="00CA4C14">
              <w:rPr>
                <w:b/>
                <w:bCs/>
                <w:lang w:val="ru-RU"/>
              </w:rPr>
              <w:t>Всего чистые активы – прочие резервы и фонды</w:t>
            </w:r>
          </w:p>
        </w:tc>
        <w:tc>
          <w:tcPr>
            <w:tcW w:w="779" w:type="pct"/>
            <w:shd w:val="clear" w:color="auto" w:fill="0070C0"/>
            <w:noWrap/>
            <w:vAlign w:val="center"/>
            <w:hideMark/>
          </w:tcPr>
          <w:p w14:paraId="72CB5F2D" w14:textId="2F75C1DD" w:rsidR="00492C61" w:rsidRPr="00CA4C14" w:rsidRDefault="00492C61" w:rsidP="00C663FA">
            <w:pPr>
              <w:pStyle w:val="Tabletext"/>
              <w:jc w:val="right"/>
              <w:rPr>
                <w:b/>
                <w:bCs/>
                <w:lang w:val="ru-RU"/>
              </w:rPr>
            </w:pPr>
            <w:r w:rsidRPr="00CA4C14">
              <w:rPr>
                <w:b/>
                <w:bCs/>
                <w:lang w:val="ru-RU"/>
              </w:rPr>
              <w:t>65 557</w:t>
            </w:r>
          </w:p>
        </w:tc>
        <w:tc>
          <w:tcPr>
            <w:tcW w:w="769" w:type="pct"/>
            <w:shd w:val="clear" w:color="auto" w:fill="0070C0"/>
            <w:noWrap/>
            <w:vAlign w:val="center"/>
            <w:hideMark/>
          </w:tcPr>
          <w:p w14:paraId="7F0F3F86" w14:textId="539B0F5B" w:rsidR="00492C61" w:rsidRPr="00CA4C14" w:rsidRDefault="00492C61" w:rsidP="00C663FA">
            <w:pPr>
              <w:pStyle w:val="Tabletext"/>
              <w:jc w:val="right"/>
              <w:rPr>
                <w:b/>
                <w:bCs/>
                <w:lang w:val="ru-RU"/>
              </w:rPr>
            </w:pPr>
            <w:r w:rsidRPr="00CA4C14">
              <w:rPr>
                <w:b/>
                <w:bCs/>
                <w:lang w:val="ru-RU"/>
              </w:rPr>
              <w:t>1 235</w:t>
            </w:r>
          </w:p>
        </w:tc>
        <w:tc>
          <w:tcPr>
            <w:tcW w:w="779" w:type="pct"/>
            <w:shd w:val="clear" w:color="auto" w:fill="0070C0"/>
            <w:noWrap/>
            <w:vAlign w:val="center"/>
            <w:hideMark/>
          </w:tcPr>
          <w:p w14:paraId="0704F364" w14:textId="59B7A73C" w:rsidR="00492C61" w:rsidRPr="00CA4C14" w:rsidRDefault="00492C61" w:rsidP="00C663FA">
            <w:pPr>
              <w:pStyle w:val="Tabletext"/>
              <w:jc w:val="right"/>
              <w:rPr>
                <w:b/>
                <w:bCs/>
                <w:lang w:val="ru-RU"/>
              </w:rPr>
            </w:pPr>
            <w:r w:rsidRPr="00CA4C14">
              <w:rPr>
                <w:b/>
                <w:bCs/>
                <w:lang w:val="ru-RU"/>
              </w:rPr>
              <w:t>64 322</w:t>
            </w:r>
          </w:p>
        </w:tc>
      </w:tr>
    </w:tbl>
    <w:p w14:paraId="06DD15C1" w14:textId="77777777" w:rsidR="00492C61" w:rsidRPr="00CA4C14" w:rsidRDefault="00492C61" w:rsidP="00A7491F">
      <w:pPr>
        <w:pStyle w:val="Headingb"/>
        <w:rPr>
          <w:lang w:val="ru-RU"/>
        </w:rPr>
      </w:pPr>
      <w:r w:rsidRPr="00CA4C14">
        <w:rPr>
          <w:lang w:val="ru-RU"/>
        </w:rPr>
        <w:t>Внебюджетные резервы</w:t>
      </w:r>
    </w:p>
    <w:p w14:paraId="6A9840BD" w14:textId="77777777" w:rsidR="00492C61" w:rsidRPr="00CA4C14" w:rsidRDefault="00492C61" w:rsidP="00A7491F">
      <w:pPr>
        <w:rPr>
          <w:bCs/>
          <w:i/>
          <w:iCs/>
          <w:lang w:val="ru-RU"/>
        </w:rPr>
      </w:pPr>
      <w:r w:rsidRPr="00CA4C14">
        <w:rPr>
          <w:bCs/>
          <w:i/>
          <w:iCs/>
          <w:lang w:val="ru-RU"/>
        </w:rPr>
        <w:t>–</w:t>
      </w:r>
      <w:r w:rsidRPr="00CA4C14">
        <w:rPr>
          <w:bCs/>
          <w:i/>
          <w:iCs/>
          <w:lang w:val="ru-RU"/>
        </w:rPr>
        <w:tab/>
      </w:r>
      <w:r w:rsidRPr="00CA4C14">
        <w:rPr>
          <w:i/>
          <w:iCs/>
          <w:lang w:val="ru-RU"/>
        </w:rPr>
        <w:t>Внебюджетные целевые резервы</w:t>
      </w:r>
    </w:p>
    <w:p w14:paraId="6DF87244" w14:textId="77777777" w:rsidR="00492C61" w:rsidRPr="00CA4C14" w:rsidRDefault="00492C61" w:rsidP="003C6DB0">
      <w:pPr>
        <w:rPr>
          <w:highlight w:val="lightGray"/>
          <w:lang w:val="ru-RU"/>
        </w:rPr>
      </w:pPr>
      <w:bookmarkStart w:id="323" w:name="lt_pId695"/>
      <w:r w:rsidRPr="00CA4C14">
        <w:rPr>
          <w:lang w:val="ru-RU"/>
        </w:rPr>
        <w:t xml:space="preserve">Союз создал резервный счет, который пополняется за счет остатков текущих внутренних </w:t>
      </w:r>
      <w:r w:rsidRPr="00CA4C14">
        <w:rPr>
          <w:rFonts w:eastAsia="Calibri" w:cs="Calibri"/>
          <w:lang w:val="ru-RU"/>
        </w:rPr>
        <w:t>проектов</w:t>
      </w:r>
      <w:r w:rsidRPr="00CA4C14">
        <w:rPr>
          <w:lang w:val="ru-RU"/>
        </w:rPr>
        <w:t>. Движения на этом резервном счете представляют собой расходы, связанные с реализацией проектов, а также распределением внутренних средств, поступающих из регулярного бюджета или ФРИКТ</w:t>
      </w:r>
      <w:bookmarkEnd w:id="323"/>
      <w:r w:rsidRPr="00CA4C14">
        <w:rPr>
          <w:lang w:val="ru-RU"/>
        </w:rPr>
        <w:t>.</w:t>
      </w:r>
    </w:p>
    <w:p w14:paraId="34AA1708" w14:textId="77777777" w:rsidR="00492C61" w:rsidRPr="00CA4C14" w:rsidRDefault="00492C61" w:rsidP="00A7491F">
      <w:pPr>
        <w:rPr>
          <w:bCs/>
          <w:i/>
          <w:iCs/>
          <w:lang w:val="ru-RU"/>
        </w:rPr>
      </w:pPr>
      <w:r w:rsidRPr="00CA4C14">
        <w:rPr>
          <w:bCs/>
          <w:i/>
          <w:iCs/>
          <w:lang w:val="ru-RU"/>
        </w:rPr>
        <w:t>–</w:t>
      </w:r>
      <w:r w:rsidRPr="00CA4C14">
        <w:rPr>
          <w:lang w:val="ru-RU"/>
        </w:rPr>
        <w:tab/>
      </w:r>
      <w:r w:rsidRPr="00CA4C14">
        <w:rPr>
          <w:bCs/>
          <w:i/>
          <w:iCs/>
          <w:lang w:val="ru-RU"/>
        </w:rPr>
        <w:t>Целевые средства третьих сторон</w:t>
      </w:r>
    </w:p>
    <w:p w14:paraId="7C4259A8" w14:textId="761F5180" w:rsidR="00492C61" w:rsidRPr="00CA4C14" w:rsidRDefault="00492C61" w:rsidP="003C6DB0">
      <w:pPr>
        <w:rPr>
          <w:lang w:val="ru-RU"/>
        </w:rPr>
      </w:pPr>
      <w:r w:rsidRPr="00CA4C14">
        <w:rPr>
          <w:lang w:val="ru-RU"/>
        </w:rPr>
        <w:t>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Такие средства учитываются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целевых средствах третьих сторон в отчете о</w:t>
      </w:r>
      <w:r w:rsidR="004A62DA" w:rsidRPr="00CA4C14">
        <w:rPr>
          <w:lang w:val="ru-RU"/>
        </w:rPr>
        <w:t> </w:t>
      </w:r>
      <w:r w:rsidRPr="00CA4C14">
        <w:rPr>
          <w:lang w:val="ru-RU"/>
        </w:rPr>
        <w:t>финансовом положении. В ряде особых и исключительных случаев средства начисляются МСЭ как возмещение уже понесенных расходов.</w:t>
      </w:r>
    </w:p>
    <w:p w14:paraId="18767460" w14:textId="77777777" w:rsidR="00492C61" w:rsidRPr="00CA4C14" w:rsidRDefault="00492C61" w:rsidP="003C6DB0">
      <w:pPr>
        <w:pStyle w:val="enumlev1"/>
        <w:rPr>
          <w:bCs/>
          <w:i/>
          <w:iCs/>
          <w:lang w:val="ru-RU"/>
        </w:rPr>
      </w:pPr>
      <w:r w:rsidRPr="00CA4C14">
        <w:rPr>
          <w:bCs/>
          <w:i/>
          <w:iCs/>
          <w:lang w:val="ru-RU"/>
        </w:rPr>
        <w:t>–</w:t>
      </w:r>
      <w:r w:rsidRPr="00CA4C14">
        <w:rPr>
          <w:lang w:val="ru-RU"/>
        </w:rPr>
        <w:tab/>
      </w:r>
      <w:r w:rsidRPr="00CA4C14">
        <w:rPr>
          <w:bCs/>
          <w:i/>
          <w:iCs/>
          <w:lang w:val="ru-RU"/>
        </w:rPr>
        <w:t>Целевые средства третьих сторон распределяются следующим образом:</w:t>
      </w:r>
    </w:p>
    <w:p w14:paraId="135B418C" w14:textId="77777777" w:rsidR="00492C61" w:rsidRPr="00CA4C14" w:rsidRDefault="00492C61" w:rsidP="00716C6A">
      <w:pPr>
        <w:pStyle w:val="enumlev1"/>
        <w:rPr>
          <w:bCs/>
          <w:i/>
          <w:iCs/>
          <w:lang w:val="ru-RU"/>
        </w:rPr>
      </w:pPr>
      <w:r w:rsidRPr="00CA4C14">
        <w:rPr>
          <w:bCs/>
          <w:i/>
          <w:iCs/>
          <w:lang w:val="ru-RU"/>
        </w:rPr>
        <w:t>i</w:t>
      </w:r>
      <w:r w:rsidRPr="00CA4C14">
        <w:rPr>
          <w:bCs/>
          <w:i/>
          <w:iCs/>
          <w:lang w:val="ru-RU"/>
        </w:rPr>
        <w:tab/>
        <w:t>Целевые фонды</w:t>
      </w:r>
    </w:p>
    <w:p w14:paraId="2EEE53F4" w14:textId="77777777" w:rsidR="00492C61" w:rsidRPr="00CA4C14" w:rsidRDefault="00492C61" w:rsidP="003C6DB0">
      <w:pPr>
        <w:rPr>
          <w:lang w:val="ru-RU"/>
        </w:rPr>
      </w:pPr>
      <w:r w:rsidRPr="00CA4C14">
        <w:rPr>
          <w:lang w:val="ru-RU"/>
        </w:rPr>
        <w:t xml:space="preserve">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 В 2023 году с реализацией проектов были сопряжены вспомогательные затраты на сумму 1,014 </w:t>
      </w:r>
      <w:proofErr w:type="gramStart"/>
      <w:r w:rsidRPr="00CA4C14">
        <w:rPr>
          <w:lang w:val="ru-RU"/>
        </w:rPr>
        <w:t>млн.</w:t>
      </w:r>
      <w:proofErr w:type="gramEnd"/>
      <w:r w:rsidRPr="00CA4C14">
        <w:rPr>
          <w:lang w:val="ru-RU"/>
        </w:rPr>
        <w:t xml:space="preserve"> швейцарских франков; они были начислены на проекты и оплачены в бюджет МСЭ.</w:t>
      </w:r>
    </w:p>
    <w:p w14:paraId="0817850C" w14:textId="77777777" w:rsidR="00492C61" w:rsidRPr="00CA4C14" w:rsidRDefault="00492C61" w:rsidP="004A62DA">
      <w:pPr>
        <w:pStyle w:val="enumlev1"/>
        <w:keepNext/>
        <w:rPr>
          <w:bCs/>
          <w:i/>
          <w:iCs/>
          <w:lang w:val="ru-RU"/>
        </w:rPr>
      </w:pPr>
      <w:r w:rsidRPr="00CA4C14">
        <w:rPr>
          <w:bCs/>
          <w:i/>
          <w:iCs/>
          <w:lang w:val="ru-RU"/>
        </w:rPr>
        <w:lastRenderedPageBreak/>
        <w:t>ii</w:t>
      </w:r>
      <w:r w:rsidRPr="00CA4C14">
        <w:rPr>
          <w:bCs/>
          <w:i/>
          <w:iCs/>
          <w:lang w:val="ru-RU"/>
        </w:rPr>
        <w:tab/>
        <w:t>Добровольные взносы</w:t>
      </w:r>
    </w:p>
    <w:p w14:paraId="0957C2D4" w14:textId="77777777" w:rsidR="00492C61" w:rsidRPr="00CA4C14" w:rsidRDefault="00492C61" w:rsidP="003C6DB0">
      <w:pPr>
        <w:rPr>
          <w:lang w:val="ru-RU"/>
        </w:rPr>
      </w:pPr>
      <w:r w:rsidRPr="00CA4C14">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Такие взносы могут использоваться для финансирования долгосрочных видов деятельности. Они не приводят к появлению вспомогательных затрат.</w:t>
      </w:r>
    </w:p>
    <w:p w14:paraId="06D9EB9A" w14:textId="77777777" w:rsidR="00492C61" w:rsidRPr="00CA4C14" w:rsidRDefault="00492C61" w:rsidP="003C6DB0">
      <w:pPr>
        <w:rPr>
          <w:lang w:val="ru-RU"/>
        </w:rPr>
      </w:pPr>
      <w:r w:rsidRPr="00CA4C14">
        <w:rPr>
          <w:lang w:val="ru-RU"/>
        </w:rPr>
        <w:t>МСЭ ведет счета добровольных взносов в валюте поступившего взноса и управляет проектами на основании бюджета, выделенного в валюте финансирования, если не указано иное.</w:t>
      </w:r>
    </w:p>
    <w:p w14:paraId="71302957" w14:textId="77777777" w:rsidR="00492C61" w:rsidRPr="00CA4C14" w:rsidRDefault="00492C61" w:rsidP="00716C6A">
      <w:pPr>
        <w:pStyle w:val="enumlev1"/>
        <w:rPr>
          <w:lang w:val="ru-RU"/>
        </w:rPr>
      </w:pPr>
      <w:r w:rsidRPr="00CA4C14">
        <w:rPr>
          <w:bCs/>
          <w:i/>
          <w:iCs/>
          <w:lang w:val="ru-RU"/>
        </w:rPr>
        <w:t>–</w:t>
      </w:r>
      <w:r w:rsidRPr="00CA4C14">
        <w:rPr>
          <w:lang w:val="ru-RU"/>
        </w:rPr>
        <w:tab/>
      </w:r>
      <w:r w:rsidRPr="00CA4C14">
        <w:rPr>
          <w:i/>
          <w:iCs/>
          <w:lang w:val="ru-RU"/>
        </w:rPr>
        <w:t>Оборотный выставочный фонд МСЭ</w:t>
      </w:r>
    </w:p>
    <w:p w14:paraId="5FAEE9DC" w14:textId="77777777" w:rsidR="00492C61" w:rsidRPr="00CA4C14" w:rsidDel="00A54AD0" w:rsidRDefault="00492C61" w:rsidP="003C6DB0">
      <w:pPr>
        <w:rPr>
          <w:lang w:val="ru-RU"/>
        </w:rPr>
      </w:pPr>
      <w:r w:rsidRPr="00CA4C14">
        <w:rPr>
          <w:lang w:val="ru-RU"/>
        </w:rPr>
        <w:t xml:space="preserve">Оборотный выставочный фонд МСЭ: в ходе работы Полномочной конференции, состоявшейся в Бухаресте в 2022 году, Резолюция 11 была исключена, и было принято решение, что остаток средств Оборотного выставочного фонда (ОВФ) будет переведен в Фонд развития ИКТ после полного выполнения всех обязательств перед сотрудниками ITU TELECOM. В 2023 году в соответствии с Резолюцией 1418 в Фонд было перечислено 3 </w:t>
      </w:r>
      <w:proofErr w:type="gramStart"/>
      <w:r w:rsidRPr="00CA4C14">
        <w:rPr>
          <w:lang w:val="ru-RU"/>
        </w:rPr>
        <w:t>млн.</w:t>
      </w:r>
      <w:proofErr w:type="gramEnd"/>
      <w:r w:rsidRPr="00CA4C14">
        <w:rPr>
          <w:lang w:val="ru-RU"/>
        </w:rPr>
        <w:t xml:space="preserve"> швейцарских франков.</w:t>
      </w:r>
    </w:p>
    <w:p w14:paraId="544E957B" w14:textId="77777777" w:rsidR="00492C61" w:rsidRPr="00CA4C14" w:rsidRDefault="00492C61" w:rsidP="00716C6A">
      <w:pPr>
        <w:pStyle w:val="enumlev1"/>
        <w:rPr>
          <w:bCs/>
          <w:i/>
          <w:iCs/>
          <w:lang w:val="ru-RU"/>
        </w:rPr>
      </w:pPr>
      <w:r w:rsidRPr="00CA4C14">
        <w:rPr>
          <w:bCs/>
          <w:i/>
          <w:iCs/>
          <w:lang w:val="ru-RU"/>
        </w:rPr>
        <w:t>–</w:t>
      </w:r>
      <w:r w:rsidRPr="00CA4C14">
        <w:rPr>
          <w:lang w:val="ru-RU"/>
        </w:rPr>
        <w:tab/>
      </w:r>
      <w:r w:rsidRPr="00CA4C14">
        <w:rPr>
          <w:bCs/>
          <w:i/>
          <w:iCs/>
          <w:lang w:val="ru-RU"/>
        </w:rPr>
        <w:t>Фонд развития ИКТ</w:t>
      </w:r>
    </w:p>
    <w:p w14:paraId="65C9737C" w14:textId="77777777" w:rsidR="00492C61" w:rsidRPr="00CA4C14" w:rsidRDefault="00492C61" w:rsidP="003F0F05">
      <w:pPr>
        <w:rPr>
          <w:lang w:val="ru-RU"/>
        </w:rPr>
      </w:pPr>
      <w:r w:rsidRPr="00CA4C14">
        <w:rPr>
          <w:lang w:val="ru-RU"/>
        </w:rPr>
        <w:t xml:space="preserve">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информационно-коммуникационных </w:t>
      </w:r>
      <w:r w:rsidRPr="00CA4C14">
        <w:rPr>
          <w:rFonts w:eastAsia="Calibri" w:cs="Calibri"/>
          <w:lang w:val="ru-RU"/>
        </w:rPr>
        <w:t>технологий</w:t>
      </w:r>
      <w:r w:rsidRPr="00CA4C14">
        <w:rPr>
          <w:lang w:val="ru-RU"/>
        </w:rPr>
        <w:t xml:space="preserve">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деятельности учитываются только расходы. Такой же принцип применяется для проектов, финансируемых в рамках плана действий в области развития, поскольку средства, имеющиеся в распоряжении для этих программ, уже были учтены в качестве доходов в предыдущих финансовых периодах. В ФРИКТ также учитываются взносы членов или третьих сторон для финансирования различных проектов развития ИКТ.</w:t>
      </w:r>
    </w:p>
    <w:p w14:paraId="7C605A26" w14:textId="77777777" w:rsidR="00492C61" w:rsidRPr="00CA4C14" w:rsidRDefault="00492C61" w:rsidP="00716C6A">
      <w:pPr>
        <w:pStyle w:val="enumlev1"/>
        <w:rPr>
          <w:bCs/>
          <w:i/>
          <w:iCs/>
          <w:lang w:val="ru-RU"/>
        </w:rPr>
      </w:pPr>
      <w:r w:rsidRPr="00CA4C14">
        <w:rPr>
          <w:bCs/>
          <w:i/>
          <w:iCs/>
          <w:lang w:val="ru-RU"/>
        </w:rPr>
        <w:t>–</w:t>
      </w:r>
      <w:r w:rsidRPr="00CA4C14">
        <w:rPr>
          <w:lang w:val="ru-RU"/>
        </w:rPr>
        <w:tab/>
      </w:r>
      <w:r w:rsidRPr="00CA4C14">
        <w:rPr>
          <w:bCs/>
          <w:i/>
          <w:iCs/>
          <w:lang w:val="ru-RU"/>
        </w:rPr>
        <w:t>Внебюджетные нецелевые резервы</w:t>
      </w:r>
    </w:p>
    <w:p w14:paraId="176F588C" w14:textId="77777777" w:rsidR="00492C61" w:rsidRPr="00CA4C14" w:rsidRDefault="00492C61" w:rsidP="003C6DB0">
      <w:pPr>
        <w:rPr>
          <w:lang w:val="ru-RU"/>
        </w:rPr>
      </w:pPr>
      <w:r w:rsidRPr="00CA4C14">
        <w:rPr>
          <w:lang w:val="ru-RU"/>
        </w:rPr>
        <w:t>Союз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w:t>
      </w:r>
    </w:p>
    <w:p w14:paraId="25A4A656" w14:textId="77777777" w:rsidR="00492C61" w:rsidRPr="00CA4C14" w:rsidRDefault="00492C61" w:rsidP="00C663FA">
      <w:pPr>
        <w:keepNext/>
        <w:spacing w:after="120"/>
        <w:rPr>
          <w:lang w:val="ru-RU"/>
        </w:rPr>
      </w:pPr>
      <w:r w:rsidRPr="00CA4C14">
        <w:rPr>
          <w:lang w:val="ru-RU"/>
        </w:rPr>
        <w:t>Движение внебюджетных резервов МСЭ представлено в таблице ниже.</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6"/>
        <w:gridCol w:w="1736"/>
        <w:gridCol w:w="1736"/>
        <w:gridCol w:w="1733"/>
      </w:tblGrid>
      <w:tr w:rsidR="00492C61" w:rsidRPr="00CA4C14" w14:paraId="05651AA0" w14:textId="77777777" w:rsidTr="00EE4F94">
        <w:tc>
          <w:tcPr>
            <w:tcW w:w="2131" w:type="pct"/>
            <w:shd w:val="clear" w:color="auto" w:fill="0070C0"/>
            <w:vAlign w:val="center"/>
            <w:hideMark/>
          </w:tcPr>
          <w:p w14:paraId="388E02EA" w14:textId="77777777" w:rsidR="00492C61" w:rsidRPr="00CA4C14" w:rsidRDefault="00492C61" w:rsidP="00A404C2">
            <w:pPr>
              <w:pStyle w:val="Tablehead"/>
              <w:keepLines/>
              <w:rPr>
                <w:lang w:val="ru-RU"/>
              </w:rPr>
            </w:pPr>
            <w:r w:rsidRPr="00CA4C14">
              <w:rPr>
                <w:szCs w:val="18"/>
                <w:lang w:val="ru-RU" w:eastAsia="en-GB"/>
              </w:rPr>
              <w:t>Описание (тыс. шв. фр.)</w:t>
            </w:r>
          </w:p>
        </w:tc>
        <w:tc>
          <w:tcPr>
            <w:tcW w:w="957" w:type="pct"/>
            <w:shd w:val="clear" w:color="auto" w:fill="0070C0"/>
            <w:vAlign w:val="center"/>
            <w:hideMark/>
          </w:tcPr>
          <w:p w14:paraId="3B12A466" w14:textId="77777777" w:rsidR="00492C61" w:rsidRPr="00CA4C14" w:rsidRDefault="00492C61" w:rsidP="00A404C2">
            <w:pPr>
              <w:pStyle w:val="Tablehead"/>
              <w:keepLines/>
              <w:rPr>
                <w:lang w:val="ru-RU"/>
              </w:rPr>
            </w:pPr>
            <w:r w:rsidRPr="00CA4C14">
              <w:rPr>
                <w:lang w:val="ru-RU"/>
              </w:rPr>
              <w:t>31 декабря 2023 г.</w:t>
            </w:r>
          </w:p>
        </w:tc>
        <w:tc>
          <w:tcPr>
            <w:tcW w:w="957" w:type="pct"/>
            <w:shd w:val="clear" w:color="auto" w:fill="0070C0"/>
            <w:vAlign w:val="center"/>
            <w:hideMark/>
          </w:tcPr>
          <w:p w14:paraId="5539AB47" w14:textId="77777777" w:rsidR="00492C61" w:rsidRPr="00CA4C14" w:rsidRDefault="00492C61" w:rsidP="00A404C2">
            <w:pPr>
              <w:pStyle w:val="Tablehead"/>
              <w:keepLines/>
              <w:rPr>
                <w:lang w:val="ru-RU"/>
              </w:rPr>
            </w:pPr>
            <w:r w:rsidRPr="00CA4C14">
              <w:rPr>
                <w:szCs w:val="18"/>
                <w:lang w:val="ru-RU" w:eastAsia="en-GB"/>
              </w:rPr>
              <w:t>Активное сальдо/</w:t>
            </w:r>
            <w:r w:rsidRPr="00CA4C14">
              <w:rPr>
                <w:szCs w:val="18"/>
                <w:lang w:val="ru-RU" w:eastAsia="en-GB"/>
              </w:rPr>
              <w:br/>
              <w:t>(дефицит) − 2023 г.</w:t>
            </w:r>
          </w:p>
        </w:tc>
        <w:tc>
          <w:tcPr>
            <w:tcW w:w="955" w:type="pct"/>
            <w:shd w:val="clear" w:color="auto" w:fill="0070C0"/>
            <w:vAlign w:val="center"/>
            <w:hideMark/>
          </w:tcPr>
          <w:p w14:paraId="206CB4E9" w14:textId="77777777" w:rsidR="00492C61" w:rsidRPr="00CA4C14" w:rsidRDefault="00492C61" w:rsidP="00A404C2">
            <w:pPr>
              <w:pStyle w:val="Tablehead"/>
              <w:keepLines/>
              <w:rPr>
                <w:lang w:val="ru-RU"/>
              </w:rPr>
            </w:pPr>
            <w:r w:rsidRPr="00CA4C14">
              <w:rPr>
                <w:lang w:val="ru-RU"/>
              </w:rPr>
              <w:t>31 декабря 2022 г.</w:t>
            </w:r>
          </w:p>
        </w:tc>
      </w:tr>
      <w:tr w:rsidR="00492C61" w:rsidRPr="00CA4C14" w14:paraId="7213478F" w14:textId="77777777" w:rsidTr="00EE4F94">
        <w:tc>
          <w:tcPr>
            <w:tcW w:w="2131" w:type="pct"/>
            <w:hideMark/>
          </w:tcPr>
          <w:p w14:paraId="4A05DFC8" w14:textId="77777777" w:rsidR="00492C61" w:rsidRPr="00CA4C14" w:rsidRDefault="00492C61" w:rsidP="00A404C2">
            <w:pPr>
              <w:pStyle w:val="Tabletext"/>
              <w:keepNext/>
              <w:keepLines/>
              <w:rPr>
                <w:b/>
                <w:bCs/>
                <w:szCs w:val="18"/>
                <w:lang w:val="ru-RU"/>
              </w:rPr>
            </w:pPr>
            <w:r w:rsidRPr="00CA4C14">
              <w:rPr>
                <w:b/>
                <w:bCs/>
                <w:szCs w:val="18"/>
                <w:lang w:val="ru-RU" w:eastAsia="en-GB"/>
              </w:rPr>
              <w:t>Внебюджетные целевые резервы</w:t>
            </w:r>
          </w:p>
        </w:tc>
        <w:tc>
          <w:tcPr>
            <w:tcW w:w="957" w:type="pct"/>
            <w:noWrap/>
            <w:vAlign w:val="bottom"/>
            <w:hideMark/>
          </w:tcPr>
          <w:p w14:paraId="5E66CCCD" w14:textId="77777777" w:rsidR="00492C61" w:rsidRPr="00CA4C14" w:rsidRDefault="00492C61" w:rsidP="00A404C2">
            <w:pPr>
              <w:pStyle w:val="Tabletext"/>
              <w:keepNext/>
              <w:keepLines/>
              <w:jc w:val="right"/>
              <w:rPr>
                <w:b/>
                <w:bCs/>
                <w:lang w:val="ru-RU"/>
              </w:rPr>
            </w:pPr>
            <w:r w:rsidRPr="00CA4C14">
              <w:rPr>
                <w:b/>
                <w:bCs/>
                <w:lang w:val="ru-RU"/>
              </w:rPr>
              <w:t xml:space="preserve">7 023 </w:t>
            </w:r>
          </w:p>
        </w:tc>
        <w:tc>
          <w:tcPr>
            <w:tcW w:w="957" w:type="pct"/>
            <w:noWrap/>
            <w:vAlign w:val="bottom"/>
            <w:hideMark/>
          </w:tcPr>
          <w:p w14:paraId="28CBC9D0" w14:textId="77777777" w:rsidR="00492C61" w:rsidRPr="00CA4C14" w:rsidRDefault="00492C61" w:rsidP="00A404C2">
            <w:pPr>
              <w:pStyle w:val="Tabletext"/>
              <w:keepNext/>
              <w:keepLines/>
              <w:jc w:val="right"/>
              <w:rPr>
                <w:b/>
                <w:bCs/>
                <w:lang w:val="ru-RU"/>
              </w:rPr>
            </w:pPr>
            <w:r w:rsidRPr="00CA4C14">
              <w:rPr>
                <w:b/>
                <w:bCs/>
                <w:lang w:val="ru-RU"/>
              </w:rPr>
              <w:t>(3 333)</w:t>
            </w:r>
          </w:p>
        </w:tc>
        <w:tc>
          <w:tcPr>
            <w:tcW w:w="955" w:type="pct"/>
            <w:noWrap/>
            <w:vAlign w:val="bottom"/>
            <w:hideMark/>
          </w:tcPr>
          <w:p w14:paraId="2D09F546" w14:textId="77777777" w:rsidR="00492C61" w:rsidRPr="00CA4C14" w:rsidRDefault="00492C61" w:rsidP="00A404C2">
            <w:pPr>
              <w:pStyle w:val="Tabletext"/>
              <w:keepNext/>
              <w:keepLines/>
              <w:jc w:val="right"/>
              <w:rPr>
                <w:b/>
                <w:bCs/>
                <w:lang w:val="ru-RU"/>
              </w:rPr>
            </w:pPr>
            <w:r w:rsidRPr="00CA4C14">
              <w:rPr>
                <w:b/>
                <w:bCs/>
                <w:lang w:val="ru-RU"/>
              </w:rPr>
              <w:t xml:space="preserve">10 356 </w:t>
            </w:r>
          </w:p>
        </w:tc>
      </w:tr>
      <w:tr w:rsidR="00492C61" w:rsidRPr="00CA4C14" w14:paraId="243560F4" w14:textId="77777777" w:rsidTr="00EE4F94">
        <w:tc>
          <w:tcPr>
            <w:tcW w:w="2131" w:type="pct"/>
            <w:hideMark/>
          </w:tcPr>
          <w:p w14:paraId="68AD1D93" w14:textId="77777777" w:rsidR="00492C61" w:rsidRPr="00CA4C14" w:rsidRDefault="00492C61" w:rsidP="00A404C2">
            <w:pPr>
              <w:pStyle w:val="Tabletext"/>
              <w:keepNext/>
              <w:keepLines/>
              <w:rPr>
                <w:szCs w:val="18"/>
                <w:lang w:val="ru-RU"/>
              </w:rPr>
            </w:pPr>
            <w:r w:rsidRPr="00CA4C14">
              <w:rPr>
                <w:rFonts w:cs="Calibri"/>
                <w:szCs w:val="18"/>
                <w:lang w:val="ru-RU"/>
              </w:rPr>
              <w:t>−</w:t>
            </w:r>
            <w:r w:rsidRPr="00CA4C14">
              <w:rPr>
                <w:szCs w:val="18"/>
                <w:lang w:val="ru-RU"/>
              </w:rPr>
              <w:t xml:space="preserve"> </w:t>
            </w:r>
            <w:r w:rsidRPr="00CA4C14">
              <w:rPr>
                <w:szCs w:val="18"/>
                <w:lang w:val="ru-RU" w:eastAsia="en-GB"/>
              </w:rPr>
              <w:t>Внебюджетные целевые резервы</w:t>
            </w:r>
          </w:p>
        </w:tc>
        <w:tc>
          <w:tcPr>
            <w:tcW w:w="957" w:type="pct"/>
            <w:noWrap/>
            <w:vAlign w:val="bottom"/>
            <w:hideMark/>
          </w:tcPr>
          <w:p w14:paraId="54548E81" w14:textId="77777777" w:rsidR="00492C61" w:rsidRPr="00CA4C14" w:rsidRDefault="00492C61" w:rsidP="00A404C2">
            <w:pPr>
              <w:pStyle w:val="Tabletext"/>
              <w:keepNext/>
              <w:keepLines/>
              <w:jc w:val="right"/>
              <w:rPr>
                <w:lang w:val="ru-RU"/>
              </w:rPr>
            </w:pPr>
            <w:r w:rsidRPr="00CA4C14">
              <w:rPr>
                <w:lang w:val="ru-RU"/>
              </w:rPr>
              <w:t xml:space="preserve">6 367 </w:t>
            </w:r>
          </w:p>
        </w:tc>
        <w:tc>
          <w:tcPr>
            <w:tcW w:w="957" w:type="pct"/>
            <w:noWrap/>
            <w:vAlign w:val="bottom"/>
            <w:hideMark/>
          </w:tcPr>
          <w:p w14:paraId="4AEBDF9A" w14:textId="77777777" w:rsidR="00492C61" w:rsidRPr="00CA4C14" w:rsidRDefault="00492C61" w:rsidP="00A404C2">
            <w:pPr>
              <w:pStyle w:val="Tabletext"/>
              <w:keepNext/>
              <w:keepLines/>
              <w:jc w:val="right"/>
              <w:rPr>
                <w:lang w:val="ru-RU"/>
              </w:rPr>
            </w:pPr>
            <w:r w:rsidRPr="00CA4C14">
              <w:rPr>
                <w:lang w:val="ru-RU"/>
              </w:rPr>
              <w:t>(212)</w:t>
            </w:r>
          </w:p>
        </w:tc>
        <w:tc>
          <w:tcPr>
            <w:tcW w:w="955" w:type="pct"/>
            <w:noWrap/>
            <w:vAlign w:val="bottom"/>
            <w:hideMark/>
          </w:tcPr>
          <w:p w14:paraId="55EDF0A2" w14:textId="77777777" w:rsidR="00492C61" w:rsidRPr="00CA4C14" w:rsidRDefault="00492C61" w:rsidP="00A404C2">
            <w:pPr>
              <w:pStyle w:val="Tabletext"/>
              <w:keepNext/>
              <w:keepLines/>
              <w:jc w:val="right"/>
              <w:rPr>
                <w:lang w:val="ru-RU"/>
              </w:rPr>
            </w:pPr>
            <w:r w:rsidRPr="00CA4C14">
              <w:rPr>
                <w:lang w:val="ru-RU"/>
              </w:rPr>
              <w:t xml:space="preserve">6 579 </w:t>
            </w:r>
          </w:p>
        </w:tc>
      </w:tr>
      <w:tr w:rsidR="00492C61" w:rsidRPr="00CA4C14" w14:paraId="31F65B91" w14:textId="77777777" w:rsidTr="00EE4F94">
        <w:tc>
          <w:tcPr>
            <w:tcW w:w="2131" w:type="pct"/>
            <w:hideMark/>
          </w:tcPr>
          <w:p w14:paraId="2ED52BE9" w14:textId="77777777" w:rsidR="00492C61" w:rsidRPr="00CA4C14" w:rsidRDefault="00492C61" w:rsidP="00A404C2">
            <w:pPr>
              <w:pStyle w:val="Tabletext"/>
              <w:keepNext/>
              <w:keepLines/>
              <w:rPr>
                <w:szCs w:val="18"/>
                <w:lang w:val="ru-RU"/>
              </w:rPr>
            </w:pPr>
            <w:r w:rsidRPr="00CA4C14">
              <w:rPr>
                <w:rFonts w:cs="Calibri"/>
                <w:szCs w:val="18"/>
                <w:lang w:val="ru-RU"/>
              </w:rPr>
              <w:t>−</w:t>
            </w:r>
            <w:r w:rsidRPr="00CA4C14">
              <w:rPr>
                <w:szCs w:val="18"/>
                <w:lang w:val="ru-RU"/>
              </w:rPr>
              <w:t xml:space="preserve"> </w:t>
            </w:r>
            <w:r w:rsidRPr="00CA4C14">
              <w:rPr>
                <w:szCs w:val="18"/>
                <w:lang w:val="ru-RU" w:eastAsia="en-GB"/>
              </w:rPr>
              <w:t>Оборотный выставочный фонд МСЭ</w:t>
            </w:r>
          </w:p>
        </w:tc>
        <w:tc>
          <w:tcPr>
            <w:tcW w:w="957" w:type="pct"/>
            <w:noWrap/>
            <w:vAlign w:val="bottom"/>
            <w:hideMark/>
          </w:tcPr>
          <w:p w14:paraId="4302571F" w14:textId="77777777" w:rsidR="00492C61" w:rsidRPr="00CA4C14" w:rsidRDefault="00492C61" w:rsidP="00A404C2">
            <w:pPr>
              <w:pStyle w:val="Tabletext"/>
              <w:keepNext/>
              <w:keepLines/>
              <w:jc w:val="right"/>
              <w:rPr>
                <w:lang w:val="ru-RU"/>
              </w:rPr>
            </w:pPr>
            <w:r w:rsidRPr="00CA4C14">
              <w:rPr>
                <w:lang w:val="ru-RU"/>
              </w:rPr>
              <w:t xml:space="preserve">656 </w:t>
            </w:r>
          </w:p>
        </w:tc>
        <w:tc>
          <w:tcPr>
            <w:tcW w:w="957" w:type="pct"/>
            <w:noWrap/>
            <w:vAlign w:val="bottom"/>
            <w:hideMark/>
          </w:tcPr>
          <w:p w14:paraId="4BD5130F" w14:textId="77777777" w:rsidR="00492C61" w:rsidRPr="00CA4C14" w:rsidRDefault="00492C61" w:rsidP="00A404C2">
            <w:pPr>
              <w:pStyle w:val="Tabletext"/>
              <w:keepNext/>
              <w:keepLines/>
              <w:jc w:val="right"/>
              <w:rPr>
                <w:lang w:val="ru-RU"/>
              </w:rPr>
            </w:pPr>
            <w:r w:rsidRPr="00CA4C14">
              <w:rPr>
                <w:lang w:val="ru-RU"/>
              </w:rPr>
              <w:t>(3 121)</w:t>
            </w:r>
          </w:p>
        </w:tc>
        <w:tc>
          <w:tcPr>
            <w:tcW w:w="955" w:type="pct"/>
            <w:noWrap/>
            <w:vAlign w:val="bottom"/>
            <w:hideMark/>
          </w:tcPr>
          <w:p w14:paraId="4848F546" w14:textId="77777777" w:rsidR="00492C61" w:rsidRPr="00CA4C14" w:rsidRDefault="00492C61" w:rsidP="00A404C2">
            <w:pPr>
              <w:pStyle w:val="Tabletext"/>
              <w:keepNext/>
              <w:keepLines/>
              <w:jc w:val="right"/>
              <w:rPr>
                <w:lang w:val="ru-RU"/>
              </w:rPr>
            </w:pPr>
            <w:r w:rsidRPr="00CA4C14">
              <w:rPr>
                <w:lang w:val="ru-RU"/>
              </w:rPr>
              <w:t xml:space="preserve">3 777 </w:t>
            </w:r>
          </w:p>
        </w:tc>
      </w:tr>
      <w:tr w:rsidR="00492C61" w:rsidRPr="00CA4C14" w14:paraId="7CB7D8C3" w14:textId="77777777" w:rsidTr="00EE4F94">
        <w:tc>
          <w:tcPr>
            <w:tcW w:w="2131" w:type="pct"/>
            <w:hideMark/>
          </w:tcPr>
          <w:p w14:paraId="53239B0C" w14:textId="77777777" w:rsidR="00492C61" w:rsidRPr="00CA4C14" w:rsidRDefault="00492C61" w:rsidP="00A404C2">
            <w:pPr>
              <w:pStyle w:val="Tabletext"/>
              <w:keepNext/>
              <w:keepLines/>
              <w:spacing w:before="0" w:after="0"/>
              <w:rPr>
                <w:szCs w:val="18"/>
                <w:lang w:val="ru-RU"/>
              </w:rPr>
            </w:pPr>
          </w:p>
        </w:tc>
        <w:tc>
          <w:tcPr>
            <w:tcW w:w="957" w:type="pct"/>
            <w:noWrap/>
            <w:vAlign w:val="bottom"/>
            <w:hideMark/>
          </w:tcPr>
          <w:p w14:paraId="17FFFF3E" w14:textId="77777777" w:rsidR="00492C61" w:rsidRPr="00CA4C14" w:rsidRDefault="00492C61" w:rsidP="00A404C2">
            <w:pPr>
              <w:pStyle w:val="Tabletext"/>
              <w:keepNext/>
              <w:keepLines/>
              <w:spacing w:before="0" w:after="0"/>
              <w:jc w:val="right"/>
              <w:rPr>
                <w:lang w:val="ru-RU"/>
              </w:rPr>
            </w:pPr>
          </w:p>
        </w:tc>
        <w:tc>
          <w:tcPr>
            <w:tcW w:w="957" w:type="pct"/>
            <w:noWrap/>
            <w:vAlign w:val="bottom"/>
            <w:hideMark/>
          </w:tcPr>
          <w:p w14:paraId="52EFA5DE" w14:textId="77777777" w:rsidR="00492C61" w:rsidRPr="00CA4C14" w:rsidRDefault="00492C61" w:rsidP="00A404C2">
            <w:pPr>
              <w:pStyle w:val="Tabletext"/>
              <w:keepNext/>
              <w:keepLines/>
              <w:spacing w:before="0" w:after="0"/>
              <w:jc w:val="right"/>
              <w:rPr>
                <w:lang w:val="ru-RU"/>
              </w:rPr>
            </w:pPr>
          </w:p>
        </w:tc>
        <w:tc>
          <w:tcPr>
            <w:tcW w:w="955" w:type="pct"/>
            <w:noWrap/>
            <w:vAlign w:val="bottom"/>
            <w:hideMark/>
          </w:tcPr>
          <w:p w14:paraId="4EBB2644" w14:textId="77777777" w:rsidR="00492C61" w:rsidRPr="00CA4C14" w:rsidRDefault="00492C61" w:rsidP="00A404C2">
            <w:pPr>
              <w:pStyle w:val="Tabletext"/>
              <w:keepNext/>
              <w:keepLines/>
              <w:spacing w:before="0" w:after="0"/>
              <w:jc w:val="right"/>
              <w:rPr>
                <w:lang w:val="ru-RU"/>
              </w:rPr>
            </w:pPr>
          </w:p>
        </w:tc>
      </w:tr>
      <w:tr w:rsidR="00492C61" w:rsidRPr="00CA4C14" w14:paraId="2C8E9AB0" w14:textId="77777777" w:rsidTr="00EE4F94">
        <w:tc>
          <w:tcPr>
            <w:tcW w:w="2131" w:type="pct"/>
            <w:hideMark/>
          </w:tcPr>
          <w:p w14:paraId="3403BDC8" w14:textId="77777777" w:rsidR="00492C61" w:rsidRPr="00CA4C14" w:rsidRDefault="00492C61" w:rsidP="00A404C2">
            <w:pPr>
              <w:pStyle w:val="Tabletext"/>
              <w:keepNext/>
              <w:keepLines/>
              <w:rPr>
                <w:b/>
                <w:bCs/>
                <w:szCs w:val="18"/>
                <w:lang w:val="ru-RU"/>
              </w:rPr>
            </w:pPr>
            <w:r w:rsidRPr="00CA4C14">
              <w:rPr>
                <w:b/>
                <w:bCs/>
                <w:szCs w:val="18"/>
                <w:lang w:val="ru-RU"/>
              </w:rPr>
              <w:t>Внебюджетные нецелевые резервы</w:t>
            </w:r>
          </w:p>
        </w:tc>
        <w:tc>
          <w:tcPr>
            <w:tcW w:w="957" w:type="pct"/>
            <w:noWrap/>
            <w:vAlign w:val="bottom"/>
            <w:hideMark/>
          </w:tcPr>
          <w:p w14:paraId="0E946EC3" w14:textId="77777777" w:rsidR="00492C61" w:rsidRPr="00CA4C14" w:rsidRDefault="00492C61" w:rsidP="00A404C2">
            <w:pPr>
              <w:pStyle w:val="Tabletext"/>
              <w:keepNext/>
              <w:keepLines/>
              <w:jc w:val="right"/>
              <w:rPr>
                <w:b/>
                <w:bCs/>
                <w:lang w:val="ru-RU"/>
              </w:rPr>
            </w:pPr>
            <w:r w:rsidRPr="00CA4C14">
              <w:rPr>
                <w:b/>
                <w:bCs/>
                <w:lang w:val="ru-RU"/>
              </w:rPr>
              <w:t xml:space="preserve">6 330 </w:t>
            </w:r>
          </w:p>
        </w:tc>
        <w:tc>
          <w:tcPr>
            <w:tcW w:w="957" w:type="pct"/>
            <w:noWrap/>
            <w:vAlign w:val="bottom"/>
            <w:hideMark/>
          </w:tcPr>
          <w:p w14:paraId="6F69DECB" w14:textId="77777777" w:rsidR="00492C61" w:rsidRPr="00CA4C14" w:rsidRDefault="00492C61" w:rsidP="00A404C2">
            <w:pPr>
              <w:pStyle w:val="Tabletext"/>
              <w:keepNext/>
              <w:keepLines/>
              <w:jc w:val="right"/>
              <w:rPr>
                <w:b/>
                <w:bCs/>
                <w:lang w:val="ru-RU"/>
              </w:rPr>
            </w:pPr>
            <w:r w:rsidRPr="00CA4C14">
              <w:rPr>
                <w:b/>
                <w:bCs/>
                <w:lang w:val="ru-RU"/>
              </w:rPr>
              <w:t xml:space="preserve">2 650 </w:t>
            </w:r>
          </w:p>
        </w:tc>
        <w:tc>
          <w:tcPr>
            <w:tcW w:w="955" w:type="pct"/>
            <w:noWrap/>
            <w:vAlign w:val="bottom"/>
            <w:hideMark/>
          </w:tcPr>
          <w:p w14:paraId="4B94F52D" w14:textId="77777777" w:rsidR="00492C61" w:rsidRPr="00CA4C14" w:rsidRDefault="00492C61" w:rsidP="00A404C2">
            <w:pPr>
              <w:pStyle w:val="Tabletext"/>
              <w:keepNext/>
              <w:keepLines/>
              <w:jc w:val="right"/>
              <w:rPr>
                <w:b/>
                <w:bCs/>
                <w:lang w:val="ru-RU"/>
              </w:rPr>
            </w:pPr>
            <w:r w:rsidRPr="00CA4C14">
              <w:rPr>
                <w:b/>
                <w:bCs/>
                <w:lang w:val="ru-RU"/>
              </w:rPr>
              <w:t xml:space="preserve">3 680 </w:t>
            </w:r>
          </w:p>
        </w:tc>
      </w:tr>
      <w:tr w:rsidR="00492C61" w:rsidRPr="00CA4C14" w14:paraId="3AC58A55" w14:textId="77777777" w:rsidTr="00EE4F94">
        <w:tc>
          <w:tcPr>
            <w:tcW w:w="2131" w:type="pct"/>
            <w:hideMark/>
          </w:tcPr>
          <w:p w14:paraId="75D11585" w14:textId="77777777" w:rsidR="00492C61" w:rsidRPr="00CA4C14" w:rsidRDefault="00492C61" w:rsidP="00A404C2">
            <w:pPr>
              <w:pStyle w:val="Tabletext"/>
              <w:keepNext/>
              <w:keepLines/>
              <w:rPr>
                <w:szCs w:val="18"/>
                <w:lang w:val="ru-RU"/>
              </w:rPr>
            </w:pPr>
            <w:r w:rsidRPr="00CA4C14">
              <w:rPr>
                <w:rFonts w:cs="Calibri"/>
                <w:szCs w:val="18"/>
                <w:lang w:val="ru-RU"/>
              </w:rPr>
              <w:t>−</w:t>
            </w:r>
            <w:r w:rsidRPr="00CA4C14">
              <w:rPr>
                <w:szCs w:val="18"/>
                <w:lang w:val="ru-RU"/>
              </w:rPr>
              <w:t xml:space="preserve"> Фонд развития ИКТ</w:t>
            </w:r>
          </w:p>
        </w:tc>
        <w:tc>
          <w:tcPr>
            <w:tcW w:w="957" w:type="pct"/>
            <w:noWrap/>
            <w:vAlign w:val="bottom"/>
            <w:hideMark/>
          </w:tcPr>
          <w:p w14:paraId="7133895F" w14:textId="77777777" w:rsidR="00492C61" w:rsidRPr="00CA4C14" w:rsidRDefault="00492C61" w:rsidP="00A404C2">
            <w:pPr>
              <w:pStyle w:val="Tabletext"/>
              <w:keepNext/>
              <w:keepLines/>
              <w:jc w:val="right"/>
              <w:rPr>
                <w:lang w:val="ru-RU"/>
              </w:rPr>
            </w:pPr>
            <w:r w:rsidRPr="00CA4C14">
              <w:rPr>
                <w:lang w:val="ru-RU"/>
              </w:rPr>
              <w:t xml:space="preserve">5 699 </w:t>
            </w:r>
          </w:p>
        </w:tc>
        <w:tc>
          <w:tcPr>
            <w:tcW w:w="957" w:type="pct"/>
            <w:noWrap/>
            <w:vAlign w:val="bottom"/>
            <w:hideMark/>
          </w:tcPr>
          <w:p w14:paraId="6129FDAB" w14:textId="77777777" w:rsidR="00492C61" w:rsidRPr="00CA4C14" w:rsidRDefault="00492C61" w:rsidP="00A404C2">
            <w:pPr>
              <w:pStyle w:val="Tabletext"/>
              <w:keepNext/>
              <w:keepLines/>
              <w:jc w:val="right"/>
              <w:rPr>
                <w:lang w:val="ru-RU"/>
              </w:rPr>
            </w:pPr>
            <w:r w:rsidRPr="00CA4C14">
              <w:rPr>
                <w:lang w:val="ru-RU"/>
              </w:rPr>
              <w:t xml:space="preserve">3 009 </w:t>
            </w:r>
          </w:p>
        </w:tc>
        <w:tc>
          <w:tcPr>
            <w:tcW w:w="955" w:type="pct"/>
            <w:noWrap/>
            <w:vAlign w:val="bottom"/>
            <w:hideMark/>
          </w:tcPr>
          <w:p w14:paraId="22F56237" w14:textId="77777777" w:rsidR="00492C61" w:rsidRPr="00CA4C14" w:rsidRDefault="00492C61" w:rsidP="00A404C2">
            <w:pPr>
              <w:pStyle w:val="Tabletext"/>
              <w:keepNext/>
              <w:keepLines/>
              <w:jc w:val="right"/>
              <w:rPr>
                <w:lang w:val="ru-RU"/>
              </w:rPr>
            </w:pPr>
            <w:r w:rsidRPr="00CA4C14">
              <w:rPr>
                <w:lang w:val="ru-RU"/>
              </w:rPr>
              <w:t xml:space="preserve">2 690 </w:t>
            </w:r>
          </w:p>
        </w:tc>
      </w:tr>
      <w:tr w:rsidR="00492C61" w:rsidRPr="00CA4C14" w14:paraId="193010BA" w14:textId="77777777" w:rsidTr="00EE4F94">
        <w:tc>
          <w:tcPr>
            <w:tcW w:w="2131" w:type="pct"/>
            <w:hideMark/>
          </w:tcPr>
          <w:p w14:paraId="4758BB1E" w14:textId="77777777" w:rsidR="00492C61" w:rsidRPr="00CA4C14" w:rsidRDefault="00492C61" w:rsidP="00A404C2">
            <w:pPr>
              <w:pStyle w:val="Tabletext"/>
              <w:keepNext/>
              <w:keepLines/>
              <w:rPr>
                <w:szCs w:val="18"/>
                <w:lang w:val="ru-RU"/>
              </w:rPr>
            </w:pPr>
            <w:r w:rsidRPr="00CA4C14">
              <w:rPr>
                <w:rFonts w:cs="Calibri"/>
                <w:szCs w:val="18"/>
                <w:lang w:val="ru-RU"/>
              </w:rPr>
              <w:t>−</w:t>
            </w:r>
            <w:r w:rsidRPr="00CA4C14">
              <w:rPr>
                <w:szCs w:val="18"/>
                <w:lang w:val="ru-RU"/>
              </w:rPr>
              <w:t xml:space="preserve"> Прочие внебюджетные нецелевые резервы</w:t>
            </w:r>
          </w:p>
        </w:tc>
        <w:tc>
          <w:tcPr>
            <w:tcW w:w="957" w:type="pct"/>
            <w:noWrap/>
            <w:vAlign w:val="bottom"/>
            <w:hideMark/>
          </w:tcPr>
          <w:p w14:paraId="320F3861" w14:textId="77777777" w:rsidR="00492C61" w:rsidRPr="00CA4C14" w:rsidRDefault="00492C61" w:rsidP="00A404C2">
            <w:pPr>
              <w:pStyle w:val="Tabletext"/>
              <w:keepNext/>
              <w:keepLines/>
              <w:jc w:val="right"/>
              <w:rPr>
                <w:lang w:val="ru-RU"/>
              </w:rPr>
            </w:pPr>
            <w:r w:rsidRPr="00CA4C14">
              <w:rPr>
                <w:lang w:val="ru-RU"/>
              </w:rPr>
              <w:t xml:space="preserve">631 </w:t>
            </w:r>
          </w:p>
        </w:tc>
        <w:tc>
          <w:tcPr>
            <w:tcW w:w="957" w:type="pct"/>
            <w:noWrap/>
            <w:vAlign w:val="bottom"/>
            <w:hideMark/>
          </w:tcPr>
          <w:p w14:paraId="0CF2A9D9" w14:textId="77777777" w:rsidR="00492C61" w:rsidRPr="00CA4C14" w:rsidRDefault="00492C61" w:rsidP="00A404C2">
            <w:pPr>
              <w:pStyle w:val="Tabletext"/>
              <w:keepNext/>
              <w:keepLines/>
              <w:jc w:val="right"/>
              <w:rPr>
                <w:lang w:val="ru-RU"/>
              </w:rPr>
            </w:pPr>
            <w:r w:rsidRPr="00CA4C14">
              <w:rPr>
                <w:lang w:val="ru-RU"/>
              </w:rPr>
              <w:t>(359)</w:t>
            </w:r>
          </w:p>
        </w:tc>
        <w:tc>
          <w:tcPr>
            <w:tcW w:w="955" w:type="pct"/>
            <w:noWrap/>
            <w:vAlign w:val="bottom"/>
            <w:hideMark/>
          </w:tcPr>
          <w:p w14:paraId="546A9DAE" w14:textId="77777777" w:rsidR="00492C61" w:rsidRPr="00CA4C14" w:rsidRDefault="00492C61" w:rsidP="00A404C2">
            <w:pPr>
              <w:pStyle w:val="Tabletext"/>
              <w:keepNext/>
              <w:keepLines/>
              <w:jc w:val="right"/>
              <w:rPr>
                <w:lang w:val="ru-RU"/>
              </w:rPr>
            </w:pPr>
            <w:r w:rsidRPr="00CA4C14">
              <w:rPr>
                <w:lang w:val="ru-RU"/>
              </w:rPr>
              <w:t xml:space="preserve">990 </w:t>
            </w:r>
          </w:p>
        </w:tc>
      </w:tr>
      <w:tr w:rsidR="00492C61" w:rsidRPr="00CA4C14" w14:paraId="1DFD535B" w14:textId="77777777" w:rsidTr="00EE4F94">
        <w:tc>
          <w:tcPr>
            <w:tcW w:w="2131" w:type="pct"/>
            <w:shd w:val="clear" w:color="auto" w:fill="0070C0"/>
            <w:vAlign w:val="center"/>
            <w:hideMark/>
          </w:tcPr>
          <w:p w14:paraId="7308D680" w14:textId="77777777" w:rsidR="00492C61" w:rsidRPr="00CA4C14" w:rsidRDefault="00492C61" w:rsidP="00A404C2">
            <w:pPr>
              <w:pStyle w:val="Tabletext"/>
              <w:keepLines/>
              <w:rPr>
                <w:b/>
                <w:bCs/>
                <w:szCs w:val="18"/>
                <w:lang w:val="ru-RU"/>
              </w:rPr>
            </w:pPr>
            <w:r w:rsidRPr="00CA4C14">
              <w:rPr>
                <w:b/>
                <w:bCs/>
                <w:szCs w:val="18"/>
                <w:lang w:val="ru-RU" w:eastAsia="en-GB"/>
              </w:rPr>
              <w:t>Всего чистые активы</w:t>
            </w:r>
            <w:r w:rsidRPr="00CA4C14">
              <w:rPr>
                <w:b/>
                <w:bCs/>
                <w:szCs w:val="18"/>
                <w:lang w:val="ru-RU"/>
              </w:rPr>
              <w:t xml:space="preserve"> </w:t>
            </w:r>
            <w:r w:rsidRPr="00CA4C14">
              <w:rPr>
                <w:rFonts w:cs="Calibri"/>
                <w:b/>
                <w:bCs/>
                <w:szCs w:val="18"/>
                <w:lang w:val="ru-RU"/>
              </w:rPr>
              <w:t>−</w:t>
            </w:r>
            <w:r w:rsidRPr="00CA4C14">
              <w:rPr>
                <w:b/>
                <w:bCs/>
                <w:szCs w:val="18"/>
                <w:lang w:val="ru-RU"/>
              </w:rPr>
              <w:t xml:space="preserve"> Внебюджетные резервы</w:t>
            </w:r>
          </w:p>
        </w:tc>
        <w:tc>
          <w:tcPr>
            <w:tcW w:w="957" w:type="pct"/>
            <w:shd w:val="clear" w:color="auto" w:fill="0070C0"/>
            <w:noWrap/>
            <w:vAlign w:val="center"/>
            <w:hideMark/>
          </w:tcPr>
          <w:p w14:paraId="3519D819" w14:textId="77777777" w:rsidR="00492C61" w:rsidRPr="00CA4C14" w:rsidRDefault="00492C61" w:rsidP="00A404C2">
            <w:pPr>
              <w:pStyle w:val="Tabletext"/>
              <w:keepLines/>
              <w:jc w:val="right"/>
              <w:rPr>
                <w:b/>
                <w:bCs/>
                <w:lang w:val="ru-RU"/>
              </w:rPr>
            </w:pPr>
            <w:r w:rsidRPr="00CA4C14">
              <w:rPr>
                <w:b/>
                <w:bCs/>
                <w:lang w:val="ru-RU"/>
              </w:rPr>
              <w:t xml:space="preserve">13 353 </w:t>
            </w:r>
          </w:p>
        </w:tc>
        <w:tc>
          <w:tcPr>
            <w:tcW w:w="957" w:type="pct"/>
            <w:shd w:val="clear" w:color="auto" w:fill="0070C0"/>
            <w:noWrap/>
            <w:vAlign w:val="center"/>
            <w:hideMark/>
          </w:tcPr>
          <w:p w14:paraId="3B840AA1" w14:textId="77777777" w:rsidR="00492C61" w:rsidRPr="00CA4C14" w:rsidRDefault="00492C61" w:rsidP="00A404C2">
            <w:pPr>
              <w:pStyle w:val="Tabletext"/>
              <w:keepLines/>
              <w:jc w:val="right"/>
              <w:rPr>
                <w:b/>
                <w:bCs/>
                <w:lang w:val="ru-RU"/>
              </w:rPr>
            </w:pPr>
            <w:r w:rsidRPr="00CA4C14">
              <w:rPr>
                <w:b/>
                <w:bCs/>
                <w:lang w:val="ru-RU"/>
              </w:rPr>
              <w:t>(683)</w:t>
            </w:r>
          </w:p>
        </w:tc>
        <w:tc>
          <w:tcPr>
            <w:tcW w:w="955" w:type="pct"/>
            <w:shd w:val="clear" w:color="auto" w:fill="0070C0"/>
            <w:noWrap/>
            <w:vAlign w:val="center"/>
            <w:hideMark/>
          </w:tcPr>
          <w:p w14:paraId="53988A45" w14:textId="77777777" w:rsidR="00492C61" w:rsidRPr="00CA4C14" w:rsidRDefault="00492C61" w:rsidP="00A404C2">
            <w:pPr>
              <w:pStyle w:val="Tabletext"/>
              <w:keepLines/>
              <w:jc w:val="right"/>
              <w:rPr>
                <w:b/>
                <w:bCs/>
                <w:lang w:val="ru-RU"/>
              </w:rPr>
            </w:pPr>
            <w:r w:rsidRPr="00CA4C14">
              <w:rPr>
                <w:b/>
                <w:bCs/>
                <w:lang w:val="ru-RU"/>
              </w:rPr>
              <w:t xml:space="preserve">14 036 </w:t>
            </w:r>
          </w:p>
        </w:tc>
      </w:tr>
    </w:tbl>
    <w:p w14:paraId="1A739F2E" w14:textId="38A76967" w:rsidR="00492C61" w:rsidRPr="00CA4C14" w:rsidRDefault="00492C61" w:rsidP="003C6DB0">
      <w:pPr>
        <w:rPr>
          <w:lang w:val="ru-RU"/>
        </w:rPr>
      </w:pPr>
      <w:r w:rsidRPr="00CA4C14">
        <w:rPr>
          <w:lang w:val="ru-RU"/>
        </w:rPr>
        <w:t xml:space="preserve">Остаток средств Фонда развития ИКТ, отраженный в статье "Внебюджетные нецелевые резервы" в таблице выше, составил 5,7 </w:t>
      </w:r>
      <w:proofErr w:type="gramStart"/>
      <w:r w:rsidRPr="00CA4C14">
        <w:rPr>
          <w:lang w:val="ru-RU"/>
        </w:rPr>
        <w:t>млн.</w:t>
      </w:r>
      <w:proofErr w:type="gramEnd"/>
      <w:r w:rsidRPr="00CA4C14">
        <w:rPr>
          <w:lang w:val="ru-RU"/>
        </w:rPr>
        <w:t xml:space="preserve"> швейцарских франков по состоянию на 31</w:t>
      </w:r>
      <w:r w:rsidR="001E23F3" w:rsidRPr="00CA4C14">
        <w:rPr>
          <w:lang w:val="ru-RU"/>
        </w:rPr>
        <w:t> </w:t>
      </w:r>
      <w:r w:rsidRPr="00CA4C14">
        <w:rPr>
          <w:lang w:val="ru-RU"/>
        </w:rPr>
        <w:t>декабря 2023</w:t>
      </w:r>
      <w:r w:rsidR="004A62DA" w:rsidRPr="00CA4C14">
        <w:rPr>
          <w:lang w:val="ru-RU"/>
        </w:rPr>
        <w:t> </w:t>
      </w:r>
      <w:r w:rsidRPr="00CA4C14">
        <w:rPr>
          <w:lang w:val="ru-RU"/>
        </w:rPr>
        <w:t>года (2,7 млн. шв</w:t>
      </w:r>
      <w:r w:rsidR="001E23F3" w:rsidRPr="00CA4C14">
        <w:rPr>
          <w:lang w:val="ru-RU"/>
        </w:rPr>
        <w:t>. фр.</w:t>
      </w:r>
      <w:r w:rsidRPr="00CA4C14">
        <w:rPr>
          <w:lang w:val="ru-RU"/>
        </w:rPr>
        <w:t xml:space="preserve"> на 31 декабря 2022 г.). В 2023 году</w:t>
      </w:r>
      <w:r w:rsidR="000C6E3F" w:rsidRPr="00CA4C14">
        <w:rPr>
          <w:lang w:val="ru-RU"/>
        </w:rPr>
        <w:t>,</w:t>
      </w:r>
      <w:r w:rsidRPr="00CA4C14">
        <w:rPr>
          <w:lang w:val="ru-RU"/>
        </w:rPr>
        <w:t xml:space="preserve"> в соответствии с</w:t>
      </w:r>
      <w:r w:rsidR="004A62DA" w:rsidRPr="00CA4C14">
        <w:rPr>
          <w:lang w:val="ru-RU"/>
        </w:rPr>
        <w:t> </w:t>
      </w:r>
      <w:r w:rsidRPr="00CA4C14">
        <w:rPr>
          <w:lang w:val="ru-RU"/>
        </w:rPr>
        <w:t>Резолюцией</w:t>
      </w:r>
      <w:r w:rsidR="000C6E3F" w:rsidRPr="00CA4C14">
        <w:rPr>
          <w:lang w:val="ru-RU"/>
        </w:rPr>
        <w:t> </w:t>
      </w:r>
      <w:r w:rsidRPr="00CA4C14">
        <w:rPr>
          <w:lang w:val="ru-RU"/>
        </w:rPr>
        <w:t>1418</w:t>
      </w:r>
      <w:r w:rsidR="000C6E3F" w:rsidRPr="00CA4C14">
        <w:rPr>
          <w:lang w:val="ru-RU"/>
        </w:rPr>
        <w:t>,</w:t>
      </w:r>
      <w:r w:rsidRPr="00CA4C14">
        <w:rPr>
          <w:lang w:val="ru-RU"/>
        </w:rPr>
        <w:t xml:space="preserve"> 3</w:t>
      </w:r>
      <w:r w:rsidR="000C6E3F" w:rsidRPr="00CA4C14">
        <w:rPr>
          <w:lang w:val="ru-RU"/>
        </w:rPr>
        <w:t> </w:t>
      </w:r>
      <w:proofErr w:type="gramStart"/>
      <w:r w:rsidRPr="00CA4C14">
        <w:rPr>
          <w:lang w:val="ru-RU"/>
        </w:rPr>
        <w:t>млн.</w:t>
      </w:r>
      <w:proofErr w:type="gramEnd"/>
      <w:r w:rsidRPr="00CA4C14">
        <w:rPr>
          <w:lang w:val="ru-RU"/>
        </w:rPr>
        <w:t xml:space="preserve"> швейцарских франков были переведены из Оборотного выставочного фонда в Капитальный фонд ИКТ.</w:t>
      </w:r>
    </w:p>
    <w:p w14:paraId="60AE685F" w14:textId="77777777" w:rsidR="00492C61" w:rsidRPr="00CA4C14" w:rsidRDefault="00492C61" w:rsidP="003C6DB0">
      <w:pPr>
        <w:pStyle w:val="Heading5"/>
        <w:rPr>
          <w:lang w:val="ru-RU"/>
        </w:rPr>
      </w:pPr>
      <w:bookmarkStart w:id="324" w:name="_Toc1255578816"/>
      <w:bookmarkStart w:id="325" w:name="_Toc164845551"/>
      <w:bookmarkStart w:id="326" w:name="_Toc168578465"/>
      <w:r w:rsidRPr="00CA4C14">
        <w:rPr>
          <w:lang w:val="ru-RU"/>
        </w:rPr>
        <w:lastRenderedPageBreak/>
        <w:t>Примечание 5</w:t>
      </w:r>
      <w:r w:rsidRPr="00CA4C14">
        <w:rPr>
          <w:lang w:val="ru-RU"/>
        </w:rPr>
        <w:tab/>
      </w:r>
      <w:bookmarkEnd w:id="324"/>
      <w:bookmarkEnd w:id="325"/>
      <w:r w:rsidRPr="00CA4C14">
        <w:rPr>
          <w:lang w:val="ru-RU"/>
        </w:rPr>
        <w:t>Финансовые риски</w:t>
      </w:r>
      <w:bookmarkEnd w:id="326"/>
    </w:p>
    <w:p w14:paraId="1DE6FB5A" w14:textId="77777777" w:rsidR="00492C61" w:rsidRPr="00CA4C14" w:rsidRDefault="00492C61" w:rsidP="003C6DB0">
      <w:pPr>
        <w:rPr>
          <w:lang w:val="ru-RU"/>
        </w:rPr>
      </w:pPr>
      <w:r w:rsidRPr="00CA4C14">
        <w:rPr>
          <w:lang w:val="ru-RU"/>
        </w:rPr>
        <w:t>В рамках своей деятельности МСЭ сталкивается с целым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настоящем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w:t>
      </w:r>
    </w:p>
    <w:p w14:paraId="41456251" w14:textId="77777777" w:rsidR="00492C61" w:rsidRPr="00CA4C14" w:rsidRDefault="00492C61" w:rsidP="003C6DB0">
      <w:pPr>
        <w:rPr>
          <w:lang w:val="ru-RU"/>
        </w:rPr>
      </w:pPr>
      <w:r w:rsidRPr="00CA4C14">
        <w:rPr>
          <w:lang w:val="ru-RU"/>
        </w:rPr>
        <w:t>В соответствии со стандартом 41 Международных стандартов финансовой отчетности для общественного сектора (IPSAS) денежные средства и их эквиваленты МСЭ отражаются в финансовой отчетности по амортизированной стоимости. Эта оценка отражает сумму имеющихся денежных средств и стоимость активов, которые могут быть легко конвертированы в известные суммы денежных средств, за вычетом любых применимых снижений стоимости или обесценения на отчетную дату.</w:t>
      </w:r>
    </w:p>
    <w:p w14:paraId="1DD9A73A" w14:textId="77777777" w:rsidR="00492C61" w:rsidRPr="00CA4C14" w:rsidRDefault="00492C61" w:rsidP="003C6DB0">
      <w:pPr>
        <w:rPr>
          <w:lang w:val="ru-RU"/>
        </w:rPr>
      </w:pPr>
      <w:r w:rsidRPr="00CA4C14">
        <w:rPr>
          <w:lang w:val="ru-RU"/>
        </w:rPr>
        <w:t>Справедливая стоимость кредиторской задолженности поставщикам, прочих текущих обязательств и добровольных взносов приблизительно равна их учетной балансовой стоимости в связи с их краткосрочным характером.</w:t>
      </w:r>
    </w:p>
    <w:p w14:paraId="41F121D4" w14:textId="77777777" w:rsidR="00492C61" w:rsidRPr="00CA4C14" w:rsidRDefault="00492C61" w:rsidP="003C6DB0">
      <w:pPr>
        <w:rPr>
          <w:lang w:val="ru-RU"/>
        </w:rPr>
      </w:pPr>
      <w:r w:rsidRPr="00CA4C14">
        <w:rPr>
          <w:lang w:val="ru-RU"/>
        </w:rPr>
        <w:t>Займы (ссуды) отражаются на счетах по амортизированной стоимости (см. Примечание 16).</w:t>
      </w:r>
    </w:p>
    <w:p w14:paraId="5AAB9FF9" w14:textId="77777777" w:rsidR="00492C61" w:rsidRPr="00CA4C14" w:rsidRDefault="00492C61" w:rsidP="00B91496">
      <w:pPr>
        <w:pStyle w:val="enumlev1"/>
        <w:rPr>
          <w:i/>
          <w:iCs/>
          <w:lang w:val="ru-RU"/>
        </w:rPr>
      </w:pPr>
      <w:r w:rsidRPr="00CA4C14">
        <w:rPr>
          <w:i/>
          <w:iCs/>
          <w:lang w:val="ru-RU"/>
        </w:rPr>
        <w:t>a)</w:t>
      </w:r>
      <w:r w:rsidRPr="00CA4C14">
        <w:rPr>
          <w:i/>
          <w:iCs/>
          <w:lang w:val="ru-RU"/>
        </w:rPr>
        <w:tab/>
        <w:t>Кредитный риск</w:t>
      </w:r>
    </w:p>
    <w:p w14:paraId="05250B1F" w14:textId="77777777" w:rsidR="00492C61" w:rsidRPr="00CA4C14" w:rsidRDefault="00492C61" w:rsidP="007B1B7F">
      <w:pPr>
        <w:pStyle w:val="enumlev1"/>
        <w:spacing w:after="120"/>
        <w:rPr>
          <w:lang w:val="ru-RU"/>
        </w:rPr>
      </w:pPr>
      <w:r w:rsidRPr="00CA4C14">
        <w:rPr>
          <w:lang w:val="ru-RU"/>
        </w:rPr>
        <w:tab/>
        <w:t>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 31 декабря составляла: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054"/>
        <w:gridCol w:w="2055"/>
      </w:tblGrid>
      <w:tr w:rsidR="00492C61" w:rsidRPr="00CA4C14" w14:paraId="6C855279" w14:textId="77777777" w:rsidTr="00255DA4">
        <w:tc>
          <w:tcPr>
            <w:tcW w:w="2735" w:type="pct"/>
            <w:shd w:val="clear" w:color="auto" w:fill="0070C0"/>
            <w:vAlign w:val="center"/>
            <w:hideMark/>
          </w:tcPr>
          <w:p w14:paraId="79285ACE" w14:textId="77777777" w:rsidR="00492C61" w:rsidRPr="00CA4C14" w:rsidRDefault="00492C61" w:rsidP="007B1B7F">
            <w:pPr>
              <w:pStyle w:val="Tablehead"/>
              <w:keepLines/>
              <w:rPr>
                <w:lang w:val="ru-RU"/>
              </w:rPr>
            </w:pPr>
            <w:r w:rsidRPr="00CA4C14">
              <w:rPr>
                <w:szCs w:val="18"/>
                <w:lang w:val="ru-RU" w:eastAsia="en-GB"/>
              </w:rPr>
              <w:t>Описание (тыс. шв. фр.)</w:t>
            </w:r>
          </w:p>
        </w:tc>
        <w:tc>
          <w:tcPr>
            <w:tcW w:w="1132" w:type="pct"/>
            <w:shd w:val="clear" w:color="auto" w:fill="0070C0"/>
            <w:vAlign w:val="center"/>
            <w:hideMark/>
          </w:tcPr>
          <w:p w14:paraId="1C309A08" w14:textId="77777777" w:rsidR="00492C61" w:rsidRPr="00CA4C14" w:rsidRDefault="00492C61" w:rsidP="007B1B7F">
            <w:pPr>
              <w:pStyle w:val="Tablehead"/>
              <w:keepLines/>
              <w:rPr>
                <w:lang w:val="ru-RU"/>
              </w:rPr>
            </w:pPr>
            <w:r w:rsidRPr="00CA4C14">
              <w:rPr>
                <w:lang w:val="ru-RU"/>
              </w:rPr>
              <w:t>31 декабря 2023 г.</w:t>
            </w:r>
          </w:p>
        </w:tc>
        <w:tc>
          <w:tcPr>
            <w:tcW w:w="1133" w:type="pct"/>
            <w:shd w:val="clear" w:color="auto" w:fill="0070C0"/>
            <w:vAlign w:val="center"/>
            <w:hideMark/>
          </w:tcPr>
          <w:p w14:paraId="0F91EEDD" w14:textId="77777777" w:rsidR="00492C61" w:rsidRPr="00CA4C14" w:rsidRDefault="00492C61" w:rsidP="007B1B7F">
            <w:pPr>
              <w:pStyle w:val="Tablehead"/>
              <w:keepLines/>
              <w:rPr>
                <w:lang w:val="ru-RU"/>
              </w:rPr>
            </w:pPr>
            <w:r w:rsidRPr="00CA4C14">
              <w:rPr>
                <w:lang w:val="ru-RU"/>
              </w:rPr>
              <w:t>31 декабря 2022 г.</w:t>
            </w:r>
          </w:p>
        </w:tc>
      </w:tr>
      <w:tr w:rsidR="00492C61" w:rsidRPr="00CA4C14" w14:paraId="49306B2E" w14:textId="77777777" w:rsidTr="00255DA4">
        <w:tc>
          <w:tcPr>
            <w:tcW w:w="2735" w:type="pct"/>
            <w:noWrap/>
            <w:hideMark/>
          </w:tcPr>
          <w:p w14:paraId="7368485A" w14:textId="77777777" w:rsidR="00492C61" w:rsidRPr="00CA4C14" w:rsidRDefault="00492C61" w:rsidP="007B1B7F">
            <w:pPr>
              <w:pStyle w:val="Tabletext"/>
              <w:keepNext/>
              <w:keepLines/>
              <w:rPr>
                <w:lang w:val="ru-RU"/>
              </w:rPr>
            </w:pPr>
            <w:r w:rsidRPr="00CA4C14">
              <w:rPr>
                <w:szCs w:val="18"/>
                <w:lang w:val="ru-RU"/>
              </w:rPr>
              <w:t>Инвестиции</w:t>
            </w:r>
          </w:p>
        </w:tc>
        <w:tc>
          <w:tcPr>
            <w:tcW w:w="1132" w:type="pct"/>
            <w:noWrap/>
            <w:vAlign w:val="bottom"/>
            <w:hideMark/>
          </w:tcPr>
          <w:p w14:paraId="02ACA7C0" w14:textId="77777777" w:rsidR="00492C61" w:rsidRPr="00CA4C14" w:rsidRDefault="00492C61" w:rsidP="00B133E9">
            <w:pPr>
              <w:pStyle w:val="Tabletext"/>
              <w:keepNext/>
              <w:keepLines/>
              <w:jc w:val="right"/>
              <w:rPr>
                <w:lang w:val="ru-RU"/>
              </w:rPr>
            </w:pPr>
            <w:r w:rsidRPr="00CA4C14">
              <w:rPr>
                <w:lang w:val="ru-RU"/>
              </w:rPr>
              <w:t>35 070</w:t>
            </w:r>
          </w:p>
        </w:tc>
        <w:tc>
          <w:tcPr>
            <w:tcW w:w="1133" w:type="pct"/>
            <w:noWrap/>
            <w:vAlign w:val="bottom"/>
            <w:hideMark/>
          </w:tcPr>
          <w:p w14:paraId="34AC1863" w14:textId="77777777" w:rsidR="00492C61" w:rsidRPr="00CA4C14" w:rsidRDefault="00492C61" w:rsidP="00B133E9">
            <w:pPr>
              <w:pStyle w:val="Tabletext"/>
              <w:keepNext/>
              <w:keepLines/>
              <w:jc w:val="right"/>
              <w:rPr>
                <w:lang w:val="ru-RU"/>
              </w:rPr>
            </w:pPr>
            <w:r w:rsidRPr="00CA4C14">
              <w:rPr>
                <w:lang w:val="ru-RU"/>
              </w:rPr>
              <w:t>13 860</w:t>
            </w:r>
          </w:p>
        </w:tc>
      </w:tr>
      <w:tr w:rsidR="00492C61" w:rsidRPr="00CA4C14" w14:paraId="2A26F9BC" w14:textId="77777777" w:rsidTr="00255DA4">
        <w:tc>
          <w:tcPr>
            <w:tcW w:w="2735" w:type="pct"/>
            <w:noWrap/>
            <w:hideMark/>
          </w:tcPr>
          <w:p w14:paraId="618C8CB0" w14:textId="77777777" w:rsidR="00492C61" w:rsidRPr="00CA4C14" w:rsidRDefault="00492C61" w:rsidP="007B1B7F">
            <w:pPr>
              <w:pStyle w:val="Tabletext"/>
              <w:keepNext/>
              <w:keepLines/>
              <w:rPr>
                <w:lang w:val="ru-RU"/>
              </w:rPr>
            </w:pPr>
            <w:r w:rsidRPr="00CA4C14">
              <w:rPr>
                <w:szCs w:val="18"/>
                <w:lang w:val="ru-RU"/>
              </w:rPr>
              <w:t>Долговые обязательства</w:t>
            </w:r>
          </w:p>
        </w:tc>
        <w:tc>
          <w:tcPr>
            <w:tcW w:w="1132" w:type="pct"/>
            <w:noWrap/>
            <w:vAlign w:val="bottom"/>
            <w:hideMark/>
          </w:tcPr>
          <w:p w14:paraId="67FE38FE" w14:textId="77777777" w:rsidR="00492C61" w:rsidRPr="00CA4C14" w:rsidRDefault="00492C61" w:rsidP="00B133E9">
            <w:pPr>
              <w:pStyle w:val="Tabletext"/>
              <w:keepNext/>
              <w:keepLines/>
              <w:jc w:val="right"/>
              <w:rPr>
                <w:lang w:val="ru-RU"/>
              </w:rPr>
            </w:pPr>
            <w:r w:rsidRPr="00CA4C14">
              <w:rPr>
                <w:lang w:val="ru-RU"/>
              </w:rPr>
              <w:t>22 358</w:t>
            </w:r>
          </w:p>
        </w:tc>
        <w:tc>
          <w:tcPr>
            <w:tcW w:w="1133" w:type="pct"/>
            <w:noWrap/>
            <w:vAlign w:val="bottom"/>
            <w:hideMark/>
          </w:tcPr>
          <w:p w14:paraId="1EDD482F" w14:textId="77777777" w:rsidR="00492C61" w:rsidRPr="00CA4C14" w:rsidRDefault="00492C61" w:rsidP="00B133E9">
            <w:pPr>
              <w:pStyle w:val="Tabletext"/>
              <w:keepNext/>
              <w:keepLines/>
              <w:jc w:val="right"/>
              <w:rPr>
                <w:lang w:val="ru-RU"/>
              </w:rPr>
            </w:pPr>
            <w:r w:rsidRPr="00CA4C14">
              <w:rPr>
                <w:lang w:val="ru-RU"/>
              </w:rPr>
              <w:t>17 794</w:t>
            </w:r>
          </w:p>
        </w:tc>
      </w:tr>
      <w:tr w:rsidR="00492C61" w:rsidRPr="00CA4C14" w14:paraId="21D0A147" w14:textId="77777777" w:rsidTr="00255DA4">
        <w:tc>
          <w:tcPr>
            <w:tcW w:w="2735" w:type="pct"/>
            <w:noWrap/>
            <w:hideMark/>
          </w:tcPr>
          <w:p w14:paraId="34475FCA" w14:textId="77777777" w:rsidR="00492C61" w:rsidRPr="00CA4C14" w:rsidRDefault="00492C61" w:rsidP="007B1B7F">
            <w:pPr>
              <w:pStyle w:val="Tabletext"/>
              <w:keepNext/>
              <w:keepLines/>
              <w:rPr>
                <w:lang w:val="ru-RU"/>
              </w:rPr>
            </w:pPr>
            <w:r w:rsidRPr="00CA4C14">
              <w:rPr>
                <w:szCs w:val="18"/>
                <w:lang w:val="ru-RU"/>
              </w:rPr>
              <w:t>Денежные средства и эквиваленты денежных средств</w:t>
            </w:r>
          </w:p>
        </w:tc>
        <w:tc>
          <w:tcPr>
            <w:tcW w:w="1132" w:type="pct"/>
            <w:noWrap/>
            <w:vAlign w:val="bottom"/>
            <w:hideMark/>
          </w:tcPr>
          <w:p w14:paraId="31328E98" w14:textId="77777777" w:rsidR="00492C61" w:rsidRPr="00CA4C14" w:rsidRDefault="00492C61" w:rsidP="00B133E9">
            <w:pPr>
              <w:pStyle w:val="Tabletext"/>
              <w:keepNext/>
              <w:keepLines/>
              <w:jc w:val="right"/>
              <w:rPr>
                <w:lang w:val="ru-RU"/>
              </w:rPr>
            </w:pPr>
            <w:r w:rsidRPr="00CA4C14">
              <w:rPr>
                <w:lang w:val="ru-RU"/>
              </w:rPr>
              <w:t>155 868</w:t>
            </w:r>
          </w:p>
        </w:tc>
        <w:tc>
          <w:tcPr>
            <w:tcW w:w="1133" w:type="pct"/>
            <w:noWrap/>
            <w:vAlign w:val="bottom"/>
            <w:hideMark/>
          </w:tcPr>
          <w:p w14:paraId="7B951842" w14:textId="77777777" w:rsidR="00492C61" w:rsidRPr="00CA4C14" w:rsidRDefault="00492C61" w:rsidP="00B133E9">
            <w:pPr>
              <w:pStyle w:val="Tabletext"/>
              <w:keepNext/>
              <w:keepLines/>
              <w:jc w:val="right"/>
              <w:rPr>
                <w:lang w:val="ru-RU"/>
              </w:rPr>
            </w:pPr>
            <w:r w:rsidRPr="00CA4C14">
              <w:rPr>
                <w:lang w:val="ru-RU"/>
              </w:rPr>
              <w:t>193 868</w:t>
            </w:r>
          </w:p>
        </w:tc>
      </w:tr>
      <w:tr w:rsidR="00492C61" w:rsidRPr="00CA4C14" w14:paraId="5D3FD78C" w14:textId="77777777" w:rsidTr="00255DA4">
        <w:tc>
          <w:tcPr>
            <w:tcW w:w="2735" w:type="pct"/>
            <w:noWrap/>
            <w:vAlign w:val="bottom"/>
            <w:hideMark/>
          </w:tcPr>
          <w:p w14:paraId="5BC7D9AA" w14:textId="77777777" w:rsidR="00492C61" w:rsidRPr="00CA4C14" w:rsidRDefault="00492C61" w:rsidP="007B1B7F">
            <w:pPr>
              <w:pStyle w:val="Tabletext"/>
              <w:keepNext/>
              <w:keepLines/>
              <w:rPr>
                <w:lang w:val="ru-RU"/>
              </w:rPr>
            </w:pPr>
            <w:r w:rsidRPr="00CA4C14">
              <w:rPr>
                <w:szCs w:val="18"/>
                <w:lang w:val="ru-RU" w:eastAsia="en-GB"/>
              </w:rPr>
              <w:t>Подлежащие уплате средства</w:t>
            </w:r>
          </w:p>
        </w:tc>
        <w:tc>
          <w:tcPr>
            <w:tcW w:w="1132" w:type="pct"/>
            <w:noWrap/>
            <w:vAlign w:val="bottom"/>
            <w:hideMark/>
          </w:tcPr>
          <w:p w14:paraId="1CF6236E" w14:textId="77777777" w:rsidR="00492C61" w:rsidRPr="00CA4C14" w:rsidRDefault="00492C61" w:rsidP="00B133E9">
            <w:pPr>
              <w:pStyle w:val="Tabletext"/>
              <w:keepNext/>
              <w:keepLines/>
              <w:jc w:val="right"/>
              <w:rPr>
                <w:lang w:val="ru-RU"/>
              </w:rPr>
            </w:pPr>
            <w:r w:rsidRPr="00CA4C14">
              <w:rPr>
                <w:lang w:val="ru-RU"/>
              </w:rPr>
              <w:t>13 042</w:t>
            </w:r>
          </w:p>
        </w:tc>
        <w:tc>
          <w:tcPr>
            <w:tcW w:w="1133" w:type="pct"/>
            <w:noWrap/>
            <w:vAlign w:val="bottom"/>
            <w:hideMark/>
          </w:tcPr>
          <w:p w14:paraId="29B9F02E" w14:textId="77777777" w:rsidR="00492C61" w:rsidRPr="00CA4C14" w:rsidRDefault="00492C61" w:rsidP="00B133E9">
            <w:pPr>
              <w:pStyle w:val="Tabletext"/>
              <w:keepNext/>
              <w:keepLines/>
              <w:jc w:val="right"/>
              <w:rPr>
                <w:lang w:val="ru-RU"/>
              </w:rPr>
            </w:pPr>
            <w:r w:rsidRPr="00CA4C14">
              <w:rPr>
                <w:lang w:val="ru-RU"/>
              </w:rPr>
              <w:t>10 541</w:t>
            </w:r>
          </w:p>
        </w:tc>
      </w:tr>
      <w:tr w:rsidR="00492C61" w:rsidRPr="00CA4C14" w14:paraId="57C44445" w14:textId="77777777" w:rsidTr="00255DA4">
        <w:tc>
          <w:tcPr>
            <w:tcW w:w="2735" w:type="pct"/>
            <w:noWrap/>
            <w:vAlign w:val="bottom"/>
            <w:hideMark/>
          </w:tcPr>
          <w:p w14:paraId="753CF098" w14:textId="77777777" w:rsidR="00492C61" w:rsidRPr="00CA4C14" w:rsidRDefault="00492C61" w:rsidP="007B1B7F">
            <w:pPr>
              <w:pStyle w:val="Tabletext"/>
              <w:keepNext/>
              <w:keepLines/>
              <w:rPr>
                <w:lang w:val="ru-RU"/>
              </w:rPr>
            </w:pPr>
            <w:r w:rsidRPr="00CA4C14">
              <w:rPr>
                <w:szCs w:val="18"/>
                <w:lang w:val="ru-RU" w:eastAsia="en-GB"/>
              </w:rPr>
              <w:t>Непогашенные займы</w:t>
            </w:r>
          </w:p>
        </w:tc>
        <w:tc>
          <w:tcPr>
            <w:tcW w:w="1132" w:type="pct"/>
            <w:noWrap/>
            <w:vAlign w:val="bottom"/>
            <w:hideMark/>
          </w:tcPr>
          <w:p w14:paraId="3DE6F626" w14:textId="77777777" w:rsidR="00492C61" w:rsidRPr="00CA4C14" w:rsidRDefault="00492C61" w:rsidP="00B133E9">
            <w:pPr>
              <w:pStyle w:val="Tabletext"/>
              <w:keepNext/>
              <w:keepLines/>
              <w:jc w:val="right"/>
              <w:rPr>
                <w:lang w:val="ru-RU"/>
              </w:rPr>
            </w:pPr>
            <w:r w:rsidRPr="00CA4C14">
              <w:rPr>
                <w:lang w:val="ru-RU"/>
              </w:rPr>
              <w:t>53 048</w:t>
            </w:r>
          </w:p>
        </w:tc>
        <w:tc>
          <w:tcPr>
            <w:tcW w:w="1133" w:type="pct"/>
            <w:noWrap/>
            <w:vAlign w:val="bottom"/>
            <w:hideMark/>
          </w:tcPr>
          <w:p w14:paraId="607DDE41" w14:textId="77777777" w:rsidR="00492C61" w:rsidRPr="00CA4C14" w:rsidRDefault="00492C61" w:rsidP="00B133E9">
            <w:pPr>
              <w:pStyle w:val="Tabletext"/>
              <w:keepNext/>
              <w:keepLines/>
              <w:jc w:val="right"/>
              <w:rPr>
                <w:lang w:val="ru-RU"/>
              </w:rPr>
            </w:pPr>
            <w:r w:rsidRPr="00CA4C14">
              <w:rPr>
                <w:lang w:val="ru-RU"/>
              </w:rPr>
              <w:t>48 331</w:t>
            </w:r>
          </w:p>
        </w:tc>
      </w:tr>
      <w:tr w:rsidR="00492C61" w:rsidRPr="00CA4C14" w14:paraId="4D49D159" w14:textId="77777777" w:rsidTr="00255DA4">
        <w:tc>
          <w:tcPr>
            <w:tcW w:w="2735" w:type="pct"/>
            <w:shd w:val="clear" w:color="auto" w:fill="0070C0"/>
            <w:vAlign w:val="center"/>
            <w:hideMark/>
          </w:tcPr>
          <w:p w14:paraId="305EB1C1" w14:textId="77777777" w:rsidR="00492C61" w:rsidRPr="00CA4C14" w:rsidRDefault="00492C61" w:rsidP="001E23F3">
            <w:pPr>
              <w:pStyle w:val="Tabletext"/>
              <w:keepLines/>
              <w:rPr>
                <w:b/>
                <w:bCs/>
                <w:lang w:val="ru-RU"/>
              </w:rPr>
            </w:pPr>
            <w:r w:rsidRPr="00CA4C14">
              <w:rPr>
                <w:b/>
                <w:bCs/>
                <w:szCs w:val="18"/>
                <w:lang w:val="ru-RU" w:eastAsia="en-GB"/>
              </w:rPr>
              <w:t>Максимальная подверженность кредитному риску</w:t>
            </w:r>
          </w:p>
        </w:tc>
        <w:tc>
          <w:tcPr>
            <w:tcW w:w="1132" w:type="pct"/>
            <w:shd w:val="clear" w:color="auto" w:fill="0070C0"/>
            <w:vAlign w:val="center"/>
            <w:hideMark/>
          </w:tcPr>
          <w:p w14:paraId="3BD60085" w14:textId="77777777" w:rsidR="00492C61" w:rsidRPr="00CA4C14" w:rsidRDefault="00492C61" w:rsidP="001E23F3">
            <w:pPr>
              <w:pStyle w:val="Tabletext"/>
              <w:keepLines/>
              <w:jc w:val="right"/>
              <w:rPr>
                <w:b/>
                <w:bCs/>
                <w:lang w:val="ru-RU"/>
              </w:rPr>
            </w:pPr>
            <w:r w:rsidRPr="00CA4C14">
              <w:rPr>
                <w:b/>
                <w:bCs/>
                <w:lang w:val="ru-RU"/>
              </w:rPr>
              <w:t>279 386</w:t>
            </w:r>
          </w:p>
        </w:tc>
        <w:tc>
          <w:tcPr>
            <w:tcW w:w="1133" w:type="pct"/>
            <w:shd w:val="clear" w:color="auto" w:fill="0070C0"/>
            <w:vAlign w:val="center"/>
            <w:hideMark/>
          </w:tcPr>
          <w:p w14:paraId="1BDECC21" w14:textId="77777777" w:rsidR="00492C61" w:rsidRPr="00CA4C14" w:rsidRDefault="00492C61" w:rsidP="001E23F3">
            <w:pPr>
              <w:pStyle w:val="Tabletext"/>
              <w:keepLines/>
              <w:jc w:val="right"/>
              <w:rPr>
                <w:b/>
                <w:bCs/>
                <w:lang w:val="ru-RU"/>
              </w:rPr>
            </w:pPr>
            <w:r w:rsidRPr="00CA4C14">
              <w:rPr>
                <w:b/>
                <w:bCs/>
                <w:lang w:val="ru-RU"/>
              </w:rPr>
              <w:t>284 394</w:t>
            </w:r>
          </w:p>
        </w:tc>
      </w:tr>
    </w:tbl>
    <w:p w14:paraId="23F1287D" w14:textId="77777777" w:rsidR="00492C61" w:rsidRPr="00CA4C14" w:rsidRDefault="00492C61" w:rsidP="00B133E9">
      <w:pPr>
        <w:pStyle w:val="enumlev1"/>
        <w:rPr>
          <w:i/>
          <w:iCs/>
          <w:lang w:val="ru-RU"/>
        </w:rPr>
      </w:pPr>
      <w:r w:rsidRPr="00CA4C14">
        <w:rPr>
          <w:i/>
          <w:iCs/>
          <w:lang w:val="ru-RU"/>
        </w:rPr>
        <w:t>b)</w:t>
      </w:r>
      <w:r w:rsidRPr="00CA4C14">
        <w:rPr>
          <w:i/>
          <w:iCs/>
          <w:lang w:val="ru-RU"/>
        </w:rPr>
        <w:tab/>
        <w:t>Качество кредитного портфеля</w:t>
      </w:r>
    </w:p>
    <w:p w14:paraId="75AAFF20" w14:textId="2BDC8DBC" w:rsidR="00492C61" w:rsidRPr="00CA4C14" w:rsidRDefault="00492C61" w:rsidP="003F0F05">
      <w:pPr>
        <w:pStyle w:val="enumlev1"/>
        <w:rPr>
          <w:lang w:val="ru-RU"/>
        </w:rPr>
      </w:pPr>
      <w:r w:rsidRPr="00CA4C14">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 МСЭ провел анализ уровней дебиторской задолженности по начисленным взносам и другим источникам. Существует обеспокоенность по поводу старения задолженности Государств-Членов, Членов Секторов и Ассоциированных членов. В Резолюции 41 (Пересм. Дубай, 2018 г.) Полномочной конференции о</w:t>
      </w:r>
      <w:r w:rsidR="00255DA4" w:rsidRPr="00CA4C14">
        <w:rPr>
          <w:lang w:val="ru-RU"/>
        </w:rPr>
        <w:t> </w:t>
      </w:r>
      <w:r w:rsidRPr="00CA4C14">
        <w:rPr>
          <w:lang w:val="ru-RU"/>
        </w:rPr>
        <w:t>задолженностях и специальных счетах задолженностей подчеркивается высокий уровень долговых обязательств, созданы механизмы для их погашения и содержится призыв в адрес всех, кто имеет задолженности, своевременно производить платежи, с</w:t>
      </w:r>
      <w:r w:rsidR="00255DA4" w:rsidRPr="00CA4C14">
        <w:rPr>
          <w:lang w:val="ru-RU"/>
        </w:rPr>
        <w:t> </w:t>
      </w:r>
      <w:r w:rsidRPr="00CA4C14">
        <w:rPr>
          <w:lang w:val="ru-RU"/>
        </w:rPr>
        <w:t>тем чтобы обеспечить достаточное финансирование МСЭ. Такой уровень задолженности повлияет на финансовую стабильность МСЭ, если эти суммы останутся непогашенными. В 2023 году по основным задолженностям было списано 0,8</w:t>
      </w:r>
      <w:r w:rsidR="00255DA4" w:rsidRPr="00CA4C14">
        <w:rPr>
          <w:lang w:val="ru-RU"/>
        </w:rPr>
        <w:t> </w:t>
      </w:r>
      <w:proofErr w:type="gramStart"/>
      <w:r w:rsidRPr="00CA4C14">
        <w:rPr>
          <w:lang w:val="ru-RU"/>
        </w:rPr>
        <w:t>млн.</w:t>
      </w:r>
      <w:proofErr w:type="gramEnd"/>
      <w:r w:rsidR="00255DA4" w:rsidRPr="00CA4C14">
        <w:rPr>
          <w:lang w:val="ru-RU"/>
        </w:rPr>
        <w:t> </w:t>
      </w:r>
      <w:r w:rsidRPr="00CA4C14">
        <w:rPr>
          <w:lang w:val="ru-RU"/>
        </w:rPr>
        <w:t xml:space="preserve">швейцарских франков, а также были списаны задолженности по процентам </w:t>
      </w:r>
      <w:r w:rsidRPr="00CA4C14">
        <w:rPr>
          <w:lang w:val="ru-RU"/>
        </w:rPr>
        <w:lastRenderedPageBreak/>
        <w:t>в</w:t>
      </w:r>
      <w:r w:rsidR="00C663FA" w:rsidRPr="00CA4C14">
        <w:rPr>
          <w:lang w:val="ru-RU"/>
        </w:rPr>
        <w:t> </w:t>
      </w:r>
      <w:r w:rsidRPr="00CA4C14">
        <w:rPr>
          <w:lang w:val="ru-RU"/>
        </w:rPr>
        <w:t>размере 2,2</w:t>
      </w:r>
      <w:r w:rsidR="00255DA4" w:rsidRPr="00CA4C14">
        <w:rPr>
          <w:lang w:val="ru-RU"/>
        </w:rPr>
        <w:t> </w:t>
      </w:r>
      <w:r w:rsidRPr="00CA4C14">
        <w:rPr>
          <w:lang w:val="ru-RU"/>
        </w:rPr>
        <w:t>млн. швейцарских франков. Для обеспечения своевременного взыскания задолженностей МСЭ в будущем потребуется провести дополнительную работу.</w:t>
      </w:r>
    </w:p>
    <w:p w14:paraId="3C0A65E9" w14:textId="77777777" w:rsidR="00492C61" w:rsidRPr="00CA4C14" w:rsidRDefault="00492C61" w:rsidP="003F0F05">
      <w:pPr>
        <w:pStyle w:val="enumlev1"/>
        <w:rPr>
          <w:lang w:val="ru-RU"/>
        </w:rPr>
      </w:pPr>
      <w:r w:rsidRPr="00CA4C14">
        <w:rPr>
          <w:lang w:val="ru-RU"/>
        </w:rPr>
        <w:tab/>
        <w:t>Помимо этого, МСЭ направляет ежеквартальные выписки со счета задолженностей и приостанавливает участия в работе МСЭ, с тем чтобы обеспечить уплату Государствами-Членами, Членами Секторов и Ассоциированными членами своих задолженностей. Кроме того, в отношении Государств-Членов в качестве дополнительной меры, стимулирующей своевременное совершение платежей погашение задолженностей, была введена такая мера, как потеря права голоса.</w:t>
      </w:r>
    </w:p>
    <w:p w14:paraId="75F47C13" w14:textId="77777777" w:rsidR="00492C61" w:rsidRPr="00CA4C14" w:rsidRDefault="00492C61" w:rsidP="003F0F05">
      <w:pPr>
        <w:pStyle w:val="enumlev1"/>
        <w:rPr>
          <w:lang w:val="ru-RU"/>
        </w:rPr>
      </w:pPr>
      <w:r w:rsidRPr="00CA4C14">
        <w:rPr>
          <w:lang w:val="ru-RU"/>
        </w:rPr>
        <w:tab/>
        <w:t>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w:t>
      </w:r>
    </w:p>
    <w:p w14:paraId="3F48DC57" w14:textId="77777777" w:rsidR="00492C61" w:rsidRPr="00CA4C14" w:rsidRDefault="00492C61" w:rsidP="003F0F05">
      <w:pPr>
        <w:pStyle w:val="enumlev1"/>
        <w:rPr>
          <w:lang w:val="ru-RU"/>
        </w:rPr>
      </w:pPr>
      <w:r w:rsidRPr="00CA4C14">
        <w:rPr>
          <w:lang w:val="ru-RU"/>
        </w:rPr>
        <w:tab/>
        <w:t>Помимо этих критериев инвестиции избираются на основе задачи достижения максимально возможной доходности и соответствовать принципам Организации Объединенных Наций.</w:t>
      </w:r>
    </w:p>
    <w:p w14:paraId="6939BDC2" w14:textId="77777777" w:rsidR="00492C61" w:rsidRPr="00CA4C14" w:rsidRDefault="00492C61" w:rsidP="003F0F05">
      <w:pPr>
        <w:pStyle w:val="enumlev1"/>
        <w:rPr>
          <w:lang w:val="ru-RU"/>
        </w:rPr>
      </w:pPr>
      <w:r w:rsidRPr="00CA4C14">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14:paraId="6731B89B" w14:textId="77777777" w:rsidR="00492C61" w:rsidRPr="00CA4C14" w:rsidRDefault="00492C61" w:rsidP="00B133E9">
      <w:pPr>
        <w:pStyle w:val="enumlev1"/>
        <w:rPr>
          <w:i/>
          <w:iCs/>
          <w:lang w:val="ru-RU"/>
        </w:rPr>
      </w:pPr>
      <w:r w:rsidRPr="00CA4C14">
        <w:rPr>
          <w:i/>
          <w:iCs/>
          <w:lang w:val="ru-RU"/>
        </w:rPr>
        <w:t>c)</w:t>
      </w:r>
      <w:r w:rsidRPr="00CA4C14">
        <w:rPr>
          <w:i/>
          <w:iCs/>
          <w:lang w:val="ru-RU"/>
        </w:rPr>
        <w:tab/>
        <w:t>Риск, связанный с процентной ставкой</w:t>
      </w:r>
    </w:p>
    <w:p w14:paraId="7983F92F" w14:textId="5F0F57DE" w:rsidR="00492C61" w:rsidRPr="00CA4C14" w:rsidRDefault="00492C61" w:rsidP="003F0F05">
      <w:pPr>
        <w:pStyle w:val="enumlev1"/>
        <w:rPr>
          <w:lang w:val="ru-RU"/>
        </w:rPr>
      </w:pPr>
      <w:r w:rsidRPr="00CA4C14">
        <w:rPr>
          <w:lang w:val="ru-RU"/>
        </w:rPr>
        <w:tab/>
        <w:t>МСЭ подвержен рискам, связанным с процентной ставкой, через свои краткосрочные инвестиции. В 2023 году также может быть отмечено повышение процентной ставки по краткосрочному депозиту в долларах США. Это повышение в сочетании с использованием новых депозитных продуктов позволило МСЭ получить 4,6</w:t>
      </w:r>
      <w:r w:rsidR="001E23F3" w:rsidRPr="00CA4C14">
        <w:rPr>
          <w:lang w:val="ru-RU"/>
        </w:rPr>
        <w:t> </w:t>
      </w:r>
      <w:proofErr w:type="gramStart"/>
      <w:r w:rsidRPr="00CA4C14">
        <w:rPr>
          <w:lang w:val="ru-RU"/>
        </w:rPr>
        <w:t>млн.</w:t>
      </w:r>
      <w:proofErr w:type="gramEnd"/>
      <w:r w:rsidR="001E23F3" w:rsidRPr="00CA4C14">
        <w:rPr>
          <w:lang w:val="ru-RU"/>
        </w:rPr>
        <w:t> </w:t>
      </w:r>
      <w:r w:rsidRPr="00CA4C14">
        <w:rPr>
          <w:lang w:val="ru-RU"/>
        </w:rPr>
        <w:t>швейцарских франков прибыли с капитала (1,5 млн. шв</w:t>
      </w:r>
      <w:r w:rsidR="000C6E3F" w:rsidRPr="00CA4C14">
        <w:rPr>
          <w:lang w:val="ru-RU"/>
        </w:rPr>
        <w:t>.</w:t>
      </w:r>
      <w:r w:rsidRPr="00CA4C14">
        <w:rPr>
          <w:lang w:val="ru-RU"/>
        </w:rPr>
        <w:t xml:space="preserve"> фр</w:t>
      </w:r>
      <w:r w:rsidR="000C6E3F" w:rsidRPr="00CA4C14">
        <w:rPr>
          <w:lang w:val="ru-RU"/>
        </w:rPr>
        <w:t>.</w:t>
      </w:r>
      <w:r w:rsidRPr="00CA4C14">
        <w:rPr>
          <w:lang w:val="ru-RU"/>
        </w:rPr>
        <w:t xml:space="preserve"> в 2022 г.).</w:t>
      </w:r>
    </w:p>
    <w:p w14:paraId="56FB68F9" w14:textId="77777777" w:rsidR="00492C61" w:rsidRPr="00CA4C14" w:rsidRDefault="00492C61" w:rsidP="003F0F05">
      <w:pPr>
        <w:pStyle w:val="enumlev1"/>
        <w:rPr>
          <w:lang w:val="ru-RU"/>
        </w:rPr>
      </w:pPr>
      <w:r w:rsidRPr="00CA4C14">
        <w:rPr>
          <w:lang w:val="ru-RU"/>
        </w:rPr>
        <w:tab/>
        <w:t>Денежные средства, эквиваленты денежных средств и инвестиции (краткосрочные депозиты) МСЭ по-прежнему не сопряжены с рисками, поскольку в них хранятся высококачественные активы, направленные на сохранение основного капитала.</w:t>
      </w:r>
    </w:p>
    <w:p w14:paraId="05F6FDB0" w14:textId="77777777" w:rsidR="00492C61" w:rsidRPr="00CA4C14" w:rsidRDefault="00492C61" w:rsidP="00B133E9">
      <w:pPr>
        <w:pStyle w:val="enumlev1"/>
        <w:rPr>
          <w:i/>
          <w:iCs/>
          <w:lang w:val="ru-RU"/>
        </w:rPr>
      </w:pPr>
      <w:r w:rsidRPr="00CA4C14">
        <w:rPr>
          <w:i/>
          <w:iCs/>
          <w:lang w:val="ru-RU"/>
        </w:rPr>
        <w:t>d)</w:t>
      </w:r>
      <w:r w:rsidRPr="00CA4C14">
        <w:rPr>
          <w:i/>
          <w:iCs/>
          <w:lang w:val="ru-RU"/>
        </w:rPr>
        <w:tab/>
        <w:t>Риск ликвидности</w:t>
      </w:r>
    </w:p>
    <w:p w14:paraId="6F6F0B9F" w14:textId="6AAACE77" w:rsidR="00492C61" w:rsidRPr="00CA4C14" w:rsidRDefault="00492C61" w:rsidP="003F0F05">
      <w:pPr>
        <w:pStyle w:val="enumlev1"/>
        <w:rPr>
          <w:lang w:val="ru-RU"/>
        </w:rPr>
      </w:pPr>
      <w:r w:rsidRPr="00CA4C14">
        <w:rPr>
          <w:lang w:val="ru-RU"/>
        </w:rPr>
        <w:tab/>
        <w:t>Риск ликвидности – это риск неспособности МСЭ выполнить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для покрытия ожидаемых операционных расходов при помощи прогнозов движения денежных средств.</w:t>
      </w:r>
    </w:p>
    <w:p w14:paraId="121DC5EE" w14:textId="77777777" w:rsidR="00492C61" w:rsidRPr="00CA4C14" w:rsidRDefault="00492C61" w:rsidP="003F0F05">
      <w:pPr>
        <w:pStyle w:val="enumlev1"/>
        <w:rPr>
          <w:lang w:val="ru-RU"/>
        </w:rPr>
      </w:pPr>
      <w:r w:rsidRPr="00CA4C14">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14:paraId="1B3EF5FC" w14:textId="77777777" w:rsidR="00492C61" w:rsidRPr="00CA4C14" w:rsidRDefault="00492C61" w:rsidP="00B133E9">
      <w:pPr>
        <w:pStyle w:val="enumlev1"/>
        <w:rPr>
          <w:i/>
          <w:iCs/>
          <w:lang w:val="ru-RU"/>
        </w:rPr>
      </w:pPr>
      <w:r w:rsidRPr="00CA4C14">
        <w:rPr>
          <w:i/>
          <w:iCs/>
          <w:lang w:val="ru-RU"/>
        </w:rPr>
        <w:t>e)</w:t>
      </w:r>
      <w:r w:rsidRPr="00CA4C14">
        <w:rPr>
          <w:i/>
          <w:iCs/>
          <w:lang w:val="ru-RU"/>
        </w:rPr>
        <w:tab/>
        <w:t>Валютный риск</w:t>
      </w:r>
    </w:p>
    <w:p w14:paraId="596F72B4" w14:textId="77777777" w:rsidR="00492C61" w:rsidRPr="00CA4C14" w:rsidRDefault="00492C61" w:rsidP="003F0F05">
      <w:pPr>
        <w:pStyle w:val="enumlev1"/>
        <w:rPr>
          <w:lang w:val="ru-RU"/>
        </w:rPr>
      </w:pPr>
      <w:r w:rsidRPr="00CA4C14">
        <w:rPr>
          <w:lang w:val="ru-RU"/>
        </w:rPr>
        <w:tab/>
        <w:t xml:space="preserve">МСЭ получает взносы Государств-Членов и взносы в регулярный бюджет в швейцарских франках, а внебюджетные взносы – в швейцарских франках и других </w:t>
      </w:r>
      <w:r w:rsidRPr="00CA4C14">
        <w:rPr>
          <w:lang w:val="ru-RU"/>
        </w:rPr>
        <w:lastRenderedPageBreak/>
        <w:t>валютах, большую часть которых составляют доллары США и евро.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иностранных валют на соответствующие банковские счета, открытые в этих валютах.</w:t>
      </w:r>
    </w:p>
    <w:p w14:paraId="23903909" w14:textId="77777777" w:rsidR="00492C61" w:rsidRPr="00CA4C14" w:rsidRDefault="00492C61" w:rsidP="003F0F05">
      <w:pPr>
        <w:pStyle w:val="enumlev1"/>
        <w:rPr>
          <w:lang w:val="ru-RU"/>
        </w:rPr>
      </w:pPr>
      <w:r w:rsidRPr="00CA4C14">
        <w:rPr>
          <w:lang w:val="ru-RU"/>
        </w:rPr>
        <w:tab/>
        <w:t>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w:t>
      </w:r>
    </w:p>
    <w:p w14:paraId="6EE8D958" w14:textId="77777777" w:rsidR="00492C61" w:rsidRPr="00CA4C14" w:rsidRDefault="00492C61" w:rsidP="003F0F05">
      <w:pPr>
        <w:pStyle w:val="enumlev1"/>
        <w:spacing w:after="120"/>
        <w:rPr>
          <w:lang w:val="ru-RU"/>
        </w:rPr>
      </w:pPr>
      <w:r w:rsidRPr="00CA4C14">
        <w:rPr>
          <w:lang w:val="ru-RU"/>
        </w:rPr>
        <w:tab/>
        <w:t>Управление внебюджетными взносами осуществляется в валюте полученного взноса, которая конвертируется в швейцарские франки для целей представления. В таблице ниже представлены основные суммы в иностранной валюте, хранящиеся в банках МСЭ в евро и долларах США.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2"/>
        <w:gridCol w:w="1750"/>
        <w:gridCol w:w="1791"/>
        <w:gridCol w:w="1444"/>
        <w:gridCol w:w="1444"/>
      </w:tblGrid>
      <w:tr w:rsidR="00492C61" w:rsidRPr="009A3216" w14:paraId="3AC3FA79" w14:textId="77777777" w:rsidTr="00255DA4">
        <w:tc>
          <w:tcPr>
            <w:tcW w:w="9061" w:type="dxa"/>
            <w:gridSpan w:val="5"/>
            <w:shd w:val="clear" w:color="auto" w:fill="0070C0"/>
            <w:noWrap/>
            <w:vAlign w:val="center"/>
            <w:hideMark/>
          </w:tcPr>
          <w:p w14:paraId="75E70551" w14:textId="77777777" w:rsidR="00492C61" w:rsidRPr="00CA4C14" w:rsidRDefault="00492C61" w:rsidP="001527DD">
            <w:pPr>
              <w:pStyle w:val="Tablehead"/>
              <w:keepLines/>
              <w:rPr>
                <w:lang w:val="ru-RU"/>
              </w:rPr>
            </w:pPr>
            <w:r w:rsidRPr="00CA4C14">
              <w:rPr>
                <w:szCs w:val="18"/>
                <w:lang w:val="ru-RU" w:eastAsia="en-GB"/>
              </w:rPr>
              <w:t>Влияние колебаний обменного курса швейцарского франка к другим валютам</w:t>
            </w:r>
          </w:p>
        </w:tc>
      </w:tr>
      <w:tr w:rsidR="00492C61" w:rsidRPr="009A3216" w14:paraId="68A2E420" w14:textId="77777777" w:rsidTr="00255DA4">
        <w:tc>
          <w:tcPr>
            <w:tcW w:w="2632" w:type="dxa"/>
            <w:vAlign w:val="center"/>
            <w:hideMark/>
          </w:tcPr>
          <w:p w14:paraId="0B6CCC27" w14:textId="797F8FAB" w:rsidR="00492C61" w:rsidRPr="00CA4C14" w:rsidRDefault="00492C61" w:rsidP="001527DD">
            <w:pPr>
              <w:pStyle w:val="Tabletext"/>
              <w:keepNext/>
              <w:keepLines/>
              <w:jc w:val="center"/>
              <w:rPr>
                <w:highlight w:val="yellow"/>
                <w:lang w:val="ru-RU"/>
              </w:rPr>
            </w:pPr>
            <w:r w:rsidRPr="00CA4C14">
              <w:rPr>
                <w:lang w:val="ru-RU"/>
              </w:rPr>
              <w:t>(тыс. шв. фр</w:t>
            </w:r>
            <w:r w:rsidR="001E23F3" w:rsidRPr="00CA4C14">
              <w:rPr>
                <w:lang w:val="ru-RU"/>
              </w:rPr>
              <w:t>.</w:t>
            </w:r>
            <w:r w:rsidRPr="00CA4C14">
              <w:rPr>
                <w:lang w:val="ru-RU"/>
              </w:rPr>
              <w:t>)</w:t>
            </w:r>
            <w:r w:rsidRPr="00CA4C14">
              <w:rPr>
                <w:lang w:val="ru-RU"/>
              </w:rPr>
              <w:br/>
              <w:t>Валюта</w:t>
            </w:r>
          </w:p>
        </w:tc>
        <w:tc>
          <w:tcPr>
            <w:tcW w:w="1750" w:type="dxa"/>
            <w:vAlign w:val="center"/>
            <w:hideMark/>
          </w:tcPr>
          <w:p w14:paraId="67E09FA0" w14:textId="06707CBF" w:rsidR="00492C61" w:rsidRPr="00CA4C14" w:rsidRDefault="00492C61" w:rsidP="001527DD">
            <w:pPr>
              <w:pStyle w:val="Tabletext"/>
              <w:jc w:val="center"/>
              <w:rPr>
                <w:lang w:val="ru-RU"/>
              </w:rPr>
            </w:pPr>
            <w:r w:rsidRPr="00CA4C14">
              <w:rPr>
                <w:szCs w:val="18"/>
                <w:lang w:val="ru-RU" w:eastAsia="en-GB"/>
              </w:rPr>
              <w:t xml:space="preserve">Остаток </w:t>
            </w:r>
            <w:r w:rsidR="00255DA4" w:rsidRPr="00CA4C14">
              <w:rPr>
                <w:szCs w:val="18"/>
                <w:lang w:val="ru-RU" w:eastAsia="en-GB"/>
              </w:rPr>
              <w:br/>
            </w:r>
            <w:r w:rsidRPr="00CA4C14">
              <w:rPr>
                <w:szCs w:val="18"/>
                <w:lang w:val="ru-RU" w:eastAsia="en-GB"/>
              </w:rPr>
              <w:t>в иностранной валюте</w:t>
            </w:r>
          </w:p>
        </w:tc>
        <w:tc>
          <w:tcPr>
            <w:tcW w:w="1791" w:type="dxa"/>
            <w:vAlign w:val="center"/>
            <w:hideMark/>
          </w:tcPr>
          <w:p w14:paraId="2F58A474" w14:textId="77777777" w:rsidR="00492C61" w:rsidRPr="00CA4C14" w:rsidRDefault="00492C61" w:rsidP="001527DD">
            <w:pPr>
              <w:pStyle w:val="Tabletext"/>
              <w:keepNext/>
              <w:keepLines/>
              <w:jc w:val="center"/>
              <w:rPr>
                <w:lang w:val="ru-RU"/>
              </w:rPr>
            </w:pPr>
            <w:r w:rsidRPr="00CA4C14">
              <w:rPr>
                <w:szCs w:val="18"/>
                <w:lang w:val="ru-RU" w:eastAsia="en-GB"/>
              </w:rPr>
              <w:t>Эквивалент остатка в швейцарских франках</w:t>
            </w:r>
          </w:p>
        </w:tc>
        <w:tc>
          <w:tcPr>
            <w:tcW w:w="2888" w:type="dxa"/>
            <w:gridSpan w:val="2"/>
            <w:vAlign w:val="center"/>
            <w:hideMark/>
          </w:tcPr>
          <w:p w14:paraId="76A9BC1F" w14:textId="77777777" w:rsidR="00492C61" w:rsidRPr="00CA4C14" w:rsidRDefault="00492C61" w:rsidP="001527DD">
            <w:pPr>
              <w:pStyle w:val="Tabletext"/>
              <w:keepNext/>
              <w:keepLines/>
              <w:jc w:val="center"/>
              <w:rPr>
                <w:lang w:val="ru-RU"/>
              </w:rPr>
            </w:pPr>
            <w:r w:rsidRPr="00CA4C14">
              <w:rPr>
                <w:szCs w:val="18"/>
                <w:lang w:val="ru-RU" w:eastAsia="en-GB"/>
              </w:rPr>
              <w:t>Эффект в швейцарских франках от увеличения/уменьшения стоимости иностранной валюты</w:t>
            </w:r>
          </w:p>
        </w:tc>
      </w:tr>
      <w:tr w:rsidR="00492C61" w:rsidRPr="00CA4C14" w14:paraId="42B8F448" w14:textId="77777777" w:rsidTr="00255DA4">
        <w:tc>
          <w:tcPr>
            <w:tcW w:w="2632" w:type="dxa"/>
            <w:noWrap/>
            <w:hideMark/>
          </w:tcPr>
          <w:p w14:paraId="4C168AFF" w14:textId="77777777" w:rsidR="00492C61" w:rsidRPr="00CA4C14" w:rsidRDefault="00492C61" w:rsidP="00B133E9">
            <w:pPr>
              <w:pStyle w:val="Tabletext"/>
              <w:keepNext/>
              <w:keepLines/>
              <w:rPr>
                <w:lang w:val="ru-RU"/>
              </w:rPr>
            </w:pPr>
          </w:p>
        </w:tc>
        <w:tc>
          <w:tcPr>
            <w:tcW w:w="1750" w:type="dxa"/>
            <w:noWrap/>
            <w:vAlign w:val="bottom"/>
            <w:hideMark/>
          </w:tcPr>
          <w:p w14:paraId="17DF3DA5" w14:textId="77777777" w:rsidR="00492C61" w:rsidRPr="00CA4C14" w:rsidRDefault="00492C61" w:rsidP="00B133E9">
            <w:pPr>
              <w:pStyle w:val="Tabletext"/>
              <w:keepNext/>
              <w:keepLines/>
              <w:jc w:val="right"/>
              <w:rPr>
                <w:lang w:val="ru-RU"/>
              </w:rPr>
            </w:pPr>
          </w:p>
        </w:tc>
        <w:tc>
          <w:tcPr>
            <w:tcW w:w="1791" w:type="dxa"/>
            <w:noWrap/>
            <w:vAlign w:val="bottom"/>
            <w:hideMark/>
          </w:tcPr>
          <w:p w14:paraId="6A4C90B8" w14:textId="77777777" w:rsidR="00492C61" w:rsidRPr="00CA4C14" w:rsidRDefault="00492C61" w:rsidP="00B133E9">
            <w:pPr>
              <w:pStyle w:val="Tabletext"/>
              <w:keepNext/>
              <w:keepLines/>
              <w:jc w:val="right"/>
              <w:rPr>
                <w:lang w:val="ru-RU"/>
              </w:rPr>
            </w:pPr>
          </w:p>
        </w:tc>
        <w:tc>
          <w:tcPr>
            <w:tcW w:w="1444" w:type="dxa"/>
            <w:noWrap/>
            <w:vAlign w:val="bottom"/>
            <w:hideMark/>
          </w:tcPr>
          <w:p w14:paraId="1658E260" w14:textId="7AFBF3F6" w:rsidR="00492C61" w:rsidRPr="00CA4C14" w:rsidRDefault="00492C61" w:rsidP="00B133E9">
            <w:pPr>
              <w:pStyle w:val="Tabletext"/>
              <w:keepNext/>
              <w:keepLines/>
              <w:jc w:val="right"/>
              <w:rPr>
                <w:lang w:val="ru-RU"/>
              </w:rPr>
            </w:pPr>
            <w:r w:rsidRPr="00CA4C14">
              <w:rPr>
                <w:lang w:val="ru-RU"/>
              </w:rPr>
              <w:t>+/</w:t>
            </w:r>
            <w:r w:rsidR="00947E37" w:rsidRPr="00CA4C14">
              <w:rPr>
                <w:lang w:val="ru-RU"/>
              </w:rPr>
              <w:t>−</w:t>
            </w:r>
            <w:r w:rsidRPr="00CA4C14">
              <w:rPr>
                <w:lang w:val="ru-RU"/>
              </w:rPr>
              <w:t>5%</w:t>
            </w:r>
          </w:p>
        </w:tc>
        <w:tc>
          <w:tcPr>
            <w:tcW w:w="1444" w:type="dxa"/>
            <w:noWrap/>
            <w:vAlign w:val="bottom"/>
            <w:hideMark/>
          </w:tcPr>
          <w:p w14:paraId="6AF13631" w14:textId="74E9EA4C" w:rsidR="00492C61" w:rsidRPr="00CA4C14" w:rsidRDefault="00492C61" w:rsidP="00B133E9">
            <w:pPr>
              <w:pStyle w:val="Tabletext"/>
              <w:keepNext/>
              <w:keepLines/>
              <w:jc w:val="right"/>
              <w:rPr>
                <w:lang w:val="ru-RU"/>
              </w:rPr>
            </w:pPr>
            <w:r w:rsidRPr="00CA4C14">
              <w:rPr>
                <w:lang w:val="ru-RU"/>
              </w:rPr>
              <w:t>+/</w:t>
            </w:r>
            <w:r w:rsidR="00947E37" w:rsidRPr="00CA4C14">
              <w:rPr>
                <w:lang w:val="ru-RU"/>
              </w:rPr>
              <w:t>−</w:t>
            </w:r>
            <w:r w:rsidRPr="00CA4C14">
              <w:rPr>
                <w:lang w:val="ru-RU"/>
              </w:rPr>
              <w:t>10%</w:t>
            </w:r>
          </w:p>
        </w:tc>
      </w:tr>
      <w:tr w:rsidR="00492C61" w:rsidRPr="00CA4C14" w14:paraId="71B204AE" w14:textId="77777777" w:rsidTr="00255DA4">
        <w:tc>
          <w:tcPr>
            <w:tcW w:w="2632" w:type="dxa"/>
            <w:noWrap/>
            <w:hideMark/>
          </w:tcPr>
          <w:p w14:paraId="4C803902" w14:textId="77777777" w:rsidR="00492C61" w:rsidRPr="00CA4C14" w:rsidRDefault="00492C61" w:rsidP="00B133E9">
            <w:pPr>
              <w:pStyle w:val="Tabletext"/>
              <w:keepNext/>
              <w:keepLines/>
              <w:rPr>
                <w:lang w:val="ru-RU"/>
              </w:rPr>
            </w:pPr>
            <w:r w:rsidRPr="00CA4C14">
              <w:rPr>
                <w:lang w:val="ru-RU"/>
              </w:rPr>
              <w:t>Евро</w:t>
            </w:r>
          </w:p>
        </w:tc>
        <w:tc>
          <w:tcPr>
            <w:tcW w:w="1750" w:type="dxa"/>
            <w:noWrap/>
            <w:vAlign w:val="bottom"/>
            <w:hideMark/>
          </w:tcPr>
          <w:p w14:paraId="6E17ED2C" w14:textId="77777777" w:rsidR="00492C61" w:rsidRPr="00CA4C14" w:rsidRDefault="00492C61" w:rsidP="00B133E9">
            <w:pPr>
              <w:pStyle w:val="Tabletext"/>
              <w:keepNext/>
              <w:keepLines/>
              <w:jc w:val="right"/>
              <w:rPr>
                <w:lang w:val="ru-RU"/>
              </w:rPr>
            </w:pPr>
            <w:r w:rsidRPr="00CA4C14">
              <w:rPr>
                <w:lang w:val="ru-RU"/>
              </w:rPr>
              <w:t>17 184</w:t>
            </w:r>
          </w:p>
        </w:tc>
        <w:tc>
          <w:tcPr>
            <w:tcW w:w="1791" w:type="dxa"/>
            <w:noWrap/>
            <w:vAlign w:val="bottom"/>
            <w:hideMark/>
          </w:tcPr>
          <w:p w14:paraId="26F29CF5" w14:textId="77777777" w:rsidR="00492C61" w:rsidRPr="00CA4C14" w:rsidRDefault="00492C61" w:rsidP="00B133E9">
            <w:pPr>
              <w:pStyle w:val="Tabletext"/>
              <w:keepNext/>
              <w:keepLines/>
              <w:jc w:val="right"/>
              <w:rPr>
                <w:lang w:val="ru-RU"/>
              </w:rPr>
            </w:pPr>
            <w:r w:rsidRPr="00CA4C14">
              <w:rPr>
                <w:lang w:val="ru-RU"/>
              </w:rPr>
              <w:t>15 925</w:t>
            </w:r>
          </w:p>
        </w:tc>
        <w:tc>
          <w:tcPr>
            <w:tcW w:w="1444" w:type="dxa"/>
            <w:noWrap/>
            <w:vAlign w:val="bottom"/>
            <w:hideMark/>
          </w:tcPr>
          <w:p w14:paraId="447C331A" w14:textId="77777777" w:rsidR="00492C61" w:rsidRPr="00CA4C14" w:rsidRDefault="00492C61" w:rsidP="00B133E9">
            <w:pPr>
              <w:pStyle w:val="Tabletext"/>
              <w:keepNext/>
              <w:keepLines/>
              <w:jc w:val="right"/>
              <w:rPr>
                <w:lang w:val="ru-RU"/>
              </w:rPr>
            </w:pPr>
            <w:r w:rsidRPr="00CA4C14">
              <w:rPr>
                <w:lang w:val="ru-RU"/>
              </w:rPr>
              <w:t>796</w:t>
            </w:r>
          </w:p>
        </w:tc>
        <w:tc>
          <w:tcPr>
            <w:tcW w:w="1444" w:type="dxa"/>
            <w:noWrap/>
            <w:vAlign w:val="bottom"/>
            <w:hideMark/>
          </w:tcPr>
          <w:p w14:paraId="6BC14CF3" w14:textId="77777777" w:rsidR="00492C61" w:rsidRPr="00CA4C14" w:rsidRDefault="00492C61" w:rsidP="00B133E9">
            <w:pPr>
              <w:pStyle w:val="Tabletext"/>
              <w:keepNext/>
              <w:keepLines/>
              <w:jc w:val="right"/>
              <w:rPr>
                <w:lang w:val="ru-RU"/>
              </w:rPr>
            </w:pPr>
            <w:r w:rsidRPr="00CA4C14">
              <w:rPr>
                <w:lang w:val="ru-RU"/>
              </w:rPr>
              <w:t>1 593</w:t>
            </w:r>
          </w:p>
        </w:tc>
      </w:tr>
      <w:tr w:rsidR="00492C61" w:rsidRPr="00CA4C14" w14:paraId="6F0284C1" w14:textId="77777777" w:rsidTr="00255DA4">
        <w:tc>
          <w:tcPr>
            <w:tcW w:w="2632" w:type="dxa"/>
            <w:noWrap/>
            <w:hideMark/>
          </w:tcPr>
          <w:p w14:paraId="556A7189" w14:textId="77777777" w:rsidR="00492C61" w:rsidRPr="00CA4C14" w:rsidRDefault="00492C61" w:rsidP="00B133E9">
            <w:pPr>
              <w:pStyle w:val="Tabletext"/>
              <w:keepNext/>
              <w:keepLines/>
              <w:rPr>
                <w:lang w:val="ru-RU"/>
              </w:rPr>
            </w:pPr>
            <w:r w:rsidRPr="00CA4C14">
              <w:rPr>
                <w:lang w:val="ru-RU"/>
              </w:rPr>
              <w:t>Доллар США</w:t>
            </w:r>
          </w:p>
        </w:tc>
        <w:tc>
          <w:tcPr>
            <w:tcW w:w="1750" w:type="dxa"/>
            <w:noWrap/>
            <w:vAlign w:val="bottom"/>
            <w:hideMark/>
          </w:tcPr>
          <w:p w14:paraId="6F926504" w14:textId="77777777" w:rsidR="00492C61" w:rsidRPr="00CA4C14" w:rsidRDefault="00492C61" w:rsidP="00B133E9">
            <w:pPr>
              <w:pStyle w:val="Tabletext"/>
              <w:keepNext/>
              <w:keepLines/>
              <w:jc w:val="right"/>
              <w:rPr>
                <w:lang w:val="ru-RU"/>
              </w:rPr>
            </w:pPr>
            <w:r w:rsidRPr="00CA4C14">
              <w:rPr>
                <w:lang w:val="ru-RU"/>
              </w:rPr>
              <w:t>8 182</w:t>
            </w:r>
          </w:p>
        </w:tc>
        <w:tc>
          <w:tcPr>
            <w:tcW w:w="1791" w:type="dxa"/>
            <w:noWrap/>
            <w:vAlign w:val="bottom"/>
            <w:hideMark/>
          </w:tcPr>
          <w:p w14:paraId="5E3A38E5" w14:textId="77777777" w:rsidR="00492C61" w:rsidRPr="00CA4C14" w:rsidRDefault="00492C61" w:rsidP="00B133E9">
            <w:pPr>
              <w:pStyle w:val="Tabletext"/>
              <w:keepNext/>
              <w:keepLines/>
              <w:jc w:val="right"/>
              <w:rPr>
                <w:lang w:val="ru-RU"/>
              </w:rPr>
            </w:pPr>
            <w:r w:rsidRPr="00CA4C14">
              <w:rPr>
                <w:lang w:val="ru-RU"/>
              </w:rPr>
              <w:t>6 832</w:t>
            </w:r>
          </w:p>
        </w:tc>
        <w:tc>
          <w:tcPr>
            <w:tcW w:w="1444" w:type="dxa"/>
            <w:noWrap/>
            <w:vAlign w:val="bottom"/>
            <w:hideMark/>
          </w:tcPr>
          <w:p w14:paraId="7AA59F80" w14:textId="77777777" w:rsidR="00492C61" w:rsidRPr="00CA4C14" w:rsidRDefault="00492C61" w:rsidP="00B133E9">
            <w:pPr>
              <w:pStyle w:val="Tabletext"/>
              <w:keepNext/>
              <w:keepLines/>
              <w:jc w:val="right"/>
              <w:rPr>
                <w:lang w:val="ru-RU"/>
              </w:rPr>
            </w:pPr>
            <w:r w:rsidRPr="00CA4C14">
              <w:rPr>
                <w:lang w:val="ru-RU"/>
              </w:rPr>
              <w:t>342</w:t>
            </w:r>
          </w:p>
        </w:tc>
        <w:tc>
          <w:tcPr>
            <w:tcW w:w="1444" w:type="dxa"/>
            <w:noWrap/>
            <w:vAlign w:val="bottom"/>
            <w:hideMark/>
          </w:tcPr>
          <w:p w14:paraId="3EE4EA6F" w14:textId="77777777" w:rsidR="00492C61" w:rsidRPr="00CA4C14" w:rsidRDefault="00492C61" w:rsidP="00B133E9">
            <w:pPr>
              <w:pStyle w:val="Tabletext"/>
              <w:keepNext/>
              <w:keepLines/>
              <w:jc w:val="right"/>
              <w:rPr>
                <w:lang w:val="ru-RU"/>
              </w:rPr>
            </w:pPr>
            <w:r w:rsidRPr="00CA4C14">
              <w:rPr>
                <w:lang w:val="ru-RU"/>
              </w:rPr>
              <w:t>683</w:t>
            </w:r>
          </w:p>
        </w:tc>
      </w:tr>
      <w:tr w:rsidR="00492C61" w:rsidRPr="00CA4C14" w14:paraId="7D6879F2" w14:textId="77777777" w:rsidTr="00255DA4">
        <w:tc>
          <w:tcPr>
            <w:tcW w:w="2632" w:type="dxa"/>
            <w:shd w:val="clear" w:color="auto" w:fill="0070C0"/>
            <w:noWrap/>
            <w:vAlign w:val="center"/>
            <w:hideMark/>
          </w:tcPr>
          <w:p w14:paraId="674373E5" w14:textId="5D532E70" w:rsidR="00492C61" w:rsidRPr="00CA4C14" w:rsidRDefault="00492C61" w:rsidP="001527DD">
            <w:pPr>
              <w:pStyle w:val="Tabletext"/>
              <w:keepLines/>
              <w:rPr>
                <w:b/>
                <w:bCs/>
                <w:lang w:val="ru-RU"/>
              </w:rPr>
            </w:pPr>
            <w:r w:rsidRPr="00CA4C14">
              <w:rPr>
                <w:b/>
                <w:bCs/>
                <w:lang w:val="ru-RU"/>
              </w:rPr>
              <w:t xml:space="preserve">Всего </w:t>
            </w:r>
            <w:r w:rsidR="000C6E3F" w:rsidRPr="00CA4C14">
              <w:rPr>
                <w:b/>
                <w:bCs/>
                <w:lang w:val="ru-RU"/>
              </w:rPr>
              <w:t>−</w:t>
            </w:r>
            <w:r w:rsidRPr="00CA4C14">
              <w:rPr>
                <w:b/>
                <w:bCs/>
                <w:lang w:val="ru-RU"/>
              </w:rPr>
              <w:t xml:space="preserve"> 31 декабря 2023 г.</w:t>
            </w:r>
          </w:p>
        </w:tc>
        <w:tc>
          <w:tcPr>
            <w:tcW w:w="1750" w:type="dxa"/>
            <w:shd w:val="clear" w:color="auto" w:fill="0070C0"/>
            <w:noWrap/>
            <w:vAlign w:val="center"/>
            <w:hideMark/>
          </w:tcPr>
          <w:p w14:paraId="21C20B5C" w14:textId="77777777" w:rsidR="00492C61" w:rsidRPr="00CA4C14" w:rsidRDefault="00492C61" w:rsidP="001527DD">
            <w:pPr>
              <w:pStyle w:val="Tabletext"/>
              <w:jc w:val="right"/>
              <w:rPr>
                <w:b/>
                <w:bCs/>
                <w:lang w:val="ru-RU"/>
              </w:rPr>
            </w:pPr>
          </w:p>
        </w:tc>
        <w:tc>
          <w:tcPr>
            <w:tcW w:w="1791" w:type="dxa"/>
            <w:shd w:val="clear" w:color="auto" w:fill="0070C0"/>
            <w:noWrap/>
            <w:vAlign w:val="center"/>
            <w:hideMark/>
          </w:tcPr>
          <w:p w14:paraId="2C3A82DE" w14:textId="77777777" w:rsidR="00492C61" w:rsidRPr="00CA4C14" w:rsidRDefault="00492C61" w:rsidP="001527DD">
            <w:pPr>
              <w:pStyle w:val="Tabletext"/>
              <w:keepNext/>
              <w:keepLines/>
              <w:jc w:val="right"/>
              <w:rPr>
                <w:b/>
                <w:bCs/>
                <w:lang w:val="ru-RU"/>
              </w:rPr>
            </w:pPr>
            <w:r w:rsidRPr="00CA4C14">
              <w:rPr>
                <w:b/>
                <w:bCs/>
                <w:lang w:val="ru-RU"/>
              </w:rPr>
              <w:t>22 757</w:t>
            </w:r>
          </w:p>
        </w:tc>
        <w:tc>
          <w:tcPr>
            <w:tcW w:w="1444" w:type="dxa"/>
            <w:shd w:val="clear" w:color="auto" w:fill="0070C0"/>
            <w:noWrap/>
            <w:vAlign w:val="center"/>
            <w:hideMark/>
          </w:tcPr>
          <w:p w14:paraId="5BBB4C33" w14:textId="77777777" w:rsidR="00492C61" w:rsidRPr="00CA4C14" w:rsidRDefault="00492C61" w:rsidP="001527DD">
            <w:pPr>
              <w:pStyle w:val="Tabletext"/>
              <w:keepNext/>
              <w:keepLines/>
              <w:jc w:val="right"/>
              <w:rPr>
                <w:b/>
                <w:bCs/>
                <w:lang w:val="ru-RU"/>
              </w:rPr>
            </w:pPr>
            <w:r w:rsidRPr="00CA4C14">
              <w:rPr>
                <w:b/>
                <w:bCs/>
                <w:lang w:val="ru-RU"/>
              </w:rPr>
              <w:t>1 138</w:t>
            </w:r>
          </w:p>
        </w:tc>
        <w:tc>
          <w:tcPr>
            <w:tcW w:w="1444" w:type="dxa"/>
            <w:shd w:val="clear" w:color="auto" w:fill="0070C0"/>
            <w:noWrap/>
            <w:vAlign w:val="center"/>
            <w:hideMark/>
          </w:tcPr>
          <w:p w14:paraId="3B671A4B" w14:textId="77777777" w:rsidR="00492C61" w:rsidRPr="00CA4C14" w:rsidRDefault="00492C61" w:rsidP="001527DD">
            <w:pPr>
              <w:pStyle w:val="Tabletext"/>
              <w:keepNext/>
              <w:keepLines/>
              <w:jc w:val="right"/>
              <w:rPr>
                <w:b/>
                <w:bCs/>
                <w:lang w:val="ru-RU"/>
              </w:rPr>
            </w:pPr>
            <w:r w:rsidRPr="00CA4C14">
              <w:rPr>
                <w:b/>
                <w:bCs/>
                <w:lang w:val="ru-RU"/>
              </w:rPr>
              <w:t>2 276</w:t>
            </w:r>
          </w:p>
        </w:tc>
      </w:tr>
    </w:tbl>
    <w:p w14:paraId="2C1B3CCA" w14:textId="77777777" w:rsidR="00492C61" w:rsidRPr="00CA4C14" w:rsidRDefault="00492C61" w:rsidP="00B133E9">
      <w:pPr>
        <w:pStyle w:val="enumlev1"/>
        <w:keepNext/>
        <w:rPr>
          <w:i/>
          <w:iCs/>
          <w:lang w:val="ru-RU"/>
        </w:rPr>
      </w:pPr>
      <w:r w:rsidRPr="00CA4C14">
        <w:rPr>
          <w:i/>
          <w:iCs/>
          <w:lang w:val="ru-RU"/>
        </w:rPr>
        <w:t>f)</w:t>
      </w:r>
      <w:r w:rsidRPr="00CA4C14">
        <w:rPr>
          <w:i/>
          <w:iCs/>
          <w:lang w:val="ru-RU"/>
        </w:rPr>
        <w:tab/>
        <w:t>Рыночный риск</w:t>
      </w:r>
    </w:p>
    <w:p w14:paraId="2BF7DF3C" w14:textId="77777777" w:rsidR="00492C61" w:rsidRPr="00CA4C14" w:rsidRDefault="00492C61" w:rsidP="003F0F05">
      <w:pPr>
        <w:pStyle w:val="enumlev1"/>
        <w:rPr>
          <w:lang w:val="ru-RU"/>
        </w:rPr>
      </w:pPr>
      <w:r w:rsidRPr="00CA4C14">
        <w:rPr>
          <w:lang w:val="ru-RU"/>
        </w:rPr>
        <w:tab/>
        <w:t>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w:t>
      </w:r>
    </w:p>
    <w:p w14:paraId="5F3BD012" w14:textId="4B7291DE" w:rsidR="00492C61" w:rsidRPr="00CA4C14" w:rsidRDefault="00492C61" w:rsidP="00C663FA">
      <w:pPr>
        <w:keepNext/>
        <w:spacing w:after="120"/>
        <w:rPr>
          <w:lang w:val="ru-RU"/>
        </w:rPr>
      </w:pPr>
      <w:r w:rsidRPr="00CA4C14">
        <w:rPr>
          <w:lang w:val="ru-RU"/>
        </w:rPr>
        <w:t xml:space="preserve">Ниже </w:t>
      </w:r>
      <w:r w:rsidRPr="00CA4C14">
        <w:rPr>
          <w:rFonts w:eastAsia="Calibri" w:cs="Calibri"/>
          <w:lang w:val="ru-RU"/>
        </w:rPr>
        <w:t>приводится</w:t>
      </w:r>
      <w:r w:rsidRPr="00CA4C14">
        <w:rPr>
          <w:lang w:val="ru-RU"/>
        </w:rPr>
        <w:t xml:space="preserve"> обзор финансовых инструментов по срокам погашения по состоянию на</w:t>
      </w:r>
      <w:r w:rsidR="00947E37" w:rsidRPr="00CA4C14">
        <w:rPr>
          <w:lang w:val="ru-RU"/>
        </w:rPr>
        <w:t> </w:t>
      </w:r>
      <w:r w:rsidRPr="00CA4C14">
        <w:rPr>
          <w:lang w:val="ru-RU"/>
        </w:rPr>
        <w:t>31 декабря 2023 года: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844"/>
        <w:gridCol w:w="1227"/>
        <w:gridCol w:w="1228"/>
        <w:gridCol w:w="1228"/>
      </w:tblGrid>
      <w:tr w:rsidR="00492C61" w:rsidRPr="00CA4C14" w14:paraId="4A96BC20" w14:textId="77777777" w:rsidTr="00947E37">
        <w:tc>
          <w:tcPr>
            <w:tcW w:w="1953" w:type="pct"/>
            <w:shd w:val="clear" w:color="auto" w:fill="0070C0"/>
            <w:vAlign w:val="center"/>
            <w:hideMark/>
          </w:tcPr>
          <w:p w14:paraId="14AA2320" w14:textId="143A21E4" w:rsidR="00492C61" w:rsidRPr="00CA4C14" w:rsidRDefault="001E23F3" w:rsidP="000C6E3F">
            <w:pPr>
              <w:pStyle w:val="Tablehead"/>
              <w:keepLines/>
              <w:rPr>
                <w:lang w:val="ru-RU"/>
              </w:rPr>
            </w:pPr>
            <w:r w:rsidRPr="00CA4C14">
              <w:rPr>
                <w:lang w:val="ru-RU" w:eastAsia="en-GB"/>
              </w:rPr>
              <w:t>В тыс. шв. фр.</w:t>
            </w:r>
          </w:p>
        </w:tc>
        <w:tc>
          <w:tcPr>
            <w:tcW w:w="1016" w:type="pct"/>
            <w:shd w:val="clear" w:color="auto" w:fill="0070C0"/>
            <w:vAlign w:val="center"/>
            <w:hideMark/>
          </w:tcPr>
          <w:p w14:paraId="5E123B45" w14:textId="77777777" w:rsidR="00492C61" w:rsidRPr="00CA4C14" w:rsidRDefault="00492C61" w:rsidP="000C6E3F">
            <w:pPr>
              <w:pStyle w:val="Tablehead"/>
              <w:keepLines/>
              <w:rPr>
                <w:lang w:val="ru-RU"/>
              </w:rPr>
            </w:pPr>
            <w:r w:rsidRPr="00CA4C14">
              <w:rPr>
                <w:szCs w:val="18"/>
                <w:lang w:val="ru-RU" w:eastAsia="en-GB"/>
              </w:rPr>
              <w:t>Средневзвешенная процентная ставка</w:t>
            </w:r>
          </w:p>
        </w:tc>
        <w:tc>
          <w:tcPr>
            <w:tcW w:w="676" w:type="pct"/>
            <w:shd w:val="clear" w:color="auto" w:fill="0070C0"/>
            <w:vAlign w:val="center"/>
            <w:hideMark/>
          </w:tcPr>
          <w:p w14:paraId="7C78AC31" w14:textId="77777777" w:rsidR="00492C61" w:rsidRPr="00CA4C14" w:rsidRDefault="00492C61" w:rsidP="000C6E3F">
            <w:pPr>
              <w:pStyle w:val="Tablehead"/>
              <w:keepLines/>
              <w:rPr>
                <w:lang w:val="ru-RU"/>
              </w:rPr>
            </w:pPr>
            <w:r w:rsidRPr="00CA4C14">
              <w:rPr>
                <w:szCs w:val="18"/>
                <w:lang w:val="ru-RU" w:eastAsia="en-GB"/>
              </w:rPr>
              <w:t>1 год или меньше</w:t>
            </w:r>
          </w:p>
        </w:tc>
        <w:tc>
          <w:tcPr>
            <w:tcW w:w="677" w:type="pct"/>
            <w:shd w:val="clear" w:color="auto" w:fill="0070C0"/>
            <w:vAlign w:val="center"/>
            <w:hideMark/>
          </w:tcPr>
          <w:p w14:paraId="3C72C3BF" w14:textId="77777777" w:rsidR="00492C61" w:rsidRPr="00CA4C14" w:rsidRDefault="00492C61" w:rsidP="000C6E3F">
            <w:pPr>
              <w:pStyle w:val="Tablehead"/>
              <w:keepLines/>
              <w:rPr>
                <w:lang w:val="ru-RU"/>
              </w:rPr>
            </w:pPr>
            <w:r w:rsidRPr="00CA4C14">
              <w:rPr>
                <w:szCs w:val="18"/>
                <w:lang w:val="ru-RU" w:eastAsia="en-GB"/>
              </w:rPr>
              <w:t>&gt; 1 года</w:t>
            </w:r>
          </w:p>
        </w:tc>
        <w:tc>
          <w:tcPr>
            <w:tcW w:w="677" w:type="pct"/>
            <w:shd w:val="clear" w:color="auto" w:fill="0070C0"/>
            <w:vAlign w:val="center"/>
            <w:hideMark/>
          </w:tcPr>
          <w:p w14:paraId="19CC3840" w14:textId="77777777" w:rsidR="00492C61" w:rsidRPr="00CA4C14" w:rsidRDefault="00492C61" w:rsidP="000C6E3F">
            <w:pPr>
              <w:pStyle w:val="Tablehead"/>
              <w:keepLines/>
              <w:rPr>
                <w:lang w:val="ru-RU"/>
              </w:rPr>
            </w:pPr>
            <w:r w:rsidRPr="00CA4C14">
              <w:rPr>
                <w:szCs w:val="18"/>
                <w:lang w:val="ru-RU" w:eastAsia="en-GB"/>
              </w:rPr>
              <w:t>Всего</w:t>
            </w:r>
          </w:p>
        </w:tc>
      </w:tr>
      <w:tr w:rsidR="00492C61" w:rsidRPr="00CA4C14" w14:paraId="3D4ADCC8" w14:textId="77777777" w:rsidTr="00947E37">
        <w:tc>
          <w:tcPr>
            <w:tcW w:w="1953" w:type="pct"/>
            <w:noWrap/>
            <w:hideMark/>
          </w:tcPr>
          <w:p w14:paraId="0144E99A" w14:textId="77777777" w:rsidR="00492C61" w:rsidRPr="00CA4C14" w:rsidRDefault="00492C61" w:rsidP="000C6E3F">
            <w:pPr>
              <w:pStyle w:val="Tabletext"/>
              <w:keepNext/>
              <w:keepLines/>
              <w:rPr>
                <w:b/>
                <w:bCs/>
                <w:lang w:val="ru-RU"/>
              </w:rPr>
            </w:pPr>
            <w:r w:rsidRPr="00CA4C14">
              <w:rPr>
                <w:b/>
                <w:bCs/>
                <w:szCs w:val="18"/>
                <w:lang w:val="ru-RU"/>
              </w:rPr>
              <w:t>Финансовые активы</w:t>
            </w:r>
          </w:p>
        </w:tc>
        <w:tc>
          <w:tcPr>
            <w:tcW w:w="1016" w:type="pct"/>
            <w:noWrap/>
            <w:vAlign w:val="bottom"/>
            <w:hideMark/>
          </w:tcPr>
          <w:p w14:paraId="4BC258DD" w14:textId="77777777" w:rsidR="00492C61" w:rsidRPr="00CA4C14" w:rsidRDefault="00492C61" w:rsidP="000C6E3F">
            <w:pPr>
              <w:pStyle w:val="Tabletext"/>
              <w:keepNext/>
              <w:keepLines/>
              <w:jc w:val="right"/>
              <w:rPr>
                <w:lang w:val="ru-RU"/>
              </w:rPr>
            </w:pPr>
          </w:p>
        </w:tc>
        <w:tc>
          <w:tcPr>
            <w:tcW w:w="676" w:type="pct"/>
            <w:noWrap/>
            <w:vAlign w:val="bottom"/>
            <w:hideMark/>
          </w:tcPr>
          <w:p w14:paraId="79D7FEA9" w14:textId="77777777" w:rsidR="00492C61" w:rsidRPr="00CA4C14" w:rsidRDefault="00492C61" w:rsidP="000C6E3F">
            <w:pPr>
              <w:pStyle w:val="Tabletext"/>
              <w:keepNext/>
              <w:keepLines/>
              <w:jc w:val="right"/>
              <w:rPr>
                <w:lang w:val="ru-RU"/>
              </w:rPr>
            </w:pPr>
          </w:p>
        </w:tc>
        <w:tc>
          <w:tcPr>
            <w:tcW w:w="677" w:type="pct"/>
            <w:noWrap/>
            <w:vAlign w:val="bottom"/>
            <w:hideMark/>
          </w:tcPr>
          <w:p w14:paraId="6E517FAB" w14:textId="77777777" w:rsidR="00492C61" w:rsidRPr="00CA4C14" w:rsidRDefault="00492C61" w:rsidP="000C6E3F">
            <w:pPr>
              <w:pStyle w:val="Tabletext"/>
              <w:keepNext/>
              <w:keepLines/>
              <w:jc w:val="right"/>
              <w:rPr>
                <w:lang w:val="ru-RU"/>
              </w:rPr>
            </w:pPr>
          </w:p>
        </w:tc>
        <w:tc>
          <w:tcPr>
            <w:tcW w:w="677" w:type="pct"/>
            <w:noWrap/>
            <w:vAlign w:val="bottom"/>
            <w:hideMark/>
          </w:tcPr>
          <w:p w14:paraId="479BC113" w14:textId="77777777" w:rsidR="00492C61" w:rsidRPr="00CA4C14" w:rsidRDefault="00492C61" w:rsidP="000C6E3F">
            <w:pPr>
              <w:pStyle w:val="Tabletext"/>
              <w:keepNext/>
              <w:keepLines/>
              <w:jc w:val="right"/>
              <w:rPr>
                <w:lang w:val="ru-RU"/>
              </w:rPr>
            </w:pPr>
          </w:p>
        </w:tc>
      </w:tr>
      <w:tr w:rsidR="00492C61" w:rsidRPr="00CA4C14" w14:paraId="72089CF3" w14:textId="77777777" w:rsidTr="00947E37">
        <w:tc>
          <w:tcPr>
            <w:tcW w:w="1953" w:type="pct"/>
            <w:noWrap/>
            <w:hideMark/>
          </w:tcPr>
          <w:p w14:paraId="7C04A730" w14:textId="77777777" w:rsidR="00492C61" w:rsidRPr="00CA4C14" w:rsidRDefault="00492C61" w:rsidP="000C6E3F">
            <w:pPr>
              <w:pStyle w:val="Tabletext"/>
              <w:keepNext/>
              <w:keepLines/>
              <w:rPr>
                <w:lang w:val="ru-RU"/>
              </w:rPr>
            </w:pPr>
            <w:r w:rsidRPr="00CA4C14">
              <w:rPr>
                <w:szCs w:val="18"/>
                <w:lang w:val="ru-RU"/>
              </w:rPr>
              <w:t>Инвестиции</w:t>
            </w:r>
          </w:p>
        </w:tc>
        <w:tc>
          <w:tcPr>
            <w:tcW w:w="1016" w:type="pct"/>
            <w:noWrap/>
            <w:vAlign w:val="bottom"/>
            <w:hideMark/>
          </w:tcPr>
          <w:p w14:paraId="598EE807" w14:textId="77777777" w:rsidR="00492C61" w:rsidRPr="00CA4C14" w:rsidRDefault="00492C61" w:rsidP="000C6E3F">
            <w:pPr>
              <w:pStyle w:val="Tabletext"/>
              <w:keepNext/>
              <w:keepLines/>
              <w:jc w:val="right"/>
              <w:rPr>
                <w:lang w:val="ru-RU"/>
              </w:rPr>
            </w:pPr>
          </w:p>
        </w:tc>
        <w:tc>
          <w:tcPr>
            <w:tcW w:w="676" w:type="pct"/>
            <w:noWrap/>
            <w:vAlign w:val="bottom"/>
            <w:hideMark/>
          </w:tcPr>
          <w:p w14:paraId="5A683DAB" w14:textId="77777777" w:rsidR="00492C61" w:rsidRPr="00CA4C14" w:rsidRDefault="00492C61" w:rsidP="000C6E3F">
            <w:pPr>
              <w:pStyle w:val="Tabletext"/>
              <w:keepNext/>
              <w:keepLines/>
              <w:jc w:val="right"/>
              <w:rPr>
                <w:lang w:val="ru-RU"/>
              </w:rPr>
            </w:pPr>
            <w:r w:rsidRPr="00CA4C14">
              <w:rPr>
                <w:lang w:val="ru-RU"/>
              </w:rPr>
              <w:t>35 070</w:t>
            </w:r>
          </w:p>
        </w:tc>
        <w:tc>
          <w:tcPr>
            <w:tcW w:w="677" w:type="pct"/>
            <w:noWrap/>
            <w:vAlign w:val="bottom"/>
            <w:hideMark/>
          </w:tcPr>
          <w:p w14:paraId="6C129CE3" w14:textId="77777777" w:rsidR="00492C61" w:rsidRPr="00CA4C14" w:rsidRDefault="00492C61" w:rsidP="000C6E3F">
            <w:pPr>
              <w:pStyle w:val="Tabletext"/>
              <w:keepNext/>
              <w:keepLines/>
              <w:jc w:val="right"/>
              <w:rPr>
                <w:lang w:val="ru-RU"/>
              </w:rPr>
            </w:pPr>
            <w:r w:rsidRPr="00CA4C14">
              <w:rPr>
                <w:rFonts w:cs="Calibri"/>
                <w:lang w:val="ru-RU"/>
              </w:rPr>
              <w:t>−</w:t>
            </w:r>
          </w:p>
        </w:tc>
        <w:tc>
          <w:tcPr>
            <w:tcW w:w="677" w:type="pct"/>
            <w:noWrap/>
            <w:vAlign w:val="bottom"/>
            <w:hideMark/>
          </w:tcPr>
          <w:p w14:paraId="2119B384" w14:textId="77777777" w:rsidR="00492C61" w:rsidRPr="00CA4C14" w:rsidRDefault="00492C61" w:rsidP="000C6E3F">
            <w:pPr>
              <w:pStyle w:val="Tabletext"/>
              <w:keepNext/>
              <w:keepLines/>
              <w:jc w:val="right"/>
              <w:rPr>
                <w:lang w:val="ru-RU"/>
              </w:rPr>
            </w:pPr>
            <w:r w:rsidRPr="00CA4C14">
              <w:rPr>
                <w:lang w:val="ru-RU"/>
              </w:rPr>
              <w:t>35 070</w:t>
            </w:r>
          </w:p>
        </w:tc>
      </w:tr>
      <w:tr w:rsidR="00492C61" w:rsidRPr="00CA4C14" w14:paraId="567BBB89" w14:textId="77777777" w:rsidTr="00947E37">
        <w:tc>
          <w:tcPr>
            <w:tcW w:w="1953" w:type="pct"/>
            <w:noWrap/>
            <w:hideMark/>
          </w:tcPr>
          <w:p w14:paraId="4F7A19DA" w14:textId="77777777" w:rsidR="00492C61" w:rsidRPr="00CA4C14" w:rsidRDefault="00492C61" w:rsidP="000C6E3F">
            <w:pPr>
              <w:pStyle w:val="Tabletext"/>
              <w:keepNext/>
              <w:keepLines/>
              <w:rPr>
                <w:lang w:val="ru-RU"/>
              </w:rPr>
            </w:pPr>
            <w:r w:rsidRPr="00CA4C14">
              <w:rPr>
                <w:szCs w:val="18"/>
                <w:lang w:val="ru-RU"/>
              </w:rPr>
              <w:t>Денежные средства и эквиваленты денежных средств</w:t>
            </w:r>
          </w:p>
        </w:tc>
        <w:tc>
          <w:tcPr>
            <w:tcW w:w="1016" w:type="pct"/>
            <w:noWrap/>
            <w:vAlign w:val="bottom"/>
            <w:hideMark/>
          </w:tcPr>
          <w:p w14:paraId="1A3E988A" w14:textId="77777777" w:rsidR="00492C61" w:rsidRPr="00CA4C14" w:rsidRDefault="00492C61" w:rsidP="000C6E3F">
            <w:pPr>
              <w:pStyle w:val="Tabletext"/>
              <w:keepNext/>
              <w:keepLines/>
              <w:jc w:val="right"/>
              <w:rPr>
                <w:lang w:val="ru-RU"/>
              </w:rPr>
            </w:pPr>
          </w:p>
        </w:tc>
        <w:tc>
          <w:tcPr>
            <w:tcW w:w="676" w:type="pct"/>
            <w:noWrap/>
            <w:vAlign w:val="bottom"/>
            <w:hideMark/>
          </w:tcPr>
          <w:p w14:paraId="6E6E9F86" w14:textId="77777777" w:rsidR="00492C61" w:rsidRPr="00CA4C14" w:rsidRDefault="00492C61" w:rsidP="000C6E3F">
            <w:pPr>
              <w:pStyle w:val="Tabletext"/>
              <w:keepNext/>
              <w:keepLines/>
              <w:jc w:val="right"/>
              <w:rPr>
                <w:lang w:val="ru-RU"/>
              </w:rPr>
            </w:pPr>
            <w:r w:rsidRPr="00CA4C14">
              <w:rPr>
                <w:lang w:val="ru-RU"/>
              </w:rPr>
              <w:t>155 868</w:t>
            </w:r>
          </w:p>
        </w:tc>
        <w:tc>
          <w:tcPr>
            <w:tcW w:w="677" w:type="pct"/>
            <w:noWrap/>
            <w:vAlign w:val="bottom"/>
            <w:hideMark/>
          </w:tcPr>
          <w:p w14:paraId="24EADD21" w14:textId="77777777" w:rsidR="00492C61" w:rsidRPr="00CA4C14" w:rsidRDefault="00492C61" w:rsidP="000C6E3F">
            <w:pPr>
              <w:pStyle w:val="Tabletext"/>
              <w:keepNext/>
              <w:keepLines/>
              <w:jc w:val="right"/>
              <w:rPr>
                <w:lang w:val="ru-RU"/>
              </w:rPr>
            </w:pPr>
            <w:r w:rsidRPr="00CA4C14">
              <w:rPr>
                <w:rFonts w:cs="Calibri"/>
                <w:lang w:val="ru-RU"/>
              </w:rPr>
              <w:t>−</w:t>
            </w:r>
          </w:p>
        </w:tc>
        <w:tc>
          <w:tcPr>
            <w:tcW w:w="677" w:type="pct"/>
            <w:noWrap/>
            <w:vAlign w:val="bottom"/>
            <w:hideMark/>
          </w:tcPr>
          <w:p w14:paraId="613201CB" w14:textId="77777777" w:rsidR="00492C61" w:rsidRPr="00CA4C14" w:rsidRDefault="00492C61" w:rsidP="000C6E3F">
            <w:pPr>
              <w:pStyle w:val="Tabletext"/>
              <w:keepNext/>
              <w:keepLines/>
              <w:jc w:val="right"/>
              <w:rPr>
                <w:lang w:val="ru-RU"/>
              </w:rPr>
            </w:pPr>
            <w:r w:rsidRPr="00CA4C14">
              <w:rPr>
                <w:lang w:val="ru-RU"/>
              </w:rPr>
              <w:t>155 868</w:t>
            </w:r>
          </w:p>
        </w:tc>
      </w:tr>
      <w:tr w:rsidR="00492C61" w:rsidRPr="00CA4C14" w14:paraId="2BEBBC54" w14:textId="77777777" w:rsidTr="00947E37">
        <w:tc>
          <w:tcPr>
            <w:tcW w:w="1953" w:type="pct"/>
            <w:noWrap/>
            <w:hideMark/>
          </w:tcPr>
          <w:p w14:paraId="63D65B19" w14:textId="77777777" w:rsidR="00492C61" w:rsidRPr="00CA4C14" w:rsidRDefault="00492C61" w:rsidP="000C6E3F">
            <w:pPr>
              <w:pStyle w:val="Tabletext"/>
              <w:keepNext/>
              <w:keepLines/>
              <w:rPr>
                <w:lang w:val="ru-RU"/>
              </w:rPr>
            </w:pPr>
            <w:r w:rsidRPr="00CA4C14">
              <w:rPr>
                <w:szCs w:val="18"/>
                <w:lang w:val="ru-RU"/>
              </w:rPr>
              <w:t>Долговые обязательства</w:t>
            </w:r>
          </w:p>
        </w:tc>
        <w:tc>
          <w:tcPr>
            <w:tcW w:w="1016" w:type="pct"/>
            <w:noWrap/>
            <w:vAlign w:val="bottom"/>
            <w:hideMark/>
          </w:tcPr>
          <w:p w14:paraId="3171B03D" w14:textId="77777777" w:rsidR="00492C61" w:rsidRPr="00CA4C14" w:rsidRDefault="00492C61" w:rsidP="000C6E3F">
            <w:pPr>
              <w:pStyle w:val="Tabletext"/>
              <w:keepNext/>
              <w:keepLines/>
              <w:jc w:val="right"/>
              <w:rPr>
                <w:lang w:val="ru-RU"/>
              </w:rPr>
            </w:pPr>
          </w:p>
        </w:tc>
        <w:tc>
          <w:tcPr>
            <w:tcW w:w="676" w:type="pct"/>
            <w:noWrap/>
            <w:vAlign w:val="bottom"/>
            <w:hideMark/>
          </w:tcPr>
          <w:p w14:paraId="7182EC0C" w14:textId="77777777" w:rsidR="00492C61" w:rsidRPr="00CA4C14" w:rsidRDefault="00492C61" w:rsidP="000C6E3F">
            <w:pPr>
              <w:pStyle w:val="Tabletext"/>
              <w:keepNext/>
              <w:keepLines/>
              <w:jc w:val="right"/>
              <w:rPr>
                <w:lang w:val="ru-RU"/>
              </w:rPr>
            </w:pPr>
            <w:r w:rsidRPr="00CA4C14">
              <w:rPr>
                <w:lang w:val="ru-RU"/>
              </w:rPr>
              <w:t>19 578</w:t>
            </w:r>
          </w:p>
        </w:tc>
        <w:tc>
          <w:tcPr>
            <w:tcW w:w="677" w:type="pct"/>
            <w:noWrap/>
            <w:vAlign w:val="bottom"/>
            <w:hideMark/>
          </w:tcPr>
          <w:p w14:paraId="46A68B09" w14:textId="77777777" w:rsidR="00492C61" w:rsidRPr="00CA4C14" w:rsidRDefault="00492C61" w:rsidP="000C6E3F">
            <w:pPr>
              <w:pStyle w:val="Tabletext"/>
              <w:keepNext/>
              <w:keepLines/>
              <w:jc w:val="right"/>
              <w:rPr>
                <w:lang w:val="ru-RU"/>
              </w:rPr>
            </w:pPr>
            <w:r w:rsidRPr="00CA4C14">
              <w:rPr>
                <w:lang w:val="ru-RU"/>
              </w:rPr>
              <w:t>2 780</w:t>
            </w:r>
          </w:p>
        </w:tc>
        <w:tc>
          <w:tcPr>
            <w:tcW w:w="677" w:type="pct"/>
            <w:noWrap/>
            <w:vAlign w:val="bottom"/>
            <w:hideMark/>
          </w:tcPr>
          <w:p w14:paraId="7E30A9B7" w14:textId="77777777" w:rsidR="00492C61" w:rsidRPr="00CA4C14" w:rsidRDefault="00492C61" w:rsidP="000C6E3F">
            <w:pPr>
              <w:pStyle w:val="Tabletext"/>
              <w:keepNext/>
              <w:keepLines/>
              <w:jc w:val="right"/>
              <w:rPr>
                <w:lang w:val="ru-RU"/>
              </w:rPr>
            </w:pPr>
            <w:r w:rsidRPr="00CA4C14">
              <w:rPr>
                <w:lang w:val="ru-RU"/>
              </w:rPr>
              <w:t>22 358</w:t>
            </w:r>
          </w:p>
        </w:tc>
      </w:tr>
      <w:tr w:rsidR="00492C61" w:rsidRPr="00CA4C14" w14:paraId="7ED64C33" w14:textId="77777777" w:rsidTr="00947E37">
        <w:tc>
          <w:tcPr>
            <w:tcW w:w="1953" w:type="pct"/>
            <w:noWrap/>
            <w:hideMark/>
          </w:tcPr>
          <w:p w14:paraId="0DA4BD42" w14:textId="77777777" w:rsidR="00492C61" w:rsidRPr="00CA4C14" w:rsidRDefault="00492C61" w:rsidP="000C6E3F">
            <w:pPr>
              <w:pStyle w:val="Tabletext"/>
              <w:keepNext/>
              <w:keepLines/>
              <w:rPr>
                <w:b/>
                <w:bCs/>
                <w:lang w:val="ru-RU"/>
              </w:rPr>
            </w:pPr>
            <w:r w:rsidRPr="00CA4C14">
              <w:rPr>
                <w:b/>
                <w:bCs/>
                <w:szCs w:val="18"/>
                <w:lang w:val="ru-RU"/>
              </w:rPr>
              <w:t>Всего: финансовые активы</w:t>
            </w:r>
          </w:p>
        </w:tc>
        <w:tc>
          <w:tcPr>
            <w:tcW w:w="1016" w:type="pct"/>
            <w:noWrap/>
            <w:vAlign w:val="bottom"/>
            <w:hideMark/>
          </w:tcPr>
          <w:p w14:paraId="03FD3F2F" w14:textId="77777777" w:rsidR="00492C61" w:rsidRPr="00CA4C14" w:rsidRDefault="00492C61" w:rsidP="000C6E3F">
            <w:pPr>
              <w:pStyle w:val="Tabletext"/>
              <w:keepNext/>
              <w:keepLines/>
              <w:jc w:val="right"/>
              <w:rPr>
                <w:b/>
                <w:bCs/>
                <w:lang w:val="ru-RU"/>
              </w:rPr>
            </w:pPr>
          </w:p>
        </w:tc>
        <w:tc>
          <w:tcPr>
            <w:tcW w:w="676" w:type="pct"/>
            <w:noWrap/>
            <w:vAlign w:val="bottom"/>
            <w:hideMark/>
          </w:tcPr>
          <w:p w14:paraId="256D9603" w14:textId="77777777" w:rsidR="00492C61" w:rsidRPr="00CA4C14" w:rsidRDefault="00492C61" w:rsidP="000C6E3F">
            <w:pPr>
              <w:pStyle w:val="Tabletext"/>
              <w:keepNext/>
              <w:keepLines/>
              <w:jc w:val="right"/>
              <w:rPr>
                <w:b/>
                <w:bCs/>
                <w:lang w:val="ru-RU"/>
              </w:rPr>
            </w:pPr>
            <w:r w:rsidRPr="00CA4C14">
              <w:rPr>
                <w:b/>
                <w:bCs/>
                <w:lang w:val="ru-RU"/>
              </w:rPr>
              <w:t>210 516</w:t>
            </w:r>
          </w:p>
        </w:tc>
        <w:tc>
          <w:tcPr>
            <w:tcW w:w="677" w:type="pct"/>
            <w:noWrap/>
            <w:vAlign w:val="bottom"/>
            <w:hideMark/>
          </w:tcPr>
          <w:p w14:paraId="7820C3CF" w14:textId="77777777" w:rsidR="00492C61" w:rsidRPr="00CA4C14" w:rsidRDefault="00492C61" w:rsidP="000C6E3F">
            <w:pPr>
              <w:pStyle w:val="Tabletext"/>
              <w:keepNext/>
              <w:keepLines/>
              <w:jc w:val="right"/>
              <w:rPr>
                <w:b/>
                <w:bCs/>
                <w:lang w:val="ru-RU"/>
              </w:rPr>
            </w:pPr>
            <w:r w:rsidRPr="00CA4C14">
              <w:rPr>
                <w:b/>
                <w:bCs/>
                <w:lang w:val="ru-RU"/>
              </w:rPr>
              <w:t>2 780</w:t>
            </w:r>
          </w:p>
        </w:tc>
        <w:tc>
          <w:tcPr>
            <w:tcW w:w="677" w:type="pct"/>
            <w:noWrap/>
            <w:vAlign w:val="bottom"/>
            <w:hideMark/>
          </w:tcPr>
          <w:p w14:paraId="1C04CA6C" w14:textId="77777777" w:rsidR="00492C61" w:rsidRPr="00CA4C14" w:rsidRDefault="00492C61" w:rsidP="000C6E3F">
            <w:pPr>
              <w:pStyle w:val="Tabletext"/>
              <w:keepNext/>
              <w:keepLines/>
              <w:jc w:val="right"/>
              <w:rPr>
                <w:b/>
                <w:bCs/>
                <w:lang w:val="ru-RU"/>
              </w:rPr>
            </w:pPr>
            <w:r w:rsidRPr="00CA4C14">
              <w:rPr>
                <w:b/>
                <w:bCs/>
                <w:lang w:val="ru-RU"/>
              </w:rPr>
              <w:t>213 296</w:t>
            </w:r>
          </w:p>
        </w:tc>
      </w:tr>
      <w:tr w:rsidR="00492C61" w:rsidRPr="00CA4C14" w14:paraId="093D24B5" w14:textId="77777777" w:rsidTr="00947E37">
        <w:tc>
          <w:tcPr>
            <w:tcW w:w="1953" w:type="pct"/>
            <w:noWrap/>
            <w:hideMark/>
          </w:tcPr>
          <w:p w14:paraId="7E363EDA" w14:textId="77777777" w:rsidR="00492C61" w:rsidRPr="00CA4C14" w:rsidRDefault="00492C61" w:rsidP="000C6E3F">
            <w:pPr>
              <w:pStyle w:val="Tabletext"/>
              <w:keepNext/>
              <w:keepLines/>
              <w:rPr>
                <w:b/>
                <w:bCs/>
                <w:lang w:val="ru-RU"/>
              </w:rPr>
            </w:pPr>
            <w:r w:rsidRPr="00CA4C14">
              <w:rPr>
                <w:b/>
                <w:bCs/>
                <w:szCs w:val="18"/>
                <w:lang w:val="ru-RU"/>
              </w:rPr>
              <w:t>Финансовые пассивы</w:t>
            </w:r>
          </w:p>
        </w:tc>
        <w:tc>
          <w:tcPr>
            <w:tcW w:w="1016" w:type="pct"/>
            <w:noWrap/>
            <w:vAlign w:val="bottom"/>
            <w:hideMark/>
          </w:tcPr>
          <w:p w14:paraId="02163AFE" w14:textId="77777777" w:rsidR="00492C61" w:rsidRPr="00CA4C14" w:rsidRDefault="00492C61" w:rsidP="000C6E3F">
            <w:pPr>
              <w:pStyle w:val="Tabletext"/>
              <w:keepNext/>
              <w:keepLines/>
              <w:jc w:val="right"/>
              <w:rPr>
                <w:lang w:val="ru-RU"/>
              </w:rPr>
            </w:pPr>
          </w:p>
        </w:tc>
        <w:tc>
          <w:tcPr>
            <w:tcW w:w="676" w:type="pct"/>
            <w:noWrap/>
            <w:vAlign w:val="bottom"/>
            <w:hideMark/>
          </w:tcPr>
          <w:p w14:paraId="29E1D740" w14:textId="77777777" w:rsidR="00492C61" w:rsidRPr="00CA4C14" w:rsidRDefault="00492C61" w:rsidP="000C6E3F">
            <w:pPr>
              <w:pStyle w:val="Tabletext"/>
              <w:keepNext/>
              <w:keepLines/>
              <w:jc w:val="right"/>
              <w:rPr>
                <w:lang w:val="ru-RU"/>
              </w:rPr>
            </w:pPr>
          </w:p>
        </w:tc>
        <w:tc>
          <w:tcPr>
            <w:tcW w:w="677" w:type="pct"/>
            <w:noWrap/>
            <w:vAlign w:val="bottom"/>
            <w:hideMark/>
          </w:tcPr>
          <w:p w14:paraId="580B75D6" w14:textId="77777777" w:rsidR="00492C61" w:rsidRPr="00CA4C14" w:rsidRDefault="00492C61" w:rsidP="000C6E3F">
            <w:pPr>
              <w:pStyle w:val="Tabletext"/>
              <w:keepNext/>
              <w:keepLines/>
              <w:jc w:val="right"/>
              <w:rPr>
                <w:lang w:val="ru-RU"/>
              </w:rPr>
            </w:pPr>
          </w:p>
        </w:tc>
        <w:tc>
          <w:tcPr>
            <w:tcW w:w="677" w:type="pct"/>
            <w:noWrap/>
            <w:vAlign w:val="bottom"/>
            <w:hideMark/>
          </w:tcPr>
          <w:p w14:paraId="4AB47D71" w14:textId="77777777" w:rsidR="00492C61" w:rsidRPr="00CA4C14" w:rsidRDefault="00492C61" w:rsidP="000C6E3F">
            <w:pPr>
              <w:pStyle w:val="Tabletext"/>
              <w:keepNext/>
              <w:keepLines/>
              <w:jc w:val="right"/>
              <w:rPr>
                <w:lang w:val="ru-RU"/>
              </w:rPr>
            </w:pPr>
          </w:p>
        </w:tc>
      </w:tr>
      <w:tr w:rsidR="00492C61" w:rsidRPr="00CA4C14" w14:paraId="48860C54" w14:textId="77777777" w:rsidTr="00947E37">
        <w:tc>
          <w:tcPr>
            <w:tcW w:w="1953" w:type="pct"/>
            <w:noWrap/>
            <w:hideMark/>
          </w:tcPr>
          <w:p w14:paraId="09B5E044" w14:textId="77777777" w:rsidR="00492C61" w:rsidRPr="00CA4C14" w:rsidRDefault="00492C61" w:rsidP="000C6E3F">
            <w:pPr>
              <w:pStyle w:val="Tabletext"/>
              <w:keepNext/>
              <w:keepLines/>
              <w:rPr>
                <w:lang w:val="ru-RU"/>
              </w:rPr>
            </w:pPr>
            <w:r w:rsidRPr="00CA4C14">
              <w:rPr>
                <w:szCs w:val="18"/>
                <w:lang w:val="ru-RU" w:eastAsia="en-GB"/>
              </w:rPr>
              <w:t>Подлежащие уплате средства</w:t>
            </w:r>
          </w:p>
        </w:tc>
        <w:tc>
          <w:tcPr>
            <w:tcW w:w="1016" w:type="pct"/>
            <w:noWrap/>
            <w:vAlign w:val="bottom"/>
            <w:hideMark/>
          </w:tcPr>
          <w:p w14:paraId="21694023" w14:textId="77777777" w:rsidR="00492C61" w:rsidRPr="00CA4C14" w:rsidRDefault="00492C61" w:rsidP="000C6E3F">
            <w:pPr>
              <w:pStyle w:val="Tabletext"/>
              <w:keepNext/>
              <w:keepLines/>
              <w:jc w:val="right"/>
              <w:rPr>
                <w:lang w:val="ru-RU"/>
              </w:rPr>
            </w:pPr>
          </w:p>
        </w:tc>
        <w:tc>
          <w:tcPr>
            <w:tcW w:w="676" w:type="pct"/>
            <w:noWrap/>
            <w:vAlign w:val="bottom"/>
            <w:hideMark/>
          </w:tcPr>
          <w:p w14:paraId="5DCE315D" w14:textId="77777777" w:rsidR="00492C61" w:rsidRPr="00CA4C14" w:rsidRDefault="00492C61" w:rsidP="000C6E3F">
            <w:pPr>
              <w:pStyle w:val="Tabletext"/>
              <w:keepNext/>
              <w:keepLines/>
              <w:jc w:val="right"/>
              <w:rPr>
                <w:lang w:val="ru-RU"/>
              </w:rPr>
            </w:pPr>
            <w:r w:rsidRPr="00CA4C14">
              <w:rPr>
                <w:lang w:val="ru-RU"/>
              </w:rPr>
              <w:t>13 042</w:t>
            </w:r>
          </w:p>
        </w:tc>
        <w:tc>
          <w:tcPr>
            <w:tcW w:w="677" w:type="pct"/>
            <w:noWrap/>
            <w:vAlign w:val="bottom"/>
            <w:hideMark/>
          </w:tcPr>
          <w:p w14:paraId="4A48B4E5" w14:textId="77777777" w:rsidR="00492C61" w:rsidRPr="00CA4C14" w:rsidRDefault="00492C61" w:rsidP="000C6E3F">
            <w:pPr>
              <w:pStyle w:val="Tabletext"/>
              <w:keepNext/>
              <w:keepLines/>
              <w:jc w:val="right"/>
              <w:rPr>
                <w:lang w:val="ru-RU"/>
              </w:rPr>
            </w:pPr>
            <w:r w:rsidRPr="00CA4C14">
              <w:rPr>
                <w:rFonts w:cs="Calibri"/>
                <w:lang w:val="ru-RU"/>
              </w:rPr>
              <w:t>−</w:t>
            </w:r>
          </w:p>
        </w:tc>
        <w:tc>
          <w:tcPr>
            <w:tcW w:w="677" w:type="pct"/>
            <w:noWrap/>
            <w:vAlign w:val="bottom"/>
            <w:hideMark/>
          </w:tcPr>
          <w:p w14:paraId="6250958C" w14:textId="77777777" w:rsidR="00492C61" w:rsidRPr="00CA4C14" w:rsidRDefault="00492C61" w:rsidP="000C6E3F">
            <w:pPr>
              <w:pStyle w:val="Tabletext"/>
              <w:keepNext/>
              <w:keepLines/>
              <w:jc w:val="right"/>
              <w:rPr>
                <w:lang w:val="ru-RU"/>
              </w:rPr>
            </w:pPr>
            <w:r w:rsidRPr="00CA4C14">
              <w:rPr>
                <w:lang w:val="ru-RU"/>
              </w:rPr>
              <w:t>13 042</w:t>
            </w:r>
          </w:p>
        </w:tc>
      </w:tr>
      <w:tr w:rsidR="00492C61" w:rsidRPr="00CA4C14" w14:paraId="15032560" w14:textId="77777777" w:rsidTr="00947E37">
        <w:tc>
          <w:tcPr>
            <w:tcW w:w="1953" w:type="pct"/>
            <w:noWrap/>
            <w:hideMark/>
          </w:tcPr>
          <w:p w14:paraId="5993BEA4" w14:textId="77777777" w:rsidR="00492C61" w:rsidRPr="00CA4C14" w:rsidRDefault="00492C61" w:rsidP="000C6E3F">
            <w:pPr>
              <w:pStyle w:val="Tabletext"/>
              <w:keepNext/>
              <w:keepLines/>
              <w:rPr>
                <w:lang w:val="ru-RU"/>
              </w:rPr>
            </w:pPr>
            <w:r w:rsidRPr="00CA4C14">
              <w:rPr>
                <w:szCs w:val="18"/>
                <w:lang w:val="ru-RU" w:eastAsia="en-GB"/>
              </w:rPr>
              <w:t>Непогашенные кредиты и займы</w:t>
            </w:r>
          </w:p>
        </w:tc>
        <w:tc>
          <w:tcPr>
            <w:tcW w:w="1016" w:type="pct"/>
            <w:noWrap/>
            <w:vAlign w:val="bottom"/>
            <w:hideMark/>
          </w:tcPr>
          <w:p w14:paraId="14058866" w14:textId="77777777" w:rsidR="00492C61" w:rsidRPr="00CA4C14" w:rsidRDefault="00492C61" w:rsidP="000C6E3F">
            <w:pPr>
              <w:pStyle w:val="Tabletext"/>
              <w:keepNext/>
              <w:keepLines/>
              <w:jc w:val="right"/>
              <w:rPr>
                <w:lang w:val="ru-RU"/>
              </w:rPr>
            </w:pPr>
            <w:r w:rsidRPr="00CA4C14">
              <w:rPr>
                <w:lang w:val="ru-RU"/>
              </w:rPr>
              <w:t>0%</w:t>
            </w:r>
          </w:p>
        </w:tc>
        <w:tc>
          <w:tcPr>
            <w:tcW w:w="676" w:type="pct"/>
            <w:noWrap/>
            <w:vAlign w:val="bottom"/>
            <w:hideMark/>
          </w:tcPr>
          <w:p w14:paraId="334E7D55" w14:textId="77777777" w:rsidR="00492C61" w:rsidRPr="00CA4C14" w:rsidRDefault="00492C61" w:rsidP="000C6E3F">
            <w:pPr>
              <w:pStyle w:val="Tabletext"/>
              <w:keepNext/>
              <w:keepLines/>
              <w:jc w:val="right"/>
              <w:rPr>
                <w:lang w:val="ru-RU"/>
              </w:rPr>
            </w:pPr>
            <w:r w:rsidRPr="00CA4C14">
              <w:rPr>
                <w:lang w:val="ru-RU"/>
              </w:rPr>
              <w:t>1 391</w:t>
            </w:r>
          </w:p>
        </w:tc>
        <w:tc>
          <w:tcPr>
            <w:tcW w:w="677" w:type="pct"/>
            <w:noWrap/>
            <w:vAlign w:val="bottom"/>
            <w:hideMark/>
          </w:tcPr>
          <w:p w14:paraId="652AFC45" w14:textId="77777777" w:rsidR="00492C61" w:rsidRPr="00CA4C14" w:rsidRDefault="00492C61" w:rsidP="000C6E3F">
            <w:pPr>
              <w:pStyle w:val="Tabletext"/>
              <w:keepNext/>
              <w:keepLines/>
              <w:jc w:val="right"/>
              <w:rPr>
                <w:lang w:val="ru-RU"/>
              </w:rPr>
            </w:pPr>
            <w:r w:rsidRPr="00CA4C14">
              <w:rPr>
                <w:lang w:val="ru-RU"/>
              </w:rPr>
              <w:t>51 657</w:t>
            </w:r>
          </w:p>
        </w:tc>
        <w:tc>
          <w:tcPr>
            <w:tcW w:w="677" w:type="pct"/>
            <w:noWrap/>
            <w:vAlign w:val="bottom"/>
            <w:hideMark/>
          </w:tcPr>
          <w:p w14:paraId="3D1CCD77" w14:textId="77777777" w:rsidR="00492C61" w:rsidRPr="00CA4C14" w:rsidRDefault="00492C61" w:rsidP="000C6E3F">
            <w:pPr>
              <w:pStyle w:val="Tabletext"/>
              <w:keepNext/>
              <w:keepLines/>
              <w:jc w:val="right"/>
              <w:rPr>
                <w:lang w:val="ru-RU"/>
              </w:rPr>
            </w:pPr>
            <w:r w:rsidRPr="00CA4C14">
              <w:rPr>
                <w:lang w:val="ru-RU"/>
              </w:rPr>
              <w:t>53 048</w:t>
            </w:r>
          </w:p>
        </w:tc>
      </w:tr>
      <w:tr w:rsidR="00492C61" w:rsidRPr="00CA4C14" w14:paraId="3E815C6F" w14:textId="77777777" w:rsidTr="00947E37">
        <w:tc>
          <w:tcPr>
            <w:tcW w:w="1953" w:type="pct"/>
            <w:shd w:val="clear" w:color="auto" w:fill="0070C0"/>
            <w:noWrap/>
            <w:vAlign w:val="center"/>
            <w:hideMark/>
          </w:tcPr>
          <w:p w14:paraId="695BB3A6" w14:textId="77777777" w:rsidR="00492C61" w:rsidRPr="00CA4C14" w:rsidRDefault="00492C61" w:rsidP="005012FA">
            <w:pPr>
              <w:pStyle w:val="Tabletext"/>
              <w:rPr>
                <w:b/>
                <w:bCs/>
                <w:lang w:val="ru-RU"/>
              </w:rPr>
            </w:pPr>
            <w:r w:rsidRPr="00CA4C14">
              <w:rPr>
                <w:b/>
                <w:bCs/>
                <w:szCs w:val="18"/>
                <w:lang w:val="ru-RU"/>
              </w:rPr>
              <w:t>Всего: финансовые пассивы</w:t>
            </w:r>
          </w:p>
        </w:tc>
        <w:tc>
          <w:tcPr>
            <w:tcW w:w="1016" w:type="pct"/>
            <w:shd w:val="clear" w:color="auto" w:fill="0070C0"/>
            <w:noWrap/>
            <w:vAlign w:val="center"/>
            <w:hideMark/>
          </w:tcPr>
          <w:p w14:paraId="7E07D705" w14:textId="0552D2E9" w:rsidR="00492C61" w:rsidRPr="00CA4C14" w:rsidRDefault="00492C61" w:rsidP="00C11275">
            <w:pPr>
              <w:pStyle w:val="Tabletext"/>
              <w:jc w:val="right"/>
              <w:rPr>
                <w:b/>
                <w:bCs/>
                <w:lang w:val="ru-RU"/>
              </w:rPr>
            </w:pPr>
          </w:p>
        </w:tc>
        <w:tc>
          <w:tcPr>
            <w:tcW w:w="676" w:type="pct"/>
            <w:shd w:val="clear" w:color="auto" w:fill="0070C0"/>
            <w:noWrap/>
            <w:vAlign w:val="center"/>
            <w:hideMark/>
          </w:tcPr>
          <w:p w14:paraId="0DD0D45A" w14:textId="77777777" w:rsidR="00492C61" w:rsidRPr="00CA4C14" w:rsidRDefault="00492C61" w:rsidP="00C11275">
            <w:pPr>
              <w:pStyle w:val="Tabletext"/>
              <w:jc w:val="right"/>
              <w:rPr>
                <w:b/>
                <w:bCs/>
                <w:lang w:val="ru-RU"/>
              </w:rPr>
            </w:pPr>
            <w:r w:rsidRPr="00CA4C14">
              <w:rPr>
                <w:b/>
                <w:bCs/>
                <w:lang w:val="ru-RU"/>
              </w:rPr>
              <w:t>14 433</w:t>
            </w:r>
          </w:p>
        </w:tc>
        <w:tc>
          <w:tcPr>
            <w:tcW w:w="677" w:type="pct"/>
            <w:shd w:val="clear" w:color="auto" w:fill="0070C0"/>
            <w:noWrap/>
            <w:vAlign w:val="center"/>
            <w:hideMark/>
          </w:tcPr>
          <w:p w14:paraId="1F6F4C27" w14:textId="77777777" w:rsidR="00492C61" w:rsidRPr="00CA4C14" w:rsidRDefault="00492C61" w:rsidP="00C11275">
            <w:pPr>
              <w:pStyle w:val="Tabletext"/>
              <w:jc w:val="right"/>
              <w:rPr>
                <w:b/>
                <w:bCs/>
                <w:lang w:val="ru-RU"/>
              </w:rPr>
            </w:pPr>
            <w:r w:rsidRPr="00CA4C14">
              <w:rPr>
                <w:b/>
                <w:bCs/>
                <w:lang w:val="ru-RU"/>
              </w:rPr>
              <w:t>51 657</w:t>
            </w:r>
          </w:p>
        </w:tc>
        <w:tc>
          <w:tcPr>
            <w:tcW w:w="677" w:type="pct"/>
            <w:shd w:val="clear" w:color="auto" w:fill="0070C0"/>
            <w:noWrap/>
            <w:vAlign w:val="center"/>
            <w:hideMark/>
          </w:tcPr>
          <w:p w14:paraId="0BC92447" w14:textId="77777777" w:rsidR="00492C61" w:rsidRPr="00CA4C14" w:rsidRDefault="00492C61" w:rsidP="00C11275">
            <w:pPr>
              <w:pStyle w:val="Tabletext"/>
              <w:jc w:val="right"/>
              <w:rPr>
                <w:b/>
                <w:bCs/>
                <w:lang w:val="ru-RU"/>
              </w:rPr>
            </w:pPr>
            <w:r w:rsidRPr="00CA4C14">
              <w:rPr>
                <w:b/>
                <w:bCs/>
                <w:lang w:val="ru-RU"/>
              </w:rPr>
              <w:t>66 090</w:t>
            </w:r>
          </w:p>
        </w:tc>
      </w:tr>
    </w:tbl>
    <w:p w14:paraId="03C3E159" w14:textId="77777777" w:rsidR="00492C61" w:rsidRPr="00CA4C14" w:rsidRDefault="00492C61" w:rsidP="003F0F05">
      <w:pPr>
        <w:pStyle w:val="Heading5"/>
        <w:rPr>
          <w:lang w:val="ru-RU"/>
        </w:rPr>
      </w:pPr>
      <w:bookmarkStart w:id="327" w:name="_Toc305667755"/>
      <w:bookmarkStart w:id="328" w:name="_Toc306201422"/>
      <w:bookmarkStart w:id="329" w:name="_Toc329002777"/>
      <w:bookmarkStart w:id="330" w:name="_Toc358373651"/>
      <w:bookmarkStart w:id="331" w:name="_Toc387243031"/>
      <w:bookmarkStart w:id="332" w:name="_Toc419404376"/>
      <w:bookmarkStart w:id="333" w:name="_Toc482809967"/>
      <w:bookmarkStart w:id="334" w:name="_Toc482810324"/>
      <w:bookmarkStart w:id="335" w:name="_Toc482901565"/>
      <w:bookmarkStart w:id="336" w:name="_Toc511401560"/>
      <w:bookmarkStart w:id="337" w:name="_Toc511401683"/>
      <w:bookmarkStart w:id="338" w:name="_Toc10540796"/>
      <w:bookmarkStart w:id="339" w:name="_Toc41900416"/>
      <w:bookmarkStart w:id="340" w:name="_Toc73437999"/>
      <w:bookmarkStart w:id="341" w:name="_Toc73439177"/>
      <w:bookmarkStart w:id="342" w:name="_Toc167956631"/>
      <w:bookmarkStart w:id="343" w:name="_Toc167956870"/>
      <w:bookmarkStart w:id="344" w:name="_Toc167957175"/>
      <w:bookmarkStart w:id="345" w:name="_Toc168578466"/>
      <w:r w:rsidRPr="00CA4C14">
        <w:rPr>
          <w:lang w:val="ru-RU"/>
        </w:rPr>
        <w:lastRenderedPageBreak/>
        <w:t>Примечание 6</w:t>
      </w:r>
      <w:r w:rsidRPr="00CA4C14">
        <w:rPr>
          <w:lang w:val="ru-RU"/>
        </w:rPr>
        <w:tab/>
        <w:t>Заключение и оценки в бухгалтерском учете</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CA8D0B4" w14:textId="77777777" w:rsidR="00492C61" w:rsidRPr="00CA4C14" w:rsidRDefault="00492C61" w:rsidP="003F0F05">
      <w:pPr>
        <w:rPr>
          <w:lang w:val="ru-RU"/>
        </w:rPr>
      </w:pPr>
      <w:r w:rsidRPr="00CA4C14">
        <w:rPr>
          <w:lang w:val="ru-RU"/>
        </w:rPr>
        <w:t>Подготовка финансовой отчетности согласно стандартам IPSAS требует от руководства использовать оценки и/или предположения, которые, с одной стороны, влияют на представляемые суммы активов и пассивов и на представление затрат, связанных с непредвиденными обстоятельствами,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полученные результаты могут отличаться от того, что предполагалось в ходе этих оценок.</w:t>
      </w:r>
    </w:p>
    <w:p w14:paraId="435B33CD" w14:textId="77777777" w:rsidR="00492C61" w:rsidRPr="00CA4C14" w:rsidRDefault="00492C61" w:rsidP="003C6DB0">
      <w:pPr>
        <w:rPr>
          <w:lang w:val="ru-RU"/>
        </w:rPr>
      </w:pPr>
      <w:r w:rsidRPr="00CA4C14">
        <w:rPr>
          <w:lang w:val="ru-RU"/>
        </w:rPr>
        <w:t>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w:t>
      </w:r>
    </w:p>
    <w:p w14:paraId="1CDF11F9" w14:textId="11CACFEB" w:rsidR="00492C61" w:rsidRPr="00CA4C14" w:rsidRDefault="00492C61" w:rsidP="003C6DB0">
      <w:pPr>
        <w:pStyle w:val="enumlev1"/>
        <w:rPr>
          <w:lang w:val="ru-RU"/>
        </w:rPr>
      </w:pPr>
      <w:r w:rsidRPr="00CA4C14">
        <w:rPr>
          <w:lang w:val="ru-RU"/>
        </w:rPr>
        <w:t>•</w:t>
      </w:r>
      <w:r w:rsidRPr="00CA4C14">
        <w:rPr>
          <w:lang w:val="ru-RU"/>
        </w:rPr>
        <w:tab/>
        <w:t xml:space="preserve">вознаграждения сотрудников после прекращения службы, в частности связанные с планом АСХИ (см. </w:t>
      </w:r>
      <w:r w:rsidR="000C6E3F" w:rsidRPr="00CA4C14">
        <w:rPr>
          <w:lang w:val="ru-RU"/>
        </w:rPr>
        <w:t xml:space="preserve">Примечание </w:t>
      </w:r>
      <w:r w:rsidRPr="00CA4C14">
        <w:rPr>
          <w:lang w:val="ru-RU"/>
        </w:rPr>
        <w:t>18);</w:t>
      </w:r>
    </w:p>
    <w:p w14:paraId="34C13069" w14:textId="3F719C33" w:rsidR="00492C61" w:rsidRPr="00CA4C14" w:rsidRDefault="00492C61" w:rsidP="003C6DB0">
      <w:pPr>
        <w:pStyle w:val="enumlev1"/>
        <w:rPr>
          <w:lang w:val="ru-RU"/>
        </w:rPr>
      </w:pPr>
      <w:r w:rsidRPr="00CA4C14">
        <w:rPr>
          <w:lang w:val="ru-RU"/>
        </w:rPr>
        <w:t>•</w:t>
      </w:r>
      <w:r w:rsidRPr="00CA4C14">
        <w:rPr>
          <w:lang w:val="ru-RU"/>
        </w:rPr>
        <w:tab/>
        <w:t xml:space="preserve">оценка обесценения проекта по строительству нового здания (см. </w:t>
      </w:r>
      <w:r w:rsidR="000C6E3F" w:rsidRPr="00CA4C14">
        <w:rPr>
          <w:lang w:val="ru-RU"/>
        </w:rPr>
        <w:t xml:space="preserve">Примечание </w:t>
      </w:r>
      <w:r w:rsidRPr="00CA4C14">
        <w:rPr>
          <w:lang w:val="ru-RU"/>
        </w:rPr>
        <w:t>27);</w:t>
      </w:r>
    </w:p>
    <w:p w14:paraId="726AF366" w14:textId="77777777" w:rsidR="00492C61" w:rsidRPr="00CA4C14" w:rsidRDefault="00492C61" w:rsidP="003C6DB0">
      <w:pPr>
        <w:pStyle w:val="enumlev1"/>
        <w:rPr>
          <w:lang w:val="ru-RU"/>
        </w:rPr>
      </w:pPr>
      <w:r w:rsidRPr="00CA4C14">
        <w:rPr>
          <w:lang w:val="ru-RU"/>
        </w:rPr>
        <w:t>•</w:t>
      </w:r>
      <w:r w:rsidRPr="00CA4C14">
        <w:rPr>
          <w:lang w:val="ru-RU"/>
        </w:rPr>
        <w:tab/>
        <w:t xml:space="preserve">сроки полезного использования материальных и нематериальных активов и их возможное обесценение (см. Примечания 3.3, 3.4 и </w:t>
      </w:r>
      <w:proofErr w:type="gramStart"/>
      <w:r w:rsidRPr="00CA4C14">
        <w:rPr>
          <w:lang w:val="ru-RU"/>
        </w:rPr>
        <w:t>12−13</w:t>
      </w:r>
      <w:proofErr w:type="gramEnd"/>
      <w:r w:rsidRPr="00CA4C14">
        <w:rPr>
          <w:lang w:val="ru-RU"/>
        </w:rPr>
        <w:t>);</w:t>
      </w:r>
    </w:p>
    <w:p w14:paraId="0C08864C" w14:textId="77777777" w:rsidR="00492C61" w:rsidRPr="00CA4C14" w:rsidRDefault="00492C61" w:rsidP="003C6DB0">
      <w:pPr>
        <w:pStyle w:val="enumlev1"/>
        <w:rPr>
          <w:lang w:val="ru-RU"/>
        </w:rPr>
      </w:pPr>
      <w:r w:rsidRPr="00CA4C14">
        <w:rPr>
          <w:lang w:val="ru-RU"/>
        </w:rPr>
        <w:t>•</w:t>
      </w:r>
      <w:r w:rsidRPr="00CA4C14">
        <w:rPr>
          <w:lang w:val="ru-RU"/>
        </w:rPr>
        <w:tab/>
        <w:t>обесценение долговых обязательств (см. Примечание 9);</w:t>
      </w:r>
    </w:p>
    <w:p w14:paraId="3E14B700" w14:textId="77777777" w:rsidR="00492C61" w:rsidRPr="00CA4C14" w:rsidRDefault="00492C61" w:rsidP="003F0F05">
      <w:pPr>
        <w:pStyle w:val="enumlev1"/>
        <w:rPr>
          <w:lang w:val="ru-RU"/>
        </w:rPr>
      </w:pPr>
      <w:r w:rsidRPr="00CA4C14">
        <w:rPr>
          <w:lang w:val="ru-RU"/>
        </w:rPr>
        <w:t>•</w:t>
      </w:r>
      <w:r w:rsidRPr="00CA4C14">
        <w:rPr>
          <w:lang w:val="ru-RU"/>
        </w:rPr>
        <w:tab/>
        <w:t xml:space="preserve">доходы будущих периодов от обработки заявок на регистрацию спутниковых сетей (см. Примечание 16); </w:t>
      </w:r>
    </w:p>
    <w:p w14:paraId="3BBD46FA" w14:textId="77777777" w:rsidR="00492C61" w:rsidRPr="00CA4C14" w:rsidRDefault="00492C61" w:rsidP="003F0F05">
      <w:pPr>
        <w:pStyle w:val="enumlev1"/>
        <w:rPr>
          <w:lang w:val="ru-RU"/>
        </w:rPr>
      </w:pPr>
      <w:r w:rsidRPr="00CA4C14">
        <w:rPr>
          <w:lang w:val="ru-RU"/>
        </w:rPr>
        <w:t>•</w:t>
      </w:r>
      <w:r w:rsidRPr="00CA4C14">
        <w:rPr>
          <w:lang w:val="ru-RU"/>
        </w:rPr>
        <w:tab/>
        <w:t>резервы, связанные с заявками на регистрацию спутниковых сетей и судебными разбирательствами (см. Примечание 19).</w:t>
      </w:r>
    </w:p>
    <w:p w14:paraId="235D29C1" w14:textId="77777777" w:rsidR="00EE4F94" w:rsidRPr="00CA4C14" w:rsidRDefault="00EE4F94" w:rsidP="002871DF">
      <w:pPr>
        <w:pStyle w:val="Heading5"/>
        <w:rPr>
          <w:lang w:val="ru-RU"/>
        </w:rPr>
      </w:pPr>
      <w:bookmarkStart w:id="346" w:name="_Toc305667757"/>
      <w:bookmarkStart w:id="347" w:name="_Toc306201424"/>
      <w:bookmarkStart w:id="348" w:name="_Toc329002778"/>
      <w:bookmarkStart w:id="349" w:name="_Toc358373652"/>
      <w:bookmarkStart w:id="350" w:name="_Toc387243032"/>
      <w:bookmarkStart w:id="351" w:name="_Toc419404377"/>
      <w:bookmarkStart w:id="352" w:name="_Toc482809968"/>
      <w:bookmarkStart w:id="353" w:name="_Toc482810325"/>
      <w:bookmarkStart w:id="354" w:name="_Toc482901566"/>
      <w:bookmarkStart w:id="355" w:name="_Toc511401561"/>
      <w:bookmarkStart w:id="356" w:name="_Toc511401684"/>
      <w:bookmarkStart w:id="357" w:name="_Toc10540797"/>
      <w:bookmarkStart w:id="358" w:name="_Toc41900417"/>
      <w:bookmarkStart w:id="359" w:name="_Toc73438000"/>
      <w:bookmarkStart w:id="360" w:name="_Toc73439178"/>
      <w:bookmarkStart w:id="361" w:name="_Toc167956632"/>
      <w:bookmarkStart w:id="362" w:name="_Toc167956871"/>
      <w:bookmarkStart w:id="363" w:name="_Toc167957176"/>
      <w:bookmarkStart w:id="364" w:name="_Toc168578467"/>
      <w:r w:rsidRPr="00CA4C14">
        <w:rPr>
          <w:lang w:val="ru-RU"/>
        </w:rPr>
        <w:t>Примечание 7</w:t>
      </w:r>
      <w:r w:rsidRPr="00CA4C14">
        <w:rPr>
          <w:lang w:val="ru-RU"/>
        </w:rPr>
        <w:tab/>
        <w:t>Денежные средства и эквиваленты денежных средств</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48179227" w14:textId="77777777" w:rsidR="00EE4F94" w:rsidRPr="00CA4C14" w:rsidRDefault="00EE4F94" w:rsidP="00DF30B4">
      <w:pPr>
        <w:spacing w:after="120"/>
        <w:rPr>
          <w:highlight w:val="lightGray"/>
          <w:lang w:val="ru-RU"/>
        </w:rPr>
      </w:pPr>
      <w:r w:rsidRPr="00CA4C14">
        <w:rPr>
          <w:lang w:val="ru-RU"/>
        </w:rPr>
        <w:t xml:space="preserve">В таблице ниже представлена разбивка остатков денежных средств и </w:t>
      </w:r>
      <w:r w:rsidRPr="00CA4C14">
        <w:rPr>
          <w:rFonts w:ascii="Segoe UI" w:hAnsi="Segoe UI" w:cs="Segoe UI"/>
          <w:color w:val="000000"/>
          <w:sz w:val="20"/>
          <w:shd w:val="clear" w:color="auto" w:fill="FFFFFF"/>
          <w:lang w:val="ru-RU"/>
        </w:rPr>
        <w:t>эквивалентов денежных средств</w:t>
      </w:r>
      <w:r w:rsidRPr="00CA4C14">
        <w:rPr>
          <w:lang w:val="ru-RU"/>
        </w:rPr>
        <w:t xml:space="preserve"> по состоянию на 31 декабря 2023 и 2022 годов.</w:t>
      </w:r>
    </w:p>
    <w:tbl>
      <w:tblPr>
        <w:tblW w:w="5000" w:type="pct"/>
        <w:jc w:val="center"/>
        <w:tblLayout w:type="fixed"/>
        <w:tblLook w:val="04A0" w:firstRow="1" w:lastRow="0" w:firstColumn="1" w:lastColumn="0" w:noHBand="0" w:noVBand="1"/>
      </w:tblPr>
      <w:tblGrid>
        <w:gridCol w:w="5216"/>
        <w:gridCol w:w="1928"/>
        <w:gridCol w:w="1927"/>
      </w:tblGrid>
      <w:tr w:rsidR="00EE4F94" w:rsidRPr="00CA4C14" w14:paraId="27F894C4" w14:textId="77777777" w:rsidTr="00EE4F94">
        <w:trPr>
          <w:jc w:val="center"/>
        </w:trPr>
        <w:tc>
          <w:tcPr>
            <w:tcW w:w="2875" w:type="pct"/>
            <w:tcBorders>
              <w:top w:val="nil"/>
              <w:left w:val="nil"/>
              <w:bottom w:val="nil"/>
              <w:right w:val="nil"/>
            </w:tcBorders>
            <w:shd w:val="clear" w:color="000000" w:fill="0070C0"/>
            <w:vAlign w:val="center"/>
            <w:hideMark/>
          </w:tcPr>
          <w:p w14:paraId="4B4EAF1E" w14:textId="77777777" w:rsidR="00EE4F94" w:rsidRPr="00CA4C14" w:rsidRDefault="00EE4F94" w:rsidP="00DF30B4">
            <w:pPr>
              <w:pStyle w:val="Tablehead"/>
              <w:rPr>
                <w:szCs w:val="18"/>
                <w:lang w:val="ru-RU" w:eastAsia="en-GB"/>
              </w:rPr>
            </w:pPr>
            <w:r w:rsidRPr="00CA4C14">
              <w:rPr>
                <w:szCs w:val="18"/>
                <w:lang w:val="ru-RU" w:eastAsia="en-GB"/>
              </w:rPr>
              <w:t>Описание (тыс. шв. фр.)</w:t>
            </w:r>
          </w:p>
        </w:tc>
        <w:tc>
          <w:tcPr>
            <w:tcW w:w="1063" w:type="pct"/>
            <w:tcBorders>
              <w:top w:val="nil"/>
              <w:left w:val="nil"/>
              <w:bottom w:val="nil"/>
              <w:right w:val="nil"/>
            </w:tcBorders>
            <w:shd w:val="clear" w:color="000000" w:fill="0070C0"/>
            <w:vAlign w:val="center"/>
            <w:hideMark/>
          </w:tcPr>
          <w:p w14:paraId="24A100A5" w14:textId="77777777" w:rsidR="00EE4F94" w:rsidRPr="00CA4C14" w:rsidRDefault="00EE4F94" w:rsidP="00DF30B4">
            <w:pPr>
              <w:pStyle w:val="Tablehead"/>
              <w:rPr>
                <w:szCs w:val="18"/>
                <w:lang w:val="ru-RU" w:eastAsia="en-GB"/>
              </w:rPr>
            </w:pPr>
            <w:r w:rsidRPr="00CA4C14">
              <w:rPr>
                <w:szCs w:val="18"/>
                <w:lang w:val="ru-RU" w:eastAsia="en-GB"/>
              </w:rPr>
              <w:t>31 декабря 2023 г.</w:t>
            </w:r>
          </w:p>
        </w:tc>
        <w:tc>
          <w:tcPr>
            <w:tcW w:w="1063" w:type="pct"/>
            <w:tcBorders>
              <w:top w:val="nil"/>
              <w:left w:val="nil"/>
              <w:bottom w:val="nil"/>
              <w:right w:val="nil"/>
            </w:tcBorders>
            <w:shd w:val="clear" w:color="000000" w:fill="0070C0"/>
            <w:vAlign w:val="center"/>
            <w:hideMark/>
          </w:tcPr>
          <w:p w14:paraId="4FA27F40" w14:textId="77777777" w:rsidR="00EE4F94" w:rsidRPr="00CA4C14" w:rsidRDefault="00EE4F94" w:rsidP="00DF30B4">
            <w:pPr>
              <w:pStyle w:val="Tablehead"/>
              <w:rPr>
                <w:szCs w:val="18"/>
                <w:lang w:val="ru-RU" w:eastAsia="en-GB"/>
              </w:rPr>
            </w:pPr>
            <w:r w:rsidRPr="00CA4C14">
              <w:rPr>
                <w:szCs w:val="18"/>
                <w:lang w:val="ru-RU" w:eastAsia="en-GB"/>
              </w:rPr>
              <w:t>31 декабря 2022 г.</w:t>
            </w:r>
          </w:p>
        </w:tc>
      </w:tr>
      <w:tr w:rsidR="00EE4F94" w:rsidRPr="00CA4C14" w14:paraId="37E208CC" w14:textId="77777777" w:rsidTr="00EE4F94">
        <w:trPr>
          <w:jc w:val="center"/>
        </w:trPr>
        <w:tc>
          <w:tcPr>
            <w:tcW w:w="2875" w:type="pct"/>
            <w:tcBorders>
              <w:top w:val="nil"/>
              <w:left w:val="nil"/>
              <w:bottom w:val="nil"/>
              <w:right w:val="nil"/>
            </w:tcBorders>
            <w:shd w:val="clear" w:color="auto" w:fill="auto"/>
            <w:noWrap/>
            <w:vAlign w:val="bottom"/>
            <w:hideMark/>
          </w:tcPr>
          <w:p w14:paraId="066FE6DE" w14:textId="77777777" w:rsidR="00EE4F94" w:rsidRPr="00CA4C14" w:rsidRDefault="00EE4F94" w:rsidP="00FD58CA">
            <w:pPr>
              <w:pStyle w:val="Tabletext"/>
              <w:keepNext/>
              <w:rPr>
                <w:szCs w:val="18"/>
                <w:lang w:val="ru-RU" w:eastAsia="en-GB"/>
              </w:rPr>
            </w:pPr>
            <w:r w:rsidRPr="00CA4C14">
              <w:rPr>
                <w:szCs w:val="18"/>
                <w:lang w:val="ru-RU"/>
              </w:rPr>
              <w:t>Кассовая наличность</w:t>
            </w:r>
          </w:p>
        </w:tc>
        <w:tc>
          <w:tcPr>
            <w:tcW w:w="1063" w:type="pct"/>
            <w:tcBorders>
              <w:top w:val="nil"/>
              <w:left w:val="nil"/>
              <w:bottom w:val="nil"/>
              <w:right w:val="nil"/>
            </w:tcBorders>
            <w:shd w:val="clear" w:color="auto" w:fill="auto"/>
            <w:noWrap/>
            <w:vAlign w:val="bottom"/>
            <w:hideMark/>
          </w:tcPr>
          <w:p w14:paraId="0DF886F4" w14:textId="77777777" w:rsidR="00EE4F94" w:rsidRPr="00CA4C14" w:rsidRDefault="00EE4F94" w:rsidP="00FD58CA">
            <w:pPr>
              <w:pStyle w:val="Tabletext"/>
              <w:keepNext/>
              <w:jc w:val="right"/>
              <w:rPr>
                <w:szCs w:val="18"/>
                <w:lang w:val="ru-RU" w:eastAsia="en-GB"/>
              </w:rPr>
            </w:pPr>
            <w:r w:rsidRPr="00CA4C14">
              <w:rPr>
                <w:szCs w:val="18"/>
                <w:lang w:val="ru-RU" w:eastAsia="en-GB"/>
              </w:rPr>
              <w:t>95</w:t>
            </w:r>
          </w:p>
        </w:tc>
        <w:tc>
          <w:tcPr>
            <w:tcW w:w="1063" w:type="pct"/>
            <w:tcBorders>
              <w:top w:val="nil"/>
              <w:left w:val="nil"/>
              <w:bottom w:val="nil"/>
              <w:right w:val="nil"/>
            </w:tcBorders>
            <w:shd w:val="clear" w:color="auto" w:fill="auto"/>
            <w:noWrap/>
            <w:vAlign w:val="bottom"/>
            <w:hideMark/>
          </w:tcPr>
          <w:p w14:paraId="125DE9E1" w14:textId="77777777" w:rsidR="00EE4F94" w:rsidRPr="00CA4C14" w:rsidRDefault="00EE4F94" w:rsidP="00FD58CA">
            <w:pPr>
              <w:pStyle w:val="Tabletext"/>
              <w:keepNext/>
              <w:jc w:val="right"/>
              <w:rPr>
                <w:szCs w:val="18"/>
                <w:lang w:val="ru-RU" w:eastAsia="en-GB"/>
              </w:rPr>
            </w:pPr>
            <w:r w:rsidRPr="00CA4C14">
              <w:rPr>
                <w:szCs w:val="18"/>
                <w:lang w:val="ru-RU" w:eastAsia="en-GB"/>
              </w:rPr>
              <w:t>118</w:t>
            </w:r>
          </w:p>
        </w:tc>
      </w:tr>
      <w:tr w:rsidR="00EE4F94" w:rsidRPr="00CA4C14" w14:paraId="6E9C22CF" w14:textId="77777777" w:rsidTr="00EE4F94">
        <w:trPr>
          <w:jc w:val="center"/>
        </w:trPr>
        <w:tc>
          <w:tcPr>
            <w:tcW w:w="2875" w:type="pct"/>
            <w:tcBorders>
              <w:top w:val="nil"/>
              <w:left w:val="nil"/>
              <w:bottom w:val="nil"/>
              <w:right w:val="nil"/>
            </w:tcBorders>
            <w:shd w:val="clear" w:color="auto" w:fill="auto"/>
            <w:noWrap/>
            <w:vAlign w:val="bottom"/>
            <w:hideMark/>
          </w:tcPr>
          <w:p w14:paraId="75784C74" w14:textId="77777777" w:rsidR="00EE4F94" w:rsidRPr="00CA4C14" w:rsidRDefault="00EE4F94" w:rsidP="00FD58CA">
            <w:pPr>
              <w:pStyle w:val="Tabletext"/>
              <w:keepNext/>
              <w:rPr>
                <w:szCs w:val="18"/>
                <w:lang w:val="ru-RU" w:eastAsia="en-GB"/>
              </w:rPr>
            </w:pPr>
            <w:r w:rsidRPr="00CA4C14">
              <w:rPr>
                <w:szCs w:val="18"/>
                <w:lang w:val="ru-RU"/>
              </w:rPr>
              <w:t>Текущие банковские счета, шв. фр.</w:t>
            </w:r>
          </w:p>
        </w:tc>
        <w:tc>
          <w:tcPr>
            <w:tcW w:w="1063" w:type="pct"/>
            <w:tcBorders>
              <w:top w:val="nil"/>
              <w:left w:val="nil"/>
              <w:bottom w:val="nil"/>
              <w:right w:val="nil"/>
            </w:tcBorders>
            <w:shd w:val="clear" w:color="auto" w:fill="auto"/>
            <w:noWrap/>
            <w:vAlign w:val="bottom"/>
            <w:hideMark/>
          </w:tcPr>
          <w:p w14:paraId="2319EFE2" w14:textId="77777777" w:rsidR="00EE4F94" w:rsidRPr="00CA4C14" w:rsidRDefault="00EE4F94" w:rsidP="00FD58CA">
            <w:pPr>
              <w:pStyle w:val="Tabletext"/>
              <w:keepNext/>
              <w:jc w:val="right"/>
              <w:rPr>
                <w:szCs w:val="18"/>
                <w:lang w:val="ru-RU" w:eastAsia="en-GB"/>
              </w:rPr>
            </w:pPr>
            <w:r w:rsidRPr="00CA4C14">
              <w:rPr>
                <w:szCs w:val="18"/>
                <w:lang w:val="ru-RU" w:eastAsia="en-GB"/>
              </w:rPr>
              <w:t>68 020</w:t>
            </w:r>
          </w:p>
        </w:tc>
        <w:tc>
          <w:tcPr>
            <w:tcW w:w="1063" w:type="pct"/>
            <w:tcBorders>
              <w:top w:val="nil"/>
              <w:left w:val="nil"/>
              <w:bottom w:val="nil"/>
              <w:right w:val="nil"/>
            </w:tcBorders>
            <w:shd w:val="clear" w:color="auto" w:fill="auto"/>
            <w:noWrap/>
            <w:vAlign w:val="bottom"/>
            <w:hideMark/>
          </w:tcPr>
          <w:p w14:paraId="351480C0" w14:textId="77777777" w:rsidR="00EE4F94" w:rsidRPr="00CA4C14" w:rsidRDefault="00EE4F94" w:rsidP="00FD58CA">
            <w:pPr>
              <w:pStyle w:val="Tabletext"/>
              <w:keepNext/>
              <w:jc w:val="right"/>
              <w:rPr>
                <w:szCs w:val="18"/>
                <w:lang w:val="ru-RU" w:eastAsia="en-GB"/>
              </w:rPr>
            </w:pPr>
            <w:r w:rsidRPr="00CA4C14">
              <w:rPr>
                <w:szCs w:val="18"/>
                <w:lang w:val="ru-RU" w:eastAsia="en-GB"/>
              </w:rPr>
              <w:t>68 637</w:t>
            </w:r>
          </w:p>
        </w:tc>
      </w:tr>
      <w:tr w:rsidR="00EE4F94" w:rsidRPr="00CA4C14" w14:paraId="302D50AE" w14:textId="77777777" w:rsidTr="00EE4F94">
        <w:trPr>
          <w:jc w:val="center"/>
        </w:trPr>
        <w:tc>
          <w:tcPr>
            <w:tcW w:w="2875" w:type="pct"/>
            <w:tcBorders>
              <w:top w:val="nil"/>
              <w:left w:val="nil"/>
              <w:bottom w:val="nil"/>
              <w:right w:val="nil"/>
            </w:tcBorders>
            <w:shd w:val="clear" w:color="auto" w:fill="auto"/>
            <w:noWrap/>
            <w:vAlign w:val="bottom"/>
            <w:hideMark/>
          </w:tcPr>
          <w:p w14:paraId="76F04FF7" w14:textId="77777777" w:rsidR="00EE4F94" w:rsidRPr="00CA4C14" w:rsidRDefault="00EE4F94" w:rsidP="00FD58CA">
            <w:pPr>
              <w:pStyle w:val="Tabletext"/>
              <w:keepNext/>
              <w:rPr>
                <w:szCs w:val="18"/>
                <w:lang w:val="ru-RU" w:eastAsia="en-GB"/>
              </w:rPr>
            </w:pPr>
            <w:r w:rsidRPr="00CA4C14">
              <w:rPr>
                <w:szCs w:val="18"/>
                <w:lang w:val="ru-RU"/>
              </w:rPr>
              <w:t>Текущие банковские счета, иностранная валюта</w:t>
            </w:r>
          </w:p>
        </w:tc>
        <w:tc>
          <w:tcPr>
            <w:tcW w:w="1063" w:type="pct"/>
            <w:tcBorders>
              <w:top w:val="nil"/>
              <w:left w:val="nil"/>
              <w:bottom w:val="nil"/>
              <w:right w:val="nil"/>
            </w:tcBorders>
            <w:shd w:val="clear" w:color="auto" w:fill="auto"/>
            <w:noWrap/>
            <w:vAlign w:val="bottom"/>
            <w:hideMark/>
          </w:tcPr>
          <w:p w14:paraId="7C389ECD" w14:textId="77777777" w:rsidR="00EE4F94" w:rsidRPr="00CA4C14" w:rsidRDefault="00EE4F94" w:rsidP="00FD58CA">
            <w:pPr>
              <w:pStyle w:val="Tabletext"/>
              <w:keepNext/>
              <w:jc w:val="right"/>
              <w:rPr>
                <w:szCs w:val="18"/>
                <w:lang w:val="ru-RU" w:eastAsia="en-GB"/>
              </w:rPr>
            </w:pPr>
            <w:r w:rsidRPr="00CA4C14">
              <w:rPr>
                <w:szCs w:val="18"/>
                <w:lang w:val="ru-RU" w:eastAsia="en-GB"/>
              </w:rPr>
              <w:t>20 178</w:t>
            </w:r>
          </w:p>
        </w:tc>
        <w:tc>
          <w:tcPr>
            <w:tcW w:w="1063" w:type="pct"/>
            <w:tcBorders>
              <w:top w:val="nil"/>
              <w:left w:val="nil"/>
              <w:bottom w:val="nil"/>
              <w:right w:val="nil"/>
            </w:tcBorders>
            <w:shd w:val="clear" w:color="auto" w:fill="auto"/>
            <w:noWrap/>
            <w:vAlign w:val="bottom"/>
            <w:hideMark/>
          </w:tcPr>
          <w:p w14:paraId="23312A37" w14:textId="77777777" w:rsidR="00EE4F94" w:rsidRPr="00CA4C14" w:rsidRDefault="00EE4F94" w:rsidP="00FD58CA">
            <w:pPr>
              <w:pStyle w:val="Tabletext"/>
              <w:keepNext/>
              <w:jc w:val="right"/>
              <w:rPr>
                <w:szCs w:val="18"/>
                <w:lang w:val="ru-RU" w:eastAsia="en-GB"/>
              </w:rPr>
            </w:pPr>
            <w:r w:rsidRPr="00CA4C14">
              <w:rPr>
                <w:szCs w:val="18"/>
                <w:lang w:val="ru-RU" w:eastAsia="en-GB"/>
              </w:rPr>
              <w:t>65 436</w:t>
            </w:r>
          </w:p>
        </w:tc>
      </w:tr>
      <w:tr w:rsidR="00EE4F94" w:rsidRPr="00CA4C14" w14:paraId="5F177E20" w14:textId="77777777" w:rsidTr="00EE4F94">
        <w:trPr>
          <w:jc w:val="center"/>
        </w:trPr>
        <w:tc>
          <w:tcPr>
            <w:tcW w:w="2875" w:type="pct"/>
            <w:tcBorders>
              <w:top w:val="nil"/>
              <w:left w:val="nil"/>
              <w:bottom w:val="nil"/>
              <w:right w:val="nil"/>
            </w:tcBorders>
            <w:shd w:val="clear" w:color="auto" w:fill="auto"/>
            <w:noWrap/>
            <w:vAlign w:val="bottom"/>
            <w:hideMark/>
          </w:tcPr>
          <w:p w14:paraId="557CEEBD" w14:textId="77777777" w:rsidR="00EE4F94" w:rsidRPr="00CA4C14" w:rsidRDefault="00EE4F94" w:rsidP="00FD58CA">
            <w:pPr>
              <w:pStyle w:val="Tabletext"/>
              <w:keepNext/>
              <w:rPr>
                <w:szCs w:val="18"/>
                <w:lang w:val="ru-RU" w:eastAsia="en-GB"/>
              </w:rPr>
            </w:pPr>
            <w:r w:rsidRPr="00CA4C14">
              <w:rPr>
                <w:szCs w:val="18"/>
                <w:lang w:val="ru-RU"/>
              </w:rPr>
              <w:t xml:space="preserve">Краткосрочные инвестиции </w:t>
            </w:r>
            <w:proofErr w:type="gramStart"/>
            <w:r w:rsidRPr="00CA4C14">
              <w:rPr>
                <w:szCs w:val="18"/>
                <w:lang w:val="ru-RU"/>
              </w:rPr>
              <w:t>0−3</w:t>
            </w:r>
            <w:proofErr w:type="gramEnd"/>
            <w:r w:rsidRPr="00CA4C14">
              <w:rPr>
                <w:szCs w:val="18"/>
                <w:lang w:val="ru-RU"/>
              </w:rPr>
              <w:t xml:space="preserve"> месяца</w:t>
            </w:r>
          </w:p>
        </w:tc>
        <w:tc>
          <w:tcPr>
            <w:tcW w:w="1063" w:type="pct"/>
            <w:tcBorders>
              <w:top w:val="nil"/>
              <w:left w:val="nil"/>
              <w:bottom w:val="nil"/>
              <w:right w:val="nil"/>
            </w:tcBorders>
            <w:shd w:val="clear" w:color="auto" w:fill="auto"/>
            <w:noWrap/>
            <w:vAlign w:val="bottom"/>
            <w:hideMark/>
          </w:tcPr>
          <w:p w14:paraId="34DFA619" w14:textId="77777777" w:rsidR="00EE4F94" w:rsidRPr="00CA4C14" w:rsidRDefault="00EE4F94" w:rsidP="00FD58CA">
            <w:pPr>
              <w:pStyle w:val="Tabletext"/>
              <w:keepNext/>
              <w:jc w:val="right"/>
              <w:rPr>
                <w:szCs w:val="18"/>
                <w:lang w:val="ru-RU" w:eastAsia="en-GB"/>
              </w:rPr>
            </w:pPr>
            <w:r w:rsidRPr="00CA4C14">
              <w:rPr>
                <w:szCs w:val="18"/>
                <w:lang w:val="ru-RU" w:eastAsia="en-GB"/>
              </w:rPr>
              <w:t>67 574</w:t>
            </w:r>
          </w:p>
        </w:tc>
        <w:tc>
          <w:tcPr>
            <w:tcW w:w="1063" w:type="pct"/>
            <w:tcBorders>
              <w:top w:val="nil"/>
              <w:left w:val="nil"/>
              <w:bottom w:val="nil"/>
              <w:right w:val="nil"/>
            </w:tcBorders>
            <w:shd w:val="clear" w:color="auto" w:fill="auto"/>
            <w:noWrap/>
            <w:vAlign w:val="bottom"/>
            <w:hideMark/>
          </w:tcPr>
          <w:p w14:paraId="02F3D3F8" w14:textId="77777777" w:rsidR="00EE4F94" w:rsidRPr="00CA4C14" w:rsidRDefault="00EE4F94" w:rsidP="00FD58CA">
            <w:pPr>
              <w:pStyle w:val="Tabletext"/>
              <w:keepNext/>
              <w:jc w:val="right"/>
              <w:rPr>
                <w:szCs w:val="18"/>
                <w:lang w:val="ru-RU" w:eastAsia="en-GB"/>
              </w:rPr>
            </w:pPr>
            <w:r w:rsidRPr="00CA4C14">
              <w:rPr>
                <w:szCs w:val="18"/>
                <w:lang w:val="ru-RU" w:eastAsia="en-GB"/>
              </w:rPr>
              <w:t>59 676</w:t>
            </w:r>
          </w:p>
        </w:tc>
      </w:tr>
      <w:tr w:rsidR="00EE4F94" w:rsidRPr="00CA4C14" w14:paraId="4886EA98" w14:textId="77777777" w:rsidTr="00EE4F94">
        <w:trPr>
          <w:jc w:val="center"/>
        </w:trPr>
        <w:tc>
          <w:tcPr>
            <w:tcW w:w="2875" w:type="pct"/>
            <w:tcBorders>
              <w:top w:val="nil"/>
              <w:left w:val="nil"/>
              <w:bottom w:val="nil"/>
              <w:right w:val="nil"/>
            </w:tcBorders>
            <w:shd w:val="clear" w:color="000000" w:fill="0070C0"/>
            <w:vAlign w:val="center"/>
            <w:hideMark/>
          </w:tcPr>
          <w:p w14:paraId="234E71D6" w14:textId="77777777" w:rsidR="00EE4F94" w:rsidRPr="00CA4C14" w:rsidRDefault="00EE4F94" w:rsidP="00DF30B4">
            <w:pPr>
              <w:pStyle w:val="Tabletext"/>
              <w:rPr>
                <w:b/>
                <w:bCs/>
                <w:szCs w:val="18"/>
                <w:lang w:val="ru-RU" w:eastAsia="en-GB"/>
              </w:rPr>
            </w:pPr>
            <w:r w:rsidRPr="00CA4C14">
              <w:rPr>
                <w:b/>
                <w:bCs/>
                <w:szCs w:val="18"/>
                <w:lang w:val="ru-RU"/>
              </w:rPr>
              <w:t>Денежные средства и эквиваленты денежных средств</w:t>
            </w:r>
          </w:p>
        </w:tc>
        <w:tc>
          <w:tcPr>
            <w:tcW w:w="1063" w:type="pct"/>
            <w:tcBorders>
              <w:top w:val="nil"/>
              <w:left w:val="nil"/>
              <w:bottom w:val="nil"/>
              <w:right w:val="nil"/>
            </w:tcBorders>
            <w:shd w:val="clear" w:color="000000" w:fill="0070C0"/>
            <w:vAlign w:val="center"/>
            <w:hideMark/>
          </w:tcPr>
          <w:p w14:paraId="1371F1EA" w14:textId="77777777" w:rsidR="00EE4F94" w:rsidRPr="00CA4C14" w:rsidRDefault="00EE4F94" w:rsidP="00DF30B4">
            <w:pPr>
              <w:pStyle w:val="Tabletext"/>
              <w:jc w:val="right"/>
              <w:rPr>
                <w:b/>
                <w:bCs/>
                <w:szCs w:val="18"/>
                <w:lang w:val="ru-RU" w:eastAsia="en-GB"/>
              </w:rPr>
            </w:pPr>
            <w:r w:rsidRPr="00CA4C14">
              <w:rPr>
                <w:b/>
                <w:bCs/>
                <w:szCs w:val="18"/>
                <w:lang w:val="ru-RU" w:eastAsia="en-GB"/>
              </w:rPr>
              <w:t>155 868</w:t>
            </w:r>
          </w:p>
        </w:tc>
        <w:tc>
          <w:tcPr>
            <w:tcW w:w="1063" w:type="pct"/>
            <w:tcBorders>
              <w:top w:val="nil"/>
              <w:left w:val="nil"/>
              <w:bottom w:val="nil"/>
              <w:right w:val="nil"/>
            </w:tcBorders>
            <w:shd w:val="clear" w:color="000000" w:fill="0070C0"/>
            <w:vAlign w:val="center"/>
            <w:hideMark/>
          </w:tcPr>
          <w:p w14:paraId="155A6950" w14:textId="77777777" w:rsidR="00EE4F94" w:rsidRPr="00CA4C14" w:rsidRDefault="00EE4F94" w:rsidP="00DF30B4">
            <w:pPr>
              <w:pStyle w:val="Tabletext"/>
              <w:jc w:val="right"/>
              <w:rPr>
                <w:b/>
                <w:bCs/>
                <w:szCs w:val="18"/>
                <w:lang w:val="ru-RU" w:eastAsia="en-GB"/>
              </w:rPr>
            </w:pPr>
            <w:r w:rsidRPr="00CA4C14">
              <w:rPr>
                <w:b/>
                <w:bCs/>
                <w:szCs w:val="18"/>
                <w:lang w:val="ru-RU" w:eastAsia="en-GB"/>
              </w:rPr>
              <w:t>193 868</w:t>
            </w:r>
          </w:p>
        </w:tc>
      </w:tr>
    </w:tbl>
    <w:p w14:paraId="7AE29C76" w14:textId="77777777" w:rsidR="00EE4F94" w:rsidRPr="00CA4C14" w:rsidRDefault="00EE4F94" w:rsidP="00DF30B4">
      <w:pPr>
        <w:spacing w:after="120"/>
        <w:rPr>
          <w:highlight w:val="lightGray"/>
          <w:lang w:val="ru-RU"/>
        </w:rPr>
      </w:pPr>
      <w:r w:rsidRPr="00CA4C14">
        <w:rPr>
          <w:lang w:val="ru-RU"/>
        </w:rPr>
        <w:t>Сумма денежных средств, ограниченных в использовании, и их эквивалентов на 2023 и 2022 годы составляет 27,5 </w:t>
      </w:r>
      <w:proofErr w:type="gramStart"/>
      <w:r w:rsidRPr="00CA4C14">
        <w:rPr>
          <w:lang w:val="ru-RU"/>
        </w:rPr>
        <w:t>млн.</w:t>
      </w:r>
      <w:proofErr w:type="gramEnd"/>
      <w:r w:rsidRPr="00CA4C14">
        <w:rPr>
          <w:lang w:val="ru-RU"/>
        </w:rPr>
        <w:t xml:space="preserve"> швейцарских франков и 28,6 млн. швейцарских франков соответственно. Ограничения на использование денежных средств и их эквивалентов в первую очередь касаются ФИПОИ и полученных пожертвований на новое здание, а также инвестиций, связанных со старым Пенсионным фондом МСЭ.</w:t>
      </w:r>
    </w:p>
    <w:tbl>
      <w:tblPr>
        <w:tblW w:w="5000" w:type="pct"/>
        <w:jc w:val="center"/>
        <w:tblLayout w:type="fixed"/>
        <w:tblLook w:val="04A0" w:firstRow="1" w:lastRow="0" w:firstColumn="1" w:lastColumn="0" w:noHBand="0" w:noVBand="1"/>
      </w:tblPr>
      <w:tblGrid>
        <w:gridCol w:w="5215"/>
        <w:gridCol w:w="1928"/>
        <w:gridCol w:w="1928"/>
      </w:tblGrid>
      <w:tr w:rsidR="00EE4F94" w:rsidRPr="00CA4C14" w14:paraId="09994242" w14:textId="77777777" w:rsidTr="00EE4F94">
        <w:trPr>
          <w:jc w:val="center"/>
        </w:trPr>
        <w:tc>
          <w:tcPr>
            <w:tcW w:w="2874" w:type="pct"/>
            <w:tcBorders>
              <w:top w:val="nil"/>
              <w:left w:val="nil"/>
              <w:bottom w:val="nil"/>
              <w:right w:val="nil"/>
            </w:tcBorders>
            <w:shd w:val="clear" w:color="000000" w:fill="0070C0"/>
            <w:vAlign w:val="center"/>
            <w:hideMark/>
          </w:tcPr>
          <w:p w14:paraId="62995380" w14:textId="77777777" w:rsidR="00EE4F94" w:rsidRPr="00CA4C14" w:rsidRDefault="00EE4F94" w:rsidP="00DF30B4">
            <w:pPr>
              <w:pStyle w:val="Tablehead"/>
              <w:rPr>
                <w:szCs w:val="18"/>
                <w:lang w:val="ru-RU" w:eastAsia="en-GB"/>
              </w:rPr>
            </w:pPr>
            <w:r w:rsidRPr="00CA4C14">
              <w:rPr>
                <w:szCs w:val="18"/>
                <w:lang w:val="ru-RU" w:eastAsia="en-GB"/>
              </w:rPr>
              <w:lastRenderedPageBreak/>
              <w:t xml:space="preserve">Описание (тыс. шв. фр.) </w:t>
            </w:r>
          </w:p>
        </w:tc>
        <w:tc>
          <w:tcPr>
            <w:tcW w:w="1063" w:type="pct"/>
            <w:tcBorders>
              <w:top w:val="nil"/>
              <w:left w:val="nil"/>
              <w:bottom w:val="nil"/>
              <w:right w:val="nil"/>
            </w:tcBorders>
            <w:shd w:val="clear" w:color="000000" w:fill="0070C0"/>
            <w:vAlign w:val="center"/>
            <w:hideMark/>
          </w:tcPr>
          <w:p w14:paraId="2F25406D" w14:textId="77777777" w:rsidR="00EE4F94" w:rsidRPr="00CA4C14" w:rsidRDefault="00EE4F94" w:rsidP="00DF30B4">
            <w:pPr>
              <w:pStyle w:val="Tablehead"/>
              <w:rPr>
                <w:szCs w:val="18"/>
                <w:lang w:val="ru-RU" w:eastAsia="en-GB"/>
              </w:rPr>
            </w:pPr>
            <w:r w:rsidRPr="00CA4C14">
              <w:rPr>
                <w:szCs w:val="18"/>
                <w:lang w:val="ru-RU" w:eastAsia="en-GB"/>
              </w:rPr>
              <w:t>31 декабря 2023 г.</w:t>
            </w:r>
          </w:p>
        </w:tc>
        <w:tc>
          <w:tcPr>
            <w:tcW w:w="1063" w:type="pct"/>
            <w:tcBorders>
              <w:top w:val="nil"/>
              <w:left w:val="nil"/>
              <w:bottom w:val="nil"/>
              <w:right w:val="nil"/>
            </w:tcBorders>
            <w:shd w:val="clear" w:color="000000" w:fill="0070C0"/>
            <w:vAlign w:val="center"/>
            <w:hideMark/>
          </w:tcPr>
          <w:p w14:paraId="432550CB" w14:textId="77777777" w:rsidR="00EE4F94" w:rsidRPr="00CA4C14" w:rsidRDefault="00EE4F94" w:rsidP="00DF30B4">
            <w:pPr>
              <w:pStyle w:val="Tablehead"/>
              <w:rPr>
                <w:szCs w:val="18"/>
                <w:lang w:val="ru-RU" w:eastAsia="en-GB"/>
              </w:rPr>
            </w:pPr>
            <w:r w:rsidRPr="00CA4C14">
              <w:rPr>
                <w:szCs w:val="18"/>
                <w:lang w:val="ru-RU" w:eastAsia="en-GB"/>
              </w:rPr>
              <w:t>31 декабря 2022 г.</w:t>
            </w:r>
          </w:p>
        </w:tc>
      </w:tr>
      <w:tr w:rsidR="00EE4F94" w:rsidRPr="00CA4C14" w14:paraId="07997AF6" w14:textId="77777777" w:rsidTr="00EE4F94">
        <w:trPr>
          <w:jc w:val="center"/>
        </w:trPr>
        <w:tc>
          <w:tcPr>
            <w:tcW w:w="2874" w:type="pct"/>
            <w:tcBorders>
              <w:top w:val="nil"/>
              <w:left w:val="nil"/>
              <w:bottom w:val="nil"/>
              <w:right w:val="nil"/>
            </w:tcBorders>
            <w:shd w:val="clear" w:color="auto" w:fill="auto"/>
            <w:noWrap/>
            <w:vAlign w:val="center"/>
            <w:hideMark/>
          </w:tcPr>
          <w:p w14:paraId="578F8E87" w14:textId="77777777" w:rsidR="00EE4F94" w:rsidRPr="00CA4C14" w:rsidRDefault="00EE4F94" w:rsidP="00FD58CA">
            <w:pPr>
              <w:pStyle w:val="Tabletext"/>
              <w:keepNext/>
              <w:rPr>
                <w:b/>
                <w:bCs/>
                <w:szCs w:val="18"/>
                <w:lang w:val="ru-RU" w:eastAsia="en-GB"/>
              </w:rPr>
            </w:pPr>
            <w:r w:rsidRPr="00CA4C14">
              <w:rPr>
                <w:b/>
                <w:bCs/>
                <w:szCs w:val="18"/>
                <w:lang w:val="ru-RU"/>
              </w:rPr>
              <w:t>Денежные средства без ограничений</w:t>
            </w:r>
          </w:p>
        </w:tc>
        <w:tc>
          <w:tcPr>
            <w:tcW w:w="1063" w:type="pct"/>
            <w:tcBorders>
              <w:top w:val="nil"/>
              <w:left w:val="nil"/>
              <w:bottom w:val="nil"/>
              <w:right w:val="nil"/>
            </w:tcBorders>
            <w:shd w:val="clear" w:color="auto" w:fill="auto"/>
            <w:noWrap/>
            <w:vAlign w:val="center"/>
            <w:hideMark/>
          </w:tcPr>
          <w:p w14:paraId="395BC5DB"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128 408</w:t>
            </w:r>
          </w:p>
        </w:tc>
        <w:tc>
          <w:tcPr>
            <w:tcW w:w="1063" w:type="pct"/>
            <w:tcBorders>
              <w:top w:val="nil"/>
              <w:left w:val="nil"/>
              <w:bottom w:val="nil"/>
              <w:right w:val="nil"/>
            </w:tcBorders>
            <w:shd w:val="clear" w:color="auto" w:fill="auto"/>
            <w:noWrap/>
            <w:vAlign w:val="center"/>
            <w:hideMark/>
          </w:tcPr>
          <w:p w14:paraId="10C24338"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165 280</w:t>
            </w:r>
          </w:p>
        </w:tc>
      </w:tr>
      <w:tr w:rsidR="00EE4F94" w:rsidRPr="00CA4C14" w14:paraId="35368FEC" w14:textId="77777777" w:rsidTr="00EE4F94">
        <w:trPr>
          <w:jc w:val="center"/>
        </w:trPr>
        <w:tc>
          <w:tcPr>
            <w:tcW w:w="2874" w:type="pct"/>
            <w:tcBorders>
              <w:top w:val="nil"/>
              <w:left w:val="nil"/>
              <w:bottom w:val="nil"/>
              <w:right w:val="nil"/>
            </w:tcBorders>
            <w:shd w:val="clear" w:color="auto" w:fill="auto"/>
            <w:noWrap/>
            <w:vAlign w:val="bottom"/>
            <w:hideMark/>
          </w:tcPr>
          <w:p w14:paraId="260EEB03" w14:textId="77777777" w:rsidR="00EE4F94" w:rsidRPr="00CA4C14" w:rsidRDefault="00EE4F94" w:rsidP="00FD58CA">
            <w:pPr>
              <w:pStyle w:val="Tabletext"/>
              <w:keepNext/>
              <w:rPr>
                <w:szCs w:val="18"/>
                <w:lang w:val="ru-RU" w:eastAsia="en-GB"/>
              </w:rPr>
            </w:pPr>
            <w:r w:rsidRPr="00CA4C14">
              <w:rPr>
                <w:szCs w:val="18"/>
                <w:lang w:val="ru-RU"/>
              </w:rPr>
              <w:t>Кассовая наличность, шв. фр.</w:t>
            </w:r>
          </w:p>
        </w:tc>
        <w:tc>
          <w:tcPr>
            <w:tcW w:w="1063" w:type="pct"/>
            <w:tcBorders>
              <w:top w:val="nil"/>
              <w:left w:val="nil"/>
              <w:bottom w:val="nil"/>
              <w:right w:val="nil"/>
            </w:tcBorders>
            <w:shd w:val="clear" w:color="auto" w:fill="auto"/>
            <w:noWrap/>
            <w:vAlign w:val="center"/>
            <w:hideMark/>
          </w:tcPr>
          <w:p w14:paraId="255A9C0C" w14:textId="77777777" w:rsidR="00EE4F94" w:rsidRPr="00CA4C14" w:rsidRDefault="00EE4F94" w:rsidP="00FD58CA">
            <w:pPr>
              <w:pStyle w:val="Tabletext"/>
              <w:keepNext/>
              <w:jc w:val="right"/>
              <w:rPr>
                <w:szCs w:val="18"/>
                <w:lang w:val="ru-RU" w:eastAsia="en-GB"/>
              </w:rPr>
            </w:pPr>
            <w:r w:rsidRPr="00CA4C14">
              <w:rPr>
                <w:szCs w:val="18"/>
                <w:lang w:val="ru-RU" w:eastAsia="en-GB"/>
              </w:rPr>
              <w:t>95</w:t>
            </w:r>
          </w:p>
        </w:tc>
        <w:tc>
          <w:tcPr>
            <w:tcW w:w="1063" w:type="pct"/>
            <w:tcBorders>
              <w:top w:val="nil"/>
              <w:left w:val="nil"/>
              <w:bottom w:val="nil"/>
              <w:right w:val="nil"/>
            </w:tcBorders>
            <w:shd w:val="clear" w:color="auto" w:fill="auto"/>
            <w:noWrap/>
            <w:vAlign w:val="center"/>
            <w:hideMark/>
          </w:tcPr>
          <w:p w14:paraId="2021368D" w14:textId="77777777" w:rsidR="00EE4F94" w:rsidRPr="00CA4C14" w:rsidRDefault="00EE4F94" w:rsidP="00FD58CA">
            <w:pPr>
              <w:pStyle w:val="Tabletext"/>
              <w:keepNext/>
              <w:jc w:val="right"/>
              <w:rPr>
                <w:szCs w:val="18"/>
                <w:lang w:val="ru-RU" w:eastAsia="en-GB"/>
              </w:rPr>
            </w:pPr>
            <w:r w:rsidRPr="00CA4C14">
              <w:rPr>
                <w:szCs w:val="18"/>
                <w:lang w:val="ru-RU" w:eastAsia="en-GB"/>
              </w:rPr>
              <w:t>118</w:t>
            </w:r>
          </w:p>
        </w:tc>
      </w:tr>
      <w:tr w:rsidR="00EE4F94" w:rsidRPr="00CA4C14" w14:paraId="0AD611BF" w14:textId="77777777" w:rsidTr="00EE4F94">
        <w:trPr>
          <w:jc w:val="center"/>
        </w:trPr>
        <w:tc>
          <w:tcPr>
            <w:tcW w:w="2874" w:type="pct"/>
            <w:tcBorders>
              <w:top w:val="nil"/>
              <w:left w:val="nil"/>
              <w:bottom w:val="nil"/>
              <w:right w:val="nil"/>
            </w:tcBorders>
            <w:shd w:val="clear" w:color="auto" w:fill="auto"/>
            <w:noWrap/>
            <w:vAlign w:val="bottom"/>
            <w:hideMark/>
          </w:tcPr>
          <w:p w14:paraId="093C1C44" w14:textId="77777777" w:rsidR="00EE4F94" w:rsidRPr="00CA4C14" w:rsidRDefault="00EE4F94" w:rsidP="00FD58CA">
            <w:pPr>
              <w:pStyle w:val="Tabletext"/>
              <w:keepNext/>
              <w:rPr>
                <w:szCs w:val="18"/>
                <w:lang w:val="ru-RU" w:eastAsia="en-GB"/>
              </w:rPr>
            </w:pPr>
            <w:r w:rsidRPr="00CA4C14">
              <w:rPr>
                <w:szCs w:val="18"/>
                <w:lang w:val="ru-RU"/>
              </w:rPr>
              <w:t>Текущие банковские счета, шв. фр.</w:t>
            </w:r>
          </w:p>
        </w:tc>
        <w:tc>
          <w:tcPr>
            <w:tcW w:w="1063" w:type="pct"/>
            <w:tcBorders>
              <w:top w:val="nil"/>
              <w:left w:val="nil"/>
              <w:bottom w:val="nil"/>
              <w:right w:val="nil"/>
            </w:tcBorders>
            <w:shd w:val="clear" w:color="auto" w:fill="auto"/>
            <w:noWrap/>
            <w:vAlign w:val="center"/>
            <w:hideMark/>
          </w:tcPr>
          <w:p w14:paraId="621513C6" w14:textId="77777777" w:rsidR="00EE4F94" w:rsidRPr="00CA4C14" w:rsidRDefault="00EE4F94" w:rsidP="00FD58CA">
            <w:pPr>
              <w:pStyle w:val="Tabletext"/>
              <w:keepNext/>
              <w:jc w:val="right"/>
              <w:rPr>
                <w:szCs w:val="18"/>
                <w:lang w:val="ru-RU" w:eastAsia="en-GB"/>
              </w:rPr>
            </w:pPr>
            <w:r w:rsidRPr="00CA4C14">
              <w:rPr>
                <w:szCs w:val="18"/>
                <w:lang w:val="ru-RU" w:eastAsia="en-GB"/>
              </w:rPr>
              <w:t>45 883</w:t>
            </w:r>
          </w:p>
        </w:tc>
        <w:tc>
          <w:tcPr>
            <w:tcW w:w="1063" w:type="pct"/>
            <w:tcBorders>
              <w:top w:val="nil"/>
              <w:left w:val="nil"/>
              <w:bottom w:val="nil"/>
              <w:right w:val="nil"/>
            </w:tcBorders>
            <w:shd w:val="clear" w:color="auto" w:fill="auto"/>
            <w:noWrap/>
            <w:vAlign w:val="center"/>
            <w:hideMark/>
          </w:tcPr>
          <w:p w14:paraId="5DA4802C" w14:textId="77777777" w:rsidR="00EE4F94" w:rsidRPr="00CA4C14" w:rsidRDefault="00EE4F94" w:rsidP="00FD58CA">
            <w:pPr>
              <w:pStyle w:val="Tabletext"/>
              <w:keepNext/>
              <w:jc w:val="right"/>
              <w:rPr>
                <w:szCs w:val="18"/>
                <w:lang w:val="ru-RU" w:eastAsia="en-GB"/>
              </w:rPr>
            </w:pPr>
            <w:r w:rsidRPr="00CA4C14">
              <w:rPr>
                <w:szCs w:val="18"/>
                <w:lang w:val="ru-RU" w:eastAsia="en-GB"/>
              </w:rPr>
              <w:t>45 692</w:t>
            </w:r>
          </w:p>
        </w:tc>
      </w:tr>
      <w:tr w:rsidR="00EE4F94" w:rsidRPr="00CA4C14" w14:paraId="00D10428" w14:textId="77777777" w:rsidTr="00EE4F94">
        <w:trPr>
          <w:jc w:val="center"/>
        </w:trPr>
        <w:tc>
          <w:tcPr>
            <w:tcW w:w="2874" w:type="pct"/>
            <w:tcBorders>
              <w:top w:val="nil"/>
              <w:left w:val="nil"/>
              <w:bottom w:val="nil"/>
              <w:right w:val="nil"/>
            </w:tcBorders>
            <w:shd w:val="clear" w:color="auto" w:fill="auto"/>
            <w:noWrap/>
            <w:vAlign w:val="bottom"/>
            <w:hideMark/>
          </w:tcPr>
          <w:p w14:paraId="5173863B" w14:textId="77777777" w:rsidR="00EE4F94" w:rsidRPr="00CA4C14" w:rsidRDefault="00EE4F94" w:rsidP="00FD58CA">
            <w:pPr>
              <w:pStyle w:val="Tabletext"/>
              <w:keepNext/>
              <w:rPr>
                <w:szCs w:val="18"/>
                <w:lang w:val="ru-RU" w:eastAsia="en-GB"/>
              </w:rPr>
            </w:pPr>
            <w:r w:rsidRPr="00CA4C14">
              <w:rPr>
                <w:szCs w:val="18"/>
                <w:lang w:val="ru-RU"/>
              </w:rPr>
              <w:t>Текущие банковские счета, иностранная валюта</w:t>
            </w:r>
          </w:p>
        </w:tc>
        <w:tc>
          <w:tcPr>
            <w:tcW w:w="1063" w:type="pct"/>
            <w:tcBorders>
              <w:top w:val="nil"/>
              <w:left w:val="nil"/>
              <w:bottom w:val="nil"/>
              <w:right w:val="nil"/>
            </w:tcBorders>
            <w:shd w:val="clear" w:color="auto" w:fill="auto"/>
            <w:noWrap/>
            <w:vAlign w:val="center"/>
            <w:hideMark/>
          </w:tcPr>
          <w:p w14:paraId="57F167F7" w14:textId="77777777" w:rsidR="00EE4F94" w:rsidRPr="00CA4C14" w:rsidRDefault="00EE4F94" w:rsidP="00FD58CA">
            <w:pPr>
              <w:pStyle w:val="Tabletext"/>
              <w:keepNext/>
              <w:jc w:val="right"/>
              <w:rPr>
                <w:szCs w:val="18"/>
                <w:lang w:val="ru-RU" w:eastAsia="en-GB"/>
              </w:rPr>
            </w:pPr>
            <w:r w:rsidRPr="00CA4C14">
              <w:rPr>
                <w:szCs w:val="18"/>
                <w:lang w:val="ru-RU" w:eastAsia="en-GB"/>
              </w:rPr>
              <w:t>20 178</w:t>
            </w:r>
          </w:p>
        </w:tc>
        <w:tc>
          <w:tcPr>
            <w:tcW w:w="1063" w:type="pct"/>
            <w:tcBorders>
              <w:top w:val="nil"/>
              <w:left w:val="nil"/>
              <w:bottom w:val="nil"/>
              <w:right w:val="nil"/>
            </w:tcBorders>
            <w:shd w:val="clear" w:color="auto" w:fill="auto"/>
            <w:noWrap/>
            <w:vAlign w:val="center"/>
            <w:hideMark/>
          </w:tcPr>
          <w:p w14:paraId="632E4319" w14:textId="77777777" w:rsidR="00EE4F94" w:rsidRPr="00CA4C14" w:rsidRDefault="00EE4F94" w:rsidP="00FD58CA">
            <w:pPr>
              <w:pStyle w:val="Tabletext"/>
              <w:keepNext/>
              <w:jc w:val="right"/>
              <w:rPr>
                <w:szCs w:val="18"/>
                <w:lang w:val="ru-RU" w:eastAsia="en-GB"/>
              </w:rPr>
            </w:pPr>
            <w:r w:rsidRPr="00CA4C14">
              <w:rPr>
                <w:szCs w:val="18"/>
                <w:lang w:val="ru-RU" w:eastAsia="en-GB"/>
              </w:rPr>
              <w:t>65 436</w:t>
            </w:r>
          </w:p>
        </w:tc>
      </w:tr>
      <w:tr w:rsidR="00EE4F94" w:rsidRPr="00CA4C14" w14:paraId="6E50D3F3" w14:textId="77777777" w:rsidTr="00EE4F94">
        <w:trPr>
          <w:jc w:val="center"/>
        </w:trPr>
        <w:tc>
          <w:tcPr>
            <w:tcW w:w="2874" w:type="pct"/>
            <w:tcBorders>
              <w:top w:val="nil"/>
              <w:left w:val="nil"/>
              <w:bottom w:val="nil"/>
              <w:right w:val="nil"/>
            </w:tcBorders>
            <w:shd w:val="clear" w:color="auto" w:fill="auto"/>
            <w:noWrap/>
            <w:vAlign w:val="bottom"/>
            <w:hideMark/>
          </w:tcPr>
          <w:p w14:paraId="6D991F7C" w14:textId="77777777" w:rsidR="00EE4F94" w:rsidRPr="00CA4C14" w:rsidRDefault="00EE4F94" w:rsidP="00FD58CA">
            <w:pPr>
              <w:pStyle w:val="Tabletext"/>
              <w:keepNext/>
              <w:rPr>
                <w:szCs w:val="18"/>
                <w:lang w:val="ru-RU" w:eastAsia="en-GB"/>
              </w:rPr>
            </w:pPr>
            <w:r w:rsidRPr="00CA4C14">
              <w:rPr>
                <w:szCs w:val="18"/>
                <w:lang w:val="ru-RU"/>
              </w:rPr>
              <w:t xml:space="preserve">Краткосрочные инвестиции </w:t>
            </w:r>
            <w:proofErr w:type="gramStart"/>
            <w:r w:rsidRPr="00CA4C14">
              <w:rPr>
                <w:szCs w:val="18"/>
                <w:lang w:val="ru-RU"/>
              </w:rPr>
              <w:t>0−3</w:t>
            </w:r>
            <w:proofErr w:type="gramEnd"/>
            <w:r w:rsidRPr="00CA4C14">
              <w:rPr>
                <w:szCs w:val="18"/>
                <w:lang w:val="ru-RU"/>
              </w:rPr>
              <w:t xml:space="preserve"> месяца</w:t>
            </w:r>
          </w:p>
        </w:tc>
        <w:tc>
          <w:tcPr>
            <w:tcW w:w="1063" w:type="pct"/>
            <w:tcBorders>
              <w:top w:val="nil"/>
              <w:left w:val="nil"/>
              <w:bottom w:val="nil"/>
              <w:right w:val="nil"/>
            </w:tcBorders>
            <w:shd w:val="clear" w:color="auto" w:fill="auto"/>
            <w:noWrap/>
            <w:vAlign w:val="center"/>
            <w:hideMark/>
          </w:tcPr>
          <w:p w14:paraId="2659D7A7" w14:textId="77777777" w:rsidR="00EE4F94" w:rsidRPr="00CA4C14" w:rsidRDefault="00EE4F94" w:rsidP="00FD58CA">
            <w:pPr>
              <w:pStyle w:val="Tabletext"/>
              <w:keepNext/>
              <w:jc w:val="right"/>
              <w:rPr>
                <w:szCs w:val="18"/>
                <w:lang w:val="ru-RU" w:eastAsia="en-GB"/>
              </w:rPr>
            </w:pPr>
            <w:r w:rsidRPr="00CA4C14">
              <w:rPr>
                <w:szCs w:val="18"/>
                <w:lang w:val="ru-RU" w:eastAsia="en-GB"/>
              </w:rPr>
              <w:t>62 251</w:t>
            </w:r>
          </w:p>
        </w:tc>
        <w:tc>
          <w:tcPr>
            <w:tcW w:w="1063" w:type="pct"/>
            <w:tcBorders>
              <w:top w:val="nil"/>
              <w:left w:val="nil"/>
              <w:bottom w:val="nil"/>
              <w:right w:val="nil"/>
            </w:tcBorders>
            <w:shd w:val="clear" w:color="auto" w:fill="auto"/>
            <w:noWrap/>
            <w:vAlign w:val="center"/>
            <w:hideMark/>
          </w:tcPr>
          <w:p w14:paraId="5FB2ED92" w14:textId="77777777" w:rsidR="00EE4F94" w:rsidRPr="00CA4C14" w:rsidRDefault="00EE4F94" w:rsidP="00FD58CA">
            <w:pPr>
              <w:pStyle w:val="Tabletext"/>
              <w:keepNext/>
              <w:jc w:val="right"/>
              <w:rPr>
                <w:szCs w:val="18"/>
                <w:lang w:val="ru-RU" w:eastAsia="en-GB"/>
              </w:rPr>
            </w:pPr>
            <w:r w:rsidRPr="00CA4C14">
              <w:rPr>
                <w:szCs w:val="18"/>
                <w:lang w:val="ru-RU" w:eastAsia="en-GB"/>
              </w:rPr>
              <w:t>54 034</w:t>
            </w:r>
          </w:p>
        </w:tc>
      </w:tr>
      <w:tr w:rsidR="00EE4F94" w:rsidRPr="00CA4C14" w14:paraId="2F1811A6" w14:textId="77777777" w:rsidTr="00EE4F94">
        <w:trPr>
          <w:jc w:val="center"/>
        </w:trPr>
        <w:tc>
          <w:tcPr>
            <w:tcW w:w="2874" w:type="pct"/>
            <w:tcBorders>
              <w:top w:val="nil"/>
              <w:left w:val="nil"/>
              <w:bottom w:val="nil"/>
              <w:right w:val="nil"/>
            </w:tcBorders>
            <w:shd w:val="clear" w:color="auto" w:fill="auto"/>
            <w:noWrap/>
            <w:vAlign w:val="bottom"/>
            <w:hideMark/>
          </w:tcPr>
          <w:p w14:paraId="2DE01048" w14:textId="77777777" w:rsidR="00EE4F94" w:rsidRPr="00CA4C14" w:rsidRDefault="00EE4F94" w:rsidP="00921035">
            <w:pPr>
              <w:pStyle w:val="Tabletext"/>
              <w:keepNext/>
              <w:spacing w:before="0" w:after="0"/>
              <w:rPr>
                <w:szCs w:val="18"/>
                <w:lang w:val="ru-RU" w:eastAsia="en-GB"/>
              </w:rPr>
            </w:pPr>
          </w:p>
        </w:tc>
        <w:tc>
          <w:tcPr>
            <w:tcW w:w="1063" w:type="pct"/>
            <w:tcBorders>
              <w:top w:val="nil"/>
              <w:left w:val="nil"/>
              <w:bottom w:val="nil"/>
              <w:right w:val="nil"/>
            </w:tcBorders>
            <w:shd w:val="clear" w:color="auto" w:fill="auto"/>
            <w:noWrap/>
            <w:vAlign w:val="center"/>
            <w:hideMark/>
          </w:tcPr>
          <w:p w14:paraId="07DD6F81" w14:textId="77777777" w:rsidR="00EE4F94" w:rsidRPr="00CA4C14" w:rsidRDefault="00EE4F94" w:rsidP="00921035">
            <w:pPr>
              <w:pStyle w:val="Tabletext"/>
              <w:keepNext/>
              <w:spacing w:before="0" w:after="0"/>
              <w:jc w:val="right"/>
              <w:rPr>
                <w:rFonts w:ascii="Times New Roman" w:hAnsi="Times New Roman"/>
                <w:szCs w:val="18"/>
                <w:lang w:val="ru-RU" w:eastAsia="en-GB"/>
              </w:rPr>
            </w:pPr>
          </w:p>
        </w:tc>
        <w:tc>
          <w:tcPr>
            <w:tcW w:w="1063" w:type="pct"/>
            <w:tcBorders>
              <w:top w:val="nil"/>
              <w:left w:val="nil"/>
              <w:bottom w:val="nil"/>
              <w:right w:val="nil"/>
            </w:tcBorders>
            <w:shd w:val="clear" w:color="auto" w:fill="auto"/>
            <w:noWrap/>
            <w:vAlign w:val="center"/>
            <w:hideMark/>
          </w:tcPr>
          <w:p w14:paraId="550B5711" w14:textId="77777777" w:rsidR="00EE4F94" w:rsidRPr="00CA4C14" w:rsidRDefault="00EE4F94" w:rsidP="00921035">
            <w:pPr>
              <w:pStyle w:val="Tabletext"/>
              <w:keepNext/>
              <w:spacing w:before="0" w:after="0"/>
              <w:jc w:val="right"/>
              <w:rPr>
                <w:rFonts w:ascii="Times New Roman" w:hAnsi="Times New Roman"/>
                <w:szCs w:val="18"/>
                <w:lang w:val="ru-RU" w:eastAsia="en-GB"/>
              </w:rPr>
            </w:pPr>
          </w:p>
        </w:tc>
      </w:tr>
      <w:tr w:rsidR="00EE4F94" w:rsidRPr="00CA4C14" w14:paraId="7D508307" w14:textId="77777777" w:rsidTr="00EE4F94">
        <w:trPr>
          <w:jc w:val="center"/>
        </w:trPr>
        <w:tc>
          <w:tcPr>
            <w:tcW w:w="2874" w:type="pct"/>
            <w:tcBorders>
              <w:top w:val="nil"/>
              <w:left w:val="nil"/>
              <w:bottom w:val="nil"/>
              <w:right w:val="nil"/>
            </w:tcBorders>
            <w:shd w:val="clear" w:color="auto" w:fill="auto"/>
            <w:noWrap/>
            <w:vAlign w:val="center"/>
            <w:hideMark/>
          </w:tcPr>
          <w:p w14:paraId="4969EB6A" w14:textId="77777777" w:rsidR="00EE4F94" w:rsidRPr="00CA4C14" w:rsidRDefault="00EE4F94" w:rsidP="00FD58CA">
            <w:pPr>
              <w:pStyle w:val="Tabletext"/>
              <w:keepNext/>
              <w:rPr>
                <w:b/>
                <w:bCs/>
                <w:szCs w:val="18"/>
                <w:lang w:val="ru-RU" w:eastAsia="en-GB"/>
              </w:rPr>
            </w:pPr>
            <w:r w:rsidRPr="00CA4C14">
              <w:rPr>
                <w:b/>
                <w:bCs/>
                <w:szCs w:val="18"/>
                <w:lang w:val="ru-RU"/>
              </w:rPr>
              <w:t>Денежные средства, ограниченные в использовании</w:t>
            </w:r>
          </w:p>
        </w:tc>
        <w:tc>
          <w:tcPr>
            <w:tcW w:w="1063" w:type="pct"/>
            <w:tcBorders>
              <w:top w:val="nil"/>
              <w:left w:val="nil"/>
              <w:bottom w:val="nil"/>
              <w:right w:val="nil"/>
            </w:tcBorders>
            <w:shd w:val="clear" w:color="auto" w:fill="auto"/>
            <w:noWrap/>
            <w:vAlign w:val="center"/>
            <w:hideMark/>
          </w:tcPr>
          <w:p w14:paraId="7F7920BD"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27 460</w:t>
            </w:r>
          </w:p>
        </w:tc>
        <w:tc>
          <w:tcPr>
            <w:tcW w:w="1063" w:type="pct"/>
            <w:tcBorders>
              <w:top w:val="nil"/>
              <w:left w:val="nil"/>
              <w:bottom w:val="nil"/>
              <w:right w:val="nil"/>
            </w:tcBorders>
            <w:shd w:val="clear" w:color="auto" w:fill="auto"/>
            <w:noWrap/>
            <w:vAlign w:val="center"/>
            <w:hideMark/>
          </w:tcPr>
          <w:p w14:paraId="64E9EDB1"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28 588</w:t>
            </w:r>
          </w:p>
        </w:tc>
      </w:tr>
      <w:tr w:rsidR="00EE4F94" w:rsidRPr="00CA4C14" w14:paraId="2DC09194" w14:textId="77777777" w:rsidTr="00EE4F94">
        <w:trPr>
          <w:jc w:val="center"/>
        </w:trPr>
        <w:tc>
          <w:tcPr>
            <w:tcW w:w="2874" w:type="pct"/>
            <w:tcBorders>
              <w:top w:val="nil"/>
              <w:left w:val="nil"/>
              <w:bottom w:val="nil"/>
              <w:right w:val="nil"/>
            </w:tcBorders>
            <w:shd w:val="clear" w:color="auto" w:fill="auto"/>
            <w:noWrap/>
            <w:vAlign w:val="bottom"/>
            <w:hideMark/>
          </w:tcPr>
          <w:p w14:paraId="14BF9AAF" w14:textId="77777777" w:rsidR="00EE4F94" w:rsidRPr="00CA4C14" w:rsidRDefault="00EE4F94" w:rsidP="00FD58CA">
            <w:pPr>
              <w:pStyle w:val="Tabletext"/>
              <w:keepNext/>
              <w:rPr>
                <w:szCs w:val="18"/>
                <w:lang w:val="ru-RU" w:eastAsia="en-GB"/>
              </w:rPr>
            </w:pPr>
            <w:r w:rsidRPr="00CA4C14">
              <w:rPr>
                <w:szCs w:val="18"/>
                <w:lang w:val="ru-RU"/>
              </w:rPr>
              <w:t>Текущие банковские счета, шв. фр.</w:t>
            </w:r>
          </w:p>
        </w:tc>
        <w:tc>
          <w:tcPr>
            <w:tcW w:w="1063" w:type="pct"/>
            <w:tcBorders>
              <w:top w:val="nil"/>
              <w:left w:val="nil"/>
              <w:bottom w:val="nil"/>
              <w:right w:val="nil"/>
            </w:tcBorders>
            <w:shd w:val="clear" w:color="auto" w:fill="auto"/>
            <w:noWrap/>
            <w:vAlign w:val="center"/>
            <w:hideMark/>
          </w:tcPr>
          <w:p w14:paraId="159DD7DC" w14:textId="77777777" w:rsidR="00EE4F94" w:rsidRPr="00CA4C14" w:rsidRDefault="00EE4F94" w:rsidP="00FD58CA">
            <w:pPr>
              <w:pStyle w:val="Tabletext"/>
              <w:keepNext/>
              <w:jc w:val="right"/>
              <w:rPr>
                <w:szCs w:val="18"/>
                <w:lang w:val="ru-RU" w:eastAsia="en-GB"/>
              </w:rPr>
            </w:pPr>
            <w:r w:rsidRPr="00CA4C14">
              <w:rPr>
                <w:szCs w:val="18"/>
                <w:lang w:val="ru-RU" w:eastAsia="en-GB"/>
              </w:rPr>
              <w:t>22 137</w:t>
            </w:r>
          </w:p>
        </w:tc>
        <w:tc>
          <w:tcPr>
            <w:tcW w:w="1063" w:type="pct"/>
            <w:tcBorders>
              <w:top w:val="nil"/>
              <w:left w:val="nil"/>
              <w:bottom w:val="nil"/>
              <w:right w:val="nil"/>
            </w:tcBorders>
            <w:shd w:val="clear" w:color="auto" w:fill="auto"/>
            <w:noWrap/>
            <w:vAlign w:val="center"/>
            <w:hideMark/>
          </w:tcPr>
          <w:p w14:paraId="636ED3CF" w14:textId="77777777" w:rsidR="00EE4F94" w:rsidRPr="00CA4C14" w:rsidRDefault="00EE4F94" w:rsidP="00FD58CA">
            <w:pPr>
              <w:pStyle w:val="Tabletext"/>
              <w:keepNext/>
              <w:jc w:val="right"/>
              <w:rPr>
                <w:szCs w:val="18"/>
                <w:lang w:val="ru-RU" w:eastAsia="en-GB"/>
              </w:rPr>
            </w:pPr>
            <w:r w:rsidRPr="00CA4C14">
              <w:rPr>
                <w:szCs w:val="18"/>
                <w:lang w:val="ru-RU" w:eastAsia="en-GB"/>
              </w:rPr>
              <w:t>22 945</w:t>
            </w:r>
          </w:p>
        </w:tc>
      </w:tr>
      <w:tr w:rsidR="00EE4F94" w:rsidRPr="00CA4C14" w14:paraId="237151D7" w14:textId="77777777" w:rsidTr="00EE4F94">
        <w:trPr>
          <w:jc w:val="center"/>
        </w:trPr>
        <w:tc>
          <w:tcPr>
            <w:tcW w:w="2874" w:type="pct"/>
            <w:tcBorders>
              <w:top w:val="nil"/>
              <w:left w:val="nil"/>
              <w:bottom w:val="nil"/>
              <w:right w:val="nil"/>
            </w:tcBorders>
            <w:shd w:val="clear" w:color="auto" w:fill="auto"/>
            <w:noWrap/>
            <w:vAlign w:val="bottom"/>
            <w:hideMark/>
          </w:tcPr>
          <w:p w14:paraId="4F9DAB63" w14:textId="77777777" w:rsidR="00EE4F94" w:rsidRPr="00CA4C14" w:rsidRDefault="00EE4F94" w:rsidP="00FD58CA">
            <w:pPr>
              <w:pStyle w:val="Tabletext"/>
              <w:keepNext/>
              <w:rPr>
                <w:szCs w:val="18"/>
                <w:lang w:val="ru-RU" w:eastAsia="en-GB"/>
              </w:rPr>
            </w:pPr>
            <w:r w:rsidRPr="00CA4C14">
              <w:rPr>
                <w:szCs w:val="18"/>
                <w:lang w:val="ru-RU"/>
              </w:rPr>
              <w:t xml:space="preserve">Краткосрочные инвестиции </w:t>
            </w:r>
            <w:proofErr w:type="gramStart"/>
            <w:r w:rsidRPr="00CA4C14">
              <w:rPr>
                <w:szCs w:val="18"/>
                <w:lang w:val="ru-RU"/>
              </w:rPr>
              <w:t>0−3</w:t>
            </w:r>
            <w:proofErr w:type="gramEnd"/>
            <w:r w:rsidRPr="00CA4C14">
              <w:rPr>
                <w:szCs w:val="18"/>
                <w:lang w:val="ru-RU"/>
              </w:rPr>
              <w:t xml:space="preserve"> месяца</w:t>
            </w:r>
          </w:p>
        </w:tc>
        <w:tc>
          <w:tcPr>
            <w:tcW w:w="1063" w:type="pct"/>
            <w:tcBorders>
              <w:top w:val="nil"/>
              <w:left w:val="nil"/>
              <w:bottom w:val="nil"/>
              <w:right w:val="nil"/>
            </w:tcBorders>
            <w:shd w:val="clear" w:color="auto" w:fill="auto"/>
            <w:noWrap/>
            <w:vAlign w:val="center"/>
            <w:hideMark/>
          </w:tcPr>
          <w:p w14:paraId="6EC4DFE3" w14:textId="77777777" w:rsidR="00EE4F94" w:rsidRPr="00CA4C14" w:rsidRDefault="00EE4F94" w:rsidP="00FD58CA">
            <w:pPr>
              <w:pStyle w:val="Tabletext"/>
              <w:keepNext/>
              <w:jc w:val="right"/>
              <w:rPr>
                <w:szCs w:val="18"/>
                <w:lang w:val="ru-RU" w:eastAsia="en-GB"/>
              </w:rPr>
            </w:pPr>
            <w:r w:rsidRPr="00CA4C14">
              <w:rPr>
                <w:szCs w:val="18"/>
                <w:lang w:val="ru-RU" w:eastAsia="en-GB"/>
              </w:rPr>
              <w:t>5 323</w:t>
            </w:r>
          </w:p>
        </w:tc>
        <w:tc>
          <w:tcPr>
            <w:tcW w:w="1063" w:type="pct"/>
            <w:tcBorders>
              <w:top w:val="nil"/>
              <w:left w:val="nil"/>
              <w:bottom w:val="nil"/>
              <w:right w:val="nil"/>
            </w:tcBorders>
            <w:shd w:val="clear" w:color="auto" w:fill="auto"/>
            <w:noWrap/>
            <w:vAlign w:val="center"/>
            <w:hideMark/>
          </w:tcPr>
          <w:p w14:paraId="11CDE906" w14:textId="77777777" w:rsidR="00EE4F94" w:rsidRPr="00CA4C14" w:rsidRDefault="00EE4F94" w:rsidP="00FD58CA">
            <w:pPr>
              <w:pStyle w:val="Tabletext"/>
              <w:keepNext/>
              <w:jc w:val="right"/>
              <w:rPr>
                <w:szCs w:val="18"/>
                <w:lang w:val="ru-RU" w:eastAsia="en-GB"/>
              </w:rPr>
            </w:pPr>
            <w:r w:rsidRPr="00CA4C14">
              <w:rPr>
                <w:szCs w:val="18"/>
                <w:lang w:val="ru-RU" w:eastAsia="en-GB"/>
              </w:rPr>
              <w:t>5 642</w:t>
            </w:r>
          </w:p>
        </w:tc>
      </w:tr>
      <w:tr w:rsidR="00EE4F94" w:rsidRPr="00CA4C14" w14:paraId="29D56C52" w14:textId="77777777" w:rsidTr="00EE4F94">
        <w:trPr>
          <w:jc w:val="center"/>
        </w:trPr>
        <w:tc>
          <w:tcPr>
            <w:tcW w:w="2874" w:type="pct"/>
            <w:tcBorders>
              <w:top w:val="nil"/>
              <w:left w:val="nil"/>
              <w:bottom w:val="nil"/>
              <w:right w:val="nil"/>
            </w:tcBorders>
            <w:shd w:val="clear" w:color="000000" w:fill="0070C0"/>
            <w:vAlign w:val="center"/>
            <w:hideMark/>
          </w:tcPr>
          <w:p w14:paraId="4D5D6398" w14:textId="77777777" w:rsidR="00EE4F94" w:rsidRPr="00CA4C14" w:rsidRDefault="00EE4F94" w:rsidP="00DF30B4">
            <w:pPr>
              <w:pStyle w:val="Tabletext"/>
              <w:rPr>
                <w:b/>
                <w:bCs/>
                <w:szCs w:val="18"/>
                <w:lang w:val="ru-RU" w:eastAsia="en-GB"/>
              </w:rPr>
            </w:pPr>
            <w:r w:rsidRPr="00CA4C14">
              <w:rPr>
                <w:b/>
                <w:bCs/>
                <w:szCs w:val="18"/>
                <w:lang w:val="ru-RU"/>
              </w:rPr>
              <w:t>Денежные средства и эквиваленты денежных средств</w:t>
            </w:r>
          </w:p>
        </w:tc>
        <w:tc>
          <w:tcPr>
            <w:tcW w:w="1063" w:type="pct"/>
            <w:tcBorders>
              <w:top w:val="nil"/>
              <w:left w:val="nil"/>
              <w:bottom w:val="nil"/>
              <w:right w:val="nil"/>
            </w:tcBorders>
            <w:shd w:val="clear" w:color="000000" w:fill="0070C0"/>
            <w:vAlign w:val="center"/>
            <w:hideMark/>
          </w:tcPr>
          <w:p w14:paraId="12C2AACB" w14:textId="77777777" w:rsidR="00EE4F94" w:rsidRPr="00CA4C14" w:rsidRDefault="00EE4F94" w:rsidP="00DF30B4">
            <w:pPr>
              <w:pStyle w:val="Tabletext"/>
              <w:jc w:val="right"/>
              <w:rPr>
                <w:b/>
                <w:bCs/>
                <w:szCs w:val="18"/>
                <w:lang w:val="ru-RU" w:eastAsia="en-GB"/>
              </w:rPr>
            </w:pPr>
            <w:r w:rsidRPr="00CA4C14">
              <w:rPr>
                <w:b/>
                <w:bCs/>
                <w:szCs w:val="18"/>
                <w:lang w:val="ru-RU" w:eastAsia="en-GB"/>
              </w:rPr>
              <w:t>155 868</w:t>
            </w:r>
          </w:p>
        </w:tc>
        <w:tc>
          <w:tcPr>
            <w:tcW w:w="1063" w:type="pct"/>
            <w:tcBorders>
              <w:top w:val="nil"/>
              <w:left w:val="nil"/>
              <w:bottom w:val="nil"/>
              <w:right w:val="nil"/>
            </w:tcBorders>
            <w:shd w:val="clear" w:color="000000" w:fill="0070C0"/>
            <w:vAlign w:val="center"/>
            <w:hideMark/>
          </w:tcPr>
          <w:p w14:paraId="511EE8CA" w14:textId="77777777" w:rsidR="00EE4F94" w:rsidRPr="00CA4C14" w:rsidRDefault="00EE4F94" w:rsidP="00DF30B4">
            <w:pPr>
              <w:pStyle w:val="Tabletext"/>
              <w:jc w:val="right"/>
              <w:rPr>
                <w:b/>
                <w:bCs/>
                <w:szCs w:val="18"/>
                <w:lang w:val="ru-RU" w:eastAsia="en-GB"/>
              </w:rPr>
            </w:pPr>
            <w:r w:rsidRPr="00CA4C14">
              <w:rPr>
                <w:b/>
                <w:bCs/>
                <w:szCs w:val="18"/>
                <w:lang w:val="ru-RU" w:eastAsia="en-GB"/>
              </w:rPr>
              <w:t>193 868</w:t>
            </w:r>
          </w:p>
        </w:tc>
      </w:tr>
    </w:tbl>
    <w:p w14:paraId="7BA93E95" w14:textId="77777777" w:rsidR="00EE4F94" w:rsidRPr="00CA4C14" w:rsidRDefault="00EE4F94" w:rsidP="0060113A">
      <w:pPr>
        <w:pStyle w:val="Heading5"/>
        <w:rPr>
          <w:lang w:val="ru-RU"/>
        </w:rPr>
      </w:pPr>
      <w:bookmarkStart w:id="365" w:name="_Toc305764082"/>
      <w:bookmarkStart w:id="366" w:name="_Toc1048953102"/>
      <w:bookmarkStart w:id="367" w:name="_Toc164845554"/>
      <w:bookmarkStart w:id="368" w:name="_Toc168578468"/>
      <w:r w:rsidRPr="00CA4C14">
        <w:rPr>
          <w:lang w:val="ru-RU"/>
        </w:rPr>
        <w:t>Примечание 8</w:t>
      </w:r>
      <w:r w:rsidRPr="00CA4C14">
        <w:rPr>
          <w:lang w:val="ru-RU"/>
        </w:rPr>
        <w:tab/>
      </w:r>
      <w:bookmarkEnd w:id="365"/>
      <w:bookmarkEnd w:id="366"/>
      <w:bookmarkEnd w:id="367"/>
      <w:r w:rsidRPr="00CA4C14">
        <w:rPr>
          <w:lang w:val="ru-RU"/>
        </w:rPr>
        <w:t>Инвестиции</w:t>
      </w:r>
      <w:bookmarkEnd w:id="368"/>
    </w:p>
    <w:p w14:paraId="26D2CE32" w14:textId="77777777" w:rsidR="00EE4F94" w:rsidRPr="00CA4C14" w:rsidRDefault="00EE4F94" w:rsidP="003E1392">
      <w:pPr>
        <w:rPr>
          <w:lang w:val="ru-RU"/>
        </w:rPr>
      </w:pPr>
      <w:r w:rsidRPr="00CA4C14">
        <w:rPr>
          <w:lang w:val="ru-RU"/>
        </w:rPr>
        <w:t>Инвестиции в срочные депозиты и другие связанные с ними инструменты учитываются по амортизированной стоимости. В текущем портфеле МСЭ отсутствуют инвестиции в долевые инструменты или производные финансовые инструменты.</w:t>
      </w:r>
    </w:p>
    <w:p w14:paraId="003D1595" w14:textId="77777777" w:rsidR="00EE4F94" w:rsidRPr="00CA4C14" w:rsidRDefault="00EE4F94" w:rsidP="003E1392">
      <w:pPr>
        <w:rPr>
          <w:highlight w:val="lightGray"/>
          <w:lang w:val="ru-RU"/>
        </w:rPr>
      </w:pPr>
      <w:r w:rsidRPr="00CA4C14">
        <w:rPr>
          <w:lang w:val="ru-RU"/>
        </w:rPr>
        <w:t>Увеличение инвестиций является следствием увеличения поступивших взносов и наличия избыточных средств, что еще более увеличило объем средств, доступных для инвестирования.</w:t>
      </w:r>
    </w:p>
    <w:p w14:paraId="42719832" w14:textId="77777777" w:rsidR="00EE4F94" w:rsidRPr="00CA4C14" w:rsidRDefault="00EE4F94" w:rsidP="00DF30B4">
      <w:pPr>
        <w:spacing w:after="120"/>
        <w:rPr>
          <w:lang w:val="ru-RU"/>
        </w:rPr>
      </w:pPr>
      <w:r w:rsidRPr="00CA4C14">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5000" w:type="pct"/>
        <w:jc w:val="center"/>
        <w:tblLook w:val="04A0" w:firstRow="1" w:lastRow="0" w:firstColumn="1" w:lastColumn="0" w:noHBand="0" w:noVBand="1"/>
      </w:tblPr>
      <w:tblGrid>
        <w:gridCol w:w="5215"/>
        <w:gridCol w:w="1928"/>
        <w:gridCol w:w="1928"/>
      </w:tblGrid>
      <w:tr w:rsidR="00EE4F94" w:rsidRPr="00CA4C14" w14:paraId="0C0C7F71" w14:textId="77777777" w:rsidTr="000C6E3F">
        <w:trPr>
          <w:jc w:val="center"/>
        </w:trPr>
        <w:tc>
          <w:tcPr>
            <w:tcW w:w="2874" w:type="pct"/>
            <w:tcBorders>
              <w:top w:val="nil"/>
              <w:left w:val="nil"/>
              <w:bottom w:val="nil"/>
              <w:right w:val="nil"/>
            </w:tcBorders>
            <w:shd w:val="clear" w:color="000000" w:fill="0070C0"/>
            <w:vAlign w:val="center"/>
            <w:hideMark/>
          </w:tcPr>
          <w:p w14:paraId="1AE8904F" w14:textId="77777777" w:rsidR="00EE4F94" w:rsidRPr="00CA4C14" w:rsidRDefault="00EE4F94" w:rsidP="00DF30B4">
            <w:pPr>
              <w:pStyle w:val="Tablehead"/>
              <w:rPr>
                <w:szCs w:val="18"/>
                <w:lang w:val="ru-RU" w:eastAsia="en-GB"/>
              </w:rPr>
            </w:pPr>
            <w:r w:rsidRPr="00CA4C14">
              <w:rPr>
                <w:szCs w:val="18"/>
                <w:lang w:val="ru-RU" w:eastAsia="en-GB"/>
              </w:rPr>
              <w:t>Описание (тыс. шв. фр.)</w:t>
            </w:r>
          </w:p>
        </w:tc>
        <w:tc>
          <w:tcPr>
            <w:tcW w:w="1063" w:type="pct"/>
            <w:tcBorders>
              <w:top w:val="nil"/>
              <w:left w:val="nil"/>
              <w:bottom w:val="nil"/>
              <w:right w:val="nil"/>
            </w:tcBorders>
            <w:shd w:val="clear" w:color="000000" w:fill="0070C0"/>
            <w:vAlign w:val="center"/>
            <w:hideMark/>
          </w:tcPr>
          <w:p w14:paraId="66F4D5E7" w14:textId="77777777" w:rsidR="00EE4F94" w:rsidRPr="00CA4C14" w:rsidRDefault="00EE4F94" w:rsidP="00DF30B4">
            <w:pPr>
              <w:pStyle w:val="Tablehead"/>
              <w:rPr>
                <w:szCs w:val="18"/>
                <w:lang w:val="ru-RU" w:eastAsia="en-GB"/>
              </w:rPr>
            </w:pPr>
            <w:r w:rsidRPr="00CA4C14">
              <w:rPr>
                <w:szCs w:val="18"/>
                <w:lang w:val="ru-RU" w:eastAsia="en-GB"/>
              </w:rPr>
              <w:t>31 декабря 2023 г.</w:t>
            </w:r>
          </w:p>
        </w:tc>
        <w:tc>
          <w:tcPr>
            <w:tcW w:w="1063" w:type="pct"/>
            <w:tcBorders>
              <w:top w:val="nil"/>
              <w:left w:val="nil"/>
              <w:bottom w:val="nil"/>
              <w:right w:val="nil"/>
            </w:tcBorders>
            <w:shd w:val="clear" w:color="000000" w:fill="0070C0"/>
            <w:vAlign w:val="center"/>
            <w:hideMark/>
          </w:tcPr>
          <w:p w14:paraId="59BEE964" w14:textId="77777777" w:rsidR="00EE4F94" w:rsidRPr="00CA4C14" w:rsidRDefault="00EE4F94" w:rsidP="00DF30B4">
            <w:pPr>
              <w:pStyle w:val="Tablehead"/>
              <w:rPr>
                <w:szCs w:val="18"/>
                <w:lang w:val="ru-RU" w:eastAsia="en-GB"/>
              </w:rPr>
            </w:pPr>
            <w:r w:rsidRPr="00CA4C14">
              <w:rPr>
                <w:szCs w:val="18"/>
                <w:lang w:val="ru-RU" w:eastAsia="en-GB"/>
              </w:rPr>
              <w:t>31 декабря 2022 г.</w:t>
            </w:r>
          </w:p>
        </w:tc>
      </w:tr>
      <w:tr w:rsidR="00EE4F94" w:rsidRPr="00CA4C14" w14:paraId="78C31DD5" w14:textId="77777777" w:rsidTr="000C6E3F">
        <w:trPr>
          <w:jc w:val="center"/>
        </w:trPr>
        <w:tc>
          <w:tcPr>
            <w:tcW w:w="2874" w:type="pct"/>
            <w:tcBorders>
              <w:top w:val="nil"/>
              <w:left w:val="nil"/>
              <w:bottom w:val="nil"/>
              <w:right w:val="nil"/>
            </w:tcBorders>
            <w:shd w:val="clear" w:color="auto" w:fill="auto"/>
            <w:noWrap/>
            <w:vAlign w:val="bottom"/>
            <w:hideMark/>
          </w:tcPr>
          <w:p w14:paraId="5681CAEC" w14:textId="77777777" w:rsidR="00EE4F94" w:rsidRPr="00CA4C14" w:rsidRDefault="00EE4F94" w:rsidP="00FD58CA">
            <w:pPr>
              <w:pStyle w:val="Tabletext"/>
              <w:keepNext/>
              <w:rPr>
                <w:b/>
                <w:bCs/>
                <w:szCs w:val="18"/>
                <w:lang w:val="ru-RU" w:eastAsia="en-GB"/>
              </w:rPr>
            </w:pPr>
            <w:r w:rsidRPr="00CA4C14">
              <w:rPr>
                <w:b/>
                <w:bCs/>
                <w:szCs w:val="18"/>
                <w:lang w:val="ru-RU" w:eastAsia="en-GB"/>
              </w:rPr>
              <w:t>Срок погашения</w:t>
            </w:r>
          </w:p>
        </w:tc>
        <w:tc>
          <w:tcPr>
            <w:tcW w:w="1063" w:type="pct"/>
            <w:tcBorders>
              <w:top w:val="nil"/>
              <w:left w:val="nil"/>
              <w:bottom w:val="nil"/>
              <w:right w:val="nil"/>
            </w:tcBorders>
            <w:shd w:val="clear" w:color="auto" w:fill="auto"/>
            <w:noWrap/>
            <w:vAlign w:val="center"/>
            <w:hideMark/>
          </w:tcPr>
          <w:p w14:paraId="4C529467" w14:textId="77777777" w:rsidR="00EE4F94" w:rsidRPr="00CA4C14" w:rsidRDefault="00EE4F94" w:rsidP="00FD58CA">
            <w:pPr>
              <w:pStyle w:val="Tabletext"/>
              <w:keepNext/>
              <w:jc w:val="right"/>
              <w:rPr>
                <w:b/>
                <w:bCs/>
                <w:szCs w:val="18"/>
                <w:lang w:val="ru-RU" w:eastAsia="en-GB"/>
              </w:rPr>
            </w:pPr>
          </w:p>
        </w:tc>
        <w:tc>
          <w:tcPr>
            <w:tcW w:w="1063" w:type="pct"/>
            <w:tcBorders>
              <w:top w:val="nil"/>
              <w:left w:val="nil"/>
              <w:bottom w:val="nil"/>
              <w:right w:val="nil"/>
            </w:tcBorders>
            <w:shd w:val="clear" w:color="auto" w:fill="auto"/>
            <w:noWrap/>
            <w:vAlign w:val="center"/>
            <w:hideMark/>
          </w:tcPr>
          <w:p w14:paraId="17141700" w14:textId="77777777" w:rsidR="00EE4F94" w:rsidRPr="00CA4C14" w:rsidRDefault="00EE4F94" w:rsidP="00FD58CA">
            <w:pPr>
              <w:pStyle w:val="Tabletext"/>
              <w:keepNext/>
              <w:jc w:val="right"/>
              <w:rPr>
                <w:b/>
                <w:bCs/>
                <w:szCs w:val="18"/>
                <w:lang w:val="ru-RU" w:eastAsia="en-GB"/>
              </w:rPr>
            </w:pPr>
          </w:p>
        </w:tc>
      </w:tr>
      <w:tr w:rsidR="00EE4F94" w:rsidRPr="00CA4C14" w14:paraId="6BBBF6B4" w14:textId="77777777" w:rsidTr="000C6E3F">
        <w:trPr>
          <w:jc w:val="center"/>
        </w:trPr>
        <w:tc>
          <w:tcPr>
            <w:tcW w:w="2874" w:type="pct"/>
            <w:tcBorders>
              <w:top w:val="nil"/>
              <w:left w:val="nil"/>
              <w:bottom w:val="nil"/>
              <w:right w:val="nil"/>
            </w:tcBorders>
            <w:shd w:val="clear" w:color="auto" w:fill="auto"/>
            <w:noWrap/>
            <w:vAlign w:val="bottom"/>
            <w:hideMark/>
          </w:tcPr>
          <w:p w14:paraId="705C757A" w14:textId="77777777" w:rsidR="00EE4F94" w:rsidRPr="00CA4C14" w:rsidRDefault="00EE4F94" w:rsidP="00FD58CA">
            <w:pPr>
              <w:pStyle w:val="Tabletext"/>
              <w:keepNext/>
              <w:rPr>
                <w:szCs w:val="18"/>
                <w:lang w:val="ru-RU" w:eastAsia="en-GB"/>
              </w:rPr>
            </w:pPr>
            <w:proofErr w:type="gramStart"/>
            <w:r w:rsidRPr="00CA4C14">
              <w:rPr>
                <w:szCs w:val="18"/>
                <w:lang w:val="ru-RU" w:eastAsia="en-GB"/>
              </w:rPr>
              <w:t>4−6</w:t>
            </w:r>
            <w:proofErr w:type="gramEnd"/>
            <w:r w:rsidRPr="00CA4C14">
              <w:rPr>
                <w:szCs w:val="18"/>
                <w:lang w:val="ru-RU" w:eastAsia="en-GB"/>
              </w:rPr>
              <w:t xml:space="preserve"> месяцев</w:t>
            </w:r>
          </w:p>
        </w:tc>
        <w:tc>
          <w:tcPr>
            <w:tcW w:w="1063" w:type="pct"/>
            <w:tcBorders>
              <w:top w:val="nil"/>
              <w:left w:val="nil"/>
              <w:bottom w:val="nil"/>
              <w:right w:val="nil"/>
            </w:tcBorders>
            <w:shd w:val="clear" w:color="auto" w:fill="auto"/>
            <w:noWrap/>
            <w:vAlign w:val="center"/>
            <w:hideMark/>
          </w:tcPr>
          <w:p w14:paraId="2613C853" w14:textId="77777777" w:rsidR="00EE4F94" w:rsidRPr="00CA4C14" w:rsidRDefault="00EE4F94" w:rsidP="00FD58CA">
            <w:pPr>
              <w:pStyle w:val="Tabletext"/>
              <w:keepNext/>
              <w:jc w:val="right"/>
              <w:rPr>
                <w:szCs w:val="18"/>
                <w:lang w:val="ru-RU" w:eastAsia="en-GB"/>
              </w:rPr>
            </w:pPr>
            <w:r w:rsidRPr="00CA4C14">
              <w:rPr>
                <w:szCs w:val="18"/>
                <w:lang w:val="ru-RU" w:eastAsia="en-GB"/>
              </w:rPr>
              <w:t>25 070</w:t>
            </w:r>
          </w:p>
        </w:tc>
        <w:tc>
          <w:tcPr>
            <w:tcW w:w="1063" w:type="pct"/>
            <w:tcBorders>
              <w:top w:val="nil"/>
              <w:left w:val="nil"/>
              <w:bottom w:val="nil"/>
              <w:right w:val="nil"/>
            </w:tcBorders>
            <w:shd w:val="clear" w:color="auto" w:fill="auto"/>
            <w:noWrap/>
            <w:vAlign w:val="center"/>
            <w:hideMark/>
          </w:tcPr>
          <w:p w14:paraId="5FF8ED7E" w14:textId="77777777" w:rsidR="00EE4F94" w:rsidRPr="00CA4C14" w:rsidRDefault="00EE4F94" w:rsidP="00FD58CA">
            <w:pPr>
              <w:pStyle w:val="Tabletext"/>
              <w:keepNext/>
              <w:jc w:val="right"/>
              <w:rPr>
                <w:szCs w:val="18"/>
                <w:lang w:val="ru-RU" w:eastAsia="en-GB"/>
              </w:rPr>
            </w:pPr>
            <w:r w:rsidRPr="00CA4C14">
              <w:rPr>
                <w:szCs w:val="18"/>
                <w:lang w:val="ru-RU" w:eastAsia="en-GB"/>
              </w:rPr>
              <w:t>13 860</w:t>
            </w:r>
          </w:p>
        </w:tc>
      </w:tr>
      <w:tr w:rsidR="00EE4F94" w:rsidRPr="00CA4C14" w14:paraId="777D40A7" w14:textId="77777777" w:rsidTr="000C6E3F">
        <w:trPr>
          <w:jc w:val="center"/>
        </w:trPr>
        <w:tc>
          <w:tcPr>
            <w:tcW w:w="2874" w:type="pct"/>
            <w:tcBorders>
              <w:top w:val="nil"/>
              <w:left w:val="nil"/>
              <w:bottom w:val="nil"/>
              <w:right w:val="nil"/>
            </w:tcBorders>
            <w:shd w:val="clear" w:color="auto" w:fill="auto"/>
            <w:noWrap/>
            <w:vAlign w:val="bottom"/>
            <w:hideMark/>
          </w:tcPr>
          <w:p w14:paraId="24F441DE" w14:textId="77777777" w:rsidR="00EE4F94" w:rsidRPr="00CA4C14" w:rsidRDefault="00EE4F94" w:rsidP="00FD58CA">
            <w:pPr>
              <w:pStyle w:val="Tabletext"/>
              <w:keepNext/>
              <w:rPr>
                <w:szCs w:val="18"/>
                <w:lang w:val="ru-RU" w:eastAsia="en-GB"/>
              </w:rPr>
            </w:pPr>
            <w:proofErr w:type="gramStart"/>
            <w:r w:rsidRPr="00CA4C14">
              <w:rPr>
                <w:szCs w:val="18"/>
                <w:lang w:val="ru-RU" w:eastAsia="en-GB"/>
              </w:rPr>
              <w:t>7−9</w:t>
            </w:r>
            <w:proofErr w:type="gramEnd"/>
            <w:r w:rsidRPr="00CA4C14">
              <w:rPr>
                <w:szCs w:val="18"/>
                <w:lang w:val="ru-RU" w:eastAsia="en-GB"/>
              </w:rPr>
              <w:t xml:space="preserve"> месяцев</w:t>
            </w:r>
          </w:p>
        </w:tc>
        <w:tc>
          <w:tcPr>
            <w:tcW w:w="1063" w:type="pct"/>
            <w:tcBorders>
              <w:top w:val="nil"/>
              <w:left w:val="nil"/>
              <w:bottom w:val="nil"/>
              <w:right w:val="nil"/>
            </w:tcBorders>
            <w:shd w:val="clear" w:color="auto" w:fill="auto"/>
            <w:noWrap/>
            <w:vAlign w:val="center"/>
            <w:hideMark/>
          </w:tcPr>
          <w:p w14:paraId="498F9978" w14:textId="77777777" w:rsidR="00EE4F94" w:rsidRPr="00CA4C14" w:rsidRDefault="00EE4F94" w:rsidP="00FD58CA">
            <w:pPr>
              <w:pStyle w:val="Tabletext"/>
              <w:keepNext/>
              <w:jc w:val="right"/>
              <w:rPr>
                <w:szCs w:val="18"/>
                <w:lang w:val="ru-RU" w:eastAsia="en-GB"/>
              </w:rPr>
            </w:pPr>
            <w:r w:rsidRPr="00CA4C14">
              <w:rPr>
                <w:szCs w:val="18"/>
                <w:lang w:val="ru-RU" w:eastAsia="en-GB"/>
              </w:rPr>
              <w:t>10 000</w:t>
            </w:r>
          </w:p>
        </w:tc>
        <w:tc>
          <w:tcPr>
            <w:tcW w:w="1063" w:type="pct"/>
            <w:tcBorders>
              <w:top w:val="nil"/>
              <w:left w:val="nil"/>
              <w:bottom w:val="nil"/>
              <w:right w:val="nil"/>
            </w:tcBorders>
            <w:shd w:val="clear" w:color="auto" w:fill="auto"/>
            <w:noWrap/>
            <w:vAlign w:val="center"/>
            <w:hideMark/>
          </w:tcPr>
          <w:p w14:paraId="24FF76CC" w14:textId="77777777" w:rsidR="00EE4F94" w:rsidRPr="00CA4C14" w:rsidRDefault="00EE4F94" w:rsidP="00FD58CA">
            <w:pPr>
              <w:pStyle w:val="Tabletext"/>
              <w:keepNext/>
              <w:jc w:val="right"/>
              <w:rPr>
                <w:szCs w:val="18"/>
                <w:lang w:val="ru-RU" w:eastAsia="en-GB"/>
              </w:rPr>
            </w:pPr>
          </w:p>
        </w:tc>
      </w:tr>
      <w:tr w:rsidR="00EE4F94" w:rsidRPr="00CA4C14" w14:paraId="3CE2F51C" w14:textId="77777777" w:rsidTr="000C6E3F">
        <w:trPr>
          <w:jc w:val="center"/>
        </w:trPr>
        <w:tc>
          <w:tcPr>
            <w:tcW w:w="2874" w:type="pct"/>
            <w:tcBorders>
              <w:top w:val="nil"/>
              <w:left w:val="nil"/>
              <w:bottom w:val="nil"/>
              <w:right w:val="nil"/>
            </w:tcBorders>
            <w:shd w:val="clear" w:color="000000" w:fill="0070C0"/>
            <w:vAlign w:val="center"/>
            <w:hideMark/>
          </w:tcPr>
          <w:p w14:paraId="1B2650FD" w14:textId="77777777" w:rsidR="00EE4F94" w:rsidRPr="00CA4C14" w:rsidRDefault="00EE4F94" w:rsidP="00DF30B4">
            <w:pPr>
              <w:pStyle w:val="Tabletext"/>
              <w:rPr>
                <w:b/>
                <w:bCs/>
                <w:szCs w:val="18"/>
                <w:lang w:val="ru-RU" w:eastAsia="en-GB"/>
              </w:rPr>
            </w:pPr>
            <w:r w:rsidRPr="00CA4C14">
              <w:rPr>
                <w:b/>
                <w:bCs/>
                <w:szCs w:val="18"/>
                <w:lang w:val="ru-RU"/>
              </w:rPr>
              <w:t>Всего: инвестиции</w:t>
            </w:r>
          </w:p>
        </w:tc>
        <w:tc>
          <w:tcPr>
            <w:tcW w:w="1063" w:type="pct"/>
            <w:tcBorders>
              <w:top w:val="nil"/>
              <w:left w:val="nil"/>
              <w:bottom w:val="nil"/>
              <w:right w:val="nil"/>
            </w:tcBorders>
            <w:shd w:val="clear" w:color="000000" w:fill="0070C0"/>
            <w:vAlign w:val="center"/>
            <w:hideMark/>
          </w:tcPr>
          <w:p w14:paraId="27FDB960" w14:textId="18BB0B59" w:rsidR="00EE4F94" w:rsidRPr="00CA4C14" w:rsidRDefault="00EE4F94" w:rsidP="008F354D">
            <w:pPr>
              <w:pStyle w:val="Tabletext"/>
              <w:jc w:val="right"/>
              <w:rPr>
                <w:b/>
                <w:bCs/>
                <w:szCs w:val="18"/>
                <w:lang w:val="ru-RU" w:eastAsia="en-GB"/>
              </w:rPr>
            </w:pPr>
            <w:r w:rsidRPr="00CA4C14">
              <w:rPr>
                <w:b/>
                <w:bCs/>
                <w:szCs w:val="18"/>
                <w:lang w:val="ru-RU" w:eastAsia="en-GB"/>
              </w:rPr>
              <w:t>35 070</w:t>
            </w:r>
          </w:p>
        </w:tc>
        <w:tc>
          <w:tcPr>
            <w:tcW w:w="1063" w:type="pct"/>
            <w:tcBorders>
              <w:top w:val="nil"/>
              <w:left w:val="nil"/>
              <w:bottom w:val="nil"/>
              <w:right w:val="nil"/>
            </w:tcBorders>
            <w:shd w:val="clear" w:color="000000" w:fill="0070C0"/>
            <w:vAlign w:val="center"/>
            <w:hideMark/>
          </w:tcPr>
          <w:p w14:paraId="4BBD6BF2" w14:textId="5AAF1A91" w:rsidR="00EE4F94" w:rsidRPr="00CA4C14" w:rsidRDefault="00EE4F94" w:rsidP="008F354D">
            <w:pPr>
              <w:pStyle w:val="Tabletext"/>
              <w:jc w:val="right"/>
              <w:rPr>
                <w:b/>
                <w:bCs/>
                <w:szCs w:val="18"/>
                <w:lang w:val="ru-RU" w:eastAsia="en-GB"/>
              </w:rPr>
            </w:pPr>
            <w:r w:rsidRPr="00CA4C14">
              <w:rPr>
                <w:b/>
                <w:bCs/>
                <w:szCs w:val="18"/>
                <w:lang w:val="ru-RU" w:eastAsia="en-GB"/>
              </w:rPr>
              <w:t>13 860</w:t>
            </w:r>
          </w:p>
        </w:tc>
      </w:tr>
    </w:tbl>
    <w:p w14:paraId="69E216F9" w14:textId="77777777" w:rsidR="00EE4F94" w:rsidRPr="00CA4C14" w:rsidRDefault="00EE4F94" w:rsidP="0060113A">
      <w:pPr>
        <w:pStyle w:val="Heading5"/>
        <w:rPr>
          <w:lang w:val="ru-RU"/>
        </w:rPr>
      </w:pPr>
      <w:bookmarkStart w:id="369" w:name="_Toc305764083"/>
      <w:bookmarkStart w:id="370" w:name="_Toc1900259113"/>
      <w:bookmarkStart w:id="371" w:name="_Toc164845555"/>
      <w:bookmarkStart w:id="372" w:name="_Toc168578469"/>
      <w:r w:rsidRPr="00CA4C14">
        <w:rPr>
          <w:lang w:val="ru-RU"/>
        </w:rPr>
        <w:t>Примечание 9</w:t>
      </w:r>
      <w:r w:rsidRPr="00CA4C14">
        <w:rPr>
          <w:lang w:val="ru-RU"/>
        </w:rPr>
        <w:tab/>
      </w:r>
      <w:bookmarkEnd w:id="369"/>
      <w:bookmarkEnd w:id="370"/>
      <w:bookmarkEnd w:id="371"/>
      <w:r w:rsidRPr="00CA4C14">
        <w:rPr>
          <w:lang w:val="ru-RU"/>
        </w:rPr>
        <w:t>Долговые обязательства</w:t>
      </w:r>
      <w:bookmarkEnd w:id="372"/>
    </w:p>
    <w:p w14:paraId="21984C90" w14:textId="77777777" w:rsidR="00EE4F94" w:rsidRPr="00CA4C14" w:rsidRDefault="00EE4F94" w:rsidP="00E3285A">
      <w:pPr>
        <w:rPr>
          <w:lang w:val="ru-RU"/>
        </w:rPr>
      </w:pPr>
      <w:proofErr w:type="spellStart"/>
      <w:r w:rsidRPr="00CA4C14">
        <w:rPr>
          <w:lang w:val="ru-RU"/>
        </w:rPr>
        <w:t>Нетекущие</w:t>
      </w:r>
      <w:proofErr w:type="spellEnd"/>
      <w:r w:rsidRPr="00CA4C14">
        <w:rPr>
          <w:lang w:val="ru-RU"/>
        </w:rPr>
        <w:t xml:space="preserve"> долговые обязательства по </w:t>
      </w:r>
      <w:hyperlink r:id="rId24" w:history="1">
        <w:r w:rsidRPr="00CA4C14">
          <w:rPr>
            <w:lang w:val="ru-RU"/>
          </w:rPr>
          <w:t>необменным операциям</w:t>
        </w:r>
      </w:hyperlink>
      <w:r w:rsidRPr="00CA4C14">
        <w:rPr>
          <w:lang w:val="ru-RU"/>
        </w:rPr>
        <w:t xml:space="preserve"> </w:t>
      </w:r>
      <w:r w:rsidRPr="00CA4C14">
        <w:rPr>
          <w:rFonts w:cs="Calibri"/>
          <w:lang w:val="ru-RU"/>
        </w:rPr>
        <w:t>–</w:t>
      </w:r>
      <w:r w:rsidRPr="00CA4C14">
        <w:rPr>
          <w:lang w:val="ru-RU"/>
        </w:rPr>
        <w:t xml:space="preserve"> это долговые обязательства членов, обязавшихся погасить свою задолженность в соответствии с соглашением о погашении задолженности в течение нескольких финансовых периодов.</w:t>
      </w:r>
    </w:p>
    <w:p w14:paraId="6ABDFEAF" w14:textId="77777777" w:rsidR="00EE4F94" w:rsidRPr="00CA4C14" w:rsidRDefault="00EE4F94" w:rsidP="00E3285A">
      <w:pPr>
        <w:rPr>
          <w:highlight w:val="lightGray"/>
          <w:lang w:val="ru-RU"/>
        </w:rPr>
      </w:pPr>
      <w:r w:rsidRPr="00CA4C14">
        <w:rPr>
          <w:lang w:val="ru-RU"/>
        </w:rPr>
        <w:t>Долговые обязательства представляют собой неполученный доход от начисленных и добровольных взносов, публикаций и заявок на регистрацию спутниковых сетей.</w:t>
      </w:r>
    </w:p>
    <w:p w14:paraId="15E07FA1" w14:textId="77777777" w:rsidR="00EE4F94" w:rsidRPr="00CA4C14" w:rsidRDefault="00EE4F94" w:rsidP="00E3285A">
      <w:pPr>
        <w:rPr>
          <w:lang w:val="ru-RU"/>
        </w:rPr>
      </w:pPr>
      <w:r w:rsidRPr="00CA4C14">
        <w:rPr>
          <w:lang w:val="ru-RU"/>
        </w:rPr>
        <w:t xml:space="preserve">В 2023 году сумма текущих долговых обязательств остается стабильной, а сумма уплаченных </w:t>
      </w:r>
      <w:proofErr w:type="spellStart"/>
      <w:r w:rsidRPr="00CA4C14">
        <w:rPr>
          <w:lang w:val="ru-RU"/>
        </w:rPr>
        <w:t>нетекущих</w:t>
      </w:r>
      <w:proofErr w:type="spellEnd"/>
      <w:r w:rsidRPr="00CA4C14">
        <w:rPr>
          <w:lang w:val="ru-RU"/>
        </w:rPr>
        <w:t xml:space="preserve"> долговых обязательств снизилась на 8,4 </w:t>
      </w:r>
      <w:proofErr w:type="gramStart"/>
      <w:r w:rsidRPr="00CA4C14">
        <w:rPr>
          <w:lang w:val="ru-RU"/>
        </w:rPr>
        <w:t>млн.</w:t>
      </w:r>
      <w:proofErr w:type="gramEnd"/>
      <w:r w:rsidRPr="00CA4C14">
        <w:rPr>
          <w:lang w:val="ru-RU"/>
        </w:rPr>
        <w:t xml:space="preserve"> швейцарских франков. Эта положительная тенденция обусловлена главным образом улучшением собираемости взносов после успешного внедрения Резолюции 152 (Пересм. Пусан, 2014 г.).</w:t>
      </w:r>
    </w:p>
    <w:p w14:paraId="608D0739" w14:textId="102C158D" w:rsidR="00EE4F94" w:rsidRPr="00CA4C14" w:rsidRDefault="00EE4F94" w:rsidP="000C6E3F">
      <w:pPr>
        <w:spacing w:after="120"/>
        <w:rPr>
          <w:highlight w:val="lightGray"/>
          <w:lang w:val="ru-RU"/>
        </w:rPr>
      </w:pPr>
      <w:r w:rsidRPr="00CA4C14">
        <w:rPr>
          <w:lang w:val="ru-RU"/>
        </w:rPr>
        <w:t xml:space="preserve">Ситуация с задолженностью по регулярному бюджету Союза по состоянию на 31 декабря 2023 года отражена в Документе Совета </w:t>
      </w:r>
      <w:hyperlink r:id="rId25" w:history="1">
        <w:r w:rsidRPr="00CA4C14">
          <w:rPr>
            <w:rStyle w:val="Hyperlink"/>
            <w:lang w:val="ru-RU"/>
          </w:rPr>
          <w:t>C24/INF/4</w:t>
        </w:r>
      </w:hyperlink>
      <w:r w:rsidRPr="00CA4C14">
        <w:rPr>
          <w:lang w:val="ru-RU"/>
        </w:rPr>
        <w:t>.</w:t>
      </w:r>
    </w:p>
    <w:tbl>
      <w:tblPr>
        <w:tblW w:w="5000" w:type="pct"/>
        <w:jc w:val="center"/>
        <w:tblLook w:val="04A0" w:firstRow="1" w:lastRow="0" w:firstColumn="1" w:lastColumn="0" w:noHBand="0" w:noVBand="1"/>
      </w:tblPr>
      <w:tblGrid>
        <w:gridCol w:w="5163"/>
        <w:gridCol w:w="1954"/>
        <w:gridCol w:w="1954"/>
      </w:tblGrid>
      <w:tr w:rsidR="00EE4F94" w:rsidRPr="00CA4C14" w14:paraId="36CAB25F" w14:textId="77777777" w:rsidTr="005A0B25">
        <w:trPr>
          <w:trHeight w:val="395"/>
          <w:jc w:val="center"/>
        </w:trPr>
        <w:tc>
          <w:tcPr>
            <w:tcW w:w="2846" w:type="pct"/>
            <w:tcBorders>
              <w:top w:val="nil"/>
              <w:left w:val="nil"/>
              <w:bottom w:val="nil"/>
              <w:right w:val="nil"/>
            </w:tcBorders>
            <w:shd w:val="clear" w:color="000000" w:fill="0070C0"/>
            <w:noWrap/>
            <w:vAlign w:val="center"/>
            <w:hideMark/>
          </w:tcPr>
          <w:p w14:paraId="45CF9215" w14:textId="77777777" w:rsidR="00EE4F94" w:rsidRPr="00CA4C14" w:rsidRDefault="00EE4F94" w:rsidP="009E486A">
            <w:pPr>
              <w:pStyle w:val="Tablehead"/>
              <w:rPr>
                <w:szCs w:val="18"/>
                <w:lang w:val="ru-RU" w:eastAsia="en-GB"/>
              </w:rPr>
            </w:pPr>
            <w:bookmarkStart w:id="373" w:name="_Toc305764085"/>
            <w:bookmarkStart w:id="374" w:name="_Toc2085533693"/>
            <w:bookmarkStart w:id="375" w:name="_Toc164845556"/>
            <w:r w:rsidRPr="00CA4C14">
              <w:rPr>
                <w:szCs w:val="18"/>
                <w:lang w:val="ru-RU" w:eastAsia="en-GB"/>
              </w:rPr>
              <w:lastRenderedPageBreak/>
              <w:t>Описание (тыс. шв. фр.)</w:t>
            </w:r>
          </w:p>
        </w:tc>
        <w:tc>
          <w:tcPr>
            <w:tcW w:w="1077" w:type="pct"/>
            <w:tcBorders>
              <w:top w:val="nil"/>
              <w:left w:val="nil"/>
              <w:bottom w:val="nil"/>
              <w:right w:val="nil"/>
            </w:tcBorders>
            <w:shd w:val="clear" w:color="000000" w:fill="0070C0"/>
            <w:noWrap/>
            <w:vAlign w:val="center"/>
            <w:hideMark/>
          </w:tcPr>
          <w:p w14:paraId="4724026D" w14:textId="77777777" w:rsidR="00EE4F94" w:rsidRPr="00CA4C14" w:rsidRDefault="00EE4F94" w:rsidP="009E486A">
            <w:pPr>
              <w:pStyle w:val="Tablehead"/>
              <w:rPr>
                <w:szCs w:val="18"/>
                <w:lang w:val="ru-RU" w:eastAsia="en-GB"/>
              </w:rPr>
            </w:pPr>
            <w:r w:rsidRPr="00CA4C14">
              <w:rPr>
                <w:szCs w:val="18"/>
                <w:lang w:val="ru-RU" w:eastAsia="en-GB"/>
              </w:rPr>
              <w:t>31 декабря 2023 г.</w:t>
            </w:r>
          </w:p>
        </w:tc>
        <w:tc>
          <w:tcPr>
            <w:tcW w:w="1077" w:type="pct"/>
            <w:tcBorders>
              <w:top w:val="nil"/>
              <w:left w:val="nil"/>
              <w:bottom w:val="nil"/>
              <w:right w:val="nil"/>
            </w:tcBorders>
            <w:shd w:val="clear" w:color="000000" w:fill="0070C0"/>
            <w:noWrap/>
            <w:vAlign w:val="center"/>
            <w:hideMark/>
          </w:tcPr>
          <w:p w14:paraId="4B7DDE6C" w14:textId="77777777" w:rsidR="00EE4F94" w:rsidRPr="00CA4C14" w:rsidRDefault="00EE4F94" w:rsidP="009E486A">
            <w:pPr>
              <w:pStyle w:val="Tablehead"/>
              <w:rPr>
                <w:szCs w:val="18"/>
                <w:lang w:val="ru-RU" w:eastAsia="en-GB"/>
              </w:rPr>
            </w:pPr>
            <w:r w:rsidRPr="00CA4C14">
              <w:rPr>
                <w:szCs w:val="18"/>
                <w:lang w:val="ru-RU" w:eastAsia="en-GB"/>
              </w:rPr>
              <w:t>31 декабря 2022 г.</w:t>
            </w:r>
          </w:p>
        </w:tc>
      </w:tr>
      <w:tr w:rsidR="00EE4F94" w:rsidRPr="00CA4C14" w14:paraId="3FC2E672" w14:textId="77777777" w:rsidTr="00921035">
        <w:trPr>
          <w:trHeight w:val="300"/>
          <w:jc w:val="center"/>
        </w:trPr>
        <w:tc>
          <w:tcPr>
            <w:tcW w:w="2846" w:type="pct"/>
            <w:tcBorders>
              <w:top w:val="nil"/>
              <w:left w:val="nil"/>
              <w:bottom w:val="nil"/>
              <w:right w:val="nil"/>
            </w:tcBorders>
            <w:shd w:val="clear" w:color="auto" w:fill="auto"/>
            <w:vAlign w:val="bottom"/>
            <w:hideMark/>
          </w:tcPr>
          <w:p w14:paraId="1929B7E3" w14:textId="77777777" w:rsidR="00EE4F94" w:rsidRPr="00CA4C14" w:rsidRDefault="00EE4F94" w:rsidP="00FD58CA">
            <w:pPr>
              <w:pStyle w:val="Tabletext"/>
              <w:keepNext/>
              <w:rPr>
                <w:szCs w:val="18"/>
                <w:lang w:val="ru-RU" w:eastAsia="en-GB"/>
              </w:rPr>
            </w:pPr>
            <w:r w:rsidRPr="00CA4C14">
              <w:rPr>
                <w:szCs w:val="18"/>
                <w:lang w:val="ru-RU"/>
              </w:rPr>
              <w:t>Текущие долговые обязательства – обменные операции</w:t>
            </w:r>
          </w:p>
        </w:tc>
        <w:tc>
          <w:tcPr>
            <w:tcW w:w="1077" w:type="pct"/>
            <w:tcBorders>
              <w:top w:val="nil"/>
              <w:left w:val="nil"/>
              <w:bottom w:val="nil"/>
              <w:right w:val="nil"/>
            </w:tcBorders>
            <w:shd w:val="clear" w:color="auto" w:fill="auto"/>
            <w:noWrap/>
            <w:vAlign w:val="bottom"/>
            <w:hideMark/>
          </w:tcPr>
          <w:p w14:paraId="70803CFA" w14:textId="77777777" w:rsidR="00EE4F94" w:rsidRPr="00CA4C14" w:rsidRDefault="00EE4F94" w:rsidP="00FD58CA">
            <w:pPr>
              <w:pStyle w:val="Tabletext"/>
              <w:keepNext/>
              <w:jc w:val="right"/>
              <w:rPr>
                <w:szCs w:val="18"/>
                <w:lang w:val="ru-RU" w:eastAsia="en-GB"/>
              </w:rPr>
            </w:pPr>
            <w:r w:rsidRPr="00CA4C14">
              <w:rPr>
                <w:szCs w:val="18"/>
                <w:lang w:val="ru-RU" w:eastAsia="en-GB"/>
              </w:rPr>
              <w:t>7 687</w:t>
            </w:r>
          </w:p>
        </w:tc>
        <w:tc>
          <w:tcPr>
            <w:tcW w:w="1077" w:type="pct"/>
            <w:tcBorders>
              <w:top w:val="nil"/>
              <w:left w:val="nil"/>
              <w:bottom w:val="nil"/>
              <w:right w:val="nil"/>
            </w:tcBorders>
            <w:shd w:val="clear" w:color="auto" w:fill="auto"/>
            <w:noWrap/>
            <w:vAlign w:val="bottom"/>
            <w:hideMark/>
          </w:tcPr>
          <w:p w14:paraId="02B047E6" w14:textId="77777777" w:rsidR="00EE4F94" w:rsidRPr="00CA4C14" w:rsidRDefault="00EE4F94" w:rsidP="00FD58CA">
            <w:pPr>
              <w:pStyle w:val="Tabletext"/>
              <w:keepNext/>
              <w:jc w:val="right"/>
              <w:rPr>
                <w:szCs w:val="18"/>
                <w:lang w:val="ru-RU" w:eastAsia="en-GB"/>
              </w:rPr>
            </w:pPr>
            <w:r w:rsidRPr="00CA4C14">
              <w:rPr>
                <w:szCs w:val="18"/>
                <w:lang w:val="ru-RU" w:eastAsia="en-GB"/>
              </w:rPr>
              <w:t>6 437</w:t>
            </w:r>
          </w:p>
        </w:tc>
      </w:tr>
      <w:tr w:rsidR="00EE4F94" w:rsidRPr="00CA4C14" w14:paraId="003E62FE" w14:textId="77777777" w:rsidTr="00921035">
        <w:trPr>
          <w:trHeight w:val="300"/>
          <w:jc w:val="center"/>
        </w:trPr>
        <w:tc>
          <w:tcPr>
            <w:tcW w:w="2846" w:type="pct"/>
            <w:tcBorders>
              <w:top w:val="nil"/>
              <w:left w:val="nil"/>
              <w:bottom w:val="nil"/>
              <w:right w:val="nil"/>
            </w:tcBorders>
            <w:shd w:val="clear" w:color="auto" w:fill="auto"/>
            <w:vAlign w:val="bottom"/>
            <w:hideMark/>
          </w:tcPr>
          <w:p w14:paraId="330F7D7B" w14:textId="77777777" w:rsidR="00EE4F94" w:rsidRPr="00CA4C14" w:rsidRDefault="00EE4F94" w:rsidP="00FD58CA">
            <w:pPr>
              <w:pStyle w:val="Tabletext"/>
              <w:keepNext/>
              <w:rPr>
                <w:szCs w:val="18"/>
                <w:lang w:val="ru-RU" w:eastAsia="en-GB"/>
              </w:rPr>
            </w:pPr>
            <w:r w:rsidRPr="00CA4C14">
              <w:rPr>
                <w:szCs w:val="18"/>
                <w:lang w:val="ru-RU"/>
              </w:rPr>
              <w:t>Резервный фонд под убытки по текущим долговым обязательствам – обменные операции</w:t>
            </w:r>
          </w:p>
        </w:tc>
        <w:tc>
          <w:tcPr>
            <w:tcW w:w="1077" w:type="pct"/>
            <w:tcBorders>
              <w:top w:val="nil"/>
              <w:left w:val="nil"/>
              <w:bottom w:val="nil"/>
              <w:right w:val="nil"/>
            </w:tcBorders>
            <w:shd w:val="clear" w:color="auto" w:fill="auto"/>
            <w:noWrap/>
            <w:vAlign w:val="bottom"/>
            <w:hideMark/>
          </w:tcPr>
          <w:p w14:paraId="744DAEE6" w14:textId="77777777" w:rsidR="00EE4F94" w:rsidRPr="00CA4C14" w:rsidRDefault="00EE4F94" w:rsidP="00FD58CA">
            <w:pPr>
              <w:pStyle w:val="Tabletext"/>
              <w:keepNext/>
              <w:jc w:val="right"/>
              <w:rPr>
                <w:szCs w:val="18"/>
                <w:lang w:val="ru-RU" w:eastAsia="en-GB"/>
              </w:rPr>
            </w:pPr>
            <w:r w:rsidRPr="00CA4C14">
              <w:rPr>
                <w:szCs w:val="18"/>
                <w:lang w:val="ru-RU" w:eastAsia="en-GB"/>
              </w:rPr>
              <w:t>(1 241)</w:t>
            </w:r>
          </w:p>
        </w:tc>
        <w:tc>
          <w:tcPr>
            <w:tcW w:w="1077" w:type="pct"/>
            <w:tcBorders>
              <w:top w:val="nil"/>
              <w:left w:val="nil"/>
              <w:bottom w:val="nil"/>
              <w:right w:val="nil"/>
            </w:tcBorders>
            <w:shd w:val="clear" w:color="auto" w:fill="auto"/>
            <w:noWrap/>
            <w:vAlign w:val="bottom"/>
            <w:hideMark/>
          </w:tcPr>
          <w:p w14:paraId="633B97E0" w14:textId="77777777" w:rsidR="00EE4F94" w:rsidRPr="00CA4C14" w:rsidRDefault="00EE4F94" w:rsidP="00FD58CA">
            <w:pPr>
              <w:pStyle w:val="Tabletext"/>
              <w:keepNext/>
              <w:jc w:val="right"/>
              <w:rPr>
                <w:szCs w:val="18"/>
                <w:lang w:val="ru-RU" w:eastAsia="en-GB"/>
              </w:rPr>
            </w:pPr>
            <w:r w:rsidRPr="00CA4C14">
              <w:rPr>
                <w:szCs w:val="18"/>
                <w:lang w:val="ru-RU" w:eastAsia="en-GB"/>
              </w:rPr>
              <w:t>(1 104)</w:t>
            </w:r>
          </w:p>
        </w:tc>
      </w:tr>
      <w:tr w:rsidR="00EE4F94" w:rsidRPr="00CA4C14" w14:paraId="5F399755" w14:textId="77777777" w:rsidTr="00921035">
        <w:trPr>
          <w:trHeight w:val="300"/>
          <w:jc w:val="center"/>
        </w:trPr>
        <w:tc>
          <w:tcPr>
            <w:tcW w:w="2846" w:type="pct"/>
            <w:tcBorders>
              <w:top w:val="nil"/>
              <w:left w:val="nil"/>
              <w:bottom w:val="nil"/>
              <w:right w:val="nil"/>
            </w:tcBorders>
            <w:shd w:val="clear" w:color="auto" w:fill="auto"/>
            <w:vAlign w:val="center"/>
            <w:hideMark/>
          </w:tcPr>
          <w:p w14:paraId="74684BFD" w14:textId="77777777" w:rsidR="00EE4F94" w:rsidRPr="00CA4C14" w:rsidRDefault="00EE4F94" w:rsidP="00FD58CA">
            <w:pPr>
              <w:pStyle w:val="Tabletext"/>
              <w:keepNext/>
              <w:rPr>
                <w:b/>
                <w:bCs/>
                <w:szCs w:val="18"/>
                <w:lang w:val="ru-RU" w:eastAsia="en-GB"/>
              </w:rPr>
            </w:pPr>
            <w:r w:rsidRPr="00CA4C14">
              <w:rPr>
                <w:b/>
                <w:bCs/>
                <w:szCs w:val="18"/>
                <w:lang w:val="ru-RU"/>
              </w:rPr>
              <w:t>Текущие долговые обязательства – обменные операции: чистая стоимость</w:t>
            </w:r>
          </w:p>
        </w:tc>
        <w:tc>
          <w:tcPr>
            <w:tcW w:w="1077" w:type="pct"/>
            <w:tcBorders>
              <w:top w:val="nil"/>
              <w:left w:val="nil"/>
              <w:bottom w:val="nil"/>
              <w:right w:val="nil"/>
            </w:tcBorders>
            <w:shd w:val="clear" w:color="auto" w:fill="auto"/>
            <w:noWrap/>
            <w:vAlign w:val="bottom"/>
            <w:hideMark/>
          </w:tcPr>
          <w:p w14:paraId="60381F12"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6 446</w:t>
            </w:r>
          </w:p>
        </w:tc>
        <w:tc>
          <w:tcPr>
            <w:tcW w:w="1077" w:type="pct"/>
            <w:tcBorders>
              <w:top w:val="nil"/>
              <w:left w:val="nil"/>
              <w:bottom w:val="nil"/>
              <w:right w:val="nil"/>
            </w:tcBorders>
            <w:shd w:val="clear" w:color="auto" w:fill="auto"/>
            <w:noWrap/>
            <w:vAlign w:val="bottom"/>
            <w:hideMark/>
          </w:tcPr>
          <w:p w14:paraId="640CEEFF"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5 333</w:t>
            </w:r>
          </w:p>
        </w:tc>
      </w:tr>
      <w:tr w:rsidR="00EE4F94" w:rsidRPr="00CA4C14" w14:paraId="53037853" w14:textId="77777777" w:rsidTr="00921035">
        <w:trPr>
          <w:trHeight w:val="150"/>
          <w:jc w:val="center"/>
        </w:trPr>
        <w:tc>
          <w:tcPr>
            <w:tcW w:w="2846" w:type="pct"/>
            <w:tcBorders>
              <w:top w:val="nil"/>
              <w:left w:val="nil"/>
              <w:bottom w:val="nil"/>
              <w:right w:val="nil"/>
            </w:tcBorders>
            <w:shd w:val="clear" w:color="auto" w:fill="auto"/>
            <w:vAlign w:val="bottom"/>
            <w:hideMark/>
          </w:tcPr>
          <w:p w14:paraId="3F6F8AE5" w14:textId="77777777" w:rsidR="00EE4F94" w:rsidRPr="00CA4C14" w:rsidRDefault="00EE4F94" w:rsidP="0060113A">
            <w:pPr>
              <w:pStyle w:val="Tabletext"/>
              <w:keepNext/>
              <w:spacing w:before="0" w:after="0"/>
              <w:rPr>
                <w:szCs w:val="18"/>
                <w:lang w:val="ru-RU" w:eastAsia="en-GB"/>
              </w:rPr>
            </w:pPr>
          </w:p>
        </w:tc>
        <w:tc>
          <w:tcPr>
            <w:tcW w:w="1077" w:type="pct"/>
            <w:tcBorders>
              <w:top w:val="nil"/>
              <w:left w:val="nil"/>
              <w:bottom w:val="nil"/>
              <w:right w:val="nil"/>
            </w:tcBorders>
            <w:shd w:val="clear" w:color="auto" w:fill="auto"/>
            <w:noWrap/>
            <w:vAlign w:val="bottom"/>
            <w:hideMark/>
          </w:tcPr>
          <w:p w14:paraId="35304610" w14:textId="77777777" w:rsidR="00EE4F94" w:rsidRPr="00CA4C14" w:rsidRDefault="00EE4F94" w:rsidP="0060113A">
            <w:pPr>
              <w:pStyle w:val="Tabletext"/>
              <w:keepNext/>
              <w:spacing w:before="0" w:after="0"/>
              <w:jc w:val="right"/>
              <w:rPr>
                <w:rFonts w:ascii="Times New Roman" w:hAnsi="Times New Roman"/>
                <w:szCs w:val="18"/>
                <w:lang w:val="ru-RU" w:eastAsia="en-GB"/>
              </w:rPr>
            </w:pPr>
          </w:p>
        </w:tc>
        <w:tc>
          <w:tcPr>
            <w:tcW w:w="1077" w:type="pct"/>
            <w:tcBorders>
              <w:top w:val="nil"/>
              <w:left w:val="nil"/>
              <w:bottom w:val="nil"/>
              <w:right w:val="nil"/>
            </w:tcBorders>
            <w:shd w:val="clear" w:color="auto" w:fill="auto"/>
            <w:noWrap/>
            <w:vAlign w:val="bottom"/>
            <w:hideMark/>
          </w:tcPr>
          <w:p w14:paraId="17FCA99C" w14:textId="77777777" w:rsidR="00EE4F94" w:rsidRPr="00CA4C14" w:rsidRDefault="00EE4F94" w:rsidP="0060113A">
            <w:pPr>
              <w:pStyle w:val="Tabletext"/>
              <w:keepNext/>
              <w:spacing w:before="0" w:after="0"/>
              <w:jc w:val="right"/>
              <w:rPr>
                <w:rFonts w:ascii="Times New Roman" w:hAnsi="Times New Roman"/>
                <w:szCs w:val="18"/>
                <w:lang w:val="ru-RU" w:eastAsia="en-GB"/>
              </w:rPr>
            </w:pPr>
          </w:p>
        </w:tc>
      </w:tr>
      <w:tr w:rsidR="00EE4F94" w:rsidRPr="00CA4C14" w14:paraId="4ABF3FBD" w14:textId="77777777" w:rsidTr="00921035">
        <w:trPr>
          <w:trHeight w:val="300"/>
          <w:jc w:val="center"/>
        </w:trPr>
        <w:tc>
          <w:tcPr>
            <w:tcW w:w="2846" w:type="pct"/>
            <w:tcBorders>
              <w:top w:val="nil"/>
              <w:left w:val="nil"/>
              <w:bottom w:val="nil"/>
              <w:right w:val="nil"/>
            </w:tcBorders>
            <w:shd w:val="clear" w:color="auto" w:fill="auto"/>
            <w:vAlign w:val="bottom"/>
            <w:hideMark/>
          </w:tcPr>
          <w:p w14:paraId="472BD9E6" w14:textId="77777777" w:rsidR="00EE4F94" w:rsidRPr="00CA4C14" w:rsidRDefault="00EE4F94" w:rsidP="00FD58CA">
            <w:pPr>
              <w:pStyle w:val="Tabletext"/>
              <w:keepNext/>
              <w:rPr>
                <w:szCs w:val="18"/>
                <w:lang w:val="ru-RU" w:eastAsia="en-GB"/>
              </w:rPr>
            </w:pPr>
            <w:r w:rsidRPr="00CA4C14">
              <w:rPr>
                <w:szCs w:val="18"/>
                <w:lang w:val="ru-RU"/>
              </w:rPr>
              <w:t>Текущие долговые обязательства – необменные операции</w:t>
            </w:r>
          </w:p>
        </w:tc>
        <w:tc>
          <w:tcPr>
            <w:tcW w:w="1077" w:type="pct"/>
            <w:tcBorders>
              <w:top w:val="nil"/>
              <w:left w:val="nil"/>
              <w:bottom w:val="nil"/>
              <w:right w:val="nil"/>
            </w:tcBorders>
            <w:shd w:val="clear" w:color="auto" w:fill="auto"/>
            <w:noWrap/>
            <w:vAlign w:val="bottom"/>
            <w:hideMark/>
          </w:tcPr>
          <w:p w14:paraId="78532CE9" w14:textId="77777777" w:rsidR="00EE4F94" w:rsidRPr="00CA4C14" w:rsidRDefault="00EE4F94" w:rsidP="00FD58CA">
            <w:pPr>
              <w:pStyle w:val="Tabletext"/>
              <w:keepNext/>
              <w:jc w:val="right"/>
              <w:rPr>
                <w:szCs w:val="18"/>
                <w:lang w:val="ru-RU" w:eastAsia="en-GB"/>
              </w:rPr>
            </w:pPr>
            <w:r w:rsidRPr="00CA4C14">
              <w:rPr>
                <w:szCs w:val="18"/>
                <w:lang w:val="ru-RU" w:eastAsia="en-GB"/>
              </w:rPr>
              <w:t>40 541</w:t>
            </w:r>
          </w:p>
        </w:tc>
        <w:tc>
          <w:tcPr>
            <w:tcW w:w="1077" w:type="pct"/>
            <w:tcBorders>
              <w:top w:val="nil"/>
              <w:left w:val="nil"/>
              <w:bottom w:val="nil"/>
              <w:right w:val="nil"/>
            </w:tcBorders>
            <w:shd w:val="clear" w:color="auto" w:fill="auto"/>
            <w:noWrap/>
            <w:vAlign w:val="bottom"/>
            <w:hideMark/>
          </w:tcPr>
          <w:p w14:paraId="29EED71D" w14:textId="77777777" w:rsidR="00EE4F94" w:rsidRPr="00CA4C14" w:rsidRDefault="00EE4F94" w:rsidP="00FD58CA">
            <w:pPr>
              <w:pStyle w:val="Tabletext"/>
              <w:keepNext/>
              <w:jc w:val="right"/>
              <w:rPr>
                <w:szCs w:val="18"/>
                <w:lang w:val="ru-RU" w:eastAsia="en-GB"/>
              </w:rPr>
            </w:pPr>
            <w:r w:rsidRPr="00CA4C14">
              <w:rPr>
                <w:szCs w:val="18"/>
                <w:lang w:val="ru-RU" w:eastAsia="en-GB"/>
              </w:rPr>
              <w:t>32 810</w:t>
            </w:r>
          </w:p>
        </w:tc>
      </w:tr>
      <w:tr w:rsidR="00EE4F94" w:rsidRPr="00CA4C14" w14:paraId="444AFD11" w14:textId="77777777" w:rsidTr="00921035">
        <w:trPr>
          <w:trHeight w:val="255"/>
          <w:jc w:val="center"/>
        </w:trPr>
        <w:tc>
          <w:tcPr>
            <w:tcW w:w="2846" w:type="pct"/>
            <w:tcBorders>
              <w:top w:val="nil"/>
              <w:left w:val="nil"/>
              <w:bottom w:val="nil"/>
              <w:right w:val="nil"/>
            </w:tcBorders>
            <w:shd w:val="clear" w:color="auto" w:fill="auto"/>
            <w:vAlign w:val="bottom"/>
            <w:hideMark/>
          </w:tcPr>
          <w:p w14:paraId="25FD0516" w14:textId="77777777" w:rsidR="00EE4F94" w:rsidRPr="00CA4C14" w:rsidRDefault="00EE4F94" w:rsidP="00FD58CA">
            <w:pPr>
              <w:pStyle w:val="Tabletext"/>
              <w:keepNext/>
              <w:rPr>
                <w:szCs w:val="18"/>
                <w:lang w:val="ru-RU" w:eastAsia="en-GB"/>
              </w:rPr>
            </w:pPr>
            <w:r w:rsidRPr="00CA4C14">
              <w:rPr>
                <w:szCs w:val="18"/>
                <w:lang w:val="ru-RU"/>
              </w:rPr>
              <w:t>Резервный фонд под убытки по текущим долговым обязательствам – необменные операции</w:t>
            </w:r>
          </w:p>
        </w:tc>
        <w:tc>
          <w:tcPr>
            <w:tcW w:w="1077" w:type="pct"/>
            <w:tcBorders>
              <w:top w:val="nil"/>
              <w:left w:val="nil"/>
              <w:bottom w:val="nil"/>
              <w:right w:val="nil"/>
            </w:tcBorders>
            <w:shd w:val="clear" w:color="auto" w:fill="auto"/>
            <w:noWrap/>
            <w:vAlign w:val="bottom"/>
            <w:hideMark/>
          </w:tcPr>
          <w:p w14:paraId="76B8E525" w14:textId="77777777" w:rsidR="00EE4F94" w:rsidRPr="00CA4C14" w:rsidRDefault="00EE4F94" w:rsidP="00FD58CA">
            <w:pPr>
              <w:pStyle w:val="Tabletext"/>
              <w:keepNext/>
              <w:jc w:val="right"/>
              <w:rPr>
                <w:szCs w:val="18"/>
                <w:lang w:val="ru-RU" w:eastAsia="en-GB"/>
              </w:rPr>
            </w:pPr>
            <w:r w:rsidRPr="00CA4C14">
              <w:rPr>
                <w:szCs w:val="18"/>
                <w:lang w:val="ru-RU" w:eastAsia="en-GB"/>
              </w:rPr>
              <w:t>(27 409)</w:t>
            </w:r>
          </w:p>
        </w:tc>
        <w:tc>
          <w:tcPr>
            <w:tcW w:w="1077" w:type="pct"/>
            <w:tcBorders>
              <w:top w:val="nil"/>
              <w:left w:val="nil"/>
              <w:bottom w:val="nil"/>
              <w:right w:val="nil"/>
            </w:tcBorders>
            <w:shd w:val="clear" w:color="auto" w:fill="auto"/>
            <w:noWrap/>
            <w:vAlign w:val="bottom"/>
            <w:hideMark/>
          </w:tcPr>
          <w:p w14:paraId="2E3BB993" w14:textId="77777777" w:rsidR="00EE4F94" w:rsidRPr="00CA4C14" w:rsidRDefault="00EE4F94" w:rsidP="00FD58CA">
            <w:pPr>
              <w:pStyle w:val="Tabletext"/>
              <w:keepNext/>
              <w:jc w:val="right"/>
              <w:rPr>
                <w:szCs w:val="18"/>
                <w:lang w:val="ru-RU" w:eastAsia="en-GB"/>
              </w:rPr>
            </w:pPr>
            <w:r w:rsidRPr="00CA4C14">
              <w:rPr>
                <w:szCs w:val="18"/>
                <w:lang w:val="ru-RU" w:eastAsia="en-GB"/>
              </w:rPr>
              <w:t>(20 349)</w:t>
            </w:r>
          </w:p>
        </w:tc>
      </w:tr>
      <w:tr w:rsidR="00EE4F94" w:rsidRPr="00CA4C14" w14:paraId="1B39BD56" w14:textId="77777777" w:rsidTr="00921035">
        <w:trPr>
          <w:trHeight w:val="255"/>
          <w:jc w:val="center"/>
        </w:trPr>
        <w:tc>
          <w:tcPr>
            <w:tcW w:w="2846" w:type="pct"/>
            <w:tcBorders>
              <w:top w:val="nil"/>
              <w:left w:val="nil"/>
              <w:bottom w:val="nil"/>
              <w:right w:val="nil"/>
            </w:tcBorders>
            <w:shd w:val="clear" w:color="auto" w:fill="auto"/>
            <w:vAlign w:val="center"/>
            <w:hideMark/>
          </w:tcPr>
          <w:p w14:paraId="0BDB45A7" w14:textId="77777777" w:rsidR="00EE4F94" w:rsidRPr="00CA4C14" w:rsidRDefault="00EE4F94" w:rsidP="00FD58CA">
            <w:pPr>
              <w:pStyle w:val="Tabletext"/>
              <w:keepNext/>
              <w:rPr>
                <w:b/>
                <w:bCs/>
                <w:szCs w:val="18"/>
                <w:lang w:val="ru-RU" w:eastAsia="en-GB"/>
              </w:rPr>
            </w:pPr>
            <w:r w:rsidRPr="00CA4C14">
              <w:rPr>
                <w:b/>
                <w:bCs/>
                <w:szCs w:val="18"/>
                <w:lang w:val="ru-RU"/>
              </w:rPr>
              <w:t>Текущие долговые обязательства – необменные операции: чистая стоимость</w:t>
            </w:r>
          </w:p>
        </w:tc>
        <w:tc>
          <w:tcPr>
            <w:tcW w:w="1077" w:type="pct"/>
            <w:tcBorders>
              <w:top w:val="nil"/>
              <w:left w:val="nil"/>
              <w:bottom w:val="nil"/>
              <w:right w:val="nil"/>
            </w:tcBorders>
            <w:shd w:val="clear" w:color="auto" w:fill="auto"/>
            <w:noWrap/>
            <w:vAlign w:val="bottom"/>
            <w:hideMark/>
          </w:tcPr>
          <w:p w14:paraId="760BCE4A"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13 132</w:t>
            </w:r>
          </w:p>
        </w:tc>
        <w:tc>
          <w:tcPr>
            <w:tcW w:w="1077" w:type="pct"/>
            <w:tcBorders>
              <w:top w:val="nil"/>
              <w:left w:val="nil"/>
              <w:bottom w:val="nil"/>
              <w:right w:val="nil"/>
            </w:tcBorders>
            <w:shd w:val="clear" w:color="auto" w:fill="auto"/>
            <w:noWrap/>
            <w:vAlign w:val="bottom"/>
            <w:hideMark/>
          </w:tcPr>
          <w:p w14:paraId="3DF5D6AF"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12 461</w:t>
            </w:r>
          </w:p>
        </w:tc>
      </w:tr>
      <w:tr w:rsidR="00EE4F94" w:rsidRPr="00CA4C14" w14:paraId="7FA87558" w14:textId="77777777" w:rsidTr="00921035">
        <w:trPr>
          <w:trHeight w:val="150"/>
          <w:jc w:val="center"/>
        </w:trPr>
        <w:tc>
          <w:tcPr>
            <w:tcW w:w="2846" w:type="pct"/>
            <w:tcBorders>
              <w:top w:val="nil"/>
              <w:left w:val="nil"/>
              <w:bottom w:val="nil"/>
              <w:right w:val="nil"/>
            </w:tcBorders>
            <w:shd w:val="clear" w:color="auto" w:fill="auto"/>
            <w:vAlign w:val="bottom"/>
            <w:hideMark/>
          </w:tcPr>
          <w:p w14:paraId="112143D8" w14:textId="77777777" w:rsidR="00EE4F94" w:rsidRPr="00CA4C14" w:rsidRDefault="00EE4F94" w:rsidP="0060113A">
            <w:pPr>
              <w:pStyle w:val="Tabletext"/>
              <w:keepNext/>
              <w:spacing w:before="0" w:after="0"/>
              <w:rPr>
                <w:szCs w:val="18"/>
                <w:lang w:val="ru-RU" w:eastAsia="en-GB"/>
              </w:rPr>
            </w:pPr>
          </w:p>
        </w:tc>
        <w:tc>
          <w:tcPr>
            <w:tcW w:w="1077" w:type="pct"/>
            <w:tcBorders>
              <w:top w:val="nil"/>
              <w:left w:val="nil"/>
              <w:bottom w:val="nil"/>
              <w:right w:val="nil"/>
            </w:tcBorders>
            <w:shd w:val="clear" w:color="auto" w:fill="auto"/>
            <w:noWrap/>
            <w:vAlign w:val="bottom"/>
            <w:hideMark/>
          </w:tcPr>
          <w:p w14:paraId="44346067" w14:textId="77777777" w:rsidR="00EE4F94" w:rsidRPr="00CA4C14" w:rsidRDefault="00EE4F94" w:rsidP="0060113A">
            <w:pPr>
              <w:pStyle w:val="Tabletext"/>
              <w:keepNext/>
              <w:spacing w:before="0" w:after="0"/>
              <w:jc w:val="right"/>
              <w:rPr>
                <w:rFonts w:ascii="Times New Roman" w:hAnsi="Times New Roman"/>
                <w:szCs w:val="18"/>
                <w:lang w:val="ru-RU" w:eastAsia="en-GB"/>
              </w:rPr>
            </w:pPr>
          </w:p>
        </w:tc>
        <w:tc>
          <w:tcPr>
            <w:tcW w:w="1077" w:type="pct"/>
            <w:tcBorders>
              <w:top w:val="nil"/>
              <w:left w:val="nil"/>
              <w:bottom w:val="nil"/>
              <w:right w:val="nil"/>
            </w:tcBorders>
            <w:shd w:val="clear" w:color="auto" w:fill="auto"/>
            <w:noWrap/>
            <w:vAlign w:val="bottom"/>
            <w:hideMark/>
          </w:tcPr>
          <w:p w14:paraId="28632C55" w14:textId="77777777" w:rsidR="00EE4F94" w:rsidRPr="00CA4C14" w:rsidRDefault="00EE4F94" w:rsidP="0060113A">
            <w:pPr>
              <w:pStyle w:val="Tabletext"/>
              <w:keepNext/>
              <w:spacing w:before="0" w:after="0"/>
              <w:jc w:val="right"/>
              <w:rPr>
                <w:rFonts w:ascii="Times New Roman" w:hAnsi="Times New Roman"/>
                <w:szCs w:val="18"/>
                <w:lang w:val="ru-RU" w:eastAsia="en-GB"/>
              </w:rPr>
            </w:pPr>
          </w:p>
        </w:tc>
      </w:tr>
      <w:tr w:rsidR="00EE4F94" w:rsidRPr="00CA4C14" w14:paraId="554209EC" w14:textId="77777777" w:rsidTr="00921035">
        <w:trPr>
          <w:trHeight w:val="300"/>
          <w:jc w:val="center"/>
        </w:trPr>
        <w:tc>
          <w:tcPr>
            <w:tcW w:w="2846" w:type="pct"/>
            <w:tcBorders>
              <w:top w:val="nil"/>
              <w:left w:val="nil"/>
              <w:bottom w:val="nil"/>
              <w:right w:val="nil"/>
            </w:tcBorders>
            <w:shd w:val="clear" w:color="auto" w:fill="auto"/>
            <w:vAlign w:val="bottom"/>
            <w:hideMark/>
          </w:tcPr>
          <w:p w14:paraId="7CAAA135" w14:textId="77777777" w:rsidR="00EE4F94" w:rsidRPr="00CA4C14" w:rsidRDefault="00EE4F94" w:rsidP="00FD58CA">
            <w:pPr>
              <w:pStyle w:val="Tabletext"/>
              <w:keepNext/>
              <w:rPr>
                <w:szCs w:val="18"/>
                <w:lang w:val="ru-RU" w:eastAsia="en-GB"/>
              </w:rPr>
            </w:pPr>
            <w:proofErr w:type="spellStart"/>
            <w:r w:rsidRPr="00CA4C14">
              <w:rPr>
                <w:szCs w:val="18"/>
                <w:lang w:val="ru-RU"/>
              </w:rPr>
              <w:t>Нетекущие</w:t>
            </w:r>
            <w:proofErr w:type="spellEnd"/>
            <w:r w:rsidRPr="00CA4C14">
              <w:rPr>
                <w:szCs w:val="18"/>
                <w:lang w:val="ru-RU"/>
              </w:rPr>
              <w:t xml:space="preserve"> долговые обязательства – необменные операции</w:t>
            </w:r>
          </w:p>
        </w:tc>
        <w:tc>
          <w:tcPr>
            <w:tcW w:w="1077" w:type="pct"/>
            <w:tcBorders>
              <w:top w:val="nil"/>
              <w:left w:val="nil"/>
              <w:bottom w:val="nil"/>
              <w:right w:val="nil"/>
            </w:tcBorders>
            <w:shd w:val="clear" w:color="auto" w:fill="auto"/>
            <w:noWrap/>
            <w:vAlign w:val="bottom"/>
            <w:hideMark/>
          </w:tcPr>
          <w:p w14:paraId="38F7725A" w14:textId="77777777" w:rsidR="00EE4F94" w:rsidRPr="00CA4C14" w:rsidRDefault="00EE4F94" w:rsidP="00FD58CA">
            <w:pPr>
              <w:pStyle w:val="Tabletext"/>
              <w:keepNext/>
              <w:jc w:val="right"/>
              <w:rPr>
                <w:szCs w:val="18"/>
                <w:lang w:val="ru-RU" w:eastAsia="en-GB"/>
              </w:rPr>
            </w:pPr>
            <w:r w:rsidRPr="00CA4C14">
              <w:rPr>
                <w:szCs w:val="18"/>
                <w:lang w:val="ru-RU" w:eastAsia="en-GB"/>
              </w:rPr>
              <w:t>9 101</w:t>
            </w:r>
          </w:p>
        </w:tc>
        <w:tc>
          <w:tcPr>
            <w:tcW w:w="1077" w:type="pct"/>
            <w:tcBorders>
              <w:top w:val="nil"/>
              <w:left w:val="nil"/>
              <w:bottom w:val="nil"/>
              <w:right w:val="nil"/>
            </w:tcBorders>
            <w:shd w:val="clear" w:color="auto" w:fill="auto"/>
            <w:noWrap/>
            <w:vAlign w:val="bottom"/>
            <w:hideMark/>
          </w:tcPr>
          <w:p w14:paraId="07EAC988" w14:textId="77777777" w:rsidR="00EE4F94" w:rsidRPr="00CA4C14" w:rsidRDefault="00EE4F94" w:rsidP="00FD58CA">
            <w:pPr>
              <w:pStyle w:val="Tabletext"/>
              <w:keepNext/>
              <w:jc w:val="right"/>
              <w:rPr>
                <w:szCs w:val="18"/>
                <w:lang w:val="ru-RU" w:eastAsia="en-GB"/>
              </w:rPr>
            </w:pPr>
            <w:r w:rsidRPr="00CA4C14">
              <w:rPr>
                <w:szCs w:val="18"/>
                <w:lang w:val="ru-RU" w:eastAsia="en-GB"/>
              </w:rPr>
              <w:t>14 677</w:t>
            </w:r>
          </w:p>
        </w:tc>
      </w:tr>
      <w:tr w:rsidR="00EE4F94" w:rsidRPr="00CA4C14" w14:paraId="2D222C9C" w14:textId="77777777" w:rsidTr="00921035">
        <w:trPr>
          <w:trHeight w:val="255"/>
          <w:jc w:val="center"/>
        </w:trPr>
        <w:tc>
          <w:tcPr>
            <w:tcW w:w="2846" w:type="pct"/>
            <w:tcBorders>
              <w:top w:val="nil"/>
              <w:left w:val="nil"/>
              <w:bottom w:val="nil"/>
              <w:right w:val="nil"/>
            </w:tcBorders>
            <w:shd w:val="clear" w:color="auto" w:fill="auto"/>
            <w:vAlign w:val="bottom"/>
            <w:hideMark/>
          </w:tcPr>
          <w:p w14:paraId="61838051" w14:textId="77777777" w:rsidR="00EE4F94" w:rsidRPr="00CA4C14" w:rsidRDefault="00EE4F94" w:rsidP="00FD58CA">
            <w:pPr>
              <w:pStyle w:val="Tabletext"/>
              <w:keepNext/>
              <w:rPr>
                <w:szCs w:val="18"/>
                <w:lang w:val="ru-RU" w:eastAsia="en-GB"/>
              </w:rPr>
            </w:pPr>
            <w:r w:rsidRPr="00CA4C14">
              <w:rPr>
                <w:szCs w:val="18"/>
                <w:lang w:val="ru-RU"/>
              </w:rPr>
              <w:t xml:space="preserve">Резервный фонд под убытки по </w:t>
            </w:r>
            <w:proofErr w:type="spellStart"/>
            <w:r w:rsidRPr="00CA4C14">
              <w:rPr>
                <w:szCs w:val="18"/>
                <w:lang w:val="ru-RU"/>
              </w:rPr>
              <w:t>нетекущим</w:t>
            </w:r>
            <w:proofErr w:type="spellEnd"/>
            <w:r w:rsidRPr="00CA4C14">
              <w:rPr>
                <w:szCs w:val="18"/>
                <w:lang w:val="ru-RU"/>
              </w:rPr>
              <w:t xml:space="preserve"> долговым обязательствам – необменные операции</w:t>
            </w:r>
          </w:p>
        </w:tc>
        <w:tc>
          <w:tcPr>
            <w:tcW w:w="1077" w:type="pct"/>
            <w:tcBorders>
              <w:top w:val="nil"/>
              <w:left w:val="nil"/>
              <w:bottom w:val="nil"/>
              <w:right w:val="nil"/>
            </w:tcBorders>
            <w:shd w:val="clear" w:color="auto" w:fill="auto"/>
            <w:noWrap/>
            <w:vAlign w:val="bottom"/>
            <w:hideMark/>
          </w:tcPr>
          <w:p w14:paraId="0CDE9E9D" w14:textId="77777777" w:rsidR="00EE4F94" w:rsidRPr="00CA4C14" w:rsidRDefault="00EE4F94" w:rsidP="00FD58CA">
            <w:pPr>
              <w:pStyle w:val="Tabletext"/>
              <w:keepNext/>
              <w:jc w:val="right"/>
              <w:rPr>
                <w:szCs w:val="18"/>
                <w:lang w:val="ru-RU" w:eastAsia="en-GB"/>
              </w:rPr>
            </w:pPr>
            <w:r w:rsidRPr="00CA4C14">
              <w:rPr>
                <w:szCs w:val="18"/>
                <w:lang w:val="ru-RU" w:eastAsia="en-GB"/>
              </w:rPr>
              <w:t>(6 321)</w:t>
            </w:r>
          </w:p>
        </w:tc>
        <w:tc>
          <w:tcPr>
            <w:tcW w:w="1077" w:type="pct"/>
            <w:tcBorders>
              <w:top w:val="nil"/>
              <w:left w:val="nil"/>
              <w:bottom w:val="nil"/>
              <w:right w:val="nil"/>
            </w:tcBorders>
            <w:shd w:val="clear" w:color="auto" w:fill="auto"/>
            <w:noWrap/>
            <w:vAlign w:val="bottom"/>
            <w:hideMark/>
          </w:tcPr>
          <w:p w14:paraId="537791D3" w14:textId="77777777" w:rsidR="00EE4F94" w:rsidRPr="00CA4C14" w:rsidRDefault="00EE4F94" w:rsidP="00FD58CA">
            <w:pPr>
              <w:pStyle w:val="Tabletext"/>
              <w:keepNext/>
              <w:jc w:val="right"/>
              <w:rPr>
                <w:szCs w:val="18"/>
                <w:lang w:val="ru-RU" w:eastAsia="en-GB"/>
              </w:rPr>
            </w:pPr>
            <w:r w:rsidRPr="00CA4C14">
              <w:rPr>
                <w:szCs w:val="18"/>
                <w:lang w:val="ru-RU" w:eastAsia="en-GB"/>
              </w:rPr>
              <w:t>(14 677)</w:t>
            </w:r>
          </w:p>
        </w:tc>
      </w:tr>
      <w:tr w:rsidR="00EE4F94" w:rsidRPr="00CA4C14" w14:paraId="6ABA889E" w14:textId="77777777" w:rsidTr="00921035">
        <w:trPr>
          <w:trHeight w:val="255"/>
          <w:jc w:val="center"/>
        </w:trPr>
        <w:tc>
          <w:tcPr>
            <w:tcW w:w="2846" w:type="pct"/>
            <w:tcBorders>
              <w:top w:val="nil"/>
              <w:left w:val="nil"/>
              <w:bottom w:val="nil"/>
              <w:right w:val="nil"/>
            </w:tcBorders>
            <w:shd w:val="clear" w:color="auto" w:fill="auto"/>
            <w:vAlign w:val="center"/>
            <w:hideMark/>
          </w:tcPr>
          <w:p w14:paraId="1316382A" w14:textId="77777777" w:rsidR="00EE4F94" w:rsidRPr="00CA4C14" w:rsidRDefault="00EE4F94" w:rsidP="009E486A">
            <w:pPr>
              <w:pStyle w:val="Tabletext"/>
              <w:rPr>
                <w:b/>
                <w:bCs/>
                <w:szCs w:val="18"/>
                <w:lang w:val="ru-RU" w:eastAsia="en-GB"/>
              </w:rPr>
            </w:pPr>
            <w:proofErr w:type="spellStart"/>
            <w:r w:rsidRPr="00CA4C14">
              <w:rPr>
                <w:b/>
                <w:bCs/>
                <w:szCs w:val="18"/>
                <w:lang w:val="ru-RU"/>
              </w:rPr>
              <w:t>Нетекущие</w:t>
            </w:r>
            <w:proofErr w:type="spellEnd"/>
            <w:r w:rsidRPr="00CA4C14">
              <w:rPr>
                <w:b/>
                <w:bCs/>
                <w:szCs w:val="18"/>
                <w:lang w:val="ru-RU"/>
              </w:rPr>
              <w:t xml:space="preserve"> долговые обязательства – необменные операции: чистая стоимость</w:t>
            </w:r>
          </w:p>
        </w:tc>
        <w:tc>
          <w:tcPr>
            <w:tcW w:w="1077" w:type="pct"/>
            <w:tcBorders>
              <w:top w:val="nil"/>
              <w:left w:val="nil"/>
              <w:bottom w:val="nil"/>
              <w:right w:val="nil"/>
            </w:tcBorders>
            <w:shd w:val="clear" w:color="auto" w:fill="auto"/>
            <w:noWrap/>
            <w:vAlign w:val="bottom"/>
            <w:hideMark/>
          </w:tcPr>
          <w:p w14:paraId="56754E6A" w14:textId="77777777" w:rsidR="00EE4F94" w:rsidRPr="00CA4C14" w:rsidRDefault="00EE4F94" w:rsidP="009E486A">
            <w:pPr>
              <w:pStyle w:val="Tabletext"/>
              <w:jc w:val="right"/>
              <w:rPr>
                <w:b/>
                <w:bCs/>
                <w:szCs w:val="18"/>
                <w:lang w:val="ru-RU" w:eastAsia="en-GB"/>
              </w:rPr>
            </w:pPr>
            <w:r w:rsidRPr="00CA4C14">
              <w:rPr>
                <w:b/>
                <w:bCs/>
                <w:szCs w:val="18"/>
                <w:lang w:val="ru-RU" w:eastAsia="en-GB"/>
              </w:rPr>
              <w:t>2 780</w:t>
            </w:r>
          </w:p>
        </w:tc>
        <w:tc>
          <w:tcPr>
            <w:tcW w:w="1077" w:type="pct"/>
            <w:tcBorders>
              <w:top w:val="nil"/>
              <w:left w:val="nil"/>
              <w:bottom w:val="nil"/>
              <w:right w:val="nil"/>
            </w:tcBorders>
            <w:shd w:val="clear" w:color="auto" w:fill="auto"/>
            <w:noWrap/>
            <w:vAlign w:val="bottom"/>
            <w:hideMark/>
          </w:tcPr>
          <w:p w14:paraId="6D4E2A52" w14:textId="77777777" w:rsidR="00EE4F94" w:rsidRPr="00CA4C14" w:rsidRDefault="00EE4F94" w:rsidP="009E486A">
            <w:pPr>
              <w:pStyle w:val="Tabletext"/>
              <w:jc w:val="right"/>
              <w:rPr>
                <w:b/>
                <w:bCs/>
                <w:szCs w:val="18"/>
                <w:lang w:val="ru-RU" w:eastAsia="en-GB"/>
              </w:rPr>
            </w:pPr>
            <w:r w:rsidRPr="00CA4C14">
              <w:rPr>
                <w:b/>
                <w:bCs/>
                <w:szCs w:val="18"/>
                <w:lang w:val="ru-RU" w:eastAsia="en-GB"/>
              </w:rPr>
              <w:t>−</w:t>
            </w:r>
          </w:p>
        </w:tc>
      </w:tr>
    </w:tbl>
    <w:p w14:paraId="111806EB" w14:textId="77777777" w:rsidR="00EE4F94" w:rsidRPr="00CA4C14" w:rsidRDefault="00EE4F94" w:rsidP="0060113A">
      <w:pPr>
        <w:pStyle w:val="Heading5"/>
        <w:rPr>
          <w:lang w:val="ru-RU"/>
        </w:rPr>
      </w:pPr>
      <w:bookmarkStart w:id="376" w:name="_Toc168578470"/>
      <w:r w:rsidRPr="00CA4C14">
        <w:rPr>
          <w:lang w:val="ru-RU"/>
        </w:rPr>
        <w:t>Примечание 10</w:t>
      </w:r>
      <w:r w:rsidRPr="00CA4C14">
        <w:rPr>
          <w:lang w:val="ru-RU"/>
        </w:rPr>
        <w:tab/>
      </w:r>
      <w:bookmarkEnd w:id="373"/>
      <w:bookmarkEnd w:id="374"/>
      <w:bookmarkEnd w:id="375"/>
      <w:r w:rsidRPr="00CA4C14">
        <w:rPr>
          <w:lang w:val="ru-RU"/>
        </w:rPr>
        <w:t>Прочие долговые обязательства</w:t>
      </w:r>
      <w:bookmarkEnd w:id="376"/>
    </w:p>
    <w:p w14:paraId="61CE1FF7" w14:textId="10B259B3" w:rsidR="00EE4F94" w:rsidRPr="00CA4C14" w:rsidRDefault="00EE4F94" w:rsidP="00E3285A">
      <w:pPr>
        <w:rPr>
          <w:rFonts w:eastAsia="Calibri"/>
          <w:lang w:val="ru-RU"/>
        </w:rPr>
      </w:pPr>
      <w:r w:rsidRPr="00CA4C14">
        <w:rPr>
          <w:rFonts w:eastAsia="Calibri"/>
          <w:lang w:val="ru-RU"/>
        </w:rPr>
        <w:t>Основной категорией прочих долговых обязательств являются авансовые выплаты персоналу. Это авансовые выплаты, предоставленные сотрудникам в соответствии с Положениями о</w:t>
      </w:r>
      <w:r w:rsidR="00C663FA" w:rsidRPr="00CA4C14">
        <w:rPr>
          <w:rFonts w:eastAsia="Calibri"/>
          <w:lang w:val="ru-RU"/>
        </w:rPr>
        <w:t> </w:t>
      </w:r>
      <w:r w:rsidRPr="00CA4C14">
        <w:rPr>
          <w:rFonts w:eastAsia="Calibri"/>
          <w:lang w:val="ru-RU"/>
        </w:rPr>
        <w:t>персонале МСЭ.</w:t>
      </w:r>
    </w:p>
    <w:p w14:paraId="3BAD2238" w14:textId="77777777" w:rsidR="00EE4F94" w:rsidRPr="00CA4C14" w:rsidRDefault="00EE4F94" w:rsidP="000C6E3F">
      <w:pPr>
        <w:spacing w:after="120"/>
        <w:rPr>
          <w:rFonts w:eastAsia="Calibri"/>
          <w:highlight w:val="lightGray"/>
          <w:lang w:val="ru-RU"/>
        </w:rPr>
      </w:pPr>
      <w:r w:rsidRPr="00CA4C14">
        <w:rPr>
          <w:rFonts w:eastAsia="Calibri"/>
          <w:lang w:val="ru-RU"/>
        </w:rPr>
        <w:t>Налог на дивиденды включает налог, который подлежит возмещению Федеральной налоговой администрацией Швейцарской Конфедерации, а также подоходный налог, который должен быть получен от правительства Соединенных Штатов Америки.</w:t>
      </w:r>
    </w:p>
    <w:tbl>
      <w:tblPr>
        <w:tblW w:w="5000" w:type="pct"/>
        <w:jc w:val="center"/>
        <w:tblLook w:val="04A0" w:firstRow="1" w:lastRow="0" w:firstColumn="1" w:lastColumn="0" w:noHBand="0" w:noVBand="1"/>
      </w:tblPr>
      <w:tblGrid>
        <w:gridCol w:w="5216"/>
        <w:gridCol w:w="1927"/>
        <w:gridCol w:w="1928"/>
      </w:tblGrid>
      <w:tr w:rsidR="00EE4F94" w:rsidRPr="00CA4C14" w14:paraId="1CDA7E01" w14:textId="77777777" w:rsidTr="00C663FA">
        <w:trPr>
          <w:jc w:val="center"/>
        </w:trPr>
        <w:tc>
          <w:tcPr>
            <w:tcW w:w="2875" w:type="pct"/>
            <w:tcBorders>
              <w:top w:val="nil"/>
              <w:left w:val="nil"/>
              <w:bottom w:val="nil"/>
              <w:right w:val="nil"/>
            </w:tcBorders>
            <w:shd w:val="clear" w:color="000000" w:fill="0070C0"/>
            <w:noWrap/>
            <w:vAlign w:val="center"/>
            <w:hideMark/>
          </w:tcPr>
          <w:p w14:paraId="22CA031A" w14:textId="77777777" w:rsidR="00EE4F94" w:rsidRPr="00CA4C14" w:rsidRDefault="00EE4F94" w:rsidP="009E486A">
            <w:pPr>
              <w:pStyle w:val="Tablehead"/>
              <w:rPr>
                <w:szCs w:val="18"/>
                <w:lang w:val="ru-RU" w:eastAsia="en-GB"/>
              </w:rPr>
            </w:pPr>
            <w:r w:rsidRPr="00CA4C14">
              <w:rPr>
                <w:szCs w:val="18"/>
                <w:lang w:val="ru-RU" w:eastAsia="en-GB"/>
              </w:rPr>
              <w:t xml:space="preserve">Описание (тыс. шв. фр.) </w:t>
            </w:r>
          </w:p>
        </w:tc>
        <w:tc>
          <w:tcPr>
            <w:tcW w:w="1062" w:type="pct"/>
            <w:tcBorders>
              <w:top w:val="nil"/>
              <w:left w:val="nil"/>
              <w:bottom w:val="nil"/>
              <w:right w:val="nil"/>
            </w:tcBorders>
            <w:shd w:val="clear" w:color="000000" w:fill="0070C0"/>
            <w:vAlign w:val="center"/>
            <w:hideMark/>
          </w:tcPr>
          <w:p w14:paraId="3AE5D2FD" w14:textId="77777777" w:rsidR="00EE4F94" w:rsidRPr="00CA4C14" w:rsidRDefault="00EE4F94" w:rsidP="009E486A">
            <w:pPr>
              <w:pStyle w:val="Tablehead"/>
              <w:rPr>
                <w:szCs w:val="18"/>
                <w:lang w:val="ru-RU" w:eastAsia="en-GB"/>
              </w:rPr>
            </w:pPr>
            <w:r w:rsidRPr="00CA4C14">
              <w:rPr>
                <w:szCs w:val="18"/>
                <w:lang w:val="ru-RU" w:eastAsia="en-GB"/>
              </w:rPr>
              <w:t>31 декабря 2023 г.</w:t>
            </w:r>
          </w:p>
        </w:tc>
        <w:tc>
          <w:tcPr>
            <w:tcW w:w="1063" w:type="pct"/>
            <w:tcBorders>
              <w:top w:val="nil"/>
              <w:left w:val="nil"/>
              <w:bottom w:val="nil"/>
              <w:right w:val="nil"/>
            </w:tcBorders>
            <w:shd w:val="clear" w:color="000000" w:fill="0070C0"/>
            <w:vAlign w:val="center"/>
            <w:hideMark/>
          </w:tcPr>
          <w:p w14:paraId="1DDC05E2" w14:textId="77777777" w:rsidR="00EE4F94" w:rsidRPr="00CA4C14" w:rsidRDefault="00EE4F94" w:rsidP="009E486A">
            <w:pPr>
              <w:pStyle w:val="Tablehead"/>
              <w:rPr>
                <w:szCs w:val="18"/>
                <w:lang w:val="ru-RU" w:eastAsia="en-GB"/>
              </w:rPr>
            </w:pPr>
            <w:r w:rsidRPr="00CA4C14">
              <w:rPr>
                <w:szCs w:val="18"/>
                <w:lang w:val="ru-RU" w:eastAsia="en-GB"/>
              </w:rPr>
              <w:t>31 декабря 2022 г.</w:t>
            </w:r>
          </w:p>
        </w:tc>
      </w:tr>
      <w:tr w:rsidR="00EE4F94" w:rsidRPr="00CA4C14" w14:paraId="02BC3E95" w14:textId="77777777" w:rsidTr="00C663FA">
        <w:trPr>
          <w:jc w:val="center"/>
        </w:trPr>
        <w:tc>
          <w:tcPr>
            <w:tcW w:w="2875" w:type="pct"/>
            <w:tcBorders>
              <w:top w:val="nil"/>
              <w:left w:val="nil"/>
              <w:bottom w:val="nil"/>
              <w:right w:val="nil"/>
            </w:tcBorders>
            <w:shd w:val="clear" w:color="auto" w:fill="auto"/>
            <w:noWrap/>
            <w:vAlign w:val="bottom"/>
            <w:hideMark/>
          </w:tcPr>
          <w:p w14:paraId="0520AA1C" w14:textId="77777777" w:rsidR="00EE4F94" w:rsidRPr="00CA4C14" w:rsidRDefault="00EE4F94" w:rsidP="00FD58CA">
            <w:pPr>
              <w:pStyle w:val="Tabletext"/>
              <w:keepNext/>
              <w:rPr>
                <w:szCs w:val="18"/>
                <w:lang w:val="ru-RU" w:eastAsia="en-GB"/>
              </w:rPr>
            </w:pPr>
            <w:r w:rsidRPr="00CA4C14">
              <w:rPr>
                <w:szCs w:val="18"/>
                <w:lang w:val="ru-RU"/>
              </w:rPr>
              <w:t>Авансовые выплаты персоналу</w:t>
            </w:r>
          </w:p>
        </w:tc>
        <w:tc>
          <w:tcPr>
            <w:tcW w:w="1062" w:type="pct"/>
            <w:tcBorders>
              <w:top w:val="nil"/>
              <w:left w:val="nil"/>
              <w:bottom w:val="nil"/>
              <w:right w:val="nil"/>
            </w:tcBorders>
            <w:shd w:val="clear" w:color="auto" w:fill="auto"/>
            <w:noWrap/>
            <w:vAlign w:val="center"/>
            <w:hideMark/>
          </w:tcPr>
          <w:p w14:paraId="512A9B0F" w14:textId="77777777" w:rsidR="00EE4F94" w:rsidRPr="00CA4C14" w:rsidRDefault="00EE4F94" w:rsidP="00FD58CA">
            <w:pPr>
              <w:pStyle w:val="Tabletext"/>
              <w:keepNext/>
              <w:jc w:val="right"/>
              <w:rPr>
                <w:szCs w:val="18"/>
                <w:lang w:val="ru-RU" w:eastAsia="en-GB"/>
              </w:rPr>
            </w:pPr>
            <w:r w:rsidRPr="00CA4C14">
              <w:rPr>
                <w:szCs w:val="18"/>
                <w:lang w:val="ru-RU" w:eastAsia="en-GB"/>
              </w:rPr>
              <w:t>2 043</w:t>
            </w:r>
          </w:p>
        </w:tc>
        <w:tc>
          <w:tcPr>
            <w:tcW w:w="1063" w:type="pct"/>
            <w:tcBorders>
              <w:top w:val="nil"/>
              <w:left w:val="nil"/>
              <w:bottom w:val="nil"/>
              <w:right w:val="nil"/>
            </w:tcBorders>
            <w:shd w:val="clear" w:color="auto" w:fill="auto"/>
            <w:noWrap/>
            <w:vAlign w:val="center"/>
            <w:hideMark/>
          </w:tcPr>
          <w:p w14:paraId="6A8B72B3" w14:textId="77777777" w:rsidR="00EE4F94" w:rsidRPr="00CA4C14" w:rsidRDefault="00EE4F94" w:rsidP="00FD58CA">
            <w:pPr>
              <w:pStyle w:val="Tabletext"/>
              <w:keepNext/>
              <w:jc w:val="right"/>
              <w:rPr>
                <w:szCs w:val="18"/>
                <w:lang w:val="ru-RU" w:eastAsia="en-GB"/>
              </w:rPr>
            </w:pPr>
            <w:r w:rsidRPr="00CA4C14">
              <w:rPr>
                <w:szCs w:val="18"/>
                <w:lang w:val="ru-RU" w:eastAsia="en-GB"/>
              </w:rPr>
              <w:t>2 184</w:t>
            </w:r>
          </w:p>
        </w:tc>
      </w:tr>
      <w:tr w:rsidR="00EE4F94" w:rsidRPr="00CA4C14" w14:paraId="604649D2" w14:textId="77777777" w:rsidTr="00C663FA">
        <w:trPr>
          <w:jc w:val="center"/>
        </w:trPr>
        <w:tc>
          <w:tcPr>
            <w:tcW w:w="2875" w:type="pct"/>
            <w:tcBorders>
              <w:top w:val="nil"/>
              <w:left w:val="nil"/>
              <w:bottom w:val="nil"/>
              <w:right w:val="nil"/>
            </w:tcBorders>
            <w:shd w:val="clear" w:color="auto" w:fill="auto"/>
            <w:noWrap/>
            <w:vAlign w:val="bottom"/>
            <w:hideMark/>
          </w:tcPr>
          <w:p w14:paraId="0AB98FC8" w14:textId="77777777" w:rsidR="00EE4F94" w:rsidRPr="00CA4C14" w:rsidRDefault="00EE4F94" w:rsidP="00FD58CA">
            <w:pPr>
              <w:pStyle w:val="Tabletext"/>
              <w:keepNext/>
              <w:rPr>
                <w:szCs w:val="18"/>
                <w:lang w:val="ru-RU" w:eastAsia="en-GB"/>
              </w:rPr>
            </w:pPr>
            <w:r w:rsidRPr="00CA4C14">
              <w:rPr>
                <w:szCs w:val="18"/>
                <w:lang w:val="ru-RU"/>
              </w:rPr>
              <w:t>Налог на дивиденды</w:t>
            </w:r>
          </w:p>
        </w:tc>
        <w:tc>
          <w:tcPr>
            <w:tcW w:w="1062" w:type="pct"/>
            <w:tcBorders>
              <w:top w:val="nil"/>
              <w:left w:val="nil"/>
              <w:bottom w:val="nil"/>
              <w:right w:val="nil"/>
            </w:tcBorders>
            <w:shd w:val="clear" w:color="auto" w:fill="auto"/>
            <w:noWrap/>
            <w:vAlign w:val="center"/>
            <w:hideMark/>
          </w:tcPr>
          <w:p w14:paraId="0BCDA13C" w14:textId="77777777" w:rsidR="00EE4F94" w:rsidRPr="00CA4C14" w:rsidRDefault="00EE4F94" w:rsidP="00FD58CA">
            <w:pPr>
              <w:pStyle w:val="Tabletext"/>
              <w:keepNext/>
              <w:jc w:val="right"/>
              <w:rPr>
                <w:szCs w:val="18"/>
                <w:lang w:val="ru-RU" w:eastAsia="en-GB"/>
              </w:rPr>
            </w:pPr>
            <w:r w:rsidRPr="00CA4C14">
              <w:rPr>
                <w:szCs w:val="18"/>
                <w:lang w:val="ru-RU" w:eastAsia="en-GB"/>
              </w:rPr>
              <w:t>1 328</w:t>
            </w:r>
          </w:p>
        </w:tc>
        <w:tc>
          <w:tcPr>
            <w:tcW w:w="1063" w:type="pct"/>
            <w:tcBorders>
              <w:top w:val="nil"/>
              <w:left w:val="nil"/>
              <w:bottom w:val="nil"/>
              <w:right w:val="nil"/>
            </w:tcBorders>
            <w:shd w:val="clear" w:color="auto" w:fill="auto"/>
            <w:noWrap/>
            <w:vAlign w:val="center"/>
            <w:hideMark/>
          </w:tcPr>
          <w:p w14:paraId="6AAF4065" w14:textId="77777777" w:rsidR="00EE4F94" w:rsidRPr="00CA4C14" w:rsidRDefault="00EE4F94" w:rsidP="00FD58CA">
            <w:pPr>
              <w:pStyle w:val="Tabletext"/>
              <w:keepNext/>
              <w:jc w:val="right"/>
              <w:rPr>
                <w:szCs w:val="18"/>
                <w:lang w:val="ru-RU" w:eastAsia="en-GB"/>
              </w:rPr>
            </w:pPr>
            <w:r w:rsidRPr="00CA4C14">
              <w:rPr>
                <w:szCs w:val="18"/>
                <w:lang w:val="ru-RU" w:eastAsia="en-GB"/>
              </w:rPr>
              <w:t>1 390</w:t>
            </w:r>
          </w:p>
        </w:tc>
      </w:tr>
      <w:tr w:rsidR="00EE4F94" w:rsidRPr="00CA4C14" w14:paraId="192134D5" w14:textId="77777777" w:rsidTr="00C663FA">
        <w:trPr>
          <w:jc w:val="center"/>
        </w:trPr>
        <w:tc>
          <w:tcPr>
            <w:tcW w:w="2875" w:type="pct"/>
            <w:tcBorders>
              <w:top w:val="nil"/>
              <w:left w:val="nil"/>
              <w:bottom w:val="nil"/>
              <w:right w:val="nil"/>
            </w:tcBorders>
            <w:shd w:val="clear" w:color="auto" w:fill="auto"/>
            <w:noWrap/>
            <w:vAlign w:val="bottom"/>
            <w:hideMark/>
          </w:tcPr>
          <w:p w14:paraId="038ADC27" w14:textId="77777777" w:rsidR="00EE4F94" w:rsidRPr="00CA4C14" w:rsidRDefault="00EE4F94" w:rsidP="00FD58CA">
            <w:pPr>
              <w:pStyle w:val="Tabletext"/>
              <w:keepNext/>
              <w:rPr>
                <w:szCs w:val="18"/>
                <w:lang w:val="ru-RU" w:eastAsia="en-GB"/>
              </w:rPr>
            </w:pPr>
            <w:r w:rsidRPr="00CA4C14">
              <w:rPr>
                <w:szCs w:val="18"/>
                <w:lang w:val="ru-RU"/>
              </w:rPr>
              <w:t>Пенсии</w:t>
            </w:r>
          </w:p>
        </w:tc>
        <w:tc>
          <w:tcPr>
            <w:tcW w:w="1062" w:type="pct"/>
            <w:tcBorders>
              <w:top w:val="nil"/>
              <w:left w:val="nil"/>
              <w:bottom w:val="nil"/>
              <w:right w:val="nil"/>
            </w:tcBorders>
            <w:shd w:val="clear" w:color="auto" w:fill="auto"/>
            <w:noWrap/>
            <w:vAlign w:val="center"/>
            <w:hideMark/>
          </w:tcPr>
          <w:p w14:paraId="012C7600" w14:textId="77777777" w:rsidR="00EE4F94" w:rsidRPr="00CA4C14" w:rsidRDefault="00EE4F94" w:rsidP="00FD58CA">
            <w:pPr>
              <w:pStyle w:val="Tabletext"/>
              <w:keepNext/>
              <w:jc w:val="right"/>
              <w:rPr>
                <w:szCs w:val="18"/>
                <w:lang w:val="ru-RU" w:eastAsia="en-GB"/>
              </w:rPr>
            </w:pPr>
            <w:r w:rsidRPr="00CA4C14">
              <w:rPr>
                <w:szCs w:val="18"/>
                <w:lang w:val="ru-RU" w:eastAsia="en-GB"/>
              </w:rPr>
              <w:t>96</w:t>
            </w:r>
          </w:p>
        </w:tc>
        <w:tc>
          <w:tcPr>
            <w:tcW w:w="1063" w:type="pct"/>
            <w:tcBorders>
              <w:top w:val="nil"/>
              <w:left w:val="nil"/>
              <w:bottom w:val="nil"/>
              <w:right w:val="nil"/>
            </w:tcBorders>
            <w:shd w:val="clear" w:color="auto" w:fill="auto"/>
            <w:noWrap/>
            <w:vAlign w:val="center"/>
            <w:hideMark/>
          </w:tcPr>
          <w:p w14:paraId="21B78976" w14:textId="77777777" w:rsidR="00EE4F94" w:rsidRPr="00CA4C14" w:rsidRDefault="00EE4F94" w:rsidP="00FD58CA">
            <w:pPr>
              <w:pStyle w:val="Tabletext"/>
              <w:keepNext/>
              <w:jc w:val="right"/>
              <w:rPr>
                <w:szCs w:val="18"/>
                <w:lang w:val="ru-RU" w:eastAsia="en-GB"/>
              </w:rPr>
            </w:pPr>
            <w:r w:rsidRPr="00CA4C14">
              <w:rPr>
                <w:szCs w:val="18"/>
                <w:lang w:val="ru-RU" w:eastAsia="en-GB"/>
              </w:rPr>
              <w:t>126</w:t>
            </w:r>
          </w:p>
        </w:tc>
      </w:tr>
      <w:tr w:rsidR="00EE4F94" w:rsidRPr="00CA4C14" w14:paraId="35935B16" w14:textId="77777777" w:rsidTr="00C663FA">
        <w:trPr>
          <w:jc w:val="center"/>
        </w:trPr>
        <w:tc>
          <w:tcPr>
            <w:tcW w:w="2875" w:type="pct"/>
            <w:tcBorders>
              <w:top w:val="nil"/>
              <w:left w:val="nil"/>
              <w:bottom w:val="nil"/>
              <w:right w:val="nil"/>
            </w:tcBorders>
            <w:shd w:val="clear" w:color="auto" w:fill="auto"/>
            <w:noWrap/>
            <w:vAlign w:val="bottom"/>
            <w:hideMark/>
          </w:tcPr>
          <w:p w14:paraId="29F4A0DD" w14:textId="77777777" w:rsidR="00EE4F94" w:rsidRPr="00CA4C14" w:rsidRDefault="00EE4F94" w:rsidP="00FD58CA">
            <w:pPr>
              <w:pStyle w:val="Tabletext"/>
              <w:keepNext/>
              <w:rPr>
                <w:szCs w:val="18"/>
                <w:lang w:val="ru-RU" w:eastAsia="en-GB"/>
              </w:rPr>
            </w:pPr>
            <w:r w:rsidRPr="00CA4C14">
              <w:rPr>
                <w:szCs w:val="18"/>
                <w:lang w:val="ru-RU"/>
              </w:rPr>
              <w:t>Накопленные проценты</w:t>
            </w:r>
          </w:p>
        </w:tc>
        <w:tc>
          <w:tcPr>
            <w:tcW w:w="1062" w:type="pct"/>
            <w:tcBorders>
              <w:top w:val="nil"/>
              <w:left w:val="nil"/>
              <w:bottom w:val="nil"/>
              <w:right w:val="nil"/>
            </w:tcBorders>
            <w:shd w:val="clear" w:color="auto" w:fill="auto"/>
            <w:noWrap/>
            <w:vAlign w:val="center"/>
            <w:hideMark/>
          </w:tcPr>
          <w:p w14:paraId="28CC1970" w14:textId="77777777" w:rsidR="00EE4F94" w:rsidRPr="00CA4C14" w:rsidRDefault="00EE4F94" w:rsidP="00FD58CA">
            <w:pPr>
              <w:pStyle w:val="Tabletext"/>
              <w:keepNext/>
              <w:jc w:val="right"/>
              <w:rPr>
                <w:szCs w:val="18"/>
                <w:lang w:val="ru-RU" w:eastAsia="en-GB"/>
              </w:rPr>
            </w:pPr>
            <w:r w:rsidRPr="00CA4C14">
              <w:rPr>
                <w:szCs w:val="18"/>
                <w:lang w:val="ru-RU" w:eastAsia="en-GB"/>
              </w:rPr>
              <w:t>917</w:t>
            </w:r>
          </w:p>
        </w:tc>
        <w:tc>
          <w:tcPr>
            <w:tcW w:w="1063" w:type="pct"/>
            <w:tcBorders>
              <w:top w:val="nil"/>
              <w:left w:val="nil"/>
              <w:bottom w:val="nil"/>
              <w:right w:val="nil"/>
            </w:tcBorders>
            <w:shd w:val="clear" w:color="auto" w:fill="auto"/>
            <w:noWrap/>
            <w:vAlign w:val="center"/>
            <w:hideMark/>
          </w:tcPr>
          <w:p w14:paraId="38F8A309" w14:textId="77777777" w:rsidR="00EE4F94" w:rsidRPr="00CA4C14" w:rsidRDefault="00EE4F94" w:rsidP="00FD58CA">
            <w:pPr>
              <w:pStyle w:val="Tabletext"/>
              <w:keepNext/>
              <w:jc w:val="right"/>
              <w:rPr>
                <w:szCs w:val="18"/>
                <w:lang w:val="ru-RU" w:eastAsia="en-GB"/>
              </w:rPr>
            </w:pPr>
            <w:r w:rsidRPr="00CA4C14">
              <w:rPr>
                <w:szCs w:val="18"/>
                <w:lang w:val="ru-RU" w:eastAsia="en-GB"/>
              </w:rPr>
              <w:t>242</w:t>
            </w:r>
          </w:p>
        </w:tc>
      </w:tr>
      <w:tr w:rsidR="00EE4F94" w:rsidRPr="00CA4C14" w14:paraId="2F8F8E0C" w14:textId="77777777" w:rsidTr="00C663FA">
        <w:trPr>
          <w:jc w:val="center"/>
        </w:trPr>
        <w:tc>
          <w:tcPr>
            <w:tcW w:w="2875" w:type="pct"/>
            <w:tcBorders>
              <w:top w:val="nil"/>
              <w:left w:val="nil"/>
              <w:bottom w:val="nil"/>
              <w:right w:val="nil"/>
            </w:tcBorders>
            <w:shd w:val="clear" w:color="auto" w:fill="auto"/>
            <w:noWrap/>
            <w:vAlign w:val="bottom"/>
            <w:hideMark/>
          </w:tcPr>
          <w:p w14:paraId="711A2FCF" w14:textId="77777777" w:rsidR="00EE4F94" w:rsidRPr="00CA4C14" w:rsidRDefault="00EE4F94" w:rsidP="00FD58CA">
            <w:pPr>
              <w:pStyle w:val="Tabletext"/>
              <w:keepNext/>
              <w:rPr>
                <w:szCs w:val="18"/>
                <w:lang w:val="ru-RU" w:eastAsia="en-GB"/>
              </w:rPr>
            </w:pPr>
            <w:r w:rsidRPr="00CA4C14">
              <w:rPr>
                <w:szCs w:val="18"/>
                <w:lang w:val="ru-RU"/>
              </w:rPr>
              <w:t>Расходы будущих периодов</w:t>
            </w:r>
          </w:p>
        </w:tc>
        <w:tc>
          <w:tcPr>
            <w:tcW w:w="1062" w:type="pct"/>
            <w:tcBorders>
              <w:top w:val="nil"/>
              <w:left w:val="nil"/>
              <w:bottom w:val="nil"/>
              <w:right w:val="nil"/>
            </w:tcBorders>
            <w:shd w:val="clear" w:color="auto" w:fill="auto"/>
            <w:noWrap/>
            <w:vAlign w:val="center"/>
            <w:hideMark/>
          </w:tcPr>
          <w:p w14:paraId="14A909B8" w14:textId="77777777" w:rsidR="00EE4F94" w:rsidRPr="00CA4C14" w:rsidRDefault="00EE4F94" w:rsidP="00FD58CA">
            <w:pPr>
              <w:pStyle w:val="Tabletext"/>
              <w:keepNext/>
              <w:jc w:val="right"/>
              <w:rPr>
                <w:szCs w:val="18"/>
                <w:lang w:val="ru-RU" w:eastAsia="en-GB"/>
              </w:rPr>
            </w:pPr>
            <w:r w:rsidRPr="00CA4C14">
              <w:rPr>
                <w:szCs w:val="18"/>
                <w:lang w:val="ru-RU" w:eastAsia="en-GB"/>
              </w:rPr>
              <w:t>1 854</w:t>
            </w:r>
          </w:p>
        </w:tc>
        <w:tc>
          <w:tcPr>
            <w:tcW w:w="1063" w:type="pct"/>
            <w:tcBorders>
              <w:top w:val="nil"/>
              <w:left w:val="nil"/>
              <w:bottom w:val="nil"/>
              <w:right w:val="nil"/>
            </w:tcBorders>
            <w:shd w:val="clear" w:color="auto" w:fill="auto"/>
            <w:noWrap/>
            <w:vAlign w:val="center"/>
            <w:hideMark/>
          </w:tcPr>
          <w:p w14:paraId="33E69283" w14:textId="77777777" w:rsidR="00EE4F94" w:rsidRPr="00CA4C14" w:rsidRDefault="00EE4F94" w:rsidP="00FD58CA">
            <w:pPr>
              <w:pStyle w:val="Tabletext"/>
              <w:keepNext/>
              <w:jc w:val="right"/>
              <w:rPr>
                <w:szCs w:val="18"/>
                <w:lang w:val="ru-RU" w:eastAsia="en-GB"/>
              </w:rPr>
            </w:pPr>
            <w:r w:rsidRPr="00CA4C14">
              <w:rPr>
                <w:szCs w:val="18"/>
                <w:lang w:val="ru-RU" w:eastAsia="en-GB"/>
              </w:rPr>
              <w:t>1 499</w:t>
            </w:r>
          </w:p>
        </w:tc>
      </w:tr>
      <w:tr w:rsidR="00EE4F94" w:rsidRPr="00CA4C14" w14:paraId="62303EEF" w14:textId="77777777" w:rsidTr="00C663FA">
        <w:trPr>
          <w:jc w:val="center"/>
        </w:trPr>
        <w:tc>
          <w:tcPr>
            <w:tcW w:w="2875" w:type="pct"/>
            <w:tcBorders>
              <w:top w:val="nil"/>
              <w:left w:val="nil"/>
              <w:bottom w:val="nil"/>
              <w:right w:val="nil"/>
            </w:tcBorders>
            <w:shd w:val="clear" w:color="000000" w:fill="0070C0"/>
            <w:noWrap/>
            <w:vAlign w:val="center"/>
            <w:hideMark/>
          </w:tcPr>
          <w:p w14:paraId="31492FC3" w14:textId="77777777" w:rsidR="00EE4F94" w:rsidRPr="00CA4C14" w:rsidRDefault="00EE4F94" w:rsidP="009E486A">
            <w:pPr>
              <w:pStyle w:val="Tabletext"/>
              <w:rPr>
                <w:b/>
                <w:bCs/>
                <w:szCs w:val="18"/>
                <w:lang w:val="ru-RU" w:eastAsia="en-GB"/>
              </w:rPr>
            </w:pPr>
            <w:r w:rsidRPr="00CA4C14">
              <w:rPr>
                <w:b/>
                <w:bCs/>
                <w:szCs w:val="18"/>
                <w:lang w:val="ru-RU"/>
              </w:rPr>
              <w:t>Всего: прочие долговые обязательства</w:t>
            </w:r>
          </w:p>
        </w:tc>
        <w:tc>
          <w:tcPr>
            <w:tcW w:w="1062" w:type="pct"/>
            <w:tcBorders>
              <w:top w:val="nil"/>
              <w:left w:val="nil"/>
              <w:bottom w:val="nil"/>
              <w:right w:val="nil"/>
            </w:tcBorders>
            <w:shd w:val="clear" w:color="000000" w:fill="0070C0"/>
            <w:noWrap/>
            <w:vAlign w:val="center"/>
            <w:hideMark/>
          </w:tcPr>
          <w:p w14:paraId="5FBA17AA" w14:textId="77777777" w:rsidR="00EE4F94" w:rsidRPr="00CA4C14" w:rsidRDefault="00EE4F94" w:rsidP="009E486A">
            <w:pPr>
              <w:pStyle w:val="Tabletext"/>
              <w:jc w:val="right"/>
              <w:rPr>
                <w:b/>
                <w:bCs/>
                <w:szCs w:val="18"/>
                <w:lang w:val="ru-RU" w:eastAsia="en-GB"/>
              </w:rPr>
            </w:pPr>
            <w:r w:rsidRPr="00CA4C14">
              <w:rPr>
                <w:b/>
                <w:bCs/>
                <w:szCs w:val="18"/>
                <w:lang w:val="ru-RU" w:eastAsia="en-GB"/>
              </w:rPr>
              <w:t>6 238</w:t>
            </w:r>
          </w:p>
        </w:tc>
        <w:tc>
          <w:tcPr>
            <w:tcW w:w="1063" w:type="pct"/>
            <w:tcBorders>
              <w:top w:val="nil"/>
              <w:left w:val="nil"/>
              <w:bottom w:val="nil"/>
              <w:right w:val="nil"/>
            </w:tcBorders>
            <w:shd w:val="clear" w:color="000000" w:fill="0070C0"/>
            <w:noWrap/>
            <w:vAlign w:val="center"/>
            <w:hideMark/>
          </w:tcPr>
          <w:p w14:paraId="012ACE12" w14:textId="77777777" w:rsidR="00EE4F94" w:rsidRPr="00CA4C14" w:rsidRDefault="00EE4F94" w:rsidP="009E486A">
            <w:pPr>
              <w:pStyle w:val="Tabletext"/>
              <w:jc w:val="right"/>
              <w:rPr>
                <w:b/>
                <w:bCs/>
                <w:szCs w:val="18"/>
                <w:lang w:val="ru-RU" w:eastAsia="en-GB"/>
              </w:rPr>
            </w:pPr>
            <w:r w:rsidRPr="00CA4C14">
              <w:rPr>
                <w:b/>
                <w:bCs/>
                <w:szCs w:val="18"/>
                <w:lang w:val="ru-RU" w:eastAsia="en-GB"/>
              </w:rPr>
              <w:t>5 441</w:t>
            </w:r>
          </w:p>
        </w:tc>
      </w:tr>
    </w:tbl>
    <w:p w14:paraId="6FEB5214" w14:textId="77777777" w:rsidR="00EE4F94" w:rsidRPr="00CA4C14" w:rsidRDefault="00EE4F94" w:rsidP="006A7EB9">
      <w:pPr>
        <w:pStyle w:val="Heading5"/>
        <w:rPr>
          <w:lang w:val="ru-RU"/>
        </w:rPr>
      </w:pPr>
      <w:bookmarkStart w:id="377" w:name="_Toc305764086"/>
      <w:bookmarkStart w:id="378" w:name="_Toc1888352339"/>
      <w:bookmarkStart w:id="379" w:name="_Toc164845557"/>
      <w:bookmarkStart w:id="380" w:name="_Toc168578471"/>
      <w:bookmarkStart w:id="381" w:name="_Hlk145681264"/>
      <w:r w:rsidRPr="00CA4C14">
        <w:rPr>
          <w:lang w:val="ru-RU"/>
        </w:rPr>
        <w:t>Примечание 11</w:t>
      </w:r>
      <w:r w:rsidRPr="00CA4C14">
        <w:rPr>
          <w:lang w:val="ru-RU"/>
        </w:rPr>
        <w:tab/>
      </w:r>
      <w:bookmarkEnd w:id="377"/>
      <w:bookmarkEnd w:id="378"/>
      <w:bookmarkEnd w:id="379"/>
      <w:r w:rsidRPr="00CA4C14">
        <w:rPr>
          <w:lang w:val="ru-RU"/>
        </w:rPr>
        <w:t>Материальные активы</w:t>
      </w:r>
      <w:bookmarkEnd w:id="380"/>
    </w:p>
    <w:p w14:paraId="31B8CD37" w14:textId="77777777" w:rsidR="00EE4F94" w:rsidRPr="00CA4C14" w:rsidRDefault="00EE4F94" w:rsidP="006A7EB9">
      <w:pPr>
        <w:rPr>
          <w:lang w:val="ru-RU"/>
        </w:rPr>
      </w:pPr>
      <w:r w:rsidRPr="00CA4C14">
        <w:rPr>
          <w:lang w:val="ru-RU"/>
        </w:rPr>
        <w:t xml:space="preserve">Здания МСЭ включают: </w:t>
      </w:r>
    </w:p>
    <w:p w14:paraId="19A58BE0" w14:textId="77777777" w:rsidR="00EE4F94" w:rsidRPr="00CA4C14" w:rsidRDefault="00EE4F94" w:rsidP="006A7EB9">
      <w:pPr>
        <w:pStyle w:val="enumlev1"/>
        <w:spacing w:before="60"/>
        <w:rPr>
          <w:lang w:val="ru-RU"/>
        </w:rPr>
      </w:pPr>
      <w:r w:rsidRPr="00CA4C14">
        <w:rPr>
          <w:lang w:val="ru-RU"/>
        </w:rPr>
        <w:t>–</w:t>
      </w:r>
      <w:r w:rsidRPr="00CA4C14">
        <w:rPr>
          <w:lang w:val="ru-RU"/>
        </w:rPr>
        <w:tab/>
        <w:t xml:space="preserve">здание "Башня" по адресу: улица </w:t>
      </w:r>
      <w:proofErr w:type="spellStart"/>
      <w:r w:rsidRPr="00CA4C14">
        <w:rPr>
          <w:lang w:val="ru-RU"/>
        </w:rPr>
        <w:t>Варембе</w:t>
      </w:r>
      <w:proofErr w:type="spellEnd"/>
      <w:r w:rsidRPr="00CA4C14">
        <w:rPr>
          <w:lang w:val="ru-RU"/>
        </w:rPr>
        <w:t xml:space="preserve"> (</w:t>
      </w:r>
      <w:proofErr w:type="spellStart"/>
      <w:r w:rsidRPr="00CA4C14">
        <w:rPr>
          <w:lang w:val="ru-RU"/>
        </w:rPr>
        <w:t>rue</w:t>
      </w:r>
      <w:proofErr w:type="spellEnd"/>
      <w:r w:rsidRPr="00CA4C14">
        <w:rPr>
          <w:lang w:val="ru-RU"/>
        </w:rPr>
        <w:t xml:space="preserve"> de </w:t>
      </w:r>
      <w:proofErr w:type="spellStart"/>
      <w:r w:rsidRPr="00CA4C14">
        <w:rPr>
          <w:lang w:val="ru-RU"/>
        </w:rPr>
        <w:t>Varembé</w:t>
      </w:r>
      <w:proofErr w:type="spellEnd"/>
      <w:r w:rsidRPr="00CA4C14">
        <w:rPr>
          <w:lang w:val="ru-RU"/>
        </w:rPr>
        <w:t>), Женева;</w:t>
      </w:r>
    </w:p>
    <w:p w14:paraId="7EF3E27E" w14:textId="77777777" w:rsidR="00EE4F94" w:rsidRPr="00CA4C14" w:rsidRDefault="00EE4F94" w:rsidP="006A7EB9">
      <w:pPr>
        <w:pStyle w:val="enumlev1"/>
        <w:spacing w:before="60"/>
        <w:rPr>
          <w:lang w:val="ru-RU"/>
        </w:rPr>
      </w:pPr>
      <w:r w:rsidRPr="00CA4C14">
        <w:rPr>
          <w:lang w:val="ru-RU"/>
        </w:rPr>
        <w:t>–</w:t>
      </w:r>
      <w:r w:rsidRPr="00CA4C14">
        <w:rPr>
          <w:lang w:val="ru-RU"/>
        </w:rPr>
        <w:tab/>
        <w:t xml:space="preserve">здание "Варембе" по адресу: улица </w:t>
      </w:r>
      <w:proofErr w:type="spellStart"/>
      <w:r w:rsidRPr="00CA4C14">
        <w:rPr>
          <w:lang w:val="ru-RU"/>
        </w:rPr>
        <w:t>Варембе</w:t>
      </w:r>
      <w:proofErr w:type="spellEnd"/>
      <w:r w:rsidRPr="00CA4C14">
        <w:rPr>
          <w:lang w:val="ru-RU"/>
        </w:rPr>
        <w:t xml:space="preserve"> (</w:t>
      </w:r>
      <w:proofErr w:type="spellStart"/>
      <w:r w:rsidRPr="00CA4C14">
        <w:rPr>
          <w:lang w:val="ru-RU"/>
        </w:rPr>
        <w:t>rue</w:t>
      </w:r>
      <w:proofErr w:type="spellEnd"/>
      <w:r w:rsidRPr="00CA4C14">
        <w:rPr>
          <w:lang w:val="ru-RU"/>
        </w:rPr>
        <w:t xml:space="preserve"> de </w:t>
      </w:r>
      <w:proofErr w:type="spellStart"/>
      <w:r w:rsidRPr="00CA4C14">
        <w:rPr>
          <w:lang w:val="ru-RU"/>
        </w:rPr>
        <w:t>Varembé</w:t>
      </w:r>
      <w:proofErr w:type="spellEnd"/>
      <w:r w:rsidRPr="00CA4C14">
        <w:rPr>
          <w:lang w:val="ru-RU"/>
        </w:rPr>
        <w:t>), Женева. Это здание было полностью амортизировано по состоянию на 31 декабря 2022 года в преддверии начала реализации проекта строительства нового здания. В настоящее время это здание продолжает использоваться;</w:t>
      </w:r>
    </w:p>
    <w:p w14:paraId="6D44FEF8" w14:textId="77777777" w:rsidR="00EE4F94" w:rsidRPr="00CA4C14" w:rsidRDefault="00EE4F94" w:rsidP="006A7EB9">
      <w:pPr>
        <w:pStyle w:val="enumlev1"/>
        <w:spacing w:before="60"/>
        <w:rPr>
          <w:lang w:val="ru-RU"/>
        </w:rPr>
      </w:pPr>
      <w:r w:rsidRPr="00CA4C14">
        <w:rPr>
          <w:lang w:val="ru-RU"/>
        </w:rPr>
        <w:t>–</w:t>
      </w:r>
      <w:r w:rsidRPr="00CA4C14">
        <w:rPr>
          <w:lang w:val="ru-RU"/>
        </w:rPr>
        <w:tab/>
        <w:t xml:space="preserve">пристройку C и кафетерий по адресу: улица </w:t>
      </w:r>
      <w:proofErr w:type="spellStart"/>
      <w:r w:rsidRPr="00CA4C14">
        <w:rPr>
          <w:lang w:val="ru-RU"/>
        </w:rPr>
        <w:t>Варембе</w:t>
      </w:r>
      <w:proofErr w:type="spellEnd"/>
      <w:r w:rsidRPr="00CA4C14">
        <w:rPr>
          <w:lang w:val="ru-RU"/>
        </w:rPr>
        <w:t xml:space="preserve"> (</w:t>
      </w:r>
      <w:proofErr w:type="spellStart"/>
      <w:r w:rsidRPr="00CA4C14">
        <w:rPr>
          <w:lang w:val="ru-RU"/>
        </w:rPr>
        <w:t>rue</w:t>
      </w:r>
      <w:proofErr w:type="spellEnd"/>
      <w:r w:rsidRPr="00CA4C14">
        <w:rPr>
          <w:lang w:val="ru-RU"/>
        </w:rPr>
        <w:t xml:space="preserve"> de </w:t>
      </w:r>
      <w:proofErr w:type="spellStart"/>
      <w:r w:rsidRPr="00CA4C14">
        <w:rPr>
          <w:lang w:val="ru-RU"/>
        </w:rPr>
        <w:t>Varembé</w:t>
      </w:r>
      <w:proofErr w:type="spellEnd"/>
      <w:r w:rsidRPr="00CA4C14">
        <w:rPr>
          <w:lang w:val="ru-RU"/>
        </w:rPr>
        <w:t>), Женева;</w:t>
      </w:r>
    </w:p>
    <w:p w14:paraId="0AF67266" w14:textId="77777777" w:rsidR="00EE4F94" w:rsidRPr="00CA4C14" w:rsidRDefault="00EE4F94" w:rsidP="006A7EB9">
      <w:pPr>
        <w:pStyle w:val="enumlev1"/>
        <w:spacing w:before="60"/>
        <w:rPr>
          <w:lang w:val="ru-RU"/>
        </w:rPr>
      </w:pPr>
      <w:r w:rsidRPr="00CA4C14">
        <w:rPr>
          <w:lang w:val="ru-RU"/>
        </w:rPr>
        <w:t>–</w:t>
      </w:r>
      <w:r w:rsidRPr="00CA4C14">
        <w:rPr>
          <w:lang w:val="ru-RU"/>
        </w:rPr>
        <w:tab/>
        <w:t xml:space="preserve">здание "Монбрийан" по адресу: улица </w:t>
      </w:r>
      <w:proofErr w:type="spellStart"/>
      <w:r w:rsidRPr="00CA4C14">
        <w:rPr>
          <w:lang w:val="ru-RU"/>
        </w:rPr>
        <w:t>Варембе</w:t>
      </w:r>
      <w:proofErr w:type="spellEnd"/>
      <w:r w:rsidRPr="00CA4C14">
        <w:rPr>
          <w:lang w:val="ru-RU"/>
        </w:rPr>
        <w:t xml:space="preserve"> (</w:t>
      </w:r>
      <w:proofErr w:type="spellStart"/>
      <w:r w:rsidRPr="00CA4C14">
        <w:rPr>
          <w:lang w:val="ru-RU"/>
        </w:rPr>
        <w:t>rue</w:t>
      </w:r>
      <w:proofErr w:type="spellEnd"/>
      <w:r w:rsidRPr="00CA4C14">
        <w:rPr>
          <w:lang w:val="ru-RU"/>
        </w:rPr>
        <w:t xml:space="preserve"> de </w:t>
      </w:r>
      <w:proofErr w:type="spellStart"/>
      <w:r w:rsidRPr="00CA4C14">
        <w:rPr>
          <w:lang w:val="ru-RU"/>
        </w:rPr>
        <w:t>Varembé</w:t>
      </w:r>
      <w:proofErr w:type="spellEnd"/>
      <w:r w:rsidRPr="00CA4C14">
        <w:rPr>
          <w:lang w:val="ru-RU"/>
        </w:rPr>
        <w:t>), Женева.</w:t>
      </w:r>
    </w:p>
    <w:p w14:paraId="2B8F61BD" w14:textId="77777777" w:rsidR="00EE4F94" w:rsidRPr="00CA4C14" w:rsidRDefault="00EE4F94" w:rsidP="00813927">
      <w:pPr>
        <w:rPr>
          <w:lang w:val="ru-RU"/>
        </w:rPr>
      </w:pPr>
      <w:r w:rsidRPr="00CA4C14">
        <w:rPr>
          <w:lang w:val="ru-RU"/>
        </w:rPr>
        <w:t>МСЭ не владеет землей, на которой расположено его недвижимое имущество; правительство бесплатно предоставило ему право пользования землей, сохраняя за собой право собственности на землю. Учитывая, что у МСЭ нет полномочий на коммерческое распоряжение этими правами, стоимость земли не отражается в финансовой отчетности.</w:t>
      </w:r>
    </w:p>
    <w:p w14:paraId="36A5495B" w14:textId="4241FBBD" w:rsidR="00EE4F94" w:rsidRPr="00CA4C14" w:rsidRDefault="00EE4F94" w:rsidP="00813927">
      <w:pPr>
        <w:rPr>
          <w:lang w:val="ru-RU"/>
        </w:rPr>
      </w:pPr>
      <w:r w:rsidRPr="00CA4C14">
        <w:rPr>
          <w:lang w:val="ru-RU"/>
        </w:rPr>
        <w:lastRenderedPageBreak/>
        <w:t>Невозможность свободно продать землю или извлечь коммерческую прибыль из ее использования означает, что получить</w:t>
      </w:r>
      <w:r w:rsidR="000C6E3F" w:rsidRPr="00CA4C14">
        <w:rPr>
          <w:lang w:val="ru-RU"/>
        </w:rPr>
        <w:t xml:space="preserve"> </w:t>
      </w:r>
      <w:hyperlink r:id="rId26" w:history="1">
        <w:r w:rsidRPr="00CA4C14">
          <w:rPr>
            <w:lang w:val="ru-RU"/>
          </w:rPr>
          <w:t>достоверную</w:t>
        </w:r>
      </w:hyperlink>
      <w:r w:rsidR="000C6E3F" w:rsidRPr="00CA4C14">
        <w:rPr>
          <w:lang w:val="ru-RU"/>
        </w:rPr>
        <w:t xml:space="preserve"> </w:t>
      </w:r>
      <w:r w:rsidRPr="00CA4C14">
        <w:rPr>
          <w:lang w:val="ru-RU"/>
        </w:rPr>
        <w:t>оценку</w:t>
      </w:r>
      <w:r w:rsidR="000C6E3F" w:rsidRPr="00CA4C14">
        <w:rPr>
          <w:lang w:val="ru-RU"/>
        </w:rPr>
        <w:t xml:space="preserve"> </w:t>
      </w:r>
      <w:hyperlink r:id="rId27" w:history="1">
        <w:r w:rsidRPr="00CA4C14">
          <w:rPr>
            <w:lang w:val="ru-RU"/>
          </w:rPr>
          <w:t>справедливой стоимости</w:t>
        </w:r>
      </w:hyperlink>
      <w:r w:rsidR="000C6E3F" w:rsidRPr="00CA4C14">
        <w:rPr>
          <w:lang w:val="ru-RU"/>
        </w:rPr>
        <w:t xml:space="preserve"> </w:t>
      </w:r>
      <w:r w:rsidRPr="00CA4C14">
        <w:rPr>
          <w:lang w:val="ru-RU"/>
        </w:rPr>
        <w:t>или оценить разницу между справедливой стоимостью и исторической стоимостью за вычетом накопленной амортизации не представляется возможным. Следовательно, эти юридические и практические ограничения раскрыты для обеспечения прозрачности согласно требованиям IPSAS в отношении признания и оценки материальных активов.</w:t>
      </w:r>
    </w:p>
    <w:p w14:paraId="7DFBFCA6" w14:textId="77777777" w:rsidR="00EE4F94" w:rsidRPr="00CA4C14" w:rsidRDefault="00EE4F94" w:rsidP="0044020A">
      <w:pPr>
        <w:spacing w:after="120"/>
        <w:rPr>
          <w:lang w:val="ru-RU"/>
        </w:rPr>
      </w:pPr>
      <w:r w:rsidRPr="00CA4C14">
        <w:rPr>
          <w:lang w:val="ru-RU"/>
        </w:rPr>
        <w:t>По состоянию на 31 декабря 2023 года никакие материальные активы не были заложены в качестве гарантии долга. МСЭ ведет всеобъемлющий график учета зданий, машин и оборудования. В этот график включены активы, которые полностью амортизированы, но продолжают активно использоваться в организации. Ниже представлена валовая балансовая стоимость полностью амортизированных зданий, машин и оборудования, которые остаются в эксплуатации по состоянию на 31 декабря 2023 года (эта стоимость также учитывает данные двух таблиц в этом примечании, которые следуют после):</w:t>
      </w:r>
    </w:p>
    <w:tbl>
      <w:tblPr>
        <w:tblW w:w="5000" w:type="pct"/>
        <w:jc w:val="center"/>
        <w:tblLook w:val="04A0" w:firstRow="1" w:lastRow="0" w:firstColumn="1" w:lastColumn="0" w:noHBand="0" w:noVBand="1"/>
      </w:tblPr>
      <w:tblGrid>
        <w:gridCol w:w="6123"/>
        <w:gridCol w:w="2948"/>
      </w:tblGrid>
      <w:tr w:rsidR="00EE4F94" w:rsidRPr="00CA4C14" w14:paraId="1F4906E7" w14:textId="77777777" w:rsidTr="000C6E3F">
        <w:trPr>
          <w:jc w:val="center"/>
        </w:trPr>
        <w:tc>
          <w:tcPr>
            <w:tcW w:w="3375" w:type="pct"/>
            <w:tcBorders>
              <w:top w:val="nil"/>
              <w:left w:val="nil"/>
              <w:bottom w:val="nil"/>
              <w:right w:val="nil"/>
            </w:tcBorders>
            <w:shd w:val="clear" w:color="000000" w:fill="0070C0"/>
            <w:noWrap/>
            <w:vAlign w:val="center"/>
            <w:hideMark/>
          </w:tcPr>
          <w:p w14:paraId="47186F47" w14:textId="77777777" w:rsidR="00EE4F94" w:rsidRPr="00CA4C14" w:rsidRDefault="00EE4F94" w:rsidP="001F35D9">
            <w:pPr>
              <w:pStyle w:val="Tablehead"/>
              <w:rPr>
                <w:szCs w:val="18"/>
                <w:lang w:val="ru-RU" w:eastAsia="en-GB"/>
              </w:rPr>
            </w:pPr>
            <w:r w:rsidRPr="00CA4C14">
              <w:rPr>
                <w:szCs w:val="18"/>
                <w:lang w:val="ru-RU" w:eastAsia="en-GB"/>
              </w:rPr>
              <w:t>Категория активов (тыс. шв. фр.)</w:t>
            </w:r>
          </w:p>
        </w:tc>
        <w:tc>
          <w:tcPr>
            <w:tcW w:w="1625" w:type="pct"/>
            <w:tcBorders>
              <w:top w:val="nil"/>
              <w:left w:val="nil"/>
              <w:bottom w:val="nil"/>
              <w:right w:val="nil"/>
            </w:tcBorders>
            <w:shd w:val="clear" w:color="000000" w:fill="0070C0"/>
            <w:vAlign w:val="center"/>
            <w:hideMark/>
          </w:tcPr>
          <w:p w14:paraId="0F71E41E" w14:textId="77777777" w:rsidR="00EE4F94" w:rsidRPr="00CA4C14" w:rsidRDefault="00EE4F94" w:rsidP="001F35D9">
            <w:pPr>
              <w:pStyle w:val="Tablehead"/>
              <w:rPr>
                <w:szCs w:val="18"/>
                <w:lang w:val="ru-RU" w:eastAsia="en-GB"/>
              </w:rPr>
            </w:pPr>
            <w:r w:rsidRPr="00CA4C14">
              <w:rPr>
                <w:szCs w:val="18"/>
                <w:lang w:val="ru-RU" w:eastAsia="en-GB"/>
              </w:rPr>
              <w:t>Валовая балансовая стоимость</w:t>
            </w:r>
          </w:p>
        </w:tc>
      </w:tr>
      <w:tr w:rsidR="00EE4F94" w:rsidRPr="00CA4C14" w14:paraId="57CB8CE5" w14:textId="77777777" w:rsidTr="000C6E3F">
        <w:trPr>
          <w:jc w:val="center"/>
        </w:trPr>
        <w:tc>
          <w:tcPr>
            <w:tcW w:w="3375" w:type="pct"/>
            <w:tcBorders>
              <w:top w:val="nil"/>
              <w:left w:val="nil"/>
              <w:bottom w:val="nil"/>
              <w:right w:val="nil"/>
            </w:tcBorders>
            <w:shd w:val="clear" w:color="auto" w:fill="auto"/>
            <w:noWrap/>
            <w:vAlign w:val="bottom"/>
            <w:hideMark/>
          </w:tcPr>
          <w:p w14:paraId="4F9A81A4" w14:textId="77777777" w:rsidR="00EE4F94" w:rsidRPr="00CA4C14" w:rsidRDefault="00EE4F94" w:rsidP="001F35D9">
            <w:pPr>
              <w:pStyle w:val="Tabletext"/>
              <w:keepNext/>
              <w:rPr>
                <w:szCs w:val="18"/>
                <w:lang w:val="ru-RU" w:eastAsia="en-GB"/>
              </w:rPr>
            </w:pPr>
            <w:r w:rsidRPr="00CA4C14">
              <w:rPr>
                <w:szCs w:val="18"/>
                <w:lang w:val="ru-RU"/>
              </w:rPr>
              <w:t>Здания</w:t>
            </w:r>
          </w:p>
        </w:tc>
        <w:tc>
          <w:tcPr>
            <w:tcW w:w="1625" w:type="pct"/>
            <w:tcBorders>
              <w:top w:val="nil"/>
              <w:left w:val="nil"/>
              <w:bottom w:val="nil"/>
              <w:right w:val="nil"/>
            </w:tcBorders>
            <w:shd w:val="clear" w:color="auto" w:fill="auto"/>
            <w:noWrap/>
            <w:vAlign w:val="center"/>
            <w:hideMark/>
          </w:tcPr>
          <w:p w14:paraId="756C537B" w14:textId="77777777" w:rsidR="00EE4F94" w:rsidRPr="00CA4C14" w:rsidRDefault="00EE4F94" w:rsidP="001F35D9">
            <w:pPr>
              <w:pStyle w:val="Tabletext"/>
              <w:keepNext/>
              <w:jc w:val="right"/>
              <w:rPr>
                <w:szCs w:val="18"/>
                <w:lang w:val="ru-RU" w:eastAsia="en-GB"/>
              </w:rPr>
            </w:pPr>
            <w:r w:rsidRPr="00CA4C14">
              <w:rPr>
                <w:szCs w:val="18"/>
                <w:lang w:val="ru-RU" w:eastAsia="en-GB"/>
              </w:rPr>
              <w:t>38 076</w:t>
            </w:r>
          </w:p>
        </w:tc>
      </w:tr>
      <w:tr w:rsidR="00EE4F94" w:rsidRPr="00CA4C14" w14:paraId="2ADA5298" w14:textId="77777777" w:rsidTr="000C6E3F">
        <w:trPr>
          <w:jc w:val="center"/>
        </w:trPr>
        <w:tc>
          <w:tcPr>
            <w:tcW w:w="3375" w:type="pct"/>
            <w:tcBorders>
              <w:top w:val="nil"/>
              <w:left w:val="nil"/>
              <w:bottom w:val="nil"/>
              <w:right w:val="nil"/>
            </w:tcBorders>
            <w:shd w:val="clear" w:color="auto" w:fill="auto"/>
            <w:noWrap/>
            <w:vAlign w:val="bottom"/>
            <w:hideMark/>
          </w:tcPr>
          <w:p w14:paraId="36E906BB" w14:textId="77777777" w:rsidR="00EE4F94" w:rsidRPr="00CA4C14" w:rsidRDefault="00EE4F94" w:rsidP="001F35D9">
            <w:pPr>
              <w:pStyle w:val="Tabletext"/>
              <w:keepNext/>
              <w:rPr>
                <w:szCs w:val="18"/>
                <w:lang w:val="ru-RU" w:eastAsia="en-GB"/>
              </w:rPr>
            </w:pPr>
            <w:r w:rsidRPr="00CA4C14">
              <w:rPr>
                <w:szCs w:val="18"/>
                <w:lang w:val="ru-RU"/>
              </w:rPr>
              <w:t>Машины и оборудование</w:t>
            </w:r>
          </w:p>
        </w:tc>
        <w:tc>
          <w:tcPr>
            <w:tcW w:w="1625" w:type="pct"/>
            <w:tcBorders>
              <w:top w:val="nil"/>
              <w:left w:val="nil"/>
              <w:bottom w:val="nil"/>
              <w:right w:val="nil"/>
            </w:tcBorders>
            <w:shd w:val="clear" w:color="auto" w:fill="auto"/>
            <w:noWrap/>
            <w:vAlign w:val="center"/>
            <w:hideMark/>
          </w:tcPr>
          <w:p w14:paraId="24B41019" w14:textId="77777777" w:rsidR="00EE4F94" w:rsidRPr="00CA4C14" w:rsidRDefault="00EE4F94" w:rsidP="001F35D9">
            <w:pPr>
              <w:pStyle w:val="Tabletext"/>
              <w:keepNext/>
              <w:jc w:val="right"/>
              <w:rPr>
                <w:szCs w:val="18"/>
                <w:lang w:val="ru-RU" w:eastAsia="en-GB"/>
              </w:rPr>
            </w:pPr>
            <w:r w:rsidRPr="00CA4C14">
              <w:rPr>
                <w:szCs w:val="18"/>
                <w:lang w:val="ru-RU" w:eastAsia="en-GB"/>
              </w:rPr>
              <w:t>887</w:t>
            </w:r>
          </w:p>
        </w:tc>
      </w:tr>
      <w:tr w:rsidR="00EE4F94" w:rsidRPr="00CA4C14" w14:paraId="02184BCA" w14:textId="77777777" w:rsidTr="000C6E3F">
        <w:trPr>
          <w:jc w:val="center"/>
        </w:trPr>
        <w:tc>
          <w:tcPr>
            <w:tcW w:w="3375" w:type="pct"/>
            <w:tcBorders>
              <w:top w:val="nil"/>
              <w:left w:val="nil"/>
              <w:bottom w:val="nil"/>
              <w:right w:val="nil"/>
            </w:tcBorders>
            <w:shd w:val="clear" w:color="auto" w:fill="auto"/>
            <w:noWrap/>
            <w:vAlign w:val="bottom"/>
            <w:hideMark/>
          </w:tcPr>
          <w:p w14:paraId="149F5DF3" w14:textId="77777777" w:rsidR="00EE4F94" w:rsidRPr="00CA4C14" w:rsidRDefault="00EE4F94" w:rsidP="001F35D9">
            <w:pPr>
              <w:pStyle w:val="Tabletext"/>
              <w:keepNext/>
              <w:rPr>
                <w:szCs w:val="18"/>
                <w:lang w:val="ru-RU" w:eastAsia="en-GB"/>
              </w:rPr>
            </w:pPr>
            <w:r w:rsidRPr="00CA4C14">
              <w:rPr>
                <w:szCs w:val="18"/>
                <w:lang w:val="ru-RU"/>
              </w:rPr>
              <w:t>Компьютерное оборудование</w:t>
            </w:r>
          </w:p>
        </w:tc>
        <w:tc>
          <w:tcPr>
            <w:tcW w:w="1625" w:type="pct"/>
            <w:tcBorders>
              <w:top w:val="nil"/>
              <w:left w:val="nil"/>
              <w:bottom w:val="nil"/>
              <w:right w:val="nil"/>
            </w:tcBorders>
            <w:shd w:val="clear" w:color="auto" w:fill="auto"/>
            <w:noWrap/>
            <w:vAlign w:val="center"/>
            <w:hideMark/>
          </w:tcPr>
          <w:p w14:paraId="40E3E6C1" w14:textId="77777777" w:rsidR="00EE4F94" w:rsidRPr="00CA4C14" w:rsidRDefault="00EE4F94" w:rsidP="001F35D9">
            <w:pPr>
              <w:pStyle w:val="Tabletext"/>
              <w:keepNext/>
              <w:jc w:val="right"/>
              <w:rPr>
                <w:szCs w:val="18"/>
                <w:lang w:val="ru-RU" w:eastAsia="en-GB"/>
              </w:rPr>
            </w:pPr>
            <w:r w:rsidRPr="00CA4C14">
              <w:rPr>
                <w:szCs w:val="18"/>
                <w:lang w:val="ru-RU" w:eastAsia="en-GB"/>
              </w:rPr>
              <w:t>5 564</w:t>
            </w:r>
          </w:p>
        </w:tc>
      </w:tr>
      <w:tr w:rsidR="00EE4F94" w:rsidRPr="00CA4C14" w14:paraId="1CDB7058" w14:textId="77777777" w:rsidTr="000C6E3F">
        <w:trPr>
          <w:jc w:val="center"/>
        </w:trPr>
        <w:tc>
          <w:tcPr>
            <w:tcW w:w="3375" w:type="pct"/>
            <w:tcBorders>
              <w:top w:val="nil"/>
              <w:left w:val="nil"/>
              <w:bottom w:val="nil"/>
              <w:right w:val="nil"/>
            </w:tcBorders>
            <w:shd w:val="clear" w:color="auto" w:fill="auto"/>
            <w:noWrap/>
            <w:vAlign w:val="bottom"/>
            <w:hideMark/>
          </w:tcPr>
          <w:p w14:paraId="79203768" w14:textId="77777777" w:rsidR="00EE4F94" w:rsidRPr="00CA4C14" w:rsidRDefault="00EE4F94" w:rsidP="001F35D9">
            <w:pPr>
              <w:pStyle w:val="Tabletext"/>
              <w:keepNext/>
              <w:rPr>
                <w:szCs w:val="18"/>
                <w:lang w:val="ru-RU" w:eastAsia="en-GB"/>
              </w:rPr>
            </w:pPr>
            <w:r w:rsidRPr="00CA4C14">
              <w:rPr>
                <w:szCs w:val="18"/>
                <w:lang w:val="ru-RU"/>
              </w:rPr>
              <w:t>Автотранспортные средства</w:t>
            </w:r>
          </w:p>
        </w:tc>
        <w:tc>
          <w:tcPr>
            <w:tcW w:w="1625" w:type="pct"/>
            <w:tcBorders>
              <w:top w:val="nil"/>
              <w:left w:val="nil"/>
              <w:bottom w:val="nil"/>
              <w:right w:val="nil"/>
            </w:tcBorders>
            <w:shd w:val="clear" w:color="auto" w:fill="auto"/>
            <w:noWrap/>
            <w:vAlign w:val="center"/>
            <w:hideMark/>
          </w:tcPr>
          <w:p w14:paraId="63FA855F" w14:textId="77777777" w:rsidR="00EE4F94" w:rsidRPr="00CA4C14" w:rsidRDefault="00EE4F94" w:rsidP="001F35D9">
            <w:pPr>
              <w:pStyle w:val="Tabletext"/>
              <w:keepNext/>
              <w:jc w:val="right"/>
              <w:rPr>
                <w:szCs w:val="18"/>
                <w:lang w:val="ru-RU" w:eastAsia="en-GB"/>
              </w:rPr>
            </w:pPr>
            <w:r w:rsidRPr="00CA4C14">
              <w:rPr>
                <w:szCs w:val="18"/>
                <w:lang w:val="ru-RU" w:eastAsia="en-GB"/>
              </w:rPr>
              <w:t>199</w:t>
            </w:r>
          </w:p>
        </w:tc>
      </w:tr>
      <w:tr w:rsidR="00EE4F94" w:rsidRPr="00CA4C14" w14:paraId="422828B1" w14:textId="77777777" w:rsidTr="000C6E3F">
        <w:trPr>
          <w:jc w:val="center"/>
        </w:trPr>
        <w:tc>
          <w:tcPr>
            <w:tcW w:w="3375" w:type="pct"/>
            <w:tcBorders>
              <w:top w:val="nil"/>
              <w:left w:val="nil"/>
              <w:bottom w:val="nil"/>
              <w:right w:val="nil"/>
            </w:tcBorders>
            <w:shd w:val="clear" w:color="auto" w:fill="auto"/>
            <w:noWrap/>
            <w:vAlign w:val="bottom"/>
            <w:hideMark/>
          </w:tcPr>
          <w:p w14:paraId="2971A9DA" w14:textId="77777777" w:rsidR="00EE4F94" w:rsidRPr="00CA4C14" w:rsidRDefault="00EE4F94" w:rsidP="001F35D9">
            <w:pPr>
              <w:pStyle w:val="Tabletext"/>
              <w:keepNext/>
              <w:rPr>
                <w:szCs w:val="18"/>
                <w:lang w:val="ru-RU" w:eastAsia="en-GB"/>
              </w:rPr>
            </w:pPr>
            <w:r w:rsidRPr="00CA4C14">
              <w:rPr>
                <w:szCs w:val="18"/>
                <w:lang w:val="ru-RU" w:eastAsia="en-GB"/>
              </w:rPr>
              <w:t>Мебель и устройства</w:t>
            </w:r>
          </w:p>
        </w:tc>
        <w:tc>
          <w:tcPr>
            <w:tcW w:w="1625" w:type="pct"/>
            <w:tcBorders>
              <w:top w:val="nil"/>
              <w:left w:val="nil"/>
              <w:bottom w:val="nil"/>
              <w:right w:val="nil"/>
            </w:tcBorders>
            <w:shd w:val="clear" w:color="auto" w:fill="auto"/>
            <w:noWrap/>
            <w:vAlign w:val="center"/>
            <w:hideMark/>
          </w:tcPr>
          <w:p w14:paraId="088DC76C" w14:textId="77777777" w:rsidR="00EE4F94" w:rsidRPr="00CA4C14" w:rsidRDefault="00EE4F94" w:rsidP="001F35D9">
            <w:pPr>
              <w:pStyle w:val="Tabletext"/>
              <w:keepNext/>
              <w:jc w:val="right"/>
              <w:rPr>
                <w:szCs w:val="18"/>
                <w:lang w:val="ru-RU" w:eastAsia="en-GB"/>
              </w:rPr>
            </w:pPr>
            <w:r w:rsidRPr="00CA4C14">
              <w:rPr>
                <w:szCs w:val="18"/>
                <w:lang w:val="ru-RU" w:eastAsia="en-GB"/>
              </w:rPr>
              <w:t>1 298</w:t>
            </w:r>
          </w:p>
        </w:tc>
      </w:tr>
      <w:tr w:rsidR="00EE4F94" w:rsidRPr="00CA4C14" w14:paraId="5CB55291" w14:textId="77777777" w:rsidTr="000C6E3F">
        <w:trPr>
          <w:jc w:val="center"/>
        </w:trPr>
        <w:tc>
          <w:tcPr>
            <w:tcW w:w="3375" w:type="pct"/>
            <w:tcBorders>
              <w:top w:val="nil"/>
              <w:left w:val="nil"/>
              <w:bottom w:val="nil"/>
              <w:right w:val="nil"/>
            </w:tcBorders>
            <w:shd w:val="clear" w:color="000000" w:fill="0070C0"/>
            <w:noWrap/>
            <w:vAlign w:val="center"/>
            <w:hideMark/>
          </w:tcPr>
          <w:p w14:paraId="19ADD975" w14:textId="77777777" w:rsidR="00EE4F94" w:rsidRPr="00CA4C14" w:rsidRDefault="00EE4F94" w:rsidP="001F35D9">
            <w:pPr>
              <w:pStyle w:val="Tabletext"/>
              <w:rPr>
                <w:b/>
                <w:bCs/>
                <w:szCs w:val="18"/>
                <w:lang w:val="ru-RU" w:eastAsia="en-GB"/>
              </w:rPr>
            </w:pPr>
            <w:r w:rsidRPr="00CA4C14">
              <w:rPr>
                <w:b/>
                <w:bCs/>
                <w:szCs w:val="18"/>
                <w:lang w:val="ru-RU" w:eastAsia="en-GB"/>
              </w:rPr>
              <w:t>Всего</w:t>
            </w:r>
          </w:p>
        </w:tc>
        <w:tc>
          <w:tcPr>
            <w:tcW w:w="1625" w:type="pct"/>
            <w:tcBorders>
              <w:top w:val="nil"/>
              <w:left w:val="nil"/>
              <w:bottom w:val="nil"/>
              <w:right w:val="nil"/>
            </w:tcBorders>
            <w:shd w:val="clear" w:color="000000" w:fill="0070C0"/>
            <w:noWrap/>
            <w:vAlign w:val="center"/>
            <w:hideMark/>
          </w:tcPr>
          <w:p w14:paraId="3D7C1819" w14:textId="77777777" w:rsidR="00EE4F94" w:rsidRPr="00CA4C14" w:rsidRDefault="00EE4F94" w:rsidP="001F35D9">
            <w:pPr>
              <w:pStyle w:val="Tabletext"/>
              <w:jc w:val="right"/>
              <w:rPr>
                <w:b/>
                <w:bCs/>
                <w:szCs w:val="18"/>
                <w:lang w:val="ru-RU" w:eastAsia="en-GB"/>
              </w:rPr>
            </w:pPr>
            <w:r w:rsidRPr="00CA4C14">
              <w:rPr>
                <w:b/>
                <w:bCs/>
                <w:szCs w:val="18"/>
                <w:lang w:val="ru-RU" w:eastAsia="en-GB"/>
              </w:rPr>
              <w:t>46 025</w:t>
            </w:r>
          </w:p>
        </w:tc>
      </w:tr>
    </w:tbl>
    <w:p w14:paraId="332D7C90" w14:textId="77777777" w:rsidR="00EE4F94" w:rsidRPr="00CA4C14" w:rsidRDefault="00EE4F94" w:rsidP="00C663FA">
      <w:pPr>
        <w:pStyle w:val="Tabletitle"/>
        <w:spacing w:before="360"/>
        <w:rPr>
          <w:lang w:val="ru-RU"/>
        </w:rPr>
      </w:pPr>
      <w:r w:rsidRPr="00CA4C14">
        <w:rPr>
          <w:lang w:val="ru-RU"/>
        </w:rPr>
        <w:t>2023 год</w:t>
      </w:r>
    </w:p>
    <w:tbl>
      <w:tblPr>
        <w:tblW w:w="5000" w:type="pct"/>
        <w:jc w:val="center"/>
        <w:tblLook w:val="04A0" w:firstRow="1" w:lastRow="0" w:firstColumn="1" w:lastColumn="0" w:noHBand="0" w:noVBand="1"/>
      </w:tblPr>
      <w:tblGrid>
        <w:gridCol w:w="2831"/>
        <w:gridCol w:w="1035"/>
        <w:gridCol w:w="1035"/>
        <w:gridCol w:w="1035"/>
        <w:gridCol w:w="1035"/>
        <w:gridCol w:w="1066"/>
        <w:gridCol w:w="1034"/>
      </w:tblGrid>
      <w:tr w:rsidR="00EE4F94" w:rsidRPr="00CA4C14" w14:paraId="65CD7A12" w14:textId="77777777" w:rsidTr="00DD7847">
        <w:trPr>
          <w:trHeight w:val="752"/>
          <w:jc w:val="center"/>
        </w:trPr>
        <w:tc>
          <w:tcPr>
            <w:tcW w:w="1563" w:type="pct"/>
            <w:tcBorders>
              <w:top w:val="nil"/>
              <w:left w:val="nil"/>
              <w:bottom w:val="nil"/>
              <w:right w:val="nil"/>
            </w:tcBorders>
            <w:shd w:val="clear" w:color="000000" w:fill="0070C0"/>
            <w:vAlign w:val="center"/>
            <w:hideMark/>
          </w:tcPr>
          <w:p w14:paraId="73106BC3" w14:textId="77777777" w:rsidR="00EE4F94" w:rsidRPr="00CA4C14" w:rsidRDefault="00EE4F94" w:rsidP="003C7940">
            <w:pPr>
              <w:pStyle w:val="Tablehead"/>
              <w:rPr>
                <w:szCs w:val="18"/>
                <w:lang w:val="ru-RU" w:eastAsia="en-GB"/>
              </w:rPr>
            </w:pPr>
            <w:r w:rsidRPr="00CA4C14">
              <w:rPr>
                <w:rFonts w:cs="Calibri"/>
                <w:szCs w:val="18"/>
                <w:lang w:val="ru-RU"/>
              </w:rPr>
              <w:t xml:space="preserve">Категории активов </w:t>
            </w:r>
            <w:r w:rsidRPr="00CA4C14">
              <w:rPr>
                <w:rFonts w:cs="Calibri"/>
                <w:szCs w:val="18"/>
                <w:lang w:val="ru-RU"/>
              </w:rPr>
              <w:br/>
              <w:t>(тыс. шв. фр.)</w:t>
            </w:r>
          </w:p>
        </w:tc>
        <w:tc>
          <w:tcPr>
            <w:tcW w:w="573" w:type="pct"/>
            <w:tcBorders>
              <w:top w:val="nil"/>
              <w:left w:val="nil"/>
              <w:bottom w:val="nil"/>
              <w:right w:val="nil"/>
            </w:tcBorders>
            <w:shd w:val="clear" w:color="000000" w:fill="0070C0"/>
            <w:vAlign w:val="center"/>
            <w:hideMark/>
          </w:tcPr>
          <w:p w14:paraId="580314AB" w14:textId="77777777" w:rsidR="00EE4F94" w:rsidRPr="00CA4C14" w:rsidRDefault="00EE4F94" w:rsidP="003C7940">
            <w:pPr>
              <w:pStyle w:val="Tablehead"/>
              <w:rPr>
                <w:szCs w:val="18"/>
                <w:lang w:val="ru-RU" w:eastAsia="en-GB"/>
              </w:rPr>
            </w:pPr>
            <w:r w:rsidRPr="00CA4C14">
              <w:rPr>
                <w:szCs w:val="18"/>
                <w:lang w:val="ru-RU" w:eastAsia="en-GB"/>
              </w:rPr>
              <w:t>Здания</w:t>
            </w:r>
          </w:p>
        </w:tc>
        <w:tc>
          <w:tcPr>
            <w:tcW w:w="573" w:type="pct"/>
            <w:tcBorders>
              <w:top w:val="nil"/>
              <w:left w:val="nil"/>
              <w:bottom w:val="nil"/>
              <w:right w:val="nil"/>
            </w:tcBorders>
            <w:shd w:val="clear" w:color="000000" w:fill="0070C0"/>
            <w:vAlign w:val="center"/>
            <w:hideMark/>
          </w:tcPr>
          <w:p w14:paraId="093CD5A4" w14:textId="77777777" w:rsidR="00EE4F94" w:rsidRPr="00CA4C14" w:rsidRDefault="00EE4F94" w:rsidP="003C7940">
            <w:pPr>
              <w:pStyle w:val="Tablehead"/>
              <w:rPr>
                <w:szCs w:val="18"/>
                <w:lang w:val="ru-RU" w:eastAsia="en-GB"/>
              </w:rPr>
            </w:pPr>
            <w:r w:rsidRPr="00CA4C14">
              <w:rPr>
                <w:rFonts w:cs="Calibri"/>
                <w:szCs w:val="18"/>
                <w:lang w:val="ru-RU"/>
              </w:rPr>
              <w:t xml:space="preserve">Машины </w:t>
            </w:r>
            <w:r w:rsidRPr="00CA4C14">
              <w:rPr>
                <w:rFonts w:cs="Calibri"/>
                <w:szCs w:val="18"/>
                <w:lang w:val="ru-RU"/>
              </w:rPr>
              <w:br/>
              <w:t xml:space="preserve">и </w:t>
            </w:r>
            <w:proofErr w:type="gramStart"/>
            <w:r w:rsidRPr="00CA4C14">
              <w:rPr>
                <w:rFonts w:cs="Calibri"/>
                <w:szCs w:val="18"/>
                <w:lang w:val="ru-RU"/>
              </w:rPr>
              <w:t>обору-</w:t>
            </w:r>
            <w:proofErr w:type="spellStart"/>
            <w:r w:rsidRPr="00CA4C14">
              <w:rPr>
                <w:rFonts w:cs="Calibri"/>
                <w:szCs w:val="18"/>
                <w:lang w:val="ru-RU"/>
              </w:rPr>
              <w:t>дование</w:t>
            </w:r>
            <w:proofErr w:type="spellEnd"/>
            <w:proofErr w:type="gramEnd"/>
          </w:p>
        </w:tc>
        <w:tc>
          <w:tcPr>
            <w:tcW w:w="573" w:type="pct"/>
            <w:tcBorders>
              <w:top w:val="nil"/>
              <w:left w:val="nil"/>
              <w:bottom w:val="nil"/>
              <w:right w:val="nil"/>
            </w:tcBorders>
            <w:shd w:val="clear" w:color="000000" w:fill="0070C0"/>
            <w:vAlign w:val="center"/>
            <w:hideMark/>
          </w:tcPr>
          <w:p w14:paraId="7DDCAF2B" w14:textId="77777777" w:rsidR="00EE4F94" w:rsidRPr="00CA4C14" w:rsidRDefault="00EE4F94" w:rsidP="003C7940">
            <w:pPr>
              <w:pStyle w:val="Tablehead"/>
              <w:rPr>
                <w:szCs w:val="18"/>
                <w:lang w:val="ru-RU" w:eastAsia="en-GB"/>
              </w:rPr>
            </w:pPr>
            <w:r w:rsidRPr="00CA4C14">
              <w:rPr>
                <w:rFonts w:cs="Calibri"/>
                <w:szCs w:val="18"/>
                <w:lang w:val="ru-RU"/>
              </w:rPr>
              <w:t xml:space="preserve">Мебель </w:t>
            </w:r>
            <w:r w:rsidRPr="00CA4C14">
              <w:rPr>
                <w:rFonts w:cs="Calibri"/>
                <w:szCs w:val="18"/>
                <w:lang w:val="ru-RU"/>
              </w:rPr>
              <w:br/>
              <w:t xml:space="preserve">и </w:t>
            </w:r>
            <w:proofErr w:type="gramStart"/>
            <w:r w:rsidRPr="00CA4C14">
              <w:rPr>
                <w:rFonts w:cs="Calibri"/>
                <w:szCs w:val="18"/>
                <w:lang w:val="ru-RU"/>
              </w:rPr>
              <w:t>устрой-</w:t>
            </w:r>
            <w:proofErr w:type="spellStart"/>
            <w:r w:rsidRPr="00CA4C14">
              <w:rPr>
                <w:rFonts w:cs="Calibri"/>
                <w:szCs w:val="18"/>
                <w:lang w:val="ru-RU"/>
              </w:rPr>
              <w:t>ства</w:t>
            </w:r>
            <w:proofErr w:type="spellEnd"/>
            <w:proofErr w:type="gramEnd"/>
          </w:p>
        </w:tc>
        <w:tc>
          <w:tcPr>
            <w:tcW w:w="573" w:type="pct"/>
            <w:tcBorders>
              <w:top w:val="nil"/>
              <w:left w:val="nil"/>
              <w:bottom w:val="nil"/>
              <w:right w:val="nil"/>
            </w:tcBorders>
            <w:shd w:val="clear" w:color="000000" w:fill="0070C0"/>
            <w:vAlign w:val="center"/>
            <w:hideMark/>
          </w:tcPr>
          <w:p w14:paraId="1639067A" w14:textId="77777777" w:rsidR="00EE4F94" w:rsidRPr="00CA4C14" w:rsidRDefault="00EE4F94" w:rsidP="003C7940">
            <w:pPr>
              <w:pStyle w:val="Tablehead"/>
              <w:rPr>
                <w:szCs w:val="18"/>
                <w:lang w:val="ru-RU" w:eastAsia="en-GB"/>
              </w:rPr>
            </w:pPr>
            <w:proofErr w:type="spellStart"/>
            <w:r w:rsidRPr="00CA4C14">
              <w:rPr>
                <w:rFonts w:cs="Calibri"/>
                <w:szCs w:val="18"/>
                <w:lang w:val="ru-RU"/>
              </w:rPr>
              <w:t>Компью-терное</w:t>
            </w:r>
            <w:proofErr w:type="spellEnd"/>
            <w:r w:rsidRPr="00CA4C14">
              <w:rPr>
                <w:rFonts w:cs="Calibri"/>
                <w:szCs w:val="18"/>
                <w:lang w:val="ru-RU"/>
              </w:rPr>
              <w:t xml:space="preserve"> </w:t>
            </w:r>
            <w:proofErr w:type="spellStart"/>
            <w:r w:rsidRPr="00CA4C14">
              <w:rPr>
                <w:rFonts w:cs="Calibri"/>
                <w:szCs w:val="18"/>
                <w:lang w:val="ru-RU"/>
              </w:rPr>
              <w:t>оборудо-вание</w:t>
            </w:r>
            <w:proofErr w:type="spellEnd"/>
          </w:p>
        </w:tc>
        <w:tc>
          <w:tcPr>
            <w:tcW w:w="573" w:type="pct"/>
            <w:tcBorders>
              <w:top w:val="nil"/>
              <w:left w:val="nil"/>
              <w:bottom w:val="nil"/>
              <w:right w:val="nil"/>
            </w:tcBorders>
            <w:shd w:val="clear" w:color="000000" w:fill="0070C0"/>
            <w:vAlign w:val="center"/>
            <w:hideMark/>
          </w:tcPr>
          <w:p w14:paraId="24BA218E" w14:textId="77777777" w:rsidR="00EE4F94" w:rsidRPr="00CA4C14" w:rsidRDefault="00EE4F94" w:rsidP="003C7940">
            <w:pPr>
              <w:pStyle w:val="Tablehead"/>
              <w:rPr>
                <w:szCs w:val="18"/>
                <w:lang w:val="ru-RU" w:eastAsia="en-GB"/>
              </w:rPr>
            </w:pPr>
            <w:proofErr w:type="gramStart"/>
            <w:r w:rsidRPr="00CA4C14">
              <w:rPr>
                <w:rFonts w:cs="Calibri"/>
                <w:szCs w:val="18"/>
                <w:lang w:val="ru-RU"/>
              </w:rPr>
              <w:t>Автотранс-портные</w:t>
            </w:r>
            <w:proofErr w:type="gramEnd"/>
            <w:r w:rsidRPr="00CA4C14">
              <w:rPr>
                <w:rFonts w:cs="Calibri"/>
                <w:szCs w:val="18"/>
                <w:lang w:val="ru-RU"/>
              </w:rPr>
              <w:t xml:space="preserve"> средства</w:t>
            </w:r>
          </w:p>
        </w:tc>
        <w:tc>
          <w:tcPr>
            <w:tcW w:w="572" w:type="pct"/>
            <w:tcBorders>
              <w:top w:val="nil"/>
              <w:left w:val="nil"/>
              <w:bottom w:val="nil"/>
              <w:right w:val="nil"/>
            </w:tcBorders>
            <w:shd w:val="clear" w:color="000000" w:fill="0070C0"/>
            <w:vAlign w:val="center"/>
            <w:hideMark/>
          </w:tcPr>
          <w:p w14:paraId="13A61703" w14:textId="77777777" w:rsidR="00EE4F94" w:rsidRPr="00CA4C14" w:rsidRDefault="00EE4F94" w:rsidP="003C7940">
            <w:pPr>
              <w:pStyle w:val="Tablehead"/>
              <w:rPr>
                <w:szCs w:val="18"/>
                <w:lang w:val="ru-RU" w:eastAsia="en-GB"/>
              </w:rPr>
            </w:pPr>
            <w:r w:rsidRPr="00CA4C14">
              <w:rPr>
                <w:szCs w:val="18"/>
                <w:lang w:val="ru-RU" w:eastAsia="en-GB"/>
              </w:rPr>
              <w:t>Всего 2023 г.</w:t>
            </w:r>
          </w:p>
        </w:tc>
      </w:tr>
      <w:tr w:rsidR="00EE4F94" w:rsidRPr="00CA4C14" w14:paraId="6FBAD4D5" w14:textId="77777777" w:rsidTr="00DD7847">
        <w:trPr>
          <w:trHeight w:val="300"/>
          <w:jc w:val="center"/>
        </w:trPr>
        <w:tc>
          <w:tcPr>
            <w:tcW w:w="1563" w:type="pct"/>
            <w:tcBorders>
              <w:top w:val="nil"/>
              <w:left w:val="nil"/>
              <w:bottom w:val="nil"/>
              <w:right w:val="nil"/>
            </w:tcBorders>
            <w:shd w:val="clear" w:color="auto" w:fill="auto"/>
            <w:vAlign w:val="center"/>
            <w:hideMark/>
          </w:tcPr>
          <w:p w14:paraId="16D0F648" w14:textId="77777777" w:rsidR="00EE4F94" w:rsidRPr="00CA4C14" w:rsidRDefault="00EE4F94" w:rsidP="00FD58CA">
            <w:pPr>
              <w:pStyle w:val="Tabletext"/>
              <w:keepNext/>
              <w:rPr>
                <w:b/>
                <w:bCs/>
                <w:szCs w:val="18"/>
                <w:lang w:val="ru-RU" w:eastAsia="en-GB"/>
              </w:rPr>
            </w:pPr>
            <w:r w:rsidRPr="00CA4C14">
              <w:rPr>
                <w:rFonts w:cs="Calibri"/>
                <w:b/>
                <w:bCs/>
                <w:szCs w:val="18"/>
                <w:lang w:val="ru-RU"/>
              </w:rPr>
              <w:t xml:space="preserve">Стоимость на 1 января </w:t>
            </w:r>
            <w:r w:rsidRPr="00CA4C14">
              <w:rPr>
                <w:b/>
                <w:bCs/>
                <w:szCs w:val="18"/>
                <w:lang w:val="ru-RU" w:eastAsia="en-GB"/>
              </w:rPr>
              <w:t>2023 г.</w:t>
            </w:r>
          </w:p>
        </w:tc>
        <w:tc>
          <w:tcPr>
            <w:tcW w:w="573" w:type="pct"/>
            <w:tcBorders>
              <w:top w:val="nil"/>
              <w:left w:val="nil"/>
              <w:bottom w:val="nil"/>
              <w:right w:val="nil"/>
            </w:tcBorders>
            <w:shd w:val="clear" w:color="auto" w:fill="auto"/>
            <w:noWrap/>
            <w:vAlign w:val="bottom"/>
            <w:hideMark/>
          </w:tcPr>
          <w:p w14:paraId="6984F7A7"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126 344</w:t>
            </w:r>
          </w:p>
        </w:tc>
        <w:tc>
          <w:tcPr>
            <w:tcW w:w="573" w:type="pct"/>
            <w:tcBorders>
              <w:top w:val="nil"/>
              <w:left w:val="nil"/>
              <w:bottom w:val="nil"/>
              <w:right w:val="nil"/>
            </w:tcBorders>
            <w:shd w:val="clear" w:color="auto" w:fill="auto"/>
            <w:noWrap/>
            <w:vAlign w:val="bottom"/>
            <w:hideMark/>
          </w:tcPr>
          <w:p w14:paraId="2D1DB728"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1 395</w:t>
            </w:r>
          </w:p>
        </w:tc>
        <w:tc>
          <w:tcPr>
            <w:tcW w:w="573" w:type="pct"/>
            <w:tcBorders>
              <w:top w:val="nil"/>
              <w:left w:val="nil"/>
              <w:bottom w:val="nil"/>
              <w:right w:val="nil"/>
            </w:tcBorders>
            <w:shd w:val="clear" w:color="auto" w:fill="auto"/>
            <w:noWrap/>
            <w:vAlign w:val="bottom"/>
            <w:hideMark/>
          </w:tcPr>
          <w:p w14:paraId="68084C2D"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1 363</w:t>
            </w:r>
          </w:p>
        </w:tc>
        <w:tc>
          <w:tcPr>
            <w:tcW w:w="573" w:type="pct"/>
            <w:tcBorders>
              <w:top w:val="nil"/>
              <w:left w:val="nil"/>
              <w:bottom w:val="nil"/>
              <w:right w:val="nil"/>
            </w:tcBorders>
            <w:shd w:val="clear" w:color="auto" w:fill="auto"/>
            <w:noWrap/>
            <w:vAlign w:val="bottom"/>
            <w:hideMark/>
          </w:tcPr>
          <w:p w14:paraId="215F419A"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7 205</w:t>
            </w:r>
          </w:p>
        </w:tc>
        <w:tc>
          <w:tcPr>
            <w:tcW w:w="573" w:type="pct"/>
            <w:tcBorders>
              <w:top w:val="nil"/>
              <w:left w:val="nil"/>
              <w:bottom w:val="nil"/>
              <w:right w:val="nil"/>
            </w:tcBorders>
            <w:shd w:val="clear" w:color="auto" w:fill="auto"/>
            <w:noWrap/>
            <w:vAlign w:val="bottom"/>
            <w:hideMark/>
          </w:tcPr>
          <w:p w14:paraId="5E646FF5"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296</w:t>
            </w:r>
          </w:p>
        </w:tc>
        <w:tc>
          <w:tcPr>
            <w:tcW w:w="572" w:type="pct"/>
            <w:tcBorders>
              <w:top w:val="nil"/>
              <w:left w:val="nil"/>
              <w:bottom w:val="nil"/>
              <w:right w:val="nil"/>
            </w:tcBorders>
            <w:shd w:val="clear" w:color="auto" w:fill="auto"/>
            <w:noWrap/>
            <w:vAlign w:val="bottom"/>
            <w:hideMark/>
          </w:tcPr>
          <w:p w14:paraId="4E2800FD"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136 603</w:t>
            </w:r>
          </w:p>
        </w:tc>
      </w:tr>
      <w:tr w:rsidR="00EE4F94" w:rsidRPr="00CA4C14" w14:paraId="0D5724AB" w14:textId="77777777" w:rsidTr="00DD7847">
        <w:trPr>
          <w:trHeight w:val="300"/>
          <w:jc w:val="center"/>
        </w:trPr>
        <w:tc>
          <w:tcPr>
            <w:tcW w:w="1563" w:type="pct"/>
            <w:tcBorders>
              <w:top w:val="nil"/>
              <w:left w:val="nil"/>
              <w:bottom w:val="nil"/>
              <w:right w:val="nil"/>
            </w:tcBorders>
            <w:shd w:val="clear" w:color="auto" w:fill="auto"/>
            <w:vAlign w:val="center"/>
            <w:hideMark/>
          </w:tcPr>
          <w:p w14:paraId="6D83D0EF" w14:textId="77777777" w:rsidR="00EE4F94" w:rsidRPr="00CA4C14" w:rsidRDefault="00EE4F94" w:rsidP="00FD58CA">
            <w:pPr>
              <w:pStyle w:val="Tabletext"/>
              <w:keepNext/>
              <w:rPr>
                <w:szCs w:val="18"/>
                <w:lang w:val="ru-RU" w:eastAsia="en-GB"/>
              </w:rPr>
            </w:pPr>
            <w:r w:rsidRPr="00CA4C14">
              <w:rPr>
                <w:rFonts w:cs="Calibri"/>
                <w:szCs w:val="18"/>
                <w:lang w:val="ru-RU"/>
              </w:rPr>
              <w:t>Дополнения</w:t>
            </w:r>
          </w:p>
        </w:tc>
        <w:tc>
          <w:tcPr>
            <w:tcW w:w="573" w:type="pct"/>
            <w:tcBorders>
              <w:top w:val="nil"/>
              <w:left w:val="nil"/>
              <w:bottom w:val="nil"/>
              <w:right w:val="nil"/>
            </w:tcBorders>
            <w:shd w:val="clear" w:color="auto" w:fill="auto"/>
            <w:noWrap/>
            <w:vAlign w:val="bottom"/>
            <w:hideMark/>
          </w:tcPr>
          <w:p w14:paraId="74F34DD8" w14:textId="77777777" w:rsidR="00EE4F94" w:rsidRPr="00CA4C14" w:rsidRDefault="00EE4F94" w:rsidP="00FD58CA">
            <w:pPr>
              <w:pStyle w:val="Tabletext"/>
              <w:keepNext/>
              <w:jc w:val="right"/>
              <w:rPr>
                <w:szCs w:val="18"/>
                <w:lang w:val="ru-RU" w:eastAsia="en-GB"/>
              </w:rPr>
            </w:pPr>
            <w:r w:rsidRPr="00CA4C14">
              <w:rPr>
                <w:szCs w:val="18"/>
                <w:lang w:val="ru-RU" w:eastAsia="en-GB"/>
              </w:rPr>
              <w:t>18</w:t>
            </w:r>
          </w:p>
        </w:tc>
        <w:tc>
          <w:tcPr>
            <w:tcW w:w="573" w:type="pct"/>
            <w:tcBorders>
              <w:top w:val="nil"/>
              <w:left w:val="nil"/>
              <w:bottom w:val="nil"/>
              <w:right w:val="nil"/>
            </w:tcBorders>
            <w:shd w:val="clear" w:color="auto" w:fill="auto"/>
            <w:noWrap/>
            <w:vAlign w:val="bottom"/>
            <w:hideMark/>
          </w:tcPr>
          <w:p w14:paraId="34FE3C66" w14:textId="77777777" w:rsidR="00EE4F94" w:rsidRPr="00CA4C14" w:rsidRDefault="00EE4F94" w:rsidP="00FD58CA">
            <w:pPr>
              <w:pStyle w:val="Tabletext"/>
              <w:keepNext/>
              <w:jc w:val="right"/>
              <w:rPr>
                <w:szCs w:val="18"/>
                <w:lang w:val="ru-RU" w:eastAsia="en-GB"/>
              </w:rPr>
            </w:pPr>
            <w:r w:rsidRPr="00CA4C14">
              <w:rPr>
                <w:szCs w:val="18"/>
                <w:lang w:val="ru-RU" w:eastAsia="en-GB"/>
              </w:rPr>
              <w:t>6</w:t>
            </w:r>
          </w:p>
        </w:tc>
        <w:tc>
          <w:tcPr>
            <w:tcW w:w="573" w:type="pct"/>
            <w:tcBorders>
              <w:top w:val="nil"/>
              <w:left w:val="nil"/>
              <w:bottom w:val="nil"/>
              <w:right w:val="nil"/>
            </w:tcBorders>
            <w:shd w:val="clear" w:color="auto" w:fill="auto"/>
            <w:noWrap/>
            <w:vAlign w:val="bottom"/>
            <w:hideMark/>
          </w:tcPr>
          <w:p w14:paraId="185FE24F" w14:textId="77777777" w:rsidR="00EE4F94" w:rsidRPr="00CA4C14" w:rsidRDefault="00EE4F94" w:rsidP="00FD58CA">
            <w:pPr>
              <w:pStyle w:val="Tabletext"/>
              <w:keepNext/>
              <w:jc w:val="right"/>
              <w:rPr>
                <w:szCs w:val="18"/>
                <w:lang w:val="ru-RU" w:eastAsia="en-GB"/>
              </w:rPr>
            </w:pPr>
            <w:r w:rsidRPr="00CA4C14">
              <w:rPr>
                <w:szCs w:val="18"/>
                <w:lang w:val="ru-RU" w:eastAsia="en-GB"/>
              </w:rPr>
              <w:t>7</w:t>
            </w:r>
          </w:p>
        </w:tc>
        <w:tc>
          <w:tcPr>
            <w:tcW w:w="573" w:type="pct"/>
            <w:tcBorders>
              <w:top w:val="nil"/>
              <w:left w:val="nil"/>
              <w:bottom w:val="nil"/>
              <w:right w:val="nil"/>
            </w:tcBorders>
            <w:shd w:val="clear" w:color="auto" w:fill="auto"/>
            <w:noWrap/>
            <w:vAlign w:val="bottom"/>
            <w:hideMark/>
          </w:tcPr>
          <w:p w14:paraId="3179AE97" w14:textId="77777777" w:rsidR="00EE4F94" w:rsidRPr="00CA4C14" w:rsidRDefault="00EE4F94" w:rsidP="00FD58CA">
            <w:pPr>
              <w:pStyle w:val="Tabletext"/>
              <w:keepNext/>
              <w:jc w:val="right"/>
              <w:rPr>
                <w:szCs w:val="18"/>
                <w:lang w:val="ru-RU" w:eastAsia="en-GB"/>
              </w:rPr>
            </w:pPr>
            <w:r w:rsidRPr="00CA4C14">
              <w:rPr>
                <w:szCs w:val="18"/>
                <w:lang w:val="ru-RU" w:eastAsia="en-GB"/>
              </w:rPr>
              <w:t>62</w:t>
            </w:r>
          </w:p>
        </w:tc>
        <w:tc>
          <w:tcPr>
            <w:tcW w:w="573" w:type="pct"/>
            <w:tcBorders>
              <w:top w:val="nil"/>
              <w:left w:val="nil"/>
              <w:bottom w:val="nil"/>
              <w:right w:val="nil"/>
            </w:tcBorders>
            <w:shd w:val="clear" w:color="auto" w:fill="auto"/>
            <w:noWrap/>
            <w:vAlign w:val="bottom"/>
            <w:hideMark/>
          </w:tcPr>
          <w:p w14:paraId="242BB20C"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2" w:type="pct"/>
            <w:tcBorders>
              <w:top w:val="nil"/>
              <w:left w:val="nil"/>
              <w:bottom w:val="nil"/>
              <w:right w:val="nil"/>
            </w:tcBorders>
            <w:shd w:val="clear" w:color="auto" w:fill="auto"/>
            <w:noWrap/>
            <w:vAlign w:val="bottom"/>
            <w:hideMark/>
          </w:tcPr>
          <w:p w14:paraId="3B5A2C02"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93</w:t>
            </w:r>
          </w:p>
        </w:tc>
      </w:tr>
      <w:tr w:rsidR="00EE4F94" w:rsidRPr="00CA4C14" w14:paraId="7123AF9B" w14:textId="77777777" w:rsidTr="00DD7847">
        <w:trPr>
          <w:trHeight w:val="300"/>
          <w:jc w:val="center"/>
        </w:trPr>
        <w:tc>
          <w:tcPr>
            <w:tcW w:w="1563" w:type="pct"/>
            <w:tcBorders>
              <w:top w:val="nil"/>
              <w:left w:val="nil"/>
              <w:bottom w:val="nil"/>
              <w:right w:val="nil"/>
            </w:tcBorders>
            <w:shd w:val="clear" w:color="auto" w:fill="auto"/>
            <w:vAlign w:val="center"/>
            <w:hideMark/>
          </w:tcPr>
          <w:p w14:paraId="632662BA" w14:textId="77777777" w:rsidR="00EE4F94" w:rsidRPr="00CA4C14" w:rsidRDefault="00EE4F94" w:rsidP="00FD58CA">
            <w:pPr>
              <w:pStyle w:val="Tabletext"/>
              <w:keepNext/>
              <w:rPr>
                <w:szCs w:val="18"/>
                <w:lang w:val="ru-RU" w:eastAsia="en-GB"/>
              </w:rPr>
            </w:pPr>
            <w:r w:rsidRPr="00CA4C14">
              <w:rPr>
                <w:rFonts w:cs="Calibri"/>
                <w:szCs w:val="18"/>
                <w:lang w:val="ru-RU"/>
              </w:rPr>
              <w:t>Выбытие</w:t>
            </w:r>
          </w:p>
        </w:tc>
        <w:tc>
          <w:tcPr>
            <w:tcW w:w="573" w:type="pct"/>
            <w:tcBorders>
              <w:top w:val="nil"/>
              <w:left w:val="nil"/>
              <w:bottom w:val="nil"/>
              <w:right w:val="nil"/>
            </w:tcBorders>
            <w:shd w:val="clear" w:color="auto" w:fill="auto"/>
            <w:noWrap/>
            <w:vAlign w:val="bottom"/>
            <w:hideMark/>
          </w:tcPr>
          <w:p w14:paraId="52A652A9"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3" w:type="pct"/>
            <w:tcBorders>
              <w:top w:val="nil"/>
              <w:left w:val="nil"/>
              <w:bottom w:val="nil"/>
              <w:right w:val="nil"/>
            </w:tcBorders>
            <w:shd w:val="clear" w:color="auto" w:fill="auto"/>
            <w:noWrap/>
            <w:vAlign w:val="bottom"/>
            <w:hideMark/>
          </w:tcPr>
          <w:p w14:paraId="51BDF61C" w14:textId="77777777" w:rsidR="00EE4F94" w:rsidRPr="00CA4C14" w:rsidRDefault="00EE4F94" w:rsidP="00FD58CA">
            <w:pPr>
              <w:pStyle w:val="Tabletext"/>
              <w:keepNext/>
              <w:jc w:val="right"/>
              <w:rPr>
                <w:szCs w:val="18"/>
                <w:lang w:val="ru-RU" w:eastAsia="en-GB"/>
              </w:rPr>
            </w:pPr>
            <w:r w:rsidRPr="00CA4C14">
              <w:rPr>
                <w:szCs w:val="18"/>
                <w:lang w:val="ru-RU" w:eastAsia="en-GB"/>
              </w:rPr>
              <w:t>(302)</w:t>
            </w:r>
          </w:p>
        </w:tc>
        <w:tc>
          <w:tcPr>
            <w:tcW w:w="573" w:type="pct"/>
            <w:tcBorders>
              <w:top w:val="nil"/>
              <w:left w:val="nil"/>
              <w:bottom w:val="nil"/>
              <w:right w:val="nil"/>
            </w:tcBorders>
            <w:shd w:val="clear" w:color="auto" w:fill="auto"/>
            <w:noWrap/>
            <w:vAlign w:val="bottom"/>
            <w:hideMark/>
          </w:tcPr>
          <w:p w14:paraId="7F976C68" w14:textId="77777777" w:rsidR="00EE4F94" w:rsidRPr="00CA4C14" w:rsidRDefault="00EE4F94" w:rsidP="00FD58CA">
            <w:pPr>
              <w:pStyle w:val="Tabletext"/>
              <w:keepNext/>
              <w:jc w:val="right"/>
              <w:rPr>
                <w:szCs w:val="18"/>
                <w:lang w:val="ru-RU" w:eastAsia="en-GB"/>
              </w:rPr>
            </w:pPr>
            <w:r w:rsidRPr="00CA4C14">
              <w:rPr>
                <w:szCs w:val="18"/>
                <w:lang w:val="ru-RU" w:eastAsia="en-GB"/>
              </w:rPr>
              <w:t>(24)</w:t>
            </w:r>
          </w:p>
        </w:tc>
        <w:tc>
          <w:tcPr>
            <w:tcW w:w="573" w:type="pct"/>
            <w:tcBorders>
              <w:top w:val="nil"/>
              <w:left w:val="nil"/>
              <w:bottom w:val="nil"/>
              <w:right w:val="nil"/>
            </w:tcBorders>
            <w:shd w:val="clear" w:color="auto" w:fill="auto"/>
            <w:noWrap/>
            <w:vAlign w:val="bottom"/>
            <w:hideMark/>
          </w:tcPr>
          <w:p w14:paraId="6F26C29F" w14:textId="77777777" w:rsidR="00EE4F94" w:rsidRPr="00CA4C14" w:rsidRDefault="00EE4F94" w:rsidP="00FD58CA">
            <w:pPr>
              <w:pStyle w:val="Tabletext"/>
              <w:keepNext/>
              <w:jc w:val="right"/>
              <w:rPr>
                <w:szCs w:val="18"/>
                <w:lang w:val="ru-RU" w:eastAsia="en-GB"/>
              </w:rPr>
            </w:pPr>
            <w:r w:rsidRPr="00CA4C14">
              <w:rPr>
                <w:szCs w:val="18"/>
                <w:lang w:val="ru-RU" w:eastAsia="en-GB"/>
              </w:rPr>
              <w:t>(531)</w:t>
            </w:r>
          </w:p>
        </w:tc>
        <w:tc>
          <w:tcPr>
            <w:tcW w:w="573" w:type="pct"/>
            <w:tcBorders>
              <w:top w:val="nil"/>
              <w:left w:val="nil"/>
              <w:bottom w:val="nil"/>
              <w:right w:val="nil"/>
            </w:tcBorders>
            <w:shd w:val="clear" w:color="auto" w:fill="auto"/>
            <w:noWrap/>
            <w:vAlign w:val="bottom"/>
            <w:hideMark/>
          </w:tcPr>
          <w:p w14:paraId="3D053CE2"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2" w:type="pct"/>
            <w:tcBorders>
              <w:top w:val="nil"/>
              <w:left w:val="nil"/>
              <w:bottom w:val="nil"/>
              <w:right w:val="nil"/>
            </w:tcBorders>
            <w:shd w:val="clear" w:color="auto" w:fill="auto"/>
            <w:noWrap/>
            <w:vAlign w:val="bottom"/>
            <w:hideMark/>
          </w:tcPr>
          <w:p w14:paraId="0CFD6BF8"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(857)</w:t>
            </w:r>
          </w:p>
        </w:tc>
      </w:tr>
      <w:tr w:rsidR="00EE4F94" w:rsidRPr="00CA4C14" w14:paraId="1658A2BC" w14:textId="77777777" w:rsidTr="00DD7847">
        <w:trPr>
          <w:trHeight w:val="300"/>
          <w:jc w:val="center"/>
        </w:trPr>
        <w:tc>
          <w:tcPr>
            <w:tcW w:w="1563" w:type="pct"/>
            <w:tcBorders>
              <w:top w:val="nil"/>
              <w:left w:val="nil"/>
              <w:bottom w:val="nil"/>
              <w:right w:val="nil"/>
            </w:tcBorders>
            <w:shd w:val="clear" w:color="auto" w:fill="auto"/>
            <w:vAlign w:val="center"/>
            <w:hideMark/>
          </w:tcPr>
          <w:p w14:paraId="0114B517" w14:textId="77777777" w:rsidR="00EE4F94" w:rsidRPr="00CA4C14" w:rsidRDefault="00EE4F94" w:rsidP="00FD58CA">
            <w:pPr>
              <w:pStyle w:val="Tabletext"/>
              <w:keepNext/>
              <w:rPr>
                <w:szCs w:val="18"/>
                <w:lang w:val="ru-RU" w:eastAsia="en-GB"/>
              </w:rPr>
            </w:pPr>
            <w:r w:rsidRPr="00CA4C14">
              <w:rPr>
                <w:szCs w:val="18"/>
                <w:lang w:val="ru-RU"/>
              </w:rPr>
              <w:t>Переводы в другие категории</w:t>
            </w:r>
          </w:p>
        </w:tc>
        <w:tc>
          <w:tcPr>
            <w:tcW w:w="573" w:type="pct"/>
            <w:tcBorders>
              <w:top w:val="nil"/>
              <w:left w:val="nil"/>
              <w:bottom w:val="nil"/>
              <w:right w:val="nil"/>
            </w:tcBorders>
            <w:shd w:val="clear" w:color="auto" w:fill="auto"/>
            <w:noWrap/>
            <w:vAlign w:val="bottom"/>
            <w:hideMark/>
          </w:tcPr>
          <w:p w14:paraId="1273D680" w14:textId="77777777" w:rsidR="00EE4F94" w:rsidRPr="00CA4C14" w:rsidRDefault="00EE4F94" w:rsidP="00FD58CA">
            <w:pPr>
              <w:pStyle w:val="Tabletext"/>
              <w:keepNext/>
              <w:jc w:val="right"/>
              <w:rPr>
                <w:szCs w:val="18"/>
                <w:lang w:val="ru-RU" w:eastAsia="en-GB"/>
              </w:rPr>
            </w:pPr>
            <w:r w:rsidRPr="00CA4C14">
              <w:rPr>
                <w:szCs w:val="18"/>
                <w:lang w:val="ru-RU" w:eastAsia="en-GB"/>
              </w:rPr>
              <w:t>39</w:t>
            </w:r>
          </w:p>
        </w:tc>
        <w:tc>
          <w:tcPr>
            <w:tcW w:w="573" w:type="pct"/>
            <w:tcBorders>
              <w:top w:val="nil"/>
              <w:left w:val="nil"/>
              <w:bottom w:val="nil"/>
              <w:right w:val="nil"/>
            </w:tcBorders>
            <w:shd w:val="clear" w:color="auto" w:fill="auto"/>
            <w:noWrap/>
            <w:vAlign w:val="bottom"/>
            <w:hideMark/>
          </w:tcPr>
          <w:p w14:paraId="00F8A740" w14:textId="77777777" w:rsidR="00EE4F94" w:rsidRPr="00CA4C14" w:rsidRDefault="00EE4F94" w:rsidP="00FD58CA">
            <w:pPr>
              <w:pStyle w:val="Tabletext"/>
              <w:keepNext/>
              <w:jc w:val="right"/>
              <w:rPr>
                <w:szCs w:val="18"/>
                <w:lang w:val="ru-RU" w:eastAsia="en-GB"/>
              </w:rPr>
            </w:pPr>
            <w:r w:rsidRPr="00CA4C14">
              <w:rPr>
                <w:szCs w:val="18"/>
                <w:lang w:val="ru-RU" w:eastAsia="en-GB"/>
              </w:rPr>
              <w:t>22</w:t>
            </w:r>
          </w:p>
        </w:tc>
        <w:tc>
          <w:tcPr>
            <w:tcW w:w="573" w:type="pct"/>
            <w:tcBorders>
              <w:top w:val="nil"/>
              <w:left w:val="nil"/>
              <w:bottom w:val="nil"/>
              <w:right w:val="nil"/>
            </w:tcBorders>
            <w:shd w:val="clear" w:color="auto" w:fill="auto"/>
            <w:noWrap/>
            <w:vAlign w:val="bottom"/>
            <w:hideMark/>
          </w:tcPr>
          <w:p w14:paraId="5E34EA73"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3" w:type="pct"/>
            <w:tcBorders>
              <w:top w:val="nil"/>
              <w:left w:val="nil"/>
              <w:bottom w:val="nil"/>
              <w:right w:val="nil"/>
            </w:tcBorders>
            <w:shd w:val="clear" w:color="auto" w:fill="auto"/>
            <w:noWrap/>
            <w:vAlign w:val="bottom"/>
            <w:hideMark/>
          </w:tcPr>
          <w:p w14:paraId="2F1315B5"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3" w:type="pct"/>
            <w:tcBorders>
              <w:top w:val="nil"/>
              <w:left w:val="nil"/>
              <w:bottom w:val="nil"/>
              <w:right w:val="nil"/>
            </w:tcBorders>
            <w:shd w:val="clear" w:color="auto" w:fill="auto"/>
            <w:noWrap/>
            <w:vAlign w:val="bottom"/>
            <w:hideMark/>
          </w:tcPr>
          <w:p w14:paraId="0A3498E0"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2" w:type="pct"/>
            <w:tcBorders>
              <w:top w:val="nil"/>
              <w:left w:val="nil"/>
              <w:bottom w:val="nil"/>
              <w:right w:val="nil"/>
            </w:tcBorders>
            <w:shd w:val="clear" w:color="auto" w:fill="auto"/>
            <w:noWrap/>
            <w:vAlign w:val="bottom"/>
            <w:hideMark/>
          </w:tcPr>
          <w:p w14:paraId="1ED96DDE"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61</w:t>
            </w:r>
          </w:p>
        </w:tc>
      </w:tr>
      <w:tr w:rsidR="00EE4F94" w:rsidRPr="00CA4C14" w14:paraId="6797FC09" w14:textId="77777777" w:rsidTr="00DD7847">
        <w:trPr>
          <w:trHeight w:val="300"/>
          <w:jc w:val="center"/>
        </w:trPr>
        <w:tc>
          <w:tcPr>
            <w:tcW w:w="1563" w:type="pct"/>
            <w:tcBorders>
              <w:top w:val="nil"/>
              <w:left w:val="nil"/>
              <w:bottom w:val="nil"/>
              <w:right w:val="nil"/>
            </w:tcBorders>
            <w:shd w:val="clear" w:color="auto" w:fill="auto"/>
            <w:vAlign w:val="center"/>
            <w:hideMark/>
          </w:tcPr>
          <w:p w14:paraId="6167CBE7" w14:textId="77777777" w:rsidR="00EE4F94" w:rsidRPr="00CA4C14" w:rsidRDefault="00EE4F94" w:rsidP="00FD58CA">
            <w:pPr>
              <w:pStyle w:val="Tabletext"/>
              <w:keepNext/>
              <w:rPr>
                <w:b/>
                <w:bCs/>
                <w:szCs w:val="18"/>
                <w:lang w:val="ru-RU" w:eastAsia="en-GB"/>
              </w:rPr>
            </w:pPr>
            <w:r w:rsidRPr="00CA4C14">
              <w:rPr>
                <w:rFonts w:cs="Calibri"/>
                <w:b/>
                <w:bCs/>
                <w:szCs w:val="18"/>
                <w:lang w:val="ru-RU"/>
              </w:rPr>
              <w:t xml:space="preserve">Стоимость на 31 декабря </w:t>
            </w:r>
            <w:r w:rsidRPr="00CA4C14">
              <w:rPr>
                <w:b/>
                <w:bCs/>
                <w:szCs w:val="18"/>
                <w:lang w:val="ru-RU" w:eastAsia="en-GB"/>
              </w:rPr>
              <w:t>2023 г.</w:t>
            </w:r>
          </w:p>
        </w:tc>
        <w:tc>
          <w:tcPr>
            <w:tcW w:w="573" w:type="pct"/>
            <w:tcBorders>
              <w:top w:val="nil"/>
              <w:left w:val="nil"/>
              <w:bottom w:val="nil"/>
              <w:right w:val="nil"/>
            </w:tcBorders>
            <w:shd w:val="clear" w:color="auto" w:fill="auto"/>
            <w:noWrap/>
            <w:vAlign w:val="bottom"/>
            <w:hideMark/>
          </w:tcPr>
          <w:p w14:paraId="6606534D"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126 402</w:t>
            </w:r>
          </w:p>
        </w:tc>
        <w:tc>
          <w:tcPr>
            <w:tcW w:w="573" w:type="pct"/>
            <w:tcBorders>
              <w:top w:val="nil"/>
              <w:left w:val="nil"/>
              <w:bottom w:val="nil"/>
              <w:right w:val="nil"/>
            </w:tcBorders>
            <w:shd w:val="clear" w:color="auto" w:fill="auto"/>
            <w:noWrap/>
            <w:vAlign w:val="bottom"/>
            <w:hideMark/>
          </w:tcPr>
          <w:p w14:paraId="1BB6B0E1"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1 121</w:t>
            </w:r>
          </w:p>
        </w:tc>
        <w:tc>
          <w:tcPr>
            <w:tcW w:w="573" w:type="pct"/>
            <w:tcBorders>
              <w:top w:val="nil"/>
              <w:left w:val="nil"/>
              <w:bottom w:val="nil"/>
              <w:right w:val="nil"/>
            </w:tcBorders>
            <w:shd w:val="clear" w:color="auto" w:fill="auto"/>
            <w:noWrap/>
            <w:vAlign w:val="bottom"/>
            <w:hideMark/>
          </w:tcPr>
          <w:p w14:paraId="4AAC5D89"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1 346</w:t>
            </w:r>
          </w:p>
        </w:tc>
        <w:tc>
          <w:tcPr>
            <w:tcW w:w="573" w:type="pct"/>
            <w:tcBorders>
              <w:top w:val="nil"/>
              <w:left w:val="nil"/>
              <w:bottom w:val="nil"/>
              <w:right w:val="nil"/>
            </w:tcBorders>
            <w:shd w:val="clear" w:color="auto" w:fill="auto"/>
            <w:noWrap/>
            <w:vAlign w:val="bottom"/>
            <w:hideMark/>
          </w:tcPr>
          <w:p w14:paraId="518D3AA4"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6 736</w:t>
            </w:r>
          </w:p>
        </w:tc>
        <w:tc>
          <w:tcPr>
            <w:tcW w:w="573" w:type="pct"/>
            <w:tcBorders>
              <w:top w:val="nil"/>
              <w:left w:val="nil"/>
              <w:bottom w:val="nil"/>
              <w:right w:val="nil"/>
            </w:tcBorders>
            <w:shd w:val="clear" w:color="auto" w:fill="auto"/>
            <w:noWrap/>
            <w:vAlign w:val="bottom"/>
            <w:hideMark/>
          </w:tcPr>
          <w:p w14:paraId="320F98AB"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296</w:t>
            </w:r>
          </w:p>
        </w:tc>
        <w:tc>
          <w:tcPr>
            <w:tcW w:w="572" w:type="pct"/>
            <w:tcBorders>
              <w:top w:val="nil"/>
              <w:left w:val="nil"/>
              <w:bottom w:val="nil"/>
              <w:right w:val="nil"/>
            </w:tcBorders>
            <w:shd w:val="clear" w:color="auto" w:fill="auto"/>
            <w:noWrap/>
            <w:vAlign w:val="bottom"/>
            <w:hideMark/>
          </w:tcPr>
          <w:p w14:paraId="1B60B1F6"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135 900</w:t>
            </w:r>
          </w:p>
        </w:tc>
      </w:tr>
      <w:tr w:rsidR="00EE4F94" w:rsidRPr="00CA4C14" w14:paraId="5A1149CB" w14:textId="77777777" w:rsidTr="00DD7847">
        <w:trPr>
          <w:trHeight w:val="120"/>
          <w:jc w:val="center"/>
        </w:trPr>
        <w:tc>
          <w:tcPr>
            <w:tcW w:w="1563" w:type="pct"/>
            <w:tcBorders>
              <w:top w:val="nil"/>
              <w:left w:val="nil"/>
              <w:bottom w:val="nil"/>
              <w:right w:val="nil"/>
            </w:tcBorders>
            <w:shd w:val="clear" w:color="auto" w:fill="auto"/>
            <w:vAlign w:val="center"/>
            <w:hideMark/>
          </w:tcPr>
          <w:p w14:paraId="4CACE506" w14:textId="77777777" w:rsidR="00EE4F94" w:rsidRPr="00CA4C14" w:rsidRDefault="00EE4F94" w:rsidP="0044020A">
            <w:pPr>
              <w:pStyle w:val="Tabletext"/>
              <w:keepNext/>
              <w:spacing w:before="0" w:after="0"/>
              <w:rPr>
                <w:szCs w:val="18"/>
                <w:lang w:val="ru-RU" w:eastAsia="en-GB"/>
              </w:rPr>
            </w:pPr>
          </w:p>
        </w:tc>
        <w:tc>
          <w:tcPr>
            <w:tcW w:w="573" w:type="pct"/>
            <w:tcBorders>
              <w:top w:val="nil"/>
              <w:left w:val="nil"/>
              <w:bottom w:val="nil"/>
              <w:right w:val="nil"/>
            </w:tcBorders>
            <w:shd w:val="clear" w:color="auto" w:fill="auto"/>
            <w:noWrap/>
            <w:vAlign w:val="bottom"/>
            <w:hideMark/>
          </w:tcPr>
          <w:p w14:paraId="1FDAE568"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B9F9289"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3C55DC0"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65AA4944"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50C9B096" w14:textId="77777777" w:rsidR="00EE4F94" w:rsidRPr="00CA4C14" w:rsidRDefault="00EE4F94" w:rsidP="0044020A">
            <w:pPr>
              <w:pStyle w:val="Tabletext"/>
              <w:keepNext/>
              <w:spacing w:before="0" w:after="0"/>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64884022" w14:textId="77777777" w:rsidR="00EE4F94" w:rsidRPr="00CA4C14" w:rsidRDefault="00EE4F94" w:rsidP="0044020A">
            <w:pPr>
              <w:pStyle w:val="Tabletext"/>
              <w:keepNext/>
              <w:spacing w:before="0" w:after="0"/>
              <w:jc w:val="right"/>
              <w:rPr>
                <w:b/>
                <w:bCs/>
                <w:szCs w:val="18"/>
                <w:lang w:val="ru-RU" w:eastAsia="en-GB"/>
              </w:rPr>
            </w:pPr>
          </w:p>
        </w:tc>
      </w:tr>
      <w:tr w:rsidR="00EE4F94" w:rsidRPr="00CA4C14" w14:paraId="718C6F8E" w14:textId="77777777" w:rsidTr="00DD7847">
        <w:trPr>
          <w:trHeight w:val="510"/>
          <w:jc w:val="center"/>
        </w:trPr>
        <w:tc>
          <w:tcPr>
            <w:tcW w:w="1563" w:type="pct"/>
            <w:tcBorders>
              <w:top w:val="nil"/>
              <w:left w:val="nil"/>
              <w:bottom w:val="nil"/>
              <w:right w:val="nil"/>
            </w:tcBorders>
            <w:shd w:val="clear" w:color="auto" w:fill="auto"/>
            <w:vAlign w:val="center"/>
            <w:hideMark/>
          </w:tcPr>
          <w:p w14:paraId="6448CABC" w14:textId="77777777" w:rsidR="00EE4F94" w:rsidRPr="00CA4C14" w:rsidRDefault="00EE4F94" w:rsidP="00FD58CA">
            <w:pPr>
              <w:pStyle w:val="Tabletext"/>
              <w:keepNext/>
              <w:rPr>
                <w:b/>
                <w:bCs/>
                <w:szCs w:val="18"/>
                <w:lang w:val="ru-RU" w:eastAsia="en-GB"/>
              </w:rPr>
            </w:pPr>
            <w:r w:rsidRPr="00CA4C14">
              <w:rPr>
                <w:rFonts w:cs="Calibri"/>
                <w:b/>
                <w:bCs/>
                <w:szCs w:val="18"/>
                <w:lang w:val="ru-RU"/>
              </w:rPr>
              <w:t>Совокупная амортизация на 1 января</w:t>
            </w:r>
            <w:r w:rsidRPr="00CA4C14">
              <w:rPr>
                <w:b/>
                <w:bCs/>
                <w:szCs w:val="18"/>
                <w:lang w:val="ru-RU" w:eastAsia="en-GB"/>
              </w:rPr>
              <w:t xml:space="preserve"> 2023 г.</w:t>
            </w:r>
          </w:p>
        </w:tc>
        <w:tc>
          <w:tcPr>
            <w:tcW w:w="573" w:type="pct"/>
            <w:tcBorders>
              <w:top w:val="nil"/>
              <w:left w:val="nil"/>
              <w:bottom w:val="nil"/>
              <w:right w:val="nil"/>
            </w:tcBorders>
            <w:shd w:val="clear" w:color="auto" w:fill="auto"/>
            <w:noWrap/>
            <w:vAlign w:val="bottom"/>
            <w:hideMark/>
          </w:tcPr>
          <w:p w14:paraId="57966DE7"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63 920</w:t>
            </w:r>
          </w:p>
        </w:tc>
        <w:tc>
          <w:tcPr>
            <w:tcW w:w="573" w:type="pct"/>
            <w:tcBorders>
              <w:top w:val="nil"/>
              <w:left w:val="nil"/>
              <w:bottom w:val="nil"/>
              <w:right w:val="nil"/>
            </w:tcBorders>
            <w:shd w:val="clear" w:color="auto" w:fill="auto"/>
            <w:noWrap/>
            <w:vAlign w:val="bottom"/>
            <w:hideMark/>
          </w:tcPr>
          <w:p w14:paraId="41032E6E"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1 270</w:t>
            </w:r>
          </w:p>
        </w:tc>
        <w:tc>
          <w:tcPr>
            <w:tcW w:w="573" w:type="pct"/>
            <w:tcBorders>
              <w:top w:val="nil"/>
              <w:left w:val="nil"/>
              <w:bottom w:val="nil"/>
              <w:right w:val="nil"/>
            </w:tcBorders>
            <w:shd w:val="clear" w:color="auto" w:fill="auto"/>
            <w:noWrap/>
            <w:vAlign w:val="bottom"/>
            <w:hideMark/>
          </w:tcPr>
          <w:p w14:paraId="321900F0"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1 342</w:t>
            </w:r>
          </w:p>
        </w:tc>
        <w:tc>
          <w:tcPr>
            <w:tcW w:w="573" w:type="pct"/>
            <w:tcBorders>
              <w:top w:val="nil"/>
              <w:left w:val="nil"/>
              <w:bottom w:val="nil"/>
              <w:right w:val="nil"/>
            </w:tcBorders>
            <w:shd w:val="clear" w:color="auto" w:fill="auto"/>
            <w:noWrap/>
            <w:vAlign w:val="bottom"/>
            <w:hideMark/>
          </w:tcPr>
          <w:p w14:paraId="0445BBE7"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6 403</w:t>
            </w:r>
          </w:p>
        </w:tc>
        <w:tc>
          <w:tcPr>
            <w:tcW w:w="573" w:type="pct"/>
            <w:tcBorders>
              <w:top w:val="nil"/>
              <w:left w:val="nil"/>
              <w:bottom w:val="nil"/>
              <w:right w:val="nil"/>
            </w:tcBorders>
            <w:shd w:val="clear" w:color="auto" w:fill="auto"/>
            <w:noWrap/>
            <w:vAlign w:val="bottom"/>
            <w:hideMark/>
          </w:tcPr>
          <w:p w14:paraId="02462FB0"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255</w:t>
            </w:r>
          </w:p>
        </w:tc>
        <w:tc>
          <w:tcPr>
            <w:tcW w:w="572" w:type="pct"/>
            <w:tcBorders>
              <w:top w:val="nil"/>
              <w:left w:val="nil"/>
              <w:bottom w:val="nil"/>
              <w:right w:val="nil"/>
            </w:tcBorders>
            <w:shd w:val="clear" w:color="auto" w:fill="auto"/>
            <w:noWrap/>
            <w:vAlign w:val="bottom"/>
            <w:hideMark/>
          </w:tcPr>
          <w:p w14:paraId="59A03134"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73 190</w:t>
            </w:r>
          </w:p>
        </w:tc>
      </w:tr>
      <w:tr w:rsidR="00EE4F94" w:rsidRPr="00CA4C14" w14:paraId="479D6A49" w14:textId="77777777" w:rsidTr="00DD7847">
        <w:trPr>
          <w:trHeight w:val="120"/>
          <w:jc w:val="center"/>
        </w:trPr>
        <w:tc>
          <w:tcPr>
            <w:tcW w:w="1563" w:type="pct"/>
            <w:tcBorders>
              <w:top w:val="nil"/>
              <w:left w:val="nil"/>
              <w:bottom w:val="nil"/>
              <w:right w:val="nil"/>
            </w:tcBorders>
            <w:shd w:val="clear" w:color="auto" w:fill="auto"/>
            <w:vAlign w:val="center"/>
            <w:hideMark/>
          </w:tcPr>
          <w:p w14:paraId="33A09F5C" w14:textId="77777777" w:rsidR="00EE4F94" w:rsidRPr="00CA4C14" w:rsidRDefault="00EE4F94" w:rsidP="0044020A">
            <w:pPr>
              <w:pStyle w:val="Tabletext"/>
              <w:keepNext/>
              <w:spacing w:before="0" w:after="0"/>
              <w:rPr>
                <w:szCs w:val="18"/>
                <w:lang w:val="ru-RU" w:eastAsia="en-GB"/>
              </w:rPr>
            </w:pPr>
          </w:p>
        </w:tc>
        <w:tc>
          <w:tcPr>
            <w:tcW w:w="573" w:type="pct"/>
            <w:tcBorders>
              <w:top w:val="nil"/>
              <w:left w:val="nil"/>
              <w:bottom w:val="nil"/>
              <w:right w:val="nil"/>
            </w:tcBorders>
            <w:shd w:val="clear" w:color="auto" w:fill="auto"/>
            <w:noWrap/>
            <w:vAlign w:val="bottom"/>
            <w:hideMark/>
          </w:tcPr>
          <w:p w14:paraId="340E612B"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6B272CF"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6EB2DEB"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74D451F"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5A618B4E" w14:textId="77777777" w:rsidR="00EE4F94" w:rsidRPr="00CA4C14" w:rsidRDefault="00EE4F94" w:rsidP="0044020A">
            <w:pPr>
              <w:pStyle w:val="Tabletext"/>
              <w:keepNext/>
              <w:spacing w:before="0" w:after="0"/>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6B2A0F64" w14:textId="77777777" w:rsidR="00EE4F94" w:rsidRPr="00CA4C14" w:rsidRDefault="00EE4F94" w:rsidP="0044020A">
            <w:pPr>
              <w:pStyle w:val="Tabletext"/>
              <w:keepNext/>
              <w:spacing w:before="0" w:after="0"/>
              <w:jc w:val="right"/>
              <w:rPr>
                <w:b/>
                <w:bCs/>
                <w:szCs w:val="18"/>
                <w:lang w:val="ru-RU" w:eastAsia="en-GB"/>
              </w:rPr>
            </w:pPr>
          </w:p>
        </w:tc>
      </w:tr>
      <w:tr w:rsidR="00EE4F94" w:rsidRPr="00CA4C14" w14:paraId="229DAE48" w14:textId="77777777" w:rsidTr="00DD7847">
        <w:trPr>
          <w:trHeight w:val="300"/>
          <w:jc w:val="center"/>
        </w:trPr>
        <w:tc>
          <w:tcPr>
            <w:tcW w:w="1563" w:type="pct"/>
            <w:tcBorders>
              <w:top w:val="nil"/>
              <w:left w:val="nil"/>
              <w:bottom w:val="nil"/>
              <w:right w:val="nil"/>
            </w:tcBorders>
            <w:shd w:val="clear" w:color="auto" w:fill="auto"/>
            <w:vAlign w:val="center"/>
            <w:hideMark/>
          </w:tcPr>
          <w:p w14:paraId="7D034F34" w14:textId="77777777" w:rsidR="00EE4F94" w:rsidRPr="00CA4C14" w:rsidRDefault="00EE4F94" w:rsidP="00FD58CA">
            <w:pPr>
              <w:pStyle w:val="Tabletext"/>
              <w:keepNext/>
              <w:rPr>
                <w:szCs w:val="18"/>
                <w:lang w:val="ru-RU" w:eastAsia="en-GB"/>
              </w:rPr>
            </w:pPr>
            <w:r w:rsidRPr="00CA4C14">
              <w:rPr>
                <w:szCs w:val="18"/>
                <w:lang w:val="ru-RU" w:eastAsia="en-GB"/>
              </w:rPr>
              <w:t>Амортизация</w:t>
            </w:r>
          </w:p>
        </w:tc>
        <w:tc>
          <w:tcPr>
            <w:tcW w:w="573" w:type="pct"/>
            <w:tcBorders>
              <w:top w:val="nil"/>
              <w:left w:val="nil"/>
              <w:bottom w:val="nil"/>
              <w:right w:val="nil"/>
            </w:tcBorders>
            <w:shd w:val="clear" w:color="auto" w:fill="auto"/>
            <w:noWrap/>
            <w:vAlign w:val="bottom"/>
            <w:hideMark/>
          </w:tcPr>
          <w:p w14:paraId="0302722F" w14:textId="77777777" w:rsidR="00EE4F94" w:rsidRPr="00CA4C14" w:rsidRDefault="00EE4F94" w:rsidP="00FD58CA">
            <w:pPr>
              <w:pStyle w:val="Tabletext"/>
              <w:keepNext/>
              <w:jc w:val="right"/>
              <w:rPr>
                <w:szCs w:val="18"/>
                <w:lang w:val="ru-RU" w:eastAsia="en-GB"/>
              </w:rPr>
            </w:pPr>
            <w:r w:rsidRPr="00CA4C14">
              <w:rPr>
                <w:szCs w:val="18"/>
                <w:lang w:val="ru-RU" w:eastAsia="en-GB"/>
              </w:rPr>
              <w:t>3 514</w:t>
            </w:r>
          </w:p>
        </w:tc>
        <w:tc>
          <w:tcPr>
            <w:tcW w:w="573" w:type="pct"/>
            <w:tcBorders>
              <w:top w:val="nil"/>
              <w:left w:val="nil"/>
              <w:bottom w:val="nil"/>
              <w:right w:val="nil"/>
            </w:tcBorders>
            <w:shd w:val="clear" w:color="auto" w:fill="auto"/>
            <w:noWrap/>
            <w:vAlign w:val="bottom"/>
            <w:hideMark/>
          </w:tcPr>
          <w:p w14:paraId="0FE324F5" w14:textId="77777777" w:rsidR="00EE4F94" w:rsidRPr="00CA4C14" w:rsidRDefault="00EE4F94" w:rsidP="00FD58CA">
            <w:pPr>
              <w:pStyle w:val="Tabletext"/>
              <w:keepNext/>
              <w:jc w:val="right"/>
              <w:rPr>
                <w:szCs w:val="18"/>
                <w:lang w:val="ru-RU" w:eastAsia="en-GB"/>
              </w:rPr>
            </w:pPr>
            <w:r w:rsidRPr="00CA4C14">
              <w:rPr>
                <w:szCs w:val="18"/>
                <w:lang w:val="ru-RU" w:eastAsia="en-GB"/>
              </w:rPr>
              <w:t>47</w:t>
            </w:r>
          </w:p>
        </w:tc>
        <w:tc>
          <w:tcPr>
            <w:tcW w:w="573" w:type="pct"/>
            <w:tcBorders>
              <w:top w:val="nil"/>
              <w:left w:val="nil"/>
              <w:bottom w:val="nil"/>
              <w:right w:val="nil"/>
            </w:tcBorders>
            <w:shd w:val="clear" w:color="auto" w:fill="auto"/>
            <w:noWrap/>
            <w:vAlign w:val="bottom"/>
            <w:hideMark/>
          </w:tcPr>
          <w:p w14:paraId="180D811B" w14:textId="77777777" w:rsidR="00EE4F94" w:rsidRPr="00CA4C14" w:rsidRDefault="00EE4F94" w:rsidP="00FD58CA">
            <w:pPr>
              <w:pStyle w:val="Tabletext"/>
              <w:keepNext/>
              <w:jc w:val="right"/>
              <w:rPr>
                <w:szCs w:val="18"/>
                <w:lang w:val="ru-RU" w:eastAsia="en-GB"/>
              </w:rPr>
            </w:pPr>
            <w:r w:rsidRPr="00CA4C14">
              <w:rPr>
                <w:szCs w:val="18"/>
                <w:lang w:val="ru-RU" w:eastAsia="en-GB"/>
              </w:rPr>
              <w:t>16</w:t>
            </w:r>
          </w:p>
        </w:tc>
        <w:tc>
          <w:tcPr>
            <w:tcW w:w="573" w:type="pct"/>
            <w:tcBorders>
              <w:top w:val="nil"/>
              <w:left w:val="nil"/>
              <w:bottom w:val="nil"/>
              <w:right w:val="nil"/>
            </w:tcBorders>
            <w:shd w:val="clear" w:color="auto" w:fill="auto"/>
            <w:noWrap/>
            <w:vAlign w:val="bottom"/>
            <w:hideMark/>
          </w:tcPr>
          <w:p w14:paraId="591EB8D5" w14:textId="77777777" w:rsidR="00EE4F94" w:rsidRPr="00CA4C14" w:rsidRDefault="00EE4F94" w:rsidP="00FD58CA">
            <w:pPr>
              <w:pStyle w:val="Tabletext"/>
              <w:keepNext/>
              <w:jc w:val="right"/>
              <w:rPr>
                <w:szCs w:val="18"/>
                <w:lang w:val="ru-RU" w:eastAsia="en-GB"/>
              </w:rPr>
            </w:pPr>
            <w:r w:rsidRPr="00CA4C14">
              <w:rPr>
                <w:szCs w:val="18"/>
                <w:lang w:val="ru-RU" w:eastAsia="en-GB"/>
              </w:rPr>
              <w:t>512</w:t>
            </w:r>
          </w:p>
        </w:tc>
        <w:tc>
          <w:tcPr>
            <w:tcW w:w="573" w:type="pct"/>
            <w:tcBorders>
              <w:top w:val="nil"/>
              <w:left w:val="nil"/>
              <w:bottom w:val="nil"/>
              <w:right w:val="nil"/>
            </w:tcBorders>
            <w:shd w:val="clear" w:color="auto" w:fill="auto"/>
            <w:noWrap/>
            <w:vAlign w:val="bottom"/>
            <w:hideMark/>
          </w:tcPr>
          <w:p w14:paraId="0AA59CEC" w14:textId="77777777" w:rsidR="00EE4F94" w:rsidRPr="00CA4C14" w:rsidRDefault="00EE4F94" w:rsidP="00FD58CA">
            <w:pPr>
              <w:pStyle w:val="Tabletext"/>
              <w:keepNext/>
              <w:jc w:val="right"/>
              <w:rPr>
                <w:szCs w:val="18"/>
                <w:lang w:val="ru-RU" w:eastAsia="en-GB"/>
              </w:rPr>
            </w:pPr>
            <w:r w:rsidRPr="00CA4C14">
              <w:rPr>
                <w:szCs w:val="18"/>
                <w:lang w:val="ru-RU" w:eastAsia="en-GB"/>
              </w:rPr>
              <w:t>19</w:t>
            </w:r>
          </w:p>
        </w:tc>
        <w:tc>
          <w:tcPr>
            <w:tcW w:w="572" w:type="pct"/>
            <w:tcBorders>
              <w:top w:val="nil"/>
              <w:left w:val="nil"/>
              <w:bottom w:val="nil"/>
              <w:right w:val="nil"/>
            </w:tcBorders>
            <w:shd w:val="clear" w:color="auto" w:fill="auto"/>
            <w:noWrap/>
            <w:vAlign w:val="bottom"/>
            <w:hideMark/>
          </w:tcPr>
          <w:p w14:paraId="0E81BF89"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4 108</w:t>
            </w:r>
          </w:p>
        </w:tc>
      </w:tr>
      <w:tr w:rsidR="00EE4F94" w:rsidRPr="00CA4C14" w14:paraId="333F8AEF" w14:textId="77777777" w:rsidTr="00DD7847">
        <w:trPr>
          <w:trHeight w:val="300"/>
          <w:jc w:val="center"/>
        </w:trPr>
        <w:tc>
          <w:tcPr>
            <w:tcW w:w="1563" w:type="pct"/>
            <w:tcBorders>
              <w:top w:val="nil"/>
              <w:left w:val="nil"/>
              <w:bottom w:val="nil"/>
              <w:right w:val="nil"/>
            </w:tcBorders>
            <w:shd w:val="clear" w:color="auto" w:fill="auto"/>
            <w:vAlign w:val="center"/>
            <w:hideMark/>
          </w:tcPr>
          <w:p w14:paraId="1633CCE3" w14:textId="77777777" w:rsidR="00EE4F94" w:rsidRPr="00CA4C14" w:rsidRDefault="00EE4F94" w:rsidP="00FD58CA">
            <w:pPr>
              <w:pStyle w:val="Tabletext"/>
              <w:keepNext/>
              <w:rPr>
                <w:szCs w:val="18"/>
                <w:lang w:val="ru-RU" w:eastAsia="en-GB"/>
              </w:rPr>
            </w:pPr>
            <w:r w:rsidRPr="00CA4C14">
              <w:rPr>
                <w:rFonts w:cs="Calibri"/>
                <w:szCs w:val="18"/>
                <w:lang w:val="ru-RU"/>
              </w:rPr>
              <w:t>Выбытие</w:t>
            </w:r>
          </w:p>
        </w:tc>
        <w:tc>
          <w:tcPr>
            <w:tcW w:w="573" w:type="pct"/>
            <w:tcBorders>
              <w:top w:val="nil"/>
              <w:left w:val="nil"/>
              <w:bottom w:val="nil"/>
              <w:right w:val="nil"/>
            </w:tcBorders>
            <w:shd w:val="clear" w:color="auto" w:fill="auto"/>
            <w:noWrap/>
            <w:vAlign w:val="bottom"/>
            <w:hideMark/>
          </w:tcPr>
          <w:p w14:paraId="5C47D3F0"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3" w:type="pct"/>
            <w:tcBorders>
              <w:top w:val="nil"/>
              <w:left w:val="nil"/>
              <w:bottom w:val="nil"/>
              <w:right w:val="nil"/>
            </w:tcBorders>
            <w:shd w:val="clear" w:color="auto" w:fill="auto"/>
            <w:noWrap/>
            <w:vAlign w:val="bottom"/>
            <w:hideMark/>
          </w:tcPr>
          <w:p w14:paraId="4A9A9639" w14:textId="77777777" w:rsidR="00EE4F94" w:rsidRPr="00CA4C14" w:rsidRDefault="00EE4F94" w:rsidP="00FD58CA">
            <w:pPr>
              <w:pStyle w:val="Tabletext"/>
              <w:keepNext/>
              <w:jc w:val="right"/>
              <w:rPr>
                <w:szCs w:val="18"/>
                <w:lang w:val="ru-RU" w:eastAsia="en-GB"/>
              </w:rPr>
            </w:pPr>
            <w:r w:rsidRPr="00CA4C14">
              <w:rPr>
                <w:szCs w:val="18"/>
                <w:lang w:val="ru-RU" w:eastAsia="en-GB"/>
              </w:rPr>
              <w:t>(301,9)</w:t>
            </w:r>
          </w:p>
        </w:tc>
        <w:tc>
          <w:tcPr>
            <w:tcW w:w="573" w:type="pct"/>
            <w:tcBorders>
              <w:top w:val="nil"/>
              <w:left w:val="nil"/>
              <w:bottom w:val="nil"/>
              <w:right w:val="nil"/>
            </w:tcBorders>
            <w:shd w:val="clear" w:color="auto" w:fill="auto"/>
            <w:noWrap/>
            <w:vAlign w:val="bottom"/>
            <w:hideMark/>
          </w:tcPr>
          <w:p w14:paraId="2781E219" w14:textId="77777777" w:rsidR="00EE4F94" w:rsidRPr="00CA4C14" w:rsidRDefault="00EE4F94" w:rsidP="00FD58CA">
            <w:pPr>
              <w:pStyle w:val="Tabletext"/>
              <w:keepNext/>
              <w:jc w:val="right"/>
              <w:rPr>
                <w:szCs w:val="18"/>
                <w:lang w:val="ru-RU" w:eastAsia="en-GB"/>
              </w:rPr>
            </w:pPr>
            <w:r w:rsidRPr="00CA4C14">
              <w:rPr>
                <w:szCs w:val="18"/>
                <w:lang w:val="ru-RU" w:eastAsia="en-GB"/>
              </w:rPr>
              <w:t>(24,0)</w:t>
            </w:r>
          </w:p>
        </w:tc>
        <w:tc>
          <w:tcPr>
            <w:tcW w:w="573" w:type="pct"/>
            <w:tcBorders>
              <w:top w:val="nil"/>
              <w:left w:val="nil"/>
              <w:bottom w:val="nil"/>
              <w:right w:val="nil"/>
            </w:tcBorders>
            <w:shd w:val="clear" w:color="auto" w:fill="auto"/>
            <w:noWrap/>
            <w:vAlign w:val="bottom"/>
            <w:hideMark/>
          </w:tcPr>
          <w:p w14:paraId="3CCBA74F" w14:textId="77777777" w:rsidR="00EE4F94" w:rsidRPr="00CA4C14" w:rsidRDefault="00EE4F94" w:rsidP="00FD58CA">
            <w:pPr>
              <w:pStyle w:val="Tabletext"/>
              <w:keepNext/>
              <w:jc w:val="right"/>
              <w:rPr>
                <w:szCs w:val="18"/>
                <w:lang w:val="ru-RU" w:eastAsia="en-GB"/>
              </w:rPr>
            </w:pPr>
            <w:r w:rsidRPr="00CA4C14">
              <w:rPr>
                <w:szCs w:val="18"/>
                <w:lang w:val="ru-RU" w:eastAsia="en-GB"/>
              </w:rPr>
              <w:t>(530,8)</w:t>
            </w:r>
          </w:p>
        </w:tc>
        <w:tc>
          <w:tcPr>
            <w:tcW w:w="573" w:type="pct"/>
            <w:tcBorders>
              <w:top w:val="nil"/>
              <w:left w:val="nil"/>
              <w:bottom w:val="nil"/>
              <w:right w:val="nil"/>
            </w:tcBorders>
            <w:shd w:val="clear" w:color="auto" w:fill="auto"/>
            <w:noWrap/>
            <w:vAlign w:val="bottom"/>
            <w:hideMark/>
          </w:tcPr>
          <w:p w14:paraId="6BDE4D73"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2" w:type="pct"/>
            <w:tcBorders>
              <w:top w:val="nil"/>
              <w:left w:val="nil"/>
              <w:bottom w:val="nil"/>
              <w:right w:val="nil"/>
            </w:tcBorders>
            <w:shd w:val="clear" w:color="auto" w:fill="auto"/>
            <w:noWrap/>
            <w:vAlign w:val="bottom"/>
            <w:hideMark/>
          </w:tcPr>
          <w:p w14:paraId="4A4E271E"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(857)</w:t>
            </w:r>
          </w:p>
        </w:tc>
      </w:tr>
      <w:tr w:rsidR="00EE4F94" w:rsidRPr="00CA4C14" w14:paraId="12AF42E2" w14:textId="77777777" w:rsidTr="00DD7847">
        <w:trPr>
          <w:trHeight w:val="510"/>
          <w:jc w:val="center"/>
        </w:trPr>
        <w:tc>
          <w:tcPr>
            <w:tcW w:w="1563" w:type="pct"/>
            <w:tcBorders>
              <w:top w:val="nil"/>
              <w:left w:val="nil"/>
              <w:bottom w:val="nil"/>
              <w:right w:val="nil"/>
            </w:tcBorders>
            <w:shd w:val="clear" w:color="auto" w:fill="auto"/>
            <w:vAlign w:val="center"/>
            <w:hideMark/>
          </w:tcPr>
          <w:p w14:paraId="27C1AEEB" w14:textId="77777777" w:rsidR="00EE4F94" w:rsidRPr="00CA4C14" w:rsidRDefault="00EE4F94" w:rsidP="00FD58CA">
            <w:pPr>
              <w:pStyle w:val="Tabletext"/>
              <w:keepNext/>
              <w:rPr>
                <w:b/>
                <w:bCs/>
                <w:szCs w:val="18"/>
                <w:lang w:val="ru-RU" w:eastAsia="en-GB"/>
              </w:rPr>
            </w:pPr>
            <w:r w:rsidRPr="00CA4C14">
              <w:rPr>
                <w:rFonts w:cs="Calibri"/>
                <w:b/>
                <w:bCs/>
                <w:szCs w:val="18"/>
                <w:lang w:val="ru-RU"/>
              </w:rPr>
              <w:t xml:space="preserve">Совокупная амортизация на 31 декабря </w:t>
            </w:r>
            <w:r w:rsidRPr="00CA4C14">
              <w:rPr>
                <w:b/>
                <w:bCs/>
                <w:szCs w:val="18"/>
                <w:lang w:val="ru-RU" w:eastAsia="en-GB"/>
              </w:rPr>
              <w:t>2023 г.</w:t>
            </w:r>
          </w:p>
        </w:tc>
        <w:tc>
          <w:tcPr>
            <w:tcW w:w="573" w:type="pct"/>
            <w:tcBorders>
              <w:top w:val="nil"/>
              <w:left w:val="nil"/>
              <w:bottom w:val="nil"/>
              <w:right w:val="nil"/>
            </w:tcBorders>
            <w:shd w:val="clear" w:color="auto" w:fill="auto"/>
            <w:noWrap/>
            <w:vAlign w:val="bottom"/>
            <w:hideMark/>
          </w:tcPr>
          <w:p w14:paraId="4C603AC6"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67 434</w:t>
            </w:r>
          </w:p>
        </w:tc>
        <w:tc>
          <w:tcPr>
            <w:tcW w:w="573" w:type="pct"/>
            <w:tcBorders>
              <w:top w:val="nil"/>
              <w:left w:val="nil"/>
              <w:bottom w:val="nil"/>
              <w:right w:val="nil"/>
            </w:tcBorders>
            <w:shd w:val="clear" w:color="auto" w:fill="auto"/>
            <w:noWrap/>
            <w:vAlign w:val="bottom"/>
            <w:hideMark/>
          </w:tcPr>
          <w:p w14:paraId="22BB89C2"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1 015</w:t>
            </w:r>
          </w:p>
        </w:tc>
        <w:tc>
          <w:tcPr>
            <w:tcW w:w="573" w:type="pct"/>
            <w:tcBorders>
              <w:top w:val="nil"/>
              <w:left w:val="nil"/>
              <w:bottom w:val="nil"/>
              <w:right w:val="nil"/>
            </w:tcBorders>
            <w:shd w:val="clear" w:color="auto" w:fill="auto"/>
            <w:noWrap/>
            <w:vAlign w:val="bottom"/>
            <w:hideMark/>
          </w:tcPr>
          <w:p w14:paraId="0FA0AA6D"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1 334</w:t>
            </w:r>
          </w:p>
        </w:tc>
        <w:tc>
          <w:tcPr>
            <w:tcW w:w="573" w:type="pct"/>
            <w:tcBorders>
              <w:top w:val="nil"/>
              <w:left w:val="nil"/>
              <w:bottom w:val="nil"/>
              <w:right w:val="nil"/>
            </w:tcBorders>
            <w:shd w:val="clear" w:color="auto" w:fill="auto"/>
            <w:noWrap/>
            <w:vAlign w:val="bottom"/>
            <w:hideMark/>
          </w:tcPr>
          <w:p w14:paraId="21B6CDFF"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6 385</w:t>
            </w:r>
          </w:p>
        </w:tc>
        <w:tc>
          <w:tcPr>
            <w:tcW w:w="573" w:type="pct"/>
            <w:tcBorders>
              <w:top w:val="nil"/>
              <w:left w:val="nil"/>
              <w:bottom w:val="nil"/>
              <w:right w:val="nil"/>
            </w:tcBorders>
            <w:shd w:val="clear" w:color="auto" w:fill="auto"/>
            <w:noWrap/>
            <w:vAlign w:val="bottom"/>
            <w:hideMark/>
          </w:tcPr>
          <w:p w14:paraId="7D098487"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275</w:t>
            </w:r>
          </w:p>
        </w:tc>
        <w:tc>
          <w:tcPr>
            <w:tcW w:w="572" w:type="pct"/>
            <w:tcBorders>
              <w:top w:val="nil"/>
              <w:left w:val="nil"/>
              <w:bottom w:val="nil"/>
              <w:right w:val="nil"/>
            </w:tcBorders>
            <w:shd w:val="clear" w:color="auto" w:fill="auto"/>
            <w:noWrap/>
            <w:vAlign w:val="bottom"/>
            <w:hideMark/>
          </w:tcPr>
          <w:p w14:paraId="712E2786"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76 441</w:t>
            </w:r>
          </w:p>
        </w:tc>
      </w:tr>
      <w:tr w:rsidR="00EE4F94" w:rsidRPr="00CA4C14" w14:paraId="394E41E5" w14:textId="77777777" w:rsidTr="00DD7847">
        <w:trPr>
          <w:trHeight w:val="120"/>
          <w:jc w:val="center"/>
        </w:trPr>
        <w:tc>
          <w:tcPr>
            <w:tcW w:w="1563" w:type="pct"/>
            <w:tcBorders>
              <w:top w:val="nil"/>
              <w:left w:val="nil"/>
              <w:bottom w:val="nil"/>
              <w:right w:val="nil"/>
            </w:tcBorders>
            <w:shd w:val="clear" w:color="auto" w:fill="auto"/>
            <w:vAlign w:val="center"/>
            <w:hideMark/>
          </w:tcPr>
          <w:p w14:paraId="68A58DAC" w14:textId="77777777" w:rsidR="00EE4F94" w:rsidRPr="00CA4C14" w:rsidRDefault="00EE4F94" w:rsidP="0044020A">
            <w:pPr>
              <w:pStyle w:val="Tabletext"/>
              <w:keepNext/>
              <w:spacing w:before="0" w:after="0"/>
              <w:rPr>
                <w:szCs w:val="18"/>
                <w:lang w:val="ru-RU" w:eastAsia="en-GB"/>
              </w:rPr>
            </w:pPr>
          </w:p>
        </w:tc>
        <w:tc>
          <w:tcPr>
            <w:tcW w:w="573" w:type="pct"/>
            <w:tcBorders>
              <w:top w:val="nil"/>
              <w:left w:val="nil"/>
              <w:bottom w:val="nil"/>
              <w:right w:val="nil"/>
            </w:tcBorders>
            <w:shd w:val="clear" w:color="auto" w:fill="auto"/>
            <w:noWrap/>
            <w:vAlign w:val="bottom"/>
            <w:hideMark/>
          </w:tcPr>
          <w:p w14:paraId="3238FAD1"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4EFAFD04"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0DC95B2C"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00BB5CDD" w14:textId="77777777" w:rsidR="00EE4F94" w:rsidRPr="00CA4C14" w:rsidRDefault="00EE4F94" w:rsidP="0044020A">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EE62E67" w14:textId="77777777" w:rsidR="00EE4F94" w:rsidRPr="00CA4C14" w:rsidRDefault="00EE4F94" w:rsidP="0044020A">
            <w:pPr>
              <w:pStyle w:val="Tabletext"/>
              <w:keepNext/>
              <w:spacing w:before="0" w:after="0"/>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4F8EEE06" w14:textId="77777777" w:rsidR="00EE4F94" w:rsidRPr="00CA4C14" w:rsidRDefault="00EE4F94" w:rsidP="0044020A">
            <w:pPr>
              <w:pStyle w:val="Tabletext"/>
              <w:keepNext/>
              <w:spacing w:before="0" w:after="0"/>
              <w:jc w:val="right"/>
              <w:rPr>
                <w:szCs w:val="18"/>
                <w:lang w:val="ru-RU" w:eastAsia="en-GB"/>
              </w:rPr>
            </w:pPr>
          </w:p>
        </w:tc>
      </w:tr>
      <w:tr w:rsidR="00EE4F94" w:rsidRPr="00CA4C14" w14:paraId="651539FE" w14:textId="77777777" w:rsidTr="00DD7847">
        <w:trPr>
          <w:trHeight w:val="510"/>
          <w:jc w:val="center"/>
        </w:trPr>
        <w:tc>
          <w:tcPr>
            <w:tcW w:w="1563" w:type="pct"/>
            <w:tcBorders>
              <w:top w:val="nil"/>
              <w:left w:val="nil"/>
              <w:bottom w:val="nil"/>
              <w:right w:val="nil"/>
            </w:tcBorders>
            <w:shd w:val="clear" w:color="auto" w:fill="auto"/>
            <w:vAlign w:val="center"/>
            <w:hideMark/>
          </w:tcPr>
          <w:p w14:paraId="0A42CAF5" w14:textId="77777777" w:rsidR="00EE4F94" w:rsidRPr="00CA4C14" w:rsidRDefault="00EE4F94" w:rsidP="00FD58CA">
            <w:pPr>
              <w:pStyle w:val="Tabletext"/>
              <w:keepNext/>
              <w:rPr>
                <w:b/>
                <w:bCs/>
                <w:szCs w:val="18"/>
                <w:lang w:val="ru-RU" w:eastAsia="en-GB"/>
              </w:rPr>
            </w:pPr>
            <w:r w:rsidRPr="00CA4C14">
              <w:rPr>
                <w:rFonts w:cs="Calibri"/>
                <w:b/>
                <w:bCs/>
                <w:szCs w:val="18"/>
                <w:lang w:val="ru-RU"/>
              </w:rPr>
              <w:t>Чистая балансовая стоимость на 1 января 2023 г.</w:t>
            </w:r>
          </w:p>
        </w:tc>
        <w:tc>
          <w:tcPr>
            <w:tcW w:w="573" w:type="pct"/>
            <w:tcBorders>
              <w:top w:val="nil"/>
              <w:left w:val="nil"/>
              <w:bottom w:val="nil"/>
              <w:right w:val="nil"/>
            </w:tcBorders>
            <w:shd w:val="clear" w:color="auto" w:fill="auto"/>
            <w:noWrap/>
            <w:vAlign w:val="bottom"/>
            <w:hideMark/>
          </w:tcPr>
          <w:p w14:paraId="3F70C789"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62 424</w:t>
            </w:r>
          </w:p>
        </w:tc>
        <w:tc>
          <w:tcPr>
            <w:tcW w:w="573" w:type="pct"/>
            <w:tcBorders>
              <w:top w:val="nil"/>
              <w:left w:val="nil"/>
              <w:bottom w:val="nil"/>
              <w:right w:val="nil"/>
            </w:tcBorders>
            <w:shd w:val="clear" w:color="auto" w:fill="auto"/>
            <w:noWrap/>
            <w:vAlign w:val="bottom"/>
            <w:hideMark/>
          </w:tcPr>
          <w:p w14:paraId="64A3A4E4"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125</w:t>
            </w:r>
          </w:p>
        </w:tc>
        <w:tc>
          <w:tcPr>
            <w:tcW w:w="573" w:type="pct"/>
            <w:tcBorders>
              <w:top w:val="nil"/>
              <w:left w:val="nil"/>
              <w:bottom w:val="nil"/>
              <w:right w:val="nil"/>
            </w:tcBorders>
            <w:shd w:val="clear" w:color="auto" w:fill="auto"/>
            <w:noWrap/>
            <w:vAlign w:val="bottom"/>
            <w:hideMark/>
          </w:tcPr>
          <w:p w14:paraId="74F99BA9"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21</w:t>
            </w:r>
          </w:p>
        </w:tc>
        <w:tc>
          <w:tcPr>
            <w:tcW w:w="573" w:type="pct"/>
            <w:tcBorders>
              <w:top w:val="nil"/>
              <w:left w:val="nil"/>
              <w:bottom w:val="nil"/>
              <w:right w:val="nil"/>
            </w:tcBorders>
            <w:shd w:val="clear" w:color="auto" w:fill="auto"/>
            <w:noWrap/>
            <w:vAlign w:val="bottom"/>
            <w:hideMark/>
          </w:tcPr>
          <w:p w14:paraId="26D5A49F"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801</w:t>
            </w:r>
          </w:p>
        </w:tc>
        <w:tc>
          <w:tcPr>
            <w:tcW w:w="573" w:type="pct"/>
            <w:tcBorders>
              <w:top w:val="nil"/>
              <w:left w:val="nil"/>
              <w:bottom w:val="nil"/>
              <w:right w:val="nil"/>
            </w:tcBorders>
            <w:shd w:val="clear" w:color="auto" w:fill="auto"/>
            <w:noWrap/>
            <w:vAlign w:val="bottom"/>
            <w:hideMark/>
          </w:tcPr>
          <w:p w14:paraId="6D1935E9"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41</w:t>
            </w:r>
          </w:p>
        </w:tc>
        <w:tc>
          <w:tcPr>
            <w:tcW w:w="572" w:type="pct"/>
            <w:tcBorders>
              <w:top w:val="nil"/>
              <w:left w:val="nil"/>
              <w:bottom w:val="nil"/>
              <w:right w:val="nil"/>
            </w:tcBorders>
            <w:shd w:val="clear" w:color="auto" w:fill="auto"/>
            <w:noWrap/>
            <w:vAlign w:val="bottom"/>
            <w:hideMark/>
          </w:tcPr>
          <w:p w14:paraId="7B3616CA"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63 412</w:t>
            </w:r>
          </w:p>
        </w:tc>
      </w:tr>
      <w:tr w:rsidR="00EE4F94" w:rsidRPr="00CA4C14" w14:paraId="4E98C2C7" w14:textId="77777777" w:rsidTr="00DD7847">
        <w:trPr>
          <w:trHeight w:val="501"/>
          <w:jc w:val="center"/>
        </w:trPr>
        <w:tc>
          <w:tcPr>
            <w:tcW w:w="1563" w:type="pct"/>
            <w:tcBorders>
              <w:top w:val="nil"/>
              <w:left w:val="nil"/>
              <w:bottom w:val="nil"/>
              <w:right w:val="nil"/>
            </w:tcBorders>
            <w:shd w:val="clear" w:color="000000" w:fill="0070C0"/>
            <w:vAlign w:val="center"/>
            <w:hideMark/>
          </w:tcPr>
          <w:p w14:paraId="7A5EB3CA" w14:textId="77777777" w:rsidR="00EE4F94" w:rsidRPr="00CA4C14" w:rsidRDefault="00EE4F94" w:rsidP="003C7940">
            <w:pPr>
              <w:pStyle w:val="Tabletext"/>
              <w:rPr>
                <w:b/>
                <w:bCs/>
                <w:szCs w:val="18"/>
                <w:lang w:val="ru-RU" w:eastAsia="en-GB"/>
              </w:rPr>
            </w:pPr>
            <w:r w:rsidRPr="00CA4C14">
              <w:rPr>
                <w:rFonts w:cs="Calibri"/>
                <w:b/>
                <w:bCs/>
                <w:szCs w:val="18"/>
                <w:lang w:val="ru-RU"/>
              </w:rPr>
              <w:t xml:space="preserve">Чистая балансовая стоимость на 31 декабря </w:t>
            </w:r>
            <w:r w:rsidRPr="00CA4C14">
              <w:rPr>
                <w:b/>
                <w:bCs/>
                <w:szCs w:val="18"/>
                <w:lang w:val="ru-RU" w:eastAsia="en-GB"/>
              </w:rPr>
              <w:t>2023 г.</w:t>
            </w:r>
          </w:p>
        </w:tc>
        <w:tc>
          <w:tcPr>
            <w:tcW w:w="573" w:type="pct"/>
            <w:tcBorders>
              <w:top w:val="nil"/>
              <w:left w:val="nil"/>
              <w:bottom w:val="nil"/>
              <w:right w:val="nil"/>
            </w:tcBorders>
            <w:shd w:val="clear" w:color="000000" w:fill="0070C0"/>
            <w:noWrap/>
            <w:vAlign w:val="bottom"/>
            <w:hideMark/>
          </w:tcPr>
          <w:p w14:paraId="1E244984" w14:textId="77777777" w:rsidR="00EE4F94" w:rsidRPr="00CA4C14" w:rsidRDefault="00EE4F94" w:rsidP="00F8684E">
            <w:pPr>
              <w:pStyle w:val="Tabletext"/>
              <w:jc w:val="right"/>
              <w:rPr>
                <w:b/>
                <w:bCs/>
                <w:szCs w:val="18"/>
                <w:lang w:val="ru-RU" w:eastAsia="en-GB"/>
              </w:rPr>
            </w:pPr>
            <w:r w:rsidRPr="00CA4C14">
              <w:rPr>
                <w:b/>
                <w:bCs/>
                <w:szCs w:val="18"/>
                <w:lang w:val="ru-RU" w:eastAsia="en-GB"/>
              </w:rPr>
              <w:t>58 968</w:t>
            </w:r>
          </w:p>
        </w:tc>
        <w:tc>
          <w:tcPr>
            <w:tcW w:w="573" w:type="pct"/>
            <w:tcBorders>
              <w:top w:val="nil"/>
              <w:left w:val="nil"/>
              <w:bottom w:val="nil"/>
              <w:right w:val="nil"/>
            </w:tcBorders>
            <w:shd w:val="clear" w:color="000000" w:fill="0070C0"/>
            <w:noWrap/>
            <w:vAlign w:val="bottom"/>
            <w:hideMark/>
          </w:tcPr>
          <w:p w14:paraId="71250D9D" w14:textId="77777777" w:rsidR="00EE4F94" w:rsidRPr="00CA4C14" w:rsidRDefault="00EE4F94" w:rsidP="00F8684E">
            <w:pPr>
              <w:pStyle w:val="Tabletext"/>
              <w:jc w:val="right"/>
              <w:rPr>
                <w:b/>
                <w:bCs/>
                <w:szCs w:val="18"/>
                <w:lang w:val="ru-RU" w:eastAsia="en-GB"/>
              </w:rPr>
            </w:pPr>
            <w:r w:rsidRPr="00CA4C14">
              <w:rPr>
                <w:b/>
                <w:bCs/>
                <w:szCs w:val="18"/>
                <w:lang w:val="ru-RU" w:eastAsia="en-GB"/>
              </w:rPr>
              <w:t>106</w:t>
            </w:r>
          </w:p>
        </w:tc>
        <w:tc>
          <w:tcPr>
            <w:tcW w:w="573" w:type="pct"/>
            <w:tcBorders>
              <w:top w:val="nil"/>
              <w:left w:val="nil"/>
              <w:bottom w:val="nil"/>
              <w:right w:val="nil"/>
            </w:tcBorders>
            <w:shd w:val="clear" w:color="000000" w:fill="0070C0"/>
            <w:noWrap/>
            <w:vAlign w:val="bottom"/>
            <w:hideMark/>
          </w:tcPr>
          <w:p w14:paraId="358836DF" w14:textId="77777777" w:rsidR="00EE4F94" w:rsidRPr="00CA4C14" w:rsidRDefault="00EE4F94" w:rsidP="00F8684E">
            <w:pPr>
              <w:pStyle w:val="Tabletext"/>
              <w:jc w:val="right"/>
              <w:rPr>
                <w:b/>
                <w:bCs/>
                <w:szCs w:val="18"/>
                <w:lang w:val="ru-RU" w:eastAsia="en-GB"/>
              </w:rPr>
            </w:pPr>
            <w:r w:rsidRPr="00CA4C14">
              <w:rPr>
                <w:b/>
                <w:bCs/>
                <w:szCs w:val="18"/>
                <w:lang w:val="ru-RU" w:eastAsia="en-GB"/>
              </w:rPr>
              <w:t>12</w:t>
            </w:r>
          </w:p>
        </w:tc>
        <w:tc>
          <w:tcPr>
            <w:tcW w:w="573" w:type="pct"/>
            <w:tcBorders>
              <w:top w:val="nil"/>
              <w:left w:val="nil"/>
              <w:bottom w:val="nil"/>
              <w:right w:val="nil"/>
            </w:tcBorders>
            <w:shd w:val="clear" w:color="000000" w:fill="0070C0"/>
            <w:noWrap/>
            <w:vAlign w:val="bottom"/>
            <w:hideMark/>
          </w:tcPr>
          <w:p w14:paraId="45ADE626" w14:textId="77777777" w:rsidR="00EE4F94" w:rsidRPr="00CA4C14" w:rsidRDefault="00EE4F94" w:rsidP="00F8684E">
            <w:pPr>
              <w:pStyle w:val="Tabletext"/>
              <w:jc w:val="right"/>
              <w:rPr>
                <w:b/>
                <w:bCs/>
                <w:szCs w:val="18"/>
                <w:lang w:val="ru-RU" w:eastAsia="en-GB"/>
              </w:rPr>
            </w:pPr>
            <w:r w:rsidRPr="00CA4C14">
              <w:rPr>
                <w:b/>
                <w:bCs/>
                <w:szCs w:val="18"/>
                <w:lang w:val="ru-RU" w:eastAsia="en-GB"/>
              </w:rPr>
              <w:t>351</w:t>
            </w:r>
          </w:p>
        </w:tc>
        <w:tc>
          <w:tcPr>
            <w:tcW w:w="573" w:type="pct"/>
            <w:tcBorders>
              <w:top w:val="nil"/>
              <w:left w:val="nil"/>
              <w:bottom w:val="nil"/>
              <w:right w:val="nil"/>
            </w:tcBorders>
            <w:shd w:val="clear" w:color="000000" w:fill="0070C0"/>
            <w:noWrap/>
            <w:vAlign w:val="bottom"/>
            <w:hideMark/>
          </w:tcPr>
          <w:p w14:paraId="3B63112D" w14:textId="77777777" w:rsidR="00EE4F94" w:rsidRPr="00CA4C14" w:rsidRDefault="00EE4F94" w:rsidP="00F8684E">
            <w:pPr>
              <w:pStyle w:val="Tabletext"/>
              <w:jc w:val="right"/>
              <w:rPr>
                <w:b/>
                <w:bCs/>
                <w:szCs w:val="18"/>
                <w:lang w:val="ru-RU" w:eastAsia="en-GB"/>
              </w:rPr>
            </w:pPr>
            <w:r w:rsidRPr="00CA4C14">
              <w:rPr>
                <w:b/>
                <w:bCs/>
                <w:szCs w:val="18"/>
                <w:lang w:val="ru-RU" w:eastAsia="en-GB"/>
              </w:rPr>
              <w:t>21</w:t>
            </w:r>
          </w:p>
        </w:tc>
        <w:tc>
          <w:tcPr>
            <w:tcW w:w="572" w:type="pct"/>
            <w:tcBorders>
              <w:top w:val="nil"/>
              <w:left w:val="nil"/>
              <w:bottom w:val="nil"/>
              <w:right w:val="nil"/>
            </w:tcBorders>
            <w:shd w:val="clear" w:color="000000" w:fill="0070C0"/>
            <w:noWrap/>
            <w:vAlign w:val="bottom"/>
            <w:hideMark/>
          </w:tcPr>
          <w:p w14:paraId="6296CF3A" w14:textId="77777777" w:rsidR="00EE4F94" w:rsidRPr="00CA4C14" w:rsidRDefault="00EE4F94" w:rsidP="00F8684E">
            <w:pPr>
              <w:pStyle w:val="Tabletext"/>
              <w:jc w:val="right"/>
              <w:rPr>
                <w:b/>
                <w:bCs/>
                <w:szCs w:val="18"/>
                <w:lang w:val="ru-RU" w:eastAsia="en-GB"/>
              </w:rPr>
            </w:pPr>
            <w:r w:rsidRPr="00CA4C14">
              <w:rPr>
                <w:b/>
                <w:bCs/>
                <w:szCs w:val="18"/>
                <w:lang w:val="ru-RU" w:eastAsia="en-GB"/>
              </w:rPr>
              <w:t>59 459</w:t>
            </w:r>
          </w:p>
        </w:tc>
      </w:tr>
    </w:tbl>
    <w:p w14:paraId="55753CE9" w14:textId="77777777" w:rsidR="00EE4F94" w:rsidRPr="00CA4C14" w:rsidRDefault="00EE4F94" w:rsidP="000C6E3F">
      <w:pPr>
        <w:pStyle w:val="Tabletitle"/>
        <w:spacing w:before="360"/>
        <w:rPr>
          <w:lang w:val="ru-RU"/>
        </w:rPr>
      </w:pPr>
      <w:r w:rsidRPr="00CA4C14">
        <w:rPr>
          <w:lang w:val="ru-RU"/>
        </w:rPr>
        <w:lastRenderedPageBreak/>
        <w:t>2022 год</w:t>
      </w:r>
    </w:p>
    <w:tbl>
      <w:tblPr>
        <w:tblW w:w="5000" w:type="pct"/>
        <w:jc w:val="center"/>
        <w:tblLook w:val="04A0" w:firstRow="1" w:lastRow="0" w:firstColumn="1" w:lastColumn="0" w:noHBand="0" w:noVBand="1"/>
      </w:tblPr>
      <w:tblGrid>
        <w:gridCol w:w="2834"/>
        <w:gridCol w:w="1033"/>
        <w:gridCol w:w="1035"/>
        <w:gridCol w:w="1035"/>
        <w:gridCol w:w="1036"/>
        <w:gridCol w:w="1066"/>
        <w:gridCol w:w="1032"/>
      </w:tblGrid>
      <w:tr w:rsidR="00EE4F94" w:rsidRPr="00CA4C14" w14:paraId="449A0C71" w14:textId="77777777" w:rsidTr="00DD7847">
        <w:trPr>
          <w:trHeight w:val="744"/>
          <w:jc w:val="center"/>
        </w:trPr>
        <w:tc>
          <w:tcPr>
            <w:tcW w:w="1565" w:type="pct"/>
            <w:tcBorders>
              <w:top w:val="nil"/>
              <w:left w:val="nil"/>
              <w:bottom w:val="nil"/>
              <w:right w:val="nil"/>
            </w:tcBorders>
            <w:shd w:val="clear" w:color="000000" w:fill="0070C0"/>
            <w:vAlign w:val="center"/>
            <w:hideMark/>
          </w:tcPr>
          <w:p w14:paraId="0DAE90B6" w14:textId="77777777" w:rsidR="00EE4F94" w:rsidRPr="00CA4C14" w:rsidRDefault="00EE4F94" w:rsidP="0044020A">
            <w:pPr>
              <w:pStyle w:val="Tablehead"/>
              <w:rPr>
                <w:szCs w:val="18"/>
                <w:lang w:val="ru-RU" w:eastAsia="en-GB"/>
              </w:rPr>
            </w:pPr>
            <w:r w:rsidRPr="00CA4C14">
              <w:rPr>
                <w:rFonts w:cs="Calibri"/>
                <w:szCs w:val="18"/>
                <w:lang w:val="ru-RU"/>
              </w:rPr>
              <w:t xml:space="preserve">Категории активов </w:t>
            </w:r>
            <w:r w:rsidRPr="00CA4C14">
              <w:rPr>
                <w:rFonts w:cs="Calibri"/>
                <w:szCs w:val="18"/>
                <w:lang w:val="ru-RU"/>
              </w:rPr>
              <w:br/>
              <w:t>(тыс. шв. фр.)</w:t>
            </w:r>
          </w:p>
        </w:tc>
        <w:tc>
          <w:tcPr>
            <w:tcW w:w="572" w:type="pct"/>
            <w:tcBorders>
              <w:top w:val="nil"/>
              <w:left w:val="nil"/>
              <w:bottom w:val="nil"/>
              <w:right w:val="nil"/>
            </w:tcBorders>
            <w:shd w:val="clear" w:color="000000" w:fill="0070C0"/>
            <w:vAlign w:val="center"/>
            <w:hideMark/>
          </w:tcPr>
          <w:p w14:paraId="7CF25654" w14:textId="77777777" w:rsidR="00EE4F94" w:rsidRPr="00CA4C14" w:rsidRDefault="00EE4F94" w:rsidP="0044020A">
            <w:pPr>
              <w:pStyle w:val="Tablehead"/>
              <w:rPr>
                <w:szCs w:val="18"/>
                <w:lang w:val="ru-RU" w:eastAsia="en-GB"/>
              </w:rPr>
            </w:pPr>
            <w:r w:rsidRPr="00CA4C14">
              <w:rPr>
                <w:szCs w:val="18"/>
                <w:lang w:val="ru-RU"/>
              </w:rPr>
              <w:t>Здания</w:t>
            </w:r>
          </w:p>
        </w:tc>
        <w:tc>
          <w:tcPr>
            <w:tcW w:w="573" w:type="pct"/>
            <w:tcBorders>
              <w:top w:val="nil"/>
              <w:left w:val="nil"/>
              <w:bottom w:val="nil"/>
              <w:right w:val="nil"/>
            </w:tcBorders>
            <w:shd w:val="clear" w:color="000000" w:fill="0070C0"/>
            <w:vAlign w:val="center"/>
            <w:hideMark/>
          </w:tcPr>
          <w:p w14:paraId="77E6C7E7" w14:textId="77777777" w:rsidR="00EE4F94" w:rsidRPr="00CA4C14" w:rsidRDefault="00EE4F94" w:rsidP="0044020A">
            <w:pPr>
              <w:pStyle w:val="Tablehead"/>
              <w:rPr>
                <w:szCs w:val="18"/>
                <w:lang w:val="ru-RU" w:eastAsia="en-GB"/>
              </w:rPr>
            </w:pPr>
            <w:r w:rsidRPr="00CA4C14">
              <w:rPr>
                <w:rFonts w:cs="Calibri"/>
                <w:szCs w:val="18"/>
                <w:lang w:val="ru-RU"/>
              </w:rPr>
              <w:t xml:space="preserve">Машины </w:t>
            </w:r>
            <w:r w:rsidRPr="00CA4C14">
              <w:rPr>
                <w:rFonts w:cs="Calibri"/>
                <w:szCs w:val="18"/>
                <w:lang w:val="ru-RU"/>
              </w:rPr>
              <w:br/>
              <w:t xml:space="preserve">и </w:t>
            </w:r>
            <w:proofErr w:type="gramStart"/>
            <w:r w:rsidRPr="00CA4C14">
              <w:rPr>
                <w:rFonts w:cs="Calibri"/>
                <w:szCs w:val="18"/>
                <w:lang w:val="ru-RU"/>
              </w:rPr>
              <w:t>обору-</w:t>
            </w:r>
            <w:proofErr w:type="spellStart"/>
            <w:r w:rsidRPr="00CA4C14">
              <w:rPr>
                <w:rFonts w:cs="Calibri"/>
                <w:szCs w:val="18"/>
                <w:lang w:val="ru-RU"/>
              </w:rPr>
              <w:t>дование</w:t>
            </w:r>
            <w:proofErr w:type="spellEnd"/>
            <w:proofErr w:type="gramEnd"/>
          </w:p>
        </w:tc>
        <w:tc>
          <w:tcPr>
            <w:tcW w:w="573" w:type="pct"/>
            <w:tcBorders>
              <w:top w:val="nil"/>
              <w:left w:val="nil"/>
              <w:bottom w:val="nil"/>
              <w:right w:val="nil"/>
            </w:tcBorders>
            <w:shd w:val="clear" w:color="000000" w:fill="0070C0"/>
            <w:vAlign w:val="center"/>
            <w:hideMark/>
          </w:tcPr>
          <w:p w14:paraId="6B8FDEA1" w14:textId="77777777" w:rsidR="00EE4F94" w:rsidRPr="00CA4C14" w:rsidRDefault="00EE4F94" w:rsidP="0044020A">
            <w:pPr>
              <w:pStyle w:val="Tablehead"/>
              <w:rPr>
                <w:szCs w:val="18"/>
                <w:lang w:val="ru-RU" w:eastAsia="en-GB"/>
              </w:rPr>
            </w:pPr>
            <w:r w:rsidRPr="00CA4C14">
              <w:rPr>
                <w:rFonts w:cs="Calibri"/>
                <w:szCs w:val="18"/>
                <w:lang w:val="ru-RU"/>
              </w:rPr>
              <w:t xml:space="preserve">Мебель </w:t>
            </w:r>
            <w:r w:rsidRPr="00CA4C14">
              <w:rPr>
                <w:rFonts w:cs="Calibri"/>
                <w:szCs w:val="18"/>
                <w:lang w:val="ru-RU"/>
              </w:rPr>
              <w:br/>
              <w:t xml:space="preserve">и </w:t>
            </w:r>
            <w:proofErr w:type="gramStart"/>
            <w:r w:rsidRPr="00CA4C14">
              <w:rPr>
                <w:rFonts w:cs="Calibri"/>
                <w:szCs w:val="18"/>
                <w:lang w:val="ru-RU"/>
              </w:rPr>
              <w:t>устрой-</w:t>
            </w:r>
            <w:proofErr w:type="spellStart"/>
            <w:r w:rsidRPr="00CA4C14">
              <w:rPr>
                <w:rFonts w:cs="Calibri"/>
                <w:szCs w:val="18"/>
                <w:lang w:val="ru-RU"/>
              </w:rPr>
              <w:t>ства</w:t>
            </w:r>
            <w:proofErr w:type="spellEnd"/>
            <w:proofErr w:type="gramEnd"/>
          </w:p>
        </w:tc>
        <w:tc>
          <w:tcPr>
            <w:tcW w:w="573" w:type="pct"/>
            <w:tcBorders>
              <w:top w:val="nil"/>
              <w:left w:val="nil"/>
              <w:bottom w:val="nil"/>
              <w:right w:val="nil"/>
            </w:tcBorders>
            <w:shd w:val="clear" w:color="000000" w:fill="0070C0"/>
            <w:vAlign w:val="center"/>
            <w:hideMark/>
          </w:tcPr>
          <w:p w14:paraId="095CAE1E" w14:textId="77777777" w:rsidR="00EE4F94" w:rsidRPr="00CA4C14" w:rsidRDefault="00EE4F94" w:rsidP="0044020A">
            <w:pPr>
              <w:pStyle w:val="Tablehead"/>
              <w:rPr>
                <w:szCs w:val="18"/>
                <w:lang w:val="ru-RU" w:eastAsia="en-GB"/>
              </w:rPr>
            </w:pPr>
            <w:proofErr w:type="spellStart"/>
            <w:r w:rsidRPr="00CA4C14">
              <w:rPr>
                <w:rFonts w:cs="Calibri"/>
                <w:szCs w:val="18"/>
                <w:lang w:val="ru-RU"/>
              </w:rPr>
              <w:t>Компью-терное</w:t>
            </w:r>
            <w:proofErr w:type="spellEnd"/>
            <w:r w:rsidRPr="00CA4C14">
              <w:rPr>
                <w:rFonts w:cs="Calibri"/>
                <w:szCs w:val="18"/>
                <w:lang w:val="ru-RU"/>
              </w:rPr>
              <w:t xml:space="preserve"> </w:t>
            </w:r>
            <w:proofErr w:type="spellStart"/>
            <w:r w:rsidRPr="00CA4C14">
              <w:rPr>
                <w:rFonts w:cs="Calibri"/>
                <w:szCs w:val="18"/>
                <w:lang w:val="ru-RU"/>
              </w:rPr>
              <w:t>оборудо-вание</w:t>
            </w:r>
            <w:proofErr w:type="spellEnd"/>
          </w:p>
        </w:tc>
        <w:tc>
          <w:tcPr>
            <w:tcW w:w="573" w:type="pct"/>
            <w:tcBorders>
              <w:top w:val="nil"/>
              <w:left w:val="nil"/>
              <w:bottom w:val="nil"/>
              <w:right w:val="nil"/>
            </w:tcBorders>
            <w:shd w:val="clear" w:color="000000" w:fill="0070C0"/>
            <w:vAlign w:val="center"/>
            <w:hideMark/>
          </w:tcPr>
          <w:p w14:paraId="43907077" w14:textId="77777777" w:rsidR="00EE4F94" w:rsidRPr="00CA4C14" w:rsidRDefault="00EE4F94" w:rsidP="0044020A">
            <w:pPr>
              <w:pStyle w:val="Tablehead"/>
              <w:rPr>
                <w:szCs w:val="18"/>
                <w:lang w:val="ru-RU" w:eastAsia="en-GB"/>
              </w:rPr>
            </w:pPr>
            <w:proofErr w:type="gramStart"/>
            <w:r w:rsidRPr="00CA4C14">
              <w:rPr>
                <w:rFonts w:cs="Calibri"/>
                <w:szCs w:val="18"/>
                <w:lang w:val="ru-RU"/>
              </w:rPr>
              <w:t>Автотранс-портные</w:t>
            </w:r>
            <w:proofErr w:type="gramEnd"/>
            <w:r w:rsidRPr="00CA4C14">
              <w:rPr>
                <w:rFonts w:cs="Calibri"/>
                <w:szCs w:val="18"/>
                <w:lang w:val="ru-RU"/>
              </w:rPr>
              <w:t xml:space="preserve"> средства</w:t>
            </w:r>
          </w:p>
        </w:tc>
        <w:tc>
          <w:tcPr>
            <w:tcW w:w="572" w:type="pct"/>
            <w:tcBorders>
              <w:top w:val="nil"/>
              <w:left w:val="nil"/>
              <w:bottom w:val="nil"/>
              <w:right w:val="nil"/>
            </w:tcBorders>
            <w:shd w:val="clear" w:color="000000" w:fill="0070C0"/>
            <w:vAlign w:val="center"/>
            <w:hideMark/>
          </w:tcPr>
          <w:p w14:paraId="17376E95" w14:textId="77777777" w:rsidR="00EE4F94" w:rsidRPr="00CA4C14" w:rsidRDefault="00EE4F94" w:rsidP="0044020A">
            <w:pPr>
              <w:pStyle w:val="Tablehead"/>
              <w:rPr>
                <w:szCs w:val="18"/>
                <w:lang w:val="ru-RU" w:eastAsia="en-GB"/>
              </w:rPr>
            </w:pPr>
            <w:r w:rsidRPr="00CA4C14">
              <w:rPr>
                <w:szCs w:val="18"/>
                <w:lang w:val="ru-RU" w:eastAsia="en-GB"/>
              </w:rPr>
              <w:t>Всего 2022 г.</w:t>
            </w:r>
          </w:p>
        </w:tc>
      </w:tr>
      <w:tr w:rsidR="00EE4F94" w:rsidRPr="00CA4C14" w14:paraId="55DC759D" w14:textId="77777777" w:rsidTr="00DD7847">
        <w:trPr>
          <w:trHeight w:val="300"/>
          <w:jc w:val="center"/>
        </w:trPr>
        <w:tc>
          <w:tcPr>
            <w:tcW w:w="1565" w:type="pct"/>
            <w:tcBorders>
              <w:top w:val="nil"/>
              <w:left w:val="nil"/>
              <w:bottom w:val="nil"/>
              <w:right w:val="nil"/>
            </w:tcBorders>
            <w:shd w:val="clear" w:color="auto" w:fill="auto"/>
            <w:vAlign w:val="center"/>
            <w:hideMark/>
          </w:tcPr>
          <w:p w14:paraId="64DC1B5F" w14:textId="77777777" w:rsidR="00EE4F94" w:rsidRPr="00CA4C14" w:rsidRDefault="00EE4F94" w:rsidP="00FD58CA">
            <w:pPr>
              <w:pStyle w:val="Tabletext"/>
              <w:keepNext/>
              <w:rPr>
                <w:b/>
                <w:bCs/>
                <w:szCs w:val="18"/>
                <w:lang w:val="ru-RU" w:eastAsia="en-GB"/>
              </w:rPr>
            </w:pPr>
            <w:r w:rsidRPr="00CA4C14">
              <w:rPr>
                <w:rFonts w:cs="Calibri"/>
                <w:b/>
                <w:bCs/>
                <w:szCs w:val="18"/>
                <w:lang w:val="ru-RU"/>
              </w:rPr>
              <w:t>Стоимость на 1 января 2022 г.</w:t>
            </w:r>
          </w:p>
        </w:tc>
        <w:tc>
          <w:tcPr>
            <w:tcW w:w="572" w:type="pct"/>
            <w:tcBorders>
              <w:top w:val="nil"/>
              <w:left w:val="nil"/>
              <w:bottom w:val="nil"/>
              <w:right w:val="nil"/>
            </w:tcBorders>
            <w:shd w:val="clear" w:color="auto" w:fill="auto"/>
            <w:noWrap/>
            <w:vAlign w:val="bottom"/>
            <w:hideMark/>
          </w:tcPr>
          <w:p w14:paraId="6B1300EC"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126 338</w:t>
            </w:r>
          </w:p>
        </w:tc>
        <w:tc>
          <w:tcPr>
            <w:tcW w:w="573" w:type="pct"/>
            <w:tcBorders>
              <w:top w:val="nil"/>
              <w:left w:val="nil"/>
              <w:bottom w:val="nil"/>
              <w:right w:val="nil"/>
            </w:tcBorders>
            <w:shd w:val="clear" w:color="auto" w:fill="auto"/>
            <w:noWrap/>
            <w:vAlign w:val="bottom"/>
            <w:hideMark/>
          </w:tcPr>
          <w:p w14:paraId="53174FC6"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2 112</w:t>
            </w:r>
          </w:p>
        </w:tc>
        <w:tc>
          <w:tcPr>
            <w:tcW w:w="573" w:type="pct"/>
            <w:tcBorders>
              <w:top w:val="nil"/>
              <w:left w:val="nil"/>
              <w:bottom w:val="nil"/>
              <w:right w:val="nil"/>
            </w:tcBorders>
            <w:shd w:val="clear" w:color="auto" w:fill="auto"/>
            <w:noWrap/>
            <w:vAlign w:val="bottom"/>
            <w:hideMark/>
          </w:tcPr>
          <w:p w14:paraId="405C4A74"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1 394</w:t>
            </w:r>
          </w:p>
        </w:tc>
        <w:tc>
          <w:tcPr>
            <w:tcW w:w="573" w:type="pct"/>
            <w:tcBorders>
              <w:top w:val="nil"/>
              <w:left w:val="nil"/>
              <w:bottom w:val="nil"/>
              <w:right w:val="nil"/>
            </w:tcBorders>
            <w:shd w:val="clear" w:color="auto" w:fill="auto"/>
            <w:noWrap/>
            <w:vAlign w:val="bottom"/>
            <w:hideMark/>
          </w:tcPr>
          <w:p w14:paraId="2FA110B8"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8 803</w:t>
            </w:r>
          </w:p>
        </w:tc>
        <w:tc>
          <w:tcPr>
            <w:tcW w:w="573" w:type="pct"/>
            <w:tcBorders>
              <w:top w:val="nil"/>
              <w:left w:val="nil"/>
              <w:bottom w:val="nil"/>
              <w:right w:val="nil"/>
            </w:tcBorders>
            <w:shd w:val="clear" w:color="auto" w:fill="auto"/>
            <w:noWrap/>
            <w:vAlign w:val="bottom"/>
            <w:hideMark/>
          </w:tcPr>
          <w:p w14:paraId="510B2EBF"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296</w:t>
            </w:r>
          </w:p>
        </w:tc>
        <w:tc>
          <w:tcPr>
            <w:tcW w:w="572" w:type="pct"/>
            <w:tcBorders>
              <w:top w:val="nil"/>
              <w:left w:val="nil"/>
              <w:bottom w:val="nil"/>
              <w:right w:val="nil"/>
            </w:tcBorders>
            <w:shd w:val="clear" w:color="auto" w:fill="auto"/>
            <w:noWrap/>
            <w:vAlign w:val="bottom"/>
            <w:hideMark/>
          </w:tcPr>
          <w:p w14:paraId="350D2F4D" w14:textId="77777777" w:rsidR="00EE4F94" w:rsidRPr="00CA4C14" w:rsidRDefault="00EE4F94" w:rsidP="00FD58CA">
            <w:pPr>
              <w:pStyle w:val="Tabletext"/>
              <w:keepNext/>
              <w:jc w:val="right"/>
              <w:rPr>
                <w:b/>
                <w:szCs w:val="18"/>
                <w:lang w:val="ru-RU" w:eastAsia="en-GB"/>
              </w:rPr>
            </w:pPr>
            <w:r w:rsidRPr="00CA4C14">
              <w:rPr>
                <w:b/>
                <w:szCs w:val="18"/>
                <w:lang w:val="ru-RU" w:eastAsia="en-GB"/>
              </w:rPr>
              <w:t>138 943</w:t>
            </w:r>
          </w:p>
        </w:tc>
      </w:tr>
      <w:tr w:rsidR="00EE4F94" w:rsidRPr="00CA4C14" w14:paraId="6A72A078" w14:textId="77777777" w:rsidTr="00DD7847">
        <w:trPr>
          <w:trHeight w:val="300"/>
          <w:jc w:val="center"/>
        </w:trPr>
        <w:tc>
          <w:tcPr>
            <w:tcW w:w="1565" w:type="pct"/>
            <w:tcBorders>
              <w:top w:val="nil"/>
              <w:left w:val="nil"/>
              <w:bottom w:val="nil"/>
              <w:right w:val="nil"/>
            </w:tcBorders>
            <w:shd w:val="clear" w:color="auto" w:fill="auto"/>
            <w:vAlign w:val="center"/>
            <w:hideMark/>
          </w:tcPr>
          <w:p w14:paraId="0598DD4F" w14:textId="77777777" w:rsidR="00EE4F94" w:rsidRPr="00CA4C14" w:rsidRDefault="00EE4F94" w:rsidP="00FD58CA">
            <w:pPr>
              <w:pStyle w:val="Tabletext"/>
              <w:keepNext/>
              <w:rPr>
                <w:szCs w:val="18"/>
                <w:lang w:val="ru-RU" w:eastAsia="en-GB"/>
              </w:rPr>
            </w:pPr>
            <w:r w:rsidRPr="00CA4C14">
              <w:rPr>
                <w:rFonts w:cs="Calibri"/>
                <w:szCs w:val="18"/>
                <w:lang w:val="ru-RU"/>
              </w:rPr>
              <w:t>Дополнения</w:t>
            </w:r>
          </w:p>
        </w:tc>
        <w:tc>
          <w:tcPr>
            <w:tcW w:w="572" w:type="pct"/>
            <w:tcBorders>
              <w:top w:val="nil"/>
              <w:left w:val="nil"/>
              <w:bottom w:val="nil"/>
              <w:right w:val="nil"/>
            </w:tcBorders>
            <w:shd w:val="clear" w:color="auto" w:fill="auto"/>
            <w:noWrap/>
            <w:vAlign w:val="bottom"/>
            <w:hideMark/>
          </w:tcPr>
          <w:p w14:paraId="546EC7EF" w14:textId="77777777" w:rsidR="00EE4F94" w:rsidRPr="00CA4C14" w:rsidRDefault="00EE4F94" w:rsidP="00FD58CA">
            <w:pPr>
              <w:pStyle w:val="Tabletext"/>
              <w:keepNext/>
              <w:jc w:val="right"/>
              <w:rPr>
                <w:szCs w:val="18"/>
                <w:lang w:val="ru-RU" w:eastAsia="en-GB"/>
              </w:rPr>
            </w:pPr>
            <w:r w:rsidRPr="00CA4C14">
              <w:rPr>
                <w:szCs w:val="18"/>
                <w:lang w:val="ru-RU" w:eastAsia="en-GB"/>
              </w:rPr>
              <w:t>6</w:t>
            </w:r>
          </w:p>
        </w:tc>
        <w:tc>
          <w:tcPr>
            <w:tcW w:w="573" w:type="pct"/>
            <w:tcBorders>
              <w:top w:val="nil"/>
              <w:left w:val="nil"/>
              <w:bottom w:val="nil"/>
              <w:right w:val="nil"/>
            </w:tcBorders>
            <w:shd w:val="clear" w:color="auto" w:fill="auto"/>
            <w:noWrap/>
            <w:vAlign w:val="bottom"/>
            <w:hideMark/>
          </w:tcPr>
          <w:p w14:paraId="38F90A6B" w14:textId="77777777" w:rsidR="00EE4F94" w:rsidRPr="00CA4C14" w:rsidRDefault="00EE4F94" w:rsidP="00FD58CA">
            <w:pPr>
              <w:pStyle w:val="Tabletext"/>
              <w:keepNext/>
              <w:jc w:val="right"/>
              <w:rPr>
                <w:szCs w:val="18"/>
                <w:lang w:val="ru-RU" w:eastAsia="en-GB"/>
              </w:rPr>
            </w:pPr>
            <w:r w:rsidRPr="00CA4C14">
              <w:rPr>
                <w:szCs w:val="18"/>
                <w:lang w:val="ru-RU" w:eastAsia="en-GB"/>
              </w:rPr>
              <w:t>43</w:t>
            </w:r>
          </w:p>
        </w:tc>
        <w:tc>
          <w:tcPr>
            <w:tcW w:w="573" w:type="pct"/>
            <w:tcBorders>
              <w:top w:val="nil"/>
              <w:left w:val="nil"/>
              <w:bottom w:val="nil"/>
              <w:right w:val="nil"/>
            </w:tcBorders>
            <w:shd w:val="clear" w:color="auto" w:fill="auto"/>
            <w:noWrap/>
            <w:vAlign w:val="bottom"/>
            <w:hideMark/>
          </w:tcPr>
          <w:p w14:paraId="4511889B" w14:textId="77777777" w:rsidR="00EE4F94" w:rsidRPr="00CA4C14" w:rsidRDefault="00EE4F94" w:rsidP="00FD58CA">
            <w:pPr>
              <w:pStyle w:val="Tabletext"/>
              <w:keepNext/>
              <w:jc w:val="right"/>
              <w:rPr>
                <w:szCs w:val="18"/>
                <w:lang w:val="ru-RU" w:eastAsia="en-GB"/>
              </w:rPr>
            </w:pPr>
            <w:r w:rsidRPr="00CA4C14">
              <w:rPr>
                <w:szCs w:val="18"/>
                <w:lang w:val="ru-RU" w:eastAsia="en-GB"/>
              </w:rPr>
              <w:t>10</w:t>
            </w:r>
          </w:p>
        </w:tc>
        <w:tc>
          <w:tcPr>
            <w:tcW w:w="573" w:type="pct"/>
            <w:tcBorders>
              <w:top w:val="nil"/>
              <w:left w:val="nil"/>
              <w:bottom w:val="nil"/>
              <w:right w:val="nil"/>
            </w:tcBorders>
            <w:shd w:val="clear" w:color="auto" w:fill="auto"/>
            <w:noWrap/>
            <w:vAlign w:val="bottom"/>
            <w:hideMark/>
          </w:tcPr>
          <w:p w14:paraId="4CB28510" w14:textId="77777777" w:rsidR="00EE4F94" w:rsidRPr="00CA4C14" w:rsidRDefault="00EE4F94" w:rsidP="00FD58CA">
            <w:pPr>
              <w:pStyle w:val="Tabletext"/>
              <w:keepNext/>
              <w:jc w:val="right"/>
              <w:rPr>
                <w:szCs w:val="18"/>
                <w:lang w:val="ru-RU" w:eastAsia="en-GB"/>
              </w:rPr>
            </w:pPr>
            <w:r w:rsidRPr="00CA4C14">
              <w:rPr>
                <w:szCs w:val="18"/>
                <w:lang w:val="ru-RU" w:eastAsia="en-GB"/>
              </w:rPr>
              <w:t>224</w:t>
            </w:r>
          </w:p>
        </w:tc>
        <w:tc>
          <w:tcPr>
            <w:tcW w:w="573" w:type="pct"/>
            <w:tcBorders>
              <w:top w:val="nil"/>
              <w:left w:val="nil"/>
              <w:bottom w:val="nil"/>
              <w:right w:val="nil"/>
            </w:tcBorders>
            <w:shd w:val="clear" w:color="auto" w:fill="auto"/>
            <w:noWrap/>
            <w:vAlign w:val="bottom"/>
            <w:hideMark/>
          </w:tcPr>
          <w:p w14:paraId="77A7A015" w14:textId="77777777" w:rsidR="00EE4F94" w:rsidRPr="00CA4C14" w:rsidRDefault="00EE4F94" w:rsidP="00FD58CA">
            <w:pPr>
              <w:pStyle w:val="Tabletext"/>
              <w:keepNext/>
              <w:jc w:val="right"/>
              <w:rPr>
                <w:szCs w:val="18"/>
                <w:lang w:val="ru-RU" w:eastAsia="en-GB"/>
              </w:rPr>
            </w:pPr>
            <w:r w:rsidRPr="00CA4C14">
              <w:rPr>
                <w:szCs w:val="18"/>
                <w:lang w:val="ru-RU" w:eastAsia="en-GB"/>
              </w:rPr>
              <w:t>−</w:t>
            </w:r>
          </w:p>
        </w:tc>
        <w:tc>
          <w:tcPr>
            <w:tcW w:w="572" w:type="pct"/>
            <w:tcBorders>
              <w:top w:val="nil"/>
              <w:left w:val="nil"/>
              <w:bottom w:val="nil"/>
              <w:right w:val="nil"/>
            </w:tcBorders>
            <w:shd w:val="clear" w:color="auto" w:fill="auto"/>
            <w:noWrap/>
            <w:vAlign w:val="bottom"/>
            <w:hideMark/>
          </w:tcPr>
          <w:p w14:paraId="74B54DB2" w14:textId="77777777" w:rsidR="00EE4F94" w:rsidRPr="00CA4C14" w:rsidRDefault="00EE4F94" w:rsidP="00FD58CA">
            <w:pPr>
              <w:pStyle w:val="Tabletext"/>
              <w:keepNext/>
              <w:jc w:val="right"/>
              <w:rPr>
                <w:b/>
                <w:szCs w:val="18"/>
                <w:lang w:val="ru-RU" w:eastAsia="en-GB"/>
              </w:rPr>
            </w:pPr>
            <w:r w:rsidRPr="00CA4C14">
              <w:rPr>
                <w:b/>
                <w:szCs w:val="18"/>
                <w:lang w:val="ru-RU" w:eastAsia="en-GB"/>
              </w:rPr>
              <w:t>283</w:t>
            </w:r>
          </w:p>
        </w:tc>
      </w:tr>
      <w:tr w:rsidR="00EE4F94" w:rsidRPr="00CA4C14" w14:paraId="19357099" w14:textId="77777777" w:rsidTr="00DD7847">
        <w:trPr>
          <w:trHeight w:val="300"/>
          <w:jc w:val="center"/>
        </w:trPr>
        <w:tc>
          <w:tcPr>
            <w:tcW w:w="1565" w:type="pct"/>
            <w:tcBorders>
              <w:top w:val="nil"/>
              <w:left w:val="nil"/>
              <w:bottom w:val="nil"/>
              <w:right w:val="nil"/>
            </w:tcBorders>
            <w:shd w:val="clear" w:color="auto" w:fill="auto"/>
            <w:vAlign w:val="center"/>
            <w:hideMark/>
          </w:tcPr>
          <w:p w14:paraId="4A8310B5" w14:textId="77777777" w:rsidR="00EE4F94" w:rsidRPr="00CA4C14" w:rsidRDefault="00EE4F94" w:rsidP="00FD58CA">
            <w:pPr>
              <w:pStyle w:val="Tabletext"/>
              <w:keepNext/>
              <w:rPr>
                <w:szCs w:val="18"/>
                <w:lang w:val="ru-RU" w:eastAsia="en-GB"/>
              </w:rPr>
            </w:pPr>
            <w:r w:rsidRPr="00CA4C14">
              <w:rPr>
                <w:rFonts w:cs="Calibri"/>
                <w:szCs w:val="18"/>
                <w:lang w:val="ru-RU"/>
              </w:rPr>
              <w:t>Выбытие</w:t>
            </w:r>
          </w:p>
        </w:tc>
        <w:tc>
          <w:tcPr>
            <w:tcW w:w="572" w:type="pct"/>
            <w:tcBorders>
              <w:top w:val="nil"/>
              <w:left w:val="nil"/>
              <w:bottom w:val="nil"/>
              <w:right w:val="nil"/>
            </w:tcBorders>
            <w:shd w:val="clear" w:color="auto" w:fill="auto"/>
            <w:noWrap/>
            <w:vAlign w:val="bottom"/>
            <w:hideMark/>
          </w:tcPr>
          <w:p w14:paraId="2124C5EC" w14:textId="77777777" w:rsidR="00EE4F94" w:rsidRPr="00CA4C14" w:rsidRDefault="00EE4F94" w:rsidP="00FD58CA">
            <w:pPr>
              <w:pStyle w:val="Tabletext"/>
              <w:keepNext/>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1AC9C43B" w14:textId="77777777" w:rsidR="00EE4F94" w:rsidRPr="00CA4C14" w:rsidRDefault="00EE4F94" w:rsidP="00FD58CA">
            <w:pPr>
              <w:pStyle w:val="Tabletext"/>
              <w:keepNext/>
              <w:jc w:val="right"/>
              <w:rPr>
                <w:szCs w:val="18"/>
                <w:lang w:val="ru-RU" w:eastAsia="en-GB"/>
              </w:rPr>
            </w:pPr>
            <w:r w:rsidRPr="00CA4C14">
              <w:rPr>
                <w:szCs w:val="18"/>
                <w:lang w:val="ru-RU" w:eastAsia="en-GB"/>
              </w:rPr>
              <w:t>(760)</w:t>
            </w:r>
          </w:p>
        </w:tc>
        <w:tc>
          <w:tcPr>
            <w:tcW w:w="573" w:type="pct"/>
            <w:tcBorders>
              <w:top w:val="nil"/>
              <w:left w:val="nil"/>
              <w:bottom w:val="nil"/>
              <w:right w:val="nil"/>
            </w:tcBorders>
            <w:shd w:val="clear" w:color="auto" w:fill="auto"/>
            <w:noWrap/>
            <w:vAlign w:val="bottom"/>
            <w:hideMark/>
          </w:tcPr>
          <w:p w14:paraId="4979C893" w14:textId="77777777" w:rsidR="00EE4F94" w:rsidRPr="00CA4C14" w:rsidRDefault="00EE4F94" w:rsidP="00FD58CA">
            <w:pPr>
              <w:pStyle w:val="Tabletext"/>
              <w:keepNext/>
              <w:jc w:val="right"/>
              <w:rPr>
                <w:szCs w:val="18"/>
                <w:lang w:val="ru-RU" w:eastAsia="en-GB"/>
              </w:rPr>
            </w:pPr>
            <w:r w:rsidRPr="00CA4C14">
              <w:rPr>
                <w:szCs w:val="18"/>
                <w:lang w:val="ru-RU" w:eastAsia="en-GB"/>
              </w:rPr>
              <w:t>(41)</w:t>
            </w:r>
          </w:p>
        </w:tc>
        <w:tc>
          <w:tcPr>
            <w:tcW w:w="573" w:type="pct"/>
            <w:tcBorders>
              <w:top w:val="nil"/>
              <w:left w:val="nil"/>
              <w:bottom w:val="nil"/>
              <w:right w:val="nil"/>
            </w:tcBorders>
            <w:shd w:val="clear" w:color="auto" w:fill="auto"/>
            <w:noWrap/>
            <w:vAlign w:val="bottom"/>
            <w:hideMark/>
          </w:tcPr>
          <w:p w14:paraId="601091A2" w14:textId="77777777" w:rsidR="00EE4F94" w:rsidRPr="00CA4C14" w:rsidRDefault="00EE4F94" w:rsidP="00FD58CA">
            <w:pPr>
              <w:pStyle w:val="Tabletext"/>
              <w:keepNext/>
              <w:jc w:val="right"/>
              <w:rPr>
                <w:szCs w:val="18"/>
                <w:lang w:val="ru-RU" w:eastAsia="en-GB"/>
              </w:rPr>
            </w:pPr>
            <w:r w:rsidRPr="00CA4C14">
              <w:rPr>
                <w:szCs w:val="18"/>
                <w:lang w:val="ru-RU" w:eastAsia="en-GB"/>
              </w:rPr>
              <w:t>(1 822)</w:t>
            </w:r>
          </w:p>
        </w:tc>
        <w:tc>
          <w:tcPr>
            <w:tcW w:w="573" w:type="pct"/>
            <w:tcBorders>
              <w:top w:val="nil"/>
              <w:left w:val="nil"/>
              <w:bottom w:val="nil"/>
              <w:right w:val="nil"/>
            </w:tcBorders>
            <w:shd w:val="clear" w:color="auto" w:fill="auto"/>
            <w:noWrap/>
            <w:vAlign w:val="bottom"/>
            <w:hideMark/>
          </w:tcPr>
          <w:p w14:paraId="76AFD2B5" w14:textId="77777777" w:rsidR="00EE4F94" w:rsidRPr="00CA4C14" w:rsidRDefault="00EE4F94" w:rsidP="00FD58CA">
            <w:pPr>
              <w:pStyle w:val="Tabletext"/>
              <w:keepNext/>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5233684F" w14:textId="77777777" w:rsidR="00EE4F94" w:rsidRPr="00CA4C14" w:rsidRDefault="00EE4F94" w:rsidP="00FD58CA">
            <w:pPr>
              <w:pStyle w:val="Tabletext"/>
              <w:keepNext/>
              <w:jc w:val="right"/>
              <w:rPr>
                <w:b/>
                <w:szCs w:val="18"/>
                <w:lang w:val="ru-RU" w:eastAsia="en-GB"/>
              </w:rPr>
            </w:pPr>
            <w:r w:rsidRPr="00CA4C14">
              <w:rPr>
                <w:b/>
                <w:szCs w:val="18"/>
                <w:lang w:val="ru-RU" w:eastAsia="en-GB"/>
              </w:rPr>
              <w:t>(2 623)</w:t>
            </w:r>
          </w:p>
        </w:tc>
      </w:tr>
      <w:tr w:rsidR="00EE4F94" w:rsidRPr="00CA4C14" w14:paraId="6DE5BC83" w14:textId="77777777" w:rsidTr="00DD7847">
        <w:trPr>
          <w:trHeight w:val="300"/>
          <w:jc w:val="center"/>
        </w:trPr>
        <w:tc>
          <w:tcPr>
            <w:tcW w:w="1565" w:type="pct"/>
            <w:tcBorders>
              <w:top w:val="nil"/>
              <w:left w:val="nil"/>
              <w:bottom w:val="nil"/>
              <w:right w:val="nil"/>
            </w:tcBorders>
            <w:shd w:val="clear" w:color="auto" w:fill="auto"/>
            <w:vAlign w:val="center"/>
            <w:hideMark/>
          </w:tcPr>
          <w:p w14:paraId="322D6584" w14:textId="77777777" w:rsidR="00EE4F94" w:rsidRPr="00CA4C14" w:rsidRDefault="00EE4F94" w:rsidP="00FD58CA">
            <w:pPr>
              <w:pStyle w:val="Tabletext"/>
              <w:keepNext/>
              <w:rPr>
                <w:b/>
                <w:bCs/>
                <w:szCs w:val="18"/>
                <w:lang w:val="ru-RU" w:eastAsia="en-GB"/>
              </w:rPr>
            </w:pPr>
            <w:r w:rsidRPr="00CA4C14">
              <w:rPr>
                <w:rFonts w:cs="Calibri"/>
                <w:b/>
                <w:bCs/>
                <w:szCs w:val="18"/>
                <w:lang w:val="ru-RU"/>
              </w:rPr>
              <w:t>Стоимость на 31 декабря 2022 г.</w:t>
            </w:r>
          </w:p>
        </w:tc>
        <w:tc>
          <w:tcPr>
            <w:tcW w:w="572" w:type="pct"/>
            <w:tcBorders>
              <w:top w:val="nil"/>
              <w:left w:val="nil"/>
              <w:bottom w:val="nil"/>
              <w:right w:val="nil"/>
            </w:tcBorders>
            <w:shd w:val="clear" w:color="auto" w:fill="auto"/>
            <w:noWrap/>
            <w:vAlign w:val="bottom"/>
            <w:hideMark/>
          </w:tcPr>
          <w:p w14:paraId="129C3AD1"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126 344</w:t>
            </w:r>
          </w:p>
        </w:tc>
        <w:tc>
          <w:tcPr>
            <w:tcW w:w="573" w:type="pct"/>
            <w:tcBorders>
              <w:top w:val="nil"/>
              <w:left w:val="nil"/>
              <w:bottom w:val="nil"/>
              <w:right w:val="nil"/>
            </w:tcBorders>
            <w:shd w:val="clear" w:color="auto" w:fill="auto"/>
            <w:noWrap/>
            <w:vAlign w:val="bottom"/>
            <w:hideMark/>
          </w:tcPr>
          <w:p w14:paraId="0E8930CE"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1 395</w:t>
            </w:r>
          </w:p>
        </w:tc>
        <w:tc>
          <w:tcPr>
            <w:tcW w:w="573" w:type="pct"/>
            <w:tcBorders>
              <w:top w:val="nil"/>
              <w:left w:val="nil"/>
              <w:bottom w:val="nil"/>
              <w:right w:val="nil"/>
            </w:tcBorders>
            <w:shd w:val="clear" w:color="auto" w:fill="auto"/>
            <w:noWrap/>
            <w:vAlign w:val="bottom"/>
            <w:hideMark/>
          </w:tcPr>
          <w:p w14:paraId="40221040"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1 363</w:t>
            </w:r>
          </w:p>
        </w:tc>
        <w:tc>
          <w:tcPr>
            <w:tcW w:w="573" w:type="pct"/>
            <w:tcBorders>
              <w:top w:val="nil"/>
              <w:left w:val="nil"/>
              <w:bottom w:val="nil"/>
              <w:right w:val="nil"/>
            </w:tcBorders>
            <w:shd w:val="clear" w:color="auto" w:fill="auto"/>
            <w:noWrap/>
            <w:vAlign w:val="bottom"/>
            <w:hideMark/>
          </w:tcPr>
          <w:p w14:paraId="75D630AD"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7 205</w:t>
            </w:r>
          </w:p>
        </w:tc>
        <w:tc>
          <w:tcPr>
            <w:tcW w:w="573" w:type="pct"/>
            <w:tcBorders>
              <w:top w:val="nil"/>
              <w:left w:val="nil"/>
              <w:bottom w:val="nil"/>
              <w:right w:val="nil"/>
            </w:tcBorders>
            <w:shd w:val="clear" w:color="auto" w:fill="auto"/>
            <w:noWrap/>
            <w:vAlign w:val="bottom"/>
            <w:hideMark/>
          </w:tcPr>
          <w:p w14:paraId="35165D5A"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 xml:space="preserve">296 </w:t>
            </w:r>
          </w:p>
        </w:tc>
        <w:tc>
          <w:tcPr>
            <w:tcW w:w="572" w:type="pct"/>
            <w:tcBorders>
              <w:top w:val="nil"/>
              <w:left w:val="nil"/>
              <w:bottom w:val="nil"/>
              <w:right w:val="nil"/>
            </w:tcBorders>
            <w:shd w:val="clear" w:color="auto" w:fill="auto"/>
            <w:noWrap/>
            <w:vAlign w:val="bottom"/>
            <w:hideMark/>
          </w:tcPr>
          <w:p w14:paraId="36080CF4"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136 603</w:t>
            </w:r>
          </w:p>
        </w:tc>
      </w:tr>
      <w:tr w:rsidR="00EE4F94" w:rsidRPr="00CA4C14" w14:paraId="2398BCD3" w14:textId="77777777" w:rsidTr="00DD7847">
        <w:trPr>
          <w:trHeight w:val="120"/>
          <w:jc w:val="center"/>
        </w:trPr>
        <w:tc>
          <w:tcPr>
            <w:tcW w:w="1565" w:type="pct"/>
            <w:tcBorders>
              <w:top w:val="nil"/>
              <w:left w:val="nil"/>
              <w:bottom w:val="nil"/>
              <w:right w:val="nil"/>
            </w:tcBorders>
            <w:shd w:val="clear" w:color="auto" w:fill="auto"/>
            <w:vAlign w:val="center"/>
            <w:hideMark/>
          </w:tcPr>
          <w:p w14:paraId="217DDF8F" w14:textId="77777777" w:rsidR="00EE4F94" w:rsidRPr="00CA4C14" w:rsidRDefault="00EE4F94" w:rsidP="003B1763">
            <w:pPr>
              <w:pStyle w:val="Tabletext"/>
              <w:keepNext/>
              <w:spacing w:before="0" w:after="0"/>
              <w:rPr>
                <w:szCs w:val="18"/>
                <w:lang w:val="ru-RU" w:eastAsia="en-GB"/>
              </w:rPr>
            </w:pPr>
          </w:p>
        </w:tc>
        <w:tc>
          <w:tcPr>
            <w:tcW w:w="572" w:type="pct"/>
            <w:tcBorders>
              <w:top w:val="nil"/>
              <w:left w:val="nil"/>
              <w:bottom w:val="nil"/>
              <w:right w:val="nil"/>
            </w:tcBorders>
            <w:shd w:val="clear" w:color="auto" w:fill="auto"/>
            <w:noWrap/>
            <w:vAlign w:val="bottom"/>
            <w:hideMark/>
          </w:tcPr>
          <w:p w14:paraId="74F62F10"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37868E8"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5D5D5BEE"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619C9685"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4F475D15" w14:textId="77777777" w:rsidR="00EE4F94" w:rsidRPr="00CA4C14" w:rsidRDefault="00EE4F94" w:rsidP="003B1763">
            <w:pPr>
              <w:pStyle w:val="Tabletext"/>
              <w:keepNext/>
              <w:spacing w:before="0" w:after="0"/>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7FCAD6A0" w14:textId="77777777" w:rsidR="00EE4F94" w:rsidRPr="00CA4C14" w:rsidRDefault="00EE4F94" w:rsidP="003B1763">
            <w:pPr>
              <w:pStyle w:val="Tabletext"/>
              <w:keepNext/>
              <w:spacing w:before="0" w:after="0"/>
              <w:jc w:val="right"/>
              <w:rPr>
                <w:b/>
                <w:szCs w:val="18"/>
                <w:lang w:val="ru-RU" w:eastAsia="en-GB"/>
              </w:rPr>
            </w:pPr>
          </w:p>
        </w:tc>
      </w:tr>
      <w:tr w:rsidR="00EE4F94" w:rsidRPr="00CA4C14" w14:paraId="6EA71A0B" w14:textId="77777777" w:rsidTr="00DD7847">
        <w:trPr>
          <w:trHeight w:val="520"/>
          <w:jc w:val="center"/>
        </w:trPr>
        <w:tc>
          <w:tcPr>
            <w:tcW w:w="1565" w:type="pct"/>
            <w:tcBorders>
              <w:top w:val="nil"/>
              <w:left w:val="nil"/>
              <w:bottom w:val="nil"/>
              <w:right w:val="nil"/>
            </w:tcBorders>
            <w:shd w:val="clear" w:color="auto" w:fill="auto"/>
            <w:vAlign w:val="center"/>
            <w:hideMark/>
          </w:tcPr>
          <w:p w14:paraId="3590B881" w14:textId="77777777" w:rsidR="00EE4F94" w:rsidRPr="00CA4C14" w:rsidRDefault="00EE4F94" w:rsidP="00FD58CA">
            <w:pPr>
              <w:pStyle w:val="Tabletext"/>
              <w:keepNext/>
              <w:rPr>
                <w:b/>
                <w:bCs/>
                <w:szCs w:val="18"/>
                <w:lang w:val="ru-RU" w:eastAsia="en-GB"/>
              </w:rPr>
            </w:pPr>
            <w:r w:rsidRPr="00CA4C14">
              <w:rPr>
                <w:rFonts w:cs="Calibri"/>
                <w:b/>
                <w:bCs/>
                <w:szCs w:val="18"/>
                <w:lang w:val="ru-RU"/>
              </w:rPr>
              <w:t>Совокупная амортизация на 1 января 2022 г.</w:t>
            </w:r>
          </w:p>
        </w:tc>
        <w:tc>
          <w:tcPr>
            <w:tcW w:w="572" w:type="pct"/>
            <w:tcBorders>
              <w:top w:val="nil"/>
              <w:left w:val="nil"/>
              <w:bottom w:val="nil"/>
              <w:right w:val="nil"/>
            </w:tcBorders>
            <w:shd w:val="clear" w:color="auto" w:fill="auto"/>
            <w:noWrap/>
            <w:vAlign w:val="bottom"/>
            <w:hideMark/>
          </w:tcPr>
          <w:p w14:paraId="0C02FC24"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56 111</w:t>
            </w:r>
          </w:p>
        </w:tc>
        <w:tc>
          <w:tcPr>
            <w:tcW w:w="573" w:type="pct"/>
            <w:tcBorders>
              <w:top w:val="nil"/>
              <w:left w:val="nil"/>
              <w:bottom w:val="nil"/>
              <w:right w:val="nil"/>
            </w:tcBorders>
            <w:shd w:val="clear" w:color="auto" w:fill="auto"/>
            <w:noWrap/>
            <w:vAlign w:val="bottom"/>
            <w:hideMark/>
          </w:tcPr>
          <w:p w14:paraId="698FAB4C"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1 989</w:t>
            </w:r>
          </w:p>
        </w:tc>
        <w:tc>
          <w:tcPr>
            <w:tcW w:w="573" w:type="pct"/>
            <w:tcBorders>
              <w:top w:val="nil"/>
              <w:left w:val="nil"/>
              <w:bottom w:val="nil"/>
              <w:right w:val="nil"/>
            </w:tcBorders>
            <w:shd w:val="clear" w:color="auto" w:fill="auto"/>
            <w:noWrap/>
            <w:vAlign w:val="bottom"/>
            <w:hideMark/>
          </w:tcPr>
          <w:p w14:paraId="47AB619E"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1 362</w:t>
            </w:r>
          </w:p>
        </w:tc>
        <w:tc>
          <w:tcPr>
            <w:tcW w:w="573" w:type="pct"/>
            <w:tcBorders>
              <w:top w:val="nil"/>
              <w:left w:val="nil"/>
              <w:bottom w:val="nil"/>
              <w:right w:val="nil"/>
            </w:tcBorders>
            <w:shd w:val="clear" w:color="auto" w:fill="auto"/>
            <w:noWrap/>
            <w:vAlign w:val="bottom"/>
            <w:hideMark/>
          </w:tcPr>
          <w:p w14:paraId="14CCD087"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7 574</w:t>
            </w:r>
          </w:p>
        </w:tc>
        <w:tc>
          <w:tcPr>
            <w:tcW w:w="573" w:type="pct"/>
            <w:tcBorders>
              <w:top w:val="nil"/>
              <w:left w:val="nil"/>
              <w:bottom w:val="nil"/>
              <w:right w:val="nil"/>
            </w:tcBorders>
            <w:shd w:val="clear" w:color="auto" w:fill="auto"/>
            <w:noWrap/>
            <w:vAlign w:val="bottom"/>
            <w:hideMark/>
          </w:tcPr>
          <w:p w14:paraId="106894A0"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 xml:space="preserve">236 </w:t>
            </w:r>
          </w:p>
        </w:tc>
        <w:tc>
          <w:tcPr>
            <w:tcW w:w="572" w:type="pct"/>
            <w:tcBorders>
              <w:top w:val="nil"/>
              <w:left w:val="nil"/>
              <w:bottom w:val="nil"/>
              <w:right w:val="nil"/>
            </w:tcBorders>
            <w:shd w:val="clear" w:color="auto" w:fill="auto"/>
            <w:noWrap/>
            <w:vAlign w:val="bottom"/>
            <w:hideMark/>
          </w:tcPr>
          <w:p w14:paraId="171A7FD7"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67 272</w:t>
            </w:r>
          </w:p>
        </w:tc>
      </w:tr>
      <w:tr w:rsidR="00EE4F94" w:rsidRPr="00CA4C14" w14:paraId="241C0F8F" w14:textId="77777777" w:rsidTr="00DD7847">
        <w:trPr>
          <w:trHeight w:val="120"/>
          <w:jc w:val="center"/>
        </w:trPr>
        <w:tc>
          <w:tcPr>
            <w:tcW w:w="1565" w:type="pct"/>
            <w:tcBorders>
              <w:top w:val="nil"/>
              <w:left w:val="nil"/>
              <w:bottom w:val="nil"/>
              <w:right w:val="nil"/>
            </w:tcBorders>
            <w:shd w:val="clear" w:color="auto" w:fill="auto"/>
            <w:vAlign w:val="center"/>
            <w:hideMark/>
          </w:tcPr>
          <w:p w14:paraId="1B9F0804" w14:textId="77777777" w:rsidR="00EE4F94" w:rsidRPr="00CA4C14" w:rsidRDefault="00EE4F94" w:rsidP="003B1763">
            <w:pPr>
              <w:pStyle w:val="Tabletext"/>
              <w:keepNext/>
              <w:spacing w:before="0" w:after="0"/>
              <w:rPr>
                <w:szCs w:val="18"/>
                <w:lang w:val="ru-RU" w:eastAsia="en-GB"/>
              </w:rPr>
            </w:pPr>
          </w:p>
        </w:tc>
        <w:tc>
          <w:tcPr>
            <w:tcW w:w="572" w:type="pct"/>
            <w:tcBorders>
              <w:top w:val="nil"/>
              <w:left w:val="nil"/>
              <w:bottom w:val="nil"/>
              <w:right w:val="nil"/>
            </w:tcBorders>
            <w:shd w:val="clear" w:color="auto" w:fill="auto"/>
            <w:noWrap/>
            <w:vAlign w:val="bottom"/>
            <w:hideMark/>
          </w:tcPr>
          <w:p w14:paraId="3F034A35"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7C42BB67"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271C4AB1"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036A2DEA"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1B7013AC" w14:textId="77777777" w:rsidR="00EE4F94" w:rsidRPr="00CA4C14" w:rsidRDefault="00EE4F94" w:rsidP="003B1763">
            <w:pPr>
              <w:pStyle w:val="Tabletext"/>
              <w:keepNext/>
              <w:spacing w:before="0" w:after="0"/>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35AF60A9" w14:textId="77777777" w:rsidR="00EE4F94" w:rsidRPr="00CA4C14" w:rsidRDefault="00EE4F94" w:rsidP="003B1763">
            <w:pPr>
              <w:pStyle w:val="Tabletext"/>
              <w:keepNext/>
              <w:spacing w:before="0" w:after="0"/>
              <w:jc w:val="right"/>
              <w:rPr>
                <w:b/>
                <w:szCs w:val="18"/>
                <w:lang w:val="ru-RU" w:eastAsia="en-GB"/>
              </w:rPr>
            </w:pPr>
          </w:p>
        </w:tc>
      </w:tr>
      <w:tr w:rsidR="00EE4F94" w:rsidRPr="00CA4C14" w14:paraId="1FF58AE5" w14:textId="77777777" w:rsidTr="00DD7847">
        <w:trPr>
          <w:trHeight w:val="300"/>
          <w:jc w:val="center"/>
        </w:trPr>
        <w:tc>
          <w:tcPr>
            <w:tcW w:w="1565" w:type="pct"/>
            <w:tcBorders>
              <w:top w:val="nil"/>
              <w:left w:val="nil"/>
              <w:bottom w:val="nil"/>
              <w:right w:val="nil"/>
            </w:tcBorders>
            <w:shd w:val="clear" w:color="auto" w:fill="auto"/>
            <w:vAlign w:val="center"/>
            <w:hideMark/>
          </w:tcPr>
          <w:p w14:paraId="638DA475" w14:textId="77777777" w:rsidR="00EE4F94" w:rsidRPr="00CA4C14" w:rsidRDefault="00EE4F94" w:rsidP="00FD58CA">
            <w:pPr>
              <w:pStyle w:val="Tabletext"/>
              <w:keepNext/>
              <w:rPr>
                <w:szCs w:val="18"/>
                <w:lang w:val="ru-RU" w:eastAsia="en-GB"/>
              </w:rPr>
            </w:pPr>
            <w:r w:rsidRPr="00CA4C14">
              <w:rPr>
                <w:szCs w:val="18"/>
                <w:lang w:val="ru-RU" w:eastAsia="en-GB"/>
              </w:rPr>
              <w:t>Амортизация</w:t>
            </w:r>
          </w:p>
        </w:tc>
        <w:tc>
          <w:tcPr>
            <w:tcW w:w="572" w:type="pct"/>
            <w:tcBorders>
              <w:top w:val="nil"/>
              <w:left w:val="nil"/>
              <w:bottom w:val="nil"/>
              <w:right w:val="nil"/>
            </w:tcBorders>
            <w:shd w:val="clear" w:color="auto" w:fill="auto"/>
            <w:noWrap/>
            <w:vAlign w:val="bottom"/>
            <w:hideMark/>
          </w:tcPr>
          <w:p w14:paraId="4BEB0F98" w14:textId="77777777" w:rsidR="00EE4F94" w:rsidRPr="00CA4C14" w:rsidRDefault="00EE4F94" w:rsidP="00FD58CA">
            <w:pPr>
              <w:pStyle w:val="Tabletext"/>
              <w:keepNext/>
              <w:jc w:val="right"/>
              <w:rPr>
                <w:szCs w:val="18"/>
                <w:lang w:val="ru-RU" w:eastAsia="en-GB"/>
              </w:rPr>
            </w:pPr>
            <w:r w:rsidRPr="00CA4C14">
              <w:rPr>
                <w:szCs w:val="18"/>
                <w:lang w:val="ru-RU" w:eastAsia="en-GB"/>
              </w:rPr>
              <w:t>7 809</w:t>
            </w:r>
          </w:p>
        </w:tc>
        <w:tc>
          <w:tcPr>
            <w:tcW w:w="573" w:type="pct"/>
            <w:tcBorders>
              <w:top w:val="nil"/>
              <w:left w:val="nil"/>
              <w:bottom w:val="nil"/>
              <w:right w:val="nil"/>
            </w:tcBorders>
            <w:shd w:val="clear" w:color="auto" w:fill="auto"/>
            <w:noWrap/>
            <w:vAlign w:val="bottom"/>
            <w:hideMark/>
          </w:tcPr>
          <w:p w14:paraId="13C21410" w14:textId="77777777" w:rsidR="00EE4F94" w:rsidRPr="00CA4C14" w:rsidRDefault="00EE4F94" w:rsidP="00FD58CA">
            <w:pPr>
              <w:pStyle w:val="Tabletext"/>
              <w:keepNext/>
              <w:jc w:val="right"/>
              <w:rPr>
                <w:szCs w:val="18"/>
                <w:lang w:val="ru-RU" w:eastAsia="en-GB"/>
              </w:rPr>
            </w:pPr>
            <w:r w:rsidRPr="00CA4C14">
              <w:rPr>
                <w:szCs w:val="18"/>
                <w:lang w:val="ru-RU" w:eastAsia="en-GB"/>
              </w:rPr>
              <w:t>41</w:t>
            </w:r>
          </w:p>
        </w:tc>
        <w:tc>
          <w:tcPr>
            <w:tcW w:w="573" w:type="pct"/>
            <w:tcBorders>
              <w:top w:val="nil"/>
              <w:left w:val="nil"/>
              <w:bottom w:val="nil"/>
              <w:right w:val="nil"/>
            </w:tcBorders>
            <w:shd w:val="clear" w:color="auto" w:fill="auto"/>
            <w:noWrap/>
            <w:vAlign w:val="bottom"/>
            <w:hideMark/>
          </w:tcPr>
          <w:p w14:paraId="17885520" w14:textId="77777777" w:rsidR="00EE4F94" w:rsidRPr="00CA4C14" w:rsidRDefault="00EE4F94" w:rsidP="00FD58CA">
            <w:pPr>
              <w:pStyle w:val="Tabletext"/>
              <w:keepNext/>
              <w:jc w:val="right"/>
              <w:rPr>
                <w:szCs w:val="18"/>
                <w:lang w:val="ru-RU" w:eastAsia="en-GB"/>
              </w:rPr>
            </w:pPr>
            <w:r w:rsidRPr="00CA4C14">
              <w:rPr>
                <w:szCs w:val="18"/>
                <w:lang w:val="ru-RU" w:eastAsia="en-GB"/>
              </w:rPr>
              <w:t>21</w:t>
            </w:r>
          </w:p>
        </w:tc>
        <w:tc>
          <w:tcPr>
            <w:tcW w:w="573" w:type="pct"/>
            <w:tcBorders>
              <w:top w:val="nil"/>
              <w:left w:val="nil"/>
              <w:bottom w:val="nil"/>
              <w:right w:val="nil"/>
            </w:tcBorders>
            <w:shd w:val="clear" w:color="auto" w:fill="auto"/>
            <w:noWrap/>
            <w:vAlign w:val="bottom"/>
            <w:hideMark/>
          </w:tcPr>
          <w:p w14:paraId="64365FA6" w14:textId="77777777" w:rsidR="00EE4F94" w:rsidRPr="00CA4C14" w:rsidRDefault="00EE4F94" w:rsidP="00FD58CA">
            <w:pPr>
              <w:pStyle w:val="Tabletext"/>
              <w:keepNext/>
              <w:jc w:val="right"/>
              <w:rPr>
                <w:szCs w:val="18"/>
                <w:lang w:val="ru-RU" w:eastAsia="en-GB"/>
              </w:rPr>
            </w:pPr>
            <w:r w:rsidRPr="00CA4C14">
              <w:rPr>
                <w:szCs w:val="18"/>
                <w:lang w:val="ru-RU" w:eastAsia="en-GB"/>
              </w:rPr>
              <w:t>652</w:t>
            </w:r>
          </w:p>
        </w:tc>
        <w:tc>
          <w:tcPr>
            <w:tcW w:w="573" w:type="pct"/>
            <w:tcBorders>
              <w:top w:val="nil"/>
              <w:left w:val="nil"/>
              <w:bottom w:val="nil"/>
              <w:right w:val="nil"/>
            </w:tcBorders>
            <w:shd w:val="clear" w:color="auto" w:fill="auto"/>
            <w:noWrap/>
            <w:vAlign w:val="bottom"/>
            <w:hideMark/>
          </w:tcPr>
          <w:p w14:paraId="150057E5" w14:textId="77777777" w:rsidR="00EE4F94" w:rsidRPr="00CA4C14" w:rsidRDefault="00EE4F94" w:rsidP="00FD58CA">
            <w:pPr>
              <w:pStyle w:val="Tabletext"/>
              <w:keepNext/>
              <w:jc w:val="right"/>
              <w:rPr>
                <w:szCs w:val="18"/>
                <w:lang w:val="ru-RU" w:eastAsia="en-GB"/>
              </w:rPr>
            </w:pPr>
            <w:r w:rsidRPr="00CA4C14">
              <w:rPr>
                <w:szCs w:val="18"/>
                <w:lang w:val="ru-RU" w:eastAsia="en-GB"/>
              </w:rPr>
              <w:t xml:space="preserve">19 </w:t>
            </w:r>
          </w:p>
        </w:tc>
        <w:tc>
          <w:tcPr>
            <w:tcW w:w="572" w:type="pct"/>
            <w:tcBorders>
              <w:top w:val="nil"/>
              <w:left w:val="nil"/>
              <w:bottom w:val="nil"/>
              <w:right w:val="nil"/>
            </w:tcBorders>
            <w:shd w:val="clear" w:color="auto" w:fill="auto"/>
            <w:noWrap/>
            <w:vAlign w:val="bottom"/>
            <w:hideMark/>
          </w:tcPr>
          <w:p w14:paraId="4938B7F2" w14:textId="77777777" w:rsidR="00EE4F94" w:rsidRPr="00CA4C14" w:rsidRDefault="00EE4F94" w:rsidP="00FD58CA">
            <w:pPr>
              <w:pStyle w:val="Tabletext"/>
              <w:keepNext/>
              <w:jc w:val="right"/>
              <w:rPr>
                <w:b/>
                <w:szCs w:val="18"/>
                <w:lang w:val="ru-RU" w:eastAsia="en-GB"/>
              </w:rPr>
            </w:pPr>
            <w:r w:rsidRPr="00CA4C14">
              <w:rPr>
                <w:b/>
                <w:szCs w:val="18"/>
                <w:lang w:val="ru-RU" w:eastAsia="en-GB"/>
              </w:rPr>
              <w:t>8 542</w:t>
            </w:r>
          </w:p>
        </w:tc>
      </w:tr>
      <w:tr w:rsidR="00EE4F94" w:rsidRPr="00CA4C14" w14:paraId="1F599D35" w14:textId="77777777" w:rsidTr="00DD7847">
        <w:trPr>
          <w:trHeight w:val="300"/>
          <w:jc w:val="center"/>
        </w:trPr>
        <w:tc>
          <w:tcPr>
            <w:tcW w:w="1565" w:type="pct"/>
            <w:tcBorders>
              <w:top w:val="nil"/>
              <w:left w:val="nil"/>
              <w:bottom w:val="nil"/>
              <w:right w:val="nil"/>
            </w:tcBorders>
            <w:shd w:val="clear" w:color="auto" w:fill="auto"/>
            <w:vAlign w:val="center"/>
            <w:hideMark/>
          </w:tcPr>
          <w:p w14:paraId="29DE2DB6" w14:textId="77777777" w:rsidR="00EE4F94" w:rsidRPr="00CA4C14" w:rsidRDefault="00EE4F94" w:rsidP="00FD58CA">
            <w:pPr>
              <w:pStyle w:val="Tabletext"/>
              <w:keepNext/>
              <w:rPr>
                <w:szCs w:val="18"/>
                <w:lang w:val="ru-RU" w:eastAsia="en-GB"/>
              </w:rPr>
            </w:pPr>
            <w:r w:rsidRPr="00CA4C14">
              <w:rPr>
                <w:rFonts w:cs="Calibri"/>
                <w:szCs w:val="18"/>
                <w:lang w:val="ru-RU"/>
              </w:rPr>
              <w:t>Выбытие</w:t>
            </w:r>
          </w:p>
        </w:tc>
        <w:tc>
          <w:tcPr>
            <w:tcW w:w="572" w:type="pct"/>
            <w:tcBorders>
              <w:top w:val="nil"/>
              <w:left w:val="nil"/>
              <w:bottom w:val="nil"/>
              <w:right w:val="nil"/>
            </w:tcBorders>
            <w:shd w:val="clear" w:color="auto" w:fill="auto"/>
            <w:noWrap/>
            <w:vAlign w:val="bottom"/>
            <w:hideMark/>
          </w:tcPr>
          <w:p w14:paraId="4B8C73A3" w14:textId="77777777" w:rsidR="00EE4F94" w:rsidRPr="00CA4C14" w:rsidRDefault="00EE4F94" w:rsidP="00FD58CA">
            <w:pPr>
              <w:pStyle w:val="Tabletext"/>
              <w:keepNext/>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663D09DB" w14:textId="77777777" w:rsidR="00EE4F94" w:rsidRPr="00CA4C14" w:rsidRDefault="00EE4F94" w:rsidP="00FD58CA">
            <w:pPr>
              <w:pStyle w:val="Tabletext"/>
              <w:keepNext/>
              <w:jc w:val="right"/>
              <w:rPr>
                <w:szCs w:val="18"/>
                <w:lang w:val="ru-RU" w:eastAsia="en-GB"/>
              </w:rPr>
            </w:pPr>
            <w:r w:rsidRPr="00CA4C14">
              <w:rPr>
                <w:szCs w:val="18"/>
                <w:lang w:val="ru-RU" w:eastAsia="en-GB"/>
              </w:rPr>
              <w:t>(760)</w:t>
            </w:r>
          </w:p>
        </w:tc>
        <w:tc>
          <w:tcPr>
            <w:tcW w:w="573" w:type="pct"/>
            <w:tcBorders>
              <w:top w:val="nil"/>
              <w:left w:val="nil"/>
              <w:bottom w:val="nil"/>
              <w:right w:val="nil"/>
            </w:tcBorders>
            <w:shd w:val="clear" w:color="auto" w:fill="auto"/>
            <w:noWrap/>
            <w:vAlign w:val="bottom"/>
            <w:hideMark/>
          </w:tcPr>
          <w:p w14:paraId="4EB00800" w14:textId="77777777" w:rsidR="00EE4F94" w:rsidRPr="00CA4C14" w:rsidRDefault="00EE4F94" w:rsidP="00FD58CA">
            <w:pPr>
              <w:pStyle w:val="Tabletext"/>
              <w:keepNext/>
              <w:jc w:val="right"/>
              <w:rPr>
                <w:szCs w:val="18"/>
                <w:lang w:val="ru-RU" w:eastAsia="en-GB"/>
              </w:rPr>
            </w:pPr>
            <w:r w:rsidRPr="00CA4C14">
              <w:rPr>
                <w:szCs w:val="18"/>
                <w:lang w:val="ru-RU" w:eastAsia="en-GB"/>
              </w:rPr>
              <w:t>(41)</w:t>
            </w:r>
          </w:p>
        </w:tc>
        <w:tc>
          <w:tcPr>
            <w:tcW w:w="573" w:type="pct"/>
            <w:tcBorders>
              <w:top w:val="nil"/>
              <w:left w:val="nil"/>
              <w:bottom w:val="nil"/>
              <w:right w:val="nil"/>
            </w:tcBorders>
            <w:shd w:val="clear" w:color="auto" w:fill="auto"/>
            <w:noWrap/>
            <w:vAlign w:val="bottom"/>
            <w:hideMark/>
          </w:tcPr>
          <w:p w14:paraId="522FC1FD" w14:textId="77777777" w:rsidR="00EE4F94" w:rsidRPr="00CA4C14" w:rsidRDefault="00EE4F94" w:rsidP="00FD58CA">
            <w:pPr>
              <w:pStyle w:val="Tabletext"/>
              <w:keepNext/>
              <w:jc w:val="right"/>
              <w:rPr>
                <w:szCs w:val="18"/>
                <w:lang w:val="ru-RU" w:eastAsia="en-GB"/>
              </w:rPr>
            </w:pPr>
            <w:r w:rsidRPr="00CA4C14">
              <w:rPr>
                <w:szCs w:val="18"/>
                <w:lang w:val="ru-RU" w:eastAsia="en-GB"/>
              </w:rPr>
              <w:t>(1 822)</w:t>
            </w:r>
          </w:p>
        </w:tc>
        <w:tc>
          <w:tcPr>
            <w:tcW w:w="573" w:type="pct"/>
            <w:tcBorders>
              <w:top w:val="nil"/>
              <w:left w:val="nil"/>
              <w:bottom w:val="nil"/>
              <w:right w:val="nil"/>
            </w:tcBorders>
            <w:shd w:val="clear" w:color="auto" w:fill="auto"/>
            <w:noWrap/>
            <w:vAlign w:val="bottom"/>
            <w:hideMark/>
          </w:tcPr>
          <w:p w14:paraId="0D31E686" w14:textId="77777777" w:rsidR="00EE4F94" w:rsidRPr="00CA4C14" w:rsidRDefault="00EE4F94" w:rsidP="00FD58CA">
            <w:pPr>
              <w:pStyle w:val="Tabletext"/>
              <w:keepNext/>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4E654D77" w14:textId="77777777" w:rsidR="00EE4F94" w:rsidRPr="00CA4C14" w:rsidRDefault="00EE4F94" w:rsidP="00FD58CA">
            <w:pPr>
              <w:pStyle w:val="Tabletext"/>
              <w:keepNext/>
              <w:jc w:val="right"/>
              <w:rPr>
                <w:b/>
                <w:szCs w:val="18"/>
                <w:lang w:val="ru-RU" w:eastAsia="en-GB"/>
              </w:rPr>
            </w:pPr>
            <w:r w:rsidRPr="00CA4C14">
              <w:rPr>
                <w:b/>
                <w:szCs w:val="18"/>
                <w:lang w:val="ru-RU" w:eastAsia="en-GB"/>
              </w:rPr>
              <w:t>(2 623)</w:t>
            </w:r>
          </w:p>
        </w:tc>
      </w:tr>
      <w:tr w:rsidR="00EE4F94" w:rsidRPr="00CA4C14" w14:paraId="24CDA6B5" w14:textId="77777777" w:rsidTr="00DD7847">
        <w:trPr>
          <w:trHeight w:val="520"/>
          <w:jc w:val="center"/>
        </w:trPr>
        <w:tc>
          <w:tcPr>
            <w:tcW w:w="1565" w:type="pct"/>
            <w:tcBorders>
              <w:top w:val="nil"/>
              <w:left w:val="nil"/>
              <w:bottom w:val="nil"/>
              <w:right w:val="nil"/>
            </w:tcBorders>
            <w:shd w:val="clear" w:color="auto" w:fill="auto"/>
            <w:vAlign w:val="center"/>
            <w:hideMark/>
          </w:tcPr>
          <w:p w14:paraId="4BF0BEF6" w14:textId="77777777" w:rsidR="00EE4F94" w:rsidRPr="00CA4C14" w:rsidRDefault="00EE4F94" w:rsidP="00FD58CA">
            <w:pPr>
              <w:pStyle w:val="Tabletext"/>
              <w:keepNext/>
              <w:rPr>
                <w:b/>
                <w:bCs/>
                <w:szCs w:val="18"/>
                <w:lang w:val="ru-RU" w:eastAsia="en-GB"/>
              </w:rPr>
            </w:pPr>
            <w:r w:rsidRPr="00CA4C14">
              <w:rPr>
                <w:rFonts w:cs="Calibri"/>
                <w:b/>
                <w:bCs/>
                <w:szCs w:val="18"/>
                <w:lang w:val="ru-RU"/>
              </w:rPr>
              <w:t>Совокупная амортизация на 31 декабря 2022 г.</w:t>
            </w:r>
          </w:p>
        </w:tc>
        <w:tc>
          <w:tcPr>
            <w:tcW w:w="572" w:type="pct"/>
            <w:tcBorders>
              <w:top w:val="nil"/>
              <w:left w:val="nil"/>
              <w:bottom w:val="nil"/>
              <w:right w:val="nil"/>
            </w:tcBorders>
            <w:shd w:val="clear" w:color="auto" w:fill="auto"/>
            <w:noWrap/>
            <w:vAlign w:val="bottom"/>
            <w:hideMark/>
          </w:tcPr>
          <w:p w14:paraId="6DDAD2DC"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63 920</w:t>
            </w:r>
          </w:p>
        </w:tc>
        <w:tc>
          <w:tcPr>
            <w:tcW w:w="573" w:type="pct"/>
            <w:tcBorders>
              <w:top w:val="nil"/>
              <w:left w:val="nil"/>
              <w:bottom w:val="nil"/>
              <w:right w:val="nil"/>
            </w:tcBorders>
            <w:shd w:val="clear" w:color="auto" w:fill="auto"/>
            <w:noWrap/>
            <w:vAlign w:val="bottom"/>
            <w:hideMark/>
          </w:tcPr>
          <w:p w14:paraId="7ED8268C"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1 270</w:t>
            </w:r>
          </w:p>
        </w:tc>
        <w:tc>
          <w:tcPr>
            <w:tcW w:w="573" w:type="pct"/>
            <w:tcBorders>
              <w:top w:val="nil"/>
              <w:left w:val="nil"/>
              <w:bottom w:val="nil"/>
              <w:right w:val="nil"/>
            </w:tcBorders>
            <w:shd w:val="clear" w:color="auto" w:fill="auto"/>
            <w:noWrap/>
            <w:vAlign w:val="bottom"/>
            <w:hideMark/>
          </w:tcPr>
          <w:p w14:paraId="454BC6F7"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1 342</w:t>
            </w:r>
          </w:p>
        </w:tc>
        <w:tc>
          <w:tcPr>
            <w:tcW w:w="573" w:type="pct"/>
            <w:tcBorders>
              <w:top w:val="nil"/>
              <w:left w:val="nil"/>
              <w:bottom w:val="nil"/>
              <w:right w:val="nil"/>
            </w:tcBorders>
            <w:shd w:val="clear" w:color="auto" w:fill="auto"/>
            <w:noWrap/>
            <w:vAlign w:val="bottom"/>
            <w:hideMark/>
          </w:tcPr>
          <w:p w14:paraId="071CC02F"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6 404</w:t>
            </w:r>
          </w:p>
        </w:tc>
        <w:tc>
          <w:tcPr>
            <w:tcW w:w="573" w:type="pct"/>
            <w:tcBorders>
              <w:top w:val="nil"/>
              <w:left w:val="nil"/>
              <w:bottom w:val="nil"/>
              <w:right w:val="nil"/>
            </w:tcBorders>
            <w:shd w:val="clear" w:color="auto" w:fill="auto"/>
            <w:noWrap/>
            <w:vAlign w:val="bottom"/>
            <w:hideMark/>
          </w:tcPr>
          <w:p w14:paraId="7505855E"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 xml:space="preserve">255 </w:t>
            </w:r>
          </w:p>
        </w:tc>
        <w:tc>
          <w:tcPr>
            <w:tcW w:w="572" w:type="pct"/>
            <w:tcBorders>
              <w:top w:val="nil"/>
              <w:left w:val="nil"/>
              <w:bottom w:val="nil"/>
              <w:right w:val="nil"/>
            </w:tcBorders>
            <w:shd w:val="clear" w:color="auto" w:fill="auto"/>
            <w:noWrap/>
            <w:vAlign w:val="bottom"/>
            <w:hideMark/>
          </w:tcPr>
          <w:p w14:paraId="6FDA4D20"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73 191</w:t>
            </w:r>
          </w:p>
        </w:tc>
      </w:tr>
      <w:tr w:rsidR="00EE4F94" w:rsidRPr="00CA4C14" w14:paraId="57CBB487" w14:textId="77777777" w:rsidTr="00DD7847">
        <w:trPr>
          <w:trHeight w:val="120"/>
          <w:jc w:val="center"/>
        </w:trPr>
        <w:tc>
          <w:tcPr>
            <w:tcW w:w="1565" w:type="pct"/>
            <w:tcBorders>
              <w:top w:val="nil"/>
              <w:left w:val="nil"/>
              <w:bottom w:val="nil"/>
              <w:right w:val="nil"/>
            </w:tcBorders>
            <w:shd w:val="clear" w:color="auto" w:fill="auto"/>
            <w:vAlign w:val="center"/>
            <w:hideMark/>
          </w:tcPr>
          <w:p w14:paraId="00813EC1" w14:textId="77777777" w:rsidR="00EE4F94" w:rsidRPr="00CA4C14" w:rsidRDefault="00EE4F94" w:rsidP="003B1763">
            <w:pPr>
              <w:pStyle w:val="Tabletext"/>
              <w:keepNext/>
              <w:spacing w:before="0" w:after="0"/>
              <w:rPr>
                <w:szCs w:val="18"/>
                <w:lang w:val="ru-RU" w:eastAsia="en-GB"/>
              </w:rPr>
            </w:pPr>
          </w:p>
        </w:tc>
        <w:tc>
          <w:tcPr>
            <w:tcW w:w="572" w:type="pct"/>
            <w:tcBorders>
              <w:top w:val="nil"/>
              <w:left w:val="nil"/>
              <w:bottom w:val="nil"/>
              <w:right w:val="nil"/>
            </w:tcBorders>
            <w:shd w:val="clear" w:color="auto" w:fill="auto"/>
            <w:noWrap/>
            <w:vAlign w:val="bottom"/>
            <w:hideMark/>
          </w:tcPr>
          <w:p w14:paraId="79513326"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3B242C1F"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75BD7541"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00483035" w14:textId="77777777" w:rsidR="00EE4F94" w:rsidRPr="00CA4C14" w:rsidRDefault="00EE4F94" w:rsidP="003B1763">
            <w:pPr>
              <w:pStyle w:val="Tabletext"/>
              <w:keepNext/>
              <w:spacing w:before="0" w:after="0"/>
              <w:jc w:val="right"/>
              <w:rPr>
                <w:szCs w:val="18"/>
                <w:lang w:val="ru-RU" w:eastAsia="en-GB"/>
              </w:rPr>
            </w:pPr>
          </w:p>
        </w:tc>
        <w:tc>
          <w:tcPr>
            <w:tcW w:w="573" w:type="pct"/>
            <w:tcBorders>
              <w:top w:val="nil"/>
              <w:left w:val="nil"/>
              <w:bottom w:val="nil"/>
              <w:right w:val="nil"/>
            </w:tcBorders>
            <w:shd w:val="clear" w:color="auto" w:fill="auto"/>
            <w:noWrap/>
            <w:vAlign w:val="bottom"/>
            <w:hideMark/>
          </w:tcPr>
          <w:p w14:paraId="6C6E22D0" w14:textId="77777777" w:rsidR="00EE4F94" w:rsidRPr="00CA4C14" w:rsidRDefault="00EE4F94" w:rsidP="003B1763">
            <w:pPr>
              <w:pStyle w:val="Tabletext"/>
              <w:keepNext/>
              <w:spacing w:before="0" w:after="0"/>
              <w:jc w:val="right"/>
              <w:rPr>
                <w:szCs w:val="18"/>
                <w:lang w:val="ru-RU" w:eastAsia="en-GB"/>
              </w:rPr>
            </w:pPr>
          </w:p>
        </w:tc>
        <w:tc>
          <w:tcPr>
            <w:tcW w:w="572" w:type="pct"/>
            <w:tcBorders>
              <w:top w:val="nil"/>
              <w:left w:val="nil"/>
              <w:bottom w:val="nil"/>
              <w:right w:val="nil"/>
            </w:tcBorders>
            <w:shd w:val="clear" w:color="auto" w:fill="auto"/>
            <w:noWrap/>
            <w:vAlign w:val="bottom"/>
            <w:hideMark/>
          </w:tcPr>
          <w:p w14:paraId="583A834B" w14:textId="77777777" w:rsidR="00EE4F94" w:rsidRPr="00CA4C14" w:rsidRDefault="00EE4F94" w:rsidP="003B1763">
            <w:pPr>
              <w:pStyle w:val="Tabletext"/>
              <w:keepNext/>
              <w:spacing w:before="0" w:after="0"/>
              <w:jc w:val="right"/>
              <w:rPr>
                <w:b/>
                <w:szCs w:val="18"/>
                <w:lang w:val="ru-RU" w:eastAsia="en-GB"/>
              </w:rPr>
            </w:pPr>
          </w:p>
        </w:tc>
      </w:tr>
      <w:tr w:rsidR="00EE4F94" w:rsidRPr="00CA4C14" w14:paraId="582009AD" w14:textId="77777777" w:rsidTr="00DD7847">
        <w:trPr>
          <w:trHeight w:val="520"/>
          <w:jc w:val="center"/>
        </w:trPr>
        <w:tc>
          <w:tcPr>
            <w:tcW w:w="1565" w:type="pct"/>
            <w:tcBorders>
              <w:top w:val="nil"/>
              <w:left w:val="nil"/>
              <w:bottom w:val="nil"/>
              <w:right w:val="nil"/>
            </w:tcBorders>
            <w:shd w:val="clear" w:color="auto" w:fill="auto"/>
            <w:vAlign w:val="center"/>
            <w:hideMark/>
          </w:tcPr>
          <w:p w14:paraId="3CD9888B" w14:textId="77777777" w:rsidR="00EE4F94" w:rsidRPr="00CA4C14" w:rsidRDefault="00EE4F94" w:rsidP="00FD58CA">
            <w:pPr>
              <w:pStyle w:val="Tabletext"/>
              <w:keepNext/>
              <w:rPr>
                <w:b/>
                <w:bCs/>
                <w:szCs w:val="18"/>
                <w:lang w:val="ru-RU" w:eastAsia="en-GB"/>
              </w:rPr>
            </w:pPr>
            <w:r w:rsidRPr="00CA4C14">
              <w:rPr>
                <w:rFonts w:cs="Calibri"/>
                <w:b/>
                <w:bCs/>
                <w:szCs w:val="18"/>
                <w:lang w:val="ru-RU"/>
              </w:rPr>
              <w:t>Чистая балансовая стоимость на 1 января 2022 г.</w:t>
            </w:r>
          </w:p>
        </w:tc>
        <w:tc>
          <w:tcPr>
            <w:tcW w:w="572" w:type="pct"/>
            <w:tcBorders>
              <w:top w:val="nil"/>
              <w:left w:val="nil"/>
              <w:bottom w:val="nil"/>
              <w:right w:val="nil"/>
            </w:tcBorders>
            <w:shd w:val="clear" w:color="auto" w:fill="auto"/>
            <w:noWrap/>
            <w:vAlign w:val="bottom"/>
            <w:hideMark/>
          </w:tcPr>
          <w:p w14:paraId="00580CC0"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70 227</w:t>
            </w:r>
          </w:p>
        </w:tc>
        <w:tc>
          <w:tcPr>
            <w:tcW w:w="573" w:type="pct"/>
            <w:tcBorders>
              <w:top w:val="nil"/>
              <w:left w:val="nil"/>
              <w:bottom w:val="nil"/>
              <w:right w:val="nil"/>
            </w:tcBorders>
            <w:shd w:val="clear" w:color="auto" w:fill="auto"/>
            <w:noWrap/>
            <w:vAlign w:val="bottom"/>
            <w:hideMark/>
          </w:tcPr>
          <w:p w14:paraId="4CEDC378"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123</w:t>
            </w:r>
          </w:p>
        </w:tc>
        <w:tc>
          <w:tcPr>
            <w:tcW w:w="573" w:type="pct"/>
            <w:tcBorders>
              <w:top w:val="nil"/>
              <w:left w:val="nil"/>
              <w:bottom w:val="nil"/>
              <w:right w:val="nil"/>
            </w:tcBorders>
            <w:shd w:val="clear" w:color="auto" w:fill="auto"/>
            <w:noWrap/>
            <w:vAlign w:val="bottom"/>
            <w:hideMark/>
          </w:tcPr>
          <w:p w14:paraId="5870A265"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32</w:t>
            </w:r>
          </w:p>
        </w:tc>
        <w:tc>
          <w:tcPr>
            <w:tcW w:w="573" w:type="pct"/>
            <w:tcBorders>
              <w:top w:val="nil"/>
              <w:left w:val="nil"/>
              <w:bottom w:val="nil"/>
              <w:right w:val="nil"/>
            </w:tcBorders>
            <w:shd w:val="clear" w:color="auto" w:fill="auto"/>
            <w:noWrap/>
            <w:vAlign w:val="bottom"/>
            <w:hideMark/>
          </w:tcPr>
          <w:p w14:paraId="7412CFB6"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1 229</w:t>
            </w:r>
          </w:p>
        </w:tc>
        <w:tc>
          <w:tcPr>
            <w:tcW w:w="573" w:type="pct"/>
            <w:tcBorders>
              <w:top w:val="nil"/>
              <w:left w:val="nil"/>
              <w:bottom w:val="nil"/>
              <w:right w:val="nil"/>
            </w:tcBorders>
            <w:shd w:val="clear" w:color="auto" w:fill="auto"/>
            <w:noWrap/>
            <w:vAlign w:val="bottom"/>
            <w:hideMark/>
          </w:tcPr>
          <w:p w14:paraId="10B75CDA"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 xml:space="preserve">60 </w:t>
            </w:r>
          </w:p>
        </w:tc>
        <w:tc>
          <w:tcPr>
            <w:tcW w:w="572" w:type="pct"/>
            <w:tcBorders>
              <w:top w:val="nil"/>
              <w:left w:val="nil"/>
              <w:bottom w:val="nil"/>
              <w:right w:val="nil"/>
            </w:tcBorders>
            <w:shd w:val="clear" w:color="auto" w:fill="auto"/>
            <w:noWrap/>
            <w:vAlign w:val="bottom"/>
            <w:hideMark/>
          </w:tcPr>
          <w:p w14:paraId="6571C1AD" w14:textId="77777777" w:rsidR="00EE4F94" w:rsidRPr="00CA4C14" w:rsidRDefault="00EE4F94" w:rsidP="00FD58CA">
            <w:pPr>
              <w:pStyle w:val="Tabletext"/>
              <w:keepNext/>
              <w:jc w:val="right"/>
              <w:rPr>
                <w:b/>
                <w:bCs/>
                <w:szCs w:val="18"/>
                <w:lang w:val="ru-RU" w:eastAsia="en-GB"/>
              </w:rPr>
            </w:pPr>
            <w:r w:rsidRPr="00CA4C14">
              <w:rPr>
                <w:b/>
                <w:bCs/>
                <w:szCs w:val="18"/>
                <w:lang w:val="ru-RU" w:eastAsia="en-GB"/>
              </w:rPr>
              <w:t>71 671</w:t>
            </w:r>
          </w:p>
        </w:tc>
      </w:tr>
      <w:tr w:rsidR="00EE4F94" w:rsidRPr="00CA4C14" w14:paraId="00F93218" w14:textId="77777777" w:rsidTr="00DD7847">
        <w:trPr>
          <w:trHeight w:val="551"/>
          <w:jc w:val="center"/>
        </w:trPr>
        <w:tc>
          <w:tcPr>
            <w:tcW w:w="1565" w:type="pct"/>
            <w:tcBorders>
              <w:top w:val="nil"/>
              <w:left w:val="nil"/>
              <w:bottom w:val="nil"/>
              <w:right w:val="nil"/>
            </w:tcBorders>
            <w:shd w:val="clear" w:color="000000" w:fill="0070C0"/>
            <w:vAlign w:val="center"/>
            <w:hideMark/>
          </w:tcPr>
          <w:p w14:paraId="6020070A" w14:textId="77777777" w:rsidR="00EE4F94" w:rsidRPr="00CA4C14" w:rsidRDefault="00EE4F94" w:rsidP="000C3E15">
            <w:pPr>
              <w:pStyle w:val="Tabletext"/>
              <w:rPr>
                <w:b/>
                <w:bCs/>
                <w:szCs w:val="18"/>
                <w:lang w:val="ru-RU" w:eastAsia="en-GB"/>
              </w:rPr>
            </w:pPr>
            <w:r w:rsidRPr="00CA4C14">
              <w:rPr>
                <w:rFonts w:cs="Calibri"/>
                <w:b/>
                <w:bCs/>
                <w:szCs w:val="18"/>
                <w:lang w:val="ru-RU"/>
              </w:rPr>
              <w:t>Чистая балансовая стоимость на 31 декабря 2022 г.</w:t>
            </w:r>
          </w:p>
        </w:tc>
        <w:tc>
          <w:tcPr>
            <w:tcW w:w="572" w:type="pct"/>
            <w:tcBorders>
              <w:top w:val="nil"/>
              <w:left w:val="nil"/>
              <w:bottom w:val="nil"/>
              <w:right w:val="nil"/>
            </w:tcBorders>
            <w:shd w:val="clear" w:color="000000" w:fill="0070C0"/>
            <w:noWrap/>
            <w:vAlign w:val="bottom"/>
            <w:hideMark/>
          </w:tcPr>
          <w:p w14:paraId="47BAF8A1" w14:textId="77777777" w:rsidR="00EE4F94" w:rsidRPr="00CA4C14" w:rsidRDefault="00EE4F94" w:rsidP="000C3E15">
            <w:pPr>
              <w:pStyle w:val="Tabletext"/>
              <w:jc w:val="right"/>
              <w:rPr>
                <w:b/>
                <w:bCs/>
                <w:szCs w:val="18"/>
                <w:lang w:val="ru-RU" w:eastAsia="en-GB"/>
              </w:rPr>
            </w:pPr>
            <w:r w:rsidRPr="00CA4C14">
              <w:rPr>
                <w:b/>
                <w:bCs/>
                <w:szCs w:val="18"/>
                <w:lang w:val="ru-RU" w:eastAsia="en-GB"/>
              </w:rPr>
              <w:t>62 424</w:t>
            </w:r>
          </w:p>
        </w:tc>
        <w:tc>
          <w:tcPr>
            <w:tcW w:w="573" w:type="pct"/>
            <w:tcBorders>
              <w:top w:val="nil"/>
              <w:left w:val="nil"/>
              <w:bottom w:val="nil"/>
              <w:right w:val="nil"/>
            </w:tcBorders>
            <w:shd w:val="clear" w:color="000000" w:fill="0070C0"/>
            <w:noWrap/>
            <w:vAlign w:val="bottom"/>
            <w:hideMark/>
          </w:tcPr>
          <w:p w14:paraId="6AE104D7" w14:textId="77777777" w:rsidR="00EE4F94" w:rsidRPr="00CA4C14" w:rsidRDefault="00EE4F94" w:rsidP="000C3E15">
            <w:pPr>
              <w:pStyle w:val="Tabletext"/>
              <w:jc w:val="right"/>
              <w:rPr>
                <w:b/>
                <w:bCs/>
                <w:szCs w:val="18"/>
                <w:lang w:val="ru-RU" w:eastAsia="en-GB"/>
              </w:rPr>
            </w:pPr>
            <w:r w:rsidRPr="00CA4C14">
              <w:rPr>
                <w:b/>
                <w:bCs/>
                <w:szCs w:val="18"/>
                <w:lang w:val="ru-RU" w:eastAsia="en-GB"/>
              </w:rPr>
              <w:t>125</w:t>
            </w:r>
          </w:p>
        </w:tc>
        <w:tc>
          <w:tcPr>
            <w:tcW w:w="573" w:type="pct"/>
            <w:tcBorders>
              <w:top w:val="nil"/>
              <w:left w:val="nil"/>
              <w:bottom w:val="nil"/>
              <w:right w:val="nil"/>
            </w:tcBorders>
            <w:shd w:val="clear" w:color="000000" w:fill="0070C0"/>
            <w:noWrap/>
            <w:vAlign w:val="bottom"/>
            <w:hideMark/>
          </w:tcPr>
          <w:p w14:paraId="55838977" w14:textId="77777777" w:rsidR="00EE4F94" w:rsidRPr="00CA4C14" w:rsidRDefault="00EE4F94" w:rsidP="000C3E15">
            <w:pPr>
              <w:pStyle w:val="Tabletext"/>
              <w:jc w:val="right"/>
              <w:rPr>
                <w:b/>
                <w:bCs/>
                <w:szCs w:val="18"/>
                <w:lang w:val="ru-RU" w:eastAsia="en-GB"/>
              </w:rPr>
            </w:pPr>
            <w:r w:rsidRPr="00CA4C14">
              <w:rPr>
                <w:b/>
                <w:bCs/>
                <w:szCs w:val="18"/>
                <w:lang w:val="ru-RU" w:eastAsia="en-GB"/>
              </w:rPr>
              <w:t>21</w:t>
            </w:r>
          </w:p>
        </w:tc>
        <w:tc>
          <w:tcPr>
            <w:tcW w:w="573" w:type="pct"/>
            <w:tcBorders>
              <w:top w:val="nil"/>
              <w:left w:val="nil"/>
              <w:bottom w:val="nil"/>
              <w:right w:val="nil"/>
            </w:tcBorders>
            <w:shd w:val="clear" w:color="000000" w:fill="0070C0"/>
            <w:noWrap/>
            <w:vAlign w:val="bottom"/>
            <w:hideMark/>
          </w:tcPr>
          <w:p w14:paraId="323D80A9" w14:textId="77777777" w:rsidR="00EE4F94" w:rsidRPr="00CA4C14" w:rsidRDefault="00EE4F94" w:rsidP="000C3E15">
            <w:pPr>
              <w:pStyle w:val="Tabletext"/>
              <w:jc w:val="right"/>
              <w:rPr>
                <w:b/>
                <w:bCs/>
                <w:szCs w:val="18"/>
                <w:lang w:val="ru-RU" w:eastAsia="en-GB"/>
              </w:rPr>
            </w:pPr>
            <w:r w:rsidRPr="00CA4C14">
              <w:rPr>
                <w:b/>
                <w:bCs/>
                <w:szCs w:val="18"/>
                <w:lang w:val="ru-RU" w:eastAsia="en-GB"/>
              </w:rPr>
              <w:t>801</w:t>
            </w:r>
          </w:p>
        </w:tc>
        <w:tc>
          <w:tcPr>
            <w:tcW w:w="573" w:type="pct"/>
            <w:tcBorders>
              <w:top w:val="nil"/>
              <w:left w:val="nil"/>
              <w:bottom w:val="nil"/>
              <w:right w:val="nil"/>
            </w:tcBorders>
            <w:shd w:val="clear" w:color="000000" w:fill="0070C0"/>
            <w:noWrap/>
            <w:vAlign w:val="bottom"/>
            <w:hideMark/>
          </w:tcPr>
          <w:p w14:paraId="7C7D927B" w14:textId="77777777" w:rsidR="00EE4F94" w:rsidRPr="00CA4C14" w:rsidRDefault="00EE4F94" w:rsidP="000C3E15">
            <w:pPr>
              <w:pStyle w:val="Tabletext"/>
              <w:jc w:val="right"/>
              <w:rPr>
                <w:b/>
                <w:bCs/>
                <w:szCs w:val="18"/>
                <w:lang w:val="ru-RU" w:eastAsia="en-GB"/>
              </w:rPr>
            </w:pPr>
            <w:r w:rsidRPr="00CA4C14">
              <w:rPr>
                <w:b/>
                <w:bCs/>
                <w:szCs w:val="18"/>
                <w:lang w:val="ru-RU" w:eastAsia="en-GB"/>
              </w:rPr>
              <w:t>41</w:t>
            </w:r>
          </w:p>
        </w:tc>
        <w:tc>
          <w:tcPr>
            <w:tcW w:w="572" w:type="pct"/>
            <w:tcBorders>
              <w:top w:val="nil"/>
              <w:left w:val="nil"/>
              <w:bottom w:val="nil"/>
              <w:right w:val="nil"/>
            </w:tcBorders>
            <w:shd w:val="clear" w:color="000000" w:fill="0070C0"/>
            <w:noWrap/>
            <w:vAlign w:val="bottom"/>
            <w:hideMark/>
          </w:tcPr>
          <w:p w14:paraId="786976A3" w14:textId="77777777" w:rsidR="00EE4F94" w:rsidRPr="00CA4C14" w:rsidRDefault="00EE4F94" w:rsidP="000C3E15">
            <w:pPr>
              <w:pStyle w:val="Tabletext"/>
              <w:jc w:val="right"/>
              <w:rPr>
                <w:b/>
                <w:szCs w:val="18"/>
                <w:lang w:val="ru-RU" w:eastAsia="en-GB"/>
              </w:rPr>
            </w:pPr>
            <w:r w:rsidRPr="00CA4C14">
              <w:rPr>
                <w:b/>
                <w:szCs w:val="18"/>
                <w:lang w:val="ru-RU" w:eastAsia="en-GB"/>
              </w:rPr>
              <w:t>63 412</w:t>
            </w:r>
          </w:p>
        </w:tc>
      </w:tr>
    </w:tbl>
    <w:p w14:paraId="73038554" w14:textId="77777777" w:rsidR="00EE4F94" w:rsidRPr="00CA4C14" w:rsidRDefault="00EE4F94" w:rsidP="003B1763">
      <w:pPr>
        <w:pStyle w:val="Heading5"/>
        <w:rPr>
          <w:lang w:val="ru-RU"/>
        </w:rPr>
      </w:pPr>
      <w:bookmarkStart w:id="382" w:name="_Toc305764087"/>
      <w:bookmarkStart w:id="383" w:name="_Toc97786674"/>
      <w:bookmarkStart w:id="384" w:name="_Toc164845558"/>
      <w:bookmarkStart w:id="385" w:name="_Toc168578472"/>
      <w:r w:rsidRPr="00CA4C14">
        <w:rPr>
          <w:lang w:val="ru-RU"/>
        </w:rPr>
        <w:t>Примечание 12</w:t>
      </w:r>
      <w:r w:rsidRPr="00CA4C14">
        <w:rPr>
          <w:lang w:val="ru-RU"/>
        </w:rPr>
        <w:tab/>
      </w:r>
      <w:bookmarkEnd w:id="382"/>
      <w:bookmarkEnd w:id="383"/>
      <w:bookmarkEnd w:id="384"/>
      <w:r w:rsidRPr="00CA4C14">
        <w:rPr>
          <w:lang w:val="ru-RU"/>
        </w:rPr>
        <w:t>Нематериальные активы</w:t>
      </w:r>
      <w:bookmarkEnd w:id="385"/>
    </w:p>
    <w:p w14:paraId="691ED3B6" w14:textId="77777777" w:rsidR="00EE4F94" w:rsidRPr="00CA4C14" w:rsidRDefault="00EE4F94" w:rsidP="00A46BAF">
      <w:pPr>
        <w:keepNext/>
        <w:spacing w:after="120"/>
        <w:rPr>
          <w:highlight w:val="lightGray"/>
          <w:lang w:val="ru-RU"/>
        </w:rPr>
      </w:pPr>
      <w:bookmarkStart w:id="386" w:name="_MON_1754218473"/>
      <w:bookmarkEnd w:id="386"/>
      <w:r w:rsidRPr="00CA4C14">
        <w:rPr>
          <w:lang w:val="ru-RU"/>
        </w:rPr>
        <w:t>Нематериальные активы, принадлежащие МСЭ, включают разработанные внутри компании и приобретенные за рубежом лицензии на ИТ и программное обеспечение.</w:t>
      </w:r>
    </w:p>
    <w:tbl>
      <w:tblPr>
        <w:tblW w:w="5000" w:type="pct"/>
        <w:tblLook w:val="04A0" w:firstRow="1" w:lastRow="0" w:firstColumn="1" w:lastColumn="0" w:noHBand="0" w:noVBand="1"/>
      </w:tblPr>
      <w:tblGrid>
        <w:gridCol w:w="2855"/>
        <w:gridCol w:w="1036"/>
        <w:gridCol w:w="1036"/>
        <w:gridCol w:w="1036"/>
        <w:gridCol w:w="1036"/>
        <w:gridCol w:w="1036"/>
        <w:gridCol w:w="1036"/>
      </w:tblGrid>
      <w:tr w:rsidR="00EE4F94" w:rsidRPr="00CA4C14" w14:paraId="181D34D2" w14:textId="77777777" w:rsidTr="00DD7847">
        <w:trPr>
          <w:trHeight w:val="390"/>
        </w:trPr>
        <w:tc>
          <w:tcPr>
            <w:tcW w:w="1574" w:type="pct"/>
            <w:vMerge w:val="restart"/>
            <w:tcBorders>
              <w:top w:val="nil"/>
              <w:left w:val="nil"/>
              <w:bottom w:val="nil"/>
              <w:right w:val="nil"/>
            </w:tcBorders>
            <w:shd w:val="clear" w:color="000000" w:fill="0070C0"/>
            <w:vAlign w:val="center"/>
            <w:hideMark/>
          </w:tcPr>
          <w:p w14:paraId="28BD8F9F" w14:textId="77777777" w:rsidR="00EE4F94" w:rsidRPr="00CA4C14" w:rsidRDefault="00EE4F94" w:rsidP="008F354D">
            <w:pPr>
              <w:pStyle w:val="Tablehead"/>
              <w:rPr>
                <w:lang w:val="ru-RU" w:eastAsia="en-GB"/>
              </w:rPr>
            </w:pPr>
            <w:r w:rsidRPr="00CA4C14">
              <w:rPr>
                <w:rFonts w:cs="Calibri"/>
                <w:szCs w:val="18"/>
                <w:lang w:val="ru-RU"/>
              </w:rPr>
              <w:t>Категории активов (тыс. шв. фр.)</w:t>
            </w:r>
          </w:p>
        </w:tc>
        <w:tc>
          <w:tcPr>
            <w:tcW w:w="1142" w:type="pct"/>
            <w:gridSpan w:val="2"/>
            <w:tcBorders>
              <w:top w:val="nil"/>
              <w:left w:val="nil"/>
              <w:bottom w:val="nil"/>
              <w:right w:val="nil"/>
            </w:tcBorders>
            <w:shd w:val="clear" w:color="000000" w:fill="0070C0"/>
            <w:vAlign w:val="center"/>
            <w:hideMark/>
          </w:tcPr>
          <w:p w14:paraId="0B3B8F39" w14:textId="77777777" w:rsidR="00EE4F94" w:rsidRPr="00CA4C14" w:rsidRDefault="00EE4F94" w:rsidP="008F354D">
            <w:pPr>
              <w:pStyle w:val="Tablehead"/>
              <w:rPr>
                <w:lang w:val="ru-RU" w:eastAsia="en-GB"/>
              </w:rPr>
            </w:pPr>
            <w:r w:rsidRPr="00CA4C14">
              <w:rPr>
                <w:szCs w:val="18"/>
                <w:lang w:val="ru-RU"/>
              </w:rPr>
              <w:t xml:space="preserve">Внутренние </w:t>
            </w:r>
            <w:r w:rsidRPr="00CA4C14">
              <w:rPr>
                <w:szCs w:val="18"/>
                <w:lang w:val="ru-RU"/>
              </w:rPr>
              <w:br/>
              <w:t>разработки</w:t>
            </w:r>
          </w:p>
        </w:tc>
        <w:tc>
          <w:tcPr>
            <w:tcW w:w="1142" w:type="pct"/>
            <w:gridSpan w:val="2"/>
            <w:tcBorders>
              <w:top w:val="nil"/>
              <w:left w:val="nil"/>
              <w:bottom w:val="nil"/>
              <w:right w:val="nil"/>
            </w:tcBorders>
            <w:shd w:val="clear" w:color="000000" w:fill="0070C0"/>
            <w:vAlign w:val="center"/>
            <w:hideMark/>
          </w:tcPr>
          <w:p w14:paraId="06F223A0" w14:textId="77777777" w:rsidR="00EE4F94" w:rsidRPr="00CA4C14" w:rsidRDefault="00EE4F94" w:rsidP="008F354D">
            <w:pPr>
              <w:pStyle w:val="Tablehead"/>
              <w:rPr>
                <w:lang w:val="ru-RU" w:eastAsia="en-GB"/>
              </w:rPr>
            </w:pPr>
            <w:r w:rsidRPr="00CA4C14">
              <w:rPr>
                <w:szCs w:val="18"/>
                <w:lang w:val="ru-RU"/>
              </w:rPr>
              <w:t>Программное</w:t>
            </w:r>
            <w:r w:rsidRPr="00CA4C14">
              <w:rPr>
                <w:szCs w:val="18"/>
                <w:lang w:val="ru-RU"/>
              </w:rPr>
              <w:br/>
              <w:t>обеспечение</w:t>
            </w:r>
          </w:p>
        </w:tc>
        <w:tc>
          <w:tcPr>
            <w:tcW w:w="571" w:type="pct"/>
            <w:vMerge w:val="restart"/>
            <w:tcBorders>
              <w:top w:val="nil"/>
              <w:left w:val="nil"/>
              <w:right w:val="nil"/>
            </w:tcBorders>
            <w:shd w:val="clear" w:color="000000" w:fill="0070C0"/>
            <w:vAlign w:val="center"/>
          </w:tcPr>
          <w:p w14:paraId="124D6128" w14:textId="77777777" w:rsidR="00EE4F94" w:rsidRPr="00CA4C14" w:rsidRDefault="00EE4F94" w:rsidP="008F354D">
            <w:pPr>
              <w:pStyle w:val="Tablehead"/>
              <w:rPr>
                <w:lang w:val="ru-RU" w:eastAsia="en-GB"/>
              </w:rPr>
            </w:pPr>
            <w:r w:rsidRPr="00CA4C14">
              <w:rPr>
                <w:lang w:val="ru-RU" w:eastAsia="en-GB"/>
              </w:rPr>
              <w:t>Всего</w:t>
            </w:r>
            <w:r w:rsidRPr="00CA4C14">
              <w:rPr>
                <w:lang w:val="ru-RU" w:eastAsia="en-GB"/>
              </w:rPr>
              <w:br/>
              <w:t>2023 г.</w:t>
            </w:r>
          </w:p>
        </w:tc>
        <w:tc>
          <w:tcPr>
            <w:tcW w:w="571" w:type="pct"/>
            <w:vMerge w:val="restart"/>
            <w:tcBorders>
              <w:top w:val="nil"/>
              <w:left w:val="nil"/>
              <w:right w:val="nil"/>
            </w:tcBorders>
            <w:shd w:val="clear" w:color="000000" w:fill="0070C0"/>
            <w:vAlign w:val="center"/>
          </w:tcPr>
          <w:p w14:paraId="3D94FF91" w14:textId="77777777" w:rsidR="00EE4F94" w:rsidRPr="00CA4C14" w:rsidRDefault="00EE4F94" w:rsidP="008F354D">
            <w:pPr>
              <w:pStyle w:val="Tablehead"/>
              <w:rPr>
                <w:lang w:val="ru-RU" w:eastAsia="en-GB"/>
              </w:rPr>
            </w:pPr>
            <w:r w:rsidRPr="00CA4C14">
              <w:rPr>
                <w:lang w:val="ru-RU" w:eastAsia="en-GB"/>
              </w:rPr>
              <w:t>Всего</w:t>
            </w:r>
            <w:r w:rsidRPr="00CA4C14">
              <w:rPr>
                <w:lang w:val="ru-RU" w:eastAsia="en-GB"/>
              </w:rPr>
              <w:br/>
              <w:t>2022 г.</w:t>
            </w:r>
          </w:p>
        </w:tc>
      </w:tr>
      <w:tr w:rsidR="00EE4F94" w:rsidRPr="00CA4C14" w14:paraId="1B15BDB8" w14:textId="77777777" w:rsidTr="00DD7847">
        <w:trPr>
          <w:trHeight w:val="360"/>
        </w:trPr>
        <w:tc>
          <w:tcPr>
            <w:tcW w:w="1574" w:type="pct"/>
            <w:vMerge/>
            <w:tcBorders>
              <w:top w:val="nil"/>
              <w:left w:val="nil"/>
              <w:bottom w:val="nil"/>
              <w:right w:val="nil"/>
            </w:tcBorders>
            <w:vAlign w:val="center"/>
            <w:hideMark/>
          </w:tcPr>
          <w:p w14:paraId="33801948" w14:textId="77777777" w:rsidR="00EE4F94" w:rsidRPr="00CA4C14" w:rsidRDefault="00EE4F94" w:rsidP="008F354D">
            <w:pPr>
              <w:pStyle w:val="Tablehead"/>
              <w:rPr>
                <w:lang w:val="ru-RU" w:eastAsia="en-GB"/>
              </w:rPr>
            </w:pPr>
          </w:p>
        </w:tc>
        <w:tc>
          <w:tcPr>
            <w:tcW w:w="571" w:type="pct"/>
            <w:tcBorders>
              <w:top w:val="nil"/>
              <w:left w:val="nil"/>
              <w:bottom w:val="nil"/>
              <w:right w:val="nil"/>
            </w:tcBorders>
            <w:shd w:val="clear" w:color="000000" w:fill="0070C0"/>
            <w:vAlign w:val="center"/>
            <w:hideMark/>
          </w:tcPr>
          <w:p w14:paraId="5456B373" w14:textId="77777777" w:rsidR="00EE4F94" w:rsidRPr="00CA4C14" w:rsidRDefault="00EE4F94" w:rsidP="008F354D">
            <w:pPr>
              <w:pStyle w:val="Tablehead"/>
              <w:rPr>
                <w:lang w:val="ru-RU" w:eastAsia="en-GB"/>
              </w:rPr>
            </w:pPr>
            <w:r w:rsidRPr="00CA4C14">
              <w:rPr>
                <w:lang w:val="ru-RU" w:eastAsia="en-GB"/>
              </w:rPr>
              <w:t>2023 г.</w:t>
            </w:r>
          </w:p>
        </w:tc>
        <w:tc>
          <w:tcPr>
            <w:tcW w:w="571" w:type="pct"/>
            <w:tcBorders>
              <w:top w:val="nil"/>
              <w:left w:val="nil"/>
              <w:bottom w:val="nil"/>
              <w:right w:val="nil"/>
            </w:tcBorders>
            <w:shd w:val="clear" w:color="000000" w:fill="0070C0"/>
            <w:vAlign w:val="center"/>
            <w:hideMark/>
          </w:tcPr>
          <w:p w14:paraId="1D2F29E2" w14:textId="77777777" w:rsidR="00EE4F94" w:rsidRPr="00CA4C14" w:rsidRDefault="00EE4F94" w:rsidP="008F354D">
            <w:pPr>
              <w:pStyle w:val="Tablehead"/>
              <w:rPr>
                <w:lang w:val="ru-RU" w:eastAsia="en-GB"/>
              </w:rPr>
            </w:pPr>
            <w:r w:rsidRPr="00CA4C14">
              <w:rPr>
                <w:lang w:val="ru-RU" w:eastAsia="en-GB"/>
              </w:rPr>
              <w:t>2022 г.</w:t>
            </w:r>
          </w:p>
        </w:tc>
        <w:tc>
          <w:tcPr>
            <w:tcW w:w="571" w:type="pct"/>
            <w:tcBorders>
              <w:top w:val="nil"/>
              <w:left w:val="nil"/>
              <w:bottom w:val="nil"/>
              <w:right w:val="nil"/>
            </w:tcBorders>
            <w:shd w:val="clear" w:color="000000" w:fill="0070C0"/>
            <w:vAlign w:val="center"/>
            <w:hideMark/>
          </w:tcPr>
          <w:p w14:paraId="3566742E" w14:textId="77777777" w:rsidR="00EE4F94" w:rsidRPr="00CA4C14" w:rsidRDefault="00EE4F94" w:rsidP="008F354D">
            <w:pPr>
              <w:pStyle w:val="Tablehead"/>
              <w:rPr>
                <w:lang w:val="ru-RU" w:eastAsia="en-GB"/>
              </w:rPr>
            </w:pPr>
            <w:r w:rsidRPr="00CA4C14">
              <w:rPr>
                <w:lang w:val="ru-RU" w:eastAsia="en-GB"/>
              </w:rPr>
              <w:t>2023 г.</w:t>
            </w:r>
          </w:p>
        </w:tc>
        <w:tc>
          <w:tcPr>
            <w:tcW w:w="571" w:type="pct"/>
            <w:tcBorders>
              <w:top w:val="nil"/>
              <w:left w:val="nil"/>
              <w:bottom w:val="nil"/>
              <w:right w:val="nil"/>
            </w:tcBorders>
            <w:shd w:val="clear" w:color="000000" w:fill="0070C0"/>
            <w:vAlign w:val="center"/>
            <w:hideMark/>
          </w:tcPr>
          <w:p w14:paraId="3683E194" w14:textId="77777777" w:rsidR="00EE4F94" w:rsidRPr="00CA4C14" w:rsidRDefault="00EE4F94" w:rsidP="008F354D">
            <w:pPr>
              <w:pStyle w:val="Tablehead"/>
              <w:rPr>
                <w:lang w:val="ru-RU" w:eastAsia="en-GB"/>
              </w:rPr>
            </w:pPr>
            <w:r w:rsidRPr="00CA4C14">
              <w:rPr>
                <w:lang w:val="ru-RU" w:eastAsia="en-GB"/>
              </w:rPr>
              <w:t>2022 г.</w:t>
            </w:r>
          </w:p>
        </w:tc>
        <w:tc>
          <w:tcPr>
            <w:tcW w:w="571" w:type="pct"/>
            <w:vMerge/>
            <w:tcBorders>
              <w:left w:val="nil"/>
              <w:bottom w:val="nil"/>
              <w:right w:val="nil"/>
            </w:tcBorders>
            <w:shd w:val="clear" w:color="000000" w:fill="0070C0"/>
            <w:vAlign w:val="center"/>
            <w:hideMark/>
          </w:tcPr>
          <w:p w14:paraId="7C71AE93" w14:textId="77777777" w:rsidR="00EE4F94" w:rsidRPr="00CA4C14" w:rsidRDefault="00EE4F94" w:rsidP="008F354D">
            <w:pPr>
              <w:pStyle w:val="Tablehead"/>
              <w:rPr>
                <w:lang w:val="ru-RU" w:eastAsia="en-GB"/>
              </w:rPr>
            </w:pPr>
          </w:p>
        </w:tc>
        <w:tc>
          <w:tcPr>
            <w:tcW w:w="571" w:type="pct"/>
            <w:vMerge/>
            <w:tcBorders>
              <w:left w:val="nil"/>
              <w:bottom w:val="nil"/>
              <w:right w:val="nil"/>
            </w:tcBorders>
            <w:shd w:val="clear" w:color="000000" w:fill="0070C0"/>
            <w:vAlign w:val="center"/>
            <w:hideMark/>
          </w:tcPr>
          <w:p w14:paraId="30432601" w14:textId="77777777" w:rsidR="00EE4F94" w:rsidRPr="00CA4C14" w:rsidRDefault="00EE4F94" w:rsidP="008F354D">
            <w:pPr>
              <w:pStyle w:val="Tablehead"/>
              <w:rPr>
                <w:lang w:val="ru-RU" w:eastAsia="en-GB"/>
              </w:rPr>
            </w:pPr>
          </w:p>
        </w:tc>
      </w:tr>
      <w:tr w:rsidR="00EE4F94" w:rsidRPr="00CA4C14" w14:paraId="6C4827CE" w14:textId="77777777" w:rsidTr="00DD7847">
        <w:trPr>
          <w:trHeight w:val="255"/>
        </w:trPr>
        <w:tc>
          <w:tcPr>
            <w:tcW w:w="1574" w:type="pct"/>
            <w:tcBorders>
              <w:top w:val="nil"/>
              <w:left w:val="nil"/>
              <w:bottom w:val="nil"/>
              <w:right w:val="nil"/>
            </w:tcBorders>
            <w:shd w:val="clear" w:color="auto" w:fill="auto"/>
            <w:vAlign w:val="center"/>
            <w:hideMark/>
          </w:tcPr>
          <w:p w14:paraId="2C1C0F04" w14:textId="77777777" w:rsidR="00EE4F94" w:rsidRPr="00CA4C14" w:rsidRDefault="00EE4F94" w:rsidP="00FD58CA">
            <w:pPr>
              <w:pStyle w:val="Tabletext"/>
              <w:keepNext/>
              <w:rPr>
                <w:b/>
                <w:bCs/>
                <w:lang w:val="ru-RU" w:eastAsia="en-GB"/>
              </w:rPr>
            </w:pPr>
            <w:r w:rsidRPr="00CA4C14">
              <w:rPr>
                <w:b/>
                <w:bCs/>
                <w:szCs w:val="18"/>
                <w:lang w:val="ru-RU"/>
              </w:rPr>
              <w:t>Стоимость на 1 января</w:t>
            </w:r>
          </w:p>
        </w:tc>
        <w:tc>
          <w:tcPr>
            <w:tcW w:w="571" w:type="pct"/>
            <w:tcBorders>
              <w:top w:val="nil"/>
              <w:left w:val="nil"/>
              <w:bottom w:val="nil"/>
              <w:right w:val="nil"/>
            </w:tcBorders>
            <w:shd w:val="clear" w:color="auto" w:fill="auto"/>
            <w:noWrap/>
            <w:vAlign w:val="bottom"/>
            <w:hideMark/>
          </w:tcPr>
          <w:p w14:paraId="4B78D7C1" w14:textId="77777777" w:rsidR="00EE4F94" w:rsidRPr="00CA4C14" w:rsidRDefault="00EE4F94" w:rsidP="00FD58CA">
            <w:pPr>
              <w:pStyle w:val="Tabletext"/>
              <w:keepNext/>
              <w:jc w:val="right"/>
              <w:rPr>
                <w:b/>
                <w:bCs/>
                <w:lang w:val="ru-RU" w:eastAsia="en-GB"/>
              </w:rPr>
            </w:pPr>
            <w:r w:rsidRPr="00CA4C14">
              <w:rPr>
                <w:b/>
                <w:bCs/>
                <w:lang w:val="ru-RU" w:eastAsia="en-GB"/>
              </w:rPr>
              <w:t>5 551</w:t>
            </w:r>
          </w:p>
        </w:tc>
        <w:tc>
          <w:tcPr>
            <w:tcW w:w="571" w:type="pct"/>
            <w:tcBorders>
              <w:top w:val="nil"/>
              <w:left w:val="nil"/>
              <w:bottom w:val="nil"/>
              <w:right w:val="nil"/>
            </w:tcBorders>
            <w:shd w:val="clear" w:color="auto" w:fill="auto"/>
            <w:noWrap/>
            <w:vAlign w:val="bottom"/>
            <w:hideMark/>
          </w:tcPr>
          <w:p w14:paraId="75F9F601" w14:textId="77777777" w:rsidR="00EE4F94" w:rsidRPr="00CA4C14" w:rsidRDefault="00EE4F94" w:rsidP="00FD58CA">
            <w:pPr>
              <w:pStyle w:val="Tabletext"/>
              <w:keepNext/>
              <w:jc w:val="right"/>
              <w:rPr>
                <w:b/>
                <w:bCs/>
                <w:lang w:val="ru-RU" w:eastAsia="en-GB"/>
              </w:rPr>
            </w:pPr>
            <w:r w:rsidRPr="00CA4C14">
              <w:rPr>
                <w:b/>
                <w:bCs/>
                <w:lang w:val="ru-RU" w:eastAsia="en-GB"/>
              </w:rPr>
              <w:t>3 288</w:t>
            </w:r>
          </w:p>
        </w:tc>
        <w:tc>
          <w:tcPr>
            <w:tcW w:w="571" w:type="pct"/>
            <w:tcBorders>
              <w:top w:val="nil"/>
              <w:left w:val="nil"/>
              <w:bottom w:val="nil"/>
              <w:right w:val="nil"/>
            </w:tcBorders>
            <w:shd w:val="clear" w:color="auto" w:fill="auto"/>
            <w:noWrap/>
            <w:vAlign w:val="bottom"/>
            <w:hideMark/>
          </w:tcPr>
          <w:p w14:paraId="115F7DFA" w14:textId="77777777" w:rsidR="00EE4F94" w:rsidRPr="00CA4C14" w:rsidRDefault="00EE4F94" w:rsidP="00FD58CA">
            <w:pPr>
              <w:pStyle w:val="Tabletext"/>
              <w:keepNext/>
              <w:jc w:val="right"/>
              <w:rPr>
                <w:b/>
                <w:bCs/>
                <w:lang w:val="ru-RU" w:eastAsia="en-GB"/>
              </w:rPr>
            </w:pPr>
            <w:r w:rsidRPr="00CA4C14">
              <w:rPr>
                <w:b/>
                <w:bCs/>
                <w:lang w:val="ru-RU" w:eastAsia="en-GB"/>
              </w:rPr>
              <w:t>6 786</w:t>
            </w:r>
          </w:p>
        </w:tc>
        <w:tc>
          <w:tcPr>
            <w:tcW w:w="571" w:type="pct"/>
            <w:tcBorders>
              <w:top w:val="nil"/>
              <w:left w:val="nil"/>
              <w:bottom w:val="nil"/>
              <w:right w:val="nil"/>
            </w:tcBorders>
            <w:shd w:val="clear" w:color="auto" w:fill="auto"/>
            <w:noWrap/>
            <w:vAlign w:val="bottom"/>
            <w:hideMark/>
          </w:tcPr>
          <w:p w14:paraId="17708BCE" w14:textId="77777777" w:rsidR="00EE4F94" w:rsidRPr="00CA4C14" w:rsidRDefault="00EE4F94" w:rsidP="00FD58CA">
            <w:pPr>
              <w:pStyle w:val="Tabletext"/>
              <w:keepNext/>
              <w:jc w:val="right"/>
              <w:rPr>
                <w:b/>
                <w:bCs/>
                <w:lang w:val="ru-RU" w:eastAsia="en-GB"/>
              </w:rPr>
            </w:pPr>
            <w:r w:rsidRPr="00CA4C14">
              <w:rPr>
                <w:b/>
                <w:bCs/>
                <w:lang w:val="ru-RU" w:eastAsia="en-GB"/>
              </w:rPr>
              <w:t>6 817</w:t>
            </w:r>
          </w:p>
        </w:tc>
        <w:tc>
          <w:tcPr>
            <w:tcW w:w="571" w:type="pct"/>
            <w:tcBorders>
              <w:top w:val="nil"/>
              <w:left w:val="nil"/>
              <w:bottom w:val="nil"/>
              <w:right w:val="nil"/>
            </w:tcBorders>
            <w:shd w:val="clear" w:color="auto" w:fill="auto"/>
            <w:noWrap/>
            <w:vAlign w:val="bottom"/>
            <w:hideMark/>
          </w:tcPr>
          <w:p w14:paraId="53B02937" w14:textId="77777777" w:rsidR="00EE4F94" w:rsidRPr="00CA4C14" w:rsidRDefault="00EE4F94" w:rsidP="00FD58CA">
            <w:pPr>
              <w:pStyle w:val="Tabletext"/>
              <w:keepNext/>
              <w:jc w:val="right"/>
              <w:rPr>
                <w:b/>
                <w:bCs/>
                <w:lang w:val="ru-RU" w:eastAsia="en-GB"/>
              </w:rPr>
            </w:pPr>
            <w:r w:rsidRPr="00CA4C14">
              <w:rPr>
                <w:b/>
                <w:bCs/>
                <w:lang w:val="ru-RU" w:eastAsia="en-GB"/>
              </w:rPr>
              <w:t>12 337</w:t>
            </w:r>
          </w:p>
        </w:tc>
        <w:tc>
          <w:tcPr>
            <w:tcW w:w="571" w:type="pct"/>
            <w:tcBorders>
              <w:top w:val="nil"/>
              <w:left w:val="nil"/>
              <w:bottom w:val="nil"/>
              <w:right w:val="nil"/>
            </w:tcBorders>
            <w:shd w:val="clear" w:color="auto" w:fill="auto"/>
            <w:noWrap/>
            <w:vAlign w:val="bottom"/>
            <w:hideMark/>
          </w:tcPr>
          <w:p w14:paraId="2829F27B" w14:textId="77777777" w:rsidR="00EE4F94" w:rsidRPr="00CA4C14" w:rsidRDefault="00EE4F94" w:rsidP="00FD58CA">
            <w:pPr>
              <w:pStyle w:val="Tabletext"/>
              <w:keepNext/>
              <w:jc w:val="right"/>
              <w:rPr>
                <w:b/>
                <w:bCs/>
                <w:lang w:val="ru-RU" w:eastAsia="en-GB"/>
              </w:rPr>
            </w:pPr>
            <w:r w:rsidRPr="00CA4C14">
              <w:rPr>
                <w:b/>
                <w:bCs/>
                <w:lang w:val="ru-RU" w:eastAsia="en-GB"/>
              </w:rPr>
              <w:t>10 105</w:t>
            </w:r>
          </w:p>
        </w:tc>
      </w:tr>
      <w:tr w:rsidR="00EE4F94" w:rsidRPr="00CA4C14" w14:paraId="0D6CB7DC" w14:textId="77777777" w:rsidTr="00DD7847">
        <w:trPr>
          <w:trHeight w:val="255"/>
        </w:trPr>
        <w:tc>
          <w:tcPr>
            <w:tcW w:w="1574" w:type="pct"/>
            <w:tcBorders>
              <w:top w:val="nil"/>
              <w:left w:val="nil"/>
              <w:bottom w:val="nil"/>
              <w:right w:val="nil"/>
            </w:tcBorders>
            <w:shd w:val="clear" w:color="auto" w:fill="auto"/>
            <w:hideMark/>
          </w:tcPr>
          <w:p w14:paraId="272C02D9" w14:textId="77777777" w:rsidR="00EE4F94" w:rsidRPr="00CA4C14" w:rsidRDefault="00EE4F94" w:rsidP="00FD58CA">
            <w:pPr>
              <w:pStyle w:val="Tabletext"/>
              <w:keepNext/>
              <w:rPr>
                <w:lang w:val="ru-RU" w:eastAsia="en-GB"/>
              </w:rPr>
            </w:pPr>
            <w:r w:rsidRPr="00CA4C14">
              <w:rPr>
                <w:szCs w:val="18"/>
                <w:lang w:val="ru-RU"/>
              </w:rPr>
              <w:t>Дополнения</w:t>
            </w:r>
          </w:p>
        </w:tc>
        <w:tc>
          <w:tcPr>
            <w:tcW w:w="571" w:type="pct"/>
            <w:tcBorders>
              <w:top w:val="nil"/>
              <w:left w:val="nil"/>
              <w:bottom w:val="nil"/>
              <w:right w:val="nil"/>
            </w:tcBorders>
            <w:shd w:val="clear" w:color="auto" w:fill="auto"/>
            <w:noWrap/>
            <w:vAlign w:val="bottom"/>
            <w:hideMark/>
          </w:tcPr>
          <w:p w14:paraId="5E75FFCB" w14:textId="77777777" w:rsidR="00EE4F94" w:rsidRPr="00CA4C14" w:rsidRDefault="00EE4F94" w:rsidP="00FD58CA">
            <w:pPr>
              <w:pStyle w:val="Tabletext"/>
              <w:keepNext/>
              <w:jc w:val="right"/>
              <w:rPr>
                <w:lang w:val="ru-RU" w:eastAsia="en-GB"/>
              </w:rPr>
            </w:pPr>
            <w:r w:rsidRPr="00CA4C14">
              <w:rPr>
                <w:lang w:val="ru-RU" w:eastAsia="en-GB"/>
              </w:rPr>
              <w:t>567</w:t>
            </w:r>
          </w:p>
        </w:tc>
        <w:tc>
          <w:tcPr>
            <w:tcW w:w="571" w:type="pct"/>
            <w:tcBorders>
              <w:top w:val="nil"/>
              <w:left w:val="nil"/>
              <w:bottom w:val="nil"/>
              <w:right w:val="nil"/>
            </w:tcBorders>
            <w:shd w:val="clear" w:color="auto" w:fill="auto"/>
            <w:noWrap/>
            <w:vAlign w:val="bottom"/>
            <w:hideMark/>
          </w:tcPr>
          <w:p w14:paraId="6FE2FB17" w14:textId="77777777" w:rsidR="00EE4F94" w:rsidRPr="00CA4C14" w:rsidRDefault="00EE4F94" w:rsidP="00FD58CA">
            <w:pPr>
              <w:pStyle w:val="Tabletext"/>
              <w:keepNext/>
              <w:jc w:val="right"/>
              <w:rPr>
                <w:lang w:val="ru-RU" w:eastAsia="en-GB"/>
              </w:rPr>
            </w:pPr>
            <w:r w:rsidRPr="00CA4C14">
              <w:rPr>
                <w:lang w:val="ru-RU" w:eastAsia="en-GB"/>
              </w:rPr>
              <w:t>2 263</w:t>
            </w:r>
          </w:p>
        </w:tc>
        <w:tc>
          <w:tcPr>
            <w:tcW w:w="571" w:type="pct"/>
            <w:tcBorders>
              <w:top w:val="nil"/>
              <w:left w:val="nil"/>
              <w:bottom w:val="nil"/>
              <w:right w:val="nil"/>
            </w:tcBorders>
            <w:shd w:val="clear" w:color="auto" w:fill="auto"/>
            <w:noWrap/>
            <w:vAlign w:val="bottom"/>
            <w:hideMark/>
          </w:tcPr>
          <w:p w14:paraId="71C79438" w14:textId="77777777" w:rsidR="00EE4F94" w:rsidRPr="00CA4C14" w:rsidRDefault="00EE4F94" w:rsidP="00FD58CA">
            <w:pPr>
              <w:pStyle w:val="Tabletext"/>
              <w:keepNext/>
              <w:jc w:val="right"/>
              <w:rPr>
                <w:lang w:val="ru-RU" w:eastAsia="en-GB"/>
              </w:rPr>
            </w:pPr>
            <w:r w:rsidRPr="00CA4C14">
              <w:rPr>
                <w:lang w:val="ru-RU" w:eastAsia="en-GB"/>
              </w:rPr>
              <w:t>205</w:t>
            </w:r>
          </w:p>
        </w:tc>
        <w:tc>
          <w:tcPr>
            <w:tcW w:w="571" w:type="pct"/>
            <w:tcBorders>
              <w:top w:val="nil"/>
              <w:left w:val="nil"/>
              <w:bottom w:val="nil"/>
              <w:right w:val="nil"/>
            </w:tcBorders>
            <w:shd w:val="clear" w:color="auto" w:fill="auto"/>
            <w:noWrap/>
            <w:vAlign w:val="bottom"/>
            <w:hideMark/>
          </w:tcPr>
          <w:p w14:paraId="108E13B8" w14:textId="77777777" w:rsidR="00EE4F94" w:rsidRPr="00CA4C14" w:rsidRDefault="00EE4F94" w:rsidP="00FD58CA">
            <w:pPr>
              <w:pStyle w:val="Tabletext"/>
              <w:keepNext/>
              <w:jc w:val="right"/>
              <w:rPr>
                <w:lang w:val="ru-RU" w:eastAsia="en-GB"/>
              </w:rPr>
            </w:pPr>
            <w:r w:rsidRPr="00CA4C14">
              <w:rPr>
                <w:lang w:val="ru-RU" w:eastAsia="en-GB"/>
              </w:rPr>
              <w:t>1 023</w:t>
            </w:r>
          </w:p>
        </w:tc>
        <w:tc>
          <w:tcPr>
            <w:tcW w:w="571" w:type="pct"/>
            <w:tcBorders>
              <w:top w:val="nil"/>
              <w:left w:val="nil"/>
              <w:bottom w:val="nil"/>
              <w:right w:val="nil"/>
            </w:tcBorders>
            <w:shd w:val="clear" w:color="auto" w:fill="auto"/>
            <w:noWrap/>
            <w:vAlign w:val="bottom"/>
            <w:hideMark/>
          </w:tcPr>
          <w:p w14:paraId="3597388F" w14:textId="77777777" w:rsidR="00EE4F94" w:rsidRPr="00CA4C14" w:rsidRDefault="00EE4F94" w:rsidP="00FD58CA">
            <w:pPr>
              <w:pStyle w:val="Tabletext"/>
              <w:keepNext/>
              <w:jc w:val="right"/>
              <w:rPr>
                <w:b/>
                <w:lang w:val="ru-RU" w:eastAsia="en-GB"/>
              </w:rPr>
            </w:pPr>
            <w:r w:rsidRPr="00CA4C14">
              <w:rPr>
                <w:b/>
                <w:lang w:val="ru-RU" w:eastAsia="en-GB"/>
              </w:rPr>
              <w:t>773</w:t>
            </w:r>
          </w:p>
        </w:tc>
        <w:tc>
          <w:tcPr>
            <w:tcW w:w="571" w:type="pct"/>
            <w:tcBorders>
              <w:top w:val="nil"/>
              <w:left w:val="nil"/>
              <w:bottom w:val="nil"/>
              <w:right w:val="nil"/>
            </w:tcBorders>
            <w:shd w:val="clear" w:color="auto" w:fill="auto"/>
            <w:noWrap/>
            <w:vAlign w:val="bottom"/>
            <w:hideMark/>
          </w:tcPr>
          <w:p w14:paraId="0561A111" w14:textId="77777777" w:rsidR="00EE4F94" w:rsidRPr="00CA4C14" w:rsidRDefault="00EE4F94" w:rsidP="00FD58CA">
            <w:pPr>
              <w:pStyle w:val="Tabletext"/>
              <w:keepNext/>
              <w:jc w:val="right"/>
              <w:rPr>
                <w:b/>
                <w:lang w:val="ru-RU" w:eastAsia="en-GB"/>
              </w:rPr>
            </w:pPr>
            <w:r w:rsidRPr="00CA4C14">
              <w:rPr>
                <w:b/>
                <w:lang w:val="ru-RU" w:eastAsia="en-GB"/>
              </w:rPr>
              <w:t>3 286</w:t>
            </w:r>
          </w:p>
        </w:tc>
      </w:tr>
      <w:tr w:rsidR="00EE4F94" w:rsidRPr="00CA4C14" w14:paraId="566FDE64" w14:textId="77777777" w:rsidTr="00DD7847">
        <w:trPr>
          <w:trHeight w:val="255"/>
        </w:trPr>
        <w:tc>
          <w:tcPr>
            <w:tcW w:w="1574" w:type="pct"/>
            <w:tcBorders>
              <w:top w:val="nil"/>
              <w:left w:val="nil"/>
              <w:bottom w:val="nil"/>
              <w:right w:val="nil"/>
            </w:tcBorders>
            <w:shd w:val="clear" w:color="auto" w:fill="auto"/>
            <w:hideMark/>
          </w:tcPr>
          <w:p w14:paraId="1ED62C9E" w14:textId="77777777" w:rsidR="00EE4F94" w:rsidRPr="00CA4C14" w:rsidRDefault="00EE4F94" w:rsidP="00FD58CA">
            <w:pPr>
              <w:pStyle w:val="Tabletext"/>
              <w:keepNext/>
              <w:rPr>
                <w:lang w:val="ru-RU" w:eastAsia="en-GB"/>
              </w:rPr>
            </w:pPr>
            <w:r w:rsidRPr="00CA4C14">
              <w:rPr>
                <w:szCs w:val="18"/>
                <w:lang w:val="ru-RU"/>
              </w:rPr>
              <w:t>Выбытие</w:t>
            </w:r>
          </w:p>
        </w:tc>
        <w:tc>
          <w:tcPr>
            <w:tcW w:w="571" w:type="pct"/>
            <w:tcBorders>
              <w:top w:val="nil"/>
              <w:left w:val="nil"/>
              <w:bottom w:val="nil"/>
              <w:right w:val="nil"/>
            </w:tcBorders>
            <w:shd w:val="clear" w:color="auto" w:fill="auto"/>
            <w:noWrap/>
            <w:vAlign w:val="bottom"/>
            <w:hideMark/>
          </w:tcPr>
          <w:p w14:paraId="197A7DFF" w14:textId="77777777" w:rsidR="00EE4F94" w:rsidRPr="00CA4C14" w:rsidRDefault="00EE4F94" w:rsidP="00FD58CA">
            <w:pPr>
              <w:pStyle w:val="Tabletext"/>
              <w:keepNext/>
              <w:jc w:val="right"/>
              <w:rPr>
                <w:lang w:val="ru-RU" w:eastAsia="en-GB"/>
              </w:rPr>
            </w:pPr>
            <w:r w:rsidRPr="00CA4C14">
              <w:rPr>
                <w:lang w:val="ru-RU" w:eastAsia="en-GB"/>
              </w:rPr>
              <w:t>−</w:t>
            </w:r>
          </w:p>
        </w:tc>
        <w:tc>
          <w:tcPr>
            <w:tcW w:w="571" w:type="pct"/>
            <w:tcBorders>
              <w:top w:val="nil"/>
              <w:left w:val="nil"/>
              <w:bottom w:val="nil"/>
              <w:right w:val="nil"/>
            </w:tcBorders>
            <w:shd w:val="clear" w:color="auto" w:fill="auto"/>
            <w:noWrap/>
            <w:vAlign w:val="bottom"/>
            <w:hideMark/>
          </w:tcPr>
          <w:p w14:paraId="0B4055E3" w14:textId="77777777" w:rsidR="00EE4F94" w:rsidRPr="00CA4C14" w:rsidRDefault="00EE4F94" w:rsidP="00FD58CA">
            <w:pPr>
              <w:pStyle w:val="Tabletext"/>
              <w:keepNext/>
              <w:jc w:val="right"/>
              <w:rPr>
                <w:lang w:val="ru-RU" w:eastAsia="en-GB"/>
              </w:rPr>
            </w:pPr>
          </w:p>
        </w:tc>
        <w:tc>
          <w:tcPr>
            <w:tcW w:w="571" w:type="pct"/>
            <w:tcBorders>
              <w:top w:val="nil"/>
              <w:left w:val="nil"/>
              <w:bottom w:val="nil"/>
              <w:right w:val="nil"/>
            </w:tcBorders>
            <w:shd w:val="clear" w:color="auto" w:fill="auto"/>
            <w:noWrap/>
            <w:vAlign w:val="bottom"/>
            <w:hideMark/>
          </w:tcPr>
          <w:p w14:paraId="3E2BAC6C" w14:textId="77777777" w:rsidR="00EE4F94" w:rsidRPr="00CA4C14" w:rsidRDefault="00EE4F94" w:rsidP="00FD58CA">
            <w:pPr>
              <w:pStyle w:val="Tabletext"/>
              <w:keepNext/>
              <w:jc w:val="right"/>
              <w:rPr>
                <w:lang w:val="ru-RU" w:eastAsia="en-GB"/>
              </w:rPr>
            </w:pPr>
            <w:r w:rsidRPr="00CA4C14">
              <w:rPr>
                <w:lang w:val="ru-RU" w:eastAsia="en-GB"/>
              </w:rPr>
              <w:t>(275)</w:t>
            </w:r>
          </w:p>
        </w:tc>
        <w:tc>
          <w:tcPr>
            <w:tcW w:w="571" w:type="pct"/>
            <w:tcBorders>
              <w:top w:val="nil"/>
              <w:left w:val="nil"/>
              <w:bottom w:val="nil"/>
              <w:right w:val="nil"/>
            </w:tcBorders>
            <w:shd w:val="clear" w:color="auto" w:fill="auto"/>
            <w:noWrap/>
            <w:vAlign w:val="bottom"/>
            <w:hideMark/>
          </w:tcPr>
          <w:p w14:paraId="2C828599" w14:textId="77777777" w:rsidR="00EE4F94" w:rsidRPr="00CA4C14" w:rsidRDefault="00EE4F94" w:rsidP="00FD58CA">
            <w:pPr>
              <w:pStyle w:val="Tabletext"/>
              <w:keepNext/>
              <w:jc w:val="right"/>
              <w:rPr>
                <w:lang w:val="ru-RU" w:eastAsia="en-GB"/>
              </w:rPr>
            </w:pPr>
            <w:r w:rsidRPr="00CA4C14">
              <w:rPr>
                <w:lang w:val="ru-RU" w:eastAsia="en-GB"/>
              </w:rPr>
              <w:t>(1 360)</w:t>
            </w:r>
          </w:p>
        </w:tc>
        <w:tc>
          <w:tcPr>
            <w:tcW w:w="571" w:type="pct"/>
            <w:tcBorders>
              <w:top w:val="nil"/>
              <w:left w:val="nil"/>
              <w:bottom w:val="nil"/>
              <w:right w:val="nil"/>
            </w:tcBorders>
            <w:shd w:val="clear" w:color="auto" w:fill="auto"/>
            <w:noWrap/>
            <w:vAlign w:val="bottom"/>
            <w:hideMark/>
          </w:tcPr>
          <w:p w14:paraId="264C1AAC" w14:textId="77777777" w:rsidR="00EE4F94" w:rsidRPr="00CA4C14" w:rsidRDefault="00EE4F94" w:rsidP="00FD58CA">
            <w:pPr>
              <w:pStyle w:val="Tabletext"/>
              <w:keepNext/>
              <w:jc w:val="right"/>
              <w:rPr>
                <w:b/>
                <w:lang w:val="ru-RU" w:eastAsia="en-GB"/>
              </w:rPr>
            </w:pPr>
            <w:r w:rsidRPr="00CA4C14">
              <w:rPr>
                <w:b/>
                <w:lang w:val="ru-RU" w:eastAsia="en-GB"/>
              </w:rPr>
              <w:t>(275)</w:t>
            </w:r>
          </w:p>
        </w:tc>
        <w:tc>
          <w:tcPr>
            <w:tcW w:w="571" w:type="pct"/>
            <w:tcBorders>
              <w:top w:val="nil"/>
              <w:left w:val="nil"/>
              <w:bottom w:val="nil"/>
              <w:right w:val="nil"/>
            </w:tcBorders>
            <w:shd w:val="clear" w:color="auto" w:fill="auto"/>
            <w:noWrap/>
            <w:vAlign w:val="bottom"/>
            <w:hideMark/>
          </w:tcPr>
          <w:p w14:paraId="50A7F507" w14:textId="77777777" w:rsidR="00EE4F94" w:rsidRPr="00CA4C14" w:rsidRDefault="00EE4F94" w:rsidP="00FD58CA">
            <w:pPr>
              <w:pStyle w:val="Tabletext"/>
              <w:keepNext/>
              <w:jc w:val="right"/>
              <w:rPr>
                <w:b/>
                <w:lang w:val="ru-RU" w:eastAsia="en-GB"/>
              </w:rPr>
            </w:pPr>
            <w:r w:rsidRPr="00CA4C14">
              <w:rPr>
                <w:b/>
                <w:lang w:val="ru-RU" w:eastAsia="en-GB"/>
              </w:rPr>
              <w:t>(1 360)</w:t>
            </w:r>
          </w:p>
        </w:tc>
      </w:tr>
      <w:tr w:rsidR="00EE4F94" w:rsidRPr="00CA4C14" w14:paraId="192C4152" w14:textId="77777777" w:rsidTr="00DD7847">
        <w:trPr>
          <w:trHeight w:val="255"/>
        </w:trPr>
        <w:tc>
          <w:tcPr>
            <w:tcW w:w="1574" w:type="pct"/>
            <w:tcBorders>
              <w:top w:val="nil"/>
              <w:left w:val="nil"/>
              <w:bottom w:val="nil"/>
              <w:right w:val="nil"/>
            </w:tcBorders>
            <w:shd w:val="clear" w:color="auto" w:fill="auto"/>
            <w:hideMark/>
          </w:tcPr>
          <w:p w14:paraId="1CB37BCC" w14:textId="77777777" w:rsidR="00EE4F94" w:rsidRPr="00CA4C14" w:rsidRDefault="00EE4F94" w:rsidP="00FD58CA">
            <w:pPr>
              <w:pStyle w:val="Tabletext"/>
              <w:keepNext/>
              <w:rPr>
                <w:lang w:val="ru-RU" w:eastAsia="en-GB"/>
              </w:rPr>
            </w:pPr>
            <w:r w:rsidRPr="00CA4C14">
              <w:rPr>
                <w:szCs w:val="18"/>
                <w:lang w:val="ru-RU"/>
              </w:rPr>
              <w:t>Переводы в другие категории</w:t>
            </w:r>
          </w:p>
        </w:tc>
        <w:tc>
          <w:tcPr>
            <w:tcW w:w="571" w:type="pct"/>
            <w:tcBorders>
              <w:top w:val="nil"/>
              <w:left w:val="nil"/>
              <w:bottom w:val="nil"/>
              <w:right w:val="nil"/>
            </w:tcBorders>
            <w:shd w:val="clear" w:color="auto" w:fill="auto"/>
            <w:noWrap/>
            <w:vAlign w:val="bottom"/>
            <w:hideMark/>
          </w:tcPr>
          <w:p w14:paraId="2CA0EFF1" w14:textId="77777777" w:rsidR="00EE4F94" w:rsidRPr="00CA4C14" w:rsidRDefault="00EE4F94" w:rsidP="00FD58CA">
            <w:pPr>
              <w:pStyle w:val="Tabletext"/>
              <w:keepNext/>
              <w:jc w:val="right"/>
              <w:rPr>
                <w:lang w:val="ru-RU" w:eastAsia="en-GB"/>
              </w:rPr>
            </w:pPr>
            <w:r w:rsidRPr="00CA4C14">
              <w:rPr>
                <w:lang w:val="ru-RU" w:eastAsia="en-GB"/>
              </w:rPr>
              <w:t>192</w:t>
            </w:r>
          </w:p>
        </w:tc>
        <w:tc>
          <w:tcPr>
            <w:tcW w:w="571" w:type="pct"/>
            <w:tcBorders>
              <w:top w:val="nil"/>
              <w:left w:val="nil"/>
              <w:bottom w:val="nil"/>
              <w:right w:val="nil"/>
            </w:tcBorders>
            <w:shd w:val="clear" w:color="auto" w:fill="auto"/>
            <w:noWrap/>
            <w:vAlign w:val="bottom"/>
            <w:hideMark/>
          </w:tcPr>
          <w:p w14:paraId="3521B82F" w14:textId="77777777" w:rsidR="00EE4F94" w:rsidRPr="00CA4C14" w:rsidRDefault="00EE4F94" w:rsidP="00FD58CA">
            <w:pPr>
              <w:pStyle w:val="Tabletext"/>
              <w:keepNext/>
              <w:jc w:val="right"/>
              <w:rPr>
                <w:lang w:val="ru-RU" w:eastAsia="en-GB"/>
              </w:rPr>
            </w:pPr>
          </w:p>
        </w:tc>
        <w:tc>
          <w:tcPr>
            <w:tcW w:w="571" w:type="pct"/>
            <w:tcBorders>
              <w:top w:val="nil"/>
              <w:left w:val="nil"/>
              <w:bottom w:val="nil"/>
              <w:right w:val="nil"/>
            </w:tcBorders>
            <w:shd w:val="clear" w:color="auto" w:fill="auto"/>
            <w:noWrap/>
            <w:vAlign w:val="bottom"/>
            <w:hideMark/>
          </w:tcPr>
          <w:p w14:paraId="69A3AF6D" w14:textId="77777777" w:rsidR="00EE4F94" w:rsidRPr="00CA4C14" w:rsidRDefault="00EE4F94" w:rsidP="00FD58CA">
            <w:pPr>
              <w:pStyle w:val="Tabletext"/>
              <w:keepNext/>
              <w:jc w:val="right"/>
              <w:rPr>
                <w:lang w:val="ru-RU" w:eastAsia="en-GB"/>
              </w:rPr>
            </w:pPr>
            <w:r w:rsidRPr="00CA4C14">
              <w:rPr>
                <w:lang w:val="ru-RU" w:eastAsia="en-GB"/>
              </w:rPr>
              <w:t>107</w:t>
            </w:r>
          </w:p>
        </w:tc>
        <w:tc>
          <w:tcPr>
            <w:tcW w:w="571" w:type="pct"/>
            <w:tcBorders>
              <w:top w:val="nil"/>
              <w:left w:val="nil"/>
              <w:bottom w:val="nil"/>
              <w:right w:val="nil"/>
            </w:tcBorders>
            <w:shd w:val="clear" w:color="auto" w:fill="auto"/>
            <w:noWrap/>
            <w:vAlign w:val="bottom"/>
            <w:hideMark/>
          </w:tcPr>
          <w:p w14:paraId="478DC5F5" w14:textId="77777777" w:rsidR="00EE4F94" w:rsidRPr="00CA4C14" w:rsidRDefault="00EE4F94" w:rsidP="00FD58CA">
            <w:pPr>
              <w:pStyle w:val="Tabletext"/>
              <w:keepNext/>
              <w:jc w:val="right"/>
              <w:rPr>
                <w:lang w:val="ru-RU" w:eastAsia="en-GB"/>
              </w:rPr>
            </w:pPr>
            <w:r w:rsidRPr="00CA4C14">
              <w:rPr>
                <w:lang w:val="ru-RU" w:eastAsia="en-GB"/>
              </w:rPr>
              <w:t>306</w:t>
            </w:r>
          </w:p>
        </w:tc>
        <w:tc>
          <w:tcPr>
            <w:tcW w:w="571" w:type="pct"/>
            <w:tcBorders>
              <w:top w:val="nil"/>
              <w:left w:val="nil"/>
              <w:bottom w:val="nil"/>
              <w:right w:val="nil"/>
            </w:tcBorders>
            <w:shd w:val="clear" w:color="auto" w:fill="auto"/>
            <w:noWrap/>
            <w:vAlign w:val="bottom"/>
            <w:hideMark/>
          </w:tcPr>
          <w:p w14:paraId="24F02E48" w14:textId="77777777" w:rsidR="00EE4F94" w:rsidRPr="00CA4C14" w:rsidRDefault="00EE4F94" w:rsidP="00FD58CA">
            <w:pPr>
              <w:pStyle w:val="Tabletext"/>
              <w:keepNext/>
              <w:jc w:val="right"/>
              <w:rPr>
                <w:b/>
                <w:lang w:val="ru-RU" w:eastAsia="en-GB"/>
              </w:rPr>
            </w:pPr>
            <w:r w:rsidRPr="00CA4C14">
              <w:rPr>
                <w:b/>
                <w:lang w:val="ru-RU" w:eastAsia="en-GB"/>
              </w:rPr>
              <w:t>299</w:t>
            </w:r>
          </w:p>
        </w:tc>
        <w:tc>
          <w:tcPr>
            <w:tcW w:w="571" w:type="pct"/>
            <w:tcBorders>
              <w:top w:val="nil"/>
              <w:left w:val="nil"/>
              <w:bottom w:val="nil"/>
              <w:right w:val="nil"/>
            </w:tcBorders>
            <w:shd w:val="clear" w:color="auto" w:fill="auto"/>
            <w:noWrap/>
            <w:vAlign w:val="bottom"/>
            <w:hideMark/>
          </w:tcPr>
          <w:p w14:paraId="2D2C57AD" w14:textId="77777777" w:rsidR="00EE4F94" w:rsidRPr="00CA4C14" w:rsidRDefault="00EE4F94" w:rsidP="00FD58CA">
            <w:pPr>
              <w:pStyle w:val="Tabletext"/>
              <w:keepNext/>
              <w:jc w:val="right"/>
              <w:rPr>
                <w:b/>
                <w:lang w:val="ru-RU" w:eastAsia="en-GB"/>
              </w:rPr>
            </w:pPr>
            <w:r w:rsidRPr="00CA4C14">
              <w:rPr>
                <w:b/>
                <w:lang w:val="ru-RU" w:eastAsia="en-GB"/>
              </w:rPr>
              <w:t>306</w:t>
            </w:r>
          </w:p>
        </w:tc>
      </w:tr>
      <w:tr w:rsidR="00EE4F94" w:rsidRPr="00CA4C14" w14:paraId="5ECCEB73" w14:textId="77777777" w:rsidTr="00DD7847">
        <w:trPr>
          <w:trHeight w:val="120"/>
        </w:trPr>
        <w:tc>
          <w:tcPr>
            <w:tcW w:w="1574" w:type="pct"/>
            <w:tcBorders>
              <w:top w:val="nil"/>
              <w:left w:val="nil"/>
              <w:bottom w:val="nil"/>
              <w:right w:val="nil"/>
            </w:tcBorders>
            <w:shd w:val="clear" w:color="auto" w:fill="auto"/>
            <w:hideMark/>
          </w:tcPr>
          <w:p w14:paraId="51D2A67A" w14:textId="77777777" w:rsidR="00EE4F94" w:rsidRPr="00CA4C14" w:rsidRDefault="00EE4F94" w:rsidP="00943F21">
            <w:pPr>
              <w:pStyle w:val="Tabletext"/>
              <w:keepNext/>
              <w:spacing w:before="0" w:after="0"/>
              <w:rPr>
                <w:lang w:val="ru-RU" w:eastAsia="en-GB"/>
              </w:rPr>
            </w:pPr>
          </w:p>
        </w:tc>
        <w:tc>
          <w:tcPr>
            <w:tcW w:w="571" w:type="pct"/>
            <w:tcBorders>
              <w:top w:val="nil"/>
              <w:left w:val="nil"/>
              <w:bottom w:val="nil"/>
              <w:right w:val="nil"/>
            </w:tcBorders>
            <w:shd w:val="clear" w:color="auto" w:fill="auto"/>
            <w:noWrap/>
            <w:vAlign w:val="bottom"/>
            <w:hideMark/>
          </w:tcPr>
          <w:p w14:paraId="19497F4C"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33A54C72"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67726FFA"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2C3EBD5C"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7DF34FB4" w14:textId="77777777" w:rsidR="00EE4F94" w:rsidRPr="00CA4C14" w:rsidRDefault="00EE4F94" w:rsidP="00943F21">
            <w:pPr>
              <w:pStyle w:val="Tabletext"/>
              <w:keepNext/>
              <w:spacing w:before="0" w:after="0"/>
              <w:jc w:val="right"/>
              <w:rPr>
                <w:rFonts w:ascii="Times New Roman" w:hAnsi="Times New Roman"/>
                <w:b/>
                <w:lang w:val="ru-RU" w:eastAsia="en-GB"/>
              </w:rPr>
            </w:pPr>
          </w:p>
        </w:tc>
        <w:tc>
          <w:tcPr>
            <w:tcW w:w="571" w:type="pct"/>
            <w:tcBorders>
              <w:top w:val="nil"/>
              <w:left w:val="nil"/>
              <w:bottom w:val="nil"/>
              <w:right w:val="nil"/>
            </w:tcBorders>
            <w:shd w:val="clear" w:color="auto" w:fill="auto"/>
            <w:noWrap/>
            <w:vAlign w:val="bottom"/>
            <w:hideMark/>
          </w:tcPr>
          <w:p w14:paraId="7A45B20F" w14:textId="77777777" w:rsidR="00EE4F94" w:rsidRPr="00CA4C14" w:rsidRDefault="00EE4F94" w:rsidP="00943F21">
            <w:pPr>
              <w:pStyle w:val="Tabletext"/>
              <w:keepNext/>
              <w:spacing w:before="0" w:after="0"/>
              <w:jc w:val="right"/>
              <w:rPr>
                <w:rFonts w:ascii="Times New Roman" w:hAnsi="Times New Roman"/>
                <w:b/>
                <w:lang w:val="ru-RU" w:eastAsia="en-GB"/>
              </w:rPr>
            </w:pPr>
          </w:p>
        </w:tc>
      </w:tr>
      <w:tr w:rsidR="00EE4F94" w:rsidRPr="00CA4C14" w14:paraId="14A243A7" w14:textId="77777777" w:rsidTr="00DD7847">
        <w:trPr>
          <w:trHeight w:val="255"/>
        </w:trPr>
        <w:tc>
          <w:tcPr>
            <w:tcW w:w="1574" w:type="pct"/>
            <w:tcBorders>
              <w:top w:val="nil"/>
              <w:left w:val="nil"/>
              <w:bottom w:val="nil"/>
              <w:right w:val="nil"/>
            </w:tcBorders>
            <w:shd w:val="clear" w:color="auto" w:fill="auto"/>
            <w:vAlign w:val="center"/>
            <w:hideMark/>
          </w:tcPr>
          <w:p w14:paraId="76717A4F" w14:textId="77777777" w:rsidR="00EE4F94" w:rsidRPr="00CA4C14" w:rsidRDefault="00EE4F94" w:rsidP="00FD58CA">
            <w:pPr>
              <w:pStyle w:val="Tabletext"/>
              <w:keepNext/>
              <w:rPr>
                <w:b/>
                <w:bCs/>
                <w:lang w:val="ru-RU" w:eastAsia="en-GB"/>
              </w:rPr>
            </w:pPr>
            <w:r w:rsidRPr="00CA4C14">
              <w:rPr>
                <w:b/>
                <w:bCs/>
                <w:szCs w:val="18"/>
                <w:lang w:val="ru-RU"/>
              </w:rPr>
              <w:t>Стоимость на 31 декабря</w:t>
            </w:r>
          </w:p>
        </w:tc>
        <w:tc>
          <w:tcPr>
            <w:tcW w:w="571" w:type="pct"/>
            <w:tcBorders>
              <w:top w:val="nil"/>
              <w:left w:val="nil"/>
              <w:bottom w:val="nil"/>
              <w:right w:val="nil"/>
            </w:tcBorders>
            <w:shd w:val="clear" w:color="auto" w:fill="auto"/>
            <w:noWrap/>
            <w:vAlign w:val="bottom"/>
            <w:hideMark/>
          </w:tcPr>
          <w:p w14:paraId="7A6E193D" w14:textId="77777777" w:rsidR="00EE4F94" w:rsidRPr="00CA4C14" w:rsidRDefault="00EE4F94" w:rsidP="00FD58CA">
            <w:pPr>
              <w:pStyle w:val="Tabletext"/>
              <w:keepNext/>
              <w:jc w:val="right"/>
              <w:rPr>
                <w:b/>
                <w:bCs/>
                <w:lang w:val="ru-RU" w:eastAsia="en-GB"/>
              </w:rPr>
            </w:pPr>
            <w:r w:rsidRPr="00CA4C14">
              <w:rPr>
                <w:b/>
                <w:bCs/>
                <w:lang w:val="ru-RU" w:eastAsia="en-GB"/>
              </w:rPr>
              <w:t>6 310</w:t>
            </w:r>
          </w:p>
        </w:tc>
        <w:tc>
          <w:tcPr>
            <w:tcW w:w="571" w:type="pct"/>
            <w:tcBorders>
              <w:top w:val="nil"/>
              <w:left w:val="nil"/>
              <w:bottom w:val="nil"/>
              <w:right w:val="nil"/>
            </w:tcBorders>
            <w:shd w:val="clear" w:color="auto" w:fill="auto"/>
            <w:noWrap/>
            <w:vAlign w:val="bottom"/>
            <w:hideMark/>
          </w:tcPr>
          <w:p w14:paraId="6CCB32C4" w14:textId="77777777" w:rsidR="00EE4F94" w:rsidRPr="00CA4C14" w:rsidRDefault="00EE4F94" w:rsidP="00FD58CA">
            <w:pPr>
              <w:pStyle w:val="Tabletext"/>
              <w:keepNext/>
              <w:jc w:val="right"/>
              <w:rPr>
                <w:b/>
                <w:bCs/>
                <w:lang w:val="ru-RU" w:eastAsia="en-GB"/>
              </w:rPr>
            </w:pPr>
            <w:r w:rsidRPr="00CA4C14">
              <w:rPr>
                <w:b/>
                <w:bCs/>
                <w:lang w:val="ru-RU" w:eastAsia="en-GB"/>
              </w:rPr>
              <w:t>5 551</w:t>
            </w:r>
          </w:p>
        </w:tc>
        <w:tc>
          <w:tcPr>
            <w:tcW w:w="571" w:type="pct"/>
            <w:tcBorders>
              <w:top w:val="nil"/>
              <w:left w:val="nil"/>
              <w:bottom w:val="nil"/>
              <w:right w:val="nil"/>
            </w:tcBorders>
            <w:shd w:val="clear" w:color="auto" w:fill="auto"/>
            <w:noWrap/>
            <w:vAlign w:val="bottom"/>
            <w:hideMark/>
          </w:tcPr>
          <w:p w14:paraId="4A6781EA" w14:textId="77777777" w:rsidR="00EE4F94" w:rsidRPr="00CA4C14" w:rsidRDefault="00EE4F94" w:rsidP="00FD58CA">
            <w:pPr>
              <w:pStyle w:val="Tabletext"/>
              <w:keepNext/>
              <w:jc w:val="right"/>
              <w:rPr>
                <w:b/>
                <w:bCs/>
                <w:lang w:val="ru-RU" w:eastAsia="en-GB"/>
              </w:rPr>
            </w:pPr>
            <w:r w:rsidRPr="00CA4C14">
              <w:rPr>
                <w:b/>
                <w:bCs/>
                <w:lang w:val="ru-RU" w:eastAsia="en-GB"/>
              </w:rPr>
              <w:t>6 823</w:t>
            </w:r>
          </w:p>
        </w:tc>
        <w:tc>
          <w:tcPr>
            <w:tcW w:w="571" w:type="pct"/>
            <w:tcBorders>
              <w:top w:val="nil"/>
              <w:left w:val="nil"/>
              <w:bottom w:val="nil"/>
              <w:right w:val="nil"/>
            </w:tcBorders>
            <w:shd w:val="clear" w:color="auto" w:fill="auto"/>
            <w:noWrap/>
            <w:vAlign w:val="bottom"/>
            <w:hideMark/>
          </w:tcPr>
          <w:p w14:paraId="7FEFB975" w14:textId="77777777" w:rsidR="00EE4F94" w:rsidRPr="00CA4C14" w:rsidRDefault="00EE4F94" w:rsidP="00FD58CA">
            <w:pPr>
              <w:pStyle w:val="Tabletext"/>
              <w:keepNext/>
              <w:jc w:val="right"/>
              <w:rPr>
                <w:b/>
                <w:bCs/>
                <w:lang w:val="ru-RU" w:eastAsia="en-GB"/>
              </w:rPr>
            </w:pPr>
            <w:r w:rsidRPr="00CA4C14">
              <w:rPr>
                <w:b/>
                <w:bCs/>
                <w:lang w:val="ru-RU" w:eastAsia="en-GB"/>
              </w:rPr>
              <w:t>6 786</w:t>
            </w:r>
          </w:p>
        </w:tc>
        <w:tc>
          <w:tcPr>
            <w:tcW w:w="571" w:type="pct"/>
            <w:tcBorders>
              <w:top w:val="nil"/>
              <w:left w:val="nil"/>
              <w:bottom w:val="nil"/>
              <w:right w:val="nil"/>
            </w:tcBorders>
            <w:shd w:val="clear" w:color="auto" w:fill="auto"/>
            <w:noWrap/>
            <w:vAlign w:val="bottom"/>
            <w:hideMark/>
          </w:tcPr>
          <w:p w14:paraId="2AAABA56" w14:textId="77777777" w:rsidR="00EE4F94" w:rsidRPr="00CA4C14" w:rsidRDefault="00EE4F94" w:rsidP="00FD58CA">
            <w:pPr>
              <w:pStyle w:val="Tabletext"/>
              <w:keepNext/>
              <w:jc w:val="right"/>
              <w:rPr>
                <w:b/>
                <w:bCs/>
                <w:lang w:val="ru-RU" w:eastAsia="en-GB"/>
              </w:rPr>
            </w:pPr>
            <w:r w:rsidRPr="00CA4C14">
              <w:rPr>
                <w:b/>
                <w:bCs/>
                <w:lang w:val="ru-RU" w:eastAsia="en-GB"/>
              </w:rPr>
              <w:t>13 133</w:t>
            </w:r>
          </w:p>
        </w:tc>
        <w:tc>
          <w:tcPr>
            <w:tcW w:w="571" w:type="pct"/>
            <w:tcBorders>
              <w:top w:val="nil"/>
              <w:left w:val="nil"/>
              <w:bottom w:val="nil"/>
              <w:right w:val="nil"/>
            </w:tcBorders>
            <w:shd w:val="clear" w:color="auto" w:fill="auto"/>
            <w:noWrap/>
            <w:vAlign w:val="bottom"/>
            <w:hideMark/>
          </w:tcPr>
          <w:p w14:paraId="72BB4064" w14:textId="77777777" w:rsidR="00EE4F94" w:rsidRPr="00CA4C14" w:rsidRDefault="00EE4F94" w:rsidP="00FD58CA">
            <w:pPr>
              <w:pStyle w:val="Tabletext"/>
              <w:keepNext/>
              <w:jc w:val="right"/>
              <w:rPr>
                <w:b/>
                <w:bCs/>
                <w:lang w:val="ru-RU" w:eastAsia="en-GB"/>
              </w:rPr>
            </w:pPr>
            <w:r w:rsidRPr="00CA4C14">
              <w:rPr>
                <w:b/>
                <w:bCs/>
                <w:lang w:val="ru-RU" w:eastAsia="en-GB"/>
              </w:rPr>
              <w:t>12 337</w:t>
            </w:r>
          </w:p>
        </w:tc>
      </w:tr>
      <w:tr w:rsidR="00EE4F94" w:rsidRPr="00CA4C14" w14:paraId="6F063698" w14:textId="77777777" w:rsidTr="00DD7847">
        <w:trPr>
          <w:trHeight w:val="120"/>
        </w:trPr>
        <w:tc>
          <w:tcPr>
            <w:tcW w:w="1574" w:type="pct"/>
            <w:tcBorders>
              <w:top w:val="nil"/>
              <w:left w:val="nil"/>
              <w:bottom w:val="nil"/>
              <w:right w:val="nil"/>
            </w:tcBorders>
            <w:shd w:val="clear" w:color="auto" w:fill="auto"/>
            <w:vAlign w:val="center"/>
            <w:hideMark/>
          </w:tcPr>
          <w:p w14:paraId="300A12F1" w14:textId="77777777" w:rsidR="00EE4F94" w:rsidRPr="00CA4C14" w:rsidRDefault="00EE4F94" w:rsidP="00943F21">
            <w:pPr>
              <w:pStyle w:val="Tabletext"/>
              <w:keepNext/>
              <w:spacing w:before="0" w:after="0"/>
              <w:rPr>
                <w:lang w:val="ru-RU" w:eastAsia="en-GB"/>
              </w:rPr>
            </w:pPr>
          </w:p>
        </w:tc>
        <w:tc>
          <w:tcPr>
            <w:tcW w:w="571" w:type="pct"/>
            <w:tcBorders>
              <w:top w:val="nil"/>
              <w:left w:val="nil"/>
              <w:bottom w:val="nil"/>
              <w:right w:val="nil"/>
            </w:tcBorders>
            <w:shd w:val="clear" w:color="auto" w:fill="auto"/>
            <w:noWrap/>
            <w:vAlign w:val="bottom"/>
            <w:hideMark/>
          </w:tcPr>
          <w:p w14:paraId="0D858703"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5699414D"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506AFE30"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33A661C3"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11014604" w14:textId="77777777" w:rsidR="00EE4F94" w:rsidRPr="00CA4C14" w:rsidRDefault="00EE4F94" w:rsidP="00943F21">
            <w:pPr>
              <w:pStyle w:val="Tabletext"/>
              <w:keepNext/>
              <w:spacing w:before="0" w:after="0"/>
              <w:jc w:val="right"/>
              <w:rPr>
                <w:rFonts w:ascii="Times New Roman" w:hAnsi="Times New Roman"/>
                <w:b/>
                <w:lang w:val="ru-RU" w:eastAsia="en-GB"/>
              </w:rPr>
            </w:pPr>
          </w:p>
        </w:tc>
        <w:tc>
          <w:tcPr>
            <w:tcW w:w="571" w:type="pct"/>
            <w:tcBorders>
              <w:top w:val="nil"/>
              <w:left w:val="nil"/>
              <w:bottom w:val="nil"/>
              <w:right w:val="nil"/>
            </w:tcBorders>
            <w:shd w:val="clear" w:color="auto" w:fill="auto"/>
            <w:noWrap/>
            <w:vAlign w:val="bottom"/>
            <w:hideMark/>
          </w:tcPr>
          <w:p w14:paraId="78E7C890" w14:textId="77777777" w:rsidR="00EE4F94" w:rsidRPr="00CA4C14" w:rsidRDefault="00EE4F94" w:rsidP="00943F21">
            <w:pPr>
              <w:pStyle w:val="Tabletext"/>
              <w:keepNext/>
              <w:spacing w:before="0" w:after="0"/>
              <w:jc w:val="right"/>
              <w:rPr>
                <w:rFonts w:ascii="Times New Roman" w:hAnsi="Times New Roman"/>
                <w:b/>
                <w:lang w:val="ru-RU" w:eastAsia="en-GB"/>
              </w:rPr>
            </w:pPr>
          </w:p>
        </w:tc>
      </w:tr>
      <w:tr w:rsidR="00EE4F94" w:rsidRPr="00CA4C14" w14:paraId="03A059C6" w14:textId="77777777" w:rsidTr="00DD7847">
        <w:trPr>
          <w:trHeight w:val="255"/>
        </w:trPr>
        <w:tc>
          <w:tcPr>
            <w:tcW w:w="1574" w:type="pct"/>
            <w:tcBorders>
              <w:top w:val="nil"/>
              <w:left w:val="nil"/>
              <w:bottom w:val="nil"/>
              <w:right w:val="nil"/>
            </w:tcBorders>
            <w:shd w:val="clear" w:color="auto" w:fill="auto"/>
            <w:vAlign w:val="center"/>
            <w:hideMark/>
          </w:tcPr>
          <w:p w14:paraId="5C694FD7" w14:textId="77777777" w:rsidR="00EE4F94" w:rsidRPr="00CA4C14" w:rsidRDefault="00EE4F94" w:rsidP="00FD58CA">
            <w:pPr>
              <w:pStyle w:val="Tabletext"/>
              <w:keepNext/>
              <w:rPr>
                <w:b/>
                <w:bCs/>
                <w:lang w:val="ru-RU" w:eastAsia="en-GB"/>
              </w:rPr>
            </w:pPr>
            <w:r w:rsidRPr="00CA4C14">
              <w:rPr>
                <w:b/>
                <w:bCs/>
                <w:szCs w:val="18"/>
                <w:lang w:val="ru-RU"/>
              </w:rPr>
              <w:t>Амортизация на 1 января</w:t>
            </w:r>
          </w:p>
        </w:tc>
        <w:tc>
          <w:tcPr>
            <w:tcW w:w="571" w:type="pct"/>
            <w:tcBorders>
              <w:top w:val="nil"/>
              <w:left w:val="nil"/>
              <w:bottom w:val="nil"/>
              <w:right w:val="nil"/>
            </w:tcBorders>
            <w:shd w:val="clear" w:color="auto" w:fill="auto"/>
            <w:noWrap/>
            <w:vAlign w:val="bottom"/>
            <w:hideMark/>
          </w:tcPr>
          <w:p w14:paraId="4F28D73A" w14:textId="77777777" w:rsidR="00EE4F94" w:rsidRPr="00CA4C14" w:rsidRDefault="00EE4F94" w:rsidP="00FD58CA">
            <w:pPr>
              <w:pStyle w:val="Tabletext"/>
              <w:keepNext/>
              <w:jc w:val="right"/>
              <w:rPr>
                <w:b/>
                <w:bCs/>
                <w:lang w:val="ru-RU" w:eastAsia="en-GB"/>
              </w:rPr>
            </w:pPr>
            <w:r w:rsidRPr="00CA4C14">
              <w:rPr>
                <w:b/>
                <w:bCs/>
                <w:lang w:val="ru-RU" w:eastAsia="en-GB"/>
              </w:rPr>
              <w:t>3 301</w:t>
            </w:r>
          </w:p>
        </w:tc>
        <w:tc>
          <w:tcPr>
            <w:tcW w:w="571" w:type="pct"/>
            <w:tcBorders>
              <w:top w:val="nil"/>
              <w:left w:val="nil"/>
              <w:bottom w:val="nil"/>
              <w:right w:val="nil"/>
            </w:tcBorders>
            <w:shd w:val="clear" w:color="auto" w:fill="auto"/>
            <w:noWrap/>
            <w:vAlign w:val="bottom"/>
            <w:hideMark/>
          </w:tcPr>
          <w:p w14:paraId="6CD5AA07" w14:textId="77777777" w:rsidR="00EE4F94" w:rsidRPr="00CA4C14" w:rsidRDefault="00EE4F94" w:rsidP="00FD58CA">
            <w:pPr>
              <w:pStyle w:val="Tabletext"/>
              <w:keepNext/>
              <w:jc w:val="right"/>
              <w:rPr>
                <w:b/>
                <w:bCs/>
                <w:lang w:val="ru-RU" w:eastAsia="en-GB"/>
              </w:rPr>
            </w:pPr>
            <w:r w:rsidRPr="00CA4C14">
              <w:rPr>
                <w:b/>
                <w:bCs/>
                <w:lang w:val="ru-RU" w:eastAsia="en-GB"/>
              </w:rPr>
              <w:t>3 063</w:t>
            </w:r>
          </w:p>
        </w:tc>
        <w:tc>
          <w:tcPr>
            <w:tcW w:w="571" w:type="pct"/>
            <w:tcBorders>
              <w:top w:val="nil"/>
              <w:left w:val="nil"/>
              <w:bottom w:val="nil"/>
              <w:right w:val="nil"/>
            </w:tcBorders>
            <w:shd w:val="clear" w:color="auto" w:fill="auto"/>
            <w:noWrap/>
            <w:vAlign w:val="bottom"/>
            <w:hideMark/>
          </w:tcPr>
          <w:p w14:paraId="5BE8C634" w14:textId="77777777" w:rsidR="00EE4F94" w:rsidRPr="00CA4C14" w:rsidRDefault="00EE4F94" w:rsidP="00FD58CA">
            <w:pPr>
              <w:pStyle w:val="Tabletext"/>
              <w:keepNext/>
              <w:jc w:val="right"/>
              <w:rPr>
                <w:b/>
                <w:bCs/>
                <w:lang w:val="ru-RU" w:eastAsia="en-GB"/>
              </w:rPr>
            </w:pPr>
            <w:r w:rsidRPr="00CA4C14">
              <w:rPr>
                <w:b/>
                <w:bCs/>
                <w:lang w:val="ru-RU" w:eastAsia="en-GB"/>
              </w:rPr>
              <w:t>5 605</w:t>
            </w:r>
          </w:p>
        </w:tc>
        <w:tc>
          <w:tcPr>
            <w:tcW w:w="571" w:type="pct"/>
            <w:tcBorders>
              <w:top w:val="nil"/>
              <w:left w:val="nil"/>
              <w:bottom w:val="nil"/>
              <w:right w:val="nil"/>
            </w:tcBorders>
            <w:shd w:val="clear" w:color="auto" w:fill="auto"/>
            <w:noWrap/>
            <w:vAlign w:val="bottom"/>
            <w:hideMark/>
          </w:tcPr>
          <w:p w14:paraId="0C0895E1" w14:textId="77777777" w:rsidR="00EE4F94" w:rsidRPr="00CA4C14" w:rsidRDefault="00EE4F94" w:rsidP="00FD58CA">
            <w:pPr>
              <w:pStyle w:val="Tabletext"/>
              <w:keepNext/>
              <w:jc w:val="right"/>
              <w:rPr>
                <w:b/>
                <w:bCs/>
                <w:lang w:val="ru-RU" w:eastAsia="en-GB"/>
              </w:rPr>
            </w:pPr>
            <w:r w:rsidRPr="00CA4C14">
              <w:rPr>
                <w:b/>
                <w:bCs/>
                <w:lang w:val="ru-RU" w:eastAsia="en-GB"/>
              </w:rPr>
              <w:t>6 249</w:t>
            </w:r>
          </w:p>
        </w:tc>
        <w:tc>
          <w:tcPr>
            <w:tcW w:w="571" w:type="pct"/>
            <w:tcBorders>
              <w:top w:val="nil"/>
              <w:left w:val="nil"/>
              <w:bottom w:val="nil"/>
              <w:right w:val="nil"/>
            </w:tcBorders>
            <w:shd w:val="clear" w:color="auto" w:fill="auto"/>
            <w:noWrap/>
            <w:vAlign w:val="bottom"/>
            <w:hideMark/>
          </w:tcPr>
          <w:p w14:paraId="406A9C2D" w14:textId="77777777" w:rsidR="00EE4F94" w:rsidRPr="00CA4C14" w:rsidRDefault="00EE4F94" w:rsidP="00FD58CA">
            <w:pPr>
              <w:pStyle w:val="Tabletext"/>
              <w:keepNext/>
              <w:jc w:val="right"/>
              <w:rPr>
                <w:b/>
                <w:bCs/>
                <w:lang w:val="ru-RU" w:eastAsia="en-GB"/>
              </w:rPr>
            </w:pPr>
            <w:r w:rsidRPr="00CA4C14">
              <w:rPr>
                <w:b/>
                <w:bCs/>
                <w:lang w:val="ru-RU" w:eastAsia="en-GB"/>
              </w:rPr>
              <w:t>8 906</w:t>
            </w:r>
          </w:p>
        </w:tc>
        <w:tc>
          <w:tcPr>
            <w:tcW w:w="571" w:type="pct"/>
            <w:tcBorders>
              <w:top w:val="nil"/>
              <w:left w:val="nil"/>
              <w:bottom w:val="nil"/>
              <w:right w:val="nil"/>
            </w:tcBorders>
            <w:shd w:val="clear" w:color="auto" w:fill="auto"/>
            <w:noWrap/>
            <w:vAlign w:val="bottom"/>
            <w:hideMark/>
          </w:tcPr>
          <w:p w14:paraId="54F6301B" w14:textId="77777777" w:rsidR="00EE4F94" w:rsidRPr="00CA4C14" w:rsidRDefault="00EE4F94" w:rsidP="00FD58CA">
            <w:pPr>
              <w:pStyle w:val="Tabletext"/>
              <w:keepNext/>
              <w:jc w:val="right"/>
              <w:rPr>
                <w:b/>
                <w:bCs/>
                <w:lang w:val="ru-RU" w:eastAsia="en-GB"/>
              </w:rPr>
            </w:pPr>
            <w:r w:rsidRPr="00CA4C14">
              <w:rPr>
                <w:b/>
                <w:bCs/>
                <w:lang w:val="ru-RU" w:eastAsia="en-GB"/>
              </w:rPr>
              <w:t>9 312</w:t>
            </w:r>
          </w:p>
        </w:tc>
      </w:tr>
      <w:tr w:rsidR="00EE4F94" w:rsidRPr="00CA4C14" w14:paraId="1AD010B5" w14:textId="77777777" w:rsidTr="00DD7847">
        <w:trPr>
          <w:trHeight w:val="255"/>
        </w:trPr>
        <w:tc>
          <w:tcPr>
            <w:tcW w:w="1574" w:type="pct"/>
            <w:tcBorders>
              <w:top w:val="nil"/>
              <w:left w:val="nil"/>
              <w:bottom w:val="nil"/>
              <w:right w:val="nil"/>
            </w:tcBorders>
            <w:shd w:val="clear" w:color="auto" w:fill="auto"/>
            <w:hideMark/>
          </w:tcPr>
          <w:p w14:paraId="39A0ABDD" w14:textId="77777777" w:rsidR="00EE4F94" w:rsidRPr="00CA4C14" w:rsidRDefault="00EE4F94" w:rsidP="00FD58CA">
            <w:pPr>
              <w:pStyle w:val="Tabletext"/>
              <w:keepNext/>
              <w:rPr>
                <w:lang w:val="ru-RU" w:eastAsia="en-GB"/>
              </w:rPr>
            </w:pPr>
            <w:r w:rsidRPr="00CA4C14">
              <w:rPr>
                <w:szCs w:val="18"/>
                <w:lang w:val="ru-RU"/>
              </w:rPr>
              <w:t>Амортизация</w:t>
            </w:r>
          </w:p>
        </w:tc>
        <w:tc>
          <w:tcPr>
            <w:tcW w:w="571" w:type="pct"/>
            <w:tcBorders>
              <w:top w:val="nil"/>
              <w:left w:val="nil"/>
              <w:bottom w:val="nil"/>
              <w:right w:val="nil"/>
            </w:tcBorders>
            <w:shd w:val="clear" w:color="auto" w:fill="auto"/>
            <w:noWrap/>
            <w:vAlign w:val="bottom"/>
            <w:hideMark/>
          </w:tcPr>
          <w:p w14:paraId="63EE1A32" w14:textId="77777777" w:rsidR="00EE4F94" w:rsidRPr="00CA4C14" w:rsidRDefault="00EE4F94" w:rsidP="00FD58CA">
            <w:pPr>
              <w:pStyle w:val="Tabletext"/>
              <w:keepNext/>
              <w:jc w:val="right"/>
              <w:rPr>
                <w:lang w:val="ru-RU" w:eastAsia="en-GB"/>
              </w:rPr>
            </w:pPr>
            <w:r w:rsidRPr="00CA4C14">
              <w:rPr>
                <w:lang w:val="ru-RU" w:eastAsia="en-GB"/>
              </w:rPr>
              <w:t>763</w:t>
            </w:r>
          </w:p>
        </w:tc>
        <w:tc>
          <w:tcPr>
            <w:tcW w:w="571" w:type="pct"/>
            <w:tcBorders>
              <w:top w:val="nil"/>
              <w:left w:val="nil"/>
              <w:bottom w:val="nil"/>
              <w:right w:val="nil"/>
            </w:tcBorders>
            <w:shd w:val="clear" w:color="auto" w:fill="auto"/>
            <w:noWrap/>
            <w:vAlign w:val="bottom"/>
            <w:hideMark/>
          </w:tcPr>
          <w:p w14:paraId="406FD2FF" w14:textId="77777777" w:rsidR="00EE4F94" w:rsidRPr="00CA4C14" w:rsidRDefault="00EE4F94" w:rsidP="00FD58CA">
            <w:pPr>
              <w:pStyle w:val="Tabletext"/>
              <w:keepNext/>
              <w:jc w:val="right"/>
              <w:rPr>
                <w:lang w:val="ru-RU" w:eastAsia="en-GB"/>
              </w:rPr>
            </w:pPr>
            <w:r w:rsidRPr="00CA4C14">
              <w:rPr>
                <w:lang w:val="ru-RU" w:eastAsia="en-GB"/>
              </w:rPr>
              <w:t>238</w:t>
            </w:r>
          </w:p>
        </w:tc>
        <w:tc>
          <w:tcPr>
            <w:tcW w:w="571" w:type="pct"/>
            <w:tcBorders>
              <w:top w:val="nil"/>
              <w:left w:val="nil"/>
              <w:bottom w:val="nil"/>
              <w:right w:val="nil"/>
            </w:tcBorders>
            <w:shd w:val="clear" w:color="auto" w:fill="auto"/>
            <w:noWrap/>
            <w:vAlign w:val="bottom"/>
            <w:hideMark/>
          </w:tcPr>
          <w:p w14:paraId="1CFE4A85" w14:textId="77777777" w:rsidR="00EE4F94" w:rsidRPr="00CA4C14" w:rsidRDefault="00EE4F94" w:rsidP="00FD58CA">
            <w:pPr>
              <w:pStyle w:val="Tabletext"/>
              <w:keepNext/>
              <w:jc w:val="right"/>
              <w:rPr>
                <w:lang w:val="ru-RU" w:eastAsia="en-GB"/>
              </w:rPr>
            </w:pPr>
            <w:r w:rsidRPr="00CA4C14">
              <w:rPr>
                <w:lang w:val="ru-RU" w:eastAsia="en-GB"/>
              </w:rPr>
              <w:t>790</w:t>
            </w:r>
          </w:p>
        </w:tc>
        <w:tc>
          <w:tcPr>
            <w:tcW w:w="571" w:type="pct"/>
            <w:tcBorders>
              <w:top w:val="nil"/>
              <w:left w:val="nil"/>
              <w:bottom w:val="nil"/>
              <w:right w:val="nil"/>
            </w:tcBorders>
            <w:shd w:val="clear" w:color="auto" w:fill="auto"/>
            <w:noWrap/>
            <w:vAlign w:val="bottom"/>
            <w:hideMark/>
          </w:tcPr>
          <w:p w14:paraId="627D8789" w14:textId="77777777" w:rsidR="00EE4F94" w:rsidRPr="00CA4C14" w:rsidRDefault="00EE4F94" w:rsidP="00FD58CA">
            <w:pPr>
              <w:pStyle w:val="Tabletext"/>
              <w:keepNext/>
              <w:jc w:val="right"/>
              <w:rPr>
                <w:lang w:val="ru-RU" w:eastAsia="en-GB"/>
              </w:rPr>
            </w:pPr>
            <w:r w:rsidRPr="00CA4C14">
              <w:rPr>
                <w:lang w:val="ru-RU" w:eastAsia="en-GB"/>
              </w:rPr>
              <w:t>610</w:t>
            </w:r>
          </w:p>
        </w:tc>
        <w:tc>
          <w:tcPr>
            <w:tcW w:w="571" w:type="pct"/>
            <w:tcBorders>
              <w:top w:val="nil"/>
              <w:left w:val="nil"/>
              <w:bottom w:val="nil"/>
              <w:right w:val="nil"/>
            </w:tcBorders>
            <w:shd w:val="clear" w:color="auto" w:fill="auto"/>
            <w:noWrap/>
            <w:vAlign w:val="bottom"/>
            <w:hideMark/>
          </w:tcPr>
          <w:p w14:paraId="04C58DF5" w14:textId="77777777" w:rsidR="00EE4F94" w:rsidRPr="00CA4C14" w:rsidRDefault="00EE4F94" w:rsidP="00FD58CA">
            <w:pPr>
              <w:pStyle w:val="Tabletext"/>
              <w:keepNext/>
              <w:jc w:val="right"/>
              <w:rPr>
                <w:b/>
                <w:lang w:val="ru-RU" w:eastAsia="en-GB"/>
              </w:rPr>
            </w:pPr>
            <w:r w:rsidRPr="00CA4C14">
              <w:rPr>
                <w:b/>
                <w:lang w:val="ru-RU" w:eastAsia="en-GB"/>
              </w:rPr>
              <w:t>1 553</w:t>
            </w:r>
          </w:p>
        </w:tc>
        <w:tc>
          <w:tcPr>
            <w:tcW w:w="571" w:type="pct"/>
            <w:tcBorders>
              <w:top w:val="nil"/>
              <w:left w:val="nil"/>
              <w:bottom w:val="nil"/>
              <w:right w:val="nil"/>
            </w:tcBorders>
            <w:shd w:val="clear" w:color="auto" w:fill="auto"/>
            <w:noWrap/>
            <w:vAlign w:val="bottom"/>
            <w:hideMark/>
          </w:tcPr>
          <w:p w14:paraId="29E394CC" w14:textId="77777777" w:rsidR="00EE4F94" w:rsidRPr="00CA4C14" w:rsidRDefault="00EE4F94" w:rsidP="00FD58CA">
            <w:pPr>
              <w:pStyle w:val="Tabletext"/>
              <w:keepNext/>
              <w:jc w:val="right"/>
              <w:rPr>
                <w:b/>
                <w:lang w:val="ru-RU" w:eastAsia="en-GB"/>
              </w:rPr>
            </w:pPr>
            <w:r w:rsidRPr="00CA4C14">
              <w:rPr>
                <w:b/>
                <w:lang w:val="ru-RU" w:eastAsia="en-GB"/>
              </w:rPr>
              <w:t>848</w:t>
            </w:r>
          </w:p>
        </w:tc>
      </w:tr>
      <w:tr w:rsidR="00EE4F94" w:rsidRPr="00CA4C14" w14:paraId="633A59DE" w14:textId="77777777" w:rsidTr="00DD7847">
        <w:trPr>
          <w:trHeight w:val="255"/>
        </w:trPr>
        <w:tc>
          <w:tcPr>
            <w:tcW w:w="1574" w:type="pct"/>
            <w:tcBorders>
              <w:top w:val="nil"/>
              <w:left w:val="nil"/>
              <w:bottom w:val="nil"/>
              <w:right w:val="nil"/>
            </w:tcBorders>
            <w:shd w:val="clear" w:color="auto" w:fill="auto"/>
            <w:hideMark/>
          </w:tcPr>
          <w:p w14:paraId="3B1DA4E1" w14:textId="77777777" w:rsidR="00EE4F94" w:rsidRPr="00CA4C14" w:rsidRDefault="00EE4F94" w:rsidP="00FD58CA">
            <w:pPr>
              <w:pStyle w:val="Tabletext"/>
              <w:keepNext/>
              <w:rPr>
                <w:lang w:val="ru-RU" w:eastAsia="en-GB"/>
              </w:rPr>
            </w:pPr>
            <w:r w:rsidRPr="00CA4C14">
              <w:rPr>
                <w:lang w:val="ru-RU" w:eastAsia="en-GB"/>
              </w:rPr>
              <w:t>Списание</w:t>
            </w:r>
          </w:p>
        </w:tc>
        <w:tc>
          <w:tcPr>
            <w:tcW w:w="571" w:type="pct"/>
            <w:tcBorders>
              <w:top w:val="nil"/>
              <w:left w:val="nil"/>
              <w:bottom w:val="nil"/>
              <w:right w:val="nil"/>
            </w:tcBorders>
            <w:shd w:val="clear" w:color="auto" w:fill="auto"/>
            <w:noWrap/>
            <w:vAlign w:val="bottom"/>
            <w:hideMark/>
          </w:tcPr>
          <w:p w14:paraId="7B4B1D42" w14:textId="77777777" w:rsidR="00EE4F94" w:rsidRPr="00CA4C14" w:rsidRDefault="00EE4F94" w:rsidP="00FD58CA">
            <w:pPr>
              <w:pStyle w:val="Tabletext"/>
              <w:keepNext/>
              <w:jc w:val="right"/>
              <w:rPr>
                <w:lang w:val="ru-RU" w:eastAsia="en-GB"/>
              </w:rPr>
            </w:pPr>
          </w:p>
        </w:tc>
        <w:tc>
          <w:tcPr>
            <w:tcW w:w="571" w:type="pct"/>
            <w:tcBorders>
              <w:top w:val="nil"/>
              <w:left w:val="nil"/>
              <w:bottom w:val="nil"/>
              <w:right w:val="nil"/>
            </w:tcBorders>
            <w:shd w:val="clear" w:color="auto" w:fill="auto"/>
            <w:noWrap/>
            <w:vAlign w:val="bottom"/>
            <w:hideMark/>
          </w:tcPr>
          <w:p w14:paraId="0BAE5ECC" w14:textId="77777777" w:rsidR="00EE4F94" w:rsidRPr="00CA4C14" w:rsidRDefault="00EE4F94" w:rsidP="00FD58CA">
            <w:pPr>
              <w:pStyle w:val="Tabletext"/>
              <w:keepNext/>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3B77684A" w14:textId="77777777" w:rsidR="00EE4F94" w:rsidRPr="00CA4C14" w:rsidRDefault="00EE4F94" w:rsidP="00FD58CA">
            <w:pPr>
              <w:pStyle w:val="Tabletext"/>
              <w:keepNext/>
              <w:jc w:val="right"/>
              <w:rPr>
                <w:lang w:val="ru-RU" w:eastAsia="en-GB"/>
              </w:rPr>
            </w:pPr>
            <w:r w:rsidRPr="00CA4C14">
              <w:rPr>
                <w:lang w:val="ru-RU" w:eastAsia="en-GB"/>
              </w:rPr>
              <w:t>(275)</w:t>
            </w:r>
          </w:p>
        </w:tc>
        <w:tc>
          <w:tcPr>
            <w:tcW w:w="571" w:type="pct"/>
            <w:tcBorders>
              <w:top w:val="nil"/>
              <w:left w:val="nil"/>
              <w:bottom w:val="nil"/>
              <w:right w:val="nil"/>
            </w:tcBorders>
            <w:shd w:val="clear" w:color="auto" w:fill="auto"/>
            <w:noWrap/>
            <w:vAlign w:val="bottom"/>
            <w:hideMark/>
          </w:tcPr>
          <w:p w14:paraId="6EE8B0DA" w14:textId="77777777" w:rsidR="00EE4F94" w:rsidRPr="00CA4C14" w:rsidRDefault="00EE4F94" w:rsidP="00FD58CA">
            <w:pPr>
              <w:pStyle w:val="Tabletext"/>
              <w:keepNext/>
              <w:jc w:val="right"/>
              <w:rPr>
                <w:lang w:val="ru-RU" w:eastAsia="en-GB"/>
              </w:rPr>
            </w:pPr>
            <w:r w:rsidRPr="00CA4C14">
              <w:rPr>
                <w:lang w:val="ru-RU" w:eastAsia="en-GB"/>
              </w:rPr>
              <w:t>(1 254)</w:t>
            </w:r>
          </w:p>
        </w:tc>
        <w:tc>
          <w:tcPr>
            <w:tcW w:w="571" w:type="pct"/>
            <w:tcBorders>
              <w:top w:val="nil"/>
              <w:left w:val="nil"/>
              <w:bottom w:val="nil"/>
              <w:right w:val="nil"/>
            </w:tcBorders>
            <w:shd w:val="clear" w:color="auto" w:fill="auto"/>
            <w:noWrap/>
            <w:vAlign w:val="bottom"/>
            <w:hideMark/>
          </w:tcPr>
          <w:p w14:paraId="6FD59075" w14:textId="77777777" w:rsidR="00EE4F94" w:rsidRPr="00CA4C14" w:rsidRDefault="00EE4F94" w:rsidP="00FD58CA">
            <w:pPr>
              <w:pStyle w:val="Tabletext"/>
              <w:keepNext/>
              <w:jc w:val="right"/>
              <w:rPr>
                <w:b/>
                <w:lang w:val="ru-RU" w:eastAsia="en-GB"/>
              </w:rPr>
            </w:pPr>
            <w:r w:rsidRPr="00CA4C14">
              <w:rPr>
                <w:b/>
                <w:lang w:val="ru-RU" w:eastAsia="en-GB"/>
              </w:rPr>
              <w:t>(275)</w:t>
            </w:r>
          </w:p>
        </w:tc>
        <w:tc>
          <w:tcPr>
            <w:tcW w:w="571" w:type="pct"/>
            <w:tcBorders>
              <w:top w:val="nil"/>
              <w:left w:val="nil"/>
              <w:bottom w:val="nil"/>
              <w:right w:val="nil"/>
            </w:tcBorders>
            <w:shd w:val="clear" w:color="auto" w:fill="auto"/>
            <w:noWrap/>
            <w:vAlign w:val="bottom"/>
            <w:hideMark/>
          </w:tcPr>
          <w:p w14:paraId="6F13BCAE" w14:textId="77777777" w:rsidR="00EE4F94" w:rsidRPr="00CA4C14" w:rsidRDefault="00EE4F94" w:rsidP="00FD58CA">
            <w:pPr>
              <w:pStyle w:val="Tabletext"/>
              <w:keepNext/>
              <w:jc w:val="right"/>
              <w:rPr>
                <w:b/>
                <w:lang w:val="ru-RU" w:eastAsia="en-GB"/>
              </w:rPr>
            </w:pPr>
            <w:r w:rsidRPr="00CA4C14">
              <w:rPr>
                <w:b/>
                <w:lang w:val="ru-RU" w:eastAsia="en-GB"/>
              </w:rPr>
              <w:t>(1 254)</w:t>
            </w:r>
          </w:p>
        </w:tc>
      </w:tr>
      <w:tr w:rsidR="00EE4F94" w:rsidRPr="00CA4C14" w14:paraId="5EEFD61E" w14:textId="77777777" w:rsidTr="00DD7847">
        <w:trPr>
          <w:trHeight w:val="75"/>
        </w:trPr>
        <w:tc>
          <w:tcPr>
            <w:tcW w:w="1574" w:type="pct"/>
            <w:tcBorders>
              <w:top w:val="nil"/>
              <w:left w:val="nil"/>
              <w:bottom w:val="nil"/>
              <w:right w:val="nil"/>
            </w:tcBorders>
            <w:shd w:val="clear" w:color="auto" w:fill="auto"/>
            <w:hideMark/>
          </w:tcPr>
          <w:p w14:paraId="509680D3" w14:textId="77777777" w:rsidR="00EE4F94" w:rsidRPr="00CA4C14" w:rsidRDefault="00EE4F94" w:rsidP="00943F21">
            <w:pPr>
              <w:pStyle w:val="Tabletext"/>
              <w:keepNext/>
              <w:spacing w:before="0" w:after="0"/>
              <w:rPr>
                <w:lang w:val="ru-RU" w:eastAsia="en-GB"/>
              </w:rPr>
            </w:pPr>
          </w:p>
        </w:tc>
        <w:tc>
          <w:tcPr>
            <w:tcW w:w="571" w:type="pct"/>
            <w:tcBorders>
              <w:top w:val="nil"/>
              <w:left w:val="nil"/>
              <w:bottom w:val="nil"/>
              <w:right w:val="nil"/>
            </w:tcBorders>
            <w:shd w:val="clear" w:color="auto" w:fill="auto"/>
            <w:noWrap/>
            <w:vAlign w:val="bottom"/>
            <w:hideMark/>
          </w:tcPr>
          <w:p w14:paraId="38D8FD10"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7771238E"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4A6DE922"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7595A294"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088AF0D2" w14:textId="77777777" w:rsidR="00EE4F94" w:rsidRPr="00CA4C14" w:rsidRDefault="00EE4F94" w:rsidP="00943F21">
            <w:pPr>
              <w:pStyle w:val="Tabletext"/>
              <w:keepNext/>
              <w:spacing w:before="0" w:after="0"/>
              <w:jc w:val="right"/>
              <w:rPr>
                <w:rFonts w:ascii="Times New Roman" w:hAnsi="Times New Roman"/>
                <w:b/>
                <w:lang w:val="ru-RU" w:eastAsia="en-GB"/>
              </w:rPr>
            </w:pPr>
          </w:p>
        </w:tc>
        <w:tc>
          <w:tcPr>
            <w:tcW w:w="571" w:type="pct"/>
            <w:tcBorders>
              <w:top w:val="nil"/>
              <w:left w:val="nil"/>
              <w:bottom w:val="nil"/>
              <w:right w:val="nil"/>
            </w:tcBorders>
            <w:shd w:val="clear" w:color="auto" w:fill="auto"/>
            <w:noWrap/>
            <w:vAlign w:val="bottom"/>
            <w:hideMark/>
          </w:tcPr>
          <w:p w14:paraId="55454EE0" w14:textId="77777777" w:rsidR="00EE4F94" w:rsidRPr="00CA4C14" w:rsidRDefault="00EE4F94" w:rsidP="00943F21">
            <w:pPr>
              <w:pStyle w:val="Tabletext"/>
              <w:keepNext/>
              <w:spacing w:before="0" w:after="0"/>
              <w:jc w:val="right"/>
              <w:rPr>
                <w:rFonts w:ascii="Times New Roman" w:hAnsi="Times New Roman"/>
                <w:b/>
                <w:lang w:val="ru-RU" w:eastAsia="en-GB"/>
              </w:rPr>
            </w:pPr>
          </w:p>
        </w:tc>
      </w:tr>
      <w:tr w:rsidR="00EE4F94" w:rsidRPr="00CA4C14" w14:paraId="56CFC203" w14:textId="77777777" w:rsidTr="00DD7847">
        <w:trPr>
          <w:trHeight w:val="255"/>
        </w:trPr>
        <w:tc>
          <w:tcPr>
            <w:tcW w:w="1574" w:type="pct"/>
            <w:tcBorders>
              <w:top w:val="nil"/>
              <w:left w:val="nil"/>
              <w:bottom w:val="nil"/>
              <w:right w:val="nil"/>
            </w:tcBorders>
            <w:shd w:val="clear" w:color="auto" w:fill="auto"/>
            <w:vAlign w:val="center"/>
            <w:hideMark/>
          </w:tcPr>
          <w:p w14:paraId="31F62892" w14:textId="77777777" w:rsidR="00EE4F94" w:rsidRPr="00CA4C14" w:rsidRDefault="00EE4F94" w:rsidP="00FD58CA">
            <w:pPr>
              <w:pStyle w:val="Tabletext"/>
              <w:keepNext/>
              <w:rPr>
                <w:b/>
                <w:bCs/>
                <w:lang w:val="ru-RU" w:eastAsia="en-GB"/>
              </w:rPr>
            </w:pPr>
            <w:r w:rsidRPr="00CA4C14">
              <w:rPr>
                <w:b/>
                <w:bCs/>
                <w:szCs w:val="18"/>
                <w:lang w:val="ru-RU"/>
              </w:rPr>
              <w:t>Амортизация на 31 декабря</w:t>
            </w:r>
          </w:p>
        </w:tc>
        <w:tc>
          <w:tcPr>
            <w:tcW w:w="571" w:type="pct"/>
            <w:tcBorders>
              <w:top w:val="nil"/>
              <w:left w:val="nil"/>
              <w:bottom w:val="nil"/>
              <w:right w:val="nil"/>
            </w:tcBorders>
            <w:shd w:val="clear" w:color="auto" w:fill="auto"/>
            <w:noWrap/>
            <w:vAlign w:val="bottom"/>
            <w:hideMark/>
          </w:tcPr>
          <w:p w14:paraId="4B7F438D" w14:textId="77777777" w:rsidR="00EE4F94" w:rsidRPr="00CA4C14" w:rsidRDefault="00EE4F94" w:rsidP="00FD58CA">
            <w:pPr>
              <w:pStyle w:val="Tabletext"/>
              <w:keepNext/>
              <w:jc w:val="right"/>
              <w:rPr>
                <w:b/>
                <w:bCs/>
                <w:lang w:val="ru-RU" w:eastAsia="en-GB"/>
              </w:rPr>
            </w:pPr>
            <w:r w:rsidRPr="00CA4C14">
              <w:rPr>
                <w:b/>
                <w:bCs/>
                <w:lang w:val="ru-RU" w:eastAsia="en-GB"/>
              </w:rPr>
              <w:t>4 064</w:t>
            </w:r>
          </w:p>
        </w:tc>
        <w:tc>
          <w:tcPr>
            <w:tcW w:w="571" w:type="pct"/>
            <w:tcBorders>
              <w:top w:val="nil"/>
              <w:left w:val="nil"/>
              <w:bottom w:val="nil"/>
              <w:right w:val="nil"/>
            </w:tcBorders>
            <w:shd w:val="clear" w:color="auto" w:fill="auto"/>
            <w:noWrap/>
            <w:vAlign w:val="bottom"/>
            <w:hideMark/>
          </w:tcPr>
          <w:p w14:paraId="6C4F623E" w14:textId="77777777" w:rsidR="00EE4F94" w:rsidRPr="00CA4C14" w:rsidRDefault="00EE4F94" w:rsidP="00FD58CA">
            <w:pPr>
              <w:pStyle w:val="Tabletext"/>
              <w:keepNext/>
              <w:jc w:val="right"/>
              <w:rPr>
                <w:b/>
                <w:bCs/>
                <w:lang w:val="ru-RU" w:eastAsia="en-GB"/>
              </w:rPr>
            </w:pPr>
            <w:r w:rsidRPr="00CA4C14">
              <w:rPr>
                <w:b/>
                <w:bCs/>
                <w:lang w:val="ru-RU" w:eastAsia="en-GB"/>
              </w:rPr>
              <w:t>3 301</w:t>
            </w:r>
          </w:p>
        </w:tc>
        <w:tc>
          <w:tcPr>
            <w:tcW w:w="571" w:type="pct"/>
            <w:tcBorders>
              <w:top w:val="nil"/>
              <w:left w:val="nil"/>
              <w:bottom w:val="nil"/>
              <w:right w:val="nil"/>
            </w:tcBorders>
            <w:shd w:val="clear" w:color="auto" w:fill="auto"/>
            <w:noWrap/>
            <w:vAlign w:val="bottom"/>
            <w:hideMark/>
          </w:tcPr>
          <w:p w14:paraId="3C78E58D" w14:textId="77777777" w:rsidR="00EE4F94" w:rsidRPr="00CA4C14" w:rsidRDefault="00EE4F94" w:rsidP="00FD58CA">
            <w:pPr>
              <w:pStyle w:val="Tabletext"/>
              <w:keepNext/>
              <w:jc w:val="right"/>
              <w:rPr>
                <w:b/>
                <w:bCs/>
                <w:lang w:val="ru-RU" w:eastAsia="en-GB"/>
              </w:rPr>
            </w:pPr>
            <w:r w:rsidRPr="00CA4C14">
              <w:rPr>
                <w:b/>
                <w:bCs/>
                <w:lang w:val="ru-RU" w:eastAsia="en-GB"/>
              </w:rPr>
              <w:t>6 120</w:t>
            </w:r>
          </w:p>
        </w:tc>
        <w:tc>
          <w:tcPr>
            <w:tcW w:w="571" w:type="pct"/>
            <w:tcBorders>
              <w:top w:val="nil"/>
              <w:left w:val="nil"/>
              <w:bottom w:val="nil"/>
              <w:right w:val="nil"/>
            </w:tcBorders>
            <w:shd w:val="clear" w:color="auto" w:fill="auto"/>
            <w:noWrap/>
            <w:vAlign w:val="bottom"/>
            <w:hideMark/>
          </w:tcPr>
          <w:p w14:paraId="050B23F9" w14:textId="77777777" w:rsidR="00EE4F94" w:rsidRPr="00CA4C14" w:rsidRDefault="00EE4F94" w:rsidP="00FD58CA">
            <w:pPr>
              <w:pStyle w:val="Tabletext"/>
              <w:keepNext/>
              <w:jc w:val="right"/>
              <w:rPr>
                <w:b/>
                <w:bCs/>
                <w:lang w:val="ru-RU" w:eastAsia="en-GB"/>
              </w:rPr>
            </w:pPr>
            <w:r w:rsidRPr="00CA4C14">
              <w:rPr>
                <w:b/>
                <w:bCs/>
                <w:lang w:val="ru-RU" w:eastAsia="en-GB"/>
              </w:rPr>
              <w:t>5 605</w:t>
            </w:r>
          </w:p>
        </w:tc>
        <w:tc>
          <w:tcPr>
            <w:tcW w:w="571" w:type="pct"/>
            <w:tcBorders>
              <w:top w:val="nil"/>
              <w:left w:val="nil"/>
              <w:bottom w:val="nil"/>
              <w:right w:val="nil"/>
            </w:tcBorders>
            <w:shd w:val="clear" w:color="auto" w:fill="auto"/>
            <w:noWrap/>
            <w:vAlign w:val="bottom"/>
            <w:hideMark/>
          </w:tcPr>
          <w:p w14:paraId="176FC174" w14:textId="77777777" w:rsidR="00EE4F94" w:rsidRPr="00CA4C14" w:rsidRDefault="00EE4F94" w:rsidP="00FD58CA">
            <w:pPr>
              <w:pStyle w:val="Tabletext"/>
              <w:keepNext/>
              <w:jc w:val="right"/>
              <w:rPr>
                <w:b/>
                <w:bCs/>
                <w:lang w:val="ru-RU" w:eastAsia="en-GB"/>
              </w:rPr>
            </w:pPr>
            <w:r w:rsidRPr="00CA4C14">
              <w:rPr>
                <w:b/>
                <w:bCs/>
                <w:lang w:val="ru-RU" w:eastAsia="en-GB"/>
              </w:rPr>
              <w:t>10 183</w:t>
            </w:r>
          </w:p>
        </w:tc>
        <w:tc>
          <w:tcPr>
            <w:tcW w:w="571" w:type="pct"/>
            <w:tcBorders>
              <w:top w:val="nil"/>
              <w:left w:val="nil"/>
              <w:bottom w:val="nil"/>
              <w:right w:val="nil"/>
            </w:tcBorders>
            <w:shd w:val="clear" w:color="auto" w:fill="auto"/>
            <w:noWrap/>
            <w:vAlign w:val="bottom"/>
            <w:hideMark/>
          </w:tcPr>
          <w:p w14:paraId="355D493F" w14:textId="77777777" w:rsidR="00EE4F94" w:rsidRPr="00CA4C14" w:rsidRDefault="00EE4F94" w:rsidP="00FD58CA">
            <w:pPr>
              <w:pStyle w:val="Tabletext"/>
              <w:keepNext/>
              <w:jc w:val="right"/>
              <w:rPr>
                <w:b/>
                <w:bCs/>
                <w:lang w:val="ru-RU" w:eastAsia="en-GB"/>
              </w:rPr>
            </w:pPr>
            <w:r w:rsidRPr="00CA4C14">
              <w:rPr>
                <w:b/>
                <w:bCs/>
                <w:lang w:val="ru-RU" w:eastAsia="en-GB"/>
              </w:rPr>
              <w:t>8 906</w:t>
            </w:r>
          </w:p>
        </w:tc>
      </w:tr>
      <w:tr w:rsidR="00EE4F94" w:rsidRPr="00CA4C14" w14:paraId="48A8399E" w14:textId="77777777" w:rsidTr="00DD7847">
        <w:trPr>
          <w:trHeight w:val="120"/>
        </w:trPr>
        <w:tc>
          <w:tcPr>
            <w:tcW w:w="1574" w:type="pct"/>
            <w:tcBorders>
              <w:top w:val="nil"/>
              <w:left w:val="nil"/>
              <w:bottom w:val="nil"/>
              <w:right w:val="nil"/>
            </w:tcBorders>
            <w:shd w:val="clear" w:color="auto" w:fill="auto"/>
            <w:vAlign w:val="center"/>
            <w:hideMark/>
          </w:tcPr>
          <w:p w14:paraId="7B52DBE8" w14:textId="77777777" w:rsidR="00EE4F94" w:rsidRPr="00CA4C14" w:rsidRDefault="00EE4F94" w:rsidP="00943F21">
            <w:pPr>
              <w:pStyle w:val="Tabletext"/>
              <w:keepNext/>
              <w:spacing w:before="0" w:after="0"/>
              <w:rPr>
                <w:lang w:val="ru-RU" w:eastAsia="en-GB"/>
              </w:rPr>
            </w:pPr>
          </w:p>
        </w:tc>
        <w:tc>
          <w:tcPr>
            <w:tcW w:w="571" w:type="pct"/>
            <w:tcBorders>
              <w:top w:val="nil"/>
              <w:left w:val="nil"/>
              <w:bottom w:val="nil"/>
              <w:right w:val="nil"/>
            </w:tcBorders>
            <w:shd w:val="clear" w:color="auto" w:fill="auto"/>
            <w:noWrap/>
            <w:vAlign w:val="bottom"/>
            <w:hideMark/>
          </w:tcPr>
          <w:p w14:paraId="34CB45EC"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75464546"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23DC86C4"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5E2ADC40" w14:textId="77777777" w:rsidR="00EE4F94" w:rsidRPr="00CA4C14" w:rsidRDefault="00EE4F94" w:rsidP="00943F21">
            <w:pPr>
              <w:pStyle w:val="Tabletext"/>
              <w:keepNext/>
              <w:spacing w:before="0" w:after="0"/>
              <w:jc w:val="right"/>
              <w:rPr>
                <w:rFonts w:ascii="Times New Roman" w:hAnsi="Times New Roman"/>
                <w:lang w:val="ru-RU" w:eastAsia="en-GB"/>
              </w:rPr>
            </w:pPr>
          </w:p>
        </w:tc>
        <w:tc>
          <w:tcPr>
            <w:tcW w:w="571" w:type="pct"/>
            <w:tcBorders>
              <w:top w:val="nil"/>
              <w:left w:val="nil"/>
              <w:bottom w:val="nil"/>
              <w:right w:val="nil"/>
            </w:tcBorders>
            <w:shd w:val="clear" w:color="auto" w:fill="auto"/>
            <w:noWrap/>
            <w:vAlign w:val="bottom"/>
            <w:hideMark/>
          </w:tcPr>
          <w:p w14:paraId="2D50754B" w14:textId="77777777" w:rsidR="00EE4F94" w:rsidRPr="00CA4C14" w:rsidRDefault="00EE4F94" w:rsidP="00943F21">
            <w:pPr>
              <w:pStyle w:val="Tabletext"/>
              <w:keepNext/>
              <w:spacing w:before="0" w:after="0"/>
              <w:jc w:val="right"/>
              <w:rPr>
                <w:rFonts w:ascii="Times New Roman" w:hAnsi="Times New Roman"/>
                <w:b/>
                <w:lang w:val="ru-RU" w:eastAsia="en-GB"/>
              </w:rPr>
            </w:pPr>
          </w:p>
        </w:tc>
        <w:tc>
          <w:tcPr>
            <w:tcW w:w="571" w:type="pct"/>
            <w:tcBorders>
              <w:top w:val="nil"/>
              <w:left w:val="nil"/>
              <w:bottom w:val="nil"/>
              <w:right w:val="nil"/>
            </w:tcBorders>
            <w:shd w:val="clear" w:color="auto" w:fill="auto"/>
            <w:noWrap/>
            <w:vAlign w:val="bottom"/>
            <w:hideMark/>
          </w:tcPr>
          <w:p w14:paraId="02B08342" w14:textId="77777777" w:rsidR="00EE4F94" w:rsidRPr="00CA4C14" w:rsidRDefault="00EE4F94" w:rsidP="00943F21">
            <w:pPr>
              <w:pStyle w:val="Tabletext"/>
              <w:keepNext/>
              <w:spacing w:before="0" w:after="0"/>
              <w:jc w:val="right"/>
              <w:rPr>
                <w:rFonts w:ascii="Times New Roman" w:hAnsi="Times New Roman"/>
                <w:b/>
                <w:lang w:val="ru-RU" w:eastAsia="en-GB"/>
              </w:rPr>
            </w:pPr>
          </w:p>
        </w:tc>
      </w:tr>
      <w:tr w:rsidR="00EE4F94" w:rsidRPr="00CA4C14" w14:paraId="49B04D94" w14:textId="77777777" w:rsidTr="00DD7847">
        <w:trPr>
          <w:trHeight w:val="255"/>
        </w:trPr>
        <w:tc>
          <w:tcPr>
            <w:tcW w:w="1574" w:type="pct"/>
            <w:tcBorders>
              <w:top w:val="nil"/>
              <w:left w:val="nil"/>
              <w:bottom w:val="nil"/>
              <w:right w:val="nil"/>
            </w:tcBorders>
            <w:shd w:val="clear" w:color="auto" w:fill="auto"/>
            <w:vAlign w:val="center"/>
            <w:hideMark/>
          </w:tcPr>
          <w:p w14:paraId="78B7368B" w14:textId="77777777" w:rsidR="00EE4F94" w:rsidRPr="00CA4C14" w:rsidRDefault="00EE4F94" w:rsidP="00FD58CA">
            <w:pPr>
              <w:pStyle w:val="Tabletext"/>
              <w:keepNext/>
              <w:rPr>
                <w:b/>
                <w:bCs/>
                <w:lang w:val="ru-RU" w:eastAsia="en-GB"/>
              </w:rPr>
            </w:pPr>
            <w:r w:rsidRPr="00CA4C14">
              <w:rPr>
                <w:b/>
                <w:bCs/>
                <w:szCs w:val="18"/>
                <w:lang w:val="ru-RU"/>
              </w:rPr>
              <w:t>Чистая балансовая стоимость на 1 января</w:t>
            </w:r>
          </w:p>
        </w:tc>
        <w:tc>
          <w:tcPr>
            <w:tcW w:w="571" w:type="pct"/>
            <w:tcBorders>
              <w:top w:val="nil"/>
              <w:left w:val="nil"/>
              <w:bottom w:val="nil"/>
              <w:right w:val="nil"/>
            </w:tcBorders>
            <w:shd w:val="clear" w:color="auto" w:fill="auto"/>
            <w:noWrap/>
            <w:vAlign w:val="bottom"/>
            <w:hideMark/>
          </w:tcPr>
          <w:p w14:paraId="27B462AA" w14:textId="77777777" w:rsidR="00EE4F94" w:rsidRPr="00CA4C14" w:rsidRDefault="00EE4F94" w:rsidP="00FD58CA">
            <w:pPr>
              <w:pStyle w:val="Tabletext"/>
              <w:keepNext/>
              <w:jc w:val="right"/>
              <w:rPr>
                <w:b/>
                <w:bCs/>
                <w:lang w:val="ru-RU" w:eastAsia="en-GB"/>
              </w:rPr>
            </w:pPr>
            <w:r w:rsidRPr="00CA4C14">
              <w:rPr>
                <w:b/>
                <w:bCs/>
                <w:lang w:val="ru-RU" w:eastAsia="en-GB"/>
              </w:rPr>
              <w:t>2 250</w:t>
            </w:r>
          </w:p>
        </w:tc>
        <w:tc>
          <w:tcPr>
            <w:tcW w:w="571" w:type="pct"/>
            <w:tcBorders>
              <w:top w:val="nil"/>
              <w:left w:val="nil"/>
              <w:bottom w:val="nil"/>
              <w:right w:val="nil"/>
            </w:tcBorders>
            <w:shd w:val="clear" w:color="auto" w:fill="auto"/>
            <w:noWrap/>
            <w:vAlign w:val="bottom"/>
            <w:hideMark/>
          </w:tcPr>
          <w:p w14:paraId="4E39EA73" w14:textId="77777777" w:rsidR="00EE4F94" w:rsidRPr="00CA4C14" w:rsidRDefault="00EE4F94" w:rsidP="00FD58CA">
            <w:pPr>
              <w:pStyle w:val="Tabletext"/>
              <w:keepNext/>
              <w:jc w:val="right"/>
              <w:rPr>
                <w:b/>
                <w:bCs/>
                <w:lang w:val="ru-RU" w:eastAsia="en-GB"/>
              </w:rPr>
            </w:pPr>
            <w:r w:rsidRPr="00CA4C14">
              <w:rPr>
                <w:b/>
                <w:bCs/>
                <w:lang w:val="ru-RU" w:eastAsia="en-GB"/>
              </w:rPr>
              <w:t>225</w:t>
            </w:r>
          </w:p>
        </w:tc>
        <w:tc>
          <w:tcPr>
            <w:tcW w:w="571" w:type="pct"/>
            <w:tcBorders>
              <w:top w:val="nil"/>
              <w:left w:val="nil"/>
              <w:bottom w:val="nil"/>
              <w:right w:val="nil"/>
            </w:tcBorders>
            <w:shd w:val="clear" w:color="auto" w:fill="auto"/>
            <w:noWrap/>
            <w:vAlign w:val="bottom"/>
            <w:hideMark/>
          </w:tcPr>
          <w:p w14:paraId="1EE41DB0" w14:textId="77777777" w:rsidR="00EE4F94" w:rsidRPr="00CA4C14" w:rsidRDefault="00EE4F94" w:rsidP="00FD58CA">
            <w:pPr>
              <w:pStyle w:val="Tabletext"/>
              <w:keepNext/>
              <w:jc w:val="right"/>
              <w:rPr>
                <w:b/>
                <w:bCs/>
                <w:lang w:val="ru-RU" w:eastAsia="en-GB"/>
              </w:rPr>
            </w:pPr>
            <w:r w:rsidRPr="00CA4C14">
              <w:rPr>
                <w:b/>
                <w:bCs/>
                <w:lang w:val="ru-RU" w:eastAsia="en-GB"/>
              </w:rPr>
              <w:t>1 181</w:t>
            </w:r>
          </w:p>
        </w:tc>
        <w:tc>
          <w:tcPr>
            <w:tcW w:w="571" w:type="pct"/>
            <w:tcBorders>
              <w:top w:val="nil"/>
              <w:left w:val="nil"/>
              <w:bottom w:val="nil"/>
              <w:right w:val="nil"/>
            </w:tcBorders>
            <w:shd w:val="clear" w:color="auto" w:fill="auto"/>
            <w:noWrap/>
            <w:vAlign w:val="bottom"/>
            <w:hideMark/>
          </w:tcPr>
          <w:p w14:paraId="3053AF99" w14:textId="77777777" w:rsidR="00EE4F94" w:rsidRPr="00CA4C14" w:rsidRDefault="00EE4F94" w:rsidP="00FD58CA">
            <w:pPr>
              <w:pStyle w:val="Tabletext"/>
              <w:keepNext/>
              <w:jc w:val="right"/>
              <w:rPr>
                <w:b/>
                <w:bCs/>
                <w:lang w:val="ru-RU" w:eastAsia="en-GB"/>
              </w:rPr>
            </w:pPr>
            <w:r w:rsidRPr="00CA4C14">
              <w:rPr>
                <w:b/>
                <w:bCs/>
                <w:lang w:val="ru-RU" w:eastAsia="en-GB"/>
              </w:rPr>
              <w:t>568</w:t>
            </w:r>
          </w:p>
        </w:tc>
        <w:tc>
          <w:tcPr>
            <w:tcW w:w="571" w:type="pct"/>
            <w:tcBorders>
              <w:top w:val="nil"/>
              <w:left w:val="nil"/>
              <w:bottom w:val="nil"/>
              <w:right w:val="nil"/>
            </w:tcBorders>
            <w:shd w:val="clear" w:color="auto" w:fill="auto"/>
            <w:noWrap/>
            <w:vAlign w:val="bottom"/>
            <w:hideMark/>
          </w:tcPr>
          <w:p w14:paraId="15843F13" w14:textId="77777777" w:rsidR="00EE4F94" w:rsidRPr="00CA4C14" w:rsidRDefault="00EE4F94" w:rsidP="00FD58CA">
            <w:pPr>
              <w:pStyle w:val="Tabletext"/>
              <w:keepNext/>
              <w:jc w:val="right"/>
              <w:rPr>
                <w:b/>
                <w:bCs/>
                <w:lang w:val="ru-RU" w:eastAsia="en-GB"/>
              </w:rPr>
            </w:pPr>
            <w:r w:rsidRPr="00CA4C14">
              <w:rPr>
                <w:b/>
                <w:bCs/>
                <w:lang w:val="ru-RU" w:eastAsia="en-GB"/>
              </w:rPr>
              <w:t>3 431</w:t>
            </w:r>
          </w:p>
        </w:tc>
        <w:tc>
          <w:tcPr>
            <w:tcW w:w="571" w:type="pct"/>
            <w:tcBorders>
              <w:top w:val="nil"/>
              <w:left w:val="nil"/>
              <w:bottom w:val="nil"/>
              <w:right w:val="nil"/>
            </w:tcBorders>
            <w:shd w:val="clear" w:color="auto" w:fill="auto"/>
            <w:noWrap/>
            <w:vAlign w:val="bottom"/>
            <w:hideMark/>
          </w:tcPr>
          <w:p w14:paraId="0D74821D" w14:textId="77777777" w:rsidR="00EE4F94" w:rsidRPr="00CA4C14" w:rsidRDefault="00EE4F94" w:rsidP="00FD58CA">
            <w:pPr>
              <w:pStyle w:val="Tabletext"/>
              <w:keepNext/>
              <w:jc w:val="right"/>
              <w:rPr>
                <w:b/>
                <w:bCs/>
                <w:lang w:val="ru-RU" w:eastAsia="en-GB"/>
              </w:rPr>
            </w:pPr>
            <w:r w:rsidRPr="00CA4C14">
              <w:rPr>
                <w:b/>
                <w:bCs/>
                <w:lang w:val="ru-RU" w:eastAsia="en-GB"/>
              </w:rPr>
              <w:t>793</w:t>
            </w:r>
          </w:p>
        </w:tc>
      </w:tr>
      <w:tr w:rsidR="00EE4F94" w:rsidRPr="00CA4C14" w14:paraId="51B0BDA2" w14:textId="77777777" w:rsidTr="00DD7847">
        <w:trPr>
          <w:trHeight w:val="523"/>
        </w:trPr>
        <w:tc>
          <w:tcPr>
            <w:tcW w:w="1574" w:type="pct"/>
            <w:tcBorders>
              <w:top w:val="nil"/>
              <w:left w:val="nil"/>
              <w:bottom w:val="nil"/>
              <w:right w:val="nil"/>
            </w:tcBorders>
            <w:shd w:val="clear" w:color="000000" w:fill="0070C0"/>
            <w:vAlign w:val="center"/>
            <w:hideMark/>
          </w:tcPr>
          <w:p w14:paraId="0B9D05B4" w14:textId="77777777" w:rsidR="00EE4F94" w:rsidRPr="00CA4C14" w:rsidRDefault="00EE4F94" w:rsidP="008F354D">
            <w:pPr>
              <w:pStyle w:val="Tabletext"/>
              <w:rPr>
                <w:b/>
                <w:bCs/>
                <w:lang w:val="ru-RU" w:eastAsia="en-GB"/>
              </w:rPr>
            </w:pPr>
            <w:r w:rsidRPr="00CA4C14">
              <w:rPr>
                <w:b/>
                <w:bCs/>
                <w:szCs w:val="18"/>
                <w:lang w:val="ru-RU"/>
              </w:rPr>
              <w:t>Чистая балансовая стоимость на 31 декабря</w:t>
            </w:r>
          </w:p>
        </w:tc>
        <w:tc>
          <w:tcPr>
            <w:tcW w:w="571" w:type="pct"/>
            <w:tcBorders>
              <w:top w:val="nil"/>
              <w:left w:val="nil"/>
              <w:bottom w:val="nil"/>
              <w:right w:val="nil"/>
            </w:tcBorders>
            <w:shd w:val="clear" w:color="000000" w:fill="0070C0"/>
            <w:noWrap/>
            <w:vAlign w:val="bottom"/>
            <w:hideMark/>
          </w:tcPr>
          <w:p w14:paraId="21F08330" w14:textId="77777777" w:rsidR="00EE4F94" w:rsidRPr="00CA4C14" w:rsidRDefault="00EE4F94" w:rsidP="008F354D">
            <w:pPr>
              <w:pStyle w:val="Tabletext"/>
              <w:jc w:val="right"/>
              <w:rPr>
                <w:b/>
                <w:bCs/>
                <w:lang w:val="ru-RU" w:eastAsia="en-GB"/>
              </w:rPr>
            </w:pPr>
            <w:r w:rsidRPr="00CA4C14">
              <w:rPr>
                <w:b/>
                <w:bCs/>
                <w:lang w:val="ru-RU" w:eastAsia="en-GB"/>
              </w:rPr>
              <w:t>2 246</w:t>
            </w:r>
          </w:p>
        </w:tc>
        <w:tc>
          <w:tcPr>
            <w:tcW w:w="571" w:type="pct"/>
            <w:tcBorders>
              <w:top w:val="nil"/>
              <w:left w:val="nil"/>
              <w:bottom w:val="nil"/>
              <w:right w:val="nil"/>
            </w:tcBorders>
            <w:shd w:val="clear" w:color="000000" w:fill="0070C0"/>
            <w:noWrap/>
            <w:vAlign w:val="bottom"/>
            <w:hideMark/>
          </w:tcPr>
          <w:p w14:paraId="22E59624" w14:textId="77777777" w:rsidR="00EE4F94" w:rsidRPr="00CA4C14" w:rsidRDefault="00EE4F94" w:rsidP="008F354D">
            <w:pPr>
              <w:pStyle w:val="Tabletext"/>
              <w:jc w:val="right"/>
              <w:rPr>
                <w:b/>
                <w:bCs/>
                <w:lang w:val="ru-RU" w:eastAsia="en-GB"/>
              </w:rPr>
            </w:pPr>
            <w:r w:rsidRPr="00CA4C14">
              <w:rPr>
                <w:b/>
                <w:bCs/>
                <w:lang w:val="ru-RU" w:eastAsia="en-GB"/>
              </w:rPr>
              <w:t>2 250</w:t>
            </w:r>
          </w:p>
        </w:tc>
        <w:tc>
          <w:tcPr>
            <w:tcW w:w="571" w:type="pct"/>
            <w:tcBorders>
              <w:top w:val="nil"/>
              <w:left w:val="nil"/>
              <w:bottom w:val="nil"/>
              <w:right w:val="nil"/>
            </w:tcBorders>
            <w:shd w:val="clear" w:color="000000" w:fill="0070C0"/>
            <w:noWrap/>
            <w:vAlign w:val="bottom"/>
            <w:hideMark/>
          </w:tcPr>
          <w:p w14:paraId="5CBDA46A" w14:textId="77777777" w:rsidR="00EE4F94" w:rsidRPr="00CA4C14" w:rsidRDefault="00EE4F94" w:rsidP="008F354D">
            <w:pPr>
              <w:pStyle w:val="Tabletext"/>
              <w:jc w:val="right"/>
              <w:rPr>
                <w:b/>
                <w:bCs/>
                <w:lang w:val="ru-RU" w:eastAsia="en-GB"/>
              </w:rPr>
            </w:pPr>
            <w:r w:rsidRPr="00CA4C14">
              <w:rPr>
                <w:b/>
                <w:bCs/>
                <w:lang w:val="ru-RU" w:eastAsia="en-GB"/>
              </w:rPr>
              <w:t>703</w:t>
            </w:r>
          </w:p>
        </w:tc>
        <w:tc>
          <w:tcPr>
            <w:tcW w:w="571" w:type="pct"/>
            <w:tcBorders>
              <w:top w:val="nil"/>
              <w:left w:val="nil"/>
              <w:bottom w:val="nil"/>
              <w:right w:val="nil"/>
            </w:tcBorders>
            <w:shd w:val="clear" w:color="000000" w:fill="0070C0"/>
            <w:noWrap/>
            <w:vAlign w:val="bottom"/>
            <w:hideMark/>
          </w:tcPr>
          <w:p w14:paraId="72595F54" w14:textId="77777777" w:rsidR="00EE4F94" w:rsidRPr="00CA4C14" w:rsidRDefault="00EE4F94" w:rsidP="008F354D">
            <w:pPr>
              <w:pStyle w:val="Tabletext"/>
              <w:jc w:val="right"/>
              <w:rPr>
                <w:b/>
                <w:bCs/>
                <w:lang w:val="ru-RU" w:eastAsia="en-GB"/>
              </w:rPr>
            </w:pPr>
            <w:r w:rsidRPr="00CA4C14">
              <w:rPr>
                <w:b/>
                <w:bCs/>
                <w:lang w:val="ru-RU" w:eastAsia="en-GB"/>
              </w:rPr>
              <w:t>1 181</w:t>
            </w:r>
          </w:p>
        </w:tc>
        <w:tc>
          <w:tcPr>
            <w:tcW w:w="571" w:type="pct"/>
            <w:tcBorders>
              <w:top w:val="nil"/>
              <w:left w:val="nil"/>
              <w:bottom w:val="nil"/>
              <w:right w:val="nil"/>
            </w:tcBorders>
            <w:shd w:val="clear" w:color="000000" w:fill="0070C0"/>
            <w:noWrap/>
            <w:vAlign w:val="bottom"/>
            <w:hideMark/>
          </w:tcPr>
          <w:p w14:paraId="69AB1E23" w14:textId="77777777" w:rsidR="00EE4F94" w:rsidRPr="00CA4C14" w:rsidRDefault="00EE4F94" w:rsidP="008F354D">
            <w:pPr>
              <w:pStyle w:val="Tabletext"/>
              <w:jc w:val="right"/>
              <w:rPr>
                <w:b/>
                <w:bCs/>
                <w:lang w:val="ru-RU" w:eastAsia="en-GB"/>
              </w:rPr>
            </w:pPr>
            <w:r w:rsidRPr="00CA4C14">
              <w:rPr>
                <w:b/>
                <w:bCs/>
                <w:lang w:val="ru-RU" w:eastAsia="en-GB"/>
              </w:rPr>
              <w:t>2 949</w:t>
            </w:r>
          </w:p>
        </w:tc>
        <w:tc>
          <w:tcPr>
            <w:tcW w:w="571" w:type="pct"/>
            <w:tcBorders>
              <w:top w:val="nil"/>
              <w:left w:val="nil"/>
              <w:bottom w:val="nil"/>
              <w:right w:val="nil"/>
            </w:tcBorders>
            <w:shd w:val="clear" w:color="000000" w:fill="0070C0"/>
            <w:noWrap/>
            <w:vAlign w:val="bottom"/>
            <w:hideMark/>
          </w:tcPr>
          <w:p w14:paraId="64B01209" w14:textId="77777777" w:rsidR="00EE4F94" w:rsidRPr="00CA4C14" w:rsidRDefault="00EE4F94" w:rsidP="008F354D">
            <w:pPr>
              <w:pStyle w:val="Tabletext"/>
              <w:jc w:val="right"/>
              <w:rPr>
                <w:b/>
                <w:bCs/>
                <w:lang w:val="ru-RU" w:eastAsia="en-GB"/>
              </w:rPr>
            </w:pPr>
            <w:r w:rsidRPr="00CA4C14">
              <w:rPr>
                <w:b/>
                <w:bCs/>
                <w:lang w:val="ru-RU" w:eastAsia="en-GB"/>
              </w:rPr>
              <w:t>3 431</w:t>
            </w:r>
          </w:p>
        </w:tc>
      </w:tr>
    </w:tbl>
    <w:p w14:paraId="0467CBF1" w14:textId="4DD7AD69" w:rsidR="00EE4F94" w:rsidRPr="00CA4C14" w:rsidRDefault="00EE4F94" w:rsidP="006A7B99">
      <w:pPr>
        <w:rPr>
          <w:lang w:val="ru-RU"/>
        </w:rPr>
      </w:pPr>
      <w:r w:rsidRPr="00CA4C14">
        <w:rPr>
          <w:lang w:val="ru-RU"/>
        </w:rPr>
        <w:t xml:space="preserve">В соответствии со стандартом IPSAS 31.121 c) раскрывается информация об отдельных нематериальных активах, существенных для финансовой отчетности организации. </w:t>
      </w:r>
      <w:r w:rsidRPr="00CA4C14">
        <w:rPr>
          <w:rFonts w:eastAsia="Calibri" w:cs="Calibri"/>
          <w:szCs w:val="22"/>
          <w:lang w:val="ru-RU"/>
        </w:rPr>
        <w:t>По</w:t>
      </w:r>
      <w:r w:rsidR="000C6E3F" w:rsidRPr="00CA4C14">
        <w:rPr>
          <w:rFonts w:eastAsia="Calibri" w:cs="Calibri"/>
          <w:szCs w:val="22"/>
          <w:lang w:val="ru-RU"/>
        </w:rPr>
        <w:t> </w:t>
      </w:r>
      <w:r w:rsidRPr="00CA4C14">
        <w:rPr>
          <w:rFonts w:eastAsia="Calibri" w:cs="Calibri"/>
          <w:szCs w:val="22"/>
          <w:lang w:val="ru-RU"/>
        </w:rPr>
        <w:t xml:space="preserve">состоянию на 31 декабря 2023 года определены девять проектов в категории </w:t>
      </w:r>
      <w:r w:rsidRPr="00CA4C14">
        <w:rPr>
          <w:rFonts w:eastAsia="Calibri" w:cs="Calibri"/>
          <w:szCs w:val="22"/>
          <w:lang w:val="ru-RU"/>
        </w:rPr>
        <w:lastRenderedPageBreak/>
        <w:t>нематериальных активов со средним сроком полезного использования почти 5 лет, которые оцениваются в 2,4 </w:t>
      </w:r>
      <w:proofErr w:type="gramStart"/>
      <w:r w:rsidRPr="00CA4C14">
        <w:rPr>
          <w:rFonts w:eastAsia="Calibri" w:cs="Calibri"/>
          <w:szCs w:val="22"/>
          <w:lang w:val="ru-RU"/>
        </w:rPr>
        <w:t>млн.</w:t>
      </w:r>
      <w:proofErr w:type="gramEnd"/>
      <w:r w:rsidRPr="00CA4C14">
        <w:rPr>
          <w:rFonts w:eastAsia="Calibri" w:cs="Calibri"/>
          <w:szCs w:val="22"/>
          <w:lang w:val="ru-RU"/>
        </w:rPr>
        <w:t xml:space="preserve"> швейцарских франков. Эти проекты включают в себя разработку модулей управления космических служб, разработки SAP и найма.</w:t>
      </w:r>
    </w:p>
    <w:p w14:paraId="1D079918" w14:textId="77777777" w:rsidR="00EE4F94" w:rsidRPr="00CA4C14" w:rsidRDefault="00EE4F94" w:rsidP="001E7E0A">
      <w:pPr>
        <w:pStyle w:val="Heading5"/>
        <w:rPr>
          <w:lang w:val="ru-RU"/>
        </w:rPr>
      </w:pPr>
      <w:bookmarkStart w:id="387" w:name="_Toc1415970939"/>
      <w:bookmarkStart w:id="388" w:name="_Toc164845559"/>
      <w:bookmarkStart w:id="389" w:name="_Toc168578473"/>
      <w:r w:rsidRPr="00CA4C14">
        <w:rPr>
          <w:lang w:val="ru-RU"/>
        </w:rPr>
        <w:t>Примечание 13</w:t>
      </w:r>
      <w:r w:rsidRPr="00CA4C14">
        <w:rPr>
          <w:lang w:val="ru-RU"/>
        </w:rPr>
        <w:tab/>
      </w:r>
      <w:bookmarkEnd w:id="387"/>
      <w:bookmarkEnd w:id="388"/>
      <w:r w:rsidRPr="00CA4C14">
        <w:rPr>
          <w:lang w:val="ru-RU"/>
        </w:rPr>
        <w:t>Активы на этапе строительства</w:t>
      </w:r>
      <w:bookmarkEnd w:id="389"/>
    </w:p>
    <w:p w14:paraId="4788FE91" w14:textId="77777777" w:rsidR="00EE4F94" w:rsidRPr="00CA4C14" w:rsidRDefault="00EE4F94" w:rsidP="005C0562">
      <w:pPr>
        <w:spacing w:after="120"/>
        <w:rPr>
          <w:lang w:val="ru-RU"/>
        </w:rPr>
      </w:pPr>
      <w:r w:rsidRPr="00CA4C14">
        <w:rPr>
          <w:lang w:val="ru-RU"/>
        </w:rPr>
        <w:t>Было принято решение об отдельном представлении информации по активам на этапе строительства в преддверии проекта строительства нового здания, чтобы тем самым обеспечить возможность принятия прозрачных последующих мер по проекту на этапе строительства. Более подробная информация о проекте нового здания представлена в Примечании 27.</w:t>
      </w:r>
    </w:p>
    <w:tbl>
      <w:tblPr>
        <w:tblW w:w="5000" w:type="pct"/>
        <w:tblLook w:val="04A0" w:firstRow="1" w:lastRow="0" w:firstColumn="1" w:lastColumn="0" w:noHBand="0" w:noVBand="1"/>
      </w:tblPr>
      <w:tblGrid>
        <w:gridCol w:w="2045"/>
        <w:gridCol w:w="840"/>
        <w:gridCol w:w="842"/>
        <w:gridCol w:w="840"/>
        <w:gridCol w:w="842"/>
        <w:gridCol w:w="840"/>
        <w:gridCol w:w="842"/>
        <w:gridCol w:w="991"/>
        <w:gridCol w:w="989"/>
      </w:tblGrid>
      <w:tr w:rsidR="00EE4F94" w:rsidRPr="00CA4C14" w14:paraId="074AB5BD" w14:textId="77777777" w:rsidTr="00DD7847">
        <w:trPr>
          <w:trHeight w:val="555"/>
        </w:trPr>
        <w:tc>
          <w:tcPr>
            <w:tcW w:w="1127" w:type="pct"/>
            <w:vMerge w:val="restart"/>
            <w:tcBorders>
              <w:top w:val="nil"/>
              <w:left w:val="nil"/>
              <w:bottom w:val="nil"/>
              <w:right w:val="nil"/>
            </w:tcBorders>
            <w:shd w:val="clear" w:color="000000" w:fill="0070C0"/>
            <w:vAlign w:val="center"/>
            <w:hideMark/>
          </w:tcPr>
          <w:p w14:paraId="6D9ADA23" w14:textId="77777777" w:rsidR="00EE4F94" w:rsidRPr="00CA4C14" w:rsidRDefault="00EE4F94" w:rsidP="005C0562">
            <w:pPr>
              <w:pStyle w:val="Tablehead"/>
              <w:rPr>
                <w:lang w:val="ru-RU" w:eastAsia="en-GB"/>
              </w:rPr>
            </w:pPr>
            <w:r w:rsidRPr="00CA4C14">
              <w:rPr>
                <w:rFonts w:cs="Calibri"/>
                <w:szCs w:val="18"/>
                <w:lang w:val="ru-RU"/>
              </w:rPr>
              <w:t xml:space="preserve">Категории активов </w:t>
            </w:r>
            <w:r w:rsidRPr="00CA4C14">
              <w:rPr>
                <w:rFonts w:cs="Calibri"/>
                <w:szCs w:val="18"/>
                <w:lang w:val="ru-RU"/>
              </w:rPr>
              <w:br/>
              <w:t>(тыс. шв. фр.)</w:t>
            </w:r>
          </w:p>
        </w:tc>
        <w:tc>
          <w:tcPr>
            <w:tcW w:w="927" w:type="pct"/>
            <w:gridSpan w:val="2"/>
            <w:tcBorders>
              <w:top w:val="nil"/>
              <w:left w:val="nil"/>
              <w:bottom w:val="nil"/>
              <w:right w:val="nil"/>
            </w:tcBorders>
            <w:shd w:val="clear" w:color="000000" w:fill="0070C0"/>
            <w:vAlign w:val="center"/>
            <w:hideMark/>
          </w:tcPr>
          <w:p w14:paraId="68AF6C45" w14:textId="77777777" w:rsidR="00EE4F94" w:rsidRPr="00CA4C14" w:rsidRDefault="00EE4F94" w:rsidP="005C0562">
            <w:pPr>
              <w:pStyle w:val="Tablehead"/>
              <w:rPr>
                <w:lang w:val="ru-RU" w:eastAsia="en-GB"/>
              </w:rPr>
            </w:pPr>
            <w:r w:rsidRPr="00CA4C14">
              <w:rPr>
                <w:szCs w:val="18"/>
                <w:lang w:val="ru-RU"/>
              </w:rPr>
              <w:t>Проект строительства нового здания</w:t>
            </w:r>
          </w:p>
        </w:tc>
        <w:tc>
          <w:tcPr>
            <w:tcW w:w="927" w:type="pct"/>
            <w:gridSpan w:val="2"/>
            <w:tcBorders>
              <w:top w:val="nil"/>
              <w:left w:val="nil"/>
              <w:bottom w:val="nil"/>
              <w:right w:val="nil"/>
            </w:tcBorders>
            <w:shd w:val="clear" w:color="000000" w:fill="0070C0"/>
            <w:vAlign w:val="center"/>
            <w:hideMark/>
          </w:tcPr>
          <w:p w14:paraId="2CD98123" w14:textId="77777777" w:rsidR="00EE4F94" w:rsidRPr="00CA4C14" w:rsidRDefault="00EE4F94" w:rsidP="005C0562">
            <w:pPr>
              <w:pStyle w:val="Tablehead"/>
              <w:rPr>
                <w:lang w:val="ru-RU" w:eastAsia="en-GB"/>
              </w:rPr>
            </w:pPr>
            <w:r w:rsidRPr="00CA4C14">
              <w:rPr>
                <w:lang w:val="ru-RU" w:eastAsia="en-GB"/>
              </w:rPr>
              <w:t>Другой проект строительства</w:t>
            </w:r>
          </w:p>
        </w:tc>
        <w:tc>
          <w:tcPr>
            <w:tcW w:w="927" w:type="pct"/>
            <w:gridSpan w:val="2"/>
            <w:tcBorders>
              <w:top w:val="nil"/>
              <w:left w:val="nil"/>
              <w:bottom w:val="nil"/>
              <w:right w:val="nil"/>
            </w:tcBorders>
            <w:shd w:val="clear" w:color="000000" w:fill="0070C0"/>
            <w:vAlign w:val="center"/>
            <w:hideMark/>
          </w:tcPr>
          <w:p w14:paraId="2F3BEF09" w14:textId="77777777" w:rsidR="00EE4F94" w:rsidRPr="00CA4C14" w:rsidRDefault="00EE4F94" w:rsidP="005C0562">
            <w:pPr>
              <w:pStyle w:val="Tablehead"/>
              <w:rPr>
                <w:lang w:val="ru-RU" w:eastAsia="en-GB"/>
              </w:rPr>
            </w:pPr>
            <w:r w:rsidRPr="00CA4C14">
              <w:rPr>
                <w:lang w:val="ru-RU" w:eastAsia="en-GB"/>
              </w:rPr>
              <w:t>Прочие нематериальные активы на этапе строительства</w:t>
            </w:r>
          </w:p>
        </w:tc>
        <w:tc>
          <w:tcPr>
            <w:tcW w:w="546" w:type="pct"/>
            <w:vMerge w:val="restart"/>
            <w:tcBorders>
              <w:top w:val="nil"/>
              <w:left w:val="nil"/>
              <w:right w:val="nil"/>
            </w:tcBorders>
            <w:shd w:val="clear" w:color="000000" w:fill="0070C0"/>
            <w:vAlign w:val="center"/>
            <w:hideMark/>
          </w:tcPr>
          <w:p w14:paraId="294E0583" w14:textId="77777777" w:rsidR="00EE4F94" w:rsidRPr="00CA4C14" w:rsidRDefault="00EE4F94" w:rsidP="00DD7847">
            <w:pPr>
              <w:pStyle w:val="Tablehead"/>
              <w:rPr>
                <w:lang w:val="ru-RU" w:eastAsia="en-GB"/>
              </w:rPr>
            </w:pPr>
            <w:r w:rsidRPr="00CA4C14">
              <w:rPr>
                <w:lang w:val="ru-RU" w:eastAsia="en-GB"/>
              </w:rPr>
              <w:t>Всего</w:t>
            </w:r>
            <w:r w:rsidRPr="00CA4C14">
              <w:rPr>
                <w:lang w:val="ru-RU" w:eastAsia="en-GB"/>
              </w:rPr>
              <w:br/>
              <w:t>2023 г.</w:t>
            </w:r>
          </w:p>
        </w:tc>
        <w:tc>
          <w:tcPr>
            <w:tcW w:w="545" w:type="pct"/>
            <w:vMerge w:val="restart"/>
            <w:tcBorders>
              <w:top w:val="nil"/>
              <w:left w:val="nil"/>
              <w:right w:val="nil"/>
            </w:tcBorders>
            <w:shd w:val="clear" w:color="000000" w:fill="0070C0"/>
            <w:vAlign w:val="center"/>
            <w:hideMark/>
          </w:tcPr>
          <w:p w14:paraId="313632E1" w14:textId="77777777" w:rsidR="00EE4F94" w:rsidRPr="00CA4C14" w:rsidRDefault="00EE4F94" w:rsidP="00DD7847">
            <w:pPr>
              <w:pStyle w:val="Tablehead"/>
              <w:rPr>
                <w:lang w:val="ru-RU" w:eastAsia="en-GB"/>
              </w:rPr>
            </w:pPr>
            <w:r w:rsidRPr="00CA4C14">
              <w:rPr>
                <w:lang w:val="ru-RU" w:eastAsia="en-GB"/>
              </w:rPr>
              <w:t>Всего</w:t>
            </w:r>
            <w:r w:rsidRPr="00CA4C14">
              <w:rPr>
                <w:lang w:val="ru-RU" w:eastAsia="en-GB"/>
              </w:rPr>
              <w:br/>
              <w:t>2022 г.</w:t>
            </w:r>
          </w:p>
        </w:tc>
      </w:tr>
      <w:tr w:rsidR="00EE4F94" w:rsidRPr="00CA4C14" w14:paraId="392D14CE" w14:textId="77777777" w:rsidTr="00DD7847">
        <w:trPr>
          <w:trHeight w:val="300"/>
        </w:trPr>
        <w:tc>
          <w:tcPr>
            <w:tcW w:w="1127" w:type="pct"/>
            <w:vMerge/>
            <w:tcBorders>
              <w:top w:val="nil"/>
              <w:left w:val="nil"/>
              <w:bottom w:val="nil"/>
              <w:right w:val="nil"/>
            </w:tcBorders>
            <w:vAlign w:val="center"/>
            <w:hideMark/>
          </w:tcPr>
          <w:p w14:paraId="582AB886" w14:textId="77777777" w:rsidR="00EE4F94" w:rsidRPr="00CA4C14" w:rsidRDefault="00EE4F94" w:rsidP="005C0562">
            <w:pPr>
              <w:tabs>
                <w:tab w:val="clear" w:pos="794"/>
                <w:tab w:val="clear" w:pos="1191"/>
                <w:tab w:val="clear" w:pos="1588"/>
                <w:tab w:val="clear" w:pos="1985"/>
              </w:tabs>
              <w:overflowPunct/>
              <w:autoSpaceDE/>
              <w:autoSpaceDN/>
              <w:adjustRightInd/>
              <w:spacing w:before="0"/>
              <w:textAlignment w:val="auto"/>
              <w:rPr>
                <w:rFonts w:ascii="Arial Narrow" w:hAnsi="Arial Narrow" w:cs="Calibri"/>
                <w:b/>
                <w:bCs/>
                <w:sz w:val="20"/>
                <w:lang w:val="ru-RU" w:eastAsia="en-GB"/>
              </w:rPr>
            </w:pPr>
          </w:p>
        </w:tc>
        <w:tc>
          <w:tcPr>
            <w:tcW w:w="463" w:type="pct"/>
            <w:tcBorders>
              <w:top w:val="nil"/>
              <w:left w:val="nil"/>
              <w:bottom w:val="nil"/>
              <w:right w:val="nil"/>
            </w:tcBorders>
            <w:shd w:val="clear" w:color="000000" w:fill="0070C0"/>
            <w:vAlign w:val="center"/>
            <w:hideMark/>
          </w:tcPr>
          <w:p w14:paraId="79F5D49A" w14:textId="77777777" w:rsidR="00EE4F94" w:rsidRPr="00CA4C14" w:rsidRDefault="00EE4F94" w:rsidP="005C0562">
            <w:pPr>
              <w:pStyle w:val="Tablehead"/>
              <w:rPr>
                <w:lang w:val="ru-RU" w:eastAsia="en-GB"/>
              </w:rPr>
            </w:pPr>
            <w:r w:rsidRPr="00CA4C14">
              <w:rPr>
                <w:lang w:val="ru-RU" w:eastAsia="en-GB"/>
              </w:rPr>
              <w:t>2023 г.</w:t>
            </w:r>
          </w:p>
        </w:tc>
        <w:tc>
          <w:tcPr>
            <w:tcW w:w="464" w:type="pct"/>
            <w:tcBorders>
              <w:top w:val="nil"/>
              <w:left w:val="nil"/>
              <w:bottom w:val="nil"/>
              <w:right w:val="nil"/>
            </w:tcBorders>
            <w:shd w:val="clear" w:color="000000" w:fill="0070C0"/>
            <w:vAlign w:val="center"/>
            <w:hideMark/>
          </w:tcPr>
          <w:p w14:paraId="66EA15AC" w14:textId="77777777" w:rsidR="00EE4F94" w:rsidRPr="00CA4C14" w:rsidRDefault="00EE4F94" w:rsidP="005C0562">
            <w:pPr>
              <w:pStyle w:val="Tablehead"/>
              <w:rPr>
                <w:lang w:val="ru-RU" w:eastAsia="en-GB"/>
              </w:rPr>
            </w:pPr>
            <w:r w:rsidRPr="00CA4C14">
              <w:rPr>
                <w:lang w:val="ru-RU" w:eastAsia="en-GB"/>
              </w:rPr>
              <w:t>2022 г.</w:t>
            </w:r>
          </w:p>
        </w:tc>
        <w:tc>
          <w:tcPr>
            <w:tcW w:w="463" w:type="pct"/>
            <w:tcBorders>
              <w:top w:val="nil"/>
              <w:left w:val="nil"/>
              <w:bottom w:val="nil"/>
              <w:right w:val="nil"/>
            </w:tcBorders>
            <w:shd w:val="clear" w:color="000000" w:fill="0070C0"/>
            <w:vAlign w:val="center"/>
            <w:hideMark/>
          </w:tcPr>
          <w:p w14:paraId="3D4E5FE5" w14:textId="77777777" w:rsidR="00EE4F94" w:rsidRPr="00CA4C14" w:rsidRDefault="00EE4F94" w:rsidP="005C0562">
            <w:pPr>
              <w:pStyle w:val="Tablehead"/>
              <w:rPr>
                <w:lang w:val="ru-RU" w:eastAsia="en-GB"/>
              </w:rPr>
            </w:pPr>
            <w:r w:rsidRPr="00CA4C14">
              <w:rPr>
                <w:lang w:val="ru-RU" w:eastAsia="en-GB"/>
              </w:rPr>
              <w:t>2023 г.</w:t>
            </w:r>
          </w:p>
        </w:tc>
        <w:tc>
          <w:tcPr>
            <w:tcW w:w="464" w:type="pct"/>
            <w:tcBorders>
              <w:top w:val="nil"/>
              <w:left w:val="nil"/>
              <w:bottom w:val="nil"/>
              <w:right w:val="nil"/>
            </w:tcBorders>
            <w:shd w:val="clear" w:color="000000" w:fill="0070C0"/>
            <w:vAlign w:val="center"/>
            <w:hideMark/>
          </w:tcPr>
          <w:p w14:paraId="02C1AA10" w14:textId="77777777" w:rsidR="00EE4F94" w:rsidRPr="00CA4C14" w:rsidRDefault="00EE4F94" w:rsidP="005C0562">
            <w:pPr>
              <w:pStyle w:val="Tablehead"/>
              <w:rPr>
                <w:lang w:val="ru-RU" w:eastAsia="en-GB"/>
              </w:rPr>
            </w:pPr>
            <w:r w:rsidRPr="00CA4C14">
              <w:rPr>
                <w:lang w:val="ru-RU" w:eastAsia="en-GB"/>
              </w:rPr>
              <w:t>2022 г.</w:t>
            </w:r>
          </w:p>
        </w:tc>
        <w:tc>
          <w:tcPr>
            <w:tcW w:w="463" w:type="pct"/>
            <w:tcBorders>
              <w:top w:val="nil"/>
              <w:left w:val="nil"/>
              <w:bottom w:val="nil"/>
              <w:right w:val="nil"/>
            </w:tcBorders>
            <w:shd w:val="clear" w:color="000000" w:fill="0070C0"/>
            <w:vAlign w:val="center"/>
            <w:hideMark/>
          </w:tcPr>
          <w:p w14:paraId="5AA5E16E" w14:textId="77777777" w:rsidR="00EE4F94" w:rsidRPr="00CA4C14" w:rsidRDefault="00EE4F94" w:rsidP="005C0562">
            <w:pPr>
              <w:pStyle w:val="Tablehead"/>
              <w:rPr>
                <w:lang w:val="ru-RU" w:eastAsia="en-GB"/>
              </w:rPr>
            </w:pPr>
            <w:r w:rsidRPr="00CA4C14">
              <w:rPr>
                <w:lang w:val="ru-RU" w:eastAsia="en-GB"/>
              </w:rPr>
              <w:t>2023 г.</w:t>
            </w:r>
          </w:p>
        </w:tc>
        <w:tc>
          <w:tcPr>
            <w:tcW w:w="464" w:type="pct"/>
            <w:tcBorders>
              <w:top w:val="nil"/>
              <w:left w:val="nil"/>
              <w:bottom w:val="nil"/>
              <w:right w:val="nil"/>
            </w:tcBorders>
            <w:shd w:val="clear" w:color="000000" w:fill="0070C0"/>
            <w:vAlign w:val="center"/>
            <w:hideMark/>
          </w:tcPr>
          <w:p w14:paraId="28C62CF4" w14:textId="77777777" w:rsidR="00EE4F94" w:rsidRPr="00CA4C14" w:rsidRDefault="00EE4F94" w:rsidP="005C0562">
            <w:pPr>
              <w:pStyle w:val="Tablehead"/>
              <w:rPr>
                <w:lang w:val="ru-RU" w:eastAsia="en-GB"/>
              </w:rPr>
            </w:pPr>
            <w:r w:rsidRPr="00CA4C14">
              <w:rPr>
                <w:lang w:val="ru-RU" w:eastAsia="en-GB"/>
              </w:rPr>
              <w:t>2022 г.</w:t>
            </w:r>
          </w:p>
        </w:tc>
        <w:tc>
          <w:tcPr>
            <w:tcW w:w="546" w:type="pct"/>
            <w:vMerge/>
            <w:tcBorders>
              <w:left w:val="nil"/>
              <w:bottom w:val="nil"/>
              <w:right w:val="nil"/>
            </w:tcBorders>
            <w:shd w:val="clear" w:color="000000" w:fill="0070C0"/>
            <w:vAlign w:val="center"/>
            <w:hideMark/>
          </w:tcPr>
          <w:p w14:paraId="55B75E03" w14:textId="77777777" w:rsidR="00EE4F94" w:rsidRPr="00CA4C14" w:rsidRDefault="00EE4F94" w:rsidP="005C0562">
            <w:pPr>
              <w:pStyle w:val="Tablehead"/>
              <w:rPr>
                <w:lang w:val="ru-RU" w:eastAsia="en-GB"/>
              </w:rPr>
            </w:pPr>
          </w:p>
        </w:tc>
        <w:tc>
          <w:tcPr>
            <w:tcW w:w="545" w:type="pct"/>
            <w:vMerge/>
            <w:tcBorders>
              <w:left w:val="nil"/>
              <w:bottom w:val="nil"/>
              <w:right w:val="nil"/>
            </w:tcBorders>
            <w:shd w:val="clear" w:color="000000" w:fill="0070C0"/>
            <w:vAlign w:val="center"/>
            <w:hideMark/>
          </w:tcPr>
          <w:p w14:paraId="769E7CF7" w14:textId="77777777" w:rsidR="00EE4F94" w:rsidRPr="00CA4C14" w:rsidRDefault="00EE4F94" w:rsidP="005C0562">
            <w:pPr>
              <w:pStyle w:val="Tablehead"/>
              <w:rPr>
                <w:lang w:val="ru-RU" w:eastAsia="en-GB"/>
              </w:rPr>
            </w:pPr>
          </w:p>
        </w:tc>
      </w:tr>
      <w:tr w:rsidR="00EE4F94" w:rsidRPr="00CA4C14" w14:paraId="5FD121A2" w14:textId="77777777" w:rsidTr="00DD7847">
        <w:trPr>
          <w:trHeight w:val="300"/>
        </w:trPr>
        <w:tc>
          <w:tcPr>
            <w:tcW w:w="1127" w:type="pct"/>
            <w:tcBorders>
              <w:top w:val="nil"/>
              <w:left w:val="nil"/>
              <w:bottom w:val="nil"/>
              <w:right w:val="nil"/>
            </w:tcBorders>
            <w:shd w:val="clear" w:color="000000" w:fill="auto"/>
            <w:vAlign w:val="bottom"/>
            <w:hideMark/>
          </w:tcPr>
          <w:p w14:paraId="1183ED18" w14:textId="77777777" w:rsidR="00EE4F94" w:rsidRPr="00CA4C14" w:rsidRDefault="00EE4F94" w:rsidP="005F455B">
            <w:pPr>
              <w:pStyle w:val="Tabletext"/>
              <w:keepNext/>
              <w:rPr>
                <w:b/>
                <w:bCs/>
                <w:lang w:val="ru-RU" w:eastAsia="en-GB"/>
              </w:rPr>
            </w:pPr>
            <w:r w:rsidRPr="00CA4C14">
              <w:rPr>
                <w:b/>
                <w:bCs/>
                <w:szCs w:val="18"/>
                <w:lang w:val="ru-RU"/>
              </w:rPr>
              <w:t>Стоимость на 1 января</w:t>
            </w:r>
          </w:p>
        </w:tc>
        <w:tc>
          <w:tcPr>
            <w:tcW w:w="463" w:type="pct"/>
            <w:tcBorders>
              <w:top w:val="nil"/>
              <w:left w:val="nil"/>
              <w:bottom w:val="nil"/>
              <w:right w:val="nil"/>
            </w:tcBorders>
            <w:shd w:val="clear" w:color="000000" w:fill="auto"/>
            <w:noWrap/>
            <w:vAlign w:val="bottom"/>
            <w:hideMark/>
          </w:tcPr>
          <w:p w14:paraId="0D2B656C" w14:textId="77777777" w:rsidR="00EE4F94" w:rsidRPr="00CA4C14" w:rsidRDefault="00EE4F94" w:rsidP="005F455B">
            <w:pPr>
              <w:pStyle w:val="Tabletext"/>
              <w:keepNext/>
              <w:jc w:val="right"/>
              <w:rPr>
                <w:b/>
                <w:bCs/>
                <w:lang w:val="ru-RU" w:eastAsia="en-GB"/>
              </w:rPr>
            </w:pPr>
            <w:r w:rsidRPr="00CA4C14">
              <w:rPr>
                <w:b/>
                <w:bCs/>
                <w:lang w:val="ru-RU" w:eastAsia="en-GB"/>
              </w:rPr>
              <w:t>17 283</w:t>
            </w:r>
          </w:p>
        </w:tc>
        <w:tc>
          <w:tcPr>
            <w:tcW w:w="464" w:type="pct"/>
            <w:tcBorders>
              <w:top w:val="nil"/>
              <w:left w:val="nil"/>
              <w:bottom w:val="nil"/>
              <w:right w:val="nil"/>
            </w:tcBorders>
            <w:shd w:val="clear" w:color="000000" w:fill="auto"/>
            <w:noWrap/>
            <w:vAlign w:val="bottom"/>
            <w:hideMark/>
          </w:tcPr>
          <w:p w14:paraId="54DEA072" w14:textId="77777777" w:rsidR="00EE4F94" w:rsidRPr="00CA4C14" w:rsidRDefault="00EE4F94" w:rsidP="005F455B">
            <w:pPr>
              <w:pStyle w:val="Tabletext"/>
              <w:keepNext/>
              <w:jc w:val="right"/>
              <w:rPr>
                <w:b/>
                <w:bCs/>
                <w:lang w:val="ru-RU" w:eastAsia="en-GB"/>
              </w:rPr>
            </w:pPr>
            <w:r w:rsidRPr="00CA4C14">
              <w:rPr>
                <w:b/>
                <w:bCs/>
                <w:lang w:val="ru-RU" w:eastAsia="en-GB"/>
              </w:rPr>
              <w:t>13 362</w:t>
            </w:r>
          </w:p>
        </w:tc>
        <w:tc>
          <w:tcPr>
            <w:tcW w:w="463" w:type="pct"/>
            <w:tcBorders>
              <w:top w:val="nil"/>
              <w:left w:val="nil"/>
              <w:bottom w:val="nil"/>
              <w:right w:val="nil"/>
            </w:tcBorders>
            <w:shd w:val="clear" w:color="auto" w:fill="auto"/>
            <w:noWrap/>
            <w:vAlign w:val="bottom"/>
            <w:hideMark/>
          </w:tcPr>
          <w:p w14:paraId="7BBE28CD" w14:textId="77777777" w:rsidR="00EE4F94" w:rsidRPr="00CA4C14" w:rsidRDefault="00EE4F94" w:rsidP="005F455B">
            <w:pPr>
              <w:pStyle w:val="Tabletext"/>
              <w:keepNext/>
              <w:jc w:val="right"/>
              <w:rPr>
                <w:b/>
                <w:bCs/>
                <w:lang w:val="ru-RU" w:eastAsia="en-GB"/>
              </w:rPr>
            </w:pPr>
            <w:r w:rsidRPr="00CA4C14">
              <w:rPr>
                <w:b/>
                <w:bCs/>
                <w:lang w:val="ru-RU" w:eastAsia="en-GB"/>
              </w:rPr>
              <w:t>199</w:t>
            </w:r>
          </w:p>
        </w:tc>
        <w:tc>
          <w:tcPr>
            <w:tcW w:w="464" w:type="pct"/>
            <w:tcBorders>
              <w:top w:val="nil"/>
              <w:left w:val="nil"/>
              <w:bottom w:val="nil"/>
              <w:right w:val="nil"/>
            </w:tcBorders>
            <w:shd w:val="clear" w:color="auto" w:fill="auto"/>
            <w:noWrap/>
            <w:vAlign w:val="bottom"/>
            <w:hideMark/>
          </w:tcPr>
          <w:p w14:paraId="4930362F" w14:textId="77777777" w:rsidR="00EE4F94" w:rsidRPr="00CA4C14" w:rsidRDefault="00EE4F94" w:rsidP="005F455B">
            <w:pPr>
              <w:pStyle w:val="Tabletext"/>
              <w:keepNext/>
              <w:jc w:val="right"/>
              <w:rPr>
                <w:b/>
                <w:bCs/>
                <w:lang w:val="ru-RU" w:eastAsia="en-GB"/>
              </w:rPr>
            </w:pPr>
            <w:r w:rsidRPr="00CA4C14">
              <w:rPr>
                <w:b/>
                <w:bCs/>
                <w:lang w:val="ru-RU" w:eastAsia="en-GB"/>
              </w:rPr>
              <w:t>−</w:t>
            </w:r>
          </w:p>
        </w:tc>
        <w:tc>
          <w:tcPr>
            <w:tcW w:w="463" w:type="pct"/>
            <w:tcBorders>
              <w:top w:val="nil"/>
              <w:left w:val="nil"/>
              <w:bottom w:val="nil"/>
              <w:right w:val="nil"/>
            </w:tcBorders>
            <w:shd w:val="clear" w:color="auto" w:fill="auto"/>
            <w:noWrap/>
            <w:vAlign w:val="bottom"/>
            <w:hideMark/>
          </w:tcPr>
          <w:p w14:paraId="599B90B3" w14:textId="77777777" w:rsidR="00EE4F94" w:rsidRPr="00CA4C14" w:rsidRDefault="00EE4F94" w:rsidP="005F455B">
            <w:pPr>
              <w:pStyle w:val="Tabletext"/>
              <w:keepNext/>
              <w:jc w:val="right"/>
              <w:rPr>
                <w:b/>
                <w:bCs/>
                <w:lang w:val="ru-RU" w:eastAsia="en-GB"/>
              </w:rPr>
            </w:pPr>
            <w:r w:rsidRPr="00CA4C14">
              <w:rPr>
                <w:b/>
                <w:bCs/>
                <w:lang w:val="ru-RU" w:eastAsia="en-GB"/>
              </w:rPr>
              <w:t>2 287</w:t>
            </w:r>
          </w:p>
        </w:tc>
        <w:tc>
          <w:tcPr>
            <w:tcW w:w="464" w:type="pct"/>
            <w:tcBorders>
              <w:top w:val="nil"/>
              <w:left w:val="nil"/>
              <w:bottom w:val="nil"/>
              <w:right w:val="nil"/>
            </w:tcBorders>
            <w:shd w:val="clear" w:color="auto" w:fill="auto"/>
            <w:noWrap/>
            <w:vAlign w:val="bottom"/>
            <w:hideMark/>
          </w:tcPr>
          <w:p w14:paraId="400B04E2" w14:textId="77777777" w:rsidR="00EE4F94" w:rsidRPr="00CA4C14" w:rsidRDefault="00EE4F94" w:rsidP="005F455B">
            <w:pPr>
              <w:pStyle w:val="Tabletext"/>
              <w:keepNext/>
              <w:jc w:val="right"/>
              <w:rPr>
                <w:b/>
                <w:bCs/>
                <w:lang w:val="ru-RU" w:eastAsia="en-GB"/>
              </w:rPr>
            </w:pPr>
            <w:r w:rsidRPr="00CA4C14">
              <w:rPr>
                <w:b/>
                <w:bCs/>
                <w:lang w:val="ru-RU" w:eastAsia="en-GB"/>
              </w:rPr>
              <w:t>370</w:t>
            </w:r>
          </w:p>
        </w:tc>
        <w:tc>
          <w:tcPr>
            <w:tcW w:w="546" w:type="pct"/>
            <w:tcBorders>
              <w:top w:val="nil"/>
              <w:left w:val="nil"/>
              <w:bottom w:val="nil"/>
              <w:right w:val="nil"/>
            </w:tcBorders>
            <w:shd w:val="clear" w:color="auto" w:fill="auto"/>
            <w:noWrap/>
            <w:vAlign w:val="bottom"/>
            <w:hideMark/>
          </w:tcPr>
          <w:p w14:paraId="01C7347D" w14:textId="77777777" w:rsidR="00EE4F94" w:rsidRPr="00CA4C14" w:rsidRDefault="00EE4F94" w:rsidP="005F455B">
            <w:pPr>
              <w:pStyle w:val="Tabletext"/>
              <w:keepNext/>
              <w:jc w:val="right"/>
              <w:rPr>
                <w:b/>
                <w:bCs/>
                <w:lang w:val="ru-RU" w:eastAsia="en-GB"/>
              </w:rPr>
            </w:pPr>
            <w:r w:rsidRPr="00CA4C14">
              <w:rPr>
                <w:b/>
                <w:bCs/>
                <w:lang w:val="ru-RU" w:eastAsia="en-GB"/>
              </w:rPr>
              <w:t>19 769</w:t>
            </w:r>
          </w:p>
        </w:tc>
        <w:tc>
          <w:tcPr>
            <w:tcW w:w="545" w:type="pct"/>
            <w:tcBorders>
              <w:top w:val="nil"/>
              <w:left w:val="nil"/>
              <w:bottom w:val="nil"/>
              <w:right w:val="nil"/>
            </w:tcBorders>
            <w:shd w:val="clear" w:color="auto" w:fill="auto"/>
            <w:noWrap/>
            <w:vAlign w:val="bottom"/>
            <w:hideMark/>
          </w:tcPr>
          <w:p w14:paraId="52353F7B" w14:textId="77777777" w:rsidR="00EE4F94" w:rsidRPr="00CA4C14" w:rsidRDefault="00EE4F94" w:rsidP="005F455B">
            <w:pPr>
              <w:pStyle w:val="Tabletext"/>
              <w:keepNext/>
              <w:jc w:val="right"/>
              <w:rPr>
                <w:b/>
                <w:bCs/>
                <w:lang w:val="ru-RU" w:eastAsia="en-GB"/>
              </w:rPr>
            </w:pPr>
            <w:r w:rsidRPr="00CA4C14">
              <w:rPr>
                <w:b/>
                <w:bCs/>
                <w:lang w:val="ru-RU" w:eastAsia="en-GB"/>
              </w:rPr>
              <w:t>13 732</w:t>
            </w:r>
          </w:p>
        </w:tc>
      </w:tr>
      <w:tr w:rsidR="00EE4F94" w:rsidRPr="00CA4C14" w14:paraId="216AA804" w14:textId="77777777" w:rsidTr="00DD7847">
        <w:trPr>
          <w:trHeight w:val="300"/>
        </w:trPr>
        <w:tc>
          <w:tcPr>
            <w:tcW w:w="1127" w:type="pct"/>
            <w:tcBorders>
              <w:top w:val="nil"/>
              <w:left w:val="nil"/>
              <w:bottom w:val="nil"/>
              <w:right w:val="nil"/>
            </w:tcBorders>
            <w:shd w:val="clear" w:color="000000" w:fill="auto"/>
            <w:vAlign w:val="bottom"/>
            <w:hideMark/>
          </w:tcPr>
          <w:p w14:paraId="75042D6C" w14:textId="77777777" w:rsidR="00EE4F94" w:rsidRPr="00CA4C14" w:rsidRDefault="00EE4F94" w:rsidP="005F455B">
            <w:pPr>
              <w:pStyle w:val="Tabletext"/>
              <w:keepNext/>
              <w:rPr>
                <w:lang w:val="ru-RU" w:eastAsia="en-GB"/>
              </w:rPr>
            </w:pPr>
            <w:r w:rsidRPr="00CA4C14">
              <w:rPr>
                <w:szCs w:val="18"/>
                <w:lang w:val="ru-RU"/>
              </w:rPr>
              <w:t>Дополнения</w:t>
            </w:r>
          </w:p>
        </w:tc>
        <w:tc>
          <w:tcPr>
            <w:tcW w:w="463" w:type="pct"/>
            <w:tcBorders>
              <w:top w:val="nil"/>
              <w:left w:val="nil"/>
              <w:bottom w:val="nil"/>
              <w:right w:val="nil"/>
            </w:tcBorders>
            <w:shd w:val="clear" w:color="000000" w:fill="auto"/>
            <w:noWrap/>
            <w:vAlign w:val="bottom"/>
            <w:hideMark/>
          </w:tcPr>
          <w:p w14:paraId="3C4F85D1" w14:textId="77777777" w:rsidR="00EE4F94" w:rsidRPr="00CA4C14" w:rsidRDefault="00EE4F94" w:rsidP="005F455B">
            <w:pPr>
              <w:pStyle w:val="Tabletext"/>
              <w:keepNext/>
              <w:jc w:val="right"/>
              <w:rPr>
                <w:lang w:val="ru-RU" w:eastAsia="en-GB"/>
              </w:rPr>
            </w:pPr>
            <w:r w:rsidRPr="00CA4C14">
              <w:rPr>
                <w:lang w:val="ru-RU" w:eastAsia="en-GB"/>
              </w:rPr>
              <w:t>2 482</w:t>
            </w:r>
          </w:p>
        </w:tc>
        <w:tc>
          <w:tcPr>
            <w:tcW w:w="464" w:type="pct"/>
            <w:tcBorders>
              <w:top w:val="nil"/>
              <w:left w:val="nil"/>
              <w:bottom w:val="nil"/>
              <w:right w:val="nil"/>
            </w:tcBorders>
            <w:shd w:val="clear" w:color="000000" w:fill="auto"/>
            <w:noWrap/>
            <w:vAlign w:val="bottom"/>
            <w:hideMark/>
          </w:tcPr>
          <w:p w14:paraId="51CD66E3" w14:textId="77777777" w:rsidR="00EE4F94" w:rsidRPr="00CA4C14" w:rsidRDefault="00EE4F94" w:rsidP="005F455B">
            <w:pPr>
              <w:pStyle w:val="Tabletext"/>
              <w:keepNext/>
              <w:jc w:val="right"/>
              <w:rPr>
                <w:lang w:val="ru-RU" w:eastAsia="en-GB"/>
              </w:rPr>
            </w:pPr>
            <w:r w:rsidRPr="00CA4C14">
              <w:rPr>
                <w:lang w:val="ru-RU" w:eastAsia="en-GB"/>
              </w:rPr>
              <w:t>3 944</w:t>
            </w:r>
          </w:p>
        </w:tc>
        <w:tc>
          <w:tcPr>
            <w:tcW w:w="463" w:type="pct"/>
            <w:tcBorders>
              <w:top w:val="nil"/>
              <w:left w:val="nil"/>
              <w:bottom w:val="nil"/>
              <w:right w:val="nil"/>
            </w:tcBorders>
            <w:shd w:val="clear" w:color="auto" w:fill="auto"/>
            <w:noWrap/>
            <w:vAlign w:val="bottom"/>
            <w:hideMark/>
          </w:tcPr>
          <w:p w14:paraId="4FF0E2A3" w14:textId="77777777" w:rsidR="00EE4F94" w:rsidRPr="00CA4C14" w:rsidRDefault="00EE4F94" w:rsidP="005F455B">
            <w:pPr>
              <w:pStyle w:val="Tabletext"/>
              <w:keepNext/>
              <w:jc w:val="right"/>
              <w:rPr>
                <w:lang w:val="ru-RU" w:eastAsia="en-GB"/>
              </w:rPr>
            </w:pPr>
            <w:r w:rsidRPr="00CA4C14">
              <w:rPr>
                <w:lang w:val="ru-RU" w:eastAsia="en-GB"/>
              </w:rPr>
              <w:t>1 344</w:t>
            </w:r>
          </w:p>
        </w:tc>
        <w:tc>
          <w:tcPr>
            <w:tcW w:w="464" w:type="pct"/>
            <w:tcBorders>
              <w:top w:val="nil"/>
              <w:left w:val="nil"/>
              <w:bottom w:val="nil"/>
              <w:right w:val="nil"/>
            </w:tcBorders>
            <w:shd w:val="clear" w:color="auto" w:fill="auto"/>
            <w:noWrap/>
            <w:vAlign w:val="bottom"/>
            <w:hideMark/>
          </w:tcPr>
          <w:p w14:paraId="67336EB0" w14:textId="77777777" w:rsidR="00EE4F94" w:rsidRPr="00CA4C14" w:rsidRDefault="00EE4F94" w:rsidP="005F455B">
            <w:pPr>
              <w:pStyle w:val="Tabletext"/>
              <w:keepNext/>
              <w:jc w:val="right"/>
              <w:rPr>
                <w:lang w:val="ru-RU" w:eastAsia="en-GB"/>
              </w:rPr>
            </w:pPr>
            <w:r w:rsidRPr="00CA4C14">
              <w:rPr>
                <w:lang w:val="ru-RU" w:eastAsia="en-GB"/>
              </w:rPr>
              <w:t>199</w:t>
            </w:r>
          </w:p>
        </w:tc>
        <w:tc>
          <w:tcPr>
            <w:tcW w:w="463" w:type="pct"/>
            <w:tcBorders>
              <w:top w:val="nil"/>
              <w:left w:val="nil"/>
              <w:bottom w:val="nil"/>
              <w:right w:val="nil"/>
            </w:tcBorders>
            <w:shd w:val="clear" w:color="auto" w:fill="auto"/>
            <w:noWrap/>
            <w:vAlign w:val="bottom"/>
            <w:hideMark/>
          </w:tcPr>
          <w:p w14:paraId="3B2A5039" w14:textId="77777777" w:rsidR="00EE4F94" w:rsidRPr="00CA4C14" w:rsidRDefault="00EE4F94" w:rsidP="005F455B">
            <w:pPr>
              <w:pStyle w:val="Tabletext"/>
              <w:keepNext/>
              <w:jc w:val="right"/>
              <w:rPr>
                <w:lang w:val="ru-RU" w:eastAsia="en-GB"/>
              </w:rPr>
            </w:pPr>
            <w:r w:rsidRPr="00CA4C14">
              <w:rPr>
                <w:lang w:val="ru-RU" w:eastAsia="en-GB"/>
              </w:rPr>
              <w:t>3 365</w:t>
            </w:r>
          </w:p>
        </w:tc>
        <w:tc>
          <w:tcPr>
            <w:tcW w:w="464" w:type="pct"/>
            <w:tcBorders>
              <w:top w:val="nil"/>
              <w:left w:val="nil"/>
              <w:bottom w:val="nil"/>
              <w:right w:val="nil"/>
            </w:tcBorders>
            <w:shd w:val="clear" w:color="auto" w:fill="auto"/>
            <w:noWrap/>
            <w:vAlign w:val="bottom"/>
            <w:hideMark/>
          </w:tcPr>
          <w:p w14:paraId="61545EF7" w14:textId="77777777" w:rsidR="00EE4F94" w:rsidRPr="00CA4C14" w:rsidRDefault="00EE4F94" w:rsidP="005F455B">
            <w:pPr>
              <w:pStyle w:val="Tabletext"/>
              <w:keepNext/>
              <w:jc w:val="right"/>
              <w:rPr>
                <w:lang w:val="ru-RU" w:eastAsia="en-GB"/>
              </w:rPr>
            </w:pPr>
            <w:r w:rsidRPr="00CA4C14">
              <w:rPr>
                <w:lang w:val="ru-RU" w:eastAsia="en-GB"/>
              </w:rPr>
              <w:t>2 204</w:t>
            </w:r>
          </w:p>
        </w:tc>
        <w:tc>
          <w:tcPr>
            <w:tcW w:w="546" w:type="pct"/>
            <w:tcBorders>
              <w:top w:val="nil"/>
              <w:left w:val="nil"/>
              <w:bottom w:val="nil"/>
              <w:right w:val="nil"/>
            </w:tcBorders>
            <w:shd w:val="clear" w:color="auto" w:fill="auto"/>
            <w:noWrap/>
            <w:vAlign w:val="bottom"/>
            <w:hideMark/>
          </w:tcPr>
          <w:p w14:paraId="7CCC15C6" w14:textId="77777777" w:rsidR="00EE4F94" w:rsidRPr="00CA4C14" w:rsidRDefault="00EE4F94" w:rsidP="005F455B">
            <w:pPr>
              <w:pStyle w:val="Tabletext"/>
              <w:keepNext/>
              <w:jc w:val="right"/>
              <w:rPr>
                <w:b/>
                <w:bCs/>
                <w:lang w:val="ru-RU" w:eastAsia="en-GB"/>
              </w:rPr>
            </w:pPr>
            <w:r w:rsidRPr="00CA4C14">
              <w:rPr>
                <w:b/>
                <w:bCs/>
                <w:lang w:val="ru-RU" w:eastAsia="en-GB"/>
              </w:rPr>
              <w:t>7 191</w:t>
            </w:r>
          </w:p>
        </w:tc>
        <w:tc>
          <w:tcPr>
            <w:tcW w:w="545" w:type="pct"/>
            <w:tcBorders>
              <w:top w:val="nil"/>
              <w:left w:val="nil"/>
              <w:bottom w:val="nil"/>
              <w:right w:val="nil"/>
            </w:tcBorders>
            <w:shd w:val="clear" w:color="auto" w:fill="auto"/>
            <w:noWrap/>
            <w:vAlign w:val="bottom"/>
            <w:hideMark/>
          </w:tcPr>
          <w:p w14:paraId="3C6C4A49" w14:textId="77777777" w:rsidR="00EE4F94" w:rsidRPr="00CA4C14" w:rsidRDefault="00EE4F94" w:rsidP="005F455B">
            <w:pPr>
              <w:pStyle w:val="Tabletext"/>
              <w:keepNext/>
              <w:jc w:val="right"/>
              <w:rPr>
                <w:b/>
                <w:bCs/>
                <w:lang w:val="ru-RU" w:eastAsia="en-GB"/>
              </w:rPr>
            </w:pPr>
            <w:r w:rsidRPr="00CA4C14">
              <w:rPr>
                <w:b/>
                <w:bCs/>
                <w:lang w:val="ru-RU" w:eastAsia="en-GB"/>
              </w:rPr>
              <w:t>6 347</w:t>
            </w:r>
          </w:p>
        </w:tc>
      </w:tr>
      <w:tr w:rsidR="00EE4F94" w:rsidRPr="00CA4C14" w14:paraId="5463691F" w14:textId="77777777" w:rsidTr="00DD7847">
        <w:trPr>
          <w:trHeight w:val="300"/>
        </w:trPr>
        <w:tc>
          <w:tcPr>
            <w:tcW w:w="1127" w:type="pct"/>
            <w:tcBorders>
              <w:top w:val="nil"/>
              <w:left w:val="nil"/>
              <w:bottom w:val="nil"/>
              <w:right w:val="nil"/>
            </w:tcBorders>
            <w:shd w:val="clear" w:color="000000" w:fill="auto"/>
            <w:vAlign w:val="bottom"/>
            <w:hideMark/>
          </w:tcPr>
          <w:p w14:paraId="13BC5E99" w14:textId="77777777" w:rsidR="00EE4F94" w:rsidRPr="00CA4C14" w:rsidRDefault="00EE4F94" w:rsidP="005F455B">
            <w:pPr>
              <w:pStyle w:val="Tabletext"/>
              <w:keepNext/>
              <w:rPr>
                <w:lang w:val="ru-RU" w:eastAsia="en-GB"/>
              </w:rPr>
            </w:pPr>
            <w:r w:rsidRPr="00CA4C14">
              <w:rPr>
                <w:szCs w:val="18"/>
                <w:lang w:val="ru-RU"/>
              </w:rPr>
              <w:t>Переводы в другие категории</w:t>
            </w:r>
          </w:p>
        </w:tc>
        <w:tc>
          <w:tcPr>
            <w:tcW w:w="463" w:type="pct"/>
            <w:tcBorders>
              <w:top w:val="nil"/>
              <w:left w:val="nil"/>
              <w:bottom w:val="nil"/>
              <w:right w:val="nil"/>
            </w:tcBorders>
            <w:shd w:val="clear" w:color="000000" w:fill="auto"/>
            <w:noWrap/>
            <w:vAlign w:val="bottom"/>
            <w:hideMark/>
          </w:tcPr>
          <w:p w14:paraId="3C85CF73" w14:textId="77777777" w:rsidR="00EE4F94" w:rsidRPr="00CA4C14" w:rsidRDefault="00EE4F94" w:rsidP="005F455B">
            <w:pPr>
              <w:pStyle w:val="Tabletext"/>
              <w:keepNext/>
              <w:jc w:val="right"/>
              <w:rPr>
                <w:lang w:val="ru-RU" w:eastAsia="en-GB"/>
              </w:rPr>
            </w:pPr>
            <w:r w:rsidRPr="00CA4C14">
              <w:rPr>
                <w:lang w:val="ru-RU" w:eastAsia="en-GB"/>
              </w:rPr>
              <w:t>(30)</w:t>
            </w:r>
          </w:p>
        </w:tc>
        <w:tc>
          <w:tcPr>
            <w:tcW w:w="464" w:type="pct"/>
            <w:tcBorders>
              <w:top w:val="nil"/>
              <w:left w:val="nil"/>
              <w:bottom w:val="nil"/>
              <w:right w:val="nil"/>
            </w:tcBorders>
            <w:shd w:val="clear" w:color="000000" w:fill="auto"/>
            <w:noWrap/>
            <w:vAlign w:val="bottom"/>
            <w:hideMark/>
          </w:tcPr>
          <w:p w14:paraId="74744DA2" w14:textId="77777777" w:rsidR="00EE4F94" w:rsidRPr="00CA4C14" w:rsidRDefault="00EE4F94" w:rsidP="005F455B">
            <w:pPr>
              <w:pStyle w:val="Tabletext"/>
              <w:keepNext/>
              <w:jc w:val="right"/>
              <w:rPr>
                <w:lang w:val="ru-RU" w:eastAsia="en-GB"/>
              </w:rPr>
            </w:pPr>
            <w:r w:rsidRPr="00CA4C14">
              <w:rPr>
                <w:lang w:val="ru-RU" w:eastAsia="en-GB"/>
              </w:rPr>
              <w:t>(23)</w:t>
            </w:r>
          </w:p>
        </w:tc>
        <w:tc>
          <w:tcPr>
            <w:tcW w:w="463" w:type="pct"/>
            <w:tcBorders>
              <w:top w:val="nil"/>
              <w:left w:val="nil"/>
              <w:bottom w:val="nil"/>
              <w:right w:val="nil"/>
            </w:tcBorders>
            <w:shd w:val="clear" w:color="auto" w:fill="auto"/>
            <w:noWrap/>
            <w:vAlign w:val="bottom"/>
            <w:hideMark/>
          </w:tcPr>
          <w:p w14:paraId="2CD33E68" w14:textId="77777777" w:rsidR="00EE4F94" w:rsidRPr="00CA4C14" w:rsidRDefault="00EE4F94" w:rsidP="005F455B">
            <w:pPr>
              <w:pStyle w:val="Tabletext"/>
              <w:keepNext/>
              <w:jc w:val="right"/>
              <w:rPr>
                <w:lang w:val="ru-RU" w:eastAsia="en-GB"/>
              </w:rPr>
            </w:pPr>
            <w:r w:rsidRPr="00CA4C14">
              <w:rPr>
                <w:lang w:val="ru-RU" w:eastAsia="en-GB"/>
              </w:rPr>
              <w:t>(25)</w:t>
            </w:r>
          </w:p>
        </w:tc>
        <w:tc>
          <w:tcPr>
            <w:tcW w:w="464" w:type="pct"/>
            <w:tcBorders>
              <w:top w:val="nil"/>
              <w:left w:val="nil"/>
              <w:bottom w:val="nil"/>
              <w:right w:val="nil"/>
            </w:tcBorders>
            <w:shd w:val="clear" w:color="auto" w:fill="auto"/>
            <w:noWrap/>
            <w:vAlign w:val="bottom"/>
            <w:hideMark/>
          </w:tcPr>
          <w:p w14:paraId="3F0DEDAE" w14:textId="77777777" w:rsidR="00EE4F94" w:rsidRPr="00CA4C14" w:rsidRDefault="00EE4F94" w:rsidP="005F455B">
            <w:pPr>
              <w:pStyle w:val="Tabletext"/>
              <w:keepNext/>
              <w:jc w:val="right"/>
              <w:rPr>
                <w:lang w:val="ru-RU" w:eastAsia="en-GB"/>
              </w:rPr>
            </w:pPr>
            <w:r w:rsidRPr="00CA4C14">
              <w:rPr>
                <w:lang w:val="ru-RU" w:eastAsia="en-GB"/>
              </w:rPr>
              <w:t>−</w:t>
            </w:r>
          </w:p>
        </w:tc>
        <w:tc>
          <w:tcPr>
            <w:tcW w:w="463" w:type="pct"/>
            <w:tcBorders>
              <w:top w:val="nil"/>
              <w:left w:val="nil"/>
              <w:bottom w:val="nil"/>
              <w:right w:val="nil"/>
            </w:tcBorders>
            <w:shd w:val="clear" w:color="auto" w:fill="auto"/>
            <w:noWrap/>
            <w:vAlign w:val="bottom"/>
            <w:hideMark/>
          </w:tcPr>
          <w:p w14:paraId="1463F425" w14:textId="77777777" w:rsidR="00EE4F94" w:rsidRPr="00CA4C14" w:rsidRDefault="00EE4F94" w:rsidP="005F455B">
            <w:pPr>
              <w:pStyle w:val="Tabletext"/>
              <w:keepNext/>
              <w:jc w:val="right"/>
              <w:rPr>
                <w:lang w:val="ru-RU" w:eastAsia="en-GB"/>
              </w:rPr>
            </w:pPr>
            <w:r w:rsidRPr="00CA4C14">
              <w:rPr>
                <w:lang w:val="ru-RU" w:eastAsia="en-GB"/>
              </w:rPr>
              <w:t>(308)</w:t>
            </w:r>
          </w:p>
        </w:tc>
        <w:tc>
          <w:tcPr>
            <w:tcW w:w="464" w:type="pct"/>
            <w:tcBorders>
              <w:top w:val="nil"/>
              <w:left w:val="nil"/>
              <w:bottom w:val="nil"/>
              <w:right w:val="nil"/>
            </w:tcBorders>
            <w:shd w:val="clear" w:color="auto" w:fill="auto"/>
            <w:noWrap/>
            <w:vAlign w:val="bottom"/>
            <w:hideMark/>
          </w:tcPr>
          <w:p w14:paraId="5999F14D" w14:textId="77777777" w:rsidR="00EE4F94" w:rsidRPr="00CA4C14" w:rsidRDefault="00EE4F94" w:rsidP="005F455B">
            <w:pPr>
              <w:pStyle w:val="Tabletext"/>
              <w:keepNext/>
              <w:jc w:val="right"/>
              <w:rPr>
                <w:lang w:val="ru-RU" w:eastAsia="en-GB"/>
              </w:rPr>
            </w:pPr>
            <w:r w:rsidRPr="00CA4C14">
              <w:rPr>
                <w:lang w:val="ru-RU" w:eastAsia="en-GB"/>
              </w:rPr>
              <w:t>(287)</w:t>
            </w:r>
          </w:p>
        </w:tc>
        <w:tc>
          <w:tcPr>
            <w:tcW w:w="546" w:type="pct"/>
            <w:tcBorders>
              <w:top w:val="nil"/>
              <w:left w:val="nil"/>
              <w:bottom w:val="nil"/>
              <w:right w:val="nil"/>
            </w:tcBorders>
            <w:shd w:val="clear" w:color="auto" w:fill="auto"/>
            <w:noWrap/>
            <w:vAlign w:val="bottom"/>
            <w:hideMark/>
          </w:tcPr>
          <w:p w14:paraId="01CB0A37" w14:textId="77777777" w:rsidR="00EE4F94" w:rsidRPr="00CA4C14" w:rsidRDefault="00EE4F94" w:rsidP="005F455B">
            <w:pPr>
              <w:pStyle w:val="Tabletext"/>
              <w:keepNext/>
              <w:jc w:val="right"/>
              <w:rPr>
                <w:b/>
                <w:bCs/>
                <w:lang w:val="ru-RU" w:eastAsia="en-GB"/>
              </w:rPr>
            </w:pPr>
            <w:r w:rsidRPr="00CA4C14">
              <w:rPr>
                <w:b/>
                <w:bCs/>
                <w:lang w:val="ru-RU" w:eastAsia="en-GB"/>
              </w:rPr>
              <w:t>(363)</w:t>
            </w:r>
          </w:p>
        </w:tc>
        <w:tc>
          <w:tcPr>
            <w:tcW w:w="545" w:type="pct"/>
            <w:tcBorders>
              <w:top w:val="nil"/>
              <w:left w:val="nil"/>
              <w:bottom w:val="nil"/>
              <w:right w:val="nil"/>
            </w:tcBorders>
            <w:shd w:val="clear" w:color="auto" w:fill="auto"/>
            <w:noWrap/>
            <w:vAlign w:val="bottom"/>
            <w:hideMark/>
          </w:tcPr>
          <w:p w14:paraId="6553A164" w14:textId="77777777" w:rsidR="00EE4F94" w:rsidRPr="00CA4C14" w:rsidRDefault="00EE4F94" w:rsidP="005F455B">
            <w:pPr>
              <w:pStyle w:val="Tabletext"/>
              <w:keepNext/>
              <w:jc w:val="right"/>
              <w:rPr>
                <w:b/>
                <w:bCs/>
                <w:lang w:val="ru-RU" w:eastAsia="en-GB"/>
              </w:rPr>
            </w:pPr>
            <w:r w:rsidRPr="00CA4C14">
              <w:rPr>
                <w:b/>
                <w:bCs/>
                <w:lang w:val="ru-RU" w:eastAsia="en-GB"/>
              </w:rPr>
              <w:t>(310)</w:t>
            </w:r>
          </w:p>
        </w:tc>
      </w:tr>
      <w:tr w:rsidR="00EE4F94" w:rsidRPr="00CA4C14" w14:paraId="3E354D39" w14:textId="77777777" w:rsidTr="00DD7847">
        <w:trPr>
          <w:trHeight w:val="713"/>
        </w:trPr>
        <w:tc>
          <w:tcPr>
            <w:tcW w:w="1127" w:type="pct"/>
            <w:tcBorders>
              <w:top w:val="nil"/>
              <w:left w:val="nil"/>
              <w:bottom w:val="nil"/>
              <w:right w:val="nil"/>
            </w:tcBorders>
            <w:shd w:val="clear" w:color="000000" w:fill="0070C0"/>
            <w:hideMark/>
          </w:tcPr>
          <w:p w14:paraId="04C4BB68" w14:textId="77777777" w:rsidR="00EE4F94" w:rsidRPr="00CA4C14" w:rsidRDefault="00EE4F94" w:rsidP="00DD7847">
            <w:pPr>
              <w:pStyle w:val="Tabletext"/>
              <w:rPr>
                <w:b/>
                <w:bCs/>
                <w:lang w:val="ru-RU" w:eastAsia="en-GB"/>
              </w:rPr>
            </w:pPr>
            <w:r w:rsidRPr="00CA4C14">
              <w:rPr>
                <w:b/>
                <w:bCs/>
                <w:szCs w:val="18"/>
                <w:lang w:val="ru-RU"/>
              </w:rPr>
              <w:t>Чистая балансовая стоимость на 31 декабря</w:t>
            </w:r>
          </w:p>
        </w:tc>
        <w:tc>
          <w:tcPr>
            <w:tcW w:w="463" w:type="pct"/>
            <w:tcBorders>
              <w:top w:val="nil"/>
              <w:left w:val="nil"/>
              <w:bottom w:val="nil"/>
              <w:right w:val="nil"/>
            </w:tcBorders>
            <w:shd w:val="clear" w:color="000000" w:fill="0070C0"/>
            <w:noWrap/>
            <w:vAlign w:val="bottom"/>
            <w:hideMark/>
          </w:tcPr>
          <w:p w14:paraId="0A5642E7" w14:textId="77777777" w:rsidR="00EE4F94" w:rsidRPr="00CA4C14" w:rsidRDefault="00EE4F94" w:rsidP="00DD7847">
            <w:pPr>
              <w:pStyle w:val="Tabletext"/>
              <w:jc w:val="right"/>
              <w:rPr>
                <w:b/>
                <w:bCs/>
                <w:lang w:val="ru-RU" w:eastAsia="en-GB"/>
              </w:rPr>
            </w:pPr>
            <w:r w:rsidRPr="00CA4C14">
              <w:rPr>
                <w:b/>
                <w:bCs/>
                <w:lang w:val="ru-RU" w:eastAsia="en-GB"/>
              </w:rPr>
              <w:t>19 735</w:t>
            </w:r>
          </w:p>
        </w:tc>
        <w:tc>
          <w:tcPr>
            <w:tcW w:w="464" w:type="pct"/>
            <w:tcBorders>
              <w:top w:val="nil"/>
              <w:left w:val="nil"/>
              <w:bottom w:val="nil"/>
              <w:right w:val="nil"/>
            </w:tcBorders>
            <w:shd w:val="clear" w:color="000000" w:fill="0070C0"/>
            <w:noWrap/>
            <w:vAlign w:val="bottom"/>
            <w:hideMark/>
          </w:tcPr>
          <w:p w14:paraId="2A513B49" w14:textId="77777777" w:rsidR="00EE4F94" w:rsidRPr="00CA4C14" w:rsidRDefault="00EE4F94" w:rsidP="00DD7847">
            <w:pPr>
              <w:pStyle w:val="Tabletext"/>
              <w:jc w:val="right"/>
              <w:rPr>
                <w:b/>
                <w:bCs/>
                <w:lang w:val="ru-RU" w:eastAsia="en-GB"/>
              </w:rPr>
            </w:pPr>
            <w:r w:rsidRPr="00CA4C14">
              <w:rPr>
                <w:b/>
                <w:bCs/>
                <w:lang w:val="ru-RU" w:eastAsia="en-GB"/>
              </w:rPr>
              <w:t>17 283</w:t>
            </w:r>
          </w:p>
        </w:tc>
        <w:tc>
          <w:tcPr>
            <w:tcW w:w="463" w:type="pct"/>
            <w:tcBorders>
              <w:top w:val="nil"/>
              <w:left w:val="nil"/>
              <w:bottom w:val="nil"/>
              <w:right w:val="nil"/>
            </w:tcBorders>
            <w:shd w:val="clear" w:color="000000" w:fill="0070C0"/>
            <w:noWrap/>
            <w:vAlign w:val="bottom"/>
            <w:hideMark/>
          </w:tcPr>
          <w:p w14:paraId="095C2F2C" w14:textId="77777777" w:rsidR="00EE4F94" w:rsidRPr="00CA4C14" w:rsidRDefault="00EE4F94" w:rsidP="00DD7847">
            <w:pPr>
              <w:pStyle w:val="Tabletext"/>
              <w:jc w:val="right"/>
              <w:rPr>
                <w:b/>
                <w:bCs/>
                <w:lang w:val="ru-RU" w:eastAsia="en-GB"/>
              </w:rPr>
            </w:pPr>
            <w:r w:rsidRPr="00CA4C14">
              <w:rPr>
                <w:b/>
                <w:bCs/>
                <w:lang w:val="ru-RU" w:eastAsia="en-GB"/>
              </w:rPr>
              <w:t>1 518</w:t>
            </w:r>
          </w:p>
        </w:tc>
        <w:tc>
          <w:tcPr>
            <w:tcW w:w="464" w:type="pct"/>
            <w:tcBorders>
              <w:top w:val="nil"/>
              <w:left w:val="nil"/>
              <w:bottom w:val="nil"/>
              <w:right w:val="nil"/>
            </w:tcBorders>
            <w:shd w:val="clear" w:color="000000" w:fill="0070C0"/>
            <w:noWrap/>
            <w:vAlign w:val="bottom"/>
            <w:hideMark/>
          </w:tcPr>
          <w:p w14:paraId="308A61AF" w14:textId="77777777" w:rsidR="00EE4F94" w:rsidRPr="00CA4C14" w:rsidRDefault="00EE4F94" w:rsidP="00DD7847">
            <w:pPr>
              <w:pStyle w:val="Tabletext"/>
              <w:jc w:val="right"/>
              <w:rPr>
                <w:b/>
                <w:bCs/>
                <w:lang w:val="ru-RU" w:eastAsia="en-GB"/>
              </w:rPr>
            </w:pPr>
            <w:r w:rsidRPr="00CA4C14">
              <w:rPr>
                <w:b/>
                <w:bCs/>
                <w:lang w:val="ru-RU" w:eastAsia="en-GB"/>
              </w:rPr>
              <w:t>199</w:t>
            </w:r>
          </w:p>
        </w:tc>
        <w:tc>
          <w:tcPr>
            <w:tcW w:w="463" w:type="pct"/>
            <w:tcBorders>
              <w:top w:val="nil"/>
              <w:left w:val="nil"/>
              <w:bottom w:val="nil"/>
              <w:right w:val="nil"/>
            </w:tcBorders>
            <w:shd w:val="clear" w:color="000000" w:fill="0070C0"/>
            <w:noWrap/>
            <w:vAlign w:val="bottom"/>
            <w:hideMark/>
          </w:tcPr>
          <w:p w14:paraId="47D240FA" w14:textId="77777777" w:rsidR="00EE4F94" w:rsidRPr="00CA4C14" w:rsidRDefault="00EE4F94" w:rsidP="00DD7847">
            <w:pPr>
              <w:pStyle w:val="Tabletext"/>
              <w:jc w:val="right"/>
              <w:rPr>
                <w:b/>
                <w:bCs/>
                <w:lang w:val="ru-RU" w:eastAsia="en-GB"/>
              </w:rPr>
            </w:pPr>
            <w:r w:rsidRPr="00CA4C14">
              <w:rPr>
                <w:b/>
                <w:bCs/>
                <w:lang w:val="ru-RU" w:eastAsia="en-GB"/>
              </w:rPr>
              <w:t>5 344</w:t>
            </w:r>
          </w:p>
        </w:tc>
        <w:tc>
          <w:tcPr>
            <w:tcW w:w="464" w:type="pct"/>
            <w:tcBorders>
              <w:top w:val="nil"/>
              <w:left w:val="nil"/>
              <w:bottom w:val="nil"/>
              <w:right w:val="nil"/>
            </w:tcBorders>
            <w:shd w:val="clear" w:color="000000" w:fill="0070C0"/>
            <w:noWrap/>
            <w:vAlign w:val="bottom"/>
            <w:hideMark/>
          </w:tcPr>
          <w:p w14:paraId="68139ED2" w14:textId="77777777" w:rsidR="00EE4F94" w:rsidRPr="00CA4C14" w:rsidRDefault="00EE4F94" w:rsidP="00DD7847">
            <w:pPr>
              <w:pStyle w:val="Tabletext"/>
              <w:jc w:val="right"/>
              <w:rPr>
                <w:b/>
                <w:bCs/>
                <w:lang w:val="ru-RU" w:eastAsia="en-GB"/>
              </w:rPr>
            </w:pPr>
            <w:r w:rsidRPr="00CA4C14">
              <w:rPr>
                <w:b/>
                <w:bCs/>
                <w:lang w:val="ru-RU" w:eastAsia="en-GB"/>
              </w:rPr>
              <w:t>2 287</w:t>
            </w:r>
          </w:p>
        </w:tc>
        <w:tc>
          <w:tcPr>
            <w:tcW w:w="546" w:type="pct"/>
            <w:tcBorders>
              <w:top w:val="nil"/>
              <w:left w:val="nil"/>
              <w:bottom w:val="nil"/>
              <w:right w:val="nil"/>
            </w:tcBorders>
            <w:shd w:val="clear" w:color="000000" w:fill="0070C0"/>
            <w:noWrap/>
            <w:vAlign w:val="bottom"/>
            <w:hideMark/>
          </w:tcPr>
          <w:p w14:paraId="53C0BC9F" w14:textId="77777777" w:rsidR="00EE4F94" w:rsidRPr="00CA4C14" w:rsidRDefault="00EE4F94" w:rsidP="00DD7847">
            <w:pPr>
              <w:pStyle w:val="Tabletext"/>
              <w:jc w:val="right"/>
              <w:rPr>
                <w:b/>
                <w:bCs/>
                <w:lang w:val="ru-RU" w:eastAsia="en-GB"/>
              </w:rPr>
            </w:pPr>
            <w:r w:rsidRPr="00CA4C14">
              <w:rPr>
                <w:b/>
                <w:bCs/>
                <w:lang w:val="ru-RU" w:eastAsia="en-GB"/>
              </w:rPr>
              <w:t>26 597</w:t>
            </w:r>
          </w:p>
        </w:tc>
        <w:tc>
          <w:tcPr>
            <w:tcW w:w="545" w:type="pct"/>
            <w:tcBorders>
              <w:top w:val="nil"/>
              <w:left w:val="nil"/>
              <w:bottom w:val="nil"/>
              <w:right w:val="nil"/>
            </w:tcBorders>
            <w:shd w:val="clear" w:color="000000" w:fill="0070C0"/>
            <w:noWrap/>
            <w:vAlign w:val="bottom"/>
            <w:hideMark/>
          </w:tcPr>
          <w:p w14:paraId="241113E7" w14:textId="77777777" w:rsidR="00EE4F94" w:rsidRPr="00CA4C14" w:rsidRDefault="00EE4F94" w:rsidP="00DD7847">
            <w:pPr>
              <w:pStyle w:val="Tabletext"/>
              <w:jc w:val="right"/>
              <w:rPr>
                <w:b/>
                <w:bCs/>
                <w:lang w:val="ru-RU" w:eastAsia="en-GB"/>
              </w:rPr>
            </w:pPr>
            <w:r w:rsidRPr="00CA4C14">
              <w:rPr>
                <w:b/>
                <w:bCs/>
                <w:lang w:val="ru-RU" w:eastAsia="en-GB"/>
              </w:rPr>
              <w:t>19 769</w:t>
            </w:r>
          </w:p>
        </w:tc>
      </w:tr>
    </w:tbl>
    <w:p w14:paraId="1DE0686A" w14:textId="06437F98" w:rsidR="00EE4F94" w:rsidRPr="00CA4C14" w:rsidRDefault="00EE4F94" w:rsidP="00DD7847">
      <w:pPr>
        <w:pStyle w:val="Heading5"/>
        <w:rPr>
          <w:lang w:val="ru-RU"/>
        </w:rPr>
      </w:pPr>
      <w:bookmarkStart w:id="390" w:name="_Toc168578474"/>
      <w:bookmarkStart w:id="391" w:name="_Toc635167924"/>
      <w:bookmarkStart w:id="392" w:name="_Toc164845560"/>
      <w:bookmarkEnd w:id="381"/>
      <w:r w:rsidRPr="00CA4C14">
        <w:rPr>
          <w:lang w:val="ru-RU"/>
        </w:rPr>
        <w:t>Примечание 14</w:t>
      </w:r>
      <w:r w:rsidRPr="00CA4C14">
        <w:rPr>
          <w:lang w:val="ru-RU"/>
        </w:rPr>
        <w:tab/>
      </w:r>
      <w:hyperlink r:id="rId28" w:history="1">
        <w:r w:rsidRPr="00CA4C14">
          <w:rPr>
            <w:lang w:val="ru-RU"/>
          </w:rPr>
          <w:t>Кредиторская задолженность</w:t>
        </w:r>
        <w:bookmarkEnd w:id="390"/>
      </w:hyperlink>
      <w:bookmarkEnd w:id="391"/>
      <w:bookmarkEnd w:id="392"/>
    </w:p>
    <w:p w14:paraId="451262C7" w14:textId="77777777" w:rsidR="00EE4F94" w:rsidRPr="00CA4C14" w:rsidRDefault="00EE4F94" w:rsidP="006A7B99">
      <w:pPr>
        <w:rPr>
          <w:lang w:val="ru-RU"/>
        </w:rPr>
      </w:pPr>
      <w:r w:rsidRPr="00CA4C14">
        <w:rPr>
          <w:lang w:val="ru-RU"/>
        </w:rPr>
        <w:t>К кредиторской задолженности относятся неоплаченные счета-фактуры, расчеты с персоналом, а также счета-фактуры по авизо внутренних расчетов (АВР) в ожидании урегулирования сумм с ПРООН.</w:t>
      </w:r>
    </w:p>
    <w:p w14:paraId="6D6455F0" w14:textId="77777777" w:rsidR="00EE4F94" w:rsidRPr="00CA4C14" w:rsidRDefault="00EE4F94" w:rsidP="00C175CC">
      <w:pPr>
        <w:spacing w:after="120"/>
        <w:rPr>
          <w:lang w:val="ru-RU"/>
        </w:rPr>
      </w:pPr>
      <w:r w:rsidRPr="00CA4C14">
        <w:rPr>
          <w:lang w:val="ru-RU"/>
        </w:rPr>
        <w:t xml:space="preserve">Авансы получаются от клиентов за обработку заявок на регистрацию спутниковых сетей, а также за будущие покупки публикаций или счета за них. Эти суммы возмещаются бенефициарам или используются для оплаты будущих счетов-фактур за обработку заявок на регистрацию спутниковых сетей и за публикации. Авансы за конференции </w:t>
      </w:r>
      <w:r w:rsidRPr="00CA4C14">
        <w:rPr>
          <w:rFonts w:cs="Calibri"/>
          <w:lang w:val="ru-RU"/>
        </w:rPr>
        <w:t>–</w:t>
      </w:r>
      <w:r w:rsidRPr="00CA4C14">
        <w:rPr>
          <w:lang w:val="ru-RU"/>
        </w:rPr>
        <w:t xml:space="preserve"> это средства, переведенные на счета Союза принимающими странами, для организации таких мероприятий, как всемирные конференции. По завершении мероприятий </w:t>
      </w:r>
      <w:r w:rsidRPr="00CA4C14">
        <w:rPr>
          <w:color w:val="000000"/>
          <w:lang w:val="ru-RU"/>
        </w:rPr>
        <w:t>остаток средств возвращается</w:t>
      </w:r>
      <w:r w:rsidRPr="00CA4C14">
        <w:rPr>
          <w:lang w:val="ru-RU"/>
        </w:rPr>
        <w:t xml:space="preserve"> принимающим странам в соответствии с подписанными соглашениями.</w:t>
      </w:r>
    </w:p>
    <w:tbl>
      <w:tblPr>
        <w:tblW w:w="5000" w:type="pct"/>
        <w:jc w:val="center"/>
        <w:tblLook w:val="04A0" w:firstRow="1" w:lastRow="0" w:firstColumn="1" w:lastColumn="0" w:noHBand="0" w:noVBand="1"/>
      </w:tblPr>
      <w:tblGrid>
        <w:gridCol w:w="5189"/>
        <w:gridCol w:w="1941"/>
        <w:gridCol w:w="1941"/>
      </w:tblGrid>
      <w:tr w:rsidR="00EE4F94" w:rsidRPr="00CA4C14" w14:paraId="31812B35" w14:textId="77777777" w:rsidTr="00627E00">
        <w:trPr>
          <w:trHeight w:val="419"/>
          <w:jc w:val="center"/>
        </w:trPr>
        <w:tc>
          <w:tcPr>
            <w:tcW w:w="2860" w:type="pct"/>
            <w:tcBorders>
              <w:top w:val="nil"/>
              <w:left w:val="nil"/>
              <w:bottom w:val="nil"/>
              <w:right w:val="nil"/>
            </w:tcBorders>
            <w:shd w:val="clear" w:color="000000" w:fill="0070C0"/>
            <w:noWrap/>
            <w:vAlign w:val="center"/>
            <w:hideMark/>
          </w:tcPr>
          <w:p w14:paraId="3D41DCBC" w14:textId="77777777" w:rsidR="00EE4F94" w:rsidRPr="00CA4C14" w:rsidRDefault="00EE4F94" w:rsidP="00C175CC">
            <w:pPr>
              <w:pStyle w:val="Tablehead"/>
              <w:rPr>
                <w:lang w:val="ru-RU" w:eastAsia="en-GB"/>
              </w:rPr>
            </w:pPr>
            <w:r w:rsidRPr="00CA4C14">
              <w:rPr>
                <w:lang w:val="ru-RU" w:eastAsia="en-GB"/>
              </w:rPr>
              <w:t xml:space="preserve">Описание (тыс. шв. фр.) </w:t>
            </w:r>
          </w:p>
        </w:tc>
        <w:tc>
          <w:tcPr>
            <w:tcW w:w="1070" w:type="pct"/>
            <w:tcBorders>
              <w:top w:val="nil"/>
              <w:left w:val="nil"/>
              <w:bottom w:val="nil"/>
              <w:right w:val="nil"/>
            </w:tcBorders>
            <w:shd w:val="clear" w:color="000000" w:fill="0070C0"/>
            <w:vAlign w:val="center"/>
            <w:hideMark/>
          </w:tcPr>
          <w:p w14:paraId="22BDFE93" w14:textId="77777777" w:rsidR="00EE4F94" w:rsidRPr="00CA4C14" w:rsidRDefault="00EE4F94" w:rsidP="00C175CC">
            <w:pPr>
              <w:pStyle w:val="Tablehead"/>
              <w:rPr>
                <w:lang w:val="ru-RU" w:eastAsia="en-GB"/>
              </w:rPr>
            </w:pPr>
            <w:r w:rsidRPr="00CA4C14">
              <w:rPr>
                <w:lang w:val="ru-RU" w:eastAsia="en-GB"/>
              </w:rPr>
              <w:t>31 декабря 2023 г.</w:t>
            </w:r>
          </w:p>
        </w:tc>
        <w:tc>
          <w:tcPr>
            <w:tcW w:w="1070" w:type="pct"/>
            <w:tcBorders>
              <w:top w:val="nil"/>
              <w:left w:val="nil"/>
              <w:bottom w:val="nil"/>
              <w:right w:val="nil"/>
            </w:tcBorders>
            <w:shd w:val="clear" w:color="000000" w:fill="0070C0"/>
            <w:vAlign w:val="center"/>
            <w:hideMark/>
          </w:tcPr>
          <w:p w14:paraId="6DDC24EB" w14:textId="77777777" w:rsidR="00EE4F94" w:rsidRPr="00CA4C14" w:rsidRDefault="00EE4F94" w:rsidP="00C175CC">
            <w:pPr>
              <w:pStyle w:val="Tablehead"/>
              <w:rPr>
                <w:lang w:val="ru-RU" w:eastAsia="en-GB"/>
              </w:rPr>
            </w:pPr>
            <w:r w:rsidRPr="00CA4C14">
              <w:rPr>
                <w:lang w:val="ru-RU" w:eastAsia="en-GB"/>
              </w:rPr>
              <w:t>31 декабря 2022 г.</w:t>
            </w:r>
          </w:p>
        </w:tc>
      </w:tr>
      <w:tr w:rsidR="00EE4F94" w:rsidRPr="00CA4C14" w14:paraId="680C0781" w14:textId="77777777" w:rsidTr="00627E00">
        <w:trPr>
          <w:trHeight w:val="260"/>
          <w:jc w:val="center"/>
        </w:trPr>
        <w:tc>
          <w:tcPr>
            <w:tcW w:w="2860" w:type="pct"/>
            <w:tcBorders>
              <w:top w:val="nil"/>
              <w:left w:val="nil"/>
              <w:bottom w:val="nil"/>
              <w:right w:val="nil"/>
            </w:tcBorders>
            <w:shd w:val="clear" w:color="auto" w:fill="auto"/>
            <w:noWrap/>
            <w:vAlign w:val="bottom"/>
            <w:hideMark/>
          </w:tcPr>
          <w:p w14:paraId="43635005" w14:textId="77777777" w:rsidR="00EE4F94" w:rsidRPr="00CA4C14" w:rsidRDefault="00EE4F94" w:rsidP="005F455B">
            <w:pPr>
              <w:pStyle w:val="Tabletext"/>
              <w:keepNext/>
              <w:rPr>
                <w:lang w:val="ru-RU" w:eastAsia="en-GB"/>
              </w:rPr>
            </w:pPr>
            <w:r w:rsidRPr="00CA4C14">
              <w:rPr>
                <w:szCs w:val="18"/>
                <w:lang w:val="ru-RU"/>
              </w:rPr>
              <w:t>Поставщики</w:t>
            </w:r>
          </w:p>
        </w:tc>
        <w:tc>
          <w:tcPr>
            <w:tcW w:w="1070" w:type="pct"/>
            <w:tcBorders>
              <w:top w:val="nil"/>
              <w:left w:val="nil"/>
              <w:bottom w:val="nil"/>
              <w:right w:val="nil"/>
            </w:tcBorders>
            <w:shd w:val="clear" w:color="auto" w:fill="auto"/>
            <w:noWrap/>
            <w:vAlign w:val="bottom"/>
            <w:hideMark/>
          </w:tcPr>
          <w:p w14:paraId="54019965" w14:textId="77777777" w:rsidR="00EE4F94" w:rsidRPr="00CA4C14" w:rsidRDefault="00EE4F94" w:rsidP="005F455B">
            <w:pPr>
              <w:pStyle w:val="Tabletext"/>
              <w:keepNext/>
              <w:jc w:val="right"/>
              <w:rPr>
                <w:lang w:val="ru-RU" w:eastAsia="en-GB"/>
              </w:rPr>
            </w:pPr>
            <w:r w:rsidRPr="00CA4C14">
              <w:rPr>
                <w:lang w:val="ru-RU" w:eastAsia="en-GB"/>
              </w:rPr>
              <w:t>3 911</w:t>
            </w:r>
          </w:p>
        </w:tc>
        <w:tc>
          <w:tcPr>
            <w:tcW w:w="1070" w:type="pct"/>
            <w:tcBorders>
              <w:top w:val="nil"/>
              <w:left w:val="nil"/>
              <w:bottom w:val="nil"/>
              <w:right w:val="nil"/>
            </w:tcBorders>
            <w:shd w:val="clear" w:color="auto" w:fill="auto"/>
            <w:noWrap/>
            <w:vAlign w:val="bottom"/>
            <w:hideMark/>
          </w:tcPr>
          <w:p w14:paraId="5C669FC4" w14:textId="77777777" w:rsidR="00EE4F94" w:rsidRPr="00CA4C14" w:rsidRDefault="00EE4F94" w:rsidP="005F455B">
            <w:pPr>
              <w:pStyle w:val="Tabletext"/>
              <w:keepNext/>
              <w:jc w:val="right"/>
              <w:rPr>
                <w:lang w:val="ru-RU" w:eastAsia="en-GB"/>
              </w:rPr>
            </w:pPr>
            <w:r w:rsidRPr="00CA4C14">
              <w:rPr>
                <w:lang w:val="ru-RU" w:eastAsia="en-GB"/>
              </w:rPr>
              <w:t>4 156</w:t>
            </w:r>
          </w:p>
        </w:tc>
      </w:tr>
      <w:tr w:rsidR="00EE4F94" w:rsidRPr="00CA4C14" w14:paraId="69863822" w14:textId="77777777" w:rsidTr="00627E00">
        <w:trPr>
          <w:trHeight w:val="260"/>
          <w:jc w:val="center"/>
        </w:trPr>
        <w:tc>
          <w:tcPr>
            <w:tcW w:w="2860" w:type="pct"/>
            <w:tcBorders>
              <w:top w:val="nil"/>
              <w:left w:val="nil"/>
              <w:bottom w:val="nil"/>
              <w:right w:val="nil"/>
            </w:tcBorders>
            <w:shd w:val="clear" w:color="auto" w:fill="auto"/>
            <w:noWrap/>
            <w:vAlign w:val="center"/>
            <w:hideMark/>
          </w:tcPr>
          <w:p w14:paraId="3088CFE2" w14:textId="77777777" w:rsidR="00EE4F94" w:rsidRPr="00CA4C14" w:rsidRDefault="00EE4F94" w:rsidP="005F455B">
            <w:pPr>
              <w:pStyle w:val="Tabletext"/>
              <w:keepNext/>
              <w:rPr>
                <w:lang w:val="ru-RU" w:eastAsia="en-GB"/>
              </w:rPr>
            </w:pPr>
            <w:r w:rsidRPr="00CA4C14">
              <w:rPr>
                <w:szCs w:val="18"/>
                <w:lang w:val="ru-RU"/>
              </w:rPr>
              <w:t>Авансы, полученные от клиентов</w:t>
            </w:r>
          </w:p>
        </w:tc>
        <w:tc>
          <w:tcPr>
            <w:tcW w:w="1070" w:type="pct"/>
            <w:tcBorders>
              <w:top w:val="nil"/>
              <w:left w:val="nil"/>
              <w:bottom w:val="nil"/>
              <w:right w:val="nil"/>
            </w:tcBorders>
            <w:shd w:val="clear" w:color="auto" w:fill="auto"/>
            <w:noWrap/>
            <w:vAlign w:val="bottom"/>
            <w:hideMark/>
          </w:tcPr>
          <w:p w14:paraId="0B9BD9C9" w14:textId="77777777" w:rsidR="00EE4F94" w:rsidRPr="00CA4C14" w:rsidRDefault="00EE4F94" w:rsidP="005F455B">
            <w:pPr>
              <w:pStyle w:val="Tabletext"/>
              <w:keepNext/>
              <w:jc w:val="right"/>
              <w:rPr>
                <w:lang w:val="ru-RU" w:eastAsia="en-GB"/>
              </w:rPr>
            </w:pPr>
            <w:r w:rsidRPr="00CA4C14">
              <w:rPr>
                <w:lang w:val="ru-RU" w:eastAsia="en-GB"/>
              </w:rPr>
              <w:t>6 871</w:t>
            </w:r>
          </w:p>
        </w:tc>
        <w:tc>
          <w:tcPr>
            <w:tcW w:w="1070" w:type="pct"/>
            <w:tcBorders>
              <w:top w:val="nil"/>
              <w:left w:val="nil"/>
              <w:bottom w:val="nil"/>
              <w:right w:val="nil"/>
            </w:tcBorders>
            <w:shd w:val="clear" w:color="auto" w:fill="auto"/>
            <w:noWrap/>
            <w:vAlign w:val="bottom"/>
            <w:hideMark/>
          </w:tcPr>
          <w:p w14:paraId="74FEAED6" w14:textId="77777777" w:rsidR="00EE4F94" w:rsidRPr="00CA4C14" w:rsidRDefault="00EE4F94" w:rsidP="005F455B">
            <w:pPr>
              <w:pStyle w:val="Tabletext"/>
              <w:keepNext/>
              <w:jc w:val="right"/>
              <w:rPr>
                <w:lang w:val="ru-RU" w:eastAsia="en-GB"/>
              </w:rPr>
            </w:pPr>
            <w:r w:rsidRPr="00CA4C14">
              <w:rPr>
                <w:lang w:val="ru-RU" w:eastAsia="en-GB"/>
              </w:rPr>
              <w:t>5 993</w:t>
            </w:r>
          </w:p>
        </w:tc>
      </w:tr>
      <w:tr w:rsidR="00EE4F94" w:rsidRPr="00CA4C14" w14:paraId="7E95E668" w14:textId="77777777" w:rsidTr="00627E00">
        <w:trPr>
          <w:trHeight w:val="260"/>
          <w:jc w:val="center"/>
        </w:trPr>
        <w:tc>
          <w:tcPr>
            <w:tcW w:w="2860" w:type="pct"/>
            <w:tcBorders>
              <w:top w:val="nil"/>
              <w:left w:val="nil"/>
              <w:bottom w:val="nil"/>
              <w:right w:val="nil"/>
            </w:tcBorders>
            <w:shd w:val="clear" w:color="auto" w:fill="auto"/>
            <w:noWrap/>
            <w:vAlign w:val="bottom"/>
            <w:hideMark/>
          </w:tcPr>
          <w:p w14:paraId="5D245BDF" w14:textId="77777777" w:rsidR="00EE4F94" w:rsidRPr="00CA4C14" w:rsidRDefault="00EE4F94" w:rsidP="005F455B">
            <w:pPr>
              <w:pStyle w:val="Tabletext"/>
              <w:keepNext/>
              <w:rPr>
                <w:lang w:val="ru-RU" w:eastAsia="en-GB"/>
              </w:rPr>
            </w:pPr>
            <w:r w:rsidRPr="00CA4C14">
              <w:rPr>
                <w:szCs w:val="18"/>
                <w:lang w:val="ru-RU"/>
              </w:rPr>
              <w:t>Авансы на проведение конференций</w:t>
            </w:r>
          </w:p>
        </w:tc>
        <w:tc>
          <w:tcPr>
            <w:tcW w:w="1070" w:type="pct"/>
            <w:tcBorders>
              <w:top w:val="nil"/>
              <w:left w:val="nil"/>
              <w:bottom w:val="nil"/>
              <w:right w:val="nil"/>
            </w:tcBorders>
            <w:shd w:val="clear" w:color="auto" w:fill="auto"/>
            <w:noWrap/>
            <w:vAlign w:val="bottom"/>
            <w:hideMark/>
          </w:tcPr>
          <w:p w14:paraId="56E56CF3" w14:textId="77777777" w:rsidR="00EE4F94" w:rsidRPr="00CA4C14" w:rsidRDefault="00EE4F94" w:rsidP="005F455B">
            <w:pPr>
              <w:pStyle w:val="Tabletext"/>
              <w:keepNext/>
              <w:jc w:val="right"/>
              <w:rPr>
                <w:lang w:val="ru-RU" w:eastAsia="en-GB"/>
              </w:rPr>
            </w:pPr>
            <w:r w:rsidRPr="00CA4C14">
              <w:rPr>
                <w:lang w:val="ru-RU" w:eastAsia="en-GB"/>
              </w:rPr>
              <w:t>2 260</w:t>
            </w:r>
          </w:p>
        </w:tc>
        <w:tc>
          <w:tcPr>
            <w:tcW w:w="1070" w:type="pct"/>
            <w:tcBorders>
              <w:top w:val="nil"/>
              <w:left w:val="nil"/>
              <w:bottom w:val="nil"/>
              <w:right w:val="nil"/>
            </w:tcBorders>
            <w:shd w:val="clear" w:color="auto" w:fill="auto"/>
            <w:noWrap/>
            <w:vAlign w:val="bottom"/>
            <w:hideMark/>
          </w:tcPr>
          <w:p w14:paraId="3A91988B" w14:textId="77777777" w:rsidR="00EE4F94" w:rsidRPr="00CA4C14" w:rsidRDefault="00EE4F94" w:rsidP="005F455B">
            <w:pPr>
              <w:pStyle w:val="Tabletext"/>
              <w:keepNext/>
              <w:jc w:val="right"/>
              <w:rPr>
                <w:lang w:val="ru-RU" w:eastAsia="en-GB"/>
              </w:rPr>
            </w:pPr>
            <w:r w:rsidRPr="00CA4C14">
              <w:rPr>
                <w:lang w:val="ru-RU" w:eastAsia="en-GB"/>
              </w:rPr>
              <w:t>392</w:t>
            </w:r>
          </w:p>
        </w:tc>
      </w:tr>
      <w:tr w:rsidR="00EE4F94" w:rsidRPr="00CA4C14" w14:paraId="4309362B" w14:textId="77777777" w:rsidTr="00627E00">
        <w:trPr>
          <w:trHeight w:val="367"/>
          <w:jc w:val="center"/>
        </w:trPr>
        <w:tc>
          <w:tcPr>
            <w:tcW w:w="2860" w:type="pct"/>
            <w:tcBorders>
              <w:top w:val="nil"/>
              <w:left w:val="nil"/>
              <w:bottom w:val="nil"/>
              <w:right w:val="nil"/>
            </w:tcBorders>
            <w:shd w:val="clear" w:color="000000" w:fill="0070C0"/>
            <w:noWrap/>
            <w:vAlign w:val="center"/>
            <w:hideMark/>
          </w:tcPr>
          <w:p w14:paraId="57B522C9" w14:textId="77777777" w:rsidR="00EE4F94" w:rsidRPr="00CA4C14" w:rsidRDefault="00EE4F94" w:rsidP="00C175CC">
            <w:pPr>
              <w:pStyle w:val="Tabletext"/>
              <w:rPr>
                <w:b/>
                <w:bCs/>
                <w:lang w:val="ru-RU" w:eastAsia="en-GB"/>
              </w:rPr>
            </w:pPr>
            <w:r w:rsidRPr="00CA4C14">
              <w:rPr>
                <w:b/>
                <w:bCs/>
                <w:szCs w:val="18"/>
                <w:lang w:val="ru-RU"/>
              </w:rPr>
              <w:t>Всего: поставщики и прочие кредиторы</w:t>
            </w:r>
          </w:p>
        </w:tc>
        <w:tc>
          <w:tcPr>
            <w:tcW w:w="1070" w:type="pct"/>
            <w:tcBorders>
              <w:top w:val="nil"/>
              <w:left w:val="nil"/>
              <w:bottom w:val="nil"/>
              <w:right w:val="nil"/>
            </w:tcBorders>
            <w:shd w:val="clear" w:color="000000" w:fill="0070C0"/>
            <w:noWrap/>
            <w:vAlign w:val="center"/>
            <w:hideMark/>
          </w:tcPr>
          <w:p w14:paraId="5B044E5D" w14:textId="77777777" w:rsidR="00EE4F94" w:rsidRPr="00CA4C14" w:rsidRDefault="00EE4F94" w:rsidP="00C175CC">
            <w:pPr>
              <w:pStyle w:val="Tabletext"/>
              <w:jc w:val="right"/>
              <w:rPr>
                <w:b/>
                <w:bCs/>
                <w:lang w:val="ru-RU" w:eastAsia="en-GB"/>
              </w:rPr>
            </w:pPr>
            <w:r w:rsidRPr="00CA4C14">
              <w:rPr>
                <w:b/>
                <w:bCs/>
                <w:lang w:val="ru-RU" w:eastAsia="en-GB"/>
              </w:rPr>
              <w:t>13 042</w:t>
            </w:r>
          </w:p>
        </w:tc>
        <w:tc>
          <w:tcPr>
            <w:tcW w:w="1070" w:type="pct"/>
            <w:tcBorders>
              <w:top w:val="nil"/>
              <w:left w:val="nil"/>
              <w:bottom w:val="nil"/>
              <w:right w:val="nil"/>
            </w:tcBorders>
            <w:shd w:val="clear" w:color="000000" w:fill="0070C0"/>
            <w:noWrap/>
            <w:vAlign w:val="center"/>
            <w:hideMark/>
          </w:tcPr>
          <w:p w14:paraId="4F3F1B5A" w14:textId="77777777" w:rsidR="00EE4F94" w:rsidRPr="00CA4C14" w:rsidRDefault="00EE4F94" w:rsidP="00C175CC">
            <w:pPr>
              <w:pStyle w:val="Tabletext"/>
              <w:jc w:val="right"/>
              <w:rPr>
                <w:b/>
                <w:bCs/>
                <w:lang w:val="ru-RU" w:eastAsia="en-GB"/>
              </w:rPr>
            </w:pPr>
            <w:r w:rsidRPr="00CA4C14">
              <w:rPr>
                <w:b/>
                <w:bCs/>
                <w:lang w:val="ru-RU" w:eastAsia="en-GB"/>
              </w:rPr>
              <w:t>10 541</w:t>
            </w:r>
          </w:p>
        </w:tc>
      </w:tr>
    </w:tbl>
    <w:p w14:paraId="536FEDBB" w14:textId="77777777" w:rsidR="00EE4F94" w:rsidRPr="00CA4C14" w:rsidRDefault="00EE4F94" w:rsidP="00627E00">
      <w:pPr>
        <w:pStyle w:val="Heading5"/>
        <w:rPr>
          <w:lang w:val="ru-RU"/>
        </w:rPr>
      </w:pPr>
      <w:bookmarkStart w:id="393" w:name="_Toc305764088"/>
      <w:bookmarkStart w:id="394" w:name="_Toc2056268247"/>
      <w:bookmarkStart w:id="395" w:name="_Toc164845561"/>
      <w:bookmarkStart w:id="396" w:name="_Toc168578475"/>
      <w:r w:rsidRPr="00CA4C14">
        <w:rPr>
          <w:lang w:val="ru-RU"/>
        </w:rPr>
        <w:t>Примечание 15</w:t>
      </w:r>
      <w:r w:rsidRPr="00CA4C14">
        <w:rPr>
          <w:lang w:val="ru-RU"/>
        </w:rPr>
        <w:tab/>
      </w:r>
      <w:bookmarkEnd w:id="393"/>
      <w:bookmarkEnd w:id="394"/>
      <w:bookmarkEnd w:id="395"/>
      <w:r w:rsidRPr="00CA4C14">
        <w:rPr>
          <w:bCs/>
          <w:lang w:val="ru-RU"/>
        </w:rPr>
        <w:t>Взносы, полученные авансом, и доходы будущих периодов</w:t>
      </w:r>
      <w:bookmarkEnd w:id="396"/>
    </w:p>
    <w:p w14:paraId="07FFFE2C" w14:textId="77777777" w:rsidR="00EE4F94" w:rsidRPr="00CA4C14" w:rsidRDefault="00EE4F94" w:rsidP="00F0584A">
      <w:pPr>
        <w:spacing w:after="120"/>
        <w:rPr>
          <w:lang w:val="ru-RU"/>
        </w:rPr>
      </w:pPr>
      <w:r w:rsidRPr="00CA4C14">
        <w:rPr>
          <w:lang w:val="ru-RU"/>
        </w:rPr>
        <w:t>Сумма взносов, полученных авансом, в основном касается платежей, полученных от Государств-Членов в 2023 году в счет их начисленных взносов на 2024 год.</w:t>
      </w:r>
    </w:p>
    <w:tbl>
      <w:tblPr>
        <w:tblW w:w="5000" w:type="pct"/>
        <w:jc w:val="center"/>
        <w:tblLayout w:type="fixed"/>
        <w:tblLook w:val="04A0" w:firstRow="1" w:lastRow="0" w:firstColumn="1" w:lastColumn="0" w:noHBand="0" w:noVBand="1"/>
      </w:tblPr>
      <w:tblGrid>
        <w:gridCol w:w="5247"/>
        <w:gridCol w:w="1912"/>
        <w:gridCol w:w="1912"/>
      </w:tblGrid>
      <w:tr w:rsidR="00EE4F94" w:rsidRPr="00CA4C14" w14:paraId="0E62BBEC" w14:textId="77777777" w:rsidTr="00C663FA">
        <w:trPr>
          <w:trHeight w:val="93"/>
          <w:jc w:val="center"/>
        </w:trPr>
        <w:tc>
          <w:tcPr>
            <w:tcW w:w="2892" w:type="pct"/>
            <w:tcBorders>
              <w:top w:val="nil"/>
              <w:left w:val="nil"/>
              <w:bottom w:val="nil"/>
              <w:right w:val="nil"/>
            </w:tcBorders>
            <w:shd w:val="clear" w:color="000000" w:fill="0070C0"/>
            <w:noWrap/>
            <w:vAlign w:val="center"/>
            <w:hideMark/>
          </w:tcPr>
          <w:p w14:paraId="02C68C4B" w14:textId="77777777" w:rsidR="00EE4F94" w:rsidRPr="00CA4C14" w:rsidRDefault="00EE4F94" w:rsidP="00C175CC">
            <w:pPr>
              <w:pStyle w:val="Tablehead"/>
              <w:rPr>
                <w:lang w:val="ru-RU" w:eastAsia="en-GB"/>
              </w:rPr>
            </w:pPr>
            <w:r w:rsidRPr="00CA4C14">
              <w:rPr>
                <w:lang w:val="ru-RU" w:eastAsia="en-GB"/>
              </w:rPr>
              <w:lastRenderedPageBreak/>
              <w:t>Описание (тыс. шв. фр.)</w:t>
            </w:r>
          </w:p>
        </w:tc>
        <w:tc>
          <w:tcPr>
            <w:tcW w:w="1054" w:type="pct"/>
            <w:tcBorders>
              <w:top w:val="nil"/>
              <w:left w:val="nil"/>
              <w:bottom w:val="nil"/>
              <w:right w:val="nil"/>
            </w:tcBorders>
            <w:shd w:val="clear" w:color="000000" w:fill="0070C0"/>
            <w:noWrap/>
            <w:vAlign w:val="center"/>
            <w:hideMark/>
          </w:tcPr>
          <w:p w14:paraId="1600D677" w14:textId="77777777" w:rsidR="00EE4F94" w:rsidRPr="00CA4C14" w:rsidRDefault="00EE4F94" w:rsidP="00C175CC">
            <w:pPr>
              <w:pStyle w:val="Tablehead"/>
              <w:rPr>
                <w:lang w:val="ru-RU" w:eastAsia="en-GB"/>
              </w:rPr>
            </w:pPr>
            <w:r w:rsidRPr="00CA4C14">
              <w:rPr>
                <w:lang w:val="ru-RU" w:eastAsia="en-GB"/>
              </w:rPr>
              <w:t>31 декабря 2023 г.</w:t>
            </w:r>
          </w:p>
        </w:tc>
        <w:tc>
          <w:tcPr>
            <w:tcW w:w="1054" w:type="pct"/>
            <w:tcBorders>
              <w:top w:val="nil"/>
              <w:left w:val="nil"/>
              <w:bottom w:val="nil"/>
              <w:right w:val="nil"/>
            </w:tcBorders>
            <w:shd w:val="clear" w:color="000000" w:fill="0070C0"/>
            <w:noWrap/>
            <w:vAlign w:val="center"/>
            <w:hideMark/>
          </w:tcPr>
          <w:p w14:paraId="39305612" w14:textId="77777777" w:rsidR="00EE4F94" w:rsidRPr="00CA4C14" w:rsidRDefault="00EE4F94" w:rsidP="00C175CC">
            <w:pPr>
              <w:pStyle w:val="Tablehead"/>
              <w:rPr>
                <w:lang w:val="ru-RU" w:eastAsia="en-GB"/>
              </w:rPr>
            </w:pPr>
            <w:r w:rsidRPr="00CA4C14">
              <w:rPr>
                <w:lang w:val="ru-RU" w:eastAsia="en-GB"/>
              </w:rPr>
              <w:t>31 декабря 2022 г.</w:t>
            </w:r>
          </w:p>
        </w:tc>
      </w:tr>
      <w:tr w:rsidR="00EE4F94" w:rsidRPr="00CA4C14" w14:paraId="33C630AD" w14:textId="77777777" w:rsidTr="00C663FA">
        <w:trPr>
          <w:trHeight w:val="260"/>
          <w:jc w:val="center"/>
        </w:trPr>
        <w:tc>
          <w:tcPr>
            <w:tcW w:w="2892" w:type="pct"/>
            <w:tcBorders>
              <w:top w:val="nil"/>
              <w:left w:val="nil"/>
              <w:bottom w:val="nil"/>
              <w:right w:val="nil"/>
            </w:tcBorders>
            <w:shd w:val="clear" w:color="auto" w:fill="auto"/>
            <w:noWrap/>
            <w:vAlign w:val="bottom"/>
            <w:hideMark/>
          </w:tcPr>
          <w:p w14:paraId="7CCFF5DE" w14:textId="77777777" w:rsidR="00EE4F94" w:rsidRPr="00CA4C14" w:rsidRDefault="00EE4F94" w:rsidP="00F0584A">
            <w:pPr>
              <w:pStyle w:val="Tabletext"/>
              <w:keepNext/>
              <w:rPr>
                <w:lang w:val="ru-RU" w:eastAsia="en-GB"/>
              </w:rPr>
            </w:pPr>
            <w:r w:rsidRPr="00CA4C14">
              <w:rPr>
                <w:szCs w:val="18"/>
                <w:lang w:val="ru-RU"/>
              </w:rPr>
              <w:t>Взносы – Государства-Члены</w:t>
            </w:r>
          </w:p>
        </w:tc>
        <w:tc>
          <w:tcPr>
            <w:tcW w:w="1054" w:type="pct"/>
            <w:tcBorders>
              <w:top w:val="nil"/>
              <w:left w:val="nil"/>
              <w:bottom w:val="nil"/>
              <w:right w:val="nil"/>
            </w:tcBorders>
            <w:shd w:val="clear" w:color="auto" w:fill="auto"/>
            <w:noWrap/>
            <w:vAlign w:val="bottom"/>
            <w:hideMark/>
          </w:tcPr>
          <w:p w14:paraId="51183B23" w14:textId="77777777" w:rsidR="00EE4F94" w:rsidRPr="00CA4C14" w:rsidRDefault="00EE4F94" w:rsidP="00F0584A">
            <w:pPr>
              <w:pStyle w:val="Tabletext"/>
              <w:keepNext/>
              <w:jc w:val="right"/>
              <w:rPr>
                <w:lang w:val="ru-RU" w:eastAsia="en-GB"/>
              </w:rPr>
            </w:pPr>
            <w:r w:rsidRPr="00CA4C14">
              <w:rPr>
                <w:lang w:val="ru-RU" w:eastAsia="en-GB"/>
              </w:rPr>
              <w:t>45 813</w:t>
            </w:r>
          </w:p>
        </w:tc>
        <w:tc>
          <w:tcPr>
            <w:tcW w:w="1054" w:type="pct"/>
            <w:tcBorders>
              <w:top w:val="nil"/>
              <w:left w:val="nil"/>
              <w:bottom w:val="nil"/>
              <w:right w:val="nil"/>
            </w:tcBorders>
            <w:shd w:val="clear" w:color="auto" w:fill="auto"/>
            <w:noWrap/>
            <w:vAlign w:val="bottom"/>
            <w:hideMark/>
          </w:tcPr>
          <w:p w14:paraId="29A1805D" w14:textId="77777777" w:rsidR="00EE4F94" w:rsidRPr="00CA4C14" w:rsidRDefault="00EE4F94" w:rsidP="00F0584A">
            <w:pPr>
              <w:pStyle w:val="Tabletext"/>
              <w:keepNext/>
              <w:jc w:val="right"/>
              <w:rPr>
                <w:lang w:val="ru-RU" w:eastAsia="en-GB"/>
              </w:rPr>
            </w:pPr>
            <w:r w:rsidRPr="00CA4C14">
              <w:rPr>
                <w:lang w:val="ru-RU" w:eastAsia="en-GB"/>
              </w:rPr>
              <w:t>45 913</w:t>
            </w:r>
          </w:p>
        </w:tc>
      </w:tr>
      <w:tr w:rsidR="00EE4F94" w:rsidRPr="00CA4C14" w14:paraId="119DA486" w14:textId="77777777" w:rsidTr="00C663FA">
        <w:trPr>
          <w:trHeight w:val="260"/>
          <w:jc w:val="center"/>
        </w:trPr>
        <w:tc>
          <w:tcPr>
            <w:tcW w:w="2892" w:type="pct"/>
            <w:tcBorders>
              <w:top w:val="nil"/>
              <w:left w:val="nil"/>
              <w:bottom w:val="nil"/>
              <w:right w:val="nil"/>
            </w:tcBorders>
            <w:shd w:val="clear" w:color="auto" w:fill="auto"/>
            <w:noWrap/>
            <w:vAlign w:val="bottom"/>
            <w:hideMark/>
          </w:tcPr>
          <w:p w14:paraId="55461BDD" w14:textId="77777777" w:rsidR="00EE4F94" w:rsidRPr="00CA4C14" w:rsidRDefault="00EE4F94" w:rsidP="00F0584A">
            <w:pPr>
              <w:pStyle w:val="Tabletext"/>
              <w:keepNext/>
              <w:rPr>
                <w:lang w:val="ru-RU" w:eastAsia="en-GB"/>
              </w:rPr>
            </w:pPr>
            <w:r w:rsidRPr="00CA4C14">
              <w:rPr>
                <w:szCs w:val="18"/>
                <w:lang w:val="ru-RU"/>
              </w:rPr>
              <w:t>Взносы – Члены Секторов</w:t>
            </w:r>
          </w:p>
        </w:tc>
        <w:tc>
          <w:tcPr>
            <w:tcW w:w="1054" w:type="pct"/>
            <w:tcBorders>
              <w:top w:val="nil"/>
              <w:left w:val="nil"/>
              <w:bottom w:val="nil"/>
              <w:right w:val="nil"/>
            </w:tcBorders>
            <w:shd w:val="clear" w:color="auto" w:fill="auto"/>
            <w:noWrap/>
            <w:vAlign w:val="bottom"/>
            <w:hideMark/>
          </w:tcPr>
          <w:p w14:paraId="7DA7BDE8" w14:textId="77777777" w:rsidR="00EE4F94" w:rsidRPr="00CA4C14" w:rsidRDefault="00EE4F94" w:rsidP="00F0584A">
            <w:pPr>
              <w:pStyle w:val="Tabletext"/>
              <w:keepNext/>
              <w:jc w:val="right"/>
              <w:rPr>
                <w:lang w:val="ru-RU" w:eastAsia="en-GB"/>
              </w:rPr>
            </w:pPr>
            <w:r w:rsidRPr="00CA4C14">
              <w:rPr>
                <w:lang w:val="ru-RU" w:eastAsia="en-GB"/>
              </w:rPr>
              <w:t>3 882</w:t>
            </w:r>
          </w:p>
        </w:tc>
        <w:tc>
          <w:tcPr>
            <w:tcW w:w="1054" w:type="pct"/>
            <w:tcBorders>
              <w:top w:val="nil"/>
              <w:left w:val="nil"/>
              <w:bottom w:val="nil"/>
              <w:right w:val="nil"/>
            </w:tcBorders>
            <w:shd w:val="clear" w:color="auto" w:fill="auto"/>
            <w:noWrap/>
            <w:vAlign w:val="bottom"/>
            <w:hideMark/>
          </w:tcPr>
          <w:p w14:paraId="272D5835" w14:textId="77777777" w:rsidR="00EE4F94" w:rsidRPr="00CA4C14" w:rsidRDefault="00EE4F94" w:rsidP="00F0584A">
            <w:pPr>
              <w:pStyle w:val="Tabletext"/>
              <w:keepNext/>
              <w:jc w:val="right"/>
              <w:rPr>
                <w:lang w:val="ru-RU" w:eastAsia="en-GB"/>
              </w:rPr>
            </w:pPr>
            <w:r w:rsidRPr="00CA4C14">
              <w:rPr>
                <w:lang w:val="ru-RU" w:eastAsia="en-GB"/>
              </w:rPr>
              <w:t>4 121</w:t>
            </w:r>
          </w:p>
        </w:tc>
      </w:tr>
      <w:tr w:rsidR="00EE4F94" w:rsidRPr="00CA4C14" w14:paraId="1A47FEBE" w14:textId="77777777" w:rsidTr="00C663FA">
        <w:trPr>
          <w:trHeight w:val="260"/>
          <w:jc w:val="center"/>
        </w:trPr>
        <w:tc>
          <w:tcPr>
            <w:tcW w:w="2892" w:type="pct"/>
            <w:tcBorders>
              <w:top w:val="nil"/>
              <w:left w:val="nil"/>
              <w:bottom w:val="nil"/>
              <w:right w:val="nil"/>
            </w:tcBorders>
            <w:shd w:val="clear" w:color="auto" w:fill="auto"/>
            <w:noWrap/>
            <w:vAlign w:val="bottom"/>
            <w:hideMark/>
          </w:tcPr>
          <w:p w14:paraId="67BD7627" w14:textId="77777777" w:rsidR="00EE4F94" w:rsidRPr="00CA4C14" w:rsidRDefault="00EE4F94" w:rsidP="00F0584A">
            <w:pPr>
              <w:pStyle w:val="Tabletext"/>
              <w:keepNext/>
              <w:rPr>
                <w:lang w:val="ru-RU" w:eastAsia="en-GB"/>
              </w:rPr>
            </w:pPr>
            <w:r w:rsidRPr="00CA4C14">
              <w:rPr>
                <w:szCs w:val="18"/>
                <w:lang w:val="ru-RU"/>
              </w:rPr>
              <w:t>Взносы – Ассоциированные члены</w:t>
            </w:r>
          </w:p>
        </w:tc>
        <w:tc>
          <w:tcPr>
            <w:tcW w:w="1054" w:type="pct"/>
            <w:tcBorders>
              <w:top w:val="nil"/>
              <w:left w:val="nil"/>
              <w:bottom w:val="nil"/>
              <w:right w:val="nil"/>
            </w:tcBorders>
            <w:shd w:val="clear" w:color="auto" w:fill="auto"/>
            <w:noWrap/>
            <w:vAlign w:val="bottom"/>
            <w:hideMark/>
          </w:tcPr>
          <w:p w14:paraId="6A6AAF53" w14:textId="77777777" w:rsidR="00EE4F94" w:rsidRPr="00CA4C14" w:rsidRDefault="00EE4F94" w:rsidP="00F0584A">
            <w:pPr>
              <w:pStyle w:val="Tabletext"/>
              <w:keepNext/>
              <w:jc w:val="right"/>
              <w:rPr>
                <w:lang w:val="ru-RU" w:eastAsia="en-GB"/>
              </w:rPr>
            </w:pPr>
            <w:r w:rsidRPr="00CA4C14">
              <w:rPr>
                <w:lang w:val="ru-RU" w:eastAsia="en-GB"/>
              </w:rPr>
              <w:t>714</w:t>
            </w:r>
          </w:p>
        </w:tc>
        <w:tc>
          <w:tcPr>
            <w:tcW w:w="1054" w:type="pct"/>
            <w:tcBorders>
              <w:top w:val="nil"/>
              <w:left w:val="nil"/>
              <w:bottom w:val="nil"/>
              <w:right w:val="nil"/>
            </w:tcBorders>
            <w:shd w:val="clear" w:color="auto" w:fill="auto"/>
            <w:noWrap/>
            <w:vAlign w:val="bottom"/>
            <w:hideMark/>
          </w:tcPr>
          <w:p w14:paraId="19D4F858" w14:textId="77777777" w:rsidR="00EE4F94" w:rsidRPr="00CA4C14" w:rsidRDefault="00EE4F94" w:rsidP="00F0584A">
            <w:pPr>
              <w:pStyle w:val="Tabletext"/>
              <w:keepNext/>
              <w:jc w:val="right"/>
              <w:rPr>
                <w:lang w:val="ru-RU" w:eastAsia="en-GB"/>
              </w:rPr>
            </w:pPr>
            <w:r w:rsidRPr="00CA4C14">
              <w:rPr>
                <w:lang w:val="ru-RU" w:eastAsia="en-GB"/>
              </w:rPr>
              <w:t>639</w:t>
            </w:r>
          </w:p>
        </w:tc>
      </w:tr>
      <w:tr w:rsidR="00EE4F94" w:rsidRPr="00CA4C14" w14:paraId="06287902" w14:textId="77777777" w:rsidTr="00C663FA">
        <w:trPr>
          <w:trHeight w:val="260"/>
          <w:jc w:val="center"/>
        </w:trPr>
        <w:tc>
          <w:tcPr>
            <w:tcW w:w="2892" w:type="pct"/>
            <w:tcBorders>
              <w:top w:val="nil"/>
              <w:left w:val="nil"/>
              <w:bottom w:val="nil"/>
              <w:right w:val="nil"/>
            </w:tcBorders>
            <w:shd w:val="clear" w:color="auto" w:fill="auto"/>
            <w:noWrap/>
            <w:vAlign w:val="bottom"/>
            <w:hideMark/>
          </w:tcPr>
          <w:p w14:paraId="57049065" w14:textId="77777777" w:rsidR="00EE4F94" w:rsidRPr="00CA4C14" w:rsidRDefault="00EE4F94" w:rsidP="00F0584A">
            <w:pPr>
              <w:pStyle w:val="Tabletext"/>
              <w:keepNext/>
              <w:rPr>
                <w:lang w:val="ru-RU" w:eastAsia="en-GB"/>
              </w:rPr>
            </w:pPr>
            <w:r w:rsidRPr="00CA4C14">
              <w:rPr>
                <w:szCs w:val="18"/>
                <w:lang w:val="ru-RU"/>
              </w:rPr>
              <w:t>Взносы – Академические организации – Члены</w:t>
            </w:r>
          </w:p>
        </w:tc>
        <w:tc>
          <w:tcPr>
            <w:tcW w:w="1054" w:type="pct"/>
            <w:tcBorders>
              <w:top w:val="nil"/>
              <w:left w:val="nil"/>
              <w:bottom w:val="nil"/>
              <w:right w:val="nil"/>
            </w:tcBorders>
            <w:shd w:val="clear" w:color="auto" w:fill="auto"/>
            <w:noWrap/>
            <w:vAlign w:val="bottom"/>
            <w:hideMark/>
          </w:tcPr>
          <w:p w14:paraId="65245692" w14:textId="77777777" w:rsidR="00EE4F94" w:rsidRPr="00CA4C14" w:rsidRDefault="00EE4F94" w:rsidP="00F0584A">
            <w:pPr>
              <w:pStyle w:val="Tabletext"/>
              <w:keepNext/>
              <w:jc w:val="right"/>
              <w:rPr>
                <w:lang w:val="ru-RU" w:eastAsia="en-GB"/>
              </w:rPr>
            </w:pPr>
            <w:r w:rsidRPr="00CA4C14">
              <w:rPr>
                <w:lang w:val="ru-RU" w:eastAsia="en-GB"/>
              </w:rPr>
              <w:t>135</w:t>
            </w:r>
          </w:p>
        </w:tc>
        <w:tc>
          <w:tcPr>
            <w:tcW w:w="1054" w:type="pct"/>
            <w:tcBorders>
              <w:top w:val="nil"/>
              <w:left w:val="nil"/>
              <w:bottom w:val="nil"/>
              <w:right w:val="nil"/>
            </w:tcBorders>
            <w:shd w:val="clear" w:color="auto" w:fill="auto"/>
            <w:noWrap/>
            <w:vAlign w:val="bottom"/>
            <w:hideMark/>
          </w:tcPr>
          <w:p w14:paraId="3E19FDC0" w14:textId="77777777" w:rsidR="00EE4F94" w:rsidRPr="00CA4C14" w:rsidRDefault="00EE4F94" w:rsidP="00F0584A">
            <w:pPr>
              <w:pStyle w:val="Tabletext"/>
              <w:keepNext/>
              <w:jc w:val="right"/>
              <w:rPr>
                <w:lang w:val="ru-RU" w:eastAsia="en-GB"/>
              </w:rPr>
            </w:pPr>
            <w:r w:rsidRPr="00CA4C14">
              <w:rPr>
                <w:lang w:val="ru-RU" w:eastAsia="en-GB"/>
              </w:rPr>
              <w:t>150</w:t>
            </w:r>
          </w:p>
        </w:tc>
      </w:tr>
      <w:tr w:rsidR="00EE4F94" w:rsidRPr="00CA4C14" w14:paraId="1A11963A" w14:textId="77777777" w:rsidTr="00C663FA">
        <w:trPr>
          <w:trHeight w:val="357"/>
          <w:jc w:val="center"/>
        </w:trPr>
        <w:tc>
          <w:tcPr>
            <w:tcW w:w="2892" w:type="pct"/>
            <w:tcBorders>
              <w:top w:val="nil"/>
              <w:left w:val="nil"/>
              <w:bottom w:val="nil"/>
              <w:right w:val="nil"/>
            </w:tcBorders>
            <w:shd w:val="clear" w:color="000000" w:fill="0070C0"/>
            <w:noWrap/>
            <w:vAlign w:val="center"/>
            <w:hideMark/>
          </w:tcPr>
          <w:p w14:paraId="59B6F56D" w14:textId="77777777" w:rsidR="00EE4F94" w:rsidRPr="00CA4C14" w:rsidRDefault="00EE4F94" w:rsidP="00C175CC">
            <w:pPr>
              <w:pStyle w:val="Tabletext"/>
              <w:rPr>
                <w:b/>
                <w:bCs/>
                <w:lang w:val="ru-RU" w:eastAsia="en-GB"/>
              </w:rPr>
            </w:pPr>
            <w:r w:rsidRPr="00CA4C14">
              <w:rPr>
                <w:b/>
                <w:bCs/>
                <w:szCs w:val="18"/>
                <w:lang w:val="ru-RU"/>
              </w:rPr>
              <w:t>Взносы, полученные авансом</w:t>
            </w:r>
          </w:p>
        </w:tc>
        <w:tc>
          <w:tcPr>
            <w:tcW w:w="1054" w:type="pct"/>
            <w:tcBorders>
              <w:top w:val="nil"/>
              <w:left w:val="nil"/>
              <w:bottom w:val="nil"/>
              <w:right w:val="nil"/>
            </w:tcBorders>
            <w:shd w:val="clear" w:color="000000" w:fill="0070C0"/>
            <w:noWrap/>
            <w:vAlign w:val="center"/>
            <w:hideMark/>
          </w:tcPr>
          <w:p w14:paraId="5AF23D2C" w14:textId="77777777" w:rsidR="00EE4F94" w:rsidRPr="00CA4C14" w:rsidRDefault="00EE4F94" w:rsidP="00C175CC">
            <w:pPr>
              <w:pStyle w:val="Tabletext"/>
              <w:jc w:val="right"/>
              <w:rPr>
                <w:b/>
                <w:bCs/>
                <w:lang w:val="ru-RU" w:eastAsia="en-GB"/>
              </w:rPr>
            </w:pPr>
            <w:r w:rsidRPr="00CA4C14">
              <w:rPr>
                <w:b/>
                <w:bCs/>
                <w:lang w:val="ru-RU" w:eastAsia="en-GB"/>
              </w:rPr>
              <w:t>50 544</w:t>
            </w:r>
          </w:p>
        </w:tc>
        <w:tc>
          <w:tcPr>
            <w:tcW w:w="1054" w:type="pct"/>
            <w:tcBorders>
              <w:top w:val="nil"/>
              <w:left w:val="nil"/>
              <w:bottom w:val="nil"/>
              <w:right w:val="nil"/>
            </w:tcBorders>
            <w:shd w:val="clear" w:color="000000" w:fill="0070C0"/>
            <w:noWrap/>
            <w:vAlign w:val="center"/>
            <w:hideMark/>
          </w:tcPr>
          <w:p w14:paraId="1A21B460" w14:textId="77777777" w:rsidR="00EE4F94" w:rsidRPr="00CA4C14" w:rsidRDefault="00EE4F94" w:rsidP="00C175CC">
            <w:pPr>
              <w:pStyle w:val="Tabletext"/>
              <w:jc w:val="right"/>
              <w:rPr>
                <w:b/>
                <w:bCs/>
                <w:lang w:val="ru-RU" w:eastAsia="en-GB"/>
              </w:rPr>
            </w:pPr>
            <w:r w:rsidRPr="00CA4C14">
              <w:rPr>
                <w:b/>
                <w:bCs/>
                <w:lang w:val="ru-RU" w:eastAsia="en-GB"/>
              </w:rPr>
              <w:t>50 823</w:t>
            </w:r>
          </w:p>
        </w:tc>
      </w:tr>
    </w:tbl>
    <w:p w14:paraId="2FBCF042" w14:textId="77777777" w:rsidR="00EE4F94" w:rsidRPr="00CA4C14" w:rsidRDefault="00EE4F94" w:rsidP="007C4496">
      <w:pPr>
        <w:rPr>
          <w:rFonts w:eastAsia="SimSun"/>
          <w:lang w:val="ru-RU"/>
        </w:rPr>
      </w:pPr>
      <w:r w:rsidRPr="00CA4C14">
        <w:rPr>
          <w:rFonts w:eastAsia="SimSun"/>
          <w:lang w:val="ru-RU"/>
        </w:rPr>
        <w:t xml:space="preserve">Как указано в Примечании 2, информация за 2022 год, включенная в таблицу ниже, была повторно представлена для повышения качества сведений и </w:t>
      </w:r>
      <w:proofErr w:type="spellStart"/>
      <w:r w:rsidRPr="00CA4C14">
        <w:rPr>
          <w:rFonts w:eastAsia="SimSun"/>
          <w:lang w:val="ru-RU"/>
        </w:rPr>
        <w:t>дезагрегирования</w:t>
      </w:r>
      <w:proofErr w:type="spellEnd"/>
      <w:r w:rsidRPr="00CA4C14">
        <w:rPr>
          <w:rFonts w:eastAsia="SimSun"/>
          <w:lang w:val="ru-RU"/>
        </w:rPr>
        <w:t xml:space="preserve"> компонентов доходов будущих периодов.</w:t>
      </w:r>
    </w:p>
    <w:p w14:paraId="7E59EEDC" w14:textId="241A67E4" w:rsidR="00EE4F94" w:rsidRPr="00CA4C14" w:rsidRDefault="00EE4F94" w:rsidP="007C4496">
      <w:pPr>
        <w:rPr>
          <w:rFonts w:eastAsia="SimSun"/>
          <w:lang w:val="ru-RU"/>
        </w:rPr>
      </w:pPr>
      <w:r w:rsidRPr="00CA4C14">
        <w:rPr>
          <w:rFonts w:eastAsia="SimSun"/>
          <w:lang w:val="ru-RU"/>
        </w:rPr>
        <w:t>По состоянию на 31 декабря 2023 года текущие доходы будущих периодов полностью связаны с запросами на регистрацию спутниковых сетей, которые были обработаны и по которым были выставлены счета в течение года, окончательная публикация которых</w:t>
      </w:r>
      <w:r w:rsidR="00917BA2" w:rsidRPr="00CA4C14">
        <w:rPr>
          <w:rFonts w:eastAsia="SimSun"/>
          <w:lang w:val="ru-RU"/>
        </w:rPr>
        <w:t>,</w:t>
      </w:r>
      <w:r w:rsidRPr="00CA4C14">
        <w:rPr>
          <w:rFonts w:eastAsia="SimSun"/>
          <w:lang w:val="ru-RU"/>
        </w:rPr>
        <w:t xml:space="preserve"> однако</w:t>
      </w:r>
      <w:r w:rsidR="00917BA2" w:rsidRPr="00CA4C14">
        <w:rPr>
          <w:rFonts w:eastAsia="SimSun"/>
          <w:lang w:val="ru-RU"/>
        </w:rPr>
        <w:t>,</w:t>
      </w:r>
      <w:r w:rsidRPr="00CA4C14">
        <w:rPr>
          <w:rFonts w:eastAsia="SimSun"/>
          <w:lang w:val="ru-RU"/>
        </w:rPr>
        <w:t xml:space="preserve"> не была произведена в Международном информационном циркуляре по частотам (ИФИК БР) до окончания 2023 года. </w:t>
      </w:r>
      <w:proofErr w:type="spellStart"/>
      <w:r w:rsidRPr="00CA4C14">
        <w:rPr>
          <w:rFonts w:eastAsia="SimSun"/>
          <w:lang w:val="ru-RU"/>
        </w:rPr>
        <w:t>Нетекущие</w:t>
      </w:r>
      <w:proofErr w:type="spellEnd"/>
      <w:r w:rsidRPr="00CA4C14">
        <w:rPr>
          <w:rFonts w:eastAsia="SimSun"/>
          <w:lang w:val="ru-RU"/>
        </w:rPr>
        <w:t xml:space="preserve"> доходы будущих периодов связаны с долгосрочной частью текущего проекта развития цифровой трансформации.</w:t>
      </w:r>
    </w:p>
    <w:p w14:paraId="5B2D7AC9" w14:textId="77777777" w:rsidR="00EE4F94" w:rsidRPr="00CA4C14" w:rsidRDefault="00EE4F94" w:rsidP="000C6E3F">
      <w:pPr>
        <w:spacing w:after="120"/>
        <w:rPr>
          <w:rFonts w:eastAsia="SimSun"/>
          <w:highlight w:val="lightGray"/>
          <w:lang w:val="ru-RU"/>
        </w:rPr>
      </w:pPr>
      <w:r w:rsidRPr="00CA4C14">
        <w:rPr>
          <w:rFonts w:eastAsia="SimSun"/>
          <w:lang w:val="ru-RU"/>
        </w:rPr>
        <w:t>Все доходы будущих периодов, связанные со спонсированием строительства нового здания, накопленные по состоянию на 31 декабря 2022 года, были признаны в 2023 году.</w:t>
      </w:r>
    </w:p>
    <w:tbl>
      <w:tblPr>
        <w:tblW w:w="5000" w:type="pct"/>
        <w:tblLayout w:type="fixed"/>
        <w:tblLook w:val="04A0" w:firstRow="1" w:lastRow="0" w:firstColumn="1" w:lastColumn="0" w:noHBand="0" w:noVBand="1"/>
      </w:tblPr>
      <w:tblGrid>
        <w:gridCol w:w="5189"/>
        <w:gridCol w:w="1941"/>
        <w:gridCol w:w="1941"/>
      </w:tblGrid>
      <w:tr w:rsidR="00EE4F94" w:rsidRPr="00CA4C14" w14:paraId="45196799" w14:textId="77777777" w:rsidTr="000C6E3F">
        <w:tc>
          <w:tcPr>
            <w:tcW w:w="2860" w:type="pct"/>
            <w:tcBorders>
              <w:top w:val="nil"/>
              <w:left w:val="nil"/>
              <w:bottom w:val="nil"/>
              <w:right w:val="nil"/>
            </w:tcBorders>
            <w:shd w:val="clear" w:color="000000" w:fill="0070C0"/>
            <w:noWrap/>
            <w:vAlign w:val="center"/>
            <w:hideMark/>
          </w:tcPr>
          <w:p w14:paraId="0D298B86" w14:textId="77777777" w:rsidR="00EE4F94" w:rsidRPr="00CA4C14" w:rsidRDefault="00EE4F94" w:rsidP="00844423">
            <w:pPr>
              <w:pStyle w:val="Tablehead"/>
              <w:rPr>
                <w:lang w:val="ru-RU" w:eastAsia="en-GB"/>
              </w:rPr>
            </w:pPr>
            <w:r w:rsidRPr="00CA4C14">
              <w:rPr>
                <w:lang w:val="ru-RU" w:eastAsia="en-GB"/>
              </w:rPr>
              <w:t>Описание (тыс. шв. фр.)</w:t>
            </w:r>
          </w:p>
        </w:tc>
        <w:tc>
          <w:tcPr>
            <w:tcW w:w="1070" w:type="pct"/>
            <w:tcBorders>
              <w:top w:val="nil"/>
              <w:left w:val="nil"/>
              <w:bottom w:val="nil"/>
              <w:right w:val="nil"/>
            </w:tcBorders>
            <w:shd w:val="clear" w:color="000000" w:fill="0070C0"/>
            <w:vAlign w:val="center"/>
            <w:hideMark/>
          </w:tcPr>
          <w:p w14:paraId="0DDA54A5" w14:textId="77777777" w:rsidR="00EE4F94" w:rsidRPr="00CA4C14" w:rsidRDefault="00EE4F94" w:rsidP="00844423">
            <w:pPr>
              <w:pStyle w:val="Tablehead"/>
              <w:rPr>
                <w:lang w:val="ru-RU" w:eastAsia="en-GB"/>
              </w:rPr>
            </w:pPr>
            <w:r w:rsidRPr="00CA4C14">
              <w:rPr>
                <w:lang w:val="ru-RU" w:eastAsia="en-GB"/>
              </w:rPr>
              <w:t>31 декабря 2023 г.</w:t>
            </w:r>
          </w:p>
        </w:tc>
        <w:tc>
          <w:tcPr>
            <w:tcW w:w="1070" w:type="pct"/>
            <w:tcBorders>
              <w:top w:val="nil"/>
              <w:left w:val="nil"/>
              <w:bottom w:val="nil"/>
              <w:right w:val="nil"/>
            </w:tcBorders>
            <w:shd w:val="clear" w:color="000000" w:fill="0070C0"/>
            <w:vAlign w:val="center"/>
            <w:hideMark/>
          </w:tcPr>
          <w:p w14:paraId="0BEE03EE" w14:textId="77777777" w:rsidR="00EE4F94" w:rsidRPr="00CA4C14" w:rsidRDefault="00EE4F94" w:rsidP="00844423">
            <w:pPr>
              <w:pStyle w:val="Tablehead"/>
              <w:rPr>
                <w:lang w:val="ru-RU" w:eastAsia="en-GB"/>
              </w:rPr>
            </w:pPr>
            <w:r w:rsidRPr="00CA4C14">
              <w:rPr>
                <w:lang w:val="ru-RU" w:eastAsia="en-GB"/>
              </w:rPr>
              <w:t>31 декабря 2022 г.</w:t>
            </w:r>
          </w:p>
        </w:tc>
      </w:tr>
      <w:tr w:rsidR="00EE4F94" w:rsidRPr="00CA4C14" w14:paraId="425676D3" w14:textId="77777777" w:rsidTr="000C6E3F">
        <w:tc>
          <w:tcPr>
            <w:tcW w:w="2860" w:type="pct"/>
            <w:tcBorders>
              <w:top w:val="nil"/>
              <w:left w:val="nil"/>
              <w:bottom w:val="nil"/>
              <w:right w:val="nil"/>
            </w:tcBorders>
            <w:shd w:val="clear" w:color="auto" w:fill="auto"/>
            <w:noWrap/>
            <w:vAlign w:val="bottom"/>
            <w:hideMark/>
          </w:tcPr>
          <w:p w14:paraId="7AA843E0" w14:textId="77777777" w:rsidR="00EE4F94" w:rsidRPr="00CA4C14" w:rsidRDefault="00EE4F94" w:rsidP="00844423">
            <w:pPr>
              <w:pStyle w:val="Tabletext"/>
              <w:keepNext/>
              <w:rPr>
                <w:szCs w:val="18"/>
                <w:highlight w:val="lightGray"/>
                <w:lang w:val="ru-RU"/>
              </w:rPr>
            </w:pPr>
            <w:r w:rsidRPr="00CA4C14">
              <w:rPr>
                <w:szCs w:val="18"/>
                <w:lang w:val="ru-RU"/>
              </w:rPr>
              <w:t xml:space="preserve">Доходы будущих периодов, текущие − </w:t>
            </w:r>
            <w:r w:rsidRPr="00CA4C14">
              <w:rPr>
                <w:szCs w:val="18"/>
                <w:lang w:val="ru-RU"/>
              </w:rPr>
              <w:br/>
              <w:t>заявки на регистрацию спутниковых сетей</w:t>
            </w:r>
          </w:p>
        </w:tc>
        <w:tc>
          <w:tcPr>
            <w:tcW w:w="1070" w:type="pct"/>
            <w:tcBorders>
              <w:top w:val="nil"/>
              <w:left w:val="nil"/>
              <w:bottom w:val="nil"/>
              <w:right w:val="nil"/>
            </w:tcBorders>
            <w:shd w:val="clear" w:color="auto" w:fill="auto"/>
            <w:noWrap/>
            <w:vAlign w:val="bottom"/>
            <w:hideMark/>
          </w:tcPr>
          <w:p w14:paraId="2440ECC6" w14:textId="77777777" w:rsidR="00EE4F94" w:rsidRPr="00CA4C14" w:rsidRDefault="00EE4F94" w:rsidP="00844423">
            <w:pPr>
              <w:pStyle w:val="Tabletext"/>
              <w:keepNext/>
              <w:jc w:val="right"/>
              <w:rPr>
                <w:szCs w:val="18"/>
                <w:lang w:val="ru-RU"/>
              </w:rPr>
            </w:pPr>
            <w:r w:rsidRPr="00CA4C14">
              <w:rPr>
                <w:szCs w:val="18"/>
                <w:lang w:val="ru-RU"/>
              </w:rPr>
              <w:t>3 590</w:t>
            </w:r>
          </w:p>
        </w:tc>
        <w:tc>
          <w:tcPr>
            <w:tcW w:w="1070" w:type="pct"/>
            <w:tcBorders>
              <w:top w:val="nil"/>
              <w:left w:val="nil"/>
              <w:bottom w:val="nil"/>
              <w:right w:val="nil"/>
            </w:tcBorders>
            <w:shd w:val="clear" w:color="auto" w:fill="auto"/>
            <w:noWrap/>
            <w:vAlign w:val="bottom"/>
            <w:hideMark/>
          </w:tcPr>
          <w:p w14:paraId="69C84045" w14:textId="77777777" w:rsidR="00EE4F94" w:rsidRPr="00CA4C14" w:rsidRDefault="00EE4F94" w:rsidP="00844423">
            <w:pPr>
              <w:pStyle w:val="Tabletext"/>
              <w:keepNext/>
              <w:jc w:val="right"/>
              <w:rPr>
                <w:szCs w:val="18"/>
                <w:lang w:val="ru-RU"/>
              </w:rPr>
            </w:pPr>
            <w:r w:rsidRPr="00CA4C14">
              <w:rPr>
                <w:szCs w:val="18"/>
                <w:lang w:val="ru-RU"/>
              </w:rPr>
              <w:t>5 096</w:t>
            </w:r>
          </w:p>
        </w:tc>
      </w:tr>
      <w:tr w:rsidR="00EE4F94" w:rsidRPr="00CA4C14" w14:paraId="6CF64A41" w14:textId="77777777" w:rsidTr="000C6E3F">
        <w:tc>
          <w:tcPr>
            <w:tcW w:w="2860" w:type="pct"/>
            <w:tcBorders>
              <w:top w:val="nil"/>
              <w:left w:val="nil"/>
              <w:bottom w:val="nil"/>
              <w:right w:val="nil"/>
            </w:tcBorders>
            <w:shd w:val="clear" w:color="auto" w:fill="auto"/>
            <w:noWrap/>
            <w:vAlign w:val="bottom"/>
            <w:hideMark/>
          </w:tcPr>
          <w:p w14:paraId="0A195BBD" w14:textId="77777777" w:rsidR="00EE4F94" w:rsidRPr="00CA4C14" w:rsidRDefault="00EE4F94" w:rsidP="00844423">
            <w:pPr>
              <w:pStyle w:val="Tabletext"/>
              <w:keepNext/>
              <w:rPr>
                <w:szCs w:val="18"/>
                <w:highlight w:val="lightGray"/>
                <w:lang w:val="ru-RU"/>
              </w:rPr>
            </w:pPr>
            <w:r w:rsidRPr="00CA4C14">
              <w:rPr>
                <w:szCs w:val="18"/>
                <w:lang w:val="ru-RU"/>
              </w:rPr>
              <w:t>Спонсорские взносы на новое здание</w:t>
            </w:r>
          </w:p>
        </w:tc>
        <w:tc>
          <w:tcPr>
            <w:tcW w:w="1070" w:type="pct"/>
            <w:tcBorders>
              <w:top w:val="nil"/>
              <w:left w:val="nil"/>
              <w:bottom w:val="nil"/>
              <w:right w:val="nil"/>
            </w:tcBorders>
            <w:shd w:val="clear" w:color="auto" w:fill="auto"/>
            <w:noWrap/>
            <w:vAlign w:val="bottom"/>
            <w:hideMark/>
          </w:tcPr>
          <w:p w14:paraId="09E12865" w14:textId="77777777" w:rsidR="00EE4F94" w:rsidRPr="00CA4C14" w:rsidRDefault="00EE4F94" w:rsidP="00844423">
            <w:pPr>
              <w:pStyle w:val="Tabletext"/>
              <w:keepNext/>
              <w:jc w:val="right"/>
              <w:rPr>
                <w:szCs w:val="18"/>
                <w:lang w:val="ru-RU"/>
              </w:rPr>
            </w:pPr>
          </w:p>
        </w:tc>
        <w:tc>
          <w:tcPr>
            <w:tcW w:w="1070" w:type="pct"/>
            <w:tcBorders>
              <w:top w:val="nil"/>
              <w:left w:val="nil"/>
              <w:bottom w:val="nil"/>
              <w:right w:val="nil"/>
            </w:tcBorders>
            <w:shd w:val="clear" w:color="auto" w:fill="auto"/>
            <w:noWrap/>
            <w:vAlign w:val="bottom"/>
            <w:hideMark/>
          </w:tcPr>
          <w:p w14:paraId="1DD77027" w14:textId="77777777" w:rsidR="00EE4F94" w:rsidRPr="00CA4C14" w:rsidRDefault="00EE4F94" w:rsidP="00844423">
            <w:pPr>
              <w:pStyle w:val="Tabletext"/>
              <w:keepNext/>
              <w:jc w:val="right"/>
              <w:rPr>
                <w:szCs w:val="18"/>
                <w:lang w:val="ru-RU"/>
              </w:rPr>
            </w:pPr>
            <w:r w:rsidRPr="00CA4C14">
              <w:rPr>
                <w:szCs w:val="18"/>
                <w:lang w:val="ru-RU"/>
              </w:rPr>
              <w:t>4 915</w:t>
            </w:r>
          </w:p>
        </w:tc>
      </w:tr>
      <w:tr w:rsidR="00EE4F94" w:rsidRPr="00CA4C14" w14:paraId="6144DA3F" w14:textId="77777777" w:rsidTr="000C6E3F">
        <w:tc>
          <w:tcPr>
            <w:tcW w:w="2860" w:type="pct"/>
            <w:tcBorders>
              <w:top w:val="nil"/>
              <w:left w:val="nil"/>
              <w:bottom w:val="nil"/>
              <w:right w:val="nil"/>
            </w:tcBorders>
            <w:shd w:val="clear" w:color="auto" w:fill="auto"/>
            <w:noWrap/>
            <w:vAlign w:val="bottom"/>
            <w:hideMark/>
          </w:tcPr>
          <w:p w14:paraId="3F8B8165" w14:textId="77777777" w:rsidR="00EE4F94" w:rsidRPr="00CA4C14" w:rsidRDefault="00EE4F94" w:rsidP="00844423">
            <w:pPr>
              <w:pStyle w:val="Tabletext"/>
              <w:keepNext/>
              <w:rPr>
                <w:szCs w:val="18"/>
                <w:highlight w:val="lightGray"/>
                <w:lang w:val="ru-RU"/>
              </w:rPr>
            </w:pPr>
            <w:r w:rsidRPr="00CA4C14">
              <w:rPr>
                <w:szCs w:val="18"/>
                <w:lang w:val="ru-RU"/>
              </w:rPr>
              <w:t xml:space="preserve">Доходы будущих периодов, </w:t>
            </w:r>
            <w:proofErr w:type="spellStart"/>
            <w:r w:rsidRPr="00CA4C14">
              <w:rPr>
                <w:szCs w:val="18"/>
                <w:lang w:val="ru-RU"/>
              </w:rPr>
              <w:t>нетекущие</w:t>
            </w:r>
            <w:proofErr w:type="spellEnd"/>
            <w:r w:rsidRPr="00CA4C14">
              <w:rPr>
                <w:szCs w:val="18"/>
                <w:lang w:val="ru-RU"/>
              </w:rPr>
              <w:t xml:space="preserve"> </w:t>
            </w:r>
          </w:p>
        </w:tc>
        <w:tc>
          <w:tcPr>
            <w:tcW w:w="1070" w:type="pct"/>
            <w:tcBorders>
              <w:top w:val="nil"/>
              <w:left w:val="nil"/>
              <w:bottom w:val="nil"/>
              <w:right w:val="nil"/>
            </w:tcBorders>
            <w:shd w:val="clear" w:color="auto" w:fill="auto"/>
            <w:noWrap/>
            <w:vAlign w:val="bottom"/>
            <w:hideMark/>
          </w:tcPr>
          <w:p w14:paraId="65EFDB2D" w14:textId="77777777" w:rsidR="00EE4F94" w:rsidRPr="00CA4C14" w:rsidRDefault="00EE4F94" w:rsidP="00844423">
            <w:pPr>
              <w:pStyle w:val="Tabletext"/>
              <w:keepNext/>
              <w:jc w:val="right"/>
              <w:rPr>
                <w:szCs w:val="18"/>
                <w:lang w:val="ru-RU"/>
              </w:rPr>
            </w:pPr>
            <w:r w:rsidRPr="00CA4C14">
              <w:rPr>
                <w:szCs w:val="18"/>
                <w:lang w:val="ru-RU"/>
              </w:rPr>
              <w:t>2 780</w:t>
            </w:r>
          </w:p>
        </w:tc>
        <w:tc>
          <w:tcPr>
            <w:tcW w:w="1070" w:type="pct"/>
            <w:tcBorders>
              <w:top w:val="nil"/>
              <w:left w:val="nil"/>
              <w:bottom w:val="nil"/>
              <w:right w:val="nil"/>
            </w:tcBorders>
            <w:shd w:val="clear" w:color="auto" w:fill="auto"/>
            <w:noWrap/>
            <w:vAlign w:val="bottom"/>
            <w:hideMark/>
          </w:tcPr>
          <w:p w14:paraId="3DB8453C" w14:textId="77777777" w:rsidR="00EE4F94" w:rsidRPr="00CA4C14" w:rsidRDefault="00EE4F94" w:rsidP="00844423">
            <w:pPr>
              <w:pStyle w:val="Tabletext"/>
              <w:keepNext/>
              <w:jc w:val="right"/>
              <w:rPr>
                <w:szCs w:val="18"/>
                <w:lang w:val="ru-RU"/>
              </w:rPr>
            </w:pPr>
          </w:p>
        </w:tc>
      </w:tr>
      <w:tr w:rsidR="00EE4F94" w:rsidRPr="00CA4C14" w14:paraId="786E49EC" w14:textId="77777777" w:rsidTr="000C6E3F">
        <w:tc>
          <w:tcPr>
            <w:tcW w:w="2860" w:type="pct"/>
            <w:tcBorders>
              <w:top w:val="nil"/>
              <w:left w:val="nil"/>
              <w:bottom w:val="nil"/>
              <w:right w:val="nil"/>
            </w:tcBorders>
            <w:shd w:val="clear" w:color="000000" w:fill="0070C0"/>
            <w:noWrap/>
            <w:vAlign w:val="center"/>
            <w:hideMark/>
          </w:tcPr>
          <w:p w14:paraId="29759FB8" w14:textId="77777777" w:rsidR="00EE4F94" w:rsidRPr="00CA4C14" w:rsidRDefault="00EE4F94" w:rsidP="00844423">
            <w:pPr>
              <w:pStyle w:val="Tabletext"/>
              <w:rPr>
                <w:b/>
                <w:bCs/>
                <w:szCs w:val="18"/>
                <w:lang w:val="ru-RU"/>
              </w:rPr>
            </w:pPr>
            <w:r w:rsidRPr="00CA4C14">
              <w:rPr>
                <w:b/>
                <w:bCs/>
                <w:szCs w:val="18"/>
                <w:lang w:val="ru-RU"/>
              </w:rPr>
              <w:t>Доходы будущих периодов</w:t>
            </w:r>
          </w:p>
        </w:tc>
        <w:tc>
          <w:tcPr>
            <w:tcW w:w="1070" w:type="pct"/>
            <w:tcBorders>
              <w:top w:val="nil"/>
              <w:left w:val="nil"/>
              <w:bottom w:val="nil"/>
              <w:right w:val="nil"/>
            </w:tcBorders>
            <w:shd w:val="clear" w:color="000000" w:fill="0070C0"/>
            <w:noWrap/>
            <w:vAlign w:val="center"/>
            <w:hideMark/>
          </w:tcPr>
          <w:p w14:paraId="207D20D9" w14:textId="77777777" w:rsidR="00EE4F94" w:rsidRPr="00CA4C14" w:rsidRDefault="00EE4F94" w:rsidP="00844423">
            <w:pPr>
              <w:pStyle w:val="Tabletext"/>
              <w:jc w:val="right"/>
              <w:rPr>
                <w:b/>
                <w:bCs/>
                <w:szCs w:val="18"/>
                <w:lang w:val="ru-RU"/>
              </w:rPr>
            </w:pPr>
            <w:r w:rsidRPr="00CA4C14">
              <w:rPr>
                <w:b/>
                <w:bCs/>
                <w:szCs w:val="18"/>
                <w:lang w:val="ru-RU"/>
              </w:rPr>
              <w:t>6 370</w:t>
            </w:r>
          </w:p>
        </w:tc>
        <w:tc>
          <w:tcPr>
            <w:tcW w:w="1070" w:type="pct"/>
            <w:tcBorders>
              <w:top w:val="nil"/>
              <w:left w:val="nil"/>
              <w:bottom w:val="nil"/>
              <w:right w:val="nil"/>
            </w:tcBorders>
            <w:shd w:val="clear" w:color="000000" w:fill="0070C0"/>
            <w:noWrap/>
            <w:vAlign w:val="center"/>
            <w:hideMark/>
          </w:tcPr>
          <w:p w14:paraId="7B61F7D9" w14:textId="77777777" w:rsidR="00EE4F94" w:rsidRPr="00CA4C14" w:rsidRDefault="00EE4F94" w:rsidP="00844423">
            <w:pPr>
              <w:pStyle w:val="Tabletext"/>
              <w:jc w:val="right"/>
              <w:rPr>
                <w:b/>
                <w:bCs/>
                <w:szCs w:val="18"/>
                <w:lang w:val="ru-RU"/>
              </w:rPr>
            </w:pPr>
            <w:r w:rsidRPr="00CA4C14">
              <w:rPr>
                <w:b/>
                <w:bCs/>
                <w:szCs w:val="18"/>
                <w:lang w:val="ru-RU"/>
              </w:rPr>
              <w:t>10 011</w:t>
            </w:r>
          </w:p>
        </w:tc>
      </w:tr>
    </w:tbl>
    <w:p w14:paraId="3A16D9F2" w14:textId="77777777" w:rsidR="00EE4F94" w:rsidRPr="00CA4C14" w:rsidRDefault="00EE4F94" w:rsidP="009C3744">
      <w:pPr>
        <w:pStyle w:val="Heading5"/>
        <w:rPr>
          <w:bCs/>
          <w:lang w:val="ru-RU"/>
        </w:rPr>
      </w:pPr>
      <w:bookmarkStart w:id="397" w:name="_Toc305764089"/>
      <w:bookmarkStart w:id="398" w:name="_Toc2021876045"/>
      <w:bookmarkStart w:id="399" w:name="_Toc164845562"/>
      <w:bookmarkStart w:id="400" w:name="_Toc168578476"/>
      <w:r w:rsidRPr="00CA4C14">
        <w:rPr>
          <w:lang w:val="ru-RU"/>
        </w:rPr>
        <w:t>Примечание 16</w:t>
      </w:r>
      <w:r w:rsidRPr="00CA4C14">
        <w:rPr>
          <w:lang w:val="ru-RU"/>
        </w:rPr>
        <w:tab/>
      </w:r>
      <w:bookmarkEnd w:id="397"/>
      <w:bookmarkEnd w:id="398"/>
      <w:bookmarkEnd w:id="399"/>
      <w:r w:rsidRPr="00CA4C14">
        <w:rPr>
          <w:lang w:val="ru-RU"/>
        </w:rPr>
        <w:t>Займы и прочая финансовая задолженность</w:t>
      </w:r>
      <w:bookmarkEnd w:id="400"/>
    </w:p>
    <w:tbl>
      <w:tblPr>
        <w:tblW w:w="5000" w:type="pct"/>
        <w:jc w:val="center"/>
        <w:tblLayout w:type="fixed"/>
        <w:tblLook w:val="04A0" w:firstRow="1" w:lastRow="0" w:firstColumn="1" w:lastColumn="0" w:noHBand="0" w:noVBand="1"/>
      </w:tblPr>
      <w:tblGrid>
        <w:gridCol w:w="3825"/>
        <w:gridCol w:w="1312"/>
        <w:gridCol w:w="1312"/>
        <w:gridCol w:w="1312"/>
        <w:gridCol w:w="1310"/>
      </w:tblGrid>
      <w:tr w:rsidR="00EE4F94" w:rsidRPr="00CA4C14" w14:paraId="2DCE620F" w14:textId="77777777" w:rsidTr="00BC4904">
        <w:trPr>
          <w:trHeight w:val="530"/>
          <w:jc w:val="center"/>
        </w:trPr>
        <w:tc>
          <w:tcPr>
            <w:tcW w:w="2108" w:type="pct"/>
            <w:tcBorders>
              <w:top w:val="nil"/>
              <w:left w:val="nil"/>
              <w:bottom w:val="nil"/>
              <w:right w:val="nil"/>
            </w:tcBorders>
            <w:shd w:val="clear" w:color="000000" w:fill="0070C0"/>
            <w:noWrap/>
            <w:vAlign w:val="center"/>
            <w:hideMark/>
          </w:tcPr>
          <w:p w14:paraId="19B3F275" w14:textId="77777777" w:rsidR="00EE4F94" w:rsidRPr="00CA4C14" w:rsidRDefault="00EE4F94" w:rsidP="00003EC2">
            <w:pPr>
              <w:pStyle w:val="Tablehead"/>
              <w:rPr>
                <w:lang w:val="ru-RU" w:eastAsia="en-GB"/>
              </w:rPr>
            </w:pPr>
            <w:r w:rsidRPr="00CA4C14">
              <w:rPr>
                <w:szCs w:val="18"/>
                <w:lang w:val="ru-RU" w:eastAsia="en-GB"/>
              </w:rPr>
              <w:t>Описание (тыс. шв. фр.)</w:t>
            </w:r>
          </w:p>
        </w:tc>
        <w:tc>
          <w:tcPr>
            <w:tcW w:w="723" w:type="pct"/>
            <w:tcBorders>
              <w:top w:val="nil"/>
              <w:left w:val="nil"/>
              <w:bottom w:val="nil"/>
              <w:right w:val="nil"/>
            </w:tcBorders>
            <w:shd w:val="clear" w:color="000000" w:fill="0070C0"/>
            <w:noWrap/>
            <w:vAlign w:val="center"/>
            <w:hideMark/>
          </w:tcPr>
          <w:p w14:paraId="2769284E" w14:textId="77777777" w:rsidR="00EE4F94" w:rsidRPr="00CA4C14" w:rsidRDefault="00EE4F94" w:rsidP="00003EC2">
            <w:pPr>
              <w:pStyle w:val="Tablehead"/>
              <w:rPr>
                <w:lang w:val="ru-RU" w:eastAsia="en-GB"/>
              </w:rPr>
            </w:pPr>
            <w:r w:rsidRPr="00CA4C14">
              <w:rPr>
                <w:lang w:val="ru-RU" w:eastAsia="en-GB"/>
              </w:rPr>
              <w:t>Ссуда</w:t>
            </w:r>
          </w:p>
        </w:tc>
        <w:tc>
          <w:tcPr>
            <w:tcW w:w="723" w:type="pct"/>
            <w:tcBorders>
              <w:top w:val="nil"/>
              <w:left w:val="nil"/>
              <w:bottom w:val="nil"/>
              <w:right w:val="nil"/>
            </w:tcBorders>
            <w:shd w:val="clear" w:color="000000" w:fill="0070C0"/>
            <w:noWrap/>
            <w:vAlign w:val="center"/>
            <w:hideMark/>
          </w:tcPr>
          <w:p w14:paraId="083BFBDA" w14:textId="77777777" w:rsidR="00EE4F94" w:rsidRPr="00CA4C14" w:rsidRDefault="00EE4F94" w:rsidP="00003EC2">
            <w:pPr>
              <w:pStyle w:val="Tablehead"/>
              <w:rPr>
                <w:lang w:val="ru-RU" w:eastAsia="en-GB"/>
              </w:rPr>
            </w:pPr>
            <w:r w:rsidRPr="00CA4C14">
              <w:rPr>
                <w:szCs w:val="18"/>
                <w:lang w:val="ru-RU"/>
              </w:rPr>
              <w:t>Срок оплаты</w:t>
            </w:r>
          </w:p>
        </w:tc>
        <w:tc>
          <w:tcPr>
            <w:tcW w:w="723" w:type="pct"/>
            <w:tcBorders>
              <w:top w:val="nil"/>
              <w:left w:val="nil"/>
              <w:bottom w:val="nil"/>
              <w:right w:val="nil"/>
            </w:tcBorders>
            <w:shd w:val="clear" w:color="000000" w:fill="0070C0"/>
            <w:vAlign w:val="center"/>
            <w:hideMark/>
          </w:tcPr>
          <w:p w14:paraId="00398090" w14:textId="77777777" w:rsidR="00EE4F94" w:rsidRPr="00CA4C14" w:rsidRDefault="00EE4F94" w:rsidP="00003EC2">
            <w:pPr>
              <w:pStyle w:val="Tablehead"/>
              <w:rPr>
                <w:lang w:val="ru-RU" w:eastAsia="en-GB"/>
              </w:rPr>
            </w:pPr>
            <w:r w:rsidRPr="00CA4C14">
              <w:rPr>
                <w:lang w:val="ru-RU" w:eastAsia="en-GB"/>
              </w:rPr>
              <w:t>31 декабря 2023 г.</w:t>
            </w:r>
          </w:p>
        </w:tc>
        <w:tc>
          <w:tcPr>
            <w:tcW w:w="722" w:type="pct"/>
            <w:tcBorders>
              <w:top w:val="nil"/>
              <w:left w:val="nil"/>
              <w:bottom w:val="nil"/>
              <w:right w:val="nil"/>
            </w:tcBorders>
            <w:shd w:val="clear" w:color="000000" w:fill="0070C0"/>
            <w:vAlign w:val="center"/>
            <w:hideMark/>
          </w:tcPr>
          <w:p w14:paraId="3905C7CA" w14:textId="77777777" w:rsidR="00EE4F94" w:rsidRPr="00CA4C14" w:rsidRDefault="00EE4F94" w:rsidP="00003EC2">
            <w:pPr>
              <w:pStyle w:val="Tablehead"/>
              <w:rPr>
                <w:lang w:val="ru-RU" w:eastAsia="en-GB"/>
              </w:rPr>
            </w:pPr>
            <w:r w:rsidRPr="00CA4C14">
              <w:rPr>
                <w:lang w:val="ru-RU" w:eastAsia="en-GB"/>
              </w:rPr>
              <w:t>31 декабря 2022 г.</w:t>
            </w:r>
          </w:p>
        </w:tc>
      </w:tr>
      <w:tr w:rsidR="00EE4F94" w:rsidRPr="00CA4C14" w14:paraId="5BC31516" w14:textId="77777777" w:rsidTr="00BC4904">
        <w:trPr>
          <w:trHeight w:val="260"/>
          <w:jc w:val="center"/>
        </w:trPr>
        <w:tc>
          <w:tcPr>
            <w:tcW w:w="2108" w:type="pct"/>
            <w:tcBorders>
              <w:top w:val="nil"/>
              <w:left w:val="nil"/>
              <w:bottom w:val="nil"/>
              <w:right w:val="nil"/>
            </w:tcBorders>
            <w:shd w:val="clear" w:color="auto" w:fill="auto"/>
            <w:vAlign w:val="center"/>
            <w:hideMark/>
          </w:tcPr>
          <w:p w14:paraId="61949ADC" w14:textId="77777777" w:rsidR="00EE4F94" w:rsidRPr="00CA4C14" w:rsidRDefault="00EE4F94" w:rsidP="00003EC2">
            <w:pPr>
              <w:pStyle w:val="Tabletext"/>
              <w:keepNext/>
              <w:rPr>
                <w:b/>
                <w:bCs/>
                <w:lang w:val="ru-RU" w:eastAsia="en-GB"/>
              </w:rPr>
            </w:pPr>
            <w:r w:rsidRPr="00CA4C14">
              <w:rPr>
                <w:b/>
                <w:bCs/>
                <w:lang w:val="ru-RU" w:eastAsia="en-GB"/>
              </w:rPr>
              <w:t>Чистая текущая стоимость займов</w:t>
            </w:r>
          </w:p>
        </w:tc>
        <w:tc>
          <w:tcPr>
            <w:tcW w:w="723" w:type="pct"/>
            <w:tcBorders>
              <w:top w:val="nil"/>
              <w:left w:val="nil"/>
              <w:bottom w:val="nil"/>
              <w:right w:val="nil"/>
            </w:tcBorders>
            <w:shd w:val="clear" w:color="auto" w:fill="auto"/>
            <w:vAlign w:val="center"/>
            <w:hideMark/>
          </w:tcPr>
          <w:p w14:paraId="1D05D9B8" w14:textId="77777777" w:rsidR="00EE4F94" w:rsidRPr="00CA4C14" w:rsidRDefault="00EE4F94" w:rsidP="00003EC2">
            <w:pPr>
              <w:pStyle w:val="Tabletext"/>
              <w:keepNext/>
              <w:rPr>
                <w:b/>
                <w:bCs/>
                <w:lang w:val="ru-RU" w:eastAsia="en-GB"/>
              </w:rPr>
            </w:pPr>
          </w:p>
        </w:tc>
        <w:tc>
          <w:tcPr>
            <w:tcW w:w="723" w:type="pct"/>
            <w:tcBorders>
              <w:top w:val="nil"/>
              <w:left w:val="nil"/>
              <w:bottom w:val="nil"/>
              <w:right w:val="nil"/>
            </w:tcBorders>
            <w:shd w:val="clear" w:color="auto" w:fill="auto"/>
            <w:vAlign w:val="center"/>
            <w:hideMark/>
          </w:tcPr>
          <w:p w14:paraId="047E1BA0" w14:textId="77777777" w:rsidR="00EE4F94" w:rsidRPr="00CA4C14" w:rsidRDefault="00EE4F94" w:rsidP="00003EC2">
            <w:pPr>
              <w:pStyle w:val="Tabletext"/>
              <w:keepNext/>
              <w:rPr>
                <w:rFonts w:ascii="Times New Roman" w:hAnsi="Times New Roman"/>
                <w:b/>
                <w:bCs/>
                <w:lang w:val="ru-RU" w:eastAsia="en-GB"/>
              </w:rPr>
            </w:pPr>
          </w:p>
        </w:tc>
        <w:tc>
          <w:tcPr>
            <w:tcW w:w="723" w:type="pct"/>
            <w:tcBorders>
              <w:top w:val="nil"/>
              <w:left w:val="nil"/>
              <w:bottom w:val="nil"/>
              <w:right w:val="nil"/>
            </w:tcBorders>
            <w:shd w:val="clear" w:color="auto" w:fill="auto"/>
            <w:vAlign w:val="center"/>
            <w:hideMark/>
          </w:tcPr>
          <w:p w14:paraId="74F669F1" w14:textId="77777777" w:rsidR="00EE4F94" w:rsidRPr="00CA4C14" w:rsidRDefault="00EE4F94" w:rsidP="00003EC2">
            <w:pPr>
              <w:pStyle w:val="Tabletext"/>
              <w:keepNext/>
              <w:rPr>
                <w:rFonts w:ascii="Times New Roman" w:hAnsi="Times New Roman"/>
                <w:b/>
                <w:bCs/>
                <w:lang w:val="ru-RU" w:eastAsia="en-GB"/>
              </w:rPr>
            </w:pPr>
          </w:p>
        </w:tc>
        <w:tc>
          <w:tcPr>
            <w:tcW w:w="722" w:type="pct"/>
            <w:tcBorders>
              <w:top w:val="nil"/>
              <w:left w:val="nil"/>
              <w:bottom w:val="nil"/>
              <w:right w:val="nil"/>
            </w:tcBorders>
            <w:shd w:val="clear" w:color="auto" w:fill="auto"/>
            <w:vAlign w:val="center"/>
            <w:hideMark/>
          </w:tcPr>
          <w:p w14:paraId="2C4B31D2" w14:textId="77777777" w:rsidR="00EE4F94" w:rsidRPr="00CA4C14" w:rsidRDefault="00EE4F94" w:rsidP="00003EC2">
            <w:pPr>
              <w:pStyle w:val="Tabletext"/>
              <w:keepNext/>
              <w:rPr>
                <w:rFonts w:ascii="Times New Roman" w:hAnsi="Times New Roman"/>
                <w:b/>
                <w:bCs/>
                <w:lang w:val="ru-RU" w:eastAsia="en-GB"/>
              </w:rPr>
            </w:pPr>
          </w:p>
        </w:tc>
      </w:tr>
      <w:tr w:rsidR="00EE4F94" w:rsidRPr="00CA4C14" w14:paraId="36744DC6" w14:textId="77777777" w:rsidTr="00BC4904">
        <w:trPr>
          <w:trHeight w:val="260"/>
          <w:jc w:val="center"/>
        </w:trPr>
        <w:tc>
          <w:tcPr>
            <w:tcW w:w="2108" w:type="pct"/>
            <w:tcBorders>
              <w:top w:val="nil"/>
              <w:left w:val="nil"/>
              <w:bottom w:val="nil"/>
              <w:right w:val="nil"/>
            </w:tcBorders>
            <w:shd w:val="clear" w:color="auto" w:fill="auto"/>
            <w:vAlign w:val="center"/>
            <w:hideMark/>
          </w:tcPr>
          <w:p w14:paraId="660CD7FD" w14:textId="77777777" w:rsidR="00EE4F94" w:rsidRPr="00CA4C14" w:rsidRDefault="00EE4F94" w:rsidP="00BC4904">
            <w:pPr>
              <w:pStyle w:val="Tabletext"/>
              <w:keepNext/>
              <w:rPr>
                <w:lang w:val="ru-RU" w:eastAsia="en-GB"/>
              </w:rPr>
            </w:pPr>
            <w:r w:rsidRPr="00CA4C14">
              <w:rPr>
                <w:szCs w:val="18"/>
                <w:lang w:val="ru-RU"/>
              </w:rPr>
              <w:t>19 627 590 шв. фр. − с 1990 г.</w:t>
            </w:r>
          </w:p>
        </w:tc>
        <w:tc>
          <w:tcPr>
            <w:tcW w:w="723" w:type="pct"/>
            <w:tcBorders>
              <w:top w:val="nil"/>
              <w:left w:val="nil"/>
              <w:bottom w:val="nil"/>
              <w:right w:val="nil"/>
            </w:tcBorders>
            <w:shd w:val="clear" w:color="auto" w:fill="auto"/>
            <w:vAlign w:val="center"/>
            <w:hideMark/>
          </w:tcPr>
          <w:p w14:paraId="15C6ED70" w14:textId="77777777" w:rsidR="00EE4F94" w:rsidRPr="00CA4C14" w:rsidRDefault="00EE4F94" w:rsidP="00BC4904">
            <w:pPr>
              <w:pStyle w:val="Tabletext"/>
              <w:keepNext/>
              <w:jc w:val="center"/>
              <w:rPr>
                <w:lang w:val="ru-RU" w:eastAsia="en-GB"/>
              </w:rPr>
            </w:pPr>
            <w:r w:rsidRPr="00CA4C14">
              <w:rPr>
                <w:lang w:val="ru-RU" w:eastAsia="en-GB"/>
              </w:rPr>
              <w:t>I</w:t>
            </w:r>
          </w:p>
        </w:tc>
        <w:tc>
          <w:tcPr>
            <w:tcW w:w="723" w:type="pct"/>
            <w:tcBorders>
              <w:top w:val="nil"/>
              <w:left w:val="nil"/>
              <w:bottom w:val="nil"/>
              <w:right w:val="nil"/>
            </w:tcBorders>
            <w:shd w:val="clear" w:color="auto" w:fill="auto"/>
            <w:vAlign w:val="center"/>
            <w:hideMark/>
          </w:tcPr>
          <w:p w14:paraId="0B8FA414" w14:textId="77777777" w:rsidR="00EE4F94" w:rsidRPr="00CA4C14" w:rsidRDefault="00EE4F94" w:rsidP="00BC4904">
            <w:pPr>
              <w:pStyle w:val="Tabletext"/>
              <w:keepNext/>
              <w:jc w:val="center"/>
              <w:rPr>
                <w:lang w:val="ru-RU" w:eastAsia="en-GB"/>
              </w:rPr>
            </w:pPr>
            <w:r w:rsidRPr="00CA4C14">
              <w:rPr>
                <w:lang w:val="ru-RU" w:eastAsia="en-GB"/>
              </w:rPr>
              <w:t>2039 г.</w:t>
            </w:r>
          </w:p>
        </w:tc>
        <w:tc>
          <w:tcPr>
            <w:tcW w:w="723" w:type="pct"/>
            <w:tcBorders>
              <w:top w:val="nil"/>
              <w:left w:val="nil"/>
              <w:bottom w:val="nil"/>
              <w:right w:val="nil"/>
            </w:tcBorders>
            <w:shd w:val="clear" w:color="auto" w:fill="auto"/>
            <w:noWrap/>
            <w:vAlign w:val="bottom"/>
            <w:hideMark/>
          </w:tcPr>
          <w:p w14:paraId="20964432" w14:textId="77777777" w:rsidR="00EE4F94" w:rsidRPr="00CA4C14" w:rsidRDefault="00EE4F94" w:rsidP="00BC4904">
            <w:pPr>
              <w:pStyle w:val="Tabletext"/>
              <w:keepNext/>
              <w:jc w:val="right"/>
              <w:rPr>
                <w:lang w:val="ru-RU" w:eastAsia="en-GB"/>
              </w:rPr>
            </w:pPr>
            <w:r w:rsidRPr="00CA4C14">
              <w:rPr>
                <w:lang w:val="ru-RU" w:eastAsia="en-GB"/>
              </w:rPr>
              <w:t>6 793</w:t>
            </w:r>
          </w:p>
        </w:tc>
        <w:tc>
          <w:tcPr>
            <w:tcW w:w="722" w:type="pct"/>
            <w:tcBorders>
              <w:top w:val="nil"/>
              <w:left w:val="nil"/>
              <w:bottom w:val="nil"/>
              <w:right w:val="nil"/>
            </w:tcBorders>
            <w:shd w:val="clear" w:color="auto" w:fill="auto"/>
            <w:noWrap/>
            <w:vAlign w:val="bottom"/>
            <w:hideMark/>
          </w:tcPr>
          <w:p w14:paraId="3FC2FD18" w14:textId="77777777" w:rsidR="00EE4F94" w:rsidRPr="00CA4C14" w:rsidRDefault="00EE4F94" w:rsidP="00BC4904">
            <w:pPr>
              <w:pStyle w:val="Tabletext"/>
              <w:keepNext/>
              <w:jc w:val="right"/>
              <w:rPr>
                <w:lang w:val="ru-RU" w:eastAsia="en-GB"/>
              </w:rPr>
            </w:pPr>
            <w:r w:rsidRPr="00CA4C14">
              <w:rPr>
                <w:lang w:val="ru-RU" w:eastAsia="en-GB"/>
              </w:rPr>
              <w:t>6 615</w:t>
            </w:r>
          </w:p>
        </w:tc>
      </w:tr>
      <w:tr w:rsidR="00EE4F94" w:rsidRPr="00CA4C14" w14:paraId="15F50CCB" w14:textId="77777777" w:rsidTr="00BC4904">
        <w:trPr>
          <w:trHeight w:val="260"/>
          <w:jc w:val="center"/>
        </w:trPr>
        <w:tc>
          <w:tcPr>
            <w:tcW w:w="2108" w:type="pct"/>
            <w:tcBorders>
              <w:top w:val="nil"/>
              <w:left w:val="nil"/>
              <w:bottom w:val="nil"/>
              <w:right w:val="nil"/>
            </w:tcBorders>
            <w:shd w:val="clear" w:color="auto" w:fill="auto"/>
            <w:vAlign w:val="center"/>
            <w:hideMark/>
          </w:tcPr>
          <w:p w14:paraId="26D8666B" w14:textId="77777777" w:rsidR="00EE4F94" w:rsidRPr="00CA4C14" w:rsidRDefault="00EE4F94" w:rsidP="00BC4904">
            <w:pPr>
              <w:pStyle w:val="Tabletext"/>
              <w:keepNext/>
              <w:rPr>
                <w:lang w:val="ru-RU" w:eastAsia="en-GB"/>
              </w:rPr>
            </w:pPr>
            <w:r w:rsidRPr="00CA4C14">
              <w:rPr>
                <w:szCs w:val="18"/>
                <w:lang w:val="ru-RU"/>
              </w:rPr>
              <w:t>45 427 250 шв. фр. − с 2002 г.</w:t>
            </w:r>
          </w:p>
        </w:tc>
        <w:tc>
          <w:tcPr>
            <w:tcW w:w="723" w:type="pct"/>
            <w:tcBorders>
              <w:top w:val="nil"/>
              <w:left w:val="nil"/>
              <w:bottom w:val="nil"/>
              <w:right w:val="nil"/>
            </w:tcBorders>
            <w:shd w:val="clear" w:color="auto" w:fill="auto"/>
            <w:vAlign w:val="center"/>
            <w:hideMark/>
          </w:tcPr>
          <w:p w14:paraId="56DDE745" w14:textId="77777777" w:rsidR="00EE4F94" w:rsidRPr="00CA4C14" w:rsidRDefault="00EE4F94" w:rsidP="00BC4904">
            <w:pPr>
              <w:pStyle w:val="Tabletext"/>
              <w:keepNext/>
              <w:jc w:val="center"/>
              <w:rPr>
                <w:lang w:val="ru-RU" w:eastAsia="en-GB"/>
              </w:rPr>
            </w:pPr>
            <w:r w:rsidRPr="00CA4C14">
              <w:rPr>
                <w:lang w:val="ru-RU" w:eastAsia="en-GB"/>
              </w:rPr>
              <w:t>II</w:t>
            </w:r>
          </w:p>
        </w:tc>
        <w:tc>
          <w:tcPr>
            <w:tcW w:w="723" w:type="pct"/>
            <w:tcBorders>
              <w:top w:val="nil"/>
              <w:left w:val="nil"/>
              <w:bottom w:val="nil"/>
              <w:right w:val="nil"/>
            </w:tcBorders>
            <w:shd w:val="clear" w:color="auto" w:fill="auto"/>
            <w:vAlign w:val="center"/>
            <w:hideMark/>
          </w:tcPr>
          <w:p w14:paraId="19FE1816" w14:textId="77777777" w:rsidR="00EE4F94" w:rsidRPr="00CA4C14" w:rsidRDefault="00EE4F94" w:rsidP="00BC4904">
            <w:pPr>
              <w:pStyle w:val="Tabletext"/>
              <w:keepNext/>
              <w:jc w:val="center"/>
              <w:rPr>
                <w:lang w:val="ru-RU" w:eastAsia="en-GB"/>
              </w:rPr>
            </w:pPr>
            <w:r w:rsidRPr="00CA4C14">
              <w:rPr>
                <w:lang w:val="ru-RU" w:eastAsia="en-GB"/>
              </w:rPr>
              <w:t>2051 г.</w:t>
            </w:r>
          </w:p>
        </w:tc>
        <w:tc>
          <w:tcPr>
            <w:tcW w:w="723" w:type="pct"/>
            <w:tcBorders>
              <w:top w:val="nil"/>
              <w:left w:val="nil"/>
              <w:bottom w:val="nil"/>
              <w:right w:val="nil"/>
            </w:tcBorders>
            <w:shd w:val="clear" w:color="auto" w:fill="auto"/>
            <w:noWrap/>
            <w:vAlign w:val="bottom"/>
            <w:hideMark/>
          </w:tcPr>
          <w:p w14:paraId="43EECB8C" w14:textId="77777777" w:rsidR="00EE4F94" w:rsidRPr="00CA4C14" w:rsidRDefault="00EE4F94" w:rsidP="00BC4904">
            <w:pPr>
              <w:pStyle w:val="Tabletext"/>
              <w:keepNext/>
              <w:jc w:val="right"/>
              <w:rPr>
                <w:lang w:val="ru-RU" w:eastAsia="en-GB"/>
              </w:rPr>
            </w:pPr>
            <w:r w:rsidRPr="00CA4C14">
              <w:rPr>
                <w:lang w:val="ru-RU" w:eastAsia="en-GB"/>
              </w:rPr>
              <w:t>23 687</w:t>
            </w:r>
          </w:p>
        </w:tc>
        <w:tc>
          <w:tcPr>
            <w:tcW w:w="722" w:type="pct"/>
            <w:tcBorders>
              <w:top w:val="nil"/>
              <w:left w:val="nil"/>
              <w:bottom w:val="nil"/>
              <w:right w:val="nil"/>
            </w:tcBorders>
            <w:shd w:val="clear" w:color="auto" w:fill="auto"/>
            <w:noWrap/>
            <w:vAlign w:val="bottom"/>
            <w:hideMark/>
          </w:tcPr>
          <w:p w14:paraId="3B03A59B" w14:textId="77777777" w:rsidR="00EE4F94" w:rsidRPr="00CA4C14" w:rsidRDefault="00EE4F94" w:rsidP="00BC4904">
            <w:pPr>
              <w:pStyle w:val="Tabletext"/>
              <w:keepNext/>
              <w:jc w:val="right"/>
              <w:rPr>
                <w:lang w:val="ru-RU" w:eastAsia="en-GB"/>
              </w:rPr>
            </w:pPr>
            <w:r w:rsidRPr="00CA4C14">
              <w:rPr>
                <w:lang w:val="ru-RU" w:eastAsia="en-GB"/>
              </w:rPr>
              <w:t>21 307</w:t>
            </w:r>
          </w:p>
        </w:tc>
      </w:tr>
      <w:tr w:rsidR="00EE4F94" w:rsidRPr="00CA4C14" w14:paraId="5584B2CE" w14:textId="77777777" w:rsidTr="00BC4904">
        <w:trPr>
          <w:trHeight w:val="260"/>
          <w:jc w:val="center"/>
        </w:trPr>
        <w:tc>
          <w:tcPr>
            <w:tcW w:w="2108" w:type="pct"/>
            <w:tcBorders>
              <w:top w:val="nil"/>
              <w:left w:val="nil"/>
              <w:bottom w:val="nil"/>
              <w:right w:val="nil"/>
            </w:tcBorders>
            <w:shd w:val="clear" w:color="auto" w:fill="auto"/>
            <w:vAlign w:val="center"/>
            <w:hideMark/>
          </w:tcPr>
          <w:p w14:paraId="74F88748" w14:textId="77777777" w:rsidR="00EE4F94" w:rsidRPr="00CA4C14" w:rsidRDefault="00EE4F94" w:rsidP="00BC4904">
            <w:pPr>
              <w:pStyle w:val="Tabletext"/>
              <w:keepNext/>
              <w:rPr>
                <w:lang w:val="ru-RU" w:eastAsia="en-GB"/>
              </w:rPr>
            </w:pPr>
            <w:r w:rsidRPr="00CA4C14">
              <w:rPr>
                <w:szCs w:val="18"/>
                <w:lang w:val="ru-RU"/>
              </w:rPr>
              <w:t>2 000 000 шв. фр. − с 2002 г.</w:t>
            </w:r>
          </w:p>
        </w:tc>
        <w:tc>
          <w:tcPr>
            <w:tcW w:w="723" w:type="pct"/>
            <w:tcBorders>
              <w:top w:val="nil"/>
              <w:left w:val="nil"/>
              <w:bottom w:val="nil"/>
              <w:right w:val="nil"/>
            </w:tcBorders>
            <w:shd w:val="clear" w:color="auto" w:fill="auto"/>
            <w:vAlign w:val="center"/>
            <w:hideMark/>
          </w:tcPr>
          <w:p w14:paraId="7D6AD68E" w14:textId="77777777" w:rsidR="00EE4F94" w:rsidRPr="00CA4C14" w:rsidRDefault="00EE4F94" w:rsidP="00BC4904">
            <w:pPr>
              <w:pStyle w:val="Tabletext"/>
              <w:keepNext/>
              <w:jc w:val="center"/>
              <w:rPr>
                <w:lang w:val="ru-RU" w:eastAsia="en-GB"/>
              </w:rPr>
            </w:pPr>
            <w:r w:rsidRPr="00CA4C14">
              <w:rPr>
                <w:lang w:val="ru-RU" w:eastAsia="en-GB"/>
              </w:rPr>
              <w:t>III</w:t>
            </w:r>
          </w:p>
        </w:tc>
        <w:tc>
          <w:tcPr>
            <w:tcW w:w="723" w:type="pct"/>
            <w:tcBorders>
              <w:top w:val="nil"/>
              <w:left w:val="nil"/>
              <w:bottom w:val="nil"/>
              <w:right w:val="nil"/>
            </w:tcBorders>
            <w:shd w:val="clear" w:color="auto" w:fill="auto"/>
            <w:vAlign w:val="center"/>
            <w:hideMark/>
          </w:tcPr>
          <w:p w14:paraId="06B5FA1A" w14:textId="77777777" w:rsidR="00EE4F94" w:rsidRPr="00CA4C14" w:rsidRDefault="00EE4F94" w:rsidP="00BC4904">
            <w:pPr>
              <w:pStyle w:val="Tabletext"/>
              <w:keepNext/>
              <w:jc w:val="center"/>
              <w:rPr>
                <w:lang w:val="ru-RU" w:eastAsia="en-GB"/>
              </w:rPr>
            </w:pPr>
            <w:r w:rsidRPr="00CA4C14">
              <w:rPr>
                <w:lang w:val="ru-RU" w:eastAsia="en-GB"/>
              </w:rPr>
              <w:t>2051 г.</w:t>
            </w:r>
          </w:p>
        </w:tc>
        <w:tc>
          <w:tcPr>
            <w:tcW w:w="723" w:type="pct"/>
            <w:tcBorders>
              <w:top w:val="nil"/>
              <w:left w:val="nil"/>
              <w:bottom w:val="nil"/>
              <w:right w:val="nil"/>
            </w:tcBorders>
            <w:shd w:val="clear" w:color="auto" w:fill="auto"/>
            <w:noWrap/>
            <w:vAlign w:val="bottom"/>
            <w:hideMark/>
          </w:tcPr>
          <w:p w14:paraId="0E487C4F" w14:textId="77777777" w:rsidR="00EE4F94" w:rsidRPr="00CA4C14" w:rsidRDefault="00EE4F94" w:rsidP="00BC4904">
            <w:pPr>
              <w:pStyle w:val="Tabletext"/>
              <w:keepNext/>
              <w:jc w:val="right"/>
              <w:rPr>
                <w:lang w:val="ru-RU" w:eastAsia="en-GB"/>
              </w:rPr>
            </w:pPr>
            <w:r w:rsidRPr="00CA4C14">
              <w:rPr>
                <w:lang w:val="ru-RU" w:eastAsia="en-GB"/>
              </w:rPr>
              <w:t>1 043</w:t>
            </w:r>
          </w:p>
        </w:tc>
        <w:tc>
          <w:tcPr>
            <w:tcW w:w="722" w:type="pct"/>
            <w:tcBorders>
              <w:top w:val="nil"/>
              <w:left w:val="nil"/>
              <w:bottom w:val="nil"/>
              <w:right w:val="nil"/>
            </w:tcBorders>
            <w:shd w:val="clear" w:color="auto" w:fill="auto"/>
            <w:noWrap/>
            <w:vAlign w:val="bottom"/>
            <w:hideMark/>
          </w:tcPr>
          <w:p w14:paraId="0DD59368" w14:textId="77777777" w:rsidR="00EE4F94" w:rsidRPr="00CA4C14" w:rsidRDefault="00EE4F94" w:rsidP="00BC4904">
            <w:pPr>
              <w:pStyle w:val="Tabletext"/>
              <w:keepNext/>
              <w:jc w:val="right"/>
              <w:rPr>
                <w:lang w:val="ru-RU" w:eastAsia="en-GB"/>
              </w:rPr>
            </w:pPr>
            <w:r w:rsidRPr="00CA4C14">
              <w:rPr>
                <w:lang w:val="ru-RU" w:eastAsia="en-GB"/>
              </w:rPr>
              <w:t>938</w:t>
            </w:r>
          </w:p>
        </w:tc>
      </w:tr>
      <w:tr w:rsidR="00EE4F94" w:rsidRPr="00CA4C14" w14:paraId="580C43D0" w14:textId="77777777" w:rsidTr="00BC4904">
        <w:trPr>
          <w:trHeight w:val="260"/>
          <w:jc w:val="center"/>
        </w:trPr>
        <w:tc>
          <w:tcPr>
            <w:tcW w:w="2108" w:type="pct"/>
            <w:tcBorders>
              <w:top w:val="nil"/>
              <w:left w:val="nil"/>
              <w:bottom w:val="nil"/>
              <w:right w:val="nil"/>
            </w:tcBorders>
            <w:shd w:val="clear" w:color="auto" w:fill="auto"/>
            <w:vAlign w:val="center"/>
            <w:hideMark/>
          </w:tcPr>
          <w:p w14:paraId="5ECC6140" w14:textId="77777777" w:rsidR="00EE4F94" w:rsidRPr="00CA4C14" w:rsidRDefault="00EE4F94" w:rsidP="00003EC2">
            <w:pPr>
              <w:pStyle w:val="Tabletext"/>
              <w:keepNext/>
              <w:rPr>
                <w:lang w:val="ru-RU" w:eastAsia="en-GB"/>
              </w:rPr>
            </w:pPr>
            <w:r w:rsidRPr="00CA4C14">
              <w:rPr>
                <w:szCs w:val="18"/>
                <w:lang w:val="ru-RU"/>
              </w:rPr>
              <w:t>Проект строительства нового здания</w:t>
            </w:r>
          </w:p>
        </w:tc>
        <w:tc>
          <w:tcPr>
            <w:tcW w:w="723" w:type="pct"/>
            <w:tcBorders>
              <w:top w:val="nil"/>
              <w:left w:val="nil"/>
              <w:bottom w:val="nil"/>
              <w:right w:val="nil"/>
            </w:tcBorders>
            <w:shd w:val="clear" w:color="auto" w:fill="auto"/>
            <w:vAlign w:val="center"/>
            <w:hideMark/>
          </w:tcPr>
          <w:p w14:paraId="61BBBAFA" w14:textId="77777777" w:rsidR="00EE4F94" w:rsidRPr="00CA4C14" w:rsidRDefault="00EE4F94" w:rsidP="00003EC2">
            <w:pPr>
              <w:pStyle w:val="Tabletext"/>
              <w:keepNext/>
              <w:jc w:val="center"/>
              <w:rPr>
                <w:lang w:val="ru-RU" w:eastAsia="en-GB"/>
              </w:rPr>
            </w:pPr>
            <w:r w:rsidRPr="00CA4C14">
              <w:rPr>
                <w:lang w:val="ru-RU" w:eastAsia="en-GB"/>
              </w:rPr>
              <w:t>IV</w:t>
            </w:r>
          </w:p>
        </w:tc>
        <w:tc>
          <w:tcPr>
            <w:tcW w:w="723" w:type="pct"/>
            <w:tcBorders>
              <w:top w:val="nil"/>
              <w:left w:val="nil"/>
              <w:bottom w:val="nil"/>
              <w:right w:val="nil"/>
            </w:tcBorders>
            <w:shd w:val="clear" w:color="auto" w:fill="auto"/>
            <w:vAlign w:val="center"/>
            <w:hideMark/>
          </w:tcPr>
          <w:p w14:paraId="7A00E3C8" w14:textId="77777777" w:rsidR="00EE4F94" w:rsidRPr="00CA4C14" w:rsidRDefault="00EE4F94" w:rsidP="00003EC2">
            <w:pPr>
              <w:pStyle w:val="Tabletext"/>
              <w:keepNext/>
              <w:jc w:val="center"/>
              <w:rPr>
                <w:lang w:val="ru-RU" w:eastAsia="en-GB"/>
              </w:rPr>
            </w:pPr>
          </w:p>
        </w:tc>
        <w:tc>
          <w:tcPr>
            <w:tcW w:w="723" w:type="pct"/>
            <w:tcBorders>
              <w:top w:val="nil"/>
              <w:left w:val="nil"/>
              <w:bottom w:val="nil"/>
              <w:right w:val="nil"/>
            </w:tcBorders>
            <w:shd w:val="clear" w:color="auto" w:fill="auto"/>
            <w:noWrap/>
            <w:vAlign w:val="bottom"/>
            <w:hideMark/>
          </w:tcPr>
          <w:p w14:paraId="0F2F5D21" w14:textId="77777777" w:rsidR="00EE4F94" w:rsidRPr="00CA4C14" w:rsidRDefault="00EE4F94" w:rsidP="00003EC2">
            <w:pPr>
              <w:pStyle w:val="Tabletext"/>
              <w:keepNext/>
              <w:jc w:val="right"/>
              <w:rPr>
                <w:lang w:val="ru-RU" w:eastAsia="en-GB"/>
              </w:rPr>
            </w:pPr>
            <w:r w:rsidRPr="00CA4C14">
              <w:rPr>
                <w:lang w:val="ru-RU" w:eastAsia="en-GB"/>
              </w:rPr>
              <w:t>21 525</w:t>
            </w:r>
          </w:p>
        </w:tc>
        <w:tc>
          <w:tcPr>
            <w:tcW w:w="722" w:type="pct"/>
            <w:tcBorders>
              <w:top w:val="nil"/>
              <w:left w:val="nil"/>
              <w:bottom w:val="nil"/>
              <w:right w:val="nil"/>
            </w:tcBorders>
            <w:shd w:val="clear" w:color="auto" w:fill="auto"/>
            <w:noWrap/>
            <w:vAlign w:val="bottom"/>
            <w:hideMark/>
          </w:tcPr>
          <w:p w14:paraId="27147D01" w14:textId="77777777" w:rsidR="00EE4F94" w:rsidRPr="00CA4C14" w:rsidRDefault="00EE4F94" w:rsidP="00003EC2">
            <w:pPr>
              <w:pStyle w:val="Tabletext"/>
              <w:keepNext/>
              <w:jc w:val="right"/>
              <w:rPr>
                <w:lang w:val="ru-RU" w:eastAsia="en-GB"/>
              </w:rPr>
            </w:pPr>
            <w:r w:rsidRPr="00CA4C14">
              <w:rPr>
                <w:lang w:val="ru-RU" w:eastAsia="en-GB"/>
              </w:rPr>
              <w:t>19 471</w:t>
            </w:r>
          </w:p>
        </w:tc>
      </w:tr>
      <w:tr w:rsidR="00EE4F94" w:rsidRPr="00CA4C14" w14:paraId="09150141" w14:textId="77777777" w:rsidTr="005C01AD">
        <w:trPr>
          <w:trHeight w:val="260"/>
          <w:jc w:val="center"/>
        </w:trPr>
        <w:tc>
          <w:tcPr>
            <w:tcW w:w="2108" w:type="pct"/>
            <w:tcBorders>
              <w:top w:val="nil"/>
              <w:left w:val="nil"/>
              <w:bottom w:val="nil"/>
              <w:right w:val="nil"/>
            </w:tcBorders>
            <w:shd w:val="clear" w:color="auto" w:fill="auto"/>
            <w:vAlign w:val="center"/>
            <w:hideMark/>
          </w:tcPr>
          <w:p w14:paraId="69926218" w14:textId="77777777" w:rsidR="00EE4F94" w:rsidRPr="00CA4C14" w:rsidRDefault="00EE4F94" w:rsidP="005C01AD">
            <w:pPr>
              <w:pStyle w:val="Tabletext"/>
              <w:spacing w:before="0" w:after="0"/>
              <w:rPr>
                <w:lang w:val="ru-RU"/>
              </w:rPr>
            </w:pPr>
          </w:p>
        </w:tc>
        <w:tc>
          <w:tcPr>
            <w:tcW w:w="723" w:type="pct"/>
            <w:tcBorders>
              <w:top w:val="nil"/>
              <w:left w:val="nil"/>
              <w:bottom w:val="nil"/>
              <w:right w:val="nil"/>
            </w:tcBorders>
            <w:shd w:val="clear" w:color="auto" w:fill="auto"/>
            <w:vAlign w:val="center"/>
            <w:hideMark/>
          </w:tcPr>
          <w:p w14:paraId="2FCA2343" w14:textId="77777777" w:rsidR="00EE4F94" w:rsidRPr="00CA4C14" w:rsidRDefault="00EE4F94" w:rsidP="005C01AD">
            <w:pPr>
              <w:pStyle w:val="Tabletext"/>
              <w:spacing w:before="0" w:after="0"/>
              <w:jc w:val="right"/>
              <w:rPr>
                <w:lang w:val="ru-RU"/>
              </w:rPr>
            </w:pPr>
          </w:p>
        </w:tc>
        <w:tc>
          <w:tcPr>
            <w:tcW w:w="723" w:type="pct"/>
            <w:tcBorders>
              <w:top w:val="nil"/>
              <w:left w:val="nil"/>
              <w:bottom w:val="nil"/>
              <w:right w:val="nil"/>
            </w:tcBorders>
            <w:shd w:val="clear" w:color="auto" w:fill="auto"/>
            <w:vAlign w:val="center"/>
            <w:hideMark/>
          </w:tcPr>
          <w:p w14:paraId="78B7946F" w14:textId="77777777" w:rsidR="00EE4F94" w:rsidRPr="00CA4C14" w:rsidRDefault="00EE4F94" w:rsidP="005C01AD">
            <w:pPr>
              <w:pStyle w:val="Tabletext"/>
              <w:spacing w:before="0" w:after="0"/>
              <w:jc w:val="right"/>
              <w:rPr>
                <w:lang w:val="ru-RU"/>
              </w:rPr>
            </w:pPr>
          </w:p>
        </w:tc>
        <w:tc>
          <w:tcPr>
            <w:tcW w:w="723" w:type="pct"/>
            <w:tcBorders>
              <w:top w:val="nil"/>
              <w:left w:val="nil"/>
              <w:bottom w:val="nil"/>
              <w:right w:val="nil"/>
            </w:tcBorders>
            <w:shd w:val="clear" w:color="auto" w:fill="auto"/>
            <w:noWrap/>
            <w:vAlign w:val="center"/>
            <w:hideMark/>
          </w:tcPr>
          <w:p w14:paraId="35C65106" w14:textId="77777777" w:rsidR="00EE4F94" w:rsidRPr="00CA4C14" w:rsidRDefault="00EE4F94" w:rsidP="005C01AD">
            <w:pPr>
              <w:pStyle w:val="Tabletext"/>
              <w:spacing w:before="0" w:after="0"/>
              <w:jc w:val="right"/>
              <w:rPr>
                <w:lang w:val="ru-RU"/>
              </w:rPr>
            </w:pPr>
          </w:p>
        </w:tc>
        <w:tc>
          <w:tcPr>
            <w:tcW w:w="722" w:type="pct"/>
            <w:tcBorders>
              <w:top w:val="nil"/>
              <w:left w:val="nil"/>
              <w:bottom w:val="nil"/>
              <w:right w:val="nil"/>
            </w:tcBorders>
            <w:shd w:val="clear" w:color="auto" w:fill="auto"/>
            <w:noWrap/>
            <w:vAlign w:val="center"/>
            <w:hideMark/>
          </w:tcPr>
          <w:p w14:paraId="141F1FD6" w14:textId="77777777" w:rsidR="00EE4F94" w:rsidRPr="00CA4C14" w:rsidRDefault="00EE4F94" w:rsidP="005C01AD">
            <w:pPr>
              <w:pStyle w:val="Tabletext"/>
              <w:spacing w:before="0" w:after="0"/>
              <w:jc w:val="right"/>
              <w:rPr>
                <w:lang w:val="ru-RU"/>
              </w:rPr>
            </w:pPr>
          </w:p>
        </w:tc>
      </w:tr>
      <w:tr w:rsidR="00EE4F94" w:rsidRPr="00CA4C14" w14:paraId="541C876D" w14:textId="77777777" w:rsidTr="00BC4904">
        <w:trPr>
          <w:trHeight w:val="260"/>
          <w:jc w:val="center"/>
        </w:trPr>
        <w:tc>
          <w:tcPr>
            <w:tcW w:w="2108" w:type="pct"/>
            <w:tcBorders>
              <w:top w:val="nil"/>
              <w:left w:val="nil"/>
              <w:bottom w:val="nil"/>
              <w:right w:val="nil"/>
            </w:tcBorders>
            <w:shd w:val="clear" w:color="auto" w:fill="auto"/>
            <w:vAlign w:val="center"/>
            <w:hideMark/>
          </w:tcPr>
          <w:p w14:paraId="05DDCA0C" w14:textId="77777777" w:rsidR="00EE4F94" w:rsidRPr="00CA4C14" w:rsidRDefault="00EE4F94" w:rsidP="00003EC2">
            <w:pPr>
              <w:pStyle w:val="Tabletext"/>
              <w:keepNext/>
              <w:rPr>
                <w:lang w:val="ru-RU" w:eastAsia="en-GB"/>
              </w:rPr>
            </w:pPr>
            <w:r w:rsidRPr="00CA4C14">
              <w:rPr>
                <w:szCs w:val="18"/>
                <w:lang w:val="ru-RU"/>
              </w:rPr>
              <w:t>в том числе краткосрочные</w:t>
            </w:r>
          </w:p>
        </w:tc>
        <w:tc>
          <w:tcPr>
            <w:tcW w:w="723" w:type="pct"/>
            <w:tcBorders>
              <w:top w:val="nil"/>
              <w:left w:val="nil"/>
              <w:bottom w:val="nil"/>
              <w:right w:val="nil"/>
            </w:tcBorders>
            <w:shd w:val="clear" w:color="auto" w:fill="auto"/>
            <w:vAlign w:val="center"/>
          </w:tcPr>
          <w:p w14:paraId="289CE103" w14:textId="77777777" w:rsidR="00EE4F94" w:rsidRPr="00CA4C14" w:rsidRDefault="00EE4F94" w:rsidP="00BC4904">
            <w:pPr>
              <w:pStyle w:val="Tabletext"/>
              <w:keepNext/>
              <w:jc w:val="right"/>
              <w:rPr>
                <w:lang w:val="ru-RU" w:eastAsia="en-GB"/>
              </w:rPr>
            </w:pPr>
          </w:p>
        </w:tc>
        <w:tc>
          <w:tcPr>
            <w:tcW w:w="723" w:type="pct"/>
            <w:tcBorders>
              <w:top w:val="nil"/>
              <w:left w:val="nil"/>
              <w:bottom w:val="nil"/>
              <w:right w:val="nil"/>
            </w:tcBorders>
            <w:shd w:val="clear" w:color="auto" w:fill="auto"/>
            <w:vAlign w:val="center"/>
          </w:tcPr>
          <w:p w14:paraId="257101D7" w14:textId="77777777" w:rsidR="00EE4F94" w:rsidRPr="00CA4C14" w:rsidRDefault="00EE4F94" w:rsidP="00BC4904">
            <w:pPr>
              <w:pStyle w:val="Tabletext"/>
              <w:keepNext/>
              <w:jc w:val="right"/>
              <w:rPr>
                <w:rFonts w:ascii="Times New Roman" w:hAnsi="Times New Roman"/>
                <w:lang w:val="ru-RU" w:eastAsia="en-GB"/>
              </w:rPr>
            </w:pPr>
          </w:p>
        </w:tc>
        <w:tc>
          <w:tcPr>
            <w:tcW w:w="723" w:type="pct"/>
            <w:tcBorders>
              <w:top w:val="nil"/>
              <w:left w:val="nil"/>
              <w:bottom w:val="nil"/>
              <w:right w:val="nil"/>
            </w:tcBorders>
            <w:shd w:val="clear" w:color="auto" w:fill="auto"/>
            <w:noWrap/>
            <w:vAlign w:val="bottom"/>
            <w:hideMark/>
          </w:tcPr>
          <w:p w14:paraId="7B604F19" w14:textId="77777777" w:rsidR="00EE4F94" w:rsidRPr="00CA4C14" w:rsidRDefault="00EE4F94" w:rsidP="00003EC2">
            <w:pPr>
              <w:pStyle w:val="Tabletext"/>
              <w:keepNext/>
              <w:jc w:val="right"/>
              <w:rPr>
                <w:lang w:val="ru-RU" w:eastAsia="en-GB"/>
              </w:rPr>
            </w:pPr>
            <w:r w:rsidRPr="00CA4C14">
              <w:rPr>
                <w:lang w:val="ru-RU" w:eastAsia="en-GB"/>
              </w:rPr>
              <w:t>1 391</w:t>
            </w:r>
          </w:p>
        </w:tc>
        <w:tc>
          <w:tcPr>
            <w:tcW w:w="722" w:type="pct"/>
            <w:tcBorders>
              <w:top w:val="nil"/>
              <w:left w:val="nil"/>
              <w:bottom w:val="nil"/>
              <w:right w:val="nil"/>
            </w:tcBorders>
            <w:shd w:val="clear" w:color="auto" w:fill="auto"/>
            <w:noWrap/>
            <w:vAlign w:val="bottom"/>
            <w:hideMark/>
          </w:tcPr>
          <w:p w14:paraId="38C7628D" w14:textId="77777777" w:rsidR="00EE4F94" w:rsidRPr="00CA4C14" w:rsidRDefault="00EE4F94" w:rsidP="00003EC2">
            <w:pPr>
              <w:pStyle w:val="Tabletext"/>
              <w:keepNext/>
              <w:jc w:val="right"/>
              <w:rPr>
                <w:lang w:val="ru-RU" w:eastAsia="en-GB"/>
              </w:rPr>
            </w:pPr>
            <w:r w:rsidRPr="00CA4C14">
              <w:rPr>
                <w:lang w:val="ru-RU" w:eastAsia="en-GB"/>
              </w:rPr>
              <w:t>1 391</w:t>
            </w:r>
          </w:p>
        </w:tc>
      </w:tr>
      <w:tr w:rsidR="00EE4F94" w:rsidRPr="00CA4C14" w14:paraId="4C49FAB2" w14:textId="77777777" w:rsidTr="00BC4904">
        <w:trPr>
          <w:trHeight w:val="260"/>
          <w:jc w:val="center"/>
        </w:trPr>
        <w:tc>
          <w:tcPr>
            <w:tcW w:w="2108" w:type="pct"/>
            <w:tcBorders>
              <w:top w:val="nil"/>
              <w:left w:val="nil"/>
              <w:bottom w:val="nil"/>
              <w:right w:val="nil"/>
            </w:tcBorders>
            <w:shd w:val="clear" w:color="auto" w:fill="auto"/>
            <w:vAlign w:val="center"/>
            <w:hideMark/>
          </w:tcPr>
          <w:p w14:paraId="65843005" w14:textId="77777777" w:rsidR="00EE4F94" w:rsidRPr="00CA4C14" w:rsidRDefault="00EE4F94" w:rsidP="00003EC2">
            <w:pPr>
              <w:pStyle w:val="Tabletext"/>
              <w:keepNext/>
              <w:rPr>
                <w:lang w:val="ru-RU" w:eastAsia="en-GB"/>
              </w:rPr>
            </w:pPr>
            <w:r w:rsidRPr="00CA4C14">
              <w:rPr>
                <w:szCs w:val="18"/>
                <w:lang w:val="ru-RU"/>
              </w:rPr>
              <w:t>в том числе долгосрочные</w:t>
            </w:r>
          </w:p>
        </w:tc>
        <w:tc>
          <w:tcPr>
            <w:tcW w:w="723" w:type="pct"/>
            <w:tcBorders>
              <w:top w:val="nil"/>
              <w:left w:val="nil"/>
              <w:bottom w:val="nil"/>
              <w:right w:val="nil"/>
            </w:tcBorders>
            <w:shd w:val="clear" w:color="auto" w:fill="auto"/>
            <w:vAlign w:val="center"/>
          </w:tcPr>
          <w:p w14:paraId="1B331E57" w14:textId="77777777" w:rsidR="00EE4F94" w:rsidRPr="00CA4C14" w:rsidRDefault="00EE4F94" w:rsidP="00BC4904">
            <w:pPr>
              <w:pStyle w:val="Tabletext"/>
              <w:keepNext/>
              <w:jc w:val="right"/>
              <w:rPr>
                <w:lang w:val="ru-RU" w:eastAsia="en-GB"/>
              </w:rPr>
            </w:pPr>
          </w:p>
        </w:tc>
        <w:tc>
          <w:tcPr>
            <w:tcW w:w="723" w:type="pct"/>
            <w:tcBorders>
              <w:top w:val="nil"/>
              <w:left w:val="nil"/>
              <w:bottom w:val="nil"/>
              <w:right w:val="nil"/>
            </w:tcBorders>
            <w:shd w:val="clear" w:color="auto" w:fill="auto"/>
            <w:vAlign w:val="center"/>
          </w:tcPr>
          <w:p w14:paraId="131FA003" w14:textId="77777777" w:rsidR="00EE4F94" w:rsidRPr="00CA4C14" w:rsidRDefault="00EE4F94" w:rsidP="00BC4904">
            <w:pPr>
              <w:pStyle w:val="Tabletext"/>
              <w:keepNext/>
              <w:jc w:val="right"/>
              <w:rPr>
                <w:rFonts w:ascii="Times New Roman" w:hAnsi="Times New Roman"/>
                <w:lang w:val="ru-RU" w:eastAsia="en-GB"/>
              </w:rPr>
            </w:pPr>
          </w:p>
        </w:tc>
        <w:tc>
          <w:tcPr>
            <w:tcW w:w="723" w:type="pct"/>
            <w:tcBorders>
              <w:top w:val="nil"/>
              <w:left w:val="nil"/>
              <w:bottom w:val="nil"/>
              <w:right w:val="nil"/>
            </w:tcBorders>
            <w:shd w:val="clear" w:color="auto" w:fill="auto"/>
            <w:noWrap/>
            <w:vAlign w:val="bottom"/>
            <w:hideMark/>
          </w:tcPr>
          <w:p w14:paraId="3F4A539A" w14:textId="77777777" w:rsidR="00EE4F94" w:rsidRPr="00CA4C14" w:rsidRDefault="00EE4F94" w:rsidP="00003EC2">
            <w:pPr>
              <w:pStyle w:val="Tabletext"/>
              <w:keepNext/>
              <w:jc w:val="right"/>
              <w:rPr>
                <w:lang w:val="ru-RU" w:eastAsia="en-GB"/>
              </w:rPr>
            </w:pPr>
            <w:r w:rsidRPr="00CA4C14">
              <w:rPr>
                <w:lang w:val="ru-RU" w:eastAsia="en-GB"/>
              </w:rPr>
              <w:t>51 657</w:t>
            </w:r>
          </w:p>
        </w:tc>
        <w:tc>
          <w:tcPr>
            <w:tcW w:w="722" w:type="pct"/>
            <w:tcBorders>
              <w:top w:val="nil"/>
              <w:left w:val="nil"/>
              <w:bottom w:val="nil"/>
              <w:right w:val="nil"/>
            </w:tcBorders>
            <w:shd w:val="clear" w:color="auto" w:fill="auto"/>
            <w:noWrap/>
            <w:vAlign w:val="bottom"/>
            <w:hideMark/>
          </w:tcPr>
          <w:p w14:paraId="217623D9" w14:textId="77777777" w:rsidR="00EE4F94" w:rsidRPr="00CA4C14" w:rsidRDefault="00EE4F94" w:rsidP="00003EC2">
            <w:pPr>
              <w:pStyle w:val="Tabletext"/>
              <w:keepNext/>
              <w:jc w:val="right"/>
              <w:rPr>
                <w:lang w:val="ru-RU" w:eastAsia="en-GB"/>
              </w:rPr>
            </w:pPr>
            <w:r w:rsidRPr="00CA4C14">
              <w:rPr>
                <w:lang w:val="ru-RU" w:eastAsia="en-GB"/>
              </w:rPr>
              <w:t>46 940</w:t>
            </w:r>
          </w:p>
        </w:tc>
      </w:tr>
      <w:tr w:rsidR="00EE4F94" w:rsidRPr="00CA4C14" w14:paraId="0DDB8E50" w14:textId="77777777" w:rsidTr="005D7213">
        <w:trPr>
          <w:trHeight w:val="339"/>
          <w:jc w:val="center"/>
        </w:trPr>
        <w:tc>
          <w:tcPr>
            <w:tcW w:w="2108" w:type="pct"/>
            <w:tcBorders>
              <w:top w:val="nil"/>
              <w:left w:val="nil"/>
              <w:bottom w:val="nil"/>
              <w:right w:val="nil"/>
            </w:tcBorders>
            <w:shd w:val="clear" w:color="000000" w:fill="0070C0"/>
            <w:vAlign w:val="center"/>
            <w:hideMark/>
          </w:tcPr>
          <w:p w14:paraId="4D2367B7" w14:textId="77777777" w:rsidR="00EE4F94" w:rsidRPr="00CA4C14" w:rsidRDefault="00EE4F94" w:rsidP="00003EC2">
            <w:pPr>
              <w:pStyle w:val="Tabletext"/>
              <w:rPr>
                <w:b/>
                <w:bCs/>
                <w:lang w:val="ru-RU" w:eastAsia="en-GB"/>
              </w:rPr>
            </w:pPr>
            <w:r w:rsidRPr="00CA4C14">
              <w:rPr>
                <w:b/>
                <w:bCs/>
                <w:lang w:val="ru-RU"/>
              </w:rPr>
              <w:t>Займы</w:t>
            </w:r>
            <w:r w:rsidRPr="00CA4C14">
              <w:rPr>
                <w:b/>
                <w:bCs/>
                <w:szCs w:val="18"/>
                <w:lang w:val="ru-RU"/>
              </w:rPr>
              <w:t xml:space="preserve"> − Чистая текущая стоимость</w:t>
            </w:r>
          </w:p>
        </w:tc>
        <w:tc>
          <w:tcPr>
            <w:tcW w:w="723" w:type="pct"/>
            <w:tcBorders>
              <w:top w:val="nil"/>
              <w:left w:val="nil"/>
              <w:bottom w:val="nil"/>
              <w:right w:val="nil"/>
            </w:tcBorders>
            <w:shd w:val="clear" w:color="000000" w:fill="0070C0"/>
            <w:vAlign w:val="center"/>
          </w:tcPr>
          <w:p w14:paraId="624EA448" w14:textId="77777777" w:rsidR="00EE4F94" w:rsidRPr="00CA4C14" w:rsidRDefault="00EE4F94" w:rsidP="00BC4904">
            <w:pPr>
              <w:pStyle w:val="Tabletext"/>
              <w:jc w:val="right"/>
              <w:rPr>
                <w:b/>
                <w:bCs/>
                <w:lang w:val="ru-RU" w:eastAsia="en-GB"/>
              </w:rPr>
            </w:pPr>
          </w:p>
        </w:tc>
        <w:tc>
          <w:tcPr>
            <w:tcW w:w="723" w:type="pct"/>
            <w:tcBorders>
              <w:top w:val="nil"/>
              <w:left w:val="nil"/>
              <w:bottom w:val="nil"/>
              <w:right w:val="nil"/>
            </w:tcBorders>
            <w:shd w:val="clear" w:color="000000" w:fill="0070C0"/>
            <w:noWrap/>
            <w:vAlign w:val="center"/>
          </w:tcPr>
          <w:p w14:paraId="7E013EF6" w14:textId="77777777" w:rsidR="00EE4F94" w:rsidRPr="00CA4C14" w:rsidRDefault="00EE4F94" w:rsidP="00BC4904">
            <w:pPr>
              <w:pStyle w:val="Tabletext"/>
              <w:jc w:val="right"/>
              <w:rPr>
                <w:b/>
                <w:bCs/>
                <w:lang w:val="ru-RU" w:eastAsia="en-GB"/>
              </w:rPr>
            </w:pPr>
          </w:p>
        </w:tc>
        <w:tc>
          <w:tcPr>
            <w:tcW w:w="723" w:type="pct"/>
            <w:tcBorders>
              <w:top w:val="nil"/>
              <w:left w:val="nil"/>
              <w:bottom w:val="nil"/>
              <w:right w:val="nil"/>
            </w:tcBorders>
            <w:shd w:val="clear" w:color="000000" w:fill="0070C0"/>
            <w:noWrap/>
            <w:vAlign w:val="center"/>
            <w:hideMark/>
          </w:tcPr>
          <w:p w14:paraId="10D95749" w14:textId="77777777" w:rsidR="00EE4F94" w:rsidRPr="00CA4C14" w:rsidRDefault="00EE4F94" w:rsidP="00003EC2">
            <w:pPr>
              <w:pStyle w:val="Tabletext"/>
              <w:jc w:val="right"/>
              <w:rPr>
                <w:b/>
                <w:bCs/>
                <w:lang w:val="ru-RU" w:eastAsia="en-GB"/>
              </w:rPr>
            </w:pPr>
            <w:r w:rsidRPr="00CA4C14">
              <w:rPr>
                <w:b/>
                <w:bCs/>
                <w:lang w:val="ru-RU" w:eastAsia="en-GB"/>
              </w:rPr>
              <w:t>53 048</w:t>
            </w:r>
          </w:p>
        </w:tc>
        <w:tc>
          <w:tcPr>
            <w:tcW w:w="722" w:type="pct"/>
            <w:tcBorders>
              <w:top w:val="nil"/>
              <w:left w:val="nil"/>
              <w:bottom w:val="nil"/>
              <w:right w:val="nil"/>
            </w:tcBorders>
            <w:shd w:val="clear" w:color="000000" w:fill="0070C0"/>
            <w:noWrap/>
            <w:vAlign w:val="center"/>
            <w:hideMark/>
          </w:tcPr>
          <w:p w14:paraId="7CF63EFE" w14:textId="77777777" w:rsidR="00EE4F94" w:rsidRPr="00CA4C14" w:rsidRDefault="00EE4F94" w:rsidP="00003EC2">
            <w:pPr>
              <w:pStyle w:val="Tabletext"/>
              <w:jc w:val="right"/>
              <w:rPr>
                <w:b/>
                <w:bCs/>
                <w:lang w:val="ru-RU" w:eastAsia="en-GB"/>
              </w:rPr>
            </w:pPr>
            <w:r w:rsidRPr="00CA4C14">
              <w:rPr>
                <w:b/>
                <w:bCs/>
                <w:lang w:val="ru-RU" w:eastAsia="en-GB"/>
              </w:rPr>
              <w:t>48 331</w:t>
            </w:r>
          </w:p>
        </w:tc>
      </w:tr>
    </w:tbl>
    <w:p w14:paraId="3AEF463D" w14:textId="77777777" w:rsidR="00EE4F94" w:rsidRPr="00CA4C14" w:rsidRDefault="00EE4F94" w:rsidP="007C4496">
      <w:pPr>
        <w:rPr>
          <w:rFonts w:eastAsia="Segoe UI"/>
          <w:lang w:val="ru-RU"/>
        </w:rPr>
      </w:pPr>
      <w:r w:rsidRPr="00CA4C14">
        <w:rPr>
          <w:rFonts w:eastAsia="Segoe UI"/>
          <w:lang w:val="ru-RU"/>
        </w:rPr>
        <w:t>В настоящее время у МСЭ есть четыре беспроцентных ссуды в Фонде недвижимого имущества для международных организаций (ФИПОИ). По состоянию на 31 декабря 2023 года три из этих ссуд отражены в финансовой отчетности по справедливой стоимости.</w:t>
      </w:r>
    </w:p>
    <w:p w14:paraId="08666E53" w14:textId="6AB77DEB" w:rsidR="00EE4F94" w:rsidRPr="00CA4C14" w:rsidRDefault="00EE4F94" w:rsidP="007C4496">
      <w:pPr>
        <w:rPr>
          <w:rFonts w:eastAsia="Segoe UI"/>
          <w:highlight w:val="lightGray"/>
          <w:lang w:val="ru-RU"/>
        </w:rPr>
      </w:pPr>
      <w:r w:rsidRPr="00CA4C14">
        <w:rPr>
          <w:rFonts w:eastAsia="Segoe UI"/>
          <w:lang w:val="ru-RU"/>
        </w:rPr>
        <w:t>Общая сумма задолженности по состоянию на 31 декабря 2023 года составляет 55,2 </w:t>
      </w:r>
      <w:proofErr w:type="gramStart"/>
      <w:r w:rsidRPr="00CA4C14">
        <w:rPr>
          <w:rFonts w:eastAsia="Segoe UI"/>
          <w:lang w:val="ru-RU"/>
        </w:rPr>
        <w:t>млн.</w:t>
      </w:r>
      <w:proofErr w:type="gramEnd"/>
      <w:r w:rsidR="00917BA2" w:rsidRPr="00CA4C14">
        <w:rPr>
          <w:rFonts w:eastAsia="Segoe UI"/>
          <w:lang w:val="ru-RU"/>
        </w:rPr>
        <w:t> </w:t>
      </w:r>
      <w:r w:rsidRPr="00CA4C14">
        <w:rPr>
          <w:rFonts w:eastAsia="Segoe UI"/>
          <w:lang w:val="ru-RU"/>
        </w:rPr>
        <w:t xml:space="preserve">швейцарских франков, а чистая приведенная стоимость </w:t>
      </w:r>
      <w:r w:rsidRPr="00CA4C14">
        <w:rPr>
          <w:rFonts w:eastAsia="Segoe UI" w:cs="Calibri"/>
          <w:lang w:val="ru-RU"/>
        </w:rPr>
        <w:t>–</w:t>
      </w:r>
      <w:r w:rsidRPr="00CA4C14">
        <w:rPr>
          <w:rFonts w:eastAsia="Segoe UI"/>
          <w:lang w:val="ru-RU"/>
        </w:rPr>
        <w:t xml:space="preserve"> 53,0 млн. швейцарских франков.</w:t>
      </w:r>
    </w:p>
    <w:p w14:paraId="5CA329A9" w14:textId="77777777" w:rsidR="00EE4F94" w:rsidRPr="00CA4C14" w:rsidRDefault="00EE4F94" w:rsidP="007C4496">
      <w:pPr>
        <w:rPr>
          <w:rFonts w:eastAsia="Segoe UI"/>
          <w:lang w:val="ru-RU"/>
        </w:rPr>
      </w:pPr>
      <w:r w:rsidRPr="00CA4C14">
        <w:rPr>
          <w:rFonts w:eastAsia="Segoe UI"/>
          <w:lang w:val="ru-RU"/>
        </w:rPr>
        <w:t xml:space="preserve">Сумма первых трех ссуд на существующие здания составляет 33,7 </w:t>
      </w:r>
      <w:proofErr w:type="gramStart"/>
      <w:r w:rsidRPr="00CA4C14">
        <w:rPr>
          <w:rFonts w:eastAsia="Segoe UI"/>
          <w:lang w:val="ru-RU"/>
        </w:rPr>
        <w:t>млн.</w:t>
      </w:r>
      <w:proofErr w:type="gramEnd"/>
      <w:r w:rsidRPr="00CA4C14">
        <w:rPr>
          <w:rFonts w:eastAsia="Segoe UI"/>
          <w:lang w:val="ru-RU"/>
        </w:rPr>
        <w:t xml:space="preserve"> швейцарских франков; чистая приведенная стоимость составляет 31,5 млн. швейцарских франков.</w:t>
      </w:r>
    </w:p>
    <w:p w14:paraId="7A822B7B" w14:textId="77777777" w:rsidR="00EE4F94" w:rsidRPr="00CA4C14" w:rsidRDefault="00EE4F94" w:rsidP="007C4496">
      <w:pPr>
        <w:rPr>
          <w:rFonts w:eastAsia="Segoe UI"/>
          <w:highlight w:val="lightGray"/>
          <w:lang w:val="ru-RU"/>
        </w:rPr>
      </w:pPr>
      <w:r w:rsidRPr="00CA4C14">
        <w:rPr>
          <w:rFonts w:eastAsia="Segoe UI"/>
          <w:lang w:val="ru-RU"/>
        </w:rPr>
        <w:lastRenderedPageBreak/>
        <w:t xml:space="preserve">В 2017 году для проекта строительства нового здания МСЭ была предоставлена новая беспроцентная ссуда на сумму 150 </w:t>
      </w:r>
      <w:proofErr w:type="gramStart"/>
      <w:r w:rsidRPr="00CA4C14">
        <w:rPr>
          <w:rFonts w:eastAsia="Segoe UI"/>
          <w:lang w:val="ru-RU"/>
        </w:rPr>
        <w:t>млн.</w:t>
      </w:r>
      <w:proofErr w:type="gramEnd"/>
      <w:r w:rsidRPr="00CA4C14">
        <w:rPr>
          <w:rFonts w:eastAsia="Segoe UI"/>
          <w:lang w:val="ru-RU"/>
        </w:rPr>
        <w:t xml:space="preserve"> швейцарских франков. Сумма, полученная МСЭ по этой четвертой ссуде, по состоянию на 31 декабря 2023 года составляет 21,5 </w:t>
      </w:r>
      <w:proofErr w:type="gramStart"/>
      <w:r w:rsidRPr="00CA4C14">
        <w:rPr>
          <w:rFonts w:eastAsia="Segoe UI"/>
          <w:lang w:val="ru-RU"/>
        </w:rPr>
        <w:t>млн.</w:t>
      </w:r>
      <w:proofErr w:type="gramEnd"/>
      <w:r w:rsidRPr="00CA4C14">
        <w:rPr>
          <w:rFonts w:eastAsia="Segoe UI"/>
          <w:lang w:val="ru-RU"/>
        </w:rPr>
        <w:t xml:space="preserve"> швейцарских франков.</w:t>
      </w:r>
    </w:p>
    <w:p w14:paraId="6ECB0DE2" w14:textId="77777777" w:rsidR="00EE4F94" w:rsidRPr="00CA4C14" w:rsidRDefault="00EE4F94" w:rsidP="006A7B99">
      <w:pPr>
        <w:rPr>
          <w:lang w:val="ru-RU" w:eastAsia="fr-FR"/>
        </w:rPr>
      </w:pPr>
      <w:r w:rsidRPr="00CA4C14">
        <w:rPr>
          <w:lang w:val="ru-RU" w:eastAsia="fr-FR"/>
        </w:rPr>
        <w:t xml:space="preserve">Погашение ссуды, предоставленной для новых помещений МСЭ, начнется </w:t>
      </w:r>
      <w:r w:rsidRPr="00CA4C14">
        <w:rPr>
          <w:lang w:val="ru-RU"/>
        </w:rPr>
        <w:t>только после успешной приемки нового здания в эксплуатацию</w:t>
      </w:r>
      <w:r w:rsidRPr="00CA4C14">
        <w:rPr>
          <w:lang w:val="ru-RU" w:eastAsia="fr-FR"/>
        </w:rPr>
        <w:t>.</w:t>
      </w:r>
      <w:bookmarkStart w:id="401" w:name="_Toc305764090"/>
    </w:p>
    <w:p w14:paraId="4A254636" w14:textId="77777777" w:rsidR="00EF3E42" w:rsidRPr="00CA4C14" w:rsidRDefault="00EF3E42" w:rsidP="005C01AD">
      <w:pPr>
        <w:pStyle w:val="Heading5"/>
        <w:rPr>
          <w:lang w:val="ru-RU"/>
        </w:rPr>
      </w:pPr>
      <w:bookmarkStart w:id="402" w:name="_Toc1569757906"/>
      <w:bookmarkStart w:id="403" w:name="_Toc164845563"/>
      <w:bookmarkStart w:id="404" w:name="_Toc168578477"/>
      <w:bookmarkEnd w:id="401"/>
      <w:r w:rsidRPr="00CA4C14">
        <w:rPr>
          <w:lang w:val="ru-RU"/>
        </w:rPr>
        <w:t>Примечание 17</w:t>
      </w:r>
      <w:r w:rsidRPr="00CA4C14">
        <w:rPr>
          <w:lang w:val="ru-RU"/>
        </w:rPr>
        <w:tab/>
      </w:r>
      <w:bookmarkEnd w:id="402"/>
      <w:bookmarkEnd w:id="403"/>
      <w:r w:rsidRPr="00CA4C14">
        <w:rPr>
          <w:lang w:val="ru-RU"/>
        </w:rPr>
        <w:t>Вознаграждение сотрудников</w:t>
      </w:r>
      <w:bookmarkEnd w:id="404"/>
    </w:p>
    <w:p w14:paraId="130350D9" w14:textId="77777777" w:rsidR="00EF3E42" w:rsidRPr="00CA4C14" w:rsidRDefault="00EF3E42" w:rsidP="00003EC2">
      <w:pPr>
        <w:spacing w:after="120"/>
        <w:rPr>
          <w:rFonts w:eastAsia="SimSun"/>
          <w:lang w:val="ru-RU"/>
        </w:rPr>
      </w:pPr>
      <w:bookmarkStart w:id="405" w:name="_Toc305764091"/>
      <w:r w:rsidRPr="00CA4C14">
        <w:rPr>
          <w:lang w:val="ru-RU"/>
        </w:rPr>
        <w:t>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w:t>
      </w:r>
    </w:p>
    <w:tbl>
      <w:tblPr>
        <w:tblW w:w="5000" w:type="pct"/>
        <w:jc w:val="center"/>
        <w:tblLayout w:type="fixed"/>
        <w:tblLook w:val="04A0" w:firstRow="1" w:lastRow="0" w:firstColumn="1" w:lastColumn="0" w:noHBand="0" w:noVBand="1"/>
      </w:tblPr>
      <w:tblGrid>
        <w:gridCol w:w="5465"/>
        <w:gridCol w:w="1803"/>
        <w:gridCol w:w="1803"/>
      </w:tblGrid>
      <w:tr w:rsidR="00EF3E42" w:rsidRPr="00CA4C14" w14:paraId="16194EBB" w14:textId="77777777" w:rsidTr="00EF3E42">
        <w:trPr>
          <w:jc w:val="center"/>
        </w:trPr>
        <w:tc>
          <w:tcPr>
            <w:tcW w:w="3011" w:type="pct"/>
            <w:tcBorders>
              <w:top w:val="nil"/>
              <w:left w:val="nil"/>
              <w:bottom w:val="nil"/>
              <w:right w:val="nil"/>
            </w:tcBorders>
            <w:shd w:val="clear" w:color="000000" w:fill="0070C0"/>
            <w:noWrap/>
            <w:vAlign w:val="center"/>
            <w:hideMark/>
          </w:tcPr>
          <w:p w14:paraId="01415666" w14:textId="77777777" w:rsidR="00EF3E42" w:rsidRPr="00CA4C14" w:rsidRDefault="00EF3E42" w:rsidP="00003EC2">
            <w:pPr>
              <w:pStyle w:val="Tablehead"/>
              <w:rPr>
                <w:lang w:val="ru-RU" w:eastAsia="en-GB"/>
              </w:rPr>
            </w:pPr>
            <w:r w:rsidRPr="00CA4C14">
              <w:rPr>
                <w:lang w:val="ru-RU" w:eastAsia="en-GB"/>
              </w:rPr>
              <w:t xml:space="preserve">Описание (тыс. шв. фр.) </w:t>
            </w:r>
          </w:p>
        </w:tc>
        <w:tc>
          <w:tcPr>
            <w:tcW w:w="994" w:type="pct"/>
            <w:tcBorders>
              <w:top w:val="nil"/>
              <w:left w:val="nil"/>
              <w:bottom w:val="nil"/>
              <w:right w:val="nil"/>
            </w:tcBorders>
            <w:shd w:val="clear" w:color="000000" w:fill="0070C0"/>
            <w:noWrap/>
            <w:vAlign w:val="center"/>
            <w:hideMark/>
          </w:tcPr>
          <w:p w14:paraId="429C380F" w14:textId="77777777" w:rsidR="00EF3E42" w:rsidRPr="00CA4C14" w:rsidRDefault="00EF3E42" w:rsidP="00003EC2">
            <w:pPr>
              <w:pStyle w:val="Tablehead"/>
              <w:rPr>
                <w:lang w:val="ru-RU" w:eastAsia="en-GB"/>
              </w:rPr>
            </w:pPr>
            <w:r w:rsidRPr="00CA4C14">
              <w:rPr>
                <w:lang w:val="ru-RU" w:eastAsia="en-GB"/>
              </w:rPr>
              <w:t>31 декабря 2023 г.</w:t>
            </w:r>
          </w:p>
        </w:tc>
        <w:tc>
          <w:tcPr>
            <w:tcW w:w="994" w:type="pct"/>
            <w:tcBorders>
              <w:top w:val="nil"/>
              <w:left w:val="nil"/>
              <w:bottom w:val="nil"/>
              <w:right w:val="nil"/>
            </w:tcBorders>
            <w:shd w:val="clear" w:color="000000" w:fill="0070C0"/>
            <w:noWrap/>
            <w:vAlign w:val="center"/>
            <w:hideMark/>
          </w:tcPr>
          <w:p w14:paraId="7E1F6958" w14:textId="77777777" w:rsidR="00EF3E42" w:rsidRPr="00CA4C14" w:rsidRDefault="00EF3E42" w:rsidP="00003EC2">
            <w:pPr>
              <w:pStyle w:val="Tablehead"/>
              <w:rPr>
                <w:lang w:val="ru-RU" w:eastAsia="en-GB"/>
              </w:rPr>
            </w:pPr>
            <w:r w:rsidRPr="00CA4C14">
              <w:rPr>
                <w:lang w:val="ru-RU" w:eastAsia="en-GB"/>
              </w:rPr>
              <w:t>31 декабря 2022 г.</w:t>
            </w:r>
          </w:p>
        </w:tc>
      </w:tr>
      <w:tr w:rsidR="00EF3E42" w:rsidRPr="00CA4C14" w14:paraId="010B8218" w14:textId="77777777" w:rsidTr="00EF3E42">
        <w:trPr>
          <w:jc w:val="center"/>
        </w:trPr>
        <w:tc>
          <w:tcPr>
            <w:tcW w:w="3011" w:type="pct"/>
            <w:tcBorders>
              <w:top w:val="nil"/>
              <w:left w:val="nil"/>
              <w:bottom w:val="nil"/>
              <w:right w:val="nil"/>
            </w:tcBorders>
            <w:shd w:val="clear" w:color="auto" w:fill="auto"/>
            <w:hideMark/>
          </w:tcPr>
          <w:p w14:paraId="63EE15DA" w14:textId="77777777" w:rsidR="00EF3E42" w:rsidRPr="00CA4C14" w:rsidRDefault="00EF3E42" w:rsidP="005F455B">
            <w:pPr>
              <w:pStyle w:val="Tabletext"/>
              <w:keepNext/>
              <w:rPr>
                <w:lang w:val="ru-RU" w:eastAsia="en-GB"/>
              </w:rPr>
            </w:pPr>
            <w:r w:rsidRPr="00CA4C14">
              <w:rPr>
                <w:szCs w:val="18"/>
                <w:lang w:val="ru-RU"/>
              </w:rPr>
              <w:t>Накопленные дни отпуска</w:t>
            </w:r>
          </w:p>
        </w:tc>
        <w:tc>
          <w:tcPr>
            <w:tcW w:w="994" w:type="pct"/>
            <w:tcBorders>
              <w:top w:val="nil"/>
              <w:left w:val="nil"/>
              <w:bottom w:val="nil"/>
              <w:right w:val="nil"/>
            </w:tcBorders>
            <w:shd w:val="clear" w:color="auto" w:fill="auto"/>
            <w:noWrap/>
            <w:hideMark/>
          </w:tcPr>
          <w:p w14:paraId="3FC935B2" w14:textId="77777777" w:rsidR="00EF3E42" w:rsidRPr="00CA4C14" w:rsidRDefault="00EF3E42" w:rsidP="005F455B">
            <w:pPr>
              <w:pStyle w:val="Tabletext"/>
              <w:keepNext/>
              <w:jc w:val="right"/>
              <w:rPr>
                <w:lang w:val="ru-RU" w:eastAsia="en-GB"/>
              </w:rPr>
            </w:pPr>
            <w:r w:rsidRPr="00CA4C14">
              <w:rPr>
                <w:lang w:val="ru-RU" w:eastAsia="en-GB"/>
              </w:rPr>
              <w:t>318</w:t>
            </w:r>
          </w:p>
        </w:tc>
        <w:tc>
          <w:tcPr>
            <w:tcW w:w="994" w:type="pct"/>
            <w:tcBorders>
              <w:top w:val="nil"/>
              <w:left w:val="nil"/>
              <w:bottom w:val="nil"/>
              <w:right w:val="nil"/>
            </w:tcBorders>
            <w:shd w:val="clear" w:color="auto" w:fill="auto"/>
            <w:noWrap/>
            <w:hideMark/>
          </w:tcPr>
          <w:p w14:paraId="251DBDEA" w14:textId="77777777" w:rsidR="00EF3E42" w:rsidRPr="00CA4C14" w:rsidRDefault="00EF3E42" w:rsidP="005F455B">
            <w:pPr>
              <w:pStyle w:val="Tabletext"/>
              <w:keepNext/>
              <w:jc w:val="right"/>
              <w:rPr>
                <w:lang w:val="ru-RU" w:eastAsia="en-GB"/>
              </w:rPr>
            </w:pPr>
            <w:r w:rsidRPr="00CA4C14">
              <w:rPr>
                <w:lang w:val="ru-RU" w:eastAsia="en-GB"/>
              </w:rPr>
              <w:t>221</w:t>
            </w:r>
          </w:p>
        </w:tc>
      </w:tr>
      <w:tr w:rsidR="00EF3E42" w:rsidRPr="00CA4C14" w14:paraId="41B62B8E" w14:textId="77777777" w:rsidTr="00EF3E42">
        <w:trPr>
          <w:jc w:val="center"/>
        </w:trPr>
        <w:tc>
          <w:tcPr>
            <w:tcW w:w="3011" w:type="pct"/>
            <w:tcBorders>
              <w:top w:val="nil"/>
              <w:left w:val="nil"/>
              <w:bottom w:val="nil"/>
              <w:right w:val="nil"/>
            </w:tcBorders>
            <w:shd w:val="clear" w:color="auto" w:fill="auto"/>
            <w:hideMark/>
          </w:tcPr>
          <w:p w14:paraId="318A7C28" w14:textId="77777777" w:rsidR="00EF3E42" w:rsidRPr="00CA4C14" w:rsidRDefault="00EF3E42" w:rsidP="005F455B">
            <w:pPr>
              <w:pStyle w:val="Tabletext"/>
              <w:keepNext/>
              <w:rPr>
                <w:lang w:val="ru-RU" w:eastAsia="en-GB"/>
              </w:rPr>
            </w:pPr>
            <w:r w:rsidRPr="00CA4C14">
              <w:rPr>
                <w:szCs w:val="18"/>
                <w:lang w:val="ru-RU"/>
              </w:rPr>
              <w:t>Сверхурочные</w:t>
            </w:r>
          </w:p>
        </w:tc>
        <w:tc>
          <w:tcPr>
            <w:tcW w:w="994" w:type="pct"/>
            <w:tcBorders>
              <w:top w:val="nil"/>
              <w:left w:val="nil"/>
              <w:bottom w:val="nil"/>
              <w:right w:val="nil"/>
            </w:tcBorders>
            <w:shd w:val="clear" w:color="auto" w:fill="auto"/>
            <w:noWrap/>
            <w:hideMark/>
          </w:tcPr>
          <w:p w14:paraId="28C9CF2B" w14:textId="77777777" w:rsidR="00EF3E42" w:rsidRPr="00CA4C14" w:rsidRDefault="00EF3E42" w:rsidP="005F455B">
            <w:pPr>
              <w:pStyle w:val="Tabletext"/>
              <w:keepNext/>
              <w:jc w:val="right"/>
              <w:rPr>
                <w:lang w:val="ru-RU" w:eastAsia="en-GB"/>
              </w:rPr>
            </w:pPr>
            <w:r w:rsidRPr="00CA4C14">
              <w:rPr>
                <w:lang w:val="ru-RU" w:eastAsia="en-GB"/>
              </w:rPr>
              <w:t>208</w:t>
            </w:r>
          </w:p>
        </w:tc>
        <w:tc>
          <w:tcPr>
            <w:tcW w:w="994" w:type="pct"/>
            <w:tcBorders>
              <w:top w:val="nil"/>
              <w:left w:val="nil"/>
              <w:bottom w:val="nil"/>
              <w:right w:val="nil"/>
            </w:tcBorders>
            <w:shd w:val="clear" w:color="auto" w:fill="auto"/>
            <w:noWrap/>
            <w:hideMark/>
          </w:tcPr>
          <w:p w14:paraId="611D7248" w14:textId="77777777" w:rsidR="00EF3E42" w:rsidRPr="00CA4C14" w:rsidRDefault="00EF3E42" w:rsidP="005F455B">
            <w:pPr>
              <w:pStyle w:val="Tabletext"/>
              <w:keepNext/>
              <w:jc w:val="right"/>
              <w:rPr>
                <w:lang w:val="ru-RU" w:eastAsia="en-GB"/>
              </w:rPr>
            </w:pPr>
            <w:r w:rsidRPr="00CA4C14">
              <w:rPr>
                <w:lang w:val="ru-RU" w:eastAsia="en-GB"/>
              </w:rPr>
              <w:t>24</w:t>
            </w:r>
          </w:p>
        </w:tc>
      </w:tr>
      <w:tr w:rsidR="00EF3E42" w:rsidRPr="00CA4C14" w14:paraId="222D0FDA" w14:textId="77777777" w:rsidTr="00EF3E42">
        <w:trPr>
          <w:jc w:val="center"/>
        </w:trPr>
        <w:tc>
          <w:tcPr>
            <w:tcW w:w="3011" w:type="pct"/>
            <w:tcBorders>
              <w:top w:val="nil"/>
              <w:left w:val="nil"/>
              <w:bottom w:val="nil"/>
              <w:right w:val="nil"/>
            </w:tcBorders>
            <w:shd w:val="clear" w:color="auto" w:fill="auto"/>
            <w:hideMark/>
          </w:tcPr>
          <w:p w14:paraId="04B1BE42" w14:textId="77777777" w:rsidR="00EF3E42" w:rsidRPr="00CA4C14" w:rsidRDefault="00EF3E42" w:rsidP="005F455B">
            <w:pPr>
              <w:pStyle w:val="Tabletext"/>
              <w:keepNext/>
              <w:rPr>
                <w:b/>
                <w:bCs/>
                <w:lang w:val="ru-RU" w:eastAsia="en-GB"/>
              </w:rPr>
            </w:pPr>
            <w:r w:rsidRPr="00CA4C14">
              <w:rPr>
                <w:b/>
                <w:bCs/>
                <w:szCs w:val="18"/>
                <w:lang w:val="ru-RU"/>
              </w:rPr>
              <w:t>Всего: текущие обязательства по вознаграждению сотрудников</w:t>
            </w:r>
          </w:p>
        </w:tc>
        <w:tc>
          <w:tcPr>
            <w:tcW w:w="994" w:type="pct"/>
            <w:tcBorders>
              <w:top w:val="nil"/>
              <w:left w:val="nil"/>
              <w:bottom w:val="nil"/>
              <w:right w:val="nil"/>
            </w:tcBorders>
            <w:shd w:val="clear" w:color="auto" w:fill="auto"/>
            <w:noWrap/>
            <w:hideMark/>
          </w:tcPr>
          <w:p w14:paraId="31DC8B05" w14:textId="77777777" w:rsidR="00EF3E42" w:rsidRPr="00CA4C14" w:rsidRDefault="00EF3E42" w:rsidP="005F455B">
            <w:pPr>
              <w:pStyle w:val="Tabletext"/>
              <w:keepNext/>
              <w:jc w:val="right"/>
              <w:rPr>
                <w:b/>
                <w:bCs/>
                <w:lang w:val="ru-RU" w:eastAsia="en-GB"/>
              </w:rPr>
            </w:pPr>
            <w:r w:rsidRPr="00CA4C14">
              <w:rPr>
                <w:b/>
                <w:bCs/>
                <w:lang w:val="ru-RU" w:eastAsia="en-GB"/>
              </w:rPr>
              <w:t>527</w:t>
            </w:r>
          </w:p>
        </w:tc>
        <w:tc>
          <w:tcPr>
            <w:tcW w:w="994" w:type="pct"/>
            <w:tcBorders>
              <w:top w:val="nil"/>
              <w:left w:val="nil"/>
              <w:bottom w:val="nil"/>
              <w:right w:val="nil"/>
            </w:tcBorders>
            <w:shd w:val="clear" w:color="auto" w:fill="auto"/>
            <w:noWrap/>
            <w:hideMark/>
          </w:tcPr>
          <w:p w14:paraId="74CE1CA0" w14:textId="77777777" w:rsidR="00EF3E42" w:rsidRPr="00CA4C14" w:rsidRDefault="00EF3E42" w:rsidP="005F455B">
            <w:pPr>
              <w:pStyle w:val="Tabletext"/>
              <w:keepNext/>
              <w:jc w:val="right"/>
              <w:rPr>
                <w:b/>
                <w:bCs/>
                <w:lang w:val="ru-RU" w:eastAsia="en-GB"/>
              </w:rPr>
            </w:pPr>
            <w:r w:rsidRPr="00CA4C14">
              <w:rPr>
                <w:b/>
                <w:bCs/>
                <w:lang w:val="ru-RU" w:eastAsia="en-GB"/>
              </w:rPr>
              <w:t>245</w:t>
            </w:r>
          </w:p>
        </w:tc>
      </w:tr>
      <w:tr w:rsidR="00EF3E42" w:rsidRPr="00CA4C14" w14:paraId="44EC52C8" w14:textId="77777777" w:rsidTr="00EF3E42">
        <w:trPr>
          <w:jc w:val="center"/>
        </w:trPr>
        <w:tc>
          <w:tcPr>
            <w:tcW w:w="3011" w:type="pct"/>
            <w:tcBorders>
              <w:top w:val="nil"/>
              <w:left w:val="nil"/>
              <w:bottom w:val="nil"/>
              <w:right w:val="nil"/>
            </w:tcBorders>
            <w:shd w:val="clear" w:color="auto" w:fill="auto"/>
            <w:noWrap/>
            <w:hideMark/>
          </w:tcPr>
          <w:p w14:paraId="35C5DD10" w14:textId="77777777" w:rsidR="00EF3E42" w:rsidRPr="00CA4C14" w:rsidRDefault="00EF3E42" w:rsidP="00FA5386">
            <w:pPr>
              <w:pStyle w:val="Tabletext"/>
              <w:keepNext/>
              <w:spacing w:before="0" w:after="0"/>
              <w:rPr>
                <w:b/>
                <w:bCs/>
                <w:lang w:val="ru-RU" w:eastAsia="en-GB"/>
              </w:rPr>
            </w:pPr>
          </w:p>
        </w:tc>
        <w:tc>
          <w:tcPr>
            <w:tcW w:w="994" w:type="pct"/>
            <w:tcBorders>
              <w:top w:val="nil"/>
              <w:left w:val="nil"/>
              <w:bottom w:val="nil"/>
              <w:right w:val="nil"/>
            </w:tcBorders>
            <w:shd w:val="clear" w:color="auto" w:fill="auto"/>
            <w:noWrap/>
            <w:hideMark/>
          </w:tcPr>
          <w:p w14:paraId="02BE7181" w14:textId="77777777" w:rsidR="00EF3E42" w:rsidRPr="00CA4C14" w:rsidRDefault="00EF3E42" w:rsidP="00FA5386">
            <w:pPr>
              <w:pStyle w:val="Tabletext"/>
              <w:keepNext/>
              <w:spacing w:before="0" w:after="0"/>
              <w:jc w:val="right"/>
              <w:rPr>
                <w:rFonts w:ascii="Times New Roman" w:hAnsi="Times New Roman"/>
                <w:lang w:val="ru-RU" w:eastAsia="en-GB"/>
              </w:rPr>
            </w:pPr>
          </w:p>
        </w:tc>
        <w:tc>
          <w:tcPr>
            <w:tcW w:w="994" w:type="pct"/>
            <w:tcBorders>
              <w:top w:val="nil"/>
              <w:left w:val="nil"/>
              <w:bottom w:val="nil"/>
              <w:right w:val="nil"/>
            </w:tcBorders>
            <w:shd w:val="clear" w:color="auto" w:fill="auto"/>
            <w:noWrap/>
            <w:hideMark/>
          </w:tcPr>
          <w:p w14:paraId="5F15084D" w14:textId="77777777" w:rsidR="00EF3E42" w:rsidRPr="00CA4C14" w:rsidRDefault="00EF3E42" w:rsidP="00FA5386">
            <w:pPr>
              <w:pStyle w:val="Tabletext"/>
              <w:keepNext/>
              <w:spacing w:before="0" w:after="0"/>
              <w:jc w:val="right"/>
              <w:rPr>
                <w:rFonts w:ascii="Times New Roman" w:hAnsi="Times New Roman"/>
                <w:lang w:val="ru-RU" w:eastAsia="en-GB"/>
              </w:rPr>
            </w:pPr>
          </w:p>
        </w:tc>
      </w:tr>
      <w:tr w:rsidR="00EF3E42" w:rsidRPr="00CA4C14" w14:paraId="36B14F14" w14:textId="77777777" w:rsidTr="00EF3E42">
        <w:trPr>
          <w:jc w:val="center"/>
        </w:trPr>
        <w:tc>
          <w:tcPr>
            <w:tcW w:w="3011" w:type="pct"/>
            <w:tcBorders>
              <w:top w:val="nil"/>
              <w:left w:val="nil"/>
              <w:bottom w:val="nil"/>
              <w:right w:val="nil"/>
            </w:tcBorders>
            <w:shd w:val="clear" w:color="auto" w:fill="auto"/>
            <w:hideMark/>
          </w:tcPr>
          <w:p w14:paraId="3930A736" w14:textId="77777777" w:rsidR="00EF3E42" w:rsidRPr="00CA4C14" w:rsidRDefault="00EF3E42" w:rsidP="005F455B">
            <w:pPr>
              <w:pStyle w:val="Tabletext"/>
              <w:keepNext/>
              <w:rPr>
                <w:lang w:val="ru-RU" w:eastAsia="en-GB"/>
              </w:rPr>
            </w:pPr>
            <w:r w:rsidRPr="00CA4C14">
              <w:rPr>
                <w:szCs w:val="18"/>
                <w:lang w:val="ru-RU"/>
              </w:rPr>
              <w:t>Накопленные дни отпуска</w:t>
            </w:r>
          </w:p>
        </w:tc>
        <w:tc>
          <w:tcPr>
            <w:tcW w:w="994" w:type="pct"/>
            <w:tcBorders>
              <w:top w:val="nil"/>
              <w:left w:val="nil"/>
              <w:bottom w:val="nil"/>
              <w:right w:val="nil"/>
            </w:tcBorders>
            <w:shd w:val="clear" w:color="auto" w:fill="auto"/>
            <w:noWrap/>
            <w:hideMark/>
          </w:tcPr>
          <w:p w14:paraId="1A8B9351" w14:textId="77777777" w:rsidR="00EF3E42" w:rsidRPr="00CA4C14" w:rsidRDefault="00EF3E42" w:rsidP="005F455B">
            <w:pPr>
              <w:pStyle w:val="Tabletext"/>
              <w:keepNext/>
              <w:jc w:val="right"/>
              <w:rPr>
                <w:lang w:val="ru-RU" w:eastAsia="en-GB"/>
              </w:rPr>
            </w:pPr>
            <w:r w:rsidRPr="00CA4C14">
              <w:rPr>
                <w:lang w:val="ru-RU" w:eastAsia="en-GB"/>
              </w:rPr>
              <w:t>11 327</w:t>
            </w:r>
          </w:p>
        </w:tc>
        <w:tc>
          <w:tcPr>
            <w:tcW w:w="994" w:type="pct"/>
            <w:tcBorders>
              <w:top w:val="nil"/>
              <w:left w:val="nil"/>
              <w:bottom w:val="nil"/>
              <w:right w:val="nil"/>
            </w:tcBorders>
            <w:shd w:val="clear" w:color="auto" w:fill="auto"/>
            <w:noWrap/>
            <w:hideMark/>
          </w:tcPr>
          <w:p w14:paraId="779F55F3" w14:textId="77777777" w:rsidR="00EF3E42" w:rsidRPr="00CA4C14" w:rsidRDefault="00EF3E42" w:rsidP="005F455B">
            <w:pPr>
              <w:pStyle w:val="Tabletext"/>
              <w:keepNext/>
              <w:jc w:val="right"/>
              <w:rPr>
                <w:lang w:val="ru-RU" w:eastAsia="en-GB"/>
              </w:rPr>
            </w:pPr>
            <w:r w:rsidRPr="00CA4C14">
              <w:rPr>
                <w:lang w:val="ru-RU" w:eastAsia="en-GB"/>
              </w:rPr>
              <w:t>11 745</w:t>
            </w:r>
          </w:p>
        </w:tc>
      </w:tr>
      <w:tr w:rsidR="00EF3E42" w:rsidRPr="00CA4C14" w14:paraId="12C61D09" w14:textId="77777777" w:rsidTr="00EF3E42">
        <w:trPr>
          <w:jc w:val="center"/>
        </w:trPr>
        <w:tc>
          <w:tcPr>
            <w:tcW w:w="3011" w:type="pct"/>
            <w:tcBorders>
              <w:top w:val="nil"/>
              <w:left w:val="nil"/>
              <w:bottom w:val="nil"/>
              <w:right w:val="nil"/>
            </w:tcBorders>
            <w:shd w:val="clear" w:color="auto" w:fill="auto"/>
            <w:hideMark/>
          </w:tcPr>
          <w:p w14:paraId="4B337939" w14:textId="77777777" w:rsidR="00EF3E42" w:rsidRPr="00CA4C14" w:rsidRDefault="00EF3E42" w:rsidP="005F455B">
            <w:pPr>
              <w:pStyle w:val="Tabletext"/>
              <w:keepNext/>
              <w:rPr>
                <w:lang w:val="ru-RU" w:eastAsia="en-GB"/>
              </w:rPr>
            </w:pPr>
            <w:r w:rsidRPr="00CA4C14">
              <w:rPr>
                <w:szCs w:val="18"/>
                <w:lang w:val="ru-RU"/>
              </w:rPr>
              <w:t>Подъемные пособия и субсидии на репатриацию</w:t>
            </w:r>
          </w:p>
        </w:tc>
        <w:tc>
          <w:tcPr>
            <w:tcW w:w="994" w:type="pct"/>
            <w:tcBorders>
              <w:top w:val="nil"/>
              <w:left w:val="nil"/>
              <w:bottom w:val="nil"/>
              <w:right w:val="nil"/>
            </w:tcBorders>
            <w:shd w:val="clear" w:color="auto" w:fill="auto"/>
            <w:noWrap/>
            <w:hideMark/>
          </w:tcPr>
          <w:p w14:paraId="10BE5A13" w14:textId="77777777" w:rsidR="00EF3E42" w:rsidRPr="00CA4C14" w:rsidRDefault="00EF3E42" w:rsidP="005F455B">
            <w:pPr>
              <w:pStyle w:val="Tabletext"/>
              <w:keepNext/>
              <w:jc w:val="right"/>
              <w:rPr>
                <w:lang w:val="ru-RU" w:eastAsia="en-GB"/>
              </w:rPr>
            </w:pPr>
            <w:r w:rsidRPr="00CA4C14">
              <w:rPr>
                <w:lang w:val="ru-RU" w:eastAsia="en-GB"/>
              </w:rPr>
              <w:t>12 208</w:t>
            </w:r>
          </w:p>
        </w:tc>
        <w:tc>
          <w:tcPr>
            <w:tcW w:w="994" w:type="pct"/>
            <w:tcBorders>
              <w:top w:val="nil"/>
              <w:left w:val="nil"/>
              <w:bottom w:val="nil"/>
              <w:right w:val="nil"/>
            </w:tcBorders>
            <w:shd w:val="clear" w:color="auto" w:fill="auto"/>
            <w:noWrap/>
            <w:hideMark/>
          </w:tcPr>
          <w:p w14:paraId="719240A0" w14:textId="77777777" w:rsidR="00EF3E42" w:rsidRPr="00CA4C14" w:rsidRDefault="00EF3E42" w:rsidP="005F455B">
            <w:pPr>
              <w:pStyle w:val="Tabletext"/>
              <w:keepNext/>
              <w:jc w:val="right"/>
              <w:rPr>
                <w:lang w:val="ru-RU" w:eastAsia="en-GB"/>
              </w:rPr>
            </w:pPr>
            <w:r w:rsidRPr="00CA4C14">
              <w:rPr>
                <w:lang w:val="ru-RU" w:eastAsia="en-GB"/>
              </w:rPr>
              <w:t>12 571</w:t>
            </w:r>
          </w:p>
        </w:tc>
      </w:tr>
      <w:tr w:rsidR="00EF3E42" w:rsidRPr="00CA4C14" w14:paraId="6A78C7FF" w14:textId="77777777" w:rsidTr="00EF3E42">
        <w:trPr>
          <w:jc w:val="center"/>
        </w:trPr>
        <w:tc>
          <w:tcPr>
            <w:tcW w:w="3011" w:type="pct"/>
            <w:tcBorders>
              <w:top w:val="nil"/>
              <w:left w:val="nil"/>
              <w:bottom w:val="nil"/>
              <w:right w:val="nil"/>
            </w:tcBorders>
            <w:shd w:val="clear" w:color="auto" w:fill="auto"/>
            <w:hideMark/>
          </w:tcPr>
          <w:p w14:paraId="55548CC1" w14:textId="77777777" w:rsidR="00EF3E42" w:rsidRPr="00CA4C14" w:rsidRDefault="00EF3E42" w:rsidP="005F455B">
            <w:pPr>
              <w:pStyle w:val="Tabletext"/>
              <w:keepNext/>
              <w:rPr>
                <w:lang w:val="ru-RU" w:eastAsia="en-GB"/>
              </w:rPr>
            </w:pPr>
            <w:r w:rsidRPr="00CA4C14">
              <w:rPr>
                <w:szCs w:val="18"/>
                <w:lang w:val="ru-RU"/>
              </w:rPr>
              <w:t>Пенсии</w:t>
            </w:r>
          </w:p>
        </w:tc>
        <w:tc>
          <w:tcPr>
            <w:tcW w:w="994" w:type="pct"/>
            <w:tcBorders>
              <w:top w:val="nil"/>
              <w:left w:val="nil"/>
              <w:bottom w:val="nil"/>
              <w:right w:val="nil"/>
            </w:tcBorders>
            <w:shd w:val="clear" w:color="auto" w:fill="auto"/>
            <w:noWrap/>
            <w:hideMark/>
          </w:tcPr>
          <w:p w14:paraId="27A8A194" w14:textId="77777777" w:rsidR="00EF3E42" w:rsidRPr="00CA4C14" w:rsidRDefault="00EF3E42" w:rsidP="005F455B">
            <w:pPr>
              <w:pStyle w:val="Tabletext"/>
              <w:keepNext/>
              <w:jc w:val="right"/>
              <w:rPr>
                <w:lang w:val="ru-RU" w:eastAsia="en-GB"/>
              </w:rPr>
            </w:pPr>
            <w:r w:rsidRPr="00CA4C14">
              <w:rPr>
                <w:lang w:val="ru-RU" w:eastAsia="en-GB"/>
              </w:rPr>
              <w:t>54</w:t>
            </w:r>
          </w:p>
        </w:tc>
        <w:tc>
          <w:tcPr>
            <w:tcW w:w="994" w:type="pct"/>
            <w:tcBorders>
              <w:top w:val="nil"/>
              <w:left w:val="nil"/>
              <w:bottom w:val="nil"/>
              <w:right w:val="nil"/>
            </w:tcBorders>
            <w:shd w:val="clear" w:color="auto" w:fill="auto"/>
            <w:noWrap/>
            <w:hideMark/>
          </w:tcPr>
          <w:p w14:paraId="0B4B7FF6" w14:textId="77777777" w:rsidR="00EF3E42" w:rsidRPr="00CA4C14" w:rsidRDefault="00EF3E42" w:rsidP="005F455B">
            <w:pPr>
              <w:pStyle w:val="Tabletext"/>
              <w:keepNext/>
              <w:jc w:val="right"/>
              <w:rPr>
                <w:lang w:val="ru-RU" w:eastAsia="en-GB"/>
              </w:rPr>
            </w:pPr>
            <w:r w:rsidRPr="00CA4C14">
              <w:rPr>
                <w:lang w:val="ru-RU" w:eastAsia="en-GB"/>
              </w:rPr>
              <w:t>54</w:t>
            </w:r>
          </w:p>
        </w:tc>
      </w:tr>
      <w:tr w:rsidR="00EF3E42" w:rsidRPr="00CA4C14" w14:paraId="3B3D584D" w14:textId="77777777" w:rsidTr="00EF3E42">
        <w:trPr>
          <w:jc w:val="center"/>
        </w:trPr>
        <w:tc>
          <w:tcPr>
            <w:tcW w:w="3011" w:type="pct"/>
            <w:tcBorders>
              <w:top w:val="nil"/>
              <w:left w:val="nil"/>
              <w:bottom w:val="nil"/>
              <w:right w:val="nil"/>
            </w:tcBorders>
            <w:shd w:val="clear" w:color="auto" w:fill="auto"/>
            <w:hideMark/>
          </w:tcPr>
          <w:p w14:paraId="369D745A" w14:textId="77777777" w:rsidR="00EF3E42" w:rsidRPr="00CA4C14" w:rsidRDefault="00EF3E42" w:rsidP="005F455B">
            <w:pPr>
              <w:pStyle w:val="Tabletext"/>
              <w:keepNext/>
              <w:rPr>
                <w:lang w:val="ru-RU" w:eastAsia="en-GB"/>
              </w:rPr>
            </w:pPr>
            <w:r w:rsidRPr="00CA4C14">
              <w:rPr>
                <w:szCs w:val="18"/>
                <w:lang w:val="ru-RU"/>
              </w:rPr>
              <w:t>АСХИ</w:t>
            </w:r>
          </w:p>
        </w:tc>
        <w:tc>
          <w:tcPr>
            <w:tcW w:w="994" w:type="pct"/>
            <w:tcBorders>
              <w:top w:val="nil"/>
              <w:left w:val="nil"/>
              <w:bottom w:val="nil"/>
              <w:right w:val="nil"/>
            </w:tcBorders>
            <w:shd w:val="clear" w:color="auto" w:fill="auto"/>
            <w:noWrap/>
            <w:hideMark/>
          </w:tcPr>
          <w:p w14:paraId="51857E0E" w14:textId="77777777" w:rsidR="00EF3E42" w:rsidRPr="00CA4C14" w:rsidRDefault="00EF3E42" w:rsidP="005F455B">
            <w:pPr>
              <w:pStyle w:val="Tabletext"/>
              <w:keepNext/>
              <w:jc w:val="right"/>
              <w:rPr>
                <w:lang w:val="ru-RU" w:eastAsia="en-GB"/>
              </w:rPr>
            </w:pPr>
            <w:r w:rsidRPr="00CA4C14">
              <w:rPr>
                <w:lang w:val="ru-RU" w:eastAsia="en-GB"/>
              </w:rPr>
              <w:t>375 271</w:t>
            </w:r>
          </w:p>
        </w:tc>
        <w:tc>
          <w:tcPr>
            <w:tcW w:w="994" w:type="pct"/>
            <w:tcBorders>
              <w:top w:val="nil"/>
              <w:left w:val="nil"/>
              <w:bottom w:val="nil"/>
              <w:right w:val="nil"/>
            </w:tcBorders>
            <w:shd w:val="clear" w:color="auto" w:fill="auto"/>
            <w:noWrap/>
            <w:hideMark/>
          </w:tcPr>
          <w:p w14:paraId="0941C55E" w14:textId="77777777" w:rsidR="00EF3E42" w:rsidRPr="00CA4C14" w:rsidRDefault="00EF3E42" w:rsidP="005F455B">
            <w:pPr>
              <w:pStyle w:val="Tabletext"/>
              <w:keepNext/>
              <w:jc w:val="right"/>
              <w:rPr>
                <w:lang w:val="ru-RU" w:eastAsia="en-GB"/>
              </w:rPr>
            </w:pPr>
            <w:r w:rsidRPr="00CA4C14">
              <w:rPr>
                <w:lang w:val="ru-RU" w:eastAsia="en-GB"/>
              </w:rPr>
              <w:t>344 102</w:t>
            </w:r>
          </w:p>
        </w:tc>
      </w:tr>
      <w:tr w:rsidR="00EF3E42" w:rsidRPr="00CA4C14" w14:paraId="036796E3" w14:textId="77777777" w:rsidTr="00EF3E42">
        <w:trPr>
          <w:jc w:val="center"/>
        </w:trPr>
        <w:tc>
          <w:tcPr>
            <w:tcW w:w="3011" w:type="pct"/>
            <w:tcBorders>
              <w:top w:val="nil"/>
              <w:left w:val="nil"/>
              <w:bottom w:val="nil"/>
              <w:right w:val="nil"/>
            </w:tcBorders>
            <w:shd w:val="clear" w:color="auto" w:fill="auto"/>
            <w:hideMark/>
          </w:tcPr>
          <w:p w14:paraId="3B7161CE" w14:textId="77777777" w:rsidR="00EF3E42" w:rsidRPr="00CA4C14" w:rsidRDefault="00EF3E42" w:rsidP="005F455B">
            <w:pPr>
              <w:pStyle w:val="Tabletext"/>
              <w:keepNext/>
              <w:rPr>
                <w:b/>
                <w:bCs/>
                <w:lang w:val="ru-RU" w:eastAsia="en-GB"/>
              </w:rPr>
            </w:pPr>
            <w:r w:rsidRPr="00CA4C14">
              <w:rPr>
                <w:b/>
                <w:bCs/>
                <w:szCs w:val="18"/>
                <w:lang w:val="ru-RU"/>
              </w:rPr>
              <w:t>Всего: долгосрочные обязательства по вознаграждению сотрудников</w:t>
            </w:r>
          </w:p>
        </w:tc>
        <w:tc>
          <w:tcPr>
            <w:tcW w:w="994" w:type="pct"/>
            <w:tcBorders>
              <w:top w:val="nil"/>
              <w:left w:val="nil"/>
              <w:bottom w:val="nil"/>
              <w:right w:val="nil"/>
            </w:tcBorders>
            <w:shd w:val="clear" w:color="auto" w:fill="auto"/>
            <w:noWrap/>
            <w:hideMark/>
          </w:tcPr>
          <w:p w14:paraId="07C201E4" w14:textId="77777777" w:rsidR="00EF3E42" w:rsidRPr="00CA4C14" w:rsidRDefault="00EF3E42" w:rsidP="005F455B">
            <w:pPr>
              <w:pStyle w:val="Tabletext"/>
              <w:keepNext/>
              <w:jc w:val="right"/>
              <w:rPr>
                <w:b/>
                <w:bCs/>
                <w:lang w:val="ru-RU" w:eastAsia="en-GB"/>
              </w:rPr>
            </w:pPr>
            <w:r w:rsidRPr="00CA4C14">
              <w:rPr>
                <w:b/>
                <w:bCs/>
                <w:lang w:val="ru-RU" w:eastAsia="en-GB"/>
              </w:rPr>
              <w:t>398 861</w:t>
            </w:r>
          </w:p>
        </w:tc>
        <w:tc>
          <w:tcPr>
            <w:tcW w:w="994" w:type="pct"/>
            <w:tcBorders>
              <w:top w:val="nil"/>
              <w:left w:val="nil"/>
              <w:bottom w:val="nil"/>
              <w:right w:val="nil"/>
            </w:tcBorders>
            <w:shd w:val="clear" w:color="auto" w:fill="auto"/>
            <w:noWrap/>
            <w:hideMark/>
          </w:tcPr>
          <w:p w14:paraId="38CF4A71" w14:textId="77777777" w:rsidR="00EF3E42" w:rsidRPr="00CA4C14" w:rsidRDefault="00EF3E42" w:rsidP="005F455B">
            <w:pPr>
              <w:pStyle w:val="Tabletext"/>
              <w:keepNext/>
              <w:jc w:val="right"/>
              <w:rPr>
                <w:b/>
                <w:bCs/>
                <w:lang w:val="ru-RU" w:eastAsia="en-GB"/>
              </w:rPr>
            </w:pPr>
            <w:r w:rsidRPr="00CA4C14">
              <w:rPr>
                <w:b/>
                <w:bCs/>
                <w:lang w:val="ru-RU" w:eastAsia="en-GB"/>
              </w:rPr>
              <w:t>368 472</w:t>
            </w:r>
          </w:p>
        </w:tc>
      </w:tr>
      <w:tr w:rsidR="00EF3E42" w:rsidRPr="00CA4C14" w14:paraId="6277EF64" w14:textId="77777777" w:rsidTr="00EF3E42">
        <w:trPr>
          <w:jc w:val="center"/>
        </w:trPr>
        <w:tc>
          <w:tcPr>
            <w:tcW w:w="3011" w:type="pct"/>
            <w:tcBorders>
              <w:top w:val="nil"/>
              <w:left w:val="nil"/>
              <w:bottom w:val="nil"/>
              <w:right w:val="nil"/>
            </w:tcBorders>
            <w:shd w:val="clear" w:color="000000" w:fill="0070C0"/>
            <w:vAlign w:val="center"/>
            <w:hideMark/>
          </w:tcPr>
          <w:p w14:paraId="38144108" w14:textId="77777777" w:rsidR="00EF3E42" w:rsidRPr="00CA4C14" w:rsidRDefault="00EF3E42" w:rsidP="00003EC2">
            <w:pPr>
              <w:pStyle w:val="Tabletext"/>
              <w:rPr>
                <w:b/>
                <w:bCs/>
                <w:lang w:val="ru-RU" w:eastAsia="en-GB"/>
              </w:rPr>
            </w:pPr>
            <w:r w:rsidRPr="00CA4C14">
              <w:rPr>
                <w:b/>
                <w:bCs/>
                <w:szCs w:val="18"/>
                <w:lang w:val="ru-RU"/>
              </w:rPr>
              <w:t>Всего: обязательства по вознаграждению сотрудников</w:t>
            </w:r>
          </w:p>
        </w:tc>
        <w:tc>
          <w:tcPr>
            <w:tcW w:w="994" w:type="pct"/>
            <w:tcBorders>
              <w:top w:val="nil"/>
              <w:left w:val="nil"/>
              <w:bottom w:val="nil"/>
              <w:right w:val="nil"/>
            </w:tcBorders>
            <w:shd w:val="clear" w:color="000000" w:fill="0070C0"/>
            <w:noWrap/>
            <w:vAlign w:val="center"/>
            <w:hideMark/>
          </w:tcPr>
          <w:p w14:paraId="7C0F9D14" w14:textId="77777777" w:rsidR="00EF3E42" w:rsidRPr="00CA4C14" w:rsidRDefault="00EF3E42" w:rsidP="00003EC2">
            <w:pPr>
              <w:pStyle w:val="Tabletext"/>
              <w:jc w:val="right"/>
              <w:rPr>
                <w:b/>
                <w:bCs/>
                <w:lang w:val="ru-RU" w:eastAsia="en-GB"/>
              </w:rPr>
            </w:pPr>
            <w:r w:rsidRPr="00CA4C14">
              <w:rPr>
                <w:b/>
                <w:bCs/>
                <w:lang w:val="ru-RU" w:eastAsia="en-GB"/>
              </w:rPr>
              <w:t>399 388</w:t>
            </w:r>
          </w:p>
        </w:tc>
        <w:tc>
          <w:tcPr>
            <w:tcW w:w="994" w:type="pct"/>
            <w:tcBorders>
              <w:top w:val="nil"/>
              <w:left w:val="nil"/>
              <w:bottom w:val="nil"/>
              <w:right w:val="nil"/>
            </w:tcBorders>
            <w:shd w:val="clear" w:color="000000" w:fill="0070C0"/>
            <w:noWrap/>
            <w:vAlign w:val="center"/>
            <w:hideMark/>
          </w:tcPr>
          <w:p w14:paraId="7E0A0BE9" w14:textId="77777777" w:rsidR="00EF3E42" w:rsidRPr="00CA4C14" w:rsidRDefault="00EF3E42" w:rsidP="00003EC2">
            <w:pPr>
              <w:pStyle w:val="Tabletext"/>
              <w:jc w:val="right"/>
              <w:rPr>
                <w:b/>
                <w:bCs/>
                <w:lang w:val="ru-RU" w:eastAsia="en-GB"/>
              </w:rPr>
            </w:pPr>
            <w:r w:rsidRPr="00CA4C14">
              <w:rPr>
                <w:b/>
                <w:bCs/>
                <w:lang w:val="ru-RU" w:eastAsia="en-GB"/>
              </w:rPr>
              <w:t>368 717</w:t>
            </w:r>
          </w:p>
        </w:tc>
      </w:tr>
    </w:tbl>
    <w:p w14:paraId="2E27B203" w14:textId="77777777" w:rsidR="00EF3E42" w:rsidRPr="00CA4C14" w:rsidRDefault="00EF3E42" w:rsidP="00FA5386">
      <w:pPr>
        <w:pStyle w:val="Heading3"/>
        <w:rPr>
          <w:lang w:val="ru-RU"/>
        </w:rPr>
      </w:pPr>
      <w:bookmarkStart w:id="406" w:name="_Toc131156448"/>
      <w:bookmarkStart w:id="407" w:name="_Toc1313097152"/>
      <w:bookmarkStart w:id="408" w:name="_Toc164845564"/>
      <w:bookmarkStart w:id="409" w:name="_Toc168578478"/>
      <w:bookmarkStart w:id="410" w:name="_Toc168578840"/>
      <w:bookmarkEnd w:id="405"/>
      <w:r w:rsidRPr="00CA4C14">
        <w:rPr>
          <w:lang w:val="ru-RU"/>
        </w:rPr>
        <w:t>17.1</w:t>
      </w:r>
      <w:r w:rsidRPr="00CA4C14">
        <w:rPr>
          <w:lang w:val="ru-RU"/>
        </w:rPr>
        <w:tab/>
      </w:r>
      <w:bookmarkEnd w:id="406"/>
      <w:bookmarkEnd w:id="407"/>
      <w:bookmarkEnd w:id="408"/>
      <w:r w:rsidRPr="00CA4C14">
        <w:rPr>
          <w:lang w:val="ru-RU"/>
        </w:rPr>
        <w:t>Медицинское страхование после выхода в отставку</w:t>
      </w:r>
      <w:bookmarkEnd w:id="409"/>
      <w:bookmarkEnd w:id="410"/>
    </w:p>
    <w:p w14:paraId="43E4D908" w14:textId="77777777" w:rsidR="00EF3E42" w:rsidRPr="00CA4C14" w:rsidRDefault="00EF3E42" w:rsidP="0090797F">
      <w:pPr>
        <w:pStyle w:val="Headingi"/>
        <w:ind w:left="794" w:hanging="794"/>
        <w:rPr>
          <w:lang w:val="ru-RU"/>
        </w:rPr>
      </w:pPr>
      <w:bookmarkStart w:id="411" w:name="_Toc305764093"/>
      <w:bookmarkStart w:id="412" w:name="_Hlk131158609"/>
      <w:r w:rsidRPr="00CA4C14">
        <w:rPr>
          <w:lang w:val="ru-RU"/>
        </w:rPr>
        <w:t>17.1.1</w:t>
      </w:r>
      <w:r w:rsidRPr="00CA4C14">
        <w:rPr>
          <w:lang w:val="ru-RU"/>
        </w:rPr>
        <w:tab/>
      </w:r>
      <w:bookmarkEnd w:id="411"/>
      <w:r w:rsidRPr="00CA4C14">
        <w:rPr>
          <w:lang w:val="ru-RU"/>
        </w:rPr>
        <w:t>Актуарная оценка пособий, которые причитаются после прекращения службы и связаны с планом АСХИ</w:t>
      </w:r>
    </w:p>
    <w:p w14:paraId="3D66EDBC" w14:textId="77777777" w:rsidR="00EF3E42" w:rsidRPr="00CA4C14" w:rsidRDefault="00EF3E42" w:rsidP="006A7B99">
      <w:pPr>
        <w:rPr>
          <w:lang w:val="ru-RU"/>
        </w:rPr>
      </w:pPr>
      <w:r w:rsidRPr="00CA4C14">
        <w:rPr>
          <w:lang w:val="ru-RU"/>
        </w:rPr>
        <w:t>Учет связанных с АCХИ обязательств основывается на ежегодном актуарном исследовании, выполняемом независимой консультативной компанией. По результатам последней по времени оценки, проведенной в январе 2024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31 декабря 2023 года 375,3 млн. швейцарских франков по сравнению с 344,1 млн. швейцарских франков на конец 2022 года. Актуарное исследование проводилось на основе данных (затраты по заявкам/уплаченные взносы/отвечающие критериям лица), предоставленных МСЭ.</w:t>
      </w:r>
    </w:p>
    <w:p w14:paraId="30BB195E" w14:textId="77777777" w:rsidR="00EF3E42" w:rsidRPr="00CA4C14" w:rsidRDefault="00EF3E42" w:rsidP="00AC13F7">
      <w:pPr>
        <w:pStyle w:val="Headingi"/>
        <w:rPr>
          <w:lang w:val="ru-RU"/>
        </w:rPr>
      </w:pPr>
      <w:bookmarkStart w:id="413" w:name="_Toc305764094"/>
      <w:bookmarkEnd w:id="412"/>
      <w:r w:rsidRPr="00CA4C14">
        <w:rPr>
          <w:lang w:val="ru-RU"/>
        </w:rPr>
        <w:t>17.1.2</w:t>
      </w:r>
      <w:r w:rsidRPr="00CA4C14">
        <w:rPr>
          <w:lang w:val="ru-RU"/>
        </w:rPr>
        <w:tab/>
      </w:r>
      <w:bookmarkEnd w:id="413"/>
      <w:r w:rsidRPr="00CA4C14">
        <w:rPr>
          <w:lang w:val="ru-RU"/>
        </w:rPr>
        <w:t>Актуарная оценка – допущения и методы</w:t>
      </w:r>
    </w:p>
    <w:p w14:paraId="14C8FD59" w14:textId="77777777" w:rsidR="00EF3E42" w:rsidRPr="00CA4C14" w:rsidRDefault="00EF3E42" w:rsidP="00AC13F7">
      <w:pPr>
        <w:spacing w:after="120"/>
        <w:rPr>
          <w:lang w:val="ru-RU"/>
        </w:rPr>
      </w:pPr>
      <w:r w:rsidRPr="00CA4C14">
        <w:rPr>
          <w:lang w:val="ru-RU"/>
        </w:rPr>
        <w:t>В рамках проводимой оценки обязательств, связанных с планом АСХИ по состоянию на 31 декабря 2023 года, и взноса за 2023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2023 финансовый год.</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5640"/>
      </w:tblGrid>
      <w:tr w:rsidR="00EF3E42" w:rsidRPr="009A3216" w14:paraId="2B803C7C" w14:textId="77777777" w:rsidTr="00EF3E42">
        <w:tc>
          <w:tcPr>
            <w:tcW w:w="3432" w:type="dxa"/>
          </w:tcPr>
          <w:p w14:paraId="7DABFCC5" w14:textId="77777777" w:rsidR="00EF3E42" w:rsidRPr="00CA4C14" w:rsidRDefault="00EF3E42" w:rsidP="00D51B7E">
            <w:pPr>
              <w:pStyle w:val="Tabletext"/>
              <w:rPr>
                <w:szCs w:val="18"/>
                <w:lang w:val="ru-RU"/>
              </w:rPr>
            </w:pPr>
            <w:bookmarkStart w:id="414" w:name="_Hlk37059178"/>
            <w:r w:rsidRPr="00CA4C14">
              <w:rPr>
                <w:szCs w:val="18"/>
                <w:lang w:val="ru-RU"/>
              </w:rPr>
              <w:t>Ставка дисконтирования</w:t>
            </w:r>
          </w:p>
        </w:tc>
        <w:tc>
          <w:tcPr>
            <w:tcW w:w="5640" w:type="dxa"/>
          </w:tcPr>
          <w:p w14:paraId="4A0D0FAC" w14:textId="4160878A" w:rsidR="00EF3E42" w:rsidRPr="00CA4C14" w:rsidRDefault="00EF3E42" w:rsidP="00D51B7E">
            <w:pPr>
              <w:pStyle w:val="Tabletext"/>
              <w:rPr>
                <w:szCs w:val="18"/>
                <w:lang w:val="ru-RU"/>
              </w:rPr>
            </w:pPr>
            <w:r w:rsidRPr="00CA4C14">
              <w:rPr>
                <w:szCs w:val="18"/>
                <w:lang w:val="ru-RU"/>
              </w:rPr>
              <w:t>1,90% на 2023 год и 2,50% на 2022 год</w:t>
            </w:r>
          </w:p>
          <w:p w14:paraId="721F07EE" w14:textId="5E8AD3A5" w:rsidR="00EF3E42" w:rsidRPr="00CA4C14" w:rsidRDefault="00EF3E42" w:rsidP="00D51B7E">
            <w:pPr>
              <w:pStyle w:val="Tabletext"/>
              <w:rPr>
                <w:szCs w:val="18"/>
                <w:lang w:val="ru-RU"/>
              </w:rPr>
            </w:pPr>
            <w:r w:rsidRPr="00CA4C14">
              <w:rPr>
                <w:szCs w:val="18"/>
                <w:lang w:val="ru-RU"/>
              </w:rPr>
              <w:t>Ставки дисконтирования, использованные для данной оценки, сначала были определены отдельно для каждой из основных валют, включая швейцарский франк, доллар США и евро, с</w:t>
            </w:r>
            <w:r w:rsidR="0090797F" w:rsidRPr="00CA4C14">
              <w:rPr>
                <w:szCs w:val="18"/>
                <w:lang w:val="ru-RU"/>
              </w:rPr>
              <w:t> </w:t>
            </w:r>
            <w:r w:rsidRPr="00CA4C14">
              <w:rPr>
                <w:szCs w:val="18"/>
                <w:lang w:val="ru-RU"/>
              </w:rPr>
              <w:t xml:space="preserve">помощью кривой доходности корпоративных облигаций </w:t>
            </w:r>
            <w:proofErr w:type="spellStart"/>
            <w:r w:rsidRPr="00CA4C14">
              <w:rPr>
                <w:szCs w:val="18"/>
                <w:lang w:val="ru-RU"/>
              </w:rPr>
              <w:t>Aon</w:t>
            </w:r>
            <w:proofErr w:type="spellEnd"/>
            <w:r w:rsidR="0090797F" w:rsidRPr="00CA4C14">
              <w:rPr>
                <w:szCs w:val="18"/>
                <w:lang w:val="ru-RU"/>
              </w:rPr>
              <w:t> </w:t>
            </w:r>
            <w:r w:rsidRPr="00CA4C14">
              <w:rPr>
                <w:szCs w:val="18"/>
                <w:lang w:val="ru-RU"/>
              </w:rPr>
              <w:t>AA по состоянию на</w:t>
            </w:r>
            <w:r w:rsidR="0090797F" w:rsidRPr="00CA4C14">
              <w:rPr>
                <w:szCs w:val="18"/>
                <w:lang w:val="ru-RU"/>
              </w:rPr>
              <w:t> </w:t>
            </w:r>
            <w:r w:rsidRPr="00CA4C14">
              <w:rPr>
                <w:szCs w:val="18"/>
                <w:lang w:val="ru-RU"/>
              </w:rPr>
              <w:t>31</w:t>
            </w:r>
            <w:r w:rsidR="0090797F" w:rsidRPr="00CA4C14">
              <w:rPr>
                <w:szCs w:val="18"/>
                <w:lang w:val="ru-RU"/>
              </w:rPr>
              <w:t> </w:t>
            </w:r>
            <w:r w:rsidRPr="00CA4C14">
              <w:rPr>
                <w:szCs w:val="18"/>
                <w:lang w:val="ru-RU"/>
              </w:rPr>
              <w:t>декабря 2023 года. Затем была определена конечная ставка дисконтирования путем усреднения ставок дисконтирования по валютам, взвешенных по сумме выплат пособий текущим неработающим в каждой валюте.</w:t>
            </w:r>
          </w:p>
        </w:tc>
      </w:tr>
      <w:tr w:rsidR="00EF3E42" w:rsidRPr="009A3216" w14:paraId="15666E4E" w14:textId="77777777" w:rsidTr="00EF3E42">
        <w:tc>
          <w:tcPr>
            <w:tcW w:w="3432" w:type="dxa"/>
          </w:tcPr>
          <w:p w14:paraId="719D20CF" w14:textId="77777777" w:rsidR="00EF3E42" w:rsidRPr="00CA4C14" w:rsidRDefault="00EF3E42" w:rsidP="00D51B7E">
            <w:pPr>
              <w:pStyle w:val="Tabletext"/>
              <w:rPr>
                <w:szCs w:val="18"/>
                <w:lang w:val="ru-RU"/>
              </w:rPr>
            </w:pPr>
            <w:r w:rsidRPr="00CA4C14">
              <w:rPr>
                <w:szCs w:val="18"/>
                <w:lang w:val="ru-RU"/>
              </w:rPr>
              <w:lastRenderedPageBreak/>
              <w:t xml:space="preserve">Рост затрат на медицинские услуги </w:t>
            </w:r>
          </w:p>
        </w:tc>
        <w:tc>
          <w:tcPr>
            <w:tcW w:w="5640" w:type="dxa"/>
          </w:tcPr>
          <w:p w14:paraId="34009525" w14:textId="2F3C9CCA" w:rsidR="00EF3E42" w:rsidRPr="00CA4C14" w:rsidRDefault="00EF3E42" w:rsidP="00860357">
            <w:pPr>
              <w:pStyle w:val="Tabletext"/>
              <w:rPr>
                <w:szCs w:val="18"/>
                <w:lang w:val="ru-RU"/>
              </w:rPr>
            </w:pPr>
            <w:r w:rsidRPr="00CA4C14">
              <w:rPr>
                <w:szCs w:val="18"/>
                <w:lang w:val="ru-RU"/>
              </w:rPr>
              <w:t>2,60% за 2023 год и 2,80% за 2022 год</w:t>
            </w:r>
          </w:p>
        </w:tc>
      </w:tr>
      <w:tr w:rsidR="00EF3E42" w:rsidRPr="009A3216" w14:paraId="4809DA1F" w14:textId="77777777" w:rsidTr="00EF3E42">
        <w:tc>
          <w:tcPr>
            <w:tcW w:w="3432" w:type="dxa"/>
          </w:tcPr>
          <w:p w14:paraId="15A27337" w14:textId="77777777" w:rsidR="00EF3E42" w:rsidRPr="00CA4C14" w:rsidRDefault="00EF3E42" w:rsidP="00D51B7E">
            <w:pPr>
              <w:pStyle w:val="Tabletext"/>
              <w:rPr>
                <w:szCs w:val="18"/>
                <w:lang w:val="ru-RU"/>
              </w:rPr>
            </w:pPr>
            <w:r w:rsidRPr="00CA4C14">
              <w:rPr>
                <w:szCs w:val="18"/>
                <w:lang w:val="ru-RU"/>
              </w:rPr>
              <w:t>Увеличение окладов</w:t>
            </w:r>
          </w:p>
        </w:tc>
        <w:tc>
          <w:tcPr>
            <w:tcW w:w="5640" w:type="dxa"/>
          </w:tcPr>
          <w:p w14:paraId="142AC665" w14:textId="77777777" w:rsidR="00EF3E42" w:rsidRPr="00CA4C14" w:rsidRDefault="00EF3E42" w:rsidP="00860357">
            <w:pPr>
              <w:pStyle w:val="Tabletext"/>
              <w:rPr>
                <w:szCs w:val="18"/>
                <w:lang w:val="ru-RU"/>
              </w:rPr>
            </w:pPr>
            <w:r w:rsidRPr="00CA4C14">
              <w:rPr>
                <w:szCs w:val="18"/>
                <w:lang w:val="ru-RU"/>
              </w:rPr>
              <w:t xml:space="preserve">3,10% рост в 2023 году и 3,00% рост в 2022 году согласно </w:t>
            </w:r>
            <w:r w:rsidRPr="00CA4C14">
              <w:rPr>
                <w:color w:val="000000"/>
                <w:szCs w:val="18"/>
                <w:lang w:val="ru-RU"/>
              </w:rPr>
              <w:t>фиксированной шкале роста окладов, используемой ОПФП ООН.</w:t>
            </w:r>
          </w:p>
        </w:tc>
      </w:tr>
      <w:tr w:rsidR="00EF3E42" w:rsidRPr="009A3216" w14:paraId="596873D9" w14:textId="77777777" w:rsidTr="00EF3E42">
        <w:tc>
          <w:tcPr>
            <w:tcW w:w="3432" w:type="dxa"/>
          </w:tcPr>
          <w:p w14:paraId="3D01B167" w14:textId="77777777" w:rsidR="00EF3E42" w:rsidRPr="00CA4C14" w:rsidRDefault="00EF3E42" w:rsidP="00D51B7E">
            <w:pPr>
              <w:pStyle w:val="Tabletext"/>
              <w:rPr>
                <w:szCs w:val="18"/>
                <w:lang w:val="ru-RU"/>
              </w:rPr>
            </w:pPr>
            <w:r w:rsidRPr="00CA4C14">
              <w:rPr>
                <w:szCs w:val="18"/>
                <w:lang w:val="ru-RU"/>
              </w:rPr>
              <w:t>Увеличений пенсий</w:t>
            </w:r>
          </w:p>
        </w:tc>
        <w:tc>
          <w:tcPr>
            <w:tcW w:w="5640" w:type="dxa"/>
          </w:tcPr>
          <w:p w14:paraId="04FF839B" w14:textId="133DCD96" w:rsidR="00EF3E42" w:rsidRPr="00CA4C14" w:rsidRDefault="00EF3E42" w:rsidP="00D51B7E">
            <w:pPr>
              <w:pStyle w:val="Tabletext"/>
              <w:rPr>
                <w:szCs w:val="18"/>
                <w:lang w:val="ru-RU"/>
              </w:rPr>
            </w:pPr>
            <w:r w:rsidRPr="00CA4C14">
              <w:rPr>
                <w:szCs w:val="18"/>
                <w:lang w:val="ru-RU"/>
              </w:rPr>
              <w:t>2,60% за 2023 г</w:t>
            </w:r>
            <w:r w:rsidR="00696F76" w:rsidRPr="00CA4C14">
              <w:rPr>
                <w:szCs w:val="18"/>
                <w:lang w:val="ru-RU"/>
              </w:rPr>
              <w:t>од</w:t>
            </w:r>
            <w:r w:rsidRPr="00CA4C14">
              <w:rPr>
                <w:szCs w:val="18"/>
                <w:lang w:val="ru-RU"/>
              </w:rPr>
              <w:t xml:space="preserve"> и 2,50% за 2022 г</w:t>
            </w:r>
            <w:r w:rsidR="00696F76" w:rsidRPr="00CA4C14">
              <w:rPr>
                <w:szCs w:val="18"/>
                <w:lang w:val="ru-RU"/>
              </w:rPr>
              <w:t>од</w:t>
            </w:r>
          </w:p>
        </w:tc>
      </w:tr>
      <w:tr w:rsidR="00EF3E42" w:rsidRPr="009A3216" w14:paraId="31410DB4" w14:textId="77777777" w:rsidTr="00EF3E42">
        <w:tc>
          <w:tcPr>
            <w:tcW w:w="3432" w:type="dxa"/>
          </w:tcPr>
          <w:p w14:paraId="173141EC" w14:textId="346F198A" w:rsidR="00EF3E42" w:rsidRPr="00CA4C14" w:rsidRDefault="00EF3E42" w:rsidP="00D51B7E">
            <w:pPr>
              <w:pStyle w:val="Tabletext"/>
              <w:rPr>
                <w:szCs w:val="18"/>
                <w:lang w:val="ru-RU"/>
              </w:rPr>
            </w:pPr>
            <w:r w:rsidRPr="00CA4C14">
              <w:rPr>
                <w:szCs w:val="18"/>
                <w:lang w:val="ru-RU"/>
              </w:rPr>
              <w:t>Оценочные среднегодовые затраты по заявкам на возмещение медицинских расходов в 2023 г. и колебания медицинских расходов в зависимости от</w:t>
            </w:r>
            <w:r w:rsidR="0090797F" w:rsidRPr="00CA4C14">
              <w:rPr>
                <w:szCs w:val="18"/>
                <w:lang w:val="ru-RU"/>
              </w:rPr>
              <w:t> </w:t>
            </w:r>
            <w:r w:rsidRPr="00CA4C14">
              <w:rPr>
                <w:szCs w:val="18"/>
                <w:lang w:val="ru-RU"/>
              </w:rPr>
              <w:t>возраста</w:t>
            </w:r>
          </w:p>
        </w:tc>
        <w:tc>
          <w:tcPr>
            <w:tcW w:w="5640" w:type="dxa"/>
          </w:tcPr>
          <w:p w14:paraId="57BAB866" w14:textId="0B0F8DFF" w:rsidR="00EF3E42" w:rsidRPr="00CA4C14" w:rsidRDefault="00EF3E42" w:rsidP="00D51B7E">
            <w:pPr>
              <w:pStyle w:val="Tabletext"/>
              <w:rPr>
                <w:szCs w:val="18"/>
                <w:lang w:val="ru-RU"/>
              </w:rPr>
            </w:pPr>
            <w:r w:rsidRPr="00CA4C14">
              <w:rPr>
                <w:szCs w:val="18"/>
                <w:lang w:val="ru-RU"/>
              </w:rPr>
              <w:t>Актуарный отчет за 2023 год базируется на величине средних затрат по заявкам на возмещение расходов на конец 2023 года, которые оценивались в среднем по возрастным категориям 50, 55, 60, 65, 70, 75, 80, 85 и 90 лет в размере, соответственно, 3226 шв. фр., 4038</w:t>
            </w:r>
            <w:r w:rsidR="0090797F" w:rsidRPr="00CA4C14">
              <w:rPr>
                <w:szCs w:val="18"/>
                <w:lang w:val="ru-RU"/>
              </w:rPr>
              <w:t> </w:t>
            </w:r>
            <w:r w:rsidRPr="00CA4C14">
              <w:rPr>
                <w:szCs w:val="18"/>
                <w:lang w:val="ru-RU"/>
              </w:rPr>
              <w:t>шв.</w:t>
            </w:r>
            <w:r w:rsidR="0090797F" w:rsidRPr="00CA4C14">
              <w:rPr>
                <w:szCs w:val="18"/>
                <w:lang w:val="ru-RU"/>
              </w:rPr>
              <w:t> </w:t>
            </w:r>
            <w:r w:rsidRPr="00CA4C14">
              <w:rPr>
                <w:szCs w:val="18"/>
                <w:lang w:val="ru-RU"/>
              </w:rPr>
              <w:t>фр., 5063 шв. фр., 6357 шв. фр., 7995 шв. фр., 10 074 шв. фр., 12 715 шв. фр., 14 736 шв. фр. и 16 953 шв. фр.</w:t>
            </w:r>
          </w:p>
        </w:tc>
      </w:tr>
      <w:tr w:rsidR="00EF3E42" w:rsidRPr="009A3216" w14:paraId="5306ACF7" w14:textId="77777777" w:rsidTr="00EF3E42">
        <w:tc>
          <w:tcPr>
            <w:tcW w:w="3432" w:type="dxa"/>
          </w:tcPr>
          <w:p w14:paraId="27B77467" w14:textId="77777777" w:rsidR="00EF3E42" w:rsidRPr="00CA4C14" w:rsidRDefault="00EF3E42" w:rsidP="00D51B7E">
            <w:pPr>
              <w:pStyle w:val="Tabletext"/>
              <w:rPr>
                <w:szCs w:val="18"/>
                <w:lang w:val="ru-RU"/>
              </w:rPr>
            </w:pPr>
            <w:r w:rsidRPr="00CA4C14">
              <w:rPr>
                <w:szCs w:val="18"/>
                <w:lang w:val="ru-RU"/>
              </w:rPr>
              <w:t>Административные расходы</w:t>
            </w:r>
          </w:p>
        </w:tc>
        <w:tc>
          <w:tcPr>
            <w:tcW w:w="5640" w:type="dxa"/>
          </w:tcPr>
          <w:p w14:paraId="43F96E3B" w14:textId="77777777" w:rsidR="00EF3E42" w:rsidRPr="00CA4C14" w:rsidRDefault="00EF3E42" w:rsidP="00D51B7E">
            <w:pPr>
              <w:pStyle w:val="Tabletext"/>
              <w:rPr>
                <w:szCs w:val="18"/>
                <w:lang w:val="ru-RU"/>
              </w:rPr>
            </w:pPr>
            <w:r w:rsidRPr="00CA4C14">
              <w:rPr>
                <w:szCs w:val="18"/>
                <w:lang w:val="ru-RU"/>
              </w:rPr>
              <w:t xml:space="preserve">Годовые административные затраты оценивались в среднем на уровне 164 шв. фр. на человека. </w:t>
            </w:r>
          </w:p>
        </w:tc>
      </w:tr>
      <w:tr w:rsidR="00EF3E42" w:rsidRPr="009A3216" w14:paraId="4956FF61" w14:textId="77777777" w:rsidTr="00EF3E42">
        <w:tc>
          <w:tcPr>
            <w:tcW w:w="3432" w:type="dxa"/>
          </w:tcPr>
          <w:p w14:paraId="42267046" w14:textId="77777777" w:rsidR="00EF3E42" w:rsidRPr="00CA4C14" w:rsidRDefault="00EF3E42" w:rsidP="00D51B7E">
            <w:pPr>
              <w:pStyle w:val="Tabletext"/>
              <w:rPr>
                <w:szCs w:val="18"/>
                <w:lang w:val="ru-RU"/>
              </w:rPr>
            </w:pPr>
            <w:r w:rsidRPr="00CA4C14">
              <w:rPr>
                <w:szCs w:val="18"/>
                <w:lang w:val="ru-RU"/>
              </w:rPr>
              <w:t>Смертность</w:t>
            </w:r>
          </w:p>
        </w:tc>
        <w:tc>
          <w:tcPr>
            <w:tcW w:w="5640" w:type="dxa"/>
          </w:tcPr>
          <w:p w14:paraId="57AE0086" w14:textId="77777777" w:rsidR="00EF3E42" w:rsidRPr="00CA4C14" w:rsidRDefault="00EF3E42" w:rsidP="000C4C0B">
            <w:pPr>
              <w:pStyle w:val="Tabletext"/>
              <w:rPr>
                <w:szCs w:val="18"/>
                <w:lang w:val="ru-RU"/>
              </w:rPr>
            </w:pPr>
            <w:r w:rsidRPr="00CA4C14">
              <w:rPr>
                <w:szCs w:val="18"/>
                <w:lang w:val="ru-RU"/>
              </w:rPr>
              <w:t xml:space="preserve">Показатель смертности рассчитан на основе таблиц смертности Организации Объединенных Наций (январь 2023 г.) в разбивке по полу при отсутствии увеличения продолжительности жизни для действующих сотрудников и нетрудоспособных пенсионеров и увеличении продолжительности жизни </w:t>
            </w:r>
            <w:r w:rsidRPr="00CA4C14">
              <w:rPr>
                <w:color w:val="000000"/>
                <w:szCs w:val="18"/>
                <w:lang w:val="ru-RU"/>
              </w:rPr>
              <w:t>по поколениям</w:t>
            </w:r>
            <w:r w:rsidRPr="00CA4C14">
              <w:rPr>
                <w:szCs w:val="18"/>
                <w:lang w:val="ru-RU"/>
              </w:rPr>
              <w:t xml:space="preserve"> для пенсионеров, оставивших службу, вдов и вдовцов вплоть до 2043 года; при этом базовым годом является 2017 год.</w:t>
            </w:r>
          </w:p>
        </w:tc>
      </w:tr>
      <w:tr w:rsidR="00EF3E42" w:rsidRPr="009A3216" w14:paraId="68E949D1" w14:textId="77777777" w:rsidTr="00EF3E42">
        <w:tc>
          <w:tcPr>
            <w:tcW w:w="3432" w:type="dxa"/>
          </w:tcPr>
          <w:p w14:paraId="298FF8E4" w14:textId="77777777" w:rsidR="00EF3E42" w:rsidRPr="00CA4C14" w:rsidRDefault="00EF3E42" w:rsidP="00D51B7E">
            <w:pPr>
              <w:pStyle w:val="Tabletext"/>
              <w:rPr>
                <w:szCs w:val="18"/>
                <w:lang w:val="ru-RU"/>
              </w:rPr>
            </w:pPr>
            <w:r w:rsidRPr="00CA4C14">
              <w:rPr>
                <w:szCs w:val="18"/>
                <w:lang w:val="ru-RU"/>
              </w:rPr>
              <w:t>Оценка стоимости активов</w:t>
            </w:r>
          </w:p>
        </w:tc>
        <w:tc>
          <w:tcPr>
            <w:tcW w:w="5640" w:type="dxa"/>
          </w:tcPr>
          <w:p w14:paraId="134C15B4" w14:textId="77777777" w:rsidR="00EF3E42" w:rsidRPr="00CA4C14" w:rsidRDefault="00EF3E42" w:rsidP="00D51B7E">
            <w:pPr>
              <w:pStyle w:val="Tabletext"/>
              <w:rPr>
                <w:szCs w:val="18"/>
                <w:lang w:val="ru-RU"/>
              </w:rPr>
            </w:pPr>
            <w:r w:rsidRPr="00CA4C14">
              <w:rPr>
                <w:szCs w:val="18"/>
                <w:lang w:val="ru-RU"/>
              </w:rPr>
              <w:t>На 31 декабря 2023 года МСЭ не имеет активов в Гарантийных фондах.</w:t>
            </w:r>
          </w:p>
        </w:tc>
      </w:tr>
      <w:tr w:rsidR="00EF3E42" w:rsidRPr="009A3216" w14:paraId="0B7245FD" w14:textId="77777777" w:rsidTr="00EF3E42">
        <w:tc>
          <w:tcPr>
            <w:tcW w:w="3432" w:type="dxa"/>
          </w:tcPr>
          <w:p w14:paraId="58C1D64D" w14:textId="77777777" w:rsidR="00EF3E42" w:rsidRPr="00CA4C14" w:rsidRDefault="00EF3E42" w:rsidP="00D51B7E">
            <w:pPr>
              <w:pStyle w:val="Tabletext"/>
              <w:rPr>
                <w:szCs w:val="18"/>
                <w:lang w:val="ru-RU"/>
              </w:rPr>
            </w:pPr>
            <w:r w:rsidRPr="00CA4C14">
              <w:rPr>
                <w:szCs w:val="18"/>
                <w:lang w:val="ru-RU"/>
              </w:rPr>
              <w:t>Показатель инвалидности</w:t>
            </w:r>
          </w:p>
        </w:tc>
        <w:tc>
          <w:tcPr>
            <w:tcW w:w="5640" w:type="dxa"/>
          </w:tcPr>
          <w:p w14:paraId="1F474016" w14:textId="77777777" w:rsidR="00EF3E42" w:rsidRPr="00CA4C14" w:rsidRDefault="00EF3E42" w:rsidP="00D51B7E">
            <w:pPr>
              <w:pStyle w:val="Tabletext"/>
              <w:rPr>
                <w:szCs w:val="18"/>
                <w:lang w:val="ru-RU"/>
              </w:rPr>
            </w:pPr>
            <w:r w:rsidRPr="00CA4C14">
              <w:rPr>
                <w:szCs w:val="18"/>
                <w:lang w:val="ru-RU"/>
              </w:rPr>
              <w:t xml:space="preserve">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w:t>
            </w:r>
            <w:r w:rsidRPr="00CA4C14">
              <w:rPr>
                <w:rFonts w:asciiTheme="minorHAnsi" w:eastAsia="TimesNewRoman" w:hAnsiTheme="minorHAnsi" w:cstheme="minorHAnsi"/>
                <w:szCs w:val="18"/>
                <w:lang w:val="ru-RU" w:eastAsia="zh-CN"/>
              </w:rPr>
              <w:t>Таблиц</w:t>
            </w:r>
            <w:r w:rsidRPr="00CA4C14">
              <w:rPr>
                <w:rFonts w:asciiTheme="minorHAnsi" w:hAnsiTheme="minorHAnsi" w:cstheme="minorHAnsi"/>
                <w:szCs w:val="18"/>
                <w:lang w:val="ru-RU" w:eastAsia="zh-CN"/>
              </w:rPr>
              <w:t>ы</w:t>
            </w:r>
            <w:r w:rsidRPr="00CA4C14">
              <w:rPr>
                <w:rFonts w:asciiTheme="minorHAnsi" w:eastAsia="TimesNewRoman" w:hAnsiTheme="minorHAnsi" w:cstheme="minorHAnsi"/>
                <w:szCs w:val="18"/>
                <w:lang w:val="ru-RU" w:eastAsia="zh-CN"/>
              </w:rPr>
              <w:t xml:space="preserve"> нетрудоспособности Организации Объединенных Наций</w:t>
            </w:r>
            <w:r w:rsidRPr="00CA4C14">
              <w:rPr>
                <w:szCs w:val="18"/>
                <w:lang w:val="ru-RU"/>
              </w:rPr>
              <w:t>, сообщенных в январе 2024 года.</w:t>
            </w:r>
          </w:p>
        </w:tc>
      </w:tr>
      <w:tr w:rsidR="00EF3E42" w:rsidRPr="009A3216" w14:paraId="5FD57A95" w14:textId="77777777" w:rsidTr="00EF3E42">
        <w:tc>
          <w:tcPr>
            <w:tcW w:w="3432" w:type="dxa"/>
          </w:tcPr>
          <w:p w14:paraId="39F3C504" w14:textId="77777777" w:rsidR="00EF3E42" w:rsidRPr="00CA4C14" w:rsidRDefault="00EF3E42" w:rsidP="00D51B7E">
            <w:pPr>
              <w:pStyle w:val="Tabletext"/>
              <w:rPr>
                <w:szCs w:val="18"/>
                <w:lang w:val="ru-RU"/>
              </w:rPr>
            </w:pPr>
            <w:r w:rsidRPr="00CA4C14">
              <w:rPr>
                <w:szCs w:val="18"/>
                <w:lang w:val="ru-RU"/>
              </w:rPr>
              <w:t>Ротация персонала</w:t>
            </w:r>
          </w:p>
        </w:tc>
        <w:tc>
          <w:tcPr>
            <w:tcW w:w="5640" w:type="dxa"/>
          </w:tcPr>
          <w:p w14:paraId="57D9F694" w14:textId="77777777" w:rsidR="00EF3E42" w:rsidRPr="00CA4C14" w:rsidRDefault="00EF3E42" w:rsidP="00D51B7E">
            <w:pPr>
              <w:pStyle w:val="Tabletext"/>
              <w:rPr>
                <w:szCs w:val="18"/>
                <w:lang w:val="ru-RU"/>
              </w:rPr>
            </w:pPr>
            <w:r w:rsidRPr="00CA4C14">
              <w:rPr>
                <w:szCs w:val="18"/>
                <w:lang w:val="ru-RU"/>
              </w:rPr>
              <w:t>Коэффициент выбытия сотрудников, покидающих организации, который учитывается в оценках, различается в зависимости от возраста с 25 до 55 лет и с 18,3% до 5,0%, соответственно.</w:t>
            </w:r>
          </w:p>
        </w:tc>
      </w:tr>
      <w:tr w:rsidR="00EF3E42" w:rsidRPr="009A3216" w14:paraId="0AF20868" w14:textId="77777777" w:rsidTr="00EF3E42">
        <w:tc>
          <w:tcPr>
            <w:tcW w:w="3432" w:type="dxa"/>
          </w:tcPr>
          <w:p w14:paraId="1BCC98C6" w14:textId="77777777" w:rsidR="00EF3E42" w:rsidRPr="00CA4C14" w:rsidRDefault="00EF3E42" w:rsidP="00D51B7E">
            <w:pPr>
              <w:pStyle w:val="Tabletext"/>
              <w:rPr>
                <w:szCs w:val="18"/>
                <w:lang w:val="ru-RU"/>
              </w:rPr>
            </w:pPr>
            <w:r w:rsidRPr="00CA4C14">
              <w:rPr>
                <w:szCs w:val="18"/>
                <w:lang w:val="ru-RU"/>
              </w:rPr>
              <w:t>Коэффициент пенсионеров</w:t>
            </w:r>
          </w:p>
        </w:tc>
        <w:tc>
          <w:tcPr>
            <w:tcW w:w="5640" w:type="dxa"/>
          </w:tcPr>
          <w:p w14:paraId="130D93F6" w14:textId="77777777" w:rsidR="00EF3E42" w:rsidRPr="00CA4C14" w:rsidRDefault="00EF3E42" w:rsidP="00D51B7E">
            <w:pPr>
              <w:pStyle w:val="Tabletext"/>
              <w:rPr>
                <w:szCs w:val="18"/>
                <w:lang w:val="ru-RU"/>
              </w:rPr>
            </w:pPr>
            <w:r w:rsidRPr="00CA4C14">
              <w:rPr>
                <w:szCs w:val="18"/>
                <w:lang w:val="ru-RU"/>
              </w:rPr>
              <w:t xml:space="preserve">По всем сотрудникам коэффициенты пенсионеров установлены равными коэффициентам, которые были сообщены </w:t>
            </w:r>
            <w:r w:rsidRPr="00CA4C14">
              <w:rPr>
                <w:color w:val="000000"/>
                <w:szCs w:val="18"/>
                <w:lang w:val="ru-RU"/>
              </w:rPr>
              <w:t>Целевой группой Организации Объединенных Наций</w:t>
            </w:r>
            <w:r w:rsidRPr="00CA4C14">
              <w:rPr>
                <w:szCs w:val="18"/>
                <w:lang w:val="ru-RU"/>
              </w:rPr>
              <w:t xml:space="preserve"> в январе 2024 года. Коэффициенты различаются в зависимости от возраста, пола, продолжительности службы и категории должности.</w:t>
            </w:r>
          </w:p>
        </w:tc>
      </w:tr>
      <w:tr w:rsidR="00EF3E42" w:rsidRPr="009A3216" w14:paraId="56710FA2" w14:textId="77777777" w:rsidTr="00EF3E42">
        <w:tc>
          <w:tcPr>
            <w:tcW w:w="3432" w:type="dxa"/>
          </w:tcPr>
          <w:p w14:paraId="02392E90" w14:textId="77777777" w:rsidR="00EF3E42" w:rsidRPr="00CA4C14" w:rsidRDefault="00EF3E42" w:rsidP="00D51B7E">
            <w:pPr>
              <w:pStyle w:val="Tabletext"/>
              <w:rPr>
                <w:szCs w:val="18"/>
                <w:lang w:val="ru-RU"/>
              </w:rPr>
            </w:pPr>
            <w:r w:rsidRPr="00CA4C14">
              <w:rPr>
                <w:szCs w:val="18"/>
                <w:lang w:val="ru-RU"/>
              </w:rPr>
              <w:t>Участие</w:t>
            </w:r>
          </w:p>
        </w:tc>
        <w:tc>
          <w:tcPr>
            <w:tcW w:w="5640" w:type="dxa"/>
          </w:tcPr>
          <w:p w14:paraId="66BC074D" w14:textId="77777777" w:rsidR="00EF3E42" w:rsidRPr="00CA4C14" w:rsidRDefault="00EF3E42" w:rsidP="00D51B7E">
            <w:pPr>
              <w:pStyle w:val="Tabletext"/>
              <w:rPr>
                <w:szCs w:val="18"/>
                <w:lang w:val="ru-RU"/>
              </w:rPr>
            </w:pPr>
            <w:r w:rsidRPr="00CA4C14">
              <w:rPr>
                <w:szCs w:val="18"/>
                <w:lang w:val="ru-RU"/>
              </w:rPr>
              <w:t>97,5% будущих пенсионеров выберут покрытие в АСХИ.</w:t>
            </w:r>
          </w:p>
        </w:tc>
      </w:tr>
      <w:tr w:rsidR="00EF3E42" w:rsidRPr="00CA4C14" w14:paraId="39669AE9" w14:textId="77777777" w:rsidTr="00EF3E42">
        <w:tc>
          <w:tcPr>
            <w:tcW w:w="3432" w:type="dxa"/>
          </w:tcPr>
          <w:p w14:paraId="4A719198" w14:textId="77777777" w:rsidR="00EF3E42" w:rsidRPr="00CA4C14" w:rsidRDefault="00EF3E42" w:rsidP="00D51B7E">
            <w:pPr>
              <w:pStyle w:val="Tabletext"/>
              <w:rPr>
                <w:szCs w:val="18"/>
                <w:lang w:val="ru-RU"/>
              </w:rPr>
            </w:pPr>
            <w:r w:rsidRPr="00CA4C14">
              <w:rPr>
                <w:szCs w:val="18"/>
                <w:lang w:val="ru-RU"/>
              </w:rPr>
              <w:t>Покрытие супругов</w:t>
            </w:r>
          </w:p>
        </w:tc>
        <w:tc>
          <w:tcPr>
            <w:tcW w:w="5640" w:type="dxa"/>
          </w:tcPr>
          <w:p w14:paraId="01EB4299" w14:textId="77777777" w:rsidR="00EF3E42" w:rsidRPr="00CA4C14" w:rsidRDefault="00EF3E42" w:rsidP="000C4C0B">
            <w:pPr>
              <w:pStyle w:val="Tabletext"/>
              <w:rPr>
                <w:szCs w:val="18"/>
                <w:lang w:val="ru-RU"/>
              </w:rPr>
            </w:pPr>
            <w:r w:rsidRPr="00CA4C14">
              <w:rPr>
                <w:szCs w:val="18"/>
                <w:lang w:val="ru-RU"/>
              </w:rPr>
              <w:t>75% и 25% пенсионеров мужского и женского пола имеют супругу/супруга, которые выберут покрытие в АСХИ. Предполагается, что мужчины на пять лет старше своих супруг.</w:t>
            </w:r>
          </w:p>
        </w:tc>
      </w:tr>
      <w:tr w:rsidR="00EF3E42" w:rsidRPr="009A3216" w14:paraId="1C88D2C9" w14:textId="77777777" w:rsidTr="00EF3E42">
        <w:tc>
          <w:tcPr>
            <w:tcW w:w="3432" w:type="dxa"/>
          </w:tcPr>
          <w:p w14:paraId="3051A062" w14:textId="77777777" w:rsidR="00EF3E42" w:rsidRPr="00CA4C14" w:rsidRDefault="00EF3E42" w:rsidP="00D51B7E">
            <w:pPr>
              <w:pStyle w:val="Tabletext"/>
              <w:rPr>
                <w:szCs w:val="18"/>
                <w:lang w:val="ru-RU"/>
              </w:rPr>
            </w:pPr>
            <w:r w:rsidRPr="00CA4C14">
              <w:rPr>
                <w:szCs w:val="18"/>
                <w:lang w:val="ru-RU"/>
              </w:rPr>
              <w:t>Актуарный метод</w:t>
            </w:r>
          </w:p>
        </w:tc>
        <w:tc>
          <w:tcPr>
            <w:tcW w:w="5640" w:type="dxa"/>
          </w:tcPr>
          <w:p w14:paraId="4682A1DF" w14:textId="77777777" w:rsidR="00EF3E42" w:rsidRPr="00CA4C14" w:rsidRDefault="00EF3E42" w:rsidP="00465DEB">
            <w:pPr>
              <w:pStyle w:val="Tabletext"/>
              <w:rPr>
                <w:szCs w:val="18"/>
                <w:lang w:val="ru-RU"/>
              </w:rPr>
            </w:pPr>
            <w:r w:rsidRPr="00CA4C14">
              <w:rPr>
                <w:szCs w:val="18"/>
                <w:lang w:val="ru-RU"/>
              </w:rPr>
              <w:t>Метод предполагаемых кредитных единиц, устанавливаемых пропорционально сроку службы. Период начисления начинается с 45 лет, чтобы отразить тот факт, что для получения права на пособие сотрудник должен быть не младше 55 лет, а срок его службы должен составлять не менее 10 лет.</w:t>
            </w:r>
          </w:p>
        </w:tc>
      </w:tr>
      <w:tr w:rsidR="00EF3E42" w:rsidRPr="009A3216" w14:paraId="245822AF" w14:textId="77777777" w:rsidTr="00EF3E42">
        <w:tc>
          <w:tcPr>
            <w:tcW w:w="3432" w:type="dxa"/>
          </w:tcPr>
          <w:p w14:paraId="480B3CA4" w14:textId="77777777" w:rsidR="00EF3E42" w:rsidRPr="00CA4C14" w:rsidRDefault="00EF3E42" w:rsidP="00D51B7E">
            <w:pPr>
              <w:pStyle w:val="Tabletext"/>
              <w:rPr>
                <w:szCs w:val="18"/>
                <w:lang w:val="ru-RU"/>
              </w:rPr>
            </w:pPr>
            <w:r w:rsidRPr="00CA4C14">
              <w:rPr>
                <w:szCs w:val="18"/>
                <w:lang w:val="ru-RU"/>
              </w:rPr>
              <w:t>Методика чистых активов</w:t>
            </w:r>
          </w:p>
        </w:tc>
        <w:tc>
          <w:tcPr>
            <w:tcW w:w="5640" w:type="dxa"/>
          </w:tcPr>
          <w:p w14:paraId="72222E53" w14:textId="77777777" w:rsidR="00EF3E42" w:rsidRPr="00CA4C14" w:rsidRDefault="00EF3E42" w:rsidP="00465DEB">
            <w:pPr>
              <w:pStyle w:val="Tabletext"/>
              <w:rPr>
                <w:szCs w:val="18"/>
                <w:lang w:val="ru-RU"/>
              </w:rPr>
            </w:pPr>
            <w:r w:rsidRPr="00CA4C14">
              <w:rPr>
                <w:szCs w:val="18"/>
                <w:lang w:val="ru-RU"/>
              </w:rPr>
              <w:t>Все прибыли/убытки учитываются в полном объеме немедленно в течение года, в котором они возникли, но не отражаются в активном сальдо или дефиците, а отражаются в отчете об изменениях в чистых активах.</w:t>
            </w:r>
          </w:p>
        </w:tc>
      </w:tr>
    </w:tbl>
    <w:bookmarkEnd w:id="414"/>
    <w:p w14:paraId="64376937" w14:textId="77777777" w:rsidR="00EF3E42" w:rsidRPr="00CA4C14" w:rsidRDefault="00EF3E42" w:rsidP="00D95FCE">
      <w:pPr>
        <w:pStyle w:val="Normalaftertitle"/>
        <w:spacing w:before="240"/>
        <w:rPr>
          <w:lang w:val="ru-RU"/>
        </w:rPr>
      </w:pPr>
      <w:r w:rsidRPr="00CA4C14">
        <w:rPr>
          <w:lang w:val="ru-RU"/>
        </w:rPr>
        <w:t xml:space="preserve">Сотрудники, уходящие со службы в возрасте 55 лет или старше, а также их супруги, находящиеся на иждивении дети и пережившие супруги,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плане медицинского страхования ЮНСМИС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w:t>
      </w:r>
      <w:r w:rsidRPr="00CA4C14">
        <w:rPr>
          <w:lang w:val="ru-RU"/>
        </w:rPr>
        <w:lastRenderedPageBreak/>
        <w:t xml:space="preserve">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14:paraId="3CCC546C" w14:textId="77777777" w:rsidR="00EF3E42" w:rsidRPr="00CA4C14" w:rsidRDefault="00EF3E42" w:rsidP="00D95FCE">
      <w:pPr>
        <w:spacing w:after="120"/>
        <w:rPr>
          <w:lang w:val="ru-RU"/>
        </w:rPr>
      </w:pPr>
      <w:r w:rsidRPr="00CA4C14">
        <w:rPr>
          <w:lang w:val="ru-RU"/>
        </w:rPr>
        <w:t>В представленной ниже таблице содержится дополнительная информация и анализ, касающиеся обязательств по АСХИ, которые вытекают из субсидий, причитающихся сотрудникам в соответствии с актуарным исследованием, проведенным для получения сумм по состоянию на 31 декабря 2023 года.</w:t>
      </w:r>
    </w:p>
    <w:tbl>
      <w:tblPr>
        <w:tblW w:w="5000" w:type="pct"/>
        <w:jc w:val="center"/>
        <w:tblLayout w:type="fixed"/>
        <w:tblLook w:val="04A0" w:firstRow="1" w:lastRow="0" w:firstColumn="1" w:lastColumn="0" w:noHBand="0" w:noVBand="1"/>
      </w:tblPr>
      <w:tblGrid>
        <w:gridCol w:w="5675"/>
        <w:gridCol w:w="1698"/>
        <w:gridCol w:w="1698"/>
      </w:tblGrid>
      <w:tr w:rsidR="00EF3E42" w:rsidRPr="00CA4C14" w14:paraId="4AB37560" w14:textId="77777777" w:rsidTr="00EF3E42">
        <w:trPr>
          <w:jc w:val="center"/>
        </w:trPr>
        <w:tc>
          <w:tcPr>
            <w:tcW w:w="3127" w:type="pct"/>
            <w:tcBorders>
              <w:top w:val="nil"/>
              <w:left w:val="nil"/>
              <w:bottom w:val="nil"/>
              <w:right w:val="nil"/>
            </w:tcBorders>
            <w:shd w:val="clear" w:color="000000" w:fill="0070C0"/>
            <w:noWrap/>
            <w:vAlign w:val="center"/>
            <w:hideMark/>
          </w:tcPr>
          <w:p w14:paraId="05CF8D3A" w14:textId="77777777" w:rsidR="00EF3E42" w:rsidRPr="00CA4C14" w:rsidRDefault="00EF3E42" w:rsidP="00870576">
            <w:pPr>
              <w:pStyle w:val="Tablehead"/>
              <w:rPr>
                <w:lang w:val="ru-RU" w:eastAsia="en-GB"/>
              </w:rPr>
            </w:pPr>
            <w:r w:rsidRPr="00CA4C14">
              <w:rPr>
                <w:lang w:val="ru-RU" w:eastAsia="en-GB"/>
              </w:rPr>
              <w:t xml:space="preserve">Описание (тыс. шв. фр.) </w:t>
            </w:r>
          </w:p>
        </w:tc>
        <w:tc>
          <w:tcPr>
            <w:tcW w:w="936" w:type="pct"/>
            <w:tcBorders>
              <w:top w:val="nil"/>
              <w:left w:val="nil"/>
              <w:bottom w:val="nil"/>
              <w:right w:val="nil"/>
            </w:tcBorders>
            <w:shd w:val="clear" w:color="000000" w:fill="0070C0"/>
            <w:noWrap/>
            <w:vAlign w:val="center"/>
            <w:hideMark/>
          </w:tcPr>
          <w:p w14:paraId="0669A352" w14:textId="77777777" w:rsidR="00EF3E42" w:rsidRPr="00CA4C14" w:rsidRDefault="00EF3E42" w:rsidP="00870576">
            <w:pPr>
              <w:pStyle w:val="Tablehead"/>
              <w:rPr>
                <w:lang w:val="ru-RU" w:eastAsia="en-GB"/>
              </w:rPr>
            </w:pPr>
            <w:r w:rsidRPr="00CA4C14">
              <w:rPr>
                <w:lang w:val="ru-RU" w:eastAsia="en-GB"/>
              </w:rPr>
              <w:t>31 декабря 2023 г.</w:t>
            </w:r>
          </w:p>
        </w:tc>
        <w:tc>
          <w:tcPr>
            <w:tcW w:w="936" w:type="pct"/>
            <w:tcBorders>
              <w:top w:val="nil"/>
              <w:left w:val="nil"/>
              <w:bottom w:val="nil"/>
              <w:right w:val="nil"/>
            </w:tcBorders>
            <w:shd w:val="clear" w:color="000000" w:fill="0070C0"/>
            <w:noWrap/>
            <w:vAlign w:val="center"/>
            <w:hideMark/>
          </w:tcPr>
          <w:p w14:paraId="1DAB2B93" w14:textId="77777777" w:rsidR="00EF3E42" w:rsidRPr="00CA4C14" w:rsidRDefault="00EF3E42" w:rsidP="00870576">
            <w:pPr>
              <w:pStyle w:val="Tablehead"/>
              <w:rPr>
                <w:lang w:val="ru-RU" w:eastAsia="en-GB"/>
              </w:rPr>
            </w:pPr>
            <w:r w:rsidRPr="00CA4C14">
              <w:rPr>
                <w:lang w:val="ru-RU" w:eastAsia="en-GB"/>
              </w:rPr>
              <w:t>31 декабря 2022 г.</w:t>
            </w:r>
          </w:p>
        </w:tc>
      </w:tr>
      <w:tr w:rsidR="00EF3E42" w:rsidRPr="00CA4C14" w14:paraId="0B1EF6E4" w14:textId="77777777" w:rsidTr="00EF3E42">
        <w:trPr>
          <w:jc w:val="center"/>
        </w:trPr>
        <w:tc>
          <w:tcPr>
            <w:tcW w:w="3127" w:type="pct"/>
            <w:tcBorders>
              <w:top w:val="nil"/>
              <w:left w:val="nil"/>
              <w:bottom w:val="nil"/>
              <w:right w:val="nil"/>
            </w:tcBorders>
            <w:shd w:val="clear" w:color="auto" w:fill="auto"/>
            <w:noWrap/>
            <w:vAlign w:val="bottom"/>
            <w:hideMark/>
          </w:tcPr>
          <w:p w14:paraId="61AACEF2" w14:textId="77777777" w:rsidR="00EF3E42" w:rsidRPr="00CA4C14" w:rsidRDefault="00EF3E42" w:rsidP="005F455B">
            <w:pPr>
              <w:pStyle w:val="Tabletext"/>
              <w:keepNext/>
              <w:rPr>
                <w:lang w:val="ru-RU" w:eastAsia="en-GB"/>
              </w:rPr>
            </w:pPr>
            <w:r w:rsidRPr="00CA4C14">
              <w:rPr>
                <w:lang w:val="ru-RU" w:eastAsia="en-GB"/>
              </w:rPr>
              <w:t>Баланс на 1 января</w:t>
            </w:r>
          </w:p>
        </w:tc>
        <w:tc>
          <w:tcPr>
            <w:tcW w:w="936" w:type="pct"/>
            <w:tcBorders>
              <w:top w:val="nil"/>
              <w:left w:val="nil"/>
              <w:bottom w:val="nil"/>
              <w:right w:val="nil"/>
            </w:tcBorders>
            <w:shd w:val="clear" w:color="auto" w:fill="auto"/>
            <w:noWrap/>
            <w:vAlign w:val="bottom"/>
            <w:hideMark/>
          </w:tcPr>
          <w:p w14:paraId="70D20968" w14:textId="77777777" w:rsidR="00EF3E42" w:rsidRPr="00CA4C14" w:rsidRDefault="00EF3E42" w:rsidP="005F455B">
            <w:pPr>
              <w:pStyle w:val="Tabletext"/>
              <w:keepNext/>
              <w:jc w:val="right"/>
              <w:rPr>
                <w:lang w:val="ru-RU" w:eastAsia="en-GB"/>
              </w:rPr>
            </w:pPr>
            <w:r w:rsidRPr="00CA4C14">
              <w:rPr>
                <w:lang w:val="ru-RU" w:eastAsia="en-GB"/>
              </w:rPr>
              <w:t>344 102</w:t>
            </w:r>
          </w:p>
        </w:tc>
        <w:tc>
          <w:tcPr>
            <w:tcW w:w="936" w:type="pct"/>
            <w:tcBorders>
              <w:top w:val="nil"/>
              <w:left w:val="nil"/>
              <w:bottom w:val="nil"/>
              <w:right w:val="nil"/>
            </w:tcBorders>
            <w:shd w:val="clear" w:color="auto" w:fill="auto"/>
            <w:noWrap/>
            <w:vAlign w:val="bottom"/>
            <w:hideMark/>
          </w:tcPr>
          <w:p w14:paraId="44BFBF69" w14:textId="77777777" w:rsidR="00EF3E42" w:rsidRPr="00CA4C14" w:rsidRDefault="00EF3E42" w:rsidP="005F455B">
            <w:pPr>
              <w:pStyle w:val="Tabletext"/>
              <w:keepNext/>
              <w:jc w:val="right"/>
              <w:rPr>
                <w:lang w:val="ru-RU" w:eastAsia="en-GB"/>
              </w:rPr>
            </w:pPr>
            <w:r w:rsidRPr="00CA4C14">
              <w:rPr>
                <w:lang w:val="ru-RU" w:eastAsia="en-GB"/>
              </w:rPr>
              <w:t>545 636</w:t>
            </w:r>
          </w:p>
        </w:tc>
      </w:tr>
      <w:tr w:rsidR="00EF3E42" w:rsidRPr="00CA4C14" w14:paraId="2EB36A1A" w14:textId="77777777" w:rsidTr="00EF3E42">
        <w:trPr>
          <w:jc w:val="center"/>
        </w:trPr>
        <w:tc>
          <w:tcPr>
            <w:tcW w:w="3127" w:type="pct"/>
            <w:tcBorders>
              <w:top w:val="nil"/>
              <w:left w:val="nil"/>
              <w:bottom w:val="nil"/>
              <w:right w:val="nil"/>
            </w:tcBorders>
            <w:shd w:val="clear" w:color="auto" w:fill="auto"/>
            <w:noWrap/>
            <w:vAlign w:val="bottom"/>
            <w:hideMark/>
          </w:tcPr>
          <w:p w14:paraId="3DF230D7" w14:textId="77777777" w:rsidR="00EF3E42" w:rsidRPr="00CA4C14" w:rsidRDefault="00EF3E42" w:rsidP="00C10F9A">
            <w:pPr>
              <w:pStyle w:val="Tabletext"/>
              <w:keepNext/>
              <w:spacing w:before="0" w:after="0"/>
              <w:rPr>
                <w:lang w:val="ru-RU" w:eastAsia="en-GB"/>
              </w:rPr>
            </w:pPr>
          </w:p>
        </w:tc>
        <w:tc>
          <w:tcPr>
            <w:tcW w:w="936" w:type="pct"/>
            <w:tcBorders>
              <w:top w:val="nil"/>
              <w:left w:val="nil"/>
              <w:bottom w:val="nil"/>
              <w:right w:val="nil"/>
            </w:tcBorders>
            <w:shd w:val="clear" w:color="auto" w:fill="auto"/>
            <w:noWrap/>
            <w:vAlign w:val="bottom"/>
            <w:hideMark/>
          </w:tcPr>
          <w:p w14:paraId="0F4881CC" w14:textId="77777777" w:rsidR="00EF3E42" w:rsidRPr="00CA4C14" w:rsidRDefault="00EF3E42" w:rsidP="00C10F9A">
            <w:pPr>
              <w:pStyle w:val="Tabletext"/>
              <w:keepNext/>
              <w:spacing w:before="0" w:after="0"/>
              <w:jc w:val="right"/>
              <w:rPr>
                <w:rFonts w:ascii="Times New Roman" w:hAnsi="Times New Roman"/>
                <w:lang w:val="ru-RU" w:eastAsia="en-GB"/>
              </w:rPr>
            </w:pPr>
          </w:p>
        </w:tc>
        <w:tc>
          <w:tcPr>
            <w:tcW w:w="936" w:type="pct"/>
            <w:tcBorders>
              <w:top w:val="nil"/>
              <w:left w:val="nil"/>
              <w:bottom w:val="nil"/>
              <w:right w:val="nil"/>
            </w:tcBorders>
            <w:shd w:val="clear" w:color="auto" w:fill="auto"/>
            <w:noWrap/>
            <w:vAlign w:val="bottom"/>
            <w:hideMark/>
          </w:tcPr>
          <w:p w14:paraId="6BA832D8" w14:textId="77777777" w:rsidR="00EF3E42" w:rsidRPr="00CA4C14" w:rsidRDefault="00EF3E42" w:rsidP="00C10F9A">
            <w:pPr>
              <w:pStyle w:val="Tabletext"/>
              <w:keepNext/>
              <w:spacing w:before="0" w:after="0"/>
              <w:jc w:val="right"/>
              <w:rPr>
                <w:rFonts w:ascii="Times New Roman" w:hAnsi="Times New Roman"/>
                <w:lang w:val="ru-RU" w:eastAsia="en-GB"/>
              </w:rPr>
            </w:pPr>
          </w:p>
        </w:tc>
      </w:tr>
      <w:tr w:rsidR="00EF3E42" w:rsidRPr="00CA4C14" w14:paraId="7B5928C5" w14:textId="77777777" w:rsidTr="00EF3E42">
        <w:trPr>
          <w:jc w:val="center"/>
        </w:trPr>
        <w:tc>
          <w:tcPr>
            <w:tcW w:w="3127" w:type="pct"/>
            <w:tcBorders>
              <w:top w:val="nil"/>
              <w:left w:val="nil"/>
              <w:bottom w:val="nil"/>
              <w:right w:val="nil"/>
            </w:tcBorders>
            <w:shd w:val="clear" w:color="auto" w:fill="auto"/>
            <w:noWrap/>
            <w:vAlign w:val="bottom"/>
            <w:hideMark/>
          </w:tcPr>
          <w:p w14:paraId="33FA34FF" w14:textId="77777777" w:rsidR="00EF3E42" w:rsidRPr="00CA4C14" w:rsidRDefault="00EF3E42" w:rsidP="00C10F9A">
            <w:pPr>
              <w:pStyle w:val="Tabletext"/>
              <w:keepNext/>
              <w:rPr>
                <w:i/>
                <w:iCs/>
                <w:lang w:val="ru-RU" w:eastAsia="en-GB"/>
              </w:rPr>
            </w:pPr>
            <w:r w:rsidRPr="00CA4C14">
              <w:rPr>
                <w:i/>
                <w:iCs/>
                <w:szCs w:val="18"/>
                <w:lang w:val="ru-RU"/>
              </w:rPr>
              <w:t>−</w:t>
            </w:r>
            <w:r w:rsidRPr="00CA4C14">
              <w:rPr>
                <w:i/>
                <w:iCs/>
                <w:szCs w:val="18"/>
                <w:lang w:val="ru-RU"/>
              </w:rPr>
              <w:tab/>
              <w:t>Чистая стоимость текущих услуг</w:t>
            </w:r>
          </w:p>
        </w:tc>
        <w:tc>
          <w:tcPr>
            <w:tcW w:w="936" w:type="pct"/>
            <w:tcBorders>
              <w:top w:val="nil"/>
              <w:left w:val="nil"/>
              <w:bottom w:val="nil"/>
              <w:right w:val="nil"/>
            </w:tcBorders>
            <w:shd w:val="clear" w:color="auto" w:fill="auto"/>
            <w:noWrap/>
            <w:vAlign w:val="bottom"/>
            <w:hideMark/>
          </w:tcPr>
          <w:p w14:paraId="20CFF467" w14:textId="77777777" w:rsidR="00EF3E42" w:rsidRPr="00CA4C14" w:rsidRDefault="00EF3E42" w:rsidP="00C10F9A">
            <w:pPr>
              <w:pStyle w:val="Tabletext"/>
              <w:keepNext/>
              <w:jc w:val="right"/>
              <w:rPr>
                <w:i/>
                <w:iCs/>
                <w:lang w:val="ru-RU" w:eastAsia="en-GB"/>
              </w:rPr>
            </w:pPr>
            <w:r w:rsidRPr="00CA4C14">
              <w:rPr>
                <w:i/>
                <w:iCs/>
                <w:lang w:val="ru-RU" w:eastAsia="en-GB"/>
              </w:rPr>
              <w:t>10 165</w:t>
            </w:r>
          </w:p>
        </w:tc>
        <w:tc>
          <w:tcPr>
            <w:tcW w:w="936" w:type="pct"/>
            <w:tcBorders>
              <w:top w:val="nil"/>
              <w:left w:val="nil"/>
              <w:bottom w:val="nil"/>
              <w:right w:val="nil"/>
            </w:tcBorders>
            <w:shd w:val="clear" w:color="auto" w:fill="auto"/>
            <w:noWrap/>
            <w:vAlign w:val="bottom"/>
            <w:hideMark/>
          </w:tcPr>
          <w:p w14:paraId="64DFDE1F" w14:textId="77777777" w:rsidR="00EF3E42" w:rsidRPr="00CA4C14" w:rsidRDefault="00EF3E42" w:rsidP="00C10F9A">
            <w:pPr>
              <w:pStyle w:val="Tabletext"/>
              <w:keepNext/>
              <w:jc w:val="right"/>
              <w:rPr>
                <w:i/>
                <w:iCs/>
                <w:lang w:val="ru-RU" w:eastAsia="en-GB"/>
              </w:rPr>
            </w:pPr>
            <w:r w:rsidRPr="00CA4C14">
              <w:rPr>
                <w:i/>
                <w:iCs/>
                <w:lang w:val="ru-RU" w:eastAsia="en-GB"/>
              </w:rPr>
              <w:t>19 685</w:t>
            </w:r>
          </w:p>
        </w:tc>
      </w:tr>
      <w:tr w:rsidR="00EF3E42" w:rsidRPr="00CA4C14" w14:paraId="0558B1E6" w14:textId="77777777" w:rsidTr="00EF3E42">
        <w:trPr>
          <w:jc w:val="center"/>
        </w:trPr>
        <w:tc>
          <w:tcPr>
            <w:tcW w:w="3127" w:type="pct"/>
            <w:tcBorders>
              <w:top w:val="nil"/>
              <w:left w:val="nil"/>
              <w:bottom w:val="nil"/>
              <w:right w:val="nil"/>
            </w:tcBorders>
            <w:shd w:val="clear" w:color="auto" w:fill="auto"/>
            <w:noWrap/>
            <w:vAlign w:val="bottom"/>
            <w:hideMark/>
          </w:tcPr>
          <w:p w14:paraId="267E01C8" w14:textId="77777777" w:rsidR="00EF3E42" w:rsidRPr="00CA4C14" w:rsidRDefault="00EF3E42" w:rsidP="00C10F9A">
            <w:pPr>
              <w:pStyle w:val="Tabletext"/>
              <w:keepNext/>
              <w:rPr>
                <w:i/>
                <w:iCs/>
                <w:lang w:val="ru-RU" w:eastAsia="en-GB"/>
              </w:rPr>
            </w:pPr>
            <w:r w:rsidRPr="00CA4C14">
              <w:rPr>
                <w:i/>
                <w:iCs/>
                <w:szCs w:val="18"/>
                <w:lang w:val="ru-RU"/>
              </w:rPr>
              <w:t>−</w:t>
            </w:r>
            <w:r w:rsidRPr="00CA4C14">
              <w:rPr>
                <w:i/>
                <w:iCs/>
                <w:szCs w:val="18"/>
                <w:lang w:val="ru-RU"/>
              </w:rPr>
              <w:tab/>
              <w:t>Финансовые расходы</w:t>
            </w:r>
          </w:p>
        </w:tc>
        <w:tc>
          <w:tcPr>
            <w:tcW w:w="936" w:type="pct"/>
            <w:tcBorders>
              <w:top w:val="nil"/>
              <w:left w:val="nil"/>
              <w:bottom w:val="nil"/>
              <w:right w:val="nil"/>
            </w:tcBorders>
            <w:shd w:val="clear" w:color="auto" w:fill="auto"/>
            <w:noWrap/>
            <w:vAlign w:val="bottom"/>
            <w:hideMark/>
          </w:tcPr>
          <w:p w14:paraId="4B172501" w14:textId="77777777" w:rsidR="00EF3E42" w:rsidRPr="00CA4C14" w:rsidRDefault="00EF3E42" w:rsidP="00C10F9A">
            <w:pPr>
              <w:pStyle w:val="Tabletext"/>
              <w:keepNext/>
              <w:jc w:val="right"/>
              <w:rPr>
                <w:i/>
                <w:iCs/>
                <w:lang w:val="ru-RU" w:eastAsia="en-GB"/>
              </w:rPr>
            </w:pPr>
            <w:r w:rsidRPr="00CA4C14">
              <w:rPr>
                <w:i/>
                <w:iCs/>
                <w:lang w:val="ru-RU" w:eastAsia="en-GB"/>
              </w:rPr>
              <w:t>8 489</w:t>
            </w:r>
          </w:p>
        </w:tc>
        <w:tc>
          <w:tcPr>
            <w:tcW w:w="936" w:type="pct"/>
            <w:tcBorders>
              <w:top w:val="nil"/>
              <w:left w:val="nil"/>
              <w:bottom w:val="nil"/>
              <w:right w:val="nil"/>
            </w:tcBorders>
            <w:shd w:val="clear" w:color="auto" w:fill="auto"/>
            <w:noWrap/>
            <w:vAlign w:val="bottom"/>
            <w:hideMark/>
          </w:tcPr>
          <w:p w14:paraId="51F37EEA" w14:textId="77777777" w:rsidR="00EF3E42" w:rsidRPr="00CA4C14" w:rsidRDefault="00EF3E42" w:rsidP="00C10F9A">
            <w:pPr>
              <w:pStyle w:val="Tabletext"/>
              <w:keepNext/>
              <w:jc w:val="right"/>
              <w:rPr>
                <w:i/>
                <w:iCs/>
                <w:lang w:val="ru-RU" w:eastAsia="en-GB"/>
              </w:rPr>
            </w:pPr>
            <w:r w:rsidRPr="00CA4C14">
              <w:rPr>
                <w:i/>
                <w:iCs/>
                <w:lang w:val="ru-RU" w:eastAsia="en-GB"/>
              </w:rPr>
              <w:t>2 703</w:t>
            </w:r>
          </w:p>
        </w:tc>
      </w:tr>
      <w:tr w:rsidR="00EF3E42" w:rsidRPr="00CA4C14" w14:paraId="694FC606" w14:textId="77777777" w:rsidTr="00EF3E42">
        <w:trPr>
          <w:jc w:val="center"/>
        </w:trPr>
        <w:tc>
          <w:tcPr>
            <w:tcW w:w="3127" w:type="pct"/>
            <w:tcBorders>
              <w:top w:val="nil"/>
              <w:left w:val="nil"/>
              <w:bottom w:val="nil"/>
              <w:right w:val="nil"/>
            </w:tcBorders>
            <w:shd w:val="clear" w:color="auto" w:fill="auto"/>
            <w:vAlign w:val="bottom"/>
            <w:hideMark/>
          </w:tcPr>
          <w:p w14:paraId="36AD84B2" w14:textId="77777777" w:rsidR="00EF3E42" w:rsidRPr="00CA4C14" w:rsidRDefault="00EF3E42" w:rsidP="005F455B">
            <w:pPr>
              <w:pStyle w:val="Tabletext"/>
              <w:keepNext/>
              <w:rPr>
                <w:b/>
                <w:bCs/>
                <w:lang w:val="ru-RU" w:eastAsia="en-GB"/>
              </w:rPr>
            </w:pPr>
            <w:r w:rsidRPr="00CA4C14">
              <w:rPr>
                <w:b/>
                <w:bCs/>
                <w:szCs w:val="18"/>
                <w:lang w:val="ru-RU"/>
              </w:rPr>
              <w:t>Всего: расходы, признанные в отчете о результатах финансовой деятельности</w:t>
            </w:r>
          </w:p>
        </w:tc>
        <w:tc>
          <w:tcPr>
            <w:tcW w:w="936" w:type="pct"/>
            <w:tcBorders>
              <w:top w:val="nil"/>
              <w:left w:val="nil"/>
              <w:bottom w:val="nil"/>
              <w:right w:val="nil"/>
            </w:tcBorders>
            <w:shd w:val="clear" w:color="auto" w:fill="auto"/>
            <w:noWrap/>
            <w:vAlign w:val="bottom"/>
            <w:hideMark/>
          </w:tcPr>
          <w:p w14:paraId="39C866B9" w14:textId="77777777" w:rsidR="00EF3E42" w:rsidRPr="00CA4C14" w:rsidRDefault="00EF3E42" w:rsidP="005F455B">
            <w:pPr>
              <w:pStyle w:val="Tabletext"/>
              <w:keepNext/>
              <w:jc w:val="right"/>
              <w:rPr>
                <w:b/>
                <w:bCs/>
                <w:lang w:val="ru-RU" w:eastAsia="en-GB"/>
              </w:rPr>
            </w:pPr>
            <w:r w:rsidRPr="00CA4C14">
              <w:rPr>
                <w:b/>
                <w:bCs/>
                <w:lang w:val="ru-RU" w:eastAsia="en-GB"/>
              </w:rPr>
              <w:t>18 654</w:t>
            </w:r>
          </w:p>
        </w:tc>
        <w:tc>
          <w:tcPr>
            <w:tcW w:w="936" w:type="pct"/>
            <w:tcBorders>
              <w:top w:val="nil"/>
              <w:left w:val="nil"/>
              <w:bottom w:val="nil"/>
              <w:right w:val="nil"/>
            </w:tcBorders>
            <w:shd w:val="clear" w:color="auto" w:fill="auto"/>
            <w:noWrap/>
            <w:vAlign w:val="bottom"/>
            <w:hideMark/>
          </w:tcPr>
          <w:p w14:paraId="58199AAD" w14:textId="77777777" w:rsidR="00EF3E42" w:rsidRPr="00CA4C14" w:rsidRDefault="00EF3E42" w:rsidP="005F455B">
            <w:pPr>
              <w:pStyle w:val="Tabletext"/>
              <w:keepNext/>
              <w:jc w:val="right"/>
              <w:rPr>
                <w:b/>
                <w:bCs/>
                <w:lang w:val="ru-RU" w:eastAsia="en-GB"/>
              </w:rPr>
            </w:pPr>
            <w:r w:rsidRPr="00CA4C14">
              <w:rPr>
                <w:b/>
                <w:bCs/>
                <w:lang w:val="ru-RU" w:eastAsia="en-GB"/>
              </w:rPr>
              <w:t>22 388</w:t>
            </w:r>
          </w:p>
        </w:tc>
      </w:tr>
      <w:tr w:rsidR="00EF3E42" w:rsidRPr="00CA4C14" w14:paraId="378EA611" w14:textId="77777777" w:rsidTr="00EF3E42">
        <w:trPr>
          <w:jc w:val="center"/>
        </w:trPr>
        <w:tc>
          <w:tcPr>
            <w:tcW w:w="3127" w:type="pct"/>
            <w:tcBorders>
              <w:top w:val="nil"/>
              <w:left w:val="nil"/>
              <w:bottom w:val="nil"/>
              <w:right w:val="nil"/>
            </w:tcBorders>
            <w:shd w:val="clear" w:color="auto" w:fill="auto"/>
            <w:noWrap/>
            <w:vAlign w:val="bottom"/>
            <w:hideMark/>
          </w:tcPr>
          <w:p w14:paraId="346CB297" w14:textId="77777777" w:rsidR="00EF3E42" w:rsidRPr="00CA4C14" w:rsidRDefault="00EF3E42" w:rsidP="00C10F9A">
            <w:pPr>
              <w:pStyle w:val="Tabletext"/>
              <w:keepNext/>
              <w:spacing w:before="0" w:after="0"/>
              <w:rPr>
                <w:b/>
                <w:bCs/>
                <w:i/>
                <w:iCs/>
                <w:lang w:val="ru-RU" w:eastAsia="en-GB"/>
              </w:rPr>
            </w:pPr>
          </w:p>
        </w:tc>
        <w:tc>
          <w:tcPr>
            <w:tcW w:w="936" w:type="pct"/>
            <w:tcBorders>
              <w:top w:val="nil"/>
              <w:left w:val="nil"/>
              <w:bottom w:val="nil"/>
              <w:right w:val="nil"/>
            </w:tcBorders>
            <w:shd w:val="clear" w:color="auto" w:fill="auto"/>
            <w:noWrap/>
            <w:vAlign w:val="bottom"/>
            <w:hideMark/>
          </w:tcPr>
          <w:p w14:paraId="490C1F99" w14:textId="77777777" w:rsidR="00EF3E42" w:rsidRPr="00CA4C14" w:rsidRDefault="00EF3E42" w:rsidP="00C10F9A">
            <w:pPr>
              <w:pStyle w:val="Tabletext"/>
              <w:keepNext/>
              <w:spacing w:before="0" w:after="0"/>
              <w:jc w:val="right"/>
              <w:rPr>
                <w:rFonts w:ascii="Times New Roman" w:hAnsi="Times New Roman"/>
                <w:lang w:val="ru-RU" w:eastAsia="en-GB"/>
              </w:rPr>
            </w:pPr>
          </w:p>
        </w:tc>
        <w:tc>
          <w:tcPr>
            <w:tcW w:w="936" w:type="pct"/>
            <w:tcBorders>
              <w:top w:val="nil"/>
              <w:left w:val="nil"/>
              <w:bottom w:val="nil"/>
              <w:right w:val="nil"/>
            </w:tcBorders>
            <w:shd w:val="clear" w:color="auto" w:fill="auto"/>
            <w:noWrap/>
            <w:vAlign w:val="bottom"/>
            <w:hideMark/>
          </w:tcPr>
          <w:p w14:paraId="71251B21" w14:textId="77777777" w:rsidR="00EF3E42" w:rsidRPr="00CA4C14" w:rsidRDefault="00EF3E42" w:rsidP="00C10F9A">
            <w:pPr>
              <w:pStyle w:val="Tabletext"/>
              <w:keepNext/>
              <w:spacing w:before="0" w:after="0"/>
              <w:jc w:val="right"/>
              <w:rPr>
                <w:rFonts w:ascii="Times New Roman" w:hAnsi="Times New Roman"/>
                <w:lang w:val="ru-RU" w:eastAsia="en-GB"/>
              </w:rPr>
            </w:pPr>
          </w:p>
        </w:tc>
      </w:tr>
      <w:tr w:rsidR="00EF3E42" w:rsidRPr="00CA4C14" w14:paraId="66168354" w14:textId="77777777" w:rsidTr="00EF3E42">
        <w:trPr>
          <w:jc w:val="center"/>
        </w:trPr>
        <w:tc>
          <w:tcPr>
            <w:tcW w:w="3127" w:type="pct"/>
            <w:tcBorders>
              <w:top w:val="nil"/>
              <w:left w:val="nil"/>
              <w:bottom w:val="nil"/>
              <w:right w:val="nil"/>
            </w:tcBorders>
            <w:shd w:val="clear" w:color="auto" w:fill="auto"/>
            <w:noWrap/>
            <w:vAlign w:val="bottom"/>
            <w:hideMark/>
          </w:tcPr>
          <w:p w14:paraId="7685B55C" w14:textId="77777777" w:rsidR="00EF3E42" w:rsidRPr="00CA4C14" w:rsidRDefault="00EF3E42" w:rsidP="00C10F9A">
            <w:pPr>
              <w:pStyle w:val="Tabletext"/>
              <w:keepNext/>
              <w:rPr>
                <w:lang w:val="ru-RU" w:eastAsia="en-GB"/>
              </w:rPr>
            </w:pPr>
            <w:r w:rsidRPr="00CA4C14">
              <w:rPr>
                <w:szCs w:val="18"/>
                <w:lang w:val="ru-RU"/>
              </w:rPr>
              <w:t>−</w:t>
            </w:r>
            <w:r w:rsidRPr="00CA4C14">
              <w:rPr>
                <w:szCs w:val="18"/>
                <w:lang w:val="ru-RU"/>
              </w:rPr>
              <w:tab/>
              <w:t>Обязательства в связи с изменением демографических допущений</w:t>
            </w:r>
          </w:p>
        </w:tc>
        <w:tc>
          <w:tcPr>
            <w:tcW w:w="936" w:type="pct"/>
            <w:tcBorders>
              <w:top w:val="nil"/>
              <w:left w:val="nil"/>
              <w:bottom w:val="nil"/>
              <w:right w:val="nil"/>
            </w:tcBorders>
            <w:shd w:val="clear" w:color="auto" w:fill="auto"/>
            <w:noWrap/>
            <w:vAlign w:val="bottom"/>
            <w:hideMark/>
          </w:tcPr>
          <w:p w14:paraId="028B8CCD" w14:textId="77777777" w:rsidR="00EF3E42" w:rsidRPr="00CA4C14" w:rsidRDefault="00EF3E42" w:rsidP="00C10F9A">
            <w:pPr>
              <w:pStyle w:val="Tabletext"/>
              <w:keepNext/>
              <w:jc w:val="right"/>
              <w:rPr>
                <w:lang w:val="ru-RU" w:eastAsia="en-GB"/>
              </w:rPr>
            </w:pPr>
            <w:r w:rsidRPr="00CA4C14">
              <w:rPr>
                <w:lang w:val="ru-RU" w:eastAsia="en-GB"/>
              </w:rPr>
              <w:t>(574)</w:t>
            </w:r>
          </w:p>
        </w:tc>
        <w:tc>
          <w:tcPr>
            <w:tcW w:w="936" w:type="pct"/>
            <w:tcBorders>
              <w:top w:val="nil"/>
              <w:left w:val="nil"/>
              <w:bottom w:val="nil"/>
              <w:right w:val="nil"/>
            </w:tcBorders>
            <w:shd w:val="clear" w:color="auto" w:fill="auto"/>
            <w:noWrap/>
            <w:vAlign w:val="bottom"/>
            <w:hideMark/>
          </w:tcPr>
          <w:p w14:paraId="3EA54A0C" w14:textId="77777777" w:rsidR="00EF3E42" w:rsidRPr="00CA4C14" w:rsidRDefault="00EF3E42" w:rsidP="00C10F9A">
            <w:pPr>
              <w:pStyle w:val="Tabletext"/>
              <w:keepNext/>
              <w:jc w:val="right"/>
              <w:rPr>
                <w:lang w:val="ru-RU" w:eastAsia="en-GB"/>
              </w:rPr>
            </w:pPr>
            <w:r w:rsidRPr="00CA4C14">
              <w:rPr>
                <w:lang w:val="ru-RU" w:eastAsia="en-GB"/>
              </w:rPr>
              <w:t>(80 067)</w:t>
            </w:r>
          </w:p>
        </w:tc>
      </w:tr>
      <w:tr w:rsidR="00EF3E42" w:rsidRPr="00CA4C14" w14:paraId="3713849A" w14:textId="77777777" w:rsidTr="00EF3E42">
        <w:trPr>
          <w:jc w:val="center"/>
        </w:trPr>
        <w:tc>
          <w:tcPr>
            <w:tcW w:w="3127" w:type="pct"/>
            <w:tcBorders>
              <w:top w:val="nil"/>
              <w:left w:val="nil"/>
              <w:bottom w:val="nil"/>
              <w:right w:val="nil"/>
            </w:tcBorders>
            <w:shd w:val="clear" w:color="auto" w:fill="auto"/>
            <w:noWrap/>
            <w:vAlign w:val="bottom"/>
            <w:hideMark/>
          </w:tcPr>
          <w:p w14:paraId="08B91D9D" w14:textId="77777777" w:rsidR="00EF3E42" w:rsidRPr="00CA4C14" w:rsidRDefault="00EF3E42" w:rsidP="00C10F9A">
            <w:pPr>
              <w:pStyle w:val="Tabletext"/>
              <w:keepNext/>
              <w:rPr>
                <w:lang w:val="ru-RU" w:eastAsia="en-GB"/>
              </w:rPr>
            </w:pPr>
            <w:r w:rsidRPr="00CA4C14">
              <w:rPr>
                <w:szCs w:val="18"/>
                <w:lang w:val="ru-RU"/>
              </w:rPr>
              <w:t>−</w:t>
            </w:r>
            <w:r w:rsidRPr="00CA4C14">
              <w:rPr>
                <w:szCs w:val="18"/>
                <w:lang w:val="ru-RU"/>
              </w:rPr>
              <w:tab/>
              <w:t>Обязательства в связи с изменением финансовых допущений</w:t>
            </w:r>
          </w:p>
        </w:tc>
        <w:tc>
          <w:tcPr>
            <w:tcW w:w="936" w:type="pct"/>
            <w:tcBorders>
              <w:top w:val="nil"/>
              <w:left w:val="nil"/>
              <w:bottom w:val="nil"/>
              <w:right w:val="nil"/>
            </w:tcBorders>
            <w:shd w:val="clear" w:color="auto" w:fill="auto"/>
            <w:noWrap/>
            <w:vAlign w:val="bottom"/>
            <w:hideMark/>
          </w:tcPr>
          <w:p w14:paraId="40B1B952" w14:textId="77777777" w:rsidR="00EF3E42" w:rsidRPr="00CA4C14" w:rsidRDefault="00EF3E42" w:rsidP="00C10F9A">
            <w:pPr>
              <w:pStyle w:val="Tabletext"/>
              <w:keepNext/>
              <w:jc w:val="right"/>
              <w:rPr>
                <w:lang w:val="ru-RU" w:eastAsia="en-GB"/>
              </w:rPr>
            </w:pPr>
            <w:r w:rsidRPr="00CA4C14">
              <w:rPr>
                <w:lang w:val="ru-RU" w:eastAsia="en-GB"/>
              </w:rPr>
              <w:t>24 687</w:t>
            </w:r>
          </w:p>
        </w:tc>
        <w:tc>
          <w:tcPr>
            <w:tcW w:w="936" w:type="pct"/>
            <w:tcBorders>
              <w:top w:val="nil"/>
              <w:left w:val="nil"/>
              <w:bottom w:val="nil"/>
              <w:right w:val="nil"/>
            </w:tcBorders>
            <w:shd w:val="clear" w:color="auto" w:fill="auto"/>
            <w:noWrap/>
            <w:vAlign w:val="bottom"/>
            <w:hideMark/>
          </w:tcPr>
          <w:p w14:paraId="7D1F5BD9" w14:textId="77777777" w:rsidR="00EF3E42" w:rsidRPr="00CA4C14" w:rsidRDefault="00EF3E42" w:rsidP="00C10F9A">
            <w:pPr>
              <w:pStyle w:val="Tabletext"/>
              <w:keepNext/>
              <w:jc w:val="right"/>
              <w:rPr>
                <w:lang w:val="ru-RU" w:eastAsia="en-GB"/>
              </w:rPr>
            </w:pPr>
            <w:r w:rsidRPr="00CA4C14">
              <w:rPr>
                <w:lang w:val="ru-RU" w:eastAsia="en-GB"/>
              </w:rPr>
              <w:t>(133 642)</w:t>
            </w:r>
          </w:p>
        </w:tc>
      </w:tr>
      <w:tr w:rsidR="00EF3E42" w:rsidRPr="00CA4C14" w14:paraId="035EE23E" w14:textId="77777777" w:rsidTr="00EF3E42">
        <w:trPr>
          <w:jc w:val="center"/>
        </w:trPr>
        <w:tc>
          <w:tcPr>
            <w:tcW w:w="3127" w:type="pct"/>
            <w:tcBorders>
              <w:top w:val="nil"/>
              <w:left w:val="nil"/>
              <w:bottom w:val="nil"/>
              <w:right w:val="nil"/>
            </w:tcBorders>
            <w:shd w:val="clear" w:color="auto" w:fill="auto"/>
            <w:noWrap/>
            <w:vAlign w:val="bottom"/>
            <w:hideMark/>
          </w:tcPr>
          <w:p w14:paraId="02D2C9A9" w14:textId="77777777" w:rsidR="00EF3E42" w:rsidRPr="00CA4C14" w:rsidRDefault="00EF3E42" w:rsidP="0090797F">
            <w:pPr>
              <w:pStyle w:val="Tabletext"/>
              <w:keepNext/>
              <w:ind w:left="284" w:hanging="284"/>
              <w:rPr>
                <w:lang w:val="ru-RU" w:eastAsia="en-GB"/>
              </w:rPr>
            </w:pPr>
            <w:r w:rsidRPr="00CA4C14">
              <w:rPr>
                <w:szCs w:val="18"/>
                <w:lang w:val="ru-RU"/>
              </w:rPr>
              <w:t>−</w:t>
            </w:r>
            <w:r w:rsidRPr="00CA4C14">
              <w:rPr>
                <w:szCs w:val="18"/>
                <w:lang w:val="ru-RU"/>
              </w:rPr>
              <w:tab/>
              <w:t>Обязательства, определяемые на основе статистики за финансовый период</w:t>
            </w:r>
          </w:p>
        </w:tc>
        <w:tc>
          <w:tcPr>
            <w:tcW w:w="936" w:type="pct"/>
            <w:tcBorders>
              <w:top w:val="nil"/>
              <w:left w:val="nil"/>
              <w:bottom w:val="nil"/>
              <w:right w:val="nil"/>
            </w:tcBorders>
            <w:shd w:val="clear" w:color="auto" w:fill="auto"/>
            <w:noWrap/>
            <w:vAlign w:val="bottom"/>
            <w:hideMark/>
          </w:tcPr>
          <w:p w14:paraId="6B8F1755" w14:textId="77777777" w:rsidR="00EF3E42" w:rsidRPr="00CA4C14" w:rsidRDefault="00EF3E42" w:rsidP="00C10F9A">
            <w:pPr>
              <w:pStyle w:val="Tabletext"/>
              <w:keepNext/>
              <w:jc w:val="right"/>
              <w:rPr>
                <w:lang w:val="ru-RU" w:eastAsia="en-GB"/>
              </w:rPr>
            </w:pPr>
            <w:r w:rsidRPr="00CA4C14">
              <w:rPr>
                <w:lang w:val="ru-RU" w:eastAsia="en-GB"/>
              </w:rPr>
              <w:t>(4 589)</w:t>
            </w:r>
          </w:p>
        </w:tc>
        <w:tc>
          <w:tcPr>
            <w:tcW w:w="936" w:type="pct"/>
            <w:tcBorders>
              <w:top w:val="nil"/>
              <w:left w:val="nil"/>
              <w:bottom w:val="nil"/>
              <w:right w:val="nil"/>
            </w:tcBorders>
            <w:shd w:val="clear" w:color="auto" w:fill="auto"/>
            <w:noWrap/>
            <w:vAlign w:val="bottom"/>
            <w:hideMark/>
          </w:tcPr>
          <w:p w14:paraId="6B7F07E6" w14:textId="77777777" w:rsidR="00EF3E42" w:rsidRPr="00CA4C14" w:rsidRDefault="00EF3E42" w:rsidP="00C10F9A">
            <w:pPr>
              <w:pStyle w:val="Tabletext"/>
              <w:keepNext/>
              <w:jc w:val="right"/>
              <w:rPr>
                <w:lang w:val="ru-RU" w:eastAsia="en-GB"/>
              </w:rPr>
            </w:pPr>
            <w:r w:rsidRPr="00CA4C14">
              <w:rPr>
                <w:lang w:val="ru-RU" w:eastAsia="en-GB"/>
              </w:rPr>
              <w:t>(1 801)</w:t>
            </w:r>
          </w:p>
        </w:tc>
      </w:tr>
      <w:tr w:rsidR="00EF3E42" w:rsidRPr="00CA4C14" w14:paraId="4AE0CF24" w14:textId="77777777" w:rsidTr="00EF3E42">
        <w:trPr>
          <w:jc w:val="center"/>
        </w:trPr>
        <w:tc>
          <w:tcPr>
            <w:tcW w:w="3127" w:type="pct"/>
            <w:tcBorders>
              <w:top w:val="nil"/>
              <w:left w:val="nil"/>
              <w:bottom w:val="nil"/>
              <w:right w:val="nil"/>
            </w:tcBorders>
            <w:shd w:val="clear" w:color="auto" w:fill="auto"/>
            <w:noWrap/>
            <w:vAlign w:val="bottom"/>
            <w:hideMark/>
          </w:tcPr>
          <w:p w14:paraId="6A1A1659" w14:textId="77777777" w:rsidR="00EF3E42" w:rsidRPr="00CA4C14" w:rsidRDefault="00EF3E42" w:rsidP="005F455B">
            <w:pPr>
              <w:pStyle w:val="Tabletext"/>
              <w:keepNext/>
              <w:rPr>
                <w:b/>
                <w:bCs/>
                <w:lang w:val="ru-RU" w:eastAsia="en-GB"/>
              </w:rPr>
            </w:pPr>
            <w:r w:rsidRPr="00CA4C14">
              <w:rPr>
                <w:b/>
                <w:bCs/>
                <w:szCs w:val="18"/>
                <w:lang w:val="ru-RU"/>
              </w:rPr>
              <w:t>Всего: актуарные (прибыли) потери, признанные в чистых активах</w:t>
            </w:r>
          </w:p>
        </w:tc>
        <w:tc>
          <w:tcPr>
            <w:tcW w:w="936" w:type="pct"/>
            <w:tcBorders>
              <w:top w:val="nil"/>
              <w:left w:val="nil"/>
              <w:bottom w:val="nil"/>
              <w:right w:val="nil"/>
            </w:tcBorders>
            <w:shd w:val="clear" w:color="auto" w:fill="auto"/>
            <w:noWrap/>
            <w:vAlign w:val="bottom"/>
            <w:hideMark/>
          </w:tcPr>
          <w:p w14:paraId="05D84C85" w14:textId="77777777" w:rsidR="00EF3E42" w:rsidRPr="00CA4C14" w:rsidRDefault="00EF3E42" w:rsidP="005F455B">
            <w:pPr>
              <w:pStyle w:val="Tabletext"/>
              <w:keepNext/>
              <w:jc w:val="right"/>
              <w:rPr>
                <w:b/>
                <w:bCs/>
                <w:lang w:val="ru-RU" w:eastAsia="en-GB"/>
              </w:rPr>
            </w:pPr>
            <w:r w:rsidRPr="00CA4C14">
              <w:rPr>
                <w:b/>
                <w:bCs/>
                <w:lang w:val="ru-RU" w:eastAsia="en-GB"/>
              </w:rPr>
              <w:t>19 524</w:t>
            </w:r>
          </w:p>
        </w:tc>
        <w:tc>
          <w:tcPr>
            <w:tcW w:w="936" w:type="pct"/>
            <w:tcBorders>
              <w:top w:val="nil"/>
              <w:left w:val="nil"/>
              <w:bottom w:val="nil"/>
              <w:right w:val="nil"/>
            </w:tcBorders>
            <w:shd w:val="clear" w:color="auto" w:fill="auto"/>
            <w:noWrap/>
            <w:vAlign w:val="bottom"/>
            <w:hideMark/>
          </w:tcPr>
          <w:p w14:paraId="55FC4B47" w14:textId="77777777" w:rsidR="00EF3E42" w:rsidRPr="00CA4C14" w:rsidRDefault="00EF3E42" w:rsidP="005F455B">
            <w:pPr>
              <w:pStyle w:val="Tabletext"/>
              <w:keepNext/>
              <w:jc w:val="right"/>
              <w:rPr>
                <w:b/>
                <w:bCs/>
                <w:lang w:val="ru-RU" w:eastAsia="en-GB"/>
              </w:rPr>
            </w:pPr>
            <w:r w:rsidRPr="00CA4C14">
              <w:rPr>
                <w:b/>
                <w:bCs/>
                <w:lang w:val="ru-RU" w:eastAsia="en-GB"/>
              </w:rPr>
              <w:t>(215 510)</w:t>
            </w:r>
          </w:p>
        </w:tc>
      </w:tr>
      <w:tr w:rsidR="00EF3E42" w:rsidRPr="00CA4C14" w14:paraId="28234919" w14:textId="77777777" w:rsidTr="00EF3E42">
        <w:trPr>
          <w:jc w:val="center"/>
        </w:trPr>
        <w:tc>
          <w:tcPr>
            <w:tcW w:w="3127" w:type="pct"/>
            <w:tcBorders>
              <w:top w:val="nil"/>
              <w:left w:val="nil"/>
              <w:bottom w:val="nil"/>
              <w:right w:val="nil"/>
            </w:tcBorders>
            <w:shd w:val="clear" w:color="auto" w:fill="auto"/>
            <w:noWrap/>
            <w:vAlign w:val="bottom"/>
            <w:hideMark/>
          </w:tcPr>
          <w:p w14:paraId="2D776495" w14:textId="77777777" w:rsidR="00EF3E42" w:rsidRPr="00CA4C14" w:rsidRDefault="00EF3E42" w:rsidP="00C10F9A">
            <w:pPr>
              <w:pStyle w:val="Tabletext"/>
              <w:keepNext/>
              <w:spacing w:before="0" w:after="0"/>
              <w:rPr>
                <w:b/>
                <w:bCs/>
                <w:lang w:val="ru-RU" w:eastAsia="en-GB"/>
              </w:rPr>
            </w:pPr>
          </w:p>
        </w:tc>
        <w:tc>
          <w:tcPr>
            <w:tcW w:w="936" w:type="pct"/>
            <w:tcBorders>
              <w:top w:val="nil"/>
              <w:left w:val="nil"/>
              <w:bottom w:val="nil"/>
              <w:right w:val="nil"/>
            </w:tcBorders>
            <w:shd w:val="clear" w:color="auto" w:fill="auto"/>
            <w:noWrap/>
            <w:vAlign w:val="bottom"/>
            <w:hideMark/>
          </w:tcPr>
          <w:p w14:paraId="585A6D10" w14:textId="77777777" w:rsidR="00EF3E42" w:rsidRPr="00CA4C14" w:rsidRDefault="00EF3E42" w:rsidP="00C10F9A">
            <w:pPr>
              <w:pStyle w:val="Tabletext"/>
              <w:keepNext/>
              <w:spacing w:before="0" w:after="0"/>
              <w:jc w:val="right"/>
              <w:rPr>
                <w:rFonts w:ascii="Times New Roman" w:hAnsi="Times New Roman"/>
                <w:lang w:val="ru-RU" w:eastAsia="en-GB"/>
              </w:rPr>
            </w:pPr>
          </w:p>
        </w:tc>
        <w:tc>
          <w:tcPr>
            <w:tcW w:w="936" w:type="pct"/>
            <w:tcBorders>
              <w:top w:val="nil"/>
              <w:left w:val="nil"/>
              <w:bottom w:val="nil"/>
              <w:right w:val="nil"/>
            </w:tcBorders>
            <w:shd w:val="clear" w:color="auto" w:fill="auto"/>
            <w:noWrap/>
            <w:vAlign w:val="bottom"/>
            <w:hideMark/>
          </w:tcPr>
          <w:p w14:paraId="2016DCDA" w14:textId="77777777" w:rsidR="00EF3E42" w:rsidRPr="00CA4C14" w:rsidRDefault="00EF3E42" w:rsidP="00C10F9A">
            <w:pPr>
              <w:pStyle w:val="Tabletext"/>
              <w:keepNext/>
              <w:spacing w:before="0" w:after="0"/>
              <w:jc w:val="right"/>
              <w:rPr>
                <w:rFonts w:ascii="Times New Roman" w:hAnsi="Times New Roman"/>
                <w:lang w:val="ru-RU" w:eastAsia="en-GB"/>
              </w:rPr>
            </w:pPr>
          </w:p>
        </w:tc>
      </w:tr>
      <w:tr w:rsidR="00EF3E42" w:rsidRPr="00CA4C14" w14:paraId="587DCE72" w14:textId="77777777" w:rsidTr="00EF3E42">
        <w:trPr>
          <w:jc w:val="center"/>
        </w:trPr>
        <w:tc>
          <w:tcPr>
            <w:tcW w:w="3127" w:type="pct"/>
            <w:tcBorders>
              <w:top w:val="nil"/>
              <w:left w:val="nil"/>
              <w:bottom w:val="nil"/>
              <w:right w:val="nil"/>
            </w:tcBorders>
            <w:shd w:val="clear" w:color="auto" w:fill="auto"/>
            <w:noWrap/>
            <w:vAlign w:val="bottom"/>
            <w:hideMark/>
          </w:tcPr>
          <w:p w14:paraId="6CB81CDF" w14:textId="77777777" w:rsidR="00EF3E42" w:rsidRPr="00CA4C14" w:rsidRDefault="00EF3E42" w:rsidP="005F455B">
            <w:pPr>
              <w:pStyle w:val="Tabletext"/>
              <w:keepNext/>
              <w:rPr>
                <w:b/>
                <w:bCs/>
                <w:lang w:val="ru-RU" w:eastAsia="en-GB"/>
              </w:rPr>
            </w:pPr>
            <w:r w:rsidRPr="00CA4C14">
              <w:rPr>
                <w:b/>
                <w:bCs/>
                <w:szCs w:val="18"/>
                <w:lang w:val="ru-RU"/>
              </w:rPr>
              <w:t>Взносы в финансовом периоде</w:t>
            </w:r>
          </w:p>
        </w:tc>
        <w:tc>
          <w:tcPr>
            <w:tcW w:w="936" w:type="pct"/>
            <w:tcBorders>
              <w:top w:val="nil"/>
              <w:left w:val="nil"/>
              <w:bottom w:val="nil"/>
              <w:right w:val="nil"/>
            </w:tcBorders>
            <w:shd w:val="clear" w:color="auto" w:fill="auto"/>
            <w:noWrap/>
            <w:vAlign w:val="bottom"/>
            <w:hideMark/>
          </w:tcPr>
          <w:p w14:paraId="6E387A37" w14:textId="77777777" w:rsidR="00EF3E42" w:rsidRPr="00CA4C14" w:rsidRDefault="00EF3E42" w:rsidP="005F455B">
            <w:pPr>
              <w:pStyle w:val="Tabletext"/>
              <w:keepNext/>
              <w:jc w:val="right"/>
              <w:rPr>
                <w:b/>
                <w:bCs/>
                <w:lang w:val="ru-RU" w:eastAsia="en-GB"/>
              </w:rPr>
            </w:pPr>
            <w:r w:rsidRPr="00CA4C14">
              <w:rPr>
                <w:b/>
                <w:bCs/>
                <w:lang w:val="ru-RU" w:eastAsia="en-GB"/>
              </w:rPr>
              <w:t>(7 009)</w:t>
            </w:r>
          </w:p>
        </w:tc>
        <w:tc>
          <w:tcPr>
            <w:tcW w:w="936" w:type="pct"/>
            <w:tcBorders>
              <w:top w:val="nil"/>
              <w:left w:val="nil"/>
              <w:bottom w:val="nil"/>
              <w:right w:val="nil"/>
            </w:tcBorders>
            <w:shd w:val="clear" w:color="auto" w:fill="auto"/>
            <w:noWrap/>
            <w:vAlign w:val="bottom"/>
            <w:hideMark/>
          </w:tcPr>
          <w:p w14:paraId="07B57CB5" w14:textId="77777777" w:rsidR="00EF3E42" w:rsidRPr="00CA4C14" w:rsidRDefault="00EF3E42" w:rsidP="005F455B">
            <w:pPr>
              <w:pStyle w:val="Tabletext"/>
              <w:keepNext/>
              <w:jc w:val="right"/>
              <w:rPr>
                <w:b/>
                <w:bCs/>
                <w:lang w:val="ru-RU" w:eastAsia="en-GB"/>
              </w:rPr>
            </w:pPr>
            <w:r w:rsidRPr="00CA4C14">
              <w:rPr>
                <w:b/>
                <w:bCs/>
                <w:lang w:val="ru-RU" w:eastAsia="en-GB"/>
              </w:rPr>
              <w:t>(8 412)</w:t>
            </w:r>
          </w:p>
        </w:tc>
      </w:tr>
      <w:tr w:rsidR="00EF3E42" w:rsidRPr="00CA4C14" w14:paraId="440EB828" w14:textId="77777777" w:rsidTr="00EF3E42">
        <w:trPr>
          <w:jc w:val="center"/>
        </w:trPr>
        <w:tc>
          <w:tcPr>
            <w:tcW w:w="3127" w:type="pct"/>
            <w:tcBorders>
              <w:top w:val="nil"/>
              <w:left w:val="nil"/>
              <w:bottom w:val="nil"/>
              <w:right w:val="nil"/>
            </w:tcBorders>
            <w:shd w:val="clear" w:color="000000" w:fill="0070C0"/>
            <w:noWrap/>
            <w:vAlign w:val="center"/>
            <w:hideMark/>
          </w:tcPr>
          <w:p w14:paraId="6D65C912" w14:textId="77777777" w:rsidR="00EF3E42" w:rsidRPr="00CA4C14" w:rsidRDefault="00EF3E42" w:rsidP="00870576">
            <w:pPr>
              <w:pStyle w:val="Tabletext"/>
              <w:rPr>
                <w:b/>
                <w:bCs/>
                <w:lang w:val="ru-RU" w:eastAsia="en-GB"/>
              </w:rPr>
            </w:pPr>
            <w:r w:rsidRPr="00CA4C14">
              <w:rPr>
                <w:b/>
                <w:bCs/>
                <w:szCs w:val="18"/>
                <w:lang w:val="ru-RU"/>
              </w:rPr>
              <w:t>Всего: Сумма обязательств в рамках плана АСХИ</w:t>
            </w:r>
          </w:p>
        </w:tc>
        <w:tc>
          <w:tcPr>
            <w:tcW w:w="936" w:type="pct"/>
            <w:tcBorders>
              <w:top w:val="nil"/>
              <w:left w:val="nil"/>
              <w:bottom w:val="nil"/>
              <w:right w:val="nil"/>
            </w:tcBorders>
            <w:shd w:val="clear" w:color="000000" w:fill="0070C0"/>
            <w:noWrap/>
            <w:vAlign w:val="center"/>
            <w:hideMark/>
          </w:tcPr>
          <w:p w14:paraId="74DFB9B0" w14:textId="77777777" w:rsidR="00EF3E42" w:rsidRPr="00CA4C14" w:rsidRDefault="00EF3E42" w:rsidP="00870576">
            <w:pPr>
              <w:pStyle w:val="Tabletext"/>
              <w:jc w:val="right"/>
              <w:rPr>
                <w:b/>
                <w:bCs/>
                <w:lang w:val="ru-RU" w:eastAsia="en-GB"/>
              </w:rPr>
            </w:pPr>
            <w:r w:rsidRPr="00CA4C14">
              <w:rPr>
                <w:b/>
                <w:bCs/>
                <w:lang w:val="ru-RU" w:eastAsia="en-GB"/>
              </w:rPr>
              <w:t>375 271</w:t>
            </w:r>
          </w:p>
        </w:tc>
        <w:tc>
          <w:tcPr>
            <w:tcW w:w="936" w:type="pct"/>
            <w:tcBorders>
              <w:top w:val="nil"/>
              <w:left w:val="nil"/>
              <w:bottom w:val="nil"/>
              <w:right w:val="nil"/>
            </w:tcBorders>
            <w:shd w:val="clear" w:color="000000" w:fill="0070C0"/>
            <w:noWrap/>
            <w:vAlign w:val="center"/>
            <w:hideMark/>
          </w:tcPr>
          <w:p w14:paraId="45E38268" w14:textId="77777777" w:rsidR="00EF3E42" w:rsidRPr="00CA4C14" w:rsidRDefault="00EF3E42" w:rsidP="00870576">
            <w:pPr>
              <w:pStyle w:val="Tabletext"/>
              <w:jc w:val="right"/>
              <w:rPr>
                <w:b/>
                <w:bCs/>
                <w:lang w:val="ru-RU" w:eastAsia="en-GB"/>
              </w:rPr>
            </w:pPr>
            <w:r w:rsidRPr="00CA4C14">
              <w:rPr>
                <w:b/>
                <w:bCs/>
                <w:lang w:val="ru-RU" w:eastAsia="en-GB"/>
              </w:rPr>
              <w:t>344 102</w:t>
            </w:r>
          </w:p>
        </w:tc>
      </w:tr>
    </w:tbl>
    <w:p w14:paraId="03BBB159" w14:textId="5D7BAAB0" w:rsidR="00EF3E42" w:rsidRPr="00CA4C14" w:rsidRDefault="00EF3E42" w:rsidP="006A7B99">
      <w:pPr>
        <w:rPr>
          <w:lang w:val="ru-RU"/>
        </w:rPr>
      </w:pPr>
      <w:bookmarkStart w:id="415" w:name="_Hlk39146820"/>
      <w:bookmarkStart w:id="416" w:name="_Hlk39146930"/>
      <w:r w:rsidRPr="00CA4C14">
        <w:rPr>
          <w:lang w:val="ru-RU"/>
        </w:rPr>
        <w:t>Основным элементом, влияющим на величину стоимости АСХИ, является ставка дисконтирования, которая используется для расчета текущей стоимости будущих заявок. В</w:t>
      </w:r>
      <w:r w:rsidR="0090797F" w:rsidRPr="00CA4C14">
        <w:rPr>
          <w:lang w:val="ru-RU"/>
        </w:rPr>
        <w:t> </w:t>
      </w:r>
      <w:r w:rsidRPr="00CA4C14">
        <w:rPr>
          <w:lang w:val="ru-RU"/>
        </w:rPr>
        <w:t>2023 году ставка дисконтирования снизилась с 2,5% (2022 г</w:t>
      </w:r>
      <w:r w:rsidR="0090797F" w:rsidRPr="00CA4C14">
        <w:rPr>
          <w:lang w:val="ru-RU"/>
        </w:rPr>
        <w:t>.</w:t>
      </w:r>
      <w:r w:rsidRPr="00CA4C14">
        <w:rPr>
          <w:lang w:val="ru-RU"/>
        </w:rPr>
        <w:t>) до 1,9% (2023 г</w:t>
      </w:r>
      <w:r w:rsidR="0090797F" w:rsidRPr="00CA4C14">
        <w:rPr>
          <w:lang w:val="ru-RU"/>
        </w:rPr>
        <w:t>.</w:t>
      </w:r>
      <w:r w:rsidRPr="00CA4C14">
        <w:rPr>
          <w:lang w:val="ru-RU"/>
        </w:rPr>
        <w:t>), сменив тем самым предшествующую тенденцию, наблюдавшуюся в 2022 году, когда ставка выросла с 0,5% (2021 г</w:t>
      </w:r>
      <w:r w:rsidR="0090797F" w:rsidRPr="00CA4C14">
        <w:rPr>
          <w:lang w:val="ru-RU"/>
        </w:rPr>
        <w:t>.</w:t>
      </w:r>
      <w:r w:rsidRPr="00CA4C14">
        <w:rPr>
          <w:lang w:val="ru-RU"/>
        </w:rPr>
        <w:t>) до 2,5% (2022 г</w:t>
      </w:r>
      <w:r w:rsidR="0090797F" w:rsidRPr="00CA4C14">
        <w:rPr>
          <w:lang w:val="ru-RU"/>
        </w:rPr>
        <w:t>.</w:t>
      </w:r>
      <w:r w:rsidRPr="00CA4C14">
        <w:rPr>
          <w:lang w:val="ru-RU"/>
        </w:rPr>
        <w:t>). Такие тенденции привели к актуарным потерям в размере 24,7 </w:t>
      </w:r>
      <w:proofErr w:type="gramStart"/>
      <w:r w:rsidRPr="00CA4C14">
        <w:rPr>
          <w:lang w:val="ru-RU"/>
        </w:rPr>
        <w:t>млн.</w:t>
      </w:r>
      <w:proofErr w:type="gramEnd"/>
      <w:r w:rsidR="0090797F" w:rsidRPr="00CA4C14">
        <w:rPr>
          <w:lang w:val="ru-RU"/>
        </w:rPr>
        <w:t> </w:t>
      </w:r>
      <w:r w:rsidRPr="00CA4C14">
        <w:rPr>
          <w:lang w:val="ru-RU"/>
        </w:rPr>
        <w:t>швейцарских франков в 2023 году по сравнению с актуарной прибылью в размере 133,6 млн. швейцарских франков в 2022 году.</w:t>
      </w:r>
    </w:p>
    <w:p w14:paraId="528F5C80" w14:textId="77777777" w:rsidR="00EF3E42" w:rsidRPr="00CA4C14" w:rsidRDefault="00EF3E42" w:rsidP="006A7B99">
      <w:pPr>
        <w:rPr>
          <w:lang w:val="ru-RU"/>
        </w:rPr>
      </w:pPr>
      <w:bookmarkStart w:id="417" w:name="_Hlk132877785"/>
      <w:r w:rsidRPr="00CA4C14">
        <w:rPr>
          <w:lang w:val="ru-RU"/>
        </w:rPr>
        <w:t>Вторым элементом, оказывающим значительное влияние на размер обязательств по АСХИ, является прибыль по обязательствам, определяемым на основе статистики, которые составляют 4,6 млн. швейцарских франков и обусловлены изменениями в данных переписи населения после 31 декабря 2021 года, вызванными многими факторами, в том числе большим, чем ожидалось, количеством смертей неработающих членов (или большим количеством выбывших по другим причинам), меньшим ростом заработной платы, чем ожидалось, и меньшим количеством выплаченных средств по заявкам на возмещение расходов, чем ожидалось.</w:t>
      </w:r>
    </w:p>
    <w:p w14:paraId="60DC8B0A" w14:textId="2D8A028A" w:rsidR="00EF3E42" w:rsidRPr="00CA4C14" w:rsidRDefault="00EF3E42" w:rsidP="00E83E20">
      <w:pPr>
        <w:rPr>
          <w:lang w:val="ru-RU"/>
        </w:rPr>
      </w:pPr>
      <w:r w:rsidRPr="00CA4C14">
        <w:rPr>
          <w:lang w:val="ru-RU"/>
        </w:rPr>
        <w:t xml:space="preserve">Взносы, уплачиваемые организацией по АСХИ, в 2023 году составили 7 </w:t>
      </w:r>
      <w:proofErr w:type="gramStart"/>
      <w:r w:rsidRPr="00CA4C14">
        <w:rPr>
          <w:lang w:val="ru-RU"/>
        </w:rPr>
        <w:t>млн.</w:t>
      </w:r>
      <w:proofErr w:type="gramEnd"/>
      <w:r w:rsidRPr="00CA4C14">
        <w:rPr>
          <w:lang w:val="ru-RU"/>
        </w:rPr>
        <w:t xml:space="preserve"> швейцарских франков (8,4 млн. шв</w:t>
      </w:r>
      <w:r w:rsidR="00696F76" w:rsidRPr="00CA4C14">
        <w:rPr>
          <w:lang w:val="ru-RU"/>
        </w:rPr>
        <w:t>. фр.</w:t>
      </w:r>
      <w:r w:rsidRPr="00CA4C14">
        <w:rPr>
          <w:lang w:val="ru-RU"/>
        </w:rPr>
        <w:t xml:space="preserve"> в 2022 г.). Ожидаемый работодателем взнос за 2024 год оценивается в 8,8 </w:t>
      </w:r>
      <w:proofErr w:type="gramStart"/>
      <w:r w:rsidRPr="00CA4C14">
        <w:rPr>
          <w:lang w:val="ru-RU"/>
        </w:rPr>
        <w:t>млн.</w:t>
      </w:r>
      <w:proofErr w:type="gramEnd"/>
      <w:r w:rsidRPr="00CA4C14">
        <w:rPr>
          <w:lang w:val="ru-RU"/>
        </w:rPr>
        <w:t xml:space="preserve"> швейцарских франков.</w:t>
      </w:r>
    </w:p>
    <w:p w14:paraId="07CEF818" w14:textId="77777777" w:rsidR="00EF3E42" w:rsidRPr="00CA4C14" w:rsidRDefault="00EF3E42" w:rsidP="006A7B99">
      <w:pPr>
        <w:rPr>
          <w:lang w:val="ru-RU"/>
        </w:rPr>
      </w:pPr>
      <w:r w:rsidRPr="00CA4C14">
        <w:rPr>
          <w:lang w:val="ru-RU"/>
        </w:rPr>
        <w:t>С января 2020 года МСЭ входит в состав Общества взаимного страхования сотрудников Организации Объединенных Наций от болезней и несчастных случаев (ЮНСМИС). Это фонд медицинского страхования сотрудников ООН. Основан в 1947 году, штаб-квартира находится в Женеве. ЮНСМИС предназначено для возмещения медицинских расходов своих членов, включая расходы, связанные с болезнями, несчастными случаями и материнством. Общество обслуживает как действующих, так и вышедших на пенсию сотрудников ООН и членов их семей.</w:t>
      </w:r>
    </w:p>
    <w:p w14:paraId="2A10750E" w14:textId="77777777" w:rsidR="00EF3E42" w:rsidRPr="00CA4C14" w:rsidRDefault="00EF3E42" w:rsidP="006A7B99">
      <w:pPr>
        <w:rPr>
          <w:lang w:val="ru-RU"/>
        </w:rPr>
      </w:pPr>
      <w:r w:rsidRPr="00CA4C14">
        <w:rPr>
          <w:lang w:val="ru-RU"/>
        </w:rPr>
        <w:lastRenderedPageBreak/>
        <w:t>ЮНСМИС работает за счет взносов участвующих организаций и сотрудников, чтобы обеспечить своим членам возмещение расходов на медицинское обслуживание в соответствии с правилами и положениями общества. Помимо обработки заявок, ЮНСМИС отвечает за заключение договоров с поставщиками медицинских услуг и обеспечение финансовой стабильности плана страхования.</w:t>
      </w:r>
    </w:p>
    <w:p w14:paraId="546766BD" w14:textId="195AFF4E" w:rsidR="00EF3E42" w:rsidRPr="00CA4C14" w:rsidRDefault="00EF3E42" w:rsidP="006A7B99">
      <w:pPr>
        <w:rPr>
          <w:lang w:val="ru-RU"/>
        </w:rPr>
      </w:pPr>
      <w:r w:rsidRPr="00CA4C14">
        <w:rPr>
          <w:lang w:val="ru-RU"/>
        </w:rPr>
        <w:t>Актуарный резерв для долгосрочных рисков был создан в 1995 году для покрытия постоянного роста расходов на медицинское обслуживание и постепенного увеличения среднего возраста членов. Инвестиционный доход от этого резерва для долгосрочных рисков должен позволить ограничить рост страховых взносов и покрыть любые непредвиденные расходы. В</w:t>
      </w:r>
      <w:r w:rsidR="0090797F" w:rsidRPr="00CA4C14">
        <w:rPr>
          <w:lang w:val="ru-RU"/>
        </w:rPr>
        <w:t> </w:t>
      </w:r>
      <w:r w:rsidRPr="00CA4C14">
        <w:rPr>
          <w:lang w:val="ru-RU"/>
        </w:rPr>
        <w:t xml:space="preserve">исследовании, проведенном компанией EY, было предложено установить суммарный объем данного резерва на уровне 87,4 </w:t>
      </w:r>
      <w:proofErr w:type="gramStart"/>
      <w:r w:rsidRPr="00CA4C14">
        <w:rPr>
          <w:lang w:val="ru-RU"/>
        </w:rPr>
        <w:t>млн.</w:t>
      </w:r>
      <w:proofErr w:type="gramEnd"/>
      <w:r w:rsidRPr="00CA4C14">
        <w:rPr>
          <w:lang w:val="ru-RU"/>
        </w:rPr>
        <w:t xml:space="preserve"> долларов США (31 декабря 2022 г</w:t>
      </w:r>
      <w:r w:rsidR="0090797F" w:rsidRPr="00CA4C14">
        <w:rPr>
          <w:lang w:val="ru-RU"/>
        </w:rPr>
        <w:t>.</w:t>
      </w:r>
      <w:r w:rsidRPr="00CA4C14">
        <w:rPr>
          <w:lang w:val="ru-RU"/>
        </w:rPr>
        <w:t>). По состоянию на</w:t>
      </w:r>
      <w:r w:rsidR="0090797F" w:rsidRPr="00CA4C14">
        <w:rPr>
          <w:lang w:val="ru-RU"/>
        </w:rPr>
        <w:t> </w:t>
      </w:r>
      <w:r w:rsidRPr="00CA4C14">
        <w:rPr>
          <w:lang w:val="ru-RU"/>
        </w:rPr>
        <w:t>31</w:t>
      </w:r>
      <w:r w:rsidR="0090797F" w:rsidRPr="00CA4C14">
        <w:rPr>
          <w:lang w:val="ru-RU"/>
        </w:rPr>
        <w:t> </w:t>
      </w:r>
      <w:r w:rsidRPr="00CA4C14">
        <w:rPr>
          <w:lang w:val="ru-RU"/>
        </w:rPr>
        <w:t>декабря 2022 года данный резерв был обеспечен финансированием в полном объеме.</w:t>
      </w:r>
    </w:p>
    <w:p w14:paraId="1DDD3389" w14:textId="22902F2B" w:rsidR="00EF3E42" w:rsidRPr="00CA4C14" w:rsidRDefault="00EF3E42" w:rsidP="001B3509">
      <w:pPr>
        <w:rPr>
          <w:lang w:val="ru-RU"/>
        </w:rPr>
      </w:pPr>
      <w:bookmarkStart w:id="418" w:name="_Hlk52542193"/>
      <w:bookmarkStart w:id="419" w:name="_Hlk53040691"/>
      <w:bookmarkStart w:id="420" w:name="_Hlk131410232"/>
      <w:bookmarkStart w:id="421" w:name="_Toc305764095"/>
      <w:bookmarkEnd w:id="415"/>
      <w:bookmarkEnd w:id="416"/>
      <w:bookmarkEnd w:id="417"/>
      <w:r w:rsidRPr="00CA4C14">
        <w:rPr>
          <w:color w:val="000000"/>
          <w:lang w:val="ru-RU"/>
        </w:rPr>
        <w:t>Вступление в этот план медицинского страхования ООН создало преимущества не только для персонала, поскольку размер взноса уменьшился, а франшиза была исключена, но и для МСЭ в рамках долгосрочного подхода ввиду объема этого плана.</w:t>
      </w:r>
      <w:r w:rsidRPr="00CA4C14">
        <w:rPr>
          <w:lang w:val="ru-RU"/>
        </w:rPr>
        <w:t xml:space="preserve"> П</w:t>
      </w:r>
      <w:r w:rsidRPr="00CA4C14">
        <w:rPr>
          <w:szCs w:val="24"/>
          <w:lang w:val="ru-RU"/>
        </w:rPr>
        <w:t xml:space="preserve">лан </w:t>
      </w:r>
      <w:r w:rsidRPr="00CA4C14">
        <w:rPr>
          <w:color w:val="000000"/>
          <w:lang w:val="ru-RU"/>
        </w:rPr>
        <w:t xml:space="preserve">ЮНСМИС </w:t>
      </w:r>
      <w:r w:rsidRPr="00CA4C14">
        <w:rPr>
          <w:szCs w:val="24"/>
          <w:lang w:val="ru-RU"/>
        </w:rPr>
        <w:t xml:space="preserve">охватывает </w:t>
      </w:r>
      <w:r w:rsidRPr="00CA4C14">
        <w:rPr>
          <w:lang w:val="ru-RU"/>
        </w:rPr>
        <w:t xml:space="preserve">некоторые организации и </w:t>
      </w:r>
      <w:r w:rsidRPr="00CA4C14">
        <w:rPr>
          <w:color w:val="000000"/>
          <w:lang w:val="ru-RU"/>
        </w:rPr>
        <w:t>специализированные учреждения Организации Объединенных Наций, расположенные в Женеве. Этот план медицинского страхования</w:t>
      </w:r>
      <w:r w:rsidRPr="00CA4C14">
        <w:rPr>
          <w:lang w:val="ru-RU"/>
        </w:rPr>
        <w:t xml:space="preserve"> включает сотрудников Отделения ООН в Женеве, УВКБ ООН и ВМО.</w:t>
      </w:r>
    </w:p>
    <w:p w14:paraId="4A0EBE33" w14:textId="3BD86169" w:rsidR="00EF3E42" w:rsidRPr="00CA4C14" w:rsidRDefault="00EF3E42" w:rsidP="001B3509">
      <w:pPr>
        <w:rPr>
          <w:lang w:val="ru-RU"/>
        </w:rPr>
      </w:pPr>
      <w:r w:rsidRPr="00CA4C14">
        <w:rPr>
          <w:lang w:val="ru-RU"/>
        </w:rPr>
        <w:t>Чтобы присоединиться к п</w:t>
      </w:r>
      <w:r w:rsidRPr="00CA4C14">
        <w:rPr>
          <w:color w:val="000000"/>
          <w:lang w:val="ru-RU"/>
        </w:rPr>
        <w:t>лану медицинского страхования ЮНСМИС в январе 2020 года МСЭ должен был выплачивать взносы в резервный фонд этого плана для компенсации</w:t>
      </w:r>
      <w:r w:rsidRPr="00CA4C14">
        <w:rPr>
          <w:lang w:val="ru-RU"/>
        </w:rPr>
        <w:t>. Размер взноса был согласован на уровне 19,5 </w:t>
      </w:r>
      <w:proofErr w:type="gramStart"/>
      <w:r w:rsidRPr="00CA4C14">
        <w:rPr>
          <w:lang w:val="ru-RU"/>
        </w:rPr>
        <w:t>млн.</w:t>
      </w:r>
      <w:proofErr w:type="gramEnd"/>
      <w:r w:rsidRPr="00CA4C14">
        <w:rPr>
          <w:lang w:val="ru-RU"/>
        </w:rPr>
        <w:t xml:space="preserve"> долл</w:t>
      </w:r>
      <w:r w:rsidR="00696F76" w:rsidRPr="00CA4C14">
        <w:rPr>
          <w:lang w:val="ru-RU"/>
        </w:rPr>
        <w:t>аров</w:t>
      </w:r>
      <w:r w:rsidRPr="00CA4C14">
        <w:rPr>
          <w:lang w:val="ru-RU"/>
        </w:rPr>
        <w:t xml:space="preserve"> США (19,5 млн. шв. фр.), которые были выплачены в начале 2020 года из </w:t>
      </w:r>
      <w:r w:rsidRPr="00CA4C14">
        <w:rPr>
          <w:color w:val="000000"/>
          <w:lang w:val="ru-RU"/>
        </w:rPr>
        <w:t>гарантийного фонда ПКМС (План коллективного медицинского страхования).</w:t>
      </w:r>
      <w:r w:rsidRPr="00CA4C14">
        <w:rPr>
          <w:lang w:val="ru-RU"/>
        </w:rPr>
        <w:t xml:space="preserve"> Кроме того, на протяжении 13 лет, начиная с 2020 года, ежегодно будет выплачиваться чрезвычайный взнос для урегулирования последствий присоединения МСЭ к плану медицинского страхования на основании возраста действующих и вышедших на пенсию сотрудников, демографических данных и других согласованных факторов</w:t>
      </w:r>
      <w:r w:rsidRPr="00CA4C14">
        <w:rPr>
          <w:spacing w:val="-2"/>
          <w:lang w:val="ru-RU"/>
        </w:rPr>
        <w:t>. Этот дополнительный взнос в общей сумме составляет 22,5 </w:t>
      </w:r>
      <w:proofErr w:type="gramStart"/>
      <w:r w:rsidRPr="00CA4C14">
        <w:rPr>
          <w:lang w:val="ru-RU"/>
        </w:rPr>
        <w:t>млн.</w:t>
      </w:r>
      <w:proofErr w:type="gramEnd"/>
      <w:r w:rsidRPr="00CA4C14">
        <w:rPr>
          <w:lang w:val="ru-RU"/>
        </w:rPr>
        <w:t xml:space="preserve"> долл</w:t>
      </w:r>
      <w:r w:rsidR="00696F76" w:rsidRPr="00CA4C14">
        <w:rPr>
          <w:lang w:val="ru-RU"/>
        </w:rPr>
        <w:t>аров</w:t>
      </w:r>
      <w:r w:rsidRPr="00CA4C14">
        <w:rPr>
          <w:lang w:val="ru-RU"/>
        </w:rPr>
        <w:t xml:space="preserve"> США и должен выплачиваться ежегодно в течение </w:t>
      </w:r>
      <w:r w:rsidRPr="00CA4C14">
        <w:rPr>
          <w:spacing w:val="-2"/>
          <w:lang w:val="ru-RU"/>
        </w:rPr>
        <w:t>13 лет</w:t>
      </w:r>
      <w:r w:rsidRPr="00CA4C14">
        <w:rPr>
          <w:szCs w:val="24"/>
          <w:lang w:val="ru-RU"/>
        </w:rPr>
        <w:t>.</w:t>
      </w:r>
    </w:p>
    <w:p w14:paraId="32A3838B" w14:textId="504E7F74" w:rsidR="00EF3E42" w:rsidRPr="00CA4C14" w:rsidRDefault="00EF3E42" w:rsidP="001B3509">
      <w:pPr>
        <w:rPr>
          <w:lang w:val="ru-RU"/>
        </w:rPr>
      </w:pPr>
      <w:r w:rsidRPr="00CA4C14">
        <w:rPr>
          <w:lang w:val="ru-RU"/>
        </w:rPr>
        <w:t xml:space="preserve">План ЮНСМИС, к которому МСЭ присоединился в 2020 году, основан на взносе, составляющем 3,41 процента от оклада. </w:t>
      </w:r>
      <w:r w:rsidRPr="00CA4C14">
        <w:rPr>
          <w:color w:val="000000"/>
          <w:lang w:val="ru-RU"/>
        </w:rPr>
        <w:t>Последующие меры по сдерживанию затрат в настоящее время осуществляет Комитет ЮНСМИС, новым членом которого теперь является МСЭ</w:t>
      </w:r>
      <w:r w:rsidRPr="00CA4C14">
        <w:rPr>
          <w:lang w:val="ru-RU"/>
        </w:rPr>
        <w:t>. С более подробной информацией можно ознакомиться в</w:t>
      </w:r>
      <w:r w:rsidR="0090797F" w:rsidRPr="00CA4C14">
        <w:rPr>
          <w:lang w:val="ru-RU"/>
        </w:rPr>
        <w:t xml:space="preserve"> Документе </w:t>
      </w:r>
      <w:hyperlink r:id="rId29" w:history="1"/>
      <w:r w:rsidR="009A3216">
        <w:fldChar w:fldCharType="begin"/>
      </w:r>
      <w:r w:rsidR="009A3216">
        <w:instrText>HYPERLINK</w:instrText>
      </w:r>
      <w:r w:rsidR="009A3216" w:rsidRPr="009A3216">
        <w:rPr>
          <w:lang w:val="ru-RU"/>
        </w:rPr>
        <w:instrText xml:space="preserve"> "</w:instrText>
      </w:r>
      <w:r w:rsidR="009A3216">
        <w:instrText>https</w:instrText>
      </w:r>
      <w:r w:rsidR="009A3216" w:rsidRPr="009A3216">
        <w:rPr>
          <w:lang w:val="ru-RU"/>
        </w:rPr>
        <w:instrText>://</w:instrText>
      </w:r>
      <w:r w:rsidR="009A3216">
        <w:instrText>www</w:instrText>
      </w:r>
      <w:r w:rsidR="009A3216" w:rsidRPr="009A3216">
        <w:rPr>
          <w:lang w:val="ru-RU"/>
        </w:rPr>
        <w:instrText>.</w:instrText>
      </w:r>
      <w:r w:rsidR="009A3216">
        <w:instrText>itu</w:instrText>
      </w:r>
      <w:r w:rsidR="009A3216" w:rsidRPr="009A3216">
        <w:rPr>
          <w:lang w:val="ru-RU"/>
        </w:rPr>
        <w:instrText>.</w:instrText>
      </w:r>
      <w:r w:rsidR="009A3216">
        <w:instrText>int</w:instrText>
      </w:r>
      <w:r w:rsidR="009A3216" w:rsidRPr="009A3216">
        <w:rPr>
          <w:lang w:val="ru-RU"/>
        </w:rPr>
        <w:instrText>/</w:instrText>
      </w:r>
      <w:r w:rsidR="009A3216">
        <w:instrText>md</w:instrText>
      </w:r>
      <w:r w:rsidR="009A3216" w:rsidRPr="009A3216">
        <w:rPr>
          <w:lang w:val="ru-RU"/>
        </w:rPr>
        <w:instrText>/</w:instrText>
      </w:r>
      <w:r w:rsidR="009A3216">
        <w:instrText>S</w:instrText>
      </w:r>
      <w:r w:rsidR="009A3216" w:rsidRPr="009A3216">
        <w:rPr>
          <w:lang w:val="ru-RU"/>
        </w:rPr>
        <w:instrText>24-</w:instrText>
      </w:r>
      <w:r w:rsidR="009A3216">
        <w:instrText>CL</w:instrText>
      </w:r>
      <w:r w:rsidR="009A3216" w:rsidRPr="009A3216">
        <w:rPr>
          <w:lang w:val="ru-RU"/>
        </w:rPr>
        <w:instrText>-</w:instrText>
      </w:r>
      <w:r w:rsidR="009A3216">
        <w:instrText>C</w:instrText>
      </w:r>
      <w:r w:rsidR="009A3216" w:rsidRPr="009A3216">
        <w:rPr>
          <w:lang w:val="ru-RU"/>
        </w:rPr>
        <w:instrText>-0046/</w:instrText>
      </w:r>
      <w:r w:rsidR="009A3216">
        <w:instrText>en</w:instrText>
      </w:r>
      <w:r w:rsidR="009A3216" w:rsidRPr="009A3216">
        <w:rPr>
          <w:lang w:val="ru-RU"/>
        </w:rPr>
        <w:instrText>" \</w:instrText>
      </w:r>
      <w:r w:rsidR="009A3216">
        <w:instrText>h</w:instrText>
      </w:r>
      <w:r w:rsidR="009A3216" w:rsidRPr="009A3216">
        <w:rPr>
          <w:lang w:val="ru-RU"/>
        </w:rPr>
        <w:instrText xml:space="preserve"> </w:instrText>
      </w:r>
      <w:r w:rsidR="009A3216">
        <w:fldChar w:fldCharType="separate"/>
      </w:r>
      <w:r w:rsidRPr="00CA4C14">
        <w:rPr>
          <w:rStyle w:val="Hyperlink"/>
          <w:lang w:val="ru-RU"/>
        </w:rPr>
        <w:t>C24/46</w:t>
      </w:r>
      <w:r w:rsidR="009A3216">
        <w:rPr>
          <w:rStyle w:val="Hyperlink"/>
          <w:lang w:val="ru-RU"/>
        </w:rPr>
        <w:fldChar w:fldCharType="end"/>
      </w:r>
      <w:r w:rsidRPr="00CA4C14">
        <w:rPr>
          <w:lang w:val="ru-RU"/>
        </w:rPr>
        <w:t xml:space="preserve"> о ежегодном отчете по</w:t>
      </w:r>
      <w:r w:rsidR="0090797F" w:rsidRPr="00CA4C14">
        <w:rPr>
          <w:lang w:val="ru-RU"/>
        </w:rPr>
        <w:t> </w:t>
      </w:r>
      <w:r w:rsidRPr="00CA4C14">
        <w:rPr>
          <w:lang w:val="ru-RU"/>
        </w:rPr>
        <w:t>АСХИ.</w:t>
      </w:r>
    </w:p>
    <w:bookmarkEnd w:id="418"/>
    <w:bookmarkEnd w:id="419"/>
    <w:bookmarkEnd w:id="420"/>
    <w:p w14:paraId="45FA3D3E" w14:textId="77777777" w:rsidR="00EF3E42" w:rsidRPr="00CA4C14" w:rsidRDefault="00EF3E42" w:rsidP="001B3509">
      <w:pPr>
        <w:pStyle w:val="Headingi"/>
        <w:rPr>
          <w:lang w:val="ru-RU"/>
        </w:rPr>
      </w:pPr>
      <w:r w:rsidRPr="00CA4C14">
        <w:rPr>
          <w:lang w:val="ru-RU"/>
        </w:rPr>
        <w:t>17.1.3</w:t>
      </w:r>
      <w:r w:rsidRPr="00CA4C14">
        <w:rPr>
          <w:lang w:val="ru-RU"/>
        </w:rPr>
        <w:tab/>
      </w:r>
      <w:bookmarkEnd w:id="421"/>
      <w:r w:rsidRPr="00CA4C14">
        <w:rPr>
          <w:lang w:val="ru-RU"/>
        </w:rPr>
        <w:t>Информация о чувствительности для плана медицинского обслуживания</w:t>
      </w:r>
    </w:p>
    <w:p w14:paraId="2C0C53E2" w14:textId="50B33B9C" w:rsidR="00EF3E42" w:rsidRPr="00CA4C14" w:rsidRDefault="00EF3E42" w:rsidP="00E83E20">
      <w:pPr>
        <w:spacing w:after="120"/>
        <w:rPr>
          <w:lang w:val="ru-RU"/>
        </w:rPr>
      </w:pPr>
      <w:r w:rsidRPr="00CA4C14">
        <w:rPr>
          <w:lang w:val="ru-RU"/>
        </w:rPr>
        <w:t>Ниже показана чувствительность обязательств по установленным выплатам (ДБО) по состоянию на 31 декабря 2023 года, а также стоимости услуг и процентных расходов за 2023</w:t>
      </w:r>
      <w:r w:rsidR="0090797F" w:rsidRPr="00CA4C14">
        <w:rPr>
          <w:lang w:val="ru-RU"/>
        </w:rPr>
        <w:t> </w:t>
      </w:r>
      <w:r w:rsidRPr="00CA4C14">
        <w:rPr>
          <w:lang w:val="ru-RU"/>
        </w:rPr>
        <w:t>финансовый год к изменениям в предполагаемой динамике медицинского обслуживания.</w:t>
      </w:r>
    </w:p>
    <w:tbl>
      <w:tblPr>
        <w:tblW w:w="5000" w:type="pct"/>
        <w:jc w:val="center"/>
        <w:tblLayout w:type="fixed"/>
        <w:tblLook w:val="04A0" w:firstRow="1" w:lastRow="0" w:firstColumn="1" w:lastColumn="0" w:noHBand="0" w:noVBand="1"/>
      </w:tblPr>
      <w:tblGrid>
        <w:gridCol w:w="7104"/>
        <w:gridCol w:w="1967"/>
      </w:tblGrid>
      <w:tr w:rsidR="00EF3E42" w:rsidRPr="00CA4C14" w14:paraId="0D71A810" w14:textId="77777777" w:rsidTr="00EF3E42">
        <w:trPr>
          <w:jc w:val="center"/>
        </w:trPr>
        <w:tc>
          <w:tcPr>
            <w:tcW w:w="3916" w:type="pct"/>
            <w:tcBorders>
              <w:top w:val="nil"/>
              <w:left w:val="nil"/>
              <w:bottom w:val="nil"/>
              <w:right w:val="nil"/>
            </w:tcBorders>
            <w:shd w:val="clear" w:color="000000" w:fill="0070C0"/>
            <w:vAlign w:val="center"/>
            <w:hideMark/>
          </w:tcPr>
          <w:p w14:paraId="6FFACF34" w14:textId="7EC30FBA" w:rsidR="00EF3E42" w:rsidRPr="00CA4C14" w:rsidRDefault="00EF3E42" w:rsidP="007F0322">
            <w:pPr>
              <w:pStyle w:val="Tablehead"/>
              <w:rPr>
                <w:lang w:val="ru-RU" w:eastAsia="en-GB"/>
              </w:rPr>
            </w:pPr>
            <w:r w:rsidRPr="00CA4C14">
              <w:rPr>
                <w:lang w:val="ru-RU" w:eastAsia="en-GB"/>
              </w:rPr>
              <w:t>Финансовый год (тыс. шв. фр.)</w:t>
            </w:r>
          </w:p>
        </w:tc>
        <w:tc>
          <w:tcPr>
            <w:tcW w:w="1084" w:type="pct"/>
            <w:tcBorders>
              <w:top w:val="nil"/>
              <w:left w:val="nil"/>
              <w:bottom w:val="nil"/>
              <w:right w:val="nil"/>
            </w:tcBorders>
            <w:shd w:val="clear" w:color="000000" w:fill="0070C0"/>
            <w:vAlign w:val="center"/>
            <w:hideMark/>
          </w:tcPr>
          <w:p w14:paraId="03EBF063" w14:textId="77777777" w:rsidR="00EF3E42" w:rsidRPr="00CA4C14" w:rsidRDefault="00EF3E42" w:rsidP="007F0322">
            <w:pPr>
              <w:pStyle w:val="Tablehead"/>
              <w:rPr>
                <w:lang w:val="ru-RU" w:eastAsia="en-GB"/>
              </w:rPr>
            </w:pPr>
            <w:r w:rsidRPr="00CA4C14">
              <w:rPr>
                <w:lang w:val="ru-RU" w:eastAsia="en-GB"/>
              </w:rPr>
              <w:t>31 декабря 2023 г.</w:t>
            </w:r>
          </w:p>
        </w:tc>
      </w:tr>
      <w:tr w:rsidR="00EF3E42" w:rsidRPr="00CA4C14" w14:paraId="194073C5" w14:textId="77777777" w:rsidTr="00EF3E42">
        <w:trPr>
          <w:jc w:val="center"/>
        </w:trPr>
        <w:tc>
          <w:tcPr>
            <w:tcW w:w="3916" w:type="pct"/>
            <w:tcBorders>
              <w:top w:val="nil"/>
              <w:left w:val="nil"/>
              <w:bottom w:val="nil"/>
              <w:right w:val="nil"/>
            </w:tcBorders>
            <w:shd w:val="clear" w:color="auto" w:fill="auto"/>
            <w:noWrap/>
            <w:vAlign w:val="bottom"/>
            <w:hideMark/>
          </w:tcPr>
          <w:p w14:paraId="5C4913BA" w14:textId="77777777" w:rsidR="00EF3E42" w:rsidRPr="00CA4C14" w:rsidRDefault="00EF3E42" w:rsidP="008F12D5">
            <w:pPr>
              <w:pStyle w:val="Tabletext"/>
              <w:keepNext/>
              <w:rPr>
                <w:lang w:val="ru-RU" w:eastAsia="en-GB"/>
              </w:rPr>
            </w:pPr>
            <w:r w:rsidRPr="00CA4C14">
              <w:rPr>
                <w:lang w:val="ru-RU" w:eastAsia="en-GB"/>
              </w:rPr>
              <w:t>1% увеличение ставки в рамках динамики медицинского обслуживания – влияние на стоимость услуг и процентные расходы</w:t>
            </w:r>
          </w:p>
        </w:tc>
        <w:tc>
          <w:tcPr>
            <w:tcW w:w="1084" w:type="pct"/>
            <w:tcBorders>
              <w:top w:val="nil"/>
              <w:left w:val="nil"/>
              <w:bottom w:val="nil"/>
              <w:right w:val="nil"/>
            </w:tcBorders>
            <w:shd w:val="clear" w:color="auto" w:fill="auto"/>
            <w:noWrap/>
            <w:vAlign w:val="bottom"/>
            <w:hideMark/>
          </w:tcPr>
          <w:p w14:paraId="7A869CF6" w14:textId="77777777" w:rsidR="00EF3E42" w:rsidRPr="00CA4C14" w:rsidRDefault="00EF3E42" w:rsidP="005F455B">
            <w:pPr>
              <w:pStyle w:val="Tabletext"/>
              <w:keepNext/>
              <w:jc w:val="right"/>
              <w:rPr>
                <w:lang w:val="ru-RU" w:eastAsia="en-GB"/>
              </w:rPr>
            </w:pPr>
            <w:r w:rsidRPr="00CA4C14">
              <w:rPr>
                <w:lang w:val="ru-RU" w:eastAsia="en-GB"/>
              </w:rPr>
              <w:t>6 908</w:t>
            </w:r>
          </w:p>
        </w:tc>
      </w:tr>
      <w:tr w:rsidR="00EF3E42" w:rsidRPr="00CA4C14" w14:paraId="3B80D073" w14:textId="77777777" w:rsidTr="00EF3E42">
        <w:trPr>
          <w:jc w:val="center"/>
        </w:trPr>
        <w:tc>
          <w:tcPr>
            <w:tcW w:w="3916" w:type="pct"/>
            <w:tcBorders>
              <w:top w:val="nil"/>
              <w:left w:val="nil"/>
              <w:bottom w:val="nil"/>
              <w:right w:val="nil"/>
            </w:tcBorders>
            <w:shd w:val="clear" w:color="auto" w:fill="auto"/>
            <w:noWrap/>
            <w:vAlign w:val="bottom"/>
            <w:hideMark/>
          </w:tcPr>
          <w:p w14:paraId="58A5FD58" w14:textId="77777777" w:rsidR="00EF3E42" w:rsidRPr="00CA4C14" w:rsidRDefault="00EF3E42" w:rsidP="005F455B">
            <w:pPr>
              <w:pStyle w:val="Tabletext"/>
              <w:keepNext/>
              <w:rPr>
                <w:lang w:val="ru-RU" w:eastAsia="en-GB"/>
              </w:rPr>
            </w:pPr>
            <w:r w:rsidRPr="00CA4C14">
              <w:rPr>
                <w:lang w:val="ru-RU" w:eastAsia="en-GB"/>
              </w:rPr>
              <w:t>1% снижение ставки в рамках динамики медицинского обслуживания – влияние на стоимость услуг и процентные расходы</w:t>
            </w:r>
          </w:p>
        </w:tc>
        <w:tc>
          <w:tcPr>
            <w:tcW w:w="1084" w:type="pct"/>
            <w:tcBorders>
              <w:top w:val="nil"/>
              <w:left w:val="nil"/>
              <w:bottom w:val="nil"/>
              <w:right w:val="nil"/>
            </w:tcBorders>
            <w:shd w:val="clear" w:color="auto" w:fill="auto"/>
            <w:noWrap/>
            <w:vAlign w:val="bottom"/>
            <w:hideMark/>
          </w:tcPr>
          <w:p w14:paraId="72F4FC52" w14:textId="77777777" w:rsidR="00EF3E42" w:rsidRPr="00CA4C14" w:rsidRDefault="00EF3E42" w:rsidP="005F455B">
            <w:pPr>
              <w:pStyle w:val="Tabletext"/>
              <w:keepNext/>
              <w:jc w:val="right"/>
              <w:rPr>
                <w:lang w:val="ru-RU" w:eastAsia="en-GB"/>
              </w:rPr>
            </w:pPr>
            <w:r w:rsidRPr="00CA4C14">
              <w:rPr>
                <w:lang w:val="ru-RU" w:eastAsia="en-GB"/>
              </w:rPr>
              <w:t>(5 050)</w:t>
            </w:r>
          </w:p>
        </w:tc>
      </w:tr>
      <w:tr w:rsidR="00EF3E42" w:rsidRPr="00CA4C14" w14:paraId="69711472" w14:textId="77777777" w:rsidTr="00EF3E42">
        <w:trPr>
          <w:jc w:val="center"/>
        </w:trPr>
        <w:tc>
          <w:tcPr>
            <w:tcW w:w="3916" w:type="pct"/>
            <w:tcBorders>
              <w:top w:val="nil"/>
              <w:left w:val="nil"/>
              <w:bottom w:val="nil"/>
              <w:right w:val="nil"/>
            </w:tcBorders>
            <w:shd w:val="clear" w:color="auto" w:fill="auto"/>
            <w:noWrap/>
            <w:vAlign w:val="bottom"/>
            <w:hideMark/>
          </w:tcPr>
          <w:p w14:paraId="57C98C97" w14:textId="77777777" w:rsidR="00EF3E42" w:rsidRPr="00CA4C14" w:rsidRDefault="00EF3E42" w:rsidP="00E83E20">
            <w:pPr>
              <w:pStyle w:val="Tabletext"/>
              <w:keepNext/>
              <w:spacing w:before="0" w:after="0"/>
              <w:rPr>
                <w:lang w:val="ru-RU" w:eastAsia="en-GB"/>
              </w:rPr>
            </w:pPr>
          </w:p>
        </w:tc>
        <w:tc>
          <w:tcPr>
            <w:tcW w:w="1084" w:type="pct"/>
            <w:tcBorders>
              <w:top w:val="nil"/>
              <w:left w:val="nil"/>
              <w:bottom w:val="nil"/>
              <w:right w:val="nil"/>
            </w:tcBorders>
            <w:shd w:val="clear" w:color="auto" w:fill="auto"/>
            <w:noWrap/>
            <w:vAlign w:val="bottom"/>
            <w:hideMark/>
          </w:tcPr>
          <w:p w14:paraId="6A235B43" w14:textId="77777777" w:rsidR="00EF3E42" w:rsidRPr="00CA4C14" w:rsidRDefault="00EF3E42" w:rsidP="00E83E20">
            <w:pPr>
              <w:pStyle w:val="Tabletext"/>
              <w:keepNext/>
              <w:spacing w:before="0" w:after="0"/>
              <w:jc w:val="right"/>
              <w:rPr>
                <w:rFonts w:ascii="Times New Roman" w:hAnsi="Times New Roman"/>
                <w:lang w:val="ru-RU" w:eastAsia="en-GB"/>
              </w:rPr>
            </w:pPr>
          </w:p>
        </w:tc>
      </w:tr>
      <w:tr w:rsidR="00EF3E42" w:rsidRPr="00CA4C14" w14:paraId="72A30586" w14:textId="77777777" w:rsidTr="00EF3E42">
        <w:trPr>
          <w:jc w:val="center"/>
        </w:trPr>
        <w:tc>
          <w:tcPr>
            <w:tcW w:w="3916" w:type="pct"/>
            <w:tcBorders>
              <w:top w:val="nil"/>
              <w:left w:val="nil"/>
              <w:bottom w:val="nil"/>
              <w:right w:val="nil"/>
            </w:tcBorders>
            <w:shd w:val="clear" w:color="auto" w:fill="auto"/>
            <w:noWrap/>
            <w:vAlign w:val="bottom"/>
            <w:hideMark/>
          </w:tcPr>
          <w:p w14:paraId="322A43F7" w14:textId="77777777" w:rsidR="00EF3E42" w:rsidRPr="00CA4C14" w:rsidRDefault="00EF3E42" w:rsidP="005F455B">
            <w:pPr>
              <w:pStyle w:val="Tabletext"/>
              <w:keepNext/>
              <w:rPr>
                <w:lang w:val="ru-RU" w:eastAsia="en-GB"/>
              </w:rPr>
            </w:pPr>
            <w:r w:rsidRPr="00CA4C14">
              <w:rPr>
                <w:lang w:val="ru-RU" w:eastAsia="en-GB"/>
              </w:rPr>
              <w:t xml:space="preserve">1% увеличение ставки в рамках динамики медицинского обслуживания – влияние на </w:t>
            </w:r>
            <w:r w:rsidRPr="00CA4C14">
              <w:rPr>
                <w:lang w:val="ru-RU"/>
              </w:rPr>
              <w:t>обязательства по установленным выплатам</w:t>
            </w:r>
          </w:p>
        </w:tc>
        <w:tc>
          <w:tcPr>
            <w:tcW w:w="1084" w:type="pct"/>
            <w:tcBorders>
              <w:top w:val="nil"/>
              <w:left w:val="nil"/>
              <w:bottom w:val="nil"/>
              <w:right w:val="nil"/>
            </w:tcBorders>
            <w:shd w:val="clear" w:color="auto" w:fill="auto"/>
            <w:noWrap/>
            <w:vAlign w:val="bottom"/>
            <w:hideMark/>
          </w:tcPr>
          <w:p w14:paraId="1A7E1973" w14:textId="77777777" w:rsidR="00EF3E42" w:rsidRPr="00CA4C14" w:rsidRDefault="00EF3E42" w:rsidP="005F455B">
            <w:pPr>
              <w:pStyle w:val="Tabletext"/>
              <w:keepNext/>
              <w:jc w:val="right"/>
              <w:rPr>
                <w:lang w:val="ru-RU" w:eastAsia="en-GB"/>
              </w:rPr>
            </w:pPr>
            <w:r w:rsidRPr="00CA4C14">
              <w:rPr>
                <w:lang w:val="ru-RU" w:eastAsia="en-GB"/>
              </w:rPr>
              <w:t>94 849</w:t>
            </w:r>
          </w:p>
        </w:tc>
      </w:tr>
      <w:tr w:rsidR="00EF3E42" w:rsidRPr="00CA4C14" w14:paraId="34564C43" w14:textId="77777777" w:rsidTr="00EF3E42">
        <w:trPr>
          <w:jc w:val="center"/>
        </w:trPr>
        <w:tc>
          <w:tcPr>
            <w:tcW w:w="3916" w:type="pct"/>
            <w:tcBorders>
              <w:top w:val="nil"/>
              <w:left w:val="nil"/>
              <w:bottom w:val="nil"/>
              <w:right w:val="nil"/>
            </w:tcBorders>
            <w:shd w:val="clear" w:color="auto" w:fill="auto"/>
            <w:noWrap/>
            <w:vAlign w:val="bottom"/>
            <w:hideMark/>
          </w:tcPr>
          <w:p w14:paraId="7317E115" w14:textId="77777777" w:rsidR="00EF3E42" w:rsidRPr="00CA4C14" w:rsidRDefault="00EF3E42" w:rsidP="007F0322">
            <w:pPr>
              <w:pStyle w:val="Tabletext"/>
              <w:rPr>
                <w:lang w:val="ru-RU" w:eastAsia="en-GB"/>
              </w:rPr>
            </w:pPr>
            <w:r w:rsidRPr="00CA4C14">
              <w:rPr>
                <w:lang w:val="ru-RU" w:eastAsia="en-GB"/>
              </w:rPr>
              <w:t xml:space="preserve">1% снижение ставки в рамках динамики медицинского обслуживания – влияние на </w:t>
            </w:r>
            <w:r w:rsidRPr="00CA4C14">
              <w:rPr>
                <w:lang w:val="ru-RU"/>
              </w:rPr>
              <w:t>обязательства по установленным выплатам</w:t>
            </w:r>
            <w:r w:rsidRPr="00CA4C14">
              <w:rPr>
                <w:lang w:val="ru-RU" w:eastAsia="en-GB"/>
              </w:rPr>
              <w:t xml:space="preserve"> </w:t>
            </w:r>
          </w:p>
        </w:tc>
        <w:tc>
          <w:tcPr>
            <w:tcW w:w="1084" w:type="pct"/>
            <w:tcBorders>
              <w:top w:val="nil"/>
              <w:left w:val="nil"/>
              <w:bottom w:val="nil"/>
              <w:right w:val="nil"/>
            </w:tcBorders>
            <w:shd w:val="clear" w:color="auto" w:fill="auto"/>
            <w:noWrap/>
            <w:vAlign w:val="bottom"/>
            <w:hideMark/>
          </w:tcPr>
          <w:p w14:paraId="7622E91F" w14:textId="77777777" w:rsidR="00EF3E42" w:rsidRPr="00CA4C14" w:rsidRDefault="00EF3E42" w:rsidP="007F0322">
            <w:pPr>
              <w:pStyle w:val="Tabletext"/>
              <w:jc w:val="right"/>
              <w:rPr>
                <w:lang w:val="ru-RU" w:eastAsia="en-GB"/>
              </w:rPr>
            </w:pPr>
            <w:r w:rsidRPr="00CA4C14">
              <w:rPr>
                <w:lang w:val="ru-RU" w:eastAsia="en-GB"/>
              </w:rPr>
              <w:t>(73 844)</w:t>
            </w:r>
          </w:p>
        </w:tc>
      </w:tr>
    </w:tbl>
    <w:p w14:paraId="6DB885DF" w14:textId="7054E384" w:rsidR="00EF3E42" w:rsidRPr="00CA4C14" w:rsidRDefault="00EF3E42" w:rsidP="006A7B99">
      <w:pPr>
        <w:rPr>
          <w:lang w:val="ru-RU"/>
        </w:rPr>
      </w:pPr>
      <w:r w:rsidRPr="00CA4C14">
        <w:rPr>
          <w:lang w:val="ru-RU"/>
        </w:rPr>
        <w:lastRenderedPageBreak/>
        <w:t xml:space="preserve">Ставки дисконтирования, использованные для данной оценки, были определены с помощью кривых доходности корпоративных облигаций </w:t>
      </w:r>
      <w:proofErr w:type="spellStart"/>
      <w:r w:rsidRPr="00CA4C14">
        <w:rPr>
          <w:lang w:val="ru-RU"/>
        </w:rPr>
        <w:t>Aon</w:t>
      </w:r>
      <w:proofErr w:type="spellEnd"/>
      <w:r w:rsidRPr="00CA4C14">
        <w:rPr>
          <w:lang w:val="ru-RU"/>
        </w:rPr>
        <w:t xml:space="preserve"> AA по состоянию на 31 декабря 2023 года. Если бы вместо этого использовалась кривая доходности государственных облигаций </w:t>
      </w:r>
      <w:proofErr w:type="spellStart"/>
      <w:r w:rsidRPr="00CA4C14">
        <w:rPr>
          <w:lang w:val="ru-RU"/>
        </w:rPr>
        <w:t>Aon</w:t>
      </w:r>
      <w:proofErr w:type="spellEnd"/>
      <w:r w:rsidRPr="00CA4C14">
        <w:rPr>
          <w:lang w:val="ru-RU"/>
        </w:rPr>
        <w:t xml:space="preserve"> Switzerland по состоянию на 31 декабря 2023 года, то ставка дисконтирования составила бы 0,50%. Снижение ставки дисконтирования на 140 </w:t>
      </w:r>
      <w:proofErr w:type="spellStart"/>
      <w:r w:rsidRPr="00CA4C14">
        <w:rPr>
          <w:lang w:val="ru-RU"/>
        </w:rPr>
        <w:t>б.п</w:t>
      </w:r>
      <w:proofErr w:type="spellEnd"/>
      <w:r w:rsidRPr="00CA4C14">
        <w:rPr>
          <w:lang w:val="ru-RU"/>
        </w:rPr>
        <w:t xml:space="preserve">. увеличило бы ДБО на 33%, что составляет около 124 </w:t>
      </w:r>
      <w:proofErr w:type="gramStart"/>
      <w:r w:rsidRPr="00CA4C14">
        <w:rPr>
          <w:lang w:val="ru-RU"/>
        </w:rPr>
        <w:t>млн.</w:t>
      </w:r>
      <w:proofErr w:type="gramEnd"/>
      <w:r w:rsidRPr="00CA4C14">
        <w:rPr>
          <w:lang w:val="ru-RU"/>
        </w:rPr>
        <w:t xml:space="preserve"> швейцарских франков.</w:t>
      </w:r>
    </w:p>
    <w:p w14:paraId="5AF4AC8D" w14:textId="77777777" w:rsidR="00EF3E42" w:rsidRPr="00CA4C14" w:rsidRDefault="00EF3E42" w:rsidP="00E83E20">
      <w:pPr>
        <w:pStyle w:val="Heading3"/>
        <w:rPr>
          <w:lang w:val="ru-RU"/>
        </w:rPr>
      </w:pPr>
      <w:bookmarkStart w:id="422" w:name="_Toc131156449"/>
      <w:bookmarkStart w:id="423" w:name="_Toc417759981"/>
      <w:bookmarkStart w:id="424" w:name="_Toc164845565"/>
      <w:bookmarkStart w:id="425" w:name="_Toc168578479"/>
      <w:bookmarkStart w:id="426" w:name="_Toc168578841"/>
      <w:r w:rsidRPr="00CA4C14">
        <w:rPr>
          <w:lang w:val="ru-RU"/>
        </w:rPr>
        <w:t>17.2</w:t>
      </w:r>
      <w:r w:rsidRPr="00CA4C14">
        <w:rPr>
          <w:lang w:val="ru-RU"/>
        </w:rPr>
        <w:tab/>
      </w:r>
      <w:bookmarkEnd w:id="422"/>
      <w:bookmarkEnd w:id="423"/>
      <w:bookmarkEnd w:id="424"/>
      <w:r w:rsidRPr="00CA4C14">
        <w:rPr>
          <w:lang w:val="ru-RU"/>
        </w:rPr>
        <w:t>Субсидия на репатриацию</w:t>
      </w:r>
      <w:bookmarkEnd w:id="425"/>
      <w:bookmarkEnd w:id="426"/>
    </w:p>
    <w:p w14:paraId="778C96D4" w14:textId="77777777" w:rsidR="00EF3E42" w:rsidRPr="00CA4C14" w:rsidRDefault="00EF3E42" w:rsidP="00E83E20">
      <w:pPr>
        <w:pStyle w:val="Headingi"/>
        <w:rPr>
          <w:lang w:val="ru-RU"/>
        </w:rPr>
      </w:pPr>
      <w:r w:rsidRPr="00CA4C14">
        <w:rPr>
          <w:lang w:val="ru-RU"/>
        </w:rPr>
        <w:t>17.2.1</w:t>
      </w:r>
      <w:r w:rsidRPr="00CA4C14">
        <w:rPr>
          <w:lang w:val="ru-RU"/>
        </w:rPr>
        <w:tab/>
        <w:t>Определение</w:t>
      </w:r>
    </w:p>
    <w:p w14:paraId="67833BA6" w14:textId="77777777" w:rsidR="00EF3E42" w:rsidRPr="00CA4C14" w:rsidRDefault="00EF3E42" w:rsidP="00E83E20">
      <w:pPr>
        <w:rPr>
          <w:lang w:val="ru-RU"/>
        </w:rPr>
      </w:pPr>
      <w:r w:rsidRPr="00CA4C14">
        <w:rPr>
          <w:lang w:val="ru-RU"/>
        </w:rPr>
        <w:t>В принципе сотрудникам, проработавшим не менее пяти лет, и которых Союз обязался возвратить на родину, должна выплачиваться субсидия на репатриацию. В расходы включены накопленный отпуск, транспортные расходы на возвращение и переезд.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w:t>
      </w:r>
    </w:p>
    <w:p w14:paraId="30943A3B" w14:textId="77777777" w:rsidR="00EF3E42" w:rsidRPr="00CA4C14" w:rsidRDefault="00EF3E42" w:rsidP="00E83E20">
      <w:pPr>
        <w:rPr>
          <w:lang w:val="ru-RU"/>
        </w:rPr>
      </w:pPr>
      <w:r w:rsidRPr="00CA4C14">
        <w:rPr>
          <w:lang w:val="ru-RU"/>
        </w:rPr>
        <w:t xml:space="preserve">При расчете общей суммы обязательств на 31 декабря 2023 года учитывались продолжительность службы, валовые оклады </w:t>
      </w:r>
      <w:r w:rsidRPr="00CA4C14">
        <w:rPr>
          <w:rFonts w:ascii="Segoe UI" w:hAnsi="Segoe UI" w:cs="Segoe UI"/>
          <w:color w:val="000000"/>
          <w:sz w:val="20"/>
          <w:shd w:val="clear" w:color="auto" w:fill="FFFFFF"/>
          <w:lang w:val="ru-RU"/>
        </w:rPr>
        <w:t xml:space="preserve">за вычетом налога на персонал (включая </w:t>
      </w:r>
      <w:r w:rsidRPr="00CA4C14">
        <w:rPr>
          <w:lang w:val="ru-RU"/>
        </w:rPr>
        <w:t>любые надбавки за знание языков и надбавку для нерезидентов, если таковая применяется в случае сотрудников категории общего обслуживания). Использовавшиеся экономические допущения относятся к ставке дисконтирования в размере 1,9 процента (по сравнению с 2,5 процента в 2022 г.) и темпам роста окладов в размере 3,1 процента (по сравнению с 3,0 процента в 2022 г.). Для оценки 2023 года допущения для актуарного исследования субсидий на репатриацию были приведены в соответствие с допущениями АСХИ.</w:t>
      </w:r>
    </w:p>
    <w:p w14:paraId="418AA4A1" w14:textId="77777777" w:rsidR="00EF3E42" w:rsidRPr="00CA4C14" w:rsidRDefault="00EF3E42" w:rsidP="0076715D">
      <w:pPr>
        <w:pStyle w:val="Headingi"/>
        <w:jc w:val="both"/>
        <w:outlineLvl w:val="9"/>
        <w:rPr>
          <w:lang w:val="ru-RU"/>
        </w:rPr>
      </w:pPr>
      <w:bookmarkStart w:id="427" w:name="_Toc305764097"/>
      <w:r w:rsidRPr="00CA4C14">
        <w:rPr>
          <w:lang w:val="ru-RU"/>
        </w:rPr>
        <w:t>17.2.2</w:t>
      </w:r>
      <w:r w:rsidRPr="00CA4C14">
        <w:rPr>
          <w:lang w:val="ru-RU"/>
        </w:rPr>
        <w:tab/>
      </w:r>
      <w:bookmarkStart w:id="428" w:name="_Toc329002796"/>
      <w:bookmarkStart w:id="429" w:name="_Toc482810342"/>
      <w:bookmarkStart w:id="430" w:name="_Toc511401579"/>
      <w:bookmarkStart w:id="431" w:name="_Toc511401702"/>
      <w:bookmarkStart w:id="432" w:name="_Toc10540815"/>
      <w:bookmarkEnd w:id="427"/>
      <w:r w:rsidRPr="00CA4C14">
        <w:rPr>
          <w:lang w:val="ru-RU"/>
        </w:rPr>
        <w:t>Выплата субсидии на репатриацию</w:t>
      </w:r>
      <w:bookmarkEnd w:id="428"/>
      <w:bookmarkEnd w:id="429"/>
      <w:bookmarkEnd w:id="430"/>
      <w:bookmarkEnd w:id="431"/>
      <w:bookmarkEnd w:id="432"/>
    </w:p>
    <w:p w14:paraId="7EDA7AFE" w14:textId="77777777" w:rsidR="00EF3E42" w:rsidRPr="00CA4C14" w:rsidRDefault="00EF3E42" w:rsidP="006A7B99">
      <w:pPr>
        <w:rPr>
          <w:lang w:val="ru-RU"/>
        </w:rPr>
      </w:pPr>
      <w:r w:rsidRPr="00CA4C14">
        <w:rPr>
          <w:lang w:val="ru-RU"/>
        </w:rPr>
        <w:t>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2023 года обязательства по субсидии на репатриацию сотрудников составили 12,0 </w:t>
      </w:r>
      <w:proofErr w:type="gramStart"/>
      <w:r w:rsidRPr="00CA4C14">
        <w:rPr>
          <w:lang w:val="ru-RU"/>
        </w:rPr>
        <w:t>млн.</w:t>
      </w:r>
      <w:proofErr w:type="gramEnd"/>
      <w:r w:rsidRPr="00CA4C14">
        <w:rPr>
          <w:lang w:val="ru-RU"/>
        </w:rPr>
        <w:t xml:space="preserve"> швейцарских франков по сравнению с 12,4 млн. швейцарских франков в 2022 году. Этот резервный фонд пополняется за счет удержания одного процента (1%) от вознаграждения сотрудников, которые не относятся к числу сотрудников, нанятых для работы на конференциях и в течение других краткосрочных периодов.</w:t>
      </w:r>
    </w:p>
    <w:p w14:paraId="1EAD5F8E" w14:textId="77777777" w:rsidR="00EF3E42" w:rsidRPr="00CA4C14" w:rsidRDefault="00EF3E42" w:rsidP="009D0EDE">
      <w:pPr>
        <w:rPr>
          <w:lang w:val="ru-RU"/>
        </w:rPr>
      </w:pPr>
      <w:r w:rsidRPr="00CA4C14">
        <w:rPr>
          <w:lang w:val="ru-RU"/>
        </w:rPr>
        <w:t>Обязательства по прочим долгосрочным выплатам представляют собой текущую стоимость обязательств по установленным выплатам на отчетную дату. Обязательства рассчитываются независимым актуарием с использованием метода прогнозируемой условной единицы. Процентные расходы, расходы на текущее обслуживание, а также актуарные прибыли или потери, возникающие в результате изменений актуарных допущений или корректировок, сделанных на основе статистики, отражаются в отчете о результатах финансовой деятельности.</w:t>
      </w:r>
    </w:p>
    <w:p w14:paraId="7C379908" w14:textId="77777777" w:rsidR="00EF3E42" w:rsidRPr="00CA4C14" w:rsidRDefault="00EF3E42" w:rsidP="009D0EDE">
      <w:pPr>
        <w:rPr>
          <w:lang w:val="ru-RU"/>
        </w:rPr>
      </w:pPr>
      <w:bookmarkStart w:id="433" w:name="_Toc131156450"/>
      <w:bookmarkStart w:id="434" w:name="_Toc1642088404"/>
      <w:bookmarkStart w:id="435" w:name="_Toc164845566"/>
      <w:r w:rsidRPr="00CA4C14">
        <w:rPr>
          <w:lang w:val="ru-RU"/>
        </w:rPr>
        <w:t xml:space="preserve">Актуарная оценка в соответствии со стандартами IPSAS проводится ежегодно независимой консультационной компанией. </w:t>
      </w:r>
    </w:p>
    <w:p w14:paraId="7BF6CEEC" w14:textId="77777777" w:rsidR="00EF3E42" w:rsidRPr="00CA4C14" w:rsidRDefault="00EF3E42" w:rsidP="00EF3E42">
      <w:pPr>
        <w:pStyle w:val="Heading3"/>
        <w:ind w:left="794" w:hanging="794"/>
        <w:rPr>
          <w:lang w:val="ru-RU"/>
        </w:rPr>
      </w:pPr>
      <w:bookmarkStart w:id="436" w:name="_Toc168578480"/>
      <w:bookmarkStart w:id="437" w:name="_Toc168578842"/>
      <w:r w:rsidRPr="00CA4C14">
        <w:rPr>
          <w:lang w:val="ru-RU"/>
        </w:rPr>
        <w:t>17.3</w:t>
      </w:r>
      <w:r w:rsidRPr="00CA4C14">
        <w:rPr>
          <w:lang w:val="ru-RU"/>
        </w:rPr>
        <w:tab/>
      </w:r>
      <w:bookmarkEnd w:id="433"/>
      <w:bookmarkEnd w:id="434"/>
      <w:bookmarkEnd w:id="435"/>
      <w:r w:rsidRPr="00CA4C14">
        <w:rPr>
          <w:lang w:val="ru-RU"/>
        </w:rPr>
        <w:t>Пособия сотрудникам в рамках пенсионной программы для персонала Организации Объединенных Наций</w:t>
      </w:r>
      <w:bookmarkEnd w:id="436"/>
      <w:bookmarkEnd w:id="437"/>
    </w:p>
    <w:p w14:paraId="466D403A" w14:textId="77777777" w:rsidR="00EF3E42" w:rsidRPr="00CA4C14" w:rsidRDefault="00EF3E42" w:rsidP="00B7602A">
      <w:pPr>
        <w:rPr>
          <w:lang w:val="ru-RU"/>
        </w:rPr>
      </w:pPr>
      <w:r w:rsidRPr="00CA4C14">
        <w:rPr>
          <w:lang w:val="ru-RU"/>
        </w:rPr>
        <w:t xml:space="preserve">МСЭ является организацией-членом, участвующей в Объединенном пенсионном фонде персонала Организации Объединенных Наций ("Фонд"),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w:t>
      </w:r>
      <w:r w:rsidRPr="00CA4C14">
        <w:rPr>
          <w:lang w:val="ru-RU"/>
        </w:rPr>
        <w:lastRenderedPageBreak/>
        <w:t>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14:paraId="6845BAB9" w14:textId="77777777" w:rsidR="00EF3E42" w:rsidRPr="00CA4C14" w:rsidRDefault="00EF3E42" w:rsidP="00B7602A">
      <w:pPr>
        <w:rPr>
          <w:lang w:val="ru-RU"/>
        </w:rPr>
      </w:pPr>
      <w:r w:rsidRPr="00CA4C14">
        <w:rPr>
          <w:lang w:val="ru-RU"/>
        </w:rPr>
        <w:t xml:space="preserve">Согласно принципам этого Фонда, участвующие организации несут актуарные риски, связанные с действующими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Фонде организациями. МСЭ и Фонд, наряду с другими участвующими в Фонде организациями, не в состоянии определить долю МСЭ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МСЭ учитывает этот план как план с фиксированным взносом в соответствии с требованиями стандарта IPSAS 39 </w:t>
      </w:r>
      <w:r w:rsidRPr="00CA4C14">
        <w:rPr>
          <w:color w:val="000000"/>
          <w:lang w:val="ru-RU"/>
        </w:rPr>
        <w:t>"Вознаграждение сотрудников"</w:t>
      </w:r>
      <w:r w:rsidRPr="00CA4C14">
        <w:rPr>
          <w:lang w:val="ru-RU"/>
        </w:rPr>
        <w:t>. Взносы МСЭ в Фонд в течение финансового периода учитываются как расходы в отчете о результатах финансовой деятельности.</w:t>
      </w:r>
    </w:p>
    <w:p w14:paraId="56193A40" w14:textId="77777777" w:rsidR="00EF3E42" w:rsidRPr="00CA4C14" w:rsidRDefault="00EF3E42" w:rsidP="00B7602A">
      <w:pPr>
        <w:rPr>
          <w:lang w:val="ru-RU"/>
        </w:rPr>
      </w:pPr>
      <w:r w:rsidRPr="00CA4C14">
        <w:rPr>
          <w:lang w:val="ru-RU" w:eastAsia="zh-CN"/>
        </w:rPr>
        <w:t>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Главная цель актуарной оценки заключается в том, чтобы определить, достаточно ли текущих и прогнозируемых будущих активов Фонда для покрытия его обязательств.</w:t>
      </w:r>
    </w:p>
    <w:p w14:paraId="20DC8A6F" w14:textId="77777777" w:rsidR="00EF3E42" w:rsidRPr="00CA4C14" w:rsidRDefault="00EF3E42" w:rsidP="00B7602A">
      <w:pPr>
        <w:rPr>
          <w:lang w:val="ru-RU"/>
        </w:rPr>
      </w:pPr>
      <w:r w:rsidRPr="00CA4C14">
        <w:rPr>
          <w:szCs w:val="24"/>
          <w:lang w:val="ru-RU"/>
        </w:rPr>
        <w:t xml:space="preserve">Финансовые обязательства МСЭ перед Фондом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для участников и 15,8% для организаций-членов), </w:t>
      </w:r>
      <w:r w:rsidRPr="00CA4C14">
        <w:rPr>
          <w:lang w:val="ru-RU"/>
        </w:rPr>
        <w:t>а 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14:paraId="47B78E5A" w14:textId="43008BFB" w:rsidR="00EF3E42" w:rsidRPr="00CA4C14" w:rsidRDefault="00EF3E42" w:rsidP="00B7602A">
      <w:pPr>
        <w:rPr>
          <w:lang w:val="ru-RU"/>
        </w:rPr>
      </w:pPr>
      <w:r w:rsidRPr="00CA4C14">
        <w:rPr>
          <w:lang w:val="ru-RU"/>
        </w:rPr>
        <w:t>Последняя актуарная оценка Фонда была проведена по состоянию на 31 декабря 2021 года, а</w:t>
      </w:r>
      <w:r w:rsidR="0090797F" w:rsidRPr="00CA4C14">
        <w:rPr>
          <w:lang w:val="ru-RU"/>
        </w:rPr>
        <w:t> </w:t>
      </w:r>
      <w:r w:rsidRPr="00CA4C14">
        <w:rPr>
          <w:lang w:val="ru-RU"/>
        </w:rPr>
        <w:t>оценка по состоянию на 31 декабря 2023 года находится в стадии выполнения. Для составления финансовой отчетности за 2022 год Фонд использовал перенос данных об участии по состоянию на 31 декабря 2021 года на 31 декабря 2022 года.</w:t>
      </w:r>
    </w:p>
    <w:p w14:paraId="67DCFE37" w14:textId="77777777" w:rsidR="00EF3E42" w:rsidRPr="00CA4C14" w:rsidRDefault="00EF3E42" w:rsidP="00B7602A">
      <w:pPr>
        <w:rPr>
          <w:lang w:val="ru-RU"/>
        </w:rPr>
      </w:pPr>
      <w:r w:rsidRPr="00CA4C14">
        <w:rPr>
          <w:lang w:val="ru-RU"/>
        </w:rPr>
        <w:t xml:space="preserve">В результате актуарной оценки по состоянию на 31 декабря 2021 года </w:t>
      </w:r>
      <w:r w:rsidRPr="00CA4C14">
        <w:rPr>
          <w:color w:val="000000"/>
          <w:lang w:val="ru-RU"/>
        </w:rPr>
        <w:t>коэффициент покрытия, т. е. соотношение актуарных активов и актуарных обязательств, составил 117,0%</w:t>
      </w:r>
      <w:r w:rsidRPr="00CA4C14">
        <w:rPr>
          <w:lang w:val="ru-RU"/>
        </w:rPr>
        <w:t>. Без учета действующей системы пенсионных корректировок этот коэффициент покрытия составил 158,2%.</w:t>
      </w:r>
    </w:p>
    <w:p w14:paraId="241176EC" w14:textId="77777777" w:rsidR="00EF3E42" w:rsidRPr="00CA4C14" w:rsidRDefault="00EF3E42" w:rsidP="00B7602A">
      <w:pPr>
        <w:rPr>
          <w:lang w:val="ru-RU"/>
        </w:rPr>
      </w:pPr>
      <w:r w:rsidRPr="00CA4C14">
        <w:rPr>
          <w:lang w:val="ru-RU"/>
        </w:rPr>
        <w:t>После оценки актуарной достаточности средств Фонда актуарий-консультант пришел к выводу о том, что по состоянию на 31 декабря 2021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14:paraId="4D0C07A3" w14:textId="7E79C75E" w:rsidR="00EF3E42" w:rsidRPr="00CA4C14" w:rsidRDefault="00EF3E42" w:rsidP="00B7602A">
      <w:pPr>
        <w:rPr>
          <w:lang w:val="ru-RU"/>
        </w:rPr>
      </w:pPr>
      <w:r w:rsidRPr="00CA4C14">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Pr="00CA4C14">
        <w:rPr>
          <w:color w:val="000000"/>
          <w:lang w:val="ru-RU"/>
        </w:rPr>
        <w:t>Фонда</w:t>
      </w:r>
      <w:r w:rsidRPr="00CA4C14">
        <w:rPr>
          <w:lang w:val="ru-RU"/>
        </w:rPr>
        <w:t xml:space="preserve">, выплаты для покрытия дефицита, требуемые от каждой организации-члена, будут </w:t>
      </w:r>
      <w:r w:rsidRPr="00CA4C14">
        <w:rPr>
          <w:lang w:val="ru-RU"/>
        </w:rPr>
        <w:lastRenderedPageBreak/>
        <w:t xml:space="preserve">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Pr="00CA4C14">
        <w:rPr>
          <w:color w:val="000000"/>
          <w:lang w:val="ru-RU"/>
        </w:rPr>
        <w:t>Фонд</w:t>
      </w:r>
      <w:r w:rsidRPr="00CA4C14">
        <w:rPr>
          <w:lang w:val="ru-RU"/>
        </w:rPr>
        <w:t xml:space="preserve"> в течение трех предшествующих лет (2020 г., 2021 г. и 2022 г.) составила 8937,68 </w:t>
      </w:r>
      <w:proofErr w:type="gramStart"/>
      <w:r w:rsidRPr="00CA4C14">
        <w:rPr>
          <w:lang w:val="ru-RU"/>
        </w:rPr>
        <w:t>млн.</w:t>
      </w:r>
      <w:proofErr w:type="gramEnd"/>
      <w:r w:rsidR="00FE0DEB" w:rsidRPr="00CA4C14">
        <w:rPr>
          <w:lang w:val="ru-RU"/>
        </w:rPr>
        <w:t> </w:t>
      </w:r>
      <w:r w:rsidRPr="00CA4C14">
        <w:rPr>
          <w:lang w:val="ru-RU"/>
        </w:rPr>
        <w:t>долларов США, из которых 0,98% было внесено МСЭ.</w:t>
      </w:r>
    </w:p>
    <w:p w14:paraId="618DD221" w14:textId="3A177187" w:rsidR="00EF3E42" w:rsidRPr="00CA4C14" w:rsidRDefault="00EF3E42" w:rsidP="001C2850">
      <w:pPr>
        <w:rPr>
          <w:lang w:val="ru-RU"/>
        </w:rPr>
      </w:pPr>
      <w:r w:rsidRPr="00CA4C14">
        <w:rPr>
          <w:lang w:val="ru-RU"/>
        </w:rPr>
        <w:t xml:space="preserve">В течение 2023 года взносы в </w:t>
      </w:r>
      <w:r w:rsidRPr="00CA4C14">
        <w:rPr>
          <w:color w:val="000000"/>
          <w:lang w:val="ru-RU"/>
        </w:rPr>
        <w:t>Фонд</w:t>
      </w:r>
      <w:r w:rsidRPr="00CA4C14">
        <w:rPr>
          <w:lang w:val="ru-RU"/>
        </w:rPr>
        <w:t xml:space="preserve"> составили 27,2 </w:t>
      </w:r>
      <w:proofErr w:type="gramStart"/>
      <w:r w:rsidRPr="00CA4C14">
        <w:rPr>
          <w:lang w:val="ru-RU"/>
        </w:rPr>
        <w:t>млн.</w:t>
      </w:r>
      <w:proofErr w:type="gramEnd"/>
      <w:r w:rsidRPr="00CA4C14">
        <w:rPr>
          <w:lang w:val="ru-RU"/>
        </w:rPr>
        <w:t xml:space="preserve"> швейцарских франков (27,7 млн.</w:t>
      </w:r>
      <w:r w:rsidR="00FE0DEB" w:rsidRPr="00CA4C14">
        <w:rPr>
          <w:lang w:val="ru-RU"/>
        </w:rPr>
        <w:t> </w:t>
      </w:r>
      <w:r w:rsidRPr="00CA4C14">
        <w:rPr>
          <w:lang w:val="ru-RU"/>
        </w:rPr>
        <w:t>шв.</w:t>
      </w:r>
      <w:r w:rsidR="00FE0DEB" w:rsidRPr="00CA4C14">
        <w:rPr>
          <w:lang w:val="ru-RU"/>
        </w:rPr>
        <w:t> </w:t>
      </w:r>
      <w:r w:rsidRPr="00CA4C14">
        <w:rPr>
          <w:lang w:val="ru-RU"/>
        </w:rPr>
        <w:t>фр. в 2022 г.) (30,25 млн. долл. США в 2023 г. и 29,04 млн. долл. США в 2022 г.). Сумма ожидаемых причитающихся взносов в 2024 году составляет примерно 26,7 </w:t>
      </w:r>
      <w:proofErr w:type="gramStart"/>
      <w:r w:rsidRPr="00CA4C14">
        <w:rPr>
          <w:lang w:val="ru-RU"/>
        </w:rPr>
        <w:t>млн.</w:t>
      </w:r>
      <w:proofErr w:type="gramEnd"/>
      <w:r w:rsidRPr="00CA4C14">
        <w:rPr>
          <w:lang w:val="ru-RU"/>
        </w:rPr>
        <w:t> швейцарских франков (30,8 млн. долл. США).</w:t>
      </w:r>
    </w:p>
    <w:p w14:paraId="18C314A2" w14:textId="03A933B2" w:rsidR="00EF3E42" w:rsidRPr="00CA4C14" w:rsidRDefault="00EF3E42" w:rsidP="001C2850">
      <w:pPr>
        <w:rPr>
          <w:lang w:val="ru-RU"/>
        </w:rPr>
      </w:pPr>
      <w:r w:rsidRPr="00CA4C14">
        <w:rPr>
          <w:lang w:val="ru-RU"/>
        </w:rPr>
        <w:t>Членство в Фонде может быть прекращено по решению Генеральной Ассамблеи Организации Объединенных Наций на основании положительной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w:t>
      </w:r>
    </w:p>
    <w:p w14:paraId="0EFB39C3" w14:textId="77777777" w:rsidR="00EF3E42" w:rsidRPr="00CA4C14" w:rsidRDefault="00EF3E42" w:rsidP="001C2850">
      <w:pPr>
        <w:spacing w:after="120"/>
        <w:rPr>
          <w:lang w:val="ru-RU"/>
        </w:rPr>
      </w:pPr>
      <w:r w:rsidRPr="00CA4C14">
        <w:rPr>
          <w:lang w:val="ru-RU"/>
        </w:rPr>
        <w:t xml:space="preserve">Комиссия ревизоров Организации Объединенных Наций ежегодно проводит ревизию Фонда и ежегодно представляет свои доклады о ревизии Правлению Фонда и Генеральной Ассамблее Организации Объединенных Наций. Фонд публикует квартальные доклады о своих инвестициях, с которыми можно ознакомиться на веб-сайте Фонда по адресу: </w:t>
      </w:r>
      <w:hyperlink r:id="rId30" w:history="1">
        <w:r w:rsidRPr="00CA4C14">
          <w:rPr>
            <w:rStyle w:val="Hyperlink"/>
            <w:lang w:val="ru-RU"/>
          </w:rPr>
          <w:t>www.unjspf.org</w:t>
        </w:r>
      </w:hyperlink>
      <w:r w:rsidRPr="00CA4C14">
        <w:rPr>
          <w:lang w:val="ru-RU"/>
        </w:rPr>
        <w:t>.</w:t>
      </w:r>
    </w:p>
    <w:p w14:paraId="56E39613" w14:textId="0706E82A" w:rsidR="00EF3E42" w:rsidRPr="00CA4C14" w:rsidRDefault="00EF3E42" w:rsidP="001C2850">
      <w:pPr>
        <w:pStyle w:val="Tabletitle"/>
        <w:keepLines/>
        <w:spacing w:before="360"/>
        <w:rPr>
          <w:lang w:val="ru-RU"/>
        </w:rPr>
      </w:pPr>
      <w:r w:rsidRPr="00CA4C14">
        <w:rPr>
          <w:lang w:val="ru-RU"/>
        </w:rPr>
        <w:t xml:space="preserve">Сводная таблица взносов, выплаченных в Фонд </w:t>
      </w:r>
      <w:r w:rsidR="0090797F" w:rsidRPr="00CA4C14">
        <w:rPr>
          <w:lang w:val="ru-RU"/>
        </w:rPr>
        <w:br/>
      </w:r>
      <w:r w:rsidRPr="00CA4C14">
        <w:rPr>
          <w:lang w:val="ru-RU"/>
        </w:rPr>
        <w:t>за период с 1 января по 31 декабря</w:t>
      </w:r>
      <w:r w:rsidRPr="00CA4C14">
        <w:rPr>
          <w:color w:val="000000"/>
          <w:lang w:val="ru-RU"/>
        </w:rPr>
        <w:t xml:space="preserve"> 2023 года</w:t>
      </w:r>
    </w:p>
    <w:tbl>
      <w:tblPr>
        <w:tblW w:w="5000" w:type="pct"/>
        <w:jc w:val="center"/>
        <w:tblLayout w:type="fixed"/>
        <w:tblLook w:val="04A0" w:firstRow="1" w:lastRow="0" w:firstColumn="1" w:lastColumn="0" w:noHBand="0" w:noVBand="1"/>
      </w:tblPr>
      <w:tblGrid>
        <w:gridCol w:w="2409"/>
        <w:gridCol w:w="1428"/>
        <w:gridCol w:w="2400"/>
        <w:gridCol w:w="1560"/>
        <w:gridCol w:w="1274"/>
      </w:tblGrid>
      <w:tr w:rsidR="00EF3E42" w:rsidRPr="00CA4C14" w14:paraId="499EBC15" w14:textId="77777777" w:rsidTr="0090797F">
        <w:trPr>
          <w:jc w:val="center"/>
        </w:trPr>
        <w:tc>
          <w:tcPr>
            <w:tcW w:w="1328" w:type="pct"/>
            <w:tcBorders>
              <w:top w:val="nil"/>
              <w:left w:val="nil"/>
              <w:bottom w:val="nil"/>
              <w:right w:val="nil"/>
            </w:tcBorders>
            <w:shd w:val="clear" w:color="000000" w:fill="0070C0"/>
            <w:vAlign w:val="center"/>
            <w:hideMark/>
          </w:tcPr>
          <w:p w14:paraId="7401457E" w14:textId="77777777" w:rsidR="00EF3E42" w:rsidRPr="00CA4C14" w:rsidRDefault="00EF3E42" w:rsidP="001C2850">
            <w:pPr>
              <w:pStyle w:val="Tablehead"/>
              <w:rPr>
                <w:lang w:val="ru-RU" w:eastAsia="en-GB"/>
              </w:rPr>
            </w:pPr>
            <w:r w:rsidRPr="00CA4C14">
              <w:rPr>
                <w:lang w:val="ru-RU" w:eastAsia="en-GB"/>
              </w:rPr>
              <w:t>Описание (тыс. шв. фр.)</w:t>
            </w:r>
          </w:p>
        </w:tc>
        <w:tc>
          <w:tcPr>
            <w:tcW w:w="787" w:type="pct"/>
            <w:tcBorders>
              <w:top w:val="nil"/>
              <w:left w:val="nil"/>
              <w:bottom w:val="nil"/>
              <w:right w:val="nil"/>
            </w:tcBorders>
            <w:shd w:val="clear" w:color="000000" w:fill="0070C0"/>
            <w:vAlign w:val="center"/>
            <w:hideMark/>
          </w:tcPr>
          <w:p w14:paraId="6FD3F6DF" w14:textId="77777777" w:rsidR="00EF3E42" w:rsidRPr="00CA4C14" w:rsidRDefault="00EF3E42" w:rsidP="001C2850">
            <w:pPr>
              <w:pStyle w:val="Tablehead"/>
              <w:rPr>
                <w:lang w:val="ru-RU" w:eastAsia="en-GB"/>
              </w:rPr>
            </w:pPr>
            <w:r w:rsidRPr="00CA4C14">
              <w:rPr>
                <w:szCs w:val="18"/>
                <w:lang w:val="ru-RU"/>
              </w:rPr>
              <w:t xml:space="preserve">Обычные </w:t>
            </w:r>
            <w:r w:rsidRPr="00CA4C14">
              <w:rPr>
                <w:szCs w:val="18"/>
                <w:lang w:val="ru-RU"/>
              </w:rPr>
              <w:br/>
              <w:t>взносы</w:t>
            </w:r>
          </w:p>
        </w:tc>
        <w:tc>
          <w:tcPr>
            <w:tcW w:w="1323" w:type="pct"/>
            <w:tcBorders>
              <w:top w:val="nil"/>
              <w:left w:val="nil"/>
              <w:bottom w:val="nil"/>
              <w:right w:val="nil"/>
            </w:tcBorders>
            <w:shd w:val="clear" w:color="000000" w:fill="0070C0"/>
            <w:vAlign w:val="center"/>
            <w:hideMark/>
          </w:tcPr>
          <w:p w14:paraId="31B2ABD8" w14:textId="77777777" w:rsidR="00EF3E42" w:rsidRPr="00CA4C14" w:rsidRDefault="00EF3E42" w:rsidP="001C2850">
            <w:pPr>
              <w:pStyle w:val="Tablehead"/>
              <w:rPr>
                <w:lang w:val="ru-RU" w:eastAsia="en-GB"/>
              </w:rPr>
            </w:pPr>
            <w:r w:rsidRPr="00CA4C14">
              <w:rPr>
                <w:szCs w:val="18"/>
                <w:lang w:val="ru-RU"/>
              </w:rPr>
              <w:t>Взносы на подтверждение службы/восстановление</w:t>
            </w:r>
          </w:p>
        </w:tc>
        <w:tc>
          <w:tcPr>
            <w:tcW w:w="860" w:type="pct"/>
            <w:tcBorders>
              <w:top w:val="nil"/>
              <w:left w:val="nil"/>
              <w:bottom w:val="nil"/>
              <w:right w:val="nil"/>
            </w:tcBorders>
            <w:shd w:val="clear" w:color="000000" w:fill="0070C0"/>
            <w:vAlign w:val="center"/>
            <w:hideMark/>
          </w:tcPr>
          <w:p w14:paraId="2E77476D" w14:textId="77777777" w:rsidR="00EF3E42" w:rsidRPr="00CA4C14" w:rsidRDefault="00EF3E42" w:rsidP="001C2850">
            <w:pPr>
              <w:pStyle w:val="Tablehead"/>
              <w:rPr>
                <w:lang w:val="ru-RU" w:eastAsia="en-GB"/>
              </w:rPr>
            </w:pPr>
            <w:r w:rsidRPr="00CA4C14">
              <w:rPr>
                <w:szCs w:val="18"/>
                <w:lang w:val="ru-RU"/>
              </w:rPr>
              <w:t>Добровольные взносы</w:t>
            </w:r>
          </w:p>
        </w:tc>
        <w:tc>
          <w:tcPr>
            <w:tcW w:w="702" w:type="pct"/>
            <w:tcBorders>
              <w:top w:val="nil"/>
              <w:left w:val="nil"/>
              <w:bottom w:val="nil"/>
              <w:right w:val="nil"/>
            </w:tcBorders>
            <w:shd w:val="clear" w:color="000000" w:fill="0070C0"/>
            <w:vAlign w:val="center"/>
            <w:hideMark/>
          </w:tcPr>
          <w:p w14:paraId="30FBDECA" w14:textId="77777777" w:rsidR="00EF3E42" w:rsidRPr="00CA4C14" w:rsidRDefault="00EF3E42" w:rsidP="001C2850">
            <w:pPr>
              <w:pStyle w:val="Tablehead"/>
              <w:rPr>
                <w:lang w:val="ru-RU" w:eastAsia="en-GB"/>
              </w:rPr>
            </w:pPr>
            <w:r w:rsidRPr="00CA4C14">
              <w:rPr>
                <w:szCs w:val="18"/>
                <w:lang w:val="ru-RU"/>
              </w:rPr>
              <w:t>Всего</w:t>
            </w:r>
          </w:p>
        </w:tc>
      </w:tr>
      <w:tr w:rsidR="00EF3E42" w:rsidRPr="00CA4C14" w14:paraId="174EE7D7" w14:textId="77777777" w:rsidTr="0090797F">
        <w:trPr>
          <w:jc w:val="center"/>
        </w:trPr>
        <w:tc>
          <w:tcPr>
            <w:tcW w:w="1328" w:type="pct"/>
            <w:tcBorders>
              <w:top w:val="nil"/>
              <w:left w:val="nil"/>
              <w:bottom w:val="nil"/>
              <w:right w:val="nil"/>
            </w:tcBorders>
            <w:shd w:val="clear" w:color="auto" w:fill="auto"/>
            <w:noWrap/>
            <w:hideMark/>
          </w:tcPr>
          <w:p w14:paraId="69A23D28" w14:textId="77777777" w:rsidR="00EF3E42" w:rsidRPr="00CA4C14" w:rsidRDefault="00EF3E42" w:rsidP="001C2850">
            <w:pPr>
              <w:pStyle w:val="Tabletext"/>
              <w:keepNext/>
              <w:rPr>
                <w:lang w:val="ru-RU" w:eastAsia="en-GB"/>
              </w:rPr>
            </w:pPr>
            <w:r w:rsidRPr="00CA4C14">
              <w:rPr>
                <w:szCs w:val="18"/>
                <w:lang w:val="ru-RU"/>
              </w:rPr>
              <w:t>Взносы участников</w:t>
            </w:r>
          </w:p>
        </w:tc>
        <w:tc>
          <w:tcPr>
            <w:tcW w:w="787" w:type="pct"/>
            <w:tcBorders>
              <w:top w:val="nil"/>
              <w:left w:val="nil"/>
              <w:bottom w:val="nil"/>
              <w:right w:val="nil"/>
            </w:tcBorders>
            <w:shd w:val="clear" w:color="auto" w:fill="auto"/>
            <w:noWrap/>
            <w:vAlign w:val="bottom"/>
            <w:hideMark/>
          </w:tcPr>
          <w:p w14:paraId="101104F8" w14:textId="77777777" w:rsidR="00EF3E42" w:rsidRPr="00CA4C14" w:rsidRDefault="00EF3E42" w:rsidP="001C2850">
            <w:pPr>
              <w:pStyle w:val="Tabletext"/>
              <w:keepNext/>
              <w:jc w:val="right"/>
              <w:rPr>
                <w:lang w:val="ru-RU" w:eastAsia="en-GB"/>
              </w:rPr>
            </w:pPr>
            <w:r w:rsidRPr="00CA4C14">
              <w:rPr>
                <w:lang w:val="ru-RU" w:eastAsia="en-GB"/>
              </w:rPr>
              <w:t>8 955</w:t>
            </w:r>
          </w:p>
        </w:tc>
        <w:tc>
          <w:tcPr>
            <w:tcW w:w="1323" w:type="pct"/>
            <w:tcBorders>
              <w:top w:val="nil"/>
              <w:left w:val="nil"/>
              <w:bottom w:val="nil"/>
              <w:right w:val="nil"/>
            </w:tcBorders>
            <w:shd w:val="clear" w:color="auto" w:fill="auto"/>
            <w:noWrap/>
            <w:vAlign w:val="bottom"/>
            <w:hideMark/>
          </w:tcPr>
          <w:p w14:paraId="77F864F9" w14:textId="77777777" w:rsidR="00EF3E42" w:rsidRPr="00CA4C14" w:rsidRDefault="00EF3E42" w:rsidP="001C2850">
            <w:pPr>
              <w:pStyle w:val="Tabletext"/>
              <w:keepNext/>
              <w:jc w:val="right"/>
              <w:rPr>
                <w:lang w:val="ru-RU" w:eastAsia="en-GB"/>
              </w:rPr>
            </w:pPr>
            <w:r w:rsidRPr="00CA4C14">
              <w:rPr>
                <w:lang w:val="ru-RU" w:eastAsia="en-GB"/>
              </w:rPr>
              <w:t>51</w:t>
            </w:r>
          </w:p>
        </w:tc>
        <w:tc>
          <w:tcPr>
            <w:tcW w:w="860" w:type="pct"/>
            <w:tcBorders>
              <w:top w:val="nil"/>
              <w:left w:val="nil"/>
              <w:bottom w:val="nil"/>
              <w:right w:val="nil"/>
            </w:tcBorders>
            <w:shd w:val="clear" w:color="auto" w:fill="auto"/>
            <w:noWrap/>
            <w:vAlign w:val="bottom"/>
            <w:hideMark/>
          </w:tcPr>
          <w:p w14:paraId="0F469E38" w14:textId="77777777" w:rsidR="00EF3E42" w:rsidRPr="00CA4C14" w:rsidRDefault="00EF3E42" w:rsidP="001C2850">
            <w:pPr>
              <w:pStyle w:val="Tabletext"/>
              <w:keepNext/>
              <w:jc w:val="right"/>
              <w:rPr>
                <w:lang w:val="ru-RU" w:eastAsia="en-GB"/>
              </w:rPr>
            </w:pPr>
            <w:r w:rsidRPr="00CA4C14">
              <w:rPr>
                <w:lang w:val="ru-RU" w:eastAsia="en-GB"/>
              </w:rPr>
              <w:t>98</w:t>
            </w:r>
          </w:p>
        </w:tc>
        <w:tc>
          <w:tcPr>
            <w:tcW w:w="702" w:type="pct"/>
            <w:tcBorders>
              <w:top w:val="nil"/>
              <w:left w:val="nil"/>
              <w:bottom w:val="nil"/>
              <w:right w:val="nil"/>
            </w:tcBorders>
            <w:shd w:val="clear" w:color="auto" w:fill="auto"/>
            <w:noWrap/>
            <w:vAlign w:val="bottom"/>
            <w:hideMark/>
          </w:tcPr>
          <w:p w14:paraId="23308444" w14:textId="77777777" w:rsidR="00EF3E42" w:rsidRPr="00CA4C14" w:rsidRDefault="00EF3E42" w:rsidP="001C2850">
            <w:pPr>
              <w:pStyle w:val="Tabletext"/>
              <w:keepNext/>
              <w:jc w:val="right"/>
              <w:rPr>
                <w:lang w:val="ru-RU" w:eastAsia="en-GB"/>
              </w:rPr>
            </w:pPr>
            <w:r w:rsidRPr="00CA4C14">
              <w:rPr>
                <w:lang w:val="ru-RU" w:eastAsia="en-GB"/>
              </w:rPr>
              <w:t>9 104</w:t>
            </w:r>
          </w:p>
        </w:tc>
      </w:tr>
      <w:tr w:rsidR="00EF3E42" w:rsidRPr="00CA4C14" w14:paraId="76026504" w14:textId="77777777" w:rsidTr="0090797F">
        <w:trPr>
          <w:jc w:val="center"/>
        </w:trPr>
        <w:tc>
          <w:tcPr>
            <w:tcW w:w="1328" w:type="pct"/>
            <w:tcBorders>
              <w:top w:val="nil"/>
              <w:left w:val="nil"/>
              <w:bottom w:val="nil"/>
              <w:right w:val="nil"/>
            </w:tcBorders>
            <w:shd w:val="clear" w:color="auto" w:fill="auto"/>
            <w:noWrap/>
            <w:hideMark/>
          </w:tcPr>
          <w:p w14:paraId="4920F35A" w14:textId="77777777" w:rsidR="00EF3E42" w:rsidRPr="00CA4C14" w:rsidRDefault="00EF3E42" w:rsidP="001C2850">
            <w:pPr>
              <w:pStyle w:val="Tabletext"/>
              <w:keepNext/>
              <w:rPr>
                <w:lang w:val="ru-RU" w:eastAsia="en-GB"/>
              </w:rPr>
            </w:pPr>
            <w:r w:rsidRPr="00CA4C14">
              <w:rPr>
                <w:szCs w:val="18"/>
                <w:lang w:val="ru-RU"/>
              </w:rPr>
              <w:t>Взносы Союза</w:t>
            </w:r>
          </w:p>
        </w:tc>
        <w:tc>
          <w:tcPr>
            <w:tcW w:w="787" w:type="pct"/>
            <w:tcBorders>
              <w:top w:val="nil"/>
              <w:left w:val="nil"/>
              <w:bottom w:val="nil"/>
              <w:right w:val="nil"/>
            </w:tcBorders>
            <w:shd w:val="clear" w:color="auto" w:fill="auto"/>
            <w:noWrap/>
            <w:vAlign w:val="bottom"/>
            <w:hideMark/>
          </w:tcPr>
          <w:p w14:paraId="1024B225" w14:textId="77777777" w:rsidR="00EF3E42" w:rsidRPr="00CA4C14" w:rsidRDefault="00EF3E42" w:rsidP="001C2850">
            <w:pPr>
              <w:pStyle w:val="Tabletext"/>
              <w:keepNext/>
              <w:jc w:val="right"/>
              <w:rPr>
                <w:lang w:val="ru-RU" w:eastAsia="en-GB"/>
              </w:rPr>
            </w:pPr>
            <w:r w:rsidRPr="00CA4C14">
              <w:rPr>
                <w:lang w:val="ru-RU" w:eastAsia="en-GB"/>
              </w:rPr>
              <w:t>17 910</w:t>
            </w:r>
          </w:p>
        </w:tc>
        <w:tc>
          <w:tcPr>
            <w:tcW w:w="1323" w:type="pct"/>
            <w:tcBorders>
              <w:top w:val="nil"/>
              <w:left w:val="nil"/>
              <w:bottom w:val="nil"/>
              <w:right w:val="nil"/>
            </w:tcBorders>
            <w:shd w:val="clear" w:color="auto" w:fill="auto"/>
            <w:noWrap/>
            <w:vAlign w:val="bottom"/>
            <w:hideMark/>
          </w:tcPr>
          <w:p w14:paraId="6AD2DEE0" w14:textId="77777777" w:rsidR="00EF3E42" w:rsidRPr="00CA4C14" w:rsidRDefault="00EF3E42" w:rsidP="001C2850">
            <w:pPr>
              <w:pStyle w:val="Tabletext"/>
              <w:keepNext/>
              <w:jc w:val="right"/>
              <w:rPr>
                <w:lang w:val="ru-RU" w:eastAsia="en-GB"/>
              </w:rPr>
            </w:pPr>
            <w:r w:rsidRPr="00CA4C14">
              <w:rPr>
                <w:lang w:val="ru-RU" w:eastAsia="en-GB"/>
              </w:rPr>
              <w:t>7</w:t>
            </w:r>
          </w:p>
        </w:tc>
        <w:tc>
          <w:tcPr>
            <w:tcW w:w="860" w:type="pct"/>
            <w:tcBorders>
              <w:top w:val="nil"/>
              <w:left w:val="nil"/>
              <w:bottom w:val="nil"/>
              <w:right w:val="nil"/>
            </w:tcBorders>
            <w:shd w:val="clear" w:color="auto" w:fill="auto"/>
            <w:noWrap/>
            <w:vAlign w:val="bottom"/>
            <w:hideMark/>
          </w:tcPr>
          <w:p w14:paraId="36BD2260" w14:textId="77777777" w:rsidR="00EF3E42" w:rsidRPr="00CA4C14" w:rsidRDefault="00EF3E42" w:rsidP="001C2850">
            <w:pPr>
              <w:pStyle w:val="Tabletext"/>
              <w:keepNext/>
              <w:jc w:val="right"/>
              <w:rPr>
                <w:lang w:val="ru-RU" w:eastAsia="en-GB"/>
              </w:rPr>
            </w:pPr>
            <w:r w:rsidRPr="00CA4C14">
              <w:rPr>
                <w:lang w:val="ru-RU" w:eastAsia="en-GB"/>
              </w:rPr>
              <w:t>155</w:t>
            </w:r>
          </w:p>
        </w:tc>
        <w:tc>
          <w:tcPr>
            <w:tcW w:w="702" w:type="pct"/>
            <w:tcBorders>
              <w:top w:val="nil"/>
              <w:left w:val="nil"/>
              <w:bottom w:val="nil"/>
              <w:right w:val="nil"/>
            </w:tcBorders>
            <w:shd w:val="clear" w:color="auto" w:fill="auto"/>
            <w:noWrap/>
            <w:vAlign w:val="bottom"/>
            <w:hideMark/>
          </w:tcPr>
          <w:p w14:paraId="10DC7F0A" w14:textId="77777777" w:rsidR="00EF3E42" w:rsidRPr="00CA4C14" w:rsidRDefault="00EF3E42" w:rsidP="001C2850">
            <w:pPr>
              <w:pStyle w:val="Tabletext"/>
              <w:keepNext/>
              <w:jc w:val="right"/>
              <w:rPr>
                <w:lang w:val="ru-RU" w:eastAsia="en-GB"/>
              </w:rPr>
            </w:pPr>
            <w:r w:rsidRPr="00CA4C14">
              <w:rPr>
                <w:lang w:val="ru-RU" w:eastAsia="en-GB"/>
              </w:rPr>
              <w:t>18 072</w:t>
            </w:r>
          </w:p>
        </w:tc>
      </w:tr>
      <w:tr w:rsidR="00EF3E42" w:rsidRPr="00CA4C14" w14:paraId="5852673C" w14:textId="77777777" w:rsidTr="0090797F">
        <w:trPr>
          <w:jc w:val="center"/>
        </w:trPr>
        <w:tc>
          <w:tcPr>
            <w:tcW w:w="1328" w:type="pct"/>
            <w:tcBorders>
              <w:top w:val="nil"/>
              <w:left w:val="nil"/>
              <w:bottom w:val="nil"/>
              <w:right w:val="nil"/>
            </w:tcBorders>
            <w:shd w:val="clear" w:color="000000" w:fill="0070C0"/>
            <w:noWrap/>
            <w:vAlign w:val="center"/>
            <w:hideMark/>
          </w:tcPr>
          <w:p w14:paraId="54EA481B" w14:textId="77777777" w:rsidR="00EF3E42" w:rsidRPr="00CA4C14" w:rsidRDefault="00EF3E42" w:rsidP="007F0322">
            <w:pPr>
              <w:pStyle w:val="Tabletext"/>
              <w:rPr>
                <w:b/>
                <w:bCs/>
                <w:lang w:val="ru-RU" w:eastAsia="en-GB"/>
              </w:rPr>
            </w:pPr>
            <w:r w:rsidRPr="00CA4C14">
              <w:rPr>
                <w:b/>
                <w:bCs/>
                <w:lang w:val="ru-RU" w:eastAsia="en-GB"/>
              </w:rPr>
              <w:t>Всего</w:t>
            </w:r>
          </w:p>
        </w:tc>
        <w:tc>
          <w:tcPr>
            <w:tcW w:w="787" w:type="pct"/>
            <w:tcBorders>
              <w:top w:val="nil"/>
              <w:left w:val="nil"/>
              <w:bottom w:val="nil"/>
              <w:right w:val="nil"/>
            </w:tcBorders>
            <w:shd w:val="clear" w:color="000000" w:fill="0070C0"/>
            <w:noWrap/>
            <w:vAlign w:val="center"/>
            <w:hideMark/>
          </w:tcPr>
          <w:p w14:paraId="3ADD252D" w14:textId="77777777" w:rsidR="00EF3E42" w:rsidRPr="00CA4C14" w:rsidRDefault="00EF3E42" w:rsidP="007F0322">
            <w:pPr>
              <w:pStyle w:val="Tabletext"/>
              <w:jc w:val="right"/>
              <w:rPr>
                <w:b/>
                <w:bCs/>
                <w:lang w:val="ru-RU" w:eastAsia="en-GB"/>
              </w:rPr>
            </w:pPr>
            <w:r w:rsidRPr="00CA4C14">
              <w:rPr>
                <w:b/>
                <w:bCs/>
                <w:lang w:val="ru-RU" w:eastAsia="en-GB"/>
              </w:rPr>
              <w:t>26 865</w:t>
            </w:r>
          </w:p>
        </w:tc>
        <w:tc>
          <w:tcPr>
            <w:tcW w:w="1323" w:type="pct"/>
            <w:tcBorders>
              <w:top w:val="nil"/>
              <w:left w:val="nil"/>
              <w:bottom w:val="nil"/>
              <w:right w:val="nil"/>
            </w:tcBorders>
            <w:shd w:val="clear" w:color="000000" w:fill="0070C0"/>
            <w:noWrap/>
            <w:vAlign w:val="center"/>
            <w:hideMark/>
          </w:tcPr>
          <w:p w14:paraId="50E8025E" w14:textId="77777777" w:rsidR="00EF3E42" w:rsidRPr="00CA4C14" w:rsidRDefault="00EF3E42" w:rsidP="007F0322">
            <w:pPr>
              <w:pStyle w:val="Tabletext"/>
              <w:jc w:val="right"/>
              <w:rPr>
                <w:b/>
                <w:bCs/>
                <w:lang w:val="ru-RU" w:eastAsia="en-GB"/>
              </w:rPr>
            </w:pPr>
            <w:r w:rsidRPr="00CA4C14">
              <w:rPr>
                <w:b/>
                <w:bCs/>
                <w:lang w:val="ru-RU" w:eastAsia="en-GB"/>
              </w:rPr>
              <w:t>58</w:t>
            </w:r>
          </w:p>
        </w:tc>
        <w:tc>
          <w:tcPr>
            <w:tcW w:w="860" w:type="pct"/>
            <w:tcBorders>
              <w:top w:val="nil"/>
              <w:left w:val="nil"/>
              <w:bottom w:val="nil"/>
              <w:right w:val="nil"/>
            </w:tcBorders>
            <w:shd w:val="clear" w:color="000000" w:fill="0070C0"/>
            <w:noWrap/>
            <w:vAlign w:val="center"/>
            <w:hideMark/>
          </w:tcPr>
          <w:p w14:paraId="6FAFB3E0" w14:textId="77777777" w:rsidR="00EF3E42" w:rsidRPr="00CA4C14" w:rsidRDefault="00EF3E42" w:rsidP="007F0322">
            <w:pPr>
              <w:pStyle w:val="Tabletext"/>
              <w:jc w:val="right"/>
              <w:rPr>
                <w:b/>
                <w:bCs/>
                <w:lang w:val="ru-RU" w:eastAsia="en-GB"/>
              </w:rPr>
            </w:pPr>
            <w:r w:rsidRPr="00CA4C14">
              <w:rPr>
                <w:b/>
                <w:bCs/>
                <w:lang w:val="ru-RU" w:eastAsia="en-GB"/>
              </w:rPr>
              <w:t>253</w:t>
            </w:r>
          </w:p>
        </w:tc>
        <w:tc>
          <w:tcPr>
            <w:tcW w:w="702" w:type="pct"/>
            <w:tcBorders>
              <w:top w:val="nil"/>
              <w:left w:val="nil"/>
              <w:bottom w:val="nil"/>
              <w:right w:val="nil"/>
            </w:tcBorders>
            <w:shd w:val="clear" w:color="000000" w:fill="0070C0"/>
            <w:noWrap/>
            <w:vAlign w:val="center"/>
            <w:hideMark/>
          </w:tcPr>
          <w:p w14:paraId="42948F83" w14:textId="77777777" w:rsidR="00EF3E42" w:rsidRPr="00CA4C14" w:rsidRDefault="00EF3E42" w:rsidP="007F0322">
            <w:pPr>
              <w:pStyle w:val="Tabletext"/>
              <w:jc w:val="right"/>
              <w:rPr>
                <w:b/>
                <w:bCs/>
                <w:lang w:val="ru-RU" w:eastAsia="en-GB"/>
              </w:rPr>
            </w:pPr>
            <w:r w:rsidRPr="00CA4C14">
              <w:rPr>
                <w:b/>
                <w:bCs/>
                <w:lang w:val="ru-RU" w:eastAsia="en-GB"/>
              </w:rPr>
              <w:t>27 176</w:t>
            </w:r>
          </w:p>
        </w:tc>
      </w:tr>
    </w:tbl>
    <w:p w14:paraId="6C4F500C" w14:textId="77777777" w:rsidR="00EF3E42" w:rsidRPr="00CA4C14" w:rsidRDefault="00EF3E42" w:rsidP="005D7213">
      <w:pPr>
        <w:spacing w:before="240"/>
        <w:rPr>
          <w:u w:val="single"/>
          <w:lang w:val="ru-RU"/>
        </w:rPr>
      </w:pPr>
      <w:r w:rsidRPr="00CA4C14">
        <w:rPr>
          <w:u w:val="single"/>
          <w:lang w:val="ru-RU"/>
        </w:rPr>
        <w:t>Обязательства, касающиеся прочих вознаграждений сотрудников</w:t>
      </w:r>
    </w:p>
    <w:p w14:paraId="39BEC1BD" w14:textId="77777777" w:rsidR="00EF3E42" w:rsidRPr="00CA4C14" w:rsidRDefault="00EF3E42" w:rsidP="001662BF">
      <w:pPr>
        <w:rPr>
          <w:lang w:val="ru-RU"/>
        </w:rPr>
      </w:pPr>
      <w:bookmarkStart w:id="438" w:name="_Toc1506214376"/>
      <w:bookmarkStart w:id="439" w:name="_Toc164845567"/>
      <w:bookmarkStart w:id="440" w:name="_Toc305764100"/>
      <w:r w:rsidRPr="00CA4C14">
        <w:rPr>
          <w:lang w:val="ru-RU"/>
        </w:rPr>
        <w:t>Перед образованием Объединенного пенсионного фонда персонала Организации Объединенных Наций и присоединением к нему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указанного выше фонда. Связанные с этим обязательства указываются в долгосрочных обязательствах. Были достигнуты договоренности между МСЭ и его фондами в целях обеспечения финансирования этих фондов.</w:t>
      </w:r>
    </w:p>
    <w:p w14:paraId="661B405B" w14:textId="77777777" w:rsidR="00EF3E42" w:rsidRPr="00CA4C14" w:rsidRDefault="00EF3E42" w:rsidP="001662BF">
      <w:pPr>
        <w:rPr>
          <w:lang w:val="ru-RU"/>
        </w:rPr>
      </w:pPr>
      <w:r w:rsidRPr="00CA4C14">
        <w:rPr>
          <w:lang w:val="ru-RU"/>
        </w:rPr>
        <w:t>В 2022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2023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w:t>
      </w:r>
    </w:p>
    <w:p w14:paraId="3E80D4F3" w14:textId="77777777" w:rsidR="00EF3E42" w:rsidRPr="00CA4C14" w:rsidRDefault="00EF3E42" w:rsidP="005D7213">
      <w:pPr>
        <w:pStyle w:val="Heading5"/>
        <w:rPr>
          <w:lang w:val="ru-RU"/>
        </w:rPr>
      </w:pPr>
      <w:bookmarkStart w:id="441" w:name="_Toc168578481"/>
      <w:r w:rsidRPr="00CA4C14">
        <w:rPr>
          <w:lang w:val="ru-RU"/>
        </w:rPr>
        <w:t>Примечание 18</w:t>
      </w:r>
      <w:r w:rsidRPr="00CA4C14">
        <w:rPr>
          <w:lang w:val="ru-RU"/>
        </w:rPr>
        <w:tab/>
      </w:r>
      <w:bookmarkEnd w:id="438"/>
      <w:bookmarkEnd w:id="439"/>
      <w:bookmarkEnd w:id="440"/>
      <w:r w:rsidRPr="00CA4C14">
        <w:rPr>
          <w:lang w:val="ru-RU"/>
        </w:rPr>
        <w:t>Резервные фонды</w:t>
      </w:r>
      <w:bookmarkEnd w:id="441"/>
    </w:p>
    <w:p w14:paraId="6F764BB6" w14:textId="77777777" w:rsidR="00EF3E42" w:rsidRPr="00CA4C14" w:rsidRDefault="00EF3E42" w:rsidP="004E0C3A">
      <w:pPr>
        <w:rPr>
          <w:lang w:val="ru-RU"/>
        </w:rPr>
      </w:pPr>
      <w:r w:rsidRPr="00CA4C14">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руководством на дату закрытия счетов будущих обязательств, связанных с прошлым событием, по различным спорам, одной из сторон которых </w:t>
      </w:r>
      <w:r w:rsidRPr="00CA4C14">
        <w:rPr>
          <w:lang w:val="ru-RU"/>
        </w:rPr>
        <w:lastRenderedPageBreak/>
        <w:t>является МСЭ, а также среднюю стоимость административных расходов по каждому представленному в трибунал случаю. Для МСЭ существует неопределенность в отношении окончательной стоимости и сроков оттока средств в связи с этими спорами.</w:t>
      </w:r>
    </w:p>
    <w:p w14:paraId="2843725D" w14:textId="77777777" w:rsidR="00EF3E42" w:rsidRPr="00CA4C14" w:rsidRDefault="00EF3E42" w:rsidP="004E0C3A">
      <w:pPr>
        <w:spacing w:after="120"/>
        <w:rPr>
          <w:lang w:val="ru-RU"/>
        </w:rPr>
      </w:pPr>
      <w:bookmarkStart w:id="442" w:name="_Toc329002799"/>
      <w:bookmarkStart w:id="443" w:name="_Toc305764101"/>
      <w:r w:rsidRPr="00CA4C14">
        <w:rPr>
          <w:lang w:val="ru-RU"/>
        </w:rPr>
        <w:t xml:space="preserve">Резервный фонд для обработки заявок на регистрацию спутниковых сетей (SNF) включает сумму, соответствующую стоимости </w:t>
      </w:r>
      <w:proofErr w:type="spellStart"/>
      <w:r w:rsidRPr="00CA4C14">
        <w:rPr>
          <w:lang w:val="ru-RU"/>
        </w:rPr>
        <w:t>незапрошенных</w:t>
      </w:r>
      <w:proofErr w:type="spellEnd"/>
      <w:r w:rsidRPr="00CA4C14">
        <w:rPr>
          <w:lang w:val="ru-RU"/>
        </w:rPr>
        <w:t xml:space="preserve"> бесплатных публикаций, которые администрации имеют право запрашивать каждый год. Этот резервный фонд будет полностью использован в течение финансового периода 2024 года.</w:t>
      </w:r>
      <w:bookmarkEnd w:id="442"/>
    </w:p>
    <w:tbl>
      <w:tblPr>
        <w:tblW w:w="5000" w:type="pct"/>
        <w:jc w:val="center"/>
        <w:tblLayout w:type="fixed"/>
        <w:tblLook w:val="04A0" w:firstRow="1" w:lastRow="0" w:firstColumn="1" w:lastColumn="0" w:noHBand="0" w:noVBand="1"/>
      </w:tblPr>
      <w:tblGrid>
        <w:gridCol w:w="3544"/>
        <w:gridCol w:w="882"/>
        <w:gridCol w:w="867"/>
        <w:gridCol w:w="825"/>
        <w:gridCol w:w="833"/>
        <w:gridCol w:w="1061"/>
        <w:gridCol w:w="1059"/>
      </w:tblGrid>
      <w:tr w:rsidR="00EF3E42" w:rsidRPr="00CA4C14" w14:paraId="29B42954" w14:textId="77777777" w:rsidTr="00953733">
        <w:trPr>
          <w:jc w:val="center"/>
        </w:trPr>
        <w:tc>
          <w:tcPr>
            <w:tcW w:w="1953" w:type="pct"/>
            <w:vMerge w:val="restart"/>
            <w:tcBorders>
              <w:top w:val="nil"/>
              <w:left w:val="nil"/>
              <w:bottom w:val="nil"/>
              <w:right w:val="nil"/>
            </w:tcBorders>
            <w:shd w:val="clear" w:color="000000" w:fill="0070C0"/>
            <w:noWrap/>
            <w:vAlign w:val="center"/>
            <w:hideMark/>
          </w:tcPr>
          <w:p w14:paraId="3E872D55" w14:textId="77777777" w:rsidR="00EF3E42" w:rsidRPr="00CA4C14" w:rsidRDefault="00EF3E42" w:rsidP="00953733">
            <w:pPr>
              <w:pStyle w:val="Tablehead"/>
              <w:spacing w:before="60" w:after="60"/>
              <w:rPr>
                <w:lang w:val="ru-RU" w:eastAsia="en-GB"/>
              </w:rPr>
            </w:pPr>
            <w:r w:rsidRPr="00CA4C14">
              <w:rPr>
                <w:lang w:val="ru-RU" w:eastAsia="en-GB"/>
              </w:rPr>
              <w:t xml:space="preserve">Описание (тыс. шв. фр.) </w:t>
            </w:r>
          </w:p>
        </w:tc>
        <w:tc>
          <w:tcPr>
            <w:tcW w:w="964" w:type="pct"/>
            <w:gridSpan w:val="2"/>
            <w:vMerge w:val="restart"/>
            <w:tcBorders>
              <w:top w:val="nil"/>
              <w:left w:val="nil"/>
              <w:right w:val="nil"/>
            </w:tcBorders>
            <w:shd w:val="clear" w:color="000000" w:fill="0070C0"/>
            <w:noWrap/>
            <w:vAlign w:val="center"/>
          </w:tcPr>
          <w:p w14:paraId="62E2DDA9" w14:textId="77777777" w:rsidR="00EF3E42" w:rsidRPr="00CA4C14" w:rsidRDefault="00EF3E42" w:rsidP="00953733">
            <w:pPr>
              <w:pStyle w:val="Tablehead"/>
              <w:spacing w:before="60" w:after="60"/>
              <w:rPr>
                <w:lang w:val="ru-RU" w:eastAsia="en-GB"/>
              </w:rPr>
            </w:pPr>
            <w:r w:rsidRPr="00CA4C14">
              <w:rPr>
                <w:lang w:val="ru-RU" w:eastAsia="en-GB"/>
              </w:rPr>
              <w:t>Регистрация спутниковых сетей</w:t>
            </w:r>
          </w:p>
        </w:tc>
        <w:tc>
          <w:tcPr>
            <w:tcW w:w="913" w:type="pct"/>
            <w:gridSpan w:val="2"/>
            <w:vMerge w:val="restart"/>
            <w:tcBorders>
              <w:top w:val="nil"/>
              <w:left w:val="nil"/>
              <w:right w:val="nil"/>
            </w:tcBorders>
            <w:shd w:val="clear" w:color="000000" w:fill="0070C0"/>
            <w:noWrap/>
            <w:vAlign w:val="center"/>
          </w:tcPr>
          <w:p w14:paraId="345E76AF" w14:textId="77777777" w:rsidR="00EF3E42" w:rsidRPr="00CA4C14" w:rsidRDefault="00EF3E42" w:rsidP="00953733">
            <w:pPr>
              <w:pStyle w:val="Tablehead"/>
              <w:spacing w:before="60" w:after="60"/>
              <w:rPr>
                <w:lang w:val="ru-RU" w:eastAsia="en-GB"/>
              </w:rPr>
            </w:pPr>
            <w:r w:rsidRPr="00CA4C14">
              <w:rPr>
                <w:szCs w:val="18"/>
                <w:lang w:val="ru-RU"/>
              </w:rPr>
              <w:t>Урегулирование споров</w:t>
            </w:r>
          </w:p>
        </w:tc>
        <w:tc>
          <w:tcPr>
            <w:tcW w:w="1170" w:type="pct"/>
            <w:gridSpan w:val="2"/>
            <w:tcBorders>
              <w:top w:val="nil"/>
              <w:left w:val="nil"/>
              <w:bottom w:val="nil"/>
              <w:right w:val="nil"/>
            </w:tcBorders>
            <w:shd w:val="clear" w:color="000000" w:fill="0070C0"/>
            <w:noWrap/>
            <w:vAlign w:val="center"/>
            <w:hideMark/>
          </w:tcPr>
          <w:p w14:paraId="26FBECB2" w14:textId="77777777" w:rsidR="00EF3E42" w:rsidRPr="00CA4C14" w:rsidRDefault="00EF3E42" w:rsidP="00953733">
            <w:pPr>
              <w:pStyle w:val="Tablehead"/>
              <w:spacing w:before="60" w:after="60"/>
              <w:rPr>
                <w:lang w:val="ru-RU" w:eastAsia="en-GB"/>
              </w:rPr>
            </w:pPr>
            <w:r w:rsidRPr="00CA4C14">
              <w:rPr>
                <w:lang w:val="ru-RU" w:eastAsia="en-GB"/>
              </w:rPr>
              <w:t>Всего</w:t>
            </w:r>
          </w:p>
        </w:tc>
      </w:tr>
      <w:tr w:rsidR="00EF3E42" w:rsidRPr="00CA4C14" w14:paraId="058B8A28" w14:textId="77777777" w:rsidTr="00953733">
        <w:trPr>
          <w:trHeight w:val="269"/>
          <w:jc w:val="center"/>
        </w:trPr>
        <w:tc>
          <w:tcPr>
            <w:tcW w:w="1953" w:type="pct"/>
            <w:vMerge/>
            <w:tcBorders>
              <w:top w:val="nil"/>
              <w:left w:val="nil"/>
              <w:bottom w:val="nil"/>
              <w:right w:val="nil"/>
            </w:tcBorders>
            <w:vAlign w:val="center"/>
            <w:hideMark/>
          </w:tcPr>
          <w:p w14:paraId="7FA24BFC" w14:textId="77777777" w:rsidR="00EF3E42" w:rsidRPr="00CA4C14" w:rsidRDefault="00EF3E42" w:rsidP="00953733">
            <w:pPr>
              <w:pStyle w:val="Tablehead"/>
              <w:spacing w:before="60" w:after="60"/>
              <w:rPr>
                <w:lang w:val="ru-RU" w:eastAsia="en-GB"/>
              </w:rPr>
            </w:pPr>
          </w:p>
        </w:tc>
        <w:tc>
          <w:tcPr>
            <w:tcW w:w="964" w:type="pct"/>
            <w:gridSpan w:val="2"/>
            <w:vMerge/>
            <w:tcBorders>
              <w:left w:val="nil"/>
              <w:bottom w:val="nil"/>
              <w:right w:val="nil"/>
            </w:tcBorders>
            <w:shd w:val="clear" w:color="000000" w:fill="0070C0"/>
            <w:noWrap/>
            <w:vAlign w:val="center"/>
            <w:hideMark/>
          </w:tcPr>
          <w:p w14:paraId="104A05E6" w14:textId="77777777" w:rsidR="00EF3E42" w:rsidRPr="00CA4C14" w:rsidRDefault="00EF3E42" w:rsidP="00953733">
            <w:pPr>
              <w:pStyle w:val="Tablehead"/>
              <w:spacing w:before="60" w:after="60"/>
              <w:rPr>
                <w:lang w:val="ru-RU" w:eastAsia="en-GB"/>
              </w:rPr>
            </w:pPr>
          </w:p>
        </w:tc>
        <w:tc>
          <w:tcPr>
            <w:tcW w:w="913" w:type="pct"/>
            <w:gridSpan w:val="2"/>
            <w:vMerge/>
            <w:tcBorders>
              <w:left w:val="nil"/>
              <w:bottom w:val="nil"/>
              <w:right w:val="nil"/>
            </w:tcBorders>
            <w:shd w:val="clear" w:color="000000" w:fill="0070C0"/>
            <w:noWrap/>
            <w:vAlign w:val="center"/>
            <w:hideMark/>
          </w:tcPr>
          <w:p w14:paraId="02D10C12" w14:textId="77777777" w:rsidR="00EF3E42" w:rsidRPr="00CA4C14" w:rsidRDefault="00EF3E42" w:rsidP="00953733">
            <w:pPr>
              <w:pStyle w:val="Tablehead"/>
              <w:spacing w:before="60" w:after="60"/>
              <w:rPr>
                <w:lang w:val="ru-RU" w:eastAsia="en-GB"/>
              </w:rPr>
            </w:pPr>
          </w:p>
        </w:tc>
        <w:tc>
          <w:tcPr>
            <w:tcW w:w="585" w:type="pct"/>
            <w:vMerge w:val="restart"/>
            <w:tcBorders>
              <w:top w:val="nil"/>
              <w:left w:val="nil"/>
              <w:right w:val="nil"/>
            </w:tcBorders>
            <w:shd w:val="clear" w:color="000000" w:fill="0070C0"/>
            <w:vAlign w:val="center"/>
            <w:hideMark/>
          </w:tcPr>
          <w:p w14:paraId="28C8B4E7" w14:textId="77777777" w:rsidR="00EF3E42" w:rsidRPr="00CA4C14" w:rsidRDefault="00EF3E42" w:rsidP="00953733">
            <w:pPr>
              <w:pStyle w:val="Tablehead"/>
              <w:spacing w:before="60" w:after="60"/>
              <w:ind w:left="-57" w:right="-57"/>
              <w:rPr>
                <w:lang w:val="ru-RU" w:eastAsia="en-GB"/>
              </w:rPr>
            </w:pPr>
            <w:r w:rsidRPr="00CA4C14">
              <w:rPr>
                <w:lang w:val="ru-RU" w:eastAsia="en-GB"/>
              </w:rPr>
              <w:t>31 декабря 2023 г.</w:t>
            </w:r>
          </w:p>
        </w:tc>
        <w:tc>
          <w:tcPr>
            <w:tcW w:w="585" w:type="pct"/>
            <w:vMerge w:val="restart"/>
            <w:tcBorders>
              <w:top w:val="nil"/>
              <w:left w:val="nil"/>
              <w:right w:val="nil"/>
            </w:tcBorders>
            <w:shd w:val="clear" w:color="000000" w:fill="0070C0"/>
            <w:vAlign w:val="center"/>
            <w:hideMark/>
          </w:tcPr>
          <w:p w14:paraId="36D0DBC3" w14:textId="77777777" w:rsidR="00EF3E42" w:rsidRPr="00CA4C14" w:rsidRDefault="00EF3E42" w:rsidP="00953733">
            <w:pPr>
              <w:pStyle w:val="Tablehead"/>
              <w:spacing w:before="60" w:after="60"/>
              <w:ind w:left="-57" w:right="-57"/>
              <w:rPr>
                <w:lang w:val="ru-RU" w:eastAsia="en-GB"/>
              </w:rPr>
            </w:pPr>
            <w:r w:rsidRPr="00CA4C14">
              <w:rPr>
                <w:lang w:val="ru-RU" w:eastAsia="en-GB"/>
              </w:rPr>
              <w:t>31 декабря 2022 г.</w:t>
            </w:r>
          </w:p>
        </w:tc>
      </w:tr>
      <w:tr w:rsidR="00EF3E42" w:rsidRPr="00CA4C14" w14:paraId="20D26657" w14:textId="77777777" w:rsidTr="00953733">
        <w:trPr>
          <w:jc w:val="center"/>
        </w:trPr>
        <w:tc>
          <w:tcPr>
            <w:tcW w:w="1953" w:type="pct"/>
            <w:vMerge/>
            <w:tcBorders>
              <w:top w:val="nil"/>
              <w:left w:val="nil"/>
              <w:bottom w:val="nil"/>
              <w:right w:val="nil"/>
            </w:tcBorders>
            <w:vAlign w:val="center"/>
            <w:hideMark/>
          </w:tcPr>
          <w:p w14:paraId="553FCA7D" w14:textId="77777777" w:rsidR="00EF3E42" w:rsidRPr="00CA4C14" w:rsidRDefault="00EF3E42" w:rsidP="00953733">
            <w:pPr>
              <w:pStyle w:val="Tablehead"/>
              <w:spacing w:before="60" w:after="60"/>
              <w:rPr>
                <w:lang w:val="ru-RU" w:eastAsia="en-GB"/>
              </w:rPr>
            </w:pPr>
          </w:p>
        </w:tc>
        <w:tc>
          <w:tcPr>
            <w:tcW w:w="486" w:type="pct"/>
            <w:tcBorders>
              <w:top w:val="nil"/>
              <w:left w:val="nil"/>
              <w:bottom w:val="nil"/>
              <w:right w:val="nil"/>
            </w:tcBorders>
            <w:shd w:val="clear" w:color="000000" w:fill="0070C0"/>
            <w:noWrap/>
            <w:vAlign w:val="center"/>
            <w:hideMark/>
          </w:tcPr>
          <w:p w14:paraId="0B4812D4" w14:textId="77777777" w:rsidR="00EF3E42" w:rsidRPr="00CA4C14" w:rsidRDefault="00EF3E42" w:rsidP="00953733">
            <w:pPr>
              <w:pStyle w:val="Tablehead"/>
              <w:spacing w:before="60" w:after="60"/>
              <w:rPr>
                <w:lang w:val="ru-RU" w:eastAsia="en-GB"/>
              </w:rPr>
            </w:pPr>
            <w:r w:rsidRPr="00CA4C14">
              <w:rPr>
                <w:lang w:val="ru-RU" w:eastAsia="en-GB"/>
              </w:rPr>
              <w:t>2023 г.</w:t>
            </w:r>
          </w:p>
        </w:tc>
        <w:tc>
          <w:tcPr>
            <w:tcW w:w="478" w:type="pct"/>
            <w:tcBorders>
              <w:top w:val="nil"/>
              <w:left w:val="nil"/>
              <w:bottom w:val="nil"/>
              <w:right w:val="nil"/>
            </w:tcBorders>
            <w:shd w:val="clear" w:color="000000" w:fill="0070C0"/>
            <w:noWrap/>
            <w:vAlign w:val="center"/>
            <w:hideMark/>
          </w:tcPr>
          <w:p w14:paraId="6706F454" w14:textId="77777777" w:rsidR="00EF3E42" w:rsidRPr="00CA4C14" w:rsidRDefault="00EF3E42" w:rsidP="00953733">
            <w:pPr>
              <w:pStyle w:val="Tablehead"/>
              <w:spacing w:before="60" w:after="60"/>
              <w:rPr>
                <w:lang w:val="ru-RU" w:eastAsia="en-GB"/>
              </w:rPr>
            </w:pPr>
            <w:r w:rsidRPr="00CA4C14">
              <w:rPr>
                <w:lang w:val="ru-RU" w:eastAsia="en-GB"/>
              </w:rPr>
              <w:t>2022 г.</w:t>
            </w:r>
          </w:p>
        </w:tc>
        <w:tc>
          <w:tcPr>
            <w:tcW w:w="455" w:type="pct"/>
            <w:tcBorders>
              <w:top w:val="nil"/>
              <w:left w:val="nil"/>
              <w:bottom w:val="nil"/>
              <w:right w:val="nil"/>
            </w:tcBorders>
            <w:shd w:val="clear" w:color="000000" w:fill="0070C0"/>
            <w:noWrap/>
            <w:vAlign w:val="center"/>
            <w:hideMark/>
          </w:tcPr>
          <w:p w14:paraId="10D825E4" w14:textId="77777777" w:rsidR="00EF3E42" w:rsidRPr="00CA4C14" w:rsidRDefault="00EF3E42" w:rsidP="00953733">
            <w:pPr>
              <w:pStyle w:val="Tablehead"/>
              <w:spacing w:before="60" w:after="60"/>
              <w:rPr>
                <w:lang w:val="ru-RU" w:eastAsia="en-GB"/>
              </w:rPr>
            </w:pPr>
            <w:r w:rsidRPr="00CA4C14">
              <w:rPr>
                <w:lang w:val="ru-RU" w:eastAsia="en-GB"/>
              </w:rPr>
              <w:t>2023 г.</w:t>
            </w:r>
          </w:p>
        </w:tc>
        <w:tc>
          <w:tcPr>
            <w:tcW w:w="459" w:type="pct"/>
            <w:tcBorders>
              <w:top w:val="nil"/>
              <w:left w:val="nil"/>
              <w:bottom w:val="nil"/>
              <w:right w:val="nil"/>
            </w:tcBorders>
            <w:shd w:val="clear" w:color="000000" w:fill="0070C0"/>
            <w:noWrap/>
            <w:vAlign w:val="center"/>
            <w:hideMark/>
          </w:tcPr>
          <w:p w14:paraId="4F325A78" w14:textId="77777777" w:rsidR="00EF3E42" w:rsidRPr="00CA4C14" w:rsidRDefault="00EF3E42" w:rsidP="00953733">
            <w:pPr>
              <w:pStyle w:val="Tablehead"/>
              <w:spacing w:before="60" w:after="60"/>
              <w:rPr>
                <w:lang w:val="ru-RU" w:eastAsia="en-GB"/>
              </w:rPr>
            </w:pPr>
            <w:r w:rsidRPr="00CA4C14">
              <w:rPr>
                <w:lang w:val="ru-RU" w:eastAsia="en-GB"/>
              </w:rPr>
              <w:t>2022 г.</w:t>
            </w:r>
          </w:p>
        </w:tc>
        <w:tc>
          <w:tcPr>
            <w:tcW w:w="585" w:type="pct"/>
            <w:vMerge/>
            <w:tcBorders>
              <w:left w:val="nil"/>
              <w:bottom w:val="nil"/>
              <w:right w:val="nil"/>
            </w:tcBorders>
            <w:shd w:val="clear" w:color="000000" w:fill="0070C0"/>
            <w:vAlign w:val="center"/>
            <w:hideMark/>
          </w:tcPr>
          <w:p w14:paraId="59C581BD" w14:textId="77777777" w:rsidR="00EF3E42" w:rsidRPr="00CA4C14" w:rsidRDefault="00EF3E42" w:rsidP="00953733">
            <w:pPr>
              <w:pStyle w:val="Tablehead"/>
              <w:spacing w:before="60" w:after="60"/>
              <w:rPr>
                <w:lang w:val="ru-RU" w:eastAsia="en-GB"/>
              </w:rPr>
            </w:pPr>
          </w:p>
        </w:tc>
        <w:tc>
          <w:tcPr>
            <w:tcW w:w="585" w:type="pct"/>
            <w:vMerge/>
            <w:tcBorders>
              <w:left w:val="nil"/>
              <w:bottom w:val="nil"/>
              <w:right w:val="nil"/>
            </w:tcBorders>
            <w:shd w:val="clear" w:color="000000" w:fill="0070C0"/>
            <w:vAlign w:val="center"/>
            <w:hideMark/>
          </w:tcPr>
          <w:p w14:paraId="090F08D4" w14:textId="77777777" w:rsidR="00EF3E42" w:rsidRPr="00CA4C14" w:rsidRDefault="00EF3E42" w:rsidP="00953733">
            <w:pPr>
              <w:pStyle w:val="Tablehead"/>
              <w:spacing w:before="60" w:after="60"/>
              <w:rPr>
                <w:lang w:val="ru-RU" w:eastAsia="en-GB"/>
              </w:rPr>
            </w:pPr>
          </w:p>
        </w:tc>
      </w:tr>
      <w:tr w:rsidR="00EF3E42" w:rsidRPr="00CA4C14" w14:paraId="5B2176A2" w14:textId="77777777" w:rsidTr="00953733">
        <w:trPr>
          <w:jc w:val="center"/>
        </w:trPr>
        <w:tc>
          <w:tcPr>
            <w:tcW w:w="1953" w:type="pct"/>
            <w:tcBorders>
              <w:top w:val="nil"/>
              <w:left w:val="nil"/>
              <w:bottom w:val="nil"/>
              <w:right w:val="nil"/>
            </w:tcBorders>
            <w:shd w:val="clear" w:color="000000" w:fill="auto"/>
            <w:noWrap/>
            <w:hideMark/>
          </w:tcPr>
          <w:p w14:paraId="42ACC95C" w14:textId="77777777" w:rsidR="00EF3E42" w:rsidRPr="00CA4C14" w:rsidRDefault="00EF3E42" w:rsidP="0060454F">
            <w:pPr>
              <w:pStyle w:val="Tabletext"/>
              <w:keepNext/>
              <w:rPr>
                <w:lang w:val="ru-RU" w:eastAsia="en-GB"/>
              </w:rPr>
            </w:pPr>
            <w:r w:rsidRPr="00CA4C14">
              <w:rPr>
                <w:szCs w:val="18"/>
                <w:lang w:val="ru-RU"/>
              </w:rPr>
              <w:t>Начальное сальдо</w:t>
            </w:r>
          </w:p>
        </w:tc>
        <w:tc>
          <w:tcPr>
            <w:tcW w:w="486" w:type="pct"/>
            <w:tcBorders>
              <w:top w:val="nil"/>
              <w:left w:val="nil"/>
              <w:bottom w:val="nil"/>
              <w:right w:val="nil"/>
            </w:tcBorders>
            <w:shd w:val="clear" w:color="auto" w:fill="auto"/>
            <w:noWrap/>
            <w:vAlign w:val="bottom"/>
            <w:hideMark/>
          </w:tcPr>
          <w:p w14:paraId="79B59946" w14:textId="77777777" w:rsidR="00EF3E42" w:rsidRPr="00CA4C14" w:rsidRDefault="00EF3E42" w:rsidP="0060454F">
            <w:pPr>
              <w:pStyle w:val="Tabletext"/>
              <w:keepNext/>
              <w:jc w:val="right"/>
              <w:rPr>
                <w:lang w:val="ru-RU" w:eastAsia="en-GB"/>
              </w:rPr>
            </w:pPr>
            <w:r w:rsidRPr="00CA4C14">
              <w:rPr>
                <w:lang w:val="ru-RU" w:eastAsia="en-GB"/>
              </w:rPr>
              <w:t>370</w:t>
            </w:r>
          </w:p>
        </w:tc>
        <w:tc>
          <w:tcPr>
            <w:tcW w:w="478" w:type="pct"/>
            <w:tcBorders>
              <w:top w:val="nil"/>
              <w:left w:val="nil"/>
              <w:bottom w:val="nil"/>
              <w:right w:val="nil"/>
            </w:tcBorders>
            <w:shd w:val="clear" w:color="auto" w:fill="auto"/>
            <w:noWrap/>
            <w:vAlign w:val="bottom"/>
            <w:hideMark/>
          </w:tcPr>
          <w:p w14:paraId="46C5FDE0" w14:textId="77777777" w:rsidR="00EF3E42" w:rsidRPr="00CA4C14" w:rsidRDefault="00EF3E42" w:rsidP="0060454F">
            <w:pPr>
              <w:pStyle w:val="Tabletext"/>
              <w:keepNext/>
              <w:jc w:val="right"/>
              <w:rPr>
                <w:lang w:val="ru-RU" w:eastAsia="en-GB"/>
              </w:rPr>
            </w:pPr>
            <w:r w:rsidRPr="00CA4C14">
              <w:rPr>
                <w:lang w:val="ru-RU" w:eastAsia="en-GB"/>
              </w:rPr>
              <w:t>279</w:t>
            </w:r>
          </w:p>
        </w:tc>
        <w:tc>
          <w:tcPr>
            <w:tcW w:w="455" w:type="pct"/>
            <w:tcBorders>
              <w:top w:val="nil"/>
              <w:left w:val="nil"/>
              <w:bottom w:val="nil"/>
              <w:right w:val="nil"/>
            </w:tcBorders>
            <w:shd w:val="clear" w:color="auto" w:fill="auto"/>
            <w:noWrap/>
            <w:vAlign w:val="bottom"/>
            <w:hideMark/>
          </w:tcPr>
          <w:p w14:paraId="34A9667F" w14:textId="77777777" w:rsidR="00EF3E42" w:rsidRPr="00CA4C14" w:rsidRDefault="00EF3E42" w:rsidP="0060454F">
            <w:pPr>
              <w:pStyle w:val="Tabletext"/>
              <w:keepNext/>
              <w:jc w:val="right"/>
              <w:rPr>
                <w:lang w:val="ru-RU" w:eastAsia="en-GB"/>
              </w:rPr>
            </w:pPr>
            <w:r w:rsidRPr="00CA4C14">
              <w:rPr>
                <w:lang w:val="ru-RU" w:eastAsia="en-GB"/>
              </w:rPr>
              <w:t>1 089</w:t>
            </w:r>
          </w:p>
        </w:tc>
        <w:tc>
          <w:tcPr>
            <w:tcW w:w="459" w:type="pct"/>
            <w:tcBorders>
              <w:top w:val="nil"/>
              <w:left w:val="nil"/>
              <w:bottom w:val="nil"/>
              <w:right w:val="nil"/>
            </w:tcBorders>
            <w:shd w:val="clear" w:color="auto" w:fill="auto"/>
            <w:noWrap/>
            <w:vAlign w:val="bottom"/>
            <w:hideMark/>
          </w:tcPr>
          <w:p w14:paraId="61CDF418" w14:textId="77777777" w:rsidR="00EF3E42" w:rsidRPr="00CA4C14" w:rsidRDefault="00EF3E42" w:rsidP="0060454F">
            <w:pPr>
              <w:pStyle w:val="Tabletext"/>
              <w:keepNext/>
              <w:jc w:val="right"/>
              <w:rPr>
                <w:lang w:val="ru-RU" w:eastAsia="en-GB"/>
              </w:rPr>
            </w:pPr>
            <w:r w:rsidRPr="00CA4C14">
              <w:rPr>
                <w:lang w:val="ru-RU" w:eastAsia="en-GB"/>
              </w:rPr>
              <w:t>1 093</w:t>
            </w:r>
          </w:p>
        </w:tc>
        <w:tc>
          <w:tcPr>
            <w:tcW w:w="585" w:type="pct"/>
            <w:tcBorders>
              <w:top w:val="nil"/>
              <w:left w:val="nil"/>
              <w:bottom w:val="nil"/>
              <w:right w:val="nil"/>
            </w:tcBorders>
            <w:shd w:val="clear" w:color="auto" w:fill="auto"/>
            <w:noWrap/>
            <w:vAlign w:val="bottom"/>
            <w:hideMark/>
          </w:tcPr>
          <w:p w14:paraId="351A3461" w14:textId="77777777" w:rsidR="00EF3E42" w:rsidRPr="00CA4C14" w:rsidRDefault="00EF3E42" w:rsidP="0060454F">
            <w:pPr>
              <w:pStyle w:val="Tabletext"/>
              <w:keepNext/>
              <w:jc w:val="right"/>
              <w:rPr>
                <w:b/>
                <w:bCs/>
                <w:lang w:val="ru-RU" w:eastAsia="en-GB"/>
              </w:rPr>
            </w:pPr>
            <w:r w:rsidRPr="00CA4C14">
              <w:rPr>
                <w:b/>
                <w:bCs/>
                <w:lang w:val="ru-RU" w:eastAsia="en-GB"/>
              </w:rPr>
              <w:t>1 459</w:t>
            </w:r>
          </w:p>
        </w:tc>
        <w:tc>
          <w:tcPr>
            <w:tcW w:w="585" w:type="pct"/>
            <w:tcBorders>
              <w:top w:val="nil"/>
              <w:left w:val="nil"/>
              <w:bottom w:val="nil"/>
              <w:right w:val="nil"/>
            </w:tcBorders>
            <w:shd w:val="clear" w:color="000000" w:fill="auto"/>
            <w:noWrap/>
            <w:vAlign w:val="bottom"/>
            <w:hideMark/>
          </w:tcPr>
          <w:p w14:paraId="49584A26" w14:textId="77777777" w:rsidR="00EF3E42" w:rsidRPr="00CA4C14" w:rsidRDefault="00EF3E42" w:rsidP="0060454F">
            <w:pPr>
              <w:pStyle w:val="Tabletext"/>
              <w:keepNext/>
              <w:jc w:val="right"/>
              <w:rPr>
                <w:b/>
                <w:bCs/>
                <w:lang w:val="ru-RU" w:eastAsia="en-GB"/>
              </w:rPr>
            </w:pPr>
            <w:r w:rsidRPr="00CA4C14">
              <w:rPr>
                <w:b/>
                <w:bCs/>
                <w:lang w:val="ru-RU" w:eastAsia="en-GB"/>
              </w:rPr>
              <w:t>1 372</w:t>
            </w:r>
          </w:p>
        </w:tc>
      </w:tr>
      <w:tr w:rsidR="00EF3E42" w:rsidRPr="00CA4C14" w14:paraId="777CA8EE" w14:textId="77777777" w:rsidTr="00953733">
        <w:trPr>
          <w:jc w:val="center"/>
        </w:trPr>
        <w:tc>
          <w:tcPr>
            <w:tcW w:w="1953" w:type="pct"/>
            <w:tcBorders>
              <w:top w:val="nil"/>
              <w:left w:val="nil"/>
              <w:bottom w:val="nil"/>
              <w:right w:val="nil"/>
            </w:tcBorders>
            <w:shd w:val="clear" w:color="000000" w:fill="auto"/>
            <w:noWrap/>
            <w:hideMark/>
          </w:tcPr>
          <w:p w14:paraId="2DD11518" w14:textId="77777777" w:rsidR="00EF3E42" w:rsidRPr="00CA4C14" w:rsidRDefault="00EF3E42" w:rsidP="0060454F">
            <w:pPr>
              <w:pStyle w:val="Tabletext"/>
              <w:keepNext/>
              <w:rPr>
                <w:lang w:val="ru-RU" w:eastAsia="en-GB"/>
              </w:rPr>
            </w:pPr>
            <w:r w:rsidRPr="00CA4C14">
              <w:rPr>
                <w:szCs w:val="18"/>
                <w:lang w:val="ru-RU"/>
              </w:rPr>
              <w:t>Увеличение</w:t>
            </w:r>
          </w:p>
        </w:tc>
        <w:tc>
          <w:tcPr>
            <w:tcW w:w="486" w:type="pct"/>
            <w:tcBorders>
              <w:top w:val="nil"/>
              <w:left w:val="nil"/>
              <w:bottom w:val="nil"/>
              <w:right w:val="nil"/>
            </w:tcBorders>
            <w:shd w:val="clear" w:color="auto" w:fill="auto"/>
            <w:noWrap/>
            <w:vAlign w:val="bottom"/>
            <w:hideMark/>
          </w:tcPr>
          <w:p w14:paraId="4923174E" w14:textId="77777777" w:rsidR="00EF3E42" w:rsidRPr="00CA4C14" w:rsidRDefault="00EF3E42" w:rsidP="0060454F">
            <w:pPr>
              <w:pStyle w:val="Tabletext"/>
              <w:keepNext/>
              <w:jc w:val="right"/>
              <w:rPr>
                <w:lang w:val="ru-RU" w:eastAsia="en-GB"/>
              </w:rPr>
            </w:pPr>
            <w:r w:rsidRPr="00CA4C14">
              <w:rPr>
                <w:lang w:val="ru-RU" w:eastAsia="en-GB"/>
              </w:rPr>
              <w:t>693</w:t>
            </w:r>
          </w:p>
        </w:tc>
        <w:tc>
          <w:tcPr>
            <w:tcW w:w="478" w:type="pct"/>
            <w:tcBorders>
              <w:top w:val="nil"/>
              <w:left w:val="nil"/>
              <w:bottom w:val="nil"/>
              <w:right w:val="nil"/>
            </w:tcBorders>
            <w:shd w:val="clear" w:color="auto" w:fill="auto"/>
            <w:noWrap/>
            <w:vAlign w:val="bottom"/>
            <w:hideMark/>
          </w:tcPr>
          <w:p w14:paraId="6241E027" w14:textId="77777777" w:rsidR="00EF3E42" w:rsidRPr="00CA4C14" w:rsidRDefault="00EF3E42" w:rsidP="0060454F">
            <w:pPr>
              <w:pStyle w:val="Tabletext"/>
              <w:keepNext/>
              <w:jc w:val="right"/>
              <w:rPr>
                <w:lang w:val="ru-RU" w:eastAsia="en-GB"/>
              </w:rPr>
            </w:pPr>
            <w:r w:rsidRPr="00CA4C14">
              <w:rPr>
                <w:lang w:val="ru-RU" w:eastAsia="en-GB"/>
              </w:rPr>
              <w:t>370</w:t>
            </w:r>
          </w:p>
        </w:tc>
        <w:tc>
          <w:tcPr>
            <w:tcW w:w="455" w:type="pct"/>
            <w:tcBorders>
              <w:top w:val="nil"/>
              <w:left w:val="nil"/>
              <w:bottom w:val="nil"/>
              <w:right w:val="nil"/>
            </w:tcBorders>
            <w:shd w:val="clear" w:color="auto" w:fill="auto"/>
            <w:noWrap/>
            <w:vAlign w:val="bottom"/>
            <w:hideMark/>
          </w:tcPr>
          <w:p w14:paraId="144129B0" w14:textId="77777777" w:rsidR="00EF3E42" w:rsidRPr="00CA4C14" w:rsidRDefault="00EF3E42" w:rsidP="0060454F">
            <w:pPr>
              <w:pStyle w:val="Tabletext"/>
              <w:keepNext/>
              <w:jc w:val="right"/>
              <w:rPr>
                <w:lang w:val="ru-RU" w:eastAsia="en-GB"/>
              </w:rPr>
            </w:pPr>
            <w:r w:rsidRPr="00CA4C14">
              <w:rPr>
                <w:lang w:val="ru-RU" w:eastAsia="en-GB"/>
              </w:rPr>
              <w:t>61</w:t>
            </w:r>
          </w:p>
        </w:tc>
        <w:tc>
          <w:tcPr>
            <w:tcW w:w="459" w:type="pct"/>
            <w:tcBorders>
              <w:top w:val="nil"/>
              <w:left w:val="nil"/>
              <w:bottom w:val="nil"/>
              <w:right w:val="nil"/>
            </w:tcBorders>
            <w:shd w:val="clear" w:color="auto" w:fill="auto"/>
            <w:noWrap/>
            <w:vAlign w:val="bottom"/>
            <w:hideMark/>
          </w:tcPr>
          <w:p w14:paraId="22E8FF89" w14:textId="77777777" w:rsidR="00EF3E42" w:rsidRPr="00CA4C14" w:rsidRDefault="00EF3E42" w:rsidP="0060454F">
            <w:pPr>
              <w:pStyle w:val="Tabletext"/>
              <w:keepNext/>
              <w:jc w:val="right"/>
              <w:rPr>
                <w:lang w:val="ru-RU" w:eastAsia="en-GB"/>
              </w:rPr>
            </w:pPr>
            <w:r w:rsidRPr="00CA4C14">
              <w:rPr>
                <w:lang w:val="ru-RU" w:eastAsia="en-GB"/>
              </w:rPr>
              <w:t>748</w:t>
            </w:r>
          </w:p>
        </w:tc>
        <w:tc>
          <w:tcPr>
            <w:tcW w:w="585" w:type="pct"/>
            <w:tcBorders>
              <w:top w:val="nil"/>
              <w:left w:val="nil"/>
              <w:bottom w:val="nil"/>
              <w:right w:val="nil"/>
            </w:tcBorders>
            <w:shd w:val="clear" w:color="auto" w:fill="auto"/>
            <w:noWrap/>
            <w:vAlign w:val="bottom"/>
            <w:hideMark/>
          </w:tcPr>
          <w:p w14:paraId="5F9FDFE4" w14:textId="77777777" w:rsidR="00EF3E42" w:rsidRPr="00CA4C14" w:rsidRDefault="00EF3E42" w:rsidP="0060454F">
            <w:pPr>
              <w:pStyle w:val="Tabletext"/>
              <w:keepNext/>
              <w:jc w:val="right"/>
              <w:rPr>
                <w:b/>
                <w:bCs/>
                <w:lang w:val="ru-RU" w:eastAsia="en-GB"/>
              </w:rPr>
            </w:pPr>
            <w:r w:rsidRPr="00CA4C14">
              <w:rPr>
                <w:b/>
                <w:bCs/>
                <w:lang w:val="ru-RU" w:eastAsia="en-GB"/>
              </w:rPr>
              <w:t>754</w:t>
            </w:r>
          </w:p>
        </w:tc>
        <w:tc>
          <w:tcPr>
            <w:tcW w:w="585" w:type="pct"/>
            <w:tcBorders>
              <w:top w:val="nil"/>
              <w:left w:val="nil"/>
              <w:bottom w:val="nil"/>
              <w:right w:val="nil"/>
            </w:tcBorders>
            <w:shd w:val="clear" w:color="000000" w:fill="auto"/>
            <w:noWrap/>
            <w:vAlign w:val="bottom"/>
            <w:hideMark/>
          </w:tcPr>
          <w:p w14:paraId="135D25B7" w14:textId="77777777" w:rsidR="00EF3E42" w:rsidRPr="00CA4C14" w:rsidRDefault="00EF3E42" w:rsidP="0060454F">
            <w:pPr>
              <w:pStyle w:val="Tabletext"/>
              <w:keepNext/>
              <w:jc w:val="right"/>
              <w:rPr>
                <w:b/>
                <w:bCs/>
                <w:lang w:val="ru-RU" w:eastAsia="en-GB"/>
              </w:rPr>
            </w:pPr>
            <w:r w:rsidRPr="00CA4C14">
              <w:rPr>
                <w:b/>
                <w:bCs/>
                <w:lang w:val="ru-RU" w:eastAsia="en-GB"/>
              </w:rPr>
              <w:t>1 118</w:t>
            </w:r>
          </w:p>
        </w:tc>
      </w:tr>
      <w:tr w:rsidR="00EF3E42" w:rsidRPr="00CA4C14" w14:paraId="2B98DE7E" w14:textId="77777777" w:rsidTr="00953733">
        <w:trPr>
          <w:jc w:val="center"/>
        </w:trPr>
        <w:tc>
          <w:tcPr>
            <w:tcW w:w="1953" w:type="pct"/>
            <w:tcBorders>
              <w:top w:val="nil"/>
              <w:left w:val="nil"/>
              <w:bottom w:val="nil"/>
              <w:right w:val="nil"/>
            </w:tcBorders>
            <w:shd w:val="clear" w:color="000000" w:fill="auto"/>
            <w:noWrap/>
            <w:hideMark/>
          </w:tcPr>
          <w:p w14:paraId="0469AF4C" w14:textId="77777777" w:rsidR="00EF3E42" w:rsidRPr="00CA4C14" w:rsidRDefault="00EF3E42" w:rsidP="0060454F">
            <w:pPr>
              <w:pStyle w:val="Tabletext"/>
              <w:keepNext/>
              <w:rPr>
                <w:lang w:val="ru-RU" w:eastAsia="en-GB"/>
              </w:rPr>
            </w:pPr>
            <w:r w:rsidRPr="00CA4C14">
              <w:rPr>
                <w:szCs w:val="18"/>
                <w:lang w:val="ru-RU"/>
              </w:rPr>
              <w:t>Использование в течение года</w:t>
            </w:r>
          </w:p>
        </w:tc>
        <w:tc>
          <w:tcPr>
            <w:tcW w:w="486" w:type="pct"/>
            <w:tcBorders>
              <w:top w:val="nil"/>
              <w:left w:val="nil"/>
              <w:bottom w:val="nil"/>
              <w:right w:val="nil"/>
            </w:tcBorders>
            <w:shd w:val="clear" w:color="auto" w:fill="auto"/>
            <w:noWrap/>
            <w:vAlign w:val="bottom"/>
            <w:hideMark/>
          </w:tcPr>
          <w:p w14:paraId="65769B66" w14:textId="77777777" w:rsidR="00EF3E42" w:rsidRPr="00CA4C14" w:rsidRDefault="00EF3E42" w:rsidP="0060454F">
            <w:pPr>
              <w:pStyle w:val="Tabletext"/>
              <w:keepNext/>
              <w:jc w:val="right"/>
              <w:rPr>
                <w:lang w:val="ru-RU" w:eastAsia="en-GB"/>
              </w:rPr>
            </w:pPr>
            <w:r w:rsidRPr="00CA4C14">
              <w:rPr>
                <w:lang w:val="ru-RU" w:eastAsia="en-GB"/>
              </w:rPr>
              <w:t>(305)</w:t>
            </w:r>
          </w:p>
        </w:tc>
        <w:tc>
          <w:tcPr>
            <w:tcW w:w="478" w:type="pct"/>
            <w:tcBorders>
              <w:top w:val="nil"/>
              <w:left w:val="nil"/>
              <w:bottom w:val="nil"/>
              <w:right w:val="nil"/>
            </w:tcBorders>
            <w:shd w:val="clear" w:color="auto" w:fill="auto"/>
            <w:noWrap/>
            <w:vAlign w:val="bottom"/>
            <w:hideMark/>
          </w:tcPr>
          <w:p w14:paraId="12347904" w14:textId="77777777" w:rsidR="00EF3E42" w:rsidRPr="00CA4C14" w:rsidRDefault="00EF3E42" w:rsidP="0060454F">
            <w:pPr>
              <w:pStyle w:val="Tabletext"/>
              <w:keepNext/>
              <w:jc w:val="right"/>
              <w:rPr>
                <w:lang w:val="ru-RU" w:eastAsia="en-GB"/>
              </w:rPr>
            </w:pPr>
            <w:r w:rsidRPr="00CA4C14">
              <w:rPr>
                <w:lang w:val="ru-RU" w:eastAsia="en-GB"/>
              </w:rPr>
              <w:t>(212)</w:t>
            </w:r>
          </w:p>
        </w:tc>
        <w:tc>
          <w:tcPr>
            <w:tcW w:w="455" w:type="pct"/>
            <w:tcBorders>
              <w:top w:val="nil"/>
              <w:left w:val="nil"/>
              <w:bottom w:val="nil"/>
              <w:right w:val="nil"/>
            </w:tcBorders>
            <w:shd w:val="clear" w:color="auto" w:fill="auto"/>
            <w:noWrap/>
            <w:vAlign w:val="bottom"/>
            <w:hideMark/>
          </w:tcPr>
          <w:p w14:paraId="02134395" w14:textId="77777777" w:rsidR="00EF3E42" w:rsidRPr="00CA4C14" w:rsidRDefault="00EF3E42" w:rsidP="0060454F">
            <w:pPr>
              <w:pStyle w:val="Tabletext"/>
              <w:keepNext/>
              <w:jc w:val="right"/>
              <w:rPr>
                <w:lang w:val="ru-RU" w:eastAsia="en-GB"/>
              </w:rPr>
            </w:pPr>
            <w:r w:rsidRPr="00CA4C14">
              <w:rPr>
                <w:lang w:val="ru-RU" w:eastAsia="en-GB"/>
              </w:rPr>
              <w:t>(49)</w:t>
            </w:r>
          </w:p>
        </w:tc>
        <w:tc>
          <w:tcPr>
            <w:tcW w:w="459" w:type="pct"/>
            <w:tcBorders>
              <w:top w:val="nil"/>
              <w:left w:val="nil"/>
              <w:bottom w:val="nil"/>
              <w:right w:val="nil"/>
            </w:tcBorders>
            <w:shd w:val="clear" w:color="auto" w:fill="auto"/>
            <w:noWrap/>
            <w:vAlign w:val="bottom"/>
            <w:hideMark/>
          </w:tcPr>
          <w:p w14:paraId="3814564A" w14:textId="77777777" w:rsidR="00EF3E42" w:rsidRPr="00CA4C14" w:rsidRDefault="00EF3E42" w:rsidP="0060454F">
            <w:pPr>
              <w:pStyle w:val="Tabletext"/>
              <w:keepNext/>
              <w:jc w:val="right"/>
              <w:rPr>
                <w:lang w:val="ru-RU" w:eastAsia="en-GB"/>
              </w:rPr>
            </w:pPr>
            <w:r w:rsidRPr="00CA4C14">
              <w:rPr>
                <w:lang w:val="ru-RU" w:eastAsia="en-GB"/>
              </w:rPr>
              <w:t>(712)</w:t>
            </w:r>
          </w:p>
        </w:tc>
        <w:tc>
          <w:tcPr>
            <w:tcW w:w="585" w:type="pct"/>
            <w:tcBorders>
              <w:top w:val="nil"/>
              <w:left w:val="nil"/>
              <w:bottom w:val="nil"/>
              <w:right w:val="nil"/>
            </w:tcBorders>
            <w:shd w:val="clear" w:color="auto" w:fill="auto"/>
            <w:noWrap/>
            <w:vAlign w:val="bottom"/>
            <w:hideMark/>
          </w:tcPr>
          <w:p w14:paraId="7F3F2056" w14:textId="77777777" w:rsidR="00EF3E42" w:rsidRPr="00CA4C14" w:rsidRDefault="00EF3E42" w:rsidP="0060454F">
            <w:pPr>
              <w:pStyle w:val="Tabletext"/>
              <w:keepNext/>
              <w:jc w:val="right"/>
              <w:rPr>
                <w:b/>
                <w:bCs/>
                <w:lang w:val="ru-RU" w:eastAsia="en-GB"/>
              </w:rPr>
            </w:pPr>
            <w:r w:rsidRPr="00CA4C14">
              <w:rPr>
                <w:b/>
                <w:bCs/>
                <w:lang w:val="ru-RU" w:eastAsia="en-GB"/>
              </w:rPr>
              <w:t>(354)</w:t>
            </w:r>
          </w:p>
        </w:tc>
        <w:tc>
          <w:tcPr>
            <w:tcW w:w="585" w:type="pct"/>
            <w:tcBorders>
              <w:top w:val="nil"/>
              <w:left w:val="nil"/>
              <w:bottom w:val="nil"/>
              <w:right w:val="nil"/>
            </w:tcBorders>
            <w:shd w:val="clear" w:color="000000" w:fill="auto"/>
            <w:noWrap/>
            <w:vAlign w:val="bottom"/>
            <w:hideMark/>
          </w:tcPr>
          <w:p w14:paraId="33C870B7" w14:textId="77777777" w:rsidR="00EF3E42" w:rsidRPr="00CA4C14" w:rsidRDefault="00EF3E42" w:rsidP="0060454F">
            <w:pPr>
              <w:pStyle w:val="Tabletext"/>
              <w:keepNext/>
              <w:jc w:val="right"/>
              <w:rPr>
                <w:b/>
                <w:bCs/>
                <w:lang w:val="ru-RU" w:eastAsia="en-GB"/>
              </w:rPr>
            </w:pPr>
            <w:r w:rsidRPr="00CA4C14">
              <w:rPr>
                <w:b/>
                <w:bCs/>
                <w:lang w:val="ru-RU" w:eastAsia="en-GB"/>
              </w:rPr>
              <w:t>(924)</w:t>
            </w:r>
          </w:p>
        </w:tc>
      </w:tr>
      <w:tr w:rsidR="00EF3E42" w:rsidRPr="00CA4C14" w14:paraId="397BBA7D" w14:textId="77777777" w:rsidTr="00953733">
        <w:trPr>
          <w:jc w:val="center"/>
        </w:trPr>
        <w:tc>
          <w:tcPr>
            <w:tcW w:w="1953" w:type="pct"/>
            <w:tcBorders>
              <w:top w:val="nil"/>
              <w:left w:val="nil"/>
              <w:bottom w:val="nil"/>
              <w:right w:val="nil"/>
            </w:tcBorders>
            <w:shd w:val="clear" w:color="000000" w:fill="auto"/>
            <w:noWrap/>
            <w:vAlign w:val="bottom"/>
            <w:hideMark/>
          </w:tcPr>
          <w:p w14:paraId="229C6297" w14:textId="77777777" w:rsidR="00EF3E42" w:rsidRPr="00CA4C14" w:rsidRDefault="00EF3E42" w:rsidP="0060454F">
            <w:pPr>
              <w:pStyle w:val="Tabletext"/>
              <w:keepNext/>
              <w:rPr>
                <w:lang w:val="ru-RU" w:eastAsia="en-GB"/>
              </w:rPr>
            </w:pPr>
            <w:r w:rsidRPr="00CA4C14">
              <w:rPr>
                <w:szCs w:val="18"/>
                <w:lang w:val="ru-RU"/>
              </w:rPr>
              <w:t>Возвращенные неиспользованные суммы</w:t>
            </w:r>
          </w:p>
        </w:tc>
        <w:tc>
          <w:tcPr>
            <w:tcW w:w="486" w:type="pct"/>
            <w:tcBorders>
              <w:top w:val="nil"/>
              <w:left w:val="nil"/>
              <w:bottom w:val="nil"/>
              <w:right w:val="nil"/>
            </w:tcBorders>
            <w:shd w:val="clear" w:color="auto" w:fill="auto"/>
            <w:noWrap/>
            <w:vAlign w:val="bottom"/>
            <w:hideMark/>
          </w:tcPr>
          <w:p w14:paraId="647EF406" w14:textId="77777777" w:rsidR="00EF3E42" w:rsidRPr="00CA4C14" w:rsidRDefault="00EF3E42" w:rsidP="0060454F">
            <w:pPr>
              <w:pStyle w:val="Tabletext"/>
              <w:keepNext/>
              <w:jc w:val="right"/>
              <w:rPr>
                <w:lang w:val="ru-RU" w:eastAsia="en-GB"/>
              </w:rPr>
            </w:pPr>
            <w:r w:rsidRPr="00CA4C14">
              <w:rPr>
                <w:lang w:val="ru-RU" w:eastAsia="en-GB"/>
              </w:rPr>
              <w:t>(65)</w:t>
            </w:r>
          </w:p>
        </w:tc>
        <w:tc>
          <w:tcPr>
            <w:tcW w:w="478" w:type="pct"/>
            <w:tcBorders>
              <w:top w:val="nil"/>
              <w:left w:val="nil"/>
              <w:bottom w:val="nil"/>
              <w:right w:val="nil"/>
            </w:tcBorders>
            <w:shd w:val="clear" w:color="auto" w:fill="auto"/>
            <w:noWrap/>
            <w:vAlign w:val="bottom"/>
            <w:hideMark/>
          </w:tcPr>
          <w:p w14:paraId="75647AB8" w14:textId="77777777" w:rsidR="00EF3E42" w:rsidRPr="00CA4C14" w:rsidRDefault="00EF3E42" w:rsidP="0060454F">
            <w:pPr>
              <w:pStyle w:val="Tabletext"/>
              <w:keepNext/>
              <w:jc w:val="right"/>
              <w:rPr>
                <w:lang w:val="ru-RU" w:eastAsia="en-GB"/>
              </w:rPr>
            </w:pPr>
            <w:r w:rsidRPr="00CA4C14">
              <w:rPr>
                <w:lang w:val="ru-RU" w:eastAsia="en-GB"/>
              </w:rPr>
              <w:t>(67)</w:t>
            </w:r>
          </w:p>
        </w:tc>
        <w:tc>
          <w:tcPr>
            <w:tcW w:w="455" w:type="pct"/>
            <w:tcBorders>
              <w:top w:val="nil"/>
              <w:left w:val="nil"/>
              <w:bottom w:val="nil"/>
              <w:right w:val="nil"/>
            </w:tcBorders>
            <w:shd w:val="clear" w:color="auto" w:fill="auto"/>
            <w:noWrap/>
            <w:vAlign w:val="bottom"/>
            <w:hideMark/>
          </w:tcPr>
          <w:p w14:paraId="2AC4DE4E" w14:textId="77777777" w:rsidR="00EF3E42" w:rsidRPr="00CA4C14" w:rsidRDefault="00EF3E42" w:rsidP="0060454F">
            <w:pPr>
              <w:pStyle w:val="Tabletext"/>
              <w:keepNext/>
              <w:jc w:val="right"/>
              <w:rPr>
                <w:lang w:val="ru-RU" w:eastAsia="en-GB"/>
              </w:rPr>
            </w:pPr>
            <w:r w:rsidRPr="00CA4C14">
              <w:rPr>
                <w:lang w:val="ru-RU" w:eastAsia="en-GB"/>
              </w:rPr>
              <w:t>(19)</w:t>
            </w:r>
          </w:p>
        </w:tc>
        <w:tc>
          <w:tcPr>
            <w:tcW w:w="459" w:type="pct"/>
            <w:tcBorders>
              <w:top w:val="nil"/>
              <w:left w:val="nil"/>
              <w:bottom w:val="nil"/>
              <w:right w:val="nil"/>
            </w:tcBorders>
            <w:shd w:val="clear" w:color="auto" w:fill="auto"/>
            <w:noWrap/>
            <w:vAlign w:val="bottom"/>
            <w:hideMark/>
          </w:tcPr>
          <w:p w14:paraId="5D911ABE" w14:textId="77777777" w:rsidR="00EF3E42" w:rsidRPr="00CA4C14" w:rsidRDefault="00EF3E42" w:rsidP="0060454F">
            <w:pPr>
              <w:pStyle w:val="Tabletext"/>
              <w:keepNext/>
              <w:jc w:val="right"/>
              <w:rPr>
                <w:lang w:val="ru-RU" w:eastAsia="en-GB"/>
              </w:rPr>
            </w:pPr>
            <w:r w:rsidRPr="00CA4C14">
              <w:rPr>
                <w:lang w:val="ru-RU" w:eastAsia="en-GB"/>
              </w:rPr>
              <w:t>(42)</w:t>
            </w:r>
          </w:p>
        </w:tc>
        <w:tc>
          <w:tcPr>
            <w:tcW w:w="585" w:type="pct"/>
            <w:tcBorders>
              <w:top w:val="nil"/>
              <w:left w:val="nil"/>
              <w:bottom w:val="nil"/>
              <w:right w:val="nil"/>
            </w:tcBorders>
            <w:shd w:val="clear" w:color="auto" w:fill="auto"/>
            <w:noWrap/>
            <w:vAlign w:val="bottom"/>
            <w:hideMark/>
          </w:tcPr>
          <w:p w14:paraId="22BBE502" w14:textId="77777777" w:rsidR="00EF3E42" w:rsidRPr="00CA4C14" w:rsidRDefault="00EF3E42" w:rsidP="0060454F">
            <w:pPr>
              <w:pStyle w:val="Tabletext"/>
              <w:keepNext/>
              <w:jc w:val="right"/>
              <w:rPr>
                <w:b/>
                <w:bCs/>
                <w:lang w:val="ru-RU" w:eastAsia="en-GB"/>
              </w:rPr>
            </w:pPr>
            <w:r w:rsidRPr="00CA4C14">
              <w:rPr>
                <w:b/>
                <w:bCs/>
                <w:lang w:val="ru-RU" w:eastAsia="en-GB"/>
              </w:rPr>
              <w:t>(84)</w:t>
            </w:r>
          </w:p>
        </w:tc>
        <w:tc>
          <w:tcPr>
            <w:tcW w:w="585" w:type="pct"/>
            <w:tcBorders>
              <w:top w:val="nil"/>
              <w:left w:val="nil"/>
              <w:bottom w:val="nil"/>
              <w:right w:val="nil"/>
            </w:tcBorders>
            <w:shd w:val="clear" w:color="000000" w:fill="auto"/>
            <w:noWrap/>
            <w:vAlign w:val="bottom"/>
            <w:hideMark/>
          </w:tcPr>
          <w:p w14:paraId="1D4D4C7B" w14:textId="77777777" w:rsidR="00EF3E42" w:rsidRPr="00CA4C14" w:rsidRDefault="00EF3E42" w:rsidP="0060454F">
            <w:pPr>
              <w:pStyle w:val="Tabletext"/>
              <w:keepNext/>
              <w:jc w:val="right"/>
              <w:rPr>
                <w:b/>
                <w:bCs/>
                <w:lang w:val="ru-RU" w:eastAsia="en-GB"/>
              </w:rPr>
            </w:pPr>
            <w:r w:rsidRPr="00CA4C14">
              <w:rPr>
                <w:b/>
                <w:bCs/>
                <w:lang w:val="ru-RU" w:eastAsia="en-GB"/>
              </w:rPr>
              <w:t>(109)</w:t>
            </w:r>
          </w:p>
        </w:tc>
      </w:tr>
      <w:tr w:rsidR="00EF3E42" w:rsidRPr="00CA4C14" w14:paraId="66C8F81D" w14:textId="77777777" w:rsidTr="00953733">
        <w:trPr>
          <w:jc w:val="center"/>
        </w:trPr>
        <w:tc>
          <w:tcPr>
            <w:tcW w:w="1953" w:type="pct"/>
            <w:tcBorders>
              <w:top w:val="nil"/>
              <w:left w:val="nil"/>
              <w:bottom w:val="nil"/>
              <w:right w:val="nil"/>
            </w:tcBorders>
            <w:shd w:val="clear" w:color="000000" w:fill="auto"/>
            <w:noWrap/>
            <w:vAlign w:val="bottom"/>
            <w:hideMark/>
          </w:tcPr>
          <w:p w14:paraId="5AAE22E7" w14:textId="77777777" w:rsidR="00EF3E42" w:rsidRPr="00CA4C14" w:rsidRDefault="00EF3E42" w:rsidP="0060454F">
            <w:pPr>
              <w:pStyle w:val="Tabletext"/>
              <w:keepNext/>
              <w:rPr>
                <w:lang w:val="ru-RU" w:eastAsia="en-GB"/>
              </w:rPr>
            </w:pPr>
            <w:r w:rsidRPr="00CA4C14">
              <w:rPr>
                <w:szCs w:val="18"/>
                <w:lang w:val="ru-RU"/>
              </w:rPr>
              <w:t>Нереализованная курсовая прибыль</w:t>
            </w:r>
          </w:p>
        </w:tc>
        <w:tc>
          <w:tcPr>
            <w:tcW w:w="486" w:type="pct"/>
            <w:tcBorders>
              <w:top w:val="nil"/>
              <w:left w:val="nil"/>
              <w:bottom w:val="nil"/>
              <w:right w:val="nil"/>
            </w:tcBorders>
            <w:shd w:val="clear" w:color="auto" w:fill="auto"/>
            <w:noWrap/>
            <w:vAlign w:val="bottom"/>
            <w:hideMark/>
          </w:tcPr>
          <w:p w14:paraId="657DDB6C" w14:textId="77777777" w:rsidR="00EF3E42" w:rsidRPr="00CA4C14" w:rsidRDefault="00EF3E42" w:rsidP="0060454F">
            <w:pPr>
              <w:pStyle w:val="Tabletext"/>
              <w:keepNext/>
              <w:jc w:val="right"/>
              <w:rPr>
                <w:lang w:val="ru-RU" w:eastAsia="en-GB"/>
              </w:rPr>
            </w:pPr>
            <w:r w:rsidRPr="00CA4C14">
              <w:rPr>
                <w:lang w:val="ru-RU" w:eastAsia="en-GB"/>
              </w:rPr>
              <w:t>−</w:t>
            </w:r>
          </w:p>
        </w:tc>
        <w:tc>
          <w:tcPr>
            <w:tcW w:w="478" w:type="pct"/>
            <w:tcBorders>
              <w:top w:val="nil"/>
              <w:left w:val="nil"/>
              <w:bottom w:val="nil"/>
              <w:right w:val="nil"/>
            </w:tcBorders>
            <w:shd w:val="clear" w:color="auto" w:fill="auto"/>
            <w:noWrap/>
            <w:vAlign w:val="bottom"/>
            <w:hideMark/>
          </w:tcPr>
          <w:p w14:paraId="2857A078" w14:textId="77777777" w:rsidR="00EF3E42" w:rsidRPr="00CA4C14" w:rsidRDefault="00EF3E42" w:rsidP="0060454F">
            <w:pPr>
              <w:pStyle w:val="Tabletext"/>
              <w:keepNext/>
              <w:jc w:val="right"/>
              <w:rPr>
                <w:lang w:val="ru-RU" w:eastAsia="en-GB"/>
              </w:rPr>
            </w:pPr>
            <w:r w:rsidRPr="00CA4C14">
              <w:rPr>
                <w:lang w:val="ru-RU" w:eastAsia="en-GB"/>
              </w:rPr>
              <w:t>−</w:t>
            </w:r>
          </w:p>
        </w:tc>
        <w:tc>
          <w:tcPr>
            <w:tcW w:w="455" w:type="pct"/>
            <w:tcBorders>
              <w:top w:val="nil"/>
              <w:left w:val="nil"/>
              <w:bottom w:val="nil"/>
              <w:right w:val="nil"/>
            </w:tcBorders>
            <w:shd w:val="clear" w:color="auto" w:fill="auto"/>
            <w:noWrap/>
            <w:vAlign w:val="bottom"/>
            <w:hideMark/>
          </w:tcPr>
          <w:p w14:paraId="44B3D417" w14:textId="77777777" w:rsidR="00EF3E42" w:rsidRPr="00CA4C14" w:rsidRDefault="00EF3E42" w:rsidP="0060454F">
            <w:pPr>
              <w:pStyle w:val="Tabletext"/>
              <w:keepNext/>
              <w:jc w:val="right"/>
              <w:rPr>
                <w:lang w:val="ru-RU" w:eastAsia="en-GB"/>
              </w:rPr>
            </w:pPr>
            <w:r w:rsidRPr="00CA4C14">
              <w:rPr>
                <w:lang w:val="ru-RU" w:eastAsia="en-GB"/>
              </w:rPr>
              <w:t>3</w:t>
            </w:r>
          </w:p>
        </w:tc>
        <w:tc>
          <w:tcPr>
            <w:tcW w:w="459" w:type="pct"/>
            <w:tcBorders>
              <w:top w:val="nil"/>
              <w:left w:val="nil"/>
              <w:bottom w:val="nil"/>
              <w:right w:val="nil"/>
            </w:tcBorders>
            <w:shd w:val="clear" w:color="auto" w:fill="auto"/>
            <w:noWrap/>
            <w:vAlign w:val="bottom"/>
            <w:hideMark/>
          </w:tcPr>
          <w:p w14:paraId="41DC4E8C" w14:textId="77777777" w:rsidR="00EF3E42" w:rsidRPr="00CA4C14" w:rsidRDefault="00EF3E42" w:rsidP="0060454F">
            <w:pPr>
              <w:pStyle w:val="Tabletext"/>
              <w:keepNext/>
              <w:jc w:val="right"/>
              <w:rPr>
                <w:lang w:val="ru-RU" w:eastAsia="en-GB"/>
              </w:rPr>
            </w:pPr>
            <w:r w:rsidRPr="00CA4C14">
              <w:rPr>
                <w:lang w:val="ru-RU" w:eastAsia="en-GB"/>
              </w:rPr>
              <w:t>1</w:t>
            </w:r>
          </w:p>
        </w:tc>
        <w:tc>
          <w:tcPr>
            <w:tcW w:w="585" w:type="pct"/>
            <w:tcBorders>
              <w:top w:val="nil"/>
              <w:left w:val="nil"/>
              <w:bottom w:val="nil"/>
              <w:right w:val="nil"/>
            </w:tcBorders>
            <w:shd w:val="clear" w:color="auto" w:fill="auto"/>
            <w:noWrap/>
            <w:vAlign w:val="bottom"/>
            <w:hideMark/>
          </w:tcPr>
          <w:p w14:paraId="3BBE22AF" w14:textId="77777777" w:rsidR="00EF3E42" w:rsidRPr="00CA4C14" w:rsidRDefault="00EF3E42" w:rsidP="0060454F">
            <w:pPr>
              <w:pStyle w:val="Tabletext"/>
              <w:keepNext/>
              <w:jc w:val="right"/>
              <w:rPr>
                <w:b/>
                <w:bCs/>
                <w:lang w:val="ru-RU" w:eastAsia="en-GB"/>
              </w:rPr>
            </w:pPr>
            <w:r w:rsidRPr="00CA4C14">
              <w:rPr>
                <w:b/>
                <w:bCs/>
                <w:lang w:val="ru-RU" w:eastAsia="en-GB"/>
              </w:rPr>
              <w:t>3</w:t>
            </w:r>
          </w:p>
        </w:tc>
        <w:tc>
          <w:tcPr>
            <w:tcW w:w="585" w:type="pct"/>
            <w:tcBorders>
              <w:top w:val="nil"/>
              <w:left w:val="nil"/>
              <w:bottom w:val="nil"/>
              <w:right w:val="nil"/>
            </w:tcBorders>
            <w:shd w:val="clear" w:color="000000" w:fill="auto"/>
            <w:noWrap/>
            <w:vAlign w:val="bottom"/>
            <w:hideMark/>
          </w:tcPr>
          <w:p w14:paraId="0845548A" w14:textId="77777777" w:rsidR="00EF3E42" w:rsidRPr="00CA4C14" w:rsidRDefault="00EF3E42" w:rsidP="0060454F">
            <w:pPr>
              <w:pStyle w:val="Tabletext"/>
              <w:keepNext/>
              <w:jc w:val="right"/>
              <w:rPr>
                <w:b/>
                <w:bCs/>
                <w:lang w:val="ru-RU" w:eastAsia="en-GB"/>
              </w:rPr>
            </w:pPr>
            <w:r w:rsidRPr="00CA4C14">
              <w:rPr>
                <w:b/>
                <w:bCs/>
                <w:lang w:val="ru-RU" w:eastAsia="en-GB"/>
              </w:rPr>
              <w:t>1</w:t>
            </w:r>
          </w:p>
        </w:tc>
      </w:tr>
      <w:tr w:rsidR="00EF3E42" w:rsidRPr="00CA4C14" w14:paraId="4CFC8399" w14:textId="77777777" w:rsidTr="00953733">
        <w:trPr>
          <w:jc w:val="center"/>
        </w:trPr>
        <w:tc>
          <w:tcPr>
            <w:tcW w:w="1953" w:type="pct"/>
            <w:tcBorders>
              <w:top w:val="nil"/>
              <w:left w:val="nil"/>
              <w:bottom w:val="nil"/>
              <w:right w:val="nil"/>
            </w:tcBorders>
            <w:shd w:val="clear" w:color="000000" w:fill="0070C0"/>
            <w:noWrap/>
            <w:vAlign w:val="center"/>
            <w:hideMark/>
          </w:tcPr>
          <w:p w14:paraId="46E36366" w14:textId="77777777" w:rsidR="00EF3E42" w:rsidRPr="00CA4C14" w:rsidRDefault="00EF3E42" w:rsidP="00716F96">
            <w:pPr>
              <w:pStyle w:val="Tabletext"/>
              <w:rPr>
                <w:b/>
                <w:bCs/>
                <w:lang w:val="ru-RU" w:eastAsia="en-GB"/>
              </w:rPr>
            </w:pPr>
            <w:r w:rsidRPr="00CA4C14">
              <w:rPr>
                <w:b/>
                <w:bCs/>
                <w:szCs w:val="18"/>
                <w:lang w:val="ru-RU"/>
              </w:rPr>
              <w:t>Всего − 31 декабря 2023 г.</w:t>
            </w:r>
          </w:p>
        </w:tc>
        <w:tc>
          <w:tcPr>
            <w:tcW w:w="486" w:type="pct"/>
            <w:tcBorders>
              <w:top w:val="nil"/>
              <w:left w:val="nil"/>
              <w:bottom w:val="nil"/>
              <w:right w:val="nil"/>
            </w:tcBorders>
            <w:shd w:val="clear" w:color="000000" w:fill="0070C0"/>
            <w:noWrap/>
            <w:vAlign w:val="center"/>
            <w:hideMark/>
          </w:tcPr>
          <w:p w14:paraId="1C692B5B" w14:textId="77777777" w:rsidR="00EF3E42" w:rsidRPr="00CA4C14" w:rsidRDefault="00EF3E42" w:rsidP="00485FF5">
            <w:pPr>
              <w:pStyle w:val="Tabletext"/>
              <w:jc w:val="right"/>
              <w:rPr>
                <w:b/>
                <w:bCs/>
                <w:lang w:val="ru-RU" w:eastAsia="en-GB"/>
              </w:rPr>
            </w:pPr>
            <w:r w:rsidRPr="00CA4C14">
              <w:rPr>
                <w:b/>
                <w:bCs/>
                <w:lang w:val="ru-RU" w:eastAsia="en-GB"/>
              </w:rPr>
              <w:t xml:space="preserve">693 </w:t>
            </w:r>
          </w:p>
        </w:tc>
        <w:tc>
          <w:tcPr>
            <w:tcW w:w="478" w:type="pct"/>
            <w:tcBorders>
              <w:top w:val="nil"/>
              <w:left w:val="nil"/>
              <w:bottom w:val="nil"/>
              <w:right w:val="nil"/>
            </w:tcBorders>
            <w:shd w:val="clear" w:color="000000" w:fill="0070C0"/>
            <w:noWrap/>
            <w:vAlign w:val="center"/>
            <w:hideMark/>
          </w:tcPr>
          <w:p w14:paraId="09B0F9BC" w14:textId="77777777" w:rsidR="00EF3E42" w:rsidRPr="00CA4C14" w:rsidRDefault="00EF3E42" w:rsidP="00485FF5">
            <w:pPr>
              <w:pStyle w:val="Tabletext"/>
              <w:jc w:val="right"/>
              <w:rPr>
                <w:b/>
                <w:bCs/>
                <w:lang w:val="ru-RU" w:eastAsia="en-GB"/>
              </w:rPr>
            </w:pPr>
            <w:r w:rsidRPr="00CA4C14">
              <w:rPr>
                <w:b/>
                <w:bCs/>
                <w:lang w:val="ru-RU" w:eastAsia="en-GB"/>
              </w:rPr>
              <w:t xml:space="preserve">370 </w:t>
            </w:r>
          </w:p>
        </w:tc>
        <w:tc>
          <w:tcPr>
            <w:tcW w:w="455" w:type="pct"/>
            <w:tcBorders>
              <w:top w:val="nil"/>
              <w:left w:val="nil"/>
              <w:bottom w:val="nil"/>
              <w:right w:val="nil"/>
            </w:tcBorders>
            <w:shd w:val="clear" w:color="000000" w:fill="0070C0"/>
            <w:noWrap/>
            <w:vAlign w:val="center"/>
            <w:hideMark/>
          </w:tcPr>
          <w:p w14:paraId="65695332" w14:textId="77777777" w:rsidR="00EF3E42" w:rsidRPr="00CA4C14" w:rsidRDefault="00EF3E42" w:rsidP="00485FF5">
            <w:pPr>
              <w:pStyle w:val="Tabletext"/>
              <w:jc w:val="right"/>
              <w:rPr>
                <w:b/>
                <w:bCs/>
                <w:lang w:val="ru-RU" w:eastAsia="en-GB"/>
              </w:rPr>
            </w:pPr>
            <w:r w:rsidRPr="00CA4C14">
              <w:rPr>
                <w:b/>
                <w:bCs/>
                <w:lang w:val="ru-RU" w:eastAsia="en-GB"/>
              </w:rPr>
              <w:t>1 085</w:t>
            </w:r>
          </w:p>
        </w:tc>
        <w:tc>
          <w:tcPr>
            <w:tcW w:w="459" w:type="pct"/>
            <w:tcBorders>
              <w:top w:val="nil"/>
              <w:left w:val="nil"/>
              <w:bottom w:val="nil"/>
              <w:right w:val="nil"/>
            </w:tcBorders>
            <w:shd w:val="clear" w:color="000000" w:fill="0070C0"/>
            <w:noWrap/>
            <w:vAlign w:val="center"/>
            <w:hideMark/>
          </w:tcPr>
          <w:p w14:paraId="14A9A452" w14:textId="77777777" w:rsidR="00EF3E42" w:rsidRPr="00CA4C14" w:rsidRDefault="00EF3E42" w:rsidP="00485FF5">
            <w:pPr>
              <w:pStyle w:val="Tabletext"/>
              <w:jc w:val="right"/>
              <w:rPr>
                <w:b/>
                <w:bCs/>
                <w:lang w:val="ru-RU" w:eastAsia="en-GB"/>
              </w:rPr>
            </w:pPr>
            <w:r w:rsidRPr="00CA4C14">
              <w:rPr>
                <w:b/>
                <w:bCs/>
                <w:lang w:val="ru-RU" w:eastAsia="en-GB"/>
              </w:rPr>
              <w:t>1 088</w:t>
            </w:r>
          </w:p>
        </w:tc>
        <w:tc>
          <w:tcPr>
            <w:tcW w:w="585" w:type="pct"/>
            <w:tcBorders>
              <w:top w:val="nil"/>
              <w:left w:val="nil"/>
              <w:bottom w:val="nil"/>
              <w:right w:val="nil"/>
            </w:tcBorders>
            <w:shd w:val="clear" w:color="000000" w:fill="0070C0"/>
            <w:noWrap/>
            <w:vAlign w:val="center"/>
            <w:hideMark/>
          </w:tcPr>
          <w:p w14:paraId="4B119AA1" w14:textId="77777777" w:rsidR="00EF3E42" w:rsidRPr="00CA4C14" w:rsidRDefault="00EF3E42" w:rsidP="00485FF5">
            <w:pPr>
              <w:pStyle w:val="Tabletext"/>
              <w:jc w:val="right"/>
              <w:rPr>
                <w:b/>
                <w:bCs/>
                <w:lang w:val="ru-RU" w:eastAsia="en-GB"/>
              </w:rPr>
            </w:pPr>
            <w:r w:rsidRPr="00CA4C14">
              <w:rPr>
                <w:b/>
                <w:bCs/>
                <w:lang w:val="ru-RU" w:eastAsia="en-GB"/>
              </w:rPr>
              <w:t>1 778</w:t>
            </w:r>
          </w:p>
        </w:tc>
        <w:tc>
          <w:tcPr>
            <w:tcW w:w="585" w:type="pct"/>
            <w:tcBorders>
              <w:top w:val="nil"/>
              <w:left w:val="nil"/>
              <w:bottom w:val="nil"/>
              <w:right w:val="nil"/>
            </w:tcBorders>
            <w:shd w:val="clear" w:color="000000" w:fill="0070C0"/>
            <w:noWrap/>
            <w:vAlign w:val="center"/>
            <w:hideMark/>
          </w:tcPr>
          <w:p w14:paraId="7D65FF35" w14:textId="77777777" w:rsidR="00EF3E42" w:rsidRPr="00CA4C14" w:rsidRDefault="00EF3E42" w:rsidP="00485FF5">
            <w:pPr>
              <w:pStyle w:val="Tabletext"/>
              <w:jc w:val="right"/>
              <w:rPr>
                <w:b/>
                <w:bCs/>
                <w:lang w:val="ru-RU" w:eastAsia="en-GB"/>
              </w:rPr>
            </w:pPr>
            <w:r w:rsidRPr="00CA4C14">
              <w:rPr>
                <w:b/>
                <w:bCs/>
                <w:lang w:val="ru-RU" w:eastAsia="en-GB"/>
              </w:rPr>
              <w:t>1 459</w:t>
            </w:r>
          </w:p>
        </w:tc>
      </w:tr>
    </w:tbl>
    <w:p w14:paraId="0E515B6D" w14:textId="77777777" w:rsidR="00EF3E42" w:rsidRPr="00CA4C14" w:rsidRDefault="00EF3E42" w:rsidP="00953733">
      <w:pPr>
        <w:pStyle w:val="Heading5"/>
        <w:rPr>
          <w:lang w:val="ru-RU"/>
        </w:rPr>
      </w:pPr>
      <w:bookmarkStart w:id="444" w:name="_Toc769272136"/>
      <w:bookmarkStart w:id="445" w:name="_Toc164845568"/>
      <w:bookmarkStart w:id="446" w:name="_Toc168578482"/>
      <w:r w:rsidRPr="00CA4C14">
        <w:rPr>
          <w:lang w:val="ru-RU"/>
        </w:rPr>
        <w:t>Примечание 19</w:t>
      </w:r>
      <w:r w:rsidRPr="00CA4C14">
        <w:rPr>
          <w:lang w:val="ru-RU"/>
        </w:rPr>
        <w:tab/>
      </w:r>
      <w:bookmarkEnd w:id="443"/>
      <w:bookmarkEnd w:id="444"/>
      <w:bookmarkEnd w:id="445"/>
      <w:r w:rsidRPr="00CA4C14">
        <w:rPr>
          <w:lang w:val="ru-RU"/>
        </w:rPr>
        <w:t>Прочая задолженность</w:t>
      </w:r>
      <w:bookmarkEnd w:id="446"/>
    </w:p>
    <w:tbl>
      <w:tblPr>
        <w:tblW w:w="5000" w:type="pct"/>
        <w:jc w:val="center"/>
        <w:tblLayout w:type="fixed"/>
        <w:tblLook w:val="04A0" w:firstRow="1" w:lastRow="0" w:firstColumn="1" w:lastColumn="0" w:noHBand="0" w:noVBand="1"/>
      </w:tblPr>
      <w:tblGrid>
        <w:gridCol w:w="5171"/>
        <w:gridCol w:w="1950"/>
        <w:gridCol w:w="1950"/>
      </w:tblGrid>
      <w:tr w:rsidR="00EF3E42" w:rsidRPr="00CA4C14" w14:paraId="281E321D" w14:textId="77777777" w:rsidTr="00EF3E42">
        <w:trPr>
          <w:jc w:val="center"/>
        </w:trPr>
        <w:tc>
          <w:tcPr>
            <w:tcW w:w="2849" w:type="pct"/>
            <w:tcBorders>
              <w:top w:val="nil"/>
              <w:left w:val="nil"/>
              <w:bottom w:val="nil"/>
              <w:right w:val="nil"/>
            </w:tcBorders>
            <w:shd w:val="clear" w:color="000000" w:fill="0070C0"/>
            <w:vAlign w:val="center"/>
            <w:hideMark/>
          </w:tcPr>
          <w:p w14:paraId="622D2C14" w14:textId="77777777" w:rsidR="00EF3E42" w:rsidRPr="00CA4C14" w:rsidRDefault="00EF3E42" w:rsidP="00227D3A">
            <w:pPr>
              <w:pStyle w:val="Tablehead"/>
              <w:rPr>
                <w:lang w:val="ru-RU" w:eastAsia="en-GB"/>
              </w:rPr>
            </w:pPr>
            <w:r w:rsidRPr="00CA4C14">
              <w:rPr>
                <w:lang w:val="ru-RU" w:eastAsia="en-GB"/>
              </w:rPr>
              <w:t xml:space="preserve">Описание (тыс. шв. фр.) </w:t>
            </w:r>
          </w:p>
        </w:tc>
        <w:tc>
          <w:tcPr>
            <w:tcW w:w="1075" w:type="pct"/>
            <w:tcBorders>
              <w:top w:val="nil"/>
              <w:left w:val="nil"/>
              <w:bottom w:val="nil"/>
              <w:right w:val="nil"/>
            </w:tcBorders>
            <w:shd w:val="clear" w:color="000000" w:fill="0070C0"/>
            <w:vAlign w:val="center"/>
            <w:hideMark/>
          </w:tcPr>
          <w:p w14:paraId="7A00E00A" w14:textId="77777777" w:rsidR="00EF3E42" w:rsidRPr="00CA4C14" w:rsidRDefault="00EF3E42" w:rsidP="00227D3A">
            <w:pPr>
              <w:pStyle w:val="Tablehead"/>
              <w:rPr>
                <w:lang w:val="ru-RU" w:eastAsia="en-GB"/>
              </w:rPr>
            </w:pPr>
            <w:r w:rsidRPr="00CA4C14">
              <w:rPr>
                <w:lang w:val="ru-RU" w:eastAsia="en-GB"/>
              </w:rPr>
              <w:t>31 декабря 2023 г.</w:t>
            </w:r>
          </w:p>
        </w:tc>
        <w:tc>
          <w:tcPr>
            <w:tcW w:w="1075" w:type="pct"/>
            <w:tcBorders>
              <w:top w:val="nil"/>
              <w:left w:val="nil"/>
              <w:bottom w:val="nil"/>
              <w:right w:val="nil"/>
            </w:tcBorders>
            <w:shd w:val="clear" w:color="000000" w:fill="0070C0"/>
            <w:vAlign w:val="center"/>
            <w:hideMark/>
          </w:tcPr>
          <w:p w14:paraId="0E9FEB9A" w14:textId="77777777" w:rsidR="00EF3E42" w:rsidRPr="00CA4C14" w:rsidRDefault="00EF3E42" w:rsidP="00227D3A">
            <w:pPr>
              <w:pStyle w:val="Tablehead"/>
              <w:rPr>
                <w:lang w:val="ru-RU" w:eastAsia="en-GB"/>
              </w:rPr>
            </w:pPr>
            <w:r w:rsidRPr="00CA4C14">
              <w:rPr>
                <w:lang w:val="ru-RU" w:eastAsia="en-GB"/>
              </w:rPr>
              <w:t>31 декабря 2022 г.</w:t>
            </w:r>
          </w:p>
        </w:tc>
      </w:tr>
      <w:tr w:rsidR="00EF3E42" w:rsidRPr="00CA4C14" w14:paraId="2FEA5E6F" w14:textId="77777777" w:rsidTr="00EF3E42">
        <w:trPr>
          <w:jc w:val="center"/>
        </w:trPr>
        <w:tc>
          <w:tcPr>
            <w:tcW w:w="2849" w:type="pct"/>
            <w:tcBorders>
              <w:top w:val="nil"/>
              <w:left w:val="nil"/>
              <w:bottom w:val="nil"/>
              <w:right w:val="nil"/>
            </w:tcBorders>
            <w:shd w:val="clear" w:color="auto" w:fill="auto"/>
            <w:noWrap/>
            <w:hideMark/>
          </w:tcPr>
          <w:p w14:paraId="29753ABC" w14:textId="77777777" w:rsidR="00EF3E42" w:rsidRPr="00CA4C14" w:rsidRDefault="00EF3E42" w:rsidP="007B4C93">
            <w:pPr>
              <w:pStyle w:val="Tabletext"/>
              <w:keepNext/>
              <w:rPr>
                <w:lang w:val="ru-RU" w:eastAsia="en-GB"/>
              </w:rPr>
            </w:pPr>
            <w:r w:rsidRPr="00CA4C14">
              <w:rPr>
                <w:szCs w:val="18"/>
                <w:lang w:val="ru-RU"/>
              </w:rPr>
              <w:t>Кредиторская задолженность</w:t>
            </w:r>
          </w:p>
        </w:tc>
        <w:tc>
          <w:tcPr>
            <w:tcW w:w="1075" w:type="pct"/>
            <w:tcBorders>
              <w:top w:val="nil"/>
              <w:left w:val="nil"/>
              <w:bottom w:val="nil"/>
              <w:right w:val="nil"/>
            </w:tcBorders>
            <w:shd w:val="clear" w:color="auto" w:fill="auto"/>
            <w:noWrap/>
            <w:vAlign w:val="bottom"/>
            <w:hideMark/>
          </w:tcPr>
          <w:p w14:paraId="115AFA9E" w14:textId="77777777" w:rsidR="00EF3E42" w:rsidRPr="00CA4C14" w:rsidRDefault="00EF3E42" w:rsidP="007B4C93">
            <w:pPr>
              <w:pStyle w:val="Tabletext"/>
              <w:keepNext/>
              <w:jc w:val="right"/>
              <w:rPr>
                <w:lang w:val="ru-RU" w:eastAsia="en-GB"/>
              </w:rPr>
            </w:pPr>
            <w:r w:rsidRPr="00CA4C14">
              <w:rPr>
                <w:lang w:val="ru-RU" w:eastAsia="en-GB"/>
              </w:rPr>
              <w:t>677</w:t>
            </w:r>
          </w:p>
        </w:tc>
        <w:tc>
          <w:tcPr>
            <w:tcW w:w="1075" w:type="pct"/>
            <w:tcBorders>
              <w:top w:val="nil"/>
              <w:left w:val="nil"/>
              <w:bottom w:val="nil"/>
              <w:right w:val="nil"/>
            </w:tcBorders>
            <w:shd w:val="clear" w:color="auto" w:fill="auto"/>
            <w:noWrap/>
            <w:vAlign w:val="bottom"/>
            <w:hideMark/>
          </w:tcPr>
          <w:p w14:paraId="6A4D3B57" w14:textId="77777777" w:rsidR="00EF3E42" w:rsidRPr="00CA4C14" w:rsidRDefault="00EF3E42" w:rsidP="007B4C93">
            <w:pPr>
              <w:pStyle w:val="Tabletext"/>
              <w:keepNext/>
              <w:jc w:val="right"/>
              <w:rPr>
                <w:lang w:val="ru-RU" w:eastAsia="en-GB"/>
              </w:rPr>
            </w:pPr>
            <w:r w:rsidRPr="00CA4C14">
              <w:rPr>
                <w:lang w:val="ru-RU" w:eastAsia="en-GB"/>
              </w:rPr>
              <w:t>967</w:t>
            </w:r>
          </w:p>
        </w:tc>
      </w:tr>
      <w:tr w:rsidR="00EF3E42" w:rsidRPr="00CA4C14" w14:paraId="619416CE" w14:textId="77777777" w:rsidTr="00EF3E42">
        <w:trPr>
          <w:jc w:val="center"/>
        </w:trPr>
        <w:tc>
          <w:tcPr>
            <w:tcW w:w="2849" w:type="pct"/>
            <w:tcBorders>
              <w:top w:val="nil"/>
              <w:left w:val="nil"/>
              <w:bottom w:val="nil"/>
              <w:right w:val="nil"/>
            </w:tcBorders>
            <w:shd w:val="clear" w:color="auto" w:fill="auto"/>
            <w:noWrap/>
            <w:hideMark/>
          </w:tcPr>
          <w:p w14:paraId="4D359C65" w14:textId="77777777" w:rsidR="00EF3E42" w:rsidRPr="00CA4C14" w:rsidRDefault="00EF3E42" w:rsidP="007B4C93">
            <w:pPr>
              <w:pStyle w:val="Tabletext"/>
              <w:keepNext/>
              <w:rPr>
                <w:lang w:val="ru-RU" w:eastAsia="en-GB"/>
              </w:rPr>
            </w:pPr>
            <w:r w:rsidRPr="00CA4C14">
              <w:rPr>
                <w:szCs w:val="18"/>
                <w:lang w:val="ru-RU"/>
              </w:rPr>
              <w:t>Различная задолженность по персоналу</w:t>
            </w:r>
          </w:p>
        </w:tc>
        <w:tc>
          <w:tcPr>
            <w:tcW w:w="1075" w:type="pct"/>
            <w:tcBorders>
              <w:top w:val="nil"/>
              <w:left w:val="nil"/>
              <w:bottom w:val="nil"/>
              <w:right w:val="nil"/>
            </w:tcBorders>
            <w:shd w:val="clear" w:color="auto" w:fill="auto"/>
            <w:noWrap/>
            <w:vAlign w:val="bottom"/>
            <w:hideMark/>
          </w:tcPr>
          <w:p w14:paraId="1CBDA0E4" w14:textId="77777777" w:rsidR="00EF3E42" w:rsidRPr="00CA4C14" w:rsidRDefault="00EF3E42" w:rsidP="007B4C93">
            <w:pPr>
              <w:pStyle w:val="Tabletext"/>
              <w:keepNext/>
              <w:jc w:val="right"/>
              <w:rPr>
                <w:lang w:val="ru-RU" w:eastAsia="en-GB"/>
              </w:rPr>
            </w:pPr>
            <w:r w:rsidRPr="00CA4C14">
              <w:rPr>
                <w:lang w:val="ru-RU" w:eastAsia="en-GB"/>
              </w:rPr>
              <w:t>2 176</w:t>
            </w:r>
          </w:p>
        </w:tc>
        <w:tc>
          <w:tcPr>
            <w:tcW w:w="1075" w:type="pct"/>
            <w:tcBorders>
              <w:top w:val="nil"/>
              <w:left w:val="nil"/>
              <w:bottom w:val="nil"/>
              <w:right w:val="nil"/>
            </w:tcBorders>
            <w:shd w:val="clear" w:color="auto" w:fill="auto"/>
            <w:noWrap/>
            <w:vAlign w:val="bottom"/>
            <w:hideMark/>
          </w:tcPr>
          <w:p w14:paraId="31D20845" w14:textId="77777777" w:rsidR="00EF3E42" w:rsidRPr="00CA4C14" w:rsidRDefault="00EF3E42" w:rsidP="007B4C93">
            <w:pPr>
              <w:pStyle w:val="Tabletext"/>
              <w:keepNext/>
              <w:jc w:val="right"/>
              <w:rPr>
                <w:lang w:val="ru-RU" w:eastAsia="en-GB"/>
              </w:rPr>
            </w:pPr>
            <w:r w:rsidRPr="00CA4C14">
              <w:rPr>
                <w:lang w:val="ru-RU" w:eastAsia="en-GB"/>
              </w:rPr>
              <w:t>1 236</w:t>
            </w:r>
          </w:p>
        </w:tc>
      </w:tr>
      <w:tr w:rsidR="00EF3E42" w:rsidRPr="00CA4C14" w14:paraId="77AA6DC5" w14:textId="77777777" w:rsidTr="00EF3E42">
        <w:trPr>
          <w:jc w:val="center"/>
        </w:trPr>
        <w:tc>
          <w:tcPr>
            <w:tcW w:w="2849" w:type="pct"/>
            <w:tcBorders>
              <w:top w:val="nil"/>
              <w:left w:val="nil"/>
              <w:bottom w:val="nil"/>
              <w:right w:val="nil"/>
            </w:tcBorders>
            <w:shd w:val="clear" w:color="auto" w:fill="auto"/>
            <w:noWrap/>
            <w:hideMark/>
          </w:tcPr>
          <w:p w14:paraId="093BD194" w14:textId="77777777" w:rsidR="00EF3E42" w:rsidRPr="00CA4C14" w:rsidRDefault="00EF3E42" w:rsidP="007B4C93">
            <w:pPr>
              <w:pStyle w:val="Tabletext"/>
              <w:keepNext/>
              <w:rPr>
                <w:lang w:val="ru-RU" w:eastAsia="en-GB"/>
              </w:rPr>
            </w:pPr>
            <w:r w:rsidRPr="00CA4C14">
              <w:rPr>
                <w:szCs w:val="18"/>
                <w:lang w:val="ru-RU"/>
              </w:rPr>
              <w:t>Полученные товары/полученные счета-фактуры</w:t>
            </w:r>
          </w:p>
        </w:tc>
        <w:tc>
          <w:tcPr>
            <w:tcW w:w="1075" w:type="pct"/>
            <w:tcBorders>
              <w:top w:val="nil"/>
              <w:left w:val="nil"/>
              <w:bottom w:val="nil"/>
              <w:right w:val="nil"/>
            </w:tcBorders>
            <w:shd w:val="clear" w:color="auto" w:fill="auto"/>
            <w:noWrap/>
            <w:vAlign w:val="bottom"/>
            <w:hideMark/>
          </w:tcPr>
          <w:p w14:paraId="56E3CE17" w14:textId="77777777" w:rsidR="00EF3E42" w:rsidRPr="00CA4C14" w:rsidRDefault="00EF3E42" w:rsidP="007B4C93">
            <w:pPr>
              <w:pStyle w:val="Tabletext"/>
              <w:keepNext/>
              <w:jc w:val="right"/>
              <w:rPr>
                <w:lang w:val="ru-RU" w:eastAsia="en-GB"/>
              </w:rPr>
            </w:pPr>
            <w:r w:rsidRPr="00CA4C14">
              <w:rPr>
                <w:lang w:val="ru-RU" w:eastAsia="en-GB"/>
              </w:rPr>
              <w:t>202</w:t>
            </w:r>
          </w:p>
        </w:tc>
        <w:tc>
          <w:tcPr>
            <w:tcW w:w="1075" w:type="pct"/>
            <w:tcBorders>
              <w:top w:val="nil"/>
              <w:left w:val="nil"/>
              <w:bottom w:val="nil"/>
              <w:right w:val="nil"/>
            </w:tcBorders>
            <w:shd w:val="clear" w:color="auto" w:fill="auto"/>
            <w:noWrap/>
            <w:vAlign w:val="bottom"/>
            <w:hideMark/>
          </w:tcPr>
          <w:p w14:paraId="7C663273" w14:textId="77777777" w:rsidR="00EF3E42" w:rsidRPr="00CA4C14" w:rsidRDefault="00EF3E42" w:rsidP="007B4C93">
            <w:pPr>
              <w:pStyle w:val="Tabletext"/>
              <w:keepNext/>
              <w:jc w:val="right"/>
              <w:rPr>
                <w:lang w:val="ru-RU" w:eastAsia="en-GB"/>
              </w:rPr>
            </w:pPr>
            <w:r w:rsidRPr="00CA4C14">
              <w:rPr>
                <w:lang w:val="ru-RU" w:eastAsia="en-GB"/>
              </w:rPr>
              <w:t>21</w:t>
            </w:r>
          </w:p>
        </w:tc>
      </w:tr>
      <w:tr w:rsidR="00EF3E42" w:rsidRPr="00CA4C14" w14:paraId="4943C616" w14:textId="77777777" w:rsidTr="00EF3E42">
        <w:trPr>
          <w:jc w:val="center"/>
        </w:trPr>
        <w:tc>
          <w:tcPr>
            <w:tcW w:w="2849" w:type="pct"/>
            <w:tcBorders>
              <w:top w:val="nil"/>
              <w:left w:val="nil"/>
              <w:bottom w:val="nil"/>
              <w:right w:val="nil"/>
            </w:tcBorders>
            <w:shd w:val="clear" w:color="auto" w:fill="auto"/>
            <w:noWrap/>
            <w:hideMark/>
          </w:tcPr>
          <w:p w14:paraId="6042127B" w14:textId="77777777" w:rsidR="00EF3E42" w:rsidRPr="00CA4C14" w:rsidRDefault="00EF3E42" w:rsidP="007B4C93">
            <w:pPr>
              <w:pStyle w:val="Tabletext"/>
              <w:keepNext/>
              <w:rPr>
                <w:lang w:val="ru-RU" w:eastAsia="en-GB"/>
              </w:rPr>
            </w:pPr>
            <w:r w:rsidRPr="00CA4C14">
              <w:rPr>
                <w:szCs w:val="18"/>
                <w:lang w:val="ru-RU"/>
              </w:rPr>
              <w:t>ПРООН</w:t>
            </w:r>
          </w:p>
        </w:tc>
        <w:tc>
          <w:tcPr>
            <w:tcW w:w="1075" w:type="pct"/>
            <w:tcBorders>
              <w:top w:val="nil"/>
              <w:left w:val="nil"/>
              <w:bottom w:val="nil"/>
              <w:right w:val="nil"/>
            </w:tcBorders>
            <w:shd w:val="clear" w:color="auto" w:fill="auto"/>
            <w:noWrap/>
            <w:vAlign w:val="bottom"/>
            <w:hideMark/>
          </w:tcPr>
          <w:p w14:paraId="61CBD285" w14:textId="77777777" w:rsidR="00EF3E42" w:rsidRPr="00CA4C14" w:rsidRDefault="00EF3E42" w:rsidP="007B4C93">
            <w:pPr>
              <w:pStyle w:val="Tabletext"/>
              <w:keepNext/>
              <w:jc w:val="right"/>
              <w:rPr>
                <w:lang w:val="ru-RU" w:eastAsia="en-GB"/>
              </w:rPr>
            </w:pPr>
            <w:r w:rsidRPr="00CA4C14">
              <w:rPr>
                <w:lang w:val="ru-RU" w:eastAsia="en-GB"/>
              </w:rPr>
              <w:t>2</w:t>
            </w:r>
          </w:p>
        </w:tc>
        <w:tc>
          <w:tcPr>
            <w:tcW w:w="1075" w:type="pct"/>
            <w:tcBorders>
              <w:top w:val="nil"/>
              <w:left w:val="nil"/>
              <w:bottom w:val="nil"/>
              <w:right w:val="nil"/>
            </w:tcBorders>
            <w:shd w:val="clear" w:color="auto" w:fill="auto"/>
            <w:noWrap/>
            <w:vAlign w:val="bottom"/>
            <w:hideMark/>
          </w:tcPr>
          <w:p w14:paraId="6358305A" w14:textId="77777777" w:rsidR="00EF3E42" w:rsidRPr="00CA4C14" w:rsidRDefault="00EF3E42" w:rsidP="007B4C93">
            <w:pPr>
              <w:pStyle w:val="Tabletext"/>
              <w:keepNext/>
              <w:jc w:val="right"/>
              <w:rPr>
                <w:lang w:val="ru-RU" w:eastAsia="en-GB"/>
              </w:rPr>
            </w:pPr>
            <w:r w:rsidRPr="00CA4C14">
              <w:rPr>
                <w:lang w:val="ru-RU" w:eastAsia="en-GB"/>
              </w:rPr>
              <w:t>6</w:t>
            </w:r>
          </w:p>
        </w:tc>
      </w:tr>
      <w:tr w:rsidR="00EF3E42" w:rsidRPr="00CA4C14" w14:paraId="7B657754" w14:textId="77777777" w:rsidTr="00EF3E42">
        <w:trPr>
          <w:jc w:val="center"/>
        </w:trPr>
        <w:tc>
          <w:tcPr>
            <w:tcW w:w="2849" w:type="pct"/>
            <w:tcBorders>
              <w:top w:val="nil"/>
              <w:left w:val="nil"/>
              <w:bottom w:val="nil"/>
              <w:right w:val="nil"/>
            </w:tcBorders>
            <w:shd w:val="clear" w:color="000000" w:fill="0070C0"/>
            <w:noWrap/>
            <w:vAlign w:val="center"/>
            <w:hideMark/>
          </w:tcPr>
          <w:p w14:paraId="48130838" w14:textId="77777777" w:rsidR="00EF3E42" w:rsidRPr="00CA4C14" w:rsidRDefault="00EF3E42" w:rsidP="00227D3A">
            <w:pPr>
              <w:pStyle w:val="Tabletext"/>
              <w:rPr>
                <w:b/>
                <w:bCs/>
                <w:lang w:val="ru-RU" w:eastAsia="en-GB"/>
              </w:rPr>
            </w:pPr>
            <w:r w:rsidRPr="00CA4C14">
              <w:rPr>
                <w:b/>
                <w:bCs/>
                <w:szCs w:val="18"/>
                <w:lang w:val="ru-RU"/>
              </w:rPr>
              <w:t>Всего − Прочая задолженность</w:t>
            </w:r>
          </w:p>
        </w:tc>
        <w:tc>
          <w:tcPr>
            <w:tcW w:w="1075" w:type="pct"/>
            <w:tcBorders>
              <w:top w:val="nil"/>
              <w:left w:val="nil"/>
              <w:bottom w:val="nil"/>
              <w:right w:val="nil"/>
            </w:tcBorders>
            <w:shd w:val="clear" w:color="000000" w:fill="0070C0"/>
            <w:noWrap/>
            <w:vAlign w:val="center"/>
            <w:hideMark/>
          </w:tcPr>
          <w:p w14:paraId="1D2F1819" w14:textId="77777777" w:rsidR="00EF3E42" w:rsidRPr="00CA4C14" w:rsidRDefault="00EF3E42" w:rsidP="00227D3A">
            <w:pPr>
              <w:pStyle w:val="Tabletext"/>
              <w:jc w:val="right"/>
              <w:rPr>
                <w:b/>
                <w:bCs/>
                <w:lang w:val="ru-RU" w:eastAsia="en-GB"/>
              </w:rPr>
            </w:pPr>
            <w:r w:rsidRPr="00CA4C14">
              <w:rPr>
                <w:b/>
                <w:bCs/>
                <w:lang w:val="ru-RU" w:eastAsia="en-GB"/>
              </w:rPr>
              <w:t>3 057</w:t>
            </w:r>
          </w:p>
        </w:tc>
        <w:tc>
          <w:tcPr>
            <w:tcW w:w="1075" w:type="pct"/>
            <w:tcBorders>
              <w:top w:val="nil"/>
              <w:left w:val="nil"/>
              <w:bottom w:val="nil"/>
              <w:right w:val="nil"/>
            </w:tcBorders>
            <w:shd w:val="clear" w:color="000000" w:fill="0070C0"/>
            <w:noWrap/>
            <w:vAlign w:val="center"/>
            <w:hideMark/>
          </w:tcPr>
          <w:p w14:paraId="32BC430F" w14:textId="77777777" w:rsidR="00EF3E42" w:rsidRPr="00CA4C14" w:rsidRDefault="00EF3E42" w:rsidP="00227D3A">
            <w:pPr>
              <w:pStyle w:val="Tabletext"/>
              <w:jc w:val="right"/>
              <w:rPr>
                <w:b/>
                <w:bCs/>
                <w:lang w:val="ru-RU" w:eastAsia="en-GB"/>
              </w:rPr>
            </w:pPr>
            <w:r w:rsidRPr="00CA4C14">
              <w:rPr>
                <w:b/>
                <w:bCs/>
                <w:lang w:val="ru-RU" w:eastAsia="en-GB"/>
              </w:rPr>
              <w:t>2 230</w:t>
            </w:r>
          </w:p>
        </w:tc>
      </w:tr>
    </w:tbl>
    <w:p w14:paraId="7E9FCC65" w14:textId="77777777" w:rsidR="00EF3E42" w:rsidRPr="00CA4C14" w:rsidRDefault="00EF3E42" w:rsidP="00953733">
      <w:pPr>
        <w:pStyle w:val="Heading5"/>
        <w:rPr>
          <w:lang w:val="ru-RU"/>
        </w:rPr>
      </w:pPr>
      <w:bookmarkStart w:id="447" w:name="_Toc305764102"/>
      <w:bookmarkStart w:id="448" w:name="_Toc477055430"/>
      <w:bookmarkStart w:id="449" w:name="_Toc164845569"/>
      <w:bookmarkStart w:id="450" w:name="_Toc168578483"/>
      <w:r w:rsidRPr="00CA4C14">
        <w:rPr>
          <w:lang w:val="ru-RU"/>
        </w:rPr>
        <w:t>Примечание 20</w:t>
      </w:r>
      <w:r w:rsidRPr="00CA4C14">
        <w:rPr>
          <w:lang w:val="ru-RU"/>
        </w:rPr>
        <w:tab/>
      </w:r>
      <w:bookmarkEnd w:id="447"/>
      <w:bookmarkEnd w:id="448"/>
      <w:bookmarkEnd w:id="449"/>
      <w:r w:rsidRPr="00CA4C14">
        <w:rPr>
          <w:lang w:val="ru-RU"/>
        </w:rPr>
        <w:t>Внебюджетные средства</w:t>
      </w:r>
      <w:bookmarkEnd w:id="450"/>
    </w:p>
    <w:p w14:paraId="53713AB2" w14:textId="77777777" w:rsidR="00EF3E42" w:rsidRPr="00CA4C14" w:rsidRDefault="00EF3E42" w:rsidP="00F52869">
      <w:pPr>
        <w:rPr>
          <w:lang w:val="ru-RU"/>
        </w:rPr>
      </w:pPr>
      <w:r w:rsidRPr="00CA4C14">
        <w:rPr>
          <w:lang w:val="ru-RU"/>
        </w:rPr>
        <w:t>Выделенные средства третьих сторон относятся к подписанным и обязательным к исполнению соглашениям, средства третьих сторон, находящиеся в процессе выделения – это средства, находящиеся в процессе предоставления, а средства третьих сторон, которые должны быть получены, относятся к соглашениям, подписанным в текущем финансовом году, счета по которым уже выставлены, но средства еще не получены.</w:t>
      </w:r>
    </w:p>
    <w:p w14:paraId="39E5B02E" w14:textId="77777777" w:rsidR="00EF3E42" w:rsidRPr="00CA4C14" w:rsidRDefault="00EF3E42" w:rsidP="00EF3E42">
      <w:pPr>
        <w:spacing w:after="120"/>
        <w:rPr>
          <w:lang w:val="ru-RU"/>
        </w:rPr>
      </w:pPr>
      <w:r w:rsidRPr="00CA4C14">
        <w:rPr>
          <w:lang w:val="ru-RU"/>
        </w:rPr>
        <w:t>Как указано в Примечании 2, информация за 2022 год, приведенная в таблице ниже, была обновлена с целью представления более качественной информации и разделения текущих и долгосрочных средств третьих сторон по состоянию на конец года. Кроме того, в таблицу включены средства третьих сторон, которые должны быть получены и которые относятся к соглашениям, подписанным в течение каждого соответствующего года, счета по которым уже выставлены, а получение средств ожидается в следующем периоде.</w:t>
      </w:r>
    </w:p>
    <w:tbl>
      <w:tblPr>
        <w:tblW w:w="5000" w:type="pct"/>
        <w:jc w:val="center"/>
        <w:tblLook w:val="04A0" w:firstRow="1" w:lastRow="0" w:firstColumn="1" w:lastColumn="0" w:noHBand="0" w:noVBand="1"/>
      </w:tblPr>
      <w:tblGrid>
        <w:gridCol w:w="5189"/>
        <w:gridCol w:w="1941"/>
        <w:gridCol w:w="1941"/>
      </w:tblGrid>
      <w:tr w:rsidR="00EF3E42" w:rsidRPr="00CA4C14" w14:paraId="5C4B8F9E" w14:textId="77777777" w:rsidTr="00EF3E42">
        <w:trPr>
          <w:jc w:val="center"/>
        </w:trPr>
        <w:tc>
          <w:tcPr>
            <w:tcW w:w="2860" w:type="pct"/>
            <w:tcBorders>
              <w:top w:val="nil"/>
              <w:left w:val="nil"/>
              <w:bottom w:val="nil"/>
              <w:right w:val="nil"/>
            </w:tcBorders>
            <w:shd w:val="clear" w:color="000000" w:fill="0070C0"/>
            <w:noWrap/>
            <w:vAlign w:val="center"/>
            <w:hideMark/>
          </w:tcPr>
          <w:p w14:paraId="3BA4B5AB" w14:textId="77777777" w:rsidR="00EF3E42" w:rsidRPr="00CA4C14" w:rsidRDefault="00EF3E42" w:rsidP="00227D3A">
            <w:pPr>
              <w:pStyle w:val="Tablehead"/>
              <w:rPr>
                <w:lang w:val="ru-RU" w:eastAsia="en-GB"/>
              </w:rPr>
            </w:pPr>
            <w:r w:rsidRPr="00CA4C14">
              <w:rPr>
                <w:lang w:val="ru-RU" w:eastAsia="en-GB"/>
              </w:rPr>
              <w:t xml:space="preserve">Описание (тыс. шв. фр.) </w:t>
            </w:r>
          </w:p>
        </w:tc>
        <w:tc>
          <w:tcPr>
            <w:tcW w:w="1070" w:type="pct"/>
            <w:tcBorders>
              <w:top w:val="nil"/>
              <w:left w:val="nil"/>
              <w:bottom w:val="nil"/>
              <w:right w:val="nil"/>
            </w:tcBorders>
            <w:shd w:val="clear" w:color="000000" w:fill="0070C0"/>
            <w:vAlign w:val="center"/>
            <w:hideMark/>
          </w:tcPr>
          <w:p w14:paraId="38DA3C9C" w14:textId="77777777" w:rsidR="00EF3E42" w:rsidRPr="00CA4C14" w:rsidRDefault="00EF3E42" w:rsidP="00227D3A">
            <w:pPr>
              <w:pStyle w:val="Tablehead"/>
              <w:rPr>
                <w:lang w:val="ru-RU" w:eastAsia="en-GB"/>
              </w:rPr>
            </w:pPr>
            <w:r w:rsidRPr="00CA4C14">
              <w:rPr>
                <w:lang w:val="ru-RU" w:eastAsia="en-GB"/>
              </w:rPr>
              <w:t>31 декабря 2023 г.</w:t>
            </w:r>
          </w:p>
        </w:tc>
        <w:tc>
          <w:tcPr>
            <w:tcW w:w="1070" w:type="pct"/>
            <w:tcBorders>
              <w:top w:val="nil"/>
              <w:left w:val="nil"/>
              <w:bottom w:val="nil"/>
              <w:right w:val="nil"/>
            </w:tcBorders>
            <w:shd w:val="clear" w:color="000000" w:fill="0070C0"/>
            <w:vAlign w:val="center"/>
            <w:hideMark/>
          </w:tcPr>
          <w:p w14:paraId="2753FE32" w14:textId="77777777" w:rsidR="00EF3E42" w:rsidRPr="00CA4C14" w:rsidRDefault="00EF3E42" w:rsidP="00227D3A">
            <w:pPr>
              <w:pStyle w:val="Tablehead"/>
              <w:rPr>
                <w:lang w:val="ru-RU" w:eastAsia="en-GB"/>
              </w:rPr>
            </w:pPr>
            <w:r w:rsidRPr="00CA4C14">
              <w:rPr>
                <w:lang w:val="ru-RU" w:eastAsia="en-GB"/>
              </w:rPr>
              <w:t>31 декабря 2022 г.</w:t>
            </w:r>
          </w:p>
        </w:tc>
      </w:tr>
      <w:tr w:rsidR="00EF3E42" w:rsidRPr="00CA4C14" w14:paraId="46A12DAB" w14:textId="77777777" w:rsidTr="00EF3E42">
        <w:trPr>
          <w:jc w:val="center"/>
        </w:trPr>
        <w:tc>
          <w:tcPr>
            <w:tcW w:w="2860" w:type="pct"/>
            <w:tcBorders>
              <w:top w:val="nil"/>
              <w:left w:val="nil"/>
              <w:bottom w:val="nil"/>
              <w:right w:val="nil"/>
            </w:tcBorders>
            <w:shd w:val="clear" w:color="auto" w:fill="auto"/>
            <w:vAlign w:val="center"/>
            <w:hideMark/>
          </w:tcPr>
          <w:p w14:paraId="59D176DD" w14:textId="77777777" w:rsidR="00EF3E42" w:rsidRPr="00CA4C14" w:rsidRDefault="00EF3E42" w:rsidP="00227D3A">
            <w:pPr>
              <w:pStyle w:val="Tabletext"/>
              <w:keepNext/>
              <w:rPr>
                <w:lang w:val="ru-RU" w:eastAsia="en-GB"/>
              </w:rPr>
            </w:pPr>
            <w:r w:rsidRPr="00CA4C14">
              <w:rPr>
                <w:lang w:val="ru-RU"/>
              </w:rPr>
              <w:t>Выделенные средства третьих сторон, текущие</w:t>
            </w:r>
          </w:p>
        </w:tc>
        <w:tc>
          <w:tcPr>
            <w:tcW w:w="1070" w:type="pct"/>
            <w:tcBorders>
              <w:top w:val="nil"/>
              <w:left w:val="nil"/>
              <w:bottom w:val="nil"/>
              <w:right w:val="nil"/>
            </w:tcBorders>
            <w:shd w:val="clear" w:color="auto" w:fill="auto"/>
            <w:noWrap/>
            <w:hideMark/>
          </w:tcPr>
          <w:p w14:paraId="53C9EDA7"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19 614</w:t>
            </w:r>
          </w:p>
        </w:tc>
        <w:tc>
          <w:tcPr>
            <w:tcW w:w="1070" w:type="pct"/>
            <w:tcBorders>
              <w:top w:val="nil"/>
              <w:left w:val="nil"/>
              <w:bottom w:val="nil"/>
              <w:right w:val="nil"/>
            </w:tcBorders>
            <w:shd w:val="clear" w:color="auto" w:fill="auto"/>
            <w:noWrap/>
            <w:vAlign w:val="bottom"/>
            <w:hideMark/>
          </w:tcPr>
          <w:p w14:paraId="04AEF2B1"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22 749</w:t>
            </w:r>
          </w:p>
        </w:tc>
      </w:tr>
      <w:tr w:rsidR="00EF3E42" w:rsidRPr="00CA4C14" w14:paraId="0E96A1E0" w14:textId="77777777" w:rsidTr="00EF3E42">
        <w:trPr>
          <w:jc w:val="center"/>
        </w:trPr>
        <w:tc>
          <w:tcPr>
            <w:tcW w:w="2860" w:type="pct"/>
            <w:tcBorders>
              <w:top w:val="nil"/>
              <w:left w:val="nil"/>
              <w:bottom w:val="nil"/>
              <w:right w:val="nil"/>
            </w:tcBorders>
            <w:shd w:val="clear" w:color="auto" w:fill="auto"/>
            <w:vAlign w:val="center"/>
            <w:hideMark/>
          </w:tcPr>
          <w:p w14:paraId="3061C9E5" w14:textId="77777777" w:rsidR="00EF3E42" w:rsidRPr="00CA4C14" w:rsidRDefault="00EF3E42" w:rsidP="00227D3A">
            <w:pPr>
              <w:pStyle w:val="Tabletext"/>
              <w:keepNext/>
              <w:rPr>
                <w:lang w:val="ru-RU"/>
              </w:rPr>
            </w:pPr>
            <w:r w:rsidRPr="00CA4C14">
              <w:rPr>
                <w:lang w:val="ru-RU"/>
              </w:rPr>
              <w:t>Средства третьих сторон, находящиеся в процессе выделения</w:t>
            </w:r>
          </w:p>
        </w:tc>
        <w:tc>
          <w:tcPr>
            <w:tcW w:w="1070" w:type="pct"/>
            <w:tcBorders>
              <w:top w:val="nil"/>
              <w:left w:val="nil"/>
              <w:bottom w:val="nil"/>
              <w:right w:val="nil"/>
            </w:tcBorders>
            <w:shd w:val="clear" w:color="auto" w:fill="auto"/>
            <w:noWrap/>
            <w:hideMark/>
          </w:tcPr>
          <w:p w14:paraId="328B28B0"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3 405</w:t>
            </w:r>
          </w:p>
        </w:tc>
        <w:tc>
          <w:tcPr>
            <w:tcW w:w="1070" w:type="pct"/>
            <w:tcBorders>
              <w:top w:val="nil"/>
              <w:left w:val="nil"/>
              <w:bottom w:val="nil"/>
              <w:right w:val="nil"/>
            </w:tcBorders>
            <w:shd w:val="clear" w:color="auto" w:fill="auto"/>
            <w:noWrap/>
            <w:vAlign w:val="bottom"/>
            <w:hideMark/>
          </w:tcPr>
          <w:p w14:paraId="1FA4C141"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2 679</w:t>
            </w:r>
          </w:p>
        </w:tc>
      </w:tr>
      <w:tr w:rsidR="00EF3E42" w:rsidRPr="00CA4C14" w14:paraId="68A7A9E3" w14:textId="77777777" w:rsidTr="00EF3E42">
        <w:trPr>
          <w:jc w:val="center"/>
        </w:trPr>
        <w:tc>
          <w:tcPr>
            <w:tcW w:w="2860" w:type="pct"/>
            <w:tcBorders>
              <w:top w:val="nil"/>
              <w:left w:val="nil"/>
              <w:bottom w:val="nil"/>
              <w:right w:val="nil"/>
            </w:tcBorders>
            <w:shd w:val="clear" w:color="auto" w:fill="auto"/>
            <w:vAlign w:val="center"/>
            <w:hideMark/>
          </w:tcPr>
          <w:p w14:paraId="43CCB7E3" w14:textId="77777777" w:rsidR="00EF3E42" w:rsidRPr="00CA4C14" w:rsidRDefault="00EF3E42" w:rsidP="0000646E">
            <w:pPr>
              <w:pStyle w:val="Tabletext"/>
              <w:keepNext/>
              <w:rPr>
                <w:lang w:val="ru-RU" w:eastAsia="en-GB"/>
              </w:rPr>
            </w:pPr>
            <w:r w:rsidRPr="00CA4C14">
              <w:rPr>
                <w:lang w:val="ru-RU"/>
              </w:rPr>
              <w:t>Средства третьих сторон, которые должны быть получены</w:t>
            </w:r>
          </w:p>
        </w:tc>
        <w:tc>
          <w:tcPr>
            <w:tcW w:w="1070" w:type="pct"/>
            <w:tcBorders>
              <w:top w:val="nil"/>
              <w:left w:val="nil"/>
              <w:bottom w:val="nil"/>
              <w:right w:val="nil"/>
            </w:tcBorders>
            <w:shd w:val="clear" w:color="auto" w:fill="auto"/>
            <w:noWrap/>
            <w:hideMark/>
          </w:tcPr>
          <w:p w14:paraId="1FB74B12"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1 340</w:t>
            </w:r>
          </w:p>
        </w:tc>
        <w:tc>
          <w:tcPr>
            <w:tcW w:w="1070" w:type="pct"/>
            <w:tcBorders>
              <w:top w:val="nil"/>
              <w:left w:val="nil"/>
              <w:bottom w:val="nil"/>
              <w:right w:val="nil"/>
            </w:tcBorders>
            <w:shd w:val="clear" w:color="auto" w:fill="auto"/>
            <w:noWrap/>
            <w:vAlign w:val="bottom"/>
            <w:hideMark/>
          </w:tcPr>
          <w:p w14:paraId="55C7AF94"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798</w:t>
            </w:r>
          </w:p>
        </w:tc>
      </w:tr>
      <w:tr w:rsidR="00EF3E42" w:rsidRPr="00CA4C14" w14:paraId="71699A97" w14:textId="77777777" w:rsidTr="00EF3E42">
        <w:trPr>
          <w:jc w:val="center"/>
        </w:trPr>
        <w:tc>
          <w:tcPr>
            <w:tcW w:w="2860" w:type="pct"/>
            <w:tcBorders>
              <w:top w:val="nil"/>
              <w:left w:val="nil"/>
              <w:bottom w:val="nil"/>
              <w:right w:val="nil"/>
            </w:tcBorders>
            <w:shd w:val="clear" w:color="auto" w:fill="auto"/>
            <w:noWrap/>
            <w:vAlign w:val="center"/>
            <w:hideMark/>
          </w:tcPr>
          <w:p w14:paraId="032D639A" w14:textId="77777777" w:rsidR="00EF3E42" w:rsidRPr="00CA4C14" w:rsidRDefault="00EF3E42" w:rsidP="0000646E">
            <w:pPr>
              <w:pStyle w:val="Tabletext"/>
              <w:keepNext/>
              <w:rPr>
                <w:b/>
                <w:bCs/>
                <w:color w:val="000000"/>
                <w:lang w:val="ru-RU" w:eastAsia="en-GB"/>
              </w:rPr>
            </w:pPr>
            <w:r w:rsidRPr="00CA4C14">
              <w:rPr>
                <w:b/>
                <w:bCs/>
                <w:color w:val="000000"/>
                <w:lang w:val="ru-RU" w:eastAsia="en-GB"/>
              </w:rPr>
              <w:t>Всего средства третьих сторон, текущие</w:t>
            </w:r>
          </w:p>
        </w:tc>
        <w:tc>
          <w:tcPr>
            <w:tcW w:w="1070" w:type="pct"/>
            <w:tcBorders>
              <w:top w:val="nil"/>
              <w:left w:val="nil"/>
              <w:bottom w:val="nil"/>
              <w:right w:val="nil"/>
            </w:tcBorders>
            <w:shd w:val="clear" w:color="auto" w:fill="auto"/>
            <w:noWrap/>
            <w:hideMark/>
          </w:tcPr>
          <w:p w14:paraId="7F52C144" w14:textId="77777777" w:rsidR="00EF3E42" w:rsidRPr="00CA4C14" w:rsidRDefault="00EF3E42" w:rsidP="00227D3A">
            <w:pPr>
              <w:pStyle w:val="Tabletext"/>
              <w:keepNext/>
              <w:jc w:val="right"/>
              <w:rPr>
                <w:b/>
                <w:bCs/>
                <w:color w:val="000000"/>
                <w:lang w:val="ru-RU" w:eastAsia="en-GB"/>
              </w:rPr>
            </w:pPr>
            <w:r w:rsidRPr="00CA4C14">
              <w:rPr>
                <w:b/>
                <w:bCs/>
                <w:color w:val="000000"/>
                <w:lang w:val="ru-RU" w:eastAsia="en-GB"/>
              </w:rPr>
              <w:t>24 359</w:t>
            </w:r>
          </w:p>
        </w:tc>
        <w:tc>
          <w:tcPr>
            <w:tcW w:w="1070" w:type="pct"/>
            <w:tcBorders>
              <w:top w:val="nil"/>
              <w:left w:val="nil"/>
              <w:bottom w:val="nil"/>
              <w:right w:val="nil"/>
            </w:tcBorders>
            <w:shd w:val="clear" w:color="auto" w:fill="auto"/>
            <w:noWrap/>
            <w:hideMark/>
          </w:tcPr>
          <w:p w14:paraId="24CD41FF" w14:textId="77777777" w:rsidR="00EF3E42" w:rsidRPr="00CA4C14" w:rsidRDefault="00EF3E42" w:rsidP="00227D3A">
            <w:pPr>
              <w:pStyle w:val="Tabletext"/>
              <w:keepNext/>
              <w:jc w:val="right"/>
              <w:rPr>
                <w:b/>
                <w:bCs/>
                <w:color w:val="000000"/>
                <w:lang w:val="ru-RU" w:eastAsia="en-GB"/>
              </w:rPr>
            </w:pPr>
            <w:r w:rsidRPr="00CA4C14">
              <w:rPr>
                <w:b/>
                <w:bCs/>
                <w:color w:val="000000"/>
                <w:lang w:val="ru-RU" w:eastAsia="en-GB"/>
              </w:rPr>
              <w:t>26 226</w:t>
            </w:r>
          </w:p>
        </w:tc>
      </w:tr>
      <w:tr w:rsidR="00EF3E42" w:rsidRPr="00CA4C14" w14:paraId="6EE2B7F6" w14:textId="77777777" w:rsidTr="00EF3E42">
        <w:trPr>
          <w:jc w:val="center"/>
        </w:trPr>
        <w:tc>
          <w:tcPr>
            <w:tcW w:w="2860" w:type="pct"/>
            <w:tcBorders>
              <w:top w:val="nil"/>
              <w:left w:val="nil"/>
              <w:bottom w:val="nil"/>
              <w:right w:val="nil"/>
            </w:tcBorders>
            <w:shd w:val="clear" w:color="auto" w:fill="auto"/>
            <w:noWrap/>
            <w:vAlign w:val="center"/>
            <w:hideMark/>
          </w:tcPr>
          <w:p w14:paraId="7B5C9394" w14:textId="77777777" w:rsidR="00EF3E42" w:rsidRPr="00CA4C14" w:rsidRDefault="00EF3E42" w:rsidP="00FE0DEB">
            <w:pPr>
              <w:pStyle w:val="Tabletext"/>
              <w:keepNext/>
              <w:keepLines/>
              <w:spacing w:before="0" w:after="0"/>
              <w:rPr>
                <w:szCs w:val="18"/>
                <w:lang w:val="ru-RU"/>
              </w:rPr>
            </w:pPr>
          </w:p>
        </w:tc>
        <w:tc>
          <w:tcPr>
            <w:tcW w:w="1070" w:type="pct"/>
            <w:tcBorders>
              <w:top w:val="nil"/>
              <w:left w:val="nil"/>
              <w:bottom w:val="nil"/>
              <w:right w:val="nil"/>
            </w:tcBorders>
            <w:shd w:val="clear" w:color="auto" w:fill="auto"/>
            <w:noWrap/>
            <w:vAlign w:val="center"/>
            <w:hideMark/>
          </w:tcPr>
          <w:p w14:paraId="2996975E" w14:textId="77777777" w:rsidR="00EF3E42" w:rsidRPr="00CA4C14" w:rsidRDefault="00EF3E42" w:rsidP="00FE0DEB">
            <w:pPr>
              <w:pStyle w:val="Tabletext"/>
              <w:keepNext/>
              <w:keepLines/>
              <w:spacing w:before="0" w:after="0"/>
              <w:jc w:val="right"/>
              <w:rPr>
                <w:szCs w:val="18"/>
                <w:lang w:val="ru-RU"/>
              </w:rPr>
            </w:pPr>
          </w:p>
        </w:tc>
        <w:tc>
          <w:tcPr>
            <w:tcW w:w="1070" w:type="pct"/>
            <w:tcBorders>
              <w:top w:val="nil"/>
              <w:left w:val="nil"/>
              <w:bottom w:val="nil"/>
              <w:right w:val="nil"/>
            </w:tcBorders>
            <w:shd w:val="clear" w:color="auto" w:fill="auto"/>
            <w:noWrap/>
            <w:vAlign w:val="center"/>
            <w:hideMark/>
          </w:tcPr>
          <w:p w14:paraId="1139BBB5" w14:textId="77777777" w:rsidR="00EF3E42" w:rsidRPr="00CA4C14" w:rsidRDefault="00EF3E42" w:rsidP="00FE0DEB">
            <w:pPr>
              <w:pStyle w:val="Tabletext"/>
              <w:keepNext/>
              <w:keepLines/>
              <w:spacing w:before="0" w:after="0"/>
              <w:jc w:val="right"/>
              <w:rPr>
                <w:szCs w:val="18"/>
                <w:lang w:val="ru-RU"/>
              </w:rPr>
            </w:pPr>
          </w:p>
        </w:tc>
      </w:tr>
      <w:tr w:rsidR="00EF3E42" w:rsidRPr="00CA4C14" w14:paraId="32ADC635" w14:textId="77777777" w:rsidTr="00EF3E42">
        <w:trPr>
          <w:jc w:val="center"/>
        </w:trPr>
        <w:tc>
          <w:tcPr>
            <w:tcW w:w="2860" w:type="pct"/>
            <w:tcBorders>
              <w:top w:val="nil"/>
              <w:left w:val="nil"/>
              <w:bottom w:val="nil"/>
              <w:right w:val="nil"/>
            </w:tcBorders>
            <w:shd w:val="clear" w:color="auto" w:fill="auto"/>
            <w:vAlign w:val="center"/>
            <w:hideMark/>
          </w:tcPr>
          <w:p w14:paraId="0AB854D4" w14:textId="77777777" w:rsidR="00EF3E42" w:rsidRPr="00CA4C14" w:rsidRDefault="00EF3E42" w:rsidP="0000646E">
            <w:pPr>
              <w:pStyle w:val="Tabletext"/>
              <w:keepNext/>
              <w:rPr>
                <w:lang w:val="ru-RU" w:eastAsia="en-GB"/>
              </w:rPr>
            </w:pPr>
            <w:r w:rsidRPr="00CA4C14">
              <w:rPr>
                <w:lang w:val="ru-RU"/>
              </w:rPr>
              <w:t>Выделенные средства третьих сторон</w:t>
            </w:r>
            <w:r w:rsidRPr="00CA4C14">
              <w:rPr>
                <w:lang w:val="ru-RU" w:eastAsia="en-GB"/>
              </w:rPr>
              <w:t>, долгосрочные</w:t>
            </w:r>
          </w:p>
        </w:tc>
        <w:tc>
          <w:tcPr>
            <w:tcW w:w="1070" w:type="pct"/>
            <w:tcBorders>
              <w:top w:val="nil"/>
              <w:left w:val="nil"/>
              <w:bottom w:val="nil"/>
              <w:right w:val="nil"/>
            </w:tcBorders>
            <w:shd w:val="clear" w:color="auto" w:fill="auto"/>
            <w:noWrap/>
            <w:hideMark/>
          </w:tcPr>
          <w:p w14:paraId="5C9AF140"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14 308</w:t>
            </w:r>
          </w:p>
        </w:tc>
        <w:tc>
          <w:tcPr>
            <w:tcW w:w="1070" w:type="pct"/>
            <w:tcBorders>
              <w:top w:val="nil"/>
              <w:left w:val="nil"/>
              <w:bottom w:val="nil"/>
              <w:right w:val="nil"/>
            </w:tcBorders>
            <w:shd w:val="clear" w:color="auto" w:fill="auto"/>
            <w:noWrap/>
            <w:vAlign w:val="bottom"/>
            <w:hideMark/>
          </w:tcPr>
          <w:p w14:paraId="3F2612D8" w14:textId="77777777" w:rsidR="00EF3E42" w:rsidRPr="00CA4C14" w:rsidRDefault="00EF3E42" w:rsidP="00227D3A">
            <w:pPr>
              <w:pStyle w:val="Tabletext"/>
              <w:keepNext/>
              <w:jc w:val="right"/>
              <w:rPr>
                <w:color w:val="000000"/>
                <w:lang w:val="ru-RU" w:eastAsia="en-GB"/>
              </w:rPr>
            </w:pPr>
            <w:r w:rsidRPr="00CA4C14">
              <w:rPr>
                <w:color w:val="000000"/>
                <w:lang w:val="ru-RU" w:eastAsia="en-GB"/>
              </w:rPr>
              <w:t>12 601</w:t>
            </w:r>
          </w:p>
        </w:tc>
      </w:tr>
      <w:tr w:rsidR="00EF3E42" w:rsidRPr="00CA4C14" w14:paraId="1B697962" w14:textId="77777777" w:rsidTr="00EF3E42">
        <w:trPr>
          <w:jc w:val="center"/>
        </w:trPr>
        <w:tc>
          <w:tcPr>
            <w:tcW w:w="2860" w:type="pct"/>
            <w:tcBorders>
              <w:top w:val="nil"/>
              <w:left w:val="nil"/>
              <w:bottom w:val="nil"/>
              <w:right w:val="nil"/>
            </w:tcBorders>
            <w:shd w:val="clear" w:color="auto" w:fill="auto"/>
            <w:noWrap/>
            <w:vAlign w:val="center"/>
            <w:hideMark/>
          </w:tcPr>
          <w:p w14:paraId="4F999BA5" w14:textId="77777777" w:rsidR="00EF3E42" w:rsidRPr="00CA4C14" w:rsidRDefault="00EF3E42" w:rsidP="0000646E">
            <w:pPr>
              <w:pStyle w:val="Tabletext"/>
              <w:keepNext/>
              <w:rPr>
                <w:b/>
                <w:bCs/>
                <w:color w:val="000000"/>
                <w:lang w:val="ru-RU" w:eastAsia="en-GB"/>
              </w:rPr>
            </w:pPr>
            <w:r w:rsidRPr="00CA4C14">
              <w:rPr>
                <w:b/>
                <w:bCs/>
                <w:color w:val="000000"/>
                <w:lang w:val="ru-RU" w:eastAsia="en-GB"/>
              </w:rPr>
              <w:t>Всего средства третьих сторон, долгосрочные</w:t>
            </w:r>
          </w:p>
        </w:tc>
        <w:tc>
          <w:tcPr>
            <w:tcW w:w="1070" w:type="pct"/>
            <w:tcBorders>
              <w:top w:val="nil"/>
              <w:left w:val="nil"/>
              <w:bottom w:val="nil"/>
              <w:right w:val="nil"/>
            </w:tcBorders>
            <w:shd w:val="clear" w:color="auto" w:fill="auto"/>
            <w:noWrap/>
            <w:hideMark/>
          </w:tcPr>
          <w:p w14:paraId="52F4F237" w14:textId="77777777" w:rsidR="00EF3E42" w:rsidRPr="00CA4C14" w:rsidRDefault="00EF3E42" w:rsidP="00227D3A">
            <w:pPr>
              <w:pStyle w:val="Tabletext"/>
              <w:keepNext/>
              <w:jc w:val="right"/>
              <w:rPr>
                <w:b/>
                <w:bCs/>
                <w:color w:val="000000"/>
                <w:lang w:val="ru-RU" w:eastAsia="en-GB"/>
              </w:rPr>
            </w:pPr>
            <w:r w:rsidRPr="00CA4C14">
              <w:rPr>
                <w:b/>
                <w:bCs/>
                <w:color w:val="000000"/>
                <w:lang w:val="ru-RU" w:eastAsia="en-GB"/>
              </w:rPr>
              <w:t>14 308</w:t>
            </w:r>
          </w:p>
        </w:tc>
        <w:tc>
          <w:tcPr>
            <w:tcW w:w="1070" w:type="pct"/>
            <w:tcBorders>
              <w:top w:val="nil"/>
              <w:left w:val="nil"/>
              <w:bottom w:val="nil"/>
              <w:right w:val="nil"/>
            </w:tcBorders>
            <w:shd w:val="clear" w:color="auto" w:fill="auto"/>
            <w:noWrap/>
            <w:hideMark/>
          </w:tcPr>
          <w:p w14:paraId="19FD09B1" w14:textId="77777777" w:rsidR="00EF3E42" w:rsidRPr="00CA4C14" w:rsidRDefault="00EF3E42" w:rsidP="00227D3A">
            <w:pPr>
              <w:pStyle w:val="Tabletext"/>
              <w:keepNext/>
              <w:jc w:val="right"/>
              <w:rPr>
                <w:b/>
                <w:bCs/>
                <w:color w:val="000000"/>
                <w:lang w:val="ru-RU" w:eastAsia="en-GB"/>
              </w:rPr>
            </w:pPr>
            <w:r w:rsidRPr="00CA4C14">
              <w:rPr>
                <w:b/>
                <w:bCs/>
                <w:color w:val="000000"/>
                <w:lang w:val="ru-RU" w:eastAsia="en-GB"/>
              </w:rPr>
              <w:t>12 601</w:t>
            </w:r>
          </w:p>
        </w:tc>
      </w:tr>
      <w:tr w:rsidR="00EF3E42" w:rsidRPr="00CA4C14" w14:paraId="7A9A4D97" w14:textId="77777777" w:rsidTr="00EF3E42">
        <w:trPr>
          <w:jc w:val="center"/>
        </w:trPr>
        <w:tc>
          <w:tcPr>
            <w:tcW w:w="2860" w:type="pct"/>
            <w:tcBorders>
              <w:top w:val="nil"/>
              <w:left w:val="nil"/>
              <w:bottom w:val="nil"/>
              <w:right w:val="nil"/>
            </w:tcBorders>
            <w:shd w:val="clear" w:color="000000" w:fill="0070C0"/>
            <w:vAlign w:val="center"/>
            <w:hideMark/>
          </w:tcPr>
          <w:p w14:paraId="38627347" w14:textId="77777777" w:rsidR="00EF3E42" w:rsidRPr="00CA4C14" w:rsidRDefault="00EF3E42" w:rsidP="00227D3A">
            <w:pPr>
              <w:pStyle w:val="Tabletext"/>
              <w:rPr>
                <w:b/>
                <w:bCs/>
                <w:lang w:val="ru-RU" w:eastAsia="en-GB"/>
              </w:rPr>
            </w:pPr>
            <w:r w:rsidRPr="00CA4C14">
              <w:rPr>
                <w:b/>
                <w:bCs/>
                <w:szCs w:val="18"/>
                <w:lang w:val="ru-RU"/>
              </w:rPr>
              <w:t>Всего − Средства третьих сторон</w:t>
            </w:r>
          </w:p>
        </w:tc>
        <w:tc>
          <w:tcPr>
            <w:tcW w:w="1070" w:type="pct"/>
            <w:tcBorders>
              <w:top w:val="nil"/>
              <w:left w:val="nil"/>
              <w:bottom w:val="nil"/>
              <w:right w:val="nil"/>
            </w:tcBorders>
            <w:shd w:val="clear" w:color="000000" w:fill="0070C0"/>
            <w:noWrap/>
            <w:vAlign w:val="center"/>
            <w:hideMark/>
          </w:tcPr>
          <w:p w14:paraId="33ED39FE" w14:textId="77777777" w:rsidR="00EF3E42" w:rsidRPr="00CA4C14" w:rsidRDefault="00EF3E42" w:rsidP="00227D3A">
            <w:pPr>
              <w:pStyle w:val="Tabletext"/>
              <w:jc w:val="right"/>
              <w:rPr>
                <w:b/>
                <w:bCs/>
                <w:lang w:val="ru-RU" w:eastAsia="en-GB"/>
              </w:rPr>
            </w:pPr>
            <w:r w:rsidRPr="00CA4C14">
              <w:rPr>
                <w:b/>
                <w:bCs/>
                <w:lang w:val="ru-RU" w:eastAsia="en-GB"/>
              </w:rPr>
              <w:t>38 667</w:t>
            </w:r>
          </w:p>
        </w:tc>
        <w:tc>
          <w:tcPr>
            <w:tcW w:w="1070" w:type="pct"/>
            <w:tcBorders>
              <w:top w:val="nil"/>
              <w:left w:val="nil"/>
              <w:bottom w:val="nil"/>
              <w:right w:val="nil"/>
            </w:tcBorders>
            <w:shd w:val="clear" w:color="000000" w:fill="0070C0"/>
            <w:noWrap/>
            <w:vAlign w:val="center"/>
            <w:hideMark/>
          </w:tcPr>
          <w:p w14:paraId="2ED69EE4" w14:textId="77777777" w:rsidR="00EF3E42" w:rsidRPr="00CA4C14" w:rsidRDefault="00EF3E42" w:rsidP="00227D3A">
            <w:pPr>
              <w:pStyle w:val="Tabletext"/>
              <w:jc w:val="right"/>
              <w:rPr>
                <w:b/>
                <w:bCs/>
                <w:lang w:val="ru-RU" w:eastAsia="en-GB"/>
              </w:rPr>
            </w:pPr>
            <w:r w:rsidRPr="00CA4C14">
              <w:rPr>
                <w:b/>
                <w:bCs/>
                <w:lang w:val="ru-RU" w:eastAsia="en-GB"/>
              </w:rPr>
              <w:t>38 827</w:t>
            </w:r>
          </w:p>
        </w:tc>
      </w:tr>
    </w:tbl>
    <w:p w14:paraId="593AC77D" w14:textId="77777777" w:rsidR="002E1F5B" w:rsidRPr="00CA4C14" w:rsidRDefault="002E1F5B" w:rsidP="002E1F5B">
      <w:pPr>
        <w:pStyle w:val="Heading5"/>
        <w:tabs>
          <w:tab w:val="left" w:pos="3567"/>
        </w:tabs>
        <w:rPr>
          <w:lang w:val="ru-RU"/>
        </w:rPr>
      </w:pPr>
      <w:bookmarkStart w:id="451" w:name="_Toc1546949396"/>
      <w:bookmarkStart w:id="452" w:name="_Toc164845570"/>
      <w:bookmarkStart w:id="453" w:name="_Toc168578484"/>
      <w:r w:rsidRPr="00CA4C14">
        <w:rPr>
          <w:lang w:val="ru-RU"/>
        </w:rPr>
        <w:lastRenderedPageBreak/>
        <w:t>Примечание 21</w:t>
      </w:r>
      <w:r w:rsidRPr="00CA4C14">
        <w:rPr>
          <w:lang w:val="ru-RU"/>
        </w:rPr>
        <w:tab/>
      </w:r>
      <w:bookmarkEnd w:id="451"/>
      <w:bookmarkEnd w:id="452"/>
      <w:r w:rsidRPr="00CA4C14">
        <w:rPr>
          <w:lang w:val="ru-RU"/>
        </w:rPr>
        <w:t>Доходы</w:t>
      </w:r>
      <w:bookmarkEnd w:id="453"/>
    </w:p>
    <w:p w14:paraId="3F03E0D9" w14:textId="77777777" w:rsidR="002E1F5B" w:rsidRPr="00CA4C14" w:rsidRDefault="002E1F5B" w:rsidP="002E1F5B">
      <w:pPr>
        <w:pStyle w:val="Headingb"/>
        <w:rPr>
          <w:lang w:val="ru-RU" w:bidi="ru-RU"/>
        </w:rPr>
      </w:pPr>
      <w:r w:rsidRPr="00CA4C14">
        <w:rPr>
          <w:lang w:val="ru-RU" w:bidi="ru-RU"/>
        </w:rPr>
        <w:t>Начисленные взносы</w:t>
      </w:r>
    </w:p>
    <w:p w14:paraId="12D5C7E4" w14:textId="6ADCB6D8" w:rsidR="002E1F5B" w:rsidRPr="00CA4C14" w:rsidRDefault="002E1F5B" w:rsidP="002E1F5B">
      <w:pPr>
        <w:rPr>
          <w:lang w:val="ru-RU" w:bidi="ru-RU"/>
        </w:rPr>
      </w:pPr>
      <w:r w:rsidRPr="00CA4C14">
        <w:rPr>
          <w:lang w:val="ru-RU" w:bidi="ru-RU"/>
        </w:rPr>
        <w:t>Совет в своей Резолюции 1405, принятой на сессии 2021 года, утвердил бюджет Союза на</w:t>
      </w:r>
      <w:r w:rsidR="00922DE4" w:rsidRPr="00CA4C14">
        <w:rPr>
          <w:lang w:val="ru-RU" w:bidi="ru-RU"/>
        </w:rPr>
        <w:t> </w:t>
      </w:r>
      <w:r w:rsidRPr="00CA4C14">
        <w:rPr>
          <w:lang w:val="ru-RU" w:bidi="ru-RU"/>
        </w:rPr>
        <w:t xml:space="preserve">период </w:t>
      </w:r>
      <w:proofErr w:type="gramStart"/>
      <w:r w:rsidRPr="00CA4C14">
        <w:rPr>
          <w:lang w:val="ru-RU" w:bidi="ru-RU"/>
        </w:rPr>
        <w:t>2022−2023</w:t>
      </w:r>
      <w:proofErr w:type="gramEnd"/>
      <w:r w:rsidRPr="00CA4C14">
        <w:rPr>
          <w:lang w:val="ru-RU" w:bidi="ru-RU"/>
        </w:rPr>
        <w:t> годов.</w:t>
      </w:r>
    </w:p>
    <w:p w14:paraId="2E622E40" w14:textId="77777777" w:rsidR="002E1F5B" w:rsidRPr="00CA4C14" w:rsidRDefault="002E1F5B" w:rsidP="002E1F5B">
      <w:pPr>
        <w:rPr>
          <w:lang w:val="ru-RU" w:bidi="ru-RU"/>
        </w:rPr>
      </w:pPr>
      <w:r w:rsidRPr="00CA4C14">
        <w:rPr>
          <w:lang w:val="ru-RU" w:bidi="ru-RU"/>
        </w:rPr>
        <w:t xml:space="preserve">Доходы от Государств-Членов за 2023 год </w:t>
      </w:r>
      <w:r w:rsidRPr="00CA4C14">
        <w:rPr>
          <w:color w:val="000000"/>
          <w:lang w:val="ru-RU"/>
        </w:rPr>
        <w:t>соответствуют Финансовому плану, представленному на ПК</w:t>
      </w:r>
      <w:r w:rsidRPr="00CA4C14">
        <w:rPr>
          <w:color w:val="000000"/>
          <w:lang w:val="ru-RU"/>
        </w:rPr>
        <w:noBreakHyphen/>
        <w:t>18</w:t>
      </w:r>
      <w:r w:rsidRPr="00CA4C14">
        <w:rPr>
          <w:lang w:val="ru-RU" w:bidi="ru-RU"/>
        </w:rPr>
        <w:t xml:space="preserve">. </w:t>
      </w:r>
      <w:r w:rsidRPr="00CA4C14">
        <w:rPr>
          <w:color w:val="000000"/>
          <w:lang w:val="ru-RU"/>
        </w:rPr>
        <w:t>Начисленные взносы Государств-Членов базируются на сумме 343 11/16 единицы</w:t>
      </w:r>
      <w:r w:rsidRPr="00CA4C14">
        <w:rPr>
          <w:lang w:val="ru-RU" w:bidi="ru-RU"/>
        </w:rPr>
        <w:t>.</w:t>
      </w:r>
    </w:p>
    <w:p w14:paraId="07951E7A" w14:textId="77777777" w:rsidR="002E1F5B" w:rsidRPr="00CA4C14" w:rsidRDefault="002E1F5B" w:rsidP="002E1F5B">
      <w:pPr>
        <w:rPr>
          <w:lang w:val="ru-RU" w:bidi="ru-RU"/>
        </w:rPr>
      </w:pPr>
      <w:r w:rsidRPr="00CA4C14">
        <w:rPr>
          <w:color w:val="000000"/>
          <w:lang w:val="ru-RU"/>
        </w:rPr>
        <w:t>Были отражены полученные взносы за</w:t>
      </w:r>
      <w:r w:rsidRPr="00CA4C14">
        <w:rPr>
          <w:lang w:val="ru-RU" w:bidi="ru-RU"/>
        </w:rPr>
        <w:t>:</w:t>
      </w:r>
    </w:p>
    <w:p w14:paraId="7EBEDDE5" w14:textId="77777777" w:rsidR="002E1F5B" w:rsidRPr="00CA4C14" w:rsidRDefault="002E1F5B" w:rsidP="002E1F5B">
      <w:pPr>
        <w:pStyle w:val="enumlev1"/>
        <w:rPr>
          <w:lang w:val="ru-RU" w:bidi="ru-RU"/>
        </w:rPr>
      </w:pPr>
      <w:r w:rsidRPr="00CA4C14">
        <w:rPr>
          <w:lang w:val="ru-RU" w:bidi="ru-RU"/>
        </w:rPr>
        <w:t>•</w:t>
      </w:r>
      <w:r w:rsidRPr="00CA4C14">
        <w:rPr>
          <w:lang w:val="ru-RU" w:bidi="ru-RU"/>
        </w:rPr>
        <w:tab/>
        <w:t xml:space="preserve">Всемирную конференцию радиосвязи (ВКР) и Ассамблею радиосвязи (АР) в Дубае, Объединенные Арабские Эмираты. Правительство Эмиратов </w:t>
      </w:r>
      <w:r w:rsidRPr="00CA4C14">
        <w:rPr>
          <w:color w:val="000000"/>
          <w:lang w:val="ru-RU"/>
        </w:rPr>
        <w:t>взяло на себя транспортные расходы и расходы на проживание всех сотрудников МСЭ, приехавших на мероприятие. Правительство также непосредственно занималось вопросами материально-технического обеспечения и безопасности всех участников</w:t>
      </w:r>
      <w:r w:rsidRPr="00CA4C14">
        <w:rPr>
          <w:lang w:val="ru-RU" w:bidi="ru-RU"/>
        </w:rPr>
        <w:t>.</w:t>
      </w:r>
    </w:p>
    <w:p w14:paraId="7B53A781" w14:textId="37C6E018" w:rsidR="002E1F5B" w:rsidRPr="00CA4C14" w:rsidRDefault="002E1F5B" w:rsidP="002E1F5B">
      <w:pPr>
        <w:pStyle w:val="enumlev1"/>
        <w:rPr>
          <w:lang w:val="ru-RU" w:bidi="ru-RU"/>
        </w:rPr>
      </w:pPr>
      <w:r w:rsidRPr="00CA4C14">
        <w:rPr>
          <w:lang w:val="ru-RU" w:bidi="ru-RU"/>
        </w:rPr>
        <w:t>•</w:t>
      </w:r>
      <w:r w:rsidRPr="00CA4C14">
        <w:rPr>
          <w:lang w:val="ru-RU" w:bidi="ru-RU"/>
        </w:rPr>
        <w:tab/>
        <w:t>Глобальный симпозиум для регуляторных органов (ГСР), проходивший в Шарм</w:t>
      </w:r>
      <w:r w:rsidR="00922DE4" w:rsidRPr="00CA4C14">
        <w:rPr>
          <w:lang w:val="ru-RU" w:bidi="ru-RU"/>
        </w:rPr>
        <w:noBreakHyphen/>
      </w:r>
      <w:r w:rsidRPr="00CA4C14">
        <w:rPr>
          <w:lang w:val="ru-RU" w:bidi="ru-RU"/>
        </w:rPr>
        <w:t>эль</w:t>
      </w:r>
      <w:r w:rsidR="00922DE4" w:rsidRPr="00CA4C14">
        <w:rPr>
          <w:lang w:val="ru-RU" w:bidi="ru-RU"/>
        </w:rPr>
        <w:noBreakHyphen/>
      </w:r>
      <w:r w:rsidRPr="00CA4C14">
        <w:rPr>
          <w:lang w:val="ru-RU" w:bidi="ru-RU"/>
        </w:rPr>
        <w:t>Шейхе, Египет. В соответствии с соглашением с принимающей страной правительство Египта профинансировало расходы, связанные с транспортировкой и размещением всех сотрудников МСЭ, приехавших на мероприятие, а также непосредственно занималось вопросами материально-технического обеспечения и безопасности всех участников.</w:t>
      </w:r>
    </w:p>
    <w:p w14:paraId="534DEFE1" w14:textId="77777777" w:rsidR="002E1F5B" w:rsidRPr="00CA4C14" w:rsidRDefault="002E1F5B" w:rsidP="002E1F5B">
      <w:pPr>
        <w:keepNext/>
        <w:keepLines/>
        <w:spacing w:after="120"/>
        <w:rPr>
          <w:lang w:val="ru-RU" w:bidi="ru-RU"/>
        </w:rPr>
      </w:pPr>
      <w:r w:rsidRPr="00CA4C14">
        <w:rPr>
          <w:lang w:val="ru-RU" w:bidi="ru-RU"/>
        </w:rPr>
        <w:t>В приведенной ниже таблице представлены взносы, фактически поступившие на счет в 2023 и 2022 годах.</w:t>
      </w:r>
    </w:p>
    <w:tbl>
      <w:tblPr>
        <w:tblW w:w="5000" w:type="pct"/>
        <w:jc w:val="center"/>
        <w:tblLayout w:type="fixed"/>
        <w:tblLook w:val="04A0" w:firstRow="1" w:lastRow="0" w:firstColumn="1" w:lastColumn="0" w:noHBand="0" w:noVBand="1"/>
      </w:tblPr>
      <w:tblGrid>
        <w:gridCol w:w="5167"/>
        <w:gridCol w:w="1952"/>
        <w:gridCol w:w="1952"/>
      </w:tblGrid>
      <w:tr w:rsidR="002E1F5B" w:rsidRPr="00CA4C14" w14:paraId="13458BD2" w14:textId="77777777" w:rsidTr="00922DE4">
        <w:trPr>
          <w:jc w:val="center"/>
        </w:trPr>
        <w:tc>
          <w:tcPr>
            <w:tcW w:w="2848" w:type="pct"/>
            <w:tcBorders>
              <w:top w:val="nil"/>
              <w:left w:val="nil"/>
              <w:bottom w:val="nil"/>
              <w:right w:val="nil"/>
            </w:tcBorders>
            <w:shd w:val="clear" w:color="000000" w:fill="0070C0"/>
            <w:vAlign w:val="center"/>
            <w:hideMark/>
          </w:tcPr>
          <w:p w14:paraId="6FF879DB" w14:textId="77777777" w:rsidR="002E1F5B" w:rsidRPr="00CA4C14" w:rsidRDefault="002E1F5B" w:rsidP="00A77509">
            <w:pPr>
              <w:pStyle w:val="Tablehead"/>
              <w:keepLines/>
              <w:rPr>
                <w:lang w:val="ru-RU" w:eastAsia="en-GB"/>
              </w:rPr>
            </w:pPr>
            <w:r w:rsidRPr="00CA4C14">
              <w:rPr>
                <w:szCs w:val="18"/>
                <w:lang w:val="ru-RU" w:eastAsia="en-GB"/>
              </w:rPr>
              <w:t>Описание (тыс. шв. фр.)</w:t>
            </w:r>
          </w:p>
        </w:tc>
        <w:tc>
          <w:tcPr>
            <w:tcW w:w="1076" w:type="pct"/>
            <w:tcBorders>
              <w:top w:val="nil"/>
              <w:left w:val="nil"/>
              <w:bottom w:val="nil"/>
              <w:right w:val="nil"/>
            </w:tcBorders>
            <w:shd w:val="clear" w:color="000000" w:fill="0070C0"/>
            <w:vAlign w:val="center"/>
            <w:hideMark/>
          </w:tcPr>
          <w:p w14:paraId="2A67AEB6" w14:textId="77777777" w:rsidR="002E1F5B" w:rsidRPr="00CA4C14" w:rsidRDefault="002E1F5B" w:rsidP="00A77509">
            <w:pPr>
              <w:pStyle w:val="Tablehead"/>
              <w:keepLines/>
              <w:rPr>
                <w:lang w:val="ru-RU" w:eastAsia="en-GB"/>
              </w:rPr>
            </w:pPr>
            <w:r w:rsidRPr="00CA4C14">
              <w:rPr>
                <w:lang w:val="ru-RU" w:eastAsia="en-GB"/>
              </w:rPr>
              <w:t>31 декабря 2023 г.</w:t>
            </w:r>
          </w:p>
        </w:tc>
        <w:tc>
          <w:tcPr>
            <w:tcW w:w="1077" w:type="pct"/>
            <w:tcBorders>
              <w:top w:val="nil"/>
              <w:left w:val="nil"/>
              <w:bottom w:val="nil"/>
              <w:right w:val="nil"/>
            </w:tcBorders>
            <w:shd w:val="clear" w:color="000000" w:fill="0070C0"/>
            <w:vAlign w:val="center"/>
            <w:hideMark/>
          </w:tcPr>
          <w:p w14:paraId="66A6422C" w14:textId="77777777" w:rsidR="002E1F5B" w:rsidRPr="00CA4C14" w:rsidRDefault="002E1F5B" w:rsidP="00A77509">
            <w:pPr>
              <w:pStyle w:val="Tablehead"/>
              <w:keepLines/>
              <w:rPr>
                <w:lang w:val="ru-RU" w:eastAsia="en-GB"/>
              </w:rPr>
            </w:pPr>
            <w:r w:rsidRPr="00CA4C14">
              <w:rPr>
                <w:lang w:val="ru-RU" w:eastAsia="en-GB"/>
              </w:rPr>
              <w:t>31 декабря 2022 г.</w:t>
            </w:r>
          </w:p>
        </w:tc>
      </w:tr>
      <w:tr w:rsidR="002E1F5B" w:rsidRPr="00CA4C14" w14:paraId="048A7586" w14:textId="77777777" w:rsidTr="00922DE4">
        <w:trPr>
          <w:jc w:val="center"/>
        </w:trPr>
        <w:tc>
          <w:tcPr>
            <w:tcW w:w="2848" w:type="pct"/>
            <w:tcBorders>
              <w:top w:val="nil"/>
              <w:left w:val="nil"/>
              <w:bottom w:val="nil"/>
              <w:right w:val="nil"/>
            </w:tcBorders>
            <w:shd w:val="clear" w:color="auto" w:fill="auto"/>
            <w:noWrap/>
            <w:hideMark/>
          </w:tcPr>
          <w:p w14:paraId="6E11B819" w14:textId="77777777" w:rsidR="002E1F5B" w:rsidRPr="00CA4C14" w:rsidRDefault="002E1F5B" w:rsidP="00A77509">
            <w:pPr>
              <w:pStyle w:val="Tabletext"/>
              <w:keepNext/>
              <w:keepLines/>
              <w:rPr>
                <w:lang w:val="ru-RU" w:eastAsia="en-GB"/>
              </w:rPr>
            </w:pPr>
            <w:r w:rsidRPr="00CA4C14">
              <w:rPr>
                <w:szCs w:val="18"/>
                <w:lang w:val="ru-RU"/>
              </w:rPr>
              <w:t>Взносы Государств-Членов</w:t>
            </w:r>
          </w:p>
        </w:tc>
        <w:tc>
          <w:tcPr>
            <w:tcW w:w="1076" w:type="pct"/>
            <w:tcBorders>
              <w:top w:val="nil"/>
              <w:left w:val="nil"/>
              <w:bottom w:val="nil"/>
              <w:right w:val="nil"/>
            </w:tcBorders>
            <w:shd w:val="clear" w:color="auto" w:fill="auto"/>
            <w:noWrap/>
            <w:vAlign w:val="bottom"/>
            <w:hideMark/>
          </w:tcPr>
          <w:p w14:paraId="38D09BDB" w14:textId="77777777" w:rsidR="002E1F5B" w:rsidRPr="00CA4C14" w:rsidRDefault="002E1F5B" w:rsidP="00A77509">
            <w:pPr>
              <w:pStyle w:val="Tabletext"/>
              <w:keepNext/>
              <w:keepLines/>
              <w:jc w:val="right"/>
              <w:rPr>
                <w:lang w:val="ru-RU" w:eastAsia="en-GB"/>
              </w:rPr>
            </w:pPr>
            <w:r w:rsidRPr="00CA4C14">
              <w:rPr>
                <w:lang w:val="ru-RU" w:eastAsia="en-GB"/>
              </w:rPr>
              <w:t>109 293</w:t>
            </w:r>
          </w:p>
        </w:tc>
        <w:tc>
          <w:tcPr>
            <w:tcW w:w="1077" w:type="pct"/>
            <w:tcBorders>
              <w:top w:val="nil"/>
              <w:left w:val="nil"/>
              <w:bottom w:val="nil"/>
              <w:right w:val="nil"/>
            </w:tcBorders>
            <w:shd w:val="clear" w:color="auto" w:fill="auto"/>
            <w:noWrap/>
            <w:vAlign w:val="bottom"/>
            <w:hideMark/>
          </w:tcPr>
          <w:p w14:paraId="35F7F54E" w14:textId="77777777" w:rsidR="002E1F5B" w:rsidRPr="00CA4C14" w:rsidRDefault="002E1F5B" w:rsidP="00A77509">
            <w:pPr>
              <w:pStyle w:val="Tabletext"/>
              <w:keepNext/>
              <w:keepLines/>
              <w:jc w:val="right"/>
              <w:rPr>
                <w:lang w:val="ru-RU" w:eastAsia="en-GB"/>
              </w:rPr>
            </w:pPr>
            <w:r w:rsidRPr="00CA4C14">
              <w:rPr>
                <w:lang w:val="ru-RU" w:eastAsia="en-GB"/>
              </w:rPr>
              <w:t>109 293</w:t>
            </w:r>
          </w:p>
        </w:tc>
      </w:tr>
      <w:tr w:rsidR="002E1F5B" w:rsidRPr="00CA4C14" w14:paraId="4BFBE7CC" w14:textId="77777777" w:rsidTr="00922DE4">
        <w:trPr>
          <w:jc w:val="center"/>
        </w:trPr>
        <w:tc>
          <w:tcPr>
            <w:tcW w:w="2848" w:type="pct"/>
            <w:tcBorders>
              <w:top w:val="nil"/>
              <w:left w:val="nil"/>
              <w:bottom w:val="nil"/>
              <w:right w:val="nil"/>
            </w:tcBorders>
            <w:shd w:val="clear" w:color="auto" w:fill="auto"/>
            <w:noWrap/>
            <w:hideMark/>
          </w:tcPr>
          <w:p w14:paraId="4ECB5465" w14:textId="77777777" w:rsidR="002E1F5B" w:rsidRPr="00CA4C14" w:rsidRDefault="002E1F5B" w:rsidP="00A77509">
            <w:pPr>
              <w:pStyle w:val="Tabletext"/>
              <w:keepNext/>
              <w:keepLines/>
              <w:rPr>
                <w:lang w:val="ru-RU" w:eastAsia="en-GB"/>
              </w:rPr>
            </w:pPr>
            <w:r w:rsidRPr="00CA4C14">
              <w:rPr>
                <w:szCs w:val="18"/>
                <w:lang w:val="ru-RU"/>
              </w:rPr>
              <w:t>Взносы Членов Секторов</w:t>
            </w:r>
          </w:p>
        </w:tc>
        <w:tc>
          <w:tcPr>
            <w:tcW w:w="1076" w:type="pct"/>
            <w:tcBorders>
              <w:top w:val="nil"/>
              <w:left w:val="nil"/>
              <w:bottom w:val="nil"/>
              <w:right w:val="nil"/>
            </w:tcBorders>
            <w:shd w:val="clear" w:color="auto" w:fill="auto"/>
            <w:noWrap/>
            <w:vAlign w:val="bottom"/>
            <w:hideMark/>
          </w:tcPr>
          <w:p w14:paraId="697181CD" w14:textId="77777777" w:rsidR="002E1F5B" w:rsidRPr="00CA4C14" w:rsidRDefault="002E1F5B" w:rsidP="00A77509">
            <w:pPr>
              <w:pStyle w:val="Tabletext"/>
              <w:keepNext/>
              <w:keepLines/>
              <w:jc w:val="right"/>
              <w:rPr>
                <w:lang w:val="ru-RU" w:eastAsia="en-GB"/>
              </w:rPr>
            </w:pPr>
            <w:r w:rsidRPr="00CA4C14">
              <w:rPr>
                <w:lang w:val="ru-RU" w:eastAsia="en-GB"/>
              </w:rPr>
              <w:t>13 967</w:t>
            </w:r>
          </w:p>
        </w:tc>
        <w:tc>
          <w:tcPr>
            <w:tcW w:w="1077" w:type="pct"/>
            <w:tcBorders>
              <w:top w:val="nil"/>
              <w:left w:val="nil"/>
              <w:bottom w:val="nil"/>
              <w:right w:val="nil"/>
            </w:tcBorders>
            <w:shd w:val="clear" w:color="auto" w:fill="auto"/>
            <w:noWrap/>
            <w:vAlign w:val="bottom"/>
            <w:hideMark/>
          </w:tcPr>
          <w:p w14:paraId="428D90E1" w14:textId="77777777" w:rsidR="002E1F5B" w:rsidRPr="00CA4C14" w:rsidRDefault="002E1F5B" w:rsidP="00A77509">
            <w:pPr>
              <w:pStyle w:val="Tabletext"/>
              <w:keepNext/>
              <w:keepLines/>
              <w:jc w:val="right"/>
              <w:rPr>
                <w:lang w:val="ru-RU" w:eastAsia="en-GB"/>
              </w:rPr>
            </w:pPr>
            <w:r w:rsidRPr="00CA4C14">
              <w:rPr>
                <w:lang w:val="ru-RU" w:eastAsia="en-GB"/>
              </w:rPr>
              <w:t>13 798</w:t>
            </w:r>
          </w:p>
        </w:tc>
      </w:tr>
      <w:tr w:rsidR="002E1F5B" w:rsidRPr="00CA4C14" w14:paraId="035FD828" w14:textId="77777777" w:rsidTr="00922DE4">
        <w:trPr>
          <w:jc w:val="center"/>
        </w:trPr>
        <w:tc>
          <w:tcPr>
            <w:tcW w:w="2848" w:type="pct"/>
            <w:tcBorders>
              <w:top w:val="nil"/>
              <w:left w:val="nil"/>
              <w:bottom w:val="nil"/>
              <w:right w:val="nil"/>
            </w:tcBorders>
            <w:shd w:val="clear" w:color="auto" w:fill="auto"/>
            <w:noWrap/>
            <w:hideMark/>
          </w:tcPr>
          <w:p w14:paraId="19F851B5" w14:textId="77777777" w:rsidR="002E1F5B" w:rsidRPr="00CA4C14" w:rsidRDefault="002E1F5B" w:rsidP="00A77509">
            <w:pPr>
              <w:pStyle w:val="Tabletext"/>
              <w:keepNext/>
              <w:keepLines/>
              <w:rPr>
                <w:lang w:val="ru-RU" w:eastAsia="en-GB"/>
              </w:rPr>
            </w:pPr>
            <w:r w:rsidRPr="00CA4C14">
              <w:rPr>
                <w:szCs w:val="18"/>
                <w:lang w:val="ru-RU"/>
              </w:rPr>
              <w:t>Взносы Ассоциированных членов</w:t>
            </w:r>
          </w:p>
        </w:tc>
        <w:tc>
          <w:tcPr>
            <w:tcW w:w="1076" w:type="pct"/>
            <w:tcBorders>
              <w:top w:val="nil"/>
              <w:left w:val="nil"/>
              <w:bottom w:val="nil"/>
              <w:right w:val="nil"/>
            </w:tcBorders>
            <w:shd w:val="clear" w:color="auto" w:fill="auto"/>
            <w:noWrap/>
            <w:vAlign w:val="bottom"/>
            <w:hideMark/>
          </w:tcPr>
          <w:p w14:paraId="66634300" w14:textId="77777777" w:rsidR="002E1F5B" w:rsidRPr="00CA4C14" w:rsidRDefault="002E1F5B" w:rsidP="00A77509">
            <w:pPr>
              <w:pStyle w:val="Tabletext"/>
              <w:keepNext/>
              <w:keepLines/>
              <w:jc w:val="right"/>
              <w:rPr>
                <w:lang w:val="ru-RU" w:eastAsia="en-GB"/>
              </w:rPr>
            </w:pPr>
            <w:r w:rsidRPr="00CA4C14">
              <w:rPr>
                <w:lang w:val="ru-RU" w:eastAsia="en-GB"/>
              </w:rPr>
              <w:t>2 164</w:t>
            </w:r>
          </w:p>
        </w:tc>
        <w:tc>
          <w:tcPr>
            <w:tcW w:w="1077" w:type="pct"/>
            <w:tcBorders>
              <w:top w:val="nil"/>
              <w:left w:val="nil"/>
              <w:bottom w:val="nil"/>
              <w:right w:val="nil"/>
            </w:tcBorders>
            <w:shd w:val="clear" w:color="auto" w:fill="auto"/>
            <w:noWrap/>
            <w:vAlign w:val="bottom"/>
            <w:hideMark/>
          </w:tcPr>
          <w:p w14:paraId="090E4453" w14:textId="77777777" w:rsidR="002E1F5B" w:rsidRPr="00CA4C14" w:rsidRDefault="002E1F5B" w:rsidP="00A77509">
            <w:pPr>
              <w:pStyle w:val="Tabletext"/>
              <w:keepNext/>
              <w:keepLines/>
              <w:jc w:val="right"/>
              <w:rPr>
                <w:lang w:val="ru-RU" w:eastAsia="en-GB"/>
              </w:rPr>
            </w:pPr>
            <w:r w:rsidRPr="00CA4C14">
              <w:rPr>
                <w:lang w:val="ru-RU" w:eastAsia="en-GB"/>
              </w:rPr>
              <w:t>2 180</w:t>
            </w:r>
          </w:p>
        </w:tc>
      </w:tr>
      <w:tr w:rsidR="002E1F5B" w:rsidRPr="00CA4C14" w14:paraId="7C5B03B8" w14:textId="77777777" w:rsidTr="00922DE4">
        <w:trPr>
          <w:jc w:val="center"/>
        </w:trPr>
        <w:tc>
          <w:tcPr>
            <w:tcW w:w="2848" w:type="pct"/>
            <w:tcBorders>
              <w:top w:val="nil"/>
              <w:left w:val="nil"/>
              <w:bottom w:val="nil"/>
              <w:right w:val="nil"/>
            </w:tcBorders>
            <w:shd w:val="clear" w:color="auto" w:fill="auto"/>
            <w:noWrap/>
            <w:hideMark/>
          </w:tcPr>
          <w:p w14:paraId="0EF42C42" w14:textId="77777777" w:rsidR="002E1F5B" w:rsidRPr="00CA4C14" w:rsidRDefault="002E1F5B" w:rsidP="00A77509">
            <w:pPr>
              <w:pStyle w:val="Tabletext"/>
              <w:keepNext/>
              <w:keepLines/>
              <w:rPr>
                <w:lang w:val="ru-RU" w:eastAsia="en-GB"/>
              </w:rPr>
            </w:pPr>
            <w:r w:rsidRPr="00CA4C14">
              <w:rPr>
                <w:szCs w:val="18"/>
                <w:lang w:val="ru-RU"/>
              </w:rPr>
              <w:t>Взносы Академических организаций − Членов</w:t>
            </w:r>
          </w:p>
        </w:tc>
        <w:tc>
          <w:tcPr>
            <w:tcW w:w="1076" w:type="pct"/>
            <w:tcBorders>
              <w:top w:val="nil"/>
              <w:left w:val="nil"/>
              <w:bottom w:val="nil"/>
              <w:right w:val="nil"/>
            </w:tcBorders>
            <w:shd w:val="clear" w:color="auto" w:fill="auto"/>
            <w:noWrap/>
            <w:vAlign w:val="bottom"/>
            <w:hideMark/>
          </w:tcPr>
          <w:p w14:paraId="48529C85" w14:textId="77777777" w:rsidR="002E1F5B" w:rsidRPr="00CA4C14" w:rsidRDefault="002E1F5B" w:rsidP="00A77509">
            <w:pPr>
              <w:pStyle w:val="Tabletext"/>
              <w:keepNext/>
              <w:keepLines/>
              <w:jc w:val="right"/>
              <w:rPr>
                <w:lang w:val="ru-RU" w:eastAsia="en-GB"/>
              </w:rPr>
            </w:pPr>
            <w:r w:rsidRPr="00CA4C14">
              <w:rPr>
                <w:lang w:val="ru-RU" w:eastAsia="en-GB"/>
              </w:rPr>
              <w:t>412</w:t>
            </w:r>
          </w:p>
        </w:tc>
        <w:tc>
          <w:tcPr>
            <w:tcW w:w="1077" w:type="pct"/>
            <w:tcBorders>
              <w:top w:val="nil"/>
              <w:left w:val="nil"/>
              <w:bottom w:val="nil"/>
              <w:right w:val="nil"/>
            </w:tcBorders>
            <w:shd w:val="clear" w:color="auto" w:fill="auto"/>
            <w:noWrap/>
            <w:vAlign w:val="bottom"/>
            <w:hideMark/>
          </w:tcPr>
          <w:p w14:paraId="244B6B2B" w14:textId="77777777" w:rsidR="002E1F5B" w:rsidRPr="00CA4C14" w:rsidRDefault="002E1F5B" w:rsidP="00A77509">
            <w:pPr>
              <w:pStyle w:val="Tabletext"/>
              <w:keepNext/>
              <w:keepLines/>
              <w:jc w:val="right"/>
              <w:rPr>
                <w:lang w:val="ru-RU" w:eastAsia="en-GB"/>
              </w:rPr>
            </w:pPr>
            <w:r w:rsidRPr="00CA4C14">
              <w:rPr>
                <w:lang w:val="ru-RU" w:eastAsia="en-GB"/>
              </w:rPr>
              <w:t>408</w:t>
            </w:r>
          </w:p>
        </w:tc>
      </w:tr>
      <w:tr w:rsidR="002E1F5B" w:rsidRPr="00CA4C14" w14:paraId="7A0AEB27" w14:textId="77777777" w:rsidTr="00922DE4">
        <w:trPr>
          <w:jc w:val="center"/>
        </w:trPr>
        <w:tc>
          <w:tcPr>
            <w:tcW w:w="2848" w:type="pct"/>
            <w:tcBorders>
              <w:top w:val="nil"/>
              <w:left w:val="nil"/>
              <w:bottom w:val="nil"/>
              <w:right w:val="nil"/>
            </w:tcBorders>
            <w:shd w:val="clear" w:color="auto" w:fill="auto"/>
            <w:noWrap/>
            <w:hideMark/>
          </w:tcPr>
          <w:p w14:paraId="4AAAA566" w14:textId="77777777" w:rsidR="002E1F5B" w:rsidRPr="00CA4C14" w:rsidRDefault="002E1F5B" w:rsidP="00A77509">
            <w:pPr>
              <w:pStyle w:val="Tabletext"/>
              <w:keepNext/>
              <w:keepLines/>
              <w:rPr>
                <w:lang w:val="ru-RU" w:eastAsia="en-GB"/>
              </w:rPr>
            </w:pPr>
            <w:r w:rsidRPr="00CA4C14">
              <w:rPr>
                <w:szCs w:val="18"/>
                <w:lang w:val="ru-RU"/>
              </w:rPr>
              <w:t>Взносы на проведение конференций</w:t>
            </w:r>
          </w:p>
        </w:tc>
        <w:tc>
          <w:tcPr>
            <w:tcW w:w="1076" w:type="pct"/>
            <w:tcBorders>
              <w:top w:val="nil"/>
              <w:left w:val="nil"/>
              <w:bottom w:val="nil"/>
              <w:right w:val="nil"/>
            </w:tcBorders>
            <w:shd w:val="clear" w:color="auto" w:fill="auto"/>
            <w:noWrap/>
            <w:vAlign w:val="bottom"/>
            <w:hideMark/>
          </w:tcPr>
          <w:p w14:paraId="0F982821" w14:textId="77777777" w:rsidR="002E1F5B" w:rsidRPr="00CA4C14" w:rsidRDefault="002E1F5B" w:rsidP="00A77509">
            <w:pPr>
              <w:pStyle w:val="Tabletext"/>
              <w:keepNext/>
              <w:keepLines/>
              <w:jc w:val="right"/>
              <w:rPr>
                <w:lang w:val="ru-RU" w:eastAsia="en-GB"/>
              </w:rPr>
            </w:pPr>
            <w:r w:rsidRPr="00CA4C14">
              <w:rPr>
                <w:lang w:val="ru-RU" w:eastAsia="en-GB"/>
              </w:rPr>
              <w:t>1 725</w:t>
            </w:r>
          </w:p>
        </w:tc>
        <w:tc>
          <w:tcPr>
            <w:tcW w:w="1077" w:type="pct"/>
            <w:tcBorders>
              <w:top w:val="nil"/>
              <w:left w:val="nil"/>
              <w:bottom w:val="nil"/>
              <w:right w:val="nil"/>
            </w:tcBorders>
            <w:shd w:val="clear" w:color="auto" w:fill="auto"/>
            <w:noWrap/>
            <w:vAlign w:val="bottom"/>
            <w:hideMark/>
          </w:tcPr>
          <w:p w14:paraId="5B4826F2" w14:textId="77777777" w:rsidR="002E1F5B" w:rsidRPr="00CA4C14" w:rsidRDefault="002E1F5B" w:rsidP="00A77509">
            <w:pPr>
              <w:pStyle w:val="Tabletext"/>
              <w:keepNext/>
              <w:keepLines/>
              <w:jc w:val="right"/>
              <w:rPr>
                <w:lang w:val="ru-RU" w:eastAsia="en-GB"/>
              </w:rPr>
            </w:pPr>
            <w:r w:rsidRPr="00CA4C14">
              <w:rPr>
                <w:lang w:val="ru-RU" w:eastAsia="en-GB"/>
              </w:rPr>
              <w:t>1 935</w:t>
            </w:r>
          </w:p>
        </w:tc>
      </w:tr>
      <w:tr w:rsidR="002E1F5B" w:rsidRPr="00CA4C14" w14:paraId="403F873E" w14:textId="77777777" w:rsidTr="00922DE4">
        <w:trPr>
          <w:jc w:val="center"/>
        </w:trPr>
        <w:tc>
          <w:tcPr>
            <w:tcW w:w="2848" w:type="pct"/>
            <w:tcBorders>
              <w:top w:val="nil"/>
              <w:left w:val="nil"/>
              <w:bottom w:val="nil"/>
              <w:right w:val="nil"/>
            </w:tcBorders>
            <w:shd w:val="clear" w:color="000000" w:fill="0070C0"/>
            <w:noWrap/>
            <w:vAlign w:val="center"/>
            <w:hideMark/>
          </w:tcPr>
          <w:p w14:paraId="0FEC1DD3" w14:textId="77777777" w:rsidR="002E1F5B" w:rsidRPr="00CA4C14" w:rsidRDefault="002E1F5B" w:rsidP="00B772C9">
            <w:pPr>
              <w:pStyle w:val="Tabletext"/>
              <w:rPr>
                <w:b/>
                <w:bCs/>
                <w:lang w:val="ru-RU" w:eastAsia="en-GB"/>
              </w:rPr>
            </w:pPr>
            <w:r w:rsidRPr="00CA4C14">
              <w:rPr>
                <w:b/>
                <w:bCs/>
                <w:lang w:val="ru-RU" w:eastAsia="en-GB"/>
              </w:rPr>
              <w:t>Всего − Начисленные взносы</w:t>
            </w:r>
          </w:p>
        </w:tc>
        <w:tc>
          <w:tcPr>
            <w:tcW w:w="1076" w:type="pct"/>
            <w:tcBorders>
              <w:top w:val="nil"/>
              <w:left w:val="nil"/>
              <w:bottom w:val="nil"/>
              <w:right w:val="nil"/>
            </w:tcBorders>
            <w:shd w:val="clear" w:color="000000" w:fill="0070C0"/>
            <w:noWrap/>
            <w:vAlign w:val="center"/>
            <w:hideMark/>
          </w:tcPr>
          <w:p w14:paraId="7040D56E" w14:textId="77777777" w:rsidR="002E1F5B" w:rsidRPr="00CA4C14" w:rsidRDefault="002E1F5B" w:rsidP="00B772C9">
            <w:pPr>
              <w:pStyle w:val="Tabletext"/>
              <w:jc w:val="right"/>
              <w:rPr>
                <w:b/>
                <w:bCs/>
                <w:lang w:val="ru-RU" w:eastAsia="en-GB"/>
              </w:rPr>
            </w:pPr>
            <w:r w:rsidRPr="00CA4C14">
              <w:rPr>
                <w:b/>
                <w:bCs/>
                <w:lang w:val="ru-RU" w:eastAsia="en-GB"/>
              </w:rPr>
              <w:t>127 561</w:t>
            </w:r>
          </w:p>
        </w:tc>
        <w:tc>
          <w:tcPr>
            <w:tcW w:w="1077" w:type="pct"/>
            <w:tcBorders>
              <w:top w:val="nil"/>
              <w:left w:val="nil"/>
              <w:bottom w:val="nil"/>
              <w:right w:val="nil"/>
            </w:tcBorders>
            <w:shd w:val="clear" w:color="000000" w:fill="0070C0"/>
            <w:noWrap/>
            <w:vAlign w:val="center"/>
            <w:hideMark/>
          </w:tcPr>
          <w:p w14:paraId="0248DC7E" w14:textId="77777777" w:rsidR="002E1F5B" w:rsidRPr="00CA4C14" w:rsidRDefault="002E1F5B" w:rsidP="00B772C9">
            <w:pPr>
              <w:pStyle w:val="Tabletext"/>
              <w:jc w:val="right"/>
              <w:rPr>
                <w:b/>
                <w:bCs/>
                <w:lang w:val="ru-RU" w:eastAsia="en-GB"/>
              </w:rPr>
            </w:pPr>
            <w:r w:rsidRPr="00CA4C14">
              <w:rPr>
                <w:b/>
                <w:bCs/>
                <w:lang w:val="ru-RU" w:eastAsia="en-GB"/>
              </w:rPr>
              <w:t>127 613</w:t>
            </w:r>
          </w:p>
        </w:tc>
      </w:tr>
    </w:tbl>
    <w:p w14:paraId="60343B94" w14:textId="77777777" w:rsidR="002E1F5B" w:rsidRPr="00CA4C14" w:rsidRDefault="002E1F5B" w:rsidP="002E1F5B">
      <w:pPr>
        <w:pStyle w:val="Headingb"/>
        <w:rPr>
          <w:lang w:val="ru-RU" w:bidi="ru-RU"/>
        </w:rPr>
      </w:pPr>
      <w:bookmarkStart w:id="454" w:name="_Toc305764104"/>
      <w:bookmarkStart w:id="455" w:name="_Toc305778514"/>
      <w:r w:rsidRPr="00CA4C14">
        <w:rPr>
          <w:lang w:val="ru-RU" w:bidi="ru-RU"/>
        </w:rPr>
        <w:t>Внебюджетные взносы</w:t>
      </w:r>
    </w:p>
    <w:p w14:paraId="4EDE7661" w14:textId="6169F983" w:rsidR="002E1F5B" w:rsidRPr="00CA4C14" w:rsidRDefault="002E1F5B" w:rsidP="002E1F5B">
      <w:pPr>
        <w:spacing w:after="120"/>
        <w:rPr>
          <w:lang w:val="ru-RU" w:bidi="ru-RU"/>
        </w:rPr>
      </w:pPr>
      <w:r w:rsidRPr="00CA4C14">
        <w:rPr>
          <w:lang w:val="ru-RU" w:bidi="ru-RU"/>
        </w:rPr>
        <w:t>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а также для дополнения регулярного бюджета МСЭ, расходуемого на предусмотренные в нем виды деятельности. В 2023 году общий объем добровольных взносов составил 19,0 </w:t>
      </w:r>
      <w:proofErr w:type="gramStart"/>
      <w:r w:rsidRPr="00CA4C14">
        <w:rPr>
          <w:lang w:val="ru-RU" w:bidi="ru-RU"/>
        </w:rPr>
        <w:t>млн.</w:t>
      </w:r>
      <w:proofErr w:type="gramEnd"/>
      <w:r w:rsidRPr="00CA4C14">
        <w:rPr>
          <w:lang w:val="ru-RU" w:bidi="ru-RU"/>
        </w:rPr>
        <w:t xml:space="preserve"> швейцарских франков (18 млн.</w:t>
      </w:r>
      <w:r w:rsidR="00A77509" w:rsidRPr="00CA4C14">
        <w:rPr>
          <w:lang w:val="ru-RU" w:bidi="ru-RU"/>
        </w:rPr>
        <w:t> </w:t>
      </w:r>
      <w:r w:rsidRPr="00CA4C14">
        <w:rPr>
          <w:lang w:val="ru-RU" w:bidi="ru-RU"/>
        </w:rPr>
        <w:t>шв. фр. в 2022 г.).</w:t>
      </w:r>
    </w:p>
    <w:tbl>
      <w:tblPr>
        <w:tblW w:w="5000" w:type="pct"/>
        <w:jc w:val="center"/>
        <w:tblLayout w:type="fixed"/>
        <w:tblLook w:val="04A0" w:firstRow="1" w:lastRow="0" w:firstColumn="1" w:lastColumn="0" w:noHBand="0" w:noVBand="1"/>
      </w:tblPr>
      <w:tblGrid>
        <w:gridCol w:w="5159"/>
        <w:gridCol w:w="1956"/>
        <w:gridCol w:w="1956"/>
      </w:tblGrid>
      <w:tr w:rsidR="002E1F5B" w:rsidRPr="00CA4C14" w14:paraId="1AA8FA23" w14:textId="77777777" w:rsidTr="00922DE4">
        <w:trPr>
          <w:jc w:val="center"/>
        </w:trPr>
        <w:tc>
          <w:tcPr>
            <w:tcW w:w="2844" w:type="pct"/>
            <w:tcBorders>
              <w:top w:val="nil"/>
              <w:left w:val="nil"/>
              <w:bottom w:val="nil"/>
              <w:right w:val="nil"/>
            </w:tcBorders>
            <w:shd w:val="clear" w:color="000000" w:fill="0070C0"/>
            <w:vAlign w:val="center"/>
            <w:hideMark/>
          </w:tcPr>
          <w:p w14:paraId="47704A5E" w14:textId="77777777" w:rsidR="002E1F5B" w:rsidRPr="00CA4C14" w:rsidRDefault="002E1F5B" w:rsidP="00A77509">
            <w:pPr>
              <w:pStyle w:val="Tablehead"/>
              <w:keepLines/>
              <w:rPr>
                <w:lang w:val="ru-RU" w:eastAsia="en-GB"/>
              </w:rPr>
            </w:pPr>
            <w:r w:rsidRPr="00CA4C14">
              <w:rPr>
                <w:szCs w:val="18"/>
                <w:lang w:val="ru-RU" w:eastAsia="en-GB"/>
              </w:rPr>
              <w:t>Описание (тыс. шв. фр.)</w:t>
            </w:r>
          </w:p>
        </w:tc>
        <w:tc>
          <w:tcPr>
            <w:tcW w:w="1078" w:type="pct"/>
            <w:tcBorders>
              <w:top w:val="nil"/>
              <w:left w:val="nil"/>
              <w:bottom w:val="nil"/>
              <w:right w:val="nil"/>
            </w:tcBorders>
            <w:shd w:val="clear" w:color="000000" w:fill="0070C0"/>
            <w:vAlign w:val="center"/>
            <w:hideMark/>
          </w:tcPr>
          <w:p w14:paraId="39E1DDE7" w14:textId="77777777" w:rsidR="002E1F5B" w:rsidRPr="00CA4C14" w:rsidRDefault="002E1F5B" w:rsidP="00A77509">
            <w:pPr>
              <w:pStyle w:val="Tablehead"/>
              <w:keepLines/>
              <w:rPr>
                <w:lang w:val="ru-RU" w:eastAsia="en-GB"/>
              </w:rPr>
            </w:pPr>
            <w:r w:rsidRPr="00CA4C14">
              <w:rPr>
                <w:lang w:val="ru-RU" w:eastAsia="en-GB"/>
              </w:rPr>
              <w:t>31 декабря 2023 г.</w:t>
            </w:r>
          </w:p>
        </w:tc>
        <w:tc>
          <w:tcPr>
            <w:tcW w:w="1078" w:type="pct"/>
            <w:tcBorders>
              <w:top w:val="nil"/>
              <w:left w:val="nil"/>
              <w:bottom w:val="nil"/>
              <w:right w:val="nil"/>
            </w:tcBorders>
            <w:shd w:val="clear" w:color="000000" w:fill="0070C0"/>
            <w:vAlign w:val="center"/>
            <w:hideMark/>
          </w:tcPr>
          <w:p w14:paraId="290AB405" w14:textId="77777777" w:rsidR="002E1F5B" w:rsidRPr="00CA4C14" w:rsidRDefault="002E1F5B" w:rsidP="00A77509">
            <w:pPr>
              <w:pStyle w:val="Tablehead"/>
              <w:keepLines/>
              <w:rPr>
                <w:lang w:val="ru-RU" w:eastAsia="en-GB"/>
              </w:rPr>
            </w:pPr>
            <w:r w:rsidRPr="00CA4C14">
              <w:rPr>
                <w:lang w:val="ru-RU" w:eastAsia="en-GB"/>
              </w:rPr>
              <w:t>31 декабря 2022 г.</w:t>
            </w:r>
          </w:p>
        </w:tc>
      </w:tr>
      <w:tr w:rsidR="002E1F5B" w:rsidRPr="00CA4C14" w14:paraId="73D27282" w14:textId="77777777" w:rsidTr="00922DE4">
        <w:trPr>
          <w:jc w:val="center"/>
        </w:trPr>
        <w:tc>
          <w:tcPr>
            <w:tcW w:w="2844" w:type="pct"/>
            <w:tcBorders>
              <w:top w:val="nil"/>
              <w:left w:val="nil"/>
              <w:bottom w:val="nil"/>
              <w:right w:val="nil"/>
            </w:tcBorders>
            <w:shd w:val="clear" w:color="auto" w:fill="auto"/>
            <w:noWrap/>
            <w:hideMark/>
          </w:tcPr>
          <w:p w14:paraId="5F90CDC8" w14:textId="77777777" w:rsidR="002E1F5B" w:rsidRPr="00CA4C14" w:rsidRDefault="002E1F5B" w:rsidP="00A77509">
            <w:pPr>
              <w:pStyle w:val="Tabletext"/>
              <w:keepNext/>
              <w:keepLines/>
              <w:rPr>
                <w:b/>
                <w:bCs/>
                <w:lang w:val="ru-RU" w:eastAsia="en-GB"/>
              </w:rPr>
            </w:pPr>
            <w:r w:rsidRPr="00CA4C14">
              <w:rPr>
                <w:b/>
                <w:bCs/>
                <w:lang w:val="ru-RU" w:eastAsia="en-GB"/>
              </w:rPr>
              <w:t>Внебюджетные взносы</w:t>
            </w:r>
          </w:p>
        </w:tc>
        <w:tc>
          <w:tcPr>
            <w:tcW w:w="1078" w:type="pct"/>
            <w:tcBorders>
              <w:top w:val="nil"/>
              <w:left w:val="nil"/>
              <w:bottom w:val="nil"/>
              <w:right w:val="nil"/>
            </w:tcBorders>
            <w:shd w:val="clear" w:color="auto" w:fill="auto"/>
            <w:noWrap/>
            <w:vAlign w:val="bottom"/>
            <w:hideMark/>
          </w:tcPr>
          <w:p w14:paraId="51334CEB" w14:textId="77777777" w:rsidR="002E1F5B" w:rsidRPr="00CA4C14" w:rsidRDefault="002E1F5B" w:rsidP="00A77509">
            <w:pPr>
              <w:pStyle w:val="Tabletext"/>
              <w:keepNext/>
              <w:keepLines/>
              <w:jc w:val="center"/>
              <w:rPr>
                <w:b/>
                <w:bCs/>
                <w:lang w:val="ru-RU" w:eastAsia="en-GB"/>
              </w:rPr>
            </w:pPr>
          </w:p>
        </w:tc>
        <w:tc>
          <w:tcPr>
            <w:tcW w:w="1078" w:type="pct"/>
            <w:tcBorders>
              <w:top w:val="nil"/>
              <w:left w:val="nil"/>
              <w:bottom w:val="nil"/>
              <w:right w:val="nil"/>
            </w:tcBorders>
            <w:shd w:val="clear" w:color="auto" w:fill="auto"/>
            <w:noWrap/>
            <w:vAlign w:val="bottom"/>
            <w:hideMark/>
          </w:tcPr>
          <w:p w14:paraId="381AB65A" w14:textId="77777777" w:rsidR="002E1F5B" w:rsidRPr="00CA4C14" w:rsidRDefault="002E1F5B" w:rsidP="00A77509">
            <w:pPr>
              <w:pStyle w:val="Tabletext"/>
              <w:keepNext/>
              <w:keepLines/>
              <w:jc w:val="center"/>
              <w:rPr>
                <w:rFonts w:ascii="Times New Roman" w:hAnsi="Times New Roman"/>
                <w:b/>
                <w:bCs/>
                <w:lang w:val="ru-RU" w:eastAsia="en-GB"/>
              </w:rPr>
            </w:pPr>
          </w:p>
        </w:tc>
      </w:tr>
      <w:tr w:rsidR="002E1F5B" w:rsidRPr="00CA4C14" w14:paraId="44FB2458" w14:textId="77777777" w:rsidTr="00922DE4">
        <w:trPr>
          <w:jc w:val="center"/>
        </w:trPr>
        <w:tc>
          <w:tcPr>
            <w:tcW w:w="2844" w:type="pct"/>
            <w:tcBorders>
              <w:top w:val="nil"/>
              <w:left w:val="nil"/>
              <w:bottom w:val="nil"/>
              <w:right w:val="nil"/>
            </w:tcBorders>
            <w:shd w:val="clear" w:color="auto" w:fill="auto"/>
            <w:noWrap/>
            <w:hideMark/>
          </w:tcPr>
          <w:p w14:paraId="6B7FE0EE" w14:textId="4D150581" w:rsidR="002E1F5B" w:rsidRPr="00CA4C14" w:rsidRDefault="002E1F5B" w:rsidP="00A77509">
            <w:pPr>
              <w:pStyle w:val="Tabletext"/>
              <w:keepNext/>
              <w:keepLines/>
              <w:rPr>
                <w:lang w:val="ru-RU" w:eastAsia="en-GB"/>
              </w:rPr>
            </w:pPr>
            <w:r w:rsidRPr="00CA4C14">
              <w:rPr>
                <w:lang w:val="ru-RU" w:eastAsia="en-GB"/>
              </w:rPr>
              <w:t>−</w:t>
            </w:r>
            <w:r w:rsidR="00A77509" w:rsidRPr="00CA4C14">
              <w:rPr>
                <w:lang w:val="ru-RU" w:eastAsia="en-GB"/>
              </w:rPr>
              <w:tab/>
            </w:r>
            <w:r w:rsidRPr="00CA4C14">
              <w:rPr>
                <w:lang w:val="ru-RU" w:eastAsia="en-GB"/>
              </w:rPr>
              <w:t>Добровольные взносы</w:t>
            </w:r>
          </w:p>
        </w:tc>
        <w:tc>
          <w:tcPr>
            <w:tcW w:w="1078" w:type="pct"/>
            <w:tcBorders>
              <w:top w:val="nil"/>
              <w:left w:val="nil"/>
              <w:bottom w:val="nil"/>
              <w:right w:val="nil"/>
            </w:tcBorders>
            <w:shd w:val="clear" w:color="auto" w:fill="auto"/>
            <w:noWrap/>
            <w:vAlign w:val="bottom"/>
            <w:hideMark/>
          </w:tcPr>
          <w:p w14:paraId="23E50678" w14:textId="77777777" w:rsidR="002E1F5B" w:rsidRPr="00CA4C14" w:rsidRDefault="002E1F5B" w:rsidP="00A77509">
            <w:pPr>
              <w:pStyle w:val="Tabletext"/>
              <w:keepNext/>
              <w:keepLines/>
              <w:jc w:val="right"/>
              <w:rPr>
                <w:lang w:val="ru-RU" w:eastAsia="en-GB"/>
              </w:rPr>
            </w:pPr>
            <w:r w:rsidRPr="00CA4C14">
              <w:rPr>
                <w:lang w:val="ru-RU" w:eastAsia="en-GB"/>
              </w:rPr>
              <w:t>3 889</w:t>
            </w:r>
          </w:p>
        </w:tc>
        <w:tc>
          <w:tcPr>
            <w:tcW w:w="1078" w:type="pct"/>
            <w:tcBorders>
              <w:top w:val="nil"/>
              <w:left w:val="nil"/>
              <w:bottom w:val="nil"/>
              <w:right w:val="nil"/>
            </w:tcBorders>
            <w:shd w:val="clear" w:color="auto" w:fill="auto"/>
            <w:noWrap/>
            <w:vAlign w:val="bottom"/>
            <w:hideMark/>
          </w:tcPr>
          <w:p w14:paraId="2435F4C0" w14:textId="77777777" w:rsidR="002E1F5B" w:rsidRPr="00CA4C14" w:rsidRDefault="002E1F5B" w:rsidP="00A77509">
            <w:pPr>
              <w:pStyle w:val="Tabletext"/>
              <w:keepNext/>
              <w:keepLines/>
              <w:jc w:val="right"/>
              <w:rPr>
                <w:lang w:val="ru-RU" w:eastAsia="en-GB"/>
              </w:rPr>
            </w:pPr>
            <w:r w:rsidRPr="00CA4C14">
              <w:rPr>
                <w:lang w:val="ru-RU" w:eastAsia="en-GB"/>
              </w:rPr>
              <w:t>3 947</w:t>
            </w:r>
          </w:p>
        </w:tc>
      </w:tr>
      <w:tr w:rsidR="002E1F5B" w:rsidRPr="00CA4C14" w14:paraId="24096D1B" w14:textId="77777777" w:rsidTr="00922DE4">
        <w:trPr>
          <w:jc w:val="center"/>
        </w:trPr>
        <w:tc>
          <w:tcPr>
            <w:tcW w:w="2844" w:type="pct"/>
            <w:tcBorders>
              <w:top w:val="nil"/>
              <w:left w:val="nil"/>
              <w:bottom w:val="nil"/>
              <w:right w:val="nil"/>
            </w:tcBorders>
            <w:shd w:val="clear" w:color="auto" w:fill="auto"/>
            <w:noWrap/>
            <w:hideMark/>
          </w:tcPr>
          <w:p w14:paraId="71AE1F74" w14:textId="03FAD5C1" w:rsidR="002E1F5B" w:rsidRPr="00CA4C14" w:rsidRDefault="002E1F5B" w:rsidP="00A77509">
            <w:pPr>
              <w:pStyle w:val="Tabletext"/>
              <w:keepNext/>
              <w:keepLines/>
              <w:rPr>
                <w:lang w:val="ru-RU" w:eastAsia="en-GB"/>
              </w:rPr>
            </w:pPr>
            <w:r w:rsidRPr="00CA4C14">
              <w:rPr>
                <w:lang w:val="ru-RU" w:eastAsia="en-GB"/>
              </w:rPr>
              <w:t>−</w:t>
            </w:r>
            <w:r w:rsidR="00A77509" w:rsidRPr="00CA4C14">
              <w:rPr>
                <w:lang w:val="ru-RU" w:eastAsia="en-GB"/>
              </w:rPr>
              <w:tab/>
            </w:r>
            <w:r w:rsidRPr="00CA4C14">
              <w:rPr>
                <w:lang w:val="ru-RU" w:eastAsia="en-GB"/>
              </w:rPr>
              <w:t>Взносы в целевые фонды</w:t>
            </w:r>
          </w:p>
        </w:tc>
        <w:tc>
          <w:tcPr>
            <w:tcW w:w="1078" w:type="pct"/>
            <w:tcBorders>
              <w:top w:val="nil"/>
              <w:left w:val="nil"/>
              <w:bottom w:val="nil"/>
              <w:right w:val="nil"/>
            </w:tcBorders>
            <w:shd w:val="clear" w:color="auto" w:fill="auto"/>
            <w:noWrap/>
            <w:vAlign w:val="bottom"/>
            <w:hideMark/>
          </w:tcPr>
          <w:p w14:paraId="3FF99D07" w14:textId="77777777" w:rsidR="002E1F5B" w:rsidRPr="00CA4C14" w:rsidRDefault="002E1F5B" w:rsidP="00A77509">
            <w:pPr>
              <w:pStyle w:val="Tabletext"/>
              <w:keepNext/>
              <w:keepLines/>
              <w:jc w:val="right"/>
              <w:rPr>
                <w:lang w:val="ru-RU" w:eastAsia="en-GB"/>
              </w:rPr>
            </w:pPr>
            <w:r w:rsidRPr="00CA4C14">
              <w:rPr>
                <w:lang w:val="ru-RU" w:eastAsia="en-GB"/>
              </w:rPr>
              <w:t>15 063</w:t>
            </w:r>
          </w:p>
        </w:tc>
        <w:tc>
          <w:tcPr>
            <w:tcW w:w="1078" w:type="pct"/>
            <w:tcBorders>
              <w:top w:val="nil"/>
              <w:left w:val="nil"/>
              <w:bottom w:val="nil"/>
              <w:right w:val="nil"/>
            </w:tcBorders>
            <w:shd w:val="clear" w:color="auto" w:fill="auto"/>
            <w:noWrap/>
            <w:vAlign w:val="bottom"/>
            <w:hideMark/>
          </w:tcPr>
          <w:p w14:paraId="6609E0FE" w14:textId="77777777" w:rsidR="002E1F5B" w:rsidRPr="00CA4C14" w:rsidRDefault="002E1F5B" w:rsidP="00A77509">
            <w:pPr>
              <w:pStyle w:val="Tabletext"/>
              <w:keepNext/>
              <w:keepLines/>
              <w:jc w:val="right"/>
              <w:rPr>
                <w:lang w:val="ru-RU" w:eastAsia="en-GB"/>
              </w:rPr>
            </w:pPr>
            <w:r w:rsidRPr="00CA4C14">
              <w:rPr>
                <w:lang w:val="ru-RU" w:eastAsia="en-GB"/>
              </w:rPr>
              <w:t>14 018</w:t>
            </w:r>
          </w:p>
        </w:tc>
      </w:tr>
      <w:tr w:rsidR="002E1F5B" w:rsidRPr="00CA4C14" w14:paraId="6A445CB1" w14:textId="77777777" w:rsidTr="00922DE4">
        <w:trPr>
          <w:jc w:val="center"/>
        </w:trPr>
        <w:tc>
          <w:tcPr>
            <w:tcW w:w="2844" w:type="pct"/>
            <w:tcBorders>
              <w:top w:val="nil"/>
              <w:left w:val="nil"/>
              <w:bottom w:val="nil"/>
              <w:right w:val="nil"/>
            </w:tcBorders>
            <w:shd w:val="clear" w:color="000000" w:fill="0070C0"/>
            <w:noWrap/>
            <w:vAlign w:val="center"/>
            <w:hideMark/>
          </w:tcPr>
          <w:p w14:paraId="18AB6FD1" w14:textId="77777777" w:rsidR="002E1F5B" w:rsidRPr="00CA4C14" w:rsidRDefault="002E1F5B" w:rsidP="00B772C9">
            <w:pPr>
              <w:pStyle w:val="Tabletext"/>
              <w:rPr>
                <w:b/>
                <w:bCs/>
                <w:lang w:val="ru-RU" w:eastAsia="en-GB"/>
              </w:rPr>
            </w:pPr>
            <w:r w:rsidRPr="00CA4C14">
              <w:rPr>
                <w:b/>
                <w:bCs/>
                <w:lang w:val="ru-RU" w:eastAsia="en-GB"/>
              </w:rPr>
              <w:t>Всего − Внебюджетные средства</w:t>
            </w:r>
          </w:p>
        </w:tc>
        <w:tc>
          <w:tcPr>
            <w:tcW w:w="1078" w:type="pct"/>
            <w:tcBorders>
              <w:top w:val="nil"/>
              <w:left w:val="nil"/>
              <w:bottom w:val="nil"/>
              <w:right w:val="nil"/>
            </w:tcBorders>
            <w:shd w:val="clear" w:color="000000" w:fill="0070C0"/>
            <w:noWrap/>
            <w:vAlign w:val="center"/>
            <w:hideMark/>
          </w:tcPr>
          <w:p w14:paraId="03ED5196" w14:textId="77777777" w:rsidR="002E1F5B" w:rsidRPr="00CA4C14" w:rsidRDefault="002E1F5B" w:rsidP="00B772C9">
            <w:pPr>
              <w:pStyle w:val="Tabletext"/>
              <w:jc w:val="right"/>
              <w:rPr>
                <w:b/>
                <w:bCs/>
                <w:lang w:val="ru-RU" w:eastAsia="en-GB"/>
              </w:rPr>
            </w:pPr>
            <w:r w:rsidRPr="00CA4C14">
              <w:rPr>
                <w:b/>
                <w:bCs/>
                <w:lang w:val="ru-RU" w:eastAsia="en-GB"/>
              </w:rPr>
              <w:t>18 952</w:t>
            </w:r>
          </w:p>
        </w:tc>
        <w:tc>
          <w:tcPr>
            <w:tcW w:w="1078" w:type="pct"/>
            <w:tcBorders>
              <w:top w:val="nil"/>
              <w:left w:val="nil"/>
              <w:bottom w:val="nil"/>
              <w:right w:val="nil"/>
            </w:tcBorders>
            <w:shd w:val="clear" w:color="000000" w:fill="0070C0"/>
            <w:noWrap/>
            <w:vAlign w:val="center"/>
            <w:hideMark/>
          </w:tcPr>
          <w:p w14:paraId="425FA4DC" w14:textId="77777777" w:rsidR="002E1F5B" w:rsidRPr="00CA4C14" w:rsidRDefault="002E1F5B" w:rsidP="00B772C9">
            <w:pPr>
              <w:pStyle w:val="Tabletext"/>
              <w:jc w:val="right"/>
              <w:rPr>
                <w:b/>
                <w:bCs/>
                <w:lang w:val="ru-RU" w:eastAsia="en-GB"/>
              </w:rPr>
            </w:pPr>
            <w:r w:rsidRPr="00CA4C14">
              <w:rPr>
                <w:b/>
                <w:bCs/>
                <w:lang w:val="ru-RU" w:eastAsia="en-GB"/>
              </w:rPr>
              <w:t>17 965</w:t>
            </w:r>
          </w:p>
        </w:tc>
      </w:tr>
    </w:tbl>
    <w:p w14:paraId="5BA4EB29" w14:textId="77777777" w:rsidR="002E1F5B" w:rsidRPr="00CA4C14" w:rsidRDefault="002E1F5B" w:rsidP="002E1F5B">
      <w:pPr>
        <w:pStyle w:val="Headingb"/>
        <w:rPr>
          <w:lang w:val="ru-RU" w:bidi="ru-RU"/>
        </w:rPr>
      </w:pPr>
      <w:r w:rsidRPr="00CA4C14">
        <w:rPr>
          <w:lang w:val="ru-RU" w:bidi="ru-RU"/>
        </w:rPr>
        <w:t>Прочие доходы от деятельности</w:t>
      </w:r>
    </w:p>
    <w:p w14:paraId="60DE5D35" w14:textId="5FDDC03C" w:rsidR="002E1F5B" w:rsidRPr="00CA4C14" w:rsidRDefault="002E1F5B" w:rsidP="002E1F5B">
      <w:pPr>
        <w:rPr>
          <w:lang w:val="ru-RU" w:bidi="ru-RU"/>
        </w:rPr>
      </w:pPr>
      <w:r w:rsidRPr="00CA4C14">
        <w:rPr>
          <w:lang w:val="ru-RU" w:bidi="ru-RU"/>
        </w:rPr>
        <w:t>Доход от продаж публикаций в 2023 году достиг 16,7 </w:t>
      </w:r>
      <w:proofErr w:type="gramStart"/>
      <w:r w:rsidRPr="00CA4C14">
        <w:rPr>
          <w:lang w:val="ru-RU" w:bidi="ru-RU"/>
        </w:rPr>
        <w:t>млн.</w:t>
      </w:r>
      <w:proofErr w:type="gramEnd"/>
      <w:r w:rsidRPr="00CA4C14">
        <w:rPr>
          <w:lang w:val="ru-RU" w:bidi="ru-RU"/>
        </w:rPr>
        <w:t xml:space="preserve"> швейцарских франков, превысив ожидавшиеся 15,5 млн. швейцарских франков на 1,2 млн. швейцарских франков; объем продаж предыдущего года был превышен на 2,1 млн. швейцарских франков.</w:t>
      </w:r>
      <w:r w:rsidRPr="00CA4C14">
        <w:rPr>
          <w:lang w:val="ru-RU"/>
        </w:rPr>
        <w:t xml:space="preserve"> </w:t>
      </w:r>
      <w:r w:rsidRPr="00CA4C14">
        <w:rPr>
          <w:lang w:val="ru-RU" w:bidi="ru-RU"/>
        </w:rPr>
        <w:t xml:space="preserve">Это увеличение в </w:t>
      </w:r>
      <w:r w:rsidRPr="00CA4C14">
        <w:rPr>
          <w:lang w:val="ru-RU" w:bidi="ru-RU"/>
        </w:rPr>
        <w:lastRenderedPageBreak/>
        <w:t>основном связано с повышением цен как на Список V (опубликованный в апреле 2023 г.), так и на Список IV (опубликованный в ноябре 2023 г.) на 10%.</w:t>
      </w:r>
    </w:p>
    <w:p w14:paraId="4DAAA7E0" w14:textId="48E6F8A5" w:rsidR="002E1F5B" w:rsidRPr="00CA4C14" w:rsidRDefault="002E1F5B" w:rsidP="002E1F5B">
      <w:pPr>
        <w:keepNext/>
        <w:keepLines/>
        <w:spacing w:after="120"/>
        <w:rPr>
          <w:lang w:val="ru-RU" w:bidi="ru-RU"/>
        </w:rPr>
      </w:pPr>
      <w:r w:rsidRPr="00CA4C14">
        <w:rPr>
          <w:lang w:val="ru-RU" w:bidi="ru-RU"/>
        </w:rPr>
        <w:t>Увеличение прочих доходов в основном связано с дополнительными доходами по проекту строительства нового здания.</w:t>
      </w:r>
    </w:p>
    <w:tbl>
      <w:tblPr>
        <w:tblW w:w="5000" w:type="pct"/>
        <w:jc w:val="center"/>
        <w:tblLayout w:type="fixed"/>
        <w:tblLook w:val="04A0" w:firstRow="1" w:lastRow="0" w:firstColumn="1" w:lastColumn="0" w:noHBand="0" w:noVBand="1"/>
      </w:tblPr>
      <w:tblGrid>
        <w:gridCol w:w="5167"/>
        <w:gridCol w:w="1952"/>
        <w:gridCol w:w="1952"/>
      </w:tblGrid>
      <w:tr w:rsidR="002E1F5B" w:rsidRPr="00CA4C14" w14:paraId="4F0AF7B5" w14:textId="77777777" w:rsidTr="00922DE4">
        <w:trPr>
          <w:jc w:val="center"/>
        </w:trPr>
        <w:tc>
          <w:tcPr>
            <w:tcW w:w="2848" w:type="pct"/>
            <w:tcBorders>
              <w:top w:val="nil"/>
              <w:left w:val="nil"/>
              <w:bottom w:val="nil"/>
              <w:right w:val="nil"/>
            </w:tcBorders>
            <w:shd w:val="clear" w:color="000000" w:fill="0070C0"/>
            <w:noWrap/>
            <w:vAlign w:val="center"/>
            <w:hideMark/>
          </w:tcPr>
          <w:p w14:paraId="26F70C40" w14:textId="77777777" w:rsidR="002E1F5B" w:rsidRPr="00CA4C14" w:rsidRDefault="002E1F5B" w:rsidP="00B772C9">
            <w:pPr>
              <w:pStyle w:val="Tablehead"/>
              <w:rPr>
                <w:lang w:val="ru-RU" w:eastAsia="en-GB"/>
              </w:rPr>
            </w:pPr>
            <w:bookmarkStart w:id="456" w:name="_Hlk167986868"/>
            <w:r w:rsidRPr="00CA4C14">
              <w:rPr>
                <w:szCs w:val="18"/>
                <w:lang w:val="ru-RU" w:eastAsia="en-GB"/>
              </w:rPr>
              <w:t>Описание (тыс. шв. фр.)</w:t>
            </w:r>
          </w:p>
        </w:tc>
        <w:tc>
          <w:tcPr>
            <w:tcW w:w="1076" w:type="pct"/>
            <w:tcBorders>
              <w:top w:val="nil"/>
              <w:left w:val="nil"/>
              <w:bottom w:val="nil"/>
              <w:right w:val="nil"/>
            </w:tcBorders>
            <w:shd w:val="clear" w:color="000000" w:fill="0070C0"/>
            <w:noWrap/>
            <w:vAlign w:val="center"/>
            <w:hideMark/>
          </w:tcPr>
          <w:p w14:paraId="6E9DBEDA" w14:textId="77777777" w:rsidR="002E1F5B" w:rsidRPr="00CA4C14" w:rsidRDefault="002E1F5B" w:rsidP="00B772C9">
            <w:pPr>
              <w:pStyle w:val="Tablehead"/>
              <w:rPr>
                <w:lang w:val="ru-RU" w:eastAsia="en-GB"/>
              </w:rPr>
            </w:pPr>
            <w:r w:rsidRPr="00CA4C14">
              <w:rPr>
                <w:lang w:val="ru-RU" w:eastAsia="en-GB"/>
              </w:rPr>
              <w:t>31 декабря 2023 г.</w:t>
            </w:r>
          </w:p>
        </w:tc>
        <w:tc>
          <w:tcPr>
            <w:tcW w:w="1076" w:type="pct"/>
            <w:tcBorders>
              <w:top w:val="nil"/>
              <w:left w:val="nil"/>
              <w:bottom w:val="nil"/>
              <w:right w:val="nil"/>
            </w:tcBorders>
            <w:shd w:val="clear" w:color="000000" w:fill="0070C0"/>
            <w:noWrap/>
            <w:vAlign w:val="center"/>
            <w:hideMark/>
          </w:tcPr>
          <w:p w14:paraId="34AF959A" w14:textId="77777777" w:rsidR="002E1F5B" w:rsidRPr="00CA4C14" w:rsidRDefault="002E1F5B" w:rsidP="00B772C9">
            <w:pPr>
              <w:pStyle w:val="Tablehead"/>
              <w:rPr>
                <w:lang w:val="ru-RU" w:eastAsia="en-GB"/>
              </w:rPr>
            </w:pPr>
            <w:r w:rsidRPr="00CA4C14">
              <w:rPr>
                <w:lang w:val="ru-RU" w:eastAsia="en-GB"/>
              </w:rPr>
              <w:t>31 декабря 2022 г.</w:t>
            </w:r>
          </w:p>
        </w:tc>
      </w:tr>
      <w:tr w:rsidR="002E1F5B" w:rsidRPr="009A3216" w14:paraId="376E0204" w14:textId="77777777" w:rsidTr="00922DE4">
        <w:trPr>
          <w:jc w:val="center"/>
        </w:trPr>
        <w:tc>
          <w:tcPr>
            <w:tcW w:w="2848" w:type="pct"/>
            <w:tcBorders>
              <w:top w:val="nil"/>
              <w:left w:val="nil"/>
              <w:bottom w:val="nil"/>
              <w:right w:val="nil"/>
            </w:tcBorders>
            <w:shd w:val="clear" w:color="auto" w:fill="auto"/>
            <w:noWrap/>
            <w:hideMark/>
          </w:tcPr>
          <w:p w14:paraId="72CDAE85" w14:textId="77777777" w:rsidR="002E1F5B" w:rsidRPr="00CA4C14" w:rsidRDefault="002E1F5B" w:rsidP="00B772C9">
            <w:pPr>
              <w:pStyle w:val="Tabletext"/>
              <w:rPr>
                <w:b/>
                <w:bCs/>
                <w:lang w:val="ru-RU" w:eastAsia="en-GB"/>
              </w:rPr>
            </w:pPr>
            <w:r w:rsidRPr="00CA4C14">
              <w:rPr>
                <w:b/>
                <w:bCs/>
                <w:lang w:val="ru-RU" w:eastAsia="en-GB"/>
              </w:rPr>
              <w:t>Доходы по линии возмещения затрат</w:t>
            </w:r>
          </w:p>
        </w:tc>
        <w:tc>
          <w:tcPr>
            <w:tcW w:w="1076" w:type="pct"/>
            <w:tcBorders>
              <w:top w:val="nil"/>
              <w:left w:val="nil"/>
              <w:bottom w:val="nil"/>
              <w:right w:val="nil"/>
            </w:tcBorders>
            <w:shd w:val="clear" w:color="auto" w:fill="auto"/>
            <w:noWrap/>
            <w:vAlign w:val="bottom"/>
            <w:hideMark/>
          </w:tcPr>
          <w:p w14:paraId="57AD275D" w14:textId="77777777" w:rsidR="002E1F5B" w:rsidRPr="00CA4C14" w:rsidRDefault="002E1F5B" w:rsidP="00B772C9">
            <w:pPr>
              <w:pStyle w:val="Tabletext"/>
              <w:jc w:val="right"/>
              <w:rPr>
                <w:b/>
                <w:bCs/>
                <w:lang w:val="ru-RU" w:eastAsia="en-GB"/>
              </w:rPr>
            </w:pPr>
          </w:p>
        </w:tc>
        <w:tc>
          <w:tcPr>
            <w:tcW w:w="1076" w:type="pct"/>
            <w:tcBorders>
              <w:top w:val="nil"/>
              <w:left w:val="nil"/>
              <w:bottom w:val="nil"/>
              <w:right w:val="nil"/>
            </w:tcBorders>
            <w:shd w:val="clear" w:color="auto" w:fill="auto"/>
            <w:noWrap/>
            <w:vAlign w:val="bottom"/>
            <w:hideMark/>
          </w:tcPr>
          <w:p w14:paraId="28CC0F27" w14:textId="77777777" w:rsidR="002E1F5B" w:rsidRPr="00CA4C14" w:rsidRDefault="002E1F5B" w:rsidP="00B772C9">
            <w:pPr>
              <w:pStyle w:val="Tabletext"/>
              <w:jc w:val="right"/>
              <w:rPr>
                <w:rFonts w:ascii="Times New Roman" w:hAnsi="Times New Roman"/>
                <w:b/>
                <w:bCs/>
                <w:lang w:val="ru-RU" w:eastAsia="en-GB"/>
              </w:rPr>
            </w:pPr>
          </w:p>
        </w:tc>
      </w:tr>
      <w:tr w:rsidR="002E1F5B" w:rsidRPr="00CA4C14" w14:paraId="6BFB7202" w14:textId="77777777" w:rsidTr="00922DE4">
        <w:trPr>
          <w:jc w:val="center"/>
        </w:trPr>
        <w:tc>
          <w:tcPr>
            <w:tcW w:w="2848" w:type="pct"/>
            <w:tcBorders>
              <w:top w:val="nil"/>
              <w:left w:val="nil"/>
              <w:bottom w:val="nil"/>
              <w:right w:val="nil"/>
            </w:tcBorders>
            <w:shd w:val="clear" w:color="auto" w:fill="auto"/>
            <w:noWrap/>
            <w:hideMark/>
          </w:tcPr>
          <w:p w14:paraId="12502BCC" w14:textId="04001D6E"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Публикации</w:t>
            </w:r>
          </w:p>
        </w:tc>
        <w:tc>
          <w:tcPr>
            <w:tcW w:w="1076" w:type="pct"/>
            <w:tcBorders>
              <w:top w:val="nil"/>
              <w:left w:val="nil"/>
              <w:bottom w:val="nil"/>
              <w:right w:val="nil"/>
            </w:tcBorders>
            <w:shd w:val="clear" w:color="auto" w:fill="auto"/>
            <w:noWrap/>
            <w:vAlign w:val="bottom"/>
            <w:hideMark/>
          </w:tcPr>
          <w:p w14:paraId="28ACEA82" w14:textId="77777777" w:rsidR="002E1F5B" w:rsidRPr="00CA4C14" w:rsidRDefault="002E1F5B" w:rsidP="00B772C9">
            <w:pPr>
              <w:pStyle w:val="Tabletext"/>
              <w:jc w:val="right"/>
              <w:rPr>
                <w:lang w:val="ru-RU" w:eastAsia="en-GB"/>
              </w:rPr>
            </w:pPr>
            <w:r w:rsidRPr="00CA4C14">
              <w:rPr>
                <w:lang w:val="ru-RU" w:eastAsia="en-GB"/>
              </w:rPr>
              <w:t>16 724</w:t>
            </w:r>
          </w:p>
        </w:tc>
        <w:tc>
          <w:tcPr>
            <w:tcW w:w="1076" w:type="pct"/>
            <w:tcBorders>
              <w:top w:val="nil"/>
              <w:left w:val="nil"/>
              <w:bottom w:val="nil"/>
              <w:right w:val="nil"/>
            </w:tcBorders>
            <w:shd w:val="clear" w:color="auto" w:fill="auto"/>
            <w:noWrap/>
            <w:vAlign w:val="bottom"/>
            <w:hideMark/>
          </w:tcPr>
          <w:p w14:paraId="0CAD35F3" w14:textId="77777777" w:rsidR="002E1F5B" w:rsidRPr="00CA4C14" w:rsidRDefault="002E1F5B" w:rsidP="00B772C9">
            <w:pPr>
              <w:pStyle w:val="Tabletext"/>
              <w:jc w:val="right"/>
              <w:rPr>
                <w:lang w:val="ru-RU" w:eastAsia="en-GB"/>
              </w:rPr>
            </w:pPr>
            <w:r w:rsidRPr="00CA4C14">
              <w:rPr>
                <w:lang w:val="ru-RU" w:eastAsia="en-GB"/>
              </w:rPr>
              <w:t>14 604</w:t>
            </w:r>
          </w:p>
        </w:tc>
      </w:tr>
      <w:tr w:rsidR="002E1F5B" w:rsidRPr="00CA4C14" w14:paraId="520AF0FC" w14:textId="77777777" w:rsidTr="00922DE4">
        <w:trPr>
          <w:jc w:val="center"/>
        </w:trPr>
        <w:tc>
          <w:tcPr>
            <w:tcW w:w="2848" w:type="pct"/>
            <w:tcBorders>
              <w:top w:val="nil"/>
              <w:left w:val="nil"/>
              <w:bottom w:val="nil"/>
              <w:right w:val="nil"/>
            </w:tcBorders>
            <w:shd w:val="clear" w:color="auto" w:fill="auto"/>
            <w:noWrap/>
            <w:hideMark/>
          </w:tcPr>
          <w:p w14:paraId="2851A28D" w14:textId="244028BC"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Обработка заявок на регистрацию спутниковых сетей (SNF)</w:t>
            </w:r>
          </w:p>
        </w:tc>
        <w:tc>
          <w:tcPr>
            <w:tcW w:w="1076" w:type="pct"/>
            <w:tcBorders>
              <w:top w:val="nil"/>
              <w:left w:val="nil"/>
              <w:bottom w:val="nil"/>
              <w:right w:val="nil"/>
            </w:tcBorders>
            <w:shd w:val="clear" w:color="auto" w:fill="auto"/>
            <w:noWrap/>
            <w:vAlign w:val="bottom"/>
            <w:hideMark/>
          </w:tcPr>
          <w:p w14:paraId="5ED5BD62" w14:textId="77777777" w:rsidR="002E1F5B" w:rsidRPr="00CA4C14" w:rsidRDefault="002E1F5B" w:rsidP="00B772C9">
            <w:pPr>
              <w:pStyle w:val="Tabletext"/>
              <w:jc w:val="right"/>
              <w:rPr>
                <w:lang w:val="ru-RU" w:eastAsia="en-GB"/>
              </w:rPr>
            </w:pPr>
            <w:r w:rsidRPr="00CA4C14">
              <w:rPr>
                <w:lang w:val="ru-RU" w:eastAsia="en-GB"/>
              </w:rPr>
              <w:t>10 643</w:t>
            </w:r>
          </w:p>
        </w:tc>
        <w:tc>
          <w:tcPr>
            <w:tcW w:w="1076" w:type="pct"/>
            <w:tcBorders>
              <w:top w:val="nil"/>
              <w:left w:val="nil"/>
              <w:bottom w:val="nil"/>
              <w:right w:val="nil"/>
            </w:tcBorders>
            <w:shd w:val="clear" w:color="auto" w:fill="auto"/>
            <w:noWrap/>
            <w:vAlign w:val="bottom"/>
            <w:hideMark/>
          </w:tcPr>
          <w:p w14:paraId="48CF415A" w14:textId="77777777" w:rsidR="002E1F5B" w:rsidRPr="00CA4C14" w:rsidRDefault="002E1F5B" w:rsidP="00B772C9">
            <w:pPr>
              <w:pStyle w:val="Tabletext"/>
              <w:jc w:val="right"/>
              <w:rPr>
                <w:lang w:val="ru-RU" w:eastAsia="en-GB"/>
              </w:rPr>
            </w:pPr>
            <w:r w:rsidRPr="00CA4C14">
              <w:rPr>
                <w:lang w:val="ru-RU" w:eastAsia="en-GB"/>
              </w:rPr>
              <w:t>10 285</w:t>
            </w:r>
          </w:p>
        </w:tc>
      </w:tr>
      <w:tr w:rsidR="002E1F5B" w:rsidRPr="00CA4C14" w14:paraId="2F84A600" w14:textId="77777777" w:rsidTr="00922DE4">
        <w:trPr>
          <w:jc w:val="center"/>
        </w:trPr>
        <w:tc>
          <w:tcPr>
            <w:tcW w:w="2848" w:type="pct"/>
            <w:tcBorders>
              <w:top w:val="nil"/>
              <w:left w:val="nil"/>
              <w:bottom w:val="nil"/>
              <w:right w:val="nil"/>
            </w:tcBorders>
            <w:shd w:val="clear" w:color="auto" w:fill="auto"/>
            <w:noWrap/>
            <w:hideMark/>
          </w:tcPr>
          <w:p w14:paraId="08CBE4D8" w14:textId="394F22B6"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Прочие доходы по линии возмещения затрат</w:t>
            </w:r>
          </w:p>
        </w:tc>
        <w:tc>
          <w:tcPr>
            <w:tcW w:w="1076" w:type="pct"/>
            <w:tcBorders>
              <w:top w:val="nil"/>
              <w:left w:val="nil"/>
              <w:bottom w:val="nil"/>
              <w:right w:val="nil"/>
            </w:tcBorders>
            <w:shd w:val="clear" w:color="auto" w:fill="auto"/>
            <w:noWrap/>
            <w:vAlign w:val="bottom"/>
            <w:hideMark/>
          </w:tcPr>
          <w:p w14:paraId="1116D829" w14:textId="77777777" w:rsidR="002E1F5B" w:rsidRPr="00CA4C14" w:rsidRDefault="002E1F5B" w:rsidP="00B772C9">
            <w:pPr>
              <w:pStyle w:val="Tabletext"/>
              <w:jc w:val="right"/>
              <w:rPr>
                <w:lang w:val="ru-RU" w:eastAsia="en-GB"/>
              </w:rPr>
            </w:pPr>
            <w:r w:rsidRPr="00CA4C14">
              <w:rPr>
                <w:lang w:val="ru-RU" w:eastAsia="en-GB"/>
              </w:rPr>
              <w:t>296</w:t>
            </w:r>
          </w:p>
        </w:tc>
        <w:tc>
          <w:tcPr>
            <w:tcW w:w="1076" w:type="pct"/>
            <w:tcBorders>
              <w:top w:val="nil"/>
              <w:left w:val="nil"/>
              <w:bottom w:val="nil"/>
              <w:right w:val="nil"/>
            </w:tcBorders>
            <w:shd w:val="clear" w:color="auto" w:fill="auto"/>
            <w:noWrap/>
            <w:vAlign w:val="bottom"/>
            <w:hideMark/>
          </w:tcPr>
          <w:p w14:paraId="346F5E62" w14:textId="77777777" w:rsidR="002E1F5B" w:rsidRPr="00CA4C14" w:rsidRDefault="002E1F5B" w:rsidP="00B772C9">
            <w:pPr>
              <w:pStyle w:val="Tabletext"/>
              <w:jc w:val="right"/>
              <w:rPr>
                <w:lang w:val="ru-RU" w:eastAsia="en-GB"/>
              </w:rPr>
            </w:pPr>
            <w:r w:rsidRPr="00CA4C14">
              <w:rPr>
                <w:lang w:val="ru-RU" w:eastAsia="en-GB"/>
              </w:rPr>
              <w:t>337</w:t>
            </w:r>
          </w:p>
        </w:tc>
      </w:tr>
      <w:tr w:rsidR="002E1F5B" w:rsidRPr="00CA4C14" w14:paraId="49B4009C" w14:textId="77777777" w:rsidTr="00922DE4">
        <w:trPr>
          <w:jc w:val="center"/>
        </w:trPr>
        <w:tc>
          <w:tcPr>
            <w:tcW w:w="2848" w:type="pct"/>
            <w:tcBorders>
              <w:top w:val="nil"/>
              <w:left w:val="nil"/>
              <w:bottom w:val="nil"/>
              <w:right w:val="nil"/>
            </w:tcBorders>
            <w:shd w:val="clear" w:color="auto" w:fill="auto"/>
            <w:noWrap/>
            <w:hideMark/>
          </w:tcPr>
          <w:p w14:paraId="0EE12405" w14:textId="77777777" w:rsidR="002E1F5B" w:rsidRPr="00CA4C14" w:rsidRDefault="002E1F5B" w:rsidP="00B772C9">
            <w:pPr>
              <w:pStyle w:val="Tabletext"/>
              <w:rPr>
                <w:b/>
                <w:bCs/>
                <w:lang w:val="ru-RU" w:eastAsia="en-GB"/>
              </w:rPr>
            </w:pPr>
            <w:r w:rsidRPr="00CA4C14">
              <w:rPr>
                <w:b/>
                <w:bCs/>
                <w:lang w:val="ru-RU" w:eastAsia="en-GB"/>
              </w:rPr>
              <w:t>Всего: доходы по линии возмещения затрат</w:t>
            </w:r>
          </w:p>
        </w:tc>
        <w:tc>
          <w:tcPr>
            <w:tcW w:w="1076" w:type="pct"/>
            <w:tcBorders>
              <w:top w:val="nil"/>
              <w:left w:val="nil"/>
              <w:bottom w:val="nil"/>
              <w:right w:val="nil"/>
            </w:tcBorders>
            <w:shd w:val="clear" w:color="auto" w:fill="auto"/>
            <w:noWrap/>
            <w:vAlign w:val="bottom"/>
            <w:hideMark/>
          </w:tcPr>
          <w:p w14:paraId="6E2F9B5F" w14:textId="77777777" w:rsidR="002E1F5B" w:rsidRPr="00CA4C14" w:rsidRDefault="002E1F5B" w:rsidP="00B772C9">
            <w:pPr>
              <w:pStyle w:val="Tabletext"/>
              <w:jc w:val="right"/>
              <w:rPr>
                <w:b/>
                <w:bCs/>
                <w:lang w:val="ru-RU" w:eastAsia="en-GB"/>
              </w:rPr>
            </w:pPr>
            <w:r w:rsidRPr="00CA4C14">
              <w:rPr>
                <w:b/>
                <w:bCs/>
                <w:lang w:val="ru-RU" w:eastAsia="en-GB"/>
              </w:rPr>
              <w:t>27 663</w:t>
            </w:r>
          </w:p>
        </w:tc>
        <w:tc>
          <w:tcPr>
            <w:tcW w:w="1076" w:type="pct"/>
            <w:tcBorders>
              <w:top w:val="nil"/>
              <w:left w:val="nil"/>
              <w:bottom w:val="nil"/>
              <w:right w:val="nil"/>
            </w:tcBorders>
            <w:shd w:val="clear" w:color="auto" w:fill="auto"/>
            <w:noWrap/>
            <w:vAlign w:val="bottom"/>
            <w:hideMark/>
          </w:tcPr>
          <w:p w14:paraId="33687742" w14:textId="77777777" w:rsidR="002E1F5B" w:rsidRPr="00CA4C14" w:rsidRDefault="002E1F5B" w:rsidP="00B772C9">
            <w:pPr>
              <w:pStyle w:val="Tabletext"/>
              <w:jc w:val="right"/>
              <w:rPr>
                <w:b/>
                <w:bCs/>
                <w:lang w:val="ru-RU" w:eastAsia="en-GB"/>
              </w:rPr>
            </w:pPr>
            <w:r w:rsidRPr="00CA4C14">
              <w:rPr>
                <w:b/>
                <w:bCs/>
                <w:lang w:val="ru-RU" w:eastAsia="en-GB"/>
              </w:rPr>
              <w:t>25 226</w:t>
            </w:r>
          </w:p>
        </w:tc>
      </w:tr>
      <w:tr w:rsidR="002E1F5B" w:rsidRPr="00CA4C14" w14:paraId="015606B5" w14:textId="77777777" w:rsidTr="00922DE4">
        <w:trPr>
          <w:jc w:val="center"/>
        </w:trPr>
        <w:tc>
          <w:tcPr>
            <w:tcW w:w="2848" w:type="pct"/>
            <w:tcBorders>
              <w:top w:val="nil"/>
              <w:left w:val="nil"/>
              <w:bottom w:val="nil"/>
              <w:right w:val="nil"/>
            </w:tcBorders>
            <w:shd w:val="clear" w:color="auto" w:fill="auto"/>
            <w:noWrap/>
            <w:hideMark/>
          </w:tcPr>
          <w:p w14:paraId="19882E27" w14:textId="33CEBDE1"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Прочие доходы</w:t>
            </w:r>
          </w:p>
        </w:tc>
        <w:tc>
          <w:tcPr>
            <w:tcW w:w="1076" w:type="pct"/>
            <w:tcBorders>
              <w:top w:val="nil"/>
              <w:left w:val="nil"/>
              <w:bottom w:val="nil"/>
              <w:right w:val="nil"/>
            </w:tcBorders>
            <w:shd w:val="clear" w:color="auto" w:fill="auto"/>
            <w:noWrap/>
            <w:vAlign w:val="bottom"/>
            <w:hideMark/>
          </w:tcPr>
          <w:p w14:paraId="185F3A9A" w14:textId="77777777" w:rsidR="002E1F5B" w:rsidRPr="00CA4C14" w:rsidRDefault="002E1F5B" w:rsidP="00B772C9">
            <w:pPr>
              <w:pStyle w:val="Tabletext"/>
              <w:jc w:val="right"/>
              <w:rPr>
                <w:lang w:val="ru-RU" w:eastAsia="en-GB"/>
              </w:rPr>
            </w:pPr>
            <w:r w:rsidRPr="00CA4C14">
              <w:rPr>
                <w:lang w:val="ru-RU" w:eastAsia="en-GB"/>
              </w:rPr>
              <w:t>6 482</w:t>
            </w:r>
          </w:p>
        </w:tc>
        <w:tc>
          <w:tcPr>
            <w:tcW w:w="1076" w:type="pct"/>
            <w:tcBorders>
              <w:top w:val="nil"/>
              <w:left w:val="nil"/>
              <w:bottom w:val="nil"/>
              <w:right w:val="nil"/>
            </w:tcBorders>
            <w:shd w:val="clear" w:color="auto" w:fill="auto"/>
            <w:noWrap/>
            <w:vAlign w:val="bottom"/>
            <w:hideMark/>
          </w:tcPr>
          <w:p w14:paraId="1857F4C6" w14:textId="77777777" w:rsidR="002E1F5B" w:rsidRPr="00CA4C14" w:rsidRDefault="002E1F5B" w:rsidP="00B772C9">
            <w:pPr>
              <w:pStyle w:val="Tabletext"/>
              <w:jc w:val="right"/>
              <w:rPr>
                <w:lang w:val="ru-RU" w:eastAsia="en-GB"/>
              </w:rPr>
            </w:pPr>
            <w:r w:rsidRPr="00CA4C14">
              <w:rPr>
                <w:lang w:val="ru-RU" w:eastAsia="en-GB"/>
              </w:rPr>
              <w:t>1 247</w:t>
            </w:r>
          </w:p>
        </w:tc>
      </w:tr>
      <w:tr w:rsidR="002E1F5B" w:rsidRPr="00CA4C14" w14:paraId="5948BF0D" w14:textId="77777777" w:rsidTr="00922DE4">
        <w:trPr>
          <w:jc w:val="center"/>
        </w:trPr>
        <w:tc>
          <w:tcPr>
            <w:tcW w:w="2848" w:type="pct"/>
            <w:tcBorders>
              <w:top w:val="nil"/>
              <w:left w:val="nil"/>
              <w:bottom w:val="nil"/>
              <w:right w:val="nil"/>
            </w:tcBorders>
            <w:shd w:val="clear" w:color="000000" w:fill="0070C0"/>
            <w:noWrap/>
            <w:vAlign w:val="center"/>
            <w:hideMark/>
          </w:tcPr>
          <w:p w14:paraId="5C4BF8C3" w14:textId="77777777" w:rsidR="002E1F5B" w:rsidRPr="00CA4C14" w:rsidRDefault="002E1F5B" w:rsidP="00B772C9">
            <w:pPr>
              <w:pStyle w:val="Tabletext"/>
              <w:rPr>
                <w:b/>
                <w:bCs/>
                <w:lang w:val="ru-RU" w:eastAsia="en-GB"/>
              </w:rPr>
            </w:pPr>
            <w:r w:rsidRPr="00CA4C14">
              <w:rPr>
                <w:b/>
                <w:bCs/>
                <w:lang w:val="ru-RU" w:eastAsia="en-GB"/>
              </w:rPr>
              <w:t>Всего − Прочие доходы от деятельности</w:t>
            </w:r>
          </w:p>
        </w:tc>
        <w:tc>
          <w:tcPr>
            <w:tcW w:w="1076" w:type="pct"/>
            <w:tcBorders>
              <w:top w:val="nil"/>
              <w:left w:val="nil"/>
              <w:bottom w:val="nil"/>
              <w:right w:val="nil"/>
            </w:tcBorders>
            <w:shd w:val="clear" w:color="000000" w:fill="0070C0"/>
            <w:noWrap/>
            <w:vAlign w:val="center"/>
            <w:hideMark/>
          </w:tcPr>
          <w:p w14:paraId="699334B8" w14:textId="77777777" w:rsidR="002E1F5B" w:rsidRPr="00CA4C14" w:rsidRDefault="002E1F5B" w:rsidP="00B772C9">
            <w:pPr>
              <w:pStyle w:val="Tabletext"/>
              <w:jc w:val="right"/>
              <w:rPr>
                <w:b/>
                <w:bCs/>
                <w:lang w:val="ru-RU" w:eastAsia="en-GB"/>
              </w:rPr>
            </w:pPr>
            <w:r w:rsidRPr="00CA4C14">
              <w:rPr>
                <w:b/>
                <w:bCs/>
                <w:lang w:val="ru-RU" w:eastAsia="en-GB"/>
              </w:rPr>
              <w:t>34 145</w:t>
            </w:r>
          </w:p>
        </w:tc>
        <w:tc>
          <w:tcPr>
            <w:tcW w:w="1076" w:type="pct"/>
            <w:tcBorders>
              <w:top w:val="nil"/>
              <w:left w:val="nil"/>
              <w:bottom w:val="nil"/>
              <w:right w:val="nil"/>
            </w:tcBorders>
            <w:shd w:val="clear" w:color="000000" w:fill="0070C0"/>
            <w:noWrap/>
            <w:vAlign w:val="center"/>
            <w:hideMark/>
          </w:tcPr>
          <w:p w14:paraId="4F5A6104" w14:textId="77777777" w:rsidR="002E1F5B" w:rsidRPr="00CA4C14" w:rsidRDefault="002E1F5B" w:rsidP="00B772C9">
            <w:pPr>
              <w:pStyle w:val="Tabletext"/>
              <w:jc w:val="right"/>
              <w:rPr>
                <w:b/>
                <w:bCs/>
                <w:lang w:val="ru-RU" w:eastAsia="en-GB"/>
              </w:rPr>
            </w:pPr>
            <w:r w:rsidRPr="00CA4C14">
              <w:rPr>
                <w:b/>
                <w:bCs/>
                <w:lang w:val="ru-RU" w:eastAsia="en-GB"/>
              </w:rPr>
              <w:t>26 473</w:t>
            </w:r>
          </w:p>
        </w:tc>
      </w:tr>
    </w:tbl>
    <w:bookmarkEnd w:id="456"/>
    <w:p w14:paraId="56D64571" w14:textId="77777777" w:rsidR="002E1F5B" w:rsidRPr="00CA4C14" w:rsidRDefault="002E1F5B" w:rsidP="002E1F5B">
      <w:pPr>
        <w:pStyle w:val="Headingb"/>
        <w:rPr>
          <w:lang w:val="ru-RU" w:bidi="ru-RU"/>
        </w:rPr>
      </w:pPr>
      <w:r w:rsidRPr="00CA4C14">
        <w:rPr>
          <w:lang w:val="ru-RU" w:bidi="ru-RU"/>
        </w:rPr>
        <w:t>Финансовые доходы/(затраты)</w:t>
      </w:r>
    </w:p>
    <w:p w14:paraId="7532D338" w14:textId="77777777" w:rsidR="002E1F5B" w:rsidRPr="00CA4C14" w:rsidRDefault="002E1F5B" w:rsidP="002E1F5B">
      <w:pPr>
        <w:rPr>
          <w:lang w:val="ru-RU" w:bidi="ru-RU"/>
        </w:rPr>
      </w:pPr>
      <w:r w:rsidRPr="00CA4C14">
        <w:rPr>
          <w:lang w:val="ru-RU" w:bidi="ru-RU"/>
        </w:rPr>
        <w:t>Как указано в Примечании 2, информация за 2022 год, включенная в таблицу ниже, была пересчитана с учетом положительного изменения чистой приведенной стоимости ссуды на сумму 6,2 млн. швейцарских франков (отрицательное изменение на 4,1 млн. швейцарских франков в 2023 г.) в связи со снижением ставки по 30-летним облигациям Швейцарской Конфедерации, как описано в Примечании 3.2.</w:t>
      </w:r>
    </w:p>
    <w:p w14:paraId="39DDFD03" w14:textId="77777777" w:rsidR="002E1F5B" w:rsidRPr="00CA4C14" w:rsidRDefault="002E1F5B" w:rsidP="002E1F5B">
      <w:pPr>
        <w:rPr>
          <w:lang w:val="ru-RU" w:bidi="ru-RU"/>
        </w:rPr>
      </w:pPr>
      <w:r w:rsidRPr="00CA4C14">
        <w:rPr>
          <w:lang w:val="ru-RU" w:bidi="ru-RU"/>
        </w:rPr>
        <w:t>Кроме того, с целью предоставить более качественную информацию, были повторно представлены прибыли и убытки от курсовой разницы за 2022 год, чтобы отдельно показать ее влияние на инвестиции и на операции.</w:t>
      </w:r>
    </w:p>
    <w:p w14:paraId="144024B3" w14:textId="6B016B65" w:rsidR="002E1F5B" w:rsidRPr="00CA4C14" w:rsidRDefault="002E1F5B" w:rsidP="00922DE4">
      <w:pPr>
        <w:spacing w:after="120"/>
        <w:rPr>
          <w:highlight w:val="lightGray"/>
          <w:lang w:val="ru-RU" w:bidi="ru-RU"/>
        </w:rPr>
      </w:pPr>
      <w:r w:rsidRPr="00CA4C14">
        <w:rPr>
          <w:lang w:val="ru-RU" w:bidi="ru-RU"/>
        </w:rPr>
        <w:t xml:space="preserve">Процентная ставка по краткосрочным депозитам в долларах США в 2023 году выросла, что позволило инвестиционному доходу достичь 4,6 </w:t>
      </w:r>
      <w:proofErr w:type="gramStart"/>
      <w:r w:rsidRPr="00CA4C14">
        <w:rPr>
          <w:lang w:val="ru-RU" w:bidi="ru-RU"/>
        </w:rPr>
        <w:t>млн.</w:t>
      </w:r>
      <w:proofErr w:type="gramEnd"/>
      <w:r w:rsidRPr="00CA4C14">
        <w:rPr>
          <w:lang w:val="ru-RU" w:bidi="ru-RU"/>
        </w:rPr>
        <w:t xml:space="preserve"> швейцарских франков и объясняет рост по сравнению с 2022 годом (1,5 млн. шв. фр.). Инвестиции проводятся в долларах США, и в результате в 2023 году МСЭ понес убытки от курсовых разниц по инвестициям в размере 3,6</w:t>
      </w:r>
      <w:r w:rsidR="00922DE4" w:rsidRPr="00CA4C14">
        <w:rPr>
          <w:lang w:val="ru-RU" w:bidi="ru-RU"/>
        </w:rPr>
        <w:t> </w:t>
      </w:r>
      <w:proofErr w:type="gramStart"/>
      <w:r w:rsidRPr="00CA4C14">
        <w:rPr>
          <w:lang w:val="ru-RU" w:bidi="ru-RU"/>
        </w:rPr>
        <w:t>млн.</w:t>
      </w:r>
      <w:proofErr w:type="gramEnd"/>
      <w:r w:rsidRPr="00CA4C14">
        <w:rPr>
          <w:lang w:val="ru-RU" w:bidi="ru-RU"/>
        </w:rPr>
        <w:t xml:space="preserve"> швейцарских франков из-за укрепления швейцарского франка по отношению к доллару США. В 2022 году МСЭ получил прибыль от курсовой разницы в размере 2,3 </w:t>
      </w:r>
      <w:proofErr w:type="gramStart"/>
      <w:r w:rsidRPr="00CA4C14">
        <w:rPr>
          <w:lang w:val="ru-RU" w:bidi="ru-RU"/>
        </w:rPr>
        <w:t>млн.</w:t>
      </w:r>
      <w:proofErr w:type="gramEnd"/>
      <w:r w:rsidR="00922DE4" w:rsidRPr="00CA4C14">
        <w:rPr>
          <w:lang w:val="ru-RU" w:bidi="ru-RU"/>
        </w:rPr>
        <w:t> </w:t>
      </w:r>
      <w:r w:rsidRPr="00CA4C14">
        <w:rPr>
          <w:lang w:val="ru-RU" w:bidi="ru-RU"/>
        </w:rPr>
        <w:t>швейцарских франков.</w:t>
      </w:r>
    </w:p>
    <w:tbl>
      <w:tblPr>
        <w:tblW w:w="5000" w:type="pct"/>
        <w:jc w:val="center"/>
        <w:tblLayout w:type="fixed"/>
        <w:tblLook w:val="04A0" w:firstRow="1" w:lastRow="0" w:firstColumn="1" w:lastColumn="0" w:noHBand="0" w:noVBand="1"/>
      </w:tblPr>
      <w:tblGrid>
        <w:gridCol w:w="5581"/>
        <w:gridCol w:w="1745"/>
        <w:gridCol w:w="1745"/>
      </w:tblGrid>
      <w:tr w:rsidR="002E1F5B" w:rsidRPr="00CA4C14" w14:paraId="3C95D79F" w14:textId="77777777" w:rsidTr="00922DE4">
        <w:trPr>
          <w:jc w:val="center"/>
        </w:trPr>
        <w:tc>
          <w:tcPr>
            <w:tcW w:w="3075" w:type="pct"/>
            <w:tcBorders>
              <w:top w:val="nil"/>
              <w:left w:val="nil"/>
              <w:bottom w:val="nil"/>
              <w:right w:val="nil"/>
            </w:tcBorders>
            <w:shd w:val="clear" w:color="000000" w:fill="0070C0"/>
            <w:vAlign w:val="center"/>
            <w:hideMark/>
          </w:tcPr>
          <w:p w14:paraId="735E77E3" w14:textId="77777777" w:rsidR="002E1F5B" w:rsidRPr="00CA4C14" w:rsidRDefault="002E1F5B" w:rsidP="00A77509">
            <w:pPr>
              <w:pStyle w:val="Tablehead"/>
              <w:keepLines/>
              <w:rPr>
                <w:lang w:val="ru-RU" w:eastAsia="en-GB"/>
              </w:rPr>
            </w:pPr>
            <w:r w:rsidRPr="00CA4C14">
              <w:rPr>
                <w:szCs w:val="18"/>
                <w:lang w:val="ru-RU" w:eastAsia="en-GB"/>
              </w:rPr>
              <w:t>Описание (тыс. шв. фр.)</w:t>
            </w:r>
          </w:p>
        </w:tc>
        <w:tc>
          <w:tcPr>
            <w:tcW w:w="962" w:type="pct"/>
            <w:tcBorders>
              <w:top w:val="nil"/>
              <w:left w:val="nil"/>
              <w:bottom w:val="nil"/>
              <w:right w:val="nil"/>
            </w:tcBorders>
            <w:shd w:val="clear" w:color="000000" w:fill="0070C0"/>
            <w:vAlign w:val="center"/>
            <w:hideMark/>
          </w:tcPr>
          <w:p w14:paraId="0A2A2AB1" w14:textId="77777777" w:rsidR="002E1F5B" w:rsidRPr="00CA4C14" w:rsidRDefault="002E1F5B" w:rsidP="00A77509">
            <w:pPr>
              <w:pStyle w:val="Tablehead"/>
              <w:keepLines/>
              <w:rPr>
                <w:lang w:val="ru-RU" w:eastAsia="en-GB"/>
              </w:rPr>
            </w:pPr>
            <w:r w:rsidRPr="00CA4C14">
              <w:rPr>
                <w:lang w:val="ru-RU" w:eastAsia="en-GB"/>
              </w:rPr>
              <w:t>31 декабря 2023 г.</w:t>
            </w:r>
          </w:p>
        </w:tc>
        <w:tc>
          <w:tcPr>
            <w:tcW w:w="962" w:type="pct"/>
            <w:tcBorders>
              <w:top w:val="nil"/>
              <w:left w:val="nil"/>
              <w:bottom w:val="nil"/>
              <w:right w:val="nil"/>
            </w:tcBorders>
            <w:shd w:val="clear" w:color="000000" w:fill="0070C0"/>
            <w:vAlign w:val="center"/>
            <w:hideMark/>
          </w:tcPr>
          <w:p w14:paraId="0EB47915" w14:textId="77777777" w:rsidR="002E1F5B" w:rsidRPr="00CA4C14" w:rsidRDefault="002E1F5B" w:rsidP="00A77509">
            <w:pPr>
              <w:pStyle w:val="Tablehead"/>
              <w:keepLines/>
              <w:rPr>
                <w:lang w:val="ru-RU" w:eastAsia="en-GB"/>
              </w:rPr>
            </w:pPr>
            <w:r w:rsidRPr="00CA4C14">
              <w:rPr>
                <w:lang w:val="ru-RU" w:eastAsia="en-GB"/>
              </w:rPr>
              <w:t>31 декабря 2022 г.</w:t>
            </w:r>
            <w:r w:rsidRPr="00CA4C14">
              <w:rPr>
                <w:lang w:val="ru-RU" w:eastAsia="en-GB"/>
              </w:rPr>
              <w:br/>
              <w:t>(пересчитанные)</w:t>
            </w:r>
          </w:p>
        </w:tc>
      </w:tr>
      <w:tr w:rsidR="002E1F5B" w:rsidRPr="00CA4C14" w14:paraId="7F39479A" w14:textId="77777777" w:rsidTr="00922DE4">
        <w:trPr>
          <w:jc w:val="center"/>
        </w:trPr>
        <w:tc>
          <w:tcPr>
            <w:tcW w:w="3075" w:type="pct"/>
            <w:tcBorders>
              <w:top w:val="nil"/>
              <w:left w:val="nil"/>
              <w:bottom w:val="nil"/>
              <w:right w:val="nil"/>
            </w:tcBorders>
            <w:shd w:val="clear" w:color="000000" w:fill="auto"/>
            <w:noWrap/>
            <w:hideMark/>
          </w:tcPr>
          <w:p w14:paraId="5B7DC30E" w14:textId="77777777" w:rsidR="002E1F5B" w:rsidRPr="00CA4C14" w:rsidRDefault="002E1F5B" w:rsidP="00A77509">
            <w:pPr>
              <w:pStyle w:val="Tabletext"/>
              <w:keepNext/>
              <w:keepLines/>
              <w:rPr>
                <w:lang w:val="ru-RU" w:eastAsia="en-GB"/>
              </w:rPr>
            </w:pPr>
            <w:r w:rsidRPr="00CA4C14">
              <w:rPr>
                <w:lang w:val="ru-RU" w:eastAsia="en-GB"/>
              </w:rPr>
              <w:t>Проценты по инвестициям</w:t>
            </w:r>
          </w:p>
        </w:tc>
        <w:tc>
          <w:tcPr>
            <w:tcW w:w="962" w:type="pct"/>
            <w:tcBorders>
              <w:top w:val="nil"/>
              <w:left w:val="nil"/>
              <w:bottom w:val="nil"/>
              <w:right w:val="nil"/>
            </w:tcBorders>
            <w:shd w:val="clear" w:color="auto" w:fill="auto"/>
            <w:noWrap/>
            <w:vAlign w:val="bottom"/>
            <w:hideMark/>
          </w:tcPr>
          <w:p w14:paraId="02B0D731" w14:textId="77777777" w:rsidR="002E1F5B" w:rsidRPr="00CA4C14" w:rsidRDefault="002E1F5B" w:rsidP="00A77509">
            <w:pPr>
              <w:pStyle w:val="Tabletext"/>
              <w:keepNext/>
              <w:keepLines/>
              <w:jc w:val="right"/>
              <w:rPr>
                <w:lang w:val="ru-RU" w:eastAsia="en-GB"/>
              </w:rPr>
            </w:pPr>
            <w:r w:rsidRPr="00CA4C14">
              <w:rPr>
                <w:lang w:val="ru-RU" w:eastAsia="en-GB"/>
              </w:rPr>
              <w:t>4 559</w:t>
            </w:r>
          </w:p>
        </w:tc>
        <w:tc>
          <w:tcPr>
            <w:tcW w:w="962" w:type="pct"/>
            <w:tcBorders>
              <w:top w:val="nil"/>
              <w:left w:val="nil"/>
              <w:bottom w:val="nil"/>
              <w:right w:val="nil"/>
            </w:tcBorders>
            <w:shd w:val="clear" w:color="auto" w:fill="auto"/>
            <w:noWrap/>
            <w:vAlign w:val="bottom"/>
            <w:hideMark/>
          </w:tcPr>
          <w:p w14:paraId="553C23E1" w14:textId="77777777" w:rsidR="002E1F5B" w:rsidRPr="00CA4C14" w:rsidRDefault="002E1F5B" w:rsidP="00A77509">
            <w:pPr>
              <w:pStyle w:val="Tabletext"/>
              <w:keepNext/>
              <w:keepLines/>
              <w:jc w:val="right"/>
              <w:rPr>
                <w:lang w:val="ru-RU" w:eastAsia="en-GB"/>
              </w:rPr>
            </w:pPr>
            <w:r w:rsidRPr="00CA4C14">
              <w:rPr>
                <w:lang w:val="ru-RU" w:eastAsia="en-GB"/>
              </w:rPr>
              <w:t>1 523</w:t>
            </w:r>
          </w:p>
        </w:tc>
      </w:tr>
      <w:tr w:rsidR="002E1F5B" w:rsidRPr="00CA4C14" w14:paraId="65255A20" w14:textId="77777777" w:rsidTr="00922DE4">
        <w:trPr>
          <w:jc w:val="center"/>
        </w:trPr>
        <w:tc>
          <w:tcPr>
            <w:tcW w:w="3075" w:type="pct"/>
            <w:tcBorders>
              <w:top w:val="nil"/>
              <w:left w:val="nil"/>
              <w:bottom w:val="nil"/>
              <w:right w:val="nil"/>
            </w:tcBorders>
            <w:shd w:val="clear" w:color="auto" w:fill="auto"/>
            <w:noWrap/>
            <w:hideMark/>
          </w:tcPr>
          <w:p w14:paraId="537CE01F" w14:textId="77777777" w:rsidR="002E1F5B" w:rsidRPr="00CA4C14" w:rsidRDefault="002E1F5B" w:rsidP="00A77509">
            <w:pPr>
              <w:pStyle w:val="Tabletext"/>
              <w:keepNext/>
              <w:keepLines/>
              <w:rPr>
                <w:lang w:val="ru-RU" w:eastAsia="en-GB"/>
              </w:rPr>
            </w:pPr>
            <w:r w:rsidRPr="00CA4C14">
              <w:rPr>
                <w:lang w:val="ru-RU" w:eastAsia="en-GB"/>
              </w:rPr>
              <w:t xml:space="preserve">Полученные курсовые прибыли/(убытки) от инвестиций </w:t>
            </w:r>
            <w:proofErr w:type="gramStart"/>
            <w:r w:rsidRPr="00CA4C14">
              <w:rPr>
                <w:lang w:val="ru-RU" w:eastAsia="en-GB"/>
              </w:rPr>
              <w:t>0−3</w:t>
            </w:r>
            <w:proofErr w:type="gramEnd"/>
            <w:r w:rsidRPr="00CA4C14">
              <w:rPr>
                <w:lang w:val="ru-RU" w:eastAsia="en-GB"/>
              </w:rPr>
              <w:t> месяца</w:t>
            </w:r>
          </w:p>
        </w:tc>
        <w:tc>
          <w:tcPr>
            <w:tcW w:w="962" w:type="pct"/>
            <w:tcBorders>
              <w:top w:val="nil"/>
              <w:left w:val="nil"/>
              <w:bottom w:val="nil"/>
              <w:right w:val="nil"/>
            </w:tcBorders>
            <w:shd w:val="clear" w:color="auto" w:fill="auto"/>
            <w:noWrap/>
            <w:vAlign w:val="bottom"/>
            <w:hideMark/>
          </w:tcPr>
          <w:p w14:paraId="78AEE4CB" w14:textId="77777777" w:rsidR="002E1F5B" w:rsidRPr="00CA4C14" w:rsidRDefault="002E1F5B" w:rsidP="00A77509">
            <w:pPr>
              <w:pStyle w:val="Tabletext"/>
              <w:keepNext/>
              <w:keepLines/>
              <w:jc w:val="right"/>
              <w:rPr>
                <w:lang w:val="ru-RU" w:eastAsia="en-GB"/>
              </w:rPr>
            </w:pPr>
            <w:r w:rsidRPr="00CA4C14">
              <w:rPr>
                <w:lang w:val="ru-RU" w:eastAsia="en-GB"/>
              </w:rPr>
              <w:t>(3 570)</w:t>
            </w:r>
          </w:p>
        </w:tc>
        <w:tc>
          <w:tcPr>
            <w:tcW w:w="962" w:type="pct"/>
            <w:tcBorders>
              <w:top w:val="nil"/>
              <w:left w:val="nil"/>
              <w:bottom w:val="nil"/>
              <w:right w:val="nil"/>
            </w:tcBorders>
            <w:shd w:val="clear" w:color="auto" w:fill="auto"/>
            <w:noWrap/>
            <w:vAlign w:val="bottom"/>
            <w:hideMark/>
          </w:tcPr>
          <w:p w14:paraId="688C3049" w14:textId="77777777" w:rsidR="002E1F5B" w:rsidRPr="00CA4C14" w:rsidRDefault="002E1F5B" w:rsidP="00A77509">
            <w:pPr>
              <w:pStyle w:val="Tabletext"/>
              <w:keepNext/>
              <w:keepLines/>
              <w:jc w:val="right"/>
              <w:rPr>
                <w:lang w:val="ru-RU" w:eastAsia="en-GB"/>
              </w:rPr>
            </w:pPr>
            <w:r w:rsidRPr="00CA4C14">
              <w:rPr>
                <w:lang w:val="ru-RU" w:eastAsia="en-GB"/>
              </w:rPr>
              <w:t>1 995</w:t>
            </w:r>
          </w:p>
        </w:tc>
      </w:tr>
      <w:tr w:rsidR="002E1F5B" w:rsidRPr="00CA4C14" w14:paraId="4218AC43" w14:textId="77777777" w:rsidTr="00922DE4">
        <w:trPr>
          <w:jc w:val="center"/>
        </w:trPr>
        <w:tc>
          <w:tcPr>
            <w:tcW w:w="3075" w:type="pct"/>
            <w:tcBorders>
              <w:top w:val="nil"/>
              <w:left w:val="nil"/>
              <w:bottom w:val="nil"/>
              <w:right w:val="nil"/>
            </w:tcBorders>
            <w:shd w:val="clear" w:color="auto" w:fill="auto"/>
            <w:noWrap/>
            <w:hideMark/>
          </w:tcPr>
          <w:p w14:paraId="64FF7642" w14:textId="77777777" w:rsidR="002E1F5B" w:rsidRPr="00CA4C14" w:rsidRDefault="002E1F5B" w:rsidP="00A77509">
            <w:pPr>
              <w:pStyle w:val="Tabletext"/>
              <w:keepNext/>
              <w:keepLines/>
              <w:rPr>
                <w:lang w:val="ru-RU" w:eastAsia="en-GB"/>
              </w:rPr>
            </w:pPr>
            <w:r w:rsidRPr="00CA4C14">
              <w:rPr>
                <w:lang w:val="ru-RU" w:eastAsia="en-GB"/>
              </w:rPr>
              <w:t>Неполученные курсовые прибыли/(убытки) от инвестиций</w:t>
            </w:r>
          </w:p>
        </w:tc>
        <w:tc>
          <w:tcPr>
            <w:tcW w:w="962" w:type="pct"/>
            <w:tcBorders>
              <w:top w:val="nil"/>
              <w:left w:val="nil"/>
              <w:bottom w:val="nil"/>
              <w:right w:val="nil"/>
            </w:tcBorders>
            <w:shd w:val="clear" w:color="auto" w:fill="auto"/>
            <w:noWrap/>
            <w:vAlign w:val="bottom"/>
            <w:hideMark/>
          </w:tcPr>
          <w:p w14:paraId="3768ACC0" w14:textId="77777777" w:rsidR="002E1F5B" w:rsidRPr="00CA4C14" w:rsidRDefault="002E1F5B" w:rsidP="00A77509">
            <w:pPr>
              <w:pStyle w:val="Tabletext"/>
              <w:keepNext/>
              <w:keepLines/>
              <w:jc w:val="right"/>
              <w:rPr>
                <w:lang w:val="ru-RU" w:eastAsia="en-GB"/>
              </w:rPr>
            </w:pPr>
            <w:r w:rsidRPr="00CA4C14">
              <w:rPr>
                <w:lang w:val="ru-RU" w:eastAsia="en-GB"/>
              </w:rPr>
              <w:t>(2 614)</w:t>
            </w:r>
          </w:p>
        </w:tc>
        <w:tc>
          <w:tcPr>
            <w:tcW w:w="962" w:type="pct"/>
            <w:tcBorders>
              <w:top w:val="nil"/>
              <w:left w:val="nil"/>
              <w:bottom w:val="nil"/>
              <w:right w:val="nil"/>
            </w:tcBorders>
            <w:shd w:val="clear" w:color="auto" w:fill="auto"/>
            <w:noWrap/>
            <w:vAlign w:val="bottom"/>
            <w:hideMark/>
          </w:tcPr>
          <w:p w14:paraId="45B8155F" w14:textId="77777777" w:rsidR="002E1F5B" w:rsidRPr="00CA4C14" w:rsidRDefault="002E1F5B" w:rsidP="00A77509">
            <w:pPr>
              <w:pStyle w:val="Tabletext"/>
              <w:keepNext/>
              <w:keepLines/>
              <w:jc w:val="right"/>
              <w:rPr>
                <w:lang w:val="ru-RU" w:eastAsia="en-GB"/>
              </w:rPr>
            </w:pPr>
            <w:r w:rsidRPr="00CA4C14">
              <w:rPr>
                <w:lang w:val="ru-RU" w:eastAsia="en-GB"/>
              </w:rPr>
              <w:t>(950)</w:t>
            </w:r>
          </w:p>
        </w:tc>
      </w:tr>
      <w:tr w:rsidR="002E1F5B" w:rsidRPr="00CA4C14" w14:paraId="3B8AB290" w14:textId="77777777" w:rsidTr="00922DE4">
        <w:trPr>
          <w:jc w:val="center"/>
        </w:trPr>
        <w:tc>
          <w:tcPr>
            <w:tcW w:w="3075" w:type="pct"/>
            <w:tcBorders>
              <w:top w:val="nil"/>
              <w:left w:val="nil"/>
              <w:bottom w:val="nil"/>
              <w:right w:val="nil"/>
            </w:tcBorders>
            <w:shd w:val="clear" w:color="000000" w:fill="auto"/>
            <w:noWrap/>
            <w:hideMark/>
          </w:tcPr>
          <w:p w14:paraId="47955C82" w14:textId="77777777" w:rsidR="002E1F5B" w:rsidRPr="00CA4C14" w:rsidRDefault="002E1F5B" w:rsidP="00A77509">
            <w:pPr>
              <w:pStyle w:val="Tabletext"/>
              <w:keepNext/>
              <w:keepLines/>
              <w:rPr>
                <w:lang w:val="ru-RU" w:eastAsia="en-GB"/>
              </w:rPr>
            </w:pPr>
            <w:r w:rsidRPr="00CA4C14">
              <w:rPr>
                <w:lang w:val="ru-RU" w:eastAsia="en-GB"/>
              </w:rPr>
              <w:t>Банковские платежи</w:t>
            </w:r>
          </w:p>
        </w:tc>
        <w:tc>
          <w:tcPr>
            <w:tcW w:w="962" w:type="pct"/>
            <w:tcBorders>
              <w:top w:val="nil"/>
              <w:left w:val="nil"/>
              <w:bottom w:val="nil"/>
              <w:right w:val="nil"/>
            </w:tcBorders>
            <w:shd w:val="clear" w:color="auto" w:fill="auto"/>
            <w:noWrap/>
            <w:vAlign w:val="bottom"/>
            <w:hideMark/>
          </w:tcPr>
          <w:p w14:paraId="480ABCB8" w14:textId="77777777" w:rsidR="002E1F5B" w:rsidRPr="00CA4C14" w:rsidRDefault="002E1F5B" w:rsidP="00A77509">
            <w:pPr>
              <w:pStyle w:val="Tabletext"/>
              <w:keepNext/>
              <w:keepLines/>
              <w:jc w:val="right"/>
              <w:rPr>
                <w:lang w:val="ru-RU" w:eastAsia="en-GB"/>
              </w:rPr>
            </w:pPr>
            <w:r w:rsidRPr="00CA4C14">
              <w:rPr>
                <w:lang w:val="ru-RU" w:eastAsia="en-GB"/>
              </w:rPr>
              <w:t>(193)</w:t>
            </w:r>
          </w:p>
        </w:tc>
        <w:tc>
          <w:tcPr>
            <w:tcW w:w="962" w:type="pct"/>
            <w:tcBorders>
              <w:top w:val="nil"/>
              <w:left w:val="nil"/>
              <w:bottom w:val="nil"/>
              <w:right w:val="nil"/>
            </w:tcBorders>
            <w:shd w:val="clear" w:color="auto" w:fill="auto"/>
            <w:noWrap/>
            <w:vAlign w:val="bottom"/>
            <w:hideMark/>
          </w:tcPr>
          <w:p w14:paraId="5EF6C259" w14:textId="77777777" w:rsidR="002E1F5B" w:rsidRPr="00CA4C14" w:rsidRDefault="002E1F5B" w:rsidP="00A77509">
            <w:pPr>
              <w:pStyle w:val="Tabletext"/>
              <w:keepNext/>
              <w:keepLines/>
              <w:jc w:val="right"/>
              <w:rPr>
                <w:lang w:val="ru-RU" w:eastAsia="en-GB"/>
              </w:rPr>
            </w:pPr>
            <w:r w:rsidRPr="00CA4C14">
              <w:rPr>
                <w:lang w:val="ru-RU" w:eastAsia="en-GB"/>
              </w:rPr>
              <w:t>(422)</w:t>
            </w:r>
          </w:p>
        </w:tc>
      </w:tr>
      <w:tr w:rsidR="002E1F5B" w:rsidRPr="00CA4C14" w14:paraId="68DF29F2" w14:textId="77777777" w:rsidTr="00922DE4">
        <w:trPr>
          <w:jc w:val="center"/>
        </w:trPr>
        <w:tc>
          <w:tcPr>
            <w:tcW w:w="3075" w:type="pct"/>
            <w:tcBorders>
              <w:top w:val="nil"/>
              <w:left w:val="nil"/>
              <w:bottom w:val="nil"/>
              <w:right w:val="nil"/>
            </w:tcBorders>
            <w:shd w:val="clear" w:color="auto" w:fill="auto"/>
            <w:noWrap/>
            <w:hideMark/>
          </w:tcPr>
          <w:p w14:paraId="52F11D2C" w14:textId="77777777" w:rsidR="002E1F5B" w:rsidRPr="00CA4C14" w:rsidRDefault="002E1F5B" w:rsidP="00A77509">
            <w:pPr>
              <w:pStyle w:val="Tabletext"/>
              <w:keepNext/>
              <w:keepLines/>
              <w:rPr>
                <w:lang w:val="ru-RU" w:eastAsia="en-GB"/>
              </w:rPr>
            </w:pPr>
            <w:r w:rsidRPr="00CA4C14">
              <w:rPr>
                <w:lang w:val="ru-RU" w:eastAsia="en-GB"/>
              </w:rPr>
              <w:t>Изменение чистой приведенной стоимости ссуды</w:t>
            </w:r>
          </w:p>
        </w:tc>
        <w:tc>
          <w:tcPr>
            <w:tcW w:w="962" w:type="pct"/>
            <w:tcBorders>
              <w:top w:val="nil"/>
              <w:left w:val="nil"/>
              <w:bottom w:val="nil"/>
              <w:right w:val="nil"/>
            </w:tcBorders>
            <w:shd w:val="clear" w:color="auto" w:fill="auto"/>
            <w:noWrap/>
            <w:vAlign w:val="bottom"/>
            <w:hideMark/>
          </w:tcPr>
          <w:p w14:paraId="06F8F92E" w14:textId="77777777" w:rsidR="002E1F5B" w:rsidRPr="00CA4C14" w:rsidRDefault="002E1F5B" w:rsidP="00A77509">
            <w:pPr>
              <w:pStyle w:val="Tabletext"/>
              <w:keepNext/>
              <w:keepLines/>
              <w:jc w:val="right"/>
              <w:rPr>
                <w:lang w:val="ru-RU" w:eastAsia="en-GB"/>
              </w:rPr>
            </w:pPr>
            <w:r w:rsidRPr="00CA4C14">
              <w:rPr>
                <w:lang w:val="ru-RU" w:eastAsia="en-GB"/>
              </w:rPr>
              <w:t>(4 055)</w:t>
            </w:r>
          </w:p>
        </w:tc>
        <w:tc>
          <w:tcPr>
            <w:tcW w:w="962" w:type="pct"/>
            <w:tcBorders>
              <w:top w:val="nil"/>
              <w:left w:val="nil"/>
              <w:bottom w:val="nil"/>
              <w:right w:val="nil"/>
            </w:tcBorders>
            <w:shd w:val="clear" w:color="auto" w:fill="auto"/>
            <w:noWrap/>
            <w:vAlign w:val="bottom"/>
            <w:hideMark/>
          </w:tcPr>
          <w:p w14:paraId="187C052C" w14:textId="77777777" w:rsidR="002E1F5B" w:rsidRPr="00CA4C14" w:rsidRDefault="002E1F5B" w:rsidP="00A77509">
            <w:pPr>
              <w:pStyle w:val="Tabletext"/>
              <w:keepNext/>
              <w:keepLines/>
              <w:jc w:val="right"/>
              <w:rPr>
                <w:lang w:val="ru-RU" w:eastAsia="en-GB"/>
              </w:rPr>
            </w:pPr>
            <w:r w:rsidRPr="00CA4C14">
              <w:rPr>
                <w:lang w:val="ru-RU" w:eastAsia="en-GB"/>
              </w:rPr>
              <w:t>6 176</w:t>
            </w:r>
          </w:p>
        </w:tc>
      </w:tr>
      <w:tr w:rsidR="002E1F5B" w:rsidRPr="00CA4C14" w14:paraId="05C57375" w14:textId="77777777" w:rsidTr="00922DE4">
        <w:trPr>
          <w:jc w:val="center"/>
        </w:trPr>
        <w:tc>
          <w:tcPr>
            <w:tcW w:w="3075" w:type="pct"/>
            <w:tcBorders>
              <w:top w:val="nil"/>
              <w:left w:val="nil"/>
              <w:bottom w:val="nil"/>
              <w:right w:val="nil"/>
            </w:tcBorders>
            <w:shd w:val="clear" w:color="auto" w:fill="auto"/>
            <w:noWrap/>
            <w:hideMark/>
          </w:tcPr>
          <w:p w14:paraId="54591542" w14:textId="77777777" w:rsidR="002E1F5B" w:rsidRPr="00CA4C14" w:rsidRDefault="002E1F5B" w:rsidP="00A77509">
            <w:pPr>
              <w:pStyle w:val="Tabletext"/>
              <w:keepNext/>
              <w:keepLines/>
              <w:rPr>
                <w:lang w:val="ru-RU" w:eastAsia="en-GB"/>
              </w:rPr>
            </w:pPr>
            <w:r w:rsidRPr="00CA4C14">
              <w:rPr>
                <w:lang w:val="ru-RU" w:eastAsia="en-GB"/>
              </w:rPr>
              <w:t>Полученные курсовые прибыли/(убытки) от операций</w:t>
            </w:r>
          </w:p>
        </w:tc>
        <w:tc>
          <w:tcPr>
            <w:tcW w:w="962" w:type="pct"/>
            <w:tcBorders>
              <w:top w:val="nil"/>
              <w:left w:val="nil"/>
              <w:bottom w:val="nil"/>
              <w:right w:val="nil"/>
            </w:tcBorders>
            <w:shd w:val="clear" w:color="auto" w:fill="auto"/>
            <w:noWrap/>
            <w:vAlign w:val="bottom"/>
            <w:hideMark/>
          </w:tcPr>
          <w:p w14:paraId="789177D7" w14:textId="77777777" w:rsidR="002E1F5B" w:rsidRPr="00CA4C14" w:rsidRDefault="002E1F5B" w:rsidP="00A77509">
            <w:pPr>
              <w:pStyle w:val="Tabletext"/>
              <w:keepNext/>
              <w:keepLines/>
              <w:jc w:val="right"/>
              <w:rPr>
                <w:lang w:val="ru-RU" w:eastAsia="en-GB"/>
              </w:rPr>
            </w:pPr>
            <w:r w:rsidRPr="00CA4C14">
              <w:rPr>
                <w:lang w:val="ru-RU" w:eastAsia="en-GB"/>
              </w:rPr>
              <w:t>(2 382)</w:t>
            </w:r>
          </w:p>
        </w:tc>
        <w:tc>
          <w:tcPr>
            <w:tcW w:w="962" w:type="pct"/>
            <w:tcBorders>
              <w:top w:val="nil"/>
              <w:left w:val="nil"/>
              <w:bottom w:val="nil"/>
              <w:right w:val="nil"/>
            </w:tcBorders>
            <w:shd w:val="clear" w:color="auto" w:fill="auto"/>
            <w:noWrap/>
            <w:vAlign w:val="bottom"/>
            <w:hideMark/>
          </w:tcPr>
          <w:p w14:paraId="7FAF5E66" w14:textId="77777777" w:rsidR="002E1F5B" w:rsidRPr="00CA4C14" w:rsidRDefault="002E1F5B" w:rsidP="00A77509">
            <w:pPr>
              <w:pStyle w:val="Tabletext"/>
              <w:keepNext/>
              <w:keepLines/>
              <w:jc w:val="right"/>
              <w:rPr>
                <w:lang w:val="ru-RU" w:eastAsia="en-GB"/>
              </w:rPr>
            </w:pPr>
            <w:r w:rsidRPr="00CA4C14">
              <w:rPr>
                <w:lang w:val="ru-RU" w:eastAsia="en-GB"/>
              </w:rPr>
              <w:t>(2 949)</w:t>
            </w:r>
          </w:p>
        </w:tc>
      </w:tr>
      <w:tr w:rsidR="002E1F5B" w:rsidRPr="00CA4C14" w14:paraId="76033570" w14:textId="77777777" w:rsidTr="00922DE4">
        <w:trPr>
          <w:jc w:val="center"/>
        </w:trPr>
        <w:tc>
          <w:tcPr>
            <w:tcW w:w="3075" w:type="pct"/>
            <w:tcBorders>
              <w:top w:val="nil"/>
              <w:left w:val="nil"/>
              <w:bottom w:val="nil"/>
              <w:right w:val="nil"/>
            </w:tcBorders>
            <w:shd w:val="clear" w:color="auto" w:fill="auto"/>
            <w:noWrap/>
            <w:hideMark/>
          </w:tcPr>
          <w:p w14:paraId="02EB017C" w14:textId="77777777" w:rsidR="002E1F5B" w:rsidRPr="00CA4C14" w:rsidRDefault="002E1F5B" w:rsidP="00A77509">
            <w:pPr>
              <w:pStyle w:val="Tabletext"/>
              <w:keepNext/>
              <w:keepLines/>
              <w:rPr>
                <w:lang w:val="ru-RU" w:eastAsia="en-GB"/>
              </w:rPr>
            </w:pPr>
            <w:r w:rsidRPr="00CA4C14">
              <w:rPr>
                <w:lang w:val="ru-RU" w:eastAsia="en-GB"/>
              </w:rPr>
              <w:t>Неполученные курсовые прибыли/(убытки) от операций</w:t>
            </w:r>
          </w:p>
        </w:tc>
        <w:tc>
          <w:tcPr>
            <w:tcW w:w="962" w:type="pct"/>
            <w:tcBorders>
              <w:top w:val="nil"/>
              <w:left w:val="nil"/>
              <w:bottom w:val="nil"/>
              <w:right w:val="nil"/>
            </w:tcBorders>
            <w:shd w:val="clear" w:color="auto" w:fill="auto"/>
            <w:noWrap/>
            <w:vAlign w:val="bottom"/>
            <w:hideMark/>
          </w:tcPr>
          <w:p w14:paraId="0CA4AB72" w14:textId="77777777" w:rsidR="002E1F5B" w:rsidRPr="00CA4C14" w:rsidRDefault="002E1F5B" w:rsidP="00A77509">
            <w:pPr>
              <w:pStyle w:val="Tabletext"/>
              <w:keepNext/>
              <w:keepLines/>
              <w:jc w:val="right"/>
              <w:rPr>
                <w:lang w:val="ru-RU" w:eastAsia="en-GB"/>
              </w:rPr>
            </w:pPr>
            <w:r w:rsidRPr="00CA4C14">
              <w:rPr>
                <w:lang w:val="ru-RU" w:eastAsia="en-GB"/>
              </w:rPr>
              <w:t>(17)</w:t>
            </w:r>
          </w:p>
        </w:tc>
        <w:tc>
          <w:tcPr>
            <w:tcW w:w="962" w:type="pct"/>
            <w:tcBorders>
              <w:top w:val="nil"/>
              <w:left w:val="nil"/>
              <w:bottom w:val="nil"/>
              <w:right w:val="nil"/>
            </w:tcBorders>
            <w:shd w:val="clear" w:color="auto" w:fill="auto"/>
            <w:noWrap/>
            <w:vAlign w:val="bottom"/>
            <w:hideMark/>
          </w:tcPr>
          <w:p w14:paraId="2451ED24" w14:textId="77777777" w:rsidR="002E1F5B" w:rsidRPr="00CA4C14" w:rsidRDefault="002E1F5B" w:rsidP="00A77509">
            <w:pPr>
              <w:pStyle w:val="Tabletext"/>
              <w:keepNext/>
              <w:keepLines/>
              <w:jc w:val="right"/>
              <w:rPr>
                <w:lang w:val="ru-RU" w:eastAsia="en-GB"/>
              </w:rPr>
            </w:pPr>
            <w:r w:rsidRPr="00CA4C14">
              <w:rPr>
                <w:lang w:val="ru-RU" w:eastAsia="en-GB"/>
              </w:rPr>
              <w:t>1 116</w:t>
            </w:r>
          </w:p>
        </w:tc>
      </w:tr>
      <w:tr w:rsidR="002E1F5B" w:rsidRPr="00CA4C14" w14:paraId="784D92B3" w14:textId="77777777" w:rsidTr="00922DE4">
        <w:trPr>
          <w:jc w:val="center"/>
        </w:trPr>
        <w:tc>
          <w:tcPr>
            <w:tcW w:w="3075" w:type="pct"/>
            <w:tcBorders>
              <w:top w:val="nil"/>
              <w:left w:val="nil"/>
              <w:bottom w:val="nil"/>
              <w:right w:val="nil"/>
            </w:tcBorders>
            <w:shd w:val="clear" w:color="000000" w:fill="0070C0"/>
            <w:noWrap/>
            <w:vAlign w:val="center"/>
            <w:hideMark/>
          </w:tcPr>
          <w:p w14:paraId="7426038E" w14:textId="77777777" w:rsidR="002E1F5B" w:rsidRPr="00CA4C14" w:rsidRDefault="002E1F5B" w:rsidP="00B772C9">
            <w:pPr>
              <w:pStyle w:val="Tabletext"/>
              <w:rPr>
                <w:b/>
                <w:bCs/>
                <w:lang w:val="ru-RU" w:eastAsia="en-GB"/>
              </w:rPr>
            </w:pPr>
            <w:r w:rsidRPr="00CA4C14">
              <w:rPr>
                <w:b/>
                <w:bCs/>
                <w:lang w:val="ru-RU" w:eastAsia="en-GB"/>
              </w:rPr>
              <w:t>Всего − Финансовые доходы</w:t>
            </w:r>
          </w:p>
        </w:tc>
        <w:tc>
          <w:tcPr>
            <w:tcW w:w="962" w:type="pct"/>
            <w:tcBorders>
              <w:top w:val="nil"/>
              <w:left w:val="nil"/>
              <w:bottom w:val="nil"/>
              <w:right w:val="nil"/>
            </w:tcBorders>
            <w:shd w:val="clear" w:color="000000" w:fill="0070C0"/>
            <w:noWrap/>
            <w:vAlign w:val="center"/>
            <w:hideMark/>
          </w:tcPr>
          <w:p w14:paraId="71635C8A" w14:textId="77777777" w:rsidR="002E1F5B" w:rsidRPr="00CA4C14" w:rsidRDefault="002E1F5B" w:rsidP="00B772C9">
            <w:pPr>
              <w:pStyle w:val="Tabletext"/>
              <w:jc w:val="right"/>
              <w:rPr>
                <w:b/>
                <w:bCs/>
                <w:lang w:val="ru-RU" w:eastAsia="en-GB"/>
              </w:rPr>
            </w:pPr>
            <w:r w:rsidRPr="00CA4C14">
              <w:rPr>
                <w:b/>
                <w:bCs/>
                <w:lang w:val="ru-RU" w:eastAsia="en-GB"/>
              </w:rPr>
              <w:t>(8 272)</w:t>
            </w:r>
          </w:p>
        </w:tc>
        <w:tc>
          <w:tcPr>
            <w:tcW w:w="962" w:type="pct"/>
            <w:tcBorders>
              <w:top w:val="nil"/>
              <w:left w:val="nil"/>
              <w:bottom w:val="nil"/>
              <w:right w:val="nil"/>
            </w:tcBorders>
            <w:shd w:val="clear" w:color="000000" w:fill="0070C0"/>
            <w:noWrap/>
            <w:vAlign w:val="center"/>
            <w:hideMark/>
          </w:tcPr>
          <w:p w14:paraId="0BE20103" w14:textId="77777777" w:rsidR="002E1F5B" w:rsidRPr="00CA4C14" w:rsidRDefault="002E1F5B" w:rsidP="00B772C9">
            <w:pPr>
              <w:pStyle w:val="Tabletext"/>
              <w:jc w:val="right"/>
              <w:rPr>
                <w:b/>
                <w:bCs/>
                <w:lang w:val="ru-RU" w:eastAsia="en-GB"/>
              </w:rPr>
            </w:pPr>
            <w:r w:rsidRPr="00CA4C14">
              <w:rPr>
                <w:b/>
                <w:bCs/>
                <w:lang w:val="ru-RU" w:eastAsia="en-GB"/>
              </w:rPr>
              <w:t>6 489</w:t>
            </w:r>
          </w:p>
        </w:tc>
      </w:tr>
    </w:tbl>
    <w:p w14:paraId="5301C939" w14:textId="77777777" w:rsidR="002E1F5B" w:rsidRPr="00CA4C14" w:rsidRDefault="002E1F5B" w:rsidP="002E1F5B">
      <w:pPr>
        <w:pStyle w:val="Heading5"/>
        <w:rPr>
          <w:b w:val="0"/>
          <w:lang w:val="ru-RU"/>
        </w:rPr>
      </w:pPr>
      <w:bookmarkStart w:id="457" w:name="_Toc2116969957"/>
      <w:bookmarkStart w:id="458" w:name="_Toc164845571"/>
      <w:bookmarkStart w:id="459" w:name="_Toc168578485"/>
      <w:bookmarkStart w:id="460" w:name="_Toc305764108"/>
      <w:bookmarkEnd w:id="454"/>
      <w:bookmarkEnd w:id="455"/>
      <w:r w:rsidRPr="00CA4C14">
        <w:rPr>
          <w:lang w:val="ru-RU"/>
        </w:rPr>
        <w:t>Примечание 22</w:t>
      </w:r>
      <w:r w:rsidRPr="00CA4C14">
        <w:rPr>
          <w:lang w:val="ru-RU"/>
        </w:rPr>
        <w:tab/>
      </w:r>
      <w:bookmarkEnd w:id="457"/>
      <w:bookmarkEnd w:id="458"/>
      <w:r w:rsidRPr="00CA4C14">
        <w:rPr>
          <w:lang w:val="ru-RU"/>
        </w:rPr>
        <w:t>Расходы</w:t>
      </w:r>
      <w:bookmarkEnd w:id="459"/>
    </w:p>
    <w:bookmarkEnd w:id="460"/>
    <w:p w14:paraId="069174A4" w14:textId="77777777" w:rsidR="002E1F5B" w:rsidRPr="00CA4C14" w:rsidRDefault="002E1F5B" w:rsidP="002E1F5B">
      <w:pPr>
        <w:pStyle w:val="Headingb"/>
        <w:rPr>
          <w:lang w:val="ru-RU" w:bidi="ru-RU"/>
        </w:rPr>
      </w:pPr>
      <w:r w:rsidRPr="00CA4C14">
        <w:rPr>
          <w:lang w:val="ru-RU" w:bidi="ru-RU"/>
        </w:rPr>
        <w:t>Расходы на персонал</w:t>
      </w:r>
    </w:p>
    <w:p w14:paraId="15345E65" w14:textId="77777777" w:rsidR="002E1F5B" w:rsidRPr="00CA4C14" w:rsidRDefault="002E1F5B" w:rsidP="002E1F5B">
      <w:pPr>
        <w:rPr>
          <w:highlight w:val="lightGray"/>
          <w:lang w:val="ru-RU" w:bidi="ru-RU"/>
        </w:rPr>
      </w:pPr>
      <w:r w:rsidRPr="00CA4C14">
        <w:rPr>
          <w:lang w:val="ru-RU" w:bidi="ru-RU"/>
        </w:rPr>
        <w:t xml:space="preserve">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w:t>
      </w:r>
      <w:r w:rsidRPr="00CA4C14">
        <w:rPr>
          <w:lang w:val="ru-RU" w:bidi="ru-RU"/>
        </w:rPr>
        <w:lastRenderedPageBreak/>
        <w:t>иждивенцев и сверхурочные, а также прочие расходы по персоналу. Корректировка АСХИ связана с чистыми затратами на услуги. Она представляет собой увеличение обязательств по АСХИ за период, которое рассчитано в актуарном исследовании за 2023 год в соответствии с IPSAS 39.</w:t>
      </w:r>
    </w:p>
    <w:p w14:paraId="1515FF9E" w14:textId="77777777" w:rsidR="002E1F5B" w:rsidRPr="00CA4C14" w:rsidRDefault="002E1F5B" w:rsidP="002E1F5B">
      <w:pPr>
        <w:rPr>
          <w:highlight w:val="lightGray"/>
          <w:lang w:val="ru-RU" w:bidi="ru-RU"/>
        </w:rPr>
      </w:pPr>
      <w:r w:rsidRPr="00CA4C14">
        <w:rPr>
          <w:lang w:val="ru-RU" w:bidi="ru-RU"/>
        </w:rPr>
        <w:t>В целом расходы на персонал в 2023 году немного снизились. Это снижение во многом является результатом:</w:t>
      </w:r>
    </w:p>
    <w:p w14:paraId="07FC0959" w14:textId="77777777" w:rsidR="002E1F5B" w:rsidRPr="00CA4C14" w:rsidRDefault="002E1F5B" w:rsidP="002E1F5B">
      <w:pPr>
        <w:pStyle w:val="enumlev1"/>
        <w:rPr>
          <w:lang w:val="ru-RU" w:bidi="ru-RU"/>
        </w:rPr>
      </w:pPr>
      <w:r w:rsidRPr="00CA4C14">
        <w:rPr>
          <w:lang w:val="ru-RU" w:bidi="ru-RU"/>
        </w:rPr>
        <w:t>•</w:t>
      </w:r>
      <w:r w:rsidRPr="00CA4C14">
        <w:rPr>
          <w:lang w:val="ru-RU" w:bidi="ru-RU"/>
        </w:rPr>
        <w:tab/>
        <w:t xml:space="preserve">снижения окладов и надбавок − (3,2 </w:t>
      </w:r>
      <w:proofErr w:type="gramStart"/>
      <w:r w:rsidRPr="00CA4C14">
        <w:rPr>
          <w:lang w:val="ru-RU" w:bidi="ru-RU"/>
        </w:rPr>
        <w:t>млн.</w:t>
      </w:r>
      <w:proofErr w:type="gramEnd"/>
      <w:r w:rsidRPr="00CA4C14">
        <w:rPr>
          <w:lang w:val="ru-RU" w:bidi="ru-RU"/>
        </w:rPr>
        <w:t xml:space="preserve"> шв. фр.);</w:t>
      </w:r>
    </w:p>
    <w:p w14:paraId="6AFF509B" w14:textId="77777777" w:rsidR="002E1F5B" w:rsidRPr="00CA4C14" w:rsidRDefault="002E1F5B" w:rsidP="002E1F5B">
      <w:pPr>
        <w:pStyle w:val="enumlev1"/>
        <w:rPr>
          <w:lang w:val="ru-RU" w:bidi="ru-RU"/>
        </w:rPr>
      </w:pPr>
      <w:r w:rsidRPr="00CA4C14">
        <w:rPr>
          <w:lang w:val="ru-RU" w:bidi="ru-RU"/>
        </w:rPr>
        <w:t>•</w:t>
      </w:r>
      <w:r w:rsidRPr="00CA4C14">
        <w:rPr>
          <w:lang w:val="ru-RU" w:bidi="ru-RU"/>
        </w:rPr>
        <w:tab/>
        <w:t xml:space="preserve">уменьшения корректировки АСХИ − (2,4 </w:t>
      </w:r>
      <w:proofErr w:type="gramStart"/>
      <w:r w:rsidRPr="00CA4C14">
        <w:rPr>
          <w:lang w:val="ru-RU" w:bidi="ru-RU"/>
        </w:rPr>
        <w:t>млн.</w:t>
      </w:r>
      <w:proofErr w:type="gramEnd"/>
      <w:r w:rsidRPr="00CA4C14">
        <w:rPr>
          <w:lang w:val="ru-RU" w:bidi="ru-RU"/>
        </w:rPr>
        <w:t xml:space="preserve"> шв. фр.);</w:t>
      </w:r>
    </w:p>
    <w:p w14:paraId="5FC429C4" w14:textId="77777777" w:rsidR="002E1F5B" w:rsidRPr="00CA4C14" w:rsidRDefault="002E1F5B" w:rsidP="002E1F5B">
      <w:pPr>
        <w:pStyle w:val="enumlev1"/>
        <w:rPr>
          <w:lang w:val="ru-RU" w:bidi="ru-RU"/>
        </w:rPr>
      </w:pPr>
      <w:r w:rsidRPr="00CA4C14">
        <w:rPr>
          <w:lang w:val="ru-RU" w:bidi="ru-RU"/>
        </w:rPr>
        <w:t>и нивелируется за счет:</w:t>
      </w:r>
    </w:p>
    <w:p w14:paraId="03832DEE" w14:textId="77777777" w:rsidR="002E1F5B" w:rsidRPr="00CA4C14" w:rsidRDefault="002E1F5B" w:rsidP="00922DE4">
      <w:pPr>
        <w:pStyle w:val="enumlev1"/>
        <w:spacing w:after="120"/>
        <w:rPr>
          <w:lang w:val="ru-RU" w:bidi="ru-RU"/>
        </w:rPr>
      </w:pPr>
      <w:r w:rsidRPr="00CA4C14">
        <w:rPr>
          <w:lang w:val="ru-RU" w:bidi="ru-RU"/>
        </w:rPr>
        <w:t>•</w:t>
      </w:r>
      <w:r w:rsidRPr="00CA4C14">
        <w:rPr>
          <w:lang w:val="ru-RU" w:bidi="ru-RU"/>
        </w:rPr>
        <w:tab/>
        <w:t xml:space="preserve">увеличения прочих расходов − (3,2 </w:t>
      </w:r>
      <w:proofErr w:type="gramStart"/>
      <w:r w:rsidRPr="00CA4C14">
        <w:rPr>
          <w:lang w:val="ru-RU" w:bidi="ru-RU"/>
        </w:rPr>
        <w:t>млн.</w:t>
      </w:r>
      <w:proofErr w:type="gramEnd"/>
      <w:r w:rsidRPr="00CA4C14">
        <w:rPr>
          <w:lang w:val="ru-RU" w:bidi="ru-RU"/>
        </w:rPr>
        <w:t xml:space="preserve"> шв. фр.), в основном связанных с программой добровольного ухода со службы.</w:t>
      </w:r>
    </w:p>
    <w:tbl>
      <w:tblPr>
        <w:tblW w:w="5000" w:type="pct"/>
        <w:jc w:val="center"/>
        <w:tblLayout w:type="fixed"/>
        <w:tblLook w:val="04A0" w:firstRow="1" w:lastRow="0" w:firstColumn="1" w:lastColumn="0" w:noHBand="0" w:noVBand="1"/>
      </w:tblPr>
      <w:tblGrid>
        <w:gridCol w:w="5529"/>
        <w:gridCol w:w="1771"/>
        <w:gridCol w:w="1771"/>
      </w:tblGrid>
      <w:tr w:rsidR="002E1F5B" w:rsidRPr="00CA4C14" w14:paraId="12F8415B" w14:textId="77777777" w:rsidTr="00922DE4">
        <w:trPr>
          <w:jc w:val="center"/>
        </w:trPr>
        <w:tc>
          <w:tcPr>
            <w:tcW w:w="3048" w:type="pct"/>
            <w:tcBorders>
              <w:top w:val="nil"/>
              <w:left w:val="nil"/>
              <w:bottom w:val="nil"/>
              <w:right w:val="nil"/>
            </w:tcBorders>
            <w:shd w:val="clear" w:color="000000" w:fill="0070C0"/>
            <w:noWrap/>
            <w:vAlign w:val="center"/>
            <w:hideMark/>
          </w:tcPr>
          <w:p w14:paraId="5879F354" w14:textId="77777777" w:rsidR="002E1F5B" w:rsidRPr="00CA4C14" w:rsidRDefault="002E1F5B" w:rsidP="00B772C9">
            <w:pPr>
              <w:pStyle w:val="Tablehead"/>
              <w:rPr>
                <w:lang w:val="ru-RU" w:eastAsia="en-GB"/>
              </w:rPr>
            </w:pPr>
            <w:r w:rsidRPr="00CA4C14">
              <w:rPr>
                <w:szCs w:val="18"/>
                <w:lang w:val="ru-RU" w:eastAsia="en-GB"/>
              </w:rPr>
              <w:t>Описание (тыс. шв. фр.)</w:t>
            </w:r>
          </w:p>
        </w:tc>
        <w:tc>
          <w:tcPr>
            <w:tcW w:w="976" w:type="pct"/>
            <w:tcBorders>
              <w:top w:val="nil"/>
              <w:left w:val="nil"/>
              <w:bottom w:val="nil"/>
              <w:right w:val="nil"/>
            </w:tcBorders>
            <w:shd w:val="clear" w:color="000000" w:fill="0070C0"/>
            <w:vAlign w:val="center"/>
            <w:hideMark/>
          </w:tcPr>
          <w:p w14:paraId="5978D4CD" w14:textId="77777777" w:rsidR="002E1F5B" w:rsidRPr="00CA4C14" w:rsidRDefault="002E1F5B" w:rsidP="00B772C9">
            <w:pPr>
              <w:pStyle w:val="Tablehead"/>
              <w:rPr>
                <w:lang w:val="ru-RU" w:eastAsia="en-GB"/>
              </w:rPr>
            </w:pPr>
            <w:r w:rsidRPr="00CA4C14">
              <w:rPr>
                <w:lang w:val="ru-RU" w:eastAsia="en-GB"/>
              </w:rPr>
              <w:t>31 декабря 2023 г.</w:t>
            </w:r>
          </w:p>
        </w:tc>
        <w:tc>
          <w:tcPr>
            <w:tcW w:w="976" w:type="pct"/>
            <w:tcBorders>
              <w:top w:val="nil"/>
              <w:left w:val="nil"/>
              <w:bottom w:val="nil"/>
              <w:right w:val="nil"/>
            </w:tcBorders>
            <w:shd w:val="clear" w:color="000000" w:fill="0070C0"/>
            <w:vAlign w:val="center"/>
            <w:hideMark/>
          </w:tcPr>
          <w:p w14:paraId="0B889CE9" w14:textId="77777777" w:rsidR="002E1F5B" w:rsidRPr="00CA4C14" w:rsidRDefault="002E1F5B" w:rsidP="00B772C9">
            <w:pPr>
              <w:pStyle w:val="Tablehead"/>
              <w:rPr>
                <w:lang w:val="ru-RU" w:eastAsia="en-GB"/>
              </w:rPr>
            </w:pPr>
            <w:r w:rsidRPr="00CA4C14">
              <w:rPr>
                <w:lang w:val="ru-RU" w:eastAsia="en-GB"/>
              </w:rPr>
              <w:t>31 декабря 2022 г.</w:t>
            </w:r>
          </w:p>
        </w:tc>
      </w:tr>
      <w:tr w:rsidR="002E1F5B" w:rsidRPr="00CA4C14" w14:paraId="36B8DCD6" w14:textId="77777777" w:rsidTr="00922DE4">
        <w:trPr>
          <w:jc w:val="center"/>
        </w:trPr>
        <w:tc>
          <w:tcPr>
            <w:tcW w:w="3048" w:type="pct"/>
            <w:tcBorders>
              <w:top w:val="nil"/>
              <w:left w:val="nil"/>
              <w:bottom w:val="nil"/>
              <w:right w:val="nil"/>
            </w:tcBorders>
            <w:shd w:val="clear" w:color="000000" w:fill="auto"/>
            <w:noWrap/>
            <w:hideMark/>
          </w:tcPr>
          <w:p w14:paraId="58F00810" w14:textId="77777777" w:rsidR="002E1F5B" w:rsidRPr="00CA4C14" w:rsidRDefault="002E1F5B" w:rsidP="00B772C9">
            <w:pPr>
              <w:pStyle w:val="Tabletext"/>
              <w:rPr>
                <w:b/>
                <w:bCs/>
                <w:lang w:val="ru-RU" w:eastAsia="en-GB"/>
              </w:rPr>
            </w:pPr>
            <w:r w:rsidRPr="00CA4C14">
              <w:rPr>
                <w:b/>
                <w:bCs/>
                <w:lang w:val="ru-RU" w:eastAsia="en-GB"/>
              </w:rPr>
              <w:t>Оклады и надбавки</w:t>
            </w:r>
          </w:p>
        </w:tc>
        <w:tc>
          <w:tcPr>
            <w:tcW w:w="976" w:type="pct"/>
            <w:tcBorders>
              <w:top w:val="nil"/>
              <w:left w:val="nil"/>
              <w:bottom w:val="nil"/>
              <w:right w:val="nil"/>
            </w:tcBorders>
            <w:shd w:val="clear" w:color="000000" w:fill="auto"/>
            <w:noWrap/>
            <w:vAlign w:val="bottom"/>
            <w:hideMark/>
          </w:tcPr>
          <w:p w14:paraId="0B723D02" w14:textId="77777777" w:rsidR="002E1F5B" w:rsidRPr="00CA4C14" w:rsidRDefault="002E1F5B" w:rsidP="00B772C9">
            <w:pPr>
              <w:pStyle w:val="Tabletext"/>
              <w:jc w:val="right"/>
              <w:rPr>
                <w:b/>
                <w:bCs/>
                <w:lang w:val="ru-RU" w:eastAsia="en-GB"/>
              </w:rPr>
            </w:pPr>
            <w:r w:rsidRPr="00CA4C14">
              <w:rPr>
                <w:b/>
                <w:bCs/>
                <w:lang w:val="ru-RU" w:eastAsia="en-GB"/>
              </w:rPr>
              <w:t>97 804</w:t>
            </w:r>
          </w:p>
        </w:tc>
        <w:tc>
          <w:tcPr>
            <w:tcW w:w="976" w:type="pct"/>
            <w:tcBorders>
              <w:top w:val="nil"/>
              <w:left w:val="nil"/>
              <w:bottom w:val="nil"/>
              <w:right w:val="nil"/>
            </w:tcBorders>
            <w:shd w:val="clear" w:color="000000" w:fill="auto"/>
            <w:noWrap/>
            <w:vAlign w:val="bottom"/>
            <w:hideMark/>
          </w:tcPr>
          <w:p w14:paraId="389B3E7C" w14:textId="77777777" w:rsidR="002E1F5B" w:rsidRPr="00CA4C14" w:rsidRDefault="002E1F5B" w:rsidP="00B772C9">
            <w:pPr>
              <w:pStyle w:val="Tabletext"/>
              <w:jc w:val="right"/>
              <w:rPr>
                <w:b/>
                <w:bCs/>
                <w:lang w:val="ru-RU" w:eastAsia="en-GB"/>
              </w:rPr>
            </w:pPr>
            <w:r w:rsidRPr="00CA4C14">
              <w:rPr>
                <w:b/>
                <w:bCs/>
                <w:lang w:val="ru-RU" w:eastAsia="en-GB"/>
              </w:rPr>
              <w:t>101 037</w:t>
            </w:r>
          </w:p>
        </w:tc>
      </w:tr>
      <w:tr w:rsidR="002E1F5B" w:rsidRPr="00CA4C14" w14:paraId="3E0D8393" w14:textId="77777777" w:rsidTr="00922DE4">
        <w:trPr>
          <w:jc w:val="center"/>
        </w:trPr>
        <w:tc>
          <w:tcPr>
            <w:tcW w:w="3048" w:type="pct"/>
            <w:tcBorders>
              <w:top w:val="nil"/>
              <w:left w:val="nil"/>
              <w:bottom w:val="nil"/>
              <w:right w:val="nil"/>
            </w:tcBorders>
            <w:shd w:val="clear" w:color="000000" w:fill="auto"/>
            <w:noWrap/>
            <w:hideMark/>
          </w:tcPr>
          <w:p w14:paraId="6CFCC3A6" w14:textId="03D4E1B3"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Введение в должность и возвращение на родину</w:t>
            </w:r>
          </w:p>
        </w:tc>
        <w:tc>
          <w:tcPr>
            <w:tcW w:w="976" w:type="pct"/>
            <w:tcBorders>
              <w:top w:val="nil"/>
              <w:left w:val="nil"/>
              <w:bottom w:val="nil"/>
              <w:right w:val="nil"/>
            </w:tcBorders>
            <w:shd w:val="clear" w:color="000000" w:fill="auto"/>
            <w:noWrap/>
            <w:vAlign w:val="bottom"/>
            <w:hideMark/>
          </w:tcPr>
          <w:p w14:paraId="37EAA334" w14:textId="77777777" w:rsidR="002E1F5B" w:rsidRPr="00CA4C14" w:rsidRDefault="002E1F5B" w:rsidP="00B772C9">
            <w:pPr>
              <w:pStyle w:val="Tabletext"/>
              <w:jc w:val="right"/>
              <w:rPr>
                <w:lang w:val="ru-RU" w:eastAsia="en-GB"/>
              </w:rPr>
            </w:pPr>
            <w:r w:rsidRPr="00CA4C14">
              <w:rPr>
                <w:lang w:val="ru-RU" w:eastAsia="en-GB"/>
              </w:rPr>
              <w:t>1 143</w:t>
            </w:r>
          </w:p>
        </w:tc>
        <w:tc>
          <w:tcPr>
            <w:tcW w:w="976" w:type="pct"/>
            <w:tcBorders>
              <w:top w:val="nil"/>
              <w:left w:val="nil"/>
              <w:bottom w:val="nil"/>
              <w:right w:val="nil"/>
            </w:tcBorders>
            <w:shd w:val="clear" w:color="000000" w:fill="auto"/>
            <w:noWrap/>
            <w:vAlign w:val="bottom"/>
            <w:hideMark/>
          </w:tcPr>
          <w:p w14:paraId="3F83CAF2" w14:textId="77777777" w:rsidR="002E1F5B" w:rsidRPr="00CA4C14" w:rsidRDefault="002E1F5B" w:rsidP="00B772C9">
            <w:pPr>
              <w:pStyle w:val="Tabletext"/>
              <w:jc w:val="right"/>
              <w:rPr>
                <w:lang w:val="ru-RU" w:eastAsia="en-GB"/>
              </w:rPr>
            </w:pPr>
            <w:r w:rsidRPr="00CA4C14">
              <w:rPr>
                <w:lang w:val="ru-RU" w:eastAsia="en-GB"/>
              </w:rPr>
              <w:t>1 085</w:t>
            </w:r>
          </w:p>
        </w:tc>
      </w:tr>
      <w:tr w:rsidR="002E1F5B" w:rsidRPr="00CA4C14" w14:paraId="7A6B2A14" w14:textId="77777777" w:rsidTr="00922DE4">
        <w:trPr>
          <w:jc w:val="center"/>
        </w:trPr>
        <w:tc>
          <w:tcPr>
            <w:tcW w:w="3048" w:type="pct"/>
            <w:tcBorders>
              <w:top w:val="nil"/>
              <w:left w:val="nil"/>
              <w:bottom w:val="nil"/>
              <w:right w:val="nil"/>
            </w:tcBorders>
            <w:shd w:val="clear" w:color="000000" w:fill="auto"/>
            <w:noWrap/>
            <w:hideMark/>
          </w:tcPr>
          <w:p w14:paraId="277D7A31" w14:textId="5F8515D9"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Субсидия на образование</w:t>
            </w:r>
          </w:p>
        </w:tc>
        <w:tc>
          <w:tcPr>
            <w:tcW w:w="976" w:type="pct"/>
            <w:tcBorders>
              <w:top w:val="nil"/>
              <w:left w:val="nil"/>
              <w:bottom w:val="nil"/>
              <w:right w:val="nil"/>
            </w:tcBorders>
            <w:shd w:val="clear" w:color="000000" w:fill="auto"/>
            <w:noWrap/>
            <w:vAlign w:val="bottom"/>
            <w:hideMark/>
          </w:tcPr>
          <w:p w14:paraId="13C570D6" w14:textId="77777777" w:rsidR="002E1F5B" w:rsidRPr="00CA4C14" w:rsidRDefault="002E1F5B" w:rsidP="00B772C9">
            <w:pPr>
              <w:pStyle w:val="Tabletext"/>
              <w:jc w:val="right"/>
              <w:rPr>
                <w:lang w:val="ru-RU" w:eastAsia="en-GB"/>
              </w:rPr>
            </w:pPr>
            <w:r w:rsidRPr="00CA4C14">
              <w:rPr>
                <w:lang w:val="ru-RU" w:eastAsia="en-GB"/>
              </w:rPr>
              <w:t>4 152</w:t>
            </w:r>
          </w:p>
        </w:tc>
        <w:tc>
          <w:tcPr>
            <w:tcW w:w="976" w:type="pct"/>
            <w:tcBorders>
              <w:top w:val="nil"/>
              <w:left w:val="nil"/>
              <w:bottom w:val="nil"/>
              <w:right w:val="nil"/>
            </w:tcBorders>
            <w:shd w:val="clear" w:color="000000" w:fill="auto"/>
            <w:noWrap/>
            <w:vAlign w:val="bottom"/>
            <w:hideMark/>
          </w:tcPr>
          <w:p w14:paraId="18867CB7" w14:textId="77777777" w:rsidR="002E1F5B" w:rsidRPr="00CA4C14" w:rsidRDefault="002E1F5B" w:rsidP="00B772C9">
            <w:pPr>
              <w:pStyle w:val="Tabletext"/>
              <w:jc w:val="right"/>
              <w:rPr>
                <w:lang w:val="ru-RU" w:eastAsia="en-GB"/>
              </w:rPr>
            </w:pPr>
            <w:r w:rsidRPr="00CA4C14">
              <w:rPr>
                <w:lang w:val="ru-RU" w:eastAsia="en-GB"/>
              </w:rPr>
              <w:t>3 736</w:t>
            </w:r>
          </w:p>
        </w:tc>
      </w:tr>
      <w:tr w:rsidR="002E1F5B" w:rsidRPr="00CA4C14" w14:paraId="6A370640" w14:textId="77777777" w:rsidTr="00922DE4">
        <w:trPr>
          <w:jc w:val="center"/>
        </w:trPr>
        <w:tc>
          <w:tcPr>
            <w:tcW w:w="3048" w:type="pct"/>
            <w:tcBorders>
              <w:top w:val="nil"/>
              <w:left w:val="nil"/>
              <w:bottom w:val="nil"/>
              <w:right w:val="nil"/>
            </w:tcBorders>
            <w:shd w:val="clear" w:color="000000" w:fill="auto"/>
            <w:noWrap/>
            <w:hideMark/>
          </w:tcPr>
          <w:p w14:paraId="7C3A4AE8" w14:textId="22A26F00"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Отпуск на родину</w:t>
            </w:r>
          </w:p>
        </w:tc>
        <w:tc>
          <w:tcPr>
            <w:tcW w:w="976" w:type="pct"/>
            <w:tcBorders>
              <w:top w:val="nil"/>
              <w:left w:val="nil"/>
              <w:bottom w:val="nil"/>
              <w:right w:val="nil"/>
            </w:tcBorders>
            <w:shd w:val="clear" w:color="000000" w:fill="auto"/>
            <w:noWrap/>
            <w:vAlign w:val="bottom"/>
            <w:hideMark/>
          </w:tcPr>
          <w:p w14:paraId="63589A0B" w14:textId="77777777" w:rsidR="002E1F5B" w:rsidRPr="00CA4C14" w:rsidRDefault="002E1F5B" w:rsidP="00B772C9">
            <w:pPr>
              <w:pStyle w:val="Tabletext"/>
              <w:jc w:val="right"/>
              <w:rPr>
                <w:lang w:val="ru-RU" w:eastAsia="en-GB"/>
              </w:rPr>
            </w:pPr>
            <w:r w:rsidRPr="00CA4C14">
              <w:rPr>
                <w:lang w:val="ru-RU" w:eastAsia="en-GB"/>
              </w:rPr>
              <w:t>954</w:t>
            </w:r>
          </w:p>
        </w:tc>
        <w:tc>
          <w:tcPr>
            <w:tcW w:w="976" w:type="pct"/>
            <w:tcBorders>
              <w:top w:val="nil"/>
              <w:left w:val="nil"/>
              <w:bottom w:val="nil"/>
              <w:right w:val="nil"/>
            </w:tcBorders>
            <w:shd w:val="clear" w:color="000000" w:fill="auto"/>
            <w:noWrap/>
            <w:vAlign w:val="bottom"/>
            <w:hideMark/>
          </w:tcPr>
          <w:p w14:paraId="591A8A43" w14:textId="77777777" w:rsidR="002E1F5B" w:rsidRPr="00CA4C14" w:rsidRDefault="002E1F5B" w:rsidP="00B772C9">
            <w:pPr>
              <w:pStyle w:val="Tabletext"/>
              <w:jc w:val="right"/>
              <w:rPr>
                <w:lang w:val="ru-RU" w:eastAsia="en-GB"/>
              </w:rPr>
            </w:pPr>
            <w:r w:rsidRPr="00CA4C14">
              <w:rPr>
                <w:lang w:val="ru-RU" w:eastAsia="en-GB"/>
              </w:rPr>
              <w:t>741</w:t>
            </w:r>
          </w:p>
        </w:tc>
      </w:tr>
      <w:tr w:rsidR="002E1F5B" w:rsidRPr="00CA4C14" w14:paraId="2E1DB39F" w14:textId="77777777" w:rsidTr="00922DE4">
        <w:trPr>
          <w:jc w:val="center"/>
        </w:trPr>
        <w:tc>
          <w:tcPr>
            <w:tcW w:w="3048" w:type="pct"/>
            <w:tcBorders>
              <w:top w:val="nil"/>
              <w:left w:val="nil"/>
              <w:bottom w:val="nil"/>
              <w:right w:val="nil"/>
            </w:tcBorders>
            <w:shd w:val="clear" w:color="000000" w:fill="auto"/>
            <w:noWrap/>
            <w:hideMark/>
          </w:tcPr>
          <w:p w14:paraId="5BF7C441" w14:textId="44E90D05"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Накопленные дни отпуска</w:t>
            </w:r>
          </w:p>
        </w:tc>
        <w:tc>
          <w:tcPr>
            <w:tcW w:w="976" w:type="pct"/>
            <w:tcBorders>
              <w:top w:val="nil"/>
              <w:left w:val="nil"/>
              <w:bottom w:val="nil"/>
              <w:right w:val="nil"/>
            </w:tcBorders>
            <w:shd w:val="clear" w:color="000000" w:fill="auto"/>
            <w:noWrap/>
            <w:vAlign w:val="bottom"/>
            <w:hideMark/>
          </w:tcPr>
          <w:p w14:paraId="4B30C6E2" w14:textId="77777777" w:rsidR="002E1F5B" w:rsidRPr="00CA4C14" w:rsidRDefault="002E1F5B" w:rsidP="00B772C9">
            <w:pPr>
              <w:pStyle w:val="Tabletext"/>
              <w:jc w:val="right"/>
              <w:rPr>
                <w:lang w:val="ru-RU" w:eastAsia="en-GB"/>
              </w:rPr>
            </w:pPr>
            <w:r w:rsidRPr="00CA4C14">
              <w:rPr>
                <w:lang w:val="ru-RU" w:eastAsia="en-GB"/>
              </w:rPr>
              <w:t>1 307</w:t>
            </w:r>
          </w:p>
        </w:tc>
        <w:tc>
          <w:tcPr>
            <w:tcW w:w="976" w:type="pct"/>
            <w:tcBorders>
              <w:top w:val="nil"/>
              <w:left w:val="nil"/>
              <w:bottom w:val="nil"/>
              <w:right w:val="nil"/>
            </w:tcBorders>
            <w:shd w:val="clear" w:color="000000" w:fill="auto"/>
            <w:noWrap/>
            <w:vAlign w:val="bottom"/>
            <w:hideMark/>
          </w:tcPr>
          <w:p w14:paraId="294A9AB4" w14:textId="77777777" w:rsidR="002E1F5B" w:rsidRPr="00CA4C14" w:rsidRDefault="002E1F5B" w:rsidP="00B772C9">
            <w:pPr>
              <w:pStyle w:val="Tabletext"/>
              <w:jc w:val="right"/>
              <w:rPr>
                <w:lang w:val="ru-RU" w:eastAsia="en-GB"/>
              </w:rPr>
            </w:pPr>
            <w:r w:rsidRPr="00CA4C14">
              <w:rPr>
                <w:lang w:val="ru-RU" w:eastAsia="en-GB"/>
              </w:rPr>
              <w:t>1 680</w:t>
            </w:r>
          </w:p>
        </w:tc>
      </w:tr>
      <w:tr w:rsidR="002E1F5B" w:rsidRPr="00CA4C14" w14:paraId="78375D26" w14:textId="77777777" w:rsidTr="00922DE4">
        <w:trPr>
          <w:jc w:val="center"/>
        </w:trPr>
        <w:tc>
          <w:tcPr>
            <w:tcW w:w="3048" w:type="pct"/>
            <w:tcBorders>
              <w:top w:val="nil"/>
              <w:left w:val="nil"/>
              <w:bottom w:val="nil"/>
              <w:right w:val="nil"/>
            </w:tcBorders>
            <w:shd w:val="clear" w:color="000000" w:fill="auto"/>
            <w:noWrap/>
            <w:hideMark/>
          </w:tcPr>
          <w:p w14:paraId="4480B87F" w14:textId="50668872"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Медицинское страхование и страхование от несчастных случаев</w:t>
            </w:r>
          </w:p>
        </w:tc>
        <w:tc>
          <w:tcPr>
            <w:tcW w:w="976" w:type="pct"/>
            <w:tcBorders>
              <w:top w:val="nil"/>
              <w:left w:val="nil"/>
              <w:bottom w:val="nil"/>
              <w:right w:val="nil"/>
            </w:tcBorders>
            <w:shd w:val="clear" w:color="000000" w:fill="auto"/>
            <w:noWrap/>
            <w:vAlign w:val="bottom"/>
            <w:hideMark/>
          </w:tcPr>
          <w:p w14:paraId="1932C2E5" w14:textId="77777777" w:rsidR="002E1F5B" w:rsidRPr="00CA4C14" w:rsidRDefault="002E1F5B" w:rsidP="00B772C9">
            <w:pPr>
              <w:pStyle w:val="Tabletext"/>
              <w:jc w:val="right"/>
              <w:rPr>
                <w:lang w:val="ru-RU" w:eastAsia="en-GB"/>
              </w:rPr>
            </w:pPr>
            <w:r w:rsidRPr="00CA4C14">
              <w:rPr>
                <w:lang w:val="ru-RU" w:eastAsia="en-GB"/>
              </w:rPr>
              <w:t>11 408</w:t>
            </w:r>
          </w:p>
        </w:tc>
        <w:tc>
          <w:tcPr>
            <w:tcW w:w="976" w:type="pct"/>
            <w:tcBorders>
              <w:top w:val="nil"/>
              <w:left w:val="nil"/>
              <w:bottom w:val="nil"/>
              <w:right w:val="nil"/>
            </w:tcBorders>
            <w:shd w:val="clear" w:color="000000" w:fill="auto"/>
            <w:noWrap/>
            <w:vAlign w:val="bottom"/>
            <w:hideMark/>
          </w:tcPr>
          <w:p w14:paraId="4B6B8E1A" w14:textId="77777777" w:rsidR="002E1F5B" w:rsidRPr="00CA4C14" w:rsidRDefault="002E1F5B" w:rsidP="00B772C9">
            <w:pPr>
              <w:pStyle w:val="Tabletext"/>
              <w:jc w:val="right"/>
              <w:rPr>
                <w:lang w:val="ru-RU" w:eastAsia="en-GB"/>
              </w:rPr>
            </w:pPr>
            <w:r w:rsidRPr="00CA4C14">
              <w:rPr>
                <w:lang w:val="ru-RU" w:eastAsia="en-GB"/>
              </w:rPr>
              <w:t>11 785</w:t>
            </w:r>
          </w:p>
        </w:tc>
      </w:tr>
      <w:tr w:rsidR="002E1F5B" w:rsidRPr="00CA4C14" w14:paraId="54B2EDCD" w14:textId="77777777" w:rsidTr="00922DE4">
        <w:trPr>
          <w:jc w:val="center"/>
        </w:trPr>
        <w:tc>
          <w:tcPr>
            <w:tcW w:w="3048" w:type="pct"/>
            <w:tcBorders>
              <w:top w:val="nil"/>
              <w:left w:val="nil"/>
              <w:bottom w:val="nil"/>
              <w:right w:val="nil"/>
            </w:tcBorders>
            <w:shd w:val="clear" w:color="000000" w:fill="auto"/>
            <w:noWrap/>
            <w:hideMark/>
          </w:tcPr>
          <w:p w14:paraId="7EFD759C" w14:textId="300BB94A"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Взносы в ОПФП ООН</w:t>
            </w:r>
          </w:p>
        </w:tc>
        <w:tc>
          <w:tcPr>
            <w:tcW w:w="976" w:type="pct"/>
            <w:tcBorders>
              <w:top w:val="nil"/>
              <w:left w:val="nil"/>
              <w:bottom w:val="nil"/>
              <w:right w:val="nil"/>
            </w:tcBorders>
            <w:shd w:val="clear" w:color="auto" w:fill="auto"/>
            <w:noWrap/>
            <w:vAlign w:val="bottom"/>
            <w:hideMark/>
          </w:tcPr>
          <w:p w14:paraId="5C95D6C9" w14:textId="77777777" w:rsidR="002E1F5B" w:rsidRPr="00CA4C14" w:rsidRDefault="002E1F5B" w:rsidP="00B772C9">
            <w:pPr>
              <w:pStyle w:val="Tabletext"/>
              <w:jc w:val="right"/>
              <w:rPr>
                <w:lang w:val="ru-RU" w:eastAsia="en-GB"/>
              </w:rPr>
            </w:pPr>
            <w:r w:rsidRPr="00CA4C14">
              <w:rPr>
                <w:lang w:val="ru-RU" w:eastAsia="en-GB"/>
              </w:rPr>
              <w:t>18 761</w:t>
            </w:r>
          </w:p>
        </w:tc>
        <w:tc>
          <w:tcPr>
            <w:tcW w:w="976" w:type="pct"/>
            <w:tcBorders>
              <w:top w:val="nil"/>
              <w:left w:val="nil"/>
              <w:bottom w:val="nil"/>
              <w:right w:val="nil"/>
            </w:tcBorders>
            <w:shd w:val="clear" w:color="000000" w:fill="auto"/>
            <w:noWrap/>
            <w:vAlign w:val="bottom"/>
            <w:hideMark/>
          </w:tcPr>
          <w:p w14:paraId="7B5DB342" w14:textId="77777777" w:rsidR="002E1F5B" w:rsidRPr="00CA4C14" w:rsidRDefault="002E1F5B" w:rsidP="00B772C9">
            <w:pPr>
              <w:pStyle w:val="Tabletext"/>
              <w:jc w:val="right"/>
              <w:rPr>
                <w:lang w:val="ru-RU" w:eastAsia="en-GB"/>
              </w:rPr>
            </w:pPr>
            <w:r w:rsidRPr="00CA4C14">
              <w:rPr>
                <w:lang w:val="ru-RU" w:eastAsia="en-GB"/>
              </w:rPr>
              <w:t>19 138</w:t>
            </w:r>
          </w:p>
        </w:tc>
      </w:tr>
      <w:tr w:rsidR="002E1F5B" w:rsidRPr="00CA4C14" w14:paraId="7E61A350" w14:textId="77777777" w:rsidTr="00922DE4">
        <w:trPr>
          <w:jc w:val="center"/>
        </w:trPr>
        <w:tc>
          <w:tcPr>
            <w:tcW w:w="3048" w:type="pct"/>
            <w:tcBorders>
              <w:top w:val="nil"/>
              <w:left w:val="nil"/>
              <w:bottom w:val="nil"/>
              <w:right w:val="nil"/>
            </w:tcBorders>
            <w:shd w:val="clear" w:color="000000" w:fill="auto"/>
            <w:noWrap/>
            <w:hideMark/>
          </w:tcPr>
          <w:p w14:paraId="6F59B101" w14:textId="65196059"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Прочие расходы</w:t>
            </w:r>
          </w:p>
        </w:tc>
        <w:tc>
          <w:tcPr>
            <w:tcW w:w="976" w:type="pct"/>
            <w:tcBorders>
              <w:top w:val="nil"/>
              <w:left w:val="nil"/>
              <w:bottom w:val="nil"/>
              <w:right w:val="nil"/>
            </w:tcBorders>
            <w:shd w:val="clear" w:color="auto" w:fill="auto"/>
            <w:noWrap/>
            <w:vAlign w:val="bottom"/>
            <w:hideMark/>
          </w:tcPr>
          <w:p w14:paraId="5EE863E7" w14:textId="77777777" w:rsidR="002E1F5B" w:rsidRPr="00CA4C14" w:rsidRDefault="002E1F5B" w:rsidP="00B772C9">
            <w:pPr>
              <w:pStyle w:val="Tabletext"/>
              <w:jc w:val="right"/>
              <w:rPr>
                <w:lang w:val="ru-RU" w:eastAsia="en-GB"/>
              </w:rPr>
            </w:pPr>
            <w:r w:rsidRPr="00CA4C14">
              <w:rPr>
                <w:lang w:val="ru-RU" w:eastAsia="en-GB"/>
              </w:rPr>
              <w:t>3 550</w:t>
            </w:r>
          </w:p>
        </w:tc>
        <w:tc>
          <w:tcPr>
            <w:tcW w:w="976" w:type="pct"/>
            <w:tcBorders>
              <w:top w:val="nil"/>
              <w:left w:val="nil"/>
              <w:bottom w:val="nil"/>
              <w:right w:val="nil"/>
            </w:tcBorders>
            <w:shd w:val="clear" w:color="000000" w:fill="auto"/>
            <w:noWrap/>
            <w:vAlign w:val="bottom"/>
            <w:hideMark/>
          </w:tcPr>
          <w:p w14:paraId="144D8E88" w14:textId="77777777" w:rsidR="002E1F5B" w:rsidRPr="00CA4C14" w:rsidRDefault="002E1F5B" w:rsidP="00B772C9">
            <w:pPr>
              <w:pStyle w:val="Tabletext"/>
              <w:jc w:val="right"/>
              <w:rPr>
                <w:lang w:val="ru-RU" w:eastAsia="en-GB"/>
              </w:rPr>
            </w:pPr>
            <w:r w:rsidRPr="00CA4C14">
              <w:rPr>
                <w:lang w:val="ru-RU" w:eastAsia="en-GB"/>
              </w:rPr>
              <w:t>331</w:t>
            </w:r>
          </w:p>
        </w:tc>
      </w:tr>
      <w:tr w:rsidR="002E1F5B" w:rsidRPr="00CA4C14" w14:paraId="67E347D4" w14:textId="77777777" w:rsidTr="00922DE4">
        <w:trPr>
          <w:jc w:val="center"/>
        </w:trPr>
        <w:tc>
          <w:tcPr>
            <w:tcW w:w="3048" w:type="pct"/>
            <w:tcBorders>
              <w:top w:val="nil"/>
              <w:left w:val="nil"/>
              <w:bottom w:val="nil"/>
              <w:right w:val="nil"/>
            </w:tcBorders>
            <w:shd w:val="clear" w:color="000000" w:fill="auto"/>
            <w:noWrap/>
            <w:hideMark/>
          </w:tcPr>
          <w:p w14:paraId="02C31ED7" w14:textId="15212709" w:rsidR="002E1F5B" w:rsidRPr="00CA4C14" w:rsidRDefault="002E1F5B" w:rsidP="00B772C9">
            <w:pPr>
              <w:pStyle w:val="Tabletext"/>
              <w:rPr>
                <w:lang w:val="ru-RU" w:eastAsia="en-GB"/>
              </w:rPr>
            </w:pPr>
            <w:r w:rsidRPr="00CA4C14">
              <w:rPr>
                <w:lang w:val="ru-RU" w:eastAsia="en-GB"/>
              </w:rPr>
              <w:t>−</w:t>
            </w:r>
            <w:r w:rsidR="00922DE4" w:rsidRPr="00CA4C14">
              <w:rPr>
                <w:lang w:val="ru-RU" w:eastAsia="en-GB"/>
              </w:rPr>
              <w:tab/>
            </w:r>
            <w:r w:rsidRPr="00CA4C14">
              <w:rPr>
                <w:lang w:val="ru-RU" w:eastAsia="en-GB"/>
              </w:rPr>
              <w:t>Корректировка АСХИ</w:t>
            </w:r>
          </w:p>
        </w:tc>
        <w:tc>
          <w:tcPr>
            <w:tcW w:w="976" w:type="pct"/>
            <w:tcBorders>
              <w:top w:val="nil"/>
              <w:left w:val="nil"/>
              <w:bottom w:val="nil"/>
              <w:right w:val="nil"/>
            </w:tcBorders>
            <w:shd w:val="clear" w:color="000000" w:fill="auto"/>
            <w:noWrap/>
            <w:vAlign w:val="bottom"/>
            <w:hideMark/>
          </w:tcPr>
          <w:p w14:paraId="1282CB71" w14:textId="77777777" w:rsidR="002E1F5B" w:rsidRPr="00CA4C14" w:rsidRDefault="002E1F5B" w:rsidP="00B772C9">
            <w:pPr>
              <w:pStyle w:val="Tabletext"/>
              <w:jc w:val="right"/>
              <w:rPr>
                <w:lang w:val="ru-RU" w:eastAsia="en-GB"/>
              </w:rPr>
            </w:pPr>
            <w:r w:rsidRPr="00CA4C14">
              <w:rPr>
                <w:lang w:val="ru-RU" w:eastAsia="en-GB"/>
              </w:rPr>
              <w:t>11 645</w:t>
            </w:r>
          </w:p>
        </w:tc>
        <w:tc>
          <w:tcPr>
            <w:tcW w:w="976" w:type="pct"/>
            <w:tcBorders>
              <w:top w:val="nil"/>
              <w:left w:val="nil"/>
              <w:bottom w:val="nil"/>
              <w:right w:val="nil"/>
            </w:tcBorders>
            <w:shd w:val="clear" w:color="000000" w:fill="auto"/>
            <w:noWrap/>
            <w:vAlign w:val="bottom"/>
            <w:hideMark/>
          </w:tcPr>
          <w:p w14:paraId="3EC35D69" w14:textId="77777777" w:rsidR="002E1F5B" w:rsidRPr="00CA4C14" w:rsidRDefault="002E1F5B" w:rsidP="00B772C9">
            <w:pPr>
              <w:pStyle w:val="Tabletext"/>
              <w:jc w:val="right"/>
              <w:rPr>
                <w:lang w:val="ru-RU" w:eastAsia="en-GB"/>
              </w:rPr>
            </w:pPr>
            <w:r w:rsidRPr="00CA4C14">
              <w:rPr>
                <w:lang w:val="ru-RU" w:eastAsia="en-GB"/>
              </w:rPr>
              <w:t>13 977</w:t>
            </w:r>
          </w:p>
        </w:tc>
      </w:tr>
      <w:tr w:rsidR="002E1F5B" w:rsidRPr="00CA4C14" w14:paraId="6988497C" w14:textId="77777777" w:rsidTr="00922DE4">
        <w:trPr>
          <w:jc w:val="center"/>
        </w:trPr>
        <w:tc>
          <w:tcPr>
            <w:tcW w:w="3048" w:type="pct"/>
            <w:tcBorders>
              <w:top w:val="nil"/>
              <w:left w:val="nil"/>
              <w:bottom w:val="nil"/>
              <w:right w:val="nil"/>
            </w:tcBorders>
            <w:shd w:val="clear" w:color="000000" w:fill="auto"/>
            <w:noWrap/>
            <w:hideMark/>
          </w:tcPr>
          <w:p w14:paraId="1547832F" w14:textId="77777777" w:rsidR="002E1F5B" w:rsidRPr="00CA4C14" w:rsidRDefault="002E1F5B" w:rsidP="00B772C9">
            <w:pPr>
              <w:pStyle w:val="Tabletext"/>
              <w:rPr>
                <w:b/>
                <w:bCs/>
                <w:lang w:val="ru-RU" w:eastAsia="en-GB"/>
              </w:rPr>
            </w:pPr>
            <w:r w:rsidRPr="00CA4C14">
              <w:rPr>
                <w:b/>
                <w:bCs/>
                <w:lang w:val="ru-RU" w:eastAsia="en-GB"/>
              </w:rPr>
              <w:t>Прочие расходы по персоналу</w:t>
            </w:r>
          </w:p>
        </w:tc>
        <w:tc>
          <w:tcPr>
            <w:tcW w:w="976" w:type="pct"/>
            <w:tcBorders>
              <w:top w:val="nil"/>
              <w:left w:val="nil"/>
              <w:bottom w:val="nil"/>
              <w:right w:val="nil"/>
            </w:tcBorders>
            <w:shd w:val="clear" w:color="000000" w:fill="auto"/>
            <w:noWrap/>
            <w:vAlign w:val="bottom"/>
            <w:hideMark/>
          </w:tcPr>
          <w:p w14:paraId="73805C84" w14:textId="77777777" w:rsidR="002E1F5B" w:rsidRPr="00CA4C14" w:rsidRDefault="002E1F5B" w:rsidP="00B772C9">
            <w:pPr>
              <w:pStyle w:val="Tabletext"/>
              <w:jc w:val="right"/>
              <w:rPr>
                <w:b/>
                <w:bCs/>
                <w:lang w:val="ru-RU" w:eastAsia="en-GB"/>
              </w:rPr>
            </w:pPr>
            <w:r w:rsidRPr="00CA4C14">
              <w:rPr>
                <w:b/>
                <w:bCs/>
                <w:lang w:val="ru-RU" w:eastAsia="en-GB"/>
              </w:rPr>
              <w:t>52 920</w:t>
            </w:r>
          </w:p>
        </w:tc>
        <w:tc>
          <w:tcPr>
            <w:tcW w:w="976" w:type="pct"/>
            <w:tcBorders>
              <w:top w:val="nil"/>
              <w:left w:val="nil"/>
              <w:bottom w:val="nil"/>
              <w:right w:val="nil"/>
            </w:tcBorders>
            <w:shd w:val="clear" w:color="000000" w:fill="auto"/>
            <w:noWrap/>
            <w:vAlign w:val="bottom"/>
            <w:hideMark/>
          </w:tcPr>
          <w:p w14:paraId="1E6A27DF" w14:textId="77777777" w:rsidR="002E1F5B" w:rsidRPr="00CA4C14" w:rsidRDefault="002E1F5B" w:rsidP="00B772C9">
            <w:pPr>
              <w:pStyle w:val="Tabletext"/>
              <w:jc w:val="right"/>
              <w:rPr>
                <w:b/>
                <w:bCs/>
                <w:lang w:val="ru-RU" w:eastAsia="en-GB"/>
              </w:rPr>
            </w:pPr>
            <w:r w:rsidRPr="00CA4C14">
              <w:rPr>
                <w:b/>
                <w:bCs/>
                <w:lang w:val="ru-RU" w:eastAsia="en-GB"/>
              </w:rPr>
              <w:t>52 473</w:t>
            </w:r>
          </w:p>
        </w:tc>
      </w:tr>
      <w:tr w:rsidR="002E1F5B" w:rsidRPr="00CA4C14" w14:paraId="444998C0" w14:textId="77777777" w:rsidTr="00922DE4">
        <w:trPr>
          <w:jc w:val="center"/>
        </w:trPr>
        <w:tc>
          <w:tcPr>
            <w:tcW w:w="3048" w:type="pct"/>
            <w:tcBorders>
              <w:top w:val="nil"/>
              <w:left w:val="nil"/>
              <w:bottom w:val="nil"/>
              <w:right w:val="nil"/>
            </w:tcBorders>
            <w:shd w:val="clear" w:color="000000" w:fill="0070C0"/>
            <w:noWrap/>
            <w:vAlign w:val="center"/>
            <w:hideMark/>
          </w:tcPr>
          <w:p w14:paraId="2C781215" w14:textId="77777777" w:rsidR="002E1F5B" w:rsidRPr="00CA4C14" w:rsidRDefault="002E1F5B" w:rsidP="00B772C9">
            <w:pPr>
              <w:pStyle w:val="Tabletext"/>
              <w:rPr>
                <w:b/>
                <w:bCs/>
                <w:lang w:val="ru-RU" w:eastAsia="en-GB"/>
              </w:rPr>
            </w:pPr>
            <w:r w:rsidRPr="00CA4C14">
              <w:rPr>
                <w:b/>
                <w:bCs/>
                <w:lang w:val="ru-RU" w:eastAsia="en-GB"/>
              </w:rPr>
              <w:t>Всего − Расходы по персоналу</w:t>
            </w:r>
          </w:p>
        </w:tc>
        <w:tc>
          <w:tcPr>
            <w:tcW w:w="976" w:type="pct"/>
            <w:tcBorders>
              <w:top w:val="nil"/>
              <w:left w:val="nil"/>
              <w:bottom w:val="nil"/>
              <w:right w:val="nil"/>
            </w:tcBorders>
            <w:shd w:val="clear" w:color="000000" w:fill="0070C0"/>
            <w:noWrap/>
            <w:vAlign w:val="center"/>
            <w:hideMark/>
          </w:tcPr>
          <w:p w14:paraId="155A8905" w14:textId="77777777" w:rsidR="002E1F5B" w:rsidRPr="00CA4C14" w:rsidRDefault="002E1F5B" w:rsidP="00B772C9">
            <w:pPr>
              <w:pStyle w:val="Tabletext"/>
              <w:jc w:val="right"/>
              <w:rPr>
                <w:b/>
                <w:bCs/>
                <w:lang w:val="ru-RU" w:eastAsia="en-GB"/>
              </w:rPr>
            </w:pPr>
            <w:r w:rsidRPr="00CA4C14">
              <w:rPr>
                <w:b/>
                <w:bCs/>
                <w:lang w:val="ru-RU" w:eastAsia="en-GB"/>
              </w:rPr>
              <w:t>150 724</w:t>
            </w:r>
          </w:p>
        </w:tc>
        <w:tc>
          <w:tcPr>
            <w:tcW w:w="976" w:type="pct"/>
            <w:tcBorders>
              <w:top w:val="nil"/>
              <w:left w:val="nil"/>
              <w:bottom w:val="nil"/>
              <w:right w:val="nil"/>
            </w:tcBorders>
            <w:shd w:val="clear" w:color="000000" w:fill="0070C0"/>
            <w:noWrap/>
            <w:vAlign w:val="center"/>
            <w:hideMark/>
          </w:tcPr>
          <w:p w14:paraId="4D47530B" w14:textId="77777777" w:rsidR="002E1F5B" w:rsidRPr="00CA4C14" w:rsidRDefault="002E1F5B" w:rsidP="00B772C9">
            <w:pPr>
              <w:pStyle w:val="Tabletext"/>
              <w:jc w:val="right"/>
              <w:rPr>
                <w:b/>
                <w:bCs/>
                <w:lang w:val="ru-RU" w:eastAsia="en-GB"/>
              </w:rPr>
            </w:pPr>
            <w:r w:rsidRPr="00CA4C14">
              <w:rPr>
                <w:b/>
                <w:bCs/>
                <w:lang w:val="ru-RU" w:eastAsia="en-GB"/>
              </w:rPr>
              <w:t>153 510</w:t>
            </w:r>
          </w:p>
        </w:tc>
      </w:tr>
    </w:tbl>
    <w:p w14:paraId="5675C9BA" w14:textId="77777777" w:rsidR="002E1F5B" w:rsidRPr="00CA4C14" w:rsidRDefault="002E1F5B" w:rsidP="002E1F5B">
      <w:pPr>
        <w:pStyle w:val="Headingb"/>
        <w:rPr>
          <w:lang w:val="ru-RU" w:bidi="ru-RU"/>
        </w:rPr>
      </w:pPr>
      <w:r w:rsidRPr="00CA4C14">
        <w:rPr>
          <w:lang w:val="ru-RU" w:bidi="ru-RU"/>
        </w:rPr>
        <w:t>Затраты, не связанные с персоналом</w:t>
      </w:r>
    </w:p>
    <w:p w14:paraId="7FC8C573" w14:textId="77777777" w:rsidR="002E1F5B" w:rsidRPr="00CA4C14" w:rsidRDefault="002E1F5B" w:rsidP="002E1F5B">
      <w:pPr>
        <w:pStyle w:val="Headingi"/>
        <w:rPr>
          <w:lang w:val="ru-RU" w:bidi="ru-RU"/>
        </w:rPr>
      </w:pPr>
      <w:r w:rsidRPr="00CA4C14">
        <w:rPr>
          <w:lang w:val="ru-RU" w:bidi="ru-RU"/>
        </w:rPr>
        <w:t>Расходы по служебным командировкам</w:t>
      </w:r>
    </w:p>
    <w:p w14:paraId="544BC7A9" w14:textId="5C1065D2" w:rsidR="002E1F5B" w:rsidRPr="00CA4C14" w:rsidRDefault="002E1F5B" w:rsidP="002E1F5B">
      <w:pPr>
        <w:rPr>
          <w:lang w:val="ru-RU" w:bidi="ru-RU"/>
        </w:rPr>
      </w:pPr>
      <w:bookmarkStart w:id="461" w:name="_Toc305764110"/>
      <w:r w:rsidRPr="00CA4C14">
        <w:rPr>
          <w:lang w:val="ru-RU" w:bidi="ru-RU"/>
        </w:rPr>
        <w:t>В 2022 году большинство ограничений на поездки ввиду пандемии COVID-19 были сняты, что позволило осуществлять поездки в соответствии с планом.</w:t>
      </w:r>
      <w:r w:rsidRPr="00CA4C14">
        <w:rPr>
          <w:lang w:val="ru-RU"/>
        </w:rPr>
        <w:t xml:space="preserve"> </w:t>
      </w:r>
      <w:r w:rsidRPr="00CA4C14">
        <w:rPr>
          <w:lang w:val="ru-RU" w:bidi="ru-RU"/>
        </w:rPr>
        <w:t>Эта тенденция сохранилась и в</w:t>
      </w:r>
      <w:r w:rsidR="00953733" w:rsidRPr="00CA4C14">
        <w:rPr>
          <w:lang w:val="ru-RU" w:bidi="ru-RU"/>
        </w:rPr>
        <w:t> </w:t>
      </w:r>
      <w:r w:rsidRPr="00CA4C14">
        <w:rPr>
          <w:lang w:val="ru-RU" w:bidi="ru-RU"/>
        </w:rPr>
        <w:t>2023</w:t>
      </w:r>
      <w:r w:rsidR="00953733" w:rsidRPr="00CA4C14">
        <w:rPr>
          <w:lang w:val="ru-RU" w:bidi="ru-RU"/>
        </w:rPr>
        <w:t> </w:t>
      </w:r>
      <w:r w:rsidRPr="00CA4C14">
        <w:rPr>
          <w:lang w:val="ru-RU" w:bidi="ru-RU"/>
        </w:rPr>
        <w:t xml:space="preserve">году, и путевые затраты увеличились на 2,2 </w:t>
      </w:r>
      <w:proofErr w:type="gramStart"/>
      <w:r w:rsidRPr="00CA4C14">
        <w:rPr>
          <w:lang w:val="ru-RU" w:bidi="ru-RU"/>
        </w:rPr>
        <w:t>млн.</w:t>
      </w:r>
      <w:proofErr w:type="gramEnd"/>
      <w:r w:rsidRPr="00CA4C14">
        <w:rPr>
          <w:lang w:val="ru-RU" w:bidi="ru-RU"/>
        </w:rPr>
        <w:t xml:space="preserve"> швейцарских франков до 7,8</w:t>
      </w:r>
      <w:r w:rsidR="00953733" w:rsidRPr="00CA4C14">
        <w:rPr>
          <w:lang w:val="ru-RU" w:bidi="ru-RU"/>
        </w:rPr>
        <w:t> </w:t>
      </w:r>
      <w:r w:rsidRPr="00CA4C14">
        <w:rPr>
          <w:lang w:val="ru-RU" w:bidi="ru-RU"/>
        </w:rPr>
        <w:t>млн.</w:t>
      </w:r>
      <w:r w:rsidR="00953733" w:rsidRPr="00CA4C14">
        <w:rPr>
          <w:lang w:val="ru-RU" w:bidi="ru-RU"/>
        </w:rPr>
        <w:t> </w:t>
      </w:r>
      <w:r w:rsidRPr="00CA4C14">
        <w:rPr>
          <w:lang w:val="ru-RU" w:bidi="ru-RU"/>
        </w:rPr>
        <w:t xml:space="preserve">швейцарских франков, достигнув уровня расходов на служебные командировки, существовавшего до COVID-19. </w:t>
      </w:r>
    </w:p>
    <w:bookmarkEnd w:id="461"/>
    <w:p w14:paraId="7A377409" w14:textId="77777777" w:rsidR="002E1F5B" w:rsidRPr="00CA4C14" w:rsidRDefault="002E1F5B" w:rsidP="002E1F5B">
      <w:pPr>
        <w:pStyle w:val="Headingi"/>
        <w:rPr>
          <w:lang w:val="ru-RU" w:bidi="ru-RU"/>
        </w:rPr>
      </w:pPr>
      <w:r w:rsidRPr="00CA4C14">
        <w:rPr>
          <w:lang w:val="ru-RU" w:bidi="ru-RU"/>
        </w:rPr>
        <w:t>Контрактные услуги</w:t>
      </w:r>
    </w:p>
    <w:p w14:paraId="3C6B6EB6" w14:textId="77777777" w:rsidR="002E1F5B" w:rsidRPr="00CA4C14" w:rsidRDefault="002E1F5B" w:rsidP="002E1F5B">
      <w:pPr>
        <w:rPr>
          <w:lang w:val="ru-RU" w:bidi="ru-RU"/>
        </w:rPr>
      </w:pPr>
      <w:r w:rsidRPr="00CA4C14">
        <w:rPr>
          <w:lang w:val="ru-RU" w:bidi="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w:t>
      </w:r>
    </w:p>
    <w:p w14:paraId="00831643" w14:textId="77777777" w:rsidR="002E1F5B" w:rsidRPr="00CA4C14" w:rsidRDefault="002E1F5B" w:rsidP="002E1F5B">
      <w:pPr>
        <w:pStyle w:val="Headingi"/>
        <w:rPr>
          <w:lang w:val="ru-RU" w:bidi="ru-RU"/>
        </w:rPr>
      </w:pPr>
      <w:bookmarkStart w:id="462" w:name="_Hlk130480918"/>
      <w:r w:rsidRPr="00CA4C14">
        <w:rPr>
          <w:lang w:val="ru-RU" w:bidi="ru-RU"/>
        </w:rPr>
        <w:t>Аренда и эксплуатация помещений и оборудования</w:t>
      </w:r>
    </w:p>
    <w:bookmarkEnd w:id="462"/>
    <w:p w14:paraId="3FF9A929" w14:textId="77777777" w:rsidR="002E1F5B" w:rsidRPr="00CA4C14" w:rsidRDefault="002E1F5B" w:rsidP="002E1F5B">
      <w:pPr>
        <w:rPr>
          <w:lang w:val="ru-RU" w:bidi="ru-RU"/>
        </w:rPr>
      </w:pPr>
      <w:r w:rsidRPr="00CA4C14">
        <w:rPr>
          <w:lang w:val="ru-RU" w:bidi="ru-RU"/>
        </w:rPr>
        <w:t>Расходы на аренду и оборудование составили 3,5 </w:t>
      </w:r>
      <w:proofErr w:type="gramStart"/>
      <w:r w:rsidRPr="00CA4C14">
        <w:rPr>
          <w:lang w:val="ru-RU" w:bidi="ru-RU"/>
        </w:rPr>
        <w:t>млн.</w:t>
      </w:r>
      <w:proofErr w:type="gramEnd"/>
      <w:r w:rsidRPr="00CA4C14">
        <w:rPr>
          <w:lang w:val="ru-RU" w:bidi="ru-RU"/>
        </w:rPr>
        <w:t xml:space="preserve"> швейцарских франков в 2023 году (2,8 млн. шв. фр. в 2022 г.). </w:t>
      </w:r>
      <w:bookmarkStart w:id="463" w:name="_Hlk106632265"/>
      <w:r w:rsidRPr="00CA4C14">
        <w:rPr>
          <w:lang w:val="ru-RU" w:bidi="ru-RU"/>
        </w:rPr>
        <w:t>Это увеличение на 24% объясняется проведением конференции ВАСЭ в МЦКЖ, где были арендованы помещения и аудиовизуальное оборудование.</w:t>
      </w:r>
    </w:p>
    <w:bookmarkEnd w:id="463"/>
    <w:p w14:paraId="67DB52CC" w14:textId="77777777" w:rsidR="002E1F5B" w:rsidRPr="00CA4C14" w:rsidRDefault="002E1F5B" w:rsidP="002E1F5B">
      <w:pPr>
        <w:pStyle w:val="Headingi"/>
        <w:rPr>
          <w:lang w:val="ru-RU" w:bidi="ru-RU"/>
        </w:rPr>
      </w:pPr>
      <w:r w:rsidRPr="00CA4C14">
        <w:rPr>
          <w:lang w:val="ru-RU" w:bidi="ru-RU"/>
        </w:rPr>
        <w:lastRenderedPageBreak/>
        <w:t>Амортизация и потеря стоимости</w:t>
      </w:r>
    </w:p>
    <w:p w14:paraId="64045DA9" w14:textId="55583297" w:rsidR="002E1F5B" w:rsidRPr="00CA4C14" w:rsidRDefault="002E1F5B" w:rsidP="002E1F5B">
      <w:pPr>
        <w:rPr>
          <w:lang w:val="ru-RU" w:bidi="ru-RU"/>
        </w:rPr>
      </w:pPr>
      <w:r w:rsidRPr="00CA4C14">
        <w:rPr>
          <w:lang w:val="ru-RU" w:bidi="ru-RU"/>
        </w:rPr>
        <w:t xml:space="preserve">Амортизация снизилась на 3,8 </w:t>
      </w:r>
      <w:proofErr w:type="gramStart"/>
      <w:r w:rsidRPr="00CA4C14">
        <w:rPr>
          <w:lang w:val="ru-RU" w:bidi="ru-RU"/>
        </w:rPr>
        <w:t>млн.</w:t>
      </w:r>
      <w:proofErr w:type="gramEnd"/>
      <w:r w:rsidRPr="00CA4C14">
        <w:rPr>
          <w:lang w:val="ru-RU" w:bidi="ru-RU"/>
        </w:rPr>
        <w:t xml:space="preserve"> швейцарских франков, поскольку здание "Варембе" было полностью амортизировано в 2022 году и поэтому не вошло в затраты на амортизацию в</w:t>
      </w:r>
      <w:r w:rsidR="00922DE4" w:rsidRPr="00CA4C14">
        <w:rPr>
          <w:lang w:val="ru-RU" w:bidi="ru-RU"/>
        </w:rPr>
        <w:t> </w:t>
      </w:r>
      <w:r w:rsidRPr="00CA4C14">
        <w:rPr>
          <w:lang w:val="ru-RU" w:bidi="ru-RU"/>
        </w:rPr>
        <w:t>2023</w:t>
      </w:r>
      <w:r w:rsidR="00922DE4" w:rsidRPr="00CA4C14">
        <w:rPr>
          <w:lang w:val="ru-RU" w:bidi="ru-RU"/>
        </w:rPr>
        <w:t> </w:t>
      </w:r>
      <w:r w:rsidRPr="00CA4C14">
        <w:rPr>
          <w:lang w:val="ru-RU" w:bidi="ru-RU"/>
        </w:rPr>
        <w:t>году.</w:t>
      </w:r>
    </w:p>
    <w:p w14:paraId="1689F869" w14:textId="77777777" w:rsidR="002E1F5B" w:rsidRPr="00CA4C14" w:rsidRDefault="002E1F5B" w:rsidP="002E1F5B">
      <w:pPr>
        <w:pStyle w:val="Headingi"/>
        <w:rPr>
          <w:lang w:val="ru-RU" w:bidi="ru-RU"/>
        </w:rPr>
      </w:pPr>
      <w:r w:rsidRPr="00CA4C14">
        <w:rPr>
          <w:lang w:val="ru-RU" w:bidi="ru-RU"/>
        </w:rPr>
        <w:t>Прочие расходы</w:t>
      </w:r>
    </w:p>
    <w:p w14:paraId="460B89B8" w14:textId="7D56E98F" w:rsidR="002E1F5B" w:rsidRPr="00CA4C14" w:rsidRDefault="002E1F5B" w:rsidP="002E1F5B">
      <w:pPr>
        <w:spacing w:after="120"/>
        <w:rPr>
          <w:highlight w:val="lightGray"/>
          <w:lang w:val="ru-RU" w:bidi="ru-RU"/>
        </w:rPr>
      </w:pPr>
      <w:r w:rsidRPr="00CA4C14">
        <w:rPr>
          <w:lang w:val="ru-RU" w:bidi="ru-RU"/>
        </w:rPr>
        <w:t xml:space="preserve">Увеличение прочих расходов на 1,7 </w:t>
      </w:r>
      <w:proofErr w:type="gramStart"/>
      <w:r w:rsidRPr="00CA4C14">
        <w:rPr>
          <w:lang w:val="ru-RU" w:bidi="ru-RU"/>
        </w:rPr>
        <w:t>млн.</w:t>
      </w:r>
      <w:proofErr w:type="gramEnd"/>
      <w:r w:rsidRPr="00CA4C14">
        <w:rPr>
          <w:lang w:val="ru-RU" w:bidi="ru-RU"/>
        </w:rPr>
        <w:t xml:space="preserve"> швейцарских франков по сравнению с 2022 годом можно объяснить двумя основными факторами. Во-первых, в 2022 году резервный фонд для сомнительных долгов был значительно меньше ввиду оплаты Государствами-Членами начисленных взносов для сохранения за собой права голоса в преддверии Полномочной конференции. Во-вторых, по состоянию на 31 декабря 2023 года увеличение резервного фонда для сомнительных долгов составило 1,7 </w:t>
      </w:r>
      <w:proofErr w:type="gramStart"/>
      <w:r w:rsidRPr="00CA4C14">
        <w:rPr>
          <w:lang w:val="ru-RU" w:bidi="ru-RU"/>
        </w:rPr>
        <w:t>млн.</w:t>
      </w:r>
      <w:proofErr w:type="gramEnd"/>
      <w:r w:rsidRPr="00CA4C14">
        <w:rPr>
          <w:lang w:val="ru-RU" w:bidi="ru-RU"/>
        </w:rPr>
        <w:t xml:space="preserve"> швейцарских франков при общей сумме 1,8</w:t>
      </w:r>
      <w:r w:rsidR="00922DE4" w:rsidRPr="00CA4C14">
        <w:rPr>
          <w:lang w:val="ru-RU" w:bidi="ru-RU"/>
        </w:rPr>
        <w:t> </w:t>
      </w:r>
      <w:r w:rsidRPr="00CA4C14">
        <w:rPr>
          <w:lang w:val="ru-RU" w:bidi="ru-RU"/>
        </w:rPr>
        <w:t>млн.</w:t>
      </w:r>
      <w:r w:rsidR="00922DE4" w:rsidRPr="00CA4C14">
        <w:rPr>
          <w:lang w:val="ru-RU" w:bidi="ru-RU"/>
        </w:rPr>
        <w:t> </w:t>
      </w:r>
      <w:r w:rsidRPr="00CA4C14">
        <w:rPr>
          <w:lang w:val="ru-RU" w:bidi="ru-RU"/>
        </w:rPr>
        <w:t>швейцарских франков на прочие расходы. В совокупности эти факторы привели к разнице в прочих расходах по сравнению с предыдущим годом.</w:t>
      </w:r>
    </w:p>
    <w:tbl>
      <w:tblPr>
        <w:tblW w:w="5000" w:type="pct"/>
        <w:jc w:val="center"/>
        <w:tblLayout w:type="fixed"/>
        <w:tblLook w:val="04A0" w:firstRow="1" w:lastRow="0" w:firstColumn="1" w:lastColumn="0" w:noHBand="0" w:noVBand="1"/>
      </w:tblPr>
      <w:tblGrid>
        <w:gridCol w:w="5177"/>
        <w:gridCol w:w="1947"/>
        <w:gridCol w:w="1947"/>
      </w:tblGrid>
      <w:tr w:rsidR="002E1F5B" w:rsidRPr="00CA4C14" w14:paraId="25E29896" w14:textId="77777777" w:rsidTr="00922DE4">
        <w:trPr>
          <w:jc w:val="center"/>
        </w:trPr>
        <w:tc>
          <w:tcPr>
            <w:tcW w:w="2854" w:type="pct"/>
            <w:tcBorders>
              <w:top w:val="nil"/>
              <w:left w:val="nil"/>
              <w:bottom w:val="nil"/>
              <w:right w:val="nil"/>
            </w:tcBorders>
            <w:shd w:val="clear" w:color="000000" w:fill="0070C0"/>
            <w:noWrap/>
            <w:vAlign w:val="center"/>
            <w:hideMark/>
          </w:tcPr>
          <w:p w14:paraId="325700A7" w14:textId="77777777" w:rsidR="002E1F5B" w:rsidRPr="00CA4C14" w:rsidRDefault="002E1F5B" w:rsidP="00B772C9">
            <w:pPr>
              <w:pStyle w:val="Tablehead"/>
              <w:rPr>
                <w:lang w:val="ru-RU"/>
              </w:rPr>
            </w:pPr>
            <w:r w:rsidRPr="00CA4C14">
              <w:rPr>
                <w:szCs w:val="18"/>
                <w:lang w:val="ru-RU" w:eastAsia="en-GB"/>
              </w:rPr>
              <w:t>Описание (тыс. шв. фр.)</w:t>
            </w:r>
          </w:p>
        </w:tc>
        <w:tc>
          <w:tcPr>
            <w:tcW w:w="1073" w:type="pct"/>
            <w:tcBorders>
              <w:top w:val="nil"/>
              <w:left w:val="nil"/>
              <w:bottom w:val="nil"/>
              <w:right w:val="nil"/>
            </w:tcBorders>
            <w:shd w:val="clear" w:color="000000" w:fill="0070C0"/>
            <w:vAlign w:val="center"/>
            <w:hideMark/>
          </w:tcPr>
          <w:p w14:paraId="4EC0DF62" w14:textId="77777777" w:rsidR="002E1F5B" w:rsidRPr="00CA4C14" w:rsidRDefault="002E1F5B" w:rsidP="00B772C9">
            <w:pPr>
              <w:pStyle w:val="Tablehead"/>
              <w:rPr>
                <w:lang w:val="ru-RU"/>
              </w:rPr>
            </w:pPr>
            <w:r w:rsidRPr="00CA4C14">
              <w:rPr>
                <w:lang w:val="ru-RU" w:eastAsia="en-GB"/>
              </w:rPr>
              <w:t>31 декабря 2023 г.</w:t>
            </w:r>
          </w:p>
        </w:tc>
        <w:tc>
          <w:tcPr>
            <w:tcW w:w="1073" w:type="pct"/>
            <w:tcBorders>
              <w:top w:val="nil"/>
              <w:left w:val="nil"/>
              <w:bottom w:val="nil"/>
              <w:right w:val="nil"/>
            </w:tcBorders>
            <w:shd w:val="clear" w:color="000000" w:fill="0070C0"/>
            <w:vAlign w:val="center"/>
            <w:hideMark/>
          </w:tcPr>
          <w:p w14:paraId="58468ED6" w14:textId="77777777" w:rsidR="002E1F5B" w:rsidRPr="00CA4C14" w:rsidRDefault="002E1F5B" w:rsidP="00B772C9">
            <w:pPr>
              <w:pStyle w:val="Tablehead"/>
              <w:rPr>
                <w:lang w:val="ru-RU"/>
              </w:rPr>
            </w:pPr>
            <w:r w:rsidRPr="00CA4C14">
              <w:rPr>
                <w:lang w:val="ru-RU"/>
              </w:rPr>
              <w:t>31 декабря 2022 г.</w:t>
            </w:r>
          </w:p>
        </w:tc>
      </w:tr>
      <w:tr w:rsidR="002E1F5B" w:rsidRPr="009A3216" w14:paraId="18655E21" w14:textId="77777777" w:rsidTr="00922DE4">
        <w:trPr>
          <w:jc w:val="center"/>
        </w:trPr>
        <w:tc>
          <w:tcPr>
            <w:tcW w:w="2854" w:type="pct"/>
            <w:tcBorders>
              <w:top w:val="nil"/>
              <w:left w:val="nil"/>
              <w:bottom w:val="nil"/>
              <w:right w:val="nil"/>
            </w:tcBorders>
            <w:shd w:val="clear" w:color="000000" w:fill="auto"/>
            <w:noWrap/>
            <w:hideMark/>
          </w:tcPr>
          <w:p w14:paraId="01047B1A" w14:textId="77777777" w:rsidR="002E1F5B" w:rsidRPr="00CA4C14" w:rsidRDefault="002E1F5B" w:rsidP="00B772C9">
            <w:pPr>
              <w:pStyle w:val="Tabletext"/>
              <w:rPr>
                <w:b/>
                <w:bCs/>
                <w:lang w:val="ru-RU"/>
              </w:rPr>
            </w:pPr>
            <w:r w:rsidRPr="00CA4C14">
              <w:rPr>
                <w:b/>
                <w:bCs/>
                <w:lang w:val="ru-RU"/>
              </w:rPr>
              <w:t>Затраты, не связанные с персоналом</w:t>
            </w:r>
          </w:p>
        </w:tc>
        <w:tc>
          <w:tcPr>
            <w:tcW w:w="1073" w:type="pct"/>
            <w:tcBorders>
              <w:top w:val="nil"/>
              <w:left w:val="nil"/>
              <w:bottom w:val="nil"/>
              <w:right w:val="nil"/>
            </w:tcBorders>
            <w:shd w:val="clear" w:color="000000" w:fill="auto"/>
            <w:noWrap/>
            <w:vAlign w:val="bottom"/>
          </w:tcPr>
          <w:p w14:paraId="23F3484C" w14:textId="77777777" w:rsidR="002E1F5B" w:rsidRPr="00CA4C14" w:rsidRDefault="002E1F5B" w:rsidP="00B772C9">
            <w:pPr>
              <w:pStyle w:val="Tabletext"/>
              <w:rPr>
                <w:b/>
                <w:bCs/>
                <w:lang w:val="ru-RU"/>
              </w:rPr>
            </w:pPr>
          </w:p>
        </w:tc>
        <w:tc>
          <w:tcPr>
            <w:tcW w:w="1073" w:type="pct"/>
            <w:tcBorders>
              <w:top w:val="nil"/>
              <w:left w:val="nil"/>
              <w:bottom w:val="nil"/>
              <w:right w:val="nil"/>
            </w:tcBorders>
            <w:shd w:val="clear" w:color="000000" w:fill="auto"/>
            <w:noWrap/>
            <w:vAlign w:val="bottom"/>
          </w:tcPr>
          <w:p w14:paraId="472959C3" w14:textId="77777777" w:rsidR="002E1F5B" w:rsidRPr="00CA4C14" w:rsidRDefault="002E1F5B" w:rsidP="00B772C9">
            <w:pPr>
              <w:pStyle w:val="Tabletext"/>
              <w:rPr>
                <w:b/>
                <w:bCs/>
                <w:lang w:val="ru-RU"/>
              </w:rPr>
            </w:pPr>
          </w:p>
        </w:tc>
      </w:tr>
      <w:tr w:rsidR="002E1F5B" w:rsidRPr="00CA4C14" w14:paraId="65D38A1A" w14:textId="77777777" w:rsidTr="00922DE4">
        <w:trPr>
          <w:jc w:val="center"/>
        </w:trPr>
        <w:tc>
          <w:tcPr>
            <w:tcW w:w="2854" w:type="pct"/>
            <w:tcBorders>
              <w:top w:val="nil"/>
              <w:left w:val="nil"/>
              <w:bottom w:val="nil"/>
              <w:right w:val="nil"/>
            </w:tcBorders>
            <w:shd w:val="clear" w:color="000000" w:fill="auto"/>
            <w:noWrap/>
            <w:vAlign w:val="bottom"/>
            <w:hideMark/>
          </w:tcPr>
          <w:p w14:paraId="03D8D057" w14:textId="623FF978" w:rsidR="002E1F5B" w:rsidRPr="00CA4C14" w:rsidRDefault="002E1F5B" w:rsidP="00B772C9">
            <w:pPr>
              <w:pStyle w:val="Tabletext"/>
              <w:rPr>
                <w:lang w:val="ru-RU"/>
              </w:rPr>
            </w:pPr>
            <w:r w:rsidRPr="00CA4C14">
              <w:rPr>
                <w:lang w:val="ru-RU"/>
              </w:rPr>
              <w:t>−</w:t>
            </w:r>
            <w:r w:rsidR="00922DE4" w:rsidRPr="00CA4C14">
              <w:rPr>
                <w:lang w:val="ru-RU"/>
              </w:rPr>
              <w:tab/>
            </w:r>
            <w:r w:rsidRPr="00CA4C14">
              <w:rPr>
                <w:lang w:val="ru-RU"/>
              </w:rPr>
              <w:t>Расходы по служебным командировкам</w:t>
            </w:r>
          </w:p>
        </w:tc>
        <w:tc>
          <w:tcPr>
            <w:tcW w:w="1073" w:type="pct"/>
            <w:tcBorders>
              <w:top w:val="nil"/>
              <w:left w:val="nil"/>
              <w:bottom w:val="nil"/>
              <w:right w:val="nil"/>
            </w:tcBorders>
            <w:shd w:val="clear" w:color="000000" w:fill="auto"/>
            <w:noWrap/>
            <w:vAlign w:val="bottom"/>
            <w:hideMark/>
          </w:tcPr>
          <w:p w14:paraId="2FBD3D7F" w14:textId="77777777" w:rsidR="002E1F5B" w:rsidRPr="00CA4C14" w:rsidRDefault="002E1F5B" w:rsidP="00B772C9">
            <w:pPr>
              <w:pStyle w:val="Tabletext"/>
              <w:jc w:val="right"/>
              <w:rPr>
                <w:lang w:val="ru-RU"/>
              </w:rPr>
            </w:pPr>
            <w:r w:rsidRPr="00CA4C14">
              <w:rPr>
                <w:lang w:val="ru-RU"/>
              </w:rPr>
              <w:t>7 788</w:t>
            </w:r>
          </w:p>
        </w:tc>
        <w:tc>
          <w:tcPr>
            <w:tcW w:w="1073" w:type="pct"/>
            <w:tcBorders>
              <w:top w:val="nil"/>
              <w:left w:val="nil"/>
              <w:bottom w:val="nil"/>
              <w:right w:val="nil"/>
            </w:tcBorders>
            <w:shd w:val="clear" w:color="000000" w:fill="auto"/>
            <w:noWrap/>
            <w:vAlign w:val="bottom"/>
            <w:hideMark/>
          </w:tcPr>
          <w:p w14:paraId="09ED0B34" w14:textId="77777777" w:rsidR="002E1F5B" w:rsidRPr="00CA4C14" w:rsidRDefault="002E1F5B" w:rsidP="00B772C9">
            <w:pPr>
              <w:pStyle w:val="Tabletext"/>
              <w:jc w:val="right"/>
              <w:rPr>
                <w:lang w:val="ru-RU"/>
              </w:rPr>
            </w:pPr>
            <w:r w:rsidRPr="00CA4C14">
              <w:rPr>
                <w:lang w:val="ru-RU"/>
              </w:rPr>
              <w:t>5 589</w:t>
            </w:r>
          </w:p>
        </w:tc>
      </w:tr>
      <w:tr w:rsidR="002E1F5B" w:rsidRPr="00CA4C14" w14:paraId="6B005F0A" w14:textId="77777777" w:rsidTr="00922DE4">
        <w:trPr>
          <w:jc w:val="center"/>
        </w:trPr>
        <w:tc>
          <w:tcPr>
            <w:tcW w:w="2854" w:type="pct"/>
            <w:tcBorders>
              <w:top w:val="nil"/>
              <w:left w:val="nil"/>
              <w:bottom w:val="nil"/>
              <w:right w:val="nil"/>
            </w:tcBorders>
            <w:shd w:val="clear" w:color="000000" w:fill="auto"/>
            <w:noWrap/>
            <w:vAlign w:val="bottom"/>
            <w:hideMark/>
          </w:tcPr>
          <w:p w14:paraId="7F65FAD5" w14:textId="2FFB4A9E" w:rsidR="002E1F5B" w:rsidRPr="00CA4C14" w:rsidRDefault="002E1F5B" w:rsidP="00B772C9">
            <w:pPr>
              <w:pStyle w:val="Tabletext"/>
              <w:rPr>
                <w:lang w:val="ru-RU"/>
              </w:rPr>
            </w:pPr>
            <w:r w:rsidRPr="00CA4C14">
              <w:rPr>
                <w:lang w:val="ru-RU"/>
              </w:rPr>
              <w:t>−</w:t>
            </w:r>
            <w:r w:rsidR="00922DE4" w:rsidRPr="00CA4C14">
              <w:rPr>
                <w:lang w:val="ru-RU"/>
              </w:rPr>
              <w:tab/>
            </w:r>
            <w:r w:rsidRPr="00CA4C14">
              <w:rPr>
                <w:lang w:val="ru-RU"/>
              </w:rPr>
              <w:t>Контрактные услуги</w:t>
            </w:r>
          </w:p>
        </w:tc>
        <w:tc>
          <w:tcPr>
            <w:tcW w:w="1073" w:type="pct"/>
            <w:tcBorders>
              <w:top w:val="nil"/>
              <w:left w:val="nil"/>
              <w:bottom w:val="nil"/>
              <w:right w:val="nil"/>
            </w:tcBorders>
            <w:shd w:val="clear" w:color="000000" w:fill="auto"/>
            <w:noWrap/>
            <w:vAlign w:val="bottom"/>
            <w:hideMark/>
          </w:tcPr>
          <w:p w14:paraId="0654B318" w14:textId="77777777" w:rsidR="002E1F5B" w:rsidRPr="00CA4C14" w:rsidRDefault="002E1F5B" w:rsidP="00B772C9">
            <w:pPr>
              <w:pStyle w:val="Tabletext"/>
              <w:jc w:val="right"/>
              <w:rPr>
                <w:lang w:val="ru-RU"/>
              </w:rPr>
            </w:pPr>
            <w:r w:rsidRPr="00CA4C14">
              <w:rPr>
                <w:lang w:val="ru-RU"/>
              </w:rPr>
              <w:t>21 821</w:t>
            </w:r>
          </w:p>
        </w:tc>
        <w:tc>
          <w:tcPr>
            <w:tcW w:w="1073" w:type="pct"/>
            <w:tcBorders>
              <w:top w:val="nil"/>
              <w:left w:val="nil"/>
              <w:bottom w:val="nil"/>
              <w:right w:val="nil"/>
            </w:tcBorders>
            <w:shd w:val="clear" w:color="000000" w:fill="auto"/>
            <w:noWrap/>
            <w:vAlign w:val="bottom"/>
            <w:hideMark/>
          </w:tcPr>
          <w:p w14:paraId="7A6760FA" w14:textId="77777777" w:rsidR="002E1F5B" w:rsidRPr="00CA4C14" w:rsidRDefault="002E1F5B" w:rsidP="00B772C9">
            <w:pPr>
              <w:pStyle w:val="Tabletext"/>
              <w:jc w:val="right"/>
              <w:rPr>
                <w:lang w:val="ru-RU"/>
              </w:rPr>
            </w:pPr>
            <w:r w:rsidRPr="00CA4C14">
              <w:rPr>
                <w:lang w:val="ru-RU"/>
              </w:rPr>
              <w:t>20 527</w:t>
            </w:r>
          </w:p>
        </w:tc>
      </w:tr>
      <w:tr w:rsidR="002E1F5B" w:rsidRPr="00CA4C14" w14:paraId="4C77D360" w14:textId="77777777" w:rsidTr="00922DE4">
        <w:trPr>
          <w:jc w:val="center"/>
        </w:trPr>
        <w:tc>
          <w:tcPr>
            <w:tcW w:w="2854" w:type="pct"/>
            <w:tcBorders>
              <w:top w:val="nil"/>
              <w:left w:val="nil"/>
              <w:bottom w:val="nil"/>
              <w:right w:val="nil"/>
            </w:tcBorders>
            <w:shd w:val="clear" w:color="000000" w:fill="auto"/>
            <w:noWrap/>
            <w:vAlign w:val="bottom"/>
            <w:hideMark/>
          </w:tcPr>
          <w:p w14:paraId="084AE52B" w14:textId="48A7F99D" w:rsidR="002E1F5B" w:rsidRPr="00CA4C14" w:rsidRDefault="002E1F5B" w:rsidP="00B772C9">
            <w:pPr>
              <w:pStyle w:val="Tabletext"/>
              <w:rPr>
                <w:lang w:val="ru-RU"/>
              </w:rPr>
            </w:pPr>
            <w:r w:rsidRPr="00CA4C14">
              <w:rPr>
                <w:lang w:val="ru-RU"/>
              </w:rPr>
              <w:t>−</w:t>
            </w:r>
            <w:r w:rsidR="00922DE4" w:rsidRPr="00CA4C14">
              <w:rPr>
                <w:lang w:val="ru-RU"/>
              </w:rPr>
              <w:tab/>
            </w:r>
            <w:r w:rsidRPr="00CA4C14">
              <w:rPr>
                <w:lang w:val="ru-RU"/>
              </w:rPr>
              <w:t>Аренда и эксплуатация помещений и оборудования</w:t>
            </w:r>
          </w:p>
        </w:tc>
        <w:tc>
          <w:tcPr>
            <w:tcW w:w="1073" w:type="pct"/>
            <w:tcBorders>
              <w:top w:val="nil"/>
              <w:left w:val="nil"/>
              <w:bottom w:val="nil"/>
              <w:right w:val="nil"/>
            </w:tcBorders>
            <w:shd w:val="clear" w:color="000000" w:fill="auto"/>
            <w:noWrap/>
            <w:vAlign w:val="bottom"/>
            <w:hideMark/>
          </w:tcPr>
          <w:p w14:paraId="3C4650B4" w14:textId="77777777" w:rsidR="002E1F5B" w:rsidRPr="00CA4C14" w:rsidRDefault="002E1F5B" w:rsidP="00B772C9">
            <w:pPr>
              <w:pStyle w:val="Tabletext"/>
              <w:jc w:val="right"/>
              <w:rPr>
                <w:lang w:val="ru-RU"/>
              </w:rPr>
            </w:pPr>
            <w:r w:rsidRPr="00CA4C14">
              <w:rPr>
                <w:lang w:val="ru-RU"/>
              </w:rPr>
              <w:t>3 537</w:t>
            </w:r>
          </w:p>
        </w:tc>
        <w:tc>
          <w:tcPr>
            <w:tcW w:w="1073" w:type="pct"/>
            <w:tcBorders>
              <w:top w:val="nil"/>
              <w:left w:val="nil"/>
              <w:bottom w:val="nil"/>
              <w:right w:val="nil"/>
            </w:tcBorders>
            <w:shd w:val="clear" w:color="000000" w:fill="auto"/>
            <w:noWrap/>
            <w:vAlign w:val="bottom"/>
            <w:hideMark/>
          </w:tcPr>
          <w:p w14:paraId="7092D810" w14:textId="77777777" w:rsidR="002E1F5B" w:rsidRPr="00CA4C14" w:rsidRDefault="002E1F5B" w:rsidP="00B772C9">
            <w:pPr>
              <w:pStyle w:val="Tabletext"/>
              <w:jc w:val="right"/>
              <w:rPr>
                <w:lang w:val="ru-RU"/>
              </w:rPr>
            </w:pPr>
            <w:r w:rsidRPr="00CA4C14">
              <w:rPr>
                <w:lang w:val="ru-RU"/>
              </w:rPr>
              <w:t>2 860</w:t>
            </w:r>
          </w:p>
        </w:tc>
      </w:tr>
      <w:tr w:rsidR="002E1F5B" w:rsidRPr="00CA4C14" w14:paraId="411905D8" w14:textId="77777777" w:rsidTr="00922DE4">
        <w:trPr>
          <w:jc w:val="center"/>
        </w:trPr>
        <w:tc>
          <w:tcPr>
            <w:tcW w:w="2854" w:type="pct"/>
            <w:tcBorders>
              <w:top w:val="nil"/>
              <w:left w:val="nil"/>
              <w:bottom w:val="nil"/>
              <w:right w:val="nil"/>
            </w:tcBorders>
            <w:shd w:val="clear" w:color="000000" w:fill="auto"/>
            <w:noWrap/>
            <w:vAlign w:val="bottom"/>
            <w:hideMark/>
          </w:tcPr>
          <w:p w14:paraId="2BF4E391" w14:textId="30CD6189" w:rsidR="002E1F5B" w:rsidRPr="00CA4C14" w:rsidRDefault="002E1F5B" w:rsidP="00B772C9">
            <w:pPr>
              <w:pStyle w:val="Tabletext"/>
              <w:rPr>
                <w:lang w:val="ru-RU"/>
              </w:rPr>
            </w:pPr>
            <w:r w:rsidRPr="00CA4C14">
              <w:rPr>
                <w:lang w:val="ru-RU"/>
              </w:rPr>
              <w:t>−</w:t>
            </w:r>
            <w:r w:rsidR="00922DE4" w:rsidRPr="00CA4C14">
              <w:rPr>
                <w:lang w:val="ru-RU"/>
              </w:rPr>
              <w:tab/>
            </w:r>
            <w:r w:rsidRPr="00CA4C14">
              <w:rPr>
                <w:lang w:val="ru-RU"/>
              </w:rPr>
              <w:t>Оборудование и предметы снабжения</w:t>
            </w:r>
          </w:p>
        </w:tc>
        <w:tc>
          <w:tcPr>
            <w:tcW w:w="1073" w:type="pct"/>
            <w:tcBorders>
              <w:top w:val="nil"/>
              <w:left w:val="nil"/>
              <w:bottom w:val="nil"/>
              <w:right w:val="nil"/>
            </w:tcBorders>
            <w:shd w:val="clear" w:color="000000" w:fill="auto"/>
            <w:noWrap/>
            <w:vAlign w:val="bottom"/>
            <w:hideMark/>
          </w:tcPr>
          <w:p w14:paraId="6CCAF569" w14:textId="77777777" w:rsidR="002E1F5B" w:rsidRPr="00CA4C14" w:rsidRDefault="002E1F5B" w:rsidP="00B772C9">
            <w:pPr>
              <w:pStyle w:val="Tabletext"/>
              <w:jc w:val="right"/>
              <w:rPr>
                <w:lang w:val="ru-RU"/>
              </w:rPr>
            </w:pPr>
            <w:r w:rsidRPr="00CA4C14">
              <w:rPr>
                <w:lang w:val="ru-RU"/>
              </w:rPr>
              <w:t>3 150</w:t>
            </w:r>
          </w:p>
        </w:tc>
        <w:tc>
          <w:tcPr>
            <w:tcW w:w="1073" w:type="pct"/>
            <w:tcBorders>
              <w:top w:val="nil"/>
              <w:left w:val="nil"/>
              <w:bottom w:val="nil"/>
              <w:right w:val="nil"/>
            </w:tcBorders>
            <w:shd w:val="clear" w:color="000000" w:fill="auto"/>
            <w:noWrap/>
            <w:vAlign w:val="bottom"/>
            <w:hideMark/>
          </w:tcPr>
          <w:p w14:paraId="41359EC7" w14:textId="77777777" w:rsidR="002E1F5B" w:rsidRPr="00CA4C14" w:rsidRDefault="002E1F5B" w:rsidP="00B772C9">
            <w:pPr>
              <w:pStyle w:val="Tabletext"/>
              <w:jc w:val="right"/>
              <w:rPr>
                <w:lang w:val="ru-RU"/>
              </w:rPr>
            </w:pPr>
            <w:r w:rsidRPr="00CA4C14">
              <w:rPr>
                <w:lang w:val="ru-RU"/>
              </w:rPr>
              <w:t>2 460</w:t>
            </w:r>
          </w:p>
        </w:tc>
      </w:tr>
      <w:tr w:rsidR="002E1F5B" w:rsidRPr="00CA4C14" w14:paraId="2250B1D0" w14:textId="77777777" w:rsidTr="00922DE4">
        <w:trPr>
          <w:jc w:val="center"/>
        </w:trPr>
        <w:tc>
          <w:tcPr>
            <w:tcW w:w="2854" w:type="pct"/>
            <w:tcBorders>
              <w:top w:val="nil"/>
              <w:left w:val="nil"/>
              <w:bottom w:val="nil"/>
              <w:right w:val="nil"/>
            </w:tcBorders>
            <w:shd w:val="clear" w:color="000000" w:fill="auto"/>
            <w:noWrap/>
            <w:vAlign w:val="bottom"/>
            <w:hideMark/>
          </w:tcPr>
          <w:p w14:paraId="7802093B" w14:textId="3891BA7D" w:rsidR="002E1F5B" w:rsidRPr="00CA4C14" w:rsidRDefault="002E1F5B" w:rsidP="00B772C9">
            <w:pPr>
              <w:pStyle w:val="Tabletext"/>
              <w:rPr>
                <w:lang w:val="ru-RU"/>
              </w:rPr>
            </w:pPr>
            <w:r w:rsidRPr="00CA4C14">
              <w:rPr>
                <w:lang w:val="ru-RU"/>
              </w:rPr>
              <w:t>−</w:t>
            </w:r>
            <w:r w:rsidR="00922DE4" w:rsidRPr="00CA4C14">
              <w:rPr>
                <w:lang w:val="ru-RU"/>
              </w:rPr>
              <w:tab/>
            </w:r>
            <w:r w:rsidRPr="00CA4C14">
              <w:rPr>
                <w:lang w:val="ru-RU"/>
              </w:rPr>
              <w:t>Амортизация и потеря стоимости</w:t>
            </w:r>
          </w:p>
        </w:tc>
        <w:tc>
          <w:tcPr>
            <w:tcW w:w="1073" w:type="pct"/>
            <w:tcBorders>
              <w:top w:val="nil"/>
              <w:left w:val="nil"/>
              <w:bottom w:val="nil"/>
              <w:right w:val="nil"/>
            </w:tcBorders>
            <w:shd w:val="clear" w:color="000000" w:fill="auto"/>
            <w:noWrap/>
            <w:vAlign w:val="bottom"/>
            <w:hideMark/>
          </w:tcPr>
          <w:p w14:paraId="01290D81" w14:textId="77777777" w:rsidR="002E1F5B" w:rsidRPr="00CA4C14" w:rsidRDefault="002E1F5B" w:rsidP="00B772C9">
            <w:pPr>
              <w:pStyle w:val="Tabletext"/>
              <w:jc w:val="right"/>
              <w:rPr>
                <w:lang w:val="ru-RU"/>
              </w:rPr>
            </w:pPr>
            <w:r w:rsidRPr="00CA4C14">
              <w:rPr>
                <w:lang w:val="ru-RU"/>
              </w:rPr>
              <w:t>5 660</w:t>
            </w:r>
          </w:p>
        </w:tc>
        <w:tc>
          <w:tcPr>
            <w:tcW w:w="1073" w:type="pct"/>
            <w:tcBorders>
              <w:top w:val="nil"/>
              <w:left w:val="nil"/>
              <w:bottom w:val="nil"/>
              <w:right w:val="nil"/>
            </w:tcBorders>
            <w:shd w:val="clear" w:color="000000" w:fill="auto"/>
            <w:noWrap/>
            <w:vAlign w:val="bottom"/>
            <w:hideMark/>
          </w:tcPr>
          <w:p w14:paraId="1EF7C516" w14:textId="77777777" w:rsidR="002E1F5B" w:rsidRPr="00CA4C14" w:rsidRDefault="002E1F5B" w:rsidP="00B772C9">
            <w:pPr>
              <w:pStyle w:val="Tabletext"/>
              <w:jc w:val="right"/>
              <w:rPr>
                <w:lang w:val="ru-RU"/>
              </w:rPr>
            </w:pPr>
            <w:r w:rsidRPr="00CA4C14">
              <w:rPr>
                <w:lang w:val="ru-RU"/>
              </w:rPr>
              <w:t>9 495</w:t>
            </w:r>
          </w:p>
        </w:tc>
      </w:tr>
      <w:tr w:rsidR="002E1F5B" w:rsidRPr="00CA4C14" w14:paraId="5912FEFE" w14:textId="77777777" w:rsidTr="00922DE4">
        <w:trPr>
          <w:jc w:val="center"/>
        </w:trPr>
        <w:tc>
          <w:tcPr>
            <w:tcW w:w="2854" w:type="pct"/>
            <w:tcBorders>
              <w:top w:val="nil"/>
              <w:left w:val="nil"/>
              <w:bottom w:val="nil"/>
              <w:right w:val="nil"/>
            </w:tcBorders>
            <w:shd w:val="clear" w:color="000000" w:fill="auto"/>
            <w:noWrap/>
            <w:vAlign w:val="bottom"/>
            <w:hideMark/>
          </w:tcPr>
          <w:p w14:paraId="0CC24F38" w14:textId="68AA7F1D" w:rsidR="002E1F5B" w:rsidRPr="00CA4C14" w:rsidRDefault="002E1F5B" w:rsidP="00B772C9">
            <w:pPr>
              <w:pStyle w:val="Tabletext"/>
              <w:rPr>
                <w:lang w:val="ru-RU"/>
              </w:rPr>
            </w:pPr>
            <w:r w:rsidRPr="00CA4C14">
              <w:rPr>
                <w:lang w:val="ru-RU"/>
              </w:rPr>
              <w:t>−</w:t>
            </w:r>
            <w:r w:rsidR="00922DE4" w:rsidRPr="00CA4C14">
              <w:rPr>
                <w:lang w:val="ru-RU"/>
              </w:rPr>
              <w:tab/>
            </w:r>
            <w:r w:rsidRPr="00CA4C14">
              <w:rPr>
                <w:lang w:val="ru-RU"/>
              </w:rPr>
              <w:t>Расходы по перевозке, электросвязи и услугам</w:t>
            </w:r>
          </w:p>
        </w:tc>
        <w:tc>
          <w:tcPr>
            <w:tcW w:w="1073" w:type="pct"/>
            <w:tcBorders>
              <w:top w:val="nil"/>
              <w:left w:val="nil"/>
              <w:bottom w:val="nil"/>
              <w:right w:val="nil"/>
            </w:tcBorders>
            <w:shd w:val="clear" w:color="auto" w:fill="auto"/>
            <w:noWrap/>
            <w:vAlign w:val="bottom"/>
            <w:hideMark/>
          </w:tcPr>
          <w:p w14:paraId="1565E097" w14:textId="77777777" w:rsidR="002E1F5B" w:rsidRPr="00CA4C14" w:rsidRDefault="002E1F5B" w:rsidP="00B772C9">
            <w:pPr>
              <w:pStyle w:val="Tabletext"/>
              <w:jc w:val="right"/>
              <w:rPr>
                <w:lang w:val="ru-RU"/>
              </w:rPr>
            </w:pPr>
            <w:r w:rsidRPr="00CA4C14">
              <w:rPr>
                <w:lang w:val="ru-RU"/>
              </w:rPr>
              <w:t>2 673</w:t>
            </w:r>
          </w:p>
        </w:tc>
        <w:tc>
          <w:tcPr>
            <w:tcW w:w="1073" w:type="pct"/>
            <w:tcBorders>
              <w:top w:val="nil"/>
              <w:left w:val="nil"/>
              <w:bottom w:val="nil"/>
              <w:right w:val="nil"/>
            </w:tcBorders>
            <w:shd w:val="clear" w:color="000000" w:fill="auto"/>
            <w:noWrap/>
            <w:vAlign w:val="bottom"/>
            <w:hideMark/>
          </w:tcPr>
          <w:p w14:paraId="0065B665" w14:textId="77777777" w:rsidR="002E1F5B" w:rsidRPr="00CA4C14" w:rsidRDefault="002E1F5B" w:rsidP="00B772C9">
            <w:pPr>
              <w:pStyle w:val="Tabletext"/>
              <w:jc w:val="right"/>
              <w:rPr>
                <w:lang w:val="ru-RU"/>
              </w:rPr>
            </w:pPr>
            <w:r w:rsidRPr="00CA4C14">
              <w:rPr>
                <w:lang w:val="ru-RU"/>
              </w:rPr>
              <w:t>2 242</w:t>
            </w:r>
          </w:p>
        </w:tc>
      </w:tr>
      <w:tr w:rsidR="002E1F5B" w:rsidRPr="00CA4C14" w14:paraId="5760B9AF" w14:textId="77777777" w:rsidTr="00922DE4">
        <w:trPr>
          <w:jc w:val="center"/>
        </w:trPr>
        <w:tc>
          <w:tcPr>
            <w:tcW w:w="2854" w:type="pct"/>
            <w:tcBorders>
              <w:top w:val="nil"/>
              <w:left w:val="nil"/>
              <w:bottom w:val="nil"/>
              <w:right w:val="nil"/>
            </w:tcBorders>
            <w:shd w:val="clear" w:color="000000" w:fill="auto"/>
            <w:noWrap/>
            <w:vAlign w:val="bottom"/>
            <w:hideMark/>
          </w:tcPr>
          <w:p w14:paraId="48CD449B" w14:textId="51635C20" w:rsidR="002E1F5B" w:rsidRPr="00CA4C14" w:rsidRDefault="002E1F5B" w:rsidP="00B772C9">
            <w:pPr>
              <w:pStyle w:val="Tabletext"/>
              <w:rPr>
                <w:lang w:val="ru-RU"/>
              </w:rPr>
            </w:pPr>
            <w:r w:rsidRPr="00CA4C14">
              <w:rPr>
                <w:lang w:val="ru-RU"/>
              </w:rPr>
              <w:t>−</w:t>
            </w:r>
            <w:r w:rsidR="00922DE4" w:rsidRPr="00CA4C14">
              <w:rPr>
                <w:lang w:val="ru-RU"/>
              </w:rPr>
              <w:tab/>
            </w:r>
            <w:r w:rsidRPr="00CA4C14">
              <w:rPr>
                <w:lang w:val="ru-RU"/>
              </w:rPr>
              <w:t>Прочие расходы</w:t>
            </w:r>
          </w:p>
        </w:tc>
        <w:tc>
          <w:tcPr>
            <w:tcW w:w="1073" w:type="pct"/>
            <w:tcBorders>
              <w:top w:val="nil"/>
              <w:left w:val="nil"/>
              <w:bottom w:val="nil"/>
              <w:right w:val="nil"/>
            </w:tcBorders>
            <w:shd w:val="clear" w:color="auto" w:fill="auto"/>
            <w:noWrap/>
            <w:vAlign w:val="bottom"/>
            <w:hideMark/>
          </w:tcPr>
          <w:p w14:paraId="05CDD530" w14:textId="77777777" w:rsidR="002E1F5B" w:rsidRPr="00CA4C14" w:rsidRDefault="002E1F5B" w:rsidP="00B772C9">
            <w:pPr>
              <w:pStyle w:val="Tabletext"/>
              <w:jc w:val="right"/>
              <w:rPr>
                <w:lang w:val="ru-RU"/>
              </w:rPr>
            </w:pPr>
            <w:r w:rsidRPr="00CA4C14">
              <w:rPr>
                <w:lang w:val="ru-RU"/>
              </w:rPr>
              <w:t>1 808</w:t>
            </w:r>
          </w:p>
        </w:tc>
        <w:tc>
          <w:tcPr>
            <w:tcW w:w="1073" w:type="pct"/>
            <w:tcBorders>
              <w:top w:val="nil"/>
              <w:left w:val="nil"/>
              <w:bottom w:val="nil"/>
              <w:right w:val="nil"/>
            </w:tcBorders>
            <w:shd w:val="clear" w:color="000000" w:fill="auto"/>
            <w:noWrap/>
            <w:vAlign w:val="bottom"/>
            <w:hideMark/>
          </w:tcPr>
          <w:p w14:paraId="447854F9" w14:textId="77777777" w:rsidR="002E1F5B" w:rsidRPr="00CA4C14" w:rsidRDefault="002E1F5B" w:rsidP="00B772C9">
            <w:pPr>
              <w:pStyle w:val="Tabletext"/>
              <w:jc w:val="right"/>
              <w:rPr>
                <w:lang w:val="ru-RU"/>
              </w:rPr>
            </w:pPr>
            <w:r w:rsidRPr="00CA4C14">
              <w:rPr>
                <w:lang w:val="ru-RU"/>
              </w:rPr>
              <w:t>122</w:t>
            </w:r>
          </w:p>
        </w:tc>
      </w:tr>
      <w:tr w:rsidR="002E1F5B" w:rsidRPr="00CA4C14" w14:paraId="5B630ED5" w14:textId="77777777" w:rsidTr="00922DE4">
        <w:trPr>
          <w:jc w:val="center"/>
        </w:trPr>
        <w:tc>
          <w:tcPr>
            <w:tcW w:w="2854" w:type="pct"/>
            <w:tcBorders>
              <w:top w:val="nil"/>
              <w:left w:val="nil"/>
              <w:bottom w:val="nil"/>
              <w:right w:val="nil"/>
            </w:tcBorders>
            <w:shd w:val="clear" w:color="000000" w:fill="0070C0"/>
            <w:noWrap/>
            <w:vAlign w:val="center"/>
            <w:hideMark/>
          </w:tcPr>
          <w:p w14:paraId="34C057A0" w14:textId="77777777" w:rsidR="002E1F5B" w:rsidRPr="00CA4C14" w:rsidRDefault="002E1F5B" w:rsidP="00B772C9">
            <w:pPr>
              <w:pStyle w:val="Tabletext"/>
              <w:rPr>
                <w:b/>
                <w:bCs/>
                <w:lang w:val="ru-RU"/>
              </w:rPr>
            </w:pPr>
            <w:r w:rsidRPr="00CA4C14">
              <w:rPr>
                <w:b/>
                <w:bCs/>
                <w:lang w:val="ru-RU"/>
              </w:rPr>
              <w:t>Всего − Затраты, не связанные с персоналом</w:t>
            </w:r>
          </w:p>
        </w:tc>
        <w:tc>
          <w:tcPr>
            <w:tcW w:w="1073" w:type="pct"/>
            <w:tcBorders>
              <w:top w:val="nil"/>
              <w:left w:val="nil"/>
              <w:bottom w:val="nil"/>
              <w:right w:val="nil"/>
            </w:tcBorders>
            <w:shd w:val="clear" w:color="000000" w:fill="0070C0"/>
            <w:noWrap/>
            <w:vAlign w:val="center"/>
            <w:hideMark/>
          </w:tcPr>
          <w:p w14:paraId="51EE61ED" w14:textId="77777777" w:rsidR="002E1F5B" w:rsidRPr="00CA4C14" w:rsidRDefault="002E1F5B" w:rsidP="00B772C9">
            <w:pPr>
              <w:pStyle w:val="Tabletext"/>
              <w:jc w:val="right"/>
              <w:rPr>
                <w:b/>
                <w:bCs/>
                <w:lang w:val="ru-RU"/>
              </w:rPr>
            </w:pPr>
            <w:r w:rsidRPr="00CA4C14">
              <w:rPr>
                <w:b/>
                <w:bCs/>
                <w:lang w:val="ru-RU"/>
              </w:rPr>
              <w:t>46 437</w:t>
            </w:r>
          </w:p>
        </w:tc>
        <w:tc>
          <w:tcPr>
            <w:tcW w:w="1073" w:type="pct"/>
            <w:tcBorders>
              <w:top w:val="nil"/>
              <w:left w:val="nil"/>
              <w:bottom w:val="nil"/>
              <w:right w:val="nil"/>
            </w:tcBorders>
            <w:shd w:val="clear" w:color="000000" w:fill="0070C0"/>
            <w:noWrap/>
            <w:vAlign w:val="center"/>
            <w:hideMark/>
          </w:tcPr>
          <w:p w14:paraId="412FA1E8" w14:textId="77777777" w:rsidR="002E1F5B" w:rsidRPr="00CA4C14" w:rsidRDefault="002E1F5B" w:rsidP="00B772C9">
            <w:pPr>
              <w:pStyle w:val="Tabletext"/>
              <w:jc w:val="right"/>
              <w:rPr>
                <w:b/>
                <w:bCs/>
                <w:lang w:val="ru-RU"/>
              </w:rPr>
            </w:pPr>
            <w:r w:rsidRPr="00CA4C14">
              <w:rPr>
                <w:b/>
                <w:bCs/>
                <w:lang w:val="ru-RU"/>
              </w:rPr>
              <w:t>43 296</w:t>
            </w:r>
          </w:p>
        </w:tc>
      </w:tr>
    </w:tbl>
    <w:p w14:paraId="705FFAA2" w14:textId="77777777" w:rsidR="002E1F5B" w:rsidRPr="00CA4C14" w:rsidRDefault="002E1F5B" w:rsidP="000802E0">
      <w:pPr>
        <w:rPr>
          <w:rFonts w:eastAsia="Calibri"/>
          <w:lang w:val="ru-RU"/>
        </w:rPr>
        <w:sectPr w:rsidR="002E1F5B" w:rsidRPr="00CA4C14" w:rsidSect="002860BD">
          <w:headerReference w:type="default" r:id="rId31"/>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pPr>
    </w:p>
    <w:p w14:paraId="230234F5" w14:textId="77777777" w:rsidR="002E1F5B" w:rsidRPr="00CA4C14" w:rsidRDefault="002E1F5B" w:rsidP="00922DE4">
      <w:pPr>
        <w:pStyle w:val="Heading5"/>
        <w:spacing w:before="0"/>
        <w:rPr>
          <w:lang w:val="ru-RU"/>
        </w:rPr>
      </w:pPr>
      <w:bookmarkStart w:id="465" w:name="_Toc305764117"/>
      <w:bookmarkStart w:id="466" w:name="_Toc329011659"/>
      <w:bookmarkStart w:id="467" w:name="_Toc237032957"/>
      <w:bookmarkStart w:id="468" w:name="_Toc164845572"/>
      <w:bookmarkStart w:id="469" w:name="_Toc168578486"/>
      <w:r w:rsidRPr="00CA4C14">
        <w:rPr>
          <w:lang w:val="ru-RU"/>
        </w:rPr>
        <w:lastRenderedPageBreak/>
        <w:t>Примечание 23</w:t>
      </w:r>
      <w:r w:rsidRPr="00CA4C14">
        <w:rPr>
          <w:lang w:val="ru-RU"/>
        </w:rPr>
        <w:tab/>
        <w:t>Информация по сегментам – Отчет о результатах финансовой деятельности за 2023 год</w:t>
      </w:r>
      <w:bookmarkEnd w:id="465"/>
      <w:bookmarkEnd w:id="466"/>
      <w:bookmarkEnd w:id="467"/>
      <w:bookmarkEnd w:id="468"/>
      <w:bookmarkEnd w:id="469"/>
    </w:p>
    <w:tbl>
      <w:tblPr>
        <w:tblW w:w="5000" w:type="pct"/>
        <w:tblLayout w:type="fixed"/>
        <w:tblCellMar>
          <w:left w:w="85" w:type="dxa"/>
          <w:right w:w="85" w:type="dxa"/>
        </w:tblCellMar>
        <w:tblLook w:val="04A0" w:firstRow="1" w:lastRow="0" w:firstColumn="1" w:lastColumn="0" w:noHBand="0" w:noVBand="1"/>
      </w:tblPr>
      <w:tblGrid>
        <w:gridCol w:w="4252"/>
        <w:gridCol w:w="1139"/>
        <w:gridCol w:w="918"/>
        <w:gridCol w:w="918"/>
        <w:gridCol w:w="921"/>
        <w:gridCol w:w="1259"/>
        <w:gridCol w:w="923"/>
        <w:gridCol w:w="883"/>
        <w:gridCol w:w="1189"/>
        <w:gridCol w:w="1136"/>
        <w:gridCol w:w="1028"/>
      </w:tblGrid>
      <w:tr w:rsidR="002E1F5B" w:rsidRPr="00CA4C14" w14:paraId="6B175FB9" w14:textId="77777777" w:rsidTr="00922DE4">
        <w:tc>
          <w:tcPr>
            <w:tcW w:w="1460" w:type="pct"/>
            <w:tcBorders>
              <w:top w:val="nil"/>
              <w:left w:val="nil"/>
              <w:bottom w:val="nil"/>
              <w:right w:val="nil"/>
            </w:tcBorders>
            <w:shd w:val="clear" w:color="000000" w:fill="0070C0"/>
            <w:noWrap/>
            <w:vAlign w:val="center"/>
            <w:hideMark/>
          </w:tcPr>
          <w:p w14:paraId="26B66F73" w14:textId="77777777" w:rsidR="002E1F5B" w:rsidRPr="00CA4C14" w:rsidRDefault="002E1F5B" w:rsidP="002E1F5B">
            <w:pPr>
              <w:pStyle w:val="Tablehead"/>
              <w:ind w:left="-57" w:right="-57"/>
              <w:rPr>
                <w:lang w:val="ru-RU" w:eastAsia="en-GB"/>
              </w:rPr>
            </w:pPr>
            <w:r w:rsidRPr="00CA4C14">
              <w:rPr>
                <w:szCs w:val="18"/>
                <w:lang w:val="ru-RU" w:eastAsia="en-GB"/>
              </w:rPr>
              <w:t>Описание (тыс. шв. фр.)</w:t>
            </w:r>
          </w:p>
        </w:tc>
        <w:tc>
          <w:tcPr>
            <w:tcW w:w="391" w:type="pct"/>
            <w:tcBorders>
              <w:top w:val="nil"/>
              <w:left w:val="nil"/>
              <w:bottom w:val="nil"/>
              <w:right w:val="nil"/>
            </w:tcBorders>
            <w:shd w:val="clear" w:color="000000" w:fill="0070C0"/>
            <w:vAlign w:val="center"/>
            <w:hideMark/>
          </w:tcPr>
          <w:p w14:paraId="3FDE5D74" w14:textId="77777777" w:rsidR="002E1F5B" w:rsidRPr="00CA4C14" w:rsidRDefault="002E1F5B" w:rsidP="002E1F5B">
            <w:pPr>
              <w:pStyle w:val="Tablehead"/>
              <w:ind w:left="-57" w:right="-57"/>
              <w:rPr>
                <w:lang w:val="ru-RU" w:eastAsia="en-GB"/>
              </w:rPr>
            </w:pPr>
            <w:r w:rsidRPr="00CA4C14">
              <w:rPr>
                <w:lang w:val="ru-RU" w:eastAsia="en-GB"/>
              </w:rPr>
              <w:t>Генеральный секретариат</w:t>
            </w:r>
          </w:p>
        </w:tc>
        <w:tc>
          <w:tcPr>
            <w:tcW w:w="315" w:type="pct"/>
            <w:tcBorders>
              <w:top w:val="nil"/>
              <w:left w:val="nil"/>
              <w:bottom w:val="nil"/>
              <w:right w:val="nil"/>
            </w:tcBorders>
            <w:shd w:val="clear" w:color="000000" w:fill="0070C0"/>
            <w:vAlign w:val="center"/>
            <w:hideMark/>
          </w:tcPr>
          <w:p w14:paraId="50B3FA57" w14:textId="77777777" w:rsidR="002E1F5B" w:rsidRPr="00CA4C14" w:rsidRDefault="002E1F5B" w:rsidP="002E1F5B">
            <w:pPr>
              <w:pStyle w:val="Tablehead"/>
              <w:ind w:left="-57" w:right="-57"/>
              <w:rPr>
                <w:lang w:val="ru-RU" w:eastAsia="en-GB"/>
              </w:rPr>
            </w:pPr>
            <w:r w:rsidRPr="00CA4C14">
              <w:rPr>
                <w:lang w:val="ru-RU" w:eastAsia="en-GB"/>
              </w:rPr>
              <w:t>МСЭ-R</w:t>
            </w:r>
          </w:p>
        </w:tc>
        <w:tc>
          <w:tcPr>
            <w:tcW w:w="315" w:type="pct"/>
            <w:tcBorders>
              <w:top w:val="nil"/>
              <w:left w:val="nil"/>
              <w:bottom w:val="nil"/>
              <w:right w:val="nil"/>
            </w:tcBorders>
            <w:shd w:val="clear" w:color="000000" w:fill="0070C0"/>
            <w:vAlign w:val="center"/>
            <w:hideMark/>
          </w:tcPr>
          <w:p w14:paraId="2397B539" w14:textId="77777777" w:rsidR="002E1F5B" w:rsidRPr="00CA4C14" w:rsidRDefault="002E1F5B" w:rsidP="002E1F5B">
            <w:pPr>
              <w:pStyle w:val="Tablehead"/>
              <w:ind w:left="-57" w:right="-57"/>
              <w:rPr>
                <w:lang w:val="ru-RU" w:eastAsia="en-GB"/>
              </w:rPr>
            </w:pPr>
            <w:r w:rsidRPr="00CA4C14">
              <w:rPr>
                <w:lang w:val="ru-RU" w:eastAsia="en-GB"/>
              </w:rPr>
              <w:t>МСЭ-T</w:t>
            </w:r>
          </w:p>
        </w:tc>
        <w:tc>
          <w:tcPr>
            <w:tcW w:w="316" w:type="pct"/>
            <w:tcBorders>
              <w:top w:val="nil"/>
              <w:left w:val="nil"/>
              <w:bottom w:val="nil"/>
              <w:right w:val="nil"/>
            </w:tcBorders>
            <w:shd w:val="clear" w:color="000000" w:fill="0070C0"/>
            <w:vAlign w:val="center"/>
            <w:hideMark/>
          </w:tcPr>
          <w:p w14:paraId="0E10087A" w14:textId="77777777" w:rsidR="002E1F5B" w:rsidRPr="00CA4C14" w:rsidRDefault="002E1F5B" w:rsidP="002E1F5B">
            <w:pPr>
              <w:pStyle w:val="Tablehead"/>
              <w:ind w:left="-57" w:right="-57"/>
              <w:rPr>
                <w:lang w:val="ru-RU" w:eastAsia="en-GB"/>
              </w:rPr>
            </w:pPr>
            <w:r w:rsidRPr="00CA4C14">
              <w:rPr>
                <w:lang w:val="ru-RU" w:eastAsia="en-GB"/>
              </w:rPr>
              <w:t>МСЭ-D</w:t>
            </w:r>
          </w:p>
        </w:tc>
        <w:tc>
          <w:tcPr>
            <w:tcW w:w="432" w:type="pct"/>
            <w:tcBorders>
              <w:top w:val="nil"/>
              <w:left w:val="nil"/>
              <w:bottom w:val="nil"/>
              <w:right w:val="nil"/>
            </w:tcBorders>
            <w:shd w:val="clear" w:color="000000" w:fill="0070C0"/>
            <w:vAlign w:val="center"/>
            <w:hideMark/>
          </w:tcPr>
          <w:p w14:paraId="1821EFB6" w14:textId="77777777" w:rsidR="002E1F5B" w:rsidRPr="00CA4C14" w:rsidRDefault="002E1F5B" w:rsidP="002E1F5B">
            <w:pPr>
              <w:pStyle w:val="Tablehead"/>
              <w:ind w:left="-57" w:right="-57"/>
              <w:rPr>
                <w:lang w:val="ru-RU" w:eastAsia="en-GB"/>
              </w:rPr>
            </w:pPr>
            <w:r w:rsidRPr="00CA4C14">
              <w:rPr>
                <w:lang w:val="ru-RU" w:eastAsia="en-GB"/>
              </w:rPr>
              <w:t>Общий объем средств регулярного бюджета</w:t>
            </w:r>
          </w:p>
        </w:tc>
        <w:tc>
          <w:tcPr>
            <w:tcW w:w="317" w:type="pct"/>
            <w:tcBorders>
              <w:top w:val="nil"/>
              <w:left w:val="nil"/>
              <w:bottom w:val="nil"/>
              <w:right w:val="nil"/>
            </w:tcBorders>
            <w:shd w:val="clear" w:color="000000" w:fill="0070C0"/>
            <w:vAlign w:val="center"/>
            <w:hideMark/>
          </w:tcPr>
          <w:p w14:paraId="68F5E637" w14:textId="77777777" w:rsidR="002E1F5B" w:rsidRPr="00CA4C14" w:rsidRDefault="002E1F5B" w:rsidP="002E1F5B">
            <w:pPr>
              <w:pStyle w:val="Tablehead"/>
              <w:ind w:left="-57" w:right="-57"/>
              <w:rPr>
                <w:lang w:val="ru-RU" w:eastAsia="en-GB"/>
              </w:rPr>
            </w:pPr>
            <w:r w:rsidRPr="00CA4C14">
              <w:rPr>
                <w:lang w:val="ru-RU" w:eastAsia="en-GB"/>
              </w:rPr>
              <w:t>Средства на новое здание</w:t>
            </w:r>
          </w:p>
        </w:tc>
        <w:tc>
          <w:tcPr>
            <w:tcW w:w="303" w:type="pct"/>
            <w:tcBorders>
              <w:top w:val="nil"/>
              <w:left w:val="nil"/>
              <w:bottom w:val="nil"/>
              <w:right w:val="nil"/>
            </w:tcBorders>
            <w:shd w:val="clear" w:color="000000" w:fill="0070C0"/>
            <w:vAlign w:val="center"/>
            <w:hideMark/>
          </w:tcPr>
          <w:p w14:paraId="3C8DC8A9" w14:textId="36826138" w:rsidR="002E1F5B" w:rsidRPr="00CA4C14" w:rsidRDefault="002E1F5B" w:rsidP="002E1F5B">
            <w:pPr>
              <w:pStyle w:val="Tablehead"/>
              <w:ind w:left="-57" w:right="-57"/>
              <w:rPr>
                <w:lang w:val="ru-RU" w:eastAsia="en-GB"/>
              </w:rPr>
            </w:pPr>
            <w:r w:rsidRPr="00CA4C14">
              <w:rPr>
                <w:lang w:val="ru-RU" w:eastAsia="en-GB"/>
              </w:rPr>
              <w:t>Фонды SS&amp;B</w:t>
            </w:r>
          </w:p>
        </w:tc>
        <w:tc>
          <w:tcPr>
            <w:tcW w:w="408" w:type="pct"/>
            <w:tcBorders>
              <w:top w:val="nil"/>
              <w:left w:val="nil"/>
              <w:bottom w:val="nil"/>
              <w:right w:val="nil"/>
            </w:tcBorders>
            <w:shd w:val="clear" w:color="000000" w:fill="0070C0"/>
            <w:vAlign w:val="center"/>
            <w:hideMark/>
          </w:tcPr>
          <w:p w14:paraId="2657DED4" w14:textId="067ED0DD" w:rsidR="002E1F5B" w:rsidRPr="00CA4C14" w:rsidRDefault="002E1F5B" w:rsidP="002E1F5B">
            <w:pPr>
              <w:pStyle w:val="Tablehead"/>
              <w:ind w:left="-57" w:right="-57"/>
              <w:rPr>
                <w:lang w:val="ru-RU" w:eastAsia="en-GB"/>
              </w:rPr>
            </w:pPr>
            <w:r w:rsidRPr="00CA4C14">
              <w:rPr>
                <w:lang w:val="ru-RU" w:eastAsia="en-GB"/>
              </w:rPr>
              <w:t xml:space="preserve">Общий объем </w:t>
            </w:r>
            <w:proofErr w:type="spellStart"/>
            <w:r w:rsidRPr="00CA4C14">
              <w:rPr>
                <w:lang w:val="ru-RU" w:eastAsia="en-GB"/>
              </w:rPr>
              <w:t>внебюджет-ных</w:t>
            </w:r>
            <w:proofErr w:type="spellEnd"/>
            <w:r w:rsidRPr="00CA4C14">
              <w:rPr>
                <w:lang w:val="ru-RU" w:eastAsia="en-GB"/>
              </w:rPr>
              <w:t xml:space="preserve"> средств</w:t>
            </w:r>
          </w:p>
        </w:tc>
        <w:tc>
          <w:tcPr>
            <w:tcW w:w="390" w:type="pct"/>
            <w:tcBorders>
              <w:top w:val="nil"/>
              <w:left w:val="nil"/>
              <w:bottom w:val="nil"/>
              <w:right w:val="nil"/>
            </w:tcBorders>
            <w:shd w:val="clear" w:color="000000" w:fill="0070C0"/>
            <w:vAlign w:val="center"/>
            <w:hideMark/>
          </w:tcPr>
          <w:p w14:paraId="140C1FEB" w14:textId="03E4F567" w:rsidR="002E1F5B" w:rsidRPr="00CA4C14" w:rsidRDefault="002E1F5B" w:rsidP="002E1F5B">
            <w:pPr>
              <w:pStyle w:val="Tablehead"/>
              <w:ind w:left="-57" w:right="-57"/>
              <w:rPr>
                <w:lang w:val="ru-RU" w:eastAsia="en-GB"/>
              </w:rPr>
            </w:pPr>
            <w:proofErr w:type="spellStart"/>
            <w:r w:rsidRPr="00CA4C14">
              <w:rPr>
                <w:lang w:val="ru-RU" w:eastAsia="en-GB"/>
              </w:rPr>
              <w:t>Межсег-ментное</w:t>
            </w:r>
            <w:proofErr w:type="spellEnd"/>
            <w:r w:rsidRPr="00CA4C14">
              <w:rPr>
                <w:lang w:val="ru-RU" w:eastAsia="en-GB"/>
              </w:rPr>
              <w:t xml:space="preserve"> исключение</w:t>
            </w:r>
          </w:p>
        </w:tc>
        <w:tc>
          <w:tcPr>
            <w:tcW w:w="353" w:type="pct"/>
            <w:tcBorders>
              <w:top w:val="nil"/>
              <w:left w:val="nil"/>
              <w:bottom w:val="nil"/>
              <w:right w:val="nil"/>
            </w:tcBorders>
            <w:shd w:val="clear" w:color="000000" w:fill="0070C0"/>
            <w:vAlign w:val="center"/>
            <w:hideMark/>
          </w:tcPr>
          <w:p w14:paraId="303136FD" w14:textId="77777777" w:rsidR="002E1F5B" w:rsidRPr="00CA4C14" w:rsidRDefault="002E1F5B" w:rsidP="002E1F5B">
            <w:pPr>
              <w:pStyle w:val="Tablehead"/>
              <w:ind w:left="-57" w:right="-57"/>
              <w:rPr>
                <w:lang w:val="ru-RU" w:eastAsia="en-GB"/>
              </w:rPr>
            </w:pPr>
            <w:r w:rsidRPr="00CA4C14">
              <w:rPr>
                <w:lang w:val="ru-RU" w:eastAsia="en-GB"/>
              </w:rPr>
              <w:t>Всего</w:t>
            </w:r>
          </w:p>
        </w:tc>
      </w:tr>
      <w:tr w:rsidR="002E1F5B" w:rsidRPr="00CA4C14" w14:paraId="3F498B46" w14:textId="77777777" w:rsidTr="00922DE4">
        <w:tc>
          <w:tcPr>
            <w:tcW w:w="1460" w:type="pct"/>
            <w:tcBorders>
              <w:top w:val="nil"/>
              <w:left w:val="nil"/>
              <w:bottom w:val="nil"/>
              <w:right w:val="nil"/>
            </w:tcBorders>
            <w:shd w:val="clear" w:color="auto" w:fill="auto"/>
            <w:noWrap/>
            <w:hideMark/>
          </w:tcPr>
          <w:p w14:paraId="7AC037E9" w14:textId="77777777" w:rsidR="002E1F5B" w:rsidRPr="00CA4C14" w:rsidRDefault="002E1F5B" w:rsidP="00B772C9">
            <w:pPr>
              <w:pStyle w:val="Tabletext"/>
              <w:rPr>
                <w:b/>
                <w:bCs/>
                <w:lang w:val="ru-RU" w:eastAsia="en-GB"/>
              </w:rPr>
            </w:pPr>
            <w:r w:rsidRPr="00CA4C14">
              <w:rPr>
                <w:b/>
                <w:bCs/>
                <w:lang w:val="ru-RU" w:eastAsia="en-GB"/>
              </w:rPr>
              <w:t>ДОХОДЫ</w:t>
            </w:r>
          </w:p>
        </w:tc>
        <w:tc>
          <w:tcPr>
            <w:tcW w:w="391" w:type="pct"/>
            <w:tcBorders>
              <w:top w:val="nil"/>
              <w:left w:val="nil"/>
              <w:bottom w:val="nil"/>
              <w:right w:val="nil"/>
            </w:tcBorders>
            <w:shd w:val="clear" w:color="auto" w:fill="auto"/>
            <w:noWrap/>
            <w:vAlign w:val="bottom"/>
            <w:hideMark/>
          </w:tcPr>
          <w:p w14:paraId="3B2DE1A7" w14:textId="77777777" w:rsidR="002E1F5B" w:rsidRPr="00CA4C14" w:rsidRDefault="002E1F5B" w:rsidP="00B772C9">
            <w:pPr>
              <w:pStyle w:val="Tabletext"/>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6A368ED2" w14:textId="77777777" w:rsidR="002E1F5B" w:rsidRPr="00CA4C14" w:rsidRDefault="002E1F5B" w:rsidP="00B772C9">
            <w:pPr>
              <w:pStyle w:val="Tabletext"/>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4A11EF3F" w14:textId="77777777" w:rsidR="002E1F5B" w:rsidRPr="00CA4C14" w:rsidRDefault="002E1F5B" w:rsidP="00B772C9">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hideMark/>
          </w:tcPr>
          <w:p w14:paraId="2D141F60" w14:textId="77777777" w:rsidR="002E1F5B" w:rsidRPr="00CA4C14" w:rsidRDefault="002E1F5B" w:rsidP="00B772C9">
            <w:pPr>
              <w:pStyle w:val="Tabletext"/>
              <w:jc w:val="right"/>
              <w:rPr>
                <w:rFonts w:ascii="Times New Roman" w:hAnsi="Times New Roman"/>
                <w:lang w:val="ru-RU" w:eastAsia="en-GB"/>
              </w:rPr>
            </w:pPr>
          </w:p>
        </w:tc>
        <w:tc>
          <w:tcPr>
            <w:tcW w:w="432" w:type="pct"/>
            <w:tcBorders>
              <w:top w:val="nil"/>
              <w:left w:val="nil"/>
              <w:bottom w:val="nil"/>
              <w:right w:val="nil"/>
            </w:tcBorders>
            <w:shd w:val="clear" w:color="auto" w:fill="auto"/>
            <w:noWrap/>
            <w:vAlign w:val="bottom"/>
            <w:hideMark/>
          </w:tcPr>
          <w:p w14:paraId="78047765" w14:textId="77777777" w:rsidR="002E1F5B" w:rsidRPr="00CA4C14" w:rsidRDefault="002E1F5B" w:rsidP="00B772C9">
            <w:pPr>
              <w:pStyle w:val="Tabletext"/>
              <w:jc w:val="right"/>
              <w:rPr>
                <w:rFonts w:ascii="Times New Roman" w:hAnsi="Times New Roman"/>
                <w:lang w:val="ru-RU" w:eastAsia="en-GB"/>
              </w:rPr>
            </w:pPr>
          </w:p>
        </w:tc>
        <w:tc>
          <w:tcPr>
            <w:tcW w:w="317" w:type="pct"/>
            <w:tcBorders>
              <w:top w:val="nil"/>
              <w:left w:val="nil"/>
              <w:bottom w:val="nil"/>
              <w:right w:val="nil"/>
            </w:tcBorders>
            <w:shd w:val="clear" w:color="auto" w:fill="auto"/>
            <w:noWrap/>
            <w:vAlign w:val="bottom"/>
            <w:hideMark/>
          </w:tcPr>
          <w:p w14:paraId="5E654F82" w14:textId="77777777" w:rsidR="002E1F5B" w:rsidRPr="00CA4C14" w:rsidRDefault="002E1F5B" w:rsidP="00B772C9">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hideMark/>
          </w:tcPr>
          <w:p w14:paraId="6FA804C4"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1BCBCB8A" w14:textId="77777777" w:rsidR="002E1F5B" w:rsidRPr="00CA4C14" w:rsidRDefault="002E1F5B" w:rsidP="00B772C9">
            <w:pPr>
              <w:pStyle w:val="Tabletext"/>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744C3C2E" w14:textId="77777777" w:rsidR="002E1F5B" w:rsidRPr="00CA4C14" w:rsidRDefault="002E1F5B" w:rsidP="00B772C9">
            <w:pPr>
              <w:pStyle w:val="Tabletext"/>
              <w:jc w:val="right"/>
              <w:rPr>
                <w:rFonts w:ascii="Times New Roman" w:hAnsi="Times New Roman"/>
                <w:lang w:val="ru-RU" w:eastAsia="en-GB"/>
              </w:rPr>
            </w:pPr>
          </w:p>
        </w:tc>
        <w:tc>
          <w:tcPr>
            <w:tcW w:w="353" w:type="pct"/>
            <w:tcBorders>
              <w:top w:val="nil"/>
              <w:left w:val="nil"/>
              <w:bottom w:val="nil"/>
              <w:right w:val="nil"/>
            </w:tcBorders>
            <w:shd w:val="clear" w:color="auto" w:fill="auto"/>
            <w:noWrap/>
            <w:vAlign w:val="bottom"/>
            <w:hideMark/>
          </w:tcPr>
          <w:p w14:paraId="2BADA2C1" w14:textId="77777777" w:rsidR="002E1F5B" w:rsidRPr="00CA4C14" w:rsidRDefault="002E1F5B" w:rsidP="00B772C9">
            <w:pPr>
              <w:pStyle w:val="Tabletext"/>
              <w:jc w:val="right"/>
              <w:rPr>
                <w:rFonts w:ascii="Times New Roman" w:hAnsi="Times New Roman"/>
                <w:lang w:val="ru-RU" w:eastAsia="en-GB"/>
              </w:rPr>
            </w:pPr>
          </w:p>
        </w:tc>
      </w:tr>
      <w:tr w:rsidR="002E1F5B" w:rsidRPr="00CA4C14" w14:paraId="1615212B" w14:textId="77777777" w:rsidTr="00922DE4">
        <w:tc>
          <w:tcPr>
            <w:tcW w:w="1460" w:type="pct"/>
            <w:tcBorders>
              <w:top w:val="nil"/>
              <w:left w:val="nil"/>
              <w:bottom w:val="nil"/>
              <w:right w:val="nil"/>
            </w:tcBorders>
            <w:shd w:val="clear" w:color="auto" w:fill="auto"/>
            <w:noWrap/>
            <w:hideMark/>
          </w:tcPr>
          <w:p w14:paraId="0370C903" w14:textId="77777777" w:rsidR="002E1F5B" w:rsidRPr="00CA4C14" w:rsidRDefault="002E1F5B" w:rsidP="00B772C9">
            <w:pPr>
              <w:pStyle w:val="Tabletext"/>
              <w:rPr>
                <w:lang w:val="ru-RU" w:eastAsia="en-GB"/>
              </w:rPr>
            </w:pPr>
            <w:r w:rsidRPr="00CA4C14">
              <w:rPr>
                <w:lang w:val="ru-RU"/>
              </w:rPr>
              <w:t>Начисленные взносы</w:t>
            </w:r>
          </w:p>
        </w:tc>
        <w:tc>
          <w:tcPr>
            <w:tcW w:w="391" w:type="pct"/>
            <w:tcBorders>
              <w:top w:val="nil"/>
              <w:left w:val="nil"/>
              <w:bottom w:val="nil"/>
              <w:right w:val="nil"/>
            </w:tcBorders>
            <w:shd w:val="clear" w:color="auto" w:fill="auto"/>
            <w:noWrap/>
            <w:vAlign w:val="bottom"/>
            <w:hideMark/>
          </w:tcPr>
          <w:p w14:paraId="18DC1DA2" w14:textId="77777777" w:rsidR="002E1F5B" w:rsidRPr="00CA4C14" w:rsidRDefault="002E1F5B" w:rsidP="00B772C9">
            <w:pPr>
              <w:pStyle w:val="Tabletext"/>
              <w:jc w:val="right"/>
              <w:rPr>
                <w:lang w:val="ru-RU" w:eastAsia="en-GB"/>
              </w:rPr>
            </w:pPr>
            <w:r w:rsidRPr="00CA4C14">
              <w:rPr>
                <w:lang w:val="ru-RU" w:eastAsia="en-GB"/>
              </w:rPr>
              <w:t>58 048</w:t>
            </w:r>
          </w:p>
        </w:tc>
        <w:tc>
          <w:tcPr>
            <w:tcW w:w="315" w:type="pct"/>
            <w:tcBorders>
              <w:top w:val="nil"/>
              <w:left w:val="nil"/>
              <w:bottom w:val="nil"/>
              <w:right w:val="nil"/>
            </w:tcBorders>
            <w:shd w:val="clear" w:color="auto" w:fill="auto"/>
            <w:noWrap/>
            <w:vAlign w:val="bottom"/>
            <w:hideMark/>
          </w:tcPr>
          <w:p w14:paraId="4F698367" w14:textId="77777777" w:rsidR="002E1F5B" w:rsidRPr="00CA4C14" w:rsidRDefault="002E1F5B" w:rsidP="00B772C9">
            <w:pPr>
              <w:pStyle w:val="Tabletext"/>
              <w:jc w:val="right"/>
              <w:rPr>
                <w:lang w:val="ru-RU" w:eastAsia="en-GB"/>
              </w:rPr>
            </w:pPr>
            <w:r w:rsidRPr="00CA4C14">
              <w:rPr>
                <w:lang w:val="ru-RU" w:eastAsia="en-GB"/>
              </w:rPr>
              <w:t>31 611</w:t>
            </w:r>
          </w:p>
        </w:tc>
        <w:tc>
          <w:tcPr>
            <w:tcW w:w="315" w:type="pct"/>
            <w:tcBorders>
              <w:top w:val="nil"/>
              <w:left w:val="nil"/>
              <w:bottom w:val="nil"/>
              <w:right w:val="nil"/>
            </w:tcBorders>
            <w:shd w:val="clear" w:color="auto" w:fill="auto"/>
            <w:noWrap/>
            <w:vAlign w:val="bottom"/>
            <w:hideMark/>
          </w:tcPr>
          <w:p w14:paraId="1DE2DF0F" w14:textId="77777777" w:rsidR="002E1F5B" w:rsidRPr="00CA4C14" w:rsidRDefault="002E1F5B" w:rsidP="00B772C9">
            <w:pPr>
              <w:pStyle w:val="Tabletext"/>
              <w:jc w:val="right"/>
              <w:rPr>
                <w:lang w:val="ru-RU" w:eastAsia="en-GB"/>
              </w:rPr>
            </w:pPr>
            <w:r w:rsidRPr="00CA4C14">
              <w:rPr>
                <w:lang w:val="ru-RU" w:eastAsia="en-GB"/>
              </w:rPr>
              <w:t>16 893</w:t>
            </w:r>
          </w:p>
        </w:tc>
        <w:tc>
          <w:tcPr>
            <w:tcW w:w="316" w:type="pct"/>
            <w:tcBorders>
              <w:top w:val="nil"/>
              <w:left w:val="nil"/>
              <w:bottom w:val="nil"/>
              <w:right w:val="nil"/>
            </w:tcBorders>
            <w:shd w:val="clear" w:color="auto" w:fill="auto"/>
            <w:noWrap/>
            <w:vAlign w:val="bottom"/>
            <w:hideMark/>
          </w:tcPr>
          <w:p w14:paraId="239417B8" w14:textId="77777777" w:rsidR="002E1F5B" w:rsidRPr="00CA4C14" w:rsidRDefault="002E1F5B" w:rsidP="00B772C9">
            <w:pPr>
              <w:pStyle w:val="Tabletext"/>
              <w:jc w:val="right"/>
              <w:rPr>
                <w:lang w:val="ru-RU" w:eastAsia="en-GB"/>
              </w:rPr>
            </w:pPr>
            <w:r w:rsidRPr="00CA4C14">
              <w:rPr>
                <w:lang w:val="ru-RU" w:eastAsia="en-GB"/>
              </w:rPr>
              <w:t>21 009</w:t>
            </w:r>
          </w:p>
        </w:tc>
        <w:tc>
          <w:tcPr>
            <w:tcW w:w="432" w:type="pct"/>
            <w:tcBorders>
              <w:top w:val="nil"/>
              <w:left w:val="nil"/>
              <w:bottom w:val="nil"/>
              <w:right w:val="nil"/>
            </w:tcBorders>
            <w:shd w:val="clear" w:color="auto" w:fill="auto"/>
            <w:noWrap/>
            <w:vAlign w:val="bottom"/>
            <w:hideMark/>
          </w:tcPr>
          <w:p w14:paraId="035EBC73" w14:textId="77777777" w:rsidR="002E1F5B" w:rsidRPr="00CA4C14" w:rsidRDefault="002E1F5B" w:rsidP="00B772C9">
            <w:pPr>
              <w:pStyle w:val="Tabletext"/>
              <w:jc w:val="right"/>
              <w:rPr>
                <w:b/>
                <w:bCs/>
                <w:lang w:val="ru-RU" w:eastAsia="en-GB"/>
              </w:rPr>
            </w:pPr>
            <w:r w:rsidRPr="00CA4C14">
              <w:rPr>
                <w:b/>
                <w:bCs/>
                <w:lang w:val="ru-RU" w:eastAsia="en-GB"/>
              </w:rPr>
              <w:t>127 562</w:t>
            </w:r>
          </w:p>
        </w:tc>
        <w:tc>
          <w:tcPr>
            <w:tcW w:w="317" w:type="pct"/>
            <w:tcBorders>
              <w:top w:val="nil"/>
              <w:left w:val="nil"/>
              <w:bottom w:val="nil"/>
              <w:right w:val="nil"/>
            </w:tcBorders>
            <w:shd w:val="clear" w:color="auto" w:fill="auto"/>
            <w:noWrap/>
            <w:vAlign w:val="bottom"/>
            <w:hideMark/>
          </w:tcPr>
          <w:p w14:paraId="647029A5"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3DFA7CAD"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4D8DDB9A" w14:textId="77777777" w:rsidR="002E1F5B" w:rsidRPr="00CA4C14" w:rsidRDefault="002E1F5B" w:rsidP="00B772C9">
            <w:pPr>
              <w:pStyle w:val="Tabletext"/>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562E8C38" w14:textId="77777777" w:rsidR="002E1F5B" w:rsidRPr="00CA4C14" w:rsidRDefault="002E1F5B" w:rsidP="00B772C9">
            <w:pPr>
              <w:pStyle w:val="Tabletext"/>
              <w:jc w:val="right"/>
              <w:rPr>
                <w:rFonts w:ascii="Times New Roman" w:hAnsi="Times New Roman"/>
                <w:lang w:val="ru-RU" w:eastAsia="en-GB"/>
              </w:rPr>
            </w:pPr>
          </w:p>
        </w:tc>
        <w:tc>
          <w:tcPr>
            <w:tcW w:w="353" w:type="pct"/>
            <w:tcBorders>
              <w:top w:val="nil"/>
              <w:left w:val="nil"/>
              <w:bottom w:val="nil"/>
              <w:right w:val="nil"/>
            </w:tcBorders>
            <w:shd w:val="clear" w:color="auto" w:fill="auto"/>
            <w:noWrap/>
            <w:vAlign w:val="bottom"/>
            <w:hideMark/>
          </w:tcPr>
          <w:p w14:paraId="52C6220D"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127 562</w:t>
            </w:r>
          </w:p>
        </w:tc>
      </w:tr>
      <w:tr w:rsidR="002E1F5B" w:rsidRPr="00CA4C14" w14:paraId="15BF6A57" w14:textId="77777777" w:rsidTr="00922DE4">
        <w:tc>
          <w:tcPr>
            <w:tcW w:w="1460" w:type="pct"/>
            <w:tcBorders>
              <w:top w:val="nil"/>
              <w:left w:val="nil"/>
              <w:bottom w:val="nil"/>
              <w:right w:val="nil"/>
            </w:tcBorders>
            <w:shd w:val="clear" w:color="auto" w:fill="auto"/>
            <w:noWrap/>
            <w:hideMark/>
          </w:tcPr>
          <w:p w14:paraId="43A63D4C" w14:textId="77777777" w:rsidR="002E1F5B" w:rsidRPr="00CA4C14" w:rsidRDefault="002E1F5B" w:rsidP="00B772C9">
            <w:pPr>
              <w:pStyle w:val="Tabletext"/>
              <w:rPr>
                <w:lang w:val="ru-RU" w:eastAsia="en-GB"/>
              </w:rPr>
            </w:pPr>
            <w:r w:rsidRPr="00CA4C14">
              <w:rPr>
                <w:lang w:val="ru-RU"/>
              </w:rPr>
              <w:t>Внебюджетные взносы</w:t>
            </w:r>
          </w:p>
        </w:tc>
        <w:tc>
          <w:tcPr>
            <w:tcW w:w="391" w:type="pct"/>
            <w:tcBorders>
              <w:top w:val="nil"/>
              <w:left w:val="nil"/>
              <w:bottom w:val="nil"/>
              <w:right w:val="nil"/>
            </w:tcBorders>
            <w:shd w:val="clear" w:color="auto" w:fill="auto"/>
            <w:noWrap/>
            <w:vAlign w:val="bottom"/>
            <w:hideMark/>
          </w:tcPr>
          <w:p w14:paraId="5B8A5BCF" w14:textId="77777777" w:rsidR="002E1F5B" w:rsidRPr="00CA4C14" w:rsidRDefault="002E1F5B" w:rsidP="00B772C9">
            <w:pPr>
              <w:pStyle w:val="Tabletext"/>
              <w:jc w:val="right"/>
              <w:rPr>
                <w:lang w:val="ru-RU" w:eastAsia="en-GB"/>
              </w:rPr>
            </w:pPr>
            <w:r w:rsidRPr="00CA4C14">
              <w:rPr>
                <w:lang w:val="ru-RU" w:eastAsia="en-GB"/>
              </w:rPr>
              <w:t>4</w:t>
            </w:r>
          </w:p>
        </w:tc>
        <w:tc>
          <w:tcPr>
            <w:tcW w:w="315" w:type="pct"/>
            <w:tcBorders>
              <w:top w:val="nil"/>
              <w:left w:val="nil"/>
              <w:bottom w:val="nil"/>
              <w:right w:val="nil"/>
            </w:tcBorders>
            <w:shd w:val="clear" w:color="auto" w:fill="auto"/>
            <w:noWrap/>
            <w:vAlign w:val="bottom"/>
            <w:hideMark/>
          </w:tcPr>
          <w:p w14:paraId="65F0EDD0" w14:textId="77777777" w:rsidR="002E1F5B" w:rsidRPr="00CA4C14" w:rsidRDefault="002E1F5B" w:rsidP="00B772C9">
            <w:pPr>
              <w:pStyle w:val="Tabletext"/>
              <w:jc w:val="right"/>
              <w:rPr>
                <w:lang w:val="ru-RU" w:eastAsia="en-GB"/>
              </w:rPr>
            </w:pPr>
            <w:r w:rsidRPr="00CA4C14">
              <w:rPr>
                <w:lang w:val="ru-RU" w:eastAsia="en-GB"/>
              </w:rPr>
              <w:t>1</w:t>
            </w:r>
          </w:p>
        </w:tc>
        <w:tc>
          <w:tcPr>
            <w:tcW w:w="315" w:type="pct"/>
            <w:tcBorders>
              <w:top w:val="nil"/>
              <w:left w:val="nil"/>
              <w:bottom w:val="nil"/>
              <w:right w:val="nil"/>
            </w:tcBorders>
            <w:shd w:val="clear" w:color="auto" w:fill="auto"/>
            <w:noWrap/>
            <w:vAlign w:val="bottom"/>
            <w:hideMark/>
          </w:tcPr>
          <w:p w14:paraId="66E027B1" w14:textId="77777777" w:rsidR="002E1F5B" w:rsidRPr="00CA4C14" w:rsidRDefault="002E1F5B" w:rsidP="00B772C9">
            <w:pPr>
              <w:pStyle w:val="Tabletext"/>
              <w:jc w:val="right"/>
              <w:rPr>
                <w:lang w:val="ru-RU" w:eastAsia="en-GB"/>
              </w:rPr>
            </w:pPr>
            <w:r w:rsidRPr="00CA4C14">
              <w:rPr>
                <w:lang w:val="ru-RU" w:eastAsia="en-GB"/>
              </w:rPr>
              <w:t>1</w:t>
            </w:r>
          </w:p>
        </w:tc>
        <w:tc>
          <w:tcPr>
            <w:tcW w:w="316" w:type="pct"/>
            <w:tcBorders>
              <w:top w:val="nil"/>
              <w:left w:val="nil"/>
              <w:bottom w:val="nil"/>
              <w:right w:val="nil"/>
            </w:tcBorders>
            <w:shd w:val="clear" w:color="auto" w:fill="auto"/>
            <w:noWrap/>
            <w:vAlign w:val="bottom"/>
            <w:hideMark/>
          </w:tcPr>
          <w:p w14:paraId="405F970E" w14:textId="77777777" w:rsidR="002E1F5B" w:rsidRPr="00CA4C14" w:rsidRDefault="002E1F5B" w:rsidP="00B772C9">
            <w:pPr>
              <w:pStyle w:val="Tabletext"/>
              <w:jc w:val="right"/>
              <w:rPr>
                <w:lang w:val="ru-RU" w:eastAsia="en-GB"/>
              </w:rPr>
            </w:pPr>
            <w:r w:rsidRPr="00CA4C14">
              <w:rPr>
                <w:lang w:val="ru-RU" w:eastAsia="en-GB"/>
              </w:rPr>
              <w:t>192</w:t>
            </w:r>
          </w:p>
        </w:tc>
        <w:tc>
          <w:tcPr>
            <w:tcW w:w="432" w:type="pct"/>
            <w:tcBorders>
              <w:top w:val="nil"/>
              <w:left w:val="nil"/>
              <w:bottom w:val="nil"/>
              <w:right w:val="nil"/>
            </w:tcBorders>
            <w:shd w:val="clear" w:color="auto" w:fill="auto"/>
            <w:noWrap/>
            <w:vAlign w:val="bottom"/>
            <w:hideMark/>
          </w:tcPr>
          <w:p w14:paraId="2E32C130" w14:textId="77777777" w:rsidR="002E1F5B" w:rsidRPr="00CA4C14" w:rsidRDefault="002E1F5B" w:rsidP="00B772C9">
            <w:pPr>
              <w:pStyle w:val="Tabletext"/>
              <w:jc w:val="right"/>
              <w:rPr>
                <w:b/>
                <w:bCs/>
                <w:lang w:val="ru-RU" w:eastAsia="en-GB"/>
              </w:rPr>
            </w:pPr>
            <w:r w:rsidRPr="00CA4C14">
              <w:rPr>
                <w:b/>
                <w:bCs/>
                <w:lang w:val="ru-RU" w:eastAsia="en-GB"/>
              </w:rPr>
              <w:t>198</w:t>
            </w:r>
          </w:p>
        </w:tc>
        <w:tc>
          <w:tcPr>
            <w:tcW w:w="317" w:type="pct"/>
            <w:tcBorders>
              <w:top w:val="nil"/>
              <w:left w:val="nil"/>
              <w:bottom w:val="nil"/>
              <w:right w:val="nil"/>
            </w:tcBorders>
            <w:shd w:val="clear" w:color="auto" w:fill="auto"/>
            <w:noWrap/>
            <w:vAlign w:val="bottom"/>
            <w:hideMark/>
          </w:tcPr>
          <w:p w14:paraId="6C2A24C1"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27D0E38C"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13B626D6" w14:textId="77777777" w:rsidR="002E1F5B" w:rsidRPr="00CA4C14" w:rsidRDefault="002E1F5B" w:rsidP="00B772C9">
            <w:pPr>
              <w:pStyle w:val="Tabletext"/>
              <w:jc w:val="right"/>
              <w:rPr>
                <w:lang w:val="ru-RU" w:eastAsia="en-GB"/>
              </w:rPr>
            </w:pPr>
            <w:r w:rsidRPr="00CA4C14">
              <w:rPr>
                <w:lang w:val="ru-RU" w:eastAsia="en-GB"/>
              </w:rPr>
              <w:t>18 754</w:t>
            </w:r>
          </w:p>
        </w:tc>
        <w:tc>
          <w:tcPr>
            <w:tcW w:w="390" w:type="pct"/>
            <w:tcBorders>
              <w:top w:val="nil"/>
              <w:left w:val="nil"/>
              <w:bottom w:val="nil"/>
              <w:right w:val="nil"/>
            </w:tcBorders>
            <w:shd w:val="clear" w:color="auto" w:fill="auto"/>
            <w:noWrap/>
            <w:vAlign w:val="bottom"/>
            <w:hideMark/>
          </w:tcPr>
          <w:p w14:paraId="4DFCA354"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7012A135"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18 952</w:t>
            </w:r>
          </w:p>
        </w:tc>
      </w:tr>
      <w:tr w:rsidR="002E1F5B" w:rsidRPr="00CA4C14" w14:paraId="41EC5447" w14:textId="77777777" w:rsidTr="00922DE4">
        <w:tc>
          <w:tcPr>
            <w:tcW w:w="1460" w:type="pct"/>
            <w:tcBorders>
              <w:top w:val="nil"/>
              <w:left w:val="nil"/>
              <w:bottom w:val="nil"/>
              <w:right w:val="nil"/>
            </w:tcBorders>
            <w:shd w:val="clear" w:color="auto" w:fill="auto"/>
            <w:noWrap/>
            <w:hideMark/>
          </w:tcPr>
          <w:p w14:paraId="6B5F3749" w14:textId="77777777" w:rsidR="002E1F5B" w:rsidRPr="00CA4C14" w:rsidRDefault="002E1F5B" w:rsidP="00B772C9">
            <w:pPr>
              <w:pStyle w:val="Tabletext"/>
              <w:rPr>
                <w:i/>
                <w:iCs/>
                <w:lang w:val="ru-RU" w:eastAsia="en-GB"/>
              </w:rPr>
            </w:pPr>
            <w:r w:rsidRPr="00CA4C14">
              <w:rPr>
                <w:i/>
                <w:iCs/>
                <w:lang w:val="ru-RU" w:eastAsia="en-GB"/>
              </w:rPr>
              <w:t>Прочие доходы от деятельности</w:t>
            </w:r>
          </w:p>
        </w:tc>
        <w:tc>
          <w:tcPr>
            <w:tcW w:w="391" w:type="pct"/>
            <w:tcBorders>
              <w:top w:val="nil"/>
              <w:left w:val="nil"/>
              <w:bottom w:val="nil"/>
              <w:right w:val="nil"/>
            </w:tcBorders>
            <w:shd w:val="clear" w:color="auto" w:fill="auto"/>
            <w:noWrap/>
            <w:vAlign w:val="bottom"/>
            <w:hideMark/>
          </w:tcPr>
          <w:p w14:paraId="3ED8E7C0" w14:textId="77777777" w:rsidR="002E1F5B" w:rsidRPr="00CA4C14" w:rsidRDefault="002E1F5B" w:rsidP="00B772C9">
            <w:pPr>
              <w:pStyle w:val="Tabletext"/>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223F90E3" w14:textId="77777777" w:rsidR="002E1F5B" w:rsidRPr="00CA4C14" w:rsidRDefault="002E1F5B" w:rsidP="00B772C9">
            <w:pPr>
              <w:pStyle w:val="Tabletext"/>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7BA609A9" w14:textId="77777777" w:rsidR="002E1F5B" w:rsidRPr="00CA4C14" w:rsidRDefault="002E1F5B" w:rsidP="00B772C9">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hideMark/>
          </w:tcPr>
          <w:p w14:paraId="2BCD9740" w14:textId="77777777" w:rsidR="002E1F5B" w:rsidRPr="00CA4C14" w:rsidRDefault="002E1F5B" w:rsidP="00B772C9">
            <w:pPr>
              <w:pStyle w:val="Tabletext"/>
              <w:jc w:val="right"/>
              <w:rPr>
                <w:rFonts w:ascii="Times New Roman" w:hAnsi="Times New Roman"/>
                <w:lang w:val="ru-RU" w:eastAsia="en-GB"/>
              </w:rPr>
            </w:pPr>
          </w:p>
        </w:tc>
        <w:tc>
          <w:tcPr>
            <w:tcW w:w="432" w:type="pct"/>
            <w:tcBorders>
              <w:top w:val="nil"/>
              <w:left w:val="nil"/>
              <w:bottom w:val="nil"/>
              <w:right w:val="nil"/>
            </w:tcBorders>
            <w:shd w:val="clear" w:color="auto" w:fill="auto"/>
            <w:noWrap/>
            <w:vAlign w:val="bottom"/>
            <w:hideMark/>
          </w:tcPr>
          <w:p w14:paraId="093039A9" w14:textId="77777777" w:rsidR="002E1F5B" w:rsidRPr="00CA4C14" w:rsidRDefault="002E1F5B" w:rsidP="00B772C9">
            <w:pPr>
              <w:pStyle w:val="Tabletext"/>
              <w:jc w:val="right"/>
              <w:rPr>
                <w:rFonts w:ascii="Times New Roman" w:hAnsi="Times New Roman"/>
                <w:b/>
                <w:bCs/>
                <w:lang w:val="ru-RU" w:eastAsia="en-GB"/>
              </w:rPr>
            </w:pPr>
          </w:p>
        </w:tc>
        <w:tc>
          <w:tcPr>
            <w:tcW w:w="317" w:type="pct"/>
            <w:tcBorders>
              <w:top w:val="nil"/>
              <w:left w:val="nil"/>
              <w:bottom w:val="nil"/>
              <w:right w:val="nil"/>
            </w:tcBorders>
            <w:shd w:val="clear" w:color="auto" w:fill="auto"/>
            <w:noWrap/>
            <w:vAlign w:val="bottom"/>
            <w:hideMark/>
          </w:tcPr>
          <w:p w14:paraId="1A20BFD8" w14:textId="77777777" w:rsidR="002E1F5B" w:rsidRPr="00CA4C14" w:rsidRDefault="002E1F5B" w:rsidP="00B772C9">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hideMark/>
          </w:tcPr>
          <w:p w14:paraId="756C84D4"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5F309E2B" w14:textId="77777777" w:rsidR="002E1F5B" w:rsidRPr="00CA4C14" w:rsidRDefault="002E1F5B" w:rsidP="00B772C9">
            <w:pPr>
              <w:pStyle w:val="Tabletext"/>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6730B9DA" w14:textId="77777777" w:rsidR="002E1F5B" w:rsidRPr="00CA4C14" w:rsidRDefault="002E1F5B" w:rsidP="00B772C9">
            <w:pPr>
              <w:pStyle w:val="Tabletext"/>
              <w:jc w:val="right"/>
              <w:rPr>
                <w:rFonts w:ascii="Times New Roman" w:hAnsi="Times New Roman"/>
                <w:lang w:val="ru-RU" w:eastAsia="en-GB"/>
              </w:rPr>
            </w:pPr>
          </w:p>
        </w:tc>
        <w:tc>
          <w:tcPr>
            <w:tcW w:w="353" w:type="pct"/>
            <w:tcBorders>
              <w:top w:val="nil"/>
              <w:left w:val="nil"/>
              <w:bottom w:val="nil"/>
              <w:right w:val="nil"/>
            </w:tcBorders>
            <w:shd w:val="clear" w:color="auto" w:fill="auto"/>
            <w:noWrap/>
            <w:vAlign w:val="bottom"/>
            <w:hideMark/>
          </w:tcPr>
          <w:p w14:paraId="5356BF0E" w14:textId="77777777" w:rsidR="002E1F5B" w:rsidRPr="00CA4C14" w:rsidRDefault="002E1F5B" w:rsidP="00B772C9">
            <w:pPr>
              <w:pStyle w:val="Tabletext"/>
              <w:jc w:val="right"/>
              <w:rPr>
                <w:rFonts w:ascii="Times New Roman" w:hAnsi="Times New Roman"/>
                <w:b/>
                <w:bCs/>
                <w:lang w:val="ru-RU" w:eastAsia="en-GB"/>
              </w:rPr>
            </w:pPr>
          </w:p>
        </w:tc>
      </w:tr>
      <w:tr w:rsidR="002E1F5B" w:rsidRPr="00CA4C14" w14:paraId="14DA38D2" w14:textId="77777777" w:rsidTr="00922DE4">
        <w:tc>
          <w:tcPr>
            <w:tcW w:w="1460" w:type="pct"/>
            <w:tcBorders>
              <w:top w:val="nil"/>
              <w:left w:val="nil"/>
              <w:bottom w:val="nil"/>
              <w:right w:val="nil"/>
            </w:tcBorders>
            <w:shd w:val="clear" w:color="auto" w:fill="auto"/>
            <w:noWrap/>
            <w:hideMark/>
          </w:tcPr>
          <w:p w14:paraId="2269F99E" w14:textId="21E18572" w:rsidR="002E1F5B" w:rsidRPr="00CA4C14" w:rsidRDefault="002E1F5B" w:rsidP="00B772C9">
            <w:pPr>
              <w:pStyle w:val="Tabletext"/>
              <w:rPr>
                <w:lang w:val="ru-RU" w:eastAsia="en-GB"/>
              </w:rPr>
            </w:pPr>
            <w:r w:rsidRPr="00CA4C14">
              <w:rPr>
                <w:lang w:val="ru-RU" w:eastAsia="en-GB"/>
              </w:rPr>
              <w:t>−</w:t>
            </w:r>
            <w:r w:rsidRPr="00CA4C14">
              <w:rPr>
                <w:lang w:val="ru-RU" w:eastAsia="en-GB"/>
              </w:rPr>
              <w:tab/>
              <w:t>Публикации</w:t>
            </w:r>
          </w:p>
        </w:tc>
        <w:tc>
          <w:tcPr>
            <w:tcW w:w="391" w:type="pct"/>
            <w:tcBorders>
              <w:top w:val="nil"/>
              <w:left w:val="nil"/>
              <w:bottom w:val="nil"/>
              <w:right w:val="nil"/>
            </w:tcBorders>
            <w:shd w:val="clear" w:color="auto" w:fill="auto"/>
            <w:noWrap/>
            <w:vAlign w:val="bottom"/>
            <w:hideMark/>
          </w:tcPr>
          <w:p w14:paraId="5699E35C" w14:textId="77777777" w:rsidR="002E1F5B" w:rsidRPr="00CA4C14" w:rsidRDefault="002E1F5B" w:rsidP="00B772C9">
            <w:pPr>
              <w:pStyle w:val="Tabletext"/>
              <w:jc w:val="right"/>
              <w:rPr>
                <w:lang w:val="ru-RU" w:eastAsia="en-GB"/>
              </w:rPr>
            </w:pPr>
            <w:r w:rsidRPr="00CA4C14">
              <w:rPr>
                <w:lang w:val="ru-RU" w:eastAsia="en-GB"/>
              </w:rPr>
              <w:t>50</w:t>
            </w:r>
          </w:p>
        </w:tc>
        <w:tc>
          <w:tcPr>
            <w:tcW w:w="315" w:type="pct"/>
            <w:tcBorders>
              <w:top w:val="nil"/>
              <w:left w:val="nil"/>
              <w:bottom w:val="nil"/>
              <w:right w:val="nil"/>
            </w:tcBorders>
            <w:shd w:val="clear" w:color="auto" w:fill="auto"/>
            <w:noWrap/>
            <w:vAlign w:val="bottom"/>
            <w:hideMark/>
          </w:tcPr>
          <w:p w14:paraId="68B42CC4" w14:textId="77777777" w:rsidR="002E1F5B" w:rsidRPr="00CA4C14" w:rsidRDefault="002E1F5B" w:rsidP="00B772C9">
            <w:pPr>
              <w:pStyle w:val="Tabletext"/>
              <w:jc w:val="right"/>
              <w:rPr>
                <w:lang w:val="ru-RU" w:eastAsia="en-GB"/>
              </w:rPr>
            </w:pPr>
            <w:r w:rsidRPr="00CA4C14">
              <w:rPr>
                <w:lang w:val="ru-RU" w:eastAsia="en-GB"/>
              </w:rPr>
              <w:t>16 634</w:t>
            </w:r>
          </w:p>
        </w:tc>
        <w:tc>
          <w:tcPr>
            <w:tcW w:w="315" w:type="pct"/>
            <w:tcBorders>
              <w:top w:val="nil"/>
              <w:left w:val="nil"/>
              <w:bottom w:val="nil"/>
              <w:right w:val="nil"/>
            </w:tcBorders>
            <w:shd w:val="clear" w:color="auto" w:fill="auto"/>
            <w:noWrap/>
            <w:vAlign w:val="bottom"/>
            <w:hideMark/>
          </w:tcPr>
          <w:p w14:paraId="63264E11" w14:textId="77777777" w:rsidR="002E1F5B" w:rsidRPr="00CA4C14" w:rsidRDefault="002E1F5B" w:rsidP="00B772C9">
            <w:pPr>
              <w:pStyle w:val="Tabletext"/>
              <w:jc w:val="right"/>
              <w:rPr>
                <w:lang w:val="ru-RU" w:eastAsia="en-GB"/>
              </w:rPr>
            </w:pPr>
            <w:r w:rsidRPr="00CA4C14">
              <w:rPr>
                <w:lang w:val="ru-RU" w:eastAsia="en-GB"/>
              </w:rPr>
              <w:t>1</w:t>
            </w:r>
          </w:p>
        </w:tc>
        <w:tc>
          <w:tcPr>
            <w:tcW w:w="316" w:type="pct"/>
            <w:tcBorders>
              <w:top w:val="nil"/>
              <w:left w:val="nil"/>
              <w:bottom w:val="nil"/>
              <w:right w:val="nil"/>
            </w:tcBorders>
            <w:shd w:val="clear" w:color="auto" w:fill="auto"/>
            <w:noWrap/>
            <w:vAlign w:val="bottom"/>
            <w:hideMark/>
          </w:tcPr>
          <w:p w14:paraId="4F8DCD79" w14:textId="77777777" w:rsidR="002E1F5B" w:rsidRPr="00CA4C14" w:rsidRDefault="002E1F5B" w:rsidP="00B772C9">
            <w:pPr>
              <w:pStyle w:val="Tabletext"/>
              <w:jc w:val="right"/>
              <w:rPr>
                <w:lang w:val="ru-RU" w:eastAsia="en-GB"/>
              </w:rPr>
            </w:pPr>
            <w:r w:rsidRPr="00CA4C14">
              <w:rPr>
                <w:lang w:val="ru-RU" w:eastAsia="en-GB"/>
              </w:rPr>
              <w:t>35</w:t>
            </w:r>
          </w:p>
        </w:tc>
        <w:tc>
          <w:tcPr>
            <w:tcW w:w="432" w:type="pct"/>
            <w:tcBorders>
              <w:top w:val="nil"/>
              <w:left w:val="nil"/>
              <w:bottom w:val="nil"/>
              <w:right w:val="nil"/>
            </w:tcBorders>
            <w:shd w:val="clear" w:color="auto" w:fill="auto"/>
            <w:noWrap/>
            <w:vAlign w:val="bottom"/>
            <w:hideMark/>
          </w:tcPr>
          <w:p w14:paraId="0E1078FF" w14:textId="77777777" w:rsidR="002E1F5B" w:rsidRPr="00CA4C14" w:rsidRDefault="002E1F5B" w:rsidP="00B772C9">
            <w:pPr>
              <w:pStyle w:val="Tabletext"/>
              <w:jc w:val="right"/>
              <w:rPr>
                <w:b/>
                <w:bCs/>
                <w:lang w:val="ru-RU" w:eastAsia="en-GB"/>
              </w:rPr>
            </w:pPr>
            <w:r w:rsidRPr="00CA4C14">
              <w:rPr>
                <w:b/>
                <w:bCs/>
                <w:lang w:val="ru-RU" w:eastAsia="en-GB"/>
              </w:rPr>
              <w:t>16 719</w:t>
            </w:r>
          </w:p>
        </w:tc>
        <w:tc>
          <w:tcPr>
            <w:tcW w:w="317" w:type="pct"/>
            <w:tcBorders>
              <w:top w:val="nil"/>
              <w:left w:val="nil"/>
              <w:bottom w:val="nil"/>
              <w:right w:val="nil"/>
            </w:tcBorders>
            <w:shd w:val="clear" w:color="auto" w:fill="auto"/>
            <w:noWrap/>
            <w:vAlign w:val="bottom"/>
            <w:hideMark/>
          </w:tcPr>
          <w:p w14:paraId="28FE808A"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469606EC"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04946EF2" w14:textId="77777777" w:rsidR="002E1F5B" w:rsidRPr="00CA4C14" w:rsidRDefault="002E1F5B" w:rsidP="00B772C9">
            <w:pPr>
              <w:pStyle w:val="Tabletext"/>
              <w:jc w:val="right"/>
              <w:rPr>
                <w:lang w:val="ru-RU" w:eastAsia="en-GB"/>
              </w:rPr>
            </w:pPr>
            <w:r w:rsidRPr="00CA4C14">
              <w:rPr>
                <w:lang w:val="ru-RU" w:eastAsia="en-GB"/>
              </w:rPr>
              <w:t>5</w:t>
            </w:r>
          </w:p>
        </w:tc>
        <w:tc>
          <w:tcPr>
            <w:tcW w:w="390" w:type="pct"/>
            <w:tcBorders>
              <w:top w:val="nil"/>
              <w:left w:val="nil"/>
              <w:bottom w:val="nil"/>
              <w:right w:val="nil"/>
            </w:tcBorders>
            <w:shd w:val="clear" w:color="auto" w:fill="auto"/>
            <w:noWrap/>
            <w:vAlign w:val="bottom"/>
            <w:hideMark/>
          </w:tcPr>
          <w:p w14:paraId="4D70D9E8"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7D64889F"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16 725</w:t>
            </w:r>
          </w:p>
        </w:tc>
      </w:tr>
      <w:tr w:rsidR="002E1F5B" w:rsidRPr="00CA4C14" w14:paraId="7263B6C4" w14:textId="77777777" w:rsidTr="00922DE4">
        <w:tc>
          <w:tcPr>
            <w:tcW w:w="1460" w:type="pct"/>
            <w:tcBorders>
              <w:top w:val="nil"/>
              <w:left w:val="nil"/>
              <w:bottom w:val="nil"/>
              <w:right w:val="nil"/>
            </w:tcBorders>
            <w:shd w:val="clear" w:color="auto" w:fill="auto"/>
            <w:noWrap/>
            <w:hideMark/>
          </w:tcPr>
          <w:p w14:paraId="12C289E9" w14:textId="34AE149B" w:rsidR="002E1F5B" w:rsidRPr="00CA4C14" w:rsidRDefault="002E1F5B" w:rsidP="002E1F5B">
            <w:pPr>
              <w:pStyle w:val="Tabletext"/>
              <w:ind w:left="284" w:hanging="284"/>
              <w:rPr>
                <w:lang w:val="ru-RU" w:eastAsia="en-GB"/>
              </w:rPr>
            </w:pPr>
            <w:r w:rsidRPr="00CA4C14">
              <w:rPr>
                <w:lang w:val="ru-RU" w:eastAsia="en-GB"/>
              </w:rPr>
              <w:t>−</w:t>
            </w:r>
            <w:r w:rsidRPr="00CA4C14">
              <w:rPr>
                <w:lang w:val="ru-RU" w:eastAsia="en-GB"/>
              </w:rPr>
              <w:tab/>
              <w:t>Обработка заявок на регистрацию спутниковых сетей (SNF)</w:t>
            </w:r>
          </w:p>
        </w:tc>
        <w:tc>
          <w:tcPr>
            <w:tcW w:w="391" w:type="pct"/>
            <w:tcBorders>
              <w:top w:val="nil"/>
              <w:left w:val="nil"/>
              <w:bottom w:val="nil"/>
              <w:right w:val="nil"/>
            </w:tcBorders>
            <w:shd w:val="clear" w:color="auto" w:fill="auto"/>
            <w:noWrap/>
            <w:vAlign w:val="bottom"/>
            <w:hideMark/>
          </w:tcPr>
          <w:p w14:paraId="4C317D45" w14:textId="77777777" w:rsidR="002E1F5B" w:rsidRPr="00CA4C14" w:rsidRDefault="002E1F5B" w:rsidP="00B772C9">
            <w:pPr>
              <w:pStyle w:val="Tabletext"/>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219FA0CD" w14:textId="77777777" w:rsidR="002E1F5B" w:rsidRPr="00CA4C14" w:rsidRDefault="002E1F5B" w:rsidP="00B772C9">
            <w:pPr>
              <w:pStyle w:val="Tabletext"/>
              <w:jc w:val="right"/>
              <w:rPr>
                <w:lang w:val="ru-RU" w:eastAsia="en-GB"/>
              </w:rPr>
            </w:pPr>
            <w:r w:rsidRPr="00CA4C14">
              <w:rPr>
                <w:lang w:val="ru-RU" w:eastAsia="en-GB"/>
              </w:rPr>
              <w:t>10 643</w:t>
            </w:r>
          </w:p>
        </w:tc>
        <w:tc>
          <w:tcPr>
            <w:tcW w:w="315" w:type="pct"/>
            <w:tcBorders>
              <w:top w:val="nil"/>
              <w:left w:val="nil"/>
              <w:bottom w:val="nil"/>
              <w:right w:val="nil"/>
            </w:tcBorders>
            <w:shd w:val="clear" w:color="auto" w:fill="auto"/>
            <w:noWrap/>
            <w:vAlign w:val="bottom"/>
            <w:hideMark/>
          </w:tcPr>
          <w:p w14:paraId="03E89F0F" w14:textId="77777777" w:rsidR="002E1F5B" w:rsidRPr="00CA4C14" w:rsidRDefault="002E1F5B" w:rsidP="00B772C9">
            <w:pPr>
              <w:pStyle w:val="Tabletext"/>
              <w:jc w:val="right"/>
              <w:rPr>
                <w:lang w:val="ru-RU" w:eastAsia="en-GB"/>
              </w:rPr>
            </w:pPr>
          </w:p>
        </w:tc>
        <w:tc>
          <w:tcPr>
            <w:tcW w:w="316" w:type="pct"/>
            <w:tcBorders>
              <w:top w:val="nil"/>
              <w:left w:val="nil"/>
              <w:bottom w:val="nil"/>
              <w:right w:val="nil"/>
            </w:tcBorders>
            <w:shd w:val="clear" w:color="auto" w:fill="auto"/>
            <w:noWrap/>
            <w:vAlign w:val="bottom"/>
            <w:hideMark/>
          </w:tcPr>
          <w:p w14:paraId="0E2AB9F9" w14:textId="77777777" w:rsidR="002E1F5B" w:rsidRPr="00CA4C14" w:rsidRDefault="002E1F5B" w:rsidP="00B772C9">
            <w:pPr>
              <w:pStyle w:val="Tabletext"/>
              <w:jc w:val="right"/>
              <w:rPr>
                <w:rFonts w:ascii="Times New Roman" w:hAnsi="Times New Roman"/>
                <w:lang w:val="ru-RU" w:eastAsia="en-GB"/>
              </w:rPr>
            </w:pPr>
          </w:p>
        </w:tc>
        <w:tc>
          <w:tcPr>
            <w:tcW w:w="432" w:type="pct"/>
            <w:tcBorders>
              <w:top w:val="nil"/>
              <w:left w:val="nil"/>
              <w:bottom w:val="nil"/>
              <w:right w:val="nil"/>
            </w:tcBorders>
            <w:shd w:val="clear" w:color="auto" w:fill="auto"/>
            <w:noWrap/>
            <w:vAlign w:val="bottom"/>
            <w:hideMark/>
          </w:tcPr>
          <w:p w14:paraId="182D4FCA" w14:textId="77777777" w:rsidR="002E1F5B" w:rsidRPr="00CA4C14" w:rsidRDefault="002E1F5B" w:rsidP="00B772C9">
            <w:pPr>
              <w:pStyle w:val="Tabletext"/>
              <w:jc w:val="right"/>
              <w:rPr>
                <w:b/>
                <w:bCs/>
                <w:lang w:val="ru-RU" w:eastAsia="en-GB"/>
              </w:rPr>
            </w:pPr>
            <w:r w:rsidRPr="00CA4C14">
              <w:rPr>
                <w:b/>
                <w:bCs/>
                <w:lang w:val="ru-RU" w:eastAsia="en-GB"/>
              </w:rPr>
              <w:t>10 643</w:t>
            </w:r>
          </w:p>
        </w:tc>
        <w:tc>
          <w:tcPr>
            <w:tcW w:w="317" w:type="pct"/>
            <w:tcBorders>
              <w:top w:val="nil"/>
              <w:left w:val="nil"/>
              <w:bottom w:val="nil"/>
              <w:right w:val="nil"/>
            </w:tcBorders>
            <w:shd w:val="clear" w:color="auto" w:fill="auto"/>
            <w:noWrap/>
            <w:vAlign w:val="bottom"/>
            <w:hideMark/>
          </w:tcPr>
          <w:p w14:paraId="1D5AB30E"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3B93DC2E"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32729E1D" w14:textId="77777777" w:rsidR="002E1F5B" w:rsidRPr="00CA4C14" w:rsidRDefault="002E1F5B" w:rsidP="00B772C9">
            <w:pPr>
              <w:pStyle w:val="Tabletext"/>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72288A5C" w14:textId="77777777" w:rsidR="002E1F5B" w:rsidRPr="00CA4C14" w:rsidRDefault="002E1F5B" w:rsidP="00B772C9">
            <w:pPr>
              <w:pStyle w:val="Tabletext"/>
              <w:jc w:val="right"/>
              <w:rPr>
                <w:rFonts w:ascii="Times New Roman" w:hAnsi="Times New Roman"/>
                <w:lang w:val="ru-RU" w:eastAsia="en-GB"/>
              </w:rPr>
            </w:pPr>
          </w:p>
        </w:tc>
        <w:tc>
          <w:tcPr>
            <w:tcW w:w="353" w:type="pct"/>
            <w:tcBorders>
              <w:top w:val="nil"/>
              <w:left w:val="nil"/>
              <w:bottom w:val="nil"/>
              <w:right w:val="nil"/>
            </w:tcBorders>
            <w:shd w:val="clear" w:color="auto" w:fill="auto"/>
            <w:noWrap/>
            <w:vAlign w:val="bottom"/>
            <w:hideMark/>
          </w:tcPr>
          <w:p w14:paraId="1850E4BC"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10 643</w:t>
            </w:r>
          </w:p>
        </w:tc>
      </w:tr>
      <w:tr w:rsidR="002E1F5B" w:rsidRPr="00CA4C14" w14:paraId="115A5050" w14:textId="77777777" w:rsidTr="00922DE4">
        <w:tc>
          <w:tcPr>
            <w:tcW w:w="1460" w:type="pct"/>
            <w:tcBorders>
              <w:top w:val="nil"/>
              <w:left w:val="nil"/>
              <w:bottom w:val="nil"/>
              <w:right w:val="nil"/>
            </w:tcBorders>
            <w:shd w:val="clear" w:color="auto" w:fill="auto"/>
            <w:noWrap/>
            <w:hideMark/>
          </w:tcPr>
          <w:p w14:paraId="76677F6D" w14:textId="1D195830" w:rsidR="002E1F5B" w:rsidRPr="00CA4C14" w:rsidRDefault="002E1F5B" w:rsidP="00B772C9">
            <w:pPr>
              <w:pStyle w:val="Tabletext"/>
              <w:rPr>
                <w:lang w:val="ru-RU" w:eastAsia="en-GB"/>
              </w:rPr>
            </w:pPr>
            <w:r w:rsidRPr="00CA4C14">
              <w:rPr>
                <w:lang w:val="ru-RU" w:eastAsia="en-GB"/>
              </w:rPr>
              <w:t>−</w:t>
            </w:r>
            <w:r w:rsidRPr="00CA4C14">
              <w:rPr>
                <w:lang w:val="ru-RU" w:eastAsia="en-GB"/>
              </w:rPr>
              <w:tab/>
              <w:t>Прочие доходы по линии возмещения затрат</w:t>
            </w:r>
          </w:p>
        </w:tc>
        <w:tc>
          <w:tcPr>
            <w:tcW w:w="391" w:type="pct"/>
            <w:tcBorders>
              <w:top w:val="nil"/>
              <w:left w:val="nil"/>
              <w:bottom w:val="nil"/>
              <w:right w:val="nil"/>
            </w:tcBorders>
            <w:shd w:val="clear" w:color="auto" w:fill="auto"/>
            <w:noWrap/>
            <w:vAlign w:val="bottom"/>
            <w:hideMark/>
          </w:tcPr>
          <w:p w14:paraId="7B906D1C" w14:textId="77777777" w:rsidR="002E1F5B" w:rsidRPr="00CA4C14" w:rsidRDefault="002E1F5B" w:rsidP="00B772C9">
            <w:pPr>
              <w:pStyle w:val="Tabletext"/>
              <w:jc w:val="right"/>
              <w:rPr>
                <w:lang w:val="ru-RU" w:eastAsia="en-GB"/>
              </w:rPr>
            </w:pPr>
            <w:r w:rsidRPr="00CA4C14">
              <w:rPr>
                <w:lang w:val="ru-RU" w:eastAsia="en-GB"/>
              </w:rPr>
              <w:t>30</w:t>
            </w:r>
          </w:p>
        </w:tc>
        <w:tc>
          <w:tcPr>
            <w:tcW w:w="315" w:type="pct"/>
            <w:tcBorders>
              <w:top w:val="nil"/>
              <w:left w:val="nil"/>
              <w:bottom w:val="nil"/>
              <w:right w:val="nil"/>
            </w:tcBorders>
            <w:shd w:val="clear" w:color="auto" w:fill="auto"/>
            <w:noWrap/>
            <w:vAlign w:val="bottom"/>
            <w:hideMark/>
          </w:tcPr>
          <w:p w14:paraId="6EB6B664" w14:textId="77777777" w:rsidR="002E1F5B" w:rsidRPr="00CA4C14" w:rsidRDefault="002E1F5B" w:rsidP="00B772C9">
            <w:pPr>
              <w:pStyle w:val="Tabletext"/>
              <w:jc w:val="right"/>
              <w:rPr>
                <w:lang w:val="ru-RU" w:eastAsia="en-GB"/>
              </w:rPr>
            </w:pPr>
            <w:r w:rsidRPr="00CA4C14">
              <w:rPr>
                <w:lang w:val="ru-RU" w:eastAsia="en-GB"/>
              </w:rPr>
              <w:t>39</w:t>
            </w:r>
          </w:p>
        </w:tc>
        <w:tc>
          <w:tcPr>
            <w:tcW w:w="315" w:type="pct"/>
            <w:tcBorders>
              <w:top w:val="nil"/>
              <w:left w:val="nil"/>
              <w:bottom w:val="nil"/>
              <w:right w:val="nil"/>
            </w:tcBorders>
            <w:shd w:val="clear" w:color="auto" w:fill="auto"/>
            <w:noWrap/>
            <w:vAlign w:val="bottom"/>
            <w:hideMark/>
          </w:tcPr>
          <w:p w14:paraId="728017D5" w14:textId="77777777" w:rsidR="002E1F5B" w:rsidRPr="00CA4C14" w:rsidRDefault="002E1F5B" w:rsidP="00B772C9">
            <w:pPr>
              <w:pStyle w:val="Tabletext"/>
              <w:jc w:val="right"/>
              <w:rPr>
                <w:lang w:val="ru-RU" w:eastAsia="en-GB"/>
              </w:rPr>
            </w:pPr>
            <w:r w:rsidRPr="00CA4C14">
              <w:rPr>
                <w:lang w:val="ru-RU" w:eastAsia="en-GB"/>
              </w:rPr>
              <w:t>395</w:t>
            </w:r>
          </w:p>
        </w:tc>
        <w:tc>
          <w:tcPr>
            <w:tcW w:w="316" w:type="pct"/>
            <w:tcBorders>
              <w:top w:val="nil"/>
              <w:left w:val="nil"/>
              <w:bottom w:val="nil"/>
              <w:right w:val="nil"/>
            </w:tcBorders>
            <w:shd w:val="clear" w:color="auto" w:fill="auto"/>
            <w:noWrap/>
            <w:vAlign w:val="bottom"/>
            <w:hideMark/>
          </w:tcPr>
          <w:p w14:paraId="371F29CF" w14:textId="77777777" w:rsidR="002E1F5B" w:rsidRPr="00CA4C14" w:rsidRDefault="002E1F5B" w:rsidP="00B772C9">
            <w:pPr>
              <w:pStyle w:val="Tabletext"/>
              <w:jc w:val="right"/>
              <w:rPr>
                <w:lang w:val="ru-RU" w:eastAsia="en-GB"/>
              </w:rPr>
            </w:pPr>
            <w:r w:rsidRPr="00CA4C14">
              <w:rPr>
                <w:lang w:val="ru-RU" w:eastAsia="en-GB"/>
              </w:rPr>
              <w:t>846</w:t>
            </w:r>
          </w:p>
        </w:tc>
        <w:tc>
          <w:tcPr>
            <w:tcW w:w="432" w:type="pct"/>
            <w:tcBorders>
              <w:top w:val="nil"/>
              <w:left w:val="nil"/>
              <w:bottom w:val="nil"/>
              <w:right w:val="nil"/>
            </w:tcBorders>
            <w:shd w:val="clear" w:color="auto" w:fill="auto"/>
            <w:noWrap/>
            <w:vAlign w:val="bottom"/>
            <w:hideMark/>
          </w:tcPr>
          <w:p w14:paraId="4193C589" w14:textId="77777777" w:rsidR="002E1F5B" w:rsidRPr="00CA4C14" w:rsidRDefault="002E1F5B" w:rsidP="00B772C9">
            <w:pPr>
              <w:pStyle w:val="Tabletext"/>
              <w:jc w:val="right"/>
              <w:rPr>
                <w:b/>
                <w:bCs/>
                <w:lang w:val="ru-RU" w:eastAsia="en-GB"/>
              </w:rPr>
            </w:pPr>
            <w:r w:rsidRPr="00CA4C14">
              <w:rPr>
                <w:b/>
                <w:bCs/>
                <w:lang w:val="ru-RU" w:eastAsia="en-GB"/>
              </w:rPr>
              <w:t>1 310</w:t>
            </w:r>
          </w:p>
        </w:tc>
        <w:tc>
          <w:tcPr>
            <w:tcW w:w="317" w:type="pct"/>
            <w:tcBorders>
              <w:top w:val="nil"/>
              <w:left w:val="nil"/>
              <w:bottom w:val="nil"/>
              <w:right w:val="nil"/>
            </w:tcBorders>
            <w:shd w:val="clear" w:color="auto" w:fill="auto"/>
            <w:noWrap/>
            <w:vAlign w:val="bottom"/>
            <w:hideMark/>
          </w:tcPr>
          <w:p w14:paraId="5D0E02B7"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7D8B2089"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5D6C23D9" w14:textId="77777777" w:rsidR="002E1F5B" w:rsidRPr="00CA4C14" w:rsidRDefault="002E1F5B" w:rsidP="00B772C9">
            <w:pPr>
              <w:pStyle w:val="Tabletext"/>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18A8343F" w14:textId="77777777" w:rsidR="002E1F5B" w:rsidRPr="00CA4C14" w:rsidRDefault="002E1F5B" w:rsidP="00B772C9">
            <w:pPr>
              <w:pStyle w:val="Tabletext"/>
              <w:jc w:val="right"/>
              <w:rPr>
                <w:lang w:val="ru-RU" w:eastAsia="en-GB"/>
              </w:rPr>
            </w:pPr>
            <w:r w:rsidRPr="00CA4C14">
              <w:rPr>
                <w:lang w:val="ru-RU" w:eastAsia="en-GB"/>
              </w:rPr>
              <w:t>(1 014)</w:t>
            </w:r>
          </w:p>
        </w:tc>
        <w:tc>
          <w:tcPr>
            <w:tcW w:w="353" w:type="pct"/>
            <w:tcBorders>
              <w:top w:val="nil"/>
              <w:left w:val="nil"/>
              <w:bottom w:val="nil"/>
              <w:right w:val="nil"/>
            </w:tcBorders>
            <w:shd w:val="clear" w:color="auto" w:fill="auto"/>
            <w:noWrap/>
            <w:vAlign w:val="bottom"/>
            <w:hideMark/>
          </w:tcPr>
          <w:p w14:paraId="07E90465"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296</w:t>
            </w:r>
          </w:p>
        </w:tc>
      </w:tr>
      <w:tr w:rsidR="002E1F5B" w:rsidRPr="00CA4C14" w14:paraId="4B4EE550" w14:textId="77777777" w:rsidTr="00922DE4">
        <w:tc>
          <w:tcPr>
            <w:tcW w:w="1460" w:type="pct"/>
            <w:tcBorders>
              <w:top w:val="nil"/>
              <w:left w:val="nil"/>
              <w:bottom w:val="nil"/>
              <w:right w:val="nil"/>
            </w:tcBorders>
            <w:shd w:val="clear" w:color="auto" w:fill="auto"/>
            <w:noWrap/>
            <w:hideMark/>
          </w:tcPr>
          <w:p w14:paraId="50C7DAB0" w14:textId="20EE1755" w:rsidR="002E1F5B" w:rsidRPr="00CA4C14" w:rsidRDefault="002E1F5B" w:rsidP="00B772C9">
            <w:pPr>
              <w:pStyle w:val="Tabletext"/>
              <w:rPr>
                <w:lang w:val="ru-RU" w:eastAsia="en-GB"/>
              </w:rPr>
            </w:pPr>
            <w:r w:rsidRPr="00CA4C14">
              <w:rPr>
                <w:lang w:val="ru-RU" w:eastAsia="en-GB"/>
              </w:rPr>
              <w:t>−</w:t>
            </w:r>
            <w:r w:rsidRPr="00CA4C14">
              <w:rPr>
                <w:lang w:val="ru-RU" w:eastAsia="en-GB"/>
              </w:rPr>
              <w:tab/>
              <w:t>Прочие доходы</w:t>
            </w:r>
          </w:p>
        </w:tc>
        <w:tc>
          <w:tcPr>
            <w:tcW w:w="391" w:type="pct"/>
            <w:tcBorders>
              <w:top w:val="nil"/>
              <w:left w:val="nil"/>
              <w:bottom w:val="nil"/>
              <w:right w:val="nil"/>
            </w:tcBorders>
            <w:shd w:val="clear" w:color="auto" w:fill="auto"/>
            <w:noWrap/>
            <w:vAlign w:val="bottom"/>
            <w:hideMark/>
          </w:tcPr>
          <w:p w14:paraId="1E1D72AC" w14:textId="77777777" w:rsidR="002E1F5B" w:rsidRPr="00CA4C14" w:rsidRDefault="002E1F5B" w:rsidP="00B772C9">
            <w:pPr>
              <w:pStyle w:val="Tabletext"/>
              <w:jc w:val="right"/>
              <w:rPr>
                <w:lang w:val="ru-RU" w:eastAsia="en-GB"/>
              </w:rPr>
            </w:pPr>
            <w:r w:rsidRPr="00CA4C14">
              <w:rPr>
                <w:lang w:val="ru-RU" w:eastAsia="en-GB"/>
              </w:rPr>
              <w:t>329</w:t>
            </w:r>
          </w:p>
        </w:tc>
        <w:tc>
          <w:tcPr>
            <w:tcW w:w="315" w:type="pct"/>
            <w:tcBorders>
              <w:top w:val="nil"/>
              <w:left w:val="nil"/>
              <w:bottom w:val="nil"/>
              <w:right w:val="nil"/>
            </w:tcBorders>
            <w:shd w:val="clear" w:color="auto" w:fill="auto"/>
            <w:noWrap/>
            <w:vAlign w:val="bottom"/>
            <w:hideMark/>
          </w:tcPr>
          <w:p w14:paraId="6AC4F711" w14:textId="77777777" w:rsidR="002E1F5B" w:rsidRPr="00CA4C14" w:rsidRDefault="002E1F5B" w:rsidP="00B772C9">
            <w:pPr>
              <w:pStyle w:val="Tabletext"/>
              <w:jc w:val="right"/>
              <w:rPr>
                <w:lang w:val="ru-RU" w:eastAsia="en-GB"/>
              </w:rPr>
            </w:pPr>
            <w:r w:rsidRPr="00CA4C14">
              <w:rPr>
                <w:lang w:val="ru-RU" w:eastAsia="en-GB"/>
              </w:rPr>
              <w:t>328</w:t>
            </w:r>
          </w:p>
        </w:tc>
        <w:tc>
          <w:tcPr>
            <w:tcW w:w="315" w:type="pct"/>
            <w:tcBorders>
              <w:top w:val="nil"/>
              <w:left w:val="nil"/>
              <w:bottom w:val="nil"/>
              <w:right w:val="nil"/>
            </w:tcBorders>
            <w:shd w:val="clear" w:color="auto" w:fill="auto"/>
            <w:noWrap/>
            <w:vAlign w:val="bottom"/>
            <w:hideMark/>
          </w:tcPr>
          <w:p w14:paraId="21472510" w14:textId="77777777" w:rsidR="002E1F5B" w:rsidRPr="00CA4C14" w:rsidRDefault="002E1F5B" w:rsidP="00B772C9">
            <w:pPr>
              <w:pStyle w:val="Tabletext"/>
              <w:jc w:val="right"/>
              <w:rPr>
                <w:lang w:val="ru-RU" w:eastAsia="en-GB"/>
              </w:rPr>
            </w:pPr>
            <w:r w:rsidRPr="00CA4C14">
              <w:rPr>
                <w:lang w:val="ru-RU" w:eastAsia="en-GB"/>
              </w:rPr>
              <w:t>46</w:t>
            </w:r>
          </w:p>
        </w:tc>
        <w:tc>
          <w:tcPr>
            <w:tcW w:w="316" w:type="pct"/>
            <w:tcBorders>
              <w:top w:val="nil"/>
              <w:left w:val="nil"/>
              <w:bottom w:val="nil"/>
              <w:right w:val="nil"/>
            </w:tcBorders>
            <w:shd w:val="clear" w:color="auto" w:fill="auto"/>
            <w:noWrap/>
            <w:vAlign w:val="bottom"/>
            <w:hideMark/>
          </w:tcPr>
          <w:p w14:paraId="4165A137" w14:textId="77777777" w:rsidR="002E1F5B" w:rsidRPr="00CA4C14" w:rsidRDefault="002E1F5B" w:rsidP="00B772C9">
            <w:pPr>
              <w:pStyle w:val="Tabletext"/>
              <w:jc w:val="right"/>
              <w:rPr>
                <w:lang w:val="ru-RU" w:eastAsia="en-GB"/>
              </w:rPr>
            </w:pPr>
            <w:r w:rsidRPr="00CA4C14">
              <w:rPr>
                <w:lang w:val="ru-RU" w:eastAsia="en-GB"/>
              </w:rPr>
              <w:t>99</w:t>
            </w:r>
          </w:p>
        </w:tc>
        <w:tc>
          <w:tcPr>
            <w:tcW w:w="432" w:type="pct"/>
            <w:tcBorders>
              <w:top w:val="nil"/>
              <w:left w:val="nil"/>
              <w:bottom w:val="nil"/>
              <w:right w:val="nil"/>
            </w:tcBorders>
            <w:shd w:val="clear" w:color="auto" w:fill="auto"/>
            <w:noWrap/>
            <w:vAlign w:val="bottom"/>
            <w:hideMark/>
          </w:tcPr>
          <w:p w14:paraId="72E6A2FA" w14:textId="77777777" w:rsidR="002E1F5B" w:rsidRPr="00CA4C14" w:rsidRDefault="002E1F5B" w:rsidP="00B772C9">
            <w:pPr>
              <w:pStyle w:val="Tabletext"/>
              <w:jc w:val="right"/>
              <w:rPr>
                <w:b/>
                <w:bCs/>
                <w:lang w:val="ru-RU" w:eastAsia="en-GB"/>
              </w:rPr>
            </w:pPr>
            <w:r w:rsidRPr="00CA4C14">
              <w:rPr>
                <w:b/>
                <w:bCs/>
                <w:lang w:val="ru-RU" w:eastAsia="en-GB"/>
              </w:rPr>
              <w:t>802</w:t>
            </w:r>
          </w:p>
        </w:tc>
        <w:tc>
          <w:tcPr>
            <w:tcW w:w="317" w:type="pct"/>
            <w:tcBorders>
              <w:top w:val="nil"/>
              <w:left w:val="nil"/>
              <w:bottom w:val="nil"/>
              <w:right w:val="nil"/>
            </w:tcBorders>
            <w:shd w:val="clear" w:color="auto" w:fill="auto"/>
            <w:noWrap/>
            <w:vAlign w:val="bottom"/>
            <w:hideMark/>
          </w:tcPr>
          <w:p w14:paraId="15075585" w14:textId="77777777" w:rsidR="002E1F5B" w:rsidRPr="00CA4C14" w:rsidRDefault="002E1F5B" w:rsidP="00B772C9">
            <w:pPr>
              <w:pStyle w:val="Tabletext"/>
              <w:jc w:val="right"/>
              <w:rPr>
                <w:lang w:val="ru-RU" w:eastAsia="en-GB"/>
              </w:rPr>
            </w:pPr>
            <w:r w:rsidRPr="00CA4C14">
              <w:rPr>
                <w:lang w:val="ru-RU" w:eastAsia="en-GB"/>
              </w:rPr>
              <w:t>2 570</w:t>
            </w:r>
          </w:p>
        </w:tc>
        <w:tc>
          <w:tcPr>
            <w:tcW w:w="303" w:type="pct"/>
            <w:tcBorders>
              <w:top w:val="nil"/>
              <w:left w:val="nil"/>
              <w:bottom w:val="nil"/>
              <w:right w:val="nil"/>
            </w:tcBorders>
            <w:shd w:val="clear" w:color="auto" w:fill="auto"/>
            <w:noWrap/>
            <w:vAlign w:val="bottom"/>
            <w:hideMark/>
          </w:tcPr>
          <w:p w14:paraId="55689D2A" w14:textId="77777777" w:rsidR="002E1F5B" w:rsidRPr="00CA4C14" w:rsidRDefault="002E1F5B" w:rsidP="00B772C9">
            <w:pPr>
              <w:pStyle w:val="Tabletext"/>
              <w:jc w:val="right"/>
              <w:rPr>
                <w:lang w:val="ru-RU" w:eastAsia="en-GB"/>
              </w:rPr>
            </w:pPr>
          </w:p>
        </w:tc>
        <w:tc>
          <w:tcPr>
            <w:tcW w:w="408" w:type="pct"/>
            <w:tcBorders>
              <w:top w:val="nil"/>
              <w:left w:val="nil"/>
              <w:bottom w:val="nil"/>
              <w:right w:val="nil"/>
            </w:tcBorders>
            <w:shd w:val="clear" w:color="auto" w:fill="auto"/>
            <w:noWrap/>
            <w:vAlign w:val="bottom"/>
            <w:hideMark/>
          </w:tcPr>
          <w:p w14:paraId="296249E6" w14:textId="77777777" w:rsidR="002E1F5B" w:rsidRPr="00CA4C14" w:rsidRDefault="002E1F5B" w:rsidP="00B772C9">
            <w:pPr>
              <w:pStyle w:val="Tabletext"/>
              <w:jc w:val="right"/>
              <w:rPr>
                <w:lang w:val="ru-RU" w:eastAsia="en-GB"/>
              </w:rPr>
            </w:pPr>
            <w:r w:rsidRPr="00CA4C14">
              <w:rPr>
                <w:lang w:val="ru-RU" w:eastAsia="en-GB"/>
              </w:rPr>
              <w:t>3 110</w:t>
            </w:r>
          </w:p>
        </w:tc>
        <w:tc>
          <w:tcPr>
            <w:tcW w:w="390" w:type="pct"/>
            <w:tcBorders>
              <w:top w:val="nil"/>
              <w:left w:val="nil"/>
              <w:bottom w:val="nil"/>
              <w:right w:val="nil"/>
            </w:tcBorders>
            <w:shd w:val="clear" w:color="auto" w:fill="auto"/>
            <w:noWrap/>
            <w:vAlign w:val="bottom"/>
            <w:hideMark/>
          </w:tcPr>
          <w:p w14:paraId="3AB9B6C6"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01A5A8F1"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6 482</w:t>
            </w:r>
          </w:p>
        </w:tc>
      </w:tr>
      <w:tr w:rsidR="002E1F5B" w:rsidRPr="00CA4C14" w14:paraId="30F45346" w14:textId="77777777" w:rsidTr="00922DE4">
        <w:tc>
          <w:tcPr>
            <w:tcW w:w="1460" w:type="pct"/>
            <w:tcBorders>
              <w:top w:val="nil"/>
              <w:left w:val="nil"/>
              <w:bottom w:val="nil"/>
              <w:right w:val="nil"/>
            </w:tcBorders>
            <w:shd w:val="clear" w:color="auto" w:fill="auto"/>
            <w:noWrap/>
            <w:hideMark/>
          </w:tcPr>
          <w:p w14:paraId="2CC01E02" w14:textId="77777777" w:rsidR="002E1F5B" w:rsidRPr="00CA4C14" w:rsidRDefault="002E1F5B" w:rsidP="00B772C9">
            <w:pPr>
              <w:pStyle w:val="Tabletext"/>
              <w:rPr>
                <w:b/>
                <w:bCs/>
                <w:color w:val="000000"/>
                <w:lang w:val="ru-RU" w:eastAsia="en-GB"/>
              </w:rPr>
            </w:pPr>
            <w:r w:rsidRPr="00CA4C14">
              <w:rPr>
                <w:b/>
                <w:bCs/>
                <w:color w:val="000000"/>
                <w:lang w:val="ru-RU" w:eastAsia="en-GB"/>
              </w:rPr>
              <w:t>Всего: доходы</w:t>
            </w:r>
          </w:p>
        </w:tc>
        <w:tc>
          <w:tcPr>
            <w:tcW w:w="391" w:type="pct"/>
            <w:tcBorders>
              <w:top w:val="nil"/>
              <w:left w:val="nil"/>
              <w:bottom w:val="nil"/>
              <w:right w:val="nil"/>
            </w:tcBorders>
            <w:shd w:val="clear" w:color="auto" w:fill="auto"/>
            <w:noWrap/>
            <w:vAlign w:val="bottom"/>
            <w:hideMark/>
          </w:tcPr>
          <w:p w14:paraId="614BFFE7"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58 460</w:t>
            </w:r>
          </w:p>
        </w:tc>
        <w:tc>
          <w:tcPr>
            <w:tcW w:w="315" w:type="pct"/>
            <w:tcBorders>
              <w:top w:val="nil"/>
              <w:left w:val="nil"/>
              <w:bottom w:val="nil"/>
              <w:right w:val="nil"/>
            </w:tcBorders>
            <w:shd w:val="clear" w:color="auto" w:fill="auto"/>
            <w:noWrap/>
            <w:vAlign w:val="bottom"/>
            <w:hideMark/>
          </w:tcPr>
          <w:p w14:paraId="3BA51E34"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59 257</w:t>
            </w:r>
          </w:p>
        </w:tc>
        <w:tc>
          <w:tcPr>
            <w:tcW w:w="315" w:type="pct"/>
            <w:tcBorders>
              <w:top w:val="nil"/>
              <w:left w:val="nil"/>
              <w:bottom w:val="nil"/>
              <w:right w:val="nil"/>
            </w:tcBorders>
            <w:shd w:val="clear" w:color="auto" w:fill="auto"/>
            <w:noWrap/>
            <w:vAlign w:val="bottom"/>
            <w:hideMark/>
          </w:tcPr>
          <w:p w14:paraId="48849033"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17 336</w:t>
            </w:r>
          </w:p>
        </w:tc>
        <w:tc>
          <w:tcPr>
            <w:tcW w:w="316" w:type="pct"/>
            <w:tcBorders>
              <w:top w:val="nil"/>
              <w:left w:val="nil"/>
              <w:bottom w:val="nil"/>
              <w:right w:val="nil"/>
            </w:tcBorders>
            <w:shd w:val="clear" w:color="auto" w:fill="auto"/>
            <w:noWrap/>
            <w:vAlign w:val="bottom"/>
            <w:hideMark/>
          </w:tcPr>
          <w:p w14:paraId="209CD02B"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22 180</w:t>
            </w:r>
          </w:p>
        </w:tc>
        <w:tc>
          <w:tcPr>
            <w:tcW w:w="432" w:type="pct"/>
            <w:tcBorders>
              <w:top w:val="nil"/>
              <w:left w:val="nil"/>
              <w:bottom w:val="nil"/>
              <w:right w:val="nil"/>
            </w:tcBorders>
            <w:shd w:val="clear" w:color="auto" w:fill="auto"/>
            <w:noWrap/>
            <w:vAlign w:val="bottom"/>
            <w:hideMark/>
          </w:tcPr>
          <w:p w14:paraId="3AEABAB8" w14:textId="77777777" w:rsidR="002E1F5B" w:rsidRPr="00CA4C14" w:rsidRDefault="002E1F5B" w:rsidP="00B772C9">
            <w:pPr>
              <w:pStyle w:val="Tabletext"/>
              <w:jc w:val="right"/>
              <w:rPr>
                <w:b/>
                <w:bCs/>
                <w:lang w:val="ru-RU" w:eastAsia="en-GB"/>
              </w:rPr>
            </w:pPr>
            <w:r w:rsidRPr="00CA4C14">
              <w:rPr>
                <w:b/>
                <w:bCs/>
                <w:lang w:val="ru-RU" w:eastAsia="en-GB"/>
              </w:rPr>
              <w:t>157 233</w:t>
            </w:r>
          </w:p>
        </w:tc>
        <w:tc>
          <w:tcPr>
            <w:tcW w:w="317" w:type="pct"/>
            <w:tcBorders>
              <w:top w:val="nil"/>
              <w:left w:val="nil"/>
              <w:bottom w:val="nil"/>
              <w:right w:val="nil"/>
            </w:tcBorders>
            <w:shd w:val="clear" w:color="auto" w:fill="auto"/>
            <w:noWrap/>
            <w:vAlign w:val="bottom"/>
            <w:hideMark/>
          </w:tcPr>
          <w:p w14:paraId="5A09E80E"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2 570</w:t>
            </w:r>
          </w:p>
        </w:tc>
        <w:tc>
          <w:tcPr>
            <w:tcW w:w="303" w:type="pct"/>
            <w:tcBorders>
              <w:top w:val="nil"/>
              <w:left w:val="nil"/>
              <w:bottom w:val="nil"/>
              <w:right w:val="nil"/>
            </w:tcBorders>
            <w:shd w:val="clear" w:color="auto" w:fill="auto"/>
            <w:noWrap/>
            <w:vAlign w:val="bottom"/>
            <w:hideMark/>
          </w:tcPr>
          <w:p w14:paraId="4918384D" w14:textId="77777777" w:rsidR="002E1F5B" w:rsidRPr="00CA4C14" w:rsidRDefault="002E1F5B" w:rsidP="00B772C9">
            <w:pPr>
              <w:pStyle w:val="Tabletext"/>
              <w:jc w:val="right"/>
              <w:rPr>
                <w:b/>
                <w:bCs/>
                <w:color w:val="000000"/>
                <w:lang w:val="ru-RU" w:eastAsia="en-GB"/>
              </w:rPr>
            </w:pPr>
          </w:p>
        </w:tc>
        <w:tc>
          <w:tcPr>
            <w:tcW w:w="408" w:type="pct"/>
            <w:tcBorders>
              <w:top w:val="nil"/>
              <w:left w:val="nil"/>
              <w:bottom w:val="nil"/>
              <w:right w:val="nil"/>
            </w:tcBorders>
            <w:shd w:val="clear" w:color="auto" w:fill="auto"/>
            <w:noWrap/>
            <w:vAlign w:val="bottom"/>
            <w:hideMark/>
          </w:tcPr>
          <w:p w14:paraId="4134CC4C"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21 870</w:t>
            </w:r>
          </w:p>
        </w:tc>
        <w:tc>
          <w:tcPr>
            <w:tcW w:w="390" w:type="pct"/>
            <w:tcBorders>
              <w:top w:val="nil"/>
              <w:left w:val="nil"/>
              <w:bottom w:val="nil"/>
              <w:right w:val="nil"/>
            </w:tcBorders>
            <w:shd w:val="clear" w:color="auto" w:fill="auto"/>
            <w:noWrap/>
            <w:vAlign w:val="bottom"/>
            <w:hideMark/>
          </w:tcPr>
          <w:p w14:paraId="218E4FC9"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(1 014)</w:t>
            </w:r>
          </w:p>
        </w:tc>
        <w:tc>
          <w:tcPr>
            <w:tcW w:w="353" w:type="pct"/>
            <w:tcBorders>
              <w:top w:val="nil"/>
              <w:left w:val="nil"/>
              <w:bottom w:val="nil"/>
              <w:right w:val="nil"/>
            </w:tcBorders>
            <w:shd w:val="clear" w:color="auto" w:fill="auto"/>
            <w:noWrap/>
            <w:vAlign w:val="bottom"/>
            <w:hideMark/>
          </w:tcPr>
          <w:p w14:paraId="6B979321"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180 659</w:t>
            </w:r>
          </w:p>
        </w:tc>
      </w:tr>
      <w:tr w:rsidR="002E1F5B" w:rsidRPr="00CA4C14" w14:paraId="20F566F4" w14:textId="77777777" w:rsidTr="00922DE4">
        <w:tc>
          <w:tcPr>
            <w:tcW w:w="1460" w:type="pct"/>
            <w:tcBorders>
              <w:top w:val="nil"/>
              <w:left w:val="nil"/>
              <w:bottom w:val="nil"/>
              <w:right w:val="nil"/>
            </w:tcBorders>
            <w:shd w:val="clear" w:color="auto" w:fill="auto"/>
            <w:noWrap/>
            <w:hideMark/>
          </w:tcPr>
          <w:p w14:paraId="282B68B1" w14:textId="77777777" w:rsidR="002E1F5B" w:rsidRPr="00CA4C14" w:rsidRDefault="002E1F5B" w:rsidP="00B772C9">
            <w:pPr>
              <w:pStyle w:val="Tabletext"/>
              <w:spacing w:before="0" w:after="0"/>
              <w:rPr>
                <w:color w:val="000000"/>
                <w:lang w:val="ru-RU" w:eastAsia="en-GB"/>
              </w:rPr>
            </w:pPr>
          </w:p>
        </w:tc>
        <w:tc>
          <w:tcPr>
            <w:tcW w:w="391" w:type="pct"/>
            <w:tcBorders>
              <w:top w:val="nil"/>
              <w:left w:val="nil"/>
              <w:bottom w:val="nil"/>
              <w:right w:val="nil"/>
            </w:tcBorders>
            <w:shd w:val="clear" w:color="auto" w:fill="auto"/>
            <w:noWrap/>
            <w:vAlign w:val="bottom"/>
            <w:hideMark/>
          </w:tcPr>
          <w:p w14:paraId="245C13FC" w14:textId="77777777" w:rsidR="002E1F5B" w:rsidRPr="00CA4C14" w:rsidRDefault="002E1F5B" w:rsidP="00B772C9">
            <w:pPr>
              <w:pStyle w:val="Tabletext"/>
              <w:spacing w:before="0" w:after="0"/>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7B778189" w14:textId="77777777" w:rsidR="002E1F5B" w:rsidRPr="00CA4C14" w:rsidRDefault="002E1F5B" w:rsidP="00B772C9">
            <w:pPr>
              <w:pStyle w:val="Tabletext"/>
              <w:spacing w:before="0" w:after="0"/>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32B1608D" w14:textId="77777777" w:rsidR="002E1F5B" w:rsidRPr="00CA4C14" w:rsidRDefault="002E1F5B" w:rsidP="00B772C9">
            <w:pPr>
              <w:pStyle w:val="Tabletext"/>
              <w:spacing w:before="0" w:after="0"/>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hideMark/>
          </w:tcPr>
          <w:p w14:paraId="59D1DDC2" w14:textId="77777777" w:rsidR="002E1F5B" w:rsidRPr="00CA4C14" w:rsidRDefault="002E1F5B" w:rsidP="00B772C9">
            <w:pPr>
              <w:pStyle w:val="Tabletext"/>
              <w:spacing w:before="0" w:after="0"/>
              <w:jc w:val="right"/>
              <w:rPr>
                <w:rFonts w:ascii="Times New Roman" w:hAnsi="Times New Roman"/>
                <w:lang w:val="ru-RU" w:eastAsia="en-GB"/>
              </w:rPr>
            </w:pPr>
          </w:p>
        </w:tc>
        <w:tc>
          <w:tcPr>
            <w:tcW w:w="432" w:type="pct"/>
            <w:tcBorders>
              <w:top w:val="nil"/>
              <w:left w:val="nil"/>
              <w:bottom w:val="nil"/>
              <w:right w:val="nil"/>
            </w:tcBorders>
            <w:shd w:val="clear" w:color="auto" w:fill="auto"/>
            <w:noWrap/>
            <w:vAlign w:val="bottom"/>
            <w:hideMark/>
          </w:tcPr>
          <w:p w14:paraId="633541D4" w14:textId="77777777" w:rsidR="002E1F5B" w:rsidRPr="00CA4C14" w:rsidRDefault="002E1F5B" w:rsidP="00B772C9">
            <w:pPr>
              <w:pStyle w:val="Tabletext"/>
              <w:spacing w:before="0" w:after="0"/>
              <w:jc w:val="right"/>
              <w:rPr>
                <w:rFonts w:ascii="Times New Roman" w:hAnsi="Times New Roman"/>
                <w:b/>
                <w:bCs/>
                <w:lang w:val="ru-RU" w:eastAsia="en-GB"/>
              </w:rPr>
            </w:pPr>
          </w:p>
        </w:tc>
        <w:tc>
          <w:tcPr>
            <w:tcW w:w="317" w:type="pct"/>
            <w:tcBorders>
              <w:top w:val="nil"/>
              <w:left w:val="nil"/>
              <w:bottom w:val="nil"/>
              <w:right w:val="nil"/>
            </w:tcBorders>
            <w:shd w:val="clear" w:color="auto" w:fill="auto"/>
            <w:noWrap/>
            <w:vAlign w:val="bottom"/>
            <w:hideMark/>
          </w:tcPr>
          <w:p w14:paraId="0D2B4081" w14:textId="77777777" w:rsidR="002E1F5B" w:rsidRPr="00CA4C14" w:rsidRDefault="002E1F5B" w:rsidP="00B772C9">
            <w:pPr>
              <w:pStyle w:val="Tabletext"/>
              <w:spacing w:before="0" w:after="0"/>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hideMark/>
          </w:tcPr>
          <w:p w14:paraId="4F564A36" w14:textId="77777777" w:rsidR="002E1F5B" w:rsidRPr="00CA4C14" w:rsidRDefault="002E1F5B" w:rsidP="00B772C9">
            <w:pPr>
              <w:pStyle w:val="Tabletext"/>
              <w:spacing w:before="0" w:after="0"/>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3C69E00B" w14:textId="77777777" w:rsidR="002E1F5B" w:rsidRPr="00CA4C14" w:rsidRDefault="002E1F5B" w:rsidP="00B772C9">
            <w:pPr>
              <w:pStyle w:val="Tabletext"/>
              <w:spacing w:before="0" w:after="0"/>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44C4EB73" w14:textId="77777777" w:rsidR="002E1F5B" w:rsidRPr="00CA4C14" w:rsidRDefault="002E1F5B" w:rsidP="00B772C9">
            <w:pPr>
              <w:pStyle w:val="Tabletext"/>
              <w:spacing w:before="0" w:after="0"/>
              <w:jc w:val="right"/>
              <w:rPr>
                <w:rFonts w:ascii="Times New Roman" w:hAnsi="Times New Roman"/>
                <w:lang w:val="ru-RU" w:eastAsia="en-GB"/>
              </w:rPr>
            </w:pPr>
          </w:p>
        </w:tc>
        <w:tc>
          <w:tcPr>
            <w:tcW w:w="353" w:type="pct"/>
            <w:tcBorders>
              <w:top w:val="nil"/>
              <w:left w:val="nil"/>
              <w:bottom w:val="nil"/>
              <w:right w:val="nil"/>
            </w:tcBorders>
            <w:shd w:val="clear" w:color="auto" w:fill="auto"/>
            <w:noWrap/>
            <w:vAlign w:val="bottom"/>
            <w:hideMark/>
          </w:tcPr>
          <w:p w14:paraId="5189725E" w14:textId="77777777" w:rsidR="002E1F5B" w:rsidRPr="00CA4C14" w:rsidRDefault="002E1F5B" w:rsidP="00B772C9">
            <w:pPr>
              <w:pStyle w:val="Tabletext"/>
              <w:spacing w:before="0" w:after="0"/>
              <w:jc w:val="right"/>
              <w:rPr>
                <w:rFonts w:ascii="Times New Roman" w:hAnsi="Times New Roman"/>
                <w:b/>
                <w:bCs/>
                <w:lang w:val="ru-RU" w:eastAsia="en-GB"/>
              </w:rPr>
            </w:pPr>
          </w:p>
        </w:tc>
      </w:tr>
      <w:tr w:rsidR="002E1F5B" w:rsidRPr="00CA4C14" w14:paraId="6DE82989" w14:textId="77777777" w:rsidTr="00922DE4">
        <w:tc>
          <w:tcPr>
            <w:tcW w:w="1460" w:type="pct"/>
            <w:tcBorders>
              <w:top w:val="nil"/>
              <w:left w:val="nil"/>
              <w:bottom w:val="nil"/>
              <w:right w:val="nil"/>
            </w:tcBorders>
            <w:shd w:val="clear" w:color="auto" w:fill="auto"/>
            <w:hideMark/>
          </w:tcPr>
          <w:p w14:paraId="017B5A36" w14:textId="77777777" w:rsidR="002E1F5B" w:rsidRPr="00CA4C14" w:rsidRDefault="002E1F5B" w:rsidP="00B772C9">
            <w:pPr>
              <w:pStyle w:val="Tabletext"/>
              <w:rPr>
                <w:b/>
                <w:bCs/>
                <w:color w:val="000000"/>
                <w:lang w:val="ru-RU" w:eastAsia="en-GB"/>
              </w:rPr>
            </w:pPr>
            <w:r w:rsidRPr="00CA4C14">
              <w:rPr>
                <w:b/>
                <w:bCs/>
                <w:color w:val="000000"/>
                <w:lang w:val="ru-RU" w:eastAsia="en-GB"/>
              </w:rPr>
              <w:t>РАСХОДЫ</w:t>
            </w:r>
          </w:p>
        </w:tc>
        <w:tc>
          <w:tcPr>
            <w:tcW w:w="391" w:type="pct"/>
            <w:tcBorders>
              <w:top w:val="nil"/>
              <w:left w:val="nil"/>
              <w:bottom w:val="nil"/>
              <w:right w:val="nil"/>
            </w:tcBorders>
            <w:shd w:val="clear" w:color="auto" w:fill="auto"/>
            <w:noWrap/>
            <w:vAlign w:val="bottom"/>
            <w:hideMark/>
          </w:tcPr>
          <w:p w14:paraId="74408C9A" w14:textId="77777777" w:rsidR="002E1F5B" w:rsidRPr="00CA4C14" w:rsidRDefault="002E1F5B" w:rsidP="00B772C9">
            <w:pPr>
              <w:pStyle w:val="Tabletext"/>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6B5ED89E" w14:textId="77777777" w:rsidR="002E1F5B" w:rsidRPr="00CA4C14" w:rsidRDefault="002E1F5B" w:rsidP="00B772C9">
            <w:pPr>
              <w:pStyle w:val="Tabletext"/>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30A927B3" w14:textId="77777777" w:rsidR="002E1F5B" w:rsidRPr="00CA4C14" w:rsidRDefault="002E1F5B" w:rsidP="00B772C9">
            <w:pPr>
              <w:pStyle w:val="Tabletext"/>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hideMark/>
          </w:tcPr>
          <w:p w14:paraId="6464D312" w14:textId="77777777" w:rsidR="002E1F5B" w:rsidRPr="00CA4C14" w:rsidRDefault="002E1F5B" w:rsidP="00B772C9">
            <w:pPr>
              <w:pStyle w:val="Tabletext"/>
              <w:jc w:val="right"/>
              <w:rPr>
                <w:rFonts w:ascii="Times New Roman" w:hAnsi="Times New Roman"/>
                <w:lang w:val="ru-RU" w:eastAsia="en-GB"/>
              </w:rPr>
            </w:pPr>
          </w:p>
        </w:tc>
        <w:tc>
          <w:tcPr>
            <w:tcW w:w="432" w:type="pct"/>
            <w:tcBorders>
              <w:top w:val="nil"/>
              <w:left w:val="nil"/>
              <w:bottom w:val="nil"/>
              <w:right w:val="nil"/>
            </w:tcBorders>
            <w:shd w:val="clear" w:color="auto" w:fill="auto"/>
            <w:noWrap/>
            <w:vAlign w:val="bottom"/>
            <w:hideMark/>
          </w:tcPr>
          <w:p w14:paraId="0B02399A" w14:textId="77777777" w:rsidR="002E1F5B" w:rsidRPr="00CA4C14" w:rsidRDefault="002E1F5B" w:rsidP="00B772C9">
            <w:pPr>
              <w:pStyle w:val="Tabletext"/>
              <w:jc w:val="right"/>
              <w:rPr>
                <w:rFonts w:ascii="Times New Roman" w:hAnsi="Times New Roman"/>
                <w:b/>
                <w:bCs/>
                <w:lang w:val="ru-RU" w:eastAsia="en-GB"/>
              </w:rPr>
            </w:pPr>
          </w:p>
        </w:tc>
        <w:tc>
          <w:tcPr>
            <w:tcW w:w="317" w:type="pct"/>
            <w:tcBorders>
              <w:top w:val="nil"/>
              <w:left w:val="nil"/>
              <w:bottom w:val="nil"/>
              <w:right w:val="nil"/>
            </w:tcBorders>
            <w:shd w:val="clear" w:color="auto" w:fill="auto"/>
            <w:noWrap/>
            <w:vAlign w:val="bottom"/>
            <w:hideMark/>
          </w:tcPr>
          <w:p w14:paraId="6F68772C" w14:textId="77777777" w:rsidR="002E1F5B" w:rsidRPr="00CA4C14" w:rsidRDefault="002E1F5B" w:rsidP="00B772C9">
            <w:pPr>
              <w:pStyle w:val="Tabletext"/>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hideMark/>
          </w:tcPr>
          <w:p w14:paraId="15B0D5F6"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3C0D0553" w14:textId="77777777" w:rsidR="002E1F5B" w:rsidRPr="00CA4C14" w:rsidRDefault="002E1F5B" w:rsidP="00B772C9">
            <w:pPr>
              <w:pStyle w:val="Tabletext"/>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5A921B84" w14:textId="77777777" w:rsidR="002E1F5B" w:rsidRPr="00CA4C14" w:rsidRDefault="002E1F5B" w:rsidP="00B772C9">
            <w:pPr>
              <w:pStyle w:val="Tabletext"/>
              <w:jc w:val="right"/>
              <w:rPr>
                <w:rFonts w:ascii="Times New Roman" w:hAnsi="Times New Roman"/>
                <w:lang w:val="ru-RU" w:eastAsia="en-GB"/>
              </w:rPr>
            </w:pPr>
          </w:p>
        </w:tc>
        <w:tc>
          <w:tcPr>
            <w:tcW w:w="353" w:type="pct"/>
            <w:tcBorders>
              <w:top w:val="nil"/>
              <w:left w:val="nil"/>
              <w:bottom w:val="nil"/>
              <w:right w:val="nil"/>
            </w:tcBorders>
            <w:shd w:val="clear" w:color="auto" w:fill="auto"/>
            <w:noWrap/>
            <w:vAlign w:val="bottom"/>
            <w:hideMark/>
          </w:tcPr>
          <w:p w14:paraId="3236730B" w14:textId="77777777" w:rsidR="002E1F5B" w:rsidRPr="00CA4C14" w:rsidRDefault="002E1F5B" w:rsidP="00B772C9">
            <w:pPr>
              <w:pStyle w:val="Tabletext"/>
              <w:jc w:val="right"/>
              <w:rPr>
                <w:rFonts w:ascii="Times New Roman" w:hAnsi="Times New Roman"/>
                <w:b/>
                <w:bCs/>
                <w:lang w:val="ru-RU" w:eastAsia="en-GB"/>
              </w:rPr>
            </w:pPr>
          </w:p>
        </w:tc>
      </w:tr>
      <w:tr w:rsidR="002E1F5B" w:rsidRPr="00CA4C14" w14:paraId="2EC145E7" w14:textId="77777777" w:rsidTr="00922DE4">
        <w:tc>
          <w:tcPr>
            <w:tcW w:w="1460" w:type="pct"/>
            <w:tcBorders>
              <w:top w:val="nil"/>
              <w:left w:val="nil"/>
              <w:bottom w:val="nil"/>
              <w:right w:val="nil"/>
            </w:tcBorders>
            <w:shd w:val="clear" w:color="auto" w:fill="auto"/>
            <w:hideMark/>
          </w:tcPr>
          <w:p w14:paraId="7E8E63FA" w14:textId="77777777" w:rsidR="002E1F5B" w:rsidRPr="00CA4C14" w:rsidRDefault="002E1F5B" w:rsidP="00B772C9">
            <w:pPr>
              <w:pStyle w:val="Tabletext"/>
              <w:rPr>
                <w:color w:val="000000"/>
                <w:lang w:val="ru-RU" w:eastAsia="en-GB"/>
              </w:rPr>
            </w:pPr>
            <w:r w:rsidRPr="00CA4C14">
              <w:rPr>
                <w:color w:val="000000"/>
                <w:lang w:val="ru-RU" w:eastAsia="en-GB"/>
              </w:rPr>
              <w:t>Расходы по персоналу</w:t>
            </w:r>
          </w:p>
        </w:tc>
        <w:tc>
          <w:tcPr>
            <w:tcW w:w="391" w:type="pct"/>
            <w:tcBorders>
              <w:top w:val="nil"/>
              <w:left w:val="nil"/>
              <w:bottom w:val="nil"/>
              <w:right w:val="nil"/>
            </w:tcBorders>
            <w:shd w:val="clear" w:color="auto" w:fill="auto"/>
            <w:noWrap/>
            <w:vAlign w:val="bottom"/>
            <w:hideMark/>
          </w:tcPr>
          <w:p w14:paraId="379E6DB9" w14:textId="77777777" w:rsidR="002E1F5B" w:rsidRPr="00CA4C14" w:rsidRDefault="002E1F5B" w:rsidP="00B772C9">
            <w:pPr>
              <w:pStyle w:val="Tabletext"/>
              <w:jc w:val="right"/>
              <w:rPr>
                <w:lang w:val="ru-RU" w:eastAsia="en-GB"/>
              </w:rPr>
            </w:pPr>
            <w:r w:rsidRPr="00CA4C14">
              <w:rPr>
                <w:lang w:val="ru-RU" w:eastAsia="en-GB"/>
              </w:rPr>
              <w:t>72 881</w:t>
            </w:r>
          </w:p>
        </w:tc>
        <w:tc>
          <w:tcPr>
            <w:tcW w:w="315" w:type="pct"/>
            <w:tcBorders>
              <w:top w:val="nil"/>
              <w:left w:val="nil"/>
              <w:bottom w:val="nil"/>
              <w:right w:val="nil"/>
            </w:tcBorders>
            <w:shd w:val="clear" w:color="auto" w:fill="auto"/>
            <w:noWrap/>
            <w:vAlign w:val="bottom"/>
            <w:hideMark/>
          </w:tcPr>
          <w:p w14:paraId="53E42E71" w14:textId="77777777" w:rsidR="002E1F5B" w:rsidRPr="00CA4C14" w:rsidRDefault="002E1F5B" w:rsidP="00B772C9">
            <w:pPr>
              <w:pStyle w:val="Tabletext"/>
              <w:jc w:val="right"/>
              <w:rPr>
                <w:lang w:val="ru-RU" w:eastAsia="en-GB"/>
              </w:rPr>
            </w:pPr>
            <w:r w:rsidRPr="00CA4C14">
              <w:rPr>
                <w:lang w:val="ru-RU" w:eastAsia="en-GB"/>
              </w:rPr>
              <w:t>31 485</w:t>
            </w:r>
          </w:p>
        </w:tc>
        <w:tc>
          <w:tcPr>
            <w:tcW w:w="315" w:type="pct"/>
            <w:tcBorders>
              <w:top w:val="nil"/>
              <w:left w:val="nil"/>
              <w:bottom w:val="nil"/>
              <w:right w:val="nil"/>
            </w:tcBorders>
            <w:shd w:val="clear" w:color="auto" w:fill="auto"/>
            <w:noWrap/>
            <w:vAlign w:val="bottom"/>
            <w:hideMark/>
          </w:tcPr>
          <w:p w14:paraId="73D695E4" w14:textId="77777777" w:rsidR="002E1F5B" w:rsidRPr="00CA4C14" w:rsidRDefault="002E1F5B" w:rsidP="00B772C9">
            <w:pPr>
              <w:pStyle w:val="Tabletext"/>
              <w:jc w:val="right"/>
              <w:rPr>
                <w:lang w:val="ru-RU" w:eastAsia="en-GB"/>
              </w:rPr>
            </w:pPr>
            <w:r w:rsidRPr="00CA4C14">
              <w:rPr>
                <w:lang w:val="ru-RU" w:eastAsia="en-GB"/>
              </w:rPr>
              <w:t>12 627</w:t>
            </w:r>
          </w:p>
        </w:tc>
        <w:tc>
          <w:tcPr>
            <w:tcW w:w="316" w:type="pct"/>
            <w:tcBorders>
              <w:top w:val="nil"/>
              <w:left w:val="nil"/>
              <w:bottom w:val="nil"/>
              <w:right w:val="nil"/>
            </w:tcBorders>
            <w:shd w:val="clear" w:color="auto" w:fill="auto"/>
            <w:noWrap/>
            <w:vAlign w:val="bottom"/>
            <w:hideMark/>
          </w:tcPr>
          <w:p w14:paraId="0A413ACD" w14:textId="77777777" w:rsidR="002E1F5B" w:rsidRPr="00CA4C14" w:rsidRDefault="002E1F5B" w:rsidP="00B772C9">
            <w:pPr>
              <w:pStyle w:val="Tabletext"/>
              <w:jc w:val="right"/>
              <w:rPr>
                <w:lang w:val="ru-RU" w:eastAsia="en-GB"/>
              </w:rPr>
            </w:pPr>
            <w:r w:rsidRPr="00CA4C14">
              <w:rPr>
                <w:lang w:val="ru-RU" w:eastAsia="en-GB"/>
              </w:rPr>
              <w:t>25 272</w:t>
            </w:r>
          </w:p>
        </w:tc>
        <w:tc>
          <w:tcPr>
            <w:tcW w:w="432" w:type="pct"/>
            <w:tcBorders>
              <w:top w:val="nil"/>
              <w:left w:val="nil"/>
              <w:bottom w:val="nil"/>
              <w:right w:val="nil"/>
            </w:tcBorders>
            <w:shd w:val="clear" w:color="auto" w:fill="auto"/>
            <w:noWrap/>
            <w:vAlign w:val="bottom"/>
            <w:hideMark/>
          </w:tcPr>
          <w:p w14:paraId="03797E67" w14:textId="77777777" w:rsidR="002E1F5B" w:rsidRPr="00CA4C14" w:rsidRDefault="002E1F5B" w:rsidP="00B772C9">
            <w:pPr>
              <w:pStyle w:val="Tabletext"/>
              <w:jc w:val="right"/>
              <w:rPr>
                <w:b/>
                <w:bCs/>
                <w:lang w:val="ru-RU" w:eastAsia="en-GB"/>
              </w:rPr>
            </w:pPr>
            <w:r w:rsidRPr="00CA4C14">
              <w:rPr>
                <w:b/>
                <w:bCs/>
                <w:lang w:val="ru-RU" w:eastAsia="en-GB"/>
              </w:rPr>
              <w:t>142 266</w:t>
            </w:r>
          </w:p>
        </w:tc>
        <w:tc>
          <w:tcPr>
            <w:tcW w:w="317" w:type="pct"/>
            <w:tcBorders>
              <w:top w:val="nil"/>
              <w:left w:val="nil"/>
              <w:bottom w:val="nil"/>
              <w:right w:val="nil"/>
            </w:tcBorders>
            <w:shd w:val="clear" w:color="auto" w:fill="auto"/>
            <w:noWrap/>
            <w:vAlign w:val="bottom"/>
            <w:hideMark/>
          </w:tcPr>
          <w:p w14:paraId="66F2E42C" w14:textId="77777777" w:rsidR="002E1F5B" w:rsidRPr="00CA4C14" w:rsidRDefault="002E1F5B" w:rsidP="00B772C9">
            <w:pPr>
              <w:pStyle w:val="Tabletext"/>
              <w:jc w:val="right"/>
              <w:rPr>
                <w:lang w:val="ru-RU" w:eastAsia="en-GB"/>
              </w:rPr>
            </w:pPr>
            <w:r w:rsidRPr="00CA4C14">
              <w:rPr>
                <w:lang w:val="ru-RU" w:eastAsia="en-GB"/>
              </w:rPr>
              <w:t>(8)</w:t>
            </w:r>
          </w:p>
        </w:tc>
        <w:tc>
          <w:tcPr>
            <w:tcW w:w="303" w:type="pct"/>
            <w:tcBorders>
              <w:top w:val="nil"/>
              <w:left w:val="nil"/>
              <w:bottom w:val="nil"/>
              <w:right w:val="nil"/>
            </w:tcBorders>
            <w:shd w:val="clear" w:color="auto" w:fill="auto"/>
            <w:noWrap/>
            <w:vAlign w:val="bottom"/>
            <w:hideMark/>
          </w:tcPr>
          <w:p w14:paraId="0F285304" w14:textId="77777777" w:rsidR="002E1F5B" w:rsidRPr="00CA4C14" w:rsidRDefault="002E1F5B" w:rsidP="00B772C9">
            <w:pPr>
              <w:pStyle w:val="Tabletext"/>
              <w:jc w:val="right"/>
              <w:rPr>
                <w:lang w:val="ru-RU" w:eastAsia="en-GB"/>
              </w:rPr>
            </w:pPr>
          </w:p>
        </w:tc>
        <w:tc>
          <w:tcPr>
            <w:tcW w:w="408" w:type="pct"/>
            <w:tcBorders>
              <w:top w:val="nil"/>
              <w:left w:val="nil"/>
              <w:bottom w:val="nil"/>
              <w:right w:val="nil"/>
            </w:tcBorders>
            <w:shd w:val="clear" w:color="auto" w:fill="auto"/>
            <w:noWrap/>
            <w:vAlign w:val="bottom"/>
            <w:hideMark/>
          </w:tcPr>
          <w:p w14:paraId="19056A91" w14:textId="77777777" w:rsidR="002E1F5B" w:rsidRPr="00CA4C14" w:rsidRDefault="002E1F5B" w:rsidP="00B772C9">
            <w:pPr>
              <w:pStyle w:val="Tabletext"/>
              <w:jc w:val="right"/>
              <w:rPr>
                <w:lang w:val="ru-RU" w:eastAsia="en-GB"/>
              </w:rPr>
            </w:pPr>
            <w:r w:rsidRPr="00CA4C14">
              <w:rPr>
                <w:lang w:val="ru-RU" w:eastAsia="en-GB"/>
              </w:rPr>
              <w:t>8 466</w:t>
            </w:r>
          </w:p>
        </w:tc>
        <w:tc>
          <w:tcPr>
            <w:tcW w:w="390" w:type="pct"/>
            <w:tcBorders>
              <w:top w:val="nil"/>
              <w:left w:val="nil"/>
              <w:bottom w:val="nil"/>
              <w:right w:val="nil"/>
            </w:tcBorders>
            <w:shd w:val="clear" w:color="auto" w:fill="auto"/>
            <w:noWrap/>
            <w:vAlign w:val="bottom"/>
            <w:hideMark/>
          </w:tcPr>
          <w:p w14:paraId="7FD5F34C"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4DE39468"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150 724</w:t>
            </w:r>
          </w:p>
        </w:tc>
      </w:tr>
      <w:tr w:rsidR="002E1F5B" w:rsidRPr="00CA4C14" w14:paraId="639C58BE" w14:textId="77777777" w:rsidTr="00922DE4">
        <w:tc>
          <w:tcPr>
            <w:tcW w:w="1460" w:type="pct"/>
            <w:tcBorders>
              <w:top w:val="nil"/>
              <w:left w:val="nil"/>
              <w:bottom w:val="nil"/>
              <w:right w:val="nil"/>
            </w:tcBorders>
            <w:shd w:val="clear" w:color="auto" w:fill="auto"/>
            <w:hideMark/>
          </w:tcPr>
          <w:p w14:paraId="47A38CE1" w14:textId="77777777" w:rsidR="002E1F5B" w:rsidRPr="00CA4C14" w:rsidRDefault="002E1F5B" w:rsidP="00B772C9">
            <w:pPr>
              <w:pStyle w:val="Tabletext"/>
              <w:rPr>
                <w:color w:val="000000"/>
                <w:lang w:val="ru-RU" w:eastAsia="en-GB"/>
              </w:rPr>
            </w:pPr>
            <w:r w:rsidRPr="00CA4C14">
              <w:rPr>
                <w:color w:val="000000"/>
                <w:lang w:val="ru-RU" w:eastAsia="en-GB"/>
              </w:rPr>
              <w:t>Служебные командировки</w:t>
            </w:r>
          </w:p>
        </w:tc>
        <w:tc>
          <w:tcPr>
            <w:tcW w:w="391" w:type="pct"/>
            <w:tcBorders>
              <w:top w:val="nil"/>
              <w:left w:val="nil"/>
              <w:bottom w:val="nil"/>
              <w:right w:val="nil"/>
            </w:tcBorders>
            <w:shd w:val="clear" w:color="auto" w:fill="auto"/>
            <w:noWrap/>
            <w:vAlign w:val="bottom"/>
            <w:hideMark/>
          </w:tcPr>
          <w:p w14:paraId="68606509" w14:textId="77777777" w:rsidR="002E1F5B" w:rsidRPr="00CA4C14" w:rsidRDefault="002E1F5B" w:rsidP="00B772C9">
            <w:pPr>
              <w:pStyle w:val="Tabletext"/>
              <w:jc w:val="right"/>
              <w:rPr>
                <w:lang w:val="ru-RU" w:eastAsia="en-GB"/>
              </w:rPr>
            </w:pPr>
            <w:r w:rsidRPr="00CA4C14">
              <w:rPr>
                <w:lang w:val="ru-RU" w:eastAsia="en-GB"/>
              </w:rPr>
              <w:t>917</w:t>
            </w:r>
          </w:p>
        </w:tc>
        <w:tc>
          <w:tcPr>
            <w:tcW w:w="315" w:type="pct"/>
            <w:tcBorders>
              <w:top w:val="nil"/>
              <w:left w:val="nil"/>
              <w:bottom w:val="nil"/>
              <w:right w:val="nil"/>
            </w:tcBorders>
            <w:shd w:val="clear" w:color="auto" w:fill="auto"/>
            <w:noWrap/>
            <w:vAlign w:val="bottom"/>
            <w:hideMark/>
          </w:tcPr>
          <w:p w14:paraId="5510E72E" w14:textId="77777777" w:rsidR="002E1F5B" w:rsidRPr="00CA4C14" w:rsidRDefault="002E1F5B" w:rsidP="00B772C9">
            <w:pPr>
              <w:pStyle w:val="Tabletext"/>
              <w:jc w:val="right"/>
              <w:rPr>
                <w:lang w:val="ru-RU" w:eastAsia="en-GB"/>
              </w:rPr>
            </w:pPr>
            <w:r w:rsidRPr="00CA4C14">
              <w:rPr>
                <w:lang w:val="ru-RU" w:eastAsia="en-GB"/>
              </w:rPr>
              <w:t>2 284</w:t>
            </w:r>
          </w:p>
        </w:tc>
        <w:tc>
          <w:tcPr>
            <w:tcW w:w="315" w:type="pct"/>
            <w:tcBorders>
              <w:top w:val="nil"/>
              <w:left w:val="nil"/>
              <w:bottom w:val="nil"/>
              <w:right w:val="nil"/>
            </w:tcBorders>
            <w:shd w:val="clear" w:color="auto" w:fill="auto"/>
            <w:noWrap/>
            <w:vAlign w:val="bottom"/>
            <w:hideMark/>
          </w:tcPr>
          <w:p w14:paraId="0481B28C" w14:textId="77777777" w:rsidR="002E1F5B" w:rsidRPr="00CA4C14" w:rsidRDefault="002E1F5B" w:rsidP="00B772C9">
            <w:pPr>
              <w:pStyle w:val="Tabletext"/>
              <w:jc w:val="right"/>
              <w:rPr>
                <w:lang w:val="ru-RU" w:eastAsia="en-GB"/>
              </w:rPr>
            </w:pPr>
            <w:r w:rsidRPr="00CA4C14">
              <w:rPr>
                <w:lang w:val="ru-RU" w:eastAsia="en-GB"/>
              </w:rPr>
              <w:t>519</w:t>
            </w:r>
          </w:p>
        </w:tc>
        <w:tc>
          <w:tcPr>
            <w:tcW w:w="316" w:type="pct"/>
            <w:tcBorders>
              <w:top w:val="nil"/>
              <w:left w:val="nil"/>
              <w:bottom w:val="nil"/>
              <w:right w:val="nil"/>
            </w:tcBorders>
            <w:shd w:val="clear" w:color="auto" w:fill="auto"/>
            <w:noWrap/>
            <w:vAlign w:val="bottom"/>
            <w:hideMark/>
          </w:tcPr>
          <w:p w14:paraId="7EAB485F" w14:textId="77777777" w:rsidR="002E1F5B" w:rsidRPr="00CA4C14" w:rsidRDefault="002E1F5B" w:rsidP="00B772C9">
            <w:pPr>
              <w:pStyle w:val="Tabletext"/>
              <w:jc w:val="right"/>
              <w:rPr>
                <w:lang w:val="ru-RU" w:eastAsia="en-GB"/>
              </w:rPr>
            </w:pPr>
            <w:r w:rsidRPr="00CA4C14">
              <w:rPr>
                <w:lang w:val="ru-RU" w:eastAsia="en-GB"/>
              </w:rPr>
              <w:t>1 796</w:t>
            </w:r>
          </w:p>
        </w:tc>
        <w:tc>
          <w:tcPr>
            <w:tcW w:w="432" w:type="pct"/>
            <w:tcBorders>
              <w:top w:val="nil"/>
              <w:left w:val="nil"/>
              <w:bottom w:val="nil"/>
              <w:right w:val="nil"/>
            </w:tcBorders>
            <w:shd w:val="clear" w:color="auto" w:fill="auto"/>
            <w:noWrap/>
            <w:vAlign w:val="bottom"/>
            <w:hideMark/>
          </w:tcPr>
          <w:p w14:paraId="0C046877" w14:textId="77777777" w:rsidR="002E1F5B" w:rsidRPr="00CA4C14" w:rsidRDefault="002E1F5B" w:rsidP="00B772C9">
            <w:pPr>
              <w:pStyle w:val="Tabletext"/>
              <w:jc w:val="right"/>
              <w:rPr>
                <w:b/>
                <w:bCs/>
                <w:lang w:val="ru-RU" w:eastAsia="en-GB"/>
              </w:rPr>
            </w:pPr>
            <w:r w:rsidRPr="00CA4C14">
              <w:rPr>
                <w:b/>
                <w:bCs/>
                <w:lang w:val="ru-RU" w:eastAsia="en-GB"/>
              </w:rPr>
              <w:t>5 516</w:t>
            </w:r>
          </w:p>
        </w:tc>
        <w:tc>
          <w:tcPr>
            <w:tcW w:w="317" w:type="pct"/>
            <w:tcBorders>
              <w:top w:val="nil"/>
              <w:left w:val="nil"/>
              <w:bottom w:val="nil"/>
              <w:right w:val="nil"/>
            </w:tcBorders>
            <w:shd w:val="clear" w:color="auto" w:fill="auto"/>
            <w:noWrap/>
            <w:vAlign w:val="bottom"/>
            <w:hideMark/>
          </w:tcPr>
          <w:p w14:paraId="20284BC3"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44EF49F6"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2AF53F34" w14:textId="77777777" w:rsidR="002E1F5B" w:rsidRPr="00CA4C14" w:rsidRDefault="002E1F5B" w:rsidP="00B772C9">
            <w:pPr>
              <w:pStyle w:val="Tabletext"/>
              <w:jc w:val="right"/>
              <w:rPr>
                <w:lang w:val="ru-RU" w:eastAsia="en-GB"/>
              </w:rPr>
            </w:pPr>
            <w:r w:rsidRPr="00CA4C14">
              <w:rPr>
                <w:lang w:val="ru-RU" w:eastAsia="en-GB"/>
              </w:rPr>
              <w:t>2 272</w:t>
            </w:r>
          </w:p>
        </w:tc>
        <w:tc>
          <w:tcPr>
            <w:tcW w:w="390" w:type="pct"/>
            <w:tcBorders>
              <w:top w:val="nil"/>
              <w:left w:val="nil"/>
              <w:bottom w:val="nil"/>
              <w:right w:val="nil"/>
            </w:tcBorders>
            <w:shd w:val="clear" w:color="auto" w:fill="auto"/>
            <w:noWrap/>
            <w:vAlign w:val="bottom"/>
            <w:hideMark/>
          </w:tcPr>
          <w:p w14:paraId="1D8689C1"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4D5F7F1D"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7 788</w:t>
            </w:r>
          </w:p>
        </w:tc>
      </w:tr>
      <w:tr w:rsidR="002E1F5B" w:rsidRPr="00CA4C14" w14:paraId="40BE94FD" w14:textId="77777777" w:rsidTr="00922DE4">
        <w:tc>
          <w:tcPr>
            <w:tcW w:w="1460" w:type="pct"/>
            <w:tcBorders>
              <w:top w:val="nil"/>
              <w:left w:val="nil"/>
              <w:bottom w:val="nil"/>
              <w:right w:val="nil"/>
            </w:tcBorders>
            <w:shd w:val="clear" w:color="auto" w:fill="auto"/>
            <w:hideMark/>
          </w:tcPr>
          <w:p w14:paraId="00056FBB" w14:textId="77777777" w:rsidR="002E1F5B" w:rsidRPr="00CA4C14" w:rsidRDefault="002E1F5B" w:rsidP="00B772C9">
            <w:pPr>
              <w:pStyle w:val="Tabletext"/>
              <w:rPr>
                <w:color w:val="000000"/>
                <w:lang w:val="ru-RU" w:eastAsia="en-GB"/>
              </w:rPr>
            </w:pPr>
            <w:r w:rsidRPr="00CA4C14">
              <w:rPr>
                <w:lang w:val="ru-RU"/>
              </w:rPr>
              <w:t>Контрактные услуги</w:t>
            </w:r>
          </w:p>
        </w:tc>
        <w:tc>
          <w:tcPr>
            <w:tcW w:w="391" w:type="pct"/>
            <w:tcBorders>
              <w:top w:val="nil"/>
              <w:left w:val="nil"/>
              <w:bottom w:val="nil"/>
              <w:right w:val="nil"/>
            </w:tcBorders>
            <w:shd w:val="clear" w:color="auto" w:fill="auto"/>
            <w:noWrap/>
            <w:vAlign w:val="bottom"/>
            <w:hideMark/>
          </w:tcPr>
          <w:p w14:paraId="6B9C1254" w14:textId="77777777" w:rsidR="002E1F5B" w:rsidRPr="00CA4C14" w:rsidRDefault="002E1F5B" w:rsidP="00B772C9">
            <w:pPr>
              <w:pStyle w:val="Tabletext"/>
              <w:jc w:val="right"/>
              <w:rPr>
                <w:lang w:val="ru-RU" w:eastAsia="en-GB"/>
              </w:rPr>
            </w:pPr>
            <w:r w:rsidRPr="00CA4C14">
              <w:rPr>
                <w:lang w:val="ru-RU" w:eastAsia="en-GB"/>
              </w:rPr>
              <w:t>8 586</w:t>
            </w:r>
          </w:p>
        </w:tc>
        <w:tc>
          <w:tcPr>
            <w:tcW w:w="315" w:type="pct"/>
            <w:tcBorders>
              <w:top w:val="nil"/>
              <w:left w:val="nil"/>
              <w:bottom w:val="nil"/>
              <w:right w:val="nil"/>
            </w:tcBorders>
            <w:shd w:val="clear" w:color="auto" w:fill="auto"/>
            <w:noWrap/>
            <w:vAlign w:val="bottom"/>
            <w:hideMark/>
          </w:tcPr>
          <w:p w14:paraId="5D77FF99" w14:textId="77777777" w:rsidR="002E1F5B" w:rsidRPr="00CA4C14" w:rsidRDefault="002E1F5B" w:rsidP="00B772C9">
            <w:pPr>
              <w:pStyle w:val="Tabletext"/>
              <w:jc w:val="right"/>
              <w:rPr>
                <w:lang w:val="ru-RU" w:eastAsia="en-GB"/>
              </w:rPr>
            </w:pPr>
            <w:r w:rsidRPr="00CA4C14">
              <w:rPr>
                <w:lang w:val="ru-RU" w:eastAsia="en-GB"/>
              </w:rPr>
              <w:t>871</w:t>
            </w:r>
          </w:p>
        </w:tc>
        <w:tc>
          <w:tcPr>
            <w:tcW w:w="315" w:type="pct"/>
            <w:tcBorders>
              <w:top w:val="nil"/>
              <w:left w:val="nil"/>
              <w:bottom w:val="nil"/>
              <w:right w:val="nil"/>
            </w:tcBorders>
            <w:shd w:val="clear" w:color="auto" w:fill="auto"/>
            <w:noWrap/>
            <w:vAlign w:val="bottom"/>
            <w:hideMark/>
          </w:tcPr>
          <w:p w14:paraId="5F958B8A" w14:textId="77777777" w:rsidR="002E1F5B" w:rsidRPr="00CA4C14" w:rsidRDefault="002E1F5B" w:rsidP="00B772C9">
            <w:pPr>
              <w:pStyle w:val="Tabletext"/>
              <w:jc w:val="right"/>
              <w:rPr>
                <w:lang w:val="ru-RU" w:eastAsia="en-GB"/>
              </w:rPr>
            </w:pPr>
            <w:r w:rsidRPr="00CA4C14">
              <w:rPr>
                <w:lang w:val="ru-RU" w:eastAsia="en-GB"/>
              </w:rPr>
              <w:t>524</w:t>
            </w:r>
          </w:p>
        </w:tc>
        <w:tc>
          <w:tcPr>
            <w:tcW w:w="316" w:type="pct"/>
            <w:tcBorders>
              <w:top w:val="nil"/>
              <w:left w:val="nil"/>
              <w:bottom w:val="nil"/>
              <w:right w:val="nil"/>
            </w:tcBorders>
            <w:shd w:val="clear" w:color="auto" w:fill="auto"/>
            <w:noWrap/>
            <w:vAlign w:val="bottom"/>
            <w:hideMark/>
          </w:tcPr>
          <w:p w14:paraId="071709BF" w14:textId="77777777" w:rsidR="002E1F5B" w:rsidRPr="00CA4C14" w:rsidRDefault="002E1F5B" w:rsidP="00B772C9">
            <w:pPr>
              <w:pStyle w:val="Tabletext"/>
              <w:jc w:val="right"/>
              <w:rPr>
                <w:lang w:val="ru-RU" w:eastAsia="en-GB"/>
              </w:rPr>
            </w:pPr>
            <w:r w:rsidRPr="00CA4C14">
              <w:rPr>
                <w:lang w:val="ru-RU" w:eastAsia="en-GB"/>
              </w:rPr>
              <w:t>2 184</w:t>
            </w:r>
          </w:p>
        </w:tc>
        <w:tc>
          <w:tcPr>
            <w:tcW w:w="432" w:type="pct"/>
            <w:tcBorders>
              <w:top w:val="nil"/>
              <w:left w:val="nil"/>
              <w:bottom w:val="nil"/>
              <w:right w:val="nil"/>
            </w:tcBorders>
            <w:shd w:val="clear" w:color="auto" w:fill="auto"/>
            <w:noWrap/>
            <w:vAlign w:val="bottom"/>
            <w:hideMark/>
          </w:tcPr>
          <w:p w14:paraId="19DDAB59" w14:textId="77777777" w:rsidR="002E1F5B" w:rsidRPr="00CA4C14" w:rsidRDefault="002E1F5B" w:rsidP="00B772C9">
            <w:pPr>
              <w:pStyle w:val="Tabletext"/>
              <w:jc w:val="right"/>
              <w:rPr>
                <w:b/>
                <w:bCs/>
                <w:lang w:val="ru-RU" w:eastAsia="en-GB"/>
              </w:rPr>
            </w:pPr>
            <w:r w:rsidRPr="00CA4C14">
              <w:rPr>
                <w:b/>
                <w:bCs/>
                <w:lang w:val="ru-RU" w:eastAsia="en-GB"/>
              </w:rPr>
              <w:t>12 165</w:t>
            </w:r>
          </w:p>
        </w:tc>
        <w:tc>
          <w:tcPr>
            <w:tcW w:w="317" w:type="pct"/>
            <w:tcBorders>
              <w:top w:val="nil"/>
              <w:left w:val="nil"/>
              <w:bottom w:val="nil"/>
              <w:right w:val="nil"/>
            </w:tcBorders>
            <w:shd w:val="clear" w:color="auto" w:fill="auto"/>
            <w:noWrap/>
            <w:vAlign w:val="bottom"/>
            <w:hideMark/>
          </w:tcPr>
          <w:p w14:paraId="68032955" w14:textId="77777777" w:rsidR="002E1F5B" w:rsidRPr="00CA4C14" w:rsidRDefault="002E1F5B" w:rsidP="00B772C9">
            <w:pPr>
              <w:pStyle w:val="Tabletext"/>
              <w:jc w:val="right"/>
              <w:rPr>
                <w:lang w:val="ru-RU" w:eastAsia="en-GB"/>
              </w:rPr>
            </w:pPr>
            <w:r w:rsidRPr="00CA4C14">
              <w:rPr>
                <w:lang w:val="ru-RU" w:eastAsia="en-GB"/>
              </w:rPr>
              <w:t>8</w:t>
            </w:r>
          </w:p>
        </w:tc>
        <w:tc>
          <w:tcPr>
            <w:tcW w:w="303" w:type="pct"/>
            <w:tcBorders>
              <w:top w:val="nil"/>
              <w:left w:val="nil"/>
              <w:bottom w:val="nil"/>
              <w:right w:val="nil"/>
            </w:tcBorders>
            <w:shd w:val="clear" w:color="auto" w:fill="auto"/>
            <w:noWrap/>
            <w:vAlign w:val="bottom"/>
            <w:hideMark/>
          </w:tcPr>
          <w:p w14:paraId="5C557DF7" w14:textId="77777777" w:rsidR="002E1F5B" w:rsidRPr="00CA4C14" w:rsidRDefault="002E1F5B" w:rsidP="00B772C9">
            <w:pPr>
              <w:pStyle w:val="Tabletext"/>
              <w:jc w:val="right"/>
              <w:rPr>
                <w:lang w:val="ru-RU" w:eastAsia="en-GB"/>
              </w:rPr>
            </w:pPr>
          </w:p>
        </w:tc>
        <w:tc>
          <w:tcPr>
            <w:tcW w:w="408" w:type="pct"/>
            <w:tcBorders>
              <w:top w:val="nil"/>
              <w:left w:val="nil"/>
              <w:bottom w:val="nil"/>
              <w:right w:val="nil"/>
            </w:tcBorders>
            <w:shd w:val="clear" w:color="auto" w:fill="auto"/>
            <w:noWrap/>
            <w:vAlign w:val="bottom"/>
            <w:hideMark/>
          </w:tcPr>
          <w:p w14:paraId="56CE4FA2" w14:textId="77777777" w:rsidR="002E1F5B" w:rsidRPr="00CA4C14" w:rsidRDefault="002E1F5B" w:rsidP="00B772C9">
            <w:pPr>
              <w:pStyle w:val="Tabletext"/>
              <w:jc w:val="right"/>
              <w:rPr>
                <w:lang w:val="ru-RU" w:eastAsia="en-GB"/>
              </w:rPr>
            </w:pPr>
            <w:r w:rsidRPr="00CA4C14">
              <w:rPr>
                <w:lang w:val="ru-RU" w:eastAsia="en-GB"/>
              </w:rPr>
              <w:t>9 649</w:t>
            </w:r>
          </w:p>
        </w:tc>
        <w:tc>
          <w:tcPr>
            <w:tcW w:w="390" w:type="pct"/>
            <w:tcBorders>
              <w:top w:val="nil"/>
              <w:left w:val="nil"/>
              <w:bottom w:val="nil"/>
              <w:right w:val="nil"/>
            </w:tcBorders>
            <w:shd w:val="clear" w:color="auto" w:fill="auto"/>
            <w:noWrap/>
            <w:vAlign w:val="bottom"/>
            <w:hideMark/>
          </w:tcPr>
          <w:p w14:paraId="43D1F110"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6819CC46"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21 821</w:t>
            </w:r>
          </w:p>
        </w:tc>
      </w:tr>
      <w:tr w:rsidR="002E1F5B" w:rsidRPr="00CA4C14" w14:paraId="4CDC3A86" w14:textId="77777777" w:rsidTr="00922DE4">
        <w:tc>
          <w:tcPr>
            <w:tcW w:w="1460" w:type="pct"/>
            <w:tcBorders>
              <w:top w:val="nil"/>
              <w:left w:val="nil"/>
              <w:bottom w:val="nil"/>
              <w:right w:val="nil"/>
            </w:tcBorders>
            <w:shd w:val="clear" w:color="auto" w:fill="auto"/>
            <w:hideMark/>
          </w:tcPr>
          <w:p w14:paraId="6A66758A" w14:textId="77777777" w:rsidR="002E1F5B" w:rsidRPr="00CA4C14" w:rsidRDefault="002E1F5B" w:rsidP="00B772C9">
            <w:pPr>
              <w:pStyle w:val="Tabletext"/>
              <w:rPr>
                <w:color w:val="000000"/>
                <w:lang w:val="ru-RU" w:eastAsia="en-GB"/>
              </w:rPr>
            </w:pPr>
            <w:r w:rsidRPr="00CA4C14">
              <w:rPr>
                <w:lang w:val="ru-RU"/>
              </w:rPr>
              <w:t>Аренда и эксплуатация помещений и оборудования</w:t>
            </w:r>
          </w:p>
        </w:tc>
        <w:tc>
          <w:tcPr>
            <w:tcW w:w="391" w:type="pct"/>
            <w:tcBorders>
              <w:top w:val="nil"/>
              <w:left w:val="nil"/>
              <w:bottom w:val="nil"/>
              <w:right w:val="nil"/>
            </w:tcBorders>
            <w:shd w:val="clear" w:color="auto" w:fill="auto"/>
            <w:noWrap/>
            <w:vAlign w:val="bottom"/>
            <w:hideMark/>
          </w:tcPr>
          <w:p w14:paraId="77B821D8" w14:textId="77777777" w:rsidR="002E1F5B" w:rsidRPr="00CA4C14" w:rsidRDefault="002E1F5B" w:rsidP="00B772C9">
            <w:pPr>
              <w:pStyle w:val="Tabletext"/>
              <w:jc w:val="right"/>
              <w:rPr>
                <w:lang w:val="ru-RU" w:eastAsia="en-GB"/>
              </w:rPr>
            </w:pPr>
            <w:r w:rsidRPr="00CA4C14">
              <w:rPr>
                <w:lang w:val="ru-RU" w:eastAsia="en-GB"/>
              </w:rPr>
              <w:t>2 304</w:t>
            </w:r>
          </w:p>
        </w:tc>
        <w:tc>
          <w:tcPr>
            <w:tcW w:w="315" w:type="pct"/>
            <w:tcBorders>
              <w:top w:val="nil"/>
              <w:left w:val="nil"/>
              <w:bottom w:val="nil"/>
              <w:right w:val="nil"/>
            </w:tcBorders>
            <w:shd w:val="clear" w:color="auto" w:fill="auto"/>
            <w:noWrap/>
            <w:vAlign w:val="bottom"/>
            <w:hideMark/>
          </w:tcPr>
          <w:p w14:paraId="6DF75F31" w14:textId="77777777" w:rsidR="002E1F5B" w:rsidRPr="00CA4C14" w:rsidRDefault="002E1F5B" w:rsidP="00B772C9">
            <w:pPr>
              <w:pStyle w:val="Tabletext"/>
              <w:jc w:val="right"/>
              <w:rPr>
                <w:lang w:val="ru-RU" w:eastAsia="en-GB"/>
              </w:rPr>
            </w:pPr>
            <w:r w:rsidRPr="00CA4C14">
              <w:rPr>
                <w:lang w:val="ru-RU" w:eastAsia="en-GB"/>
              </w:rPr>
              <w:t>171</w:t>
            </w:r>
          </w:p>
        </w:tc>
        <w:tc>
          <w:tcPr>
            <w:tcW w:w="315" w:type="pct"/>
            <w:tcBorders>
              <w:top w:val="nil"/>
              <w:left w:val="nil"/>
              <w:bottom w:val="nil"/>
              <w:right w:val="nil"/>
            </w:tcBorders>
            <w:shd w:val="clear" w:color="auto" w:fill="auto"/>
            <w:noWrap/>
            <w:vAlign w:val="bottom"/>
            <w:hideMark/>
          </w:tcPr>
          <w:p w14:paraId="460BC13A" w14:textId="77777777" w:rsidR="002E1F5B" w:rsidRPr="00CA4C14" w:rsidRDefault="002E1F5B" w:rsidP="00B772C9">
            <w:pPr>
              <w:pStyle w:val="Tabletext"/>
              <w:jc w:val="right"/>
              <w:rPr>
                <w:lang w:val="ru-RU" w:eastAsia="en-GB"/>
              </w:rPr>
            </w:pPr>
            <w:r w:rsidRPr="00CA4C14">
              <w:rPr>
                <w:lang w:val="ru-RU" w:eastAsia="en-GB"/>
              </w:rPr>
              <w:t>89</w:t>
            </w:r>
          </w:p>
        </w:tc>
        <w:tc>
          <w:tcPr>
            <w:tcW w:w="316" w:type="pct"/>
            <w:tcBorders>
              <w:top w:val="nil"/>
              <w:left w:val="nil"/>
              <w:bottom w:val="nil"/>
              <w:right w:val="nil"/>
            </w:tcBorders>
            <w:shd w:val="clear" w:color="auto" w:fill="auto"/>
            <w:noWrap/>
            <w:vAlign w:val="bottom"/>
            <w:hideMark/>
          </w:tcPr>
          <w:p w14:paraId="4C00B399" w14:textId="77777777" w:rsidR="002E1F5B" w:rsidRPr="00CA4C14" w:rsidRDefault="002E1F5B" w:rsidP="00B772C9">
            <w:pPr>
              <w:pStyle w:val="Tabletext"/>
              <w:jc w:val="right"/>
              <w:rPr>
                <w:lang w:val="ru-RU" w:eastAsia="en-GB"/>
              </w:rPr>
            </w:pPr>
            <w:r w:rsidRPr="00CA4C14">
              <w:rPr>
                <w:lang w:val="ru-RU" w:eastAsia="en-GB"/>
              </w:rPr>
              <w:t>147</w:t>
            </w:r>
          </w:p>
        </w:tc>
        <w:tc>
          <w:tcPr>
            <w:tcW w:w="432" w:type="pct"/>
            <w:tcBorders>
              <w:top w:val="nil"/>
              <w:left w:val="nil"/>
              <w:bottom w:val="nil"/>
              <w:right w:val="nil"/>
            </w:tcBorders>
            <w:shd w:val="clear" w:color="auto" w:fill="auto"/>
            <w:noWrap/>
            <w:vAlign w:val="bottom"/>
            <w:hideMark/>
          </w:tcPr>
          <w:p w14:paraId="51F6D324" w14:textId="77777777" w:rsidR="002E1F5B" w:rsidRPr="00CA4C14" w:rsidRDefault="002E1F5B" w:rsidP="00B772C9">
            <w:pPr>
              <w:pStyle w:val="Tabletext"/>
              <w:jc w:val="right"/>
              <w:rPr>
                <w:b/>
                <w:bCs/>
                <w:lang w:val="ru-RU" w:eastAsia="en-GB"/>
              </w:rPr>
            </w:pPr>
            <w:r w:rsidRPr="00CA4C14">
              <w:rPr>
                <w:b/>
                <w:bCs/>
                <w:lang w:val="ru-RU" w:eastAsia="en-GB"/>
              </w:rPr>
              <w:t>2 711</w:t>
            </w:r>
          </w:p>
        </w:tc>
        <w:tc>
          <w:tcPr>
            <w:tcW w:w="317" w:type="pct"/>
            <w:tcBorders>
              <w:top w:val="nil"/>
              <w:left w:val="nil"/>
              <w:bottom w:val="nil"/>
              <w:right w:val="nil"/>
            </w:tcBorders>
            <w:shd w:val="clear" w:color="auto" w:fill="auto"/>
            <w:noWrap/>
            <w:vAlign w:val="bottom"/>
            <w:hideMark/>
          </w:tcPr>
          <w:p w14:paraId="050EEEC3"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28EA6AC9"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440F607C" w14:textId="77777777" w:rsidR="002E1F5B" w:rsidRPr="00CA4C14" w:rsidRDefault="002E1F5B" w:rsidP="00B772C9">
            <w:pPr>
              <w:pStyle w:val="Tabletext"/>
              <w:jc w:val="right"/>
              <w:rPr>
                <w:lang w:val="ru-RU" w:eastAsia="en-GB"/>
              </w:rPr>
            </w:pPr>
            <w:r w:rsidRPr="00CA4C14">
              <w:rPr>
                <w:lang w:val="ru-RU" w:eastAsia="en-GB"/>
              </w:rPr>
              <w:t>826</w:t>
            </w:r>
          </w:p>
        </w:tc>
        <w:tc>
          <w:tcPr>
            <w:tcW w:w="390" w:type="pct"/>
            <w:tcBorders>
              <w:top w:val="nil"/>
              <w:left w:val="nil"/>
              <w:bottom w:val="nil"/>
              <w:right w:val="nil"/>
            </w:tcBorders>
            <w:shd w:val="clear" w:color="auto" w:fill="auto"/>
            <w:noWrap/>
            <w:vAlign w:val="bottom"/>
            <w:hideMark/>
          </w:tcPr>
          <w:p w14:paraId="1CF5491E"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0902D619"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3 537</w:t>
            </w:r>
          </w:p>
        </w:tc>
      </w:tr>
      <w:tr w:rsidR="002E1F5B" w:rsidRPr="00CA4C14" w14:paraId="7A36506E" w14:textId="77777777" w:rsidTr="00922DE4">
        <w:tc>
          <w:tcPr>
            <w:tcW w:w="1460" w:type="pct"/>
            <w:tcBorders>
              <w:top w:val="nil"/>
              <w:left w:val="nil"/>
              <w:bottom w:val="nil"/>
              <w:right w:val="nil"/>
            </w:tcBorders>
            <w:shd w:val="clear" w:color="auto" w:fill="auto"/>
            <w:hideMark/>
          </w:tcPr>
          <w:p w14:paraId="37BDFE6C" w14:textId="77777777" w:rsidR="002E1F5B" w:rsidRPr="00CA4C14" w:rsidRDefault="002E1F5B" w:rsidP="00B772C9">
            <w:pPr>
              <w:pStyle w:val="Tabletext"/>
              <w:rPr>
                <w:color w:val="000000"/>
                <w:lang w:val="ru-RU" w:eastAsia="en-GB"/>
              </w:rPr>
            </w:pPr>
            <w:r w:rsidRPr="00CA4C14">
              <w:rPr>
                <w:color w:val="000000"/>
                <w:lang w:val="ru-RU" w:eastAsia="en-GB"/>
              </w:rPr>
              <w:t>Оборудование и предметы снабжения</w:t>
            </w:r>
          </w:p>
        </w:tc>
        <w:tc>
          <w:tcPr>
            <w:tcW w:w="391" w:type="pct"/>
            <w:tcBorders>
              <w:top w:val="nil"/>
              <w:left w:val="nil"/>
              <w:bottom w:val="nil"/>
              <w:right w:val="nil"/>
            </w:tcBorders>
            <w:shd w:val="clear" w:color="auto" w:fill="auto"/>
            <w:noWrap/>
            <w:vAlign w:val="bottom"/>
            <w:hideMark/>
          </w:tcPr>
          <w:p w14:paraId="0ED6439D" w14:textId="77777777" w:rsidR="002E1F5B" w:rsidRPr="00CA4C14" w:rsidRDefault="002E1F5B" w:rsidP="00B772C9">
            <w:pPr>
              <w:pStyle w:val="Tabletext"/>
              <w:jc w:val="right"/>
              <w:rPr>
                <w:lang w:val="ru-RU" w:eastAsia="en-GB"/>
              </w:rPr>
            </w:pPr>
            <w:r w:rsidRPr="00CA4C14">
              <w:rPr>
                <w:lang w:val="ru-RU" w:eastAsia="en-GB"/>
              </w:rPr>
              <w:t>1 431</w:t>
            </w:r>
          </w:p>
        </w:tc>
        <w:tc>
          <w:tcPr>
            <w:tcW w:w="315" w:type="pct"/>
            <w:tcBorders>
              <w:top w:val="nil"/>
              <w:left w:val="nil"/>
              <w:bottom w:val="nil"/>
              <w:right w:val="nil"/>
            </w:tcBorders>
            <w:shd w:val="clear" w:color="auto" w:fill="auto"/>
            <w:noWrap/>
            <w:vAlign w:val="bottom"/>
            <w:hideMark/>
          </w:tcPr>
          <w:p w14:paraId="4CEC915C" w14:textId="77777777" w:rsidR="002E1F5B" w:rsidRPr="00CA4C14" w:rsidRDefault="002E1F5B" w:rsidP="00B772C9">
            <w:pPr>
              <w:pStyle w:val="Tabletext"/>
              <w:jc w:val="right"/>
              <w:rPr>
                <w:lang w:val="ru-RU" w:eastAsia="en-GB"/>
              </w:rPr>
            </w:pPr>
            <w:r w:rsidRPr="00CA4C14">
              <w:rPr>
                <w:lang w:val="ru-RU" w:eastAsia="en-GB"/>
              </w:rPr>
              <w:t>411</w:t>
            </w:r>
          </w:p>
        </w:tc>
        <w:tc>
          <w:tcPr>
            <w:tcW w:w="315" w:type="pct"/>
            <w:tcBorders>
              <w:top w:val="nil"/>
              <w:left w:val="nil"/>
              <w:bottom w:val="nil"/>
              <w:right w:val="nil"/>
            </w:tcBorders>
            <w:shd w:val="clear" w:color="auto" w:fill="auto"/>
            <w:noWrap/>
            <w:vAlign w:val="bottom"/>
            <w:hideMark/>
          </w:tcPr>
          <w:p w14:paraId="2A916086" w14:textId="77777777" w:rsidR="002E1F5B" w:rsidRPr="00CA4C14" w:rsidRDefault="002E1F5B" w:rsidP="00B772C9">
            <w:pPr>
              <w:pStyle w:val="Tabletext"/>
              <w:jc w:val="right"/>
              <w:rPr>
                <w:lang w:val="ru-RU" w:eastAsia="en-GB"/>
              </w:rPr>
            </w:pPr>
            <w:r w:rsidRPr="00CA4C14">
              <w:rPr>
                <w:lang w:val="ru-RU" w:eastAsia="en-GB"/>
              </w:rPr>
              <w:t>137</w:t>
            </w:r>
          </w:p>
        </w:tc>
        <w:tc>
          <w:tcPr>
            <w:tcW w:w="316" w:type="pct"/>
            <w:tcBorders>
              <w:top w:val="nil"/>
              <w:left w:val="nil"/>
              <w:bottom w:val="nil"/>
              <w:right w:val="nil"/>
            </w:tcBorders>
            <w:shd w:val="clear" w:color="auto" w:fill="auto"/>
            <w:noWrap/>
            <w:vAlign w:val="bottom"/>
            <w:hideMark/>
          </w:tcPr>
          <w:p w14:paraId="2630AFF3" w14:textId="77777777" w:rsidR="002E1F5B" w:rsidRPr="00CA4C14" w:rsidRDefault="002E1F5B" w:rsidP="00B772C9">
            <w:pPr>
              <w:pStyle w:val="Tabletext"/>
              <w:jc w:val="right"/>
              <w:rPr>
                <w:lang w:val="ru-RU" w:eastAsia="en-GB"/>
              </w:rPr>
            </w:pPr>
            <w:r w:rsidRPr="00CA4C14">
              <w:rPr>
                <w:lang w:val="ru-RU" w:eastAsia="en-GB"/>
              </w:rPr>
              <w:t>302</w:t>
            </w:r>
          </w:p>
        </w:tc>
        <w:tc>
          <w:tcPr>
            <w:tcW w:w="432" w:type="pct"/>
            <w:tcBorders>
              <w:top w:val="nil"/>
              <w:left w:val="nil"/>
              <w:bottom w:val="nil"/>
              <w:right w:val="nil"/>
            </w:tcBorders>
            <w:shd w:val="clear" w:color="auto" w:fill="auto"/>
            <w:noWrap/>
            <w:vAlign w:val="bottom"/>
            <w:hideMark/>
          </w:tcPr>
          <w:p w14:paraId="34DACAC1" w14:textId="77777777" w:rsidR="002E1F5B" w:rsidRPr="00CA4C14" w:rsidRDefault="002E1F5B" w:rsidP="00B772C9">
            <w:pPr>
              <w:pStyle w:val="Tabletext"/>
              <w:jc w:val="right"/>
              <w:rPr>
                <w:b/>
                <w:bCs/>
                <w:lang w:val="ru-RU" w:eastAsia="en-GB"/>
              </w:rPr>
            </w:pPr>
            <w:r w:rsidRPr="00CA4C14">
              <w:rPr>
                <w:b/>
                <w:bCs/>
                <w:lang w:val="ru-RU" w:eastAsia="en-GB"/>
              </w:rPr>
              <w:t>2 281</w:t>
            </w:r>
          </w:p>
        </w:tc>
        <w:tc>
          <w:tcPr>
            <w:tcW w:w="317" w:type="pct"/>
            <w:tcBorders>
              <w:top w:val="nil"/>
              <w:left w:val="nil"/>
              <w:bottom w:val="nil"/>
              <w:right w:val="nil"/>
            </w:tcBorders>
            <w:shd w:val="clear" w:color="auto" w:fill="auto"/>
            <w:noWrap/>
            <w:vAlign w:val="bottom"/>
            <w:hideMark/>
          </w:tcPr>
          <w:p w14:paraId="48A120E9" w14:textId="77777777" w:rsidR="002E1F5B" w:rsidRPr="00CA4C14" w:rsidRDefault="002E1F5B" w:rsidP="00B772C9">
            <w:pPr>
              <w:pStyle w:val="Tabletext"/>
              <w:jc w:val="right"/>
              <w:rPr>
                <w:lang w:val="ru-RU" w:eastAsia="en-GB"/>
              </w:rPr>
            </w:pPr>
            <w:r w:rsidRPr="00CA4C14">
              <w:rPr>
                <w:lang w:val="ru-RU" w:eastAsia="en-GB"/>
              </w:rPr>
              <w:t>10</w:t>
            </w:r>
          </w:p>
        </w:tc>
        <w:tc>
          <w:tcPr>
            <w:tcW w:w="303" w:type="pct"/>
            <w:tcBorders>
              <w:top w:val="nil"/>
              <w:left w:val="nil"/>
              <w:bottom w:val="nil"/>
              <w:right w:val="nil"/>
            </w:tcBorders>
            <w:shd w:val="clear" w:color="auto" w:fill="auto"/>
            <w:noWrap/>
            <w:vAlign w:val="bottom"/>
            <w:hideMark/>
          </w:tcPr>
          <w:p w14:paraId="68785978" w14:textId="77777777" w:rsidR="002E1F5B" w:rsidRPr="00CA4C14" w:rsidRDefault="002E1F5B" w:rsidP="00B772C9">
            <w:pPr>
              <w:pStyle w:val="Tabletext"/>
              <w:jc w:val="right"/>
              <w:rPr>
                <w:lang w:val="ru-RU" w:eastAsia="en-GB"/>
              </w:rPr>
            </w:pPr>
          </w:p>
        </w:tc>
        <w:tc>
          <w:tcPr>
            <w:tcW w:w="408" w:type="pct"/>
            <w:tcBorders>
              <w:top w:val="nil"/>
              <w:left w:val="nil"/>
              <w:bottom w:val="nil"/>
              <w:right w:val="nil"/>
            </w:tcBorders>
            <w:shd w:val="clear" w:color="auto" w:fill="auto"/>
            <w:noWrap/>
            <w:vAlign w:val="bottom"/>
            <w:hideMark/>
          </w:tcPr>
          <w:p w14:paraId="6C0D2DBA" w14:textId="77777777" w:rsidR="002E1F5B" w:rsidRPr="00CA4C14" w:rsidRDefault="002E1F5B" w:rsidP="00B772C9">
            <w:pPr>
              <w:pStyle w:val="Tabletext"/>
              <w:jc w:val="right"/>
              <w:rPr>
                <w:lang w:val="ru-RU" w:eastAsia="en-GB"/>
              </w:rPr>
            </w:pPr>
            <w:r w:rsidRPr="00CA4C14">
              <w:rPr>
                <w:lang w:val="ru-RU" w:eastAsia="en-GB"/>
              </w:rPr>
              <w:t>860</w:t>
            </w:r>
          </w:p>
        </w:tc>
        <w:tc>
          <w:tcPr>
            <w:tcW w:w="390" w:type="pct"/>
            <w:tcBorders>
              <w:top w:val="nil"/>
              <w:left w:val="nil"/>
              <w:bottom w:val="nil"/>
              <w:right w:val="nil"/>
            </w:tcBorders>
            <w:shd w:val="clear" w:color="auto" w:fill="auto"/>
            <w:noWrap/>
            <w:vAlign w:val="bottom"/>
            <w:hideMark/>
          </w:tcPr>
          <w:p w14:paraId="50A0304E"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2C6A045E"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3 150</w:t>
            </w:r>
          </w:p>
        </w:tc>
      </w:tr>
      <w:tr w:rsidR="002E1F5B" w:rsidRPr="00CA4C14" w14:paraId="1444C55B" w14:textId="77777777" w:rsidTr="00922DE4">
        <w:tc>
          <w:tcPr>
            <w:tcW w:w="1460" w:type="pct"/>
            <w:tcBorders>
              <w:top w:val="nil"/>
              <w:left w:val="nil"/>
              <w:bottom w:val="nil"/>
              <w:right w:val="nil"/>
            </w:tcBorders>
            <w:shd w:val="clear" w:color="auto" w:fill="auto"/>
            <w:hideMark/>
          </w:tcPr>
          <w:p w14:paraId="10B87457" w14:textId="77777777" w:rsidR="002E1F5B" w:rsidRPr="00CA4C14" w:rsidRDefault="002E1F5B" w:rsidP="00B772C9">
            <w:pPr>
              <w:pStyle w:val="Tabletext"/>
              <w:rPr>
                <w:color w:val="000000"/>
                <w:lang w:val="ru-RU" w:eastAsia="en-GB"/>
              </w:rPr>
            </w:pPr>
            <w:r w:rsidRPr="00CA4C14">
              <w:rPr>
                <w:color w:val="000000"/>
                <w:lang w:val="ru-RU" w:eastAsia="en-GB"/>
              </w:rPr>
              <w:t>Амортизация</w:t>
            </w:r>
          </w:p>
        </w:tc>
        <w:tc>
          <w:tcPr>
            <w:tcW w:w="391" w:type="pct"/>
            <w:tcBorders>
              <w:top w:val="nil"/>
              <w:left w:val="nil"/>
              <w:bottom w:val="nil"/>
              <w:right w:val="nil"/>
            </w:tcBorders>
            <w:shd w:val="clear" w:color="auto" w:fill="auto"/>
            <w:noWrap/>
            <w:vAlign w:val="bottom"/>
            <w:hideMark/>
          </w:tcPr>
          <w:p w14:paraId="0F53E222" w14:textId="77777777" w:rsidR="002E1F5B" w:rsidRPr="00CA4C14" w:rsidRDefault="002E1F5B" w:rsidP="00B772C9">
            <w:pPr>
              <w:pStyle w:val="Tabletext"/>
              <w:jc w:val="right"/>
              <w:rPr>
                <w:lang w:val="ru-RU" w:eastAsia="en-GB"/>
              </w:rPr>
            </w:pPr>
            <w:r w:rsidRPr="00CA4C14">
              <w:rPr>
                <w:lang w:val="ru-RU" w:eastAsia="en-GB"/>
              </w:rPr>
              <w:t>3 080</w:t>
            </w:r>
          </w:p>
        </w:tc>
        <w:tc>
          <w:tcPr>
            <w:tcW w:w="315" w:type="pct"/>
            <w:tcBorders>
              <w:top w:val="nil"/>
              <w:left w:val="nil"/>
              <w:bottom w:val="nil"/>
              <w:right w:val="nil"/>
            </w:tcBorders>
            <w:shd w:val="clear" w:color="auto" w:fill="auto"/>
            <w:noWrap/>
            <w:vAlign w:val="bottom"/>
            <w:hideMark/>
          </w:tcPr>
          <w:p w14:paraId="2016F27E" w14:textId="77777777" w:rsidR="002E1F5B" w:rsidRPr="00CA4C14" w:rsidRDefault="002E1F5B" w:rsidP="00B772C9">
            <w:pPr>
              <w:pStyle w:val="Tabletext"/>
              <w:jc w:val="right"/>
              <w:rPr>
                <w:lang w:val="ru-RU" w:eastAsia="en-GB"/>
              </w:rPr>
            </w:pPr>
            <w:r w:rsidRPr="00CA4C14">
              <w:rPr>
                <w:lang w:val="ru-RU" w:eastAsia="en-GB"/>
              </w:rPr>
              <w:t>1 111</w:t>
            </w:r>
          </w:p>
        </w:tc>
        <w:tc>
          <w:tcPr>
            <w:tcW w:w="315" w:type="pct"/>
            <w:tcBorders>
              <w:top w:val="nil"/>
              <w:left w:val="nil"/>
              <w:bottom w:val="nil"/>
              <w:right w:val="nil"/>
            </w:tcBorders>
            <w:shd w:val="clear" w:color="auto" w:fill="auto"/>
            <w:noWrap/>
            <w:vAlign w:val="bottom"/>
            <w:hideMark/>
          </w:tcPr>
          <w:p w14:paraId="2B6191D5" w14:textId="77777777" w:rsidR="002E1F5B" w:rsidRPr="00CA4C14" w:rsidRDefault="002E1F5B" w:rsidP="00B772C9">
            <w:pPr>
              <w:pStyle w:val="Tabletext"/>
              <w:jc w:val="right"/>
              <w:rPr>
                <w:lang w:val="ru-RU" w:eastAsia="en-GB"/>
              </w:rPr>
            </w:pPr>
            <w:r w:rsidRPr="00CA4C14">
              <w:rPr>
                <w:lang w:val="ru-RU" w:eastAsia="en-GB"/>
              </w:rPr>
              <w:t>438</w:t>
            </w:r>
          </w:p>
        </w:tc>
        <w:tc>
          <w:tcPr>
            <w:tcW w:w="316" w:type="pct"/>
            <w:tcBorders>
              <w:top w:val="nil"/>
              <w:left w:val="nil"/>
              <w:bottom w:val="nil"/>
              <w:right w:val="nil"/>
            </w:tcBorders>
            <w:shd w:val="clear" w:color="auto" w:fill="auto"/>
            <w:noWrap/>
            <w:vAlign w:val="bottom"/>
            <w:hideMark/>
          </w:tcPr>
          <w:p w14:paraId="59246BD9" w14:textId="77777777" w:rsidR="002E1F5B" w:rsidRPr="00CA4C14" w:rsidRDefault="002E1F5B" w:rsidP="00B772C9">
            <w:pPr>
              <w:pStyle w:val="Tabletext"/>
              <w:jc w:val="right"/>
              <w:rPr>
                <w:lang w:val="ru-RU" w:eastAsia="en-GB"/>
              </w:rPr>
            </w:pPr>
            <w:r w:rsidRPr="00CA4C14">
              <w:rPr>
                <w:lang w:val="ru-RU" w:eastAsia="en-GB"/>
              </w:rPr>
              <w:t>884</w:t>
            </w:r>
          </w:p>
        </w:tc>
        <w:tc>
          <w:tcPr>
            <w:tcW w:w="432" w:type="pct"/>
            <w:tcBorders>
              <w:top w:val="nil"/>
              <w:left w:val="nil"/>
              <w:bottom w:val="nil"/>
              <w:right w:val="nil"/>
            </w:tcBorders>
            <w:shd w:val="clear" w:color="auto" w:fill="auto"/>
            <w:noWrap/>
            <w:vAlign w:val="bottom"/>
            <w:hideMark/>
          </w:tcPr>
          <w:p w14:paraId="654A4B02" w14:textId="77777777" w:rsidR="002E1F5B" w:rsidRPr="00CA4C14" w:rsidRDefault="002E1F5B" w:rsidP="00B772C9">
            <w:pPr>
              <w:pStyle w:val="Tabletext"/>
              <w:jc w:val="right"/>
              <w:rPr>
                <w:b/>
                <w:bCs/>
                <w:lang w:val="ru-RU" w:eastAsia="en-GB"/>
              </w:rPr>
            </w:pPr>
            <w:r w:rsidRPr="00CA4C14">
              <w:rPr>
                <w:b/>
                <w:bCs/>
                <w:lang w:val="ru-RU" w:eastAsia="en-GB"/>
              </w:rPr>
              <w:t>5 514</w:t>
            </w:r>
          </w:p>
        </w:tc>
        <w:tc>
          <w:tcPr>
            <w:tcW w:w="317" w:type="pct"/>
            <w:tcBorders>
              <w:top w:val="nil"/>
              <w:left w:val="nil"/>
              <w:bottom w:val="nil"/>
              <w:right w:val="nil"/>
            </w:tcBorders>
            <w:shd w:val="clear" w:color="auto" w:fill="auto"/>
            <w:noWrap/>
            <w:vAlign w:val="bottom"/>
            <w:hideMark/>
          </w:tcPr>
          <w:p w14:paraId="6E2C6A22" w14:textId="77777777" w:rsidR="002E1F5B" w:rsidRPr="00CA4C14" w:rsidRDefault="002E1F5B" w:rsidP="00B772C9">
            <w:pPr>
              <w:pStyle w:val="Tabletext"/>
              <w:jc w:val="right"/>
              <w:rPr>
                <w:lang w:val="ru-RU" w:eastAsia="en-GB"/>
              </w:rPr>
            </w:pPr>
            <w:r w:rsidRPr="00CA4C14">
              <w:rPr>
                <w:lang w:val="ru-RU" w:eastAsia="en-GB"/>
              </w:rPr>
              <w:t>7</w:t>
            </w:r>
          </w:p>
        </w:tc>
        <w:tc>
          <w:tcPr>
            <w:tcW w:w="303" w:type="pct"/>
            <w:tcBorders>
              <w:top w:val="nil"/>
              <w:left w:val="nil"/>
              <w:bottom w:val="nil"/>
              <w:right w:val="nil"/>
            </w:tcBorders>
            <w:shd w:val="clear" w:color="auto" w:fill="auto"/>
            <w:noWrap/>
            <w:vAlign w:val="bottom"/>
            <w:hideMark/>
          </w:tcPr>
          <w:p w14:paraId="38F09576" w14:textId="77777777" w:rsidR="002E1F5B" w:rsidRPr="00CA4C14" w:rsidRDefault="002E1F5B" w:rsidP="00B772C9">
            <w:pPr>
              <w:pStyle w:val="Tabletext"/>
              <w:jc w:val="right"/>
              <w:rPr>
                <w:lang w:val="ru-RU" w:eastAsia="en-GB"/>
              </w:rPr>
            </w:pPr>
          </w:p>
        </w:tc>
        <w:tc>
          <w:tcPr>
            <w:tcW w:w="408" w:type="pct"/>
            <w:tcBorders>
              <w:top w:val="nil"/>
              <w:left w:val="nil"/>
              <w:bottom w:val="nil"/>
              <w:right w:val="nil"/>
            </w:tcBorders>
            <w:shd w:val="clear" w:color="auto" w:fill="auto"/>
            <w:noWrap/>
            <w:vAlign w:val="bottom"/>
            <w:hideMark/>
          </w:tcPr>
          <w:p w14:paraId="00A29422" w14:textId="77777777" w:rsidR="002E1F5B" w:rsidRPr="00CA4C14" w:rsidRDefault="002E1F5B" w:rsidP="00B772C9">
            <w:pPr>
              <w:pStyle w:val="Tabletext"/>
              <w:jc w:val="right"/>
              <w:rPr>
                <w:lang w:val="ru-RU" w:eastAsia="en-GB"/>
              </w:rPr>
            </w:pPr>
            <w:r w:rsidRPr="00CA4C14">
              <w:rPr>
                <w:lang w:val="ru-RU" w:eastAsia="en-GB"/>
              </w:rPr>
              <w:t>139</w:t>
            </w:r>
          </w:p>
        </w:tc>
        <w:tc>
          <w:tcPr>
            <w:tcW w:w="390" w:type="pct"/>
            <w:tcBorders>
              <w:top w:val="nil"/>
              <w:left w:val="nil"/>
              <w:bottom w:val="nil"/>
              <w:right w:val="nil"/>
            </w:tcBorders>
            <w:shd w:val="clear" w:color="auto" w:fill="auto"/>
            <w:noWrap/>
            <w:vAlign w:val="bottom"/>
            <w:hideMark/>
          </w:tcPr>
          <w:p w14:paraId="78197BAB"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04AA4C7B"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5 660</w:t>
            </w:r>
          </w:p>
        </w:tc>
      </w:tr>
      <w:tr w:rsidR="002E1F5B" w:rsidRPr="00CA4C14" w14:paraId="25BE7461" w14:textId="77777777" w:rsidTr="00922DE4">
        <w:tc>
          <w:tcPr>
            <w:tcW w:w="1460" w:type="pct"/>
            <w:tcBorders>
              <w:top w:val="nil"/>
              <w:left w:val="nil"/>
              <w:bottom w:val="nil"/>
              <w:right w:val="nil"/>
            </w:tcBorders>
            <w:shd w:val="clear" w:color="auto" w:fill="auto"/>
            <w:hideMark/>
          </w:tcPr>
          <w:p w14:paraId="2D53F027" w14:textId="77777777" w:rsidR="002E1F5B" w:rsidRPr="00CA4C14" w:rsidRDefault="002E1F5B" w:rsidP="00B772C9">
            <w:pPr>
              <w:pStyle w:val="Tabletext"/>
              <w:rPr>
                <w:color w:val="000000"/>
                <w:lang w:val="ru-RU" w:eastAsia="en-GB"/>
              </w:rPr>
            </w:pPr>
            <w:r w:rsidRPr="00CA4C14">
              <w:rPr>
                <w:color w:val="000000"/>
                <w:lang w:val="ru-RU" w:eastAsia="en-GB"/>
              </w:rPr>
              <w:t>Расходы по перевозке, электросвязи и услугам</w:t>
            </w:r>
          </w:p>
        </w:tc>
        <w:tc>
          <w:tcPr>
            <w:tcW w:w="391" w:type="pct"/>
            <w:tcBorders>
              <w:top w:val="nil"/>
              <w:left w:val="nil"/>
              <w:bottom w:val="nil"/>
              <w:right w:val="nil"/>
            </w:tcBorders>
            <w:shd w:val="clear" w:color="auto" w:fill="auto"/>
            <w:noWrap/>
            <w:vAlign w:val="bottom"/>
            <w:hideMark/>
          </w:tcPr>
          <w:p w14:paraId="0830D593" w14:textId="77777777" w:rsidR="002E1F5B" w:rsidRPr="00CA4C14" w:rsidRDefault="002E1F5B" w:rsidP="00B772C9">
            <w:pPr>
              <w:pStyle w:val="Tabletext"/>
              <w:jc w:val="right"/>
              <w:rPr>
                <w:lang w:val="ru-RU" w:eastAsia="en-GB"/>
              </w:rPr>
            </w:pPr>
            <w:r w:rsidRPr="00CA4C14">
              <w:rPr>
                <w:lang w:val="ru-RU" w:eastAsia="en-GB"/>
              </w:rPr>
              <w:t>2 368</w:t>
            </w:r>
          </w:p>
        </w:tc>
        <w:tc>
          <w:tcPr>
            <w:tcW w:w="315" w:type="pct"/>
            <w:tcBorders>
              <w:top w:val="nil"/>
              <w:left w:val="nil"/>
              <w:bottom w:val="nil"/>
              <w:right w:val="nil"/>
            </w:tcBorders>
            <w:shd w:val="clear" w:color="auto" w:fill="auto"/>
            <w:noWrap/>
            <w:vAlign w:val="bottom"/>
            <w:hideMark/>
          </w:tcPr>
          <w:p w14:paraId="547E0DDE" w14:textId="77777777" w:rsidR="002E1F5B" w:rsidRPr="00CA4C14" w:rsidRDefault="002E1F5B" w:rsidP="00B772C9">
            <w:pPr>
              <w:pStyle w:val="Tabletext"/>
              <w:jc w:val="right"/>
              <w:rPr>
                <w:lang w:val="ru-RU" w:eastAsia="en-GB"/>
              </w:rPr>
            </w:pPr>
            <w:r w:rsidRPr="00CA4C14">
              <w:rPr>
                <w:lang w:val="ru-RU" w:eastAsia="en-GB"/>
              </w:rPr>
              <w:t>92</w:t>
            </w:r>
          </w:p>
        </w:tc>
        <w:tc>
          <w:tcPr>
            <w:tcW w:w="315" w:type="pct"/>
            <w:tcBorders>
              <w:top w:val="nil"/>
              <w:left w:val="nil"/>
              <w:bottom w:val="nil"/>
              <w:right w:val="nil"/>
            </w:tcBorders>
            <w:shd w:val="clear" w:color="auto" w:fill="auto"/>
            <w:noWrap/>
            <w:vAlign w:val="bottom"/>
            <w:hideMark/>
          </w:tcPr>
          <w:p w14:paraId="02E6D099" w14:textId="77777777" w:rsidR="002E1F5B" w:rsidRPr="00CA4C14" w:rsidRDefault="002E1F5B" w:rsidP="00B772C9">
            <w:pPr>
              <w:pStyle w:val="Tabletext"/>
              <w:jc w:val="right"/>
              <w:rPr>
                <w:lang w:val="ru-RU" w:eastAsia="en-GB"/>
              </w:rPr>
            </w:pPr>
            <w:r w:rsidRPr="00CA4C14">
              <w:rPr>
                <w:lang w:val="ru-RU" w:eastAsia="en-GB"/>
              </w:rPr>
              <w:t>40</w:t>
            </w:r>
          </w:p>
        </w:tc>
        <w:tc>
          <w:tcPr>
            <w:tcW w:w="316" w:type="pct"/>
            <w:tcBorders>
              <w:top w:val="nil"/>
              <w:left w:val="nil"/>
              <w:bottom w:val="nil"/>
              <w:right w:val="nil"/>
            </w:tcBorders>
            <w:shd w:val="clear" w:color="auto" w:fill="auto"/>
            <w:noWrap/>
            <w:vAlign w:val="bottom"/>
            <w:hideMark/>
          </w:tcPr>
          <w:p w14:paraId="6BDD33FA" w14:textId="77777777" w:rsidR="002E1F5B" w:rsidRPr="00CA4C14" w:rsidRDefault="002E1F5B" w:rsidP="00B772C9">
            <w:pPr>
              <w:pStyle w:val="Tabletext"/>
              <w:jc w:val="right"/>
              <w:rPr>
                <w:lang w:val="ru-RU" w:eastAsia="en-GB"/>
              </w:rPr>
            </w:pPr>
            <w:r w:rsidRPr="00CA4C14">
              <w:rPr>
                <w:lang w:val="ru-RU" w:eastAsia="en-GB"/>
              </w:rPr>
              <w:t>130</w:t>
            </w:r>
          </w:p>
        </w:tc>
        <w:tc>
          <w:tcPr>
            <w:tcW w:w="432" w:type="pct"/>
            <w:tcBorders>
              <w:top w:val="nil"/>
              <w:left w:val="nil"/>
              <w:bottom w:val="nil"/>
              <w:right w:val="nil"/>
            </w:tcBorders>
            <w:shd w:val="clear" w:color="auto" w:fill="auto"/>
            <w:noWrap/>
            <w:vAlign w:val="bottom"/>
            <w:hideMark/>
          </w:tcPr>
          <w:p w14:paraId="201FF915" w14:textId="77777777" w:rsidR="002E1F5B" w:rsidRPr="00CA4C14" w:rsidRDefault="002E1F5B" w:rsidP="00B772C9">
            <w:pPr>
              <w:pStyle w:val="Tabletext"/>
              <w:jc w:val="right"/>
              <w:rPr>
                <w:b/>
                <w:bCs/>
                <w:lang w:val="ru-RU" w:eastAsia="en-GB"/>
              </w:rPr>
            </w:pPr>
            <w:r w:rsidRPr="00CA4C14">
              <w:rPr>
                <w:b/>
                <w:bCs/>
                <w:lang w:val="ru-RU" w:eastAsia="en-GB"/>
              </w:rPr>
              <w:t>2 630</w:t>
            </w:r>
          </w:p>
        </w:tc>
        <w:tc>
          <w:tcPr>
            <w:tcW w:w="317" w:type="pct"/>
            <w:tcBorders>
              <w:top w:val="nil"/>
              <w:left w:val="nil"/>
              <w:bottom w:val="nil"/>
              <w:right w:val="nil"/>
            </w:tcBorders>
            <w:shd w:val="clear" w:color="auto" w:fill="auto"/>
            <w:noWrap/>
            <w:vAlign w:val="bottom"/>
            <w:hideMark/>
          </w:tcPr>
          <w:p w14:paraId="05A35D65"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67429919"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00F830C6" w14:textId="77777777" w:rsidR="002E1F5B" w:rsidRPr="00CA4C14" w:rsidRDefault="002E1F5B" w:rsidP="00B772C9">
            <w:pPr>
              <w:pStyle w:val="Tabletext"/>
              <w:jc w:val="right"/>
              <w:rPr>
                <w:lang w:val="ru-RU" w:eastAsia="en-GB"/>
              </w:rPr>
            </w:pPr>
            <w:r w:rsidRPr="00CA4C14">
              <w:rPr>
                <w:lang w:val="ru-RU" w:eastAsia="en-GB"/>
              </w:rPr>
              <w:t>43</w:t>
            </w:r>
          </w:p>
        </w:tc>
        <w:tc>
          <w:tcPr>
            <w:tcW w:w="390" w:type="pct"/>
            <w:tcBorders>
              <w:top w:val="nil"/>
              <w:left w:val="nil"/>
              <w:bottom w:val="nil"/>
              <w:right w:val="nil"/>
            </w:tcBorders>
            <w:shd w:val="clear" w:color="auto" w:fill="auto"/>
            <w:noWrap/>
            <w:vAlign w:val="bottom"/>
            <w:hideMark/>
          </w:tcPr>
          <w:p w14:paraId="4C73C37E"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101F8F05"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2 673</w:t>
            </w:r>
          </w:p>
        </w:tc>
      </w:tr>
      <w:tr w:rsidR="002E1F5B" w:rsidRPr="00CA4C14" w14:paraId="39B729FA" w14:textId="77777777" w:rsidTr="00922DE4">
        <w:tc>
          <w:tcPr>
            <w:tcW w:w="1460" w:type="pct"/>
            <w:tcBorders>
              <w:top w:val="nil"/>
              <w:left w:val="nil"/>
              <w:bottom w:val="nil"/>
              <w:right w:val="nil"/>
            </w:tcBorders>
            <w:shd w:val="clear" w:color="auto" w:fill="auto"/>
            <w:hideMark/>
          </w:tcPr>
          <w:p w14:paraId="1683849C" w14:textId="77777777" w:rsidR="002E1F5B" w:rsidRPr="00CA4C14" w:rsidRDefault="002E1F5B" w:rsidP="00B772C9">
            <w:pPr>
              <w:pStyle w:val="Tabletext"/>
              <w:rPr>
                <w:color w:val="000000"/>
                <w:lang w:val="ru-RU" w:eastAsia="en-GB"/>
              </w:rPr>
            </w:pPr>
            <w:r w:rsidRPr="00CA4C14">
              <w:rPr>
                <w:color w:val="000000"/>
                <w:lang w:val="ru-RU" w:eastAsia="en-GB"/>
              </w:rPr>
              <w:t>Прочие расходы</w:t>
            </w:r>
          </w:p>
        </w:tc>
        <w:tc>
          <w:tcPr>
            <w:tcW w:w="391" w:type="pct"/>
            <w:tcBorders>
              <w:top w:val="nil"/>
              <w:left w:val="nil"/>
              <w:bottom w:val="nil"/>
              <w:right w:val="nil"/>
            </w:tcBorders>
            <w:shd w:val="clear" w:color="auto" w:fill="auto"/>
            <w:noWrap/>
            <w:vAlign w:val="bottom"/>
            <w:hideMark/>
          </w:tcPr>
          <w:p w14:paraId="4E830034" w14:textId="77777777" w:rsidR="002E1F5B" w:rsidRPr="00CA4C14" w:rsidRDefault="002E1F5B" w:rsidP="00B772C9">
            <w:pPr>
              <w:pStyle w:val="Tabletext"/>
              <w:jc w:val="right"/>
              <w:rPr>
                <w:lang w:val="ru-RU" w:eastAsia="en-GB"/>
              </w:rPr>
            </w:pPr>
            <w:r w:rsidRPr="00CA4C14">
              <w:rPr>
                <w:lang w:val="ru-RU" w:eastAsia="en-GB"/>
              </w:rPr>
              <w:t>638</w:t>
            </w:r>
          </w:p>
        </w:tc>
        <w:tc>
          <w:tcPr>
            <w:tcW w:w="315" w:type="pct"/>
            <w:tcBorders>
              <w:top w:val="nil"/>
              <w:left w:val="nil"/>
              <w:bottom w:val="nil"/>
              <w:right w:val="nil"/>
            </w:tcBorders>
            <w:shd w:val="clear" w:color="auto" w:fill="auto"/>
            <w:noWrap/>
            <w:vAlign w:val="bottom"/>
            <w:hideMark/>
          </w:tcPr>
          <w:p w14:paraId="12ABB930" w14:textId="77777777" w:rsidR="002E1F5B" w:rsidRPr="00CA4C14" w:rsidRDefault="002E1F5B" w:rsidP="00B772C9">
            <w:pPr>
              <w:pStyle w:val="Tabletext"/>
              <w:jc w:val="right"/>
              <w:rPr>
                <w:lang w:val="ru-RU" w:eastAsia="en-GB"/>
              </w:rPr>
            </w:pPr>
            <w:r w:rsidRPr="00CA4C14">
              <w:rPr>
                <w:lang w:val="ru-RU" w:eastAsia="en-GB"/>
              </w:rPr>
              <w:t>170</w:t>
            </w:r>
          </w:p>
        </w:tc>
        <w:tc>
          <w:tcPr>
            <w:tcW w:w="315" w:type="pct"/>
            <w:tcBorders>
              <w:top w:val="nil"/>
              <w:left w:val="nil"/>
              <w:bottom w:val="nil"/>
              <w:right w:val="nil"/>
            </w:tcBorders>
            <w:shd w:val="clear" w:color="auto" w:fill="auto"/>
            <w:noWrap/>
            <w:vAlign w:val="bottom"/>
            <w:hideMark/>
          </w:tcPr>
          <w:p w14:paraId="60EC284C" w14:textId="77777777" w:rsidR="002E1F5B" w:rsidRPr="00CA4C14" w:rsidRDefault="002E1F5B" w:rsidP="00B772C9">
            <w:pPr>
              <w:pStyle w:val="Tabletext"/>
              <w:jc w:val="right"/>
              <w:rPr>
                <w:lang w:val="ru-RU" w:eastAsia="en-GB"/>
              </w:rPr>
            </w:pPr>
            <w:r w:rsidRPr="00CA4C14">
              <w:rPr>
                <w:lang w:val="ru-RU" w:eastAsia="en-GB"/>
              </w:rPr>
              <w:t>67</w:t>
            </w:r>
          </w:p>
        </w:tc>
        <w:tc>
          <w:tcPr>
            <w:tcW w:w="316" w:type="pct"/>
            <w:tcBorders>
              <w:top w:val="nil"/>
              <w:left w:val="nil"/>
              <w:bottom w:val="nil"/>
              <w:right w:val="nil"/>
            </w:tcBorders>
            <w:shd w:val="clear" w:color="auto" w:fill="auto"/>
            <w:noWrap/>
            <w:vAlign w:val="bottom"/>
            <w:hideMark/>
          </w:tcPr>
          <w:p w14:paraId="5ED2DED9" w14:textId="77777777" w:rsidR="002E1F5B" w:rsidRPr="00CA4C14" w:rsidRDefault="002E1F5B" w:rsidP="00B772C9">
            <w:pPr>
              <w:pStyle w:val="Tabletext"/>
              <w:jc w:val="right"/>
              <w:rPr>
                <w:lang w:val="ru-RU" w:eastAsia="en-GB"/>
              </w:rPr>
            </w:pPr>
            <w:r w:rsidRPr="00CA4C14">
              <w:rPr>
                <w:lang w:val="ru-RU" w:eastAsia="en-GB"/>
              </w:rPr>
              <w:t>210</w:t>
            </w:r>
          </w:p>
        </w:tc>
        <w:tc>
          <w:tcPr>
            <w:tcW w:w="432" w:type="pct"/>
            <w:tcBorders>
              <w:top w:val="nil"/>
              <w:left w:val="nil"/>
              <w:bottom w:val="nil"/>
              <w:right w:val="nil"/>
            </w:tcBorders>
            <w:shd w:val="clear" w:color="auto" w:fill="auto"/>
            <w:noWrap/>
            <w:vAlign w:val="bottom"/>
            <w:hideMark/>
          </w:tcPr>
          <w:p w14:paraId="5ABC129B" w14:textId="77777777" w:rsidR="002E1F5B" w:rsidRPr="00CA4C14" w:rsidRDefault="002E1F5B" w:rsidP="00B772C9">
            <w:pPr>
              <w:pStyle w:val="Tabletext"/>
              <w:jc w:val="right"/>
              <w:rPr>
                <w:b/>
                <w:bCs/>
                <w:lang w:val="ru-RU" w:eastAsia="en-GB"/>
              </w:rPr>
            </w:pPr>
            <w:r w:rsidRPr="00CA4C14">
              <w:rPr>
                <w:b/>
                <w:bCs/>
                <w:lang w:val="ru-RU" w:eastAsia="en-GB"/>
              </w:rPr>
              <w:t>1 085</w:t>
            </w:r>
          </w:p>
        </w:tc>
        <w:tc>
          <w:tcPr>
            <w:tcW w:w="317" w:type="pct"/>
            <w:tcBorders>
              <w:top w:val="nil"/>
              <w:left w:val="nil"/>
              <w:bottom w:val="nil"/>
              <w:right w:val="nil"/>
            </w:tcBorders>
            <w:shd w:val="clear" w:color="auto" w:fill="auto"/>
            <w:noWrap/>
            <w:vAlign w:val="bottom"/>
            <w:hideMark/>
          </w:tcPr>
          <w:p w14:paraId="7C22B419" w14:textId="77777777" w:rsidR="002E1F5B" w:rsidRPr="00CA4C14" w:rsidRDefault="002E1F5B" w:rsidP="00B772C9">
            <w:pPr>
              <w:pStyle w:val="Tabletext"/>
              <w:jc w:val="right"/>
              <w:rPr>
                <w:lang w:val="ru-RU" w:eastAsia="en-GB"/>
              </w:rPr>
            </w:pPr>
          </w:p>
        </w:tc>
        <w:tc>
          <w:tcPr>
            <w:tcW w:w="303" w:type="pct"/>
            <w:tcBorders>
              <w:top w:val="nil"/>
              <w:left w:val="nil"/>
              <w:bottom w:val="nil"/>
              <w:right w:val="nil"/>
            </w:tcBorders>
            <w:shd w:val="clear" w:color="auto" w:fill="auto"/>
            <w:noWrap/>
            <w:vAlign w:val="bottom"/>
            <w:hideMark/>
          </w:tcPr>
          <w:p w14:paraId="5A642395" w14:textId="77777777" w:rsidR="002E1F5B" w:rsidRPr="00CA4C14" w:rsidRDefault="002E1F5B" w:rsidP="00B772C9">
            <w:pPr>
              <w:pStyle w:val="Tabletext"/>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4EB5F8C0" w14:textId="77777777" w:rsidR="002E1F5B" w:rsidRPr="00CA4C14" w:rsidRDefault="002E1F5B" w:rsidP="00B772C9">
            <w:pPr>
              <w:pStyle w:val="Tabletext"/>
              <w:jc w:val="right"/>
              <w:rPr>
                <w:lang w:val="ru-RU" w:eastAsia="en-GB"/>
              </w:rPr>
            </w:pPr>
            <w:r w:rsidRPr="00CA4C14">
              <w:rPr>
                <w:lang w:val="ru-RU" w:eastAsia="en-GB"/>
              </w:rPr>
              <w:t>1 737</w:t>
            </w:r>
          </w:p>
        </w:tc>
        <w:tc>
          <w:tcPr>
            <w:tcW w:w="390" w:type="pct"/>
            <w:tcBorders>
              <w:top w:val="nil"/>
              <w:left w:val="nil"/>
              <w:bottom w:val="nil"/>
              <w:right w:val="nil"/>
            </w:tcBorders>
            <w:shd w:val="clear" w:color="auto" w:fill="auto"/>
            <w:noWrap/>
            <w:vAlign w:val="bottom"/>
            <w:hideMark/>
          </w:tcPr>
          <w:p w14:paraId="3614ADA0" w14:textId="77777777" w:rsidR="002E1F5B" w:rsidRPr="00CA4C14" w:rsidRDefault="002E1F5B" w:rsidP="00B772C9">
            <w:pPr>
              <w:pStyle w:val="Tabletext"/>
              <w:jc w:val="right"/>
              <w:rPr>
                <w:lang w:val="ru-RU" w:eastAsia="en-GB"/>
              </w:rPr>
            </w:pPr>
            <w:r w:rsidRPr="00CA4C14">
              <w:rPr>
                <w:lang w:val="ru-RU" w:eastAsia="en-GB"/>
              </w:rPr>
              <w:t>(1 014)</w:t>
            </w:r>
          </w:p>
        </w:tc>
        <w:tc>
          <w:tcPr>
            <w:tcW w:w="353" w:type="pct"/>
            <w:tcBorders>
              <w:top w:val="nil"/>
              <w:left w:val="nil"/>
              <w:bottom w:val="nil"/>
              <w:right w:val="nil"/>
            </w:tcBorders>
            <w:shd w:val="clear" w:color="auto" w:fill="auto"/>
            <w:noWrap/>
            <w:vAlign w:val="bottom"/>
            <w:hideMark/>
          </w:tcPr>
          <w:p w14:paraId="52559EBA"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1 808</w:t>
            </w:r>
          </w:p>
        </w:tc>
      </w:tr>
      <w:tr w:rsidR="002E1F5B" w:rsidRPr="00CA4C14" w14:paraId="096CBA10" w14:textId="77777777" w:rsidTr="00922DE4">
        <w:tc>
          <w:tcPr>
            <w:tcW w:w="1460" w:type="pct"/>
            <w:tcBorders>
              <w:top w:val="nil"/>
              <w:left w:val="nil"/>
              <w:bottom w:val="nil"/>
              <w:right w:val="nil"/>
            </w:tcBorders>
            <w:shd w:val="clear" w:color="auto" w:fill="auto"/>
            <w:noWrap/>
            <w:hideMark/>
          </w:tcPr>
          <w:p w14:paraId="42D21E95" w14:textId="77777777" w:rsidR="002E1F5B" w:rsidRPr="00CA4C14" w:rsidRDefault="002E1F5B" w:rsidP="00B772C9">
            <w:pPr>
              <w:pStyle w:val="Tabletext"/>
              <w:rPr>
                <w:b/>
                <w:bCs/>
                <w:color w:val="000000"/>
                <w:lang w:val="ru-RU" w:eastAsia="en-GB"/>
              </w:rPr>
            </w:pPr>
            <w:r w:rsidRPr="00CA4C14">
              <w:rPr>
                <w:b/>
                <w:bCs/>
                <w:color w:val="000000"/>
                <w:lang w:val="ru-RU" w:eastAsia="en-GB"/>
              </w:rPr>
              <w:t>Всего: расходы</w:t>
            </w:r>
          </w:p>
        </w:tc>
        <w:tc>
          <w:tcPr>
            <w:tcW w:w="391" w:type="pct"/>
            <w:tcBorders>
              <w:top w:val="nil"/>
              <w:left w:val="nil"/>
              <w:bottom w:val="nil"/>
              <w:right w:val="nil"/>
            </w:tcBorders>
            <w:shd w:val="clear" w:color="auto" w:fill="auto"/>
            <w:noWrap/>
            <w:vAlign w:val="bottom"/>
            <w:hideMark/>
          </w:tcPr>
          <w:p w14:paraId="11EC0DE7"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92 205</w:t>
            </w:r>
          </w:p>
        </w:tc>
        <w:tc>
          <w:tcPr>
            <w:tcW w:w="315" w:type="pct"/>
            <w:tcBorders>
              <w:top w:val="nil"/>
              <w:left w:val="nil"/>
              <w:bottom w:val="nil"/>
              <w:right w:val="nil"/>
            </w:tcBorders>
            <w:shd w:val="clear" w:color="auto" w:fill="auto"/>
            <w:noWrap/>
            <w:vAlign w:val="bottom"/>
            <w:hideMark/>
          </w:tcPr>
          <w:p w14:paraId="27DE0D3E"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36 595</w:t>
            </w:r>
          </w:p>
        </w:tc>
        <w:tc>
          <w:tcPr>
            <w:tcW w:w="315" w:type="pct"/>
            <w:tcBorders>
              <w:top w:val="nil"/>
              <w:left w:val="nil"/>
              <w:bottom w:val="nil"/>
              <w:right w:val="nil"/>
            </w:tcBorders>
            <w:shd w:val="clear" w:color="auto" w:fill="auto"/>
            <w:noWrap/>
            <w:vAlign w:val="bottom"/>
            <w:hideMark/>
          </w:tcPr>
          <w:p w14:paraId="0CAED174"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14 441</w:t>
            </w:r>
          </w:p>
        </w:tc>
        <w:tc>
          <w:tcPr>
            <w:tcW w:w="316" w:type="pct"/>
            <w:tcBorders>
              <w:top w:val="nil"/>
              <w:left w:val="nil"/>
              <w:bottom w:val="nil"/>
              <w:right w:val="nil"/>
            </w:tcBorders>
            <w:shd w:val="clear" w:color="auto" w:fill="auto"/>
            <w:noWrap/>
            <w:vAlign w:val="bottom"/>
            <w:hideMark/>
          </w:tcPr>
          <w:p w14:paraId="29A5FF06"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30 926</w:t>
            </w:r>
          </w:p>
        </w:tc>
        <w:tc>
          <w:tcPr>
            <w:tcW w:w="432" w:type="pct"/>
            <w:tcBorders>
              <w:top w:val="nil"/>
              <w:left w:val="nil"/>
              <w:bottom w:val="nil"/>
              <w:right w:val="nil"/>
            </w:tcBorders>
            <w:shd w:val="clear" w:color="auto" w:fill="auto"/>
            <w:noWrap/>
            <w:vAlign w:val="bottom"/>
            <w:hideMark/>
          </w:tcPr>
          <w:p w14:paraId="60353F47"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174 167</w:t>
            </w:r>
          </w:p>
        </w:tc>
        <w:tc>
          <w:tcPr>
            <w:tcW w:w="317" w:type="pct"/>
            <w:tcBorders>
              <w:top w:val="nil"/>
              <w:left w:val="nil"/>
              <w:bottom w:val="nil"/>
              <w:right w:val="nil"/>
            </w:tcBorders>
            <w:shd w:val="clear" w:color="auto" w:fill="auto"/>
            <w:noWrap/>
            <w:vAlign w:val="bottom"/>
            <w:hideMark/>
          </w:tcPr>
          <w:p w14:paraId="75C9662C"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17</w:t>
            </w:r>
          </w:p>
        </w:tc>
        <w:tc>
          <w:tcPr>
            <w:tcW w:w="303" w:type="pct"/>
            <w:tcBorders>
              <w:top w:val="nil"/>
              <w:left w:val="nil"/>
              <w:bottom w:val="nil"/>
              <w:right w:val="nil"/>
            </w:tcBorders>
            <w:shd w:val="clear" w:color="auto" w:fill="auto"/>
            <w:noWrap/>
            <w:vAlign w:val="bottom"/>
            <w:hideMark/>
          </w:tcPr>
          <w:p w14:paraId="4A61AEF4" w14:textId="77777777" w:rsidR="002E1F5B" w:rsidRPr="00CA4C14" w:rsidRDefault="002E1F5B" w:rsidP="00B772C9">
            <w:pPr>
              <w:pStyle w:val="Tabletext"/>
              <w:jc w:val="right"/>
              <w:rPr>
                <w:b/>
                <w:bCs/>
                <w:color w:val="000000"/>
                <w:lang w:val="ru-RU" w:eastAsia="en-GB"/>
              </w:rPr>
            </w:pPr>
          </w:p>
        </w:tc>
        <w:tc>
          <w:tcPr>
            <w:tcW w:w="408" w:type="pct"/>
            <w:tcBorders>
              <w:top w:val="nil"/>
              <w:left w:val="nil"/>
              <w:bottom w:val="nil"/>
              <w:right w:val="nil"/>
            </w:tcBorders>
            <w:shd w:val="clear" w:color="auto" w:fill="auto"/>
            <w:noWrap/>
            <w:vAlign w:val="bottom"/>
            <w:hideMark/>
          </w:tcPr>
          <w:p w14:paraId="2081A1FB"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23 991</w:t>
            </w:r>
          </w:p>
        </w:tc>
        <w:tc>
          <w:tcPr>
            <w:tcW w:w="390" w:type="pct"/>
            <w:tcBorders>
              <w:top w:val="nil"/>
              <w:left w:val="nil"/>
              <w:bottom w:val="nil"/>
              <w:right w:val="nil"/>
            </w:tcBorders>
            <w:shd w:val="clear" w:color="auto" w:fill="auto"/>
            <w:noWrap/>
            <w:vAlign w:val="bottom"/>
            <w:hideMark/>
          </w:tcPr>
          <w:p w14:paraId="282FDDC5"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(1 014)</w:t>
            </w:r>
          </w:p>
        </w:tc>
        <w:tc>
          <w:tcPr>
            <w:tcW w:w="353" w:type="pct"/>
            <w:tcBorders>
              <w:top w:val="nil"/>
              <w:left w:val="nil"/>
              <w:bottom w:val="nil"/>
              <w:right w:val="nil"/>
            </w:tcBorders>
            <w:shd w:val="clear" w:color="auto" w:fill="auto"/>
            <w:noWrap/>
            <w:vAlign w:val="bottom"/>
            <w:hideMark/>
          </w:tcPr>
          <w:p w14:paraId="4F5BA243"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197 161</w:t>
            </w:r>
          </w:p>
        </w:tc>
      </w:tr>
      <w:tr w:rsidR="002E1F5B" w:rsidRPr="00CA4C14" w14:paraId="5D2A3DDA" w14:textId="77777777" w:rsidTr="00922DE4">
        <w:tc>
          <w:tcPr>
            <w:tcW w:w="1460" w:type="pct"/>
            <w:tcBorders>
              <w:top w:val="nil"/>
              <w:left w:val="nil"/>
              <w:bottom w:val="nil"/>
              <w:right w:val="nil"/>
            </w:tcBorders>
            <w:shd w:val="clear" w:color="auto" w:fill="auto"/>
            <w:noWrap/>
            <w:hideMark/>
          </w:tcPr>
          <w:p w14:paraId="2B2AA37F" w14:textId="77777777" w:rsidR="002E1F5B" w:rsidRPr="00CA4C14" w:rsidRDefault="002E1F5B" w:rsidP="00B772C9">
            <w:pPr>
              <w:pStyle w:val="Tabletext"/>
              <w:spacing w:before="0" w:after="0"/>
              <w:rPr>
                <w:color w:val="000000"/>
                <w:lang w:val="ru-RU" w:eastAsia="en-GB"/>
              </w:rPr>
            </w:pPr>
          </w:p>
        </w:tc>
        <w:tc>
          <w:tcPr>
            <w:tcW w:w="391" w:type="pct"/>
            <w:tcBorders>
              <w:top w:val="nil"/>
              <w:left w:val="nil"/>
              <w:bottom w:val="nil"/>
              <w:right w:val="nil"/>
            </w:tcBorders>
            <w:shd w:val="clear" w:color="auto" w:fill="auto"/>
            <w:noWrap/>
            <w:vAlign w:val="bottom"/>
            <w:hideMark/>
          </w:tcPr>
          <w:p w14:paraId="1DCF1502" w14:textId="77777777" w:rsidR="002E1F5B" w:rsidRPr="00CA4C14" w:rsidRDefault="002E1F5B" w:rsidP="00B772C9">
            <w:pPr>
              <w:pStyle w:val="Tabletext"/>
              <w:spacing w:before="0" w:after="0"/>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2C65A759" w14:textId="77777777" w:rsidR="002E1F5B" w:rsidRPr="00CA4C14" w:rsidRDefault="002E1F5B" w:rsidP="00B772C9">
            <w:pPr>
              <w:pStyle w:val="Tabletext"/>
              <w:spacing w:before="0" w:after="0"/>
              <w:jc w:val="right"/>
              <w:rPr>
                <w:rFonts w:ascii="Times New Roman" w:hAnsi="Times New Roman"/>
                <w:lang w:val="ru-RU" w:eastAsia="en-GB"/>
              </w:rPr>
            </w:pPr>
          </w:p>
        </w:tc>
        <w:tc>
          <w:tcPr>
            <w:tcW w:w="315" w:type="pct"/>
            <w:tcBorders>
              <w:top w:val="nil"/>
              <w:left w:val="nil"/>
              <w:bottom w:val="nil"/>
              <w:right w:val="nil"/>
            </w:tcBorders>
            <w:shd w:val="clear" w:color="auto" w:fill="auto"/>
            <w:noWrap/>
            <w:vAlign w:val="bottom"/>
            <w:hideMark/>
          </w:tcPr>
          <w:p w14:paraId="52D1CEF5" w14:textId="77777777" w:rsidR="002E1F5B" w:rsidRPr="00CA4C14" w:rsidRDefault="002E1F5B" w:rsidP="00B772C9">
            <w:pPr>
              <w:pStyle w:val="Tabletext"/>
              <w:spacing w:before="0" w:after="0"/>
              <w:jc w:val="right"/>
              <w:rPr>
                <w:rFonts w:ascii="Times New Roman" w:hAnsi="Times New Roman"/>
                <w:lang w:val="ru-RU" w:eastAsia="en-GB"/>
              </w:rPr>
            </w:pPr>
          </w:p>
        </w:tc>
        <w:tc>
          <w:tcPr>
            <w:tcW w:w="316" w:type="pct"/>
            <w:tcBorders>
              <w:top w:val="nil"/>
              <w:left w:val="nil"/>
              <w:bottom w:val="nil"/>
              <w:right w:val="nil"/>
            </w:tcBorders>
            <w:shd w:val="clear" w:color="auto" w:fill="auto"/>
            <w:noWrap/>
            <w:vAlign w:val="bottom"/>
            <w:hideMark/>
          </w:tcPr>
          <w:p w14:paraId="55FD6DBC" w14:textId="77777777" w:rsidR="002E1F5B" w:rsidRPr="00CA4C14" w:rsidRDefault="002E1F5B" w:rsidP="00B772C9">
            <w:pPr>
              <w:pStyle w:val="Tabletext"/>
              <w:spacing w:before="0" w:after="0"/>
              <w:jc w:val="right"/>
              <w:rPr>
                <w:rFonts w:ascii="Times New Roman" w:hAnsi="Times New Roman"/>
                <w:lang w:val="ru-RU" w:eastAsia="en-GB"/>
              </w:rPr>
            </w:pPr>
          </w:p>
        </w:tc>
        <w:tc>
          <w:tcPr>
            <w:tcW w:w="432" w:type="pct"/>
            <w:tcBorders>
              <w:top w:val="nil"/>
              <w:left w:val="nil"/>
              <w:bottom w:val="nil"/>
              <w:right w:val="nil"/>
            </w:tcBorders>
            <w:shd w:val="clear" w:color="auto" w:fill="auto"/>
            <w:noWrap/>
            <w:vAlign w:val="bottom"/>
            <w:hideMark/>
          </w:tcPr>
          <w:p w14:paraId="7667B23D" w14:textId="77777777" w:rsidR="002E1F5B" w:rsidRPr="00CA4C14" w:rsidRDefault="002E1F5B" w:rsidP="00B772C9">
            <w:pPr>
              <w:pStyle w:val="Tabletext"/>
              <w:spacing w:before="0" w:after="0"/>
              <w:jc w:val="right"/>
              <w:rPr>
                <w:rFonts w:ascii="Times New Roman" w:hAnsi="Times New Roman"/>
                <w:b/>
                <w:bCs/>
                <w:lang w:val="ru-RU" w:eastAsia="en-GB"/>
              </w:rPr>
            </w:pPr>
          </w:p>
        </w:tc>
        <w:tc>
          <w:tcPr>
            <w:tcW w:w="317" w:type="pct"/>
            <w:tcBorders>
              <w:top w:val="nil"/>
              <w:left w:val="nil"/>
              <w:bottom w:val="nil"/>
              <w:right w:val="nil"/>
            </w:tcBorders>
            <w:shd w:val="clear" w:color="auto" w:fill="auto"/>
            <w:noWrap/>
            <w:vAlign w:val="bottom"/>
            <w:hideMark/>
          </w:tcPr>
          <w:p w14:paraId="032DD26A" w14:textId="77777777" w:rsidR="002E1F5B" w:rsidRPr="00CA4C14" w:rsidRDefault="002E1F5B" w:rsidP="00B772C9">
            <w:pPr>
              <w:pStyle w:val="Tabletext"/>
              <w:spacing w:before="0" w:after="0"/>
              <w:jc w:val="right"/>
              <w:rPr>
                <w:rFonts w:ascii="Times New Roman" w:hAnsi="Times New Roman"/>
                <w:lang w:val="ru-RU" w:eastAsia="en-GB"/>
              </w:rPr>
            </w:pPr>
          </w:p>
        </w:tc>
        <w:tc>
          <w:tcPr>
            <w:tcW w:w="303" w:type="pct"/>
            <w:tcBorders>
              <w:top w:val="nil"/>
              <w:left w:val="nil"/>
              <w:bottom w:val="nil"/>
              <w:right w:val="nil"/>
            </w:tcBorders>
            <w:shd w:val="clear" w:color="auto" w:fill="auto"/>
            <w:noWrap/>
            <w:vAlign w:val="bottom"/>
            <w:hideMark/>
          </w:tcPr>
          <w:p w14:paraId="0FEDD08D" w14:textId="77777777" w:rsidR="002E1F5B" w:rsidRPr="00CA4C14" w:rsidRDefault="002E1F5B" w:rsidP="00B772C9">
            <w:pPr>
              <w:pStyle w:val="Tabletext"/>
              <w:spacing w:before="0" w:after="0"/>
              <w:jc w:val="right"/>
              <w:rPr>
                <w:rFonts w:ascii="Times New Roman" w:hAnsi="Times New Roman"/>
                <w:lang w:val="ru-RU" w:eastAsia="en-GB"/>
              </w:rPr>
            </w:pPr>
          </w:p>
        </w:tc>
        <w:tc>
          <w:tcPr>
            <w:tcW w:w="408" w:type="pct"/>
            <w:tcBorders>
              <w:top w:val="nil"/>
              <w:left w:val="nil"/>
              <w:bottom w:val="nil"/>
              <w:right w:val="nil"/>
            </w:tcBorders>
            <w:shd w:val="clear" w:color="auto" w:fill="auto"/>
            <w:noWrap/>
            <w:vAlign w:val="bottom"/>
            <w:hideMark/>
          </w:tcPr>
          <w:p w14:paraId="316672DD" w14:textId="77777777" w:rsidR="002E1F5B" w:rsidRPr="00CA4C14" w:rsidRDefault="002E1F5B" w:rsidP="00B772C9">
            <w:pPr>
              <w:pStyle w:val="Tabletext"/>
              <w:spacing w:before="0" w:after="0"/>
              <w:jc w:val="right"/>
              <w:rPr>
                <w:rFonts w:ascii="Times New Roman" w:hAnsi="Times New Roman"/>
                <w:lang w:val="ru-RU" w:eastAsia="en-GB"/>
              </w:rPr>
            </w:pPr>
          </w:p>
        </w:tc>
        <w:tc>
          <w:tcPr>
            <w:tcW w:w="390" w:type="pct"/>
            <w:tcBorders>
              <w:top w:val="nil"/>
              <w:left w:val="nil"/>
              <w:bottom w:val="nil"/>
              <w:right w:val="nil"/>
            </w:tcBorders>
            <w:shd w:val="clear" w:color="auto" w:fill="auto"/>
            <w:noWrap/>
            <w:vAlign w:val="bottom"/>
            <w:hideMark/>
          </w:tcPr>
          <w:p w14:paraId="42515742" w14:textId="77777777" w:rsidR="002E1F5B" w:rsidRPr="00CA4C14" w:rsidRDefault="002E1F5B" w:rsidP="00B772C9">
            <w:pPr>
              <w:pStyle w:val="Tabletext"/>
              <w:spacing w:before="0" w:after="0"/>
              <w:jc w:val="right"/>
              <w:rPr>
                <w:rFonts w:ascii="Times New Roman" w:hAnsi="Times New Roman"/>
                <w:lang w:val="ru-RU" w:eastAsia="en-GB"/>
              </w:rPr>
            </w:pPr>
          </w:p>
        </w:tc>
        <w:tc>
          <w:tcPr>
            <w:tcW w:w="353" w:type="pct"/>
            <w:tcBorders>
              <w:top w:val="nil"/>
              <w:left w:val="nil"/>
              <w:bottom w:val="nil"/>
              <w:right w:val="nil"/>
            </w:tcBorders>
            <w:shd w:val="clear" w:color="auto" w:fill="auto"/>
            <w:noWrap/>
            <w:vAlign w:val="bottom"/>
            <w:hideMark/>
          </w:tcPr>
          <w:p w14:paraId="458D6A0D" w14:textId="77777777" w:rsidR="002E1F5B" w:rsidRPr="00CA4C14" w:rsidRDefault="002E1F5B" w:rsidP="00B772C9">
            <w:pPr>
              <w:pStyle w:val="Tabletext"/>
              <w:spacing w:before="0" w:after="0"/>
              <w:jc w:val="right"/>
              <w:rPr>
                <w:rFonts w:ascii="Times New Roman" w:hAnsi="Times New Roman"/>
                <w:b/>
                <w:bCs/>
                <w:lang w:val="ru-RU" w:eastAsia="en-GB"/>
              </w:rPr>
            </w:pPr>
          </w:p>
        </w:tc>
      </w:tr>
      <w:tr w:rsidR="002E1F5B" w:rsidRPr="00CA4C14" w14:paraId="01D2A725" w14:textId="77777777" w:rsidTr="00922DE4">
        <w:tc>
          <w:tcPr>
            <w:tcW w:w="1460" w:type="pct"/>
            <w:tcBorders>
              <w:top w:val="nil"/>
              <w:left w:val="nil"/>
              <w:bottom w:val="nil"/>
              <w:right w:val="nil"/>
            </w:tcBorders>
            <w:shd w:val="clear" w:color="auto" w:fill="auto"/>
            <w:noWrap/>
            <w:hideMark/>
          </w:tcPr>
          <w:p w14:paraId="3893B8D3" w14:textId="77777777" w:rsidR="002E1F5B" w:rsidRPr="00CA4C14" w:rsidRDefault="002E1F5B" w:rsidP="00B772C9">
            <w:pPr>
              <w:pStyle w:val="Tabletext"/>
              <w:rPr>
                <w:b/>
                <w:bCs/>
                <w:color w:val="000000"/>
                <w:lang w:val="ru-RU" w:eastAsia="en-GB"/>
              </w:rPr>
            </w:pPr>
            <w:r w:rsidRPr="00CA4C14">
              <w:rPr>
                <w:b/>
                <w:bCs/>
                <w:color w:val="000000"/>
                <w:lang w:val="ru-RU" w:eastAsia="en-GB"/>
              </w:rPr>
              <w:t>Финансовые доходы/(затраты)</w:t>
            </w:r>
          </w:p>
        </w:tc>
        <w:tc>
          <w:tcPr>
            <w:tcW w:w="391" w:type="pct"/>
            <w:tcBorders>
              <w:top w:val="nil"/>
              <w:left w:val="nil"/>
              <w:bottom w:val="nil"/>
              <w:right w:val="nil"/>
            </w:tcBorders>
            <w:shd w:val="clear" w:color="auto" w:fill="auto"/>
            <w:noWrap/>
            <w:vAlign w:val="bottom"/>
            <w:hideMark/>
          </w:tcPr>
          <w:p w14:paraId="16264E52" w14:textId="77777777" w:rsidR="002E1F5B" w:rsidRPr="00CA4C14" w:rsidRDefault="002E1F5B" w:rsidP="00B772C9">
            <w:pPr>
              <w:pStyle w:val="Tabletext"/>
              <w:jc w:val="right"/>
              <w:rPr>
                <w:lang w:val="ru-RU" w:eastAsia="en-GB"/>
              </w:rPr>
            </w:pPr>
            <w:r w:rsidRPr="00CA4C14">
              <w:rPr>
                <w:lang w:val="ru-RU" w:eastAsia="en-GB"/>
              </w:rPr>
              <w:t>(3 361)</w:t>
            </w:r>
          </w:p>
        </w:tc>
        <w:tc>
          <w:tcPr>
            <w:tcW w:w="315" w:type="pct"/>
            <w:tcBorders>
              <w:top w:val="nil"/>
              <w:left w:val="nil"/>
              <w:bottom w:val="nil"/>
              <w:right w:val="nil"/>
            </w:tcBorders>
            <w:shd w:val="clear" w:color="auto" w:fill="auto"/>
            <w:noWrap/>
            <w:vAlign w:val="bottom"/>
            <w:hideMark/>
          </w:tcPr>
          <w:p w14:paraId="56976732" w14:textId="77777777" w:rsidR="002E1F5B" w:rsidRPr="00CA4C14" w:rsidRDefault="002E1F5B" w:rsidP="00B772C9">
            <w:pPr>
              <w:pStyle w:val="Tabletext"/>
              <w:jc w:val="right"/>
              <w:rPr>
                <w:lang w:val="ru-RU" w:eastAsia="en-GB"/>
              </w:rPr>
            </w:pPr>
            <w:r w:rsidRPr="00CA4C14">
              <w:rPr>
                <w:lang w:val="ru-RU" w:eastAsia="en-GB"/>
              </w:rPr>
              <w:t>(1 340)</w:t>
            </w:r>
          </w:p>
        </w:tc>
        <w:tc>
          <w:tcPr>
            <w:tcW w:w="315" w:type="pct"/>
            <w:tcBorders>
              <w:top w:val="nil"/>
              <w:left w:val="nil"/>
              <w:bottom w:val="nil"/>
              <w:right w:val="nil"/>
            </w:tcBorders>
            <w:shd w:val="clear" w:color="auto" w:fill="auto"/>
            <w:noWrap/>
            <w:vAlign w:val="bottom"/>
            <w:hideMark/>
          </w:tcPr>
          <w:p w14:paraId="095EC6FA" w14:textId="77777777" w:rsidR="002E1F5B" w:rsidRPr="00CA4C14" w:rsidRDefault="002E1F5B" w:rsidP="00B772C9">
            <w:pPr>
              <w:pStyle w:val="Tabletext"/>
              <w:jc w:val="right"/>
              <w:rPr>
                <w:lang w:val="ru-RU" w:eastAsia="en-GB"/>
              </w:rPr>
            </w:pPr>
            <w:r w:rsidRPr="00CA4C14">
              <w:rPr>
                <w:lang w:val="ru-RU" w:eastAsia="en-GB"/>
              </w:rPr>
              <w:t>(526)</w:t>
            </w:r>
          </w:p>
        </w:tc>
        <w:tc>
          <w:tcPr>
            <w:tcW w:w="316" w:type="pct"/>
            <w:tcBorders>
              <w:top w:val="nil"/>
              <w:left w:val="nil"/>
              <w:bottom w:val="nil"/>
              <w:right w:val="nil"/>
            </w:tcBorders>
            <w:shd w:val="clear" w:color="auto" w:fill="auto"/>
            <w:noWrap/>
            <w:vAlign w:val="bottom"/>
            <w:hideMark/>
          </w:tcPr>
          <w:p w14:paraId="1404282F" w14:textId="77777777" w:rsidR="002E1F5B" w:rsidRPr="00CA4C14" w:rsidRDefault="002E1F5B" w:rsidP="00B772C9">
            <w:pPr>
              <w:pStyle w:val="Tabletext"/>
              <w:jc w:val="right"/>
              <w:rPr>
                <w:lang w:val="ru-RU" w:eastAsia="en-GB"/>
              </w:rPr>
            </w:pPr>
            <w:r w:rsidRPr="00CA4C14">
              <w:rPr>
                <w:lang w:val="ru-RU" w:eastAsia="en-GB"/>
              </w:rPr>
              <w:t>(1 123)</w:t>
            </w:r>
          </w:p>
        </w:tc>
        <w:tc>
          <w:tcPr>
            <w:tcW w:w="432" w:type="pct"/>
            <w:tcBorders>
              <w:top w:val="nil"/>
              <w:left w:val="nil"/>
              <w:bottom w:val="nil"/>
              <w:right w:val="nil"/>
            </w:tcBorders>
            <w:shd w:val="clear" w:color="auto" w:fill="auto"/>
            <w:noWrap/>
            <w:vAlign w:val="bottom"/>
            <w:hideMark/>
          </w:tcPr>
          <w:p w14:paraId="7E8651DC" w14:textId="77777777" w:rsidR="002E1F5B" w:rsidRPr="00CA4C14" w:rsidRDefault="002E1F5B" w:rsidP="00B772C9">
            <w:pPr>
              <w:pStyle w:val="Tabletext"/>
              <w:jc w:val="right"/>
              <w:rPr>
                <w:b/>
                <w:bCs/>
                <w:lang w:val="ru-RU" w:eastAsia="en-GB"/>
              </w:rPr>
            </w:pPr>
            <w:r w:rsidRPr="00CA4C14">
              <w:rPr>
                <w:b/>
                <w:bCs/>
                <w:lang w:val="ru-RU" w:eastAsia="en-GB"/>
              </w:rPr>
              <w:t>(6 349)</w:t>
            </w:r>
          </w:p>
        </w:tc>
        <w:tc>
          <w:tcPr>
            <w:tcW w:w="317" w:type="pct"/>
            <w:tcBorders>
              <w:top w:val="nil"/>
              <w:left w:val="nil"/>
              <w:bottom w:val="nil"/>
              <w:right w:val="nil"/>
            </w:tcBorders>
            <w:shd w:val="clear" w:color="auto" w:fill="auto"/>
            <w:noWrap/>
            <w:vAlign w:val="bottom"/>
            <w:hideMark/>
          </w:tcPr>
          <w:p w14:paraId="01FF6D5F" w14:textId="77777777" w:rsidR="002E1F5B" w:rsidRPr="00CA4C14" w:rsidRDefault="002E1F5B" w:rsidP="00B772C9">
            <w:pPr>
              <w:pStyle w:val="Tabletext"/>
              <w:jc w:val="right"/>
              <w:rPr>
                <w:b/>
                <w:bCs/>
                <w:lang w:val="ru-RU" w:eastAsia="en-GB"/>
              </w:rPr>
            </w:pPr>
            <w:r w:rsidRPr="00CA4C14">
              <w:rPr>
                <w:b/>
                <w:bCs/>
                <w:lang w:val="ru-RU" w:eastAsia="en-GB"/>
              </w:rPr>
              <w:t>(61)</w:t>
            </w:r>
          </w:p>
        </w:tc>
        <w:tc>
          <w:tcPr>
            <w:tcW w:w="303" w:type="pct"/>
            <w:tcBorders>
              <w:top w:val="nil"/>
              <w:left w:val="nil"/>
              <w:bottom w:val="nil"/>
              <w:right w:val="nil"/>
            </w:tcBorders>
            <w:shd w:val="clear" w:color="auto" w:fill="auto"/>
            <w:noWrap/>
            <w:vAlign w:val="bottom"/>
            <w:hideMark/>
          </w:tcPr>
          <w:p w14:paraId="3F138025" w14:textId="77777777" w:rsidR="002E1F5B" w:rsidRPr="00CA4C14" w:rsidRDefault="002E1F5B" w:rsidP="00B772C9">
            <w:pPr>
              <w:pStyle w:val="Tabletext"/>
              <w:jc w:val="right"/>
              <w:rPr>
                <w:b/>
                <w:bCs/>
                <w:lang w:val="ru-RU" w:eastAsia="en-GB"/>
              </w:rPr>
            </w:pPr>
            <w:r w:rsidRPr="00CA4C14">
              <w:rPr>
                <w:b/>
                <w:bCs/>
                <w:lang w:val="ru-RU" w:eastAsia="en-GB"/>
              </w:rPr>
              <w:t>(312)</w:t>
            </w:r>
          </w:p>
        </w:tc>
        <w:tc>
          <w:tcPr>
            <w:tcW w:w="408" w:type="pct"/>
            <w:tcBorders>
              <w:top w:val="nil"/>
              <w:left w:val="nil"/>
              <w:bottom w:val="nil"/>
              <w:right w:val="nil"/>
            </w:tcBorders>
            <w:shd w:val="clear" w:color="auto" w:fill="auto"/>
            <w:noWrap/>
            <w:vAlign w:val="bottom"/>
            <w:hideMark/>
          </w:tcPr>
          <w:p w14:paraId="6A27F2D8" w14:textId="77777777" w:rsidR="002E1F5B" w:rsidRPr="00CA4C14" w:rsidRDefault="002E1F5B" w:rsidP="00B772C9">
            <w:pPr>
              <w:pStyle w:val="Tabletext"/>
              <w:jc w:val="right"/>
              <w:rPr>
                <w:b/>
                <w:bCs/>
                <w:lang w:val="ru-RU" w:eastAsia="en-GB"/>
              </w:rPr>
            </w:pPr>
            <w:r w:rsidRPr="00CA4C14">
              <w:rPr>
                <w:b/>
                <w:bCs/>
                <w:lang w:val="ru-RU" w:eastAsia="en-GB"/>
              </w:rPr>
              <w:t>(1 550)</w:t>
            </w:r>
          </w:p>
        </w:tc>
        <w:tc>
          <w:tcPr>
            <w:tcW w:w="390" w:type="pct"/>
            <w:tcBorders>
              <w:top w:val="nil"/>
              <w:left w:val="nil"/>
              <w:bottom w:val="nil"/>
              <w:right w:val="nil"/>
            </w:tcBorders>
            <w:shd w:val="clear" w:color="auto" w:fill="auto"/>
            <w:noWrap/>
            <w:vAlign w:val="bottom"/>
            <w:hideMark/>
          </w:tcPr>
          <w:p w14:paraId="199C2C6D" w14:textId="77777777" w:rsidR="002E1F5B" w:rsidRPr="00CA4C14" w:rsidRDefault="002E1F5B" w:rsidP="00B772C9">
            <w:pPr>
              <w:pStyle w:val="Tabletext"/>
              <w:jc w:val="right"/>
              <w:rPr>
                <w:lang w:val="ru-RU" w:eastAsia="en-GB"/>
              </w:rPr>
            </w:pPr>
          </w:p>
        </w:tc>
        <w:tc>
          <w:tcPr>
            <w:tcW w:w="353" w:type="pct"/>
            <w:tcBorders>
              <w:top w:val="nil"/>
              <w:left w:val="nil"/>
              <w:bottom w:val="nil"/>
              <w:right w:val="nil"/>
            </w:tcBorders>
            <w:shd w:val="clear" w:color="auto" w:fill="auto"/>
            <w:noWrap/>
            <w:vAlign w:val="bottom"/>
            <w:hideMark/>
          </w:tcPr>
          <w:p w14:paraId="176110EA" w14:textId="77777777" w:rsidR="002E1F5B" w:rsidRPr="00CA4C14" w:rsidRDefault="002E1F5B" w:rsidP="00B772C9">
            <w:pPr>
              <w:pStyle w:val="Tabletext"/>
              <w:jc w:val="right"/>
              <w:rPr>
                <w:b/>
                <w:bCs/>
                <w:color w:val="000000"/>
                <w:lang w:val="ru-RU" w:eastAsia="en-GB"/>
              </w:rPr>
            </w:pPr>
            <w:r w:rsidRPr="00CA4C14">
              <w:rPr>
                <w:b/>
                <w:bCs/>
                <w:color w:val="000000"/>
                <w:lang w:val="ru-RU" w:eastAsia="en-GB"/>
              </w:rPr>
              <w:t>(8 272)</w:t>
            </w:r>
          </w:p>
        </w:tc>
      </w:tr>
      <w:tr w:rsidR="002E1F5B" w:rsidRPr="00CA4C14" w14:paraId="7B757081" w14:textId="77777777" w:rsidTr="00922DE4">
        <w:tc>
          <w:tcPr>
            <w:tcW w:w="1460" w:type="pct"/>
            <w:tcBorders>
              <w:top w:val="nil"/>
              <w:left w:val="nil"/>
              <w:bottom w:val="nil"/>
              <w:right w:val="nil"/>
            </w:tcBorders>
            <w:shd w:val="clear" w:color="000000" w:fill="0070C0"/>
            <w:vAlign w:val="center"/>
            <w:hideMark/>
          </w:tcPr>
          <w:p w14:paraId="0962EA85" w14:textId="77777777" w:rsidR="002E1F5B" w:rsidRPr="00CA4C14" w:rsidRDefault="002E1F5B" w:rsidP="00B772C9">
            <w:pPr>
              <w:pStyle w:val="Tabletext"/>
              <w:rPr>
                <w:b/>
                <w:bCs/>
                <w:lang w:val="ru-RU" w:eastAsia="en-GB"/>
              </w:rPr>
            </w:pPr>
            <w:r w:rsidRPr="00CA4C14">
              <w:rPr>
                <w:b/>
                <w:bCs/>
                <w:lang w:val="ru-RU" w:eastAsia="en-GB"/>
              </w:rPr>
              <w:t>Активное сальдо/(дефицит) за период</w:t>
            </w:r>
          </w:p>
        </w:tc>
        <w:tc>
          <w:tcPr>
            <w:tcW w:w="391" w:type="pct"/>
            <w:tcBorders>
              <w:top w:val="nil"/>
              <w:left w:val="nil"/>
              <w:bottom w:val="nil"/>
              <w:right w:val="nil"/>
            </w:tcBorders>
            <w:shd w:val="clear" w:color="000000" w:fill="0070C0"/>
            <w:noWrap/>
            <w:vAlign w:val="center"/>
            <w:hideMark/>
          </w:tcPr>
          <w:p w14:paraId="32CBAD03" w14:textId="77777777" w:rsidR="002E1F5B" w:rsidRPr="00CA4C14" w:rsidRDefault="002E1F5B" w:rsidP="00B772C9">
            <w:pPr>
              <w:pStyle w:val="Tabletext"/>
              <w:jc w:val="right"/>
              <w:rPr>
                <w:b/>
                <w:bCs/>
                <w:lang w:val="ru-RU" w:eastAsia="en-GB"/>
              </w:rPr>
            </w:pPr>
            <w:r w:rsidRPr="00CA4C14">
              <w:rPr>
                <w:b/>
                <w:bCs/>
                <w:lang w:val="ru-RU" w:eastAsia="en-GB"/>
              </w:rPr>
              <w:t>(37 105)</w:t>
            </w:r>
          </w:p>
        </w:tc>
        <w:tc>
          <w:tcPr>
            <w:tcW w:w="315" w:type="pct"/>
            <w:tcBorders>
              <w:top w:val="nil"/>
              <w:left w:val="nil"/>
              <w:bottom w:val="nil"/>
              <w:right w:val="nil"/>
            </w:tcBorders>
            <w:shd w:val="clear" w:color="000000" w:fill="0070C0"/>
            <w:noWrap/>
            <w:vAlign w:val="center"/>
            <w:hideMark/>
          </w:tcPr>
          <w:p w14:paraId="4AB91B81" w14:textId="77777777" w:rsidR="002E1F5B" w:rsidRPr="00CA4C14" w:rsidRDefault="002E1F5B" w:rsidP="00B772C9">
            <w:pPr>
              <w:pStyle w:val="Tabletext"/>
              <w:jc w:val="right"/>
              <w:rPr>
                <w:b/>
                <w:bCs/>
                <w:lang w:val="ru-RU" w:eastAsia="en-GB"/>
              </w:rPr>
            </w:pPr>
            <w:r w:rsidRPr="00CA4C14">
              <w:rPr>
                <w:b/>
                <w:bCs/>
                <w:lang w:val="ru-RU" w:eastAsia="en-GB"/>
              </w:rPr>
              <w:t>21 322</w:t>
            </w:r>
          </w:p>
        </w:tc>
        <w:tc>
          <w:tcPr>
            <w:tcW w:w="315" w:type="pct"/>
            <w:tcBorders>
              <w:top w:val="nil"/>
              <w:left w:val="nil"/>
              <w:bottom w:val="nil"/>
              <w:right w:val="nil"/>
            </w:tcBorders>
            <w:shd w:val="clear" w:color="000000" w:fill="0070C0"/>
            <w:noWrap/>
            <w:vAlign w:val="center"/>
            <w:hideMark/>
          </w:tcPr>
          <w:p w14:paraId="3A610323" w14:textId="77777777" w:rsidR="002E1F5B" w:rsidRPr="00CA4C14" w:rsidRDefault="002E1F5B" w:rsidP="00B772C9">
            <w:pPr>
              <w:pStyle w:val="Tabletext"/>
              <w:jc w:val="right"/>
              <w:rPr>
                <w:b/>
                <w:bCs/>
                <w:lang w:val="ru-RU" w:eastAsia="en-GB"/>
              </w:rPr>
            </w:pPr>
            <w:r w:rsidRPr="00CA4C14">
              <w:rPr>
                <w:b/>
                <w:bCs/>
                <w:lang w:val="ru-RU" w:eastAsia="en-GB"/>
              </w:rPr>
              <w:t>2 369</w:t>
            </w:r>
          </w:p>
        </w:tc>
        <w:tc>
          <w:tcPr>
            <w:tcW w:w="316" w:type="pct"/>
            <w:tcBorders>
              <w:top w:val="nil"/>
              <w:left w:val="nil"/>
              <w:bottom w:val="nil"/>
              <w:right w:val="nil"/>
            </w:tcBorders>
            <w:shd w:val="clear" w:color="000000" w:fill="0070C0"/>
            <w:noWrap/>
            <w:vAlign w:val="center"/>
            <w:hideMark/>
          </w:tcPr>
          <w:p w14:paraId="36C21AA6" w14:textId="77777777" w:rsidR="002E1F5B" w:rsidRPr="00CA4C14" w:rsidRDefault="002E1F5B" w:rsidP="00B772C9">
            <w:pPr>
              <w:pStyle w:val="Tabletext"/>
              <w:jc w:val="right"/>
              <w:rPr>
                <w:b/>
                <w:bCs/>
                <w:lang w:val="ru-RU" w:eastAsia="en-GB"/>
              </w:rPr>
            </w:pPr>
            <w:r w:rsidRPr="00CA4C14">
              <w:rPr>
                <w:b/>
                <w:bCs/>
                <w:lang w:val="ru-RU" w:eastAsia="en-GB"/>
              </w:rPr>
              <w:t>(9 869)</w:t>
            </w:r>
          </w:p>
        </w:tc>
        <w:tc>
          <w:tcPr>
            <w:tcW w:w="432" w:type="pct"/>
            <w:tcBorders>
              <w:top w:val="nil"/>
              <w:left w:val="nil"/>
              <w:bottom w:val="nil"/>
              <w:right w:val="nil"/>
            </w:tcBorders>
            <w:shd w:val="clear" w:color="000000" w:fill="0070C0"/>
            <w:noWrap/>
            <w:vAlign w:val="center"/>
            <w:hideMark/>
          </w:tcPr>
          <w:p w14:paraId="4F853057" w14:textId="77777777" w:rsidR="002E1F5B" w:rsidRPr="00CA4C14" w:rsidRDefault="002E1F5B" w:rsidP="00B772C9">
            <w:pPr>
              <w:pStyle w:val="Tabletext"/>
              <w:jc w:val="right"/>
              <w:rPr>
                <w:b/>
                <w:bCs/>
                <w:lang w:val="ru-RU" w:eastAsia="en-GB"/>
              </w:rPr>
            </w:pPr>
            <w:r w:rsidRPr="00CA4C14">
              <w:rPr>
                <w:b/>
                <w:bCs/>
                <w:lang w:val="ru-RU" w:eastAsia="en-GB"/>
              </w:rPr>
              <w:t>(23 283)</w:t>
            </w:r>
          </w:p>
        </w:tc>
        <w:tc>
          <w:tcPr>
            <w:tcW w:w="317" w:type="pct"/>
            <w:tcBorders>
              <w:top w:val="nil"/>
              <w:left w:val="nil"/>
              <w:bottom w:val="nil"/>
              <w:right w:val="nil"/>
            </w:tcBorders>
            <w:shd w:val="clear" w:color="000000" w:fill="0070C0"/>
            <w:noWrap/>
            <w:vAlign w:val="center"/>
            <w:hideMark/>
          </w:tcPr>
          <w:p w14:paraId="439C51DF" w14:textId="77777777" w:rsidR="002E1F5B" w:rsidRPr="00CA4C14" w:rsidRDefault="002E1F5B" w:rsidP="00B772C9">
            <w:pPr>
              <w:pStyle w:val="Tabletext"/>
              <w:jc w:val="right"/>
              <w:rPr>
                <w:b/>
                <w:bCs/>
                <w:lang w:val="ru-RU" w:eastAsia="en-GB"/>
              </w:rPr>
            </w:pPr>
            <w:r w:rsidRPr="00CA4C14">
              <w:rPr>
                <w:b/>
                <w:bCs/>
                <w:lang w:val="ru-RU" w:eastAsia="en-GB"/>
              </w:rPr>
              <w:t>2 491</w:t>
            </w:r>
          </w:p>
        </w:tc>
        <w:tc>
          <w:tcPr>
            <w:tcW w:w="303" w:type="pct"/>
            <w:tcBorders>
              <w:top w:val="nil"/>
              <w:left w:val="nil"/>
              <w:bottom w:val="nil"/>
              <w:right w:val="nil"/>
            </w:tcBorders>
            <w:shd w:val="clear" w:color="000000" w:fill="0070C0"/>
            <w:noWrap/>
            <w:vAlign w:val="center"/>
            <w:hideMark/>
          </w:tcPr>
          <w:p w14:paraId="5EFDB0CD" w14:textId="77777777" w:rsidR="002E1F5B" w:rsidRPr="00CA4C14" w:rsidRDefault="002E1F5B" w:rsidP="00B772C9">
            <w:pPr>
              <w:pStyle w:val="Tabletext"/>
              <w:jc w:val="right"/>
              <w:rPr>
                <w:b/>
                <w:bCs/>
                <w:lang w:val="ru-RU" w:eastAsia="en-GB"/>
              </w:rPr>
            </w:pPr>
            <w:r w:rsidRPr="00CA4C14">
              <w:rPr>
                <w:b/>
                <w:bCs/>
                <w:lang w:val="ru-RU" w:eastAsia="en-GB"/>
              </w:rPr>
              <w:t>(312)</w:t>
            </w:r>
          </w:p>
        </w:tc>
        <w:tc>
          <w:tcPr>
            <w:tcW w:w="408" w:type="pct"/>
            <w:tcBorders>
              <w:top w:val="nil"/>
              <w:left w:val="nil"/>
              <w:bottom w:val="nil"/>
              <w:right w:val="nil"/>
            </w:tcBorders>
            <w:shd w:val="clear" w:color="000000" w:fill="0070C0"/>
            <w:noWrap/>
            <w:vAlign w:val="center"/>
            <w:hideMark/>
          </w:tcPr>
          <w:p w14:paraId="45748BAD" w14:textId="77777777" w:rsidR="002E1F5B" w:rsidRPr="00CA4C14" w:rsidRDefault="002E1F5B" w:rsidP="00B772C9">
            <w:pPr>
              <w:pStyle w:val="Tabletext"/>
              <w:jc w:val="right"/>
              <w:rPr>
                <w:b/>
                <w:bCs/>
                <w:lang w:val="ru-RU" w:eastAsia="en-GB"/>
              </w:rPr>
            </w:pPr>
            <w:r w:rsidRPr="00CA4C14">
              <w:rPr>
                <w:b/>
                <w:bCs/>
                <w:lang w:val="ru-RU" w:eastAsia="en-GB"/>
              </w:rPr>
              <w:t>(3 671)</w:t>
            </w:r>
          </w:p>
        </w:tc>
        <w:tc>
          <w:tcPr>
            <w:tcW w:w="390" w:type="pct"/>
            <w:tcBorders>
              <w:top w:val="nil"/>
              <w:left w:val="nil"/>
              <w:bottom w:val="nil"/>
              <w:right w:val="nil"/>
            </w:tcBorders>
            <w:shd w:val="clear" w:color="000000" w:fill="0070C0"/>
            <w:noWrap/>
            <w:vAlign w:val="center"/>
            <w:hideMark/>
          </w:tcPr>
          <w:p w14:paraId="231F5892" w14:textId="77777777" w:rsidR="002E1F5B" w:rsidRPr="00CA4C14" w:rsidRDefault="002E1F5B" w:rsidP="00B772C9">
            <w:pPr>
              <w:pStyle w:val="Tabletext"/>
              <w:jc w:val="right"/>
              <w:rPr>
                <w:b/>
                <w:bCs/>
                <w:lang w:val="ru-RU" w:eastAsia="en-GB"/>
              </w:rPr>
            </w:pPr>
            <w:r w:rsidRPr="00CA4C14">
              <w:rPr>
                <w:b/>
                <w:bCs/>
                <w:lang w:val="ru-RU" w:eastAsia="en-GB"/>
              </w:rPr>
              <w:t>−</w:t>
            </w:r>
          </w:p>
        </w:tc>
        <w:tc>
          <w:tcPr>
            <w:tcW w:w="353" w:type="pct"/>
            <w:tcBorders>
              <w:top w:val="nil"/>
              <w:left w:val="nil"/>
              <w:bottom w:val="nil"/>
              <w:right w:val="nil"/>
            </w:tcBorders>
            <w:shd w:val="clear" w:color="000000" w:fill="0070C0"/>
            <w:noWrap/>
            <w:vAlign w:val="center"/>
            <w:hideMark/>
          </w:tcPr>
          <w:p w14:paraId="0495A206" w14:textId="77777777" w:rsidR="002E1F5B" w:rsidRPr="00CA4C14" w:rsidRDefault="002E1F5B" w:rsidP="00B772C9">
            <w:pPr>
              <w:pStyle w:val="Tabletext"/>
              <w:jc w:val="right"/>
              <w:rPr>
                <w:b/>
                <w:bCs/>
                <w:lang w:val="ru-RU" w:eastAsia="en-GB"/>
              </w:rPr>
            </w:pPr>
            <w:r w:rsidRPr="00CA4C14">
              <w:rPr>
                <w:b/>
                <w:bCs/>
                <w:lang w:val="ru-RU" w:eastAsia="en-GB"/>
              </w:rPr>
              <w:t>(24 774)</w:t>
            </w:r>
          </w:p>
        </w:tc>
      </w:tr>
    </w:tbl>
    <w:p w14:paraId="496C1759" w14:textId="75C34BB7" w:rsidR="002E1F5B" w:rsidRPr="00CA4C14" w:rsidRDefault="002E1F5B" w:rsidP="000802E0">
      <w:pPr>
        <w:rPr>
          <w:rFonts w:eastAsia="Calibri"/>
          <w:lang w:val="ru-RU"/>
        </w:rPr>
      </w:pPr>
      <w:r w:rsidRPr="00CA4C14">
        <w:rPr>
          <w:i/>
          <w:iCs/>
          <w:sz w:val="20"/>
          <w:lang w:val="ru-RU" w:bidi="ru-RU"/>
        </w:rPr>
        <w:t>Межсегментное исключение представляет собой затраты на поддержку (административная и оперативная поддержка, АОП), отнесенные к проектам и переведенные в регулярный бюджет МСЭ.</w:t>
      </w:r>
    </w:p>
    <w:p w14:paraId="7CF208CC" w14:textId="77777777" w:rsidR="002E1F5B" w:rsidRPr="00CA4C14" w:rsidRDefault="002E1F5B" w:rsidP="000802E0">
      <w:pPr>
        <w:rPr>
          <w:rFonts w:eastAsia="Calibri"/>
          <w:lang w:val="ru-RU"/>
        </w:rPr>
        <w:sectPr w:rsidR="002E1F5B" w:rsidRPr="00CA4C14" w:rsidSect="002E1F5B">
          <w:footerReference w:type="default" r:id="rId35"/>
          <w:headerReference w:type="first" r:id="rId36"/>
          <w:footerReference w:type="first" r:id="rId37"/>
          <w:pgSz w:w="16834" w:h="11907" w:orient="landscape"/>
          <w:pgMar w:top="1418" w:right="1134" w:bottom="1418" w:left="1134" w:header="720" w:footer="720" w:gutter="0"/>
          <w:paperSrc w:first="15" w:other="15"/>
          <w:cols w:space="720"/>
          <w:titlePg/>
          <w:docGrid w:linePitch="299"/>
        </w:sectPr>
      </w:pPr>
    </w:p>
    <w:p w14:paraId="593E4038" w14:textId="77777777" w:rsidR="003F6E7B" w:rsidRPr="00CA4C14" w:rsidRDefault="003F6E7B" w:rsidP="00331914">
      <w:pPr>
        <w:pStyle w:val="Heading5"/>
        <w:rPr>
          <w:lang w:val="ru-RU"/>
        </w:rPr>
      </w:pPr>
      <w:bookmarkStart w:id="470" w:name="_Toc305764118"/>
      <w:bookmarkStart w:id="471" w:name="_Toc329011660"/>
      <w:bookmarkStart w:id="472" w:name="_Toc1399135979"/>
      <w:bookmarkStart w:id="473" w:name="_Toc164845573"/>
      <w:bookmarkStart w:id="474" w:name="_Toc168578487"/>
      <w:r w:rsidRPr="00CA4C14">
        <w:rPr>
          <w:lang w:val="ru-RU"/>
        </w:rPr>
        <w:lastRenderedPageBreak/>
        <w:t>Примечание 24</w:t>
      </w:r>
      <w:r w:rsidRPr="00CA4C14">
        <w:rPr>
          <w:lang w:val="ru-RU"/>
        </w:rPr>
        <w:tab/>
      </w:r>
      <w:bookmarkEnd w:id="470"/>
      <w:bookmarkEnd w:id="471"/>
      <w:bookmarkEnd w:id="472"/>
      <w:bookmarkEnd w:id="473"/>
      <w:r w:rsidRPr="00CA4C14">
        <w:rPr>
          <w:lang w:val="ru-RU"/>
        </w:rPr>
        <w:t>Сопоставление предусмотренных в бюджете сумм с фактическими суммами</w:t>
      </w:r>
      <w:bookmarkEnd w:id="474"/>
    </w:p>
    <w:p w14:paraId="44327A83" w14:textId="77777777" w:rsidR="003F6E7B" w:rsidRPr="00CA4C14" w:rsidRDefault="003F6E7B" w:rsidP="006B55B7">
      <w:pPr>
        <w:keepNext/>
        <w:keepLines/>
        <w:rPr>
          <w:b/>
          <w:lang w:val="ru-RU" w:bidi="ru-RU"/>
        </w:rPr>
      </w:pPr>
      <w:r w:rsidRPr="00CA4C14">
        <w:rPr>
          <w:lang w:val="ru-RU" w:bidi="ru-RU"/>
        </w:rPr>
        <w:t>Финансовая отчетность включает:</w:t>
      </w:r>
    </w:p>
    <w:p w14:paraId="5F92C915" w14:textId="77777777" w:rsidR="003F6E7B" w:rsidRPr="00CA4C14" w:rsidRDefault="003F6E7B" w:rsidP="006B55B7">
      <w:pPr>
        <w:pStyle w:val="enumlev1"/>
        <w:rPr>
          <w:b/>
          <w:lang w:val="ru-RU" w:bidi="ru-RU"/>
        </w:rPr>
      </w:pPr>
      <w:r w:rsidRPr="00CA4C14">
        <w:rPr>
          <w:lang w:val="ru-RU" w:bidi="ru-RU"/>
        </w:rPr>
        <w:t>•</w:t>
      </w:r>
      <w:r w:rsidRPr="00CA4C14">
        <w:rPr>
          <w:lang w:val="ru-RU" w:bidi="ru-RU"/>
        </w:rPr>
        <w:tab/>
        <w:t>регулярный бюджет МСЭ;</w:t>
      </w:r>
    </w:p>
    <w:p w14:paraId="1D390E23" w14:textId="77777777" w:rsidR="003F6E7B" w:rsidRPr="00CA4C14" w:rsidRDefault="003F6E7B" w:rsidP="006B55B7">
      <w:pPr>
        <w:pStyle w:val="enumlev1"/>
        <w:rPr>
          <w:lang w:val="ru-RU" w:bidi="ru-RU"/>
        </w:rPr>
      </w:pPr>
      <w:r w:rsidRPr="00CA4C14">
        <w:rPr>
          <w:lang w:val="ru-RU" w:bidi="ru-RU"/>
        </w:rPr>
        <w:t>•</w:t>
      </w:r>
      <w:r w:rsidRPr="00CA4C14">
        <w:rPr>
          <w:lang w:val="ru-RU" w:bidi="ru-RU"/>
        </w:rPr>
        <w:tab/>
        <w:t>другие средства; и</w:t>
      </w:r>
    </w:p>
    <w:p w14:paraId="30E01095" w14:textId="77777777" w:rsidR="003F6E7B" w:rsidRPr="00CA4C14" w:rsidRDefault="003F6E7B" w:rsidP="006B55B7">
      <w:pPr>
        <w:pStyle w:val="enumlev1"/>
        <w:rPr>
          <w:lang w:val="ru-RU" w:bidi="ru-RU"/>
        </w:rPr>
      </w:pPr>
      <w:r w:rsidRPr="00CA4C14">
        <w:rPr>
          <w:lang w:val="ru-RU" w:bidi="ru-RU"/>
        </w:rPr>
        <w:t>•</w:t>
      </w:r>
      <w:r w:rsidRPr="00CA4C14">
        <w:rPr>
          <w:lang w:val="ru-RU" w:bidi="ru-RU"/>
        </w:rPr>
        <w:tab/>
        <w:t>внебюджетные средства</w:t>
      </w:r>
    </w:p>
    <w:p w14:paraId="1EE902FE" w14:textId="77777777" w:rsidR="003F6E7B" w:rsidRPr="00CA4C14" w:rsidRDefault="003F6E7B" w:rsidP="006B55B7">
      <w:pPr>
        <w:pStyle w:val="Headingb"/>
        <w:rPr>
          <w:lang w:val="ru-RU" w:bidi="ru-RU"/>
        </w:rPr>
      </w:pPr>
      <w:r w:rsidRPr="00CA4C14">
        <w:rPr>
          <w:lang w:val="ru-RU" w:bidi="ru-RU"/>
        </w:rPr>
        <w:t>Сопоставление</w:t>
      </w:r>
    </w:p>
    <w:p w14:paraId="6C247C19" w14:textId="77777777" w:rsidR="003F6E7B" w:rsidRPr="00CA4C14" w:rsidRDefault="003F6E7B" w:rsidP="001C7838">
      <w:pPr>
        <w:rPr>
          <w:lang w:val="ru-RU" w:bidi="ru-RU"/>
        </w:rPr>
      </w:pPr>
      <w:r w:rsidRPr="00CA4C14">
        <w:rPr>
          <w:lang w:val="ru-RU" w:bidi="ru-RU"/>
        </w:rPr>
        <w:t xml:space="preserve">Для составления бюджета и финансовой отчетности Союза используются разные основы. Бюджет на 2022–2023 годы составлен на базе модифицированного кассового метода и учитывает несколько специфических статей, которые не учитываются на основе метода начисления. Кроме того, в бюджете МСЭ рассматривается только основная деятельность Союза и не учитывается деятельность, финансируемая за счет внебюджетных ресурсов. </w:t>
      </w:r>
    </w:p>
    <w:p w14:paraId="4EB9C344" w14:textId="77777777" w:rsidR="003F6E7B" w:rsidRPr="00CA4C14" w:rsidRDefault="003F6E7B" w:rsidP="001C7838">
      <w:pPr>
        <w:rPr>
          <w:lang w:val="ru-RU" w:bidi="ru-RU"/>
        </w:rPr>
      </w:pPr>
      <w:r w:rsidRPr="00CA4C14">
        <w:rPr>
          <w:lang w:val="ru-RU" w:bidi="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Отчет II).</w:t>
      </w:r>
    </w:p>
    <w:p w14:paraId="4784EF07" w14:textId="77777777" w:rsidR="003F6E7B" w:rsidRPr="00CA4C14" w:rsidRDefault="003F6E7B" w:rsidP="001C7838">
      <w:pPr>
        <w:rPr>
          <w:lang w:val="ru-RU" w:bidi="ru-RU"/>
        </w:rPr>
      </w:pPr>
      <w:r w:rsidRPr="00CA4C14">
        <w:rPr>
          <w:lang w:val="ru-RU" w:bidi="ru-RU"/>
        </w:rPr>
        <w:t>Для сверки Отчетов II и V операции разбиваются на две категории разниц – базисную и структурную.</w:t>
      </w:r>
    </w:p>
    <w:p w14:paraId="51D2CBE3" w14:textId="77777777" w:rsidR="003F6E7B" w:rsidRPr="00CA4C14" w:rsidRDefault="003F6E7B" w:rsidP="001C7838">
      <w:pPr>
        <w:rPr>
          <w:lang w:val="ru-RU" w:bidi="ru-RU"/>
        </w:rPr>
      </w:pPr>
      <w:r w:rsidRPr="00CA4C14">
        <w:rPr>
          <w:b/>
          <w:bCs/>
          <w:lang w:val="ru-RU" w:bidi="ru-RU"/>
        </w:rPr>
        <w:t>Базисная разница</w:t>
      </w:r>
      <w:r w:rsidRPr="00CA4C14">
        <w:rPr>
          <w:lang w:val="ru-RU" w:bidi="ru-RU"/>
        </w:rPr>
        <w:t>: предполагает расходы, которые не включены в бюджет МСЭ или рассматриваются по-другому в соответствии с требованиями IPSAS. Эти расходы обычно означают изменения в резерве сомнительных долгов, признании запасов, капитализации основных средств, амортизации, курсовых прибылях и убытках, АСХИ, погашении ссуды ФИПОИ и излишке и/или дефиците по инвестициям.</w:t>
      </w:r>
    </w:p>
    <w:p w14:paraId="1EE4B655" w14:textId="77777777" w:rsidR="003F6E7B" w:rsidRPr="00CA4C14" w:rsidRDefault="003F6E7B" w:rsidP="001C7838">
      <w:pPr>
        <w:spacing w:after="120"/>
        <w:rPr>
          <w:lang w:val="ru-RU" w:bidi="ru-RU"/>
        </w:rPr>
      </w:pPr>
      <w:r w:rsidRPr="00CA4C14">
        <w:rPr>
          <w:b/>
          <w:bCs/>
          <w:lang w:val="ru-RU" w:bidi="ru-RU"/>
        </w:rPr>
        <w:t>Структурная разница</w:t>
      </w:r>
      <w:r w:rsidRPr="00CA4C14">
        <w:rPr>
          <w:lang w:val="ru-RU" w:bidi="ru-RU"/>
        </w:rPr>
        <w:t>: обычно относится к доходам и расходам, которые не входят в утвержденный бюджет МСЭ по программам, т. е. к внебюджетным средствам</w:t>
      </w:r>
      <w:r w:rsidRPr="00CA4C14">
        <w:rPr>
          <w:lang w:val="ru-RU"/>
        </w:rPr>
        <w:t xml:space="preserve"> </w:t>
      </w:r>
      <w:r w:rsidRPr="00CA4C14">
        <w:rPr>
          <w:lang w:val="ru-RU" w:bidi="ru-RU"/>
        </w:rPr>
        <w:t>и другим средствам, не относящимся к бюджету Союза.</w:t>
      </w:r>
    </w:p>
    <w:tbl>
      <w:tblPr>
        <w:tblW w:w="5000" w:type="pct"/>
        <w:jc w:val="center"/>
        <w:tblLayout w:type="fixed"/>
        <w:tblLook w:val="04A0" w:firstRow="1" w:lastRow="0" w:firstColumn="1" w:lastColumn="0" w:noHBand="0" w:noVBand="1"/>
      </w:tblPr>
      <w:tblGrid>
        <w:gridCol w:w="4678"/>
        <w:gridCol w:w="1341"/>
        <w:gridCol w:w="1018"/>
        <w:gridCol w:w="1018"/>
        <w:gridCol w:w="1016"/>
      </w:tblGrid>
      <w:tr w:rsidR="003F6E7B" w:rsidRPr="00CA4C14" w14:paraId="2863E1D9" w14:textId="77777777" w:rsidTr="003D7646">
        <w:trPr>
          <w:jc w:val="center"/>
        </w:trPr>
        <w:tc>
          <w:tcPr>
            <w:tcW w:w="2579" w:type="pct"/>
            <w:tcBorders>
              <w:top w:val="nil"/>
              <w:left w:val="nil"/>
              <w:bottom w:val="nil"/>
              <w:right w:val="nil"/>
            </w:tcBorders>
            <w:shd w:val="clear" w:color="000000" w:fill="0070C0"/>
            <w:vAlign w:val="center"/>
            <w:hideMark/>
          </w:tcPr>
          <w:p w14:paraId="47339FD0" w14:textId="77777777" w:rsidR="003F6E7B" w:rsidRPr="00CA4C14" w:rsidRDefault="003F6E7B" w:rsidP="00474711">
            <w:pPr>
              <w:pStyle w:val="Tablehead"/>
              <w:rPr>
                <w:lang w:val="ru-RU"/>
              </w:rPr>
            </w:pPr>
          </w:p>
        </w:tc>
        <w:tc>
          <w:tcPr>
            <w:tcW w:w="2421" w:type="pct"/>
            <w:gridSpan w:val="4"/>
            <w:tcBorders>
              <w:top w:val="nil"/>
              <w:left w:val="nil"/>
              <w:bottom w:val="nil"/>
              <w:right w:val="nil"/>
            </w:tcBorders>
            <w:shd w:val="clear" w:color="000000" w:fill="0070C0"/>
            <w:vAlign w:val="center"/>
            <w:hideMark/>
          </w:tcPr>
          <w:p w14:paraId="2286CC9A" w14:textId="77777777" w:rsidR="003F6E7B" w:rsidRPr="00CA4C14" w:rsidRDefault="003F6E7B" w:rsidP="00474711">
            <w:pPr>
              <w:pStyle w:val="Tablehead"/>
              <w:rPr>
                <w:lang w:val="ru-RU"/>
              </w:rPr>
            </w:pPr>
            <w:r w:rsidRPr="00CA4C14">
              <w:rPr>
                <w:lang w:val="ru-RU"/>
              </w:rPr>
              <w:t>2023 г.</w:t>
            </w:r>
          </w:p>
        </w:tc>
      </w:tr>
      <w:tr w:rsidR="003D7646" w:rsidRPr="00CA4C14" w14:paraId="64C43A8D" w14:textId="77777777" w:rsidTr="003D7646">
        <w:trPr>
          <w:jc w:val="center"/>
        </w:trPr>
        <w:tc>
          <w:tcPr>
            <w:tcW w:w="2579" w:type="pct"/>
            <w:tcBorders>
              <w:top w:val="nil"/>
              <w:left w:val="nil"/>
              <w:bottom w:val="nil"/>
              <w:right w:val="nil"/>
            </w:tcBorders>
            <w:shd w:val="clear" w:color="000000" w:fill="0070C0"/>
            <w:vAlign w:val="center"/>
            <w:hideMark/>
          </w:tcPr>
          <w:p w14:paraId="1ADC1AA0" w14:textId="77777777" w:rsidR="003F6E7B" w:rsidRPr="00CA4C14" w:rsidRDefault="003F6E7B" w:rsidP="003D7646">
            <w:pPr>
              <w:pStyle w:val="Tablehead"/>
              <w:spacing w:before="40" w:after="40"/>
              <w:rPr>
                <w:lang w:val="ru-RU"/>
              </w:rPr>
            </w:pPr>
            <w:r w:rsidRPr="00CA4C14">
              <w:rPr>
                <w:lang w:val="ru-RU"/>
              </w:rPr>
              <w:t>Описание (тыс. шв. фр.)</w:t>
            </w:r>
          </w:p>
        </w:tc>
        <w:tc>
          <w:tcPr>
            <w:tcW w:w="739" w:type="pct"/>
            <w:tcBorders>
              <w:top w:val="nil"/>
              <w:left w:val="nil"/>
              <w:bottom w:val="nil"/>
              <w:right w:val="nil"/>
            </w:tcBorders>
            <w:shd w:val="clear" w:color="000000" w:fill="0070C0"/>
            <w:hideMark/>
          </w:tcPr>
          <w:p w14:paraId="08F628F8" w14:textId="77777777" w:rsidR="003F6E7B" w:rsidRPr="00CA4C14" w:rsidRDefault="003F6E7B" w:rsidP="003D7646">
            <w:pPr>
              <w:pStyle w:val="Tablehead"/>
              <w:spacing w:before="40" w:after="40"/>
              <w:ind w:left="-57" w:right="-57"/>
              <w:rPr>
                <w:lang w:val="ru-RU"/>
              </w:rPr>
            </w:pPr>
            <w:r w:rsidRPr="00CA4C14">
              <w:rPr>
                <w:lang w:val="ru-RU"/>
              </w:rPr>
              <w:t>Операционная деятельность</w:t>
            </w:r>
          </w:p>
        </w:tc>
        <w:tc>
          <w:tcPr>
            <w:tcW w:w="561" w:type="pct"/>
            <w:tcBorders>
              <w:top w:val="nil"/>
              <w:left w:val="nil"/>
              <w:bottom w:val="nil"/>
              <w:right w:val="nil"/>
            </w:tcBorders>
            <w:shd w:val="clear" w:color="000000" w:fill="0070C0"/>
            <w:hideMark/>
          </w:tcPr>
          <w:p w14:paraId="668E7873" w14:textId="77777777" w:rsidR="003F6E7B" w:rsidRPr="00CA4C14" w:rsidRDefault="003F6E7B" w:rsidP="003D7646">
            <w:pPr>
              <w:pStyle w:val="Tablehead"/>
              <w:spacing w:before="40" w:after="40"/>
              <w:rPr>
                <w:lang w:val="ru-RU"/>
              </w:rPr>
            </w:pPr>
            <w:proofErr w:type="spellStart"/>
            <w:r w:rsidRPr="00CA4C14">
              <w:rPr>
                <w:lang w:val="ru-RU"/>
              </w:rPr>
              <w:t>Инвести</w:t>
            </w:r>
            <w:proofErr w:type="spellEnd"/>
            <w:r w:rsidRPr="00CA4C14">
              <w:rPr>
                <w:lang w:val="ru-RU"/>
              </w:rPr>
              <w:t>-</w:t>
            </w:r>
            <w:r w:rsidRPr="00CA4C14">
              <w:rPr>
                <w:lang w:val="ru-RU"/>
              </w:rPr>
              <w:br/>
            </w:r>
            <w:proofErr w:type="spellStart"/>
            <w:r w:rsidRPr="00CA4C14">
              <w:rPr>
                <w:lang w:val="ru-RU"/>
              </w:rPr>
              <w:t>рование</w:t>
            </w:r>
            <w:proofErr w:type="spellEnd"/>
          </w:p>
        </w:tc>
        <w:tc>
          <w:tcPr>
            <w:tcW w:w="561" w:type="pct"/>
            <w:tcBorders>
              <w:top w:val="nil"/>
              <w:left w:val="nil"/>
              <w:bottom w:val="nil"/>
              <w:right w:val="nil"/>
            </w:tcBorders>
            <w:shd w:val="clear" w:color="000000" w:fill="0070C0"/>
            <w:hideMark/>
          </w:tcPr>
          <w:p w14:paraId="02AFC320" w14:textId="77777777" w:rsidR="003F6E7B" w:rsidRPr="00CA4C14" w:rsidRDefault="003F6E7B" w:rsidP="003D7646">
            <w:pPr>
              <w:pStyle w:val="Tablehead"/>
              <w:spacing w:before="40" w:after="40"/>
              <w:rPr>
                <w:lang w:val="ru-RU"/>
              </w:rPr>
            </w:pPr>
            <w:proofErr w:type="spellStart"/>
            <w:r w:rsidRPr="00CA4C14">
              <w:rPr>
                <w:lang w:val="ru-RU"/>
              </w:rPr>
              <w:t>Финанси</w:t>
            </w:r>
            <w:proofErr w:type="spellEnd"/>
            <w:r w:rsidRPr="00CA4C14">
              <w:rPr>
                <w:lang w:val="ru-RU"/>
              </w:rPr>
              <w:t>-</w:t>
            </w:r>
            <w:r w:rsidRPr="00CA4C14">
              <w:rPr>
                <w:lang w:val="ru-RU"/>
              </w:rPr>
              <w:br/>
            </w:r>
            <w:proofErr w:type="spellStart"/>
            <w:r w:rsidRPr="00CA4C14">
              <w:rPr>
                <w:lang w:val="ru-RU"/>
              </w:rPr>
              <w:t>рование</w:t>
            </w:r>
            <w:proofErr w:type="spellEnd"/>
          </w:p>
        </w:tc>
        <w:tc>
          <w:tcPr>
            <w:tcW w:w="561" w:type="pct"/>
            <w:tcBorders>
              <w:top w:val="nil"/>
              <w:left w:val="nil"/>
              <w:bottom w:val="nil"/>
              <w:right w:val="nil"/>
            </w:tcBorders>
            <w:shd w:val="clear" w:color="000000" w:fill="0070C0"/>
            <w:vAlign w:val="center"/>
            <w:hideMark/>
          </w:tcPr>
          <w:p w14:paraId="2BDD52F5" w14:textId="77777777" w:rsidR="003F6E7B" w:rsidRPr="00CA4C14" w:rsidRDefault="003F6E7B" w:rsidP="003D7646">
            <w:pPr>
              <w:pStyle w:val="Tablehead"/>
              <w:spacing w:before="40" w:after="40"/>
              <w:rPr>
                <w:lang w:val="ru-RU"/>
              </w:rPr>
            </w:pPr>
            <w:r w:rsidRPr="00CA4C14">
              <w:rPr>
                <w:lang w:val="ru-RU"/>
              </w:rPr>
              <w:t>Всего</w:t>
            </w:r>
          </w:p>
        </w:tc>
      </w:tr>
      <w:tr w:rsidR="003D7646" w:rsidRPr="00CA4C14" w14:paraId="79BA210B" w14:textId="77777777" w:rsidTr="003D7646">
        <w:trPr>
          <w:jc w:val="center"/>
        </w:trPr>
        <w:tc>
          <w:tcPr>
            <w:tcW w:w="2579" w:type="pct"/>
            <w:tcBorders>
              <w:top w:val="nil"/>
              <w:left w:val="nil"/>
              <w:bottom w:val="nil"/>
              <w:right w:val="nil"/>
            </w:tcBorders>
            <w:shd w:val="clear" w:color="auto" w:fill="auto"/>
            <w:hideMark/>
          </w:tcPr>
          <w:p w14:paraId="570710E2" w14:textId="77777777" w:rsidR="003F6E7B" w:rsidRPr="00CA4C14" w:rsidRDefault="003F6E7B" w:rsidP="00C82E10">
            <w:pPr>
              <w:pStyle w:val="Tabletext"/>
              <w:rPr>
                <w:b/>
                <w:bCs/>
                <w:lang w:val="ru-RU" w:eastAsia="en-GB"/>
              </w:rPr>
            </w:pPr>
            <w:r w:rsidRPr="00CA4C14">
              <w:rPr>
                <w:b/>
                <w:bCs/>
                <w:lang w:val="ru-RU" w:eastAsia="en-GB"/>
              </w:rPr>
              <w:t>Результаты на сопоставимой основе</w:t>
            </w:r>
          </w:p>
        </w:tc>
        <w:tc>
          <w:tcPr>
            <w:tcW w:w="739" w:type="pct"/>
            <w:tcBorders>
              <w:top w:val="nil"/>
              <w:left w:val="nil"/>
              <w:bottom w:val="nil"/>
              <w:right w:val="nil"/>
            </w:tcBorders>
            <w:shd w:val="clear" w:color="auto" w:fill="auto"/>
            <w:noWrap/>
            <w:vAlign w:val="bottom"/>
            <w:hideMark/>
          </w:tcPr>
          <w:p w14:paraId="451F89E4" w14:textId="77777777" w:rsidR="003F6E7B" w:rsidRPr="00CA4C14" w:rsidRDefault="003F6E7B" w:rsidP="003D7646">
            <w:pPr>
              <w:pStyle w:val="Tabletext"/>
              <w:jc w:val="right"/>
              <w:rPr>
                <w:b/>
                <w:bCs/>
                <w:lang w:val="ru-RU" w:eastAsia="en-GB"/>
              </w:rPr>
            </w:pPr>
            <w:r w:rsidRPr="00CA4C14">
              <w:rPr>
                <w:b/>
                <w:bCs/>
                <w:lang w:val="ru-RU" w:eastAsia="en-GB"/>
              </w:rPr>
              <w:t>1 424</w:t>
            </w:r>
          </w:p>
        </w:tc>
        <w:tc>
          <w:tcPr>
            <w:tcW w:w="561" w:type="pct"/>
            <w:tcBorders>
              <w:top w:val="nil"/>
              <w:left w:val="nil"/>
              <w:bottom w:val="nil"/>
              <w:right w:val="nil"/>
            </w:tcBorders>
            <w:shd w:val="clear" w:color="auto" w:fill="auto"/>
            <w:noWrap/>
            <w:vAlign w:val="bottom"/>
            <w:hideMark/>
          </w:tcPr>
          <w:p w14:paraId="65F9B6DC" w14:textId="77777777" w:rsidR="003F6E7B" w:rsidRPr="00CA4C14" w:rsidRDefault="003F6E7B" w:rsidP="003D7646">
            <w:pPr>
              <w:pStyle w:val="Tabletext"/>
              <w:jc w:val="right"/>
              <w:rPr>
                <w:b/>
                <w:bCs/>
                <w:lang w:val="ru-RU" w:eastAsia="en-GB"/>
              </w:rPr>
            </w:pPr>
          </w:p>
        </w:tc>
        <w:tc>
          <w:tcPr>
            <w:tcW w:w="561" w:type="pct"/>
            <w:tcBorders>
              <w:top w:val="nil"/>
              <w:left w:val="nil"/>
              <w:bottom w:val="nil"/>
              <w:right w:val="nil"/>
            </w:tcBorders>
            <w:shd w:val="clear" w:color="auto" w:fill="auto"/>
            <w:noWrap/>
            <w:vAlign w:val="bottom"/>
            <w:hideMark/>
          </w:tcPr>
          <w:p w14:paraId="37E8F741"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7F625093" w14:textId="77777777" w:rsidR="003F6E7B" w:rsidRPr="00CA4C14" w:rsidRDefault="003F6E7B" w:rsidP="003D7646">
            <w:pPr>
              <w:pStyle w:val="Tabletext"/>
              <w:jc w:val="right"/>
              <w:rPr>
                <w:b/>
                <w:bCs/>
                <w:lang w:val="ru-RU" w:eastAsia="en-GB"/>
              </w:rPr>
            </w:pPr>
            <w:r w:rsidRPr="00CA4C14">
              <w:rPr>
                <w:b/>
                <w:bCs/>
                <w:lang w:val="ru-RU" w:eastAsia="en-GB"/>
              </w:rPr>
              <w:t>1 424</w:t>
            </w:r>
          </w:p>
        </w:tc>
      </w:tr>
      <w:tr w:rsidR="003D7646" w:rsidRPr="00CA4C14" w14:paraId="703E4452" w14:textId="77777777" w:rsidTr="003D7646">
        <w:trPr>
          <w:jc w:val="center"/>
        </w:trPr>
        <w:tc>
          <w:tcPr>
            <w:tcW w:w="2579" w:type="pct"/>
            <w:tcBorders>
              <w:top w:val="nil"/>
              <w:left w:val="nil"/>
              <w:bottom w:val="nil"/>
              <w:right w:val="nil"/>
            </w:tcBorders>
            <w:shd w:val="clear" w:color="auto" w:fill="auto"/>
            <w:hideMark/>
          </w:tcPr>
          <w:p w14:paraId="749296C2" w14:textId="77777777" w:rsidR="003F6E7B" w:rsidRPr="00CA4C14" w:rsidRDefault="003F6E7B" w:rsidP="00C82E10">
            <w:pPr>
              <w:pStyle w:val="Tabletext"/>
              <w:rPr>
                <w:lang w:val="ru-RU" w:eastAsia="en-GB"/>
              </w:rPr>
            </w:pPr>
            <w:r w:rsidRPr="00CA4C14">
              <w:rPr>
                <w:lang w:val="ru-RU" w:eastAsia="en-GB"/>
              </w:rPr>
              <w:t>Изменение и использование резервного фонда для сомнительных долгов</w:t>
            </w:r>
          </w:p>
        </w:tc>
        <w:tc>
          <w:tcPr>
            <w:tcW w:w="739" w:type="pct"/>
            <w:tcBorders>
              <w:top w:val="nil"/>
              <w:left w:val="nil"/>
              <w:bottom w:val="nil"/>
              <w:right w:val="nil"/>
            </w:tcBorders>
            <w:shd w:val="clear" w:color="auto" w:fill="auto"/>
            <w:noWrap/>
            <w:vAlign w:val="bottom"/>
            <w:hideMark/>
          </w:tcPr>
          <w:p w14:paraId="36AE82BE" w14:textId="77777777" w:rsidR="003F6E7B" w:rsidRPr="00CA4C14" w:rsidRDefault="003F6E7B" w:rsidP="003D7646">
            <w:pPr>
              <w:pStyle w:val="Tabletext"/>
              <w:jc w:val="right"/>
              <w:rPr>
                <w:lang w:val="ru-RU" w:eastAsia="en-GB"/>
              </w:rPr>
            </w:pPr>
            <w:r w:rsidRPr="00CA4C14">
              <w:rPr>
                <w:lang w:val="ru-RU" w:eastAsia="en-GB"/>
              </w:rPr>
              <w:t>(36)</w:t>
            </w:r>
          </w:p>
        </w:tc>
        <w:tc>
          <w:tcPr>
            <w:tcW w:w="561" w:type="pct"/>
            <w:tcBorders>
              <w:top w:val="nil"/>
              <w:left w:val="nil"/>
              <w:bottom w:val="nil"/>
              <w:right w:val="nil"/>
            </w:tcBorders>
            <w:shd w:val="clear" w:color="auto" w:fill="auto"/>
            <w:noWrap/>
            <w:vAlign w:val="bottom"/>
            <w:hideMark/>
          </w:tcPr>
          <w:p w14:paraId="5FDA8D03"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5E608BB2"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38DC232D" w14:textId="77777777" w:rsidR="003F6E7B" w:rsidRPr="00CA4C14" w:rsidRDefault="003F6E7B" w:rsidP="003D7646">
            <w:pPr>
              <w:pStyle w:val="Tabletext"/>
              <w:jc w:val="right"/>
              <w:rPr>
                <w:lang w:val="ru-RU" w:eastAsia="en-GB"/>
              </w:rPr>
            </w:pPr>
            <w:r w:rsidRPr="00CA4C14">
              <w:rPr>
                <w:lang w:val="ru-RU" w:eastAsia="en-GB"/>
              </w:rPr>
              <w:t>(36)</w:t>
            </w:r>
          </w:p>
        </w:tc>
      </w:tr>
      <w:tr w:rsidR="003D7646" w:rsidRPr="00CA4C14" w14:paraId="760FC4E7" w14:textId="77777777" w:rsidTr="003D7646">
        <w:trPr>
          <w:jc w:val="center"/>
        </w:trPr>
        <w:tc>
          <w:tcPr>
            <w:tcW w:w="2579" w:type="pct"/>
            <w:tcBorders>
              <w:top w:val="nil"/>
              <w:left w:val="nil"/>
              <w:bottom w:val="nil"/>
              <w:right w:val="nil"/>
            </w:tcBorders>
            <w:shd w:val="clear" w:color="auto" w:fill="auto"/>
            <w:hideMark/>
          </w:tcPr>
          <w:p w14:paraId="1FCFE8DD" w14:textId="77777777" w:rsidR="003F6E7B" w:rsidRPr="00CA4C14" w:rsidRDefault="003F6E7B" w:rsidP="00C82E10">
            <w:pPr>
              <w:pStyle w:val="Tabletext"/>
              <w:rPr>
                <w:lang w:val="ru-RU" w:eastAsia="en-GB"/>
              </w:rPr>
            </w:pPr>
            <w:r w:rsidRPr="00CA4C14">
              <w:rPr>
                <w:lang w:val="ru-RU" w:eastAsia="en-GB"/>
              </w:rPr>
              <w:t>Доходы, не включенные в регулярный бюджет</w:t>
            </w:r>
          </w:p>
        </w:tc>
        <w:tc>
          <w:tcPr>
            <w:tcW w:w="739" w:type="pct"/>
            <w:tcBorders>
              <w:top w:val="nil"/>
              <w:left w:val="nil"/>
              <w:bottom w:val="nil"/>
              <w:right w:val="nil"/>
            </w:tcBorders>
            <w:shd w:val="clear" w:color="auto" w:fill="auto"/>
            <w:noWrap/>
            <w:vAlign w:val="bottom"/>
            <w:hideMark/>
          </w:tcPr>
          <w:p w14:paraId="06252F7E"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5B9BBA01"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003BB247"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0D32EF37" w14:textId="77777777" w:rsidR="003F6E7B" w:rsidRPr="00CA4C14" w:rsidRDefault="003F6E7B" w:rsidP="003D7646">
            <w:pPr>
              <w:pStyle w:val="Tabletext"/>
              <w:jc w:val="right"/>
              <w:rPr>
                <w:lang w:val="ru-RU" w:eastAsia="en-GB"/>
              </w:rPr>
            </w:pPr>
            <w:r w:rsidRPr="00CA4C14">
              <w:rPr>
                <w:lang w:val="ru-RU" w:eastAsia="en-GB"/>
              </w:rPr>
              <w:t>−</w:t>
            </w:r>
          </w:p>
        </w:tc>
      </w:tr>
      <w:tr w:rsidR="003D7646" w:rsidRPr="00CA4C14" w14:paraId="40AC8C3F" w14:textId="77777777" w:rsidTr="003D7646">
        <w:trPr>
          <w:jc w:val="center"/>
        </w:trPr>
        <w:tc>
          <w:tcPr>
            <w:tcW w:w="2579" w:type="pct"/>
            <w:tcBorders>
              <w:top w:val="nil"/>
              <w:left w:val="nil"/>
              <w:bottom w:val="nil"/>
              <w:right w:val="nil"/>
            </w:tcBorders>
            <w:shd w:val="clear" w:color="auto" w:fill="auto"/>
            <w:hideMark/>
          </w:tcPr>
          <w:p w14:paraId="5601DBC7" w14:textId="77777777" w:rsidR="003F6E7B" w:rsidRPr="00CA4C14" w:rsidRDefault="003F6E7B" w:rsidP="00C82E10">
            <w:pPr>
              <w:pStyle w:val="Tabletext"/>
              <w:rPr>
                <w:lang w:val="ru-RU" w:eastAsia="en-GB"/>
              </w:rPr>
            </w:pPr>
            <w:r w:rsidRPr="00CA4C14">
              <w:rPr>
                <w:lang w:val="ru-RU" w:eastAsia="en-GB"/>
              </w:rPr>
              <w:t>Капитализация материальных/нематериальных активов</w:t>
            </w:r>
          </w:p>
        </w:tc>
        <w:tc>
          <w:tcPr>
            <w:tcW w:w="739" w:type="pct"/>
            <w:tcBorders>
              <w:top w:val="nil"/>
              <w:left w:val="nil"/>
              <w:bottom w:val="nil"/>
              <w:right w:val="nil"/>
            </w:tcBorders>
            <w:shd w:val="clear" w:color="auto" w:fill="auto"/>
            <w:noWrap/>
            <w:vAlign w:val="bottom"/>
            <w:hideMark/>
          </w:tcPr>
          <w:p w14:paraId="20593464"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193BA4AA" w14:textId="77777777" w:rsidR="003F6E7B" w:rsidRPr="00CA4C14" w:rsidRDefault="003F6E7B" w:rsidP="003D7646">
            <w:pPr>
              <w:pStyle w:val="Tabletext"/>
              <w:jc w:val="right"/>
              <w:rPr>
                <w:lang w:val="ru-RU" w:eastAsia="en-GB"/>
              </w:rPr>
            </w:pPr>
            <w:r w:rsidRPr="00CA4C14">
              <w:rPr>
                <w:lang w:val="ru-RU" w:eastAsia="en-GB"/>
              </w:rPr>
              <w:t>5 570</w:t>
            </w:r>
          </w:p>
        </w:tc>
        <w:tc>
          <w:tcPr>
            <w:tcW w:w="561" w:type="pct"/>
            <w:tcBorders>
              <w:top w:val="nil"/>
              <w:left w:val="nil"/>
              <w:bottom w:val="nil"/>
              <w:right w:val="nil"/>
            </w:tcBorders>
            <w:shd w:val="clear" w:color="auto" w:fill="auto"/>
            <w:noWrap/>
            <w:vAlign w:val="bottom"/>
            <w:hideMark/>
          </w:tcPr>
          <w:p w14:paraId="2028DA69"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5A4FC104" w14:textId="77777777" w:rsidR="003F6E7B" w:rsidRPr="00CA4C14" w:rsidRDefault="003F6E7B" w:rsidP="003D7646">
            <w:pPr>
              <w:pStyle w:val="Tabletext"/>
              <w:jc w:val="right"/>
              <w:rPr>
                <w:lang w:val="ru-RU" w:eastAsia="en-GB"/>
              </w:rPr>
            </w:pPr>
            <w:r w:rsidRPr="00CA4C14">
              <w:rPr>
                <w:lang w:val="ru-RU" w:eastAsia="en-GB"/>
              </w:rPr>
              <w:t>5 570</w:t>
            </w:r>
          </w:p>
        </w:tc>
      </w:tr>
      <w:tr w:rsidR="003D7646" w:rsidRPr="00CA4C14" w14:paraId="7680873A" w14:textId="77777777" w:rsidTr="003D7646">
        <w:trPr>
          <w:jc w:val="center"/>
        </w:trPr>
        <w:tc>
          <w:tcPr>
            <w:tcW w:w="2579" w:type="pct"/>
            <w:tcBorders>
              <w:top w:val="nil"/>
              <w:left w:val="nil"/>
              <w:bottom w:val="nil"/>
              <w:right w:val="nil"/>
            </w:tcBorders>
            <w:shd w:val="clear" w:color="auto" w:fill="auto"/>
            <w:hideMark/>
          </w:tcPr>
          <w:p w14:paraId="368D25E7" w14:textId="77777777" w:rsidR="003F6E7B" w:rsidRPr="00CA4C14" w:rsidRDefault="003F6E7B" w:rsidP="00C82E10">
            <w:pPr>
              <w:pStyle w:val="Tabletext"/>
              <w:rPr>
                <w:lang w:val="ru-RU" w:eastAsia="en-GB"/>
              </w:rPr>
            </w:pPr>
            <w:r w:rsidRPr="00CA4C14">
              <w:rPr>
                <w:lang w:val="ru-RU" w:eastAsia="en-GB"/>
              </w:rPr>
              <w:t>Признание запасов</w:t>
            </w:r>
          </w:p>
        </w:tc>
        <w:tc>
          <w:tcPr>
            <w:tcW w:w="739" w:type="pct"/>
            <w:tcBorders>
              <w:top w:val="nil"/>
              <w:left w:val="nil"/>
              <w:bottom w:val="nil"/>
              <w:right w:val="nil"/>
            </w:tcBorders>
            <w:shd w:val="clear" w:color="auto" w:fill="auto"/>
            <w:noWrap/>
            <w:vAlign w:val="bottom"/>
            <w:hideMark/>
          </w:tcPr>
          <w:p w14:paraId="5FF3E0AA" w14:textId="77777777" w:rsidR="003F6E7B" w:rsidRPr="00CA4C14" w:rsidRDefault="003F6E7B" w:rsidP="003D7646">
            <w:pPr>
              <w:pStyle w:val="Tabletext"/>
              <w:jc w:val="right"/>
              <w:rPr>
                <w:lang w:val="ru-RU" w:eastAsia="en-GB"/>
              </w:rPr>
            </w:pPr>
            <w:r w:rsidRPr="00CA4C14">
              <w:rPr>
                <w:lang w:val="ru-RU" w:eastAsia="en-GB"/>
              </w:rPr>
              <w:t>31</w:t>
            </w:r>
          </w:p>
        </w:tc>
        <w:tc>
          <w:tcPr>
            <w:tcW w:w="561" w:type="pct"/>
            <w:tcBorders>
              <w:top w:val="nil"/>
              <w:left w:val="nil"/>
              <w:bottom w:val="nil"/>
              <w:right w:val="nil"/>
            </w:tcBorders>
            <w:shd w:val="clear" w:color="auto" w:fill="auto"/>
            <w:noWrap/>
            <w:vAlign w:val="bottom"/>
            <w:hideMark/>
          </w:tcPr>
          <w:p w14:paraId="29FEBA1E"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2C36DB01"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4F7C817D" w14:textId="77777777" w:rsidR="003F6E7B" w:rsidRPr="00CA4C14" w:rsidRDefault="003F6E7B" w:rsidP="003D7646">
            <w:pPr>
              <w:pStyle w:val="Tabletext"/>
              <w:jc w:val="right"/>
              <w:rPr>
                <w:lang w:val="ru-RU" w:eastAsia="en-GB"/>
              </w:rPr>
            </w:pPr>
            <w:r w:rsidRPr="00CA4C14">
              <w:rPr>
                <w:lang w:val="ru-RU" w:eastAsia="en-GB"/>
              </w:rPr>
              <w:t>31</w:t>
            </w:r>
          </w:p>
        </w:tc>
      </w:tr>
      <w:tr w:rsidR="003D7646" w:rsidRPr="00CA4C14" w14:paraId="22660A7C" w14:textId="77777777" w:rsidTr="003D7646">
        <w:trPr>
          <w:jc w:val="center"/>
        </w:trPr>
        <w:tc>
          <w:tcPr>
            <w:tcW w:w="2579" w:type="pct"/>
            <w:tcBorders>
              <w:top w:val="nil"/>
              <w:left w:val="nil"/>
              <w:bottom w:val="nil"/>
              <w:right w:val="nil"/>
            </w:tcBorders>
            <w:shd w:val="clear" w:color="auto" w:fill="auto"/>
            <w:hideMark/>
          </w:tcPr>
          <w:p w14:paraId="3BD0AEB6" w14:textId="77777777" w:rsidR="003F6E7B" w:rsidRPr="00CA4C14" w:rsidRDefault="003F6E7B" w:rsidP="00C82E10">
            <w:pPr>
              <w:pStyle w:val="Tabletext"/>
              <w:rPr>
                <w:lang w:val="ru-RU" w:eastAsia="en-GB"/>
              </w:rPr>
            </w:pPr>
            <w:r w:rsidRPr="00CA4C14">
              <w:rPr>
                <w:lang w:val="ru-RU" w:eastAsia="en-GB"/>
              </w:rPr>
              <w:t>Амортизация</w:t>
            </w:r>
          </w:p>
        </w:tc>
        <w:tc>
          <w:tcPr>
            <w:tcW w:w="739" w:type="pct"/>
            <w:tcBorders>
              <w:top w:val="nil"/>
              <w:left w:val="nil"/>
              <w:bottom w:val="nil"/>
              <w:right w:val="nil"/>
            </w:tcBorders>
            <w:shd w:val="clear" w:color="auto" w:fill="auto"/>
            <w:noWrap/>
            <w:vAlign w:val="bottom"/>
            <w:hideMark/>
          </w:tcPr>
          <w:p w14:paraId="4FCB52A9" w14:textId="77777777" w:rsidR="003F6E7B" w:rsidRPr="00CA4C14" w:rsidRDefault="003F6E7B" w:rsidP="003D7646">
            <w:pPr>
              <w:pStyle w:val="Tabletext"/>
              <w:jc w:val="right"/>
              <w:rPr>
                <w:lang w:val="ru-RU" w:eastAsia="en-GB"/>
              </w:rPr>
            </w:pPr>
            <w:r w:rsidRPr="00CA4C14">
              <w:rPr>
                <w:lang w:val="ru-RU" w:eastAsia="en-GB"/>
              </w:rPr>
              <w:t>(5 514)</w:t>
            </w:r>
          </w:p>
        </w:tc>
        <w:tc>
          <w:tcPr>
            <w:tcW w:w="561" w:type="pct"/>
            <w:tcBorders>
              <w:top w:val="nil"/>
              <w:left w:val="nil"/>
              <w:bottom w:val="nil"/>
              <w:right w:val="nil"/>
            </w:tcBorders>
            <w:shd w:val="clear" w:color="auto" w:fill="auto"/>
            <w:noWrap/>
            <w:vAlign w:val="bottom"/>
            <w:hideMark/>
          </w:tcPr>
          <w:p w14:paraId="462EEF5E"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11A1B80D"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041E8878" w14:textId="77777777" w:rsidR="003F6E7B" w:rsidRPr="00CA4C14" w:rsidRDefault="003F6E7B" w:rsidP="003D7646">
            <w:pPr>
              <w:pStyle w:val="Tabletext"/>
              <w:jc w:val="right"/>
              <w:rPr>
                <w:lang w:val="ru-RU" w:eastAsia="en-GB"/>
              </w:rPr>
            </w:pPr>
            <w:r w:rsidRPr="00CA4C14">
              <w:rPr>
                <w:lang w:val="ru-RU" w:eastAsia="en-GB"/>
              </w:rPr>
              <w:t>(5 514)</w:t>
            </w:r>
          </w:p>
        </w:tc>
      </w:tr>
      <w:tr w:rsidR="003D7646" w:rsidRPr="00CA4C14" w14:paraId="0948AEEE" w14:textId="77777777" w:rsidTr="003D7646">
        <w:trPr>
          <w:jc w:val="center"/>
        </w:trPr>
        <w:tc>
          <w:tcPr>
            <w:tcW w:w="2579" w:type="pct"/>
            <w:tcBorders>
              <w:top w:val="nil"/>
              <w:left w:val="nil"/>
              <w:bottom w:val="nil"/>
              <w:right w:val="nil"/>
            </w:tcBorders>
            <w:shd w:val="clear" w:color="auto" w:fill="auto"/>
            <w:hideMark/>
          </w:tcPr>
          <w:p w14:paraId="3FACF4F0" w14:textId="77777777" w:rsidR="003F6E7B" w:rsidRPr="00CA4C14" w:rsidRDefault="003F6E7B" w:rsidP="00C82E10">
            <w:pPr>
              <w:pStyle w:val="Tabletext"/>
              <w:rPr>
                <w:lang w:val="ru-RU" w:eastAsia="en-GB"/>
              </w:rPr>
            </w:pPr>
            <w:r w:rsidRPr="00CA4C14">
              <w:rPr>
                <w:lang w:val="ru-RU" w:eastAsia="en-GB"/>
              </w:rPr>
              <w:t>Курсовые прибыли и убытки</w:t>
            </w:r>
          </w:p>
        </w:tc>
        <w:tc>
          <w:tcPr>
            <w:tcW w:w="739" w:type="pct"/>
            <w:tcBorders>
              <w:top w:val="nil"/>
              <w:left w:val="nil"/>
              <w:bottom w:val="nil"/>
              <w:right w:val="nil"/>
            </w:tcBorders>
            <w:shd w:val="clear" w:color="auto" w:fill="auto"/>
            <w:noWrap/>
            <w:vAlign w:val="bottom"/>
            <w:hideMark/>
          </w:tcPr>
          <w:p w14:paraId="693D765F" w14:textId="77777777" w:rsidR="003F6E7B" w:rsidRPr="00CA4C14" w:rsidRDefault="003F6E7B" w:rsidP="003D7646">
            <w:pPr>
              <w:pStyle w:val="Tabletext"/>
              <w:jc w:val="right"/>
              <w:rPr>
                <w:lang w:val="ru-RU" w:eastAsia="en-GB"/>
              </w:rPr>
            </w:pPr>
            <w:r w:rsidRPr="00CA4C14">
              <w:rPr>
                <w:lang w:val="ru-RU" w:eastAsia="en-GB"/>
              </w:rPr>
              <w:t>(5 123)</w:t>
            </w:r>
          </w:p>
        </w:tc>
        <w:tc>
          <w:tcPr>
            <w:tcW w:w="561" w:type="pct"/>
            <w:tcBorders>
              <w:top w:val="nil"/>
              <w:left w:val="nil"/>
              <w:bottom w:val="nil"/>
              <w:right w:val="nil"/>
            </w:tcBorders>
            <w:shd w:val="clear" w:color="auto" w:fill="auto"/>
            <w:noWrap/>
            <w:vAlign w:val="bottom"/>
            <w:hideMark/>
          </w:tcPr>
          <w:p w14:paraId="75F31CE2"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0AA80C68"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6BF0A076" w14:textId="77777777" w:rsidR="003F6E7B" w:rsidRPr="00CA4C14" w:rsidRDefault="003F6E7B" w:rsidP="003D7646">
            <w:pPr>
              <w:pStyle w:val="Tabletext"/>
              <w:jc w:val="right"/>
              <w:rPr>
                <w:lang w:val="ru-RU" w:eastAsia="en-GB"/>
              </w:rPr>
            </w:pPr>
            <w:r w:rsidRPr="00CA4C14">
              <w:rPr>
                <w:lang w:val="ru-RU" w:eastAsia="en-GB"/>
              </w:rPr>
              <w:t>(5 123)</w:t>
            </w:r>
          </w:p>
        </w:tc>
      </w:tr>
      <w:tr w:rsidR="003D7646" w:rsidRPr="00CA4C14" w14:paraId="65D4CE71" w14:textId="77777777" w:rsidTr="003D7646">
        <w:trPr>
          <w:jc w:val="center"/>
        </w:trPr>
        <w:tc>
          <w:tcPr>
            <w:tcW w:w="2579" w:type="pct"/>
            <w:tcBorders>
              <w:top w:val="nil"/>
              <w:left w:val="nil"/>
              <w:bottom w:val="nil"/>
              <w:right w:val="nil"/>
            </w:tcBorders>
            <w:shd w:val="clear" w:color="auto" w:fill="auto"/>
            <w:hideMark/>
          </w:tcPr>
          <w:p w14:paraId="446B8ED7" w14:textId="77777777" w:rsidR="003F6E7B" w:rsidRPr="00CA4C14" w:rsidRDefault="003F6E7B" w:rsidP="00C82E10">
            <w:pPr>
              <w:pStyle w:val="Tabletext"/>
              <w:rPr>
                <w:lang w:val="ru-RU" w:eastAsia="en-GB"/>
              </w:rPr>
            </w:pPr>
            <w:r w:rsidRPr="00CA4C14">
              <w:rPr>
                <w:lang w:val="ru-RU" w:eastAsia="en-GB"/>
              </w:rPr>
              <w:t>АСХИ</w:t>
            </w:r>
          </w:p>
        </w:tc>
        <w:tc>
          <w:tcPr>
            <w:tcW w:w="739" w:type="pct"/>
            <w:tcBorders>
              <w:top w:val="nil"/>
              <w:left w:val="nil"/>
              <w:bottom w:val="nil"/>
              <w:right w:val="nil"/>
            </w:tcBorders>
            <w:shd w:val="clear" w:color="auto" w:fill="auto"/>
            <w:noWrap/>
            <w:vAlign w:val="bottom"/>
            <w:hideMark/>
          </w:tcPr>
          <w:p w14:paraId="6D53B8A7" w14:textId="77777777" w:rsidR="003F6E7B" w:rsidRPr="00CA4C14" w:rsidRDefault="003F6E7B" w:rsidP="003D7646">
            <w:pPr>
              <w:pStyle w:val="Tabletext"/>
              <w:jc w:val="right"/>
              <w:rPr>
                <w:lang w:val="ru-RU" w:eastAsia="en-GB"/>
              </w:rPr>
            </w:pPr>
            <w:r w:rsidRPr="00CA4C14">
              <w:rPr>
                <w:lang w:val="ru-RU" w:eastAsia="en-GB"/>
              </w:rPr>
              <w:t>(11 645)</w:t>
            </w:r>
          </w:p>
        </w:tc>
        <w:tc>
          <w:tcPr>
            <w:tcW w:w="561" w:type="pct"/>
            <w:tcBorders>
              <w:top w:val="nil"/>
              <w:left w:val="nil"/>
              <w:bottom w:val="nil"/>
              <w:right w:val="nil"/>
            </w:tcBorders>
            <w:shd w:val="clear" w:color="auto" w:fill="auto"/>
            <w:noWrap/>
            <w:vAlign w:val="bottom"/>
            <w:hideMark/>
          </w:tcPr>
          <w:p w14:paraId="3FDFC3BF"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06655194"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77F75069" w14:textId="77777777" w:rsidR="003F6E7B" w:rsidRPr="00CA4C14" w:rsidRDefault="003F6E7B" w:rsidP="003D7646">
            <w:pPr>
              <w:pStyle w:val="Tabletext"/>
              <w:jc w:val="right"/>
              <w:rPr>
                <w:lang w:val="ru-RU" w:eastAsia="en-GB"/>
              </w:rPr>
            </w:pPr>
            <w:r w:rsidRPr="00CA4C14">
              <w:rPr>
                <w:lang w:val="ru-RU" w:eastAsia="en-GB"/>
              </w:rPr>
              <w:t>(11 645)</w:t>
            </w:r>
          </w:p>
        </w:tc>
      </w:tr>
      <w:tr w:rsidR="003D7646" w:rsidRPr="00CA4C14" w14:paraId="588B942B" w14:textId="77777777" w:rsidTr="003D7646">
        <w:trPr>
          <w:jc w:val="center"/>
        </w:trPr>
        <w:tc>
          <w:tcPr>
            <w:tcW w:w="2579" w:type="pct"/>
            <w:tcBorders>
              <w:top w:val="nil"/>
              <w:left w:val="nil"/>
              <w:bottom w:val="nil"/>
              <w:right w:val="nil"/>
            </w:tcBorders>
            <w:shd w:val="clear" w:color="auto" w:fill="auto"/>
            <w:hideMark/>
          </w:tcPr>
          <w:p w14:paraId="3000C075" w14:textId="77777777" w:rsidR="003F6E7B" w:rsidRPr="00CA4C14" w:rsidRDefault="003F6E7B" w:rsidP="00C82E10">
            <w:pPr>
              <w:pStyle w:val="Tabletext"/>
              <w:rPr>
                <w:lang w:val="ru-RU" w:eastAsia="en-GB"/>
              </w:rPr>
            </w:pPr>
            <w:r w:rsidRPr="00CA4C14">
              <w:rPr>
                <w:lang w:val="ru-RU" w:eastAsia="en-GB"/>
              </w:rPr>
              <w:t>Выплата ссуды ФИПОИ, не рассматриваемая как расходы</w:t>
            </w:r>
          </w:p>
        </w:tc>
        <w:tc>
          <w:tcPr>
            <w:tcW w:w="739" w:type="pct"/>
            <w:tcBorders>
              <w:top w:val="nil"/>
              <w:left w:val="nil"/>
              <w:bottom w:val="nil"/>
              <w:right w:val="nil"/>
            </w:tcBorders>
            <w:shd w:val="clear" w:color="auto" w:fill="auto"/>
            <w:noWrap/>
            <w:vAlign w:val="bottom"/>
            <w:hideMark/>
          </w:tcPr>
          <w:p w14:paraId="27E42890"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76F4F0E7"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2DCAD0E5" w14:textId="77777777" w:rsidR="003F6E7B" w:rsidRPr="00CA4C14" w:rsidRDefault="003F6E7B" w:rsidP="003D7646">
            <w:pPr>
              <w:pStyle w:val="Tabletext"/>
              <w:jc w:val="right"/>
              <w:rPr>
                <w:lang w:val="ru-RU" w:eastAsia="en-GB"/>
              </w:rPr>
            </w:pPr>
            <w:r w:rsidRPr="00CA4C14">
              <w:rPr>
                <w:lang w:val="ru-RU" w:eastAsia="en-GB"/>
              </w:rPr>
              <w:t>1 391</w:t>
            </w:r>
          </w:p>
        </w:tc>
        <w:tc>
          <w:tcPr>
            <w:tcW w:w="561" w:type="pct"/>
            <w:tcBorders>
              <w:top w:val="nil"/>
              <w:left w:val="nil"/>
              <w:bottom w:val="nil"/>
              <w:right w:val="nil"/>
            </w:tcBorders>
            <w:shd w:val="clear" w:color="auto" w:fill="auto"/>
            <w:noWrap/>
            <w:vAlign w:val="bottom"/>
            <w:hideMark/>
          </w:tcPr>
          <w:p w14:paraId="58BCA826" w14:textId="77777777" w:rsidR="003F6E7B" w:rsidRPr="00CA4C14" w:rsidRDefault="003F6E7B" w:rsidP="003D7646">
            <w:pPr>
              <w:pStyle w:val="Tabletext"/>
              <w:jc w:val="right"/>
              <w:rPr>
                <w:lang w:val="ru-RU" w:eastAsia="en-GB"/>
              </w:rPr>
            </w:pPr>
            <w:r w:rsidRPr="00CA4C14">
              <w:rPr>
                <w:lang w:val="ru-RU" w:eastAsia="en-GB"/>
              </w:rPr>
              <w:t>1 391</w:t>
            </w:r>
          </w:p>
        </w:tc>
      </w:tr>
      <w:tr w:rsidR="003D7646" w:rsidRPr="00CA4C14" w14:paraId="47B4C471" w14:textId="77777777" w:rsidTr="003D7646">
        <w:trPr>
          <w:jc w:val="center"/>
        </w:trPr>
        <w:tc>
          <w:tcPr>
            <w:tcW w:w="2579" w:type="pct"/>
            <w:tcBorders>
              <w:top w:val="nil"/>
              <w:left w:val="nil"/>
              <w:bottom w:val="nil"/>
              <w:right w:val="nil"/>
            </w:tcBorders>
            <w:shd w:val="clear" w:color="auto" w:fill="auto"/>
            <w:hideMark/>
          </w:tcPr>
          <w:p w14:paraId="7DC011B4" w14:textId="77777777" w:rsidR="003F6E7B" w:rsidRPr="00CA4C14" w:rsidRDefault="003F6E7B" w:rsidP="00474711">
            <w:pPr>
              <w:pStyle w:val="Tabletext"/>
              <w:rPr>
                <w:lang w:val="ru-RU" w:eastAsia="en-GB"/>
              </w:rPr>
            </w:pPr>
            <w:r w:rsidRPr="00CA4C14">
              <w:rPr>
                <w:lang w:val="ru-RU"/>
              </w:rPr>
              <w:t>Прочие расходы</w:t>
            </w:r>
          </w:p>
        </w:tc>
        <w:tc>
          <w:tcPr>
            <w:tcW w:w="739" w:type="pct"/>
            <w:tcBorders>
              <w:top w:val="nil"/>
              <w:left w:val="nil"/>
              <w:bottom w:val="nil"/>
              <w:right w:val="nil"/>
            </w:tcBorders>
            <w:shd w:val="clear" w:color="auto" w:fill="auto"/>
            <w:noWrap/>
            <w:vAlign w:val="bottom"/>
            <w:hideMark/>
          </w:tcPr>
          <w:p w14:paraId="4C742FA9" w14:textId="77777777" w:rsidR="003F6E7B" w:rsidRPr="00CA4C14" w:rsidRDefault="003F6E7B" w:rsidP="003D7646">
            <w:pPr>
              <w:pStyle w:val="Tabletext"/>
              <w:jc w:val="right"/>
              <w:rPr>
                <w:lang w:val="ru-RU" w:eastAsia="en-GB"/>
              </w:rPr>
            </w:pPr>
            <w:r w:rsidRPr="00CA4C14">
              <w:rPr>
                <w:lang w:val="ru-RU" w:eastAsia="en-GB"/>
              </w:rPr>
              <w:t>(4 008)</w:t>
            </w:r>
          </w:p>
        </w:tc>
        <w:tc>
          <w:tcPr>
            <w:tcW w:w="561" w:type="pct"/>
            <w:tcBorders>
              <w:top w:val="nil"/>
              <w:left w:val="nil"/>
              <w:bottom w:val="nil"/>
              <w:right w:val="nil"/>
            </w:tcBorders>
            <w:shd w:val="clear" w:color="auto" w:fill="auto"/>
            <w:noWrap/>
            <w:vAlign w:val="bottom"/>
            <w:hideMark/>
          </w:tcPr>
          <w:p w14:paraId="2055373F"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00351EFE"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10F2A51B" w14:textId="77777777" w:rsidR="003F6E7B" w:rsidRPr="00CA4C14" w:rsidRDefault="003F6E7B" w:rsidP="003D7646">
            <w:pPr>
              <w:pStyle w:val="Tabletext"/>
              <w:jc w:val="right"/>
              <w:rPr>
                <w:lang w:val="ru-RU" w:eastAsia="en-GB"/>
              </w:rPr>
            </w:pPr>
            <w:r w:rsidRPr="00CA4C14">
              <w:rPr>
                <w:lang w:val="ru-RU" w:eastAsia="en-GB"/>
              </w:rPr>
              <w:t>(4 008)</w:t>
            </w:r>
          </w:p>
        </w:tc>
      </w:tr>
      <w:tr w:rsidR="003D7646" w:rsidRPr="00CA4C14" w14:paraId="51FB9C47" w14:textId="77777777" w:rsidTr="003D7646">
        <w:trPr>
          <w:jc w:val="center"/>
        </w:trPr>
        <w:tc>
          <w:tcPr>
            <w:tcW w:w="2579" w:type="pct"/>
            <w:tcBorders>
              <w:top w:val="nil"/>
              <w:left w:val="nil"/>
              <w:bottom w:val="nil"/>
              <w:right w:val="nil"/>
            </w:tcBorders>
            <w:shd w:val="clear" w:color="auto" w:fill="auto"/>
            <w:hideMark/>
          </w:tcPr>
          <w:p w14:paraId="7CE0FDC4" w14:textId="77777777" w:rsidR="003F6E7B" w:rsidRPr="00CA4C14" w:rsidRDefault="003F6E7B" w:rsidP="00474711">
            <w:pPr>
              <w:pStyle w:val="Tabletext"/>
              <w:rPr>
                <w:lang w:val="ru-RU" w:eastAsia="en-GB"/>
              </w:rPr>
            </w:pPr>
            <w:r w:rsidRPr="00CA4C14">
              <w:rPr>
                <w:lang w:val="ru-RU"/>
              </w:rPr>
              <w:t>Продажа активов</w:t>
            </w:r>
          </w:p>
        </w:tc>
        <w:tc>
          <w:tcPr>
            <w:tcW w:w="739" w:type="pct"/>
            <w:tcBorders>
              <w:top w:val="nil"/>
              <w:left w:val="nil"/>
              <w:bottom w:val="nil"/>
              <w:right w:val="nil"/>
            </w:tcBorders>
            <w:shd w:val="clear" w:color="auto" w:fill="auto"/>
            <w:noWrap/>
            <w:vAlign w:val="bottom"/>
            <w:hideMark/>
          </w:tcPr>
          <w:p w14:paraId="5E744EFF" w14:textId="77777777" w:rsidR="003F6E7B" w:rsidRPr="00CA4C14" w:rsidRDefault="003F6E7B" w:rsidP="003D7646">
            <w:pPr>
              <w:pStyle w:val="Tabletext"/>
              <w:jc w:val="right"/>
              <w:rPr>
                <w:lang w:val="ru-RU" w:eastAsia="en-GB"/>
              </w:rPr>
            </w:pPr>
            <w:r w:rsidRPr="00CA4C14">
              <w:rPr>
                <w:lang w:val="ru-RU" w:eastAsia="en-GB"/>
              </w:rPr>
              <w:t>28</w:t>
            </w:r>
          </w:p>
        </w:tc>
        <w:tc>
          <w:tcPr>
            <w:tcW w:w="561" w:type="pct"/>
            <w:tcBorders>
              <w:top w:val="nil"/>
              <w:left w:val="nil"/>
              <w:bottom w:val="nil"/>
              <w:right w:val="nil"/>
            </w:tcBorders>
            <w:shd w:val="clear" w:color="auto" w:fill="auto"/>
            <w:noWrap/>
            <w:vAlign w:val="bottom"/>
            <w:hideMark/>
          </w:tcPr>
          <w:p w14:paraId="2F078426" w14:textId="77777777" w:rsidR="003F6E7B" w:rsidRPr="00CA4C14" w:rsidRDefault="003F6E7B" w:rsidP="003D7646">
            <w:pPr>
              <w:pStyle w:val="Tabletext"/>
              <w:jc w:val="right"/>
              <w:rPr>
                <w:lang w:val="ru-RU" w:eastAsia="en-GB"/>
              </w:rPr>
            </w:pPr>
          </w:p>
        </w:tc>
        <w:tc>
          <w:tcPr>
            <w:tcW w:w="561" w:type="pct"/>
            <w:tcBorders>
              <w:top w:val="nil"/>
              <w:left w:val="nil"/>
              <w:bottom w:val="nil"/>
              <w:right w:val="nil"/>
            </w:tcBorders>
            <w:shd w:val="clear" w:color="auto" w:fill="auto"/>
            <w:noWrap/>
            <w:vAlign w:val="bottom"/>
            <w:hideMark/>
          </w:tcPr>
          <w:p w14:paraId="4E6574C7"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253DE15E" w14:textId="77777777" w:rsidR="003F6E7B" w:rsidRPr="00CA4C14" w:rsidRDefault="003F6E7B" w:rsidP="003D7646">
            <w:pPr>
              <w:pStyle w:val="Tabletext"/>
              <w:jc w:val="right"/>
              <w:rPr>
                <w:lang w:val="ru-RU" w:eastAsia="en-GB"/>
              </w:rPr>
            </w:pPr>
            <w:r w:rsidRPr="00CA4C14">
              <w:rPr>
                <w:lang w:val="ru-RU" w:eastAsia="en-GB"/>
              </w:rPr>
              <w:t>28</w:t>
            </w:r>
          </w:p>
        </w:tc>
      </w:tr>
      <w:tr w:rsidR="003D7646" w:rsidRPr="00CA4C14" w14:paraId="5C988466" w14:textId="77777777" w:rsidTr="003D7646">
        <w:trPr>
          <w:jc w:val="center"/>
        </w:trPr>
        <w:tc>
          <w:tcPr>
            <w:tcW w:w="2579" w:type="pct"/>
            <w:tcBorders>
              <w:top w:val="nil"/>
              <w:left w:val="nil"/>
              <w:bottom w:val="nil"/>
              <w:right w:val="nil"/>
            </w:tcBorders>
            <w:shd w:val="clear" w:color="auto" w:fill="auto"/>
            <w:hideMark/>
          </w:tcPr>
          <w:p w14:paraId="3CA7346C" w14:textId="77777777" w:rsidR="003F6E7B" w:rsidRPr="00CA4C14" w:rsidRDefault="003F6E7B" w:rsidP="00C82E10">
            <w:pPr>
              <w:pStyle w:val="Tabletext"/>
              <w:rPr>
                <w:b/>
                <w:bCs/>
                <w:lang w:val="ru-RU" w:eastAsia="en-GB"/>
              </w:rPr>
            </w:pPr>
            <w:r w:rsidRPr="00CA4C14">
              <w:rPr>
                <w:b/>
                <w:bCs/>
                <w:lang w:val="ru-RU" w:eastAsia="en-GB"/>
              </w:rPr>
              <w:t>Итого базисная разница</w:t>
            </w:r>
          </w:p>
        </w:tc>
        <w:tc>
          <w:tcPr>
            <w:tcW w:w="739" w:type="pct"/>
            <w:tcBorders>
              <w:top w:val="nil"/>
              <w:left w:val="nil"/>
              <w:bottom w:val="nil"/>
              <w:right w:val="nil"/>
            </w:tcBorders>
            <w:shd w:val="clear" w:color="auto" w:fill="auto"/>
            <w:noWrap/>
            <w:vAlign w:val="bottom"/>
            <w:hideMark/>
          </w:tcPr>
          <w:p w14:paraId="7592EAE6" w14:textId="77777777" w:rsidR="003F6E7B" w:rsidRPr="00CA4C14" w:rsidRDefault="003F6E7B" w:rsidP="003D7646">
            <w:pPr>
              <w:pStyle w:val="Tabletext"/>
              <w:jc w:val="right"/>
              <w:rPr>
                <w:b/>
                <w:bCs/>
                <w:lang w:val="ru-RU" w:eastAsia="en-GB"/>
              </w:rPr>
            </w:pPr>
            <w:r w:rsidRPr="00CA4C14">
              <w:rPr>
                <w:b/>
                <w:bCs/>
                <w:lang w:val="ru-RU" w:eastAsia="en-GB"/>
              </w:rPr>
              <w:t>(26 268)</w:t>
            </w:r>
          </w:p>
        </w:tc>
        <w:tc>
          <w:tcPr>
            <w:tcW w:w="561" w:type="pct"/>
            <w:tcBorders>
              <w:top w:val="nil"/>
              <w:left w:val="nil"/>
              <w:bottom w:val="nil"/>
              <w:right w:val="nil"/>
            </w:tcBorders>
            <w:shd w:val="clear" w:color="auto" w:fill="auto"/>
            <w:noWrap/>
            <w:vAlign w:val="bottom"/>
            <w:hideMark/>
          </w:tcPr>
          <w:p w14:paraId="204A6754" w14:textId="77777777" w:rsidR="003F6E7B" w:rsidRPr="00CA4C14" w:rsidRDefault="003F6E7B" w:rsidP="003D7646">
            <w:pPr>
              <w:pStyle w:val="Tabletext"/>
              <w:jc w:val="right"/>
              <w:rPr>
                <w:b/>
                <w:bCs/>
                <w:lang w:val="ru-RU" w:eastAsia="en-GB"/>
              </w:rPr>
            </w:pPr>
            <w:r w:rsidRPr="00CA4C14">
              <w:rPr>
                <w:b/>
                <w:bCs/>
                <w:lang w:val="ru-RU" w:eastAsia="en-GB"/>
              </w:rPr>
              <w:t>5 570</w:t>
            </w:r>
          </w:p>
        </w:tc>
        <w:tc>
          <w:tcPr>
            <w:tcW w:w="561" w:type="pct"/>
            <w:tcBorders>
              <w:top w:val="nil"/>
              <w:left w:val="nil"/>
              <w:bottom w:val="nil"/>
              <w:right w:val="nil"/>
            </w:tcBorders>
            <w:shd w:val="clear" w:color="auto" w:fill="auto"/>
            <w:noWrap/>
            <w:vAlign w:val="bottom"/>
            <w:hideMark/>
          </w:tcPr>
          <w:p w14:paraId="616AB909" w14:textId="77777777" w:rsidR="003F6E7B" w:rsidRPr="00CA4C14" w:rsidRDefault="003F6E7B" w:rsidP="003D7646">
            <w:pPr>
              <w:pStyle w:val="Tabletext"/>
              <w:jc w:val="right"/>
              <w:rPr>
                <w:b/>
                <w:bCs/>
                <w:lang w:val="ru-RU" w:eastAsia="en-GB"/>
              </w:rPr>
            </w:pPr>
            <w:r w:rsidRPr="00CA4C14">
              <w:rPr>
                <w:b/>
                <w:bCs/>
                <w:lang w:val="ru-RU" w:eastAsia="en-GB"/>
              </w:rPr>
              <w:t>1 391</w:t>
            </w:r>
          </w:p>
        </w:tc>
        <w:tc>
          <w:tcPr>
            <w:tcW w:w="561" w:type="pct"/>
            <w:tcBorders>
              <w:top w:val="nil"/>
              <w:left w:val="nil"/>
              <w:bottom w:val="nil"/>
              <w:right w:val="nil"/>
            </w:tcBorders>
            <w:shd w:val="clear" w:color="auto" w:fill="auto"/>
            <w:noWrap/>
            <w:vAlign w:val="bottom"/>
            <w:hideMark/>
          </w:tcPr>
          <w:p w14:paraId="56497EF6" w14:textId="77777777" w:rsidR="003F6E7B" w:rsidRPr="00CA4C14" w:rsidRDefault="003F6E7B" w:rsidP="003D7646">
            <w:pPr>
              <w:pStyle w:val="Tabletext"/>
              <w:jc w:val="right"/>
              <w:rPr>
                <w:b/>
                <w:bCs/>
                <w:lang w:val="ru-RU" w:eastAsia="en-GB"/>
              </w:rPr>
            </w:pPr>
            <w:r w:rsidRPr="00CA4C14">
              <w:rPr>
                <w:b/>
                <w:bCs/>
                <w:lang w:val="ru-RU" w:eastAsia="en-GB"/>
              </w:rPr>
              <w:t>(19 306)</w:t>
            </w:r>
          </w:p>
        </w:tc>
      </w:tr>
      <w:tr w:rsidR="003D7646" w:rsidRPr="00CA4C14" w14:paraId="0CC36141" w14:textId="77777777" w:rsidTr="003D7646">
        <w:trPr>
          <w:jc w:val="center"/>
        </w:trPr>
        <w:tc>
          <w:tcPr>
            <w:tcW w:w="2579" w:type="pct"/>
            <w:tcBorders>
              <w:top w:val="nil"/>
              <w:left w:val="nil"/>
              <w:bottom w:val="nil"/>
              <w:right w:val="nil"/>
            </w:tcBorders>
            <w:shd w:val="clear" w:color="auto" w:fill="auto"/>
            <w:hideMark/>
          </w:tcPr>
          <w:p w14:paraId="621C1F82" w14:textId="77777777" w:rsidR="003F6E7B" w:rsidRPr="00CA4C14" w:rsidRDefault="003F6E7B" w:rsidP="00C82E10">
            <w:pPr>
              <w:pStyle w:val="Tabletext"/>
              <w:spacing w:before="0" w:after="0"/>
              <w:rPr>
                <w:b/>
                <w:bCs/>
                <w:lang w:val="ru-RU" w:eastAsia="en-GB"/>
              </w:rPr>
            </w:pPr>
          </w:p>
        </w:tc>
        <w:tc>
          <w:tcPr>
            <w:tcW w:w="739" w:type="pct"/>
            <w:tcBorders>
              <w:top w:val="nil"/>
              <w:left w:val="nil"/>
              <w:bottom w:val="nil"/>
              <w:right w:val="nil"/>
            </w:tcBorders>
            <w:shd w:val="clear" w:color="auto" w:fill="auto"/>
            <w:noWrap/>
            <w:vAlign w:val="bottom"/>
            <w:hideMark/>
          </w:tcPr>
          <w:p w14:paraId="6BF1B1FD" w14:textId="77777777" w:rsidR="003F6E7B" w:rsidRPr="00CA4C14" w:rsidRDefault="003F6E7B" w:rsidP="003D7646">
            <w:pPr>
              <w:pStyle w:val="Tabletext"/>
              <w:spacing w:before="0" w:after="0"/>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3246291A" w14:textId="77777777" w:rsidR="003F6E7B" w:rsidRPr="00CA4C14" w:rsidRDefault="003F6E7B" w:rsidP="003D7646">
            <w:pPr>
              <w:pStyle w:val="Tabletext"/>
              <w:spacing w:before="0" w:after="0"/>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48A39D64" w14:textId="77777777" w:rsidR="003F6E7B" w:rsidRPr="00CA4C14" w:rsidRDefault="003F6E7B" w:rsidP="003D7646">
            <w:pPr>
              <w:pStyle w:val="Tabletext"/>
              <w:spacing w:before="0" w:after="0"/>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47D9E217" w14:textId="77777777" w:rsidR="003F6E7B" w:rsidRPr="00CA4C14" w:rsidRDefault="003F6E7B" w:rsidP="003D7646">
            <w:pPr>
              <w:pStyle w:val="Tabletext"/>
              <w:spacing w:before="0" w:after="0"/>
              <w:jc w:val="right"/>
              <w:rPr>
                <w:rFonts w:ascii="Times New Roman" w:hAnsi="Times New Roman"/>
                <w:lang w:val="ru-RU" w:eastAsia="en-GB"/>
              </w:rPr>
            </w:pPr>
          </w:p>
        </w:tc>
      </w:tr>
      <w:tr w:rsidR="003D7646" w:rsidRPr="00CA4C14" w14:paraId="6293F8CE" w14:textId="77777777" w:rsidTr="003D7646">
        <w:trPr>
          <w:jc w:val="center"/>
        </w:trPr>
        <w:tc>
          <w:tcPr>
            <w:tcW w:w="2579" w:type="pct"/>
            <w:tcBorders>
              <w:top w:val="nil"/>
              <w:left w:val="nil"/>
              <w:bottom w:val="nil"/>
              <w:right w:val="nil"/>
            </w:tcBorders>
            <w:shd w:val="clear" w:color="auto" w:fill="auto"/>
            <w:hideMark/>
          </w:tcPr>
          <w:p w14:paraId="3E76A65F" w14:textId="77777777" w:rsidR="003F6E7B" w:rsidRPr="00CA4C14" w:rsidRDefault="003F6E7B" w:rsidP="00C82E10">
            <w:pPr>
              <w:pStyle w:val="Tabletext"/>
              <w:rPr>
                <w:b/>
                <w:bCs/>
                <w:lang w:val="ru-RU" w:eastAsia="en-GB"/>
              </w:rPr>
            </w:pPr>
            <w:r w:rsidRPr="00CA4C14">
              <w:rPr>
                <w:b/>
                <w:bCs/>
                <w:lang w:val="ru-RU" w:eastAsia="en-GB"/>
              </w:rPr>
              <w:t>Структурная разница</w:t>
            </w:r>
          </w:p>
        </w:tc>
        <w:tc>
          <w:tcPr>
            <w:tcW w:w="739" w:type="pct"/>
            <w:tcBorders>
              <w:top w:val="nil"/>
              <w:left w:val="nil"/>
              <w:bottom w:val="nil"/>
              <w:right w:val="nil"/>
            </w:tcBorders>
            <w:shd w:val="clear" w:color="auto" w:fill="auto"/>
            <w:noWrap/>
            <w:vAlign w:val="bottom"/>
            <w:hideMark/>
          </w:tcPr>
          <w:p w14:paraId="68D96759" w14:textId="77777777" w:rsidR="003F6E7B" w:rsidRPr="00CA4C14" w:rsidRDefault="003F6E7B" w:rsidP="003D7646">
            <w:pPr>
              <w:pStyle w:val="Tabletext"/>
              <w:jc w:val="right"/>
              <w:rPr>
                <w:b/>
                <w:bCs/>
                <w:lang w:val="ru-RU" w:eastAsia="en-GB"/>
              </w:rPr>
            </w:pPr>
            <w:r w:rsidRPr="00CA4C14">
              <w:rPr>
                <w:b/>
                <w:bCs/>
                <w:lang w:val="ru-RU" w:eastAsia="en-GB"/>
              </w:rPr>
              <w:t>(6 892)</w:t>
            </w:r>
          </w:p>
        </w:tc>
        <w:tc>
          <w:tcPr>
            <w:tcW w:w="561" w:type="pct"/>
            <w:tcBorders>
              <w:top w:val="nil"/>
              <w:left w:val="nil"/>
              <w:bottom w:val="nil"/>
              <w:right w:val="nil"/>
            </w:tcBorders>
            <w:shd w:val="clear" w:color="auto" w:fill="auto"/>
            <w:noWrap/>
            <w:vAlign w:val="bottom"/>
            <w:hideMark/>
          </w:tcPr>
          <w:p w14:paraId="775E9D31" w14:textId="77777777" w:rsidR="003F6E7B" w:rsidRPr="00CA4C14" w:rsidRDefault="003F6E7B" w:rsidP="003D7646">
            <w:pPr>
              <w:pStyle w:val="Tabletext"/>
              <w:jc w:val="right"/>
              <w:rPr>
                <w:b/>
                <w:bCs/>
                <w:lang w:val="ru-RU" w:eastAsia="en-GB"/>
              </w:rPr>
            </w:pPr>
          </w:p>
        </w:tc>
        <w:tc>
          <w:tcPr>
            <w:tcW w:w="561" w:type="pct"/>
            <w:tcBorders>
              <w:top w:val="nil"/>
              <w:left w:val="nil"/>
              <w:bottom w:val="nil"/>
              <w:right w:val="nil"/>
            </w:tcBorders>
            <w:shd w:val="clear" w:color="auto" w:fill="auto"/>
            <w:noWrap/>
            <w:vAlign w:val="bottom"/>
            <w:hideMark/>
          </w:tcPr>
          <w:p w14:paraId="03C1552B" w14:textId="77777777" w:rsidR="003F6E7B" w:rsidRPr="00CA4C14" w:rsidRDefault="003F6E7B" w:rsidP="003D7646">
            <w:pPr>
              <w:pStyle w:val="Tabletext"/>
              <w:jc w:val="right"/>
              <w:rPr>
                <w:rFonts w:ascii="Times New Roman" w:hAnsi="Times New Roman"/>
                <w:lang w:val="ru-RU" w:eastAsia="en-GB"/>
              </w:rPr>
            </w:pPr>
          </w:p>
        </w:tc>
        <w:tc>
          <w:tcPr>
            <w:tcW w:w="561" w:type="pct"/>
            <w:tcBorders>
              <w:top w:val="nil"/>
              <w:left w:val="nil"/>
              <w:bottom w:val="nil"/>
              <w:right w:val="nil"/>
            </w:tcBorders>
            <w:shd w:val="clear" w:color="auto" w:fill="auto"/>
            <w:noWrap/>
            <w:vAlign w:val="bottom"/>
            <w:hideMark/>
          </w:tcPr>
          <w:p w14:paraId="2AED098C" w14:textId="77777777" w:rsidR="003F6E7B" w:rsidRPr="00CA4C14" w:rsidRDefault="003F6E7B" w:rsidP="003D7646">
            <w:pPr>
              <w:pStyle w:val="Tabletext"/>
              <w:jc w:val="right"/>
              <w:rPr>
                <w:b/>
                <w:bCs/>
                <w:lang w:val="ru-RU" w:eastAsia="en-GB"/>
              </w:rPr>
            </w:pPr>
            <w:r w:rsidRPr="00CA4C14">
              <w:rPr>
                <w:b/>
                <w:bCs/>
                <w:lang w:val="ru-RU" w:eastAsia="en-GB"/>
              </w:rPr>
              <w:t>(6 892)</w:t>
            </w:r>
          </w:p>
        </w:tc>
      </w:tr>
      <w:tr w:rsidR="003D7646" w:rsidRPr="00CA4C14" w14:paraId="0E9476EC" w14:textId="77777777" w:rsidTr="003D7646">
        <w:trPr>
          <w:jc w:val="center"/>
        </w:trPr>
        <w:tc>
          <w:tcPr>
            <w:tcW w:w="2579" w:type="pct"/>
            <w:tcBorders>
              <w:top w:val="nil"/>
              <w:left w:val="nil"/>
              <w:bottom w:val="nil"/>
              <w:right w:val="nil"/>
            </w:tcBorders>
            <w:shd w:val="clear" w:color="000000" w:fill="0070C0"/>
            <w:vAlign w:val="center"/>
            <w:hideMark/>
          </w:tcPr>
          <w:p w14:paraId="61BCD279" w14:textId="77777777" w:rsidR="003F6E7B" w:rsidRPr="00CA4C14" w:rsidRDefault="003F6E7B" w:rsidP="00C82E10">
            <w:pPr>
              <w:pStyle w:val="Tabletext"/>
              <w:rPr>
                <w:b/>
                <w:bCs/>
                <w:lang w:val="ru-RU" w:eastAsia="en-GB"/>
              </w:rPr>
            </w:pPr>
            <w:r w:rsidRPr="00CA4C14">
              <w:rPr>
                <w:b/>
                <w:bCs/>
                <w:lang w:val="ru-RU" w:eastAsia="en-GB"/>
              </w:rPr>
              <w:t>Активное сальдо/(дефицит), показанное в отчете о результатах финансовой деятельности</w:t>
            </w:r>
          </w:p>
        </w:tc>
        <w:tc>
          <w:tcPr>
            <w:tcW w:w="739" w:type="pct"/>
            <w:tcBorders>
              <w:top w:val="nil"/>
              <w:left w:val="nil"/>
              <w:bottom w:val="nil"/>
              <w:right w:val="nil"/>
            </w:tcBorders>
            <w:shd w:val="clear" w:color="000000" w:fill="0070C0"/>
            <w:noWrap/>
            <w:vAlign w:val="bottom"/>
            <w:hideMark/>
          </w:tcPr>
          <w:p w14:paraId="23E34B6B" w14:textId="77777777" w:rsidR="003F6E7B" w:rsidRPr="00CA4C14" w:rsidRDefault="003F6E7B" w:rsidP="003D7646">
            <w:pPr>
              <w:pStyle w:val="Tabletext"/>
              <w:jc w:val="right"/>
              <w:rPr>
                <w:b/>
                <w:bCs/>
                <w:lang w:val="ru-RU" w:eastAsia="en-GB"/>
              </w:rPr>
            </w:pPr>
            <w:r w:rsidRPr="00CA4C14">
              <w:rPr>
                <w:b/>
                <w:bCs/>
                <w:lang w:val="ru-RU" w:eastAsia="en-GB"/>
              </w:rPr>
              <w:t>(31 736)</w:t>
            </w:r>
          </w:p>
        </w:tc>
        <w:tc>
          <w:tcPr>
            <w:tcW w:w="561" w:type="pct"/>
            <w:tcBorders>
              <w:top w:val="nil"/>
              <w:left w:val="nil"/>
              <w:bottom w:val="nil"/>
              <w:right w:val="nil"/>
            </w:tcBorders>
            <w:shd w:val="clear" w:color="000000" w:fill="0070C0"/>
            <w:noWrap/>
            <w:vAlign w:val="bottom"/>
            <w:hideMark/>
          </w:tcPr>
          <w:p w14:paraId="61D10B14" w14:textId="77777777" w:rsidR="003F6E7B" w:rsidRPr="00CA4C14" w:rsidRDefault="003F6E7B" w:rsidP="003D7646">
            <w:pPr>
              <w:pStyle w:val="Tabletext"/>
              <w:jc w:val="right"/>
              <w:rPr>
                <w:b/>
                <w:bCs/>
                <w:lang w:val="ru-RU" w:eastAsia="en-GB"/>
              </w:rPr>
            </w:pPr>
            <w:r w:rsidRPr="00CA4C14">
              <w:rPr>
                <w:b/>
                <w:bCs/>
                <w:lang w:val="ru-RU" w:eastAsia="en-GB"/>
              </w:rPr>
              <w:t>5 570</w:t>
            </w:r>
          </w:p>
        </w:tc>
        <w:tc>
          <w:tcPr>
            <w:tcW w:w="561" w:type="pct"/>
            <w:tcBorders>
              <w:top w:val="nil"/>
              <w:left w:val="nil"/>
              <w:bottom w:val="nil"/>
              <w:right w:val="nil"/>
            </w:tcBorders>
            <w:shd w:val="clear" w:color="000000" w:fill="0070C0"/>
            <w:noWrap/>
            <w:vAlign w:val="bottom"/>
            <w:hideMark/>
          </w:tcPr>
          <w:p w14:paraId="2BA2FBD9" w14:textId="77777777" w:rsidR="003F6E7B" w:rsidRPr="00CA4C14" w:rsidRDefault="003F6E7B" w:rsidP="003D7646">
            <w:pPr>
              <w:pStyle w:val="Tabletext"/>
              <w:jc w:val="right"/>
              <w:rPr>
                <w:b/>
                <w:bCs/>
                <w:lang w:val="ru-RU" w:eastAsia="en-GB"/>
              </w:rPr>
            </w:pPr>
            <w:r w:rsidRPr="00CA4C14">
              <w:rPr>
                <w:b/>
                <w:bCs/>
                <w:lang w:val="ru-RU" w:eastAsia="en-GB"/>
              </w:rPr>
              <w:t>1 391</w:t>
            </w:r>
          </w:p>
        </w:tc>
        <w:tc>
          <w:tcPr>
            <w:tcW w:w="561" w:type="pct"/>
            <w:tcBorders>
              <w:top w:val="nil"/>
              <w:left w:val="nil"/>
              <w:bottom w:val="nil"/>
              <w:right w:val="nil"/>
            </w:tcBorders>
            <w:shd w:val="clear" w:color="000000" w:fill="0070C0"/>
            <w:noWrap/>
            <w:vAlign w:val="bottom"/>
            <w:hideMark/>
          </w:tcPr>
          <w:p w14:paraId="26A477CB" w14:textId="77777777" w:rsidR="003F6E7B" w:rsidRPr="00CA4C14" w:rsidRDefault="003F6E7B" w:rsidP="003D7646">
            <w:pPr>
              <w:pStyle w:val="Tabletext"/>
              <w:jc w:val="right"/>
              <w:rPr>
                <w:b/>
                <w:bCs/>
                <w:lang w:val="ru-RU" w:eastAsia="en-GB"/>
              </w:rPr>
            </w:pPr>
            <w:r w:rsidRPr="00CA4C14">
              <w:rPr>
                <w:b/>
                <w:bCs/>
                <w:lang w:val="ru-RU" w:eastAsia="en-GB"/>
              </w:rPr>
              <w:t>(24 774)</w:t>
            </w:r>
          </w:p>
        </w:tc>
      </w:tr>
    </w:tbl>
    <w:p w14:paraId="70A2FCD8" w14:textId="77777777" w:rsidR="003F6E7B" w:rsidRPr="00CA4C14" w:rsidRDefault="003F6E7B" w:rsidP="006B55B7">
      <w:pPr>
        <w:pStyle w:val="Headingb"/>
        <w:rPr>
          <w:lang w:val="ru-RU" w:bidi="ru-RU"/>
        </w:rPr>
      </w:pPr>
      <w:r w:rsidRPr="00CA4C14">
        <w:rPr>
          <w:lang w:val="ru-RU" w:bidi="ru-RU"/>
        </w:rPr>
        <w:lastRenderedPageBreak/>
        <w:t>Краткий обзор разницы бюджета и фактических сумм</w:t>
      </w:r>
    </w:p>
    <w:p w14:paraId="37CAE4C1" w14:textId="77777777" w:rsidR="003F6E7B" w:rsidRPr="00CA4C14" w:rsidRDefault="003F6E7B" w:rsidP="00931B79">
      <w:pPr>
        <w:rPr>
          <w:lang w:val="ru-RU" w:bidi="ru-RU"/>
        </w:rPr>
      </w:pPr>
      <w:r w:rsidRPr="00CA4C14">
        <w:rPr>
          <w:lang w:val="ru-RU" w:bidi="ru-RU"/>
        </w:rPr>
        <w:t xml:space="preserve">На 2023 </w:t>
      </w:r>
      <w:r w:rsidRPr="00CA4C14">
        <w:rPr>
          <w:lang w:val="ru-RU"/>
        </w:rPr>
        <w:t xml:space="preserve">финансовый год бюджет был утвержден в размере </w:t>
      </w:r>
      <w:r w:rsidRPr="00CA4C14">
        <w:rPr>
          <w:lang w:val="ru-RU" w:bidi="ru-RU"/>
        </w:rPr>
        <w:t>163,2 </w:t>
      </w:r>
      <w:proofErr w:type="gramStart"/>
      <w:r w:rsidRPr="00CA4C14">
        <w:rPr>
          <w:lang w:val="ru-RU"/>
        </w:rPr>
        <w:t>млн.</w:t>
      </w:r>
      <w:proofErr w:type="gramEnd"/>
      <w:r w:rsidRPr="00CA4C14">
        <w:rPr>
          <w:lang w:val="ru-RU"/>
        </w:rPr>
        <w:t xml:space="preserve"> швейцарских франков (Резолюция 1405). Этот бюджет был увеличен на </w:t>
      </w:r>
      <w:r w:rsidRPr="00CA4C14">
        <w:rPr>
          <w:lang w:val="ru-RU" w:bidi="ru-RU"/>
        </w:rPr>
        <w:t>0,2 </w:t>
      </w:r>
      <w:proofErr w:type="gramStart"/>
      <w:r w:rsidRPr="00CA4C14">
        <w:rPr>
          <w:lang w:val="ru-RU"/>
        </w:rPr>
        <w:t>млн.</w:t>
      </w:r>
      <w:proofErr w:type="gramEnd"/>
      <w:r w:rsidRPr="00CA4C14">
        <w:rPr>
          <w:lang w:val="ru-RU"/>
        </w:rPr>
        <w:t xml:space="preserve"> швейцарских франков (всего</w:t>
      </w:r>
      <w:r w:rsidRPr="00CA4C14">
        <w:rPr>
          <w:lang w:val="ru-RU" w:bidi="ru-RU"/>
        </w:rPr>
        <w:t xml:space="preserve"> 163,4 </w:t>
      </w:r>
      <w:r w:rsidRPr="00CA4C14">
        <w:rPr>
          <w:lang w:val="ru-RU"/>
        </w:rPr>
        <w:t>млн. шв. фр.) по причине делегирования Генеральному секретарю полномочий в соответствии с Резолюцией 1405 Совета и соответствующими финансовыми положениями</w:t>
      </w:r>
      <w:r w:rsidRPr="00CA4C14">
        <w:rPr>
          <w:lang w:val="ru-RU" w:bidi="ru-RU"/>
        </w:rPr>
        <w:t>. Это увеличение обусловлено взносом на открытие нового регионального отделения в Нью-Дели.</w:t>
      </w:r>
    </w:p>
    <w:p w14:paraId="7DB6845F" w14:textId="77777777" w:rsidR="003F6E7B" w:rsidRPr="00CA4C14" w:rsidRDefault="003F6E7B" w:rsidP="00931B79">
      <w:pPr>
        <w:rPr>
          <w:lang w:val="ru-RU" w:bidi="ru-RU"/>
        </w:rPr>
      </w:pPr>
      <w:r w:rsidRPr="00CA4C14">
        <w:rPr>
          <w:lang w:val="ru-RU" w:bidi="ru-RU"/>
        </w:rPr>
        <w:t>Как отмечается в Отчете V, доходы составили 157 </w:t>
      </w:r>
      <w:proofErr w:type="gramStart"/>
      <w:r w:rsidRPr="00CA4C14">
        <w:rPr>
          <w:lang w:val="ru-RU" w:eastAsia="en-GB"/>
        </w:rPr>
        <w:t>млн.</w:t>
      </w:r>
      <w:proofErr w:type="gramEnd"/>
      <w:r w:rsidRPr="00CA4C14">
        <w:rPr>
          <w:lang w:val="ru-RU" w:eastAsia="en-GB"/>
        </w:rPr>
        <w:t xml:space="preserve"> швейцарских франков</w:t>
      </w:r>
      <w:r w:rsidRPr="00CA4C14">
        <w:rPr>
          <w:lang w:val="ru-RU" w:bidi="ru-RU"/>
        </w:rPr>
        <w:t xml:space="preserve">. Это привело к недополучению доходов по сравнению с бюджетом в размере 6,4 </w:t>
      </w:r>
      <w:proofErr w:type="gramStart"/>
      <w:r w:rsidRPr="00CA4C14">
        <w:rPr>
          <w:lang w:val="ru-RU" w:bidi="ru-RU"/>
        </w:rPr>
        <w:t>млн.</w:t>
      </w:r>
      <w:proofErr w:type="gramEnd"/>
      <w:r w:rsidRPr="00CA4C14">
        <w:rPr>
          <w:lang w:val="ru-RU" w:bidi="ru-RU"/>
        </w:rPr>
        <w:t xml:space="preserve"> швейцарских франков. Недостаток обусловлен снижением доходов от возмещения затрат на обработку заявок на регистрацию спутниковых сетей (SNF). Этот недостаток частично компенсируется увеличением доходов в виде процентов, которые в 2023 году составили 2,9 </w:t>
      </w:r>
      <w:proofErr w:type="gramStart"/>
      <w:r w:rsidRPr="00CA4C14">
        <w:rPr>
          <w:lang w:val="ru-RU" w:bidi="ru-RU"/>
        </w:rPr>
        <w:t>млн.</w:t>
      </w:r>
      <w:proofErr w:type="gramEnd"/>
      <w:r w:rsidRPr="00CA4C14">
        <w:rPr>
          <w:lang w:val="ru-RU" w:bidi="ru-RU"/>
        </w:rPr>
        <w:t xml:space="preserve"> швейцарских франков.</w:t>
      </w:r>
    </w:p>
    <w:p w14:paraId="5E011C8F" w14:textId="6EB513CD" w:rsidR="003F6E7B" w:rsidRPr="009A3216" w:rsidRDefault="003F6E7B" w:rsidP="00931B79">
      <w:pPr>
        <w:rPr>
          <w:lang w:val="ru-RU" w:bidi="ru-RU"/>
        </w:rPr>
      </w:pPr>
      <w:r w:rsidRPr="00CA4C14">
        <w:rPr>
          <w:lang w:val="ru-RU" w:bidi="ru-RU"/>
        </w:rPr>
        <w:t>Для того чтобы компенсировать недополученные доходы, МСЭ проводил ежемесячные проверки, чтобы убедиться, что уровень расходов остается ниже доходов на 2023 год.</w:t>
      </w:r>
    </w:p>
    <w:p w14:paraId="6BB17117" w14:textId="77777777" w:rsidR="003F6E7B" w:rsidRPr="00CA4C14" w:rsidRDefault="003F6E7B" w:rsidP="00931B79">
      <w:pPr>
        <w:rPr>
          <w:lang w:val="ru-RU" w:bidi="ru-RU"/>
        </w:rPr>
      </w:pPr>
      <w:r w:rsidRPr="00CA4C14">
        <w:rPr>
          <w:lang w:val="ru-RU" w:bidi="ru-RU"/>
        </w:rPr>
        <w:t>Благодаря столь пристальному мониторингу МСЭ удалось обеспечить к концу года активное сальдо в размере 1,4 </w:t>
      </w:r>
      <w:proofErr w:type="gramStart"/>
      <w:r w:rsidRPr="00CA4C14">
        <w:rPr>
          <w:lang w:val="ru-RU" w:eastAsia="en-GB"/>
        </w:rPr>
        <w:t>млн.</w:t>
      </w:r>
      <w:proofErr w:type="gramEnd"/>
      <w:r w:rsidRPr="00CA4C14">
        <w:rPr>
          <w:lang w:val="ru-RU" w:eastAsia="en-GB"/>
        </w:rPr>
        <w:t xml:space="preserve"> швейцарских франков</w:t>
      </w:r>
      <w:r w:rsidRPr="00CA4C14">
        <w:rPr>
          <w:lang w:val="ru-RU" w:bidi="ru-RU"/>
        </w:rPr>
        <w:t>.</w:t>
      </w:r>
    </w:p>
    <w:p w14:paraId="114C62B7" w14:textId="77777777" w:rsidR="003F6E7B" w:rsidRPr="00CA4C14" w:rsidRDefault="003F6E7B" w:rsidP="00931B79">
      <w:pPr>
        <w:rPr>
          <w:lang w:val="ru-RU" w:bidi="ru-RU"/>
        </w:rPr>
      </w:pPr>
      <w:r w:rsidRPr="00CA4C14">
        <w:rPr>
          <w:lang w:val="ru-RU" w:bidi="ru-RU"/>
        </w:rPr>
        <w:t>Выполнение бюджета на 2023 год оказалось особенно непростым ввиду критически важных факторов, повлиявших на бюджет 2023 года, таких как нехватка доходов по линии возмещения затрат, повышение окладов и рост других расходов.</w:t>
      </w:r>
    </w:p>
    <w:p w14:paraId="3A73B490" w14:textId="77777777" w:rsidR="003F6E7B" w:rsidRPr="00CA4C14" w:rsidRDefault="003F6E7B" w:rsidP="00931B79">
      <w:pPr>
        <w:rPr>
          <w:lang w:val="ru-RU" w:bidi="ru-RU"/>
        </w:rPr>
      </w:pPr>
      <w:r w:rsidRPr="00CA4C14">
        <w:rPr>
          <w:lang w:val="ru-RU" w:bidi="ru-RU"/>
        </w:rPr>
        <w:t>Ниже приводится краткий обзор расходов по каждому из Секторов МСЭ.</w:t>
      </w:r>
    </w:p>
    <w:p w14:paraId="03E2C6FE" w14:textId="77777777" w:rsidR="003F6E7B" w:rsidRPr="00CA4C14" w:rsidRDefault="003F6E7B" w:rsidP="006B55B7">
      <w:pPr>
        <w:pStyle w:val="Headingi"/>
        <w:rPr>
          <w:lang w:val="ru-RU" w:bidi="ru-RU"/>
        </w:rPr>
      </w:pPr>
      <w:r w:rsidRPr="00CA4C14">
        <w:rPr>
          <w:lang w:val="ru-RU" w:bidi="ru-RU"/>
        </w:rPr>
        <w:t>Генеральный секретариат</w:t>
      </w:r>
    </w:p>
    <w:p w14:paraId="2DF8A71C" w14:textId="77777777" w:rsidR="003F6E7B" w:rsidRPr="00CA4C14" w:rsidRDefault="003F6E7B" w:rsidP="00931B79">
      <w:pPr>
        <w:rPr>
          <w:lang w:val="ru-RU" w:bidi="ru-RU"/>
        </w:rPr>
      </w:pPr>
      <w:r w:rsidRPr="00CA4C14">
        <w:rPr>
          <w:lang w:val="ru-RU" w:eastAsia="en-GB"/>
        </w:rPr>
        <w:t xml:space="preserve">Общие расходы Генерального секретариата </w:t>
      </w:r>
      <w:r w:rsidRPr="00CA4C14">
        <w:rPr>
          <w:lang w:val="ru-RU" w:bidi="ru-RU"/>
        </w:rPr>
        <w:t>в 2023 году</w:t>
      </w:r>
      <w:r w:rsidRPr="00CA4C14">
        <w:rPr>
          <w:lang w:val="ru-RU" w:eastAsia="en-GB"/>
        </w:rPr>
        <w:t xml:space="preserve"> составили </w:t>
      </w:r>
      <w:r w:rsidRPr="00CA4C14">
        <w:rPr>
          <w:lang w:val="ru-RU" w:bidi="ru-RU"/>
        </w:rPr>
        <w:t>86,6 </w:t>
      </w:r>
      <w:proofErr w:type="gramStart"/>
      <w:r w:rsidRPr="00CA4C14">
        <w:rPr>
          <w:lang w:val="ru-RU" w:eastAsia="en-GB"/>
        </w:rPr>
        <w:t>млн.</w:t>
      </w:r>
      <w:proofErr w:type="gramEnd"/>
      <w:r w:rsidRPr="00CA4C14">
        <w:rPr>
          <w:lang w:val="ru-RU" w:eastAsia="en-GB"/>
        </w:rPr>
        <w:t xml:space="preserve"> швейцарских франков</w:t>
      </w:r>
      <w:r w:rsidRPr="00CA4C14">
        <w:rPr>
          <w:lang w:val="ru-RU" w:bidi="ru-RU"/>
        </w:rPr>
        <w:t>, или 95,9% от бюджета в 90,3 </w:t>
      </w:r>
      <w:r w:rsidRPr="00CA4C14">
        <w:rPr>
          <w:lang w:val="ru-RU" w:eastAsia="en-GB"/>
        </w:rPr>
        <w:t>млн. швейцарских франков</w:t>
      </w:r>
      <w:r w:rsidRPr="00CA4C14">
        <w:rPr>
          <w:lang w:val="ru-RU" w:bidi="ru-RU"/>
        </w:rPr>
        <w:t>.</w:t>
      </w:r>
    </w:p>
    <w:p w14:paraId="372FB6C9" w14:textId="77777777" w:rsidR="003F6E7B" w:rsidRPr="00CA4C14" w:rsidRDefault="003F6E7B" w:rsidP="00931B79">
      <w:pPr>
        <w:rPr>
          <w:lang w:val="ru-RU" w:bidi="ru-RU"/>
        </w:rPr>
      </w:pPr>
      <w:r w:rsidRPr="00CA4C14">
        <w:rPr>
          <w:lang w:val="ru-RU" w:eastAsia="en-GB"/>
        </w:rPr>
        <w:t>Основная часть экономии была достигнута за счет документации, поскольку расходы на документацию значительно сократились благодаря повышению производительности труда и сокращению постоянных расходов. Кроме того, некоторые департаменты добились экономии по другим статьям за счет отсрочек с набором персонала или сохранения вакантных должностей. Наконец, определенная экономия по сравнению с утвержденным бюджетом была достигнута по общим расходам.</w:t>
      </w:r>
    </w:p>
    <w:p w14:paraId="3C842026" w14:textId="77777777" w:rsidR="003F6E7B" w:rsidRPr="00CA4C14" w:rsidRDefault="003F6E7B" w:rsidP="006B55B7">
      <w:pPr>
        <w:pStyle w:val="Headingi"/>
        <w:rPr>
          <w:lang w:val="ru-RU" w:bidi="ru-RU"/>
        </w:rPr>
      </w:pPr>
      <w:r w:rsidRPr="00CA4C14">
        <w:rPr>
          <w:lang w:val="ru-RU" w:bidi="ru-RU"/>
        </w:rPr>
        <w:t>Сектор радиосвязи МСЭ (МСЭ-R)</w:t>
      </w:r>
    </w:p>
    <w:p w14:paraId="33D2378F" w14:textId="77777777" w:rsidR="003F6E7B" w:rsidRPr="00CA4C14" w:rsidRDefault="003F6E7B" w:rsidP="00931B79">
      <w:pPr>
        <w:rPr>
          <w:lang w:val="ru-RU" w:bidi="ru-RU"/>
        </w:rPr>
      </w:pPr>
      <w:bookmarkStart w:id="475" w:name="_Hlk168065833"/>
      <w:r w:rsidRPr="00CA4C14">
        <w:rPr>
          <w:lang w:val="ru-RU" w:eastAsia="en-GB"/>
        </w:rPr>
        <w:t>Общие расходы</w:t>
      </w:r>
      <w:bookmarkEnd w:id="475"/>
      <w:r w:rsidRPr="00CA4C14">
        <w:rPr>
          <w:lang w:val="ru-RU" w:eastAsia="en-GB"/>
        </w:rPr>
        <w:t xml:space="preserve"> </w:t>
      </w:r>
      <w:r w:rsidRPr="00CA4C14">
        <w:rPr>
          <w:lang w:val="ru-RU" w:bidi="ru-RU"/>
        </w:rPr>
        <w:t>МСЭ-R составили 30,0 </w:t>
      </w:r>
      <w:proofErr w:type="gramStart"/>
      <w:r w:rsidRPr="00CA4C14">
        <w:rPr>
          <w:lang w:val="ru-RU" w:eastAsia="en-GB"/>
        </w:rPr>
        <w:t>млн.</w:t>
      </w:r>
      <w:proofErr w:type="gramEnd"/>
      <w:r w:rsidRPr="00CA4C14">
        <w:rPr>
          <w:lang w:val="ru-RU" w:eastAsia="en-GB"/>
        </w:rPr>
        <w:t xml:space="preserve"> швейцарских франков, или</w:t>
      </w:r>
      <w:r w:rsidRPr="00CA4C14">
        <w:rPr>
          <w:lang w:val="ru-RU" w:bidi="ru-RU"/>
        </w:rPr>
        <w:t xml:space="preserve"> 92,6% от бюджета в 32,4 </w:t>
      </w:r>
      <w:r w:rsidRPr="00CA4C14">
        <w:rPr>
          <w:lang w:val="ru-RU" w:eastAsia="en-GB"/>
        </w:rPr>
        <w:t>млн. швейцарских франков</w:t>
      </w:r>
      <w:r w:rsidRPr="00CA4C14">
        <w:rPr>
          <w:lang w:val="ru-RU" w:bidi="ru-RU"/>
        </w:rPr>
        <w:t>. Основная экономия была достигнута по затратам на устный перевод, затратам по персоналу и командировочным расходам.</w:t>
      </w:r>
    </w:p>
    <w:p w14:paraId="22AA360D" w14:textId="77777777" w:rsidR="003F6E7B" w:rsidRPr="00CA4C14" w:rsidRDefault="003F6E7B" w:rsidP="00931B79">
      <w:pPr>
        <w:rPr>
          <w:lang w:val="ru-RU" w:bidi="ru-RU"/>
        </w:rPr>
      </w:pPr>
      <w:r w:rsidRPr="00CA4C14">
        <w:rPr>
          <w:lang w:val="ru-RU" w:bidi="ru-RU"/>
        </w:rPr>
        <w:t>В течение года состоялось три крупных мероприятия:</w:t>
      </w:r>
    </w:p>
    <w:p w14:paraId="76E86709" w14:textId="77777777" w:rsidR="003F6E7B" w:rsidRPr="00CA4C14" w:rsidRDefault="003F6E7B" w:rsidP="006B55B7">
      <w:pPr>
        <w:pStyle w:val="enumlev1"/>
        <w:rPr>
          <w:lang w:val="ru-RU" w:bidi="ru-RU"/>
        </w:rPr>
      </w:pPr>
      <w:r w:rsidRPr="00CA4C14">
        <w:rPr>
          <w:lang w:val="ru-RU" w:bidi="ru-RU"/>
        </w:rPr>
        <w:t>•</w:t>
      </w:r>
      <w:r w:rsidRPr="00CA4C14">
        <w:rPr>
          <w:lang w:val="ru-RU" w:bidi="ru-RU"/>
        </w:rPr>
        <w:tab/>
        <w:t>Ассамблея радиосвязи (АР);</w:t>
      </w:r>
    </w:p>
    <w:p w14:paraId="4CC5CE10" w14:textId="54DF230A" w:rsidR="003F6E7B" w:rsidRPr="00CA4C14" w:rsidRDefault="003F6E7B" w:rsidP="006B55B7">
      <w:pPr>
        <w:pStyle w:val="enumlev1"/>
        <w:rPr>
          <w:lang w:val="ru-RU" w:bidi="ru-RU"/>
        </w:rPr>
      </w:pPr>
      <w:r w:rsidRPr="00CA4C14">
        <w:rPr>
          <w:lang w:val="ru-RU" w:bidi="ru-RU"/>
        </w:rPr>
        <w:t>•</w:t>
      </w:r>
      <w:r w:rsidRPr="00CA4C14">
        <w:rPr>
          <w:lang w:val="ru-RU" w:bidi="ru-RU"/>
        </w:rPr>
        <w:tab/>
        <w:t>Всемирная конференция радиосвязи (ВКР); и</w:t>
      </w:r>
    </w:p>
    <w:p w14:paraId="5B7F1726" w14:textId="77777777" w:rsidR="003F6E7B" w:rsidRPr="00CA4C14" w:rsidRDefault="003F6E7B" w:rsidP="006B55B7">
      <w:pPr>
        <w:pStyle w:val="enumlev1"/>
        <w:rPr>
          <w:lang w:val="ru-RU" w:bidi="ru-RU"/>
        </w:rPr>
      </w:pPr>
      <w:r w:rsidRPr="00CA4C14">
        <w:rPr>
          <w:lang w:val="ru-RU" w:bidi="ru-RU"/>
        </w:rPr>
        <w:t>•</w:t>
      </w:r>
      <w:r w:rsidRPr="00CA4C14">
        <w:rPr>
          <w:lang w:val="ru-RU" w:bidi="ru-RU"/>
        </w:rPr>
        <w:tab/>
        <w:t>Подготовительное собрание к Конференции (ПСК).</w:t>
      </w:r>
    </w:p>
    <w:p w14:paraId="35A7F6C1" w14:textId="77777777" w:rsidR="003F6E7B" w:rsidRPr="00CA4C14" w:rsidRDefault="003F6E7B" w:rsidP="00931B79">
      <w:pPr>
        <w:rPr>
          <w:lang w:val="ru-RU" w:bidi="ru-RU"/>
        </w:rPr>
      </w:pPr>
      <w:r w:rsidRPr="00CA4C14">
        <w:rPr>
          <w:lang w:val="ru-RU" w:bidi="ru-RU"/>
        </w:rPr>
        <w:t>В свете решений, принятых на ВКР, потребуется дополнительное финансирование в 2024 году и в последующие годы на деятельность, связанную с модернизацией систем МСЭ-R.</w:t>
      </w:r>
    </w:p>
    <w:p w14:paraId="07B21DD0" w14:textId="77777777" w:rsidR="003F6E7B" w:rsidRPr="00CA4C14" w:rsidRDefault="003F6E7B" w:rsidP="006B55B7">
      <w:pPr>
        <w:pStyle w:val="Headingi"/>
        <w:rPr>
          <w:lang w:val="ru-RU" w:bidi="ru-RU"/>
        </w:rPr>
      </w:pPr>
      <w:r w:rsidRPr="00CA4C14">
        <w:rPr>
          <w:lang w:val="ru-RU" w:bidi="ru-RU"/>
        </w:rPr>
        <w:t>Сектор стандартизации электросвязи МСЭ (МСЭ-T)</w:t>
      </w:r>
    </w:p>
    <w:p w14:paraId="572E63EB" w14:textId="1E53642C" w:rsidR="003F6E7B" w:rsidRPr="00CA4C14" w:rsidRDefault="003F6E7B" w:rsidP="00931B79">
      <w:pPr>
        <w:rPr>
          <w:lang w:val="ru-RU" w:bidi="ru-RU"/>
        </w:rPr>
      </w:pPr>
      <w:r w:rsidRPr="00CA4C14">
        <w:rPr>
          <w:lang w:val="ru-RU" w:eastAsia="en-GB"/>
        </w:rPr>
        <w:t xml:space="preserve">Общие расходы </w:t>
      </w:r>
      <w:r w:rsidRPr="00CA4C14">
        <w:rPr>
          <w:lang w:val="ru-RU" w:bidi="ru-RU"/>
        </w:rPr>
        <w:t>МСЭ-T в 2023 году составили 12,5 </w:t>
      </w:r>
      <w:proofErr w:type="gramStart"/>
      <w:r w:rsidRPr="00CA4C14">
        <w:rPr>
          <w:lang w:val="ru-RU" w:eastAsia="en-GB"/>
        </w:rPr>
        <w:t>млн.</w:t>
      </w:r>
      <w:proofErr w:type="gramEnd"/>
      <w:r w:rsidRPr="00CA4C14">
        <w:rPr>
          <w:lang w:val="ru-RU" w:eastAsia="en-GB"/>
        </w:rPr>
        <w:t xml:space="preserve"> швейцарских франков</w:t>
      </w:r>
      <w:r w:rsidRPr="00CA4C14">
        <w:rPr>
          <w:lang w:val="ru-RU" w:bidi="ru-RU"/>
        </w:rPr>
        <w:t>, или 94,7% от бюджета в 13,2 </w:t>
      </w:r>
      <w:r w:rsidRPr="00CA4C14">
        <w:rPr>
          <w:lang w:val="ru-RU" w:eastAsia="en-GB"/>
        </w:rPr>
        <w:t>млн. швейцарских франков</w:t>
      </w:r>
      <w:r w:rsidRPr="00CA4C14">
        <w:rPr>
          <w:lang w:val="ru-RU" w:bidi="ru-RU"/>
        </w:rPr>
        <w:t>.</w:t>
      </w:r>
    </w:p>
    <w:p w14:paraId="29BC006B" w14:textId="77777777" w:rsidR="003F6E7B" w:rsidRPr="00CA4C14" w:rsidRDefault="003F6E7B" w:rsidP="00931B79">
      <w:pPr>
        <w:rPr>
          <w:lang w:val="ru-RU" w:bidi="ru-RU"/>
        </w:rPr>
      </w:pPr>
      <w:r w:rsidRPr="00CA4C14">
        <w:rPr>
          <w:lang w:val="ru-RU" w:bidi="ru-RU"/>
        </w:rPr>
        <w:t>Экономия была достигнута по всем разделам бюджета МСЭ-T (</w:t>
      </w:r>
      <w:r w:rsidRPr="00CA4C14">
        <w:rPr>
          <w:lang w:val="ru-RU" w:eastAsia="en-GB"/>
        </w:rPr>
        <w:t>КГСЭ, исследовательские комиссии, мероприятия и программы, семинары-практикумы и деятельность Бюро</w:t>
      </w:r>
      <w:r w:rsidRPr="00CA4C14">
        <w:rPr>
          <w:lang w:val="ru-RU" w:bidi="ru-RU"/>
        </w:rPr>
        <w:t>).</w:t>
      </w:r>
    </w:p>
    <w:p w14:paraId="2C68DEBE" w14:textId="77777777" w:rsidR="003F6E7B" w:rsidRPr="00CA4C14" w:rsidRDefault="003F6E7B" w:rsidP="00931B79">
      <w:pPr>
        <w:rPr>
          <w:lang w:val="ru-RU" w:bidi="ru-RU"/>
        </w:rPr>
      </w:pPr>
      <w:r w:rsidRPr="00CA4C14">
        <w:rPr>
          <w:lang w:val="ru-RU" w:bidi="ru-RU"/>
        </w:rPr>
        <w:lastRenderedPageBreak/>
        <w:t>Основная часть экономии приходится на такие категории расходов, как персонал, командировки, устный перевод и стипендии. Основными сферами для сокращения расходов стали поездки (освоено 66% бюджета на поездки) и устный перевод (освоено 46% бюджета на устный перевод).</w:t>
      </w:r>
    </w:p>
    <w:p w14:paraId="4E35D8A5" w14:textId="77777777" w:rsidR="003F6E7B" w:rsidRPr="00CA4C14" w:rsidRDefault="003F6E7B" w:rsidP="006B55B7">
      <w:pPr>
        <w:pStyle w:val="Headingi"/>
        <w:rPr>
          <w:lang w:val="ru-RU" w:bidi="ru-RU"/>
        </w:rPr>
      </w:pPr>
      <w:r w:rsidRPr="00CA4C14">
        <w:rPr>
          <w:lang w:val="ru-RU" w:bidi="ru-RU"/>
        </w:rPr>
        <w:t>Сектор развития электросвязи МСЭ (МСЭ-D)</w:t>
      </w:r>
    </w:p>
    <w:p w14:paraId="02C4FF92" w14:textId="3EB9AB1C" w:rsidR="003F6E7B" w:rsidRPr="00CA4C14" w:rsidRDefault="003F6E7B" w:rsidP="00931B79">
      <w:pPr>
        <w:rPr>
          <w:lang w:val="ru-RU" w:bidi="ru-RU"/>
        </w:rPr>
      </w:pPr>
      <w:r w:rsidRPr="00CA4C14">
        <w:rPr>
          <w:lang w:val="ru-RU" w:eastAsia="en-GB"/>
        </w:rPr>
        <w:t xml:space="preserve">Общие расходы </w:t>
      </w:r>
      <w:r w:rsidRPr="00CA4C14">
        <w:rPr>
          <w:lang w:val="ru-RU" w:bidi="ru-RU"/>
        </w:rPr>
        <w:t>МСЭ-D составили 26,6 </w:t>
      </w:r>
      <w:proofErr w:type="gramStart"/>
      <w:r w:rsidRPr="00CA4C14">
        <w:rPr>
          <w:lang w:val="ru-RU" w:eastAsia="en-GB"/>
        </w:rPr>
        <w:t>млн.</w:t>
      </w:r>
      <w:proofErr w:type="gramEnd"/>
      <w:r w:rsidRPr="00CA4C14">
        <w:rPr>
          <w:lang w:val="ru-RU" w:eastAsia="en-GB"/>
        </w:rPr>
        <w:t xml:space="preserve"> швейцарских франков</w:t>
      </w:r>
      <w:r w:rsidRPr="00CA4C14">
        <w:rPr>
          <w:lang w:val="ru-RU" w:bidi="ru-RU"/>
        </w:rPr>
        <w:t>, или 97</w:t>
      </w:r>
      <w:r w:rsidR="00CA4C14">
        <w:rPr>
          <w:lang w:val="ru-RU" w:bidi="ru-RU"/>
        </w:rPr>
        <w:t>,</w:t>
      </w:r>
      <w:r w:rsidRPr="00CA4C14">
        <w:rPr>
          <w:lang w:val="ru-RU" w:bidi="ru-RU"/>
        </w:rPr>
        <w:t>1% от</w:t>
      </w:r>
      <w:r w:rsidRPr="00CA4C14">
        <w:rPr>
          <w:lang w:val="ru-RU"/>
        </w:rPr>
        <w:t xml:space="preserve"> </w:t>
      </w:r>
      <w:r w:rsidRPr="00CA4C14">
        <w:rPr>
          <w:lang w:val="ru-RU" w:bidi="ru-RU"/>
        </w:rPr>
        <w:t>утвержденного бюджета в 27,4 </w:t>
      </w:r>
      <w:r w:rsidRPr="00CA4C14">
        <w:rPr>
          <w:lang w:val="ru-RU" w:eastAsia="en-GB"/>
        </w:rPr>
        <w:t>млн. швейцарских франков</w:t>
      </w:r>
      <w:r w:rsidRPr="00CA4C14">
        <w:rPr>
          <w:lang w:val="ru-RU" w:bidi="ru-RU"/>
        </w:rPr>
        <w:t>.</w:t>
      </w:r>
    </w:p>
    <w:p w14:paraId="5A8D3E68" w14:textId="77777777" w:rsidR="003F6E7B" w:rsidRPr="00CA4C14" w:rsidRDefault="003F6E7B" w:rsidP="00931B79">
      <w:pPr>
        <w:rPr>
          <w:lang w:val="ru-RU" w:bidi="ru-RU"/>
        </w:rPr>
      </w:pPr>
      <w:r w:rsidRPr="00CA4C14">
        <w:rPr>
          <w:lang w:val="ru-RU" w:bidi="ru-RU"/>
        </w:rPr>
        <w:t>Бюро развития электросвязи (БРЭ), отвечающее за деятельность МСЭ-D, смогло добиться экономии финансов по разделу мероприятий и программ (оперативный план) в таких категориях как командировки и контрактные услуги. Кроме того, было решено отложить набор персонала на некоторые вакантные должности в 2023 году, что обеспечило дополнительную экономию.</w:t>
      </w:r>
    </w:p>
    <w:p w14:paraId="77A008BA" w14:textId="77777777" w:rsidR="003F6E7B" w:rsidRPr="00CA4C14" w:rsidRDefault="003F6E7B" w:rsidP="00331914">
      <w:pPr>
        <w:pStyle w:val="Heading5"/>
        <w:rPr>
          <w:lang w:val="ru-RU"/>
        </w:rPr>
      </w:pPr>
      <w:bookmarkStart w:id="476" w:name="_Toc305764119"/>
      <w:bookmarkStart w:id="477" w:name="_Toc329011661"/>
      <w:bookmarkStart w:id="478" w:name="_Toc433667371"/>
      <w:bookmarkStart w:id="479" w:name="_Toc164845574"/>
      <w:bookmarkStart w:id="480" w:name="_Toc168578488"/>
      <w:r w:rsidRPr="00CA4C14">
        <w:rPr>
          <w:lang w:val="ru-RU"/>
        </w:rPr>
        <w:t>Примечание 25</w:t>
      </w:r>
      <w:r w:rsidRPr="00CA4C14">
        <w:rPr>
          <w:lang w:val="ru-RU"/>
        </w:rPr>
        <w:tab/>
      </w:r>
      <w:bookmarkEnd w:id="476"/>
      <w:bookmarkEnd w:id="477"/>
      <w:bookmarkEnd w:id="478"/>
      <w:bookmarkEnd w:id="479"/>
      <w:r w:rsidRPr="00CA4C14">
        <w:rPr>
          <w:lang w:val="ru-RU"/>
        </w:rPr>
        <w:t>Информация, касающаяся связанных сторон</w:t>
      </w:r>
      <w:bookmarkEnd w:id="480"/>
    </w:p>
    <w:p w14:paraId="517BBC75" w14:textId="77777777" w:rsidR="003F6E7B" w:rsidRPr="00CA4C14" w:rsidRDefault="003F6E7B" w:rsidP="00931B79">
      <w:pPr>
        <w:rPr>
          <w:lang w:val="ru-RU" w:bidi="ru-RU"/>
        </w:rPr>
      </w:pPr>
      <w:r w:rsidRPr="00CA4C14">
        <w:rPr>
          <w:lang w:val="ru-RU" w:bidi="ru-RU"/>
        </w:rPr>
        <w:t>Связанной стороной считается следующая структура:</w:t>
      </w:r>
    </w:p>
    <w:p w14:paraId="12F9BC22" w14:textId="77777777" w:rsidR="003F6E7B" w:rsidRPr="00CA4C14" w:rsidRDefault="003F6E7B" w:rsidP="006B55B7">
      <w:pPr>
        <w:pStyle w:val="enumlev1"/>
        <w:rPr>
          <w:lang w:val="ru-RU" w:bidi="ru-RU"/>
        </w:rPr>
      </w:pPr>
      <w:r w:rsidRPr="00CA4C14">
        <w:rPr>
          <w:lang w:val="ru-RU" w:bidi="ru-RU"/>
        </w:rPr>
        <w:t>–</w:t>
      </w:r>
      <w:r w:rsidRPr="00CA4C14">
        <w:rPr>
          <w:lang w:val="ru-RU" w:bidi="ru-RU"/>
        </w:rPr>
        <w:tab/>
      </w:r>
      <w:r w:rsidRPr="00CA4C14">
        <w:rPr>
          <w:lang w:val="ru-RU"/>
        </w:rPr>
        <w:t>Объединенный пенсионный фонд персонала Организации Объединенных Наций (ОПФП ООН)</w:t>
      </w:r>
      <w:r w:rsidRPr="00CA4C14">
        <w:rPr>
          <w:lang w:val="ru-RU" w:bidi="ru-RU"/>
        </w:rPr>
        <w:t>.</w:t>
      </w:r>
    </w:p>
    <w:p w14:paraId="11B31FD9" w14:textId="77777777" w:rsidR="003F6E7B" w:rsidRPr="00CA4C14" w:rsidRDefault="003F6E7B" w:rsidP="006B55B7">
      <w:pPr>
        <w:pStyle w:val="enumlev1"/>
        <w:rPr>
          <w:lang w:val="ru-RU" w:bidi="ru-RU"/>
        </w:rPr>
      </w:pPr>
      <w:r w:rsidRPr="00CA4C14">
        <w:rPr>
          <w:lang w:val="ru-RU" w:bidi="ru-RU"/>
        </w:rPr>
        <w:t>–</w:t>
      </w:r>
      <w:r w:rsidRPr="00CA4C14">
        <w:rPr>
          <w:lang w:val="ru-RU" w:bidi="ru-RU"/>
        </w:rPr>
        <w:tab/>
        <w:t>Совет МСЭ состоит из 48 Государств-Членов без назначения конкретных лиц.</w:t>
      </w:r>
    </w:p>
    <w:p w14:paraId="1FD983DA" w14:textId="77777777" w:rsidR="003F6E7B" w:rsidRPr="00CA4C14" w:rsidRDefault="003F6E7B" w:rsidP="006B55B7">
      <w:pPr>
        <w:pStyle w:val="enumlev1"/>
        <w:rPr>
          <w:lang w:val="ru-RU" w:bidi="ru-RU"/>
        </w:rPr>
      </w:pPr>
      <w:r w:rsidRPr="00CA4C14">
        <w:rPr>
          <w:lang w:val="ru-RU" w:bidi="ru-RU"/>
        </w:rPr>
        <w:t>–</w:t>
      </w:r>
      <w:r w:rsidRPr="00CA4C14">
        <w:rPr>
          <w:lang w:val="ru-RU" w:bidi="ru-RU"/>
        </w:rPr>
        <w:tab/>
      </w:r>
      <w:r w:rsidRPr="00CA4C14">
        <w:rPr>
          <w:lang w:val="ru-RU"/>
        </w:rPr>
        <w:t>Управление Союзом осуществляет Генеральный секретарь как исполнительный руководитель, которому в этом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w:t>
      </w:r>
    </w:p>
    <w:p w14:paraId="76A408A0" w14:textId="0659DDD3" w:rsidR="003F6E7B" w:rsidRPr="00CA4C14" w:rsidRDefault="003D7646" w:rsidP="003D7646">
      <w:pPr>
        <w:pStyle w:val="enumlev1"/>
        <w:rPr>
          <w:lang w:val="ru-RU" w:bidi="ru-RU"/>
        </w:rPr>
      </w:pPr>
      <w:r w:rsidRPr="00CA4C14">
        <w:rPr>
          <w:lang w:val="ru-RU"/>
        </w:rPr>
        <w:tab/>
      </w:r>
      <w:r w:rsidR="003F6E7B" w:rsidRPr="00CA4C14">
        <w:rPr>
          <w:lang w:val="ru-RU"/>
        </w:rPr>
        <w:t>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w:t>
      </w:r>
    </w:p>
    <w:p w14:paraId="0DEBD871" w14:textId="77777777" w:rsidR="003F6E7B" w:rsidRPr="00CA4C14" w:rsidRDefault="003F6E7B" w:rsidP="00931B79">
      <w:pPr>
        <w:rPr>
          <w:lang w:val="ru-RU" w:bidi="ru-RU"/>
        </w:rPr>
      </w:pPr>
      <w:r w:rsidRPr="00CA4C14">
        <w:rPr>
          <w:lang w:val="ru-RU"/>
        </w:rPr>
        <w:t>Кроме того, основной руководящий состав имеет право на такие же пособия, что и сотрудники категории специалистов, а именно:</w:t>
      </w:r>
    </w:p>
    <w:p w14:paraId="2BDB1356" w14:textId="77777777" w:rsidR="003F6E7B" w:rsidRPr="00CA4C14" w:rsidRDefault="003F6E7B" w:rsidP="00C3001C">
      <w:pPr>
        <w:pStyle w:val="enumlev1"/>
        <w:rPr>
          <w:lang w:val="ru-RU"/>
        </w:rPr>
      </w:pPr>
      <w:r w:rsidRPr="00CA4C14">
        <w:rPr>
          <w:lang w:val="ru-RU"/>
        </w:rPr>
        <w:t>–</w:t>
      </w:r>
      <w:r w:rsidRPr="00CA4C14">
        <w:rPr>
          <w:lang w:val="ru-RU"/>
        </w:rPr>
        <w:tab/>
        <w:t>отпуск на родину;</w:t>
      </w:r>
    </w:p>
    <w:p w14:paraId="0E818B22" w14:textId="77777777" w:rsidR="003F6E7B" w:rsidRPr="00CA4C14" w:rsidRDefault="003F6E7B" w:rsidP="00C3001C">
      <w:pPr>
        <w:pStyle w:val="enumlev1"/>
        <w:rPr>
          <w:lang w:val="ru-RU"/>
        </w:rPr>
      </w:pPr>
      <w:r w:rsidRPr="00CA4C14">
        <w:rPr>
          <w:lang w:val="ru-RU"/>
        </w:rPr>
        <w:t>–</w:t>
      </w:r>
      <w:r w:rsidRPr="00CA4C14">
        <w:rPr>
          <w:lang w:val="ru-RU"/>
        </w:rPr>
        <w:tab/>
        <w:t>пособия на образование; и</w:t>
      </w:r>
    </w:p>
    <w:p w14:paraId="1AC3565E" w14:textId="77777777" w:rsidR="003F6E7B" w:rsidRPr="00CA4C14" w:rsidRDefault="003F6E7B" w:rsidP="00C3001C">
      <w:pPr>
        <w:pStyle w:val="enumlev1"/>
        <w:rPr>
          <w:lang w:val="ru-RU"/>
        </w:rPr>
      </w:pPr>
      <w:r w:rsidRPr="00CA4C14">
        <w:rPr>
          <w:lang w:val="ru-RU"/>
        </w:rPr>
        <w:t>–</w:t>
      </w:r>
      <w:r w:rsidRPr="00CA4C14">
        <w:rPr>
          <w:lang w:val="ru-RU"/>
        </w:rPr>
        <w:tab/>
        <w:t>пособия по окончанию службы.</w:t>
      </w:r>
    </w:p>
    <w:p w14:paraId="52D524C5" w14:textId="77777777" w:rsidR="003F6E7B" w:rsidRPr="00CA4C14" w:rsidRDefault="003F6E7B" w:rsidP="00055B2A">
      <w:pPr>
        <w:rPr>
          <w:lang w:val="ru-RU"/>
        </w:rPr>
      </w:pPr>
      <w:r w:rsidRPr="00CA4C14">
        <w:rPr>
          <w:lang w:val="ru-RU"/>
        </w:rPr>
        <w:t>Все выплаты, произведенные в 2023 году в пользу/от членов высшего руководства, включены в таблицу ниже.</w:t>
      </w:r>
    </w:p>
    <w:p w14:paraId="55F0847D" w14:textId="77777777" w:rsidR="003F6E7B" w:rsidRPr="00CA4C14" w:rsidRDefault="003F6E7B" w:rsidP="003F6E7B">
      <w:pPr>
        <w:spacing w:after="120"/>
        <w:rPr>
          <w:lang w:val="ru-RU"/>
        </w:rPr>
      </w:pPr>
      <w:r w:rsidRPr="00CA4C14">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tbl>
      <w:tblPr>
        <w:tblW w:w="5000" w:type="pct"/>
        <w:jc w:val="center"/>
        <w:tblLayout w:type="fixed"/>
        <w:tblLook w:val="04A0" w:firstRow="1" w:lastRow="0" w:firstColumn="1" w:lastColumn="0" w:noHBand="0" w:noVBand="1"/>
      </w:tblPr>
      <w:tblGrid>
        <w:gridCol w:w="3120"/>
        <w:gridCol w:w="1417"/>
        <w:gridCol w:w="1558"/>
        <w:gridCol w:w="1419"/>
        <w:gridCol w:w="1557"/>
      </w:tblGrid>
      <w:tr w:rsidR="003F6E7B" w:rsidRPr="00CA4C14" w14:paraId="50512EBC" w14:textId="77777777" w:rsidTr="003F6E7B">
        <w:trPr>
          <w:jc w:val="center"/>
        </w:trPr>
        <w:tc>
          <w:tcPr>
            <w:tcW w:w="1720" w:type="pct"/>
            <w:tcBorders>
              <w:top w:val="nil"/>
              <w:left w:val="nil"/>
              <w:bottom w:val="nil"/>
              <w:right w:val="nil"/>
            </w:tcBorders>
            <w:shd w:val="clear" w:color="000000" w:fill="0070C0"/>
            <w:vAlign w:val="center"/>
            <w:hideMark/>
          </w:tcPr>
          <w:p w14:paraId="071790F8" w14:textId="77777777" w:rsidR="003F6E7B" w:rsidRPr="00CA4C14" w:rsidRDefault="003F6E7B" w:rsidP="00C3001C">
            <w:pPr>
              <w:pStyle w:val="Tablehead"/>
              <w:rPr>
                <w:lang w:val="ru-RU"/>
              </w:rPr>
            </w:pPr>
          </w:p>
        </w:tc>
        <w:tc>
          <w:tcPr>
            <w:tcW w:w="1640" w:type="pct"/>
            <w:gridSpan w:val="2"/>
            <w:tcBorders>
              <w:top w:val="nil"/>
              <w:left w:val="nil"/>
              <w:bottom w:val="nil"/>
              <w:right w:val="nil"/>
            </w:tcBorders>
            <w:shd w:val="clear" w:color="000000" w:fill="0070C0"/>
            <w:vAlign w:val="center"/>
            <w:hideMark/>
          </w:tcPr>
          <w:p w14:paraId="2E21409A" w14:textId="77777777" w:rsidR="003F6E7B" w:rsidRPr="00CA4C14" w:rsidRDefault="003F6E7B" w:rsidP="00C3001C">
            <w:pPr>
              <w:pStyle w:val="Tablehead"/>
              <w:rPr>
                <w:lang w:val="ru-RU"/>
              </w:rPr>
            </w:pPr>
            <w:r w:rsidRPr="00CA4C14">
              <w:rPr>
                <w:lang w:val="ru-RU"/>
              </w:rPr>
              <w:t>31 декабря 2023 г.</w:t>
            </w:r>
          </w:p>
        </w:tc>
        <w:tc>
          <w:tcPr>
            <w:tcW w:w="1640" w:type="pct"/>
            <w:gridSpan w:val="2"/>
            <w:tcBorders>
              <w:top w:val="nil"/>
              <w:left w:val="nil"/>
              <w:bottom w:val="nil"/>
              <w:right w:val="nil"/>
            </w:tcBorders>
            <w:shd w:val="clear" w:color="000000" w:fill="0070C0"/>
            <w:vAlign w:val="center"/>
            <w:hideMark/>
          </w:tcPr>
          <w:p w14:paraId="4CB82ADD" w14:textId="77777777" w:rsidR="003F6E7B" w:rsidRPr="00CA4C14" w:rsidRDefault="003F6E7B" w:rsidP="00C3001C">
            <w:pPr>
              <w:pStyle w:val="Tablehead"/>
              <w:rPr>
                <w:lang w:val="ru-RU"/>
              </w:rPr>
            </w:pPr>
            <w:r w:rsidRPr="00CA4C14">
              <w:rPr>
                <w:lang w:val="ru-RU"/>
              </w:rPr>
              <w:t>31 декабря 2022 г.</w:t>
            </w:r>
          </w:p>
        </w:tc>
      </w:tr>
      <w:tr w:rsidR="003D7646" w:rsidRPr="00CA4C14" w14:paraId="21499DE5" w14:textId="77777777" w:rsidTr="003F6E7B">
        <w:trPr>
          <w:jc w:val="center"/>
        </w:trPr>
        <w:tc>
          <w:tcPr>
            <w:tcW w:w="1720" w:type="pct"/>
            <w:tcBorders>
              <w:top w:val="nil"/>
              <w:left w:val="nil"/>
              <w:bottom w:val="nil"/>
              <w:right w:val="nil"/>
            </w:tcBorders>
            <w:shd w:val="clear" w:color="000000" w:fill="0070C0"/>
            <w:vAlign w:val="center"/>
            <w:hideMark/>
          </w:tcPr>
          <w:p w14:paraId="557AC2F4" w14:textId="518D7EB0" w:rsidR="003F6E7B" w:rsidRPr="00CA4C14" w:rsidRDefault="003F6E7B" w:rsidP="00C3001C">
            <w:pPr>
              <w:pStyle w:val="Tablehead"/>
              <w:rPr>
                <w:lang w:val="ru-RU"/>
              </w:rPr>
            </w:pPr>
            <w:r w:rsidRPr="00CA4C14">
              <w:rPr>
                <w:lang w:val="ru-RU"/>
              </w:rPr>
              <w:t>В тыс. шв</w:t>
            </w:r>
            <w:r w:rsidR="002E577C" w:rsidRPr="00CA4C14">
              <w:rPr>
                <w:lang w:val="ru-RU"/>
              </w:rPr>
              <w:t>. фр.</w:t>
            </w:r>
          </w:p>
        </w:tc>
        <w:tc>
          <w:tcPr>
            <w:tcW w:w="781" w:type="pct"/>
            <w:tcBorders>
              <w:top w:val="nil"/>
              <w:left w:val="nil"/>
              <w:bottom w:val="nil"/>
              <w:right w:val="nil"/>
            </w:tcBorders>
            <w:shd w:val="clear" w:color="000000" w:fill="0070C0"/>
            <w:vAlign w:val="center"/>
            <w:hideMark/>
          </w:tcPr>
          <w:p w14:paraId="6195F09E" w14:textId="77777777" w:rsidR="003F6E7B" w:rsidRPr="00CA4C14" w:rsidRDefault="003F6E7B" w:rsidP="00C3001C">
            <w:pPr>
              <w:pStyle w:val="Tablehead"/>
              <w:rPr>
                <w:lang w:val="ru-RU"/>
              </w:rPr>
            </w:pPr>
            <w:r w:rsidRPr="00CA4C14">
              <w:rPr>
                <w:lang w:val="ru-RU"/>
              </w:rPr>
              <w:t>Число</w:t>
            </w:r>
            <w:r w:rsidRPr="00CA4C14">
              <w:rPr>
                <w:lang w:val="ru-RU"/>
              </w:rPr>
              <w:br/>
              <w:t>сотрудников</w:t>
            </w:r>
          </w:p>
        </w:tc>
        <w:tc>
          <w:tcPr>
            <w:tcW w:w="859" w:type="pct"/>
            <w:tcBorders>
              <w:top w:val="nil"/>
              <w:left w:val="nil"/>
              <w:bottom w:val="nil"/>
              <w:right w:val="nil"/>
            </w:tcBorders>
            <w:shd w:val="clear" w:color="000000" w:fill="0070C0"/>
            <w:vAlign w:val="center"/>
            <w:hideMark/>
          </w:tcPr>
          <w:p w14:paraId="503CBF67" w14:textId="77777777" w:rsidR="003F6E7B" w:rsidRPr="00CA4C14" w:rsidRDefault="003F6E7B" w:rsidP="00C3001C">
            <w:pPr>
              <w:pStyle w:val="Tablehead"/>
              <w:rPr>
                <w:lang w:val="ru-RU"/>
              </w:rPr>
            </w:pPr>
            <w:r w:rsidRPr="00CA4C14">
              <w:rPr>
                <w:lang w:val="ru-RU"/>
              </w:rPr>
              <w:t>Общее вознаграждение</w:t>
            </w:r>
          </w:p>
        </w:tc>
        <w:tc>
          <w:tcPr>
            <w:tcW w:w="782" w:type="pct"/>
            <w:tcBorders>
              <w:top w:val="nil"/>
              <w:left w:val="nil"/>
              <w:right w:val="nil"/>
            </w:tcBorders>
            <w:shd w:val="clear" w:color="000000" w:fill="0070C0"/>
            <w:vAlign w:val="center"/>
            <w:hideMark/>
          </w:tcPr>
          <w:p w14:paraId="4587C2BC" w14:textId="77777777" w:rsidR="003F6E7B" w:rsidRPr="00CA4C14" w:rsidRDefault="003F6E7B" w:rsidP="00C3001C">
            <w:pPr>
              <w:pStyle w:val="Tablehead"/>
              <w:rPr>
                <w:lang w:val="ru-RU"/>
              </w:rPr>
            </w:pPr>
            <w:r w:rsidRPr="00CA4C14">
              <w:rPr>
                <w:lang w:val="ru-RU"/>
              </w:rPr>
              <w:t>Число</w:t>
            </w:r>
            <w:r w:rsidRPr="00CA4C14">
              <w:rPr>
                <w:lang w:val="ru-RU"/>
              </w:rPr>
              <w:br/>
              <w:t>сотрудников</w:t>
            </w:r>
          </w:p>
        </w:tc>
        <w:tc>
          <w:tcPr>
            <w:tcW w:w="859" w:type="pct"/>
            <w:tcBorders>
              <w:top w:val="nil"/>
              <w:left w:val="nil"/>
              <w:bottom w:val="nil"/>
              <w:right w:val="nil"/>
            </w:tcBorders>
            <w:shd w:val="clear" w:color="000000" w:fill="0070C0"/>
            <w:vAlign w:val="center"/>
            <w:hideMark/>
          </w:tcPr>
          <w:p w14:paraId="04468ADB" w14:textId="77777777" w:rsidR="003F6E7B" w:rsidRPr="00CA4C14" w:rsidRDefault="003F6E7B" w:rsidP="00C3001C">
            <w:pPr>
              <w:pStyle w:val="Tablehead"/>
              <w:rPr>
                <w:lang w:val="ru-RU"/>
              </w:rPr>
            </w:pPr>
            <w:r w:rsidRPr="00CA4C14">
              <w:rPr>
                <w:lang w:val="ru-RU"/>
              </w:rPr>
              <w:t>Общее вознаграждение</w:t>
            </w:r>
          </w:p>
        </w:tc>
      </w:tr>
      <w:tr w:rsidR="003F6E7B" w:rsidRPr="00CA4C14" w14:paraId="0F851549" w14:textId="77777777" w:rsidTr="003F6E7B">
        <w:trPr>
          <w:jc w:val="center"/>
        </w:trPr>
        <w:tc>
          <w:tcPr>
            <w:tcW w:w="1720" w:type="pct"/>
            <w:tcBorders>
              <w:top w:val="nil"/>
              <w:left w:val="nil"/>
              <w:bottom w:val="nil"/>
              <w:right w:val="nil"/>
            </w:tcBorders>
            <w:shd w:val="clear" w:color="auto" w:fill="auto"/>
            <w:vAlign w:val="center"/>
            <w:hideMark/>
          </w:tcPr>
          <w:p w14:paraId="203B25B9" w14:textId="77777777" w:rsidR="003F6E7B" w:rsidRPr="00CA4C14" w:rsidRDefault="003F6E7B" w:rsidP="009D6E9E">
            <w:pPr>
              <w:pStyle w:val="Tabletext"/>
              <w:rPr>
                <w:lang w:val="ru-RU" w:eastAsia="en-GB"/>
              </w:rPr>
            </w:pPr>
            <w:r w:rsidRPr="00CA4C14">
              <w:rPr>
                <w:lang w:val="ru-RU" w:eastAsia="en-GB"/>
              </w:rPr>
              <w:t>Избираемые должностные лица</w:t>
            </w:r>
          </w:p>
        </w:tc>
        <w:tc>
          <w:tcPr>
            <w:tcW w:w="781" w:type="pct"/>
            <w:tcBorders>
              <w:top w:val="nil"/>
              <w:left w:val="nil"/>
              <w:bottom w:val="nil"/>
              <w:right w:val="nil"/>
            </w:tcBorders>
            <w:shd w:val="clear" w:color="auto" w:fill="auto"/>
            <w:vAlign w:val="center"/>
            <w:hideMark/>
          </w:tcPr>
          <w:p w14:paraId="1822E148" w14:textId="77777777" w:rsidR="003F6E7B" w:rsidRPr="00CA4C14" w:rsidRDefault="003F6E7B" w:rsidP="009D6E9E">
            <w:pPr>
              <w:pStyle w:val="Tabletext"/>
              <w:jc w:val="right"/>
              <w:rPr>
                <w:lang w:val="ru-RU" w:eastAsia="en-GB"/>
              </w:rPr>
            </w:pPr>
            <w:r w:rsidRPr="00CA4C14">
              <w:rPr>
                <w:lang w:val="ru-RU" w:eastAsia="en-GB"/>
              </w:rPr>
              <w:t>5</w:t>
            </w:r>
          </w:p>
        </w:tc>
        <w:tc>
          <w:tcPr>
            <w:tcW w:w="859" w:type="pct"/>
            <w:tcBorders>
              <w:top w:val="nil"/>
              <w:left w:val="nil"/>
              <w:bottom w:val="nil"/>
              <w:right w:val="nil"/>
            </w:tcBorders>
            <w:shd w:val="clear" w:color="auto" w:fill="auto"/>
            <w:vAlign w:val="center"/>
            <w:hideMark/>
          </w:tcPr>
          <w:p w14:paraId="0D294E0B" w14:textId="77777777" w:rsidR="003F6E7B" w:rsidRPr="00CA4C14" w:rsidRDefault="003F6E7B" w:rsidP="009D6E9E">
            <w:pPr>
              <w:pStyle w:val="Tabletext"/>
              <w:jc w:val="right"/>
              <w:rPr>
                <w:lang w:val="ru-RU" w:eastAsia="en-GB"/>
              </w:rPr>
            </w:pPr>
            <w:r w:rsidRPr="00CA4C14">
              <w:rPr>
                <w:lang w:val="ru-RU" w:eastAsia="en-GB"/>
              </w:rPr>
              <w:t>2 159</w:t>
            </w:r>
          </w:p>
        </w:tc>
        <w:tc>
          <w:tcPr>
            <w:tcW w:w="782" w:type="pct"/>
            <w:tcBorders>
              <w:top w:val="nil"/>
              <w:left w:val="nil"/>
              <w:bottom w:val="nil"/>
              <w:right w:val="nil"/>
            </w:tcBorders>
            <w:shd w:val="clear" w:color="auto" w:fill="auto"/>
            <w:vAlign w:val="center"/>
            <w:hideMark/>
          </w:tcPr>
          <w:p w14:paraId="04A3A908" w14:textId="77777777" w:rsidR="003F6E7B" w:rsidRPr="00CA4C14" w:rsidRDefault="003F6E7B" w:rsidP="009D6E9E">
            <w:pPr>
              <w:pStyle w:val="Tabletext"/>
              <w:jc w:val="right"/>
              <w:rPr>
                <w:lang w:val="ru-RU" w:eastAsia="en-GB"/>
              </w:rPr>
            </w:pPr>
            <w:r w:rsidRPr="00CA4C14">
              <w:rPr>
                <w:lang w:val="ru-RU" w:eastAsia="en-GB"/>
              </w:rPr>
              <w:t>5</w:t>
            </w:r>
          </w:p>
        </w:tc>
        <w:tc>
          <w:tcPr>
            <w:tcW w:w="859" w:type="pct"/>
            <w:tcBorders>
              <w:top w:val="nil"/>
              <w:left w:val="nil"/>
              <w:bottom w:val="nil"/>
              <w:right w:val="nil"/>
            </w:tcBorders>
            <w:shd w:val="clear" w:color="auto" w:fill="auto"/>
            <w:vAlign w:val="center"/>
            <w:hideMark/>
          </w:tcPr>
          <w:p w14:paraId="159851C1" w14:textId="77777777" w:rsidR="003F6E7B" w:rsidRPr="00CA4C14" w:rsidRDefault="003F6E7B" w:rsidP="009D6E9E">
            <w:pPr>
              <w:pStyle w:val="Tabletext"/>
              <w:jc w:val="right"/>
              <w:rPr>
                <w:lang w:val="ru-RU" w:eastAsia="en-GB"/>
              </w:rPr>
            </w:pPr>
            <w:r w:rsidRPr="00CA4C14">
              <w:rPr>
                <w:lang w:val="ru-RU" w:eastAsia="en-GB"/>
              </w:rPr>
              <w:t>2 623</w:t>
            </w:r>
          </w:p>
        </w:tc>
      </w:tr>
    </w:tbl>
    <w:p w14:paraId="7F8E3F86" w14:textId="77777777" w:rsidR="003F6E7B" w:rsidRPr="00CA4C14" w:rsidRDefault="003F6E7B" w:rsidP="003D7646">
      <w:pPr>
        <w:pStyle w:val="Heading5"/>
        <w:rPr>
          <w:lang w:val="ru-RU"/>
        </w:rPr>
      </w:pPr>
      <w:bookmarkStart w:id="481" w:name="_Toc305764120"/>
      <w:bookmarkStart w:id="482" w:name="_Toc329011662"/>
      <w:bookmarkStart w:id="483" w:name="_Toc1800894350"/>
      <w:bookmarkStart w:id="484" w:name="_Toc164845575"/>
      <w:bookmarkStart w:id="485" w:name="_Toc168578489"/>
      <w:r w:rsidRPr="00CA4C14">
        <w:rPr>
          <w:lang w:val="ru-RU"/>
        </w:rPr>
        <w:lastRenderedPageBreak/>
        <w:t>Примечание 26</w:t>
      </w:r>
      <w:bookmarkEnd w:id="481"/>
      <w:r w:rsidRPr="00CA4C14">
        <w:rPr>
          <w:lang w:val="ru-RU"/>
        </w:rPr>
        <w:tab/>
      </w:r>
      <w:bookmarkEnd w:id="482"/>
      <w:bookmarkEnd w:id="483"/>
      <w:bookmarkEnd w:id="484"/>
      <w:r w:rsidRPr="00CA4C14">
        <w:rPr>
          <w:lang w:val="ru-RU"/>
        </w:rPr>
        <w:t>Будущие обязательства</w:t>
      </w:r>
      <w:bookmarkEnd w:id="485"/>
    </w:p>
    <w:p w14:paraId="0F27E5C1" w14:textId="32EA2AB9" w:rsidR="003F6E7B" w:rsidRPr="00CA4C14" w:rsidRDefault="003F6E7B" w:rsidP="003D7646">
      <w:pPr>
        <w:keepNext/>
        <w:keepLines/>
        <w:rPr>
          <w:lang w:val="ru-RU" w:bidi="ru-RU"/>
        </w:rPr>
      </w:pPr>
      <w:r w:rsidRPr="00CA4C14">
        <w:rPr>
          <w:lang w:val="ru-RU"/>
        </w:rPr>
        <w:t xml:space="preserve">1 января 2020 года МСЭ подписал контракт c ЮНСМИС, по которому необходимо выплачивать дополнительные ежегодные взносы до 2032 года. По состоянию на 31 декабря </w:t>
      </w:r>
      <w:r w:rsidRPr="00CA4C14">
        <w:rPr>
          <w:lang w:val="ru-RU" w:bidi="ru-RU"/>
        </w:rPr>
        <w:t>2023 года общая сумма оставшихся дополнительных взносов составляет 13,3 </w:t>
      </w:r>
      <w:proofErr w:type="gramStart"/>
      <w:r w:rsidRPr="00CA4C14">
        <w:rPr>
          <w:lang w:val="ru-RU" w:eastAsia="en-GB"/>
        </w:rPr>
        <w:t>млн.</w:t>
      </w:r>
      <w:proofErr w:type="gramEnd"/>
      <w:r w:rsidRPr="00CA4C14">
        <w:rPr>
          <w:lang w:val="ru-RU" w:eastAsia="en-GB"/>
        </w:rPr>
        <w:t xml:space="preserve"> швейцарских франков</w:t>
      </w:r>
      <w:r w:rsidRPr="00CA4C14">
        <w:rPr>
          <w:lang w:val="ru-RU" w:bidi="ru-RU"/>
        </w:rPr>
        <w:t xml:space="preserve"> (15,9 </w:t>
      </w:r>
      <w:r w:rsidRPr="00CA4C14">
        <w:rPr>
          <w:lang w:val="ru-RU" w:eastAsia="en-GB"/>
        </w:rPr>
        <w:t>млн. долл. США</w:t>
      </w:r>
      <w:r w:rsidRPr="00CA4C14">
        <w:rPr>
          <w:lang w:val="ru-RU" w:bidi="ru-RU"/>
        </w:rPr>
        <w:t>) (31 декабря 2022 года − 16,2 </w:t>
      </w:r>
      <w:r w:rsidRPr="00CA4C14">
        <w:rPr>
          <w:lang w:val="ru-RU" w:eastAsia="en-GB"/>
        </w:rPr>
        <w:t>млн. шв. фр.</w:t>
      </w:r>
      <w:r w:rsidRPr="00CA4C14">
        <w:rPr>
          <w:lang w:val="ru-RU" w:bidi="ru-RU"/>
        </w:rPr>
        <w:t xml:space="preserve"> (17,5 </w:t>
      </w:r>
      <w:r w:rsidRPr="00CA4C14">
        <w:rPr>
          <w:lang w:val="ru-RU" w:eastAsia="en-GB"/>
        </w:rPr>
        <w:t>млн. долл. США</w:t>
      </w:r>
      <w:r w:rsidRPr="00CA4C14">
        <w:rPr>
          <w:lang w:val="ru-RU" w:bidi="ru-RU"/>
        </w:rPr>
        <w:t>)).</w:t>
      </w:r>
    </w:p>
    <w:p w14:paraId="08A5CA26" w14:textId="77777777" w:rsidR="003F6E7B" w:rsidRPr="00CA4C14" w:rsidRDefault="003F6E7B" w:rsidP="00331914">
      <w:pPr>
        <w:pStyle w:val="Heading5"/>
        <w:rPr>
          <w:lang w:val="ru-RU"/>
        </w:rPr>
      </w:pPr>
      <w:bookmarkStart w:id="486" w:name="_Toc164324555"/>
      <w:bookmarkStart w:id="487" w:name="_Toc709754809"/>
      <w:bookmarkStart w:id="488" w:name="_Toc164845576"/>
      <w:bookmarkStart w:id="489" w:name="_Toc168578490"/>
      <w:r w:rsidRPr="00CA4C14">
        <w:rPr>
          <w:lang w:val="ru-RU"/>
        </w:rPr>
        <w:t>Примечание 27</w:t>
      </w:r>
      <w:r w:rsidRPr="00CA4C14">
        <w:rPr>
          <w:lang w:val="ru-RU"/>
        </w:rPr>
        <w:tab/>
      </w:r>
      <w:bookmarkEnd w:id="486"/>
      <w:bookmarkEnd w:id="487"/>
      <w:bookmarkEnd w:id="488"/>
      <w:r w:rsidRPr="00CA4C14">
        <w:rPr>
          <w:lang w:val="ru-RU"/>
        </w:rPr>
        <w:t>Оценка обесценения проекта по строительству нового здания МСЭ</w:t>
      </w:r>
      <w:bookmarkEnd w:id="489"/>
    </w:p>
    <w:p w14:paraId="5B48CDA6" w14:textId="77777777" w:rsidR="003F6E7B" w:rsidRPr="00CA4C14" w:rsidRDefault="003F6E7B" w:rsidP="00931B79">
      <w:pPr>
        <w:rPr>
          <w:lang w:val="ru-RU" w:bidi="ru-RU"/>
        </w:rPr>
      </w:pPr>
      <w:r w:rsidRPr="00CA4C14">
        <w:rPr>
          <w:lang w:val="ru-RU" w:bidi="ru-RU"/>
        </w:rPr>
        <w:t>В преддверии принятия Советом МСЭ в июне 2024 года стратегических решений руководство провело комплексную оценку показателей обесценения нашего текущего проекта в соответствии с Международными стандартами финансовой отчетности для общественного сектора (IPSAS).</w:t>
      </w:r>
    </w:p>
    <w:p w14:paraId="13063BD7" w14:textId="11FCF6B1" w:rsidR="003F6E7B" w:rsidRPr="00CA4C14" w:rsidRDefault="003F6E7B" w:rsidP="00931B79">
      <w:pPr>
        <w:rPr>
          <w:lang w:val="ru-RU" w:bidi="ru-RU"/>
        </w:rPr>
      </w:pPr>
      <w:r w:rsidRPr="00CA4C14">
        <w:rPr>
          <w:lang w:val="ru-RU" w:bidi="ru-RU"/>
        </w:rPr>
        <w:t>Согласно стандарту IPSAS 21, актив не должен обесцениваться только из-за существующих факторов неопределенности, если проект по-прежнему активен и окончательные решения о его прекращении или изменении не были приняты.</w:t>
      </w:r>
    </w:p>
    <w:p w14:paraId="7132551C" w14:textId="77777777" w:rsidR="003F6E7B" w:rsidRPr="00CA4C14" w:rsidRDefault="003F6E7B" w:rsidP="00931B79">
      <w:pPr>
        <w:rPr>
          <w:lang w:val="ru-RU" w:bidi="ru-RU"/>
        </w:rPr>
      </w:pPr>
      <w:r w:rsidRPr="00CA4C14">
        <w:rPr>
          <w:lang w:val="ru-RU" w:bidi="ru-RU"/>
        </w:rPr>
        <w:t>Реализация описанных ниже сценариев может привести к будущим финансовым последствиям, таким как обесценение или прекращение реализации проекта, которые будут отражены в финансовой отчетности только после принятия решения Советом. Руководство МСЭ рассмотрело следующие сценарии и их финансовые последствия:</w:t>
      </w:r>
    </w:p>
    <w:p w14:paraId="32F8013E" w14:textId="77777777" w:rsidR="003F6E7B" w:rsidRPr="00CA4C14" w:rsidRDefault="003F6E7B" w:rsidP="006B55B7">
      <w:pPr>
        <w:pStyle w:val="enumlev1"/>
        <w:rPr>
          <w:lang w:val="ru-RU" w:bidi="ru-RU"/>
        </w:rPr>
      </w:pPr>
      <w:r w:rsidRPr="00CA4C14">
        <w:rPr>
          <w:lang w:val="ru-RU" w:bidi="ru-RU"/>
        </w:rPr>
        <w:t>•</w:t>
      </w:r>
      <w:r w:rsidRPr="00CA4C14">
        <w:rPr>
          <w:lang w:val="ru-RU" w:bidi="ru-RU"/>
        </w:rPr>
        <w:tab/>
      </w:r>
      <w:r w:rsidRPr="00CA4C14">
        <w:rPr>
          <w:b/>
          <w:bCs/>
          <w:lang w:val="ru-RU" w:bidi="ru-RU"/>
        </w:rPr>
        <w:t>Сценарий A</w:t>
      </w:r>
      <w:r w:rsidRPr="00CA4C14">
        <w:rPr>
          <w:lang w:val="ru-RU" w:bidi="ru-RU"/>
        </w:rPr>
        <w:t>: Продолжение реализации проекта в соответствии с текущим планом, что поддерживается нынешним решением Совета. В рамках данного сценария все еще продолжается тендерный процесс, который завершится только 31 июля 2024 года;</w:t>
      </w:r>
    </w:p>
    <w:p w14:paraId="6F547AEB" w14:textId="77777777" w:rsidR="003F6E7B" w:rsidRPr="00CA4C14" w:rsidRDefault="003F6E7B" w:rsidP="006B55B7">
      <w:pPr>
        <w:pStyle w:val="enumlev1"/>
        <w:rPr>
          <w:lang w:val="ru-RU" w:bidi="ru-RU"/>
        </w:rPr>
      </w:pPr>
      <w:r w:rsidRPr="00CA4C14">
        <w:rPr>
          <w:lang w:val="ru-RU" w:bidi="ru-RU"/>
        </w:rPr>
        <w:t>•</w:t>
      </w:r>
      <w:r w:rsidRPr="00CA4C14">
        <w:rPr>
          <w:lang w:val="ru-RU" w:bidi="ru-RU"/>
        </w:rPr>
        <w:tab/>
      </w:r>
      <w:r w:rsidRPr="00CA4C14">
        <w:rPr>
          <w:b/>
          <w:bCs/>
          <w:lang w:val="ru-RU" w:bidi="ru-RU"/>
        </w:rPr>
        <w:t>Сценарий B</w:t>
      </w:r>
      <w:proofErr w:type="gramStart"/>
      <w:r w:rsidRPr="00CA4C14">
        <w:rPr>
          <w:lang w:val="ru-RU" w:bidi="ru-RU"/>
        </w:rPr>
        <w:t>: Это</w:t>
      </w:r>
      <w:proofErr w:type="gramEnd"/>
      <w:r w:rsidRPr="00CA4C14">
        <w:rPr>
          <w:lang w:val="ru-RU" w:bidi="ru-RU"/>
        </w:rPr>
        <w:t xml:space="preserve"> переработка Сценария А, которая, как следствие, предполагает сокращение масштабов проекта, чтобы уложиться в рамки текущего бюджета и имеющегося финансирования. Совет МСЭ в ходе своей сессии в октябре 2023 года и затем Рабочая группа Совета по финансовым и людским ресурсам в ходе сессии в январе 2024 года попросили предоставить дополнительную информацию Совету в июне 2024 года; или</w:t>
      </w:r>
    </w:p>
    <w:p w14:paraId="16FC6995" w14:textId="77777777" w:rsidR="003F6E7B" w:rsidRPr="00CA4C14" w:rsidRDefault="003F6E7B" w:rsidP="006B55B7">
      <w:pPr>
        <w:pStyle w:val="enumlev1"/>
        <w:rPr>
          <w:lang w:val="ru-RU" w:bidi="ru-RU"/>
        </w:rPr>
      </w:pPr>
      <w:r w:rsidRPr="00CA4C14">
        <w:rPr>
          <w:lang w:val="ru-RU" w:bidi="ru-RU"/>
        </w:rPr>
        <w:t>•</w:t>
      </w:r>
      <w:r w:rsidRPr="00CA4C14">
        <w:rPr>
          <w:lang w:val="ru-RU" w:bidi="ru-RU"/>
        </w:rPr>
        <w:tab/>
      </w:r>
      <w:r w:rsidRPr="00CA4C14">
        <w:rPr>
          <w:b/>
          <w:bCs/>
          <w:lang w:val="ru-RU" w:bidi="ru-RU"/>
        </w:rPr>
        <w:t>Сценарий C</w:t>
      </w:r>
      <w:r w:rsidRPr="00CA4C14">
        <w:rPr>
          <w:lang w:val="ru-RU" w:bidi="ru-RU"/>
        </w:rPr>
        <w:t xml:space="preserve">: Прекращение реализации проекта, что потребует возврата полученного финансирования, включая уже потраченную сумму по состоянию на 31 декабря 2023 года. Помимо этого, согласно договору о ссуде, статья 3 предусматривает, что если МСЭ решит не выполнять или не сможет выполнить работы по строительству нового здания, как указано в соглашении, он обязуется возместить уже полученные суммы в течение периода, не превышающего четырех лет с даты уведомления ФИПОИ о своем решении не выполнять работы, однако не позднее 31 июля 2026 года. График погашения займа будет согласован в течение пятнадцати рабочих дней с даты, в которую МСЭ уведомит ФИПОИ о своем решении отказаться от выполнения работ, но не позднее 31 июля 2026 года. </w:t>
      </w:r>
    </w:p>
    <w:p w14:paraId="6C6B354B" w14:textId="77777777" w:rsidR="003F6E7B" w:rsidRPr="00CA4C14" w:rsidRDefault="003F6E7B" w:rsidP="00931B79">
      <w:pPr>
        <w:rPr>
          <w:lang w:val="ru-RU" w:bidi="ru-RU"/>
        </w:rPr>
      </w:pPr>
      <w:r w:rsidRPr="00CA4C14">
        <w:rPr>
          <w:lang w:val="ru-RU" w:bidi="ru-RU"/>
        </w:rPr>
        <w:t xml:space="preserve">По состоянию на 31 декабря 2023 года общая сумма затрат, понесенных в связи с реализацией проекта, составляет 19,7 </w:t>
      </w:r>
      <w:proofErr w:type="gramStart"/>
      <w:r w:rsidRPr="00CA4C14">
        <w:rPr>
          <w:lang w:val="ru-RU" w:bidi="ru-RU"/>
        </w:rPr>
        <w:t>млн.</w:t>
      </w:r>
      <w:proofErr w:type="gramEnd"/>
      <w:r w:rsidRPr="00CA4C14">
        <w:rPr>
          <w:lang w:val="ru-RU" w:bidi="ru-RU"/>
        </w:rPr>
        <w:t xml:space="preserve"> швейцарских франков. В настоящее время эти расходы отражены в Отчете о финансовом положении как "объекты незавершенного строительства". Если Совет примет решение о реализации сценария B или сценария C, необходимо будет предпринять следующие действия:</w:t>
      </w:r>
    </w:p>
    <w:p w14:paraId="67E878FA" w14:textId="10C48886" w:rsidR="003F6E7B" w:rsidRPr="00CA4C14" w:rsidRDefault="003F6E7B" w:rsidP="006B55B7">
      <w:pPr>
        <w:pStyle w:val="enumlev1"/>
        <w:rPr>
          <w:lang w:val="ru-RU" w:bidi="ru-RU"/>
        </w:rPr>
      </w:pPr>
      <w:r w:rsidRPr="00CA4C14">
        <w:rPr>
          <w:lang w:val="ru-RU" w:bidi="ru-RU"/>
        </w:rPr>
        <w:t>•</w:t>
      </w:r>
      <w:r w:rsidRPr="00CA4C14">
        <w:rPr>
          <w:lang w:val="ru-RU" w:bidi="ru-RU"/>
        </w:rPr>
        <w:tab/>
      </w:r>
      <w:r w:rsidRPr="00CA4C14">
        <w:rPr>
          <w:b/>
          <w:bCs/>
          <w:lang w:val="ru-RU" w:bidi="ru-RU"/>
        </w:rPr>
        <w:t>Сценарий B</w:t>
      </w:r>
      <w:r w:rsidRPr="00CA4C14">
        <w:rPr>
          <w:lang w:val="ru-RU" w:bidi="ru-RU"/>
        </w:rPr>
        <w:t>: Если Совет примет решение о сокращении масштабов проекта, МСЭ может столкнуться с серьезным обесценением уже понесенных затрат (19,7 </w:t>
      </w:r>
      <w:proofErr w:type="gramStart"/>
      <w:r w:rsidRPr="00CA4C14">
        <w:rPr>
          <w:lang w:val="ru-RU" w:eastAsia="en-GB"/>
        </w:rPr>
        <w:t>млн.</w:t>
      </w:r>
      <w:proofErr w:type="gramEnd"/>
      <w:r w:rsidRPr="00CA4C14">
        <w:rPr>
          <w:lang w:val="ru-RU" w:eastAsia="en-GB"/>
        </w:rPr>
        <w:t> шв. фр.</w:t>
      </w:r>
      <w:r w:rsidRPr="00CA4C14">
        <w:rPr>
          <w:lang w:val="ru-RU" w:bidi="ru-RU"/>
        </w:rPr>
        <w:t>) на основании пересмотренных масштабов и финансирования проекта; или</w:t>
      </w:r>
    </w:p>
    <w:p w14:paraId="5C75FD0A" w14:textId="7D3CCA6E" w:rsidR="003F6E7B" w:rsidRPr="00CA4C14" w:rsidRDefault="003F6E7B" w:rsidP="006B55B7">
      <w:pPr>
        <w:pStyle w:val="enumlev1"/>
        <w:rPr>
          <w:lang w:val="ru-RU" w:bidi="ru-RU"/>
        </w:rPr>
      </w:pPr>
      <w:r w:rsidRPr="00CA4C14">
        <w:rPr>
          <w:lang w:val="ru-RU" w:bidi="ru-RU"/>
        </w:rPr>
        <w:t>•</w:t>
      </w:r>
      <w:r w:rsidRPr="00CA4C14">
        <w:rPr>
          <w:lang w:val="ru-RU" w:bidi="ru-RU"/>
        </w:rPr>
        <w:tab/>
      </w:r>
      <w:r w:rsidRPr="00CA4C14">
        <w:rPr>
          <w:b/>
          <w:bCs/>
          <w:lang w:val="ru-RU" w:bidi="ru-RU"/>
        </w:rPr>
        <w:t>Сценарий C</w:t>
      </w:r>
      <w:r w:rsidRPr="00CA4C14">
        <w:rPr>
          <w:lang w:val="ru-RU" w:bidi="ru-RU"/>
        </w:rPr>
        <w:t xml:space="preserve">: Если Совет примет решение прекратить реализацию проекта, то помимо обесценения, прогнозируемого в рамках сценария В, МСЭ грозит потенциальная </w:t>
      </w:r>
      <w:r w:rsidRPr="00CA4C14">
        <w:rPr>
          <w:lang w:val="ru-RU" w:bidi="ru-RU"/>
        </w:rPr>
        <w:lastRenderedPageBreak/>
        <w:t>претензия от поставщика энергии в связи с досрочным прекращением контракта (3,8 </w:t>
      </w:r>
      <w:proofErr w:type="gramStart"/>
      <w:r w:rsidRPr="00CA4C14">
        <w:rPr>
          <w:lang w:val="ru-RU" w:bidi="ru-RU"/>
        </w:rPr>
        <w:t>млн.</w:t>
      </w:r>
      <w:proofErr w:type="gramEnd"/>
      <w:r w:rsidRPr="00CA4C14">
        <w:rPr>
          <w:lang w:val="ru-RU" w:bidi="ru-RU"/>
        </w:rPr>
        <w:t xml:space="preserve"> шв. фр.). Этот шаг окажет существенное практическое воздействие на деятельность МСЭ, что скажется на финансовой стабильности и оперативном потенциале в течение нескольких лет.</w:t>
      </w:r>
    </w:p>
    <w:p w14:paraId="357949E4" w14:textId="63592FD7" w:rsidR="003F6E7B" w:rsidRPr="00CA4C14" w:rsidRDefault="003F6E7B" w:rsidP="00931B79">
      <w:pPr>
        <w:rPr>
          <w:lang w:val="ru-RU" w:bidi="ru-RU"/>
        </w:rPr>
      </w:pPr>
      <w:r w:rsidRPr="00CA4C14">
        <w:rPr>
          <w:lang w:val="ru-RU" w:bidi="ru-RU"/>
        </w:rPr>
        <w:t>В заключение и в соответствии с пунктом 31 стандарта IPSAS 21 руководство пришло к выводу, что в настоящее время, хотя имеют место некоторые факторы неопределенности, эта неопределенность не указывает на обесценение объекта незавершенного строительства по</w:t>
      </w:r>
      <w:r w:rsidR="003D7646" w:rsidRPr="00CA4C14">
        <w:rPr>
          <w:lang w:val="ru-RU" w:bidi="ru-RU"/>
        </w:rPr>
        <w:t> </w:t>
      </w:r>
      <w:r w:rsidRPr="00CA4C14">
        <w:rPr>
          <w:lang w:val="ru-RU" w:bidi="ru-RU"/>
        </w:rPr>
        <w:t>состоянию на 31 декабря 2023 года.</w:t>
      </w:r>
    </w:p>
    <w:p w14:paraId="091480D4" w14:textId="77777777" w:rsidR="003F6E7B" w:rsidRPr="00CA4C14" w:rsidRDefault="003F6E7B" w:rsidP="00331914">
      <w:pPr>
        <w:pStyle w:val="Heading5"/>
        <w:rPr>
          <w:lang w:val="ru-RU"/>
        </w:rPr>
      </w:pPr>
      <w:bookmarkStart w:id="490" w:name="_Toc305764121"/>
      <w:bookmarkStart w:id="491" w:name="_Toc329011663"/>
      <w:bookmarkStart w:id="492" w:name="_Toc1219009599"/>
      <w:bookmarkStart w:id="493" w:name="_Toc164845577"/>
      <w:bookmarkStart w:id="494" w:name="_Toc168578491"/>
      <w:bookmarkStart w:id="495" w:name="_Hlk39154510"/>
      <w:r w:rsidRPr="00CA4C14">
        <w:rPr>
          <w:lang w:val="ru-RU"/>
        </w:rPr>
        <w:t>Примечание 28</w:t>
      </w:r>
      <w:r w:rsidRPr="00CA4C14">
        <w:rPr>
          <w:lang w:val="ru-RU"/>
        </w:rPr>
        <w:tab/>
      </w:r>
      <w:bookmarkEnd w:id="490"/>
      <w:bookmarkEnd w:id="491"/>
      <w:bookmarkEnd w:id="492"/>
      <w:bookmarkEnd w:id="493"/>
      <w:r w:rsidRPr="00CA4C14">
        <w:rPr>
          <w:lang w:val="ru-RU"/>
        </w:rPr>
        <w:t>Мероприятия, следующие за датой представления отчетности</w:t>
      </w:r>
      <w:bookmarkEnd w:id="494"/>
    </w:p>
    <w:p w14:paraId="729F060D" w14:textId="77777777" w:rsidR="003F6E7B" w:rsidRPr="00CA4C14" w:rsidRDefault="003F6E7B" w:rsidP="00931B79">
      <w:pPr>
        <w:rPr>
          <w:lang w:val="ru-RU" w:bidi="ru-RU"/>
        </w:rPr>
      </w:pPr>
      <w:bookmarkStart w:id="496" w:name="_Toc357006004"/>
      <w:bookmarkEnd w:id="495"/>
      <w:r w:rsidRPr="00CA4C14">
        <w:rPr>
          <w:lang w:val="ru-RU"/>
        </w:rPr>
        <w:t xml:space="preserve">Отчетной датой МСЭ является 31 декабря </w:t>
      </w:r>
      <w:r w:rsidRPr="00CA4C14">
        <w:rPr>
          <w:lang w:val="ru-RU" w:bidi="ru-RU"/>
        </w:rPr>
        <w:t>2023 года</w:t>
      </w:r>
      <w:r w:rsidRPr="00CA4C14">
        <w:rPr>
          <w:lang w:val="ru-RU"/>
        </w:rPr>
        <w:t>, и настоящий отчет о финансовой деятельности был утвержден к выпуску на ту же дату, что и заключение Внешнего аудитора</w:t>
      </w:r>
      <w:r w:rsidRPr="00CA4C14">
        <w:rPr>
          <w:lang w:val="ru-RU" w:bidi="ru-RU"/>
        </w:rPr>
        <w:t>.</w:t>
      </w:r>
    </w:p>
    <w:p w14:paraId="59B81409" w14:textId="77777777" w:rsidR="003F6E7B" w:rsidRPr="00CA4C14" w:rsidRDefault="003F6E7B" w:rsidP="00931B79">
      <w:pPr>
        <w:rPr>
          <w:lang w:val="ru-RU" w:bidi="ru-RU"/>
        </w:rPr>
      </w:pPr>
      <w:r w:rsidRPr="00CA4C14">
        <w:rPr>
          <w:lang w:val="ru-RU" w:bidi="ru-RU"/>
        </w:rPr>
        <w:t>По состоянию на 31 марта 2024 года общая сумма уже понесенных затрат по проекту строительства нового здания составляет 22,0 </w:t>
      </w:r>
      <w:proofErr w:type="gramStart"/>
      <w:r w:rsidRPr="00CA4C14">
        <w:rPr>
          <w:lang w:val="ru-RU" w:eastAsia="en-GB"/>
        </w:rPr>
        <w:t>млн.</w:t>
      </w:r>
      <w:proofErr w:type="gramEnd"/>
      <w:r w:rsidRPr="00CA4C14">
        <w:rPr>
          <w:lang w:val="ru-RU" w:eastAsia="en-GB"/>
        </w:rPr>
        <w:t xml:space="preserve"> швейцарских франков</w:t>
      </w:r>
      <w:r w:rsidRPr="00CA4C14">
        <w:rPr>
          <w:lang w:val="ru-RU" w:bidi="ru-RU"/>
        </w:rPr>
        <w:t>. Если реализация проекта будет прекращена, как предусматривает сценарий С (Примечание 27), то Союзу придется понести затраты в размере еще 3,8 </w:t>
      </w:r>
      <w:proofErr w:type="gramStart"/>
      <w:r w:rsidRPr="00CA4C14">
        <w:rPr>
          <w:lang w:val="ru-RU" w:bidi="ru-RU"/>
        </w:rPr>
        <w:t>млн.</w:t>
      </w:r>
      <w:proofErr w:type="gramEnd"/>
      <w:r w:rsidRPr="00CA4C14">
        <w:rPr>
          <w:lang w:val="ru-RU" w:bidi="ru-RU"/>
        </w:rPr>
        <w:t xml:space="preserve"> швейцарских франков на цели урегулирования всех претензий, контрактных обязательств и удержаний.</w:t>
      </w:r>
    </w:p>
    <w:bookmarkEnd w:id="496"/>
    <w:p w14:paraId="29D085F0" w14:textId="202EE655" w:rsidR="002E1F5B" w:rsidRPr="00CA4C14" w:rsidRDefault="003F6E7B" w:rsidP="003F6E7B">
      <w:pPr>
        <w:spacing w:before="720"/>
        <w:jc w:val="center"/>
        <w:rPr>
          <w:lang w:val="ru-RU"/>
        </w:rPr>
      </w:pPr>
      <w:r w:rsidRPr="00CA4C14">
        <w:rPr>
          <w:lang w:val="ru-RU"/>
        </w:rPr>
        <w:t>______________</w:t>
      </w:r>
    </w:p>
    <w:sectPr w:rsidR="002E1F5B" w:rsidRPr="00CA4C14" w:rsidSect="002860BD">
      <w:headerReference w:type="default" r:id="rId38"/>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ADE1" w14:textId="77777777" w:rsidR="00C67505" w:rsidRDefault="00C67505">
      <w:r>
        <w:separator/>
      </w:r>
    </w:p>
  </w:endnote>
  <w:endnote w:type="continuationSeparator" w:id="0">
    <w:p w14:paraId="5B960D39" w14:textId="77777777" w:rsidR="00C67505" w:rsidRDefault="00C6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EYInterstate Light">
    <w:altName w:val="Calibri"/>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3" w:usb1="08070000" w:usb2="00000010" w:usb3="00000000" w:csb0="0002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0E481A2" w14:textId="77777777" w:rsidTr="00E31DCE">
      <w:trPr>
        <w:jc w:val="center"/>
      </w:trPr>
      <w:tc>
        <w:tcPr>
          <w:tcW w:w="1803" w:type="dxa"/>
          <w:vAlign w:val="center"/>
        </w:tcPr>
        <w:p w14:paraId="54B63B12" w14:textId="7AB3D520" w:rsidR="00672F8A" w:rsidRDefault="00672F8A" w:rsidP="00672F8A">
          <w:pPr>
            <w:pStyle w:val="Header"/>
            <w:jc w:val="left"/>
            <w:rPr>
              <w:noProof/>
            </w:rPr>
          </w:pPr>
        </w:p>
      </w:tc>
      <w:tc>
        <w:tcPr>
          <w:tcW w:w="8261" w:type="dxa"/>
        </w:tcPr>
        <w:p w14:paraId="6E05002C" w14:textId="09DE5063"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740F85">
            <w:rPr>
              <w:bCs/>
              <w:lang w:val="ru-RU"/>
            </w:rPr>
            <w:t>43</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94E022F"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91685C4" w14:textId="77777777" w:rsidTr="00E31DCE">
      <w:trPr>
        <w:jc w:val="center"/>
      </w:trPr>
      <w:tc>
        <w:tcPr>
          <w:tcW w:w="1803" w:type="dxa"/>
          <w:vAlign w:val="center"/>
        </w:tcPr>
        <w:p w14:paraId="5EC7F8C7" w14:textId="77777777" w:rsidR="00672F8A" w:rsidRDefault="00672F8A" w:rsidP="00672F8A">
          <w:pPr>
            <w:pStyle w:val="Header"/>
            <w:jc w:val="left"/>
            <w:rPr>
              <w:noProof/>
            </w:rPr>
          </w:pPr>
          <w:r w:rsidRPr="00660449">
            <w:rPr>
              <w:color w:val="0563C1"/>
              <w:szCs w:val="14"/>
            </w:rPr>
            <w:t>www.itu.int/council</w:t>
          </w:r>
        </w:p>
      </w:tc>
      <w:tc>
        <w:tcPr>
          <w:tcW w:w="8261" w:type="dxa"/>
        </w:tcPr>
        <w:p w14:paraId="389FE4BA" w14:textId="0F1210D4"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740F85">
            <w:rPr>
              <w:bCs/>
              <w:lang w:val="ru-RU"/>
            </w:rPr>
            <w:t>43</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0169403" w14:textId="77777777" w:rsidR="000E568E" w:rsidRPr="00672F8A" w:rsidRDefault="000E568E" w:rsidP="0067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E1F5B" w:rsidRPr="00784011" w14:paraId="235AC808" w14:textId="77777777" w:rsidTr="00E31DCE">
      <w:trPr>
        <w:jc w:val="center"/>
      </w:trPr>
      <w:tc>
        <w:tcPr>
          <w:tcW w:w="1803" w:type="dxa"/>
          <w:vAlign w:val="center"/>
        </w:tcPr>
        <w:p w14:paraId="55B6892D" w14:textId="77777777" w:rsidR="002E1F5B" w:rsidRDefault="002E1F5B" w:rsidP="00672F8A">
          <w:pPr>
            <w:pStyle w:val="Header"/>
            <w:jc w:val="left"/>
            <w:rPr>
              <w:noProof/>
            </w:rPr>
          </w:pPr>
        </w:p>
      </w:tc>
      <w:tc>
        <w:tcPr>
          <w:tcW w:w="8261" w:type="dxa"/>
        </w:tcPr>
        <w:p w14:paraId="56B97217" w14:textId="77777777" w:rsidR="002E1F5B" w:rsidRPr="00E06FD5" w:rsidRDefault="002E1F5B"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lang w:val="ru-RU"/>
            </w:rPr>
            <w:t>43</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CB88F0E" w14:textId="77777777" w:rsidR="002E1F5B" w:rsidRPr="00672F8A" w:rsidRDefault="002E1F5B" w:rsidP="00672F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3"/>
      <w:gridCol w:w="8261"/>
    </w:tblGrid>
    <w:tr w:rsidR="002E1F5B" w:rsidRPr="00784011" w14:paraId="496663C1" w14:textId="77777777" w:rsidTr="002E1F5B">
      <w:trPr>
        <w:jc w:val="center"/>
      </w:trPr>
      <w:tc>
        <w:tcPr>
          <w:tcW w:w="6623" w:type="dxa"/>
          <w:vAlign w:val="center"/>
        </w:tcPr>
        <w:p w14:paraId="058999D9" w14:textId="1FF5A807" w:rsidR="002E1F5B" w:rsidRDefault="002E1F5B" w:rsidP="00672F8A">
          <w:pPr>
            <w:pStyle w:val="Header"/>
            <w:jc w:val="left"/>
            <w:rPr>
              <w:noProof/>
            </w:rPr>
          </w:pPr>
        </w:p>
      </w:tc>
      <w:tc>
        <w:tcPr>
          <w:tcW w:w="8261" w:type="dxa"/>
        </w:tcPr>
        <w:p w14:paraId="0ADFDE78" w14:textId="77777777" w:rsidR="002E1F5B" w:rsidRPr="00E06FD5" w:rsidRDefault="002E1F5B"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lang w:val="ru-RU"/>
            </w:rPr>
            <w:t>43</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80DCBDC" w14:textId="77777777" w:rsidR="002E1F5B" w:rsidRPr="00672F8A" w:rsidRDefault="002E1F5B" w:rsidP="00672F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E1F5B" w:rsidRPr="00784011" w14:paraId="57BA45FA" w14:textId="77777777" w:rsidTr="00E31DCE">
      <w:trPr>
        <w:jc w:val="center"/>
      </w:trPr>
      <w:tc>
        <w:tcPr>
          <w:tcW w:w="1803" w:type="dxa"/>
          <w:vAlign w:val="center"/>
        </w:tcPr>
        <w:p w14:paraId="4815083F" w14:textId="77777777" w:rsidR="002E1F5B" w:rsidRDefault="002E1F5B" w:rsidP="00672F8A">
          <w:pPr>
            <w:pStyle w:val="Header"/>
            <w:jc w:val="left"/>
            <w:rPr>
              <w:noProof/>
            </w:rPr>
          </w:pPr>
        </w:p>
      </w:tc>
      <w:tc>
        <w:tcPr>
          <w:tcW w:w="8261" w:type="dxa"/>
        </w:tcPr>
        <w:p w14:paraId="69EA2C81" w14:textId="77777777" w:rsidR="002E1F5B" w:rsidRPr="00E06FD5" w:rsidRDefault="002E1F5B"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lang w:val="ru-RU"/>
            </w:rPr>
            <w:t>43</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01B5DFD" w14:textId="77777777" w:rsidR="002E1F5B" w:rsidRPr="00672F8A" w:rsidRDefault="002E1F5B" w:rsidP="00672F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E1F5B" w:rsidRPr="00784011" w14:paraId="4C7821C8" w14:textId="77777777" w:rsidTr="00E31DCE">
      <w:trPr>
        <w:jc w:val="center"/>
      </w:trPr>
      <w:tc>
        <w:tcPr>
          <w:tcW w:w="1803" w:type="dxa"/>
          <w:vAlign w:val="center"/>
        </w:tcPr>
        <w:p w14:paraId="337CA01D" w14:textId="77777777" w:rsidR="002E1F5B" w:rsidRDefault="002E1F5B" w:rsidP="00672F8A">
          <w:pPr>
            <w:pStyle w:val="Header"/>
            <w:jc w:val="left"/>
            <w:rPr>
              <w:noProof/>
            </w:rPr>
          </w:pPr>
        </w:p>
      </w:tc>
      <w:tc>
        <w:tcPr>
          <w:tcW w:w="8261" w:type="dxa"/>
        </w:tcPr>
        <w:p w14:paraId="4F175080" w14:textId="77777777" w:rsidR="002E1F5B" w:rsidRPr="00E06FD5" w:rsidRDefault="002E1F5B"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lang w:val="ru-RU"/>
            </w:rPr>
            <w:t>43</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37B4C2FC" w14:textId="77777777" w:rsidR="002E1F5B" w:rsidRPr="00672F8A" w:rsidRDefault="002E1F5B"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91CB" w14:textId="77777777" w:rsidR="00C67505" w:rsidRDefault="00C67505">
      <w:r>
        <w:t>____________________</w:t>
      </w:r>
    </w:p>
  </w:footnote>
  <w:footnote w:type="continuationSeparator" w:id="0">
    <w:p w14:paraId="3F3D5B69" w14:textId="77777777" w:rsidR="00C67505" w:rsidRDefault="00C67505">
      <w:r>
        <w:continuationSeparator/>
      </w:r>
    </w:p>
  </w:footnote>
  <w:footnote w:id="1">
    <w:p w14:paraId="5DF953CE" w14:textId="63599C14" w:rsidR="00232149" w:rsidRPr="00B66080" w:rsidRDefault="00232149" w:rsidP="00F81957">
      <w:pPr>
        <w:pStyle w:val="FootnoteText"/>
        <w:tabs>
          <w:tab w:val="clear" w:pos="255"/>
        </w:tabs>
        <w:rPr>
          <w:lang w:val="ru-RU"/>
        </w:rPr>
      </w:pPr>
      <w:r>
        <w:rPr>
          <w:rStyle w:val="FootnoteReference"/>
          <w:lang w:val="ru-RU" w:bidi="ru-RU"/>
        </w:rPr>
        <w:footnoteRef/>
      </w:r>
      <w:r w:rsidRPr="0060074B">
        <w:rPr>
          <w:lang w:val="ru-RU" w:bidi="ru-RU"/>
        </w:rPr>
        <w:tab/>
        <w:t>Это ожидаемый результат SPPI</w:t>
      </w:r>
      <w:r>
        <w:rPr>
          <w:lang w:val="ru-RU" w:bidi="ru-RU"/>
        </w:rPr>
        <w:t>-теста</w:t>
      </w:r>
      <w:r w:rsidRPr="0060074B">
        <w:rPr>
          <w:lang w:val="ru-RU" w:bidi="ru-RU"/>
        </w:rPr>
        <w:t>, основанный на общем характере этих инструментов. Однако организация должна провести SPPI</w:t>
      </w:r>
      <w:r>
        <w:rPr>
          <w:lang w:val="ru-RU" w:bidi="ru-RU"/>
        </w:rPr>
        <w:t>-тест</w:t>
      </w:r>
      <w:r w:rsidRPr="0060074B">
        <w:rPr>
          <w:lang w:val="ru-RU" w:bidi="ru-RU"/>
        </w:rPr>
        <w:t xml:space="preserve"> для своих конкретных финансовых инструментов, чтобы принять решение о положительном/отрицательном результате и, соответственно, о</w:t>
      </w:r>
      <w:r w:rsidR="00F81957">
        <w:rPr>
          <w:lang w:val="ru-RU" w:bidi="ru-RU"/>
        </w:rPr>
        <w:t> </w:t>
      </w:r>
      <w:r w:rsidRPr="0060074B">
        <w:rPr>
          <w:lang w:val="ru-RU" w:bidi="ru-RU"/>
        </w:rPr>
        <w:t>классификационной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FF3B" w14:textId="30B054E3" w:rsidR="001A7F51" w:rsidRPr="00FE0DEB" w:rsidRDefault="001A7F51" w:rsidP="00B81E6A">
    <w:pPr>
      <w:pStyle w:val="Title3"/>
      <w:spacing w:before="0"/>
      <w:rPr>
        <w:caps/>
        <w:sz w:val="20"/>
        <w:lang w:val="ru-RU"/>
      </w:rPr>
    </w:pPr>
    <w:r w:rsidRPr="00FE0DEB">
      <w:rPr>
        <w:caps/>
        <w:sz w:val="20"/>
        <w:lang w:val="ru-RU"/>
      </w:rPr>
      <w:t>Годовой отчет о финансовой деятельности и финансовая отчетность за 2023 год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07AEF801" w14:textId="77777777" w:rsidTr="00E31DCE">
      <w:trPr>
        <w:trHeight w:val="1104"/>
        <w:jc w:val="center"/>
      </w:trPr>
      <w:tc>
        <w:tcPr>
          <w:tcW w:w="4390" w:type="dxa"/>
          <w:vAlign w:val="center"/>
        </w:tcPr>
        <w:p w14:paraId="2CEC3B4A" w14:textId="77777777" w:rsidR="00796BD3" w:rsidRPr="009621F8" w:rsidRDefault="00660449" w:rsidP="00796BD3">
          <w:pPr>
            <w:pStyle w:val="Header"/>
            <w:jc w:val="left"/>
            <w:rPr>
              <w:rFonts w:ascii="Arial" w:hAnsi="Arial" w:cs="Arial"/>
              <w:b/>
              <w:bCs/>
              <w:color w:val="009CD6"/>
              <w:sz w:val="36"/>
              <w:szCs w:val="36"/>
            </w:rPr>
          </w:pPr>
          <w:bookmarkStart w:id="464" w:name="_Hlk133422111"/>
          <w:r>
            <w:rPr>
              <w:noProof/>
            </w:rPr>
            <w:drawing>
              <wp:inline distT="0" distB="0" distL="0" distR="0" wp14:anchorId="142D30C9" wp14:editId="24B552C2">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6669E625" w14:textId="02D1E901" w:rsidR="00796BD3" w:rsidRPr="00FE0DEB" w:rsidRDefault="00796BD3" w:rsidP="00796BD3">
          <w:pPr>
            <w:pStyle w:val="Header"/>
            <w:jc w:val="right"/>
            <w:rPr>
              <w:rFonts w:ascii="Arial" w:hAnsi="Arial" w:cs="Arial"/>
              <w:color w:val="009CD6"/>
              <w:szCs w:val="18"/>
              <w:lang w:val="ru-RU"/>
            </w:rPr>
          </w:pPr>
        </w:p>
      </w:tc>
    </w:tr>
  </w:tbl>
  <w:bookmarkEnd w:id="464"/>
  <w:p w14:paraId="5E6CFAAE"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3497BE" wp14:editId="0BAE47DE">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350AA"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2BE5" w14:textId="2EA1E957" w:rsidR="002E1F5B" w:rsidRPr="00D56593" w:rsidRDefault="002E1F5B" w:rsidP="002E1F5B">
    <w:pPr>
      <w:pStyle w:val="Title3"/>
      <w:spacing w:before="0"/>
      <w:rPr>
        <w:caps/>
        <w:sz w:val="20"/>
        <w:lang w:val="ru-RU"/>
      </w:rPr>
    </w:pPr>
    <w:r w:rsidRPr="00FE0DEB">
      <w:rPr>
        <w:caps/>
        <w:sz w:val="20"/>
        <w:lang w:val="ru-RU"/>
      </w:rPr>
      <w:t>Годовой отчет о финансовой деятельности и финансовая отчетность за 2023 год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D1F8" w14:textId="77777777" w:rsidR="002E1F5B" w:rsidRPr="00FE0DEB" w:rsidRDefault="002E1F5B" w:rsidP="00B81E6A">
    <w:pPr>
      <w:pStyle w:val="Title3"/>
      <w:spacing w:before="0"/>
      <w:rPr>
        <w:caps/>
        <w:sz w:val="20"/>
        <w:lang w:val="ru-RU"/>
      </w:rPr>
    </w:pPr>
    <w:r w:rsidRPr="00FE0DEB">
      <w:rPr>
        <w:caps/>
        <w:sz w:val="20"/>
        <w:lang w:val="ru-RU"/>
      </w:rPr>
      <w:t>Годовой отчет о финансовой деятельности и финансовая отчетность за 2023 год</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2F39" w14:textId="43EFC20A" w:rsidR="002E1F5B" w:rsidRPr="00D56593" w:rsidRDefault="002E1F5B" w:rsidP="002E1F5B">
    <w:pPr>
      <w:pStyle w:val="Title3"/>
      <w:spacing w:before="0"/>
      <w:rPr>
        <w:caps/>
        <w:sz w:val="20"/>
        <w:lang w:val="ru-RU"/>
      </w:rPr>
    </w:pPr>
    <w:r w:rsidRPr="00FE0DEB">
      <w:rPr>
        <w:caps/>
        <w:sz w:val="20"/>
        <w:lang w:val="ru-RU"/>
      </w:rPr>
      <w:t>Годовой отчет о финансовой деятельности и финансовая отчетность за 2023 год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11683"/>
    <w:multiLevelType w:val="hybridMultilevel"/>
    <w:tmpl w:val="05284682"/>
    <w:lvl w:ilvl="0" w:tplc="FFFFFFFF">
      <w:numFmt w:val="bullet"/>
      <w:lvlText w:val="-"/>
      <w:lvlJc w:val="left"/>
      <w:pPr>
        <w:ind w:left="1080" w:hanging="360"/>
      </w:pPr>
      <w:rPr>
        <w:rFonts w:ascii="Calibri" w:hAnsi="Calibri" w:hint="default"/>
      </w:rPr>
    </w:lvl>
    <w:lvl w:ilvl="1" w:tplc="FFFFFFFF">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952A3B"/>
    <w:multiLevelType w:val="multilevel"/>
    <w:tmpl w:val="A136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F60FA7"/>
    <w:multiLevelType w:val="hybridMultilevel"/>
    <w:tmpl w:val="C8E0D2A8"/>
    <w:lvl w:ilvl="0" w:tplc="FD740AFA">
      <w:start w:val="1"/>
      <w:numFmt w:val="decimal"/>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4" w15:restartNumberingAfterBreak="0">
    <w:nsid w:val="1E7A6363"/>
    <w:multiLevelType w:val="multilevel"/>
    <w:tmpl w:val="9AD8C0FE"/>
    <w:lvl w:ilvl="0">
      <w:start w:val="3"/>
      <w:numFmt w:val="decimal"/>
      <w:lvlText w:val="%1"/>
      <w:lvlJc w:val="left"/>
      <w:pPr>
        <w:ind w:left="420" w:hanging="420"/>
      </w:pPr>
      <w:rPr>
        <w:rFonts w:hint="default"/>
        <w:u w:val="none"/>
      </w:rPr>
    </w:lvl>
    <w:lvl w:ilvl="1">
      <w:start w:val="11"/>
      <w:numFmt w:val="decimal"/>
      <w:lvlText w:val="%1.%2"/>
      <w:lvlJc w:val="left"/>
      <w:pPr>
        <w:ind w:left="2264" w:hanging="420"/>
      </w:pPr>
      <w:rPr>
        <w:rFonts w:hint="default"/>
        <w:u w:val="none"/>
      </w:rPr>
    </w:lvl>
    <w:lvl w:ilvl="2">
      <w:start w:val="1"/>
      <w:numFmt w:val="decimal"/>
      <w:lvlText w:val="%1.%2.%3"/>
      <w:lvlJc w:val="left"/>
      <w:pPr>
        <w:ind w:left="1860" w:hanging="720"/>
      </w:pPr>
      <w:rPr>
        <w:rFonts w:hint="default"/>
        <w:u w:val="none"/>
      </w:rPr>
    </w:lvl>
    <w:lvl w:ilvl="3">
      <w:start w:val="1"/>
      <w:numFmt w:val="decimal"/>
      <w:lvlText w:val="%1.%2.%3.%4"/>
      <w:lvlJc w:val="left"/>
      <w:pPr>
        <w:ind w:left="2430" w:hanging="720"/>
      </w:pPr>
      <w:rPr>
        <w:rFonts w:hint="default"/>
        <w:u w:val="none"/>
      </w:rPr>
    </w:lvl>
    <w:lvl w:ilvl="4">
      <w:start w:val="1"/>
      <w:numFmt w:val="decimal"/>
      <w:lvlText w:val="%1.%2.%3.%4.%5"/>
      <w:lvlJc w:val="left"/>
      <w:pPr>
        <w:ind w:left="3360" w:hanging="1080"/>
      </w:pPr>
      <w:rPr>
        <w:rFonts w:hint="default"/>
        <w:u w:val="none"/>
      </w:rPr>
    </w:lvl>
    <w:lvl w:ilvl="5">
      <w:start w:val="1"/>
      <w:numFmt w:val="decimal"/>
      <w:lvlText w:val="%1.%2.%3.%4.%5.%6"/>
      <w:lvlJc w:val="left"/>
      <w:pPr>
        <w:ind w:left="3930" w:hanging="1080"/>
      </w:pPr>
      <w:rPr>
        <w:rFonts w:hint="default"/>
        <w:u w:val="none"/>
      </w:rPr>
    </w:lvl>
    <w:lvl w:ilvl="6">
      <w:start w:val="1"/>
      <w:numFmt w:val="decimal"/>
      <w:lvlText w:val="%1.%2.%3.%4.%5.%6.%7"/>
      <w:lvlJc w:val="left"/>
      <w:pPr>
        <w:ind w:left="4860" w:hanging="1440"/>
      </w:pPr>
      <w:rPr>
        <w:rFonts w:hint="default"/>
        <w:u w:val="none"/>
      </w:rPr>
    </w:lvl>
    <w:lvl w:ilvl="7">
      <w:start w:val="1"/>
      <w:numFmt w:val="decimal"/>
      <w:lvlText w:val="%1.%2.%3.%4.%5.%6.%7.%8"/>
      <w:lvlJc w:val="left"/>
      <w:pPr>
        <w:ind w:left="5430" w:hanging="1440"/>
      </w:pPr>
      <w:rPr>
        <w:rFonts w:hint="default"/>
        <w:u w:val="none"/>
      </w:rPr>
    </w:lvl>
    <w:lvl w:ilvl="8">
      <w:start w:val="1"/>
      <w:numFmt w:val="decimal"/>
      <w:lvlText w:val="%1.%2.%3.%4.%5.%6.%7.%8.%9"/>
      <w:lvlJc w:val="left"/>
      <w:pPr>
        <w:ind w:left="6360" w:hanging="1800"/>
      </w:pPr>
      <w:rPr>
        <w:rFonts w:hint="default"/>
        <w:u w:val="none"/>
      </w:rPr>
    </w:lvl>
  </w:abstractNum>
  <w:abstractNum w:abstractNumId="5" w15:restartNumberingAfterBreak="0">
    <w:nsid w:val="1FDA33FA"/>
    <w:multiLevelType w:val="hybridMultilevel"/>
    <w:tmpl w:val="6E6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372CB"/>
    <w:multiLevelType w:val="hybridMultilevel"/>
    <w:tmpl w:val="5F38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41F92"/>
    <w:multiLevelType w:val="hybridMultilevel"/>
    <w:tmpl w:val="CEB2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97DA5"/>
    <w:multiLevelType w:val="hybridMultilevel"/>
    <w:tmpl w:val="5DAAAC1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68961C6"/>
    <w:multiLevelType w:val="hybridMultilevel"/>
    <w:tmpl w:val="5E0A0152"/>
    <w:lvl w:ilvl="0" w:tplc="DF905664">
      <w:start w:val="11"/>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F05726C"/>
    <w:multiLevelType w:val="hybridMultilevel"/>
    <w:tmpl w:val="74380868"/>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43D57CC5"/>
    <w:multiLevelType w:val="multilevel"/>
    <w:tmpl w:val="B75E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3C1E08"/>
    <w:multiLevelType w:val="hybridMultilevel"/>
    <w:tmpl w:val="9AB2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47E29"/>
    <w:multiLevelType w:val="multilevel"/>
    <w:tmpl w:val="5B4A8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427E96"/>
    <w:multiLevelType w:val="multilevel"/>
    <w:tmpl w:val="357EA07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6" w15:restartNumberingAfterBreak="0">
    <w:nsid w:val="57F9400B"/>
    <w:multiLevelType w:val="hybridMultilevel"/>
    <w:tmpl w:val="B7F0FC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3E5E6C"/>
    <w:multiLevelType w:val="hybridMultilevel"/>
    <w:tmpl w:val="302EC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2D392C"/>
    <w:multiLevelType w:val="multilevel"/>
    <w:tmpl w:val="3E92D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51087D"/>
    <w:multiLevelType w:val="hybridMultilevel"/>
    <w:tmpl w:val="A7C8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B4628"/>
    <w:multiLevelType w:val="hybridMultilevel"/>
    <w:tmpl w:val="3EC4432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879A2"/>
    <w:multiLevelType w:val="hybridMultilevel"/>
    <w:tmpl w:val="C15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BDC30C9"/>
    <w:multiLevelType w:val="multilevel"/>
    <w:tmpl w:val="C0DC7388"/>
    <w:styleLink w:val="CurrentList1"/>
    <w:lvl w:ilvl="0">
      <w:start w:val="1"/>
      <w:numFmt w:val="decimal"/>
      <w:lvlText w:val="%1"/>
      <w:lvlJc w:val="left"/>
      <w:pPr>
        <w:ind w:left="570" w:hanging="570"/>
      </w:pPr>
      <w:rPr>
        <w:rFonts w:asciiTheme="minorHAnsi" w:hAnsiTheme="minorHAnsi" w:cs="Calibri" w:hint="default"/>
        <w:b w:val="0"/>
        <w:bCs w:val="0"/>
        <w:strike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7520B2"/>
    <w:multiLevelType w:val="hybridMultilevel"/>
    <w:tmpl w:val="A88234A6"/>
    <w:lvl w:ilvl="0" w:tplc="0E30C6EE">
      <w:start w:val="1"/>
      <w:numFmt w:val="bullet"/>
      <w:lvlText w:val="-"/>
      <w:lvlJc w:val="left"/>
      <w:pPr>
        <w:ind w:left="720" w:hanging="360"/>
      </w:pPr>
      <w:rPr>
        <w:rFonts w:ascii="Symbol" w:hAnsi="Symbol" w:hint="default"/>
      </w:rPr>
    </w:lvl>
    <w:lvl w:ilvl="1" w:tplc="4100F2D2">
      <w:start w:val="1"/>
      <w:numFmt w:val="bullet"/>
      <w:lvlText w:val="o"/>
      <w:lvlJc w:val="left"/>
      <w:pPr>
        <w:ind w:left="1440" w:hanging="360"/>
      </w:pPr>
      <w:rPr>
        <w:rFonts w:ascii="Courier New" w:hAnsi="Courier New" w:hint="default"/>
      </w:rPr>
    </w:lvl>
    <w:lvl w:ilvl="2" w:tplc="E6A02C76">
      <w:start w:val="1"/>
      <w:numFmt w:val="bullet"/>
      <w:lvlText w:val=""/>
      <w:lvlJc w:val="left"/>
      <w:pPr>
        <w:ind w:left="2160" w:hanging="360"/>
      </w:pPr>
      <w:rPr>
        <w:rFonts w:ascii="Wingdings" w:hAnsi="Wingdings" w:hint="default"/>
      </w:rPr>
    </w:lvl>
    <w:lvl w:ilvl="3" w:tplc="F5648890">
      <w:start w:val="1"/>
      <w:numFmt w:val="bullet"/>
      <w:lvlText w:val=""/>
      <w:lvlJc w:val="left"/>
      <w:pPr>
        <w:ind w:left="2880" w:hanging="360"/>
      </w:pPr>
      <w:rPr>
        <w:rFonts w:ascii="Symbol" w:hAnsi="Symbol" w:hint="default"/>
      </w:rPr>
    </w:lvl>
    <w:lvl w:ilvl="4" w:tplc="8E282AC2">
      <w:start w:val="1"/>
      <w:numFmt w:val="bullet"/>
      <w:lvlText w:val="o"/>
      <w:lvlJc w:val="left"/>
      <w:pPr>
        <w:ind w:left="3600" w:hanging="360"/>
      </w:pPr>
      <w:rPr>
        <w:rFonts w:ascii="Courier New" w:hAnsi="Courier New" w:hint="default"/>
      </w:rPr>
    </w:lvl>
    <w:lvl w:ilvl="5" w:tplc="DDFE12F0">
      <w:start w:val="1"/>
      <w:numFmt w:val="bullet"/>
      <w:lvlText w:val=""/>
      <w:lvlJc w:val="left"/>
      <w:pPr>
        <w:ind w:left="4320" w:hanging="360"/>
      </w:pPr>
      <w:rPr>
        <w:rFonts w:ascii="Wingdings" w:hAnsi="Wingdings" w:hint="default"/>
      </w:rPr>
    </w:lvl>
    <w:lvl w:ilvl="6" w:tplc="004493B0">
      <w:start w:val="1"/>
      <w:numFmt w:val="bullet"/>
      <w:lvlText w:val=""/>
      <w:lvlJc w:val="left"/>
      <w:pPr>
        <w:ind w:left="5040" w:hanging="360"/>
      </w:pPr>
      <w:rPr>
        <w:rFonts w:ascii="Symbol" w:hAnsi="Symbol" w:hint="default"/>
      </w:rPr>
    </w:lvl>
    <w:lvl w:ilvl="7" w:tplc="299A737E">
      <w:start w:val="1"/>
      <w:numFmt w:val="bullet"/>
      <w:lvlText w:val="o"/>
      <w:lvlJc w:val="left"/>
      <w:pPr>
        <w:ind w:left="5760" w:hanging="360"/>
      </w:pPr>
      <w:rPr>
        <w:rFonts w:ascii="Courier New" w:hAnsi="Courier New" w:hint="default"/>
      </w:rPr>
    </w:lvl>
    <w:lvl w:ilvl="8" w:tplc="42C27FA2">
      <w:start w:val="1"/>
      <w:numFmt w:val="bullet"/>
      <w:lvlText w:val=""/>
      <w:lvlJc w:val="left"/>
      <w:pPr>
        <w:ind w:left="6480" w:hanging="360"/>
      </w:pPr>
      <w:rPr>
        <w:rFonts w:ascii="Wingdings" w:hAnsi="Wingdings" w:hint="default"/>
      </w:rPr>
    </w:lvl>
  </w:abstractNum>
  <w:abstractNum w:abstractNumId="25"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11441"/>
    <w:multiLevelType w:val="multilevel"/>
    <w:tmpl w:val="670479E6"/>
    <w:lvl w:ilvl="0">
      <w:start w:val="3"/>
      <w:numFmt w:val="decimal"/>
      <w:lvlText w:val="%1"/>
      <w:lvlJc w:val="left"/>
      <w:pPr>
        <w:ind w:left="420" w:hanging="420"/>
      </w:pPr>
      <w:rPr>
        <w:rFonts w:hint="default"/>
        <w:u w:val="none"/>
      </w:rPr>
    </w:lvl>
    <w:lvl w:ilvl="1">
      <w:start w:val="10"/>
      <w:numFmt w:val="decimal"/>
      <w:lvlText w:val="%1.%2"/>
      <w:lvlJc w:val="left"/>
      <w:pPr>
        <w:ind w:left="1838" w:hanging="420"/>
      </w:pPr>
      <w:rPr>
        <w:rFonts w:hint="default"/>
        <w:u w:val="none"/>
      </w:rPr>
    </w:lvl>
    <w:lvl w:ilvl="2">
      <w:start w:val="1"/>
      <w:numFmt w:val="decimal"/>
      <w:lvlText w:val="%1.%2.%3"/>
      <w:lvlJc w:val="left"/>
      <w:pPr>
        <w:ind w:left="1860" w:hanging="720"/>
      </w:pPr>
      <w:rPr>
        <w:rFonts w:hint="default"/>
        <w:u w:val="none"/>
      </w:rPr>
    </w:lvl>
    <w:lvl w:ilvl="3">
      <w:start w:val="1"/>
      <w:numFmt w:val="decimal"/>
      <w:lvlText w:val="%1.%2.%3.%4"/>
      <w:lvlJc w:val="left"/>
      <w:pPr>
        <w:ind w:left="2430" w:hanging="720"/>
      </w:pPr>
      <w:rPr>
        <w:rFonts w:hint="default"/>
        <w:u w:val="none"/>
      </w:rPr>
    </w:lvl>
    <w:lvl w:ilvl="4">
      <w:start w:val="1"/>
      <w:numFmt w:val="decimal"/>
      <w:lvlText w:val="%1.%2.%3.%4.%5"/>
      <w:lvlJc w:val="left"/>
      <w:pPr>
        <w:ind w:left="3360" w:hanging="1080"/>
      </w:pPr>
      <w:rPr>
        <w:rFonts w:hint="default"/>
        <w:u w:val="none"/>
      </w:rPr>
    </w:lvl>
    <w:lvl w:ilvl="5">
      <w:start w:val="1"/>
      <w:numFmt w:val="decimal"/>
      <w:lvlText w:val="%1.%2.%3.%4.%5.%6"/>
      <w:lvlJc w:val="left"/>
      <w:pPr>
        <w:ind w:left="3930" w:hanging="1080"/>
      </w:pPr>
      <w:rPr>
        <w:rFonts w:hint="default"/>
        <w:u w:val="none"/>
      </w:rPr>
    </w:lvl>
    <w:lvl w:ilvl="6">
      <w:start w:val="1"/>
      <w:numFmt w:val="decimal"/>
      <w:lvlText w:val="%1.%2.%3.%4.%5.%6.%7"/>
      <w:lvlJc w:val="left"/>
      <w:pPr>
        <w:ind w:left="4860" w:hanging="1440"/>
      </w:pPr>
      <w:rPr>
        <w:rFonts w:hint="default"/>
        <w:u w:val="none"/>
      </w:rPr>
    </w:lvl>
    <w:lvl w:ilvl="7">
      <w:start w:val="1"/>
      <w:numFmt w:val="decimal"/>
      <w:lvlText w:val="%1.%2.%3.%4.%5.%6.%7.%8"/>
      <w:lvlJc w:val="left"/>
      <w:pPr>
        <w:ind w:left="5430" w:hanging="1440"/>
      </w:pPr>
      <w:rPr>
        <w:rFonts w:hint="default"/>
        <w:u w:val="none"/>
      </w:rPr>
    </w:lvl>
    <w:lvl w:ilvl="8">
      <w:start w:val="1"/>
      <w:numFmt w:val="decimal"/>
      <w:lvlText w:val="%1.%2.%3.%4.%5.%6.%7.%8.%9"/>
      <w:lvlJc w:val="left"/>
      <w:pPr>
        <w:ind w:left="6360" w:hanging="1800"/>
      </w:pPr>
      <w:rPr>
        <w:rFonts w:hint="default"/>
        <w:u w:val="none"/>
      </w:rPr>
    </w:lvl>
  </w:abstractNum>
  <w:abstractNum w:abstractNumId="27" w15:restartNumberingAfterBreak="0">
    <w:nsid w:val="7CAC2785"/>
    <w:multiLevelType w:val="hybridMultilevel"/>
    <w:tmpl w:val="11E4A8C4"/>
    <w:lvl w:ilvl="0" w:tplc="E9642C60">
      <w:start w:val="1"/>
      <w:numFmt w:val="decimal"/>
      <w:lvlText w:val="%1"/>
      <w:lvlJc w:val="left"/>
      <w:pPr>
        <w:ind w:left="570" w:hanging="570"/>
      </w:pPr>
      <w:rPr>
        <w:rFonts w:asciiTheme="minorHAnsi" w:hAnsiTheme="minorHAnsi" w:cstheme="minorHAnsi" w:hint="default"/>
        <w:b w:val="0"/>
        <w:bCs w:val="0"/>
        <w:strike w:val="0"/>
        <w:color w:val="auto"/>
        <w:sz w:val="24"/>
        <w:szCs w:val="24"/>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693786">
    <w:abstractNumId w:val="0"/>
  </w:num>
  <w:num w:numId="2" w16cid:durableId="427235301">
    <w:abstractNumId w:val="27"/>
  </w:num>
  <w:num w:numId="3" w16cid:durableId="406878332">
    <w:abstractNumId w:val="24"/>
  </w:num>
  <w:num w:numId="4" w16cid:durableId="55472107">
    <w:abstractNumId w:val="25"/>
  </w:num>
  <w:num w:numId="5" w16cid:durableId="1452435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4576403">
    <w:abstractNumId w:val="22"/>
  </w:num>
  <w:num w:numId="7" w16cid:durableId="913055225">
    <w:abstractNumId w:val="14"/>
  </w:num>
  <w:num w:numId="8" w16cid:durableId="1047560058">
    <w:abstractNumId w:val="23"/>
  </w:num>
  <w:num w:numId="9" w16cid:durableId="226652077">
    <w:abstractNumId w:val="1"/>
  </w:num>
  <w:num w:numId="10" w16cid:durableId="2055345937">
    <w:abstractNumId w:val="26"/>
  </w:num>
  <w:num w:numId="11" w16cid:durableId="1292983597">
    <w:abstractNumId w:val="10"/>
  </w:num>
  <w:num w:numId="12" w16cid:durableId="1770277703">
    <w:abstractNumId w:val="4"/>
  </w:num>
  <w:num w:numId="13" w16cid:durableId="1651638295">
    <w:abstractNumId w:val="5"/>
  </w:num>
  <w:num w:numId="14" w16cid:durableId="427819797">
    <w:abstractNumId w:val="19"/>
  </w:num>
  <w:num w:numId="15" w16cid:durableId="1730572646">
    <w:abstractNumId w:val="8"/>
  </w:num>
  <w:num w:numId="16" w16cid:durableId="1310865423">
    <w:abstractNumId w:val="12"/>
  </w:num>
  <w:num w:numId="17" w16cid:durableId="1429618570">
    <w:abstractNumId w:val="17"/>
  </w:num>
  <w:num w:numId="18" w16cid:durableId="589192706">
    <w:abstractNumId w:val="9"/>
  </w:num>
  <w:num w:numId="19" w16cid:durableId="1501699578">
    <w:abstractNumId w:val="13"/>
  </w:num>
  <w:num w:numId="20" w16cid:durableId="421805537">
    <w:abstractNumId w:val="18"/>
  </w:num>
  <w:num w:numId="21" w16cid:durableId="422648612">
    <w:abstractNumId w:val="16"/>
  </w:num>
  <w:num w:numId="22" w16cid:durableId="1331518645">
    <w:abstractNumId w:val="20"/>
  </w:num>
  <w:num w:numId="23" w16cid:durableId="1746338025">
    <w:abstractNumId w:val="6"/>
  </w:num>
  <w:num w:numId="24" w16cid:durableId="997728999">
    <w:abstractNumId w:val="15"/>
  </w:num>
  <w:num w:numId="25" w16cid:durableId="633485693">
    <w:abstractNumId w:val="7"/>
  </w:num>
  <w:num w:numId="26" w16cid:durableId="1731810104">
    <w:abstractNumId w:val="21"/>
  </w:num>
  <w:num w:numId="27" w16cid:durableId="1124081954">
    <w:abstractNumId w:val="2"/>
  </w:num>
  <w:num w:numId="28" w16cid:durableId="20798613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12468"/>
    <w:rsid w:val="0002183E"/>
    <w:rsid w:val="00030AF1"/>
    <w:rsid w:val="000569B4"/>
    <w:rsid w:val="00057A81"/>
    <w:rsid w:val="00061FF1"/>
    <w:rsid w:val="00066917"/>
    <w:rsid w:val="00067380"/>
    <w:rsid w:val="00080E82"/>
    <w:rsid w:val="0008342A"/>
    <w:rsid w:val="0009102D"/>
    <w:rsid w:val="00094C6B"/>
    <w:rsid w:val="000957A1"/>
    <w:rsid w:val="0009602F"/>
    <w:rsid w:val="000963C2"/>
    <w:rsid w:val="000A17CC"/>
    <w:rsid w:val="000B2DE7"/>
    <w:rsid w:val="000B75B3"/>
    <w:rsid w:val="000C60D5"/>
    <w:rsid w:val="000C6E3F"/>
    <w:rsid w:val="000D143D"/>
    <w:rsid w:val="000D1E72"/>
    <w:rsid w:val="000E568E"/>
    <w:rsid w:val="000F116B"/>
    <w:rsid w:val="000F25DD"/>
    <w:rsid w:val="001028FE"/>
    <w:rsid w:val="00116E3D"/>
    <w:rsid w:val="0013302A"/>
    <w:rsid w:val="00143322"/>
    <w:rsid w:val="0014734F"/>
    <w:rsid w:val="00147684"/>
    <w:rsid w:val="0015710D"/>
    <w:rsid w:val="00163A32"/>
    <w:rsid w:val="00165D06"/>
    <w:rsid w:val="00166DA0"/>
    <w:rsid w:val="00172BB0"/>
    <w:rsid w:val="00191580"/>
    <w:rsid w:val="00192B41"/>
    <w:rsid w:val="001A7F51"/>
    <w:rsid w:val="001B1A7A"/>
    <w:rsid w:val="001B2BA5"/>
    <w:rsid w:val="001B3989"/>
    <w:rsid w:val="001B4A0D"/>
    <w:rsid w:val="001B57AB"/>
    <w:rsid w:val="001B7B09"/>
    <w:rsid w:val="001D5A02"/>
    <w:rsid w:val="001E23F3"/>
    <w:rsid w:val="001E6719"/>
    <w:rsid w:val="001E7F50"/>
    <w:rsid w:val="001F2C02"/>
    <w:rsid w:val="001F7B47"/>
    <w:rsid w:val="00225368"/>
    <w:rsid w:val="00227FF0"/>
    <w:rsid w:val="00232149"/>
    <w:rsid w:val="00235368"/>
    <w:rsid w:val="002454E2"/>
    <w:rsid w:val="0024580C"/>
    <w:rsid w:val="00255DA4"/>
    <w:rsid w:val="002860BD"/>
    <w:rsid w:val="00291929"/>
    <w:rsid w:val="00291EB6"/>
    <w:rsid w:val="00291F6D"/>
    <w:rsid w:val="002A02EF"/>
    <w:rsid w:val="002B6A23"/>
    <w:rsid w:val="002C7AB2"/>
    <w:rsid w:val="002D2F57"/>
    <w:rsid w:val="002D48C5"/>
    <w:rsid w:val="002E1F5B"/>
    <w:rsid w:val="002E2BBB"/>
    <w:rsid w:val="002E577C"/>
    <w:rsid w:val="002F4D48"/>
    <w:rsid w:val="002F6C26"/>
    <w:rsid w:val="0030643F"/>
    <w:rsid w:val="00311803"/>
    <w:rsid w:val="0032364D"/>
    <w:rsid w:val="0032631B"/>
    <w:rsid w:val="0033025A"/>
    <w:rsid w:val="00334590"/>
    <w:rsid w:val="00336417"/>
    <w:rsid w:val="00343118"/>
    <w:rsid w:val="003467A1"/>
    <w:rsid w:val="00355165"/>
    <w:rsid w:val="00360F88"/>
    <w:rsid w:val="0037701E"/>
    <w:rsid w:val="00391A59"/>
    <w:rsid w:val="003A5A09"/>
    <w:rsid w:val="003C1709"/>
    <w:rsid w:val="003D3C3B"/>
    <w:rsid w:val="003D7646"/>
    <w:rsid w:val="003E7795"/>
    <w:rsid w:val="003F099E"/>
    <w:rsid w:val="003F235E"/>
    <w:rsid w:val="003F6E7B"/>
    <w:rsid w:val="004023E0"/>
    <w:rsid w:val="00403DD8"/>
    <w:rsid w:val="00407967"/>
    <w:rsid w:val="00413E3A"/>
    <w:rsid w:val="00431ECE"/>
    <w:rsid w:val="004402E5"/>
    <w:rsid w:val="00442515"/>
    <w:rsid w:val="0044421F"/>
    <w:rsid w:val="004467E3"/>
    <w:rsid w:val="00454F71"/>
    <w:rsid w:val="0045686C"/>
    <w:rsid w:val="00477668"/>
    <w:rsid w:val="00483744"/>
    <w:rsid w:val="00484352"/>
    <w:rsid w:val="00485CC2"/>
    <w:rsid w:val="004918C4"/>
    <w:rsid w:val="00492C61"/>
    <w:rsid w:val="00497703"/>
    <w:rsid w:val="004A0374"/>
    <w:rsid w:val="004A45B5"/>
    <w:rsid w:val="004A62DA"/>
    <w:rsid w:val="004D0129"/>
    <w:rsid w:val="004D3B4C"/>
    <w:rsid w:val="004E0AA7"/>
    <w:rsid w:val="00507EA2"/>
    <w:rsid w:val="00510327"/>
    <w:rsid w:val="00514991"/>
    <w:rsid w:val="00515C3A"/>
    <w:rsid w:val="0052224D"/>
    <w:rsid w:val="00537CD9"/>
    <w:rsid w:val="0054053D"/>
    <w:rsid w:val="00547B1A"/>
    <w:rsid w:val="00566B62"/>
    <w:rsid w:val="00597715"/>
    <w:rsid w:val="005A64D5"/>
    <w:rsid w:val="005B0E8E"/>
    <w:rsid w:val="005B3DEC"/>
    <w:rsid w:val="005B5CF7"/>
    <w:rsid w:val="005C37DA"/>
    <w:rsid w:val="005D6C67"/>
    <w:rsid w:val="005E266A"/>
    <w:rsid w:val="005E37F2"/>
    <w:rsid w:val="005E696F"/>
    <w:rsid w:val="005F20DB"/>
    <w:rsid w:val="005F2B38"/>
    <w:rsid w:val="00601994"/>
    <w:rsid w:val="00601C27"/>
    <w:rsid w:val="006060B6"/>
    <w:rsid w:val="006068BF"/>
    <w:rsid w:val="00606AB7"/>
    <w:rsid w:val="00612491"/>
    <w:rsid w:val="00621498"/>
    <w:rsid w:val="00621926"/>
    <w:rsid w:val="00627FAB"/>
    <w:rsid w:val="006457E5"/>
    <w:rsid w:val="00654BAB"/>
    <w:rsid w:val="00660449"/>
    <w:rsid w:val="00672F8A"/>
    <w:rsid w:val="00683EAB"/>
    <w:rsid w:val="00692311"/>
    <w:rsid w:val="00696F76"/>
    <w:rsid w:val="006973B9"/>
    <w:rsid w:val="006A38AB"/>
    <w:rsid w:val="006A7395"/>
    <w:rsid w:val="006B2B46"/>
    <w:rsid w:val="006B46EC"/>
    <w:rsid w:val="006B63B1"/>
    <w:rsid w:val="006B6D33"/>
    <w:rsid w:val="006C2F75"/>
    <w:rsid w:val="006C7798"/>
    <w:rsid w:val="006E043B"/>
    <w:rsid w:val="006E2D42"/>
    <w:rsid w:val="006E696D"/>
    <w:rsid w:val="006E78A3"/>
    <w:rsid w:val="007034BC"/>
    <w:rsid w:val="00703676"/>
    <w:rsid w:val="00707304"/>
    <w:rsid w:val="00717A4F"/>
    <w:rsid w:val="00731BFB"/>
    <w:rsid w:val="00732269"/>
    <w:rsid w:val="00740F85"/>
    <w:rsid w:val="00753FE8"/>
    <w:rsid w:val="00762555"/>
    <w:rsid w:val="00774845"/>
    <w:rsid w:val="0078304C"/>
    <w:rsid w:val="00785361"/>
    <w:rsid w:val="00785ABD"/>
    <w:rsid w:val="00796BD3"/>
    <w:rsid w:val="007A2DD4"/>
    <w:rsid w:val="007A6F16"/>
    <w:rsid w:val="007B38D5"/>
    <w:rsid w:val="007B4277"/>
    <w:rsid w:val="007B5A34"/>
    <w:rsid w:val="007B63F8"/>
    <w:rsid w:val="007D060D"/>
    <w:rsid w:val="007D38B5"/>
    <w:rsid w:val="007E7EA0"/>
    <w:rsid w:val="007F67FE"/>
    <w:rsid w:val="0080012C"/>
    <w:rsid w:val="008017CF"/>
    <w:rsid w:val="00802B51"/>
    <w:rsid w:val="00806C72"/>
    <w:rsid w:val="00807255"/>
    <w:rsid w:val="0081023E"/>
    <w:rsid w:val="00813097"/>
    <w:rsid w:val="008173AA"/>
    <w:rsid w:val="00835086"/>
    <w:rsid w:val="00840A14"/>
    <w:rsid w:val="00852122"/>
    <w:rsid w:val="00870E62"/>
    <w:rsid w:val="00871965"/>
    <w:rsid w:val="00886FB0"/>
    <w:rsid w:val="008947BF"/>
    <w:rsid w:val="00897864"/>
    <w:rsid w:val="008A0C36"/>
    <w:rsid w:val="008A35F7"/>
    <w:rsid w:val="008A4713"/>
    <w:rsid w:val="008B62B4"/>
    <w:rsid w:val="008D2D7B"/>
    <w:rsid w:val="008D58F5"/>
    <w:rsid w:val="008E0737"/>
    <w:rsid w:val="008E3E9F"/>
    <w:rsid w:val="008E55F2"/>
    <w:rsid w:val="008F1FB7"/>
    <w:rsid w:val="008F5CF8"/>
    <w:rsid w:val="008F627E"/>
    <w:rsid w:val="008F7C2C"/>
    <w:rsid w:val="009053A9"/>
    <w:rsid w:val="0090797F"/>
    <w:rsid w:val="00911D01"/>
    <w:rsid w:val="00917BA2"/>
    <w:rsid w:val="009213C1"/>
    <w:rsid w:val="00922DE4"/>
    <w:rsid w:val="00940E96"/>
    <w:rsid w:val="00947E37"/>
    <w:rsid w:val="009502B6"/>
    <w:rsid w:val="009520F9"/>
    <w:rsid w:val="00953733"/>
    <w:rsid w:val="00957FB1"/>
    <w:rsid w:val="00967CBA"/>
    <w:rsid w:val="00971AD9"/>
    <w:rsid w:val="009A3216"/>
    <w:rsid w:val="009A514D"/>
    <w:rsid w:val="009B0BAE"/>
    <w:rsid w:val="009C1C89"/>
    <w:rsid w:val="009D049B"/>
    <w:rsid w:val="009D3A6E"/>
    <w:rsid w:val="009E210A"/>
    <w:rsid w:val="009E5311"/>
    <w:rsid w:val="009E7F25"/>
    <w:rsid w:val="009F233D"/>
    <w:rsid w:val="009F3448"/>
    <w:rsid w:val="009F405D"/>
    <w:rsid w:val="009F5EA8"/>
    <w:rsid w:val="009F6BBF"/>
    <w:rsid w:val="00A01CF9"/>
    <w:rsid w:val="00A022EB"/>
    <w:rsid w:val="00A30450"/>
    <w:rsid w:val="00A4418B"/>
    <w:rsid w:val="00A57B7C"/>
    <w:rsid w:val="00A62DD2"/>
    <w:rsid w:val="00A65E5F"/>
    <w:rsid w:val="00A71773"/>
    <w:rsid w:val="00A77509"/>
    <w:rsid w:val="00A8264B"/>
    <w:rsid w:val="00A91F97"/>
    <w:rsid w:val="00A94352"/>
    <w:rsid w:val="00AB2CDE"/>
    <w:rsid w:val="00AB423A"/>
    <w:rsid w:val="00AB474A"/>
    <w:rsid w:val="00AC2193"/>
    <w:rsid w:val="00AC23E7"/>
    <w:rsid w:val="00AE2C85"/>
    <w:rsid w:val="00AF0E21"/>
    <w:rsid w:val="00B032C4"/>
    <w:rsid w:val="00B12A37"/>
    <w:rsid w:val="00B14386"/>
    <w:rsid w:val="00B16BCB"/>
    <w:rsid w:val="00B3735C"/>
    <w:rsid w:val="00B41837"/>
    <w:rsid w:val="00B54145"/>
    <w:rsid w:val="00B63EF2"/>
    <w:rsid w:val="00B74557"/>
    <w:rsid w:val="00B779E6"/>
    <w:rsid w:val="00B81E6A"/>
    <w:rsid w:val="00B82ECB"/>
    <w:rsid w:val="00B873BF"/>
    <w:rsid w:val="00B87EFD"/>
    <w:rsid w:val="00B94A20"/>
    <w:rsid w:val="00BA7D89"/>
    <w:rsid w:val="00BB4DD0"/>
    <w:rsid w:val="00BC0D39"/>
    <w:rsid w:val="00BC221A"/>
    <w:rsid w:val="00BC7BC0"/>
    <w:rsid w:val="00BD26FA"/>
    <w:rsid w:val="00BD57B7"/>
    <w:rsid w:val="00BE1CA8"/>
    <w:rsid w:val="00BE285C"/>
    <w:rsid w:val="00BE4441"/>
    <w:rsid w:val="00BE63E2"/>
    <w:rsid w:val="00C102A7"/>
    <w:rsid w:val="00C226B3"/>
    <w:rsid w:val="00C3139E"/>
    <w:rsid w:val="00C346F7"/>
    <w:rsid w:val="00C37224"/>
    <w:rsid w:val="00C567FD"/>
    <w:rsid w:val="00C663FA"/>
    <w:rsid w:val="00C67505"/>
    <w:rsid w:val="00C72B42"/>
    <w:rsid w:val="00C732E8"/>
    <w:rsid w:val="00C95673"/>
    <w:rsid w:val="00CA2D5D"/>
    <w:rsid w:val="00CA4C14"/>
    <w:rsid w:val="00CB0F23"/>
    <w:rsid w:val="00CD2009"/>
    <w:rsid w:val="00CE2183"/>
    <w:rsid w:val="00CF1B73"/>
    <w:rsid w:val="00CF3DA3"/>
    <w:rsid w:val="00CF4C4E"/>
    <w:rsid w:val="00CF629C"/>
    <w:rsid w:val="00D21A3E"/>
    <w:rsid w:val="00D25D25"/>
    <w:rsid w:val="00D34817"/>
    <w:rsid w:val="00D4567B"/>
    <w:rsid w:val="00D56593"/>
    <w:rsid w:val="00D70A89"/>
    <w:rsid w:val="00D8342B"/>
    <w:rsid w:val="00D92EEA"/>
    <w:rsid w:val="00DA2C17"/>
    <w:rsid w:val="00DA5D4E"/>
    <w:rsid w:val="00DB1D37"/>
    <w:rsid w:val="00DC0BD7"/>
    <w:rsid w:val="00DC0E8F"/>
    <w:rsid w:val="00DD7E62"/>
    <w:rsid w:val="00DF48A9"/>
    <w:rsid w:val="00DF6F9A"/>
    <w:rsid w:val="00E13004"/>
    <w:rsid w:val="00E13BCC"/>
    <w:rsid w:val="00E176BA"/>
    <w:rsid w:val="00E24E75"/>
    <w:rsid w:val="00E25FB5"/>
    <w:rsid w:val="00E264C5"/>
    <w:rsid w:val="00E303F2"/>
    <w:rsid w:val="00E3139E"/>
    <w:rsid w:val="00E33CE0"/>
    <w:rsid w:val="00E35760"/>
    <w:rsid w:val="00E3770A"/>
    <w:rsid w:val="00E423EC"/>
    <w:rsid w:val="00E445F6"/>
    <w:rsid w:val="00E46908"/>
    <w:rsid w:val="00E55121"/>
    <w:rsid w:val="00E7323B"/>
    <w:rsid w:val="00E870A5"/>
    <w:rsid w:val="00E929B5"/>
    <w:rsid w:val="00E94B73"/>
    <w:rsid w:val="00EA040D"/>
    <w:rsid w:val="00EA5216"/>
    <w:rsid w:val="00EA5D58"/>
    <w:rsid w:val="00EB2FC1"/>
    <w:rsid w:val="00EB4FCB"/>
    <w:rsid w:val="00EC6BC5"/>
    <w:rsid w:val="00EE4C95"/>
    <w:rsid w:val="00EE4F94"/>
    <w:rsid w:val="00EF3E42"/>
    <w:rsid w:val="00EF47AC"/>
    <w:rsid w:val="00F006D7"/>
    <w:rsid w:val="00F017FB"/>
    <w:rsid w:val="00F144A7"/>
    <w:rsid w:val="00F1532B"/>
    <w:rsid w:val="00F16245"/>
    <w:rsid w:val="00F343A4"/>
    <w:rsid w:val="00F35898"/>
    <w:rsid w:val="00F378FA"/>
    <w:rsid w:val="00F41A0E"/>
    <w:rsid w:val="00F51BBD"/>
    <w:rsid w:val="00F5225B"/>
    <w:rsid w:val="00F55D0E"/>
    <w:rsid w:val="00F81957"/>
    <w:rsid w:val="00F83C58"/>
    <w:rsid w:val="00F847FD"/>
    <w:rsid w:val="00FA0A0E"/>
    <w:rsid w:val="00FA15F6"/>
    <w:rsid w:val="00FA1651"/>
    <w:rsid w:val="00FA5DE5"/>
    <w:rsid w:val="00FB6843"/>
    <w:rsid w:val="00FC7E1A"/>
    <w:rsid w:val="00FD41E0"/>
    <w:rsid w:val="00FD497C"/>
    <w:rsid w:val="00FE0482"/>
    <w:rsid w:val="00FE0DEB"/>
    <w:rsid w:val="00FE33F9"/>
    <w:rsid w:val="00FE3D19"/>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74075"/>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27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740F85"/>
    <w:pPr>
      <w:keepNext/>
      <w:keepLines/>
      <w:spacing w:before="480"/>
      <w:ind w:left="794" w:hanging="794"/>
      <w:outlineLvl w:val="0"/>
    </w:pPr>
    <w:rPr>
      <w:b/>
      <w:sz w:val="26"/>
    </w:rPr>
  </w:style>
  <w:style w:type="paragraph" w:styleId="Heading2">
    <w:name w:val="heading 2"/>
    <w:basedOn w:val="Heading1"/>
    <w:next w:val="Normal"/>
    <w:link w:val="Heading2Char"/>
    <w:qFormat/>
    <w:rsid w:val="00740F85"/>
    <w:pPr>
      <w:spacing w:before="320"/>
      <w:outlineLvl w:val="1"/>
    </w:pPr>
    <w:rPr>
      <w:sz w:val="22"/>
    </w:rPr>
  </w:style>
  <w:style w:type="paragraph" w:styleId="Heading3">
    <w:name w:val="heading 3"/>
    <w:basedOn w:val="Heading1"/>
    <w:next w:val="Normal"/>
    <w:link w:val="Heading3Char"/>
    <w:qFormat/>
    <w:rsid w:val="00232149"/>
    <w:pPr>
      <w:spacing w:before="200"/>
      <w:ind w:left="0" w:firstLine="0"/>
      <w:outlineLvl w:val="2"/>
    </w:pPr>
    <w:rPr>
      <w:sz w:val="22"/>
    </w:rPr>
  </w:style>
  <w:style w:type="paragraph" w:styleId="Heading4">
    <w:name w:val="heading 4"/>
    <w:basedOn w:val="Heading3"/>
    <w:next w:val="Normal"/>
    <w:link w:val="Heading4Char"/>
    <w:qFormat/>
    <w:rsid w:val="007A6F16"/>
    <w:pPr>
      <w:tabs>
        <w:tab w:val="clear" w:pos="794"/>
        <w:tab w:val="clear" w:pos="1191"/>
        <w:tab w:val="clear" w:pos="1588"/>
        <w:tab w:val="clear" w:pos="1985"/>
      </w:tabs>
      <w:outlineLvl w:val="3"/>
    </w:pPr>
  </w:style>
  <w:style w:type="paragraph" w:styleId="Heading5">
    <w:name w:val="heading 5"/>
    <w:basedOn w:val="Heading4"/>
    <w:next w:val="Normal"/>
    <w:link w:val="Heading5Char"/>
    <w:qFormat/>
    <w:rsid w:val="007A6F16"/>
    <w:pPr>
      <w:spacing w:before="280" w:after="120"/>
      <w:ind w:left="1985" w:hanging="1985"/>
      <w:outlineLvl w:val="4"/>
    </w:pPr>
    <w:rPr>
      <w:color w:val="4F81BD" w:themeColor="accent1"/>
    </w:rPr>
  </w:style>
  <w:style w:type="paragraph" w:styleId="Heading6">
    <w:name w:val="heading 6"/>
    <w:basedOn w:val="Heading4"/>
    <w:next w:val="Normal"/>
    <w:link w:val="Heading6Char"/>
    <w:qFormat/>
    <w:rsid w:val="00740F85"/>
    <w:pPr>
      <w:outlineLvl w:val="5"/>
    </w:pPr>
  </w:style>
  <w:style w:type="paragraph" w:styleId="Heading7">
    <w:name w:val="heading 7"/>
    <w:basedOn w:val="Heading6"/>
    <w:next w:val="Normal"/>
    <w:link w:val="Heading7Char"/>
    <w:qFormat/>
    <w:rsid w:val="00740F85"/>
    <w:pPr>
      <w:outlineLvl w:val="6"/>
    </w:pPr>
  </w:style>
  <w:style w:type="paragraph" w:styleId="Heading8">
    <w:name w:val="heading 8"/>
    <w:basedOn w:val="Heading6"/>
    <w:next w:val="Normal"/>
    <w:link w:val="Heading8Char"/>
    <w:qFormat/>
    <w:rsid w:val="00740F85"/>
    <w:pPr>
      <w:outlineLvl w:val="7"/>
    </w:pPr>
  </w:style>
  <w:style w:type="paragraph" w:styleId="Heading9">
    <w:name w:val="heading 9"/>
    <w:basedOn w:val="Heading6"/>
    <w:next w:val="Normal"/>
    <w:link w:val="Heading9Char"/>
    <w:qFormat/>
    <w:rsid w:val="00740F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740F85"/>
  </w:style>
  <w:style w:type="paragraph" w:styleId="TOC4">
    <w:name w:val="toc 4"/>
    <w:basedOn w:val="TOC3"/>
    <w:rsid w:val="00740F85"/>
    <w:pPr>
      <w:spacing w:before="80"/>
    </w:pPr>
  </w:style>
  <w:style w:type="paragraph" w:styleId="TOC3">
    <w:name w:val="toc 3"/>
    <w:basedOn w:val="TOC2"/>
    <w:uiPriority w:val="39"/>
    <w:rsid w:val="00740F85"/>
  </w:style>
  <w:style w:type="paragraph" w:styleId="TOC2">
    <w:name w:val="toc 2"/>
    <w:basedOn w:val="TOC1"/>
    <w:rsid w:val="00740F85"/>
    <w:pPr>
      <w:spacing w:before="160"/>
    </w:pPr>
  </w:style>
  <w:style w:type="paragraph" w:styleId="TOC1">
    <w:name w:val="toc 1"/>
    <w:basedOn w:val="Normal"/>
    <w:uiPriority w:val="39"/>
    <w:rsid w:val="00740F85"/>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740F85"/>
  </w:style>
  <w:style w:type="paragraph" w:styleId="TOC6">
    <w:name w:val="toc 6"/>
    <w:basedOn w:val="TOC4"/>
    <w:rsid w:val="00740F85"/>
  </w:style>
  <w:style w:type="paragraph" w:styleId="TOC5">
    <w:name w:val="toc 5"/>
    <w:basedOn w:val="TOC4"/>
    <w:rsid w:val="00740F85"/>
  </w:style>
  <w:style w:type="paragraph" w:styleId="Index7">
    <w:name w:val="index 7"/>
    <w:basedOn w:val="Normal"/>
    <w:next w:val="Normal"/>
    <w:rsid w:val="00740F85"/>
    <w:pPr>
      <w:ind w:left="1698"/>
    </w:pPr>
  </w:style>
  <w:style w:type="paragraph" w:styleId="Index6">
    <w:name w:val="index 6"/>
    <w:basedOn w:val="Normal"/>
    <w:next w:val="Normal"/>
    <w:rsid w:val="00740F85"/>
    <w:pPr>
      <w:ind w:left="1415"/>
    </w:pPr>
  </w:style>
  <w:style w:type="paragraph" w:styleId="Index5">
    <w:name w:val="index 5"/>
    <w:basedOn w:val="Normal"/>
    <w:next w:val="Normal"/>
    <w:rsid w:val="00740F85"/>
    <w:pPr>
      <w:ind w:left="1132"/>
    </w:pPr>
  </w:style>
  <w:style w:type="paragraph" w:styleId="Index4">
    <w:name w:val="index 4"/>
    <w:basedOn w:val="Normal"/>
    <w:next w:val="Normal"/>
    <w:rsid w:val="00740F85"/>
    <w:pPr>
      <w:ind w:left="849"/>
    </w:pPr>
  </w:style>
  <w:style w:type="paragraph" w:styleId="Index3">
    <w:name w:val="index 3"/>
    <w:basedOn w:val="Normal"/>
    <w:next w:val="Normal"/>
    <w:rsid w:val="00740F85"/>
    <w:pPr>
      <w:ind w:left="566"/>
    </w:pPr>
  </w:style>
  <w:style w:type="paragraph" w:styleId="Index2">
    <w:name w:val="index 2"/>
    <w:basedOn w:val="Normal"/>
    <w:next w:val="Normal"/>
    <w:rsid w:val="00740F85"/>
    <w:pPr>
      <w:ind w:left="283"/>
    </w:pPr>
  </w:style>
  <w:style w:type="paragraph" w:styleId="Index1">
    <w:name w:val="index 1"/>
    <w:basedOn w:val="Normal"/>
    <w:next w:val="Normal"/>
    <w:rsid w:val="00740F85"/>
  </w:style>
  <w:style w:type="character" w:styleId="LineNumber">
    <w:name w:val="line number"/>
    <w:basedOn w:val="DefaultParagraphFont"/>
    <w:rsid w:val="00740F85"/>
  </w:style>
  <w:style w:type="paragraph" w:styleId="IndexHeading">
    <w:name w:val="index heading"/>
    <w:basedOn w:val="Normal"/>
    <w:next w:val="Index1"/>
    <w:rsid w:val="00740F85"/>
  </w:style>
  <w:style w:type="paragraph" w:styleId="Footer">
    <w:name w:val="footer"/>
    <w:basedOn w:val="Normal"/>
    <w:link w:val="FooterChar"/>
    <w:rsid w:val="00740F85"/>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740F85"/>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740F85"/>
    <w:rPr>
      <w:position w:val="6"/>
      <w:sz w:val="16"/>
    </w:rPr>
  </w:style>
  <w:style w:type="paragraph" w:styleId="FootnoteText">
    <w:name w:val="footnote text"/>
    <w:basedOn w:val="Normal"/>
    <w:link w:val="FootnoteTextChar"/>
    <w:rsid w:val="00740F85"/>
    <w:pPr>
      <w:keepLines/>
      <w:tabs>
        <w:tab w:val="left" w:pos="255"/>
      </w:tabs>
      <w:spacing w:before="60"/>
      <w:ind w:left="284" w:hanging="284"/>
    </w:pPr>
    <w:rPr>
      <w:sz w:val="20"/>
    </w:rPr>
  </w:style>
  <w:style w:type="paragraph" w:styleId="NormalIndent">
    <w:name w:val="Normal Indent"/>
    <w:basedOn w:val="Normal"/>
    <w:rsid w:val="00740F85"/>
    <w:pPr>
      <w:ind w:left="794"/>
    </w:pPr>
  </w:style>
  <w:style w:type="paragraph" w:customStyle="1" w:styleId="enumlev1">
    <w:name w:val="enumlev1"/>
    <w:basedOn w:val="Normal"/>
    <w:link w:val="enumlev1Char"/>
    <w:rsid w:val="00740F85"/>
    <w:pPr>
      <w:tabs>
        <w:tab w:val="left" w:pos="2608"/>
        <w:tab w:val="left" w:pos="3345"/>
      </w:tabs>
      <w:spacing w:before="80"/>
      <w:ind w:left="794" w:hanging="794"/>
    </w:pPr>
  </w:style>
  <w:style w:type="paragraph" w:customStyle="1" w:styleId="enumlev2">
    <w:name w:val="enumlev2"/>
    <w:basedOn w:val="enumlev1"/>
    <w:rsid w:val="00740F85"/>
    <w:pPr>
      <w:ind w:left="1191" w:hanging="397"/>
    </w:pPr>
  </w:style>
  <w:style w:type="paragraph" w:customStyle="1" w:styleId="enumlev3">
    <w:name w:val="enumlev3"/>
    <w:basedOn w:val="enumlev2"/>
    <w:rsid w:val="00740F85"/>
    <w:pPr>
      <w:ind w:left="1588"/>
    </w:pPr>
  </w:style>
  <w:style w:type="paragraph" w:customStyle="1" w:styleId="Normalaftertitle">
    <w:name w:val="Normal after title"/>
    <w:basedOn w:val="Normal"/>
    <w:next w:val="Normal"/>
    <w:link w:val="NormalaftertitleChar"/>
    <w:rsid w:val="00740F85"/>
    <w:pPr>
      <w:spacing w:before="320"/>
    </w:pPr>
  </w:style>
  <w:style w:type="paragraph" w:customStyle="1" w:styleId="Equation">
    <w:name w:val="Equation"/>
    <w:basedOn w:val="Normal"/>
    <w:rsid w:val="00740F85"/>
    <w:pPr>
      <w:tabs>
        <w:tab w:val="clear" w:pos="1191"/>
        <w:tab w:val="clear" w:pos="1588"/>
        <w:tab w:val="clear" w:pos="1985"/>
        <w:tab w:val="center" w:pos="4820"/>
        <w:tab w:val="right" w:pos="9639"/>
      </w:tabs>
    </w:pPr>
  </w:style>
  <w:style w:type="paragraph" w:customStyle="1" w:styleId="Head">
    <w:name w:val="Head"/>
    <w:basedOn w:val="Normal"/>
    <w:rsid w:val="00740F85"/>
    <w:pPr>
      <w:tabs>
        <w:tab w:val="left" w:pos="6663"/>
      </w:tabs>
      <w:overflowPunct/>
      <w:autoSpaceDE/>
      <w:autoSpaceDN/>
      <w:adjustRightInd/>
      <w:spacing w:before="0"/>
      <w:textAlignment w:val="auto"/>
    </w:pPr>
  </w:style>
  <w:style w:type="paragraph" w:customStyle="1" w:styleId="toc0">
    <w:name w:val="toc 0"/>
    <w:basedOn w:val="Normal"/>
    <w:next w:val="TOC1"/>
    <w:rsid w:val="00740F85"/>
    <w:pPr>
      <w:tabs>
        <w:tab w:val="clear" w:pos="1191"/>
        <w:tab w:val="clear" w:pos="1588"/>
        <w:tab w:val="clear" w:pos="1985"/>
        <w:tab w:val="center" w:pos="8789"/>
      </w:tabs>
    </w:pPr>
    <w:rPr>
      <w:b/>
    </w:rPr>
  </w:style>
  <w:style w:type="paragraph" w:styleId="List">
    <w:name w:val="List"/>
    <w:basedOn w:val="Normal"/>
    <w:rsid w:val="00740F85"/>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740F85"/>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740F85"/>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740F85"/>
    <w:pPr>
      <w:spacing w:before="480"/>
      <w:jc w:val="center"/>
    </w:pPr>
    <w:rPr>
      <w:b/>
      <w:sz w:val="26"/>
    </w:rPr>
  </w:style>
  <w:style w:type="paragraph" w:customStyle="1" w:styleId="meeting">
    <w:name w:val="meeting"/>
    <w:basedOn w:val="Head"/>
    <w:next w:val="Head"/>
    <w:rsid w:val="00740F85"/>
    <w:pPr>
      <w:tabs>
        <w:tab w:val="left" w:pos="7371"/>
      </w:tabs>
      <w:spacing w:after="567"/>
    </w:pPr>
  </w:style>
  <w:style w:type="paragraph" w:customStyle="1" w:styleId="Subject">
    <w:name w:val="Subject"/>
    <w:basedOn w:val="Normal"/>
    <w:next w:val="Source"/>
    <w:rsid w:val="00740F85"/>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740F85"/>
  </w:style>
  <w:style w:type="paragraph" w:customStyle="1" w:styleId="Data">
    <w:name w:val="Data"/>
    <w:basedOn w:val="Subject"/>
    <w:next w:val="Subject"/>
    <w:rsid w:val="00740F85"/>
  </w:style>
  <w:style w:type="paragraph" w:customStyle="1" w:styleId="Reasons">
    <w:name w:val="Reasons"/>
    <w:basedOn w:val="Normal"/>
    <w:qFormat/>
    <w:rsid w:val="00740F85"/>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qFormat/>
    <w:rsid w:val="00740F85"/>
    <w:rPr>
      <w:color w:val="0000FF"/>
      <w:u w:val="single"/>
    </w:rPr>
  </w:style>
  <w:style w:type="paragraph" w:customStyle="1" w:styleId="FirstFooter">
    <w:name w:val="FirstFooter"/>
    <w:basedOn w:val="Footer"/>
    <w:rsid w:val="00740F85"/>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740F85"/>
    <w:pPr>
      <w:tabs>
        <w:tab w:val="clear" w:pos="794"/>
        <w:tab w:val="clear" w:pos="1191"/>
        <w:tab w:val="clear" w:pos="1588"/>
        <w:tab w:val="clear" w:pos="1985"/>
      </w:tabs>
      <w:spacing w:before="80"/>
    </w:pPr>
  </w:style>
  <w:style w:type="paragraph" w:styleId="TOC9">
    <w:name w:val="toc 9"/>
    <w:basedOn w:val="TOC4"/>
    <w:rsid w:val="00740F85"/>
  </w:style>
  <w:style w:type="paragraph" w:customStyle="1" w:styleId="Headingb">
    <w:name w:val="Heading_b"/>
    <w:basedOn w:val="Heading3"/>
    <w:next w:val="Normal"/>
    <w:rsid w:val="007A6F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rsid w:val="00740F85"/>
    <w:rPr>
      <w:color w:val="800080"/>
      <w:u w:val="single"/>
    </w:rPr>
  </w:style>
  <w:style w:type="paragraph" w:customStyle="1" w:styleId="Title1">
    <w:name w:val="Title 1"/>
    <w:basedOn w:val="Source"/>
    <w:next w:val="Title2"/>
    <w:rsid w:val="00740F8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740F85"/>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740F85"/>
    <w:pPr>
      <w:spacing w:before="240"/>
    </w:pPr>
    <w:rPr>
      <w:caps w:val="0"/>
    </w:rPr>
  </w:style>
  <w:style w:type="paragraph" w:customStyle="1" w:styleId="Title4">
    <w:name w:val="Title 4"/>
    <w:basedOn w:val="Title3"/>
    <w:next w:val="Heading1"/>
    <w:rsid w:val="00740F85"/>
    <w:rPr>
      <w:b/>
    </w:rPr>
  </w:style>
  <w:style w:type="paragraph" w:customStyle="1" w:styleId="dnum">
    <w:name w:val="dnum"/>
    <w:basedOn w:val="Normal"/>
    <w:rsid w:val="00740F8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740F8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740F8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740F85"/>
    <w:pPr>
      <w:keepNext/>
      <w:keepLines/>
      <w:spacing w:before="480" w:after="80"/>
      <w:jc w:val="center"/>
    </w:pPr>
    <w:rPr>
      <w:caps/>
      <w:sz w:val="26"/>
    </w:rPr>
  </w:style>
  <w:style w:type="paragraph" w:customStyle="1" w:styleId="Annextitle">
    <w:name w:val="Annex_title"/>
    <w:basedOn w:val="Normal"/>
    <w:next w:val="Annexref"/>
    <w:link w:val="AnnextitleChar"/>
    <w:rsid w:val="00740F85"/>
    <w:pPr>
      <w:keepNext/>
      <w:keepLines/>
      <w:spacing w:before="240" w:after="280"/>
      <w:jc w:val="center"/>
    </w:pPr>
    <w:rPr>
      <w:b/>
      <w:sz w:val="26"/>
    </w:rPr>
  </w:style>
  <w:style w:type="paragraph" w:customStyle="1" w:styleId="Annexref">
    <w:name w:val="Annex_ref"/>
    <w:basedOn w:val="Normal"/>
    <w:next w:val="Normalaftertitle"/>
    <w:rsid w:val="00740F85"/>
    <w:pPr>
      <w:keepNext/>
      <w:keepLines/>
      <w:spacing w:after="280"/>
      <w:jc w:val="center"/>
    </w:pPr>
  </w:style>
  <w:style w:type="paragraph" w:customStyle="1" w:styleId="AppendixNo">
    <w:name w:val="Appendix_No"/>
    <w:basedOn w:val="AnnexNo"/>
    <w:next w:val="Appendixtitle"/>
    <w:rsid w:val="00740F85"/>
  </w:style>
  <w:style w:type="paragraph" w:customStyle="1" w:styleId="Appendixtitle">
    <w:name w:val="Appendix_title"/>
    <w:basedOn w:val="Annextitle"/>
    <w:next w:val="Appendixref"/>
    <w:rsid w:val="00740F85"/>
  </w:style>
  <w:style w:type="paragraph" w:customStyle="1" w:styleId="Appendixref">
    <w:name w:val="Appendix_ref"/>
    <w:basedOn w:val="Annexref"/>
    <w:next w:val="Normalaftertitle"/>
    <w:rsid w:val="00740F85"/>
  </w:style>
  <w:style w:type="paragraph" w:customStyle="1" w:styleId="Call">
    <w:name w:val="Call"/>
    <w:basedOn w:val="Normal"/>
    <w:next w:val="Normal"/>
    <w:link w:val="CallChar"/>
    <w:rsid w:val="00740F85"/>
    <w:pPr>
      <w:keepNext/>
      <w:keepLines/>
      <w:spacing w:before="160"/>
      <w:ind w:left="794"/>
    </w:pPr>
    <w:rPr>
      <w:i/>
    </w:rPr>
  </w:style>
  <w:style w:type="character" w:styleId="EndnoteReference">
    <w:name w:val="endnote reference"/>
    <w:basedOn w:val="DefaultParagraphFont"/>
    <w:rsid w:val="00740F85"/>
    <w:rPr>
      <w:vertAlign w:val="superscript"/>
    </w:rPr>
  </w:style>
  <w:style w:type="paragraph" w:customStyle="1" w:styleId="Equationlegend">
    <w:name w:val="Equation_legend"/>
    <w:basedOn w:val="Normal"/>
    <w:rsid w:val="00740F85"/>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740F85"/>
    <w:pPr>
      <w:keepNext/>
      <w:keepLines/>
      <w:spacing w:after="120"/>
      <w:jc w:val="center"/>
    </w:pPr>
  </w:style>
  <w:style w:type="paragraph" w:customStyle="1" w:styleId="Figuretitle">
    <w:name w:val="Figure_title"/>
    <w:basedOn w:val="Tabletitle"/>
    <w:next w:val="Normalaftertitle"/>
    <w:rsid w:val="00740F85"/>
    <w:pPr>
      <w:spacing w:before="240" w:after="480"/>
    </w:pPr>
  </w:style>
  <w:style w:type="paragraph" w:customStyle="1" w:styleId="Tabletitle">
    <w:name w:val="Table_title"/>
    <w:basedOn w:val="TableNo"/>
    <w:next w:val="Tabletext"/>
    <w:link w:val="TabletitleChar"/>
    <w:rsid w:val="00740F85"/>
    <w:pPr>
      <w:spacing w:before="0"/>
    </w:pPr>
    <w:rPr>
      <w:b/>
      <w:caps w:val="0"/>
    </w:rPr>
  </w:style>
  <w:style w:type="paragraph" w:customStyle="1" w:styleId="TableNo">
    <w:name w:val="Table_No"/>
    <w:basedOn w:val="Normal"/>
    <w:next w:val="Tabletitle"/>
    <w:rsid w:val="00740F85"/>
    <w:pPr>
      <w:keepNext/>
      <w:spacing w:before="360" w:after="120"/>
      <w:jc w:val="center"/>
    </w:pPr>
    <w:rPr>
      <w:caps/>
    </w:rPr>
  </w:style>
  <w:style w:type="paragraph" w:customStyle="1" w:styleId="Tabletext">
    <w:name w:val="Table_text"/>
    <w:basedOn w:val="Normal"/>
    <w:rsid w:val="00F144A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18"/>
    </w:rPr>
  </w:style>
  <w:style w:type="paragraph" w:customStyle="1" w:styleId="Figurelegend">
    <w:name w:val="Figure_legend"/>
    <w:basedOn w:val="Normal"/>
    <w:rsid w:val="00740F85"/>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740F85"/>
    <w:pPr>
      <w:keepNext/>
      <w:keepLines/>
      <w:spacing w:before="240" w:after="120"/>
      <w:jc w:val="center"/>
    </w:pPr>
    <w:rPr>
      <w:caps/>
    </w:rPr>
  </w:style>
  <w:style w:type="paragraph" w:customStyle="1" w:styleId="Figurewithouttitle">
    <w:name w:val="Figure_without_title"/>
    <w:basedOn w:val="Figure"/>
    <w:next w:val="Normalaftertitle"/>
    <w:rsid w:val="00740F85"/>
    <w:pPr>
      <w:keepNext w:val="0"/>
      <w:spacing w:after="240"/>
    </w:pPr>
  </w:style>
  <w:style w:type="paragraph" w:customStyle="1" w:styleId="Headingi">
    <w:name w:val="Heading_i"/>
    <w:basedOn w:val="Heading3"/>
    <w:next w:val="Normal"/>
    <w:rsid w:val="00F81957"/>
    <w:pPr>
      <w:spacing w:before="160" w:after="120"/>
    </w:pPr>
    <w:rPr>
      <w:rFonts w:asciiTheme="minorHAnsi" w:hAnsiTheme="minorHAnsi"/>
      <w:b w:val="0"/>
      <w:i/>
    </w:rPr>
  </w:style>
  <w:style w:type="character" w:styleId="PageNumber">
    <w:name w:val="page number"/>
    <w:basedOn w:val="DefaultParagraphFont"/>
    <w:rsid w:val="00740F85"/>
    <w:rPr>
      <w:rFonts w:ascii="Calibri" w:hAnsi="Calibri"/>
    </w:rPr>
  </w:style>
  <w:style w:type="paragraph" w:customStyle="1" w:styleId="PartNo">
    <w:name w:val="Part_No"/>
    <w:basedOn w:val="AnnexNo"/>
    <w:next w:val="Parttitle"/>
    <w:rsid w:val="00740F85"/>
  </w:style>
  <w:style w:type="paragraph" w:customStyle="1" w:styleId="Parttitle">
    <w:name w:val="Part_title"/>
    <w:basedOn w:val="Annextitle"/>
    <w:next w:val="Partref"/>
    <w:rsid w:val="00740F85"/>
  </w:style>
  <w:style w:type="paragraph" w:customStyle="1" w:styleId="Partref">
    <w:name w:val="Part_ref"/>
    <w:basedOn w:val="Annexref"/>
    <w:next w:val="Normalaftertitle"/>
    <w:rsid w:val="00740F85"/>
  </w:style>
  <w:style w:type="paragraph" w:customStyle="1" w:styleId="RecNo">
    <w:name w:val="Rec_No"/>
    <w:basedOn w:val="Normal"/>
    <w:next w:val="Rectitle"/>
    <w:rsid w:val="00740F85"/>
    <w:pPr>
      <w:keepNext/>
      <w:keepLines/>
      <w:spacing w:before="480"/>
      <w:jc w:val="center"/>
    </w:pPr>
    <w:rPr>
      <w:caps/>
      <w:sz w:val="26"/>
    </w:rPr>
  </w:style>
  <w:style w:type="paragraph" w:customStyle="1" w:styleId="Rectitle">
    <w:name w:val="Rec_title"/>
    <w:basedOn w:val="RecNo"/>
    <w:next w:val="Recref"/>
    <w:rsid w:val="00740F85"/>
    <w:pPr>
      <w:spacing w:before="240"/>
    </w:pPr>
    <w:rPr>
      <w:b/>
      <w:caps w:val="0"/>
    </w:rPr>
  </w:style>
  <w:style w:type="paragraph" w:customStyle="1" w:styleId="Recref">
    <w:name w:val="Rec_ref"/>
    <w:basedOn w:val="Rectitle"/>
    <w:next w:val="Recdate"/>
    <w:rsid w:val="00740F85"/>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740F85"/>
    <w:pPr>
      <w:jc w:val="right"/>
    </w:pPr>
    <w:rPr>
      <w:sz w:val="22"/>
    </w:rPr>
  </w:style>
  <w:style w:type="paragraph" w:customStyle="1" w:styleId="Questiondate">
    <w:name w:val="Question_date"/>
    <w:basedOn w:val="Recdate"/>
    <w:next w:val="Normalaftertitle"/>
    <w:rsid w:val="00740F85"/>
  </w:style>
  <w:style w:type="paragraph" w:customStyle="1" w:styleId="QuestionNo">
    <w:name w:val="Question_No"/>
    <w:basedOn w:val="RecNo"/>
    <w:next w:val="Questiontitle"/>
    <w:rsid w:val="00740F85"/>
  </w:style>
  <w:style w:type="paragraph" w:customStyle="1" w:styleId="Questionref">
    <w:name w:val="Question_ref"/>
    <w:basedOn w:val="Recref"/>
    <w:next w:val="Questiondate"/>
    <w:rsid w:val="00740F85"/>
  </w:style>
  <w:style w:type="paragraph" w:customStyle="1" w:styleId="Questiontitle">
    <w:name w:val="Question_title"/>
    <w:basedOn w:val="Rectitle"/>
    <w:next w:val="Questionref"/>
    <w:rsid w:val="00740F85"/>
  </w:style>
  <w:style w:type="paragraph" w:customStyle="1" w:styleId="Reftext">
    <w:name w:val="Ref_text"/>
    <w:basedOn w:val="Normal"/>
    <w:rsid w:val="00740F85"/>
    <w:pPr>
      <w:ind w:left="794" w:hanging="794"/>
    </w:pPr>
  </w:style>
  <w:style w:type="paragraph" w:customStyle="1" w:styleId="Reftitle">
    <w:name w:val="Ref_title"/>
    <w:basedOn w:val="Normal"/>
    <w:next w:val="Reftext"/>
    <w:rsid w:val="00740F85"/>
    <w:pPr>
      <w:spacing w:before="480"/>
      <w:jc w:val="center"/>
    </w:pPr>
    <w:rPr>
      <w:caps/>
    </w:rPr>
  </w:style>
  <w:style w:type="paragraph" w:customStyle="1" w:styleId="Repdate">
    <w:name w:val="Rep_date"/>
    <w:basedOn w:val="Recdate"/>
    <w:next w:val="Normalaftertitle"/>
    <w:rsid w:val="00740F85"/>
  </w:style>
  <w:style w:type="paragraph" w:customStyle="1" w:styleId="RepNo">
    <w:name w:val="Rep_No"/>
    <w:basedOn w:val="RecNo"/>
    <w:next w:val="Reptitle"/>
    <w:rsid w:val="00740F85"/>
  </w:style>
  <w:style w:type="paragraph" w:customStyle="1" w:styleId="Reptitle">
    <w:name w:val="Rep_title"/>
    <w:basedOn w:val="Rectitle"/>
    <w:next w:val="Repref"/>
    <w:rsid w:val="00740F85"/>
  </w:style>
  <w:style w:type="paragraph" w:customStyle="1" w:styleId="Repref">
    <w:name w:val="Rep_ref"/>
    <w:basedOn w:val="Recref"/>
    <w:next w:val="Repdate"/>
    <w:rsid w:val="00740F85"/>
  </w:style>
  <w:style w:type="paragraph" w:customStyle="1" w:styleId="Resdate">
    <w:name w:val="Res_date"/>
    <w:basedOn w:val="Recdate"/>
    <w:next w:val="Normalaftertitle"/>
    <w:rsid w:val="00740F85"/>
  </w:style>
  <w:style w:type="paragraph" w:customStyle="1" w:styleId="ResNo">
    <w:name w:val="Res_No"/>
    <w:basedOn w:val="RecNo"/>
    <w:next w:val="Restitle"/>
    <w:rsid w:val="00740F85"/>
  </w:style>
  <w:style w:type="paragraph" w:customStyle="1" w:styleId="Restitle">
    <w:name w:val="Res_title"/>
    <w:basedOn w:val="Rectitle"/>
    <w:next w:val="Resref"/>
    <w:rsid w:val="00740F85"/>
  </w:style>
  <w:style w:type="paragraph" w:customStyle="1" w:styleId="Resref">
    <w:name w:val="Res_ref"/>
    <w:basedOn w:val="Recref"/>
    <w:next w:val="Resdate"/>
    <w:rsid w:val="00740F85"/>
  </w:style>
  <w:style w:type="paragraph" w:customStyle="1" w:styleId="SectionNo">
    <w:name w:val="Section_No"/>
    <w:basedOn w:val="AnnexNo"/>
    <w:next w:val="Sectiontitle"/>
    <w:rsid w:val="00740F85"/>
  </w:style>
  <w:style w:type="paragraph" w:customStyle="1" w:styleId="Sectiontitle">
    <w:name w:val="Section_title"/>
    <w:basedOn w:val="Normal"/>
    <w:next w:val="Normalaftertitle"/>
    <w:rsid w:val="00740F85"/>
    <w:rPr>
      <w:sz w:val="26"/>
    </w:rPr>
  </w:style>
  <w:style w:type="paragraph" w:customStyle="1" w:styleId="SpecialFooter">
    <w:name w:val="Special Footer"/>
    <w:basedOn w:val="Footer"/>
    <w:rsid w:val="00740F85"/>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FA1651"/>
    <w:pPr>
      <w:keepNext/>
      <w:spacing w:before="80" w:after="80"/>
      <w:jc w:val="center"/>
    </w:pPr>
    <w:rPr>
      <w:b/>
    </w:rPr>
  </w:style>
  <w:style w:type="paragraph" w:customStyle="1" w:styleId="Tablelegend">
    <w:name w:val="Table_legend"/>
    <w:basedOn w:val="Tabletext"/>
    <w:rsid w:val="00740F85"/>
    <w:pPr>
      <w:spacing w:before="120"/>
    </w:pPr>
  </w:style>
  <w:style w:type="paragraph" w:customStyle="1" w:styleId="Tableref">
    <w:name w:val="Table_ref"/>
    <w:basedOn w:val="Normal"/>
    <w:next w:val="Tabletitle"/>
    <w:rsid w:val="00740F85"/>
    <w:pPr>
      <w:keepNext/>
      <w:spacing w:before="567"/>
      <w:jc w:val="center"/>
    </w:pPr>
  </w:style>
  <w:style w:type="paragraph" w:customStyle="1" w:styleId="Artheading">
    <w:name w:val="Art_heading"/>
    <w:basedOn w:val="Normal"/>
    <w:next w:val="Normalaftertitle"/>
    <w:rsid w:val="00740F85"/>
    <w:pPr>
      <w:spacing w:before="480"/>
      <w:jc w:val="center"/>
    </w:pPr>
    <w:rPr>
      <w:rFonts w:ascii="Times New Roman Bold" w:hAnsi="Times New Roman Bold"/>
      <w:b/>
      <w:sz w:val="26"/>
    </w:rPr>
  </w:style>
  <w:style w:type="paragraph" w:customStyle="1" w:styleId="ArtNo">
    <w:name w:val="Art_No"/>
    <w:basedOn w:val="Normal"/>
    <w:next w:val="Normal"/>
    <w:rsid w:val="00740F85"/>
    <w:pPr>
      <w:keepNext/>
      <w:keepLines/>
      <w:spacing w:before="480"/>
      <w:jc w:val="center"/>
    </w:pPr>
    <w:rPr>
      <w:caps/>
      <w:sz w:val="26"/>
    </w:rPr>
  </w:style>
  <w:style w:type="paragraph" w:customStyle="1" w:styleId="Arttitle">
    <w:name w:val="Art_title"/>
    <w:basedOn w:val="Normal"/>
    <w:next w:val="Normalaftertitle"/>
    <w:rsid w:val="00291F6D"/>
    <w:pPr>
      <w:keepNext/>
      <w:keepLines/>
      <w:spacing w:before="240"/>
      <w:jc w:val="center"/>
    </w:pPr>
    <w:rPr>
      <w:b/>
      <w:color w:val="4F81BD"/>
      <w:sz w:val="26"/>
    </w:rPr>
  </w:style>
  <w:style w:type="paragraph" w:customStyle="1" w:styleId="ChapNo">
    <w:name w:val="Chap_No"/>
    <w:basedOn w:val="ArtNo"/>
    <w:next w:val="Chaptitle"/>
    <w:rsid w:val="00740F85"/>
    <w:rPr>
      <w:b/>
    </w:rPr>
  </w:style>
  <w:style w:type="paragraph" w:customStyle="1" w:styleId="Chaptitle">
    <w:name w:val="Chap_title"/>
    <w:basedOn w:val="Arttitle"/>
    <w:next w:val="Normalaftertitle"/>
    <w:rsid w:val="00740F85"/>
  </w:style>
  <w:style w:type="character" w:customStyle="1" w:styleId="HeaderChar">
    <w:name w:val="Header Char"/>
    <w:basedOn w:val="DefaultParagraphFont"/>
    <w:link w:val="Header"/>
    <w:uiPriority w:val="99"/>
    <w:rsid w:val="00740F85"/>
    <w:rPr>
      <w:rFonts w:ascii="Calibri" w:hAnsi="Calibri"/>
      <w:sz w:val="18"/>
      <w:lang w:val="fr-FR" w:eastAsia="en-US"/>
    </w:rPr>
  </w:style>
  <w:style w:type="table" w:styleId="TableGrid">
    <w:name w:val="Table Grid"/>
    <w:basedOn w:val="TableNormal"/>
    <w:uiPriority w:val="39"/>
    <w:rsid w:val="00740F8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40F85"/>
    <w:pPr>
      <w:framePr w:hSpace="180" w:wrap="around" w:hAnchor="page" w:x="1821" w:y="2317"/>
      <w:spacing w:before="120" w:after="160"/>
      <w:jc w:val="left"/>
    </w:pPr>
    <w:rPr>
      <w:caps w:val="0"/>
      <w:sz w:val="34"/>
    </w:rPr>
  </w:style>
  <w:style w:type="character" w:customStyle="1" w:styleId="FootnoteTextChar">
    <w:name w:val="Footnote Text Char"/>
    <w:basedOn w:val="DefaultParagraphFont"/>
    <w:link w:val="FootnoteText"/>
    <w:rsid w:val="00740F85"/>
    <w:rPr>
      <w:rFonts w:ascii="Calibri" w:hAnsi="Calibri"/>
      <w:lang w:val="en-GB" w:eastAsia="en-US"/>
    </w:rPr>
  </w:style>
  <w:style w:type="paragraph" w:styleId="NormalWeb">
    <w:name w:val="Normal (Web)"/>
    <w:basedOn w:val="Normal"/>
    <w:uiPriority w:val="99"/>
    <w:unhideWhenUsed/>
    <w:rsid w:val="00740F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740F85"/>
  </w:style>
  <w:style w:type="character" w:styleId="UnresolvedMention">
    <w:name w:val="Unresolved Mention"/>
    <w:basedOn w:val="DefaultParagraphFont"/>
    <w:uiPriority w:val="99"/>
    <w:unhideWhenUsed/>
    <w:rsid w:val="00740F85"/>
    <w:rPr>
      <w:color w:val="605E5C"/>
      <w:shd w:val="clear" w:color="auto" w:fill="E1DFDD"/>
    </w:rPr>
  </w:style>
  <w:style w:type="character" w:styleId="Strong">
    <w:name w:val="Strong"/>
    <w:uiPriority w:val="22"/>
    <w:qFormat/>
    <w:rsid w:val="008F627E"/>
    <w:rPr>
      <w:b/>
      <w:bCs/>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1"/>
    <w:qFormat/>
    <w:rsid w:val="008F627E"/>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SimSun" w:hAnsi="Times New Roman"/>
      <w:sz w:val="24"/>
      <w:szCs w:val="24"/>
      <w:lang w:val="en-US" w:eastAsia="zh-CN"/>
    </w:rPr>
  </w:style>
  <w:style w:type="paragraph" w:styleId="Title">
    <w:name w:val="Title"/>
    <w:basedOn w:val="Normal"/>
    <w:link w:val="TitleChar"/>
    <w:uiPriority w:val="10"/>
    <w:qFormat/>
    <w:rsid w:val="008F627E"/>
    <w:pP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b/>
      <w:bCs/>
      <w:szCs w:val="24"/>
      <w:lang w:eastAsia="zh-CN"/>
    </w:rPr>
  </w:style>
  <w:style w:type="character" w:customStyle="1" w:styleId="TitleChar">
    <w:name w:val="Title Char"/>
    <w:basedOn w:val="DefaultParagraphFont"/>
    <w:link w:val="Title"/>
    <w:uiPriority w:val="10"/>
    <w:rsid w:val="008F627E"/>
    <w:rPr>
      <w:rFonts w:ascii="Arial" w:eastAsia="SimSun" w:hAnsi="Arial"/>
      <w:b/>
      <w:bCs/>
      <w:sz w:val="22"/>
      <w:szCs w:val="24"/>
      <w:lang w:val="en-GB"/>
    </w:rPr>
  </w:style>
  <w:style w:type="paragraph" w:styleId="BodyText">
    <w:name w:val="Body Text"/>
    <w:basedOn w:val="Normal"/>
    <w:link w:val="BodyTextChar"/>
    <w:unhideWhenUsed/>
    <w:qFormat/>
    <w:rsid w:val="008F627E"/>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8F627E"/>
    <w:rPr>
      <w:rFonts w:ascii="Calibri" w:hAnsi="Calibri"/>
      <w:sz w:val="24"/>
      <w:lang w:val="en-GB" w:eastAsia="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1"/>
    <w:rsid w:val="008F627E"/>
    <w:rPr>
      <w:rFonts w:ascii="Times New Roman" w:eastAsia="SimSun" w:hAnsi="Times New Roman"/>
      <w:sz w:val="24"/>
      <w:szCs w:val="24"/>
    </w:rPr>
  </w:style>
  <w:style w:type="character" w:customStyle="1" w:styleId="enumlev1Char">
    <w:name w:val="enumlev1 Char"/>
    <w:basedOn w:val="DefaultParagraphFont"/>
    <w:link w:val="enumlev1"/>
    <w:locked/>
    <w:rsid w:val="007B63F8"/>
    <w:rPr>
      <w:rFonts w:ascii="Calibri" w:hAnsi="Calibri"/>
      <w:sz w:val="22"/>
      <w:lang w:val="en-GB" w:eastAsia="en-US"/>
    </w:rPr>
  </w:style>
  <w:style w:type="character" w:customStyle="1" w:styleId="AnnextitleChar">
    <w:name w:val="Annex_title Char"/>
    <w:basedOn w:val="DefaultParagraphFont"/>
    <w:link w:val="Annextitle"/>
    <w:locked/>
    <w:rsid w:val="008F5CF8"/>
    <w:rPr>
      <w:rFonts w:ascii="Calibri" w:hAnsi="Calibri"/>
      <w:b/>
      <w:sz w:val="26"/>
      <w:lang w:val="en-GB" w:eastAsia="en-US"/>
    </w:rPr>
  </w:style>
  <w:style w:type="character" w:customStyle="1" w:styleId="Heading5Char">
    <w:name w:val="Heading 5 Char"/>
    <w:link w:val="Heading5"/>
    <w:rsid w:val="007A6F16"/>
    <w:rPr>
      <w:rFonts w:ascii="Calibri" w:hAnsi="Calibri"/>
      <w:b/>
      <w:color w:val="4F81BD" w:themeColor="accent1"/>
      <w:sz w:val="22"/>
      <w:lang w:val="en-GB" w:eastAsia="en-US"/>
    </w:rPr>
  </w:style>
  <w:style w:type="character" w:customStyle="1" w:styleId="Heading2Char">
    <w:name w:val="Heading 2 Char"/>
    <w:link w:val="Heading2"/>
    <w:rsid w:val="00232149"/>
    <w:rPr>
      <w:rFonts w:ascii="Calibri" w:hAnsi="Calibri"/>
      <w:b/>
      <w:sz w:val="22"/>
      <w:lang w:val="en-GB" w:eastAsia="en-US"/>
    </w:rPr>
  </w:style>
  <w:style w:type="character" w:customStyle="1" w:styleId="Heading3Char">
    <w:name w:val="Heading 3 Char"/>
    <w:link w:val="Heading3"/>
    <w:rsid w:val="00232149"/>
    <w:rPr>
      <w:rFonts w:ascii="Calibri" w:hAnsi="Calibri"/>
      <w:b/>
      <w:sz w:val="22"/>
      <w:lang w:val="en-GB" w:eastAsia="en-US"/>
    </w:rPr>
  </w:style>
  <w:style w:type="numbering" w:customStyle="1" w:styleId="ListNo">
    <w:name w:val="List No"/>
    <w:uiPriority w:val="99"/>
    <w:semiHidden/>
    <w:unhideWhenUsed/>
    <w:rsid w:val="00EE4F94"/>
  </w:style>
  <w:style w:type="numbering" w:customStyle="1" w:styleId="ListNo0">
    <w:name w:val="List No0"/>
    <w:uiPriority w:val="99"/>
    <w:semiHidden/>
    <w:unhideWhenUsed/>
    <w:rsid w:val="00EE4F94"/>
  </w:style>
  <w:style w:type="numbering" w:customStyle="1" w:styleId="ListNo00">
    <w:name w:val="List No00"/>
    <w:uiPriority w:val="99"/>
    <w:semiHidden/>
    <w:unhideWhenUsed/>
    <w:rsid w:val="00EE4F94"/>
  </w:style>
  <w:style w:type="paragraph" w:customStyle="1" w:styleId="firstfooter0">
    <w:name w:val="firstfooter"/>
    <w:basedOn w:val="Normal"/>
    <w:rsid w:val="00EE4F94"/>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EE4F94"/>
    <w:pPr>
      <w:keepNext/>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link w:val="Heading1"/>
    <w:rsid w:val="00EE4F94"/>
    <w:rPr>
      <w:rFonts w:ascii="Calibri" w:hAnsi="Calibri"/>
      <w:b/>
      <w:sz w:val="26"/>
      <w:lang w:val="en-GB" w:eastAsia="en-US"/>
    </w:rPr>
  </w:style>
  <w:style w:type="character" w:customStyle="1" w:styleId="Heading4Char">
    <w:name w:val="Heading 4 Char"/>
    <w:link w:val="Heading4"/>
    <w:rsid w:val="00EE4F94"/>
    <w:rPr>
      <w:rFonts w:ascii="Calibri" w:hAnsi="Calibri"/>
      <w:b/>
      <w:sz w:val="22"/>
      <w:lang w:val="en-GB" w:eastAsia="en-US"/>
    </w:rPr>
  </w:style>
  <w:style w:type="character" w:customStyle="1" w:styleId="Heading6Char">
    <w:name w:val="Heading 6 Char"/>
    <w:link w:val="Heading6"/>
    <w:rsid w:val="00EE4F94"/>
    <w:rPr>
      <w:rFonts w:ascii="Calibri" w:hAnsi="Calibri"/>
      <w:b/>
      <w:sz w:val="22"/>
      <w:lang w:val="en-GB" w:eastAsia="en-US"/>
    </w:rPr>
  </w:style>
  <w:style w:type="character" w:customStyle="1" w:styleId="Heading7Char">
    <w:name w:val="Heading 7 Char"/>
    <w:link w:val="Heading7"/>
    <w:rsid w:val="00EE4F94"/>
    <w:rPr>
      <w:rFonts w:ascii="Calibri" w:hAnsi="Calibri"/>
      <w:b/>
      <w:sz w:val="22"/>
      <w:lang w:val="en-GB" w:eastAsia="en-US"/>
    </w:rPr>
  </w:style>
  <w:style w:type="character" w:customStyle="1" w:styleId="Heading8Char">
    <w:name w:val="Heading 8 Char"/>
    <w:link w:val="Heading8"/>
    <w:rsid w:val="00EE4F94"/>
    <w:rPr>
      <w:rFonts w:ascii="Calibri" w:hAnsi="Calibri"/>
      <w:b/>
      <w:sz w:val="22"/>
      <w:lang w:val="en-GB" w:eastAsia="en-US"/>
    </w:rPr>
  </w:style>
  <w:style w:type="character" w:customStyle="1" w:styleId="Heading9Char">
    <w:name w:val="Heading 9 Char"/>
    <w:link w:val="Heading9"/>
    <w:rsid w:val="00EE4F94"/>
    <w:rPr>
      <w:rFonts w:ascii="Calibri" w:hAnsi="Calibri"/>
      <w:b/>
      <w:sz w:val="22"/>
      <w:lang w:val="en-GB" w:eastAsia="en-US"/>
    </w:rPr>
  </w:style>
  <w:style w:type="character" w:customStyle="1" w:styleId="FooterChar">
    <w:name w:val="Footer Char"/>
    <w:link w:val="Footer"/>
    <w:rsid w:val="00EE4F94"/>
    <w:rPr>
      <w:rFonts w:ascii="Calibri" w:hAnsi="Calibri"/>
      <w:caps/>
      <w:noProof/>
      <w:sz w:val="16"/>
      <w:lang w:val="fr-FR" w:eastAsia="en-US"/>
    </w:rPr>
  </w:style>
  <w:style w:type="character" w:customStyle="1" w:styleId="NormalaftertitleChar">
    <w:name w:val="Normal after title Char"/>
    <w:link w:val="Normalaftertitle"/>
    <w:rsid w:val="00EE4F94"/>
    <w:rPr>
      <w:rFonts w:ascii="Calibri" w:hAnsi="Calibri"/>
      <w:sz w:val="22"/>
      <w:lang w:val="en-GB" w:eastAsia="en-US"/>
    </w:rPr>
  </w:style>
  <w:style w:type="character" w:customStyle="1" w:styleId="CallChar">
    <w:name w:val="Call Char"/>
    <w:link w:val="Call"/>
    <w:rsid w:val="00EE4F94"/>
    <w:rPr>
      <w:rFonts w:ascii="Calibri" w:hAnsi="Calibri"/>
      <w:i/>
      <w:sz w:val="22"/>
      <w:lang w:val="en-GB" w:eastAsia="en-US"/>
    </w:rPr>
  </w:style>
  <w:style w:type="paragraph" w:customStyle="1" w:styleId="TableText0">
    <w:name w:val="Table_Text"/>
    <w:basedOn w:val="Normal"/>
    <w:rsid w:val="00EE4F94"/>
    <w:pPr>
      <w:tabs>
        <w:tab w:val="left" w:pos="284"/>
        <w:tab w:val="left" w:pos="851"/>
        <w:tab w:val="left" w:pos="1418"/>
        <w:tab w:val="left" w:pos="2552"/>
        <w:tab w:val="left" w:pos="3119"/>
        <w:tab w:val="left" w:pos="3402"/>
        <w:tab w:val="left" w:pos="3686"/>
        <w:tab w:val="left" w:pos="3969"/>
      </w:tabs>
      <w:spacing w:before="40" w:after="40"/>
    </w:pPr>
    <w:rPr>
      <w:rFonts w:ascii="Times New Roman" w:hAnsi="Times New Roman"/>
      <w:lang w:val="fr-FR"/>
    </w:rPr>
  </w:style>
  <w:style w:type="paragraph" w:customStyle="1" w:styleId="TableHead0">
    <w:name w:val="Table_Head"/>
    <w:basedOn w:val="TableText0"/>
    <w:rsid w:val="00EE4F94"/>
    <w:pPr>
      <w:keepNext/>
      <w:spacing w:before="480" w:after="0"/>
      <w:jc w:val="center"/>
    </w:pPr>
    <w:rPr>
      <w:b/>
    </w:rPr>
  </w:style>
  <w:style w:type="paragraph" w:styleId="BalloonText">
    <w:name w:val="Balloon Text"/>
    <w:basedOn w:val="Normal"/>
    <w:link w:val="BalloonTextChar"/>
    <w:uiPriority w:val="99"/>
    <w:unhideWhenUsed/>
    <w:rsid w:val="00EE4F94"/>
    <w:pPr>
      <w:widowControl w:val="0"/>
      <w:kinsoku w:val="0"/>
      <w:overflowPunct/>
      <w:autoSpaceDE/>
      <w:autoSpaceDN/>
      <w:adjustRightInd/>
      <w:spacing w:before="0"/>
      <w:textAlignment w:val="auto"/>
    </w:pPr>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rsid w:val="00EE4F94"/>
    <w:rPr>
      <w:rFonts w:ascii="Tahoma" w:eastAsia="SimSun" w:hAnsi="Tahoma" w:cs="Tahoma"/>
      <w:sz w:val="16"/>
      <w:szCs w:val="16"/>
    </w:rPr>
  </w:style>
  <w:style w:type="paragraph" w:styleId="BodyTextIndent">
    <w:name w:val="Body Text Indent"/>
    <w:basedOn w:val="Normal"/>
    <w:link w:val="BodyTextIndentChar"/>
    <w:rsid w:val="00EE4F94"/>
    <w:pPr>
      <w:tabs>
        <w:tab w:val="left" w:pos="0"/>
        <w:tab w:val="left" w:pos="851"/>
      </w:tabs>
      <w:spacing w:before="80" w:line="0" w:lineRule="atLeast"/>
      <w:ind w:left="1134" w:hanging="283"/>
    </w:pPr>
    <w:rPr>
      <w:rFonts w:ascii="Times New Roman" w:hAnsi="Times New Roman"/>
      <w:lang w:val="fr-FR"/>
    </w:rPr>
  </w:style>
  <w:style w:type="character" w:customStyle="1" w:styleId="BodyTextIndentChar">
    <w:name w:val="Body Text Indent Char"/>
    <w:basedOn w:val="DefaultParagraphFont"/>
    <w:link w:val="BodyTextIndent"/>
    <w:rsid w:val="00EE4F94"/>
    <w:rPr>
      <w:rFonts w:ascii="Times New Roman" w:hAnsi="Times New Roman"/>
      <w:sz w:val="22"/>
      <w:lang w:val="fr-FR" w:eastAsia="en-US"/>
    </w:rPr>
  </w:style>
  <w:style w:type="paragraph" w:styleId="BodyTextIndent3">
    <w:name w:val="Body Text Indent 3"/>
    <w:basedOn w:val="Normal"/>
    <w:link w:val="BodyTextIndent3Char"/>
    <w:rsid w:val="00EE4F94"/>
    <w:pPr>
      <w:tabs>
        <w:tab w:val="left" w:pos="851"/>
        <w:tab w:val="left" w:pos="1418"/>
      </w:tabs>
      <w:spacing w:line="240" w:lineRule="atLeast"/>
      <w:ind w:left="34"/>
    </w:pPr>
    <w:rPr>
      <w:rFonts w:ascii="Times New Roman" w:hAnsi="Times New Roman"/>
      <w:lang w:val="fr-FR"/>
    </w:rPr>
  </w:style>
  <w:style w:type="character" w:customStyle="1" w:styleId="BodyTextIndent3Char">
    <w:name w:val="Body Text Indent 3 Char"/>
    <w:basedOn w:val="DefaultParagraphFont"/>
    <w:link w:val="BodyTextIndent3"/>
    <w:rsid w:val="00EE4F94"/>
    <w:rPr>
      <w:rFonts w:ascii="Times New Roman" w:hAnsi="Times New Roman"/>
      <w:sz w:val="22"/>
      <w:lang w:val="fr-FR" w:eastAsia="en-US"/>
    </w:rPr>
  </w:style>
  <w:style w:type="paragraph" w:styleId="BodyText3">
    <w:name w:val="Body Text 3"/>
    <w:basedOn w:val="Normal"/>
    <w:link w:val="BodyText3Char"/>
    <w:uiPriority w:val="99"/>
    <w:unhideWhenUsed/>
    <w:rsid w:val="00EE4F94"/>
    <w:pPr>
      <w:widowControl w:val="0"/>
      <w:kinsoku w:val="0"/>
      <w:overflowPunct/>
      <w:autoSpaceDE/>
      <w:autoSpaceDN/>
      <w:adjustRightInd/>
      <w:spacing w:before="0" w:after="120"/>
      <w:textAlignment w:val="auto"/>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EE4F94"/>
    <w:rPr>
      <w:rFonts w:ascii="Times New Roman" w:eastAsia="SimSun" w:hAnsi="Times New Roman"/>
      <w:sz w:val="16"/>
      <w:szCs w:val="16"/>
    </w:rPr>
  </w:style>
  <w:style w:type="character" w:styleId="CommentReference">
    <w:name w:val="annotation reference"/>
    <w:uiPriority w:val="99"/>
    <w:unhideWhenUsed/>
    <w:rsid w:val="00EE4F94"/>
    <w:rPr>
      <w:sz w:val="16"/>
      <w:szCs w:val="16"/>
    </w:rPr>
  </w:style>
  <w:style w:type="paragraph" w:styleId="CommentText">
    <w:name w:val="annotation text"/>
    <w:basedOn w:val="Normal"/>
    <w:link w:val="CommentTextChar"/>
    <w:uiPriority w:val="99"/>
    <w:unhideWhenUsed/>
    <w:rsid w:val="00EE4F94"/>
    <w:pPr>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EE4F94"/>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EE4F94"/>
    <w:rPr>
      <w:bCs/>
    </w:rPr>
  </w:style>
  <w:style w:type="character" w:customStyle="1" w:styleId="CommentSubjectChar">
    <w:name w:val="Comment Subject Char"/>
    <w:basedOn w:val="CommentTextChar"/>
    <w:link w:val="CommentSubject"/>
    <w:uiPriority w:val="99"/>
    <w:rsid w:val="00EE4F94"/>
    <w:rPr>
      <w:rFonts w:ascii="Times New Roman" w:hAnsi="Times New Roman" w:cs="Arial"/>
      <w:b/>
      <w:bCs/>
      <w:lang w:val="fr-FR" w:eastAsia="fr-FR"/>
    </w:rPr>
  </w:style>
  <w:style w:type="paragraph" w:styleId="Revision">
    <w:name w:val="Revision"/>
    <w:hidden/>
    <w:uiPriority w:val="99"/>
    <w:semiHidden/>
    <w:rsid w:val="00EE4F94"/>
    <w:rPr>
      <w:rFonts w:ascii="Times New Roman" w:eastAsia="SimSun" w:hAnsi="Times New Roman"/>
      <w:sz w:val="24"/>
      <w:szCs w:val="24"/>
    </w:rPr>
  </w:style>
  <w:style w:type="paragraph" w:styleId="Caption">
    <w:name w:val="caption"/>
    <w:basedOn w:val="Normal"/>
    <w:next w:val="Normal"/>
    <w:uiPriority w:val="35"/>
    <w:unhideWhenUsed/>
    <w:qFormat/>
    <w:rsid w:val="00EE4F94"/>
    <w:pPr>
      <w:widowControl w:val="0"/>
      <w:kinsoku w:val="0"/>
      <w:overflowPunct/>
      <w:autoSpaceDE/>
      <w:autoSpaceDN/>
      <w:adjustRightInd/>
      <w:spacing w:before="0" w:after="200"/>
      <w:textAlignment w:val="auto"/>
    </w:pPr>
    <w:rPr>
      <w:rFonts w:ascii="Times New Roman" w:eastAsia="SimSun" w:hAnsi="Times New Roman"/>
      <w:b/>
      <w:bCs/>
      <w:color w:val="4F81BD"/>
      <w:sz w:val="18"/>
      <w:szCs w:val="18"/>
      <w:lang w:val="en-US" w:eastAsia="zh-CN"/>
    </w:rPr>
  </w:style>
  <w:style w:type="paragraph" w:styleId="NoSpacing">
    <w:name w:val="No Spacing"/>
    <w:link w:val="NoSpacingChar"/>
    <w:uiPriority w:val="1"/>
    <w:qFormat/>
    <w:rsid w:val="00EE4F94"/>
    <w:pPr>
      <w:spacing w:before="120" w:after="120" w:line="288" w:lineRule="auto"/>
    </w:pPr>
    <w:rPr>
      <w:rFonts w:ascii="Arial" w:hAnsi="Arial" w:cs="Arial"/>
      <w:szCs w:val="24"/>
      <w:lang w:val="fr-FR" w:eastAsia="fr-FR"/>
    </w:rPr>
  </w:style>
  <w:style w:type="paragraph" w:customStyle="1" w:styleId="headingb0">
    <w:name w:val="heading_b"/>
    <w:basedOn w:val="Heading3"/>
    <w:next w:val="Normal"/>
    <w:uiPriority w:val="99"/>
    <w:rsid w:val="00EE4F94"/>
    <w:pPr>
      <w:tabs>
        <w:tab w:val="clear" w:pos="1191"/>
        <w:tab w:val="clear" w:pos="1588"/>
        <w:tab w:val="clear" w:pos="1985"/>
        <w:tab w:val="left" w:pos="2127"/>
        <w:tab w:val="left" w:pos="2410"/>
        <w:tab w:val="left" w:pos="2921"/>
        <w:tab w:val="left" w:pos="3261"/>
      </w:tabs>
      <w:spacing w:before="160"/>
      <w:ind w:left="794" w:hanging="794"/>
      <w:outlineLvl w:val="9"/>
    </w:pPr>
    <w:rPr>
      <w:rFonts w:ascii="Times New Roman" w:hAnsi="Times New Roman"/>
      <w:sz w:val="24"/>
      <w:lang w:val="fr-FR"/>
    </w:rPr>
  </w:style>
  <w:style w:type="paragraph" w:customStyle="1" w:styleId="font5">
    <w:name w:val="font5"/>
    <w:basedOn w:val="Normal"/>
    <w:rsid w:val="00EE4F94"/>
    <w:pP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65">
    <w:name w:val="xl65"/>
    <w:basedOn w:val="Normal"/>
    <w:rsid w:val="00EE4F94"/>
    <w:pPr>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EE4F94"/>
    <w:pPr>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67">
    <w:name w:val="xl67"/>
    <w:basedOn w:val="Normal"/>
    <w:rsid w:val="00EE4F94"/>
    <w:pPr>
      <w:overflowPunct/>
      <w:autoSpaceDE/>
      <w:autoSpaceDN/>
      <w:adjustRightInd/>
      <w:spacing w:before="100" w:beforeAutospacing="1" w:after="100" w:afterAutospacing="1"/>
      <w:textAlignment w:val="auto"/>
    </w:pPr>
    <w:rPr>
      <w:rFonts w:cs="Calibri"/>
      <w:b/>
      <w:bCs/>
      <w:szCs w:val="22"/>
      <w:lang w:val="en-US" w:eastAsia="zh-CN"/>
    </w:rPr>
  </w:style>
  <w:style w:type="paragraph" w:customStyle="1" w:styleId="xl68">
    <w:name w:val="xl68"/>
    <w:basedOn w:val="Normal"/>
    <w:rsid w:val="00EE4F94"/>
    <w:pPr>
      <w:overflowPunct/>
      <w:autoSpaceDE/>
      <w:autoSpaceDN/>
      <w:adjustRightInd/>
      <w:spacing w:before="100" w:beforeAutospacing="1" w:after="100" w:afterAutospacing="1"/>
      <w:jc w:val="center"/>
      <w:textAlignment w:val="auto"/>
    </w:pPr>
    <w:rPr>
      <w:rFonts w:cs="Calibri"/>
      <w:szCs w:val="22"/>
      <w:lang w:val="en-US" w:eastAsia="zh-CN"/>
    </w:rPr>
  </w:style>
  <w:style w:type="paragraph" w:customStyle="1" w:styleId="xl69">
    <w:name w:val="xl69"/>
    <w:basedOn w:val="Normal"/>
    <w:rsid w:val="00EE4F94"/>
    <w:pPr>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70">
    <w:name w:val="xl70"/>
    <w:basedOn w:val="Normal"/>
    <w:rsid w:val="00EE4F94"/>
    <w:pPr>
      <w:overflowPunct/>
      <w:autoSpaceDE/>
      <w:autoSpaceDN/>
      <w:adjustRightInd/>
      <w:spacing w:before="100" w:beforeAutospacing="1" w:after="100" w:afterAutospacing="1"/>
      <w:jc w:val="center"/>
      <w:textAlignment w:val="auto"/>
    </w:pPr>
    <w:rPr>
      <w:rFonts w:cs="Calibri"/>
      <w:b/>
      <w:bCs/>
      <w:szCs w:val="22"/>
      <w:lang w:val="en-US" w:eastAsia="zh-CN"/>
    </w:rPr>
  </w:style>
  <w:style w:type="paragraph" w:customStyle="1" w:styleId="xl71">
    <w:name w:val="xl71"/>
    <w:basedOn w:val="Normal"/>
    <w:rsid w:val="00EE4F94"/>
    <w:pPr>
      <w:overflowPunct/>
      <w:autoSpaceDE/>
      <w:autoSpaceDN/>
      <w:adjustRightInd/>
      <w:spacing w:before="100" w:beforeAutospacing="1" w:after="100" w:afterAutospacing="1"/>
      <w:jc w:val="right"/>
      <w:textAlignment w:val="auto"/>
    </w:pPr>
    <w:rPr>
      <w:rFonts w:cs="Calibri"/>
      <w:szCs w:val="22"/>
      <w:lang w:val="en-US" w:eastAsia="zh-CN"/>
    </w:rPr>
  </w:style>
  <w:style w:type="paragraph" w:customStyle="1" w:styleId="xl72">
    <w:name w:val="xl72"/>
    <w:basedOn w:val="Normal"/>
    <w:rsid w:val="00EE4F94"/>
    <w:pPr>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73">
    <w:name w:val="xl73"/>
    <w:basedOn w:val="Normal"/>
    <w:rsid w:val="00EE4F94"/>
    <w:pPr>
      <w:overflowPunct/>
      <w:autoSpaceDE/>
      <w:autoSpaceDN/>
      <w:adjustRightInd/>
      <w:spacing w:before="100" w:beforeAutospacing="1" w:after="100" w:afterAutospacing="1"/>
      <w:textAlignment w:val="auto"/>
    </w:pPr>
    <w:rPr>
      <w:rFonts w:cs="Calibri"/>
      <w:szCs w:val="22"/>
      <w:lang w:val="en-US" w:eastAsia="zh-CN"/>
    </w:rPr>
  </w:style>
  <w:style w:type="paragraph" w:customStyle="1" w:styleId="xl74">
    <w:name w:val="xl74"/>
    <w:basedOn w:val="Normal"/>
    <w:rsid w:val="00EE4F94"/>
    <w:pPr>
      <w:overflowPunct/>
      <w:autoSpaceDE/>
      <w:autoSpaceDN/>
      <w:adjustRightInd/>
      <w:spacing w:before="100" w:beforeAutospacing="1" w:after="100" w:afterAutospacing="1"/>
      <w:textAlignment w:val="auto"/>
    </w:pPr>
    <w:rPr>
      <w:rFonts w:cs="Calibri"/>
      <w:b/>
      <w:bCs/>
      <w:szCs w:val="22"/>
      <w:lang w:val="en-US" w:eastAsia="zh-CN"/>
    </w:rPr>
  </w:style>
  <w:style w:type="paragraph" w:customStyle="1" w:styleId="xl75">
    <w:name w:val="xl75"/>
    <w:basedOn w:val="Normal"/>
    <w:rsid w:val="00EE4F94"/>
    <w:pPr>
      <w:overflowPunct/>
      <w:autoSpaceDE/>
      <w:autoSpaceDN/>
      <w:adjustRightInd/>
      <w:spacing w:before="100" w:beforeAutospacing="1" w:after="100" w:afterAutospacing="1"/>
      <w:jc w:val="center"/>
      <w:textAlignment w:val="auto"/>
    </w:pPr>
    <w:rPr>
      <w:rFonts w:cs="Calibri"/>
      <w:b/>
      <w:bCs/>
      <w:szCs w:val="22"/>
      <w:lang w:val="en-US" w:eastAsia="zh-CN"/>
    </w:rPr>
  </w:style>
  <w:style w:type="paragraph" w:customStyle="1" w:styleId="xl76">
    <w:name w:val="xl76"/>
    <w:basedOn w:val="Normal"/>
    <w:rsid w:val="00EE4F94"/>
    <w:pP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77">
    <w:name w:val="xl77"/>
    <w:basedOn w:val="Normal"/>
    <w:rsid w:val="00EE4F94"/>
    <w:pPr>
      <w:overflowPunct/>
      <w:autoSpaceDE/>
      <w:autoSpaceDN/>
      <w:adjustRightInd/>
      <w:spacing w:before="100" w:beforeAutospacing="1" w:after="100" w:afterAutospacing="1"/>
      <w:textAlignment w:val="auto"/>
    </w:pPr>
    <w:rPr>
      <w:rFonts w:cs="Calibri"/>
      <w:b/>
      <w:bCs/>
      <w:color w:val="000000"/>
      <w:szCs w:val="22"/>
      <w:lang w:val="en-US" w:eastAsia="zh-CN"/>
    </w:rPr>
  </w:style>
  <w:style w:type="paragraph" w:customStyle="1" w:styleId="xl78">
    <w:name w:val="xl78"/>
    <w:basedOn w:val="Normal"/>
    <w:rsid w:val="00EE4F94"/>
    <w:pPr>
      <w:overflowPunct/>
      <w:autoSpaceDE/>
      <w:autoSpaceDN/>
      <w:adjustRightInd/>
      <w:spacing w:before="100" w:beforeAutospacing="1" w:after="100" w:afterAutospacing="1"/>
      <w:jc w:val="center"/>
      <w:textAlignment w:val="auto"/>
    </w:pPr>
    <w:rPr>
      <w:rFonts w:cs="Calibri"/>
      <w:color w:val="000000"/>
      <w:szCs w:val="22"/>
      <w:lang w:val="en-US" w:eastAsia="zh-CN"/>
    </w:rPr>
  </w:style>
  <w:style w:type="paragraph" w:customStyle="1" w:styleId="xl79">
    <w:name w:val="xl79"/>
    <w:basedOn w:val="Normal"/>
    <w:rsid w:val="00EE4F94"/>
    <w:pP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80">
    <w:name w:val="xl80"/>
    <w:basedOn w:val="Normal"/>
    <w:rsid w:val="00EE4F94"/>
    <w:pP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81">
    <w:name w:val="xl81"/>
    <w:basedOn w:val="Normal"/>
    <w:rsid w:val="00EE4F94"/>
    <w:pPr>
      <w:pBdr>
        <w:top w:val="single" w:sz="4" w:space="0" w:color="auto"/>
        <w:bottom w:val="single" w:sz="4" w:space="0" w:color="auto"/>
      </w:pBd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82">
    <w:name w:val="xl82"/>
    <w:basedOn w:val="Normal"/>
    <w:rsid w:val="00EE4F94"/>
    <w:pPr>
      <w:overflowPunct/>
      <w:autoSpaceDE/>
      <w:autoSpaceDN/>
      <w:adjustRightInd/>
      <w:spacing w:before="100" w:beforeAutospacing="1" w:after="100" w:afterAutospacing="1"/>
      <w:jc w:val="right"/>
      <w:textAlignment w:val="auto"/>
    </w:pPr>
    <w:rPr>
      <w:rFonts w:cs="Calibri"/>
      <w:color w:val="000000"/>
      <w:szCs w:val="22"/>
      <w:lang w:val="en-US" w:eastAsia="zh-CN"/>
    </w:rPr>
  </w:style>
  <w:style w:type="paragraph" w:customStyle="1" w:styleId="xl83">
    <w:name w:val="xl83"/>
    <w:basedOn w:val="Normal"/>
    <w:rsid w:val="00EE4F94"/>
    <w:pP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84">
    <w:name w:val="xl84"/>
    <w:basedOn w:val="Normal"/>
    <w:rsid w:val="00EE4F94"/>
    <w:pPr>
      <w:overflowPunct/>
      <w:autoSpaceDE/>
      <w:autoSpaceDN/>
      <w:adjustRightInd/>
      <w:spacing w:before="100" w:beforeAutospacing="1" w:after="100" w:afterAutospacing="1"/>
      <w:jc w:val="center"/>
      <w:textAlignment w:val="auto"/>
    </w:pPr>
    <w:rPr>
      <w:rFonts w:cs="Calibri"/>
      <w:b/>
      <w:bCs/>
      <w:color w:val="000000"/>
      <w:szCs w:val="22"/>
      <w:lang w:val="en-US" w:eastAsia="zh-CN"/>
    </w:rPr>
  </w:style>
  <w:style w:type="paragraph" w:customStyle="1" w:styleId="xl85">
    <w:name w:val="xl85"/>
    <w:basedOn w:val="Normal"/>
    <w:rsid w:val="00EE4F94"/>
    <w:pPr>
      <w:overflowPunct/>
      <w:autoSpaceDE/>
      <w:autoSpaceDN/>
      <w:adjustRightInd/>
      <w:spacing w:before="100" w:beforeAutospacing="1" w:after="100" w:afterAutospacing="1"/>
      <w:textAlignment w:val="auto"/>
    </w:pPr>
    <w:rPr>
      <w:rFonts w:cs="Calibri"/>
      <w:b/>
      <w:bCs/>
      <w:color w:val="000000"/>
      <w:szCs w:val="22"/>
      <w:lang w:val="en-US" w:eastAsia="zh-CN"/>
    </w:rPr>
  </w:style>
  <w:style w:type="paragraph" w:customStyle="1" w:styleId="xl86">
    <w:name w:val="xl86"/>
    <w:basedOn w:val="Normal"/>
    <w:rsid w:val="00EE4F94"/>
    <w:pPr>
      <w:overflowPunct/>
      <w:autoSpaceDE/>
      <w:autoSpaceDN/>
      <w:adjustRightInd/>
      <w:spacing w:before="100" w:beforeAutospacing="1" w:after="100" w:afterAutospacing="1"/>
      <w:jc w:val="center"/>
      <w:textAlignment w:val="auto"/>
    </w:pPr>
    <w:rPr>
      <w:rFonts w:cs="Calibri"/>
      <w:b/>
      <w:bCs/>
      <w:color w:val="000000"/>
      <w:szCs w:val="22"/>
      <w:lang w:val="en-US" w:eastAsia="zh-CN"/>
    </w:rPr>
  </w:style>
  <w:style w:type="paragraph" w:customStyle="1" w:styleId="xl87">
    <w:name w:val="xl87"/>
    <w:basedOn w:val="Normal"/>
    <w:rsid w:val="00EE4F94"/>
    <w:pPr>
      <w:shd w:val="clear" w:color="000000" w:fill="FFFFFF"/>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88">
    <w:name w:val="xl88"/>
    <w:basedOn w:val="Normal"/>
    <w:rsid w:val="00EE4F94"/>
    <w:pPr>
      <w:overflowPunct/>
      <w:autoSpaceDE/>
      <w:autoSpaceDN/>
      <w:adjustRightInd/>
      <w:spacing w:before="100" w:beforeAutospacing="1" w:after="100" w:afterAutospacing="1"/>
      <w:jc w:val="center"/>
      <w:textAlignment w:val="auto"/>
    </w:pPr>
    <w:rPr>
      <w:rFonts w:cs="Calibri"/>
      <w:color w:val="000000"/>
      <w:szCs w:val="22"/>
      <w:lang w:val="en-US" w:eastAsia="zh-CN"/>
    </w:rPr>
  </w:style>
  <w:style w:type="paragraph" w:customStyle="1" w:styleId="xl89">
    <w:name w:val="xl89"/>
    <w:basedOn w:val="Normal"/>
    <w:rsid w:val="00EE4F94"/>
    <w:pPr>
      <w:shd w:val="clear" w:color="000000" w:fill="FFFFFF"/>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90">
    <w:name w:val="xl90"/>
    <w:basedOn w:val="Normal"/>
    <w:rsid w:val="00EE4F94"/>
    <w:pPr>
      <w:shd w:val="clear" w:color="000000" w:fill="FFFFFF"/>
      <w:overflowPunct/>
      <w:autoSpaceDE/>
      <w:autoSpaceDN/>
      <w:adjustRightInd/>
      <w:spacing w:before="100" w:beforeAutospacing="1" w:after="100" w:afterAutospacing="1"/>
      <w:jc w:val="center"/>
      <w:textAlignment w:val="auto"/>
    </w:pPr>
    <w:rPr>
      <w:rFonts w:cs="Calibri"/>
      <w:color w:val="000000"/>
      <w:szCs w:val="22"/>
      <w:lang w:val="en-US" w:eastAsia="zh-CN"/>
    </w:rPr>
  </w:style>
  <w:style w:type="paragraph" w:customStyle="1" w:styleId="xl91">
    <w:name w:val="xl91"/>
    <w:basedOn w:val="Normal"/>
    <w:rsid w:val="00EE4F94"/>
    <w:pP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92">
    <w:name w:val="xl92"/>
    <w:basedOn w:val="Normal"/>
    <w:rsid w:val="00EE4F94"/>
    <w:pPr>
      <w:pBdr>
        <w:bottom w:val="double" w:sz="6" w:space="0" w:color="auto"/>
      </w:pBdr>
      <w:overflowPunct/>
      <w:autoSpaceDE/>
      <w:autoSpaceDN/>
      <w:adjustRightInd/>
      <w:spacing w:before="100" w:beforeAutospacing="1" w:after="100" w:afterAutospacing="1"/>
      <w:textAlignment w:val="auto"/>
    </w:pPr>
    <w:rPr>
      <w:rFonts w:cs="Calibri"/>
      <w:color w:val="000000"/>
      <w:szCs w:val="22"/>
      <w:lang w:val="en-US" w:eastAsia="zh-CN"/>
    </w:rPr>
  </w:style>
  <w:style w:type="paragraph" w:customStyle="1" w:styleId="xl93">
    <w:name w:val="xl93"/>
    <w:basedOn w:val="Normal"/>
    <w:rsid w:val="00EE4F94"/>
    <w:pPr>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BlockText">
    <w:name w:val="Block Text"/>
    <w:basedOn w:val="Normal"/>
    <w:rsid w:val="00EE4F94"/>
    <w:pPr>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EE4F94"/>
    <w:rPr>
      <w:i/>
      <w:iCs/>
    </w:rPr>
  </w:style>
  <w:style w:type="paragraph" w:customStyle="1" w:styleId="Default">
    <w:name w:val="Default"/>
    <w:rsid w:val="00EE4F94"/>
    <w:pPr>
      <w:autoSpaceDE w:val="0"/>
      <w:autoSpaceDN w:val="0"/>
      <w:adjustRightInd w:val="0"/>
    </w:pPr>
    <w:rPr>
      <w:rFonts w:ascii="Calibri" w:hAnsi="Calibri" w:cs="Calibri"/>
      <w:color w:val="000000"/>
      <w:sz w:val="24"/>
      <w:szCs w:val="24"/>
    </w:rPr>
  </w:style>
  <w:style w:type="character" w:customStyle="1" w:styleId="intro">
    <w:name w:val="intro"/>
    <w:basedOn w:val="DefaultParagraphFont"/>
    <w:rsid w:val="00EE4F94"/>
  </w:style>
  <w:style w:type="character" w:customStyle="1" w:styleId="ms-rtefontsize-2">
    <w:name w:val="ms-rtefontsize-2"/>
    <w:basedOn w:val="DefaultParagraphFont"/>
    <w:rsid w:val="00EE4F94"/>
  </w:style>
  <w:style w:type="paragraph" w:styleId="Date">
    <w:name w:val="Date"/>
    <w:basedOn w:val="Normal"/>
    <w:next w:val="Normal"/>
    <w:link w:val="DateChar"/>
    <w:rsid w:val="00EE4F94"/>
  </w:style>
  <w:style w:type="character" w:customStyle="1" w:styleId="DateChar">
    <w:name w:val="Date Char"/>
    <w:basedOn w:val="DefaultParagraphFont"/>
    <w:link w:val="Date"/>
    <w:rsid w:val="00EE4F94"/>
    <w:rPr>
      <w:rFonts w:ascii="Calibri" w:hAnsi="Calibri"/>
      <w:sz w:val="22"/>
      <w:lang w:val="en-GB" w:eastAsia="en-US"/>
    </w:rPr>
  </w:style>
  <w:style w:type="paragraph" w:customStyle="1" w:styleId="elencopuntato1">
    <w:name w:val="elenco puntato 1"/>
    <w:basedOn w:val="ListParagraph"/>
    <w:qFormat/>
    <w:rsid w:val="00EE4F94"/>
    <w:pPr>
      <w:widowControl/>
      <w:numPr>
        <w:numId w:val="6"/>
      </w:numPr>
      <w:tabs>
        <w:tab w:val="left" w:pos="794"/>
        <w:tab w:val="left" w:pos="1191"/>
        <w:tab w:val="left" w:pos="1588"/>
        <w:tab w:val="left" w:pos="1985"/>
      </w:tabs>
      <w:kinsoku/>
      <w:adjustRightInd w:val="0"/>
      <w:spacing w:before="120" w:line="319" w:lineRule="auto"/>
      <w:ind w:left="851" w:hanging="284"/>
      <w:contextualSpacing w:val="0"/>
      <w:jc w:val="both"/>
    </w:pPr>
    <w:rPr>
      <w:rFonts w:ascii="Arial" w:eastAsiaTheme="minorHAnsi" w:hAnsi="Arial"/>
      <w:sz w:val="22"/>
      <w:lang w:val="en-GB" w:eastAsia="it-IT"/>
    </w:rPr>
  </w:style>
  <w:style w:type="paragraph" w:customStyle="1" w:styleId="elencopuntatononrientrato">
    <w:name w:val="elenco puntato non rientrato"/>
    <w:basedOn w:val="elencopuntato1"/>
    <w:qFormat/>
    <w:rsid w:val="00EE4F94"/>
    <w:pPr>
      <w:tabs>
        <w:tab w:val="num" w:pos="360"/>
      </w:tabs>
      <w:ind w:left="284"/>
    </w:pPr>
  </w:style>
  <w:style w:type="paragraph" w:customStyle="1" w:styleId="Pa8">
    <w:name w:val="Pa8"/>
    <w:basedOn w:val="Default"/>
    <w:next w:val="Default"/>
    <w:uiPriority w:val="99"/>
    <w:rsid w:val="00EE4F94"/>
    <w:pPr>
      <w:spacing w:line="191" w:lineRule="atLeast"/>
    </w:pPr>
    <w:rPr>
      <w:rFonts w:ascii="Avenir Next LT Pro" w:hAnsi="Avenir Next LT Pro" w:cs="Times New Roman"/>
      <w:color w:val="auto"/>
    </w:rPr>
  </w:style>
  <w:style w:type="character" w:customStyle="1" w:styleId="Style1Char">
    <w:name w:val="Style1 Char"/>
    <w:basedOn w:val="DefaultParagraphFont"/>
    <w:link w:val="Style1"/>
    <w:locked/>
    <w:rsid w:val="00EE4F94"/>
    <w:rPr>
      <w:rFonts w:eastAsia="DengXian"/>
      <w:b/>
      <w:iCs/>
      <w:color w:val="548DD4" w:themeColor="text2" w:themeTint="99"/>
      <w:sz w:val="24"/>
      <w:szCs w:val="24"/>
      <w:lang w:eastAsia="en-US"/>
    </w:rPr>
  </w:style>
  <w:style w:type="paragraph" w:customStyle="1" w:styleId="Style1">
    <w:name w:val="Style1"/>
    <w:basedOn w:val="Normal"/>
    <w:link w:val="Style1Char"/>
    <w:qFormat/>
    <w:rsid w:val="00EE4F94"/>
    <w:pPr>
      <w:keepNext/>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character" w:customStyle="1" w:styleId="ms-rtethemefontface-1">
    <w:name w:val="ms-rtethemefontface-1"/>
    <w:basedOn w:val="DefaultParagraphFont"/>
    <w:rsid w:val="00EE4F94"/>
  </w:style>
  <w:style w:type="paragraph" w:customStyle="1" w:styleId="paragraph">
    <w:name w:val="paragraph"/>
    <w:basedOn w:val="Normal"/>
    <w:rsid w:val="00EE4F94"/>
    <w:pPr>
      <w:overflowPunct/>
      <w:autoSpaceDE/>
      <w:autoSpaceDN/>
      <w:adjustRightInd/>
      <w:spacing w:before="100" w:beforeAutospacing="1" w:after="100" w:afterAutospacing="1"/>
      <w:textAlignment w:val="auto"/>
    </w:pPr>
    <w:rPr>
      <w:rFonts w:eastAsiaTheme="minorHAnsi" w:cs="Calibri"/>
      <w:szCs w:val="22"/>
      <w:lang w:eastAsia="en-GB"/>
    </w:rPr>
  </w:style>
  <w:style w:type="character" w:customStyle="1" w:styleId="eop">
    <w:name w:val="eop"/>
    <w:basedOn w:val="DefaultParagraphFont"/>
    <w:rsid w:val="00EE4F94"/>
  </w:style>
  <w:style w:type="character" w:customStyle="1" w:styleId="ms-rteforecolor-2">
    <w:name w:val="ms-rteforecolor-2"/>
    <w:basedOn w:val="DefaultParagraphFont"/>
    <w:rsid w:val="00EE4F94"/>
  </w:style>
  <w:style w:type="table" w:customStyle="1" w:styleId="TableGrid1">
    <w:name w:val="Table Grid1"/>
    <w:basedOn w:val="TableNormal"/>
    <w:next w:val="TableGrid"/>
    <w:uiPriority w:val="39"/>
    <w:rsid w:val="00EE4F94"/>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EE4F94"/>
    <w:pPr>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EE4F94"/>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EE4F94"/>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4F9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EE4F94"/>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EE4F9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EE4F94"/>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EE4F94"/>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EE4F94"/>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xmsonormal">
    <w:name w:val="x_msonormal"/>
    <w:basedOn w:val="Normal"/>
    <w:rsid w:val="00EE4F94"/>
    <w:pPr>
      <w:overflowPunct/>
      <w:autoSpaceDE/>
      <w:autoSpaceDN/>
      <w:adjustRightInd/>
      <w:spacing w:before="0"/>
      <w:textAlignment w:val="auto"/>
    </w:pPr>
    <w:rPr>
      <w:rFonts w:eastAsiaTheme="minorHAnsi" w:cs="Calibri"/>
      <w:szCs w:val="22"/>
      <w:lang w:eastAsia="en-GB"/>
    </w:rPr>
  </w:style>
  <w:style w:type="paragraph" w:customStyle="1" w:styleId="msonormal0">
    <w:name w:val="msonormal"/>
    <w:basedOn w:val="Normal"/>
    <w:rsid w:val="00EE4F94"/>
    <w:pPr>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text-justify">
    <w:name w:val="text-justify"/>
    <w:basedOn w:val="Normal"/>
    <w:rsid w:val="00EE4F94"/>
    <w:pPr>
      <w:overflowPunct/>
      <w:autoSpaceDE/>
      <w:autoSpaceDN/>
      <w:adjustRightInd/>
      <w:spacing w:before="100" w:beforeAutospacing="1" w:after="100" w:afterAutospacing="1"/>
      <w:textAlignment w:val="auto"/>
    </w:pPr>
    <w:rPr>
      <w:rFonts w:ascii="Times New Roman" w:hAnsi="Times New Roman"/>
      <w:szCs w:val="24"/>
      <w:lang w:eastAsia="en-GB"/>
    </w:rPr>
  </w:style>
  <w:style w:type="numbering" w:customStyle="1" w:styleId="CurrentList1">
    <w:name w:val="Current List1"/>
    <w:uiPriority w:val="99"/>
    <w:rsid w:val="00EE4F94"/>
    <w:pPr>
      <w:numPr>
        <w:numId w:val="8"/>
      </w:numPr>
    </w:pPr>
  </w:style>
  <w:style w:type="character" w:customStyle="1" w:styleId="ui-provider">
    <w:name w:val="ui-provider"/>
    <w:basedOn w:val="DefaultParagraphFont"/>
    <w:rsid w:val="00EE4F94"/>
  </w:style>
  <w:style w:type="character" w:styleId="Mention">
    <w:name w:val="Mention"/>
    <w:basedOn w:val="DefaultParagraphFont"/>
    <w:uiPriority w:val="99"/>
    <w:unhideWhenUsed/>
    <w:rsid w:val="00EE4F94"/>
    <w:rPr>
      <w:color w:val="2B579A"/>
      <w:shd w:val="clear" w:color="auto" w:fill="E6E6E6"/>
    </w:rPr>
  </w:style>
  <w:style w:type="numbering" w:customStyle="1" w:styleId="ListNo1">
    <w:name w:val="List No1"/>
    <w:uiPriority w:val="99"/>
    <w:semiHidden/>
    <w:unhideWhenUsed/>
    <w:rsid w:val="00EE4F94"/>
  </w:style>
  <w:style w:type="paragraph" w:customStyle="1" w:styleId="FooterSpecial">
    <w:name w:val="Footer Special"/>
    <w:basedOn w:val="Footer"/>
    <w:rsid w:val="00EE4F94"/>
    <w:pPr>
      <w:tabs>
        <w:tab w:val="left" w:pos="567"/>
        <w:tab w:val="left" w:pos="1134"/>
        <w:tab w:val="left" w:pos="1701"/>
        <w:tab w:val="left" w:pos="2268"/>
        <w:tab w:val="left" w:pos="2835"/>
      </w:tabs>
      <w:jc w:val="both"/>
    </w:pPr>
    <w:rPr>
      <w:caps w:val="0"/>
      <w:noProof w:val="0"/>
      <w:lang w:val="en-GB"/>
    </w:rPr>
  </w:style>
  <w:style w:type="character" w:customStyle="1" w:styleId="MentionUnresolved">
    <w:name w:val="Mention Unresolved"/>
    <w:basedOn w:val="DefaultParagraphFont"/>
    <w:uiPriority w:val="99"/>
    <w:semiHidden/>
    <w:unhideWhenUsed/>
    <w:rsid w:val="00EE4F94"/>
    <w:rPr>
      <w:color w:val="605E5C"/>
      <w:shd w:val="clear" w:color="auto" w:fill="E1DFDD"/>
    </w:rPr>
  </w:style>
  <w:style w:type="numbering" w:customStyle="1" w:styleId="ListNo000">
    <w:name w:val="List No000"/>
    <w:uiPriority w:val="99"/>
    <w:semiHidden/>
    <w:unhideWhenUsed/>
    <w:rsid w:val="00EE4F94"/>
  </w:style>
  <w:style w:type="numbering" w:customStyle="1" w:styleId="ListNo10">
    <w:name w:val="List No10"/>
    <w:uiPriority w:val="99"/>
    <w:semiHidden/>
    <w:unhideWhenUsed/>
    <w:rsid w:val="00EE4F94"/>
  </w:style>
  <w:style w:type="numbering" w:customStyle="1" w:styleId="ListNo0000">
    <w:name w:val="List No0000"/>
    <w:uiPriority w:val="99"/>
    <w:semiHidden/>
    <w:unhideWhenUsed/>
    <w:rsid w:val="00EE4F94"/>
  </w:style>
  <w:style w:type="numbering" w:customStyle="1" w:styleId="ListNo100">
    <w:name w:val="List No100"/>
    <w:uiPriority w:val="99"/>
    <w:semiHidden/>
    <w:unhideWhenUsed/>
    <w:rsid w:val="00EE4F94"/>
  </w:style>
  <w:style w:type="numbering" w:customStyle="1" w:styleId="ListNo00000">
    <w:name w:val="List No00000"/>
    <w:uiPriority w:val="99"/>
    <w:semiHidden/>
    <w:unhideWhenUsed/>
    <w:rsid w:val="00EE4F94"/>
  </w:style>
  <w:style w:type="numbering" w:customStyle="1" w:styleId="ListNo000000">
    <w:name w:val="List No000000"/>
    <w:uiPriority w:val="99"/>
    <w:semiHidden/>
    <w:unhideWhenUsed/>
    <w:rsid w:val="00EE4F94"/>
  </w:style>
  <w:style w:type="numbering" w:customStyle="1" w:styleId="ListNo0000000">
    <w:name w:val="List No0000000"/>
    <w:uiPriority w:val="99"/>
    <w:semiHidden/>
    <w:unhideWhenUsed/>
    <w:rsid w:val="00EE4F94"/>
  </w:style>
  <w:style w:type="numbering" w:customStyle="1" w:styleId="ListNo00000000">
    <w:name w:val="List No00000000"/>
    <w:uiPriority w:val="99"/>
    <w:semiHidden/>
    <w:unhideWhenUsed/>
    <w:rsid w:val="00EE4F94"/>
  </w:style>
  <w:style w:type="numbering" w:customStyle="1" w:styleId="ListNo000000000">
    <w:name w:val="List No000000000"/>
    <w:uiPriority w:val="99"/>
    <w:semiHidden/>
    <w:unhideWhenUsed/>
    <w:rsid w:val="00EE4F94"/>
  </w:style>
  <w:style w:type="numbering" w:customStyle="1" w:styleId="ListNo0000000000">
    <w:name w:val="List No0000000000"/>
    <w:uiPriority w:val="99"/>
    <w:semiHidden/>
    <w:unhideWhenUsed/>
    <w:rsid w:val="00EE4F94"/>
  </w:style>
  <w:style w:type="numbering" w:customStyle="1" w:styleId="ListNo00000000000">
    <w:name w:val="List No00000000000"/>
    <w:uiPriority w:val="99"/>
    <w:semiHidden/>
    <w:unhideWhenUsed/>
    <w:rsid w:val="00EE4F94"/>
  </w:style>
  <w:style w:type="numbering" w:customStyle="1" w:styleId="ListNo000000000000">
    <w:name w:val="List No000000000000"/>
    <w:uiPriority w:val="99"/>
    <w:semiHidden/>
    <w:unhideWhenUsed/>
    <w:rsid w:val="00EE4F94"/>
  </w:style>
  <w:style w:type="numbering" w:customStyle="1" w:styleId="ListNo0000000000000">
    <w:name w:val="List No0000000000000"/>
    <w:uiPriority w:val="99"/>
    <w:semiHidden/>
    <w:unhideWhenUsed/>
    <w:rsid w:val="00EE4F94"/>
  </w:style>
  <w:style w:type="numbering" w:customStyle="1" w:styleId="ListNo00000000000000">
    <w:name w:val="List No00000000000000"/>
    <w:uiPriority w:val="99"/>
    <w:semiHidden/>
    <w:unhideWhenUsed/>
    <w:rsid w:val="00EE4F94"/>
  </w:style>
  <w:style w:type="numbering" w:customStyle="1" w:styleId="ListNo000000000000000">
    <w:name w:val="List No000000000000000"/>
    <w:uiPriority w:val="99"/>
    <w:semiHidden/>
    <w:unhideWhenUsed/>
    <w:rsid w:val="00EE4F94"/>
  </w:style>
  <w:style w:type="numbering" w:customStyle="1" w:styleId="ListNo0000000000000000">
    <w:name w:val="List No0000000000000000"/>
    <w:uiPriority w:val="99"/>
    <w:semiHidden/>
    <w:unhideWhenUsed/>
    <w:rsid w:val="00EE4F94"/>
  </w:style>
  <w:style w:type="numbering" w:customStyle="1" w:styleId="ListNo00000000000000000">
    <w:name w:val="List No00000000000000000"/>
    <w:uiPriority w:val="99"/>
    <w:semiHidden/>
    <w:unhideWhenUsed/>
    <w:rsid w:val="00EE4F94"/>
  </w:style>
  <w:style w:type="numbering" w:customStyle="1" w:styleId="ListNo000000000000000000">
    <w:name w:val="List No000000000000000000"/>
    <w:uiPriority w:val="99"/>
    <w:semiHidden/>
    <w:unhideWhenUsed/>
    <w:rsid w:val="00EE4F94"/>
  </w:style>
  <w:style w:type="numbering" w:customStyle="1" w:styleId="ListNo0000000000000000000">
    <w:name w:val="List No0000000000000000000"/>
    <w:uiPriority w:val="99"/>
    <w:semiHidden/>
    <w:unhideWhenUsed/>
    <w:rsid w:val="00EE4F94"/>
  </w:style>
  <w:style w:type="numbering" w:customStyle="1" w:styleId="ListNo00000000000000000000">
    <w:name w:val="List No00000000000000000000"/>
    <w:uiPriority w:val="99"/>
    <w:semiHidden/>
    <w:unhideWhenUsed/>
    <w:rsid w:val="00EE4F94"/>
  </w:style>
  <w:style w:type="numbering" w:customStyle="1" w:styleId="ListNo000000000000000000000">
    <w:name w:val="List No000000000000000000000"/>
    <w:uiPriority w:val="99"/>
    <w:semiHidden/>
    <w:unhideWhenUsed/>
    <w:rsid w:val="00EE4F94"/>
  </w:style>
  <w:style w:type="numbering" w:customStyle="1" w:styleId="ListNo0000000000000000000000">
    <w:name w:val="List No0000000000000000000000"/>
    <w:uiPriority w:val="99"/>
    <w:semiHidden/>
    <w:unhideWhenUsed/>
    <w:rsid w:val="00EE4F94"/>
  </w:style>
  <w:style w:type="numbering" w:customStyle="1" w:styleId="ListNo1000">
    <w:name w:val="List No1000"/>
    <w:uiPriority w:val="99"/>
    <w:semiHidden/>
    <w:unhideWhenUsed/>
    <w:rsid w:val="00EE4F94"/>
  </w:style>
  <w:style w:type="numbering" w:customStyle="1" w:styleId="ListNo00000000000000000000000">
    <w:name w:val="List No00000000000000000000000"/>
    <w:uiPriority w:val="99"/>
    <w:semiHidden/>
    <w:unhideWhenUsed/>
    <w:rsid w:val="00EE4F94"/>
  </w:style>
  <w:style w:type="numbering" w:customStyle="1" w:styleId="ListNo000000000000000000000000">
    <w:name w:val="List No000000000000000000000000"/>
    <w:uiPriority w:val="99"/>
    <w:semiHidden/>
    <w:unhideWhenUsed/>
    <w:rsid w:val="00EE4F94"/>
  </w:style>
  <w:style w:type="paragraph" w:customStyle="1" w:styleId="Body">
    <w:name w:val="Body"/>
    <w:basedOn w:val="Normal"/>
    <w:qFormat/>
    <w:rsid w:val="00EE4F94"/>
    <w:pPr>
      <w:overflowPunct/>
      <w:spacing w:before="0" w:after="100" w:line="221" w:lineRule="atLeast"/>
      <w:textAlignment w:val="auto"/>
    </w:pPr>
    <w:rPr>
      <w:rFonts w:ascii="EYInterstate Light" w:hAnsi="EYInterstate Light"/>
      <w:sz w:val="18"/>
      <w:szCs w:val="18"/>
      <w:lang w:eastAsia="en-GB"/>
    </w:rPr>
  </w:style>
  <w:style w:type="character" w:customStyle="1" w:styleId="NoSpacingChar">
    <w:name w:val="No Spacing Char"/>
    <w:basedOn w:val="DefaultParagraphFont"/>
    <w:link w:val="NoSpacing"/>
    <w:uiPriority w:val="1"/>
    <w:rsid w:val="00EE4F94"/>
    <w:rPr>
      <w:rFonts w:ascii="Arial" w:hAnsi="Arial" w:cs="Arial"/>
      <w:szCs w:val="24"/>
      <w:lang w:val="fr-FR" w:eastAsia="fr-FR"/>
    </w:rPr>
  </w:style>
  <w:style w:type="paragraph" w:styleId="TOCHeading">
    <w:name w:val="TOC Heading"/>
    <w:basedOn w:val="Heading1"/>
    <w:next w:val="Normal"/>
    <w:uiPriority w:val="39"/>
    <w:unhideWhenUsed/>
    <w:qFormat/>
    <w:rsid w:val="00EE4F9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SingleTxtChar">
    <w:name w:val="__Single Txt Char"/>
    <w:basedOn w:val="DefaultParagraphFont"/>
    <w:link w:val="SingleTxt"/>
    <w:locked/>
    <w:rsid w:val="00EE4F94"/>
    <w:rPr>
      <w:spacing w:val="4"/>
    </w:rPr>
  </w:style>
  <w:style w:type="paragraph" w:customStyle="1" w:styleId="SingleTxt">
    <w:name w:val="__Single Txt"/>
    <w:basedOn w:val="Normal"/>
    <w:link w:val="SingleTxtChar"/>
    <w:qFormat/>
    <w:rsid w:val="00EE4F94"/>
    <w:pPr>
      <w:overflowPunct/>
      <w:autoSpaceDE/>
      <w:autoSpaceDN/>
      <w:adjustRightInd/>
      <w:spacing w:before="0" w:after="120" w:line="240" w:lineRule="atLeast"/>
      <w:ind w:left="1267" w:right="1267"/>
      <w:jc w:val="both"/>
      <w:textAlignment w:val="auto"/>
    </w:pPr>
    <w:rPr>
      <w:rFonts w:ascii="CG Times" w:hAnsi="CG Times"/>
      <w:spacing w:val="4"/>
      <w:sz w:val="20"/>
      <w:lang w:val="en-US" w:eastAsia="zh-CN"/>
    </w:rPr>
  </w:style>
  <w:style w:type="paragraph" w:customStyle="1" w:styleId="H23">
    <w:name w:val="_ H_2/3"/>
    <w:basedOn w:val="Normal"/>
    <w:next w:val="SingleTxt"/>
    <w:link w:val="H23Char"/>
    <w:rsid w:val="00EE4F94"/>
    <w:pPr>
      <w:suppressAutoHyphens/>
      <w:overflowPunct/>
      <w:autoSpaceDE/>
      <w:autoSpaceDN/>
      <w:adjustRightInd/>
      <w:spacing w:before="0" w:line="240" w:lineRule="exact"/>
      <w:textAlignment w:val="auto"/>
      <w:outlineLvl w:val="1"/>
    </w:pPr>
    <w:rPr>
      <w:rFonts w:ascii="Times New Roman" w:eastAsiaTheme="minorHAnsi" w:hAnsi="Times New Roman"/>
      <w:b/>
      <w:spacing w:val="4"/>
      <w:w w:val="103"/>
      <w:kern w:val="14"/>
      <w:sz w:val="20"/>
      <w:lang w:val="en-US"/>
    </w:rPr>
  </w:style>
  <w:style w:type="character" w:customStyle="1" w:styleId="H23Char">
    <w:name w:val="_ H_2/3 Char"/>
    <w:link w:val="H23"/>
    <w:locked/>
    <w:rsid w:val="00EE4F94"/>
    <w:rPr>
      <w:rFonts w:ascii="Times New Roman" w:eastAsiaTheme="minorHAnsi" w:hAnsi="Times New Roman"/>
      <w:b/>
      <w:spacing w:val="4"/>
      <w:w w:val="103"/>
      <w:kern w:val="14"/>
      <w:lang w:eastAsia="en-US"/>
    </w:rPr>
  </w:style>
  <w:style w:type="paragraph" w:customStyle="1" w:styleId="TableParagraph">
    <w:name w:val="Table Paragraph"/>
    <w:basedOn w:val="Normal"/>
    <w:uiPriority w:val="1"/>
    <w:qFormat/>
    <w:rsid w:val="00EE4F94"/>
    <w:pPr>
      <w:widowControl w:val="0"/>
      <w:overflowPunct/>
      <w:adjustRightInd/>
      <w:spacing w:before="0"/>
      <w:textAlignment w:val="auto"/>
    </w:pPr>
    <w:rPr>
      <w:rFonts w:ascii="Arial" w:eastAsia="Arial" w:hAnsi="Arial" w:cs="Arial"/>
      <w:szCs w:val="22"/>
      <w:lang w:val="en-US"/>
    </w:rPr>
  </w:style>
  <w:style w:type="paragraph" w:customStyle="1" w:styleId="comp">
    <w:name w:val="comp"/>
    <w:basedOn w:val="Normal"/>
    <w:rsid w:val="00EE4F94"/>
    <w:pPr>
      <w:overflowPunct/>
      <w:autoSpaceDE/>
      <w:autoSpaceDN/>
      <w:adjustRightInd/>
      <w:spacing w:before="100" w:beforeAutospacing="1" w:after="100" w:afterAutospacing="1"/>
      <w:textAlignment w:val="auto"/>
    </w:pPr>
    <w:rPr>
      <w:rFonts w:ascii="Times New Roman" w:hAnsi="Times New Roman"/>
      <w:szCs w:val="24"/>
      <w:lang w:eastAsia="en-GB"/>
    </w:rPr>
  </w:style>
  <w:style w:type="numbering" w:customStyle="1" w:styleId="ListNo0000000000000000000000000">
    <w:name w:val="List No0000000000000000000000000"/>
    <w:uiPriority w:val="99"/>
    <w:semiHidden/>
    <w:unhideWhenUsed/>
    <w:rsid w:val="00EE4F94"/>
  </w:style>
  <w:style w:type="numbering" w:customStyle="1" w:styleId="ListNo00000000000000000000000000">
    <w:name w:val="List No00000000000000000000000000"/>
    <w:uiPriority w:val="99"/>
    <w:semiHidden/>
    <w:unhideWhenUsed/>
    <w:rsid w:val="00EE4F94"/>
  </w:style>
  <w:style w:type="table" w:customStyle="1" w:styleId="TableGrid6">
    <w:name w:val="Table Grid6"/>
    <w:basedOn w:val="TableNormal"/>
    <w:next w:val="TableGrid"/>
    <w:uiPriority w:val="39"/>
    <w:rsid w:val="00EE4F94"/>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E4F94"/>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_title Char"/>
    <w:basedOn w:val="DefaultParagraphFont"/>
    <w:link w:val="Tabletitle"/>
    <w:rsid w:val="00EE4F94"/>
    <w:rPr>
      <w:rFonts w:ascii="Calibri" w:hAnsi="Calibri"/>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0127">
      <w:bodyDiv w:val="1"/>
      <w:marLeft w:val="0"/>
      <w:marRight w:val="0"/>
      <w:marTop w:val="0"/>
      <w:marBottom w:val="0"/>
      <w:divBdr>
        <w:top w:val="none" w:sz="0" w:space="0" w:color="auto"/>
        <w:left w:val="none" w:sz="0" w:space="0" w:color="auto"/>
        <w:bottom w:val="none" w:sz="0" w:space="0" w:color="auto"/>
        <w:right w:val="none" w:sz="0" w:space="0" w:color="auto"/>
      </w:divBdr>
    </w:div>
    <w:div w:id="137773036">
      <w:bodyDiv w:val="1"/>
      <w:marLeft w:val="0"/>
      <w:marRight w:val="0"/>
      <w:marTop w:val="0"/>
      <w:marBottom w:val="0"/>
      <w:divBdr>
        <w:top w:val="none" w:sz="0" w:space="0" w:color="auto"/>
        <w:left w:val="none" w:sz="0" w:space="0" w:color="auto"/>
        <w:bottom w:val="none" w:sz="0" w:space="0" w:color="auto"/>
        <w:right w:val="none" w:sz="0" w:space="0" w:color="auto"/>
      </w:divBdr>
    </w:div>
    <w:div w:id="347951267">
      <w:bodyDiv w:val="1"/>
      <w:marLeft w:val="0"/>
      <w:marRight w:val="0"/>
      <w:marTop w:val="0"/>
      <w:marBottom w:val="0"/>
      <w:divBdr>
        <w:top w:val="none" w:sz="0" w:space="0" w:color="auto"/>
        <w:left w:val="none" w:sz="0" w:space="0" w:color="auto"/>
        <w:bottom w:val="none" w:sz="0" w:space="0" w:color="auto"/>
        <w:right w:val="none" w:sz="0" w:space="0" w:color="auto"/>
      </w:divBdr>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657225609">
      <w:bodyDiv w:val="1"/>
      <w:marLeft w:val="0"/>
      <w:marRight w:val="0"/>
      <w:marTop w:val="0"/>
      <w:marBottom w:val="0"/>
      <w:divBdr>
        <w:top w:val="none" w:sz="0" w:space="0" w:color="auto"/>
        <w:left w:val="none" w:sz="0" w:space="0" w:color="auto"/>
        <w:bottom w:val="none" w:sz="0" w:space="0" w:color="auto"/>
        <w:right w:val="none" w:sz="0" w:space="0" w:color="auto"/>
      </w:divBdr>
    </w:div>
    <w:div w:id="914314473">
      <w:bodyDiv w:val="1"/>
      <w:marLeft w:val="0"/>
      <w:marRight w:val="0"/>
      <w:marTop w:val="0"/>
      <w:marBottom w:val="0"/>
      <w:divBdr>
        <w:top w:val="none" w:sz="0" w:space="0" w:color="auto"/>
        <w:left w:val="none" w:sz="0" w:space="0" w:color="auto"/>
        <w:bottom w:val="none" w:sz="0" w:space="0" w:color="auto"/>
        <w:right w:val="none" w:sz="0" w:space="0" w:color="auto"/>
      </w:divBdr>
    </w:div>
    <w:div w:id="1057437654">
      <w:bodyDiv w:val="1"/>
      <w:marLeft w:val="0"/>
      <w:marRight w:val="0"/>
      <w:marTop w:val="0"/>
      <w:marBottom w:val="0"/>
      <w:divBdr>
        <w:top w:val="none" w:sz="0" w:space="0" w:color="auto"/>
        <w:left w:val="none" w:sz="0" w:space="0" w:color="auto"/>
        <w:bottom w:val="none" w:sz="0" w:space="0" w:color="auto"/>
        <w:right w:val="none" w:sz="0" w:space="0" w:color="auto"/>
      </w:divBdr>
    </w:div>
    <w:div w:id="1236935781">
      <w:bodyDiv w:val="1"/>
      <w:marLeft w:val="0"/>
      <w:marRight w:val="0"/>
      <w:marTop w:val="0"/>
      <w:marBottom w:val="0"/>
      <w:divBdr>
        <w:top w:val="none" w:sz="0" w:space="0" w:color="auto"/>
        <w:left w:val="none" w:sz="0" w:space="0" w:color="auto"/>
        <w:bottom w:val="none" w:sz="0" w:space="0" w:color="auto"/>
        <w:right w:val="none" w:sz="0" w:space="0" w:color="auto"/>
      </w:divBdr>
    </w:div>
    <w:div w:id="1287662626">
      <w:bodyDiv w:val="1"/>
      <w:marLeft w:val="0"/>
      <w:marRight w:val="0"/>
      <w:marTop w:val="0"/>
      <w:marBottom w:val="0"/>
      <w:divBdr>
        <w:top w:val="none" w:sz="0" w:space="0" w:color="auto"/>
        <w:left w:val="none" w:sz="0" w:space="0" w:color="auto"/>
        <w:bottom w:val="none" w:sz="0" w:space="0" w:color="auto"/>
        <w:right w:val="none" w:sz="0" w:space="0" w:color="auto"/>
      </w:divBdr>
    </w:div>
    <w:div w:id="1473406995">
      <w:bodyDiv w:val="1"/>
      <w:marLeft w:val="0"/>
      <w:marRight w:val="0"/>
      <w:marTop w:val="0"/>
      <w:marBottom w:val="0"/>
      <w:divBdr>
        <w:top w:val="none" w:sz="0" w:space="0" w:color="auto"/>
        <w:left w:val="none" w:sz="0" w:space="0" w:color="auto"/>
        <w:bottom w:val="none" w:sz="0" w:space="0" w:color="auto"/>
        <w:right w:val="none" w:sz="0" w:space="0" w:color="auto"/>
      </w:divBdr>
    </w:div>
    <w:div w:id="15000775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98550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www.itu.int/en/ITU-R/Pages/default.aspx" TargetMode="External"/><Relationship Id="rId26" Type="http://schemas.openxmlformats.org/officeDocument/2006/relationships/hyperlink" Target="https://context.reverso.net/translation/russian-english/%D0%B4%D0%BE%D1%81%D1%82%D0%BE%D0%B2%D0%B5%D1%80%D0%BD%D1%83%D1%8E" TargetMode="External"/><Relationship Id="rId39" Type="http://schemas.openxmlformats.org/officeDocument/2006/relationships/footer" Target="footer5.xml"/><Relationship Id="rId21" Type="http://schemas.openxmlformats.org/officeDocument/2006/relationships/hyperlink" Target="http://www.itu.int/itu-wsis/implementation/"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en/ITU-D/Pages/default.aspx" TargetMode="External"/><Relationship Id="rId29" Type="http://schemas.openxmlformats.org/officeDocument/2006/relationships/hyperlink" Target="https://www.itu.int/md/S22-CL-C-0046/en"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context.reverso.net/translation/russian-english/%D0%B1%D0%B5%D0%B7%D0%B2%D0%BE%D0%B7%D0%BC%D0%B5%D0%B7%D0%B4%D0%BD%D1%8B%D0%BC+%D0%BE%D0%BF%D0%B5%D1%80%D0%B0%D1%86%D0%B8%D1%8F%D0%BC"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tu.int/md/S23-CL-C-0050/en" TargetMode="External"/><Relationship Id="rId23" Type="http://schemas.openxmlformats.org/officeDocument/2006/relationships/hyperlink" Target="https://www.itu.int/md/S16-CL-C-0124/en" TargetMode="External"/><Relationship Id="rId28" Type="http://schemas.openxmlformats.org/officeDocument/2006/relationships/hyperlink" Target="https://context.reverso.net/translation/russian-english/%D0%9A%D1%80%D0%B5%D0%B4%D0%B8%D1%82%D0%BE%D1%80%D1%81%D0%BA%D0%B0%D1%8F+%D0%B7%D0%B0%D0%B4%D0%BE%D0%BB%D0%B6%D0%B5%D0%BD%D0%BD%D0%BE%D1%81%D1%82%D1%8C" TargetMode="External"/><Relationship Id="rId36" Type="http://schemas.openxmlformats.org/officeDocument/2006/relationships/header" Target="header3.xml"/><Relationship Id="rId10" Type="http://schemas.openxmlformats.org/officeDocument/2006/relationships/hyperlink" Target="https://www.itu.int/md/S24-CL-C-0035/en" TargetMode="External"/><Relationship Id="rId19" Type="http://schemas.openxmlformats.org/officeDocument/2006/relationships/hyperlink" Target="https://www.itu.int/en/ITU-T/Pages/default.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ties/Documents/Financial-regulations/S-GEN-REG_RGTFIN-2022-PDF-R.pdf" TargetMode="External"/><Relationship Id="rId14" Type="http://schemas.openxmlformats.org/officeDocument/2006/relationships/image" Target="media/image1.jpeg"/><Relationship Id="rId22" Type="http://schemas.openxmlformats.org/officeDocument/2006/relationships/hyperlink" Target="http://www.itu.int/ITU-R/index.asp?category=conferences&amp;link=rrb&amp;lang=en" TargetMode="External"/><Relationship Id="rId27" Type="http://schemas.openxmlformats.org/officeDocument/2006/relationships/hyperlink" Target="https://context.reverso.net/translation/russian-english/%D1%81%D0%BF%D1%80%D0%B0%D0%B2%D0%B5%D0%B4%D0%BB%D0%B8%D0%B2%D0%BE%D0%B9+%D1%81%D1%82%D0%BE%D0%B8%D0%BC%D0%BE%D1%81%D1%82%D0%B8" TargetMode="External"/><Relationship Id="rId30" Type="http://schemas.openxmlformats.org/officeDocument/2006/relationships/hyperlink" Target="http://www.unjspf.org" TargetMode="External"/><Relationship Id="rId35" Type="http://schemas.openxmlformats.org/officeDocument/2006/relationships/footer" Target="footer3.xml"/><Relationship Id="rId43" Type="http://schemas.openxmlformats.org/officeDocument/2006/relationships/theme" Target="theme/theme1.xml"/><Relationship Id="rId8" Type="http://schemas.openxmlformats.org/officeDocument/2006/relationships/hyperlink" Target="https://www.itu.int/en/council/Documents/basic-texts/Convention-R.pdf"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www.unsystem.org/en" TargetMode="External"/><Relationship Id="rId25" Type="http://schemas.openxmlformats.org/officeDocument/2006/relationships/hyperlink" Target="https://www.itu.int/md/S24-CL-INF-0004/en" TargetMode="External"/><Relationship Id="rId33" Type="http://schemas.openxmlformats.org/officeDocument/2006/relationships/header" Target="header2.xml"/><Relationship Id="rId38"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violetta_sikacheva_itu_int/Documents/Desktop/POOL/Montage/conseil/2024/new/043e-figures-pages6-to-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violetta_sikacheva_itu_int/Documents/Desktop/POOL/Montage/conseil/2024/new/043e-figures-pages6-to-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ikachev\Downloads\043e-figures-pages6-to-10%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'Figure 1 - page 6'!$C$22</c:f>
              <c:strCache>
                <c:ptCount val="1"/>
                <c:pt idx="0">
                  <c:v>2023 г.</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172,4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A3B-4646-8D2F-DED90C36D3BE}"/>
                </c:ext>
              </c:extLst>
            </c:dLbl>
            <c:dLbl>
              <c:idx val="1"/>
              <c:tx>
                <c:rich>
                  <a:bodyPr/>
                  <a:lstStyle/>
                  <a:p>
                    <a:r>
                      <a:rPr lang="en-US"/>
                      <a:t>197,2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A3B-4646-8D2F-DED90C36D3BE}"/>
                </c:ext>
              </c:extLst>
            </c:dLbl>
            <c:dLbl>
              <c:idx val="2"/>
              <c:tx>
                <c:rich>
                  <a:bodyPr/>
                  <a:lstStyle/>
                  <a:p>
                    <a:r>
                      <a:rPr lang="en-US"/>
                      <a:t>308,5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A3B-4646-8D2F-DED90C36D3BE}"/>
                </c:ext>
              </c:extLst>
            </c:dLbl>
            <c:dLbl>
              <c:idx val="3"/>
              <c:tx>
                <c:rich>
                  <a:bodyPr/>
                  <a:lstStyle/>
                  <a:p>
                    <a:r>
                      <a:rPr lang="en-US"/>
                      <a:t>565,9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A3B-4646-8D2F-DED90C36D3B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1 - page 6'!$B$23:$B$26</c:f>
              <c:strCache>
                <c:ptCount val="4"/>
                <c:pt idx="0">
                  <c:v>Доходы</c:v>
                </c:pt>
                <c:pt idx="1">
                  <c:v>Расходы</c:v>
                </c:pt>
                <c:pt idx="2">
                  <c:v>Активы</c:v>
                </c:pt>
                <c:pt idx="3">
                  <c:v>Пассивы</c:v>
                </c:pt>
              </c:strCache>
            </c:strRef>
          </c:cat>
          <c:val>
            <c:numRef>
              <c:f>'Figure 1 - page 6'!$C$23:$C$26</c:f>
              <c:numCache>
                <c:formatCode>_(* #,##0.0_);_(* \(#,##0.0\);_(* "-"???_);_(@_)</c:formatCode>
                <c:ptCount val="4"/>
                <c:pt idx="0">
                  <c:v>172.39999999999998</c:v>
                </c:pt>
                <c:pt idx="1">
                  <c:v>197.2</c:v>
                </c:pt>
                <c:pt idx="2">
                  <c:v>308.5</c:v>
                </c:pt>
                <c:pt idx="3">
                  <c:v>565.9</c:v>
                </c:pt>
              </c:numCache>
            </c:numRef>
          </c:val>
          <c:extLst>
            <c:ext xmlns:c16="http://schemas.microsoft.com/office/drawing/2014/chart" uri="{C3380CC4-5D6E-409C-BE32-E72D297353CC}">
              <c16:uniqueId val="{00000000-7A4A-4F0B-8B35-2067DBE8E118}"/>
            </c:ext>
          </c:extLst>
        </c:ser>
        <c:ser>
          <c:idx val="1"/>
          <c:order val="1"/>
          <c:tx>
            <c:strRef>
              <c:f>'Figure 1 - page 6'!$D$22</c:f>
              <c:strCache>
                <c:ptCount val="1"/>
                <c:pt idx="0">
                  <c:v>2022 г.</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178,5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A4A-4F0B-8B35-2067DBE8E118}"/>
                </c:ext>
              </c:extLst>
            </c:dLbl>
            <c:dLbl>
              <c:idx val="1"/>
              <c:tx>
                <c:rich>
                  <a:bodyPr/>
                  <a:lstStyle/>
                  <a:p>
                    <a:r>
                      <a:rPr lang="en-US"/>
                      <a:t>196,8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A3B-4646-8D2F-DED90C36D3BE}"/>
                </c:ext>
              </c:extLst>
            </c:dLbl>
            <c:dLbl>
              <c:idx val="2"/>
              <c:tx>
                <c:rich>
                  <a:bodyPr/>
                  <a:lstStyle/>
                  <a:p>
                    <a:r>
                      <a:rPr lang="en-US"/>
                      <a:t>317,9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A3B-4646-8D2F-DED90C36D3BE}"/>
                </c:ext>
              </c:extLst>
            </c:dLbl>
            <c:dLbl>
              <c:idx val="3"/>
              <c:tx>
                <c:rich>
                  <a:bodyPr/>
                  <a:lstStyle/>
                  <a:p>
                    <a:r>
                      <a:rPr lang="en-US"/>
                      <a:t>530,9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A3B-4646-8D2F-DED90C36D3BE}"/>
                </c:ext>
              </c:extLst>
            </c:dLbl>
            <c:numFmt formatCode="#,##0.00_ ;\-#,##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1 - page 6'!$B$23:$B$26</c:f>
              <c:strCache>
                <c:ptCount val="4"/>
                <c:pt idx="0">
                  <c:v>Доходы</c:v>
                </c:pt>
                <c:pt idx="1">
                  <c:v>Расходы</c:v>
                </c:pt>
                <c:pt idx="2">
                  <c:v>Активы</c:v>
                </c:pt>
                <c:pt idx="3">
                  <c:v>Пассивы</c:v>
                </c:pt>
              </c:strCache>
            </c:strRef>
          </c:cat>
          <c:val>
            <c:numRef>
              <c:f>'Figure 1 - page 6'!$D$23:$D$26</c:f>
              <c:numCache>
                <c:formatCode>_(* #,##0.0_);_(* \(#,##0.0\);_(* "-"???_);_(@_)</c:formatCode>
                <c:ptCount val="4"/>
                <c:pt idx="0">
                  <c:v>178.5</c:v>
                </c:pt>
                <c:pt idx="1">
                  <c:v>196.8</c:v>
                </c:pt>
                <c:pt idx="2">
                  <c:v>317.89999999999998</c:v>
                </c:pt>
                <c:pt idx="3">
                  <c:v>530.9</c:v>
                </c:pt>
              </c:numCache>
            </c:numRef>
          </c:val>
          <c:extLst>
            <c:ext xmlns:c16="http://schemas.microsoft.com/office/drawing/2014/chart" uri="{C3380CC4-5D6E-409C-BE32-E72D297353CC}">
              <c16:uniqueId val="{00000001-7A4A-4F0B-8B35-2067DBE8E118}"/>
            </c:ext>
          </c:extLst>
        </c:ser>
        <c:dLbls>
          <c:showLegendKey val="0"/>
          <c:showVal val="0"/>
          <c:showCatName val="0"/>
          <c:showSerName val="0"/>
          <c:showPercent val="0"/>
          <c:showBubbleSize val="0"/>
        </c:dLbls>
        <c:gapWidth val="100"/>
        <c:overlap val="-24"/>
        <c:axId val="847597416"/>
        <c:axId val="847598856"/>
      </c:barChart>
      <c:catAx>
        <c:axId val="8475974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598856"/>
        <c:crosses val="autoZero"/>
        <c:auto val="1"/>
        <c:lblAlgn val="ctr"/>
        <c:lblOffset val="100"/>
        <c:noMultiLvlLbl val="0"/>
      </c:catAx>
      <c:valAx>
        <c:axId val="847598856"/>
        <c:scaling>
          <c:orientation val="minMax"/>
        </c:scaling>
        <c:delete val="0"/>
        <c:axPos val="l"/>
        <c:majorGridlines>
          <c:spPr>
            <a:ln w="9525" cap="flat" cmpd="sng" algn="ctr">
              <a:solidFill>
                <a:schemeClr val="tx1">
                  <a:lumMod val="15000"/>
                  <a:lumOff val="85000"/>
                </a:schemeClr>
              </a:solidFill>
              <a:round/>
            </a:ln>
            <a:effectLst/>
          </c:spPr>
        </c:majorGridlines>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59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03E6-46B9-BC21-A6288B6034E0}"/>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03E6-46B9-BC21-A6288B6034E0}"/>
              </c:ext>
            </c:extLst>
          </c:dPt>
          <c:dPt>
            <c:idx val="2"/>
            <c:bubble3D val="0"/>
            <c:spPr>
              <a:solidFill>
                <a:schemeClr val="accent1">
                  <a:shade val="76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03E6-46B9-BC21-A6288B6034E0}"/>
              </c:ext>
            </c:extLst>
          </c:dPt>
          <c:dPt>
            <c:idx val="3"/>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03E6-46B9-BC21-A6288B6034E0}"/>
              </c:ext>
            </c:extLst>
          </c:dPt>
          <c:dPt>
            <c:idx val="4"/>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03E6-46B9-BC21-A6288B6034E0}"/>
              </c:ext>
            </c:extLst>
          </c:dPt>
          <c:dPt>
            <c:idx val="5"/>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03E6-46B9-BC21-A6288B6034E0}"/>
              </c:ext>
            </c:extLst>
          </c:dPt>
          <c:dPt>
            <c:idx val="6"/>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03E6-46B9-BC21-A6288B6034E0}"/>
              </c:ext>
            </c:extLst>
          </c:dPt>
          <c:dPt>
            <c:idx val="7"/>
            <c:bubble3D val="0"/>
            <c:explosion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03E6-46B9-BC21-A6288B6034E0}"/>
              </c:ext>
            </c:extLst>
          </c:dPt>
          <c:dPt>
            <c:idx val="8"/>
            <c:bubble3D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1-03E6-46B9-BC21-A6288B6034E0}"/>
              </c:ext>
            </c:extLst>
          </c:dPt>
          <c:dLbls>
            <c:dLbl>
              <c:idx val="0"/>
              <c:tx>
                <c:rich>
                  <a:bodyPr/>
                  <a:lstStyle/>
                  <a:p>
                    <a:r>
                      <a:rPr lang="ru-RU" baseline="0">
                        <a:solidFill>
                          <a:schemeClr val="bg1"/>
                        </a:solidFill>
                      </a:rPr>
                      <a:t>Начисленные </a:t>
                    </a:r>
                    <a:br>
                      <a:rPr lang="ru-RU" baseline="0">
                        <a:solidFill>
                          <a:schemeClr val="bg1"/>
                        </a:solidFill>
                      </a:rPr>
                    </a:br>
                    <a:r>
                      <a:rPr lang="ru-RU" baseline="0">
                        <a:solidFill>
                          <a:schemeClr val="bg1"/>
                        </a:solidFill>
                      </a:rPr>
                      <a:t>взносы
71%</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3E6-46B9-BC21-A6288B6034E0}"/>
                </c:ext>
              </c:extLst>
            </c:dLbl>
            <c:dLbl>
              <c:idx val="1"/>
              <c:layout>
                <c:manualLayout>
                  <c:x val="2.0104609226004318E-3"/>
                  <c:y val="2.592891435858968E-2"/>
                </c:manualLayout>
              </c:layout>
              <c:tx>
                <c:rich>
                  <a:bodyPr/>
                  <a:lstStyle/>
                  <a:p>
                    <a:r>
                      <a:rPr lang="ru-RU" sz="900" b="0" i="0" u="none" strike="noStrike" baseline="0">
                        <a:effectLst/>
                      </a:rPr>
                      <a:t>Внебюджетные взносы</a:t>
                    </a:r>
                    <a:r>
                      <a:rPr lang="ru-RU" baseline="0"/>
                      <a:t>
11%</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3E6-46B9-BC21-A6288B6034E0}"/>
                </c:ext>
              </c:extLst>
            </c:dLbl>
            <c:dLbl>
              <c:idx val="3"/>
              <c:layout>
                <c:manualLayout>
                  <c:x val="9.322162131868747E-3"/>
                  <c:y val="-2.1066804803912001E-2"/>
                </c:manualLayout>
              </c:layout>
              <c:tx>
                <c:rich>
                  <a:bodyPr/>
                  <a:lstStyle/>
                  <a:p>
                    <a:fld id="{1632111A-1BB5-4FAB-B45F-6CD70D7E3330}" type="CATEGORYNAME">
                      <a:rPr lang="en-US"/>
                      <a:pPr/>
                      <a:t>[CATEGORY NAME]</a:t>
                    </a:fld>
                    <a:r>
                      <a:rPr lang="en-US" baseline="0"/>
                      <a:t>
1%</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3E6-46B9-BC21-A6288B6034E0}"/>
                </c:ext>
              </c:extLst>
            </c:dLbl>
            <c:dLbl>
              <c:idx val="5"/>
              <c:layout>
                <c:manualLayout>
                  <c:x val="-0.11892827970420575"/>
                  <c:y val="1.2523976291551702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a:solidFill>
                          <a:sysClr val="windowText" lastClr="000000"/>
                        </a:solidFill>
                      </a:rPr>
                      <a:t>Продажа</a:t>
                    </a:r>
                    <a:br>
                      <a:rPr lang="ru-RU">
                        <a:solidFill>
                          <a:sysClr val="windowText" lastClr="000000"/>
                        </a:solidFill>
                      </a:rPr>
                    </a:br>
                    <a:r>
                      <a:rPr lang="ru-RU">
                        <a:solidFill>
                          <a:sysClr val="windowText" lastClr="000000"/>
                        </a:solidFill>
                      </a:rPr>
                      <a:t>публикаций</a:t>
                    </a:r>
                    <a:r>
                      <a:rPr lang="ru-RU" baseline="0">
                        <a:solidFill>
                          <a:sysClr val="windowText" lastClr="000000"/>
                        </a:solidFill>
                      </a:rPr>
                      <a:t>
49%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5651314173315153"/>
                      <c:h val="0.14614132907856159"/>
                    </c:manualLayout>
                  </c15:layout>
                  <c15:showDataLabelsRange val="0"/>
                </c:ext>
                <c:ext xmlns:c16="http://schemas.microsoft.com/office/drawing/2014/chart" uri="{C3380CC4-5D6E-409C-BE32-E72D297353CC}">
                  <c16:uniqueId val="{0000000B-03E6-46B9-BC21-A6288B6034E0}"/>
                </c:ext>
              </c:extLst>
            </c:dLbl>
            <c:dLbl>
              <c:idx val="6"/>
              <c:layout>
                <c:manualLayout>
                  <c:x val="-0.14188136330872556"/>
                  <c:y val="-9.2846760346553675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31%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258724480628324"/>
                      <c:h val="9.8586478811582348E-2"/>
                    </c:manualLayout>
                  </c15:layout>
                  <c15:dlblFieldTable/>
                  <c15:showDataLabelsRange val="0"/>
                </c:ext>
                <c:ext xmlns:c16="http://schemas.microsoft.com/office/drawing/2014/chart" uri="{C3380CC4-5D6E-409C-BE32-E72D297353CC}">
                  <c16:uniqueId val="{0000000D-03E6-46B9-BC21-A6288B6034E0}"/>
                </c:ext>
              </c:extLst>
            </c:dLbl>
            <c:dLbl>
              <c:idx val="7"/>
              <c:layout>
                <c:manualLayout>
                  <c:x val="-0.11277889128372237"/>
                  <c:y val="1.2145395688011566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baseline="0">
                        <a:solidFill>
                          <a:sysClr val="windowText" lastClr="000000"/>
                        </a:solidFill>
                      </a:rPr>
                      <a:t>Прочие доходы</a:t>
                    </a:r>
                    <a:br>
                      <a:rPr lang="ru-RU" baseline="0">
                        <a:solidFill>
                          <a:sysClr val="windowText" lastClr="000000"/>
                        </a:solidFill>
                      </a:rPr>
                    </a:br>
                    <a:r>
                      <a:rPr lang="ru-RU" baseline="0">
                        <a:solidFill>
                          <a:sysClr val="windowText" lastClr="000000"/>
                        </a:solidFill>
                      </a:rPr>
                      <a:t>20%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5299496448403102"/>
                      <c:h val="0.1223407196631511"/>
                    </c:manualLayout>
                  </c15:layout>
                  <c15:showDataLabelsRange val="0"/>
                </c:ext>
                <c:ext xmlns:c16="http://schemas.microsoft.com/office/drawing/2014/chart" uri="{C3380CC4-5D6E-409C-BE32-E72D297353CC}">
                  <c16:uniqueId val="{0000000F-03E6-46B9-BC21-A6288B6034E0}"/>
                </c:ext>
              </c:extLst>
            </c:dLbl>
            <c:dLbl>
              <c:idx val="8"/>
              <c:layout>
                <c:manualLayout>
                  <c:x val="-0.1853642784785294"/>
                  <c:y val="-1.4686738590741263E-3"/>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sz="900" b="0" i="0" u="none" strike="noStrike" kern="1200" baseline="0">
                        <a:solidFill>
                          <a:sysClr val="windowText" lastClr="000000"/>
                        </a:solidFill>
                      </a:rPr>
                      <a:t>Прочие</a:t>
                    </a:r>
                    <a:br>
                      <a:rPr lang="ru-RU" sz="900" b="0" i="0" u="none" strike="noStrike" kern="1200" baseline="0">
                        <a:solidFill>
                          <a:sysClr val="windowText" lastClr="000000"/>
                        </a:solidFill>
                      </a:rPr>
                    </a:br>
                    <a:r>
                      <a:rPr lang="ru-RU" sz="900" b="0" i="0" u="none" strike="noStrike" kern="1200" baseline="0">
                        <a:solidFill>
                          <a:sysClr val="windowText" lastClr="000000"/>
                        </a:solidFill>
                      </a:rPr>
                      <a:t>доходы от</a:t>
                    </a:r>
                    <a:br>
                      <a:rPr lang="ru-RU" sz="900" b="0" i="0" u="none" strike="noStrike" kern="1200" baseline="0">
                        <a:solidFill>
                          <a:sysClr val="windowText" lastClr="000000"/>
                        </a:solidFill>
                      </a:rPr>
                    </a:br>
                    <a:r>
                      <a:rPr lang="ru-RU" sz="900" b="0" i="0" u="none" strike="noStrike" kern="1200" baseline="0">
                        <a:solidFill>
                          <a:sysClr val="windowText" lastClr="000000"/>
                        </a:solidFill>
                      </a:rPr>
                      <a:t>деятельности</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r>
                      <a:rPr lang="ru-RU"/>
                      <a:t>18%</a:t>
                    </a:r>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4406679762538224"/>
                      <c:h val="0.17604242867593267"/>
                    </c:manualLayout>
                  </c15:layout>
                  <c15:showDataLabelsRange val="0"/>
                </c:ext>
                <c:ext xmlns:c16="http://schemas.microsoft.com/office/drawing/2014/chart" uri="{C3380CC4-5D6E-409C-BE32-E72D297353CC}">
                  <c16:uniqueId val="{00000011-03E6-46B9-BC21-A6288B6034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0"/>
            <c:extLst>
              <c:ext xmlns:c15="http://schemas.microsoft.com/office/drawing/2012/chart" uri="{CE6537A1-D6FC-4f65-9D91-7224C49458BB}"/>
            </c:extLst>
          </c:dLbls>
          <c:cat>
            <c:strRef>
              <c:f>'Fig 2 page 8'!$A$13:$A$20</c:f>
              <c:strCache>
                <c:ptCount val="8"/>
                <c:pt idx="0">
                  <c:v>Assessed contributions</c:v>
                </c:pt>
                <c:pt idx="1">
                  <c:v>Extrabudgetary contributions</c:v>
                </c:pt>
                <c:pt idx="2">
                  <c:v>In-kind contribution</c:v>
                </c:pt>
                <c:pt idx="3">
                  <c:v>Finance revenue</c:v>
                </c:pt>
                <c:pt idx="5">
                  <c:v>Sales of publication</c:v>
                </c:pt>
                <c:pt idx="6">
                  <c:v>SNF</c:v>
                </c:pt>
                <c:pt idx="7">
                  <c:v>other </c:v>
                </c:pt>
              </c:strCache>
            </c:strRef>
          </c:cat>
          <c:val>
            <c:numRef>
              <c:f>'Fig 2 page 8'!$B$13:$B$20</c:f>
              <c:numCache>
                <c:formatCode>_ * #,##0_ ;_ * \-#,##0_ ;_ * "-"??_ ;_ @_ </c:formatCode>
                <c:ptCount val="8"/>
                <c:pt idx="0">
                  <c:v>127.6</c:v>
                </c:pt>
                <c:pt idx="1">
                  <c:v>18.7</c:v>
                </c:pt>
                <c:pt idx="5">
                  <c:v>16.7</c:v>
                </c:pt>
                <c:pt idx="6">
                  <c:v>10.6</c:v>
                </c:pt>
                <c:pt idx="7">
                  <c:v>6.8</c:v>
                </c:pt>
              </c:numCache>
            </c:numRef>
          </c:val>
          <c:extLst>
            <c:ext xmlns:c16="http://schemas.microsoft.com/office/drawing/2014/chart" uri="{C3380CC4-5D6E-409C-BE32-E72D297353CC}">
              <c16:uniqueId val="{00000012-03E6-46B9-BC21-A6288B6034E0}"/>
            </c:ext>
          </c:extLst>
        </c:ser>
        <c:dLbls>
          <c:showLegendKey val="0"/>
          <c:showVal val="0"/>
          <c:showCatName val="0"/>
          <c:showSerName val="0"/>
          <c:showPercent val="0"/>
          <c:showBubbleSize val="0"/>
          <c:showLeaderLines val="0"/>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99125405015073"/>
          <c:y val="0.20619238384675601"/>
          <c:w val="0.71776250648743556"/>
          <c:h val="0.69454923397733181"/>
        </c:manualLayout>
      </c:layout>
      <c:pie3DChart>
        <c:varyColors val="1"/>
        <c:ser>
          <c:idx val="0"/>
          <c:order val="0"/>
          <c:spPr>
            <a:ln>
              <a:solidFill>
                <a:schemeClr val="bg1"/>
              </a:solidFill>
            </a:ln>
          </c:spPr>
          <c:dPt>
            <c:idx val="0"/>
            <c:bubble3D val="0"/>
            <c:explosion val="13"/>
            <c:spPr>
              <a:solidFill>
                <a:schemeClr val="accent1"/>
              </a:solidFill>
              <a:ln w="25400">
                <a:solidFill>
                  <a:schemeClr val="bg1"/>
                </a:solidFill>
              </a:ln>
              <a:effectLst/>
              <a:sp3d contourW="25400">
                <a:contourClr>
                  <a:schemeClr val="bg1"/>
                </a:contourClr>
              </a:sp3d>
            </c:spPr>
            <c:extLst>
              <c:ext xmlns:c16="http://schemas.microsoft.com/office/drawing/2014/chart" uri="{C3380CC4-5D6E-409C-BE32-E72D297353CC}">
                <c16:uniqueId val="{00000001-E942-4EA7-A467-F94493939561}"/>
              </c:ext>
            </c:extLst>
          </c:dPt>
          <c:dPt>
            <c:idx val="1"/>
            <c:bubble3D val="0"/>
            <c:spPr>
              <a:solidFill>
                <a:schemeClr val="accent3"/>
              </a:solidFill>
              <a:ln w="25400">
                <a:solidFill>
                  <a:schemeClr val="bg1"/>
                </a:solidFill>
              </a:ln>
              <a:effectLst/>
              <a:sp3d contourW="25400">
                <a:contourClr>
                  <a:schemeClr val="bg1"/>
                </a:contourClr>
              </a:sp3d>
            </c:spPr>
            <c:extLst>
              <c:ext xmlns:c16="http://schemas.microsoft.com/office/drawing/2014/chart" uri="{C3380CC4-5D6E-409C-BE32-E72D297353CC}">
                <c16:uniqueId val="{00000003-E942-4EA7-A467-F94493939561}"/>
              </c:ext>
            </c:extLst>
          </c:dPt>
          <c:dPt>
            <c:idx val="2"/>
            <c:bubble3D val="0"/>
            <c:spPr>
              <a:solidFill>
                <a:schemeClr val="accent5"/>
              </a:solidFill>
              <a:ln w="25400">
                <a:solidFill>
                  <a:schemeClr val="bg1"/>
                </a:solidFill>
              </a:ln>
              <a:effectLst/>
              <a:sp3d contourW="25400">
                <a:contourClr>
                  <a:schemeClr val="bg1"/>
                </a:contourClr>
              </a:sp3d>
            </c:spPr>
            <c:extLst>
              <c:ext xmlns:c16="http://schemas.microsoft.com/office/drawing/2014/chart" uri="{C3380CC4-5D6E-409C-BE32-E72D297353CC}">
                <c16:uniqueId val="{00000005-E942-4EA7-A467-F94493939561}"/>
              </c:ext>
            </c:extLst>
          </c:dPt>
          <c:dPt>
            <c:idx val="3"/>
            <c:bubble3D val="0"/>
            <c:spPr>
              <a:solidFill>
                <a:schemeClr val="accent1">
                  <a:lumMod val="6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7-E942-4EA7-A467-F94493939561}"/>
              </c:ext>
            </c:extLst>
          </c:dPt>
          <c:dPt>
            <c:idx val="4"/>
            <c:bubble3D val="0"/>
            <c:spPr>
              <a:solidFill>
                <a:schemeClr val="accent3">
                  <a:lumMod val="6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9-E942-4EA7-A467-F94493939561}"/>
              </c:ext>
            </c:extLst>
          </c:dPt>
          <c:dPt>
            <c:idx val="5"/>
            <c:bubble3D val="0"/>
            <c:spPr>
              <a:solidFill>
                <a:schemeClr val="accent5">
                  <a:lumMod val="6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B-E942-4EA7-A467-F94493939561}"/>
              </c:ext>
            </c:extLst>
          </c:dPt>
          <c:dPt>
            <c:idx val="6"/>
            <c:bubble3D val="0"/>
            <c:spPr>
              <a:solidFill>
                <a:schemeClr val="accent1">
                  <a:lumMod val="80000"/>
                  <a:lumOff val="2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D-E942-4EA7-A467-F94493939561}"/>
              </c:ext>
            </c:extLst>
          </c:dPt>
          <c:dPt>
            <c:idx val="7"/>
            <c:bubble3D val="0"/>
            <c:spPr>
              <a:solidFill>
                <a:schemeClr val="accent3">
                  <a:lumMod val="80000"/>
                  <a:lumOff val="20000"/>
                </a:schemeClr>
              </a:solidFill>
              <a:ln w="25400">
                <a:solidFill>
                  <a:schemeClr val="bg1"/>
                </a:solidFill>
              </a:ln>
              <a:effectLst/>
              <a:sp3d contourW="25400">
                <a:contourClr>
                  <a:schemeClr val="bg1"/>
                </a:contourClr>
              </a:sp3d>
            </c:spPr>
            <c:extLst>
              <c:ext xmlns:c16="http://schemas.microsoft.com/office/drawing/2014/chart" uri="{C3380CC4-5D6E-409C-BE32-E72D297353CC}">
                <c16:uniqueId val="{0000000F-E942-4EA7-A467-F94493939561}"/>
              </c:ext>
            </c:extLst>
          </c:dPt>
          <c:dLbls>
            <c:dLbl>
              <c:idx val="0"/>
              <c:layout>
                <c:manualLayout>
                  <c:x val="-0.17655653168746718"/>
                  <c:y val="-0.17864411393269986"/>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ru-RU" baseline="0"/>
                      <a:t>Расходы по персоналу</a:t>
                    </a:r>
                    <a:br>
                      <a:rPr lang="ru-RU" baseline="0"/>
                    </a:br>
                    <a:r>
                      <a:rPr lang="ru-RU" baseline="0"/>
                      <a:t> </a:t>
                    </a:r>
                    <a:fld id="{BC2D3277-5216-4A1D-90FD-0A1D0A2BE954}" type="PERCENTAGE">
                      <a:rPr lang="en-US" baseline="0"/>
                      <a:pPr>
                        <a:defRPr/>
                      </a:pPr>
                      <a:t>[PERCENTAGE]</a:t>
                    </a:fld>
                    <a:endParaRPr lang="ru-RU" baseline="0"/>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69562"/>
                        <a:gd name="adj2" fmla="val 104879"/>
                        <a:gd name="adj3" fmla="val 78235"/>
                        <a:gd name="adj4" fmla="val 103582"/>
                      </a:avLst>
                    </a:prstGeom>
                    <a:noFill/>
                    <a:ln>
                      <a:noFill/>
                    </a:ln>
                  </c15:spPr>
                  <c15:layout>
                    <c:manualLayout>
                      <c:w val="0.13039321468346388"/>
                      <c:h val="0.1236036229886294"/>
                    </c:manualLayout>
                  </c15:layout>
                  <c15:dlblFieldTable/>
                  <c15:showDataLabelsRange val="1"/>
                </c:ext>
                <c:ext xmlns:c16="http://schemas.microsoft.com/office/drawing/2014/chart" uri="{C3380CC4-5D6E-409C-BE32-E72D297353CC}">
                  <c16:uniqueId val="{00000001-E942-4EA7-A467-F94493939561}"/>
                </c:ext>
              </c:extLst>
            </c:dLbl>
            <c:dLbl>
              <c:idx val="1"/>
              <c:layout>
                <c:manualLayout>
                  <c:x val="-2.3128732471375812E-2"/>
                  <c:y val="2.9994408593662633E-2"/>
                </c:manualLayout>
              </c:layout>
              <c:tx>
                <c:rich>
                  <a:bodyPr/>
                  <a:lstStyle/>
                  <a:p>
                    <a:r>
                      <a:rPr lang="ru-RU" baseline="0"/>
                      <a:t>Служебные командировки </a:t>
                    </a:r>
                    <a:br>
                      <a:rPr lang="ru-RU" baseline="0"/>
                    </a:br>
                    <a:fld id="{E505CDF2-31B2-4176-9E44-A11D175B8F04}" type="PERCENTAGE">
                      <a:rPr lang="en-US" baseline="0"/>
                      <a:pPr/>
                      <a:t>[PERCENTAGE]</a:t>
                    </a:fld>
                    <a:endParaRPr lang="ru-RU"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E942-4EA7-A467-F94493939561}"/>
                </c:ext>
              </c:extLst>
            </c:dLbl>
            <c:dLbl>
              <c:idx val="2"/>
              <c:layout>
                <c:manualLayout>
                  <c:x val="-0.12365216832737712"/>
                  <c:y val="-2.0673897402448946E-2"/>
                </c:manualLayout>
              </c:layout>
              <c:tx>
                <c:rich>
                  <a:bodyPr/>
                  <a:lstStyle/>
                  <a:p>
                    <a:r>
                      <a:rPr lang="ru-RU"/>
                      <a:t>Контрактные услуги</a:t>
                    </a:r>
                    <a:r>
                      <a:rPr lang="ru-RU" baseline="0"/>
                      <a:t> </a:t>
                    </a:r>
                    <a:fld id="{BCF84BF9-2ECA-4516-B842-B08DE6A4AADF}" type="PERCENTAGE">
                      <a:rPr lang="en-US" baseline="0"/>
                      <a:pPr/>
                      <a:t>[PERCENTAGE]</a:t>
                    </a:fld>
                    <a:endParaRPr lang="ru-RU"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942-4EA7-A467-F94493939561}"/>
                </c:ext>
              </c:extLst>
            </c:dLbl>
            <c:dLbl>
              <c:idx val="3"/>
              <c:layout>
                <c:manualLayout>
                  <c:x val="-0.19975469112000951"/>
                  <c:y val="-5.9532400465313315E-2"/>
                </c:manualLayout>
              </c:layout>
              <c:tx>
                <c:rich>
                  <a:bodyPr rot="0" spcFirstLastPara="1" vertOverflow="ellipsis" vert="horz" wrap="square" lIns="38100" tIns="19050" rIns="38100" bIns="19050" anchor="ctr" anchorCtr="1">
                    <a:spAutoFit/>
                  </a:bodyPr>
                  <a:lstStyle/>
                  <a:p>
                    <a:pPr>
                      <a:lnSpc>
                        <a:spcPts val="1000"/>
                      </a:lnSpc>
                      <a:defRPr sz="900" b="0" i="0" u="none" strike="noStrike" kern="1200" baseline="0">
                        <a:solidFill>
                          <a:sysClr val="windowText" lastClr="000000"/>
                        </a:solidFill>
                        <a:latin typeface="+mn-lt"/>
                        <a:ea typeface="+mn-ea"/>
                        <a:cs typeface="+mn-cs"/>
                      </a:defRPr>
                    </a:pPr>
                    <a:r>
                      <a:rPr lang="ru-RU" baseline="0"/>
                      <a:t>Аренда и эксплуатация</a:t>
                    </a:r>
                    <a:br>
                      <a:rPr lang="ru-RU" baseline="0"/>
                    </a:br>
                    <a:r>
                      <a:rPr lang="ru-RU" baseline="0"/>
                      <a:t>помещений и оборудования </a:t>
                    </a:r>
                    <a:br>
                      <a:rPr lang="ru-RU" baseline="0"/>
                    </a:br>
                    <a:fld id="{55AF7B84-95A8-4E82-A1ED-C4D3A9E0D7DA}" type="PERCENTAGE">
                      <a:rPr lang="en-US" baseline="0"/>
                      <a:pPr>
                        <a:lnSpc>
                          <a:spcPts val="1000"/>
                        </a:lnSpc>
                        <a:defRPr>
                          <a:solidFill>
                            <a:sysClr val="windowText" lastClr="000000"/>
                          </a:solidFill>
                        </a:defRPr>
                      </a:pPr>
                      <a:t>[PERCENTAGE]</a:t>
                    </a:fld>
                    <a:endParaRPr lang="ru-RU" baseline="0"/>
                  </a:p>
                </c:rich>
              </c:tx>
              <c:spPr>
                <a:solidFill>
                  <a:schemeClr val="bg1"/>
                </a:solidFill>
                <a:ln>
                  <a:solidFill>
                    <a:schemeClr val="bg1"/>
                  </a:solidFill>
                </a:ln>
                <a:effectLst/>
              </c:spPr>
              <c:txPr>
                <a:bodyPr rot="0" spcFirstLastPara="1" vertOverflow="ellipsis" vert="horz" wrap="square" lIns="38100" tIns="19050" rIns="38100" bIns="19050" anchor="ctr" anchorCtr="1">
                  <a:spAutoFit/>
                </a:bodyPr>
                <a:lstStyle/>
                <a:p>
                  <a:pPr>
                    <a:lnSpc>
                      <a:spcPts val="1000"/>
                    </a:lnSpc>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E942-4EA7-A467-F94493939561}"/>
                </c:ext>
              </c:extLst>
            </c:dLbl>
            <c:dLbl>
              <c:idx val="4"/>
              <c:layout>
                <c:manualLayout>
                  <c:x val="1.1955899956337449E-2"/>
                  <c:y val="-8.6083769844738658E-2"/>
                </c:manualLayout>
              </c:layout>
              <c:tx>
                <c:rich>
                  <a:bodyPr/>
                  <a:lstStyle/>
                  <a:p>
                    <a:r>
                      <a:rPr lang="ru-RU" baseline="0"/>
                      <a:t>Оборудование и</a:t>
                    </a:r>
                    <a:br>
                      <a:rPr lang="ru-RU" baseline="0"/>
                    </a:br>
                    <a:r>
                      <a:rPr lang="ru-RU" baseline="0"/>
                      <a:t>предметы </a:t>
                    </a:r>
                    <a:br>
                      <a:rPr lang="ru-RU" baseline="0"/>
                    </a:br>
                    <a:r>
                      <a:rPr lang="ru-RU" baseline="0"/>
                      <a:t>снабжения</a:t>
                    </a:r>
                    <a:br>
                      <a:rPr lang="ru-RU" baseline="0"/>
                    </a:br>
                    <a:r>
                      <a:rPr lang="ru-RU" baseline="0"/>
                      <a:t> </a:t>
                    </a:r>
                    <a:fld id="{C5AE80F8-8FFC-4ED0-8B2B-A59797582BE0}" type="PERCENTAGE">
                      <a:rPr lang="en-US" baseline="0"/>
                      <a:pPr/>
                      <a:t>[PERCENTAGE]</a:t>
                    </a:fld>
                    <a:endParaRPr lang="ru-RU"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E942-4EA7-A467-F94493939561}"/>
                </c:ext>
              </c:extLst>
            </c:dLbl>
            <c:dLbl>
              <c:idx val="5"/>
              <c:layout>
                <c:manualLayout>
                  <c:x val="0.1513271071520646"/>
                  <c:y val="-0.13310731120181285"/>
                </c:manualLayout>
              </c:layout>
              <c:tx>
                <c:rich>
                  <a:bodyPr/>
                  <a:lstStyle/>
                  <a:p>
                    <a:r>
                      <a:rPr lang="ru-RU"/>
                      <a:t>Амортизация и</a:t>
                    </a:r>
                    <a:br>
                      <a:rPr lang="ru-RU"/>
                    </a:br>
                    <a:r>
                      <a:rPr lang="ru-RU"/>
                      <a:t>потеря сторимости</a:t>
                    </a:r>
                    <a:br>
                      <a:rPr lang="ru-RU" baseline="0"/>
                    </a:br>
                    <a:r>
                      <a:rPr lang="ru-RU" baseline="0"/>
                      <a:t> </a:t>
                    </a:r>
                    <a:fld id="{426B6359-1499-4FC6-AA08-745D8590E984}" type="PERCENTAGE">
                      <a:rPr lang="en-US" baseline="0"/>
                      <a:pPr/>
                      <a:t>[PERCENTAGE]</a:t>
                    </a:fld>
                    <a:endParaRPr lang="ru-RU"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E942-4EA7-A467-F94493939561}"/>
                </c:ext>
              </c:extLst>
            </c:dLbl>
            <c:dLbl>
              <c:idx val="6"/>
              <c:layout>
                <c:manualLayout>
                  <c:x val="0.29097114018282716"/>
                  <c:y val="-5.2082546043828212E-2"/>
                </c:manualLayout>
              </c:layout>
              <c:tx>
                <c:rich>
                  <a:bodyPr/>
                  <a:lstStyle/>
                  <a:p>
                    <a:r>
                      <a:rPr lang="ru-RU"/>
                      <a:t>Расходы по перевозке,</a:t>
                    </a:r>
                    <a:br>
                      <a:rPr lang="ru-RU"/>
                    </a:br>
                    <a:r>
                      <a:rPr lang="ru-RU"/>
                      <a:t>электросвязи</a:t>
                    </a:r>
                    <a:r>
                      <a:rPr lang="ru-RU" baseline="0"/>
                      <a:t> и услугам</a:t>
                    </a:r>
                    <a:br>
                      <a:rPr lang="ru-RU" baseline="0"/>
                    </a:br>
                    <a:r>
                      <a:rPr lang="ru-RU" baseline="0"/>
                      <a:t> </a:t>
                    </a:r>
                    <a:fld id="{54F53D7F-F729-4D7F-B947-827B64C02773}" type="PERCENTAGE">
                      <a:rPr lang="en-US" baseline="0"/>
                      <a:pPr/>
                      <a:t>[PERCENTAGE]</a:t>
                    </a:fld>
                    <a:endParaRPr lang="ru-RU"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E942-4EA7-A467-F94493939561}"/>
                </c:ext>
              </c:extLst>
            </c:dLbl>
            <c:dLbl>
              <c:idx val="7"/>
              <c:delete val="1"/>
              <c:extLst>
                <c:ext xmlns:c15="http://schemas.microsoft.com/office/drawing/2012/chart" uri="{CE6537A1-D6FC-4f65-9D91-7224C49458BB}"/>
                <c:ext xmlns:c16="http://schemas.microsoft.com/office/drawing/2014/chart" uri="{C3380CC4-5D6E-409C-BE32-E72D297353CC}">
                  <c16:uniqueId val="{0000000F-E942-4EA7-A467-F94493939561}"/>
                </c:ext>
              </c:extLst>
            </c:dLbl>
            <c:spPr>
              <a:solidFill>
                <a:schemeClr val="bg1"/>
              </a:solid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howDataLabelsRange val="1"/>
              </c:ext>
            </c:extLst>
          </c:dLbls>
          <c:cat>
            <c:strRef>
              <c:f>'[043e-figures-pages6-to-10 (1).xlsx]Figure 3 page 9'!$A$49:$A$56</c:f>
              <c:strCache>
                <c:ptCount val="8"/>
                <c:pt idx="0">
                  <c:v>Employee expenses</c:v>
                </c:pt>
                <c:pt idx="1">
                  <c:v>Mission expenses</c:v>
                </c:pt>
                <c:pt idx="2">
                  <c:v>Contractual services</c:v>
                </c:pt>
                <c:pt idx="3">
                  <c:v>Rental &amp; maintenance of premises</c:v>
                </c:pt>
                <c:pt idx="4">
                  <c:v>Equipment &amp; supplies</c:v>
                </c:pt>
                <c:pt idx="5">
                  <c:v>Depreciation &amp; impairment losses</c:v>
                </c:pt>
                <c:pt idx="6">
                  <c:v>Shipping, telecommunication &amp; service expenses</c:v>
                </c:pt>
                <c:pt idx="7">
                  <c:v>Other expenses</c:v>
                </c:pt>
              </c:strCache>
            </c:strRef>
          </c:cat>
          <c:val>
            <c:numRef>
              <c:f>'[043e-figures-pages6-to-10 (1).xlsx]Figure 3 page 9'!$B$49:$B$56</c:f>
              <c:numCache>
                <c:formatCode>_(* #,##0_);_(* \(#,##0\);_(* "-"???_);_(@_)</c:formatCode>
                <c:ptCount val="8"/>
                <c:pt idx="0">
                  <c:v>150724</c:v>
                </c:pt>
                <c:pt idx="1">
                  <c:v>7788</c:v>
                </c:pt>
                <c:pt idx="2">
                  <c:v>21821</c:v>
                </c:pt>
                <c:pt idx="3">
                  <c:v>3537</c:v>
                </c:pt>
                <c:pt idx="4">
                  <c:v>3150</c:v>
                </c:pt>
                <c:pt idx="5">
                  <c:v>5660</c:v>
                </c:pt>
                <c:pt idx="6">
                  <c:v>2673</c:v>
                </c:pt>
                <c:pt idx="7">
                  <c:v>1808</c:v>
                </c:pt>
              </c:numCache>
            </c:numRef>
          </c:val>
          <c:extLst>
            <c:ext xmlns:c15="http://schemas.microsoft.com/office/drawing/2012/chart" uri="{02D57815-91ED-43cb-92C2-25804820EDAC}">
              <c15:datalabelsRange>
                <c15:f>'[043e-figures-pages6-to-10 (1).xlsx]Figure 3 page 9'!$A$49:$A$57</c15:f>
                <c15:dlblRangeCache>
                  <c:ptCount val="9"/>
                  <c:pt idx="0">
                    <c:v>Employee expenses</c:v>
                  </c:pt>
                  <c:pt idx="1">
                    <c:v>Mission expenses</c:v>
                  </c:pt>
                  <c:pt idx="2">
                    <c:v>Contractual services</c:v>
                  </c:pt>
                  <c:pt idx="3">
                    <c:v>Rental &amp; maintenance of premises</c:v>
                  </c:pt>
                  <c:pt idx="4">
                    <c:v>Equipment &amp; supplies</c:v>
                  </c:pt>
                  <c:pt idx="5">
                    <c:v>Depreciation &amp; impairment losses</c:v>
                  </c:pt>
                  <c:pt idx="6">
                    <c:v>Shipping, telecommunication &amp; service expenses</c:v>
                  </c:pt>
                  <c:pt idx="7">
                    <c:v>Other expenses</c:v>
                  </c:pt>
                </c15:dlblRangeCache>
              </c15:datalabelsRange>
            </c:ext>
            <c:ext xmlns:c16="http://schemas.microsoft.com/office/drawing/2014/chart" uri="{C3380CC4-5D6E-409C-BE32-E72D297353CC}">
              <c16:uniqueId val="{00000010-E942-4EA7-A467-F94493939561}"/>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C67F-3D1E-4E5B-A973-50C76A0D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7</TotalTime>
  <Pages>79</Pages>
  <Words>25169</Words>
  <Characters>165425</Characters>
  <Application>Microsoft Office Word</Application>
  <DocSecurity>0</DocSecurity>
  <Lines>1378</Lines>
  <Paragraphs>380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190214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Sikacheva, Violetta</dc:creator>
  <cp:keywords>C2024, C24, Council-24</cp:keywords>
  <dc:description/>
  <cp:lastModifiedBy>Brouard, Ricarda</cp:lastModifiedBy>
  <cp:revision>3</cp:revision>
  <cp:lastPrinted>2006-03-28T16:12:00Z</cp:lastPrinted>
  <dcterms:created xsi:type="dcterms:W3CDTF">2024-06-07T18:49:00Z</dcterms:created>
  <dcterms:modified xsi:type="dcterms:W3CDTF">2024-06-07T18:54:00Z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