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140B3" w14:paraId="0043AC80" w14:textId="77777777" w:rsidTr="00AD3606">
        <w:trPr>
          <w:cantSplit/>
          <w:trHeight w:val="23"/>
        </w:trPr>
        <w:tc>
          <w:tcPr>
            <w:tcW w:w="3969" w:type="dxa"/>
            <w:vMerge w:val="restart"/>
            <w:tcMar>
              <w:left w:w="0" w:type="dxa"/>
            </w:tcMar>
          </w:tcPr>
          <w:p w14:paraId="60A806D3" w14:textId="1B6D2415" w:rsidR="00AD3606" w:rsidRPr="002140B3" w:rsidRDefault="00AD3606" w:rsidP="00472BAD">
            <w:pPr>
              <w:tabs>
                <w:tab w:val="left" w:pos="851"/>
              </w:tabs>
              <w:spacing w:before="0" w:line="240" w:lineRule="atLeast"/>
              <w:rPr>
                <w:rFonts w:cs="Calibri"/>
                <w:b/>
                <w:szCs w:val="24"/>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2140B3">
              <w:rPr>
                <w:rFonts w:cs="Calibri"/>
                <w:b/>
                <w:szCs w:val="24"/>
              </w:rPr>
              <w:t xml:space="preserve">Agenda item: </w:t>
            </w:r>
            <w:r w:rsidR="00BC7FD9" w:rsidRPr="002140B3">
              <w:rPr>
                <w:rFonts w:cs="Calibri"/>
                <w:b/>
                <w:szCs w:val="24"/>
              </w:rPr>
              <w:t>ADM 1</w:t>
            </w:r>
          </w:p>
        </w:tc>
        <w:tc>
          <w:tcPr>
            <w:tcW w:w="5245" w:type="dxa"/>
          </w:tcPr>
          <w:p w14:paraId="74807FC6" w14:textId="77777777" w:rsidR="00227788" w:rsidRPr="002140B3" w:rsidRDefault="000C41F4" w:rsidP="00227788">
            <w:pPr>
              <w:tabs>
                <w:tab w:val="left" w:pos="851"/>
              </w:tabs>
              <w:spacing w:before="0" w:line="240" w:lineRule="atLeast"/>
              <w:jc w:val="right"/>
              <w:rPr>
                <w:rFonts w:cs="Calibri"/>
                <w:b/>
                <w:szCs w:val="24"/>
              </w:rPr>
            </w:pPr>
            <w:r w:rsidRPr="002140B3">
              <w:rPr>
                <w:rFonts w:cs="Calibri"/>
                <w:b/>
                <w:szCs w:val="24"/>
              </w:rPr>
              <w:t>Addendum 1 to</w:t>
            </w:r>
          </w:p>
          <w:p w14:paraId="291AB2A2" w14:textId="269D1D79" w:rsidR="00AD3606" w:rsidRPr="002140B3" w:rsidRDefault="00AD3606" w:rsidP="00227788">
            <w:pPr>
              <w:tabs>
                <w:tab w:val="left" w:pos="851"/>
              </w:tabs>
              <w:spacing w:before="0" w:line="240" w:lineRule="atLeast"/>
              <w:jc w:val="right"/>
              <w:rPr>
                <w:rFonts w:cs="Calibri"/>
                <w:b/>
                <w:szCs w:val="24"/>
              </w:rPr>
            </w:pPr>
            <w:r w:rsidRPr="002140B3">
              <w:rPr>
                <w:rFonts w:cs="Calibri"/>
                <w:b/>
                <w:szCs w:val="24"/>
              </w:rPr>
              <w:t>Document C2</w:t>
            </w:r>
            <w:r w:rsidR="00E23618" w:rsidRPr="002140B3">
              <w:rPr>
                <w:rFonts w:cs="Calibri"/>
                <w:b/>
                <w:szCs w:val="24"/>
              </w:rPr>
              <w:t>4</w:t>
            </w:r>
            <w:r w:rsidRPr="002140B3">
              <w:rPr>
                <w:rFonts w:cs="Calibri"/>
                <w:b/>
                <w:szCs w:val="24"/>
              </w:rPr>
              <w:t>/</w:t>
            </w:r>
            <w:r w:rsidR="00660FE6" w:rsidRPr="002140B3">
              <w:rPr>
                <w:rFonts w:cs="Calibri"/>
                <w:b/>
                <w:szCs w:val="24"/>
              </w:rPr>
              <w:t>50</w:t>
            </w:r>
            <w:r w:rsidRPr="002140B3">
              <w:rPr>
                <w:rFonts w:cs="Calibri"/>
                <w:b/>
                <w:szCs w:val="24"/>
              </w:rPr>
              <w:t>-E</w:t>
            </w:r>
          </w:p>
        </w:tc>
      </w:tr>
      <w:tr w:rsidR="00AD3606" w:rsidRPr="002140B3" w14:paraId="789B45BA" w14:textId="77777777" w:rsidTr="00AD3606">
        <w:trPr>
          <w:cantSplit/>
        </w:trPr>
        <w:tc>
          <w:tcPr>
            <w:tcW w:w="3969" w:type="dxa"/>
            <w:vMerge/>
          </w:tcPr>
          <w:p w14:paraId="3F3D4E17" w14:textId="77777777" w:rsidR="00AD3606" w:rsidRPr="002140B3" w:rsidRDefault="00AD3606" w:rsidP="00AD3606">
            <w:pPr>
              <w:tabs>
                <w:tab w:val="left" w:pos="851"/>
              </w:tabs>
              <w:spacing w:line="240" w:lineRule="atLeast"/>
              <w:rPr>
                <w:rFonts w:cs="Calibri"/>
                <w:b/>
                <w:szCs w:val="24"/>
              </w:rPr>
            </w:pPr>
            <w:bookmarkStart w:id="6" w:name="ddate" w:colFirst="1" w:colLast="1"/>
            <w:bookmarkEnd w:id="0"/>
            <w:bookmarkEnd w:id="1"/>
          </w:p>
        </w:tc>
        <w:tc>
          <w:tcPr>
            <w:tcW w:w="5245" w:type="dxa"/>
          </w:tcPr>
          <w:p w14:paraId="2DE9ACEA" w14:textId="569E8E51" w:rsidR="00AD3606" w:rsidRPr="002140B3" w:rsidRDefault="000C41F4" w:rsidP="00AD3606">
            <w:pPr>
              <w:tabs>
                <w:tab w:val="left" w:pos="851"/>
              </w:tabs>
              <w:spacing w:before="0"/>
              <w:jc w:val="right"/>
              <w:rPr>
                <w:rFonts w:cs="Calibri"/>
                <w:b/>
                <w:szCs w:val="24"/>
              </w:rPr>
            </w:pPr>
            <w:r w:rsidRPr="002140B3">
              <w:rPr>
                <w:rFonts w:cs="Calibri"/>
                <w:b/>
                <w:szCs w:val="24"/>
              </w:rPr>
              <w:t>4 June</w:t>
            </w:r>
            <w:r w:rsidR="009A26F3" w:rsidRPr="002140B3">
              <w:rPr>
                <w:rFonts w:cs="Calibri"/>
                <w:b/>
                <w:szCs w:val="24"/>
              </w:rPr>
              <w:t xml:space="preserve"> </w:t>
            </w:r>
            <w:r w:rsidR="00AD3606" w:rsidRPr="002140B3">
              <w:rPr>
                <w:rFonts w:cs="Calibri"/>
                <w:b/>
                <w:szCs w:val="24"/>
              </w:rPr>
              <w:t>202</w:t>
            </w:r>
            <w:r w:rsidR="00E23618" w:rsidRPr="002140B3">
              <w:rPr>
                <w:rFonts w:cs="Calibri"/>
                <w:b/>
                <w:szCs w:val="24"/>
              </w:rPr>
              <w:t>4</w:t>
            </w:r>
          </w:p>
        </w:tc>
      </w:tr>
      <w:tr w:rsidR="00AD3606" w:rsidRPr="002140B3" w14:paraId="58A84C4A" w14:textId="77777777" w:rsidTr="00AD3606">
        <w:trPr>
          <w:cantSplit/>
          <w:trHeight w:val="23"/>
        </w:trPr>
        <w:tc>
          <w:tcPr>
            <w:tcW w:w="3969" w:type="dxa"/>
            <w:vMerge/>
          </w:tcPr>
          <w:p w14:paraId="77CEDDAA" w14:textId="77777777" w:rsidR="00AD3606" w:rsidRPr="002140B3" w:rsidRDefault="00AD3606" w:rsidP="00AD3606">
            <w:pPr>
              <w:tabs>
                <w:tab w:val="left" w:pos="851"/>
              </w:tabs>
              <w:spacing w:line="240" w:lineRule="atLeast"/>
              <w:rPr>
                <w:rFonts w:cs="Calibri"/>
                <w:b/>
                <w:szCs w:val="24"/>
              </w:rPr>
            </w:pPr>
            <w:bookmarkStart w:id="7" w:name="dorlang" w:colFirst="1" w:colLast="1"/>
            <w:bookmarkEnd w:id="6"/>
          </w:p>
        </w:tc>
        <w:tc>
          <w:tcPr>
            <w:tcW w:w="5245" w:type="dxa"/>
          </w:tcPr>
          <w:p w14:paraId="561AAE94" w14:textId="77777777" w:rsidR="00AD3606" w:rsidRPr="002140B3" w:rsidRDefault="00AD3606" w:rsidP="00AD3606">
            <w:pPr>
              <w:tabs>
                <w:tab w:val="left" w:pos="851"/>
              </w:tabs>
              <w:spacing w:before="0" w:line="240" w:lineRule="atLeast"/>
              <w:jc w:val="right"/>
              <w:rPr>
                <w:rFonts w:cs="Calibri"/>
                <w:b/>
                <w:szCs w:val="24"/>
              </w:rPr>
            </w:pPr>
            <w:r w:rsidRPr="002140B3">
              <w:rPr>
                <w:rFonts w:cs="Calibri"/>
                <w:b/>
                <w:szCs w:val="24"/>
              </w:rPr>
              <w:t>Original: English</w:t>
            </w:r>
          </w:p>
        </w:tc>
      </w:tr>
      <w:tr w:rsidR="00472BAD" w:rsidRPr="002140B3" w14:paraId="12C5EF5F" w14:textId="77777777" w:rsidTr="00AD3606">
        <w:trPr>
          <w:cantSplit/>
          <w:trHeight w:val="23"/>
        </w:trPr>
        <w:tc>
          <w:tcPr>
            <w:tcW w:w="3969" w:type="dxa"/>
          </w:tcPr>
          <w:p w14:paraId="4B839BA2" w14:textId="4F18EFE4" w:rsidR="00472BAD" w:rsidRPr="002140B3" w:rsidRDefault="00472BAD" w:rsidP="00AD3606">
            <w:pPr>
              <w:tabs>
                <w:tab w:val="left" w:pos="851"/>
              </w:tabs>
              <w:spacing w:line="240" w:lineRule="atLeast"/>
              <w:rPr>
                <w:rFonts w:cs="Calibri"/>
                <w:b/>
                <w:szCs w:val="24"/>
              </w:rPr>
            </w:pPr>
          </w:p>
        </w:tc>
        <w:tc>
          <w:tcPr>
            <w:tcW w:w="5245" w:type="dxa"/>
          </w:tcPr>
          <w:p w14:paraId="12F66D25" w14:textId="77777777" w:rsidR="00472BAD" w:rsidRPr="002140B3" w:rsidRDefault="00472BAD" w:rsidP="00AD3606">
            <w:pPr>
              <w:tabs>
                <w:tab w:val="left" w:pos="851"/>
              </w:tabs>
              <w:spacing w:before="0" w:line="240" w:lineRule="atLeast"/>
              <w:jc w:val="right"/>
              <w:rPr>
                <w:rFonts w:cs="Calibri"/>
                <w:b/>
                <w:szCs w:val="24"/>
              </w:rPr>
            </w:pPr>
          </w:p>
        </w:tc>
      </w:tr>
      <w:tr w:rsidR="00AD3606" w:rsidRPr="002140B3" w14:paraId="27000B2A" w14:textId="77777777" w:rsidTr="00CF6D5B">
        <w:trPr>
          <w:cantSplit/>
        </w:trPr>
        <w:tc>
          <w:tcPr>
            <w:tcW w:w="9214" w:type="dxa"/>
            <w:gridSpan w:val="2"/>
            <w:tcMar>
              <w:left w:w="0" w:type="dxa"/>
            </w:tcMar>
          </w:tcPr>
          <w:p w14:paraId="4E7CDB90" w14:textId="37B3F104" w:rsidR="00AD3606" w:rsidRPr="002140B3" w:rsidRDefault="00AD3606" w:rsidP="006850BE">
            <w:pPr>
              <w:pStyle w:val="Source"/>
              <w:framePr w:hSpace="0" w:wrap="auto" w:vAnchor="margin" w:hAnchor="text" w:xAlign="left" w:yAlign="inline"/>
              <w:rPr>
                <w:rFonts w:cs="Calibri"/>
                <w:sz w:val="24"/>
                <w:szCs w:val="24"/>
              </w:rPr>
            </w:pPr>
            <w:bookmarkStart w:id="8" w:name="dsource" w:colFirst="0" w:colLast="0"/>
            <w:bookmarkEnd w:id="7"/>
          </w:p>
        </w:tc>
      </w:tr>
      <w:tr w:rsidR="00CF6D5B" w:rsidRPr="002140B3" w14:paraId="2340750D" w14:textId="77777777" w:rsidTr="00CF6D5B">
        <w:trPr>
          <w:cantSplit/>
        </w:trPr>
        <w:tc>
          <w:tcPr>
            <w:tcW w:w="9214" w:type="dxa"/>
            <w:gridSpan w:val="2"/>
            <w:tcBorders>
              <w:bottom w:val="single" w:sz="4" w:space="0" w:color="auto"/>
            </w:tcBorders>
            <w:tcMar>
              <w:left w:w="0" w:type="dxa"/>
            </w:tcMar>
          </w:tcPr>
          <w:p w14:paraId="47B91AA8" w14:textId="18275350" w:rsidR="00CF6D5B" w:rsidRPr="00F6320B" w:rsidRDefault="00D00E4B" w:rsidP="00CF6D5B">
            <w:pPr>
              <w:pStyle w:val="Subtitle1"/>
              <w:framePr w:hSpace="0" w:wrap="auto" w:xAlign="left" w:yAlign="inline"/>
              <w:rPr>
                <w:rFonts w:cs="Calibri"/>
              </w:rPr>
            </w:pPr>
            <w:bookmarkStart w:id="9" w:name="_Hlk168410988"/>
            <w:bookmarkStart w:id="10" w:name="dtitle1" w:colFirst="0" w:colLast="0"/>
            <w:bookmarkEnd w:id="8"/>
            <w:r w:rsidRPr="00F6320B">
              <w:rPr>
                <w:rFonts w:cs="Calibri"/>
              </w:rPr>
              <w:t>REPORT BY THE CHAIR OF THE COUNCIL WORKING GROUP ON FINANCIAL AND HUMAN RESOURCES (CWG-FHR)</w:t>
            </w:r>
            <w:bookmarkEnd w:id="9"/>
          </w:p>
        </w:tc>
      </w:tr>
      <w:tr w:rsidR="00CF6D5B" w:rsidRPr="002140B3" w14:paraId="1F564D2D" w14:textId="77777777" w:rsidTr="00CF6D5B">
        <w:trPr>
          <w:cantSplit/>
        </w:trPr>
        <w:tc>
          <w:tcPr>
            <w:tcW w:w="9214" w:type="dxa"/>
            <w:gridSpan w:val="2"/>
            <w:tcBorders>
              <w:top w:val="single" w:sz="4" w:space="0" w:color="auto"/>
            </w:tcBorders>
            <w:tcMar>
              <w:left w:w="0" w:type="dxa"/>
            </w:tcMar>
          </w:tcPr>
          <w:p w14:paraId="7AD73B47" w14:textId="6045DD5F" w:rsidR="00CF6D5B" w:rsidRPr="00F6320B" w:rsidRDefault="00CF6D5B" w:rsidP="00CF6D5B">
            <w:pPr>
              <w:spacing w:before="160"/>
              <w:rPr>
                <w:rFonts w:cs="Calibri"/>
                <w:b/>
                <w:bCs/>
                <w:sz w:val="26"/>
                <w:szCs w:val="26"/>
              </w:rPr>
            </w:pPr>
            <w:r w:rsidRPr="00F6320B">
              <w:rPr>
                <w:rFonts w:cs="Calibri"/>
                <w:b/>
                <w:bCs/>
                <w:sz w:val="26"/>
                <w:szCs w:val="26"/>
              </w:rPr>
              <w:t>Purpose</w:t>
            </w:r>
          </w:p>
          <w:p w14:paraId="01260094" w14:textId="1B8554C4" w:rsidR="001359EC" w:rsidRPr="002140B3" w:rsidRDefault="00CF6D5B" w:rsidP="00CF6D5B">
            <w:pPr>
              <w:rPr>
                <w:rFonts w:cs="Calibri"/>
                <w:szCs w:val="24"/>
              </w:rPr>
            </w:pPr>
            <w:r w:rsidRPr="002140B3">
              <w:rPr>
                <w:rFonts w:cs="Calibri"/>
                <w:szCs w:val="24"/>
              </w:rPr>
              <w:t xml:space="preserve">This document presents </w:t>
            </w:r>
            <w:r w:rsidR="00737B9A" w:rsidRPr="002140B3">
              <w:rPr>
                <w:rFonts w:cs="Calibri"/>
                <w:szCs w:val="24"/>
              </w:rPr>
              <w:t xml:space="preserve">the </w:t>
            </w:r>
            <w:r w:rsidR="00C431F4" w:rsidRPr="002140B3">
              <w:rPr>
                <w:rFonts w:cs="Calibri"/>
                <w:szCs w:val="24"/>
              </w:rPr>
              <w:t>recommendations on</w:t>
            </w:r>
            <w:r w:rsidRPr="002140B3">
              <w:rPr>
                <w:rFonts w:cs="Calibri"/>
                <w:szCs w:val="24"/>
              </w:rPr>
              <w:t xml:space="preserve"> the deliberations of the meeting of the CWG-FHR, which w</w:t>
            </w:r>
            <w:r w:rsidR="000C41F4" w:rsidRPr="002140B3">
              <w:rPr>
                <w:rFonts w:cs="Calibri"/>
                <w:szCs w:val="24"/>
              </w:rPr>
              <w:t>as</w:t>
            </w:r>
            <w:r w:rsidRPr="002140B3">
              <w:rPr>
                <w:rFonts w:cs="Calibri"/>
                <w:szCs w:val="24"/>
              </w:rPr>
              <w:t xml:space="preserve"> held on </w:t>
            </w:r>
            <w:r w:rsidR="000C41F4" w:rsidRPr="002140B3">
              <w:rPr>
                <w:rFonts w:cs="Calibri"/>
                <w:szCs w:val="24"/>
              </w:rPr>
              <w:t>3 June 2024.</w:t>
            </w:r>
          </w:p>
          <w:p w14:paraId="5076D5C4" w14:textId="77777777" w:rsidR="00CF6D5B" w:rsidRPr="00F6320B" w:rsidRDefault="00CF6D5B" w:rsidP="00CF6D5B">
            <w:pPr>
              <w:spacing w:before="160"/>
              <w:rPr>
                <w:rFonts w:cs="Calibri"/>
                <w:b/>
                <w:bCs/>
                <w:sz w:val="26"/>
                <w:szCs w:val="26"/>
              </w:rPr>
            </w:pPr>
            <w:r w:rsidRPr="00F6320B">
              <w:rPr>
                <w:rFonts w:cs="Calibri"/>
                <w:b/>
                <w:bCs/>
                <w:sz w:val="26"/>
                <w:szCs w:val="26"/>
              </w:rPr>
              <w:t>Action required by the Council</w:t>
            </w:r>
          </w:p>
          <w:p w14:paraId="79F38DAD" w14:textId="1E3F387C" w:rsidR="00CF6D5B" w:rsidRPr="002140B3" w:rsidRDefault="00CF6D5B" w:rsidP="00CF6D5B">
            <w:pPr>
              <w:rPr>
                <w:rFonts w:cs="Calibri"/>
                <w:szCs w:val="24"/>
              </w:rPr>
            </w:pPr>
            <w:r w:rsidRPr="002140B3">
              <w:rPr>
                <w:rFonts w:cs="Calibri"/>
                <w:szCs w:val="24"/>
              </w:rPr>
              <w:t xml:space="preserve">The Council is invited </w:t>
            </w:r>
            <w:r w:rsidRPr="002140B3">
              <w:rPr>
                <w:rFonts w:cs="Calibri"/>
                <w:b/>
                <w:bCs/>
                <w:szCs w:val="24"/>
              </w:rPr>
              <w:t>to take note</w:t>
            </w:r>
            <w:r w:rsidRPr="002140B3">
              <w:rPr>
                <w:rFonts w:cs="Calibri"/>
                <w:szCs w:val="24"/>
              </w:rPr>
              <w:t xml:space="preserve"> of the work of the CWG-FHR and also </w:t>
            </w:r>
            <w:r w:rsidRPr="002140B3">
              <w:rPr>
                <w:rFonts w:cs="Calibri"/>
                <w:b/>
                <w:bCs/>
                <w:szCs w:val="24"/>
              </w:rPr>
              <w:t>to</w:t>
            </w:r>
            <w:r w:rsidRPr="002140B3">
              <w:rPr>
                <w:rFonts w:cs="Calibri"/>
                <w:szCs w:val="24"/>
              </w:rPr>
              <w:t xml:space="preserve"> </w:t>
            </w:r>
            <w:r w:rsidRPr="002140B3">
              <w:rPr>
                <w:rFonts w:cs="Calibri"/>
                <w:b/>
                <w:bCs/>
                <w:szCs w:val="24"/>
              </w:rPr>
              <w:t>consider</w:t>
            </w:r>
            <w:r w:rsidRPr="002140B3">
              <w:rPr>
                <w:rFonts w:cs="Calibri"/>
                <w:szCs w:val="24"/>
              </w:rPr>
              <w:t xml:space="preserve"> and</w:t>
            </w:r>
            <w:r w:rsidR="00D00E4B" w:rsidRPr="002140B3">
              <w:rPr>
                <w:rFonts w:cs="Calibri"/>
                <w:szCs w:val="24"/>
              </w:rPr>
              <w:t> </w:t>
            </w:r>
            <w:r w:rsidRPr="002140B3">
              <w:rPr>
                <w:rFonts w:cs="Calibri"/>
                <w:b/>
                <w:bCs/>
                <w:szCs w:val="24"/>
              </w:rPr>
              <w:t>offer views</w:t>
            </w:r>
            <w:r w:rsidRPr="002140B3">
              <w:rPr>
                <w:rFonts w:cs="Calibri"/>
                <w:szCs w:val="24"/>
              </w:rPr>
              <w:t>, as appropriate, on the actions identified in the report</w:t>
            </w:r>
            <w:r w:rsidR="007070AC" w:rsidRPr="002140B3">
              <w:rPr>
                <w:rFonts w:cs="Calibri"/>
                <w:szCs w:val="24"/>
              </w:rPr>
              <w:t>.</w:t>
            </w:r>
          </w:p>
          <w:p w14:paraId="0F8F1F03" w14:textId="3EE118C0" w:rsidR="00CF6D5B" w:rsidRPr="00F6320B" w:rsidRDefault="00CF6D5B" w:rsidP="00CF6D5B">
            <w:pPr>
              <w:spacing w:before="160"/>
              <w:rPr>
                <w:rFonts w:cs="Calibri"/>
                <w:b/>
                <w:bCs/>
                <w:sz w:val="26"/>
                <w:szCs w:val="26"/>
              </w:rPr>
            </w:pPr>
            <w:r w:rsidRPr="00F6320B">
              <w:rPr>
                <w:rFonts w:cs="Calibri"/>
                <w:b/>
                <w:bCs/>
                <w:sz w:val="26"/>
                <w:szCs w:val="26"/>
              </w:rPr>
              <w:t>Relevant link</w:t>
            </w:r>
            <w:r w:rsidR="0073065F" w:rsidRPr="00F6320B">
              <w:rPr>
                <w:rFonts w:cs="Calibri"/>
                <w:b/>
                <w:bCs/>
                <w:sz w:val="26"/>
                <w:szCs w:val="26"/>
              </w:rPr>
              <w:t>(s)</w:t>
            </w:r>
            <w:r w:rsidRPr="00F6320B">
              <w:rPr>
                <w:rFonts w:cs="Calibri"/>
                <w:b/>
                <w:bCs/>
                <w:sz w:val="26"/>
                <w:szCs w:val="26"/>
              </w:rPr>
              <w:t xml:space="preserve"> with the Strategic Plan</w:t>
            </w:r>
          </w:p>
          <w:p w14:paraId="00A55EA1" w14:textId="69BDD5D1" w:rsidR="00CF6D5B" w:rsidRPr="002140B3" w:rsidRDefault="00D00E4B" w:rsidP="00CF6D5B">
            <w:pPr>
              <w:rPr>
                <w:rFonts w:cs="Calibri"/>
                <w:szCs w:val="24"/>
              </w:rPr>
            </w:pPr>
            <w:r w:rsidRPr="002140B3">
              <w:rPr>
                <w:rFonts w:cs="Calibri"/>
                <w:szCs w:val="24"/>
              </w:rPr>
              <w:t>N/A</w:t>
            </w:r>
          </w:p>
          <w:p w14:paraId="502A3796" w14:textId="1CFF65A4" w:rsidR="00D00E4B" w:rsidRPr="00F6320B" w:rsidRDefault="00CF6D5B" w:rsidP="00CF6D5B">
            <w:pPr>
              <w:spacing w:before="160"/>
              <w:rPr>
                <w:rFonts w:cs="Calibri"/>
                <w:b/>
                <w:bCs/>
                <w:sz w:val="26"/>
                <w:szCs w:val="26"/>
              </w:rPr>
            </w:pPr>
            <w:r w:rsidRPr="00F6320B">
              <w:rPr>
                <w:rFonts w:cs="Calibri"/>
                <w:b/>
                <w:bCs/>
                <w:sz w:val="26"/>
                <w:szCs w:val="26"/>
              </w:rPr>
              <w:t>Financial implications</w:t>
            </w:r>
          </w:p>
          <w:p w14:paraId="632C043A" w14:textId="56B09AA9" w:rsidR="00CF6D5B" w:rsidRPr="002140B3" w:rsidRDefault="00CF6D5B" w:rsidP="00CF6D5B">
            <w:pPr>
              <w:spacing w:before="160"/>
              <w:rPr>
                <w:rFonts w:cs="Calibri"/>
                <w:szCs w:val="24"/>
              </w:rPr>
            </w:pPr>
            <w:r w:rsidRPr="002140B3">
              <w:rPr>
                <w:rFonts w:cs="Calibri"/>
                <w:szCs w:val="24"/>
              </w:rPr>
              <w:t>None</w:t>
            </w:r>
          </w:p>
          <w:p w14:paraId="2AAB18B0" w14:textId="77777777" w:rsidR="00CF6D5B" w:rsidRPr="002140B3" w:rsidRDefault="00CF6D5B" w:rsidP="00CF6D5B">
            <w:pPr>
              <w:spacing w:before="160"/>
              <w:rPr>
                <w:rFonts w:cs="Calibri"/>
                <w:caps/>
                <w:szCs w:val="24"/>
              </w:rPr>
            </w:pPr>
            <w:r w:rsidRPr="002140B3">
              <w:rPr>
                <w:rFonts w:cs="Calibri"/>
                <w:szCs w:val="24"/>
              </w:rPr>
              <w:t>__________________</w:t>
            </w:r>
          </w:p>
          <w:p w14:paraId="00DEE14C" w14:textId="77777777" w:rsidR="00CF6D5B" w:rsidRPr="002140B3" w:rsidRDefault="00CF6D5B" w:rsidP="00CF6D5B">
            <w:pPr>
              <w:spacing w:before="160"/>
              <w:rPr>
                <w:rFonts w:cs="Calibri"/>
                <w:b/>
                <w:bCs/>
                <w:szCs w:val="24"/>
              </w:rPr>
            </w:pPr>
            <w:r w:rsidRPr="002140B3">
              <w:rPr>
                <w:rFonts w:cs="Calibri"/>
                <w:b/>
                <w:bCs/>
                <w:szCs w:val="24"/>
              </w:rPr>
              <w:t>References</w:t>
            </w:r>
          </w:p>
          <w:p w14:paraId="0175CD6C" w14:textId="7F11E1CC" w:rsidR="00CF6D5B" w:rsidRPr="002140B3" w:rsidRDefault="00877E1A" w:rsidP="00CF6D5B">
            <w:pPr>
              <w:spacing w:after="160"/>
              <w:rPr>
                <w:rFonts w:cs="Calibri"/>
                <w:szCs w:val="24"/>
              </w:rPr>
            </w:pPr>
            <w:hyperlink r:id="rId11" w:history="1">
              <w:r w:rsidR="00CF6D5B" w:rsidRPr="002140B3">
                <w:rPr>
                  <w:rFonts w:cs="Calibri"/>
                  <w:i/>
                  <w:iCs/>
                  <w:color w:val="0000FF"/>
                  <w:szCs w:val="24"/>
                  <w:u w:val="single"/>
                </w:rPr>
                <w:t>C22/50</w:t>
              </w:r>
            </w:hyperlink>
            <w:r w:rsidR="00CF6D5B" w:rsidRPr="002140B3">
              <w:rPr>
                <w:rFonts w:cs="Calibri"/>
                <w:i/>
                <w:iCs/>
                <w:szCs w:val="24"/>
              </w:rPr>
              <w:t xml:space="preserve"> and </w:t>
            </w:r>
            <w:hyperlink r:id="rId12" w:history="1">
              <w:r w:rsidR="00CF6D5B" w:rsidRPr="002140B3">
                <w:rPr>
                  <w:rFonts w:cs="Calibri"/>
                  <w:i/>
                  <w:iCs/>
                  <w:color w:val="0000FF"/>
                  <w:szCs w:val="24"/>
                  <w:u w:val="single"/>
                </w:rPr>
                <w:t>Council Decision 563</w:t>
              </w:r>
            </w:hyperlink>
            <w:r w:rsidR="00CF6D5B" w:rsidRPr="002140B3">
              <w:rPr>
                <w:rFonts w:cs="Calibri"/>
                <w:i/>
                <w:iCs/>
                <w:color w:val="0000FF"/>
                <w:szCs w:val="24"/>
                <w:u w:val="single"/>
              </w:rPr>
              <w:t xml:space="preserve"> (Modified 2023)</w:t>
            </w:r>
          </w:p>
        </w:tc>
      </w:tr>
    </w:tbl>
    <w:p w14:paraId="4CDB8B60" w14:textId="2A4D9B15" w:rsidR="00E227F3" w:rsidRPr="002140B3" w:rsidRDefault="00E227F3">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s-ES"/>
        </w:rPr>
      </w:pPr>
      <w:bookmarkStart w:id="11" w:name="_Hlk133421428"/>
      <w:bookmarkEnd w:id="2"/>
      <w:bookmarkEnd w:id="10"/>
    </w:p>
    <w:bookmarkEnd w:id="3"/>
    <w:bookmarkEnd w:id="4"/>
    <w:p w14:paraId="6CA9CB99" w14:textId="77777777" w:rsidR="001E098D" w:rsidRPr="002140B3" w:rsidRDefault="001E098D" w:rsidP="0057535C">
      <w:pPr>
        <w:tabs>
          <w:tab w:val="clear" w:pos="567"/>
          <w:tab w:val="clear" w:pos="1134"/>
          <w:tab w:val="clear" w:pos="1701"/>
          <w:tab w:val="clear" w:pos="2268"/>
          <w:tab w:val="clear" w:pos="2835"/>
          <w:tab w:val="left" w:pos="709"/>
        </w:tabs>
        <w:snapToGrid w:val="0"/>
        <w:spacing w:before="240" w:after="120"/>
        <w:jc w:val="both"/>
        <w:rPr>
          <w:rFonts w:cs="Calibri"/>
          <w:szCs w:val="24"/>
          <w:lang w:val="es-ES"/>
        </w:rPr>
        <w:sectPr w:rsidR="001E098D" w:rsidRPr="002140B3" w:rsidSect="006679B4">
          <w:footerReference w:type="default" r:id="rId13"/>
          <w:headerReference w:type="first" r:id="rId14"/>
          <w:footerReference w:type="first" r:id="rId15"/>
          <w:pgSz w:w="11907" w:h="16834"/>
          <w:pgMar w:top="709" w:right="1418" w:bottom="1418" w:left="1418" w:header="720" w:footer="720" w:gutter="0"/>
          <w:paperSrc w:first="286" w:other="286"/>
          <w:cols w:space="720"/>
          <w:titlePg/>
          <w:docGrid w:linePitch="326"/>
        </w:sectPr>
      </w:pPr>
    </w:p>
    <w:bookmarkEnd w:id="5"/>
    <w:bookmarkEnd w:id="11"/>
    <w:p w14:paraId="452F8DDD" w14:textId="77777777" w:rsidR="00E7601D" w:rsidRPr="002140B3" w:rsidRDefault="00E7601D" w:rsidP="007070AC">
      <w:pPr>
        <w:pStyle w:val="Default"/>
        <w:rPr>
          <w:rFonts w:ascii="Calibri" w:hAnsi="Calibri" w:cs="Calibri"/>
          <w:b/>
          <w:bCs/>
        </w:rPr>
      </w:pPr>
    </w:p>
    <w:p w14:paraId="3432D465" w14:textId="27A6347A" w:rsidR="007070AC" w:rsidRPr="002140B3" w:rsidRDefault="00D65C85" w:rsidP="007070AC">
      <w:pPr>
        <w:pStyle w:val="Default"/>
        <w:rPr>
          <w:rFonts w:ascii="Calibri" w:hAnsi="Calibri" w:cs="Calibri"/>
          <w:b/>
          <w:bCs/>
        </w:rPr>
      </w:pPr>
      <w:r w:rsidRPr="002140B3">
        <w:rPr>
          <w:rFonts w:ascii="Calibri" w:hAnsi="Calibri" w:cs="Calibri"/>
          <w:b/>
          <w:bCs/>
        </w:rPr>
        <w:t>1</w:t>
      </w:r>
      <w:r w:rsidRPr="002140B3">
        <w:rPr>
          <w:rFonts w:ascii="Calibri" w:hAnsi="Calibri" w:cs="Calibri"/>
          <w:b/>
          <w:bCs/>
        </w:rPr>
        <w:tab/>
      </w:r>
      <w:r w:rsidR="007070AC" w:rsidRPr="002140B3">
        <w:rPr>
          <w:rFonts w:ascii="Calibri" w:hAnsi="Calibri" w:cs="Calibri"/>
          <w:b/>
          <w:bCs/>
        </w:rPr>
        <w:t>Financial Regulations and Financial Rules:</w:t>
      </w:r>
    </w:p>
    <w:p w14:paraId="1D0AE5C9" w14:textId="77777777" w:rsidR="007070AC" w:rsidRPr="002140B3" w:rsidRDefault="007070AC" w:rsidP="007070AC">
      <w:pPr>
        <w:pStyle w:val="Default"/>
        <w:jc w:val="both"/>
        <w:rPr>
          <w:rFonts w:ascii="Calibri" w:hAnsi="Calibri" w:cs="Calibri"/>
        </w:rPr>
      </w:pPr>
    </w:p>
    <w:p w14:paraId="461E013F" w14:textId="5AAC3879" w:rsidR="007070AC" w:rsidRPr="002140B3" w:rsidRDefault="00D65C85" w:rsidP="007070AC">
      <w:pPr>
        <w:pStyle w:val="Default"/>
        <w:jc w:val="both"/>
        <w:rPr>
          <w:rFonts w:ascii="Calibri" w:hAnsi="Calibri" w:cs="Calibri"/>
        </w:rPr>
      </w:pPr>
      <w:r w:rsidRPr="002140B3">
        <w:rPr>
          <w:rFonts w:ascii="Calibri" w:hAnsi="Calibri" w:cs="Calibri"/>
        </w:rPr>
        <w:t>1.1</w:t>
      </w:r>
      <w:r w:rsidRPr="002140B3">
        <w:rPr>
          <w:rFonts w:ascii="Calibri" w:hAnsi="Calibri" w:cs="Calibri"/>
        </w:rPr>
        <w:tab/>
      </w:r>
      <w:r w:rsidR="007070AC" w:rsidRPr="002140B3">
        <w:rPr>
          <w:rFonts w:ascii="Calibri" w:hAnsi="Calibri" w:cs="Calibri"/>
        </w:rPr>
        <w:t xml:space="preserve">The January 2024 CWG-FHR session established an online correspondence group to review and continue discussion on the proposed changes to the Financial Regulations in Document </w:t>
      </w:r>
      <w:hyperlink r:id="rId16" w:history="1">
        <w:r w:rsidR="007070AC" w:rsidRPr="00F6320B">
          <w:rPr>
            <w:rStyle w:val="Hyperlink"/>
            <w:rFonts w:ascii="Calibri" w:hAnsi="Calibri" w:cs="Calibri"/>
          </w:rPr>
          <w:t>CWG-FHR-17</w:t>
        </w:r>
        <w:r w:rsidR="00F6320B" w:rsidRPr="00F6320B">
          <w:rPr>
            <w:rStyle w:val="Hyperlink"/>
            <w:rFonts w:ascii="Calibri" w:hAnsi="Calibri" w:cs="Calibri"/>
          </w:rPr>
          <w:t>/</w:t>
        </w:r>
        <w:r w:rsidR="007070AC" w:rsidRPr="00F6320B">
          <w:rPr>
            <w:rStyle w:val="Hyperlink"/>
            <w:rFonts w:ascii="Calibri" w:hAnsi="Calibri" w:cs="Calibri"/>
          </w:rPr>
          <w:t>10</w:t>
        </w:r>
      </w:hyperlink>
      <w:r w:rsidR="007070AC" w:rsidRPr="002140B3">
        <w:rPr>
          <w:rFonts w:ascii="Calibri" w:hAnsi="Calibri" w:cs="Calibri"/>
        </w:rPr>
        <w:t xml:space="preserve"> with the aim of endorsing the recommendations to Council 2024. The correspondence group</w:t>
      </w:r>
      <w:r w:rsidR="002140B3" w:rsidRPr="002140B3">
        <w:rPr>
          <w:rFonts w:ascii="Calibri" w:hAnsi="Calibri" w:cs="Calibri"/>
        </w:rPr>
        <w:t>, which included 66 participants,</w:t>
      </w:r>
      <w:r w:rsidR="007070AC" w:rsidRPr="002140B3">
        <w:rPr>
          <w:rFonts w:ascii="Calibri" w:hAnsi="Calibri" w:cs="Calibri"/>
        </w:rPr>
        <w:t xml:space="preserve"> conducted its work from February </w:t>
      </w:r>
      <w:r w:rsidR="002140B3" w:rsidRPr="002140B3">
        <w:rPr>
          <w:rFonts w:ascii="Calibri" w:hAnsi="Calibri" w:cs="Calibri"/>
        </w:rPr>
        <w:t>through</w:t>
      </w:r>
      <w:r w:rsidR="007070AC" w:rsidRPr="002140B3">
        <w:rPr>
          <w:rFonts w:ascii="Calibri" w:hAnsi="Calibri" w:cs="Calibri"/>
        </w:rPr>
        <w:t xml:space="preserve"> April 2024 through a correspondence page to facilitate posting of proposed changes, their rationale, questions, comments, and other discussion. Final recommendations were posted on the correspondence page on 24 April 2024, and all Members were invited to provide any final comments. No Members expressed opposition. An additional document (</w:t>
      </w:r>
      <w:hyperlink r:id="rId17" w:history="1">
        <w:r w:rsidR="007070AC" w:rsidRPr="00002171">
          <w:rPr>
            <w:rStyle w:val="Hyperlink"/>
            <w:rFonts w:ascii="Calibri" w:hAnsi="Calibri" w:cs="Calibri"/>
          </w:rPr>
          <w:t>Summary and position paper – proposed changes to the FRFR</w:t>
        </w:r>
      </w:hyperlink>
      <w:r w:rsidR="007070AC" w:rsidRPr="002140B3">
        <w:rPr>
          <w:rFonts w:ascii="Calibri" w:hAnsi="Calibri" w:cs="Calibri"/>
          <w:color w:val="auto"/>
        </w:rPr>
        <w:t>)</w:t>
      </w:r>
      <w:r w:rsidR="007070AC" w:rsidRPr="00002171">
        <w:rPr>
          <w:rFonts w:ascii="Calibri" w:hAnsi="Calibri" w:cs="Calibri"/>
          <w:color w:val="auto"/>
        </w:rPr>
        <w:t xml:space="preserve"> </w:t>
      </w:r>
      <w:r w:rsidR="007070AC" w:rsidRPr="002140B3">
        <w:rPr>
          <w:rFonts w:ascii="Calibri" w:hAnsi="Calibri" w:cs="Calibri"/>
        </w:rPr>
        <w:t xml:space="preserve">was included in the Report as </w:t>
      </w:r>
      <w:hyperlink r:id="rId18" w:history="1">
        <w:r w:rsidR="007070AC" w:rsidRPr="002140B3">
          <w:rPr>
            <w:rStyle w:val="Hyperlink"/>
            <w:rFonts w:ascii="Calibri" w:hAnsi="Calibri" w:cs="Calibri"/>
          </w:rPr>
          <w:t>Annex B</w:t>
        </w:r>
      </w:hyperlink>
      <w:r w:rsidR="007070AC" w:rsidRPr="002140B3">
        <w:rPr>
          <w:rFonts w:ascii="Calibri" w:hAnsi="Calibri" w:cs="Calibri"/>
        </w:rPr>
        <w:t xml:space="preserve"> at the request of several Member States. This document provides a record of the discussions which took place and </w:t>
      </w:r>
      <w:r w:rsidR="002140B3" w:rsidRPr="002140B3">
        <w:rPr>
          <w:rFonts w:ascii="Calibri" w:hAnsi="Calibri" w:cs="Calibri"/>
        </w:rPr>
        <w:t xml:space="preserve">as well as </w:t>
      </w:r>
      <w:r w:rsidR="007070AC" w:rsidRPr="002140B3">
        <w:rPr>
          <w:rFonts w:ascii="Calibri" w:hAnsi="Calibri" w:cs="Calibri"/>
        </w:rPr>
        <w:t xml:space="preserve">further details and context of the final recommendations. </w:t>
      </w:r>
      <w:r w:rsidR="007070AC" w:rsidRPr="00F6320B">
        <w:rPr>
          <w:rFonts w:ascii="Calibri" w:hAnsi="Calibri" w:cs="Calibri"/>
          <w:b/>
          <w:bCs/>
          <w:spacing w:val="-2"/>
        </w:rPr>
        <w:t xml:space="preserve">CWG-FHR recommends Council-24 approve </w:t>
      </w:r>
      <w:r w:rsidR="007070AC" w:rsidRPr="00002171">
        <w:rPr>
          <w:rFonts w:ascii="Calibri" w:hAnsi="Calibri" w:cs="Calibri"/>
          <w:spacing w:val="-2"/>
        </w:rPr>
        <w:t>the</w:t>
      </w:r>
      <w:r w:rsidR="007070AC" w:rsidRPr="00F6320B">
        <w:rPr>
          <w:rFonts w:ascii="Calibri" w:hAnsi="Calibri" w:cs="Calibri"/>
          <w:b/>
          <w:bCs/>
          <w:spacing w:val="-2"/>
        </w:rPr>
        <w:t xml:space="preserve"> </w:t>
      </w:r>
      <w:r w:rsidR="007070AC" w:rsidRPr="00F6320B">
        <w:rPr>
          <w:rFonts w:ascii="Calibri" w:hAnsi="Calibri" w:cs="Calibri"/>
          <w:spacing w:val="-2"/>
        </w:rPr>
        <w:t xml:space="preserve">proposed </w:t>
      </w:r>
      <w:r w:rsidR="002140B3" w:rsidRPr="00F6320B">
        <w:rPr>
          <w:rFonts w:ascii="Calibri" w:hAnsi="Calibri" w:cs="Calibri"/>
          <w:spacing w:val="-2"/>
        </w:rPr>
        <w:t>updates</w:t>
      </w:r>
      <w:r w:rsidR="007070AC" w:rsidRPr="00F6320B">
        <w:rPr>
          <w:rFonts w:ascii="Calibri" w:hAnsi="Calibri" w:cs="Calibri"/>
          <w:spacing w:val="-2"/>
        </w:rPr>
        <w:t xml:space="preserve"> to the Financial Regulations</w:t>
      </w:r>
      <w:r w:rsidR="007070AC" w:rsidRPr="002140B3">
        <w:rPr>
          <w:rFonts w:ascii="Calibri" w:hAnsi="Calibri" w:cs="Calibri"/>
        </w:rPr>
        <w:t xml:space="preserve"> and Financial Rules – 20</w:t>
      </w:r>
      <w:r w:rsidR="00CC3F98">
        <w:rPr>
          <w:rFonts w:ascii="Calibri" w:hAnsi="Calibri" w:cs="Calibri"/>
        </w:rPr>
        <w:t>2</w:t>
      </w:r>
      <w:r w:rsidR="00002171">
        <w:rPr>
          <w:rFonts w:ascii="Calibri" w:hAnsi="Calibri" w:cs="Calibri"/>
        </w:rPr>
        <w:t>2</w:t>
      </w:r>
      <w:r w:rsidR="007070AC" w:rsidRPr="002140B3">
        <w:rPr>
          <w:rFonts w:ascii="Calibri" w:hAnsi="Calibri" w:cs="Calibri"/>
        </w:rPr>
        <w:t xml:space="preserve"> Edition (</w:t>
      </w:r>
      <w:hyperlink r:id="rId19" w:history="1">
        <w:r w:rsidR="007070AC" w:rsidRPr="00877E1A">
          <w:rPr>
            <w:rStyle w:val="Hyperlink"/>
            <w:rFonts w:ascii="Calibri" w:hAnsi="Calibri" w:cs="Calibri"/>
          </w:rPr>
          <w:t>FRFR</w:t>
        </w:r>
      </w:hyperlink>
      <w:r w:rsidR="007070AC" w:rsidRPr="002140B3">
        <w:rPr>
          <w:rFonts w:ascii="Calibri" w:hAnsi="Calibri" w:cs="Calibri"/>
        </w:rPr>
        <w:t>).</w:t>
      </w:r>
    </w:p>
    <w:p w14:paraId="0822B4B1" w14:textId="77777777" w:rsidR="007070AC" w:rsidRPr="002140B3" w:rsidRDefault="007070AC" w:rsidP="00760C56">
      <w:pPr>
        <w:spacing w:before="0"/>
        <w:jc w:val="both"/>
        <w:rPr>
          <w:rFonts w:cs="Calibri"/>
          <w:color w:val="000000"/>
          <w:szCs w:val="24"/>
        </w:rPr>
      </w:pPr>
    </w:p>
    <w:p w14:paraId="367AA5DF" w14:textId="77777777" w:rsidR="007070AC" w:rsidRPr="002140B3" w:rsidRDefault="007070AC" w:rsidP="00760C56">
      <w:pPr>
        <w:spacing w:before="0"/>
        <w:jc w:val="both"/>
        <w:rPr>
          <w:rFonts w:cs="Calibri"/>
          <w:b/>
          <w:bCs/>
          <w:color w:val="000000"/>
          <w:szCs w:val="24"/>
        </w:rPr>
      </w:pPr>
      <w:r w:rsidRPr="002140B3">
        <w:rPr>
          <w:rFonts w:cs="Calibri"/>
          <w:b/>
          <w:bCs/>
          <w:color w:val="000000"/>
          <w:szCs w:val="24"/>
        </w:rPr>
        <w:t>Recommendations:</w:t>
      </w:r>
    </w:p>
    <w:p w14:paraId="1A3A1F00" w14:textId="77777777" w:rsidR="007070AC" w:rsidRPr="002140B3" w:rsidRDefault="007070AC" w:rsidP="00760C56">
      <w:pPr>
        <w:spacing w:before="0"/>
        <w:jc w:val="both"/>
        <w:rPr>
          <w:rFonts w:cs="Calibri"/>
          <w:color w:val="000000"/>
          <w:szCs w:val="24"/>
        </w:rPr>
      </w:pPr>
    </w:p>
    <w:p w14:paraId="42C40550" w14:textId="77777777" w:rsidR="007070AC" w:rsidRPr="002140B3" w:rsidRDefault="007070AC" w:rsidP="007070AC">
      <w:pPr>
        <w:jc w:val="both"/>
        <w:rPr>
          <w:rFonts w:cs="Calibri"/>
          <w:color w:val="000000"/>
          <w:szCs w:val="24"/>
        </w:rPr>
      </w:pPr>
      <w:r w:rsidRPr="002140B3">
        <w:rPr>
          <w:rFonts w:cs="Calibri"/>
          <w:b/>
          <w:bCs/>
          <w:color w:val="000000"/>
          <w:szCs w:val="24"/>
        </w:rPr>
        <w:t xml:space="preserve">PREAMBLE (No direct relevant IPSAS standard) </w:t>
      </w:r>
    </w:p>
    <w:p w14:paraId="750C9E62" w14:textId="77777777" w:rsidR="007070AC" w:rsidRPr="002140B3" w:rsidRDefault="007070AC" w:rsidP="007070AC">
      <w:pPr>
        <w:spacing w:after="70"/>
        <w:jc w:val="both"/>
        <w:rPr>
          <w:rFonts w:cs="Calibri"/>
          <w:color w:val="000000"/>
          <w:szCs w:val="24"/>
        </w:rPr>
      </w:pPr>
      <w:r w:rsidRPr="002140B3">
        <w:rPr>
          <w:rFonts w:cs="Calibri"/>
          <w:color w:val="000000"/>
          <w:szCs w:val="24"/>
        </w:rPr>
        <w:t xml:space="preserve">• Paragraph 3, Second Sentence, this has been deleted as all funds managed by ITU including project funds should be administered under ITU’s Financial Regulations. </w:t>
      </w:r>
    </w:p>
    <w:p w14:paraId="00250B05"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outcome of the CWG-FHR’s correspondence group virtual session on 2 April 2024 was to accept this deletion to the paragraph as all funds received should be solely administrated under ITU’s financial regulations and rules. </w:t>
      </w:r>
    </w:p>
    <w:p w14:paraId="28246435" w14:textId="77777777" w:rsidR="007070AC" w:rsidRPr="002140B3" w:rsidRDefault="007070AC" w:rsidP="00E87E92">
      <w:pPr>
        <w:spacing w:before="0"/>
        <w:jc w:val="both"/>
        <w:rPr>
          <w:rFonts w:cs="Calibri"/>
          <w:color w:val="000000"/>
          <w:szCs w:val="24"/>
        </w:rPr>
      </w:pPr>
    </w:p>
    <w:p w14:paraId="1725113C"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1 - Management and control of the finances of the Union (No direct relevant IPSAS standard) </w:t>
      </w:r>
    </w:p>
    <w:p w14:paraId="0412F3B5" w14:textId="77777777" w:rsidR="007070AC" w:rsidRPr="002140B3" w:rsidRDefault="007070AC" w:rsidP="007070AC">
      <w:pPr>
        <w:spacing w:after="68"/>
        <w:jc w:val="both"/>
        <w:rPr>
          <w:rFonts w:cs="Calibri"/>
          <w:color w:val="000000"/>
          <w:szCs w:val="24"/>
        </w:rPr>
      </w:pPr>
      <w:r w:rsidRPr="002140B3">
        <w:rPr>
          <w:rFonts w:cs="Calibri"/>
          <w:color w:val="000000"/>
          <w:szCs w:val="24"/>
        </w:rPr>
        <w:t xml:space="preserve">• No proposed changes. </w:t>
      </w:r>
    </w:p>
    <w:p w14:paraId="661C101D"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 xml:space="preserve">Recommendation: </w:t>
      </w:r>
      <w:r w:rsidRPr="002140B3">
        <w:rPr>
          <w:rFonts w:cs="Calibri"/>
          <w:color w:val="000000"/>
          <w:szCs w:val="24"/>
        </w:rPr>
        <w:t xml:space="preserve">After discussion it was concluded by the CWG-FHR’s correspondence group virtual session to maintain these paragraphs under the financial regulations. Therefore, no change is proposed. Going forward, further work is required on the integration of the contracts committee role within existing ITU procurement manual. This will be done and reported back to Council. </w:t>
      </w:r>
    </w:p>
    <w:p w14:paraId="5DA30C90" w14:textId="77777777" w:rsidR="007070AC" w:rsidRPr="002140B3" w:rsidRDefault="007070AC" w:rsidP="00E87E92">
      <w:pPr>
        <w:spacing w:before="0"/>
        <w:jc w:val="both"/>
        <w:rPr>
          <w:rFonts w:cs="Calibri"/>
          <w:color w:val="000000"/>
          <w:szCs w:val="24"/>
        </w:rPr>
      </w:pPr>
    </w:p>
    <w:p w14:paraId="5325DCF5"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3 - ITU TELECOM secretariat budget (No direct relevant IPSAS standard) </w:t>
      </w:r>
    </w:p>
    <w:p w14:paraId="6E9A8B60" w14:textId="77777777" w:rsidR="007070AC" w:rsidRPr="002140B3" w:rsidRDefault="007070AC" w:rsidP="007070AC">
      <w:pPr>
        <w:spacing w:after="70"/>
        <w:jc w:val="both"/>
        <w:rPr>
          <w:rFonts w:cs="Calibri"/>
          <w:color w:val="000000"/>
          <w:szCs w:val="24"/>
        </w:rPr>
      </w:pPr>
      <w:r w:rsidRPr="002140B3">
        <w:rPr>
          <w:rFonts w:cs="Calibri"/>
          <w:color w:val="000000"/>
          <w:szCs w:val="24"/>
        </w:rPr>
        <w:t xml:space="preserve">• Propose to delete this Article as ITU Telecom is no longer an event. </w:t>
      </w:r>
    </w:p>
    <w:p w14:paraId="39E1E30D"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29D04942" w14:textId="77777777" w:rsidR="007070AC" w:rsidRPr="002140B3" w:rsidRDefault="007070AC" w:rsidP="00E87E92">
      <w:pPr>
        <w:spacing w:before="0"/>
        <w:jc w:val="both"/>
        <w:rPr>
          <w:rFonts w:cs="Calibri"/>
          <w:color w:val="000000"/>
          <w:szCs w:val="24"/>
        </w:rPr>
      </w:pPr>
    </w:p>
    <w:p w14:paraId="36973328"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9 - Approval of the biennial budget </w:t>
      </w:r>
    </w:p>
    <w:p w14:paraId="619258A0" w14:textId="77777777" w:rsidR="007070AC" w:rsidRPr="002140B3" w:rsidRDefault="007070AC" w:rsidP="007070AC">
      <w:pPr>
        <w:spacing w:after="70"/>
        <w:jc w:val="both"/>
        <w:rPr>
          <w:rFonts w:cs="Calibri"/>
          <w:color w:val="000000"/>
          <w:szCs w:val="24"/>
        </w:rPr>
      </w:pPr>
      <w:r w:rsidRPr="002140B3">
        <w:rPr>
          <w:rFonts w:cs="Calibri"/>
          <w:color w:val="000000"/>
          <w:szCs w:val="24"/>
        </w:rPr>
        <w:t xml:space="preserve">• Propose to delete Paragraph 4 as it is outdated. </w:t>
      </w:r>
    </w:p>
    <w:p w14:paraId="465EDCD3"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 xml:space="preserve">Recommendation: </w:t>
      </w:r>
      <w:r w:rsidRPr="002140B3">
        <w:rPr>
          <w:rFonts w:cs="Calibri"/>
          <w:color w:val="000000"/>
          <w:szCs w:val="24"/>
        </w:rPr>
        <w:t xml:space="preserve">The CWG-FHR’s correspondence group virtual session supports this proposed change. </w:t>
      </w:r>
    </w:p>
    <w:p w14:paraId="404A574E" w14:textId="77777777" w:rsidR="007070AC" w:rsidRPr="002140B3" w:rsidRDefault="007070AC" w:rsidP="007070AC">
      <w:pPr>
        <w:jc w:val="both"/>
        <w:rPr>
          <w:rFonts w:cs="Calibri"/>
          <w:color w:val="000000"/>
          <w:szCs w:val="24"/>
        </w:rPr>
      </w:pPr>
    </w:p>
    <w:p w14:paraId="7F041E34"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10 - Implementation of the budget of the Union: Role of the Secretary-General (No direct relevant IPSAS standard) </w:t>
      </w:r>
    </w:p>
    <w:p w14:paraId="5C07AD0C" w14:textId="77777777" w:rsidR="007070AC" w:rsidRPr="002140B3" w:rsidRDefault="007070AC" w:rsidP="007070AC">
      <w:pPr>
        <w:spacing w:after="76"/>
        <w:jc w:val="both"/>
        <w:rPr>
          <w:rFonts w:cs="Calibri"/>
          <w:color w:val="000000"/>
          <w:szCs w:val="24"/>
        </w:rPr>
      </w:pPr>
      <w:r w:rsidRPr="002140B3">
        <w:rPr>
          <w:rFonts w:cs="Calibri"/>
          <w:color w:val="000000"/>
          <w:szCs w:val="24"/>
        </w:rPr>
        <w:t xml:space="preserve">• Paragraph 6, delete the reference to ITU telecom activities. </w:t>
      </w:r>
    </w:p>
    <w:p w14:paraId="2D867E73" w14:textId="77777777" w:rsidR="007070AC" w:rsidRPr="002140B3" w:rsidRDefault="007070AC" w:rsidP="007070AC">
      <w:pPr>
        <w:jc w:val="both"/>
        <w:rPr>
          <w:rFonts w:cs="Calibri"/>
          <w:color w:val="000000"/>
          <w:szCs w:val="24"/>
        </w:rPr>
      </w:pPr>
      <w:r w:rsidRPr="002140B3">
        <w:rPr>
          <w:rFonts w:cs="Calibri"/>
          <w:color w:val="000000"/>
          <w:szCs w:val="24"/>
        </w:rPr>
        <w:t xml:space="preserve">• Paragraph 6, to move reporting to web-based platform. </w:t>
      </w:r>
    </w:p>
    <w:p w14:paraId="1BADDA7F"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ITU will ensure that historic quarterly information will be made available. </w:t>
      </w:r>
    </w:p>
    <w:p w14:paraId="77A3F002" w14:textId="77777777" w:rsidR="007070AC" w:rsidRPr="002140B3" w:rsidRDefault="007070AC" w:rsidP="00E87E92">
      <w:pPr>
        <w:spacing w:before="0"/>
        <w:jc w:val="both"/>
        <w:rPr>
          <w:rFonts w:cs="Calibri"/>
          <w:color w:val="000000"/>
          <w:szCs w:val="24"/>
        </w:rPr>
      </w:pPr>
    </w:p>
    <w:p w14:paraId="673B6D91"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15 - Custody of Cash and Cash equivalents (IPSAS 2 – Cash flow statements) </w:t>
      </w:r>
    </w:p>
    <w:p w14:paraId="6DE742CB" w14:textId="77777777" w:rsidR="007070AC" w:rsidRPr="002140B3" w:rsidRDefault="007070AC" w:rsidP="007070AC">
      <w:pPr>
        <w:spacing w:after="68"/>
        <w:jc w:val="both"/>
        <w:rPr>
          <w:rFonts w:cs="Calibri"/>
          <w:color w:val="000000"/>
          <w:szCs w:val="24"/>
        </w:rPr>
      </w:pPr>
      <w:r w:rsidRPr="002140B3">
        <w:rPr>
          <w:rFonts w:cs="Calibri"/>
          <w:color w:val="000000"/>
          <w:szCs w:val="24"/>
        </w:rPr>
        <w:t xml:space="preserve">• Introduction of new text to strengthen financial accountability on ITU’s cash and cash equivalents. </w:t>
      </w:r>
    </w:p>
    <w:p w14:paraId="5BFA4DE5"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2C8B369D" w14:textId="77777777" w:rsidR="007070AC" w:rsidRPr="002140B3" w:rsidRDefault="007070AC" w:rsidP="00D65C85">
      <w:pPr>
        <w:spacing w:before="0"/>
        <w:jc w:val="both"/>
        <w:rPr>
          <w:rFonts w:cs="Calibri"/>
          <w:color w:val="000000"/>
          <w:szCs w:val="24"/>
        </w:rPr>
      </w:pPr>
    </w:p>
    <w:p w14:paraId="73BAF881"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16 - Investment of Cash and Cash equivalents (IPSAS 2 – Cash flow statements) </w:t>
      </w:r>
    </w:p>
    <w:p w14:paraId="66DC540A" w14:textId="77777777" w:rsidR="007070AC" w:rsidRPr="002140B3" w:rsidRDefault="007070AC" w:rsidP="007070AC">
      <w:pPr>
        <w:spacing w:after="70"/>
        <w:jc w:val="both"/>
        <w:rPr>
          <w:rFonts w:cs="Calibri"/>
          <w:color w:val="000000"/>
          <w:szCs w:val="24"/>
        </w:rPr>
      </w:pPr>
      <w:r w:rsidRPr="002140B3">
        <w:rPr>
          <w:rFonts w:cs="Calibri"/>
          <w:color w:val="000000"/>
          <w:szCs w:val="24"/>
        </w:rPr>
        <w:t xml:space="preserve">• Introduction of new text to strengthen investment accountability on ITU’s cash and cash equivalents. </w:t>
      </w:r>
    </w:p>
    <w:p w14:paraId="2D90E21E"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As a result of this change, further work is required by the ITU secretariat to update investment policy so that ITU improve cash and cash equivalent management. </w:t>
      </w:r>
    </w:p>
    <w:p w14:paraId="2A3F749D" w14:textId="77777777" w:rsidR="007070AC" w:rsidRPr="002140B3" w:rsidRDefault="007070AC" w:rsidP="00D65C85">
      <w:pPr>
        <w:spacing w:before="0"/>
        <w:jc w:val="both"/>
        <w:rPr>
          <w:rFonts w:cs="Calibri"/>
          <w:color w:val="000000"/>
          <w:szCs w:val="24"/>
        </w:rPr>
      </w:pPr>
    </w:p>
    <w:p w14:paraId="5F696B19"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18 - Accounts and financial statements (IPSAS 1 - Presentation of Financial Statements) </w:t>
      </w:r>
    </w:p>
    <w:p w14:paraId="6A3E8388" w14:textId="77777777" w:rsidR="007070AC" w:rsidRPr="002140B3" w:rsidRDefault="007070AC" w:rsidP="007070AC">
      <w:pPr>
        <w:spacing w:after="70"/>
        <w:jc w:val="both"/>
        <w:rPr>
          <w:rFonts w:cs="Calibri"/>
          <w:color w:val="000000"/>
          <w:szCs w:val="24"/>
        </w:rPr>
      </w:pPr>
      <w:r w:rsidRPr="002140B3">
        <w:rPr>
          <w:rFonts w:cs="Calibri"/>
          <w:color w:val="000000"/>
          <w:szCs w:val="24"/>
        </w:rPr>
        <w:t xml:space="preserve">• Introduction of new text to strengthening accounts and financial statements. </w:t>
      </w:r>
    </w:p>
    <w:p w14:paraId="7B48F65B"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39200E39" w14:textId="77777777" w:rsidR="007070AC" w:rsidRPr="002140B3" w:rsidRDefault="007070AC" w:rsidP="00D65C85">
      <w:pPr>
        <w:spacing w:before="0"/>
        <w:jc w:val="both"/>
        <w:rPr>
          <w:rFonts w:cs="Calibri"/>
          <w:color w:val="000000"/>
          <w:szCs w:val="24"/>
        </w:rPr>
      </w:pPr>
    </w:p>
    <w:p w14:paraId="1DCE82A4"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19 - ITU TELECOM exhibitions, forums and similar events organized by the Union (No direct relevant IPSAS standard) </w:t>
      </w:r>
    </w:p>
    <w:p w14:paraId="16769091" w14:textId="77777777" w:rsidR="007070AC" w:rsidRPr="002140B3" w:rsidRDefault="007070AC" w:rsidP="007070AC">
      <w:pPr>
        <w:spacing w:after="68"/>
        <w:jc w:val="both"/>
        <w:rPr>
          <w:rFonts w:cs="Calibri"/>
          <w:color w:val="000000"/>
          <w:szCs w:val="24"/>
        </w:rPr>
      </w:pPr>
      <w:r w:rsidRPr="002140B3">
        <w:rPr>
          <w:rFonts w:cs="Calibri"/>
          <w:color w:val="000000"/>
          <w:szCs w:val="24"/>
        </w:rPr>
        <w:t xml:space="preserve">• Propose to delete this Article to reflect current business operations. </w:t>
      </w:r>
    </w:p>
    <w:p w14:paraId="5D94CCFC"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3088D63C" w14:textId="77777777" w:rsidR="007070AC" w:rsidRPr="002140B3" w:rsidRDefault="007070AC" w:rsidP="00D65C85">
      <w:pPr>
        <w:spacing w:before="0"/>
        <w:jc w:val="both"/>
        <w:rPr>
          <w:rFonts w:cs="Calibri"/>
          <w:color w:val="000000"/>
          <w:szCs w:val="24"/>
        </w:rPr>
      </w:pPr>
    </w:p>
    <w:p w14:paraId="0C8F8ADA" w14:textId="77777777" w:rsidR="007070AC" w:rsidRPr="002140B3" w:rsidRDefault="007070AC" w:rsidP="007070AC">
      <w:pPr>
        <w:jc w:val="both"/>
        <w:rPr>
          <w:rFonts w:cs="Calibri"/>
          <w:color w:val="000000"/>
          <w:szCs w:val="24"/>
        </w:rPr>
      </w:pPr>
      <w:r w:rsidRPr="002140B3">
        <w:rPr>
          <w:rFonts w:cs="Calibri"/>
          <w:b/>
          <w:bCs/>
          <w:color w:val="000000"/>
          <w:szCs w:val="24"/>
        </w:rPr>
        <w:t xml:space="preserve">Article 19 - Funds (No direct relevant IPSAS standard) </w:t>
      </w:r>
    </w:p>
    <w:p w14:paraId="79CE7282" w14:textId="77777777" w:rsidR="007070AC" w:rsidRPr="002140B3" w:rsidRDefault="007070AC" w:rsidP="007070AC">
      <w:pPr>
        <w:spacing w:after="68"/>
        <w:jc w:val="both"/>
        <w:rPr>
          <w:rFonts w:cs="Calibri"/>
          <w:color w:val="000000"/>
          <w:szCs w:val="24"/>
        </w:rPr>
      </w:pPr>
      <w:r w:rsidRPr="002140B3">
        <w:rPr>
          <w:rFonts w:cs="Calibri"/>
          <w:color w:val="000000"/>
          <w:szCs w:val="24"/>
        </w:rPr>
        <w:t xml:space="preserve">• Introducing fund accounting to better reflect accounting requirements. </w:t>
      </w:r>
    </w:p>
    <w:p w14:paraId="000BD09A"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The introduction of fund accounting allows ITU to accurately and transparently manage its financial reporting. It is </w:t>
      </w:r>
      <w:r w:rsidRPr="002140B3">
        <w:rPr>
          <w:rFonts w:cs="Calibri"/>
          <w:color w:val="000000"/>
          <w:szCs w:val="24"/>
          <w:u w:val="single"/>
        </w:rPr>
        <w:t>not</w:t>
      </w:r>
      <w:r w:rsidRPr="002140B3">
        <w:rPr>
          <w:rFonts w:cs="Calibri"/>
          <w:color w:val="000000"/>
          <w:szCs w:val="24"/>
        </w:rPr>
        <w:t xml:space="preserve"> the creation of an additional reserve account, and its major purpose is to improve accounting structures to ultimately improve financial reporting. </w:t>
      </w:r>
    </w:p>
    <w:p w14:paraId="604E62A9" w14:textId="77777777" w:rsidR="007070AC" w:rsidRPr="002140B3" w:rsidRDefault="007070AC" w:rsidP="007070AC">
      <w:pPr>
        <w:jc w:val="both"/>
        <w:rPr>
          <w:rFonts w:cs="Calibri"/>
          <w:color w:val="000000"/>
          <w:szCs w:val="24"/>
        </w:rPr>
      </w:pPr>
    </w:p>
    <w:p w14:paraId="3A2BC882" w14:textId="77777777" w:rsidR="007070AC" w:rsidRPr="002140B3" w:rsidRDefault="007070AC" w:rsidP="007070AC">
      <w:pPr>
        <w:jc w:val="both"/>
        <w:rPr>
          <w:rFonts w:cs="Calibri"/>
          <w:color w:val="000000"/>
          <w:szCs w:val="24"/>
        </w:rPr>
      </w:pPr>
      <w:r w:rsidRPr="002140B3">
        <w:rPr>
          <w:rFonts w:cs="Calibri"/>
          <w:b/>
          <w:bCs/>
          <w:color w:val="000000"/>
          <w:szCs w:val="24"/>
        </w:rPr>
        <w:lastRenderedPageBreak/>
        <w:t xml:space="preserve">Article 26 - Accrued liability for other staff benefits – (IPSAS 25 – Employee benefits) </w:t>
      </w:r>
    </w:p>
    <w:p w14:paraId="3CB805E8" w14:textId="77777777" w:rsidR="007070AC" w:rsidRPr="002140B3" w:rsidRDefault="007070AC" w:rsidP="007070AC">
      <w:pPr>
        <w:spacing w:after="68"/>
        <w:jc w:val="both"/>
        <w:rPr>
          <w:rFonts w:cs="Calibri"/>
          <w:color w:val="000000"/>
          <w:szCs w:val="24"/>
        </w:rPr>
      </w:pPr>
      <w:r w:rsidRPr="002140B3">
        <w:rPr>
          <w:rFonts w:cs="Calibri"/>
          <w:color w:val="000000"/>
          <w:szCs w:val="24"/>
        </w:rPr>
        <w:t xml:space="preserve">• Updating text to reflect full IPSAS compliance. </w:t>
      </w:r>
    </w:p>
    <w:p w14:paraId="7AC77795"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51439B52" w14:textId="77777777" w:rsidR="007070AC" w:rsidRPr="002140B3" w:rsidRDefault="007070AC" w:rsidP="00D65C85">
      <w:pPr>
        <w:spacing w:before="0"/>
        <w:jc w:val="both"/>
        <w:rPr>
          <w:rFonts w:cs="Calibri"/>
          <w:color w:val="000000"/>
          <w:szCs w:val="24"/>
        </w:rPr>
      </w:pPr>
    </w:p>
    <w:p w14:paraId="29AA6CEF" w14:textId="77777777" w:rsidR="007070AC" w:rsidRPr="002140B3" w:rsidRDefault="007070AC" w:rsidP="007070AC">
      <w:pPr>
        <w:jc w:val="both"/>
        <w:rPr>
          <w:rFonts w:cs="Calibri"/>
          <w:b/>
          <w:bCs/>
          <w:color w:val="000000"/>
          <w:szCs w:val="24"/>
        </w:rPr>
      </w:pPr>
      <w:r w:rsidRPr="002140B3">
        <w:rPr>
          <w:rFonts w:cs="Calibri"/>
          <w:b/>
          <w:bCs/>
          <w:color w:val="000000"/>
          <w:szCs w:val="24"/>
        </w:rPr>
        <w:t xml:space="preserve">Article 27 - Net Assets including Reserve Account – (IPSAS 1 - Presentation of Financial Statements) </w:t>
      </w:r>
    </w:p>
    <w:p w14:paraId="0A21E5FE" w14:textId="77777777" w:rsidR="007070AC" w:rsidRPr="002140B3" w:rsidRDefault="007070AC" w:rsidP="007070AC">
      <w:pPr>
        <w:spacing w:after="68"/>
        <w:jc w:val="both"/>
        <w:rPr>
          <w:rFonts w:cs="Calibri"/>
          <w:color w:val="000000"/>
          <w:szCs w:val="24"/>
        </w:rPr>
      </w:pPr>
      <w:r w:rsidRPr="002140B3">
        <w:rPr>
          <w:rFonts w:cs="Calibri"/>
          <w:color w:val="000000"/>
          <w:szCs w:val="24"/>
        </w:rPr>
        <w:t xml:space="preserve">• Update text to reflect the actual business practices. </w:t>
      </w:r>
    </w:p>
    <w:p w14:paraId="5180FA98" w14:textId="77777777" w:rsidR="007070AC" w:rsidRPr="002140B3" w:rsidRDefault="007070AC" w:rsidP="007070AC">
      <w:pPr>
        <w:jc w:val="both"/>
        <w:rPr>
          <w:rFonts w:cs="Calibri"/>
          <w:color w:val="000000"/>
          <w:szCs w:val="24"/>
        </w:rPr>
      </w:pPr>
      <w:r w:rsidRPr="002140B3">
        <w:rPr>
          <w:rFonts w:cs="Calibri"/>
          <w:color w:val="000000"/>
          <w:szCs w:val="24"/>
        </w:rPr>
        <w:t xml:space="preserve">• </w:t>
      </w:r>
      <w:r w:rsidRPr="002140B3">
        <w:rPr>
          <w:rFonts w:cs="Calibri"/>
          <w:b/>
          <w:bCs/>
          <w:color w:val="000000"/>
          <w:szCs w:val="24"/>
        </w:rPr>
        <w:t>Recommendation</w:t>
      </w:r>
      <w:r w:rsidRPr="002140B3">
        <w:rPr>
          <w:rFonts w:cs="Calibri"/>
          <w:color w:val="000000"/>
          <w:szCs w:val="24"/>
        </w:rPr>
        <w:t xml:space="preserve">: The CWG-FHR’s correspondence group virtual session supports this proposed change. </w:t>
      </w:r>
    </w:p>
    <w:p w14:paraId="5C1A7155" w14:textId="77777777" w:rsidR="007070AC" w:rsidRPr="002140B3" w:rsidRDefault="007070AC" w:rsidP="00D65C85">
      <w:pPr>
        <w:spacing w:before="0"/>
        <w:jc w:val="both"/>
        <w:rPr>
          <w:rFonts w:cs="Calibri"/>
          <w:color w:val="000000"/>
          <w:szCs w:val="24"/>
        </w:rPr>
      </w:pPr>
    </w:p>
    <w:p w14:paraId="7D7ABB18" w14:textId="4F2F7FF7" w:rsidR="007070AC" w:rsidRPr="002140B3" w:rsidRDefault="00D65C85" w:rsidP="007070AC">
      <w:pPr>
        <w:jc w:val="both"/>
        <w:rPr>
          <w:rFonts w:cs="Calibri"/>
          <w:color w:val="000000"/>
          <w:szCs w:val="24"/>
        </w:rPr>
      </w:pPr>
      <w:r w:rsidRPr="002140B3">
        <w:rPr>
          <w:rFonts w:cs="Calibri"/>
          <w:color w:val="000000"/>
          <w:szCs w:val="24"/>
        </w:rPr>
        <w:t>1.2</w:t>
      </w:r>
      <w:r w:rsidRPr="002140B3">
        <w:rPr>
          <w:rFonts w:cs="Calibri"/>
          <w:color w:val="000000"/>
          <w:szCs w:val="24"/>
        </w:rPr>
        <w:tab/>
      </w:r>
      <w:r w:rsidR="007070AC" w:rsidRPr="002140B3">
        <w:rPr>
          <w:rFonts w:cs="Calibri"/>
          <w:color w:val="000000"/>
          <w:szCs w:val="24"/>
        </w:rPr>
        <w:t xml:space="preserve">Further details on these activities and recommendations approved by the correspondence group are included in </w:t>
      </w:r>
      <w:hyperlink r:id="rId20" w:history="1">
        <w:r w:rsidR="007070AC" w:rsidRPr="002140B3">
          <w:rPr>
            <w:rStyle w:val="Hyperlink"/>
            <w:rFonts w:cs="Calibri"/>
            <w:szCs w:val="24"/>
          </w:rPr>
          <w:t>Annex A</w:t>
        </w:r>
      </w:hyperlink>
      <w:r w:rsidR="007070AC" w:rsidRPr="002140B3">
        <w:rPr>
          <w:rFonts w:cs="Calibri"/>
          <w:color w:val="000000"/>
          <w:szCs w:val="24"/>
        </w:rPr>
        <w:t xml:space="preserve">, with additional information on the rationale and context underlying the proposed changes included in </w:t>
      </w:r>
      <w:hyperlink r:id="rId21" w:history="1">
        <w:r w:rsidR="007070AC" w:rsidRPr="002140B3">
          <w:rPr>
            <w:rStyle w:val="Hyperlink"/>
            <w:rFonts w:cs="Calibri"/>
            <w:szCs w:val="24"/>
          </w:rPr>
          <w:t>Annex B</w:t>
        </w:r>
      </w:hyperlink>
      <w:r w:rsidR="007070AC" w:rsidRPr="002140B3">
        <w:rPr>
          <w:rFonts w:cs="Calibri"/>
          <w:color w:val="000000"/>
          <w:szCs w:val="24"/>
        </w:rPr>
        <w:t xml:space="preserve">. </w:t>
      </w:r>
    </w:p>
    <w:p w14:paraId="0A16FE62" w14:textId="77777777" w:rsidR="007070AC" w:rsidRPr="002140B3" w:rsidRDefault="007070AC" w:rsidP="006C7D42">
      <w:pPr>
        <w:pStyle w:val="Default"/>
        <w:rPr>
          <w:rFonts w:ascii="Calibri" w:hAnsi="Calibri" w:cs="Calibri"/>
        </w:rPr>
      </w:pPr>
    </w:p>
    <w:p w14:paraId="2F29AD33" w14:textId="310FE118" w:rsidR="007070AC" w:rsidRPr="002140B3" w:rsidRDefault="00D65C85" w:rsidP="006C7D42">
      <w:pPr>
        <w:spacing w:before="0"/>
        <w:jc w:val="both"/>
        <w:rPr>
          <w:rFonts w:cs="Calibri"/>
          <w:b/>
          <w:bCs/>
          <w:szCs w:val="24"/>
        </w:rPr>
      </w:pPr>
      <w:r w:rsidRPr="002140B3">
        <w:rPr>
          <w:rFonts w:cs="Calibri"/>
          <w:b/>
          <w:bCs/>
          <w:szCs w:val="24"/>
        </w:rPr>
        <w:t>2</w:t>
      </w:r>
      <w:r w:rsidRPr="002140B3">
        <w:rPr>
          <w:rFonts w:cs="Calibri"/>
          <w:b/>
          <w:bCs/>
          <w:szCs w:val="24"/>
        </w:rPr>
        <w:tab/>
      </w:r>
      <w:r w:rsidR="007070AC" w:rsidRPr="002140B3">
        <w:rPr>
          <w:rFonts w:cs="Calibri"/>
          <w:b/>
          <w:bCs/>
          <w:szCs w:val="24"/>
        </w:rPr>
        <w:t>Oversight Charter</w:t>
      </w:r>
    </w:p>
    <w:p w14:paraId="6CE64ED2" w14:textId="77777777" w:rsidR="007070AC" w:rsidRPr="002140B3" w:rsidRDefault="007070AC" w:rsidP="006C7D42">
      <w:pPr>
        <w:spacing w:before="0"/>
        <w:jc w:val="both"/>
        <w:rPr>
          <w:rFonts w:cs="Calibri"/>
          <w:szCs w:val="24"/>
        </w:rPr>
      </w:pPr>
    </w:p>
    <w:p w14:paraId="5A6AD190" w14:textId="6F61A731" w:rsidR="007070AC" w:rsidRPr="002140B3" w:rsidRDefault="00D65C85" w:rsidP="007070AC">
      <w:pPr>
        <w:pStyle w:val="elementtoproof"/>
        <w:jc w:val="both"/>
        <w:rPr>
          <w:sz w:val="24"/>
          <w:szCs w:val="24"/>
        </w:rPr>
      </w:pPr>
      <w:r w:rsidRPr="002140B3">
        <w:rPr>
          <w:sz w:val="24"/>
          <w:szCs w:val="24"/>
        </w:rPr>
        <w:t>2.1</w:t>
      </w:r>
      <w:r w:rsidRPr="002140B3">
        <w:rPr>
          <w:sz w:val="24"/>
          <w:szCs w:val="24"/>
        </w:rPr>
        <w:tab/>
      </w:r>
      <w:r w:rsidR="007070AC" w:rsidRPr="002140B3">
        <w:rPr>
          <w:sz w:val="24"/>
          <w:szCs w:val="24"/>
        </w:rPr>
        <w:t>The January 2024 CWG-FHR session discussed the Oversight Charter at length and established an online correspondence group to continue discussions on the Oversight Charter. The correspondence group met three times</w:t>
      </w:r>
      <w:r w:rsidR="007070AC" w:rsidRPr="002140B3">
        <w:rPr>
          <w:sz w:val="24"/>
          <w:szCs w:val="24"/>
          <w:u w:val="single"/>
        </w:rPr>
        <w:t>,</w:t>
      </w:r>
      <w:r w:rsidR="007070AC" w:rsidRPr="002140B3">
        <w:rPr>
          <w:sz w:val="24"/>
          <w:szCs w:val="24"/>
        </w:rPr>
        <w:t xml:space="preserve"> and 44 of the 91 registered participants actively participated in at least one of these meetings. As a result of these meetings, the correspondence group proposed text for a charter</w:t>
      </w:r>
      <w:r w:rsidR="00854476">
        <w:rPr>
          <w:sz w:val="24"/>
          <w:szCs w:val="24"/>
        </w:rPr>
        <w:t xml:space="preserve"> </w:t>
      </w:r>
      <w:r w:rsidR="007070AC" w:rsidRPr="002140B3">
        <w:rPr>
          <w:sz w:val="24"/>
          <w:szCs w:val="24"/>
        </w:rPr>
        <w:t xml:space="preserve">which had been fully agreed except for specific text with </w:t>
      </w:r>
      <w:r w:rsidR="007070AC" w:rsidRPr="002140B3">
        <w:rPr>
          <w:sz w:val="24"/>
          <w:szCs w:val="24"/>
          <w:u w:val="single"/>
        </w:rPr>
        <w:t>square brackets in three paragraphs</w:t>
      </w:r>
      <w:r w:rsidR="007070AC" w:rsidRPr="002140B3">
        <w:rPr>
          <w:sz w:val="24"/>
          <w:szCs w:val="24"/>
        </w:rPr>
        <w:t>. Given that the proposed Oversight Charter text is the result of numerous debates in January 2024 followed by further debate and agreement by several member states at the correspondence group, and considering the text in the proposed Oversight Charter has been reviewed by the ITU Legal Advisor, a decision was made [at the June CWG-FHR meeting] to remove the text between the 3 square brackets and finalize the oversight charter.</w:t>
      </w:r>
      <w:r w:rsidR="00854476">
        <w:rPr>
          <w:sz w:val="24"/>
          <w:szCs w:val="24"/>
        </w:rPr>
        <w:t xml:space="preserve"> </w:t>
      </w:r>
      <w:r w:rsidR="007070AC" w:rsidRPr="002140B3">
        <w:rPr>
          <w:sz w:val="24"/>
          <w:szCs w:val="24"/>
        </w:rPr>
        <w:t>The following contributions received by Member States (</w:t>
      </w:r>
      <w:hyperlink r:id="rId22" w:history="1">
        <w:r w:rsidR="007070AC" w:rsidRPr="00854476">
          <w:rPr>
            <w:rStyle w:val="Hyperlink"/>
            <w:sz w:val="24"/>
            <w:szCs w:val="24"/>
          </w:rPr>
          <w:t>CWG-FHR</w:t>
        </w:r>
        <w:r w:rsidR="00854476" w:rsidRPr="00854476">
          <w:rPr>
            <w:rStyle w:val="Hyperlink"/>
            <w:sz w:val="24"/>
            <w:szCs w:val="24"/>
          </w:rPr>
          <w:t>-</w:t>
        </w:r>
        <w:r w:rsidR="007070AC" w:rsidRPr="00854476">
          <w:rPr>
            <w:rStyle w:val="Hyperlink"/>
            <w:sz w:val="24"/>
            <w:szCs w:val="24"/>
          </w:rPr>
          <w:t>18/5</w:t>
        </w:r>
      </w:hyperlink>
      <w:r w:rsidR="007070AC" w:rsidRPr="002140B3">
        <w:rPr>
          <w:sz w:val="24"/>
          <w:szCs w:val="24"/>
        </w:rPr>
        <w:t xml:space="preserve"> and </w:t>
      </w:r>
      <w:hyperlink r:id="rId23" w:history="1">
        <w:r w:rsidR="007070AC" w:rsidRPr="00854476">
          <w:rPr>
            <w:rStyle w:val="Hyperlink"/>
            <w:sz w:val="24"/>
            <w:szCs w:val="24"/>
          </w:rPr>
          <w:t>CWG-FHR 18/6</w:t>
        </w:r>
      </w:hyperlink>
      <w:r w:rsidR="007070AC" w:rsidRPr="002140B3">
        <w:rPr>
          <w:sz w:val="24"/>
          <w:szCs w:val="24"/>
        </w:rPr>
        <w:t>) and the IMAC (</w:t>
      </w:r>
      <w:hyperlink r:id="rId24" w:history="1">
        <w:r w:rsidR="007070AC" w:rsidRPr="00854476">
          <w:rPr>
            <w:rStyle w:val="Hyperlink"/>
            <w:sz w:val="24"/>
            <w:szCs w:val="24"/>
          </w:rPr>
          <w:t>CWG-FHR-18/8</w:t>
        </w:r>
      </w:hyperlink>
      <w:r w:rsidR="007070AC" w:rsidRPr="002140B3">
        <w:rPr>
          <w:sz w:val="24"/>
          <w:szCs w:val="24"/>
        </w:rPr>
        <w:t>) were considered</w:t>
      </w:r>
      <w:r w:rsidR="007070AC" w:rsidRPr="00002171">
        <w:rPr>
          <w:sz w:val="24"/>
          <w:szCs w:val="24"/>
        </w:rPr>
        <w:t>;</w:t>
      </w:r>
      <w:r w:rsidR="007070AC" w:rsidRPr="002140B3">
        <w:rPr>
          <w:sz w:val="24"/>
          <w:szCs w:val="24"/>
        </w:rPr>
        <w:t xml:space="preserve"> however they were not accepted in order to reach rough consensus and to recognize the extensive efforts of member states at the CWG-FHR sessions and correspondence group.</w:t>
      </w:r>
      <w:r w:rsidR="00854476">
        <w:rPr>
          <w:sz w:val="24"/>
          <w:szCs w:val="24"/>
        </w:rPr>
        <w:t xml:space="preserve"> </w:t>
      </w:r>
      <w:r w:rsidR="007070AC" w:rsidRPr="002140B3">
        <w:rPr>
          <w:sz w:val="24"/>
          <w:szCs w:val="24"/>
        </w:rPr>
        <w:t>CWG</w:t>
      </w:r>
      <w:r w:rsidR="00854476">
        <w:rPr>
          <w:sz w:val="24"/>
          <w:szCs w:val="24"/>
        </w:rPr>
        <w:t>-</w:t>
      </w:r>
      <w:r w:rsidR="007070AC" w:rsidRPr="002140B3">
        <w:rPr>
          <w:sz w:val="24"/>
          <w:szCs w:val="24"/>
        </w:rPr>
        <w:t>FHR recommends Council</w:t>
      </w:r>
      <w:r w:rsidR="00854476">
        <w:rPr>
          <w:sz w:val="24"/>
          <w:szCs w:val="24"/>
        </w:rPr>
        <w:t>-</w:t>
      </w:r>
      <w:r w:rsidR="007070AC" w:rsidRPr="002140B3">
        <w:rPr>
          <w:sz w:val="24"/>
          <w:szCs w:val="24"/>
        </w:rPr>
        <w:t>24 approve the oversight charter after reviewing IMAC’s (</w:t>
      </w:r>
      <w:hyperlink r:id="rId25" w:history="1">
        <w:r w:rsidR="007070AC" w:rsidRPr="00854476">
          <w:rPr>
            <w:rStyle w:val="Hyperlink"/>
            <w:sz w:val="24"/>
            <w:szCs w:val="24"/>
          </w:rPr>
          <w:t>CWG-FHR-18/8</w:t>
        </w:r>
      </w:hyperlink>
      <w:r w:rsidR="007070AC" w:rsidRPr="002140B3">
        <w:rPr>
          <w:sz w:val="24"/>
          <w:szCs w:val="24"/>
        </w:rPr>
        <w:t>) inputs. CWG</w:t>
      </w:r>
      <w:r w:rsidR="00854476">
        <w:rPr>
          <w:sz w:val="24"/>
          <w:szCs w:val="24"/>
        </w:rPr>
        <w:t>-</w:t>
      </w:r>
      <w:r w:rsidR="007070AC" w:rsidRPr="002140B3">
        <w:rPr>
          <w:sz w:val="24"/>
          <w:szCs w:val="24"/>
        </w:rPr>
        <w:t>FHR further recommends that Council</w:t>
      </w:r>
      <w:r w:rsidR="00854476">
        <w:rPr>
          <w:sz w:val="24"/>
          <w:szCs w:val="24"/>
        </w:rPr>
        <w:t>-</w:t>
      </w:r>
      <w:r w:rsidR="007070AC" w:rsidRPr="002140B3">
        <w:rPr>
          <w:sz w:val="24"/>
          <w:szCs w:val="24"/>
        </w:rPr>
        <w:t>24 instruct the CWG</w:t>
      </w:r>
      <w:r w:rsidR="00854476">
        <w:rPr>
          <w:sz w:val="24"/>
          <w:szCs w:val="24"/>
        </w:rPr>
        <w:t>-</w:t>
      </w:r>
      <w:r w:rsidR="007070AC" w:rsidRPr="002140B3">
        <w:rPr>
          <w:sz w:val="24"/>
          <w:szCs w:val="24"/>
        </w:rPr>
        <w:t>FHR to review the implementation of the oversight charter at its January 2025 session.</w:t>
      </w:r>
    </w:p>
    <w:p w14:paraId="71E65ED0" w14:textId="6F148628" w:rsidR="0040765C" w:rsidRPr="002140B3" w:rsidRDefault="0040765C">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sidRPr="002140B3">
        <w:rPr>
          <w:rFonts w:cs="Calibri"/>
          <w:szCs w:val="24"/>
        </w:rPr>
        <w:br w:type="page"/>
      </w:r>
    </w:p>
    <w:p w14:paraId="016BAED6" w14:textId="77777777" w:rsidR="007070AC" w:rsidRPr="002140B3" w:rsidRDefault="007070AC" w:rsidP="007070AC">
      <w:pPr>
        <w:rPr>
          <w:rFonts w:cs="Calibri"/>
          <w:szCs w:val="24"/>
        </w:rPr>
      </w:pPr>
    </w:p>
    <w:p w14:paraId="2DD058E2" w14:textId="7A5DC381" w:rsidR="007070AC" w:rsidRPr="002140B3" w:rsidRDefault="00D65C85" w:rsidP="007070AC">
      <w:pPr>
        <w:pStyle w:val="Annextitle"/>
        <w:spacing w:before="120" w:after="120"/>
        <w:jc w:val="left"/>
        <w:rPr>
          <w:rFonts w:cs="Calibri"/>
          <w:sz w:val="24"/>
          <w:szCs w:val="24"/>
        </w:rPr>
      </w:pPr>
      <w:r w:rsidRPr="002140B3">
        <w:rPr>
          <w:rFonts w:cs="Calibri"/>
          <w:sz w:val="24"/>
          <w:szCs w:val="24"/>
        </w:rPr>
        <w:t>3</w:t>
      </w:r>
      <w:r w:rsidRPr="002140B3">
        <w:rPr>
          <w:rFonts w:cs="Calibri"/>
          <w:sz w:val="24"/>
          <w:szCs w:val="24"/>
        </w:rPr>
        <w:tab/>
      </w:r>
      <w:r w:rsidR="007070AC" w:rsidRPr="002140B3">
        <w:rPr>
          <w:rFonts w:cs="Calibri"/>
          <w:sz w:val="24"/>
          <w:szCs w:val="24"/>
        </w:rPr>
        <w:t>Resource Mobilization Strategy</w:t>
      </w:r>
    </w:p>
    <w:p w14:paraId="2CEEB1BE" w14:textId="78003EA1" w:rsidR="007070AC" w:rsidRPr="002140B3" w:rsidRDefault="00D65C85" w:rsidP="00580C64">
      <w:pPr>
        <w:pStyle w:val="Annextitle"/>
        <w:spacing w:before="120" w:after="120"/>
        <w:jc w:val="both"/>
        <w:rPr>
          <w:rFonts w:cs="Calibri"/>
          <w:b w:val="0"/>
          <w:bCs/>
          <w:sz w:val="24"/>
          <w:szCs w:val="24"/>
        </w:rPr>
      </w:pPr>
      <w:r w:rsidRPr="002140B3">
        <w:rPr>
          <w:rFonts w:cs="Calibri"/>
          <w:b w:val="0"/>
          <w:sz w:val="24"/>
          <w:szCs w:val="24"/>
        </w:rPr>
        <w:t>3.1</w:t>
      </w:r>
      <w:r w:rsidRPr="002140B3">
        <w:rPr>
          <w:rFonts w:cs="Calibri"/>
          <w:b w:val="0"/>
          <w:sz w:val="24"/>
          <w:szCs w:val="24"/>
        </w:rPr>
        <w:tab/>
      </w:r>
      <w:r w:rsidR="007070AC" w:rsidRPr="002140B3">
        <w:rPr>
          <w:rFonts w:cs="Calibri"/>
          <w:b w:val="0"/>
          <w:sz w:val="24"/>
          <w:szCs w:val="24"/>
        </w:rPr>
        <w:t>A correspondence group was established to continue discussions on the draft resource mobilization strategy following the brainstorming session which took place during the January meeting of the CWG</w:t>
      </w:r>
      <w:r w:rsidR="00854476">
        <w:rPr>
          <w:rFonts w:cs="Calibri"/>
          <w:b w:val="0"/>
          <w:sz w:val="24"/>
          <w:szCs w:val="24"/>
        </w:rPr>
        <w:t>-</w:t>
      </w:r>
      <w:r w:rsidR="007070AC" w:rsidRPr="002140B3">
        <w:rPr>
          <w:rFonts w:cs="Calibri"/>
          <w:b w:val="0"/>
          <w:sz w:val="24"/>
          <w:szCs w:val="24"/>
        </w:rPr>
        <w:t>FHR. The secretariat thanked the more than 50 delegates who participated in the onsite and online sessions. One online session was organized for each of the three main areas of action of the strategy: strengthening membership; leveraging events, products and services; and increasing voluntary contributions. Significant background information was provided. Following these three online sessions, one last session was held to review a marked-up version of the strategy (as originally presented to Council</w:t>
      </w:r>
      <w:r w:rsidR="00854476">
        <w:rPr>
          <w:rFonts w:cs="Calibri"/>
          <w:b w:val="0"/>
          <w:sz w:val="24"/>
          <w:szCs w:val="24"/>
        </w:rPr>
        <w:t>-</w:t>
      </w:r>
      <w:r w:rsidR="007070AC" w:rsidRPr="002140B3">
        <w:rPr>
          <w:rFonts w:cs="Calibri"/>
          <w:b w:val="0"/>
          <w:sz w:val="24"/>
          <w:szCs w:val="24"/>
        </w:rPr>
        <w:t>23), taking into account the inputs from delegates over the course of this consultation process. The secretariat then finalized the document (</w:t>
      </w:r>
      <w:hyperlink r:id="rId26" w:history="1">
        <w:r w:rsidR="007070AC" w:rsidRPr="002140B3">
          <w:rPr>
            <w:rStyle w:val="Hyperlink"/>
            <w:rFonts w:cs="Calibri"/>
            <w:b w:val="0"/>
            <w:sz w:val="24"/>
            <w:szCs w:val="24"/>
          </w:rPr>
          <w:t>C24/70</w:t>
        </w:r>
      </w:hyperlink>
      <w:r w:rsidR="007070AC" w:rsidRPr="002140B3">
        <w:rPr>
          <w:rFonts w:cs="Calibri"/>
          <w:b w:val="0"/>
          <w:sz w:val="24"/>
          <w:szCs w:val="24"/>
        </w:rPr>
        <w:t>) and submitted it for Council</w:t>
      </w:r>
      <w:r w:rsidR="00854476">
        <w:rPr>
          <w:rFonts w:cs="Calibri"/>
          <w:b w:val="0"/>
          <w:sz w:val="24"/>
          <w:szCs w:val="24"/>
        </w:rPr>
        <w:t>-</w:t>
      </w:r>
      <w:r w:rsidR="007070AC" w:rsidRPr="002140B3">
        <w:rPr>
          <w:rFonts w:cs="Calibri"/>
          <w:b w:val="0"/>
          <w:sz w:val="24"/>
          <w:szCs w:val="24"/>
        </w:rPr>
        <w:t>24.</w:t>
      </w:r>
    </w:p>
    <w:p w14:paraId="5C257F1E" w14:textId="0281B65D" w:rsidR="007070AC" w:rsidRPr="002140B3" w:rsidRDefault="00D65C85" w:rsidP="00580C64">
      <w:pPr>
        <w:pStyle w:val="Annextitle"/>
        <w:spacing w:before="120" w:after="120"/>
        <w:jc w:val="both"/>
        <w:rPr>
          <w:rFonts w:cs="Calibri"/>
          <w:b w:val="0"/>
          <w:bCs/>
          <w:sz w:val="24"/>
          <w:szCs w:val="24"/>
        </w:rPr>
      </w:pPr>
      <w:r w:rsidRPr="002140B3">
        <w:rPr>
          <w:rFonts w:cs="Calibri"/>
          <w:b w:val="0"/>
          <w:sz w:val="24"/>
          <w:szCs w:val="24"/>
        </w:rPr>
        <w:t>3.2</w:t>
      </w:r>
      <w:r w:rsidRPr="002140B3">
        <w:rPr>
          <w:rFonts w:cs="Calibri"/>
          <w:b w:val="0"/>
          <w:sz w:val="24"/>
          <w:szCs w:val="24"/>
        </w:rPr>
        <w:tab/>
      </w:r>
      <w:r w:rsidR="007070AC" w:rsidRPr="002140B3">
        <w:rPr>
          <w:rFonts w:cs="Calibri"/>
          <w:b w:val="0"/>
          <w:sz w:val="24"/>
          <w:szCs w:val="24"/>
        </w:rPr>
        <w:t xml:space="preserve">Delegates thanked the secretariat for organizing the sessions, noting that it was a positive and informative process. They requested that the strategy be further refined to include details such as estimated required funds within the broader financial context of the Union, assigned actions / roles of </w:t>
      </w:r>
      <w:r w:rsidR="00030793" w:rsidRPr="002140B3">
        <w:rPr>
          <w:rFonts w:cs="Calibri"/>
          <w:b w:val="0"/>
          <w:sz w:val="24"/>
          <w:szCs w:val="24"/>
        </w:rPr>
        <w:t>Bureaux</w:t>
      </w:r>
      <w:r w:rsidR="007070AC" w:rsidRPr="002140B3">
        <w:rPr>
          <w:rFonts w:cs="Calibri"/>
          <w:b w:val="0"/>
          <w:sz w:val="24"/>
          <w:szCs w:val="24"/>
        </w:rPr>
        <w:t xml:space="preserve">, </w:t>
      </w:r>
      <w:r w:rsidR="00030793" w:rsidRPr="002140B3">
        <w:rPr>
          <w:rFonts w:cs="Calibri"/>
          <w:b w:val="0"/>
          <w:sz w:val="24"/>
          <w:szCs w:val="24"/>
        </w:rPr>
        <w:t xml:space="preserve">General Secretariat </w:t>
      </w:r>
      <w:r w:rsidR="007070AC" w:rsidRPr="002140B3">
        <w:rPr>
          <w:rFonts w:cs="Calibri"/>
          <w:b w:val="0"/>
          <w:sz w:val="24"/>
          <w:szCs w:val="24"/>
        </w:rPr>
        <w:t xml:space="preserve">and regional offices, and KPIs to monitor to progress. </w:t>
      </w:r>
    </w:p>
    <w:p w14:paraId="258A8B79" w14:textId="09AB74D3" w:rsidR="007070AC" w:rsidRPr="002140B3" w:rsidRDefault="00D65C85" w:rsidP="00760C56">
      <w:pPr>
        <w:spacing w:before="240"/>
        <w:rPr>
          <w:rFonts w:eastAsia="SimSun" w:cs="Calibri"/>
          <w:b/>
          <w:bCs/>
          <w:color w:val="000000"/>
          <w:szCs w:val="24"/>
        </w:rPr>
      </w:pPr>
      <w:r w:rsidRPr="002140B3">
        <w:rPr>
          <w:rFonts w:eastAsia="SimSun" w:cs="Calibri"/>
          <w:b/>
          <w:bCs/>
          <w:color w:val="000000"/>
          <w:szCs w:val="24"/>
        </w:rPr>
        <w:t>4</w:t>
      </w:r>
      <w:r w:rsidRPr="002140B3">
        <w:rPr>
          <w:rFonts w:eastAsia="SimSun" w:cs="Calibri"/>
          <w:b/>
          <w:bCs/>
          <w:color w:val="000000"/>
          <w:szCs w:val="24"/>
        </w:rPr>
        <w:tab/>
      </w:r>
      <w:r w:rsidR="007070AC" w:rsidRPr="002140B3">
        <w:rPr>
          <w:rFonts w:eastAsia="SimSun" w:cs="Calibri"/>
          <w:b/>
          <w:bCs/>
          <w:color w:val="000000"/>
          <w:szCs w:val="24"/>
        </w:rPr>
        <w:t>ITU Headquarters Project</w:t>
      </w:r>
    </w:p>
    <w:p w14:paraId="4F15782C" w14:textId="655ECE51" w:rsidR="007070AC" w:rsidRPr="002140B3" w:rsidRDefault="00D65C85" w:rsidP="007070AC">
      <w:pPr>
        <w:jc w:val="both"/>
        <w:rPr>
          <w:rFonts w:eastAsia="SimSun" w:cs="Calibri"/>
          <w:color w:val="000000"/>
          <w:szCs w:val="24"/>
          <w:shd w:val="clear" w:color="auto" w:fill="FFFFFF"/>
        </w:rPr>
      </w:pPr>
      <w:r w:rsidRPr="002140B3">
        <w:rPr>
          <w:rFonts w:eastAsia="SimSun" w:cs="Calibri"/>
          <w:color w:val="000000"/>
          <w:szCs w:val="24"/>
        </w:rPr>
        <w:t>4.1</w:t>
      </w:r>
      <w:r w:rsidRPr="002140B3">
        <w:rPr>
          <w:rFonts w:eastAsia="SimSun" w:cs="Calibri"/>
          <w:color w:val="000000"/>
          <w:szCs w:val="24"/>
        </w:rPr>
        <w:tab/>
      </w:r>
      <w:r w:rsidR="007070AC" w:rsidRPr="002140B3">
        <w:rPr>
          <w:rFonts w:eastAsia="SimSun" w:cs="Calibri"/>
          <w:color w:val="000000"/>
          <w:szCs w:val="24"/>
        </w:rPr>
        <w:t xml:space="preserve">Based on the direction provided by the January 2024 CWG-FHR and activities since, the </w:t>
      </w:r>
      <w:r w:rsidR="00030793">
        <w:rPr>
          <w:rFonts w:eastAsia="SimSun" w:cs="Calibri"/>
          <w:color w:val="000000"/>
          <w:szCs w:val="24"/>
        </w:rPr>
        <w:t>s</w:t>
      </w:r>
      <w:r w:rsidR="007070AC" w:rsidRPr="002140B3">
        <w:rPr>
          <w:rFonts w:eastAsia="SimSun" w:cs="Calibri"/>
          <w:color w:val="000000"/>
          <w:szCs w:val="24"/>
        </w:rPr>
        <w:t>ecretariat provided a progress report on the Union’s headquarters premises project (</w:t>
      </w:r>
      <w:hyperlink r:id="rId27" w:history="1">
        <w:r w:rsidR="007070AC" w:rsidRPr="002140B3">
          <w:rPr>
            <w:rFonts w:eastAsia="SimSun" w:cs="Calibri"/>
            <w:color w:val="0563C1"/>
            <w:szCs w:val="24"/>
            <w:u w:val="single"/>
          </w:rPr>
          <w:t>C24/7</w:t>
        </w:r>
      </w:hyperlink>
      <w:r w:rsidR="007070AC" w:rsidRPr="002140B3">
        <w:rPr>
          <w:rFonts w:eastAsia="SimSun" w:cs="Calibri"/>
          <w:color w:val="000000"/>
          <w:szCs w:val="24"/>
          <w:shd w:val="clear" w:color="auto" w:fill="FFFFFF"/>
        </w:rPr>
        <w:t>) and several</w:t>
      </w:r>
      <w:r w:rsidR="007070AC" w:rsidRPr="002140B3">
        <w:rPr>
          <w:rFonts w:eastAsia="SimSun" w:cs="Calibri"/>
          <w:color w:val="0563C1"/>
          <w:szCs w:val="24"/>
        </w:rPr>
        <w:t xml:space="preserve"> </w:t>
      </w:r>
      <w:r w:rsidR="007070AC" w:rsidRPr="002140B3">
        <w:rPr>
          <w:rFonts w:eastAsia="SimSun" w:cs="Calibri"/>
          <w:color w:val="000000"/>
          <w:szCs w:val="24"/>
        </w:rPr>
        <w:t>Member State and</w:t>
      </w:r>
      <w:r w:rsidR="007070AC" w:rsidRPr="002140B3">
        <w:rPr>
          <w:rFonts w:eastAsia="SimSun" w:cs="Calibri"/>
          <w:color w:val="0563C1"/>
          <w:szCs w:val="24"/>
        </w:rPr>
        <w:t xml:space="preserve"> </w:t>
      </w:r>
      <w:r w:rsidR="007070AC" w:rsidRPr="002140B3">
        <w:rPr>
          <w:rFonts w:eastAsia="SimSun" w:cs="Calibri"/>
          <w:color w:val="000000"/>
          <w:szCs w:val="24"/>
          <w:shd w:val="clear" w:color="auto" w:fill="FFFFFF"/>
        </w:rPr>
        <w:t>multi-country contributions were introduced (</w:t>
      </w:r>
      <w:hyperlink r:id="rId28" w:history="1">
        <w:r w:rsidR="007070AC" w:rsidRPr="002140B3">
          <w:rPr>
            <w:rFonts w:eastAsia="SimSun" w:cs="Calibri"/>
            <w:color w:val="0563C1"/>
            <w:szCs w:val="24"/>
            <w:u w:val="single"/>
          </w:rPr>
          <w:t>C24/83</w:t>
        </w:r>
      </w:hyperlink>
      <w:r w:rsidR="007070AC" w:rsidRPr="002140B3">
        <w:rPr>
          <w:rFonts w:cs="Calibri"/>
          <w:szCs w:val="24"/>
        </w:rPr>
        <w:t xml:space="preserve">; </w:t>
      </w:r>
      <w:hyperlink r:id="rId29" w:history="1">
        <w:r w:rsidR="007070AC" w:rsidRPr="002140B3">
          <w:rPr>
            <w:rFonts w:eastAsia="SimSun" w:cs="Calibri"/>
            <w:color w:val="0563C1"/>
            <w:szCs w:val="24"/>
            <w:u w:val="single"/>
          </w:rPr>
          <w:t>C24/94</w:t>
        </w:r>
      </w:hyperlink>
      <w:r w:rsidR="007070AC" w:rsidRPr="002140B3">
        <w:rPr>
          <w:rFonts w:eastAsia="SimSun" w:cs="Calibri"/>
          <w:color w:val="000000"/>
          <w:szCs w:val="24"/>
          <w:shd w:val="clear" w:color="auto" w:fill="FFFFFF"/>
        </w:rPr>
        <w:t xml:space="preserve">; </w:t>
      </w:r>
      <w:hyperlink r:id="rId30" w:history="1">
        <w:r w:rsidR="007070AC" w:rsidRPr="002140B3">
          <w:rPr>
            <w:rFonts w:eastAsia="SimSun" w:cs="Calibri"/>
            <w:color w:val="0563C1"/>
            <w:szCs w:val="24"/>
            <w:u w:val="single"/>
          </w:rPr>
          <w:t>C24/104</w:t>
        </w:r>
      </w:hyperlink>
      <w:r w:rsidR="007070AC" w:rsidRPr="00030793">
        <w:rPr>
          <w:rFonts w:eastAsia="SimSun" w:cs="Calibri"/>
          <w:szCs w:val="24"/>
        </w:rPr>
        <w:t xml:space="preserve">; </w:t>
      </w:r>
      <w:hyperlink r:id="rId31" w:history="1">
        <w:r w:rsidR="007070AC" w:rsidRPr="002140B3">
          <w:rPr>
            <w:rFonts w:eastAsia="SimSun" w:cs="Calibri"/>
            <w:color w:val="0563C1"/>
            <w:szCs w:val="24"/>
            <w:u w:val="single"/>
          </w:rPr>
          <w:t>CWG-FHR</w:t>
        </w:r>
        <w:r w:rsidR="00030793">
          <w:rPr>
            <w:rFonts w:eastAsia="SimSun" w:cs="Calibri"/>
            <w:color w:val="0563C1"/>
            <w:szCs w:val="24"/>
            <w:u w:val="single"/>
          </w:rPr>
          <w:t>-</w:t>
        </w:r>
        <w:r w:rsidR="007070AC" w:rsidRPr="002140B3">
          <w:rPr>
            <w:rFonts w:eastAsia="SimSun" w:cs="Calibri"/>
            <w:color w:val="0563C1"/>
            <w:szCs w:val="24"/>
            <w:u w:val="single"/>
          </w:rPr>
          <w:t>18/</w:t>
        </w:r>
      </w:hyperlink>
      <w:r w:rsidR="007070AC" w:rsidRPr="002140B3">
        <w:rPr>
          <w:rFonts w:eastAsia="SimSun" w:cs="Calibri"/>
          <w:color w:val="0563C1"/>
          <w:szCs w:val="24"/>
          <w:u w:val="single"/>
        </w:rPr>
        <w:t>7</w:t>
      </w:r>
      <w:r w:rsidR="007070AC" w:rsidRPr="002140B3">
        <w:rPr>
          <w:rFonts w:eastAsia="SimSun" w:cs="Calibri"/>
          <w:color w:val="000000"/>
          <w:szCs w:val="24"/>
          <w:shd w:val="clear" w:color="auto" w:fill="FFFFFF"/>
        </w:rPr>
        <w:t>). Finally, the Member States Advisory Group (MSAG) provided a report on activities and outcomes since the Extraordinary Session of Council 2023 (</w:t>
      </w:r>
      <w:hyperlink r:id="rId32" w:history="1">
        <w:r w:rsidR="007070AC" w:rsidRPr="002140B3">
          <w:rPr>
            <w:rFonts w:eastAsia="SimSun" w:cs="Calibri"/>
            <w:color w:val="0563C1"/>
            <w:szCs w:val="24"/>
            <w:u w:val="single"/>
          </w:rPr>
          <w:t>C24/48</w:t>
        </w:r>
      </w:hyperlink>
      <w:r w:rsidR="007070AC" w:rsidRPr="002140B3">
        <w:rPr>
          <w:rFonts w:eastAsia="SimSun" w:cs="Calibri"/>
          <w:color w:val="000000"/>
          <w:szCs w:val="24"/>
          <w:shd w:val="clear" w:color="auto" w:fill="FFFFFF"/>
        </w:rPr>
        <w:t>).</w:t>
      </w:r>
    </w:p>
    <w:p w14:paraId="4FEE18DF" w14:textId="109A489A" w:rsidR="007070AC" w:rsidRPr="002140B3" w:rsidRDefault="00D65C85" w:rsidP="007070AC">
      <w:pPr>
        <w:jc w:val="both"/>
        <w:rPr>
          <w:rFonts w:cs="Calibri"/>
          <w:szCs w:val="24"/>
          <w:lang w:val="en-CA"/>
        </w:rPr>
      </w:pPr>
      <w:r w:rsidRPr="002140B3">
        <w:rPr>
          <w:rFonts w:cs="Calibri"/>
          <w:szCs w:val="24"/>
          <w:lang w:val="en-CA"/>
        </w:rPr>
        <w:t>4.2</w:t>
      </w:r>
      <w:r w:rsidRPr="002140B3">
        <w:rPr>
          <w:rFonts w:cs="Calibri"/>
          <w:szCs w:val="24"/>
          <w:lang w:val="en-CA"/>
        </w:rPr>
        <w:tab/>
      </w:r>
      <w:r w:rsidR="007070AC" w:rsidRPr="002140B3">
        <w:rPr>
          <w:rFonts w:cs="Calibri"/>
          <w:szCs w:val="24"/>
          <w:lang w:val="en-CA"/>
        </w:rPr>
        <w:t xml:space="preserve">After additional discussion, and based on the activities informed by the CWG-FHR in October 2023 and January 2024, and MSAG meetings held on 8 and 28 March, 22 April, 13 and 23 May, and noting the contributions by Member States and MSAG Members, consensus was reached on recommending to the Council to take a decision to approve the alternative reassessed project which shall not exceed CHF 172.69M, subject to the concurrence of the majority of ITU </w:t>
      </w:r>
      <w:r w:rsidR="00030793" w:rsidRPr="002140B3">
        <w:rPr>
          <w:rFonts w:cs="Calibri"/>
          <w:szCs w:val="24"/>
          <w:lang w:val="en-CA"/>
        </w:rPr>
        <w:t xml:space="preserve">Member States </w:t>
      </w:r>
      <w:r w:rsidR="007070AC" w:rsidRPr="002140B3">
        <w:rPr>
          <w:rFonts w:cs="Calibri"/>
          <w:szCs w:val="24"/>
          <w:lang w:val="en-CA"/>
        </w:rPr>
        <w:t>in accordance with CV79, and instruct the Secretary-General take subsequent steps necessary to implement the alternative reassessed project, reflective of Member State and MSAG contributions and interventions.</w:t>
      </w:r>
    </w:p>
    <w:p w14:paraId="4CC83154" w14:textId="3E23FEA9" w:rsidR="007070AC" w:rsidRPr="002140B3" w:rsidRDefault="00D65C85" w:rsidP="007070AC">
      <w:pPr>
        <w:jc w:val="both"/>
        <w:rPr>
          <w:rFonts w:cs="Calibri"/>
          <w:szCs w:val="24"/>
          <w:lang w:val="en-CA"/>
        </w:rPr>
      </w:pPr>
      <w:r w:rsidRPr="002140B3">
        <w:rPr>
          <w:rFonts w:cs="Calibri"/>
          <w:szCs w:val="24"/>
          <w:lang w:val="en-CA"/>
        </w:rPr>
        <w:t>4.3</w:t>
      </w:r>
      <w:r w:rsidRPr="002140B3">
        <w:rPr>
          <w:rFonts w:cs="Calibri"/>
          <w:szCs w:val="24"/>
          <w:lang w:val="en-CA"/>
        </w:rPr>
        <w:tab/>
      </w:r>
      <w:r w:rsidR="007070AC" w:rsidRPr="002140B3">
        <w:rPr>
          <w:rFonts w:cs="Calibri"/>
          <w:szCs w:val="24"/>
          <w:lang w:val="en-CA"/>
        </w:rPr>
        <w:t xml:space="preserve">Should the Council approve the alternative reassessed project, CWG-FHR recommends Council instruct the Secretary-General to develop an assessment and strategic plan regarding the long-term vision of the entire ITU Geneva campus and provide an initial draft to the January 2025 CWG-FHR, considering, at a minimum, several factors raised during interventions and in contributions. </w:t>
      </w:r>
    </w:p>
    <w:p w14:paraId="60D780C2" w14:textId="09DFF100" w:rsidR="007070AC" w:rsidRPr="002140B3" w:rsidRDefault="00D65C85" w:rsidP="007070AC">
      <w:pPr>
        <w:jc w:val="both"/>
        <w:rPr>
          <w:rFonts w:cs="Calibri"/>
          <w:szCs w:val="24"/>
          <w:lang w:val="en-CA"/>
        </w:rPr>
      </w:pPr>
      <w:r w:rsidRPr="002140B3">
        <w:rPr>
          <w:rFonts w:cs="Calibri"/>
          <w:szCs w:val="24"/>
          <w:lang w:val="en-CA"/>
        </w:rPr>
        <w:t>4.4</w:t>
      </w:r>
      <w:r w:rsidRPr="002140B3">
        <w:rPr>
          <w:rFonts w:cs="Calibri"/>
          <w:szCs w:val="24"/>
          <w:lang w:val="en-CA"/>
        </w:rPr>
        <w:tab/>
      </w:r>
      <w:r w:rsidR="007070AC" w:rsidRPr="002140B3">
        <w:rPr>
          <w:rFonts w:cs="Calibri"/>
          <w:szCs w:val="24"/>
          <w:lang w:val="en-CA"/>
        </w:rPr>
        <w:t xml:space="preserve">The above is reflected as an addendum with </w:t>
      </w:r>
      <w:r w:rsidR="007070AC" w:rsidRPr="002140B3">
        <w:rPr>
          <w:rFonts w:cs="Calibri"/>
          <w:szCs w:val="24"/>
          <w:u w:val="single"/>
          <w:lang w:val="en-CA"/>
        </w:rPr>
        <w:t>one paragraph in square brackets</w:t>
      </w:r>
      <w:r w:rsidR="007070AC" w:rsidRPr="002140B3">
        <w:rPr>
          <w:rFonts w:cs="Calibri"/>
          <w:szCs w:val="24"/>
          <w:lang w:val="en-CA"/>
        </w:rPr>
        <w:t xml:space="preserve"> related to the timeline for which the Secretary-General shall present to the MSAG a statement of work, which will include design requirements and a design concept. Legal noted that this process must be consistent with procurement rules, which is also reflected in the addendum. </w:t>
      </w:r>
    </w:p>
    <w:p w14:paraId="46738FD5" w14:textId="3B530390" w:rsidR="00760C56" w:rsidRPr="002140B3" w:rsidRDefault="00760C56">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CA"/>
        </w:rPr>
      </w:pPr>
      <w:r w:rsidRPr="002140B3">
        <w:rPr>
          <w:rFonts w:cs="Calibri"/>
          <w:szCs w:val="24"/>
          <w:lang w:val="en-CA"/>
        </w:rPr>
        <w:br w:type="page"/>
      </w:r>
    </w:p>
    <w:p w14:paraId="7ABC872C" w14:textId="77777777" w:rsidR="007070AC" w:rsidRPr="002140B3" w:rsidRDefault="007070AC" w:rsidP="007070AC">
      <w:pPr>
        <w:jc w:val="both"/>
        <w:rPr>
          <w:rFonts w:cs="Calibri"/>
          <w:szCs w:val="24"/>
          <w:lang w:val="en-CA"/>
        </w:rPr>
      </w:pPr>
    </w:p>
    <w:p w14:paraId="5A61B3CC" w14:textId="77777777" w:rsidR="007070AC" w:rsidRPr="002140B3" w:rsidRDefault="007070AC" w:rsidP="007070AC">
      <w:pPr>
        <w:spacing w:after="120"/>
        <w:jc w:val="both"/>
        <w:rPr>
          <w:rFonts w:cs="Calibri"/>
          <w:b/>
          <w:bCs/>
          <w:szCs w:val="24"/>
          <w:lang w:val="en-CA"/>
        </w:rPr>
      </w:pPr>
      <w:r w:rsidRPr="002140B3">
        <w:rPr>
          <w:rFonts w:cs="Calibri"/>
          <w:b/>
          <w:bCs/>
          <w:szCs w:val="24"/>
          <w:lang w:val="en-CA"/>
        </w:rPr>
        <w:t>Recommendation:</w:t>
      </w:r>
    </w:p>
    <w:p w14:paraId="713B75A5" w14:textId="1487561A" w:rsidR="007070AC" w:rsidRPr="002140B3" w:rsidRDefault="007070AC" w:rsidP="007070AC">
      <w:pPr>
        <w:spacing w:after="120"/>
        <w:jc w:val="both"/>
        <w:rPr>
          <w:rFonts w:cs="Calibri"/>
          <w:szCs w:val="24"/>
          <w:lang w:val="en-CA"/>
        </w:rPr>
      </w:pPr>
      <w:r w:rsidRPr="002140B3">
        <w:rPr>
          <w:rFonts w:cs="Calibri"/>
          <w:szCs w:val="24"/>
          <w:lang w:val="en-CA"/>
        </w:rPr>
        <w:t>The Council Working Group on Financial and Human Resources (CWG-FHR), taking into account Resolution 212 (Rev. Bucharest, 2022) of the Plenipotentiary Conference</w:t>
      </w:r>
      <w:r w:rsidR="00030793">
        <w:rPr>
          <w:rFonts w:cs="Calibri"/>
          <w:szCs w:val="24"/>
          <w:lang w:val="en-CA"/>
        </w:rPr>
        <w:t xml:space="preserve"> on</w:t>
      </w:r>
      <w:r w:rsidRPr="002140B3">
        <w:rPr>
          <w:rFonts w:cs="Calibri"/>
          <w:szCs w:val="24"/>
          <w:lang w:val="en-CA"/>
        </w:rPr>
        <w:t xml:space="preserve"> </w:t>
      </w:r>
      <w:r w:rsidRPr="002140B3">
        <w:rPr>
          <w:rFonts w:cs="Calibri"/>
          <w:i/>
          <w:iCs/>
          <w:szCs w:val="24"/>
          <w:lang w:val="en-CA"/>
        </w:rPr>
        <w:t xml:space="preserve">The Union’s Future Headquarters Premises, </w:t>
      </w:r>
      <w:r w:rsidRPr="002140B3">
        <w:rPr>
          <w:rFonts w:cs="Calibri"/>
          <w:szCs w:val="24"/>
          <w:lang w:val="en-CA"/>
        </w:rPr>
        <w:t>recommends that Council</w:t>
      </w:r>
      <w:r w:rsidR="00854476">
        <w:rPr>
          <w:rFonts w:cs="Calibri"/>
          <w:szCs w:val="24"/>
          <w:lang w:val="en-CA"/>
        </w:rPr>
        <w:t>-</w:t>
      </w:r>
      <w:r w:rsidRPr="002140B3">
        <w:rPr>
          <w:rFonts w:cs="Calibri"/>
          <w:szCs w:val="24"/>
          <w:lang w:val="en-CA"/>
        </w:rPr>
        <w:t xml:space="preserve">24 take a </w:t>
      </w:r>
      <w:r w:rsidR="00002171">
        <w:rPr>
          <w:rFonts w:cs="Calibri"/>
          <w:szCs w:val="24"/>
          <w:lang w:val="en-CA"/>
        </w:rPr>
        <w:t>d</w:t>
      </w:r>
      <w:r w:rsidRPr="002140B3">
        <w:rPr>
          <w:rFonts w:cs="Calibri"/>
          <w:szCs w:val="24"/>
          <w:lang w:val="en-CA"/>
        </w:rPr>
        <w:t>ecision, which includes the following elements:</w:t>
      </w:r>
    </w:p>
    <w:p w14:paraId="111D214C" w14:textId="27A18D72" w:rsidR="007070AC" w:rsidRPr="002140B3" w:rsidRDefault="007070AC" w:rsidP="007070AC">
      <w:pPr>
        <w:numPr>
          <w:ilvl w:val="0"/>
          <w:numId w:val="39"/>
        </w:numPr>
        <w:tabs>
          <w:tab w:val="clear" w:pos="567"/>
          <w:tab w:val="clear" w:pos="1134"/>
          <w:tab w:val="clear" w:pos="1701"/>
          <w:tab w:val="clear" w:pos="2268"/>
          <w:tab w:val="clear" w:pos="2835"/>
        </w:tabs>
        <w:overflowPunct/>
        <w:autoSpaceDE/>
        <w:autoSpaceDN/>
        <w:adjustRightInd/>
        <w:spacing w:before="0" w:after="120" w:line="259" w:lineRule="auto"/>
        <w:ind w:left="714" w:hanging="357"/>
        <w:jc w:val="both"/>
        <w:textAlignment w:val="auto"/>
        <w:rPr>
          <w:rFonts w:cs="Calibri"/>
          <w:szCs w:val="24"/>
          <w:lang w:val="en-CA"/>
        </w:rPr>
      </w:pPr>
      <w:r w:rsidRPr="002140B3">
        <w:rPr>
          <w:rFonts w:cs="Calibri"/>
          <w:szCs w:val="24"/>
          <w:lang w:val="en-CA"/>
        </w:rPr>
        <w:t>approve the alternative reassessed project which shall not exceed CHF 172.69M, subject to the concurrence of the majority of ITU member states in accordance with CV79, and instruct the Secretary-General to:</w:t>
      </w:r>
    </w:p>
    <w:p w14:paraId="259318E2"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34" w:hanging="357"/>
        <w:jc w:val="both"/>
        <w:textAlignment w:val="auto"/>
        <w:rPr>
          <w:rFonts w:cs="Calibri"/>
          <w:szCs w:val="24"/>
          <w:lang w:val="en-CA"/>
        </w:rPr>
      </w:pPr>
      <w:r w:rsidRPr="002140B3">
        <w:rPr>
          <w:rFonts w:cs="Calibri"/>
          <w:szCs w:val="24"/>
          <w:lang w:val="en-CA"/>
        </w:rPr>
        <w:t xml:space="preserve">take all necessary steps to implement the alternative reassessed project to meet the needs of the ITU Membership and staff as reflected in the tables below; </w:t>
      </w:r>
    </w:p>
    <w:p w14:paraId="172E5964" w14:textId="77777777" w:rsidR="007070AC" w:rsidRPr="002140B3" w:rsidRDefault="007070AC" w:rsidP="007070AC">
      <w:pPr>
        <w:spacing w:after="120"/>
        <w:ind w:left="1434"/>
        <w:jc w:val="both"/>
        <w:rPr>
          <w:rFonts w:cs="Calibri"/>
          <w:szCs w:val="24"/>
          <w:lang w:val="en-CA"/>
        </w:rPr>
      </w:pPr>
    </w:p>
    <w:tbl>
      <w:tblPr>
        <w:tblStyle w:val="TableGrid"/>
        <w:tblW w:w="8364" w:type="dxa"/>
        <w:tblInd w:w="1129" w:type="dxa"/>
        <w:tblLook w:val="04A0" w:firstRow="1" w:lastRow="0" w:firstColumn="1" w:lastColumn="0" w:noHBand="0" w:noVBand="1"/>
      </w:tblPr>
      <w:tblGrid>
        <w:gridCol w:w="2835"/>
        <w:gridCol w:w="5529"/>
      </w:tblGrid>
      <w:tr w:rsidR="007070AC" w:rsidRPr="002140B3" w14:paraId="62F3DD01" w14:textId="77777777" w:rsidTr="00595E14">
        <w:trPr>
          <w:trHeight w:val="381"/>
        </w:trPr>
        <w:tc>
          <w:tcPr>
            <w:tcW w:w="8364" w:type="dxa"/>
            <w:gridSpan w:val="2"/>
          </w:tcPr>
          <w:p w14:paraId="68280926" w14:textId="77777777" w:rsidR="007070AC" w:rsidRPr="002140B3" w:rsidRDefault="007070AC" w:rsidP="00595E14">
            <w:pPr>
              <w:tabs>
                <w:tab w:val="left" w:pos="720"/>
              </w:tabs>
              <w:jc w:val="center"/>
              <w:rPr>
                <w:rFonts w:eastAsia="Calibri" w:cs="Calibri"/>
                <w:b/>
                <w:bCs/>
                <w:kern w:val="24"/>
                <w:szCs w:val="24"/>
                <w:lang w:val="en-US" w:eastAsia="en-GB"/>
              </w:rPr>
            </w:pPr>
            <w:r w:rsidRPr="002140B3">
              <w:rPr>
                <w:rFonts w:eastAsia="Calibri" w:cs="Calibri"/>
                <w:b/>
                <w:bCs/>
                <w:kern w:val="24"/>
                <w:szCs w:val="24"/>
                <w:lang w:val="en-US" w:eastAsia="en-GB"/>
              </w:rPr>
              <w:t>Alternative Reassessed Project Scope</w:t>
            </w:r>
          </w:p>
        </w:tc>
      </w:tr>
      <w:tr w:rsidR="007070AC" w:rsidRPr="002140B3" w14:paraId="271ED85E" w14:textId="77777777" w:rsidTr="00595E14">
        <w:trPr>
          <w:trHeight w:val="815"/>
        </w:trPr>
        <w:tc>
          <w:tcPr>
            <w:tcW w:w="2835" w:type="dxa"/>
            <w:hideMark/>
          </w:tcPr>
          <w:p w14:paraId="40726646" w14:textId="77777777" w:rsidR="007070AC" w:rsidRPr="002140B3" w:rsidRDefault="007070AC" w:rsidP="00595E14">
            <w:pPr>
              <w:tabs>
                <w:tab w:val="left" w:pos="720"/>
              </w:tabs>
              <w:jc w:val="both"/>
              <w:rPr>
                <w:rFonts w:cs="Calibri"/>
                <w:szCs w:val="24"/>
                <w:lang w:eastAsia="en-GB"/>
              </w:rPr>
            </w:pPr>
            <w:r w:rsidRPr="002140B3">
              <w:rPr>
                <w:rFonts w:eastAsia="Calibri" w:cs="Calibri"/>
                <w:b/>
                <w:bCs/>
                <w:kern w:val="24"/>
                <w:szCs w:val="24"/>
                <w:lang w:val="en-US" w:eastAsia="en-GB"/>
              </w:rPr>
              <w:t>Conference facilities</w:t>
            </w:r>
          </w:p>
        </w:tc>
        <w:tc>
          <w:tcPr>
            <w:tcW w:w="5529" w:type="dxa"/>
            <w:hideMark/>
          </w:tcPr>
          <w:p w14:paraId="7FCA6F61" w14:textId="77777777" w:rsidR="007070AC" w:rsidRPr="002140B3" w:rsidRDefault="007070AC" w:rsidP="00595E14">
            <w:pPr>
              <w:tabs>
                <w:tab w:val="left" w:pos="720"/>
              </w:tabs>
              <w:rPr>
                <w:rFonts w:cs="Calibri"/>
                <w:szCs w:val="24"/>
                <w:lang w:eastAsia="en-GB"/>
              </w:rPr>
            </w:pPr>
            <w:r w:rsidRPr="002140B3">
              <w:rPr>
                <w:rFonts w:eastAsia="Calibri" w:cs="Calibri"/>
                <w:b/>
                <w:bCs/>
                <w:kern w:val="24"/>
                <w:szCs w:val="24"/>
                <w:lang w:val="en-US" w:eastAsia="en-GB"/>
              </w:rPr>
              <w:t>Large conference room (sponsored by Saudi Arabia)</w:t>
            </w:r>
            <w:r w:rsidRPr="002140B3">
              <w:rPr>
                <w:rFonts w:eastAsia="Calibri" w:cs="Calibri"/>
                <w:b/>
                <w:bCs/>
                <w:kern w:val="24"/>
                <w:szCs w:val="24"/>
                <w:lang w:val="en-US" w:eastAsia="en-GB"/>
              </w:rPr>
              <w:br/>
            </w:r>
            <w:r w:rsidRPr="002140B3">
              <w:rPr>
                <w:rFonts w:eastAsia="Calibri" w:cs="Calibri"/>
                <w:kern w:val="24"/>
                <w:szCs w:val="24"/>
                <w:lang w:val="en-US" w:eastAsia="en-GB"/>
              </w:rPr>
              <w:t>Approx. 500 seats</w:t>
            </w:r>
          </w:p>
          <w:p w14:paraId="141FE848" w14:textId="77777777" w:rsidR="007070AC" w:rsidRPr="002140B3" w:rsidRDefault="007070AC" w:rsidP="00595E14">
            <w:pPr>
              <w:tabs>
                <w:tab w:val="left" w:pos="720"/>
              </w:tabs>
              <w:rPr>
                <w:rFonts w:cs="Calibri"/>
                <w:szCs w:val="24"/>
                <w:lang w:eastAsia="en-GB"/>
              </w:rPr>
            </w:pPr>
            <w:r w:rsidRPr="002140B3">
              <w:rPr>
                <w:rFonts w:eastAsia="Calibri" w:cs="Calibri"/>
                <w:b/>
                <w:bCs/>
                <w:kern w:val="24"/>
                <w:szCs w:val="24"/>
                <w:lang w:val="en-US" w:eastAsia="en-GB"/>
              </w:rPr>
              <w:t>Conference Lobby</w:t>
            </w:r>
            <w:r w:rsidRPr="002140B3">
              <w:rPr>
                <w:rFonts w:eastAsia="Calibri" w:cs="Calibri"/>
                <w:b/>
                <w:bCs/>
                <w:kern w:val="24"/>
                <w:szCs w:val="24"/>
                <w:lang w:val="en-US" w:eastAsia="en-GB"/>
              </w:rPr>
              <w:br/>
            </w:r>
            <w:r w:rsidRPr="002140B3">
              <w:rPr>
                <w:rFonts w:eastAsia="Calibri" w:cs="Calibri"/>
                <w:kern w:val="24"/>
                <w:szCs w:val="24"/>
                <w:lang w:val="en-US" w:eastAsia="en-GB"/>
              </w:rPr>
              <w:t>Proportionally sized</w:t>
            </w:r>
          </w:p>
        </w:tc>
      </w:tr>
      <w:tr w:rsidR="007070AC" w:rsidRPr="002140B3" w14:paraId="204A2835" w14:textId="77777777" w:rsidTr="00595E14">
        <w:trPr>
          <w:trHeight w:val="745"/>
        </w:trPr>
        <w:tc>
          <w:tcPr>
            <w:tcW w:w="2835" w:type="dxa"/>
            <w:hideMark/>
          </w:tcPr>
          <w:p w14:paraId="655F4931" w14:textId="77777777" w:rsidR="007070AC" w:rsidRPr="002140B3" w:rsidRDefault="007070AC" w:rsidP="00595E14">
            <w:pPr>
              <w:tabs>
                <w:tab w:val="left" w:pos="720"/>
              </w:tabs>
              <w:jc w:val="both"/>
              <w:rPr>
                <w:rFonts w:cs="Calibri"/>
                <w:szCs w:val="24"/>
                <w:lang w:eastAsia="en-GB"/>
              </w:rPr>
            </w:pPr>
            <w:r w:rsidRPr="002140B3">
              <w:rPr>
                <w:rFonts w:eastAsia="Calibri" w:cs="Calibri"/>
                <w:b/>
                <w:bCs/>
                <w:kern w:val="24"/>
                <w:szCs w:val="24"/>
                <w:lang w:val="en-US" w:eastAsia="en-GB"/>
              </w:rPr>
              <w:t>Catering</w:t>
            </w:r>
          </w:p>
        </w:tc>
        <w:tc>
          <w:tcPr>
            <w:tcW w:w="5529" w:type="dxa"/>
            <w:hideMark/>
          </w:tcPr>
          <w:p w14:paraId="1387BBBD" w14:textId="77777777" w:rsidR="007070AC" w:rsidRPr="002140B3" w:rsidRDefault="007070AC" w:rsidP="00595E14">
            <w:pPr>
              <w:tabs>
                <w:tab w:val="left" w:pos="720"/>
              </w:tabs>
              <w:rPr>
                <w:rFonts w:cs="Calibri"/>
                <w:szCs w:val="24"/>
                <w:lang w:eastAsia="en-GB"/>
              </w:rPr>
            </w:pPr>
            <w:r w:rsidRPr="002140B3">
              <w:rPr>
                <w:rFonts w:eastAsia="Calibri" w:cs="Calibri"/>
                <w:b/>
                <w:bCs/>
                <w:kern w:val="24"/>
                <w:szCs w:val="24"/>
                <w:lang w:val="en-US" w:eastAsia="en-GB"/>
              </w:rPr>
              <w:t xml:space="preserve">Cafeteria </w:t>
            </w:r>
            <w:r w:rsidRPr="002140B3">
              <w:rPr>
                <w:rFonts w:eastAsia="Calibri" w:cs="Calibri"/>
                <w:kern w:val="24"/>
                <w:szCs w:val="24"/>
                <w:lang w:eastAsia="en-GB"/>
              </w:rPr>
              <w:br/>
            </w:r>
            <w:r w:rsidRPr="002140B3">
              <w:rPr>
                <w:rFonts w:eastAsia="Calibri" w:cs="Calibri"/>
                <w:kern w:val="24"/>
                <w:szCs w:val="24"/>
                <w:lang w:val="en-US" w:eastAsia="en-GB"/>
              </w:rPr>
              <w:t>A dining room of approx. 150 seats</w:t>
            </w:r>
          </w:p>
          <w:p w14:paraId="5939FA74" w14:textId="77777777" w:rsidR="007070AC" w:rsidRPr="002140B3" w:rsidRDefault="007070AC" w:rsidP="00595E14">
            <w:pPr>
              <w:tabs>
                <w:tab w:val="left" w:pos="720"/>
              </w:tabs>
              <w:rPr>
                <w:rFonts w:cs="Calibri"/>
                <w:szCs w:val="24"/>
                <w:lang w:eastAsia="en-GB"/>
              </w:rPr>
            </w:pPr>
            <w:r w:rsidRPr="002140B3">
              <w:rPr>
                <w:rFonts w:eastAsia="Calibri" w:cs="Calibri"/>
                <w:b/>
                <w:bCs/>
                <w:kern w:val="24"/>
                <w:szCs w:val="24"/>
                <w:lang w:val="en-US" w:eastAsia="en-GB"/>
              </w:rPr>
              <w:t>Delegate lounge</w:t>
            </w:r>
            <w:r w:rsidRPr="002140B3">
              <w:rPr>
                <w:rFonts w:eastAsia="Calibri" w:cs="Calibri"/>
                <w:kern w:val="24"/>
                <w:szCs w:val="24"/>
                <w:lang w:eastAsia="en-GB"/>
              </w:rPr>
              <w:br/>
              <w:t>A</w:t>
            </w:r>
            <w:proofErr w:type="spellStart"/>
            <w:r w:rsidRPr="002140B3">
              <w:rPr>
                <w:rFonts w:eastAsia="Calibri" w:cs="Calibri"/>
                <w:kern w:val="24"/>
                <w:szCs w:val="24"/>
                <w:lang w:val="en-US" w:eastAsia="en-GB"/>
              </w:rPr>
              <w:t>pprox</w:t>
            </w:r>
            <w:proofErr w:type="spellEnd"/>
            <w:r w:rsidRPr="002140B3">
              <w:rPr>
                <w:rFonts w:eastAsia="Calibri" w:cs="Calibri"/>
                <w:kern w:val="24"/>
                <w:szCs w:val="24"/>
                <w:lang w:val="en-US" w:eastAsia="en-GB"/>
              </w:rPr>
              <w:t>. 120 seats</w:t>
            </w:r>
          </w:p>
        </w:tc>
      </w:tr>
      <w:tr w:rsidR="007070AC" w:rsidRPr="002140B3" w14:paraId="1EC24079" w14:textId="77777777" w:rsidTr="00595E14">
        <w:trPr>
          <w:trHeight w:val="186"/>
        </w:trPr>
        <w:tc>
          <w:tcPr>
            <w:tcW w:w="2835" w:type="dxa"/>
            <w:hideMark/>
          </w:tcPr>
          <w:p w14:paraId="57F53A97" w14:textId="77777777" w:rsidR="007070AC" w:rsidRPr="002140B3" w:rsidRDefault="007070AC" w:rsidP="00595E14">
            <w:pPr>
              <w:tabs>
                <w:tab w:val="left" w:pos="720"/>
              </w:tabs>
              <w:spacing w:before="60" w:after="60"/>
              <w:jc w:val="both"/>
              <w:rPr>
                <w:rFonts w:cs="Calibri"/>
                <w:szCs w:val="24"/>
                <w:lang w:eastAsia="en-GB"/>
              </w:rPr>
            </w:pPr>
            <w:r w:rsidRPr="002140B3">
              <w:rPr>
                <w:rFonts w:cs="Calibri"/>
                <w:b/>
                <w:bCs/>
                <w:kern w:val="24"/>
                <w:szCs w:val="24"/>
                <w:lang w:val="en-US" w:eastAsia="en-GB"/>
              </w:rPr>
              <w:t>Meeting rooms</w:t>
            </w:r>
          </w:p>
        </w:tc>
        <w:tc>
          <w:tcPr>
            <w:tcW w:w="5529" w:type="dxa"/>
            <w:hideMark/>
          </w:tcPr>
          <w:p w14:paraId="75D59BAD" w14:textId="77777777" w:rsidR="007070AC" w:rsidRPr="002140B3" w:rsidRDefault="007070AC" w:rsidP="00595E14">
            <w:pPr>
              <w:tabs>
                <w:tab w:val="left" w:pos="720"/>
              </w:tabs>
              <w:spacing w:before="60" w:after="60"/>
              <w:rPr>
                <w:rFonts w:cs="Calibri"/>
                <w:szCs w:val="24"/>
                <w:lang w:eastAsia="en-GB"/>
              </w:rPr>
            </w:pPr>
            <w:r w:rsidRPr="002140B3">
              <w:rPr>
                <w:rFonts w:cs="Calibri"/>
                <w:kern w:val="24"/>
                <w:szCs w:val="24"/>
                <w:lang w:val="en-US" w:eastAsia="en-GB"/>
              </w:rPr>
              <w:t>Approx. 23 rooms</w:t>
            </w:r>
          </w:p>
        </w:tc>
      </w:tr>
      <w:tr w:rsidR="007070AC" w:rsidRPr="002140B3" w14:paraId="68BCDF99" w14:textId="77777777" w:rsidTr="00595E14">
        <w:trPr>
          <w:trHeight w:val="47"/>
        </w:trPr>
        <w:tc>
          <w:tcPr>
            <w:tcW w:w="2835" w:type="dxa"/>
            <w:hideMark/>
          </w:tcPr>
          <w:p w14:paraId="1D3028EB" w14:textId="77777777" w:rsidR="007070AC" w:rsidRPr="002140B3" w:rsidRDefault="007070AC" w:rsidP="00595E14">
            <w:pPr>
              <w:tabs>
                <w:tab w:val="left" w:pos="720"/>
              </w:tabs>
              <w:spacing w:before="60" w:after="60"/>
              <w:jc w:val="both"/>
              <w:rPr>
                <w:rFonts w:cs="Calibri"/>
                <w:szCs w:val="24"/>
                <w:lang w:eastAsia="en-GB"/>
              </w:rPr>
            </w:pPr>
            <w:r w:rsidRPr="002140B3">
              <w:rPr>
                <w:rFonts w:eastAsia="Calibri" w:cs="Calibri"/>
                <w:b/>
                <w:bCs/>
                <w:kern w:val="24"/>
                <w:szCs w:val="24"/>
                <w:lang w:val="en-US" w:eastAsia="en-GB"/>
              </w:rPr>
              <w:t>Workplace</w:t>
            </w:r>
          </w:p>
        </w:tc>
        <w:tc>
          <w:tcPr>
            <w:tcW w:w="5529" w:type="dxa"/>
            <w:hideMark/>
          </w:tcPr>
          <w:p w14:paraId="5B9E735F" w14:textId="77777777" w:rsidR="007070AC" w:rsidRPr="002140B3" w:rsidRDefault="007070AC" w:rsidP="00595E14">
            <w:pPr>
              <w:tabs>
                <w:tab w:val="left" w:pos="720"/>
              </w:tabs>
              <w:spacing w:before="60" w:after="60"/>
              <w:rPr>
                <w:rFonts w:cs="Calibri"/>
                <w:szCs w:val="24"/>
                <w:lang w:eastAsia="en-GB"/>
              </w:rPr>
            </w:pPr>
            <w:r w:rsidRPr="002140B3">
              <w:rPr>
                <w:rFonts w:eastAsia="Calibri" w:cs="Calibri"/>
                <w:kern w:val="24"/>
                <w:szCs w:val="24"/>
                <w:lang w:val="en-US" w:eastAsia="en-GB"/>
              </w:rPr>
              <w:t>Approx. 200 seats</w:t>
            </w:r>
          </w:p>
        </w:tc>
      </w:tr>
      <w:tr w:rsidR="007070AC" w:rsidRPr="002140B3" w14:paraId="7AEB4470" w14:textId="77777777" w:rsidTr="00595E14">
        <w:trPr>
          <w:trHeight w:val="47"/>
        </w:trPr>
        <w:tc>
          <w:tcPr>
            <w:tcW w:w="2835" w:type="dxa"/>
            <w:hideMark/>
          </w:tcPr>
          <w:p w14:paraId="30DAD37D" w14:textId="77777777" w:rsidR="007070AC" w:rsidRPr="002140B3" w:rsidRDefault="007070AC" w:rsidP="00595E14">
            <w:pPr>
              <w:tabs>
                <w:tab w:val="left" w:pos="720"/>
              </w:tabs>
              <w:spacing w:before="60" w:after="60"/>
              <w:jc w:val="both"/>
              <w:rPr>
                <w:rFonts w:cs="Calibri"/>
                <w:szCs w:val="24"/>
                <w:lang w:eastAsia="en-GB"/>
              </w:rPr>
            </w:pPr>
            <w:r w:rsidRPr="002140B3">
              <w:rPr>
                <w:rFonts w:eastAsia="Calibri" w:cs="Calibri"/>
                <w:b/>
                <w:bCs/>
                <w:kern w:val="24"/>
                <w:szCs w:val="24"/>
                <w:lang w:val="en-US" w:eastAsia="en-GB"/>
              </w:rPr>
              <w:t>Essential amenities</w:t>
            </w:r>
          </w:p>
        </w:tc>
        <w:tc>
          <w:tcPr>
            <w:tcW w:w="5529" w:type="dxa"/>
            <w:hideMark/>
          </w:tcPr>
          <w:p w14:paraId="55F03342" w14:textId="77777777" w:rsidR="007070AC" w:rsidRPr="002140B3" w:rsidRDefault="007070AC" w:rsidP="00595E14">
            <w:pPr>
              <w:tabs>
                <w:tab w:val="left" w:pos="720"/>
              </w:tabs>
              <w:spacing w:before="60" w:after="60"/>
              <w:rPr>
                <w:rFonts w:cs="Calibri"/>
                <w:szCs w:val="24"/>
                <w:lang w:eastAsia="en-GB"/>
              </w:rPr>
            </w:pPr>
            <w:r w:rsidRPr="002140B3">
              <w:rPr>
                <w:rFonts w:eastAsia="Calibri" w:cs="Calibri"/>
                <w:kern w:val="24"/>
                <w:szCs w:val="24"/>
                <w:lang w:val="en-US" w:eastAsia="en-GB"/>
              </w:rPr>
              <w:t>Adequate to support these facilities</w:t>
            </w:r>
          </w:p>
        </w:tc>
      </w:tr>
      <w:tr w:rsidR="007070AC" w:rsidRPr="002140B3" w14:paraId="7E512A89" w14:textId="77777777" w:rsidTr="00595E14">
        <w:trPr>
          <w:trHeight w:val="47"/>
        </w:trPr>
        <w:tc>
          <w:tcPr>
            <w:tcW w:w="2835" w:type="dxa"/>
            <w:hideMark/>
          </w:tcPr>
          <w:p w14:paraId="2EAD783F" w14:textId="77777777" w:rsidR="007070AC" w:rsidRPr="002140B3" w:rsidRDefault="007070AC" w:rsidP="00595E14">
            <w:pPr>
              <w:tabs>
                <w:tab w:val="left" w:pos="720"/>
              </w:tabs>
              <w:spacing w:before="60" w:after="60"/>
              <w:jc w:val="both"/>
              <w:rPr>
                <w:rFonts w:cs="Calibri"/>
                <w:szCs w:val="24"/>
                <w:lang w:eastAsia="en-GB"/>
              </w:rPr>
            </w:pPr>
            <w:r w:rsidRPr="002140B3">
              <w:rPr>
                <w:rFonts w:cs="Calibri"/>
                <w:b/>
                <w:bCs/>
                <w:kern w:val="24"/>
                <w:szCs w:val="24"/>
                <w:lang w:val="en-US" w:eastAsia="en-GB"/>
              </w:rPr>
              <w:t>Building projected size</w:t>
            </w:r>
          </w:p>
        </w:tc>
        <w:tc>
          <w:tcPr>
            <w:tcW w:w="5529" w:type="dxa"/>
            <w:hideMark/>
          </w:tcPr>
          <w:p w14:paraId="4FEAD098" w14:textId="77777777" w:rsidR="007070AC" w:rsidRPr="002140B3" w:rsidRDefault="007070AC" w:rsidP="00595E14">
            <w:pPr>
              <w:tabs>
                <w:tab w:val="left" w:pos="720"/>
              </w:tabs>
              <w:spacing w:before="60" w:after="60"/>
              <w:rPr>
                <w:rFonts w:cs="Calibri"/>
                <w:szCs w:val="24"/>
                <w:lang w:eastAsia="en-GB"/>
              </w:rPr>
            </w:pPr>
            <w:r w:rsidRPr="002140B3">
              <w:rPr>
                <w:rFonts w:cs="Calibri"/>
                <w:kern w:val="24"/>
                <w:szCs w:val="24"/>
                <w:lang w:val="en-US" w:eastAsia="en-GB"/>
              </w:rPr>
              <w:t>Approx. 15’000 sqm (Similar to the one it will replace)</w:t>
            </w:r>
          </w:p>
        </w:tc>
      </w:tr>
    </w:tbl>
    <w:p w14:paraId="0AD9C960" w14:textId="77777777" w:rsidR="007070AC" w:rsidRPr="002140B3" w:rsidRDefault="007070AC" w:rsidP="007070AC">
      <w:pPr>
        <w:rPr>
          <w:rFonts w:cs="Calibri"/>
          <w:szCs w:val="24"/>
        </w:rPr>
      </w:pPr>
    </w:p>
    <w:tbl>
      <w:tblPr>
        <w:tblStyle w:val="TableGrid"/>
        <w:tblW w:w="8364" w:type="dxa"/>
        <w:tblInd w:w="1129" w:type="dxa"/>
        <w:tblLook w:val="0420" w:firstRow="1" w:lastRow="0" w:firstColumn="0" w:lastColumn="0" w:noHBand="0" w:noVBand="1"/>
      </w:tblPr>
      <w:tblGrid>
        <w:gridCol w:w="2835"/>
        <w:gridCol w:w="5529"/>
      </w:tblGrid>
      <w:tr w:rsidR="007070AC" w:rsidRPr="002140B3" w14:paraId="40878720" w14:textId="77777777" w:rsidTr="00595E14">
        <w:trPr>
          <w:trHeight w:val="47"/>
        </w:trPr>
        <w:tc>
          <w:tcPr>
            <w:tcW w:w="8364" w:type="dxa"/>
            <w:gridSpan w:val="2"/>
            <w:hideMark/>
          </w:tcPr>
          <w:p w14:paraId="600F283D" w14:textId="77777777" w:rsidR="007070AC" w:rsidRPr="002140B3" w:rsidRDefault="007070AC" w:rsidP="00595E14">
            <w:pPr>
              <w:spacing w:line="259" w:lineRule="auto"/>
              <w:contextualSpacing/>
              <w:jc w:val="center"/>
              <w:rPr>
                <w:rFonts w:cs="Calibri"/>
                <w:szCs w:val="24"/>
              </w:rPr>
            </w:pPr>
            <w:r w:rsidRPr="002140B3">
              <w:rPr>
                <w:rFonts w:cs="Calibri"/>
                <w:b/>
                <w:bCs/>
                <w:szCs w:val="24"/>
                <w:lang w:val="en-US"/>
              </w:rPr>
              <w:t>Alternative Reassessed Project Milestones</w:t>
            </w:r>
          </w:p>
        </w:tc>
      </w:tr>
      <w:tr w:rsidR="007070AC" w:rsidRPr="002140B3" w14:paraId="1CFB8CA5" w14:textId="77777777" w:rsidTr="00595E14">
        <w:trPr>
          <w:trHeight w:val="55"/>
        </w:trPr>
        <w:tc>
          <w:tcPr>
            <w:tcW w:w="2835" w:type="dxa"/>
            <w:hideMark/>
          </w:tcPr>
          <w:p w14:paraId="2A579DBC" w14:textId="77777777" w:rsidR="007070AC" w:rsidRPr="002140B3" w:rsidRDefault="007070AC" w:rsidP="00595E14">
            <w:pPr>
              <w:spacing w:line="259" w:lineRule="auto"/>
              <w:ind w:hanging="4"/>
              <w:contextualSpacing/>
              <w:rPr>
                <w:rFonts w:cs="Calibri"/>
                <w:b/>
                <w:bCs/>
                <w:szCs w:val="24"/>
              </w:rPr>
            </w:pPr>
            <w:r w:rsidRPr="002140B3">
              <w:rPr>
                <w:rFonts w:cs="Calibri"/>
                <w:b/>
                <w:bCs/>
                <w:szCs w:val="24"/>
                <w:lang w:val="en-US"/>
              </w:rPr>
              <w:t>Planning and design</w:t>
            </w:r>
          </w:p>
        </w:tc>
        <w:tc>
          <w:tcPr>
            <w:tcW w:w="5529" w:type="dxa"/>
            <w:hideMark/>
          </w:tcPr>
          <w:p w14:paraId="7E4AF73B" w14:textId="77777777" w:rsidR="007070AC" w:rsidRPr="002140B3" w:rsidRDefault="007070AC" w:rsidP="00595E14">
            <w:pPr>
              <w:spacing w:line="259" w:lineRule="auto"/>
              <w:contextualSpacing/>
              <w:jc w:val="center"/>
              <w:rPr>
                <w:rFonts w:cs="Calibri"/>
                <w:szCs w:val="24"/>
              </w:rPr>
            </w:pPr>
            <w:r w:rsidRPr="002140B3">
              <w:rPr>
                <w:rFonts w:cs="Calibri"/>
                <w:szCs w:val="24"/>
                <w:lang w:val="en-US"/>
              </w:rPr>
              <w:t>2024-2026</w:t>
            </w:r>
          </w:p>
        </w:tc>
      </w:tr>
      <w:tr w:rsidR="007070AC" w:rsidRPr="002140B3" w14:paraId="586CCA9A" w14:textId="77777777" w:rsidTr="00595E14">
        <w:trPr>
          <w:trHeight w:val="47"/>
        </w:trPr>
        <w:tc>
          <w:tcPr>
            <w:tcW w:w="2835" w:type="dxa"/>
            <w:hideMark/>
          </w:tcPr>
          <w:p w14:paraId="794F534E" w14:textId="77777777" w:rsidR="007070AC" w:rsidRPr="002140B3" w:rsidRDefault="007070AC" w:rsidP="00595E14">
            <w:pPr>
              <w:spacing w:line="259" w:lineRule="auto"/>
              <w:ind w:hanging="4"/>
              <w:contextualSpacing/>
              <w:rPr>
                <w:rFonts w:cs="Calibri"/>
                <w:b/>
                <w:bCs/>
                <w:szCs w:val="24"/>
              </w:rPr>
            </w:pPr>
            <w:r w:rsidRPr="002140B3">
              <w:rPr>
                <w:rFonts w:cs="Calibri"/>
                <w:b/>
                <w:bCs/>
                <w:szCs w:val="24"/>
                <w:lang w:val="en-US"/>
              </w:rPr>
              <w:t>Tender and Contact </w:t>
            </w:r>
          </w:p>
        </w:tc>
        <w:tc>
          <w:tcPr>
            <w:tcW w:w="5529" w:type="dxa"/>
            <w:hideMark/>
          </w:tcPr>
          <w:p w14:paraId="733BCE78" w14:textId="77777777" w:rsidR="007070AC" w:rsidRPr="002140B3" w:rsidRDefault="007070AC" w:rsidP="00595E14">
            <w:pPr>
              <w:spacing w:line="259" w:lineRule="auto"/>
              <w:contextualSpacing/>
              <w:jc w:val="center"/>
              <w:rPr>
                <w:rFonts w:cs="Calibri"/>
                <w:szCs w:val="24"/>
              </w:rPr>
            </w:pPr>
            <w:r w:rsidRPr="002140B3">
              <w:rPr>
                <w:rFonts w:cs="Calibri"/>
                <w:szCs w:val="24"/>
                <w:lang w:val="en-US"/>
              </w:rPr>
              <w:t>2027</w:t>
            </w:r>
          </w:p>
        </w:tc>
      </w:tr>
      <w:tr w:rsidR="007070AC" w:rsidRPr="002140B3" w14:paraId="41010B03" w14:textId="77777777" w:rsidTr="00595E14">
        <w:trPr>
          <w:trHeight w:val="47"/>
        </w:trPr>
        <w:tc>
          <w:tcPr>
            <w:tcW w:w="2835" w:type="dxa"/>
            <w:hideMark/>
          </w:tcPr>
          <w:p w14:paraId="60A55D45" w14:textId="77777777" w:rsidR="007070AC" w:rsidRPr="002140B3" w:rsidRDefault="007070AC" w:rsidP="00595E14">
            <w:pPr>
              <w:spacing w:line="259" w:lineRule="auto"/>
              <w:ind w:hanging="4"/>
              <w:contextualSpacing/>
              <w:rPr>
                <w:rFonts w:cs="Calibri"/>
                <w:b/>
                <w:bCs/>
                <w:szCs w:val="24"/>
              </w:rPr>
            </w:pPr>
            <w:r w:rsidRPr="002140B3">
              <w:rPr>
                <w:rFonts w:cs="Calibri"/>
                <w:b/>
                <w:bCs/>
                <w:szCs w:val="24"/>
                <w:lang w:val="en-US"/>
              </w:rPr>
              <w:t>Permit and Execution</w:t>
            </w:r>
          </w:p>
        </w:tc>
        <w:tc>
          <w:tcPr>
            <w:tcW w:w="5529" w:type="dxa"/>
            <w:hideMark/>
          </w:tcPr>
          <w:p w14:paraId="42F80C6A" w14:textId="77777777" w:rsidR="007070AC" w:rsidRPr="002140B3" w:rsidRDefault="007070AC" w:rsidP="00595E14">
            <w:pPr>
              <w:spacing w:line="259" w:lineRule="auto"/>
              <w:contextualSpacing/>
              <w:jc w:val="center"/>
              <w:rPr>
                <w:rFonts w:cs="Calibri"/>
                <w:szCs w:val="24"/>
              </w:rPr>
            </w:pPr>
            <w:r w:rsidRPr="002140B3">
              <w:rPr>
                <w:rFonts w:cs="Calibri"/>
                <w:szCs w:val="24"/>
                <w:lang w:val="en-US"/>
              </w:rPr>
              <w:t>2028-2031</w:t>
            </w:r>
          </w:p>
        </w:tc>
      </w:tr>
      <w:tr w:rsidR="007070AC" w:rsidRPr="002140B3" w14:paraId="6883793E" w14:textId="77777777" w:rsidTr="00595E14">
        <w:trPr>
          <w:trHeight w:val="47"/>
        </w:trPr>
        <w:tc>
          <w:tcPr>
            <w:tcW w:w="2835" w:type="dxa"/>
            <w:hideMark/>
          </w:tcPr>
          <w:p w14:paraId="60103706" w14:textId="77777777" w:rsidR="007070AC" w:rsidRPr="002140B3" w:rsidRDefault="007070AC" w:rsidP="00595E14">
            <w:pPr>
              <w:spacing w:line="259" w:lineRule="auto"/>
              <w:ind w:hanging="4"/>
              <w:contextualSpacing/>
              <w:rPr>
                <w:rFonts w:cs="Calibri"/>
                <w:b/>
                <w:bCs/>
                <w:szCs w:val="24"/>
              </w:rPr>
            </w:pPr>
            <w:r w:rsidRPr="002140B3">
              <w:rPr>
                <w:rFonts w:cs="Calibri"/>
                <w:b/>
                <w:bCs/>
                <w:szCs w:val="24"/>
                <w:lang w:val="en-US"/>
              </w:rPr>
              <w:t>Handover</w:t>
            </w:r>
          </w:p>
        </w:tc>
        <w:tc>
          <w:tcPr>
            <w:tcW w:w="5529" w:type="dxa"/>
            <w:hideMark/>
          </w:tcPr>
          <w:p w14:paraId="691BBF36" w14:textId="77777777" w:rsidR="007070AC" w:rsidRPr="002140B3" w:rsidRDefault="007070AC" w:rsidP="00595E14">
            <w:pPr>
              <w:spacing w:line="259" w:lineRule="auto"/>
              <w:contextualSpacing/>
              <w:jc w:val="center"/>
              <w:rPr>
                <w:rFonts w:cs="Calibri"/>
                <w:szCs w:val="24"/>
              </w:rPr>
            </w:pPr>
            <w:r w:rsidRPr="002140B3">
              <w:rPr>
                <w:rFonts w:cs="Calibri"/>
                <w:szCs w:val="24"/>
                <w:lang w:val="en-US"/>
              </w:rPr>
              <w:t>2031</w:t>
            </w:r>
          </w:p>
        </w:tc>
      </w:tr>
    </w:tbl>
    <w:p w14:paraId="16CF3EAE" w14:textId="77777777" w:rsidR="007070AC" w:rsidRPr="002140B3" w:rsidRDefault="007070AC" w:rsidP="007070AC">
      <w:pPr>
        <w:ind w:left="1440"/>
        <w:contextualSpacing/>
        <w:rPr>
          <w:rFonts w:cs="Calibri"/>
          <w:szCs w:val="24"/>
          <w:lang w:val="en-CA"/>
        </w:rPr>
      </w:pPr>
    </w:p>
    <w:p w14:paraId="27A4560E" w14:textId="76DAD6E9"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liaise with the host country and take the necessary steps to repurpose the CHF</w:t>
      </w:r>
      <w:r w:rsidR="00030793">
        <w:rPr>
          <w:rFonts w:cs="Calibri"/>
          <w:szCs w:val="24"/>
          <w:lang w:val="en-CA"/>
        </w:rPr>
        <w:t> </w:t>
      </w:r>
      <w:r w:rsidRPr="002140B3">
        <w:rPr>
          <w:rFonts w:cs="Calibri"/>
          <w:szCs w:val="24"/>
          <w:lang w:val="en-CA"/>
        </w:rPr>
        <w:t>150M loan for the reassessed project;</w:t>
      </w:r>
    </w:p>
    <w:p w14:paraId="66861D71"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engage with sponsors and interested parties, with a view of keeping the committed sponsorships as outlined in Resolution 212 (e.g. noting d.), and finding mutually acceptable solutions to address the commitments that may not be possible to meet in the alternative reassessed project;</w:t>
      </w:r>
    </w:p>
    <w:p w14:paraId="42246765"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lastRenderedPageBreak/>
        <w:t>ensure the design and implementation of the reassessed project meets the needs of the Union by providing the MSAG with the information necessary to:</w:t>
      </w:r>
    </w:p>
    <w:p w14:paraId="099F6463" w14:textId="77777777" w:rsidR="007070AC" w:rsidRPr="002140B3" w:rsidRDefault="007070AC" w:rsidP="007070AC">
      <w:pPr>
        <w:numPr>
          <w:ilvl w:val="2"/>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provide general advice and recommendations on the implementation of the project, with the aim of ensuring adherence to timeline and budget (not to exceed CHF 172.69M);</w:t>
      </w:r>
    </w:p>
    <w:p w14:paraId="42DAE383" w14:textId="77777777" w:rsidR="007070AC" w:rsidRPr="002140B3" w:rsidRDefault="007070AC" w:rsidP="007070AC">
      <w:pPr>
        <w:numPr>
          <w:ilvl w:val="2"/>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provide guidance regarding any funding changes as a result of cost fluctuations, savings, or any eventual additional sponsorship or donation; and</w:t>
      </w:r>
    </w:p>
    <w:p w14:paraId="6256DF3F" w14:textId="77777777" w:rsidR="007070AC" w:rsidRPr="002140B3" w:rsidRDefault="007070AC" w:rsidP="007070AC">
      <w:pPr>
        <w:numPr>
          <w:ilvl w:val="2"/>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provide guidance on engagement with sponsors and interested parties.</w:t>
      </w:r>
    </w:p>
    <w:p w14:paraId="39BF58BE"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[Provide a status update to the MSAG by December 2024 regarding the statement of work, which will include design requirements and design concept, while being consistent with procurement rules; and]</w:t>
      </w:r>
    </w:p>
    <w:p w14:paraId="7CBC373A"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 xml:space="preserve">Continue consultation with the MSAG throughout the duration of the design and build process, while being consistent with procurement rules. </w:t>
      </w:r>
    </w:p>
    <w:p w14:paraId="5B9FB3D7" w14:textId="77777777" w:rsidR="007070AC" w:rsidRPr="002140B3" w:rsidRDefault="007070AC" w:rsidP="007070AC">
      <w:pPr>
        <w:numPr>
          <w:ilvl w:val="0"/>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 xml:space="preserve">Instruct the Secretary-General to develop an assessment and strategic plan, and provide an initial draft to the January 2025 CWG-FHR, on the long-term vision of the entire ITU Geneva campus, considering, at a minimum, the following factors: </w:t>
      </w:r>
    </w:p>
    <w:p w14:paraId="18C31E0B"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overall financial impact and sustainability of the ITU Geneva campus;</w:t>
      </w:r>
    </w:p>
    <w:p w14:paraId="106444CC"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safety and security requirements;</w:t>
      </w:r>
    </w:p>
    <w:p w14:paraId="71AFED72"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management and operational requirements;</w:t>
      </w:r>
    </w:p>
    <w:p w14:paraId="0535161E"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optimizing usage of all facilities;</w:t>
      </w:r>
    </w:p>
    <w:p w14:paraId="609E3F5C"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ensuring business continuity;</w:t>
      </w:r>
    </w:p>
    <w:p w14:paraId="31F18AAF"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 xml:space="preserve">include allocation of the regular budget for maintenance for the entire </w:t>
      </w:r>
      <w:r w:rsidRPr="002140B3">
        <w:rPr>
          <w:rFonts w:cs="Calibri"/>
          <w:iCs/>
          <w:szCs w:val="24"/>
          <w:lang w:val="en-CA"/>
        </w:rPr>
        <w:t xml:space="preserve">ITU </w:t>
      </w:r>
      <w:r w:rsidRPr="002140B3">
        <w:rPr>
          <w:rFonts w:cs="Calibri"/>
          <w:szCs w:val="24"/>
          <w:lang w:val="en-CA"/>
        </w:rPr>
        <w:t>Geneva campus;</w:t>
      </w:r>
    </w:p>
    <w:p w14:paraId="1A622262"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staff working flexibility (i.e. hybrid working arrangements);</w:t>
      </w:r>
    </w:p>
    <w:p w14:paraId="41CDD607"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338"/>
        <w:jc w:val="both"/>
        <w:textAlignment w:val="auto"/>
        <w:rPr>
          <w:rFonts w:cs="Calibri"/>
          <w:szCs w:val="24"/>
          <w:lang w:val="en-CA"/>
        </w:rPr>
      </w:pPr>
      <w:r w:rsidRPr="002140B3">
        <w:rPr>
          <w:rFonts w:cs="Calibri"/>
          <w:szCs w:val="24"/>
          <w:lang w:val="en-CA"/>
        </w:rPr>
        <w:t>options for alternative venues for ITU meetings outside of the ITU Geneva campus; and</w:t>
      </w:r>
    </w:p>
    <w:p w14:paraId="1098AEE0" w14:textId="77777777" w:rsidR="007070AC" w:rsidRPr="002140B3" w:rsidRDefault="007070AC" w:rsidP="007070AC">
      <w:pPr>
        <w:numPr>
          <w:ilvl w:val="1"/>
          <w:numId w:val="39"/>
        </w:numPr>
        <w:tabs>
          <w:tab w:val="clear" w:pos="567"/>
          <w:tab w:val="clear" w:pos="1134"/>
          <w:tab w:val="clear" w:pos="1701"/>
          <w:tab w:val="clear" w:pos="2268"/>
          <w:tab w:val="clear" w:pos="2835"/>
        </w:tabs>
        <w:overflowPunct/>
        <w:autoSpaceDE/>
        <w:autoSpaceDN/>
        <w:adjustRightInd/>
        <w:spacing w:before="0" w:after="120" w:line="259" w:lineRule="auto"/>
        <w:ind w:left="1418" w:hanging="284"/>
        <w:jc w:val="both"/>
        <w:textAlignment w:val="auto"/>
        <w:rPr>
          <w:rFonts w:cs="Calibri"/>
          <w:szCs w:val="24"/>
          <w:lang w:val="en-CA"/>
        </w:rPr>
      </w:pPr>
      <w:r w:rsidRPr="002140B3">
        <w:rPr>
          <w:rFonts w:cs="Calibri"/>
          <w:szCs w:val="24"/>
          <w:lang w:val="en-CA"/>
        </w:rPr>
        <w:t>liaise with the Strategic Plan and Financial Plan Working group.</w:t>
      </w:r>
    </w:p>
    <w:p w14:paraId="4C79832B" w14:textId="77777777" w:rsidR="007070AC" w:rsidRPr="002140B3" w:rsidRDefault="007070AC" w:rsidP="007070AC">
      <w:pPr>
        <w:numPr>
          <w:ilvl w:val="0"/>
          <w:numId w:val="39"/>
        </w:num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cs="Calibri"/>
          <w:szCs w:val="24"/>
          <w:lang w:val="en-CA"/>
        </w:rPr>
      </w:pPr>
      <w:r w:rsidRPr="002140B3">
        <w:rPr>
          <w:rFonts w:cs="Calibri"/>
          <w:szCs w:val="24"/>
          <w:lang w:val="en-CA"/>
        </w:rPr>
        <w:t xml:space="preserve">Instruct the Secretary-General to provide all reports on the implementation of 1 and 2 to internal and external ITU oversight entities and Member States. </w:t>
      </w:r>
    </w:p>
    <w:p w14:paraId="6CA9E082" w14:textId="5193F4B4" w:rsidR="007070AC" w:rsidRPr="002140B3" w:rsidRDefault="007070AC" w:rsidP="007070AC">
      <w:pPr>
        <w:numPr>
          <w:ilvl w:val="0"/>
          <w:numId w:val="39"/>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cs="Calibri"/>
          <w:szCs w:val="24"/>
          <w:lang w:val="en-CA"/>
        </w:rPr>
      </w:pPr>
      <w:r w:rsidRPr="002140B3">
        <w:rPr>
          <w:rFonts w:cs="Calibri"/>
          <w:szCs w:val="24"/>
          <w:lang w:val="en-CA"/>
        </w:rPr>
        <w:t>Instruct the MSAG to update its Terms of Reference and provide timely updates and reports to the CWG-FHR.</w:t>
      </w:r>
    </w:p>
    <w:p w14:paraId="4C16DDE7" w14:textId="5AC7A5C4" w:rsidR="007070AC" w:rsidRPr="002140B3" w:rsidRDefault="007070AC" w:rsidP="00030793">
      <w:pPr>
        <w:spacing w:before="720"/>
        <w:jc w:val="center"/>
        <w:rPr>
          <w:rFonts w:cs="Calibri"/>
          <w:szCs w:val="24"/>
          <w:lang w:val="es-ES"/>
        </w:rPr>
      </w:pPr>
      <w:r w:rsidRPr="002140B3">
        <w:rPr>
          <w:rFonts w:cs="Calibri"/>
          <w:szCs w:val="24"/>
          <w:lang w:val="es-ES"/>
        </w:rPr>
        <w:t>______________</w:t>
      </w:r>
    </w:p>
    <w:sectPr w:rsidR="007070AC" w:rsidRPr="002140B3" w:rsidSect="000C41F4">
      <w:headerReference w:type="default" r:id="rId33"/>
      <w:footerReference w:type="default" r:id="rId34"/>
      <w:pgSz w:w="11907" w:h="16834"/>
      <w:pgMar w:top="709"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866D" w14:textId="77777777" w:rsidR="00E879A7" w:rsidRDefault="00E879A7">
      <w:r>
        <w:separator/>
      </w:r>
    </w:p>
  </w:endnote>
  <w:endnote w:type="continuationSeparator" w:id="0">
    <w:p w14:paraId="1943565F" w14:textId="77777777" w:rsidR="00E879A7" w:rsidRDefault="00E879A7">
      <w:r>
        <w:continuationSeparator/>
      </w:r>
    </w:p>
  </w:endnote>
  <w:endnote w:type="continuationNotice" w:id="1">
    <w:p w14:paraId="2E4D00FB" w14:textId="77777777" w:rsidR="00E879A7" w:rsidRDefault="00E879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545F7">
      <w:trPr>
        <w:jc w:val="center"/>
      </w:trPr>
      <w:tc>
        <w:tcPr>
          <w:tcW w:w="1803" w:type="dxa"/>
          <w:vAlign w:val="center"/>
        </w:tcPr>
        <w:p w14:paraId="727FD637" w14:textId="3FBE1890" w:rsidR="00EE49E8" w:rsidRDefault="00EE49E8" w:rsidP="00EE49E8">
          <w:pPr>
            <w:pStyle w:val="Header"/>
            <w:jc w:val="left"/>
            <w:rPr>
              <w:noProof/>
            </w:rPr>
          </w:pPr>
        </w:p>
      </w:tc>
      <w:tc>
        <w:tcPr>
          <w:tcW w:w="8261" w:type="dxa"/>
        </w:tcPr>
        <w:p w14:paraId="2D49E76E" w14:textId="2AA38C3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660FE6">
            <w:rPr>
              <w:bCs/>
            </w:rPr>
            <w:t>50</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877E1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2F00CDF" w:rsidR="00EE49E8" w:rsidRPr="00E06FD5" w:rsidRDefault="00EE49E8" w:rsidP="00F6320B">
          <w:pPr>
            <w:pStyle w:val="Header"/>
            <w:tabs>
              <w:tab w:val="left" w:pos="6175"/>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660FE6">
            <w:rPr>
              <w:bCs/>
            </w:rPr>
            <w:t>50</w:t>
          </w:r>
          <w:r w:rsidR="007070AC">
            <w:rPr>
              <w:bCs/>
            </w:rPr>
            <w:t xml:space="preserve"> (Add.1)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B34C5" w:rsidRPr="00784011" w14:paraId="77716559" w14:textId="77777777" w:rsidTr="004545F7">
      <w:trPr>
        <w:jc w:val="center"/>
      </w:trPr>
      <w:tc>
        <w:tcPr>
          <w:tcW w:w="1803" w:type="dxa"/>
          <w:vAlign w:val="center"/>
        </w:tcPr>
        <w:p w14:paraId="53A4D673" w14:textId="77777777" w:rsidR="002B34C5" w:rsidRDefault="002B34C5" w:rsidP="00EE49E8">
          <w:pPr>
            <w:pStyle w:val="Header"/>
            <w:jc w:val="left"/>
            <w:rPr>
              <w:noProof/>
            </w:rPr>
          </w:pPr>
        </w:p>
      </w:tc>
      <w:tc>
        <w:tcPr>
          <w:tcW w:w="8261" w:type="dxa"/>
        </w:tcPr>
        <w:p w14:paraId="75C3E692" w14:textId="2F0B5AAC" w:rsidR="002B34C5" w:rsidRPr="00E06FD5" w:rsidRDefault="002B34C5" w:rsidP="00F6320B">
          <w:pPr>
            <w:pStyle w:val="Header"/>
            <w:tabs>
              <w:tab w:val="left" w:pos="6175"/>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50</w:t>
          </w:r>
          <w:r w:rsidR="00D03200">
            <w:rPr>
              <w:bCs/>
            </w:rPr>
            <w:t xml:space="preserve"> (Add.1)</w:t>
          </w:r>
          <w:r w:rsidRPr="00623AE3">
            <w:rPr>
              <w:bCs/>
            </w:rPr>
            <w:t>-E</w:t>
          </w:r>
          <w:r>
            <w:rPr>
              <w:bCs/>
            </w:rPr>
            <w:tab/>
          </w:r>
          <w:r>
            <w:fldChar w:fldCharType="begin"/>
          </w:r>
          <w:r>
            <w:instrText>PAGE</w:instrText>
          </w:r>
          <w:r>
            <w:fldChar w:fldCharType="separate"/>
          </w:r>
          <w:r>
            <w:t>1</w:t>
          </w:r>
          <w:r>
            <w:rPr>
              <w:noProof/>
            </w:rPr>
            <w:fldChar w:fldCharType="end"/>
          </w:r>
        </w:p>
      </w:tc>
    </w:tr>
  </w:tbl>
  <w:p w14:paraId="544A0057" w14:textId="77777777" w:rsidR="002B34C5" w:rsidRPr="00DB1936" w:rsidRDefault="002B34C5" w:rsidP="002B34C5">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460F" w14:textId="77777777" w:rsidR="00E879A7" w:rsidRDefault="00E879A7">
      <w:r>
        <w:t>____________________</w:t>
      </w:r>
    </w:p>
  </w:footnote>
  <w:footnote w:type="continuationSeparator" w:id="0">
    <w:p w14:paraId="66F4A2BE" w14:textId="77777777" w:rsidR="00E879A7" w:rsidRDefault="00E879A7">
      <w:r>
        <w:continuationSeparator/>
      </w:r>
    </w:p>
  </w:footnote>
  <w:footnote w:type="continuationNotice" w:id="1">
    <w:p w14:paraId="6B2C6A67" w14:textId="77777777" w:rsidR="00E879A7" w:rsidRDefault="00E879A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4545F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40423983">
                <wp:extent cx="2369820" cy="558297"/>
                <wp:effectExtent l="0" t="0" r="0" b="0"/>
                <wp:docPr id="2056328195"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5E71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EC86" w14:textId="77777777" w:rsidR="002B34C5" w:rsidRDefault="002B3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66801"/>
    <w:multiLevelType w:val="hybridMultilevel"/>
    <w:tmpl w:val="725A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87FF7"/>
    <w:multiLevelType w:val="hybridMultilevel"/>
    <w:tmpl w:val="A28AF5FC"/>
    <w:lvl w:ilvl="0" w:tplc="51EC497C">
      <w:start w:val="1"/>
      <w:numFmt w:val="bullet"/>
      <w:lvlText w:val=""/>
      <w:lvlJc w:val="left"/>
      <w:pPr>
        <w:ind w:left="720" w:hanging="360"/>
      </w:pPr>
      <w:rPr>
        <w:rFonts w:ascii="Symbol" w:hAnsi="Symbol" w:hint="default"/>
      </w:rPr>
    </w:lvl>
    <w:lvl w:ilvl="1" w:tplc="774E7D9C">
      <w:start w:val="1"/>
      <w:numFmt w:val="bullet"/>
      <w:lvlText w:val="o"/>
      <w:lvlJc w:val="left"/>
      <w:pPr>
        <w:ind w:left="1440" w:hanging="360"/>
      </w:pPr>
      <w:rPr>
        <w:rFonts w:ascii="Courier New" w:hAnsi="Courier New" w:hint="default"/>
      </w:rPr>
    </w:lvl>
    <w:lvl w:ilvl="2" w:tplc="4AA2A2EC">
      <w:start w:val="1"/>
      <w:numFmt w:val="bullet"/>
      <w:lvlText w:val=""/>
      <w:lvlJc w:val="left"/>
      <w:pPr>
        <w:ind w:left="2160" w:hanging="360"/>
      </w:pPr>
      <w:rPr>
        <w:rFonts w:ascii="Wingdings" w:hAnsi="Wingdings" w:hint="default"/>
      </w:rPr>
    </w:lvl>
    <w:lvl w:ilvl="3" w:tplc="DEBC4E80">
      <w:start w:val="1"/>
      <w:numFmt w:val="bullet"/>
      <w:lvlText w:val=""/>
      <w:lvlJc w:val="left"/>
      <w:pPr>
        <w:ind w:left="2880" w:hanging="360"/>
      </w:pPr>
      <w:rPr>
        <w:rFonts w:ascii="Symbol" w:hAnsi="Symbol" w:hint="default"/>
      </w:rPr>
    </w:lvl>
    <w:lvl w:ilvl="4" w:tplc="1E866B08">
      <w:start w:val="1"/>
      <w:numFmt w:val="bullet"/>
      <w:lvlText w:val="o"/>
      <w:lvlJc w:val="left"/>
      <w:pPr>
        <w:ind w:left="3600" w:hanging="360"/>
      </w:pPr>
      <w:rPr>
        <w:rFonts w:ascii="Courier New" w:hAnsi="Courier New" w:hint="default"/>
      </w:rPr>
    </w:lvl>
    <w:lvl w:ilvl="5" w:tplc="9A46D4CA">
      <w:start w:val="1"/>
      <w:numFmt w:val="bullet"/>
      <w:lvlText w:val=""/>
      <w:lvlJc w:val="left"/>
      <w:pPr>
        <w:ind w:left="4320" w:hanging="360"/>
      </w:pPr>
      <w:rPr>
        <w:rFonts w:ascii="Wingdings" w:hAnsi="Wingdings" w:hint="default"/>
      </w:rPr>
    </w:lvl>
    <w:lvl w:ilvl="6" w:tplc="0B08926E">
      <w:start w:val="1"/>
      <w:numFmt w:val="bullet"/>
      <w:lvlText w:val=""/>
      <w:lvlJc w:val="left"/>
      <w:pPr>
        <w:ind w:left="5040" w:hanging="360"/>
      </w:pPr>
      <w:rPr>
        <w:rFonts w:ascii="Symbol" w:hAnsi="Symbol" w:hint="default"/>
      </w:rPr>
    </w:lvl>
    <w:lvl w:ilvl="7" w:tplc="F03CE336">
      <w:start w:val="1"/>
      <w:numFmt w:val="bullet"/>
      <w:lvlText w:val="o"/>
      <w:lvlJc w:val="left"/>
      <w:pPr>
        <w:ind w:left="5760" w:hanging="360"/>
      </w:pPr>
      <w:rPr>
        <w:rFonts w:ascii="Courier New" w:hAnsi="Courier New" w:hint="default"/>
      </w:rPr>
    </w:lvl>
    <w:lvl w:ilvl="8" w:tplc="1570A7AE">
      <w:start w:val="1"/>
      <w:numFmt w:val="bullet"/>
      <w:lvlText w:val=""/>
      <w:lvlJc w:val="left"/>
      <w:pPr>
        <w:ind w:left="6480" w:hanging="360"/>
      </w:pPr>
      <w:rPr>
        <w:rFonts w:ascii="Wingdings" w:hAnsi="Wingdings" w:hint="default"/>
      </w:rPr>
    </w:lvl>
  </w:abstractNum>
  <w:abstractNum w:abstractNumId="3" w15:restartNumberingAfterBreak="0">
    <w:nsid w:val="0BAD2384"/>
    <w:multiLevelType w:val="hybridMultilevel"/>
    <w:tmpl w:val="4332516E"/>
    <w:lvl w:ilvl="0" w:tplc="04090003">
      <w:start w:val="1"/>
      <w:numFmt w:val="bullet"/>
      <w:pStyle w:val="CEOIndent-bulletsBlueSquare"/>
      <w:lvlText w:val="o"/>
      <w:lvlJc w:val="left"/>
      <w:pPr>
        <w:tabs>
          <w:tab w:val="num" w:pos="927"/>
        </w:tabs>
        <w:ind w:left="927" w:hanging="360"/>
      </w:pPr>
      <w:rPr>
        <w:rFonts w:ascii="Courier New" w:hAnsi="Courier New" w:cs="Courier New"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E8063B"/>
    <w:multiLevelType w:val="hybridMultilevel"/>
    <w:tmpl w:val="F3ACB114"/>
    <w:lvl w:ilvl="0" w:tplc="F97A7B8A">
      <w:start w:val="1"/>
      <w:numFmt w:val="decimal"/>
      <w:lvlText w:val="%1."/>
      <w:lvlJc w:val="left"/>
      <w:pPr>
        <w:ind w:left="360" w:firstLine="0"/>
      </w:pPr>
      <w:rPr>
        <w:rFonts w:ascii="Times New Roman" w:hAnsi="Times New Roman" w:cs="Times New Roman" w:hint="default"/>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1CD15A0"/>
    <w:multiLevelType w:val="hybridMultilevel"/>
    <w:tmpl w:val="5BF07192"/>
    <w:lvl w:ilvl="0" w:tplc="0409000F">
      <w:start w:val="1"/>
      <w:numFmt w:val="decimal"/>
      <w:lvlText w:val="%1."/>
      <w:lvlJc w:val="left"/>
      <w:pPr>
        <w:ind w:left="36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1D7278"/>
    <w:multiLevelType w:val="hybridMultilevel"/>
    <w:tmpl w:val="E21038F2"/>
    <w:lvl w:ilvl="0" w:tplc="00F63CC4">
      <w:start w:val="1"/>
      <w:numFmt w:val="bullet"/>
      <w:lvlText w:val=""/>
      <w:lvlJc w:val="left"/>
      <w:pPr>
        <w:ind w:left="360" w:hanging="360"/>
      </w:pPr>
      <w:rPr>
        <w:rFonts w:ascii="Symbol" w:hAnsi="Symbol" w:hint="default"/>
      </w:rPr>
    </w:lvl>
    <w:lvl w:ilvl="1" w:tplc="95509D8C">
      <w:start w:val="1"/>
      <w:numFmt w:val="bullet"/>
      <w:lvlText w:val="o"/>
      <w:lvlJc w:val="left"/>
      <w:pPr>
        <w:ind w:left="1080" w:hanging="360"/>
      </w:pPr>
      <w:rPr>
        <w:rFonts w:ascii="Courier New" w:hAnsi="Courier New" w:hint="default"/>
      </w:rPr>
    </w:lvl>
    <w:lvl w:ilvl="2" w:tplc="9E28FC3A">
      <w:start w:val="1"/>
      <w:numFmt w:val="bullet"/>
      <w:lvlText w:val=""/>
      <w:lvlJc w:val="left"/>
      <w:pPr>
        <w:ind w:left="1800" w:hanging="360"/>
      </w:pPr>
      <w:rPr>
        <w:rFonts w:ascii="Wingdings" w:hAnsi="Wingdings" w:hint="default"/>
      </w:rPr>
    </w:lvl>
    <w:lvl w:ilvl="3" w:tplc="CB948208">
      <w:start w:val="1"/>
      <w:numFmt w:val="bullet"/>
      <w:lvlText w:val=""/>
      <w:lvlJc w:val="left"/>
      <w:pPr>
        <w:ind w:left="2520" w:hanging="360"/>
      </w:pPr>
      <w:rPr>
        <w:rFonts w:ascii="Symbol" w:hAnsi="Symbol" w:hint="default"/>
      </w:rPr>
    </w:lvl>
    <w:lvl w:ilvl="4" w:tplc="14DC8192">
      <w:start w:val="1"/>
      <w:numFmt w:val="bullet"/>
      <w:lvlText w:val="o"/>
      <w:lvlJc w:val="left"/>
      <w:pPr>
        <w:ind w:left="3240" w:hanging="360"/>
      </w:pPr>
      <w:rPr>
        <w:rFonts w:ascii="Courier New" w:hAnsi="Courier New" w:hint="default"/>
      </w:rPr>
    </w:lvl>
    <w:lvl w:ilvl="5" w:tplc="640452C4">
      <w:start w:val="1"/>
      <w:numFmt w:val="bullet"/>
      <w:lvlText w:val=""/>
      <w:lvlJc w:val="left"/>
      <w:pPr>
        <w:ind w:left="3960" w:hanging="360"/>
      </w:pPr>
      <w:rPr>
        <w:rFonts w:ascii="Wingdings" w:hAnsi="Wingdings" w:hint="default"/>
      </w:rPr>
    </w:lvl>
    <w:lvl w:ilvl="6" w:tplc="B94653DE">
      <w:start w:val="1"/>
      <w:numFmt w:val="bullet"/>
      <w:lvlText w:val=""/>
      <w:lvlJc w:val="left"/>
      <w:pPr>
        <w:ind w:left="4680" w:hanging="360"/>
      </w:pPr>
      <w:rPr>
        <w:rFonts w:ascii="Symbol" w:hAnsi="Symbol" w:hint="default"/>
      </w:rPr>
    </w:lvl>
    <w:lvl w:ilvl="7" w:tplc="0280571E">
      <w:start w:val="1"/>
      <w:numFmt w:val="bullet"/>
      <w:lvlText w:val="o"/>
      <w:lvlJc w:val="left"/>
      <w:pPr>
        <w:ind w:left="5400" w:hanging="360"/>
      </w:pPr>
      <w:rPr>
        <w:rFonts w:ascii="Courier New" w:hAnsi="Courier New" w:hint="default"/>
      </w:rPr>
    </w:lvl>
    <w:lvl w:ilvl="8" w:tplc="9BFA731A">
      <w:start w:val="1"/>
      <w:numFmt w:val="bullet"/>
      <w:lvlText w:val=""/>
      <w:lvlJc w:val="left"/>
      <w:pPr>
        <w:ind w:left="6120" w:hanging="360"/>
      </w:pPr>
      <w:rPr>
        <w:rFonts w:ascii="Wingdings" w:hAnsi="Wingdings" w:hint="default"/>
      </w:rPr>
    </w:lvl>
  </w:abstractNum>
  <w:abstractNum w:abstractNumId="7" w15:restartNumberingAfterBreak="0">
    <w:nsid w:val="1F4D7B5A"/>
    <w:multiLevelType w:val="hybridMultilevel"/>
    <w:tmpl w:val="39B09A9A"/>
    <w:lvl w:ilvl="0" w:tplc="A67A30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83E38"/>
    <w:multiLevelType w:val="hybridMultilevel"/>
    <w:tmpl w:val="765E8D3A"/>
    <w:lvl w:ilvl="0" w:tplc="580A0013">
      <w:start w:val="1"/>
      <w:numFmt w:val="upperRoman"/>
      <w:lvlText w:val="%1."/>
      <w:lvlJc w:val="righ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9" w15:restartNumberingAfterBreak="0">
    <w:nsid w:val="23E41605"/>
    <w:multiLevelType w:val="hybridMultilevel"/>
    <w:tmpl w:val="E400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D2E29"/>
    <w:multiLevelType w:val="multilevel"/>
    <w:tmpl w:val="92704C3C"/>
    <w:lvl w:ilvl="0">
      <w:start w:val="1"/>
      <w:numFmt w:val="decimal"/>
      <w:lvlText w:val="%1."/>
      <w:lvlJc w:val="left"/>
      <w:pPr>
        <w:tabs>
          <w:tab w:val="num" w:pos="720"/>
        </w:tabs>
        <w:ind w:left="720" w:hanging="360"/>
      </w:pPr>
      <w:rPr>
        <w:rFonts w:ascii="Calibri" w:hAnsi="Calibri" w:cs="Calibr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067A0"/>
    <w:multiLevelType w:val="hybridMultilevel"/>
    <w:tmpl w:val="AD867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5D2BF6"/>
    <w:multiLevelType w:val="multilevel"/>
    <w:tmpl w:val="5E20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E10261"/>
    <w:multiLevelType w:val="hybridMultilevel"/>
    <w:tmpl w:val="0B66AAA2"/>
    <w:lvl w:ilvl="0" w:tplc="F68019E6">
      <w:start w:val="1"/>
      <w:numFmt w:val="lowerLetter"/>
      <w:lvlText w:val="%1)"/>
      <w:lvlJc w:val="left"/>
      <w:pPr>
        <w:ind w:left="925" w:hanging="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249E1"/>
    <w:multiLevelType w:val="multilevel"/>
    <w:tmpl w:val="FE92F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9505B0"/>
    <w:multiLevelType w:val="hybridMultilevel"/>
    <w:tmpl w:val="E03CEC5E"/>
    <w:lvl w:ilvl="0" w:tplc="95B85F26">
      <w:start w:val="1"/>
      <w:numFmt w:val="lowerLetter"/>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17"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06C06"/>
    <w:multiLevelType w:val="hybridMultilevel"/>
    <w:tmpl w:val="3F368726"/>
    <w:lvl w:ilvl="0" w:tplc="BAC6F55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82605"/>
    <w:multiLevelType w:val="hybridMultilevel"/>
    <w:tmpl w:val="A85A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B1509"/>
    <w:multiLevelType w:val="hybridMultilevel"/>
    <w:tmpl w:val="82ACA94A"/>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87E6F"/>
    <w:multiLevelType w:val="multilevel"/>
    <w:tmpl w:val="6C30EAB6"/>
    <w:lvl w:ilvl="0">
      <w:start w:val="2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E620DB"/>
    <w:multiLevelType w:val="hybridMultilevel"/>
    <w:tmpl w:val="3B90631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F653D4"/>
    <w:multiLevelType w:val="hybridMultilevel"/>
    <w:tmpl w:val="64DA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150DC"/>
    <w:multiLevelType w:val="hybridMultilevel"/>
    <w:tmpl w:val="FF58A130"/>
    <w:lvl w:ilvl="0" w:tplc="CDDC1C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9F346E"/>
    <w:multiLevelType w:val="hybridMultilevel"/>
    <w:tmpl w:val="0206E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E4C6B7E">
      <w:numFmt w:val="bullet"/>
      <w:lvlText w:val="-"/>
      <w:lvlJc w:val="left"/>
      <w:pPr>
        <w:ind w:left="2880" w:hanging="720"/>
      </w:pPr>
      <w:rPr>
        <w:rFonts w:ascii="Arial" w:eastAsiaTheme="minorHAnsi"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7E5480"/>
    <w:multiLevelType w:val="multilevel"/>
    <w:tmpl w:val="EB8C1176"/>
    <w:lvl w:ilvl="0">
      <w:start w:val="2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B36AA0"/>
    <w:multiLevelType w:val="multilevel"/>
    <w:tmpl w:val="0E482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292F0B"/>
    <w:multiLevelType w:val="multilevel"/>
    <w:tmpl w:val="0E0A19B4"/>
    <w:lvl w:ilvl="0">
      <w:start w:val="1"/>
      <w:numFmt w:val="decimal"/>
      <w:lvlText w:val="%1"/>
      <w:lvlJc w:val="left"/>
      <w:pPr>
        <w:ind w:left="708" w:hanging="708"/>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22459D"/>
    <w:multiLevelType w:val="hybridMultilevel"/>
    <w:tmpl w:val="F9CA487A"/>
    <w:lvl w:ilvl="0" w:tplc="D5140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379929"/>
    <w:multiLevelType w:val="hybridMultilevel"/>
    <w:tmpl w:val="60C2922C"/>
    <w:lvl w:ilvl="0" w:tplc="42785546">
      <w:start w:val="1"/>
      <w:numFmt w:val="bullet"/>
      <w:lvlText w:val=""/>
      <w:lvlJc w:val="left"/>
      <w:pPr>
        <w:ind w:left="360" w:hanging="360"/>
      </w:pPr>
      <w:rPr>
        <w:rFonts w:ascii="Symbol" w:hAnsi="Symbol" w:hint="default"/>
      </w:rPr>
    </w:lvl>
    <w:lvl w:ilvl="1" w:tplc="D1D8D6D4">
      <w:start w:val="1"/>
      <w:numFmt w:val="bullet"/>
      <w:lvlText w:val="o"/>
      <w:lvlJc w:val="left"/>
      <w:pPr>
        <w:ind w:left="1080" w:hanging="360"/>
      </w:pPr>
      <w:rPr>
        <w:rFonts w:ascii="Courier New" w:hAnsi="Courier New" w:hint="default"/>
      </w:rPr>
    </w:lvl>
    <w:lvl w:ilvl="2" w:tplc="45C88F48">
      <w:start w:val="1"/>
      <w:numFmt w:val="bullet"/>
      <w:lvlText w:val=""/>
      <w:lvlJc w:val="left"/>
      <w:pPr>
        <w:ind w:left="1800" w:hanging="360"/>
      </w:pPr>
      <w:rPr>
        <w:rFonts w:ascii="Wingdings" w:hAnsi="Wingdings" w:hint="default"/>
      </w:rPr>
    </w:lvl>
    <w:lvl w:ilvl="3" w:tplc="2EFCCB7C">
      <w:start w:val="1"/>
      <w:numFmt w:val="bullet"/>
      <w:lvlText w:val=""/>
      <w:lvlJc w:val="left"/>
      <w:pPr>
        <w:ind w:left="2520" w:hanging="360"/>
      </w:pPr>
      <w:rPr>
        <w:rFonts w:ascii="Symbol" w:hAnsi="Symbol" w:hint="default"/>
      </w:rPr>
    </w:lvl>
    <w:lvl w:ilvl="4" w:tplc="F3D009AC">
      <w:start w:val="1"/>
      <w:numFmt w:val="bullet"/>
      <w:lvlText w:val="o"/>
      <w:lvlJc w:val="left"/>
      <w:pPr>
        <w:ind w:left="3240" w:hanging="360"/>
      </w:pPr>
      <w:rPr>
        <w:rFonts w:ascii="Courier New" w:hAnsi="Courier New" w:hint="default"/>
      </w:rPr>
    </w:lvl>
    <w:lvl w:ilvl="5" w:tplc="78BC5596">
      <w:start w:val="1"/>
      <w:numFmt w:val="bullet"/>
      <w:lvlText w:val=""/>
      <w:lvlJc w:val="left"/>
      <w:pPr>
        <w:ind w:left="3960" w:hanging="360"/>
      </w:pPr>
      <w:rPr>
        <w:rFonts w:ascii="Wingdings" w:hAnsi="Wingdings" w:hint="default"/>
      </w:rPr>
    </w:lvl>
    <w:lvl w:ilvl="6" w:tplc="CBF0414A">
      <w:start w:val="1"/>
      <w:numFmt w:val="bullet"/>
      <w:lvlText w:val=""/>
      <w:lvlJc w:val="left"/>
      <w:pPr>
        <w:ind w:left="4680" w:hanging="360"/>
      </w:pPr>
      <w:rPr>
        <w:rFonts w:ascii="Symbol" w:hAnsi="Symbol" w:hint="default"/>
      </w:rPr>
    </w:lvl>
    <w:lvl w:ilvl="7" w:tplc="210AF954">
      <w:start w:val="1"/>
      <w:numFmt w:val="bullet"/>
      <w:lvlText w:val="o"/>
      <w:lvlJc w:val="left"/>
      <w:pPr>
        <w:ind w:left="5400" w:hanging="360"/>
      </w:pPr>
      <w:rPr>
        <w:rFonts w:ascii="Courier New" w:hAnsi="Courier New" w:hint="default"/>
      </w:rPr>
    </w:lvl>
    <w:lvl w:ilvl="8" w:tplc="AFC23510">
      <w:start w:val="1"/>
      <w:numFmt w:val="bullet"/>
      <w:lvlText w:val=""/>
      <w:lvlJc w:val="left"/>
      <w:pPr>
        <w:ind w:left="6120" w:hanging="360"/>
      </w:pPr>
      <w:rPr>
        <w:rFonts w:ascii="Wingdings" w:hAnsi="Wingdings" w:hint="default"/>
      </w:rPr>
    </w:lvl>
  </w:abstractNum>
  <w:abstractNum w:abstractNumId="31" w15:restartNumberingAfterBreak="0">
    <w:nsid w:val="6FC05C97"/>
    <w:multiLevelType w:val="hybridMultilevel"/>
    <w:tmpl w:val="75DE3C1E"/>
    <w:lvl w:ilvl="0" w:tplc="BB6224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0B511CB"/>
    <w:multiLevelType w:val="hybridMultilevel"/>
    <w:tmpl w:val="298C5F8E"/>
    <w:lvl w:ilvl="0" w:tplc="29F289E2">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716D312A"/>
    <w:multiLevelType w:val="hybridMultilevel"/>
    <w:tmpl w:val="85D824FE"/>
    <w:lvl w:ilvl="0" w:tplc="0409000F">
      <w:start w:val="1"/>
      <w:numFmt w:val="decimal"/>
      <w:lvlText w:val="%1."/>
      <w:lvlJc w:val="left"/>
      <w:pPr>
        <w:ind w:left="36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934B87"/>
    <w:multiLevelType w:val="hybridMultilevel"/>
    <w:tmpl w:val="8EE6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A2931"/>
    <w:multiLevelType w:val="hybridMultilevel"/>
    <w:tmpl w:val="D38A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C11CD"/>
    <w:multiLevelType w:val="hybridMultilevel"/>
    <w:tmpl w:val="145E9AF4"/>
    <w:lvl w:ilvl="0" w:tplc="CF92A7C8">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F42358"/>
    <w:multiLevelType w:val="hybridMultilevel"/>
    <w:tmpl w:val="9E268156"/>
    <w:lvl w:ilvl="0" w:tplc="10F844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A7B43"/>
    <w:multiLevelType w:val="hybridMultilevel"/>
    <w:tmpl w:val="2A08EBEA"/>
    <w:lvl w:ilvl="0" w:tplc="F9AE478A">
      <w:start w:val="1"/>
      <w:numFmt w:val="bullet"/>
      <w:lvlText w:val=""/>
      <w:lvlJc w:val="left"/>
      <w:pPr>
        <w:ind w:left="360" w:hanging="360"/>
      </w:pPr>
      <w:rPr>
        <w:rFonts w:ascii="Symbol" w:hAnsi="Symbol" w:hint="default"/>
      </w:rPr>
    </w:lvl>
    <w:lvl w:ilvl="1" w:tplc="C6926388">
      <w:start w:val="1"/>
      <w:numFmt w:val="bullet"/>
      <w:lvlText w:val="o"/>
      <w:lvlJc w:val="left"/>
      <w:pPr>
        <w:ind w:left="1080" w:hanging="360"/>
      </w:pPr>
      <w:rPr>
        <w:rFonts w:ascii="Courier New" w:hAnsi="Courier New" w:hint="default"/>
      </w:rPr>
    </w:lvl>
    <w:lvl w:ilvl="2" w:tplc="C38C6D2A">
      <w:start w:val="1"/>
      <w:numFmt w:val="bullet"/>
      <w:lvlText w:val=""/>
      <w:lvlJc w:val="left"/>
      <w:pPr>
        <w:ind w:left="1800" w:hanging="360"/>
      </w:pPr>
      <w:rPr>
        <w:rFonts w:ascii="Wingdings" w:hAnsi="Wingdings" w:hint="default"/>
      </w:rPr>
    </w:lvl>
    <w:lvl w:ilvl="3" w:tplc="6B369640">
      <w:start w:val="1"/>
      <w:numFmt w:val="bullet"/>
      <w:lvlText w:val=""/>
      <w:lvlJc w:val="left"/>
      <w:pPr>
        <w:ind w:left="2520" w:hanging="360"/>
      </w:pPr>
      <w:rPr>
        <w:rFonts w:ascii="Symbol" w:hAnsi="Symbol" w:hint="default"/>
      </w:rPr>
    </w:lvl>
    <w:lvl w:ilvl="4" w:tplc="A498C9BE">
      <w:start w:val="1"/>
      <w:numFmt w:val="bullet"/>
      <w:lvlText w:val="o"/>
      <w:lvlJc w:val="left"/>
      <w:pPr>
        <w:ind w:left="3240" w:hanging="360"/>
      </w:pPr>
      <w:rPr>
        <w:rFonts w:ascii="Courier New" w:hAnsi="Courier New" w:hint="default"/>
      </w:rPr>
    </w:lvl>
    <w:lvl w:ilvl="5" w:tplc="17C8CB90">
      <w:start w:val="1"/>
      <w:numFmt w:val="bullet"/>
      <w:lvlText w:val=""/>
      <w:lvlJc w:val="left"/>
      <w:pPr>
        <w:ind w:left="3960" w:hanging="360"/>
      </w:pPr>
      <w:rPr>
        <w:rFonts w:ascii="Wingdings" w:hAnsi="Wingdings" w:hint="default"/>
      </w:rPr>
    </w:lvl>
    <w:lvl w:ilvl="6" w:tplc="DCBEEC08">
      <w:start w:val="1"/>
      <w:numFmt w:val="bullet"/>
      <w:lvlText w:val=""/>
      <w:lvlJc w:val="left"/>
      <w:pPr>
        <w:ind w:left="4680" w:hanging="360"/>
      </w:pPr>
      <w:rPr>
        <w:rFonts w:ascii="Symbol" w:hAnsi="Symbol" w:hint="default"/>
      </w:rPr>
    </w:lvl>
    <w:lvl w:ilvl="7" w:tplc="B1244298">
      <w:start w:val="1"/>
      <w:numFmt w:val="bullet"/>
      <w:lvlText w:val="o"/>
      <w:lvlJc w:val="left"/>
      <w:pPr>
        <w:ind w:left="5400" w:hanging="360"/>
      </w:pPr>
      <w:rPr>
        <w:rFonts w:ascii="Courier New" w:hAnsi="Courier New" w:hint="default"/>
      </w:rPr>
    </w:lvl>
    <w:lvl w:ilvl="8" w:tplc="161A3E1C">
      <w:start w:val="1"/>
      <w:numFmt w:val="bullet"/>
      <w:lvlText w:val=""/>
      <w:lvlJc w:val="left"/>
      <w:pPr>
        <w:ind w:left="6120" w:hanging="360"/>
      </w:pPr>
      <w:rPr>
        <w:rFonts w:ascii="Wingdings" w:hAnsi="Wingdings" w:hint="default"/>
      </w:rPr>
    </w:lvl>
  </w:abstractNum>
  <w:num w:numId="1" w16cid:durableId="1374816267">
    <w:abstractNumId w:val="0"/>
  </w:num>
  <w:num w:numId="2" w16cid:durableId="1302494249">
    <w:abstractNumId w:val="20"/>
  </w:num>
  <w:num w:numId="3" w16cid:durableId="111635533">
    <w:abstractNumId w:val="16"/>
  </w:num>
  <w:num w:numId="4" w16cid:durableId="268436393">
    <w:abstractNumId w:val="14"/>
  </w:num>
  <w:num w:numId="5" w16cid:durableId="12848682">
    <w:abstractNumId w:val="28"/>
  </w:num>
  <w:num w:numId="6" w16cid:durableId="425419052">
    <w:abstractNumId w:val="11"/>
  </w:num>
  <w:num w:numId="7" w16cid:durableId="568688191">
    <w:abstractNumId w:val="1"/>
  </w:num>
  <w:num w:numId="8" w16cid:durableId="114982901">
    <w:abstractNumId w:val="23"/>
  </w:num>
  <w:num w:numId="9" w16cid:durableId="113795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371012">
    <w:abstractNumId w:val="13"/>
  </w:num>
  <w:num w:numId="11" w16cid:durableId="101843404">
    <w:abstractNumId w:val="15"/>
  </w:num>
  <w:num w:numId="12" w16cid:durableId="1247805604">
    <w:abstractNumId w:val="9"/>
  </w:num>
  <w:num w:numId="13" w16cid:durableId="1876653714">
    <w:abstractNumId w:val="35"/>
  </w:num>
  <w:num w:numId="14" w16cid:durableId="361367869">
    <w:abstractNumId w:val="21"/>
  </w:num>
  <w:num w:numId="15" w16cid:durableId="942423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878922">
    <w:abstractNumId w:val="27"/>
  </w:num>
  <w:num w:numId="17" w16cid:durableId="864562377">
    <w:abstractNumId w:val="36"/>
  </w:num>
  <w:num w:numId="18" w16cid:durableId="1884440882">
    <w:abstractNumId w:val="3"/>
  </w:num>
  <w:num w:numId="19" w16cid:durableId="1798644857">
    <w:abstractNumId w:val="17"/>
  </w:num>
  <w:num w:numId="20" w16cid:durableId="618532504">
    <w:abstractNumId w:val="7"/>
  </w:num>
  <w:num w:numId="21" w16cid:durableId="1043745967">
    <w:abstractNumId w:val="25"/>
  </w:num>
  <w:num w:numId="22" w16cid:durableId="859664214">
    <w:abstractNumId w:val="32"/>
  </w:num>
  <w:num w:numId="23" w16cid:durableId="1127312869">
    <w:abstractNumId w:val="2"/>
  </w:num>
  <w:num w:numId="24" w16cid:durableId="2141537293">
    <w:abstractNumId w:val="30"/>
  </w:num>
  <w:num w:numId="25" w16cid:durableId="1773359094">
    <w:abstractNumId w:val="12"/>
  </w:num>
  <w:num w:numId="26" w16cid:durableId="1356224335">
    <w:abstractNumId w:val="34"/>
  </w:num>
  <w:num w:numId="27" w16cid:durableId="1655643231">
    <w:abstractNumId w:val="33"/>
  </w:num>
  <w:num w:numId="28" w16cid:durableId="1586569516">
    <w:abstractNumId w:val="19"/>
  </w:num>
  <w:num w:numId="29" w16cid:durableId="1274479309">
    <w:abstractNumId w:val="37"/>
  </w:num>
  <w:num w:numId="30" w16cid:durableId="516771056">
    <w:abstractNumId w:val="5"/>
  </w:num>
  <w:num w:numId="31" w16cid:durableId="1579515097">
    <w:abstractNumId w:val="38"/>
  </w:num>
  <w:num w:numId="32" w16cid:durableId="1359939070">
    <w:abstractNumId w:val="6"/>
  </w:num>
  <w:num w:numId="33" w16cid:durableId="79526620">
    <w:abstractNumId w:val="22"/>
  </w:num>
  <w:num w:numId="34" w16cid:durableId="714424236">
    <w:abstractNumId w:val="26"/>
  </w:num>
  <w:num w:numId="35" w16cid:durableId="100614961">
    <w:abstractNumId w:val="31"/>
  </w:num>
  <w:num w:numId="36" w16cid:durableId="1835955028">
    <w:abstractNumId w:val="4"/>
  </w:num>
  <w:num w:numId="37" w16cid:durableId="1560049664">
    <w:abstractNumId w:val="24"/>
  </w:num>
  <w:num w:numId="38" w16cid:durableId="1945526841">
    <w:abstractNumId w:val="29"/>
  </w:num>
  <w:num w:numId="39" w16cid:durableId="5398261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01CE"/>
    <w:rsid w:val="00002171"/>
    <w:rsid w:val="00017E96"/>
    <w:rsid w:val="000210D4"/>
    <w:rsid w:val="00025E30"/>
    <w:rsid w:val="00030793"/>
    <w:rsid w:val="00032151"/>
    <w:rsid w:val="0004698E"/>
    <w:rsid w:val="00050073"/>
    <w:rsid w:val="00063016"/>
    <w:rsid w:val="00066795"/>
    <w:rsid w:val="00076AF6"/>
    <w:rsid w:val="00080EBB"/>
    <w:rsid w:val="00085CF2"/>
    <w:rsid w:val="000870F5"/>
    <w:rsid w:val="00090164"/>
    <w:rsid w:val="0009062C"/>
    <w:rsid w:val="000A56A5"/>
    <w:rsid w:val="000A5DF6"/>
    <w:rsid w:val="000B1705"/>
    <w:rsid w:val="000B1EC0"/>
    <w:rsid w:val="000C31E5"/>
    <w:rsid w:val="000C41F4"/>
    <w:rsid w:val="000D75B2"/>
    <w:rsid w:val="000F4DBC"/>
    <w:rsid w:val="001121F5"/>
    <w:rsid w:val="00112429"/>
    <w:rsid w:val="001359EC"/>
    <w:rsid w:val="001400DC"/>
    <w:rsid w:val="00140CE1"/>
    <w:rsid w:val="0016606C"/>
    <w:rsid w:val="00174E13"/>
    <w:rsid w:val="0017539C"/>
    <w:rsid w:val="00175AC2"/>
    <w:rsid w:val="0017609F"/>
    <w:rsid w:val="001A7D1D"/>
    <w:rsid w:val="001B51DD"/>
    <w:rsid w:val="001C628E"/>
    <w:rsid w:val="001D5485"/>
    <w:rsid w:val="001E098D"/>
    <w:rsid w:val="001E0F7B"/>
    <w:rsid w:val="001F4F1B"/>
    <w:rsid w:val="001F75F4"/>
    <w:rsid w:val="002119FD"/>
    <w:rsid w:val="002130E0"/>
    <w:rsid w:val="002140B3"/>
    <w:rsid w:val="00216E44"/>
    <w:rsid w:val="00226CB1"/>
    <w:rsid w:val="00227788"/>
    <w:rsid w:val="00233B99"/>
    <w:rsid w:val="002361C0"/>
    <w:rsid w:val="00250ADC"/>
    <w:rsid w:val="00264425"/>
    <w:rsid w:val="00265875"/>
    <w:rsid w:val="0027303B"/>
    <w:rsid w:val="0028109B"/>
    <w:rsid w:val="0028663E"/>
    <w:rsid w:val="002A2188"/>
    <w:rsid w:val="002A4BA9"/>
    <w:rsid w:val="002A63F9"/>
    <w:rsid w:val="002B1F58"/>
    <w:rsid w:val="002B34C5"/>
    <w:rsid w:val="002C1C7A"/>
    <w:rsid w:val="002C54E2"/>
    <w:rsid w:val="002E4365"/>
    <w:rsid w:val="0030160F"/>
    <w:rsid w:val="00304C3B"/>
    <w:rsid w:val="00320223"/>
    <w:rsid w:val="00322D0D"/>
    <w:rsid w:val="003336E1"/>
    <w:rsid w:val="00344DF0"/>
    <w:rsid w:val="00345B39"/>
    <w:rsid w:val="00351FE9"/>
    <w:rsid w:val="00357881"/>
    <w:rsid w:val="00361465"/>
    <w:rsid w:val="003877F5"/>
    <w:rsid w:val="00393827"/>
    <w:rsid w:val="003942D4"/>
    <w:rsid w:val="003958A8"/>
    <w:rsid w:val="003A437B"/>
    <w:rsid w:val="003B0993"/>
    <w:rsid w:val="003C2533"/>
    <w:rsid w:val="003C523E"/>
    <w:rsid w:val="003D42C3"/>
    <w:rsid w:val="003D5A7F"/>
    <w:rsid w:val="00400DF9"/>
    <w:rsid w:val="004016E2"/>
    <w:rsid w:val="0040435A"/>
    <w:rsid w:val="0040765C"/>
    <w:rsid w:val="004123D1"/>
    <w:rsid w:val="00414720"/>
    <w:rsid w:val="0041694B"/>
    <w:rsid w:val="00416A24"/>
    <w:rsid w:val="00423D9F"/>
    <w:rsid w:val="00431D9E"/>
    <w:rsid w:val="00433CE8"/>
    <w:rsid w:val="00434A5C"/>
    <w:rsid w:val="00443849"/>
    <w:rsid w:val="00450E12"/>
    <w:rsid w:val="004544D9"/>
    <w:rsid w:val="004545F7"/>
    <w:rsid w:val="004559BB"/>
    <w:rsid w:val="00472BAD"/>
    <w:rsid w:val="00484009"/>
    <w:rsid w:val="00490E72"/>
    <w:rsid w:val="00491157"/>
    <w:rsid w:val="0049165E"/>
    <w:rsid w:val="004921C8"/>
    <w:rsid w:val="00495B0B"/>
    <w:rsid w:val="004A1B8B"/>
    <w:rsid w:val="004B3765"/>
    <w:rsid w:val="004D1851"/>
    <w:rsid w:val="004D599D"/>
    <w:rsid w:val="004E2EA5"/>
    <w:rsid w:val="004E3AEB"/>
    <w:rsid w:val="004E7470"/>
    <w:rsid w:val="0050223C"/>
    <w:rsid w:val="00510CCB"/>
    <w:rsid w:val="005243FF"/>
    <w:rsid w:val="00537929"/>
    <w:rsid w:val="00540073"/>
    <w:rsid w:val="00545FCB"/>
    <w:rsid w:val="00554126"/>
    <w:rsid w:val="00564FBC"/>
    <w:rsid w:val="0057535C"/>
    <w:rsid w:val="00576E05"/>
    <w:rsid w:val="005800BC"/>
    <w:rsid w:val="00580C64"/>
    <w:rsid w:val="00582442"/>
    <w:rsid w:val="00585D76"/>
    <w:rsid w:val="005A3A41"/>
    <w:rsid w:val="005A3F73"/>
    <w:rsid w:val="005B6BFC"/>
    <w:rsid w:val="005C1A8E"/>
    <w:rsid w:val="005C4421"/>
    <w:rsid w:val="005C517B"/>
    <w:rsid w:val="005C6351"/>
    <w:rsid w:val="005D6752"/>
    <w:rsid w:val="005F3269"/>
    <w:rsid w:val="0061060B"/>
    <w:rsid w:val="00623AE3"/>
    <w:rsid w:val="0062507C"/>
    <w:rsid w:val="0064737F"/>
    <w:rsid w:val="006535F1"/>
    <w:rsid w:val="0065557D"/>
    <w:rsid w:val="00660D50"/>
    <w:rsid w:val="00660FE6"/>
    <w:rsid w:val="00662984"/>
    <w:rsid w:val="006679B4"/>
    <w:rsid w:val="006716BB"/>
    <w:rsid w:val="00684F0C"/>
    <w:rsid w:val="006850BE"/>
    <w:rsid w:val="006929E6"/>
    <w:rsid w:val="006B1859"/>
    <w:rsid w:val="006B6680"/>
    <w:rsid w:val="006B6DCC"/>
    <w:rsid w:val="006C7D42"/>
    <w:rsid w:val="006D1398"/>
    <w:rsid w:val="006F7803"/>
    <w:rsid w:val="007016AE"/>
    <w:rsid w:val="00702DEF"/>
    <w:rsid w:val="00706861"/>
    <w:rsid w:val="007070AC"/>
    <w:rsid w:val="00711237"/>
    <w:rsid w:val="00712BA6"/>
    <w:rsid w:val="00713AB7"/>
    <w:rsid w:val="007148BC"/>
    <w:rsid w:val="0073065F"/>
    <w:rsid w:val="00733CE0"/>
    <w:rsid w:val="00734C0F"/>
    <w:rsid w:val="00737B9A"/>
    <w:rsid w:val="0075051B"/>
    <w:rsid w:val="00756C99"/>
    <w:rsid w:val="00760C56"/>
    <w:rsid w:val="00774F97"/>
    <w:rsid w:val="0078402F"/>
    <w:rsid w:val="00790A40"/>
    <w:rsid w:val="00793188"/>
    <w:rsid w:val="00794D34"/>
    <w:rsid w:val="00795FE9"/>
    <w:rsid w:val="007B0132"/>
    <w:rsid w:val="007B6BBB"/>
    <w:rsid w:val="007E5028"/>
    <w:rsid w:val="00813E5E"/>
    <w:rsid w:val="008143A5"/>
    <w:rsid w:val="0083581B"/>
    <w:rsid w:val="008467A3"/>
    <w:rsid w:val="00854476"/>
    <w:rsid w:val="00856DDD"/>
    <w:rsid w:val="00857453"/>
    <w:rsid w:val="00861F89"/>
    <w:rsid w:val="00863874"/>
    <w:rsid w:val="00864AFF"/>
    <w:rsid w:val="00865925"/>
    <w:rsid w:val="008659E4"/>
    <w:rsid w:val="00877E1A"/>
    <w:rsid w:val="008848FA"/>
    <w:rsid w:val="008B4A6A"/>
    <w:rsid w:val="008C2D09"/>
    <w:rsid w:val="008C7E27"/>
    <w:rsid w:val="008F7448"/>
    <w:rsid w:val="00900C93"/>
    <w:rsid w:val="0090146F"/>
    <w:rsid w:val="0090147A"/>
    <w:rsid w:val="00911F60"/>
    <w:rsid w:val="009173EF"/>
    <w:rsid w:val="00930AB5"/>
    <w:rsid w:val="00932906"/>
    <w:rsid w:val="00940BD7"/>
    <w:rsid w:val="00961B0B"/>
    <w:rsid w:val="00962D33"/>
    <w:rsid w:val="00963329"/>
    <w:rsid w:val="00970C3B"/>
    <w:rsid w:val="009A26B5"/>
    <w:rsid w:val="009A26F3"/>
    <w:rsid w:val="009A2887"/>
    <w:rsid w:val="009B38C3"/>
    <w:rsid w:val="009D36DD"/>
    <w:rsid w:val="009E17BD"/>
    <w:rsid w:val="009E485A"/>
    <w:rsid w:val="009F0F21"/>
    <w:rsid w:val="00A00A26"/>
    <w:rsid w:val="00A04CEC"/>
    <w:rsid w:val="00A06480"/>
    <w:rsid w:val="00A1065B"/>
    <w:rsid w:val="00A10A81"/>
    <w:rsid w:val="00A27588"/>
    <w:rsid w:val="00A27F92"/>
    <w:rsid w:val="00A31898"/>
    <w:rsid w:val="00A32257"/>
    <w:rsid w:val="00A36913"/>
    <w:rsid w:val="00A36D20"/>
    <w:rsid w:val="00A41E67"/>
    <w:rsid w:val="00A514A4"/>
    <w:rsid w:val="00A55622"/>
    <w:rsid w:val="00A83502"/>
    <w:rsid w:val="00A849AF"/>
    <w:rsid w:val="00A95F1A"/>
    <w:rsid w:val="00AC16A4"/>
    <w:rsid w:val="00AD15B3"/>
    <w:rsid w:val="00AD3606"/>
    <w:rsid w:val="00AD4A3D"/>
    <w:rsid w:val="00AE5F54"/>
    <w:rsid w:val="00AF0BAB"/>
    <w:rsid w:val="00AF6E49"/>
    <w:rsid w:val="00B021BF"/>
    <w:rsid w:val="00B04A67"/>
    <w:rsid w:val="00B0583C"/>
    <w:rsid w:val="00B12026"/>
    <w:rsid w:val="00B15F82"/>
    <w:rsid w:val="00B35063"/>
    <w:rsid w:val="00B40A81"/>
    <w:rsid w:val="00B44910"/>
    <w:rsid w:val="00B449F6"/>
    <w:rsid w:val="00B4707B"/>
    <w:rsid w:val="00B72267"/>
    <w:rsid w:val="00B76EB6"/>
    <w:rsid w:val="00B7737B"/>
    <w:rsid w:val="00B824C8"/>
    <w:rsid w:val="00B84B9D"/>
    <w:rsid w:val="00B87916"/>
    <w:rsid w:val="00B90364"/>
    <w:rsid w:val="00B948B3"/>
    <w:rsid w:val="00B95C8B"/>
    <w:rsid w:val="00BC251A"/>
    <w:rsid w:val="00BC7FD9"/>
    <w:rsid w:val="00BD032B"/>
    <w:rsid w:val="00BE021A"/>
    <w:rsid w:val="00BE0C9C"/>
    <w:rsid w:val="00BE2640"/>
    <w:rsid w:val="00BE439A"/>
    <w:rsid w:val="00BE6536"/>
    <w:rsid w:val="00C01189"/>
    <w:rsid w:val="00C043C0"/>
    <w:rsid w:val="00C045A3"/>
    <w:rsid w:val="00C04761"/>
    <w:rsid w:val="00C2036F"/>
    <w:rsid w:val="00C209E0"/>
    <w:rsid w:val="00C23579"/>
    <w:rsid w:val="00C374DE"/>
    <w:rsid w:val="00C431F4"/>
    <w:rsid w:val="00C44621"/>
    <w:rsid w:val="00C47AD4"/>
    <w:rsid w:val="00C52D81"/>
    <w:rsid w:val="00C55198"/>
    <w:rsid w:val="00C63FB6"/>
    <w:rsid w:val="00C73186"/>
    <w:rsid w:val="00C95198"/>
    <w:rsid w:val="00CA38F5"/>
    <w:rsid w:val="00CA6393"/>
    <w:rsid w:val="00CB18FF"/>
    <w:rsid w:val="00CC2060"/>
    <w:rsid w:val="00CC3F98"/>
    <w:rsid w:val="00CC4962"/>
    <w:rsid w:val="00CD0C08"/>
    <w:rsid w:val="00CE03FB"/>
    <w:rsid w:val="00CE1F2E"/>
    <w:rsid w:val="00CE433C"/>
    <w:rsid w:val="00CE7401"/>
    <w:rsid w:val="00CF0161"/>
    <w:rsid w:val="00CF33F3"/>
    <w:rsid w:val="00CF682C"/>
    <w:rsid w:val="00CF6D5B"/>
    <w:rsid w:val="00CF7D3E"/>
    <w:rsid w:val="00D00E4B"/>
    <w:rsid w:val="00D03200"/>
    <w:rsid w:val="00D06183"/>
    <w:rsid w:val="00D0638A"/>
    <w:rsid w:val="00D22C42"/>
    <w:rsid w:val="00D235E4"/>
    <w:rsid w:val="00D34937"/>
    <w:rsid w:val="00D430B8"/>
    <w:rsid w:val="00D4506C"/>
    <w:rsid w:val="00D64BA8"/>
    <w:rsid w:val="00D65041"/>
    <w:rsid w:val="00D65C85"/>
    <w:rsid w:val="00D85BEB"/>
    <w:rsid w:val="00D860A9"/>
    <w:rsid w:val="00D9343F"/>
    <w:rsid w:val="00D96EEC"/>
    <w:rsid w:val="00DA5C6C"/>
    <w:rsid w:val="00DB1936"/>
    <w:rsid w:val="00DB384B"/>
    <w:rsid w:val="00DB42D8"/>
    <w:rsid w:val="00DC2495"/>
    <w:rsid w:val="00DE2036"/>
    <w:rsid w:val="00DF0189"/>
    <w:rsid w:val="00E02685"/>
    <w:rsid w:val="00E06FD5"/>
    <w:rsid w:val="00E10E80"/>
    <w:rsid w:val="00E124F0"/>
    <w:rsid w:val="00E15A9E"/>
    <w:rsid w:val="00E15AF3"/>
    <w:rsid w:val="00E227F3"/>
    <w:rsid w:val="00E23618"/>
    <w:rsid w:val="00E37DB7"/>
    <w:rsid w:val="00E545C6"/>
    <w:rsid w:val="00E60F04"/>
    <w:rsid w:val="00E65B24"/>
    <w:rsid w:val="00E7601D"/>
    <w:rsid w:val="00E854E4"/>
    <w:rsid w:val="00E86DBF"/>
    <w:rsid w:val="00E879A7"/>
    <w:rsid w:val="00E87E92"/>
    <w:rsid w:val="00E9442D"/>
    <w:rsid w:val="00EB0D6F"/>
    <w:rsid w:val="00EB2232"/>
    <w:rsid w:val="00EB7877"/>
    <w:rsid w:val="00EC3E83"/>
    <w:rsid w:val="00EC5337"/>
    <w:rsid w:val="00ED3C3B"/>
    <w:rsid w:val="00EE1587"/>
    <w:rsid w:val="00EE49E8"/>
    <w:rsid w:val="00F07F01"/>
    <w:rsid w:val="00F16BAB"/>
    <w:rsid w:val="00F2150A"/>
    <w:rsid w:val="00F231D8"/>
    <w:rsid w:val="00F37E15"/>
    <w:rsid w:val="00F44C00"/>
    <w:rsid w:val="00F45D2C"/>
    <w:rsid w:val="00F46357"/>
    <w:rsid w:val="00F46C5F"/>
    <w:rsid w:val="00F6320B"/>
    <w:rsid w:val="00F632C0"/>
    <w:rsid w:val="00F64224"/>
    <w:rsid w:val="00F66CAE"/>
    <w:rsid w:val="00F7332F"/>
    <w:rsid w:val="00F74710"/>
    <w:rsid w:val="00F94A63"/>
    <w:rsid w:val="00FA1C28"/>
    <w:rsid w:val="00FB1279"/>
    <w:rsid w:val="00FB5D3A"/>
    <w:rsid w:val="00FB6B76"/>
    <w:rsid w:val="00FB7596"/>
    <w:rsid w:val="00FE4077"/>
    <w:rsid w:val="00FE4FEB"/>
    <w:rsid w:val="00FE500D"/>
    <w:rsid w:val="00FE77D2"/>
    <w:rsid w:val="0355B0A5"/>
    <w:rsid w:val="08552CB0"/>
    <w:rsid w:val="085932D5"/>
    <w:rsid w:val="08779E80"/>
    <w:rsid w:val="0E25689C"/>
    <w:rsid w:val="189DE3DE"/>
    <w:rsid w:val="1A471B4F"/>
    <w:rsid w:val="1AAA46EF"/>
    <w:rsid w:val="1BA0C398"/>
    <w:rsid w:val="1FFE93EB"/>
    <w:rsid w:val="278E506D"/>
    <w:rsid w:val="362595D1"/>
    <w:rsid w:val="390DB820"/>
    <w:rsid w:val="3CA1B757"/>
    <w:rsid w:val="3E797DBD"/>
    <w:rsid w:val="42FEC8AE"/>
    <w:rsid w:val="441066EA"/>
    <w:rsid w:val="45043B53"/>
    <w:rsid w:val="4AFDC9C0"/>
    <w:rsid w:val="548955A0"/>
    <w:rsid w:val="559202CB"/>
    <w:rsid w:val="55CEDFEC"/>
    <w:rsid w:val="55E25E21"/>
    <w:rsid w:val="58515015"/>
    <w:rsid w:val="5F545382"/>
    <w:rsid w:val="624EE0CD"/>
    <w:rsid w:val="65A4C909"/>
    <w:rsid w:val="66D399B5"/>
    <w:rsid w:val="675DA741"/>
    <w:rsid w:val="69A3A8E6"/>
    <w:rsid w:val="6D53C1E8"/>
    <w:rsid w:val="6F0BAC8C"/>
    <w:rsid w:val="70AEEA75"/>
    <w:rsid w:val="77690B59"/>
    <w:rsid w:val="791352AA"/>
    <w:rsid w:val="7A3B6138"/>
    <w:rsid w:val="7BBB4F2D"/>
    <w:rsid w:val="7D82AF44"/>
    <w:rsid w:val="7F05B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61858A3C-B596-4C4F-B31F-92A961CF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aliases w:val="ACMA 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aliases w:val="encabezado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001CE"/>
    <w:rPr>
      <w:color w:val="605E5C"/>
      <w:shd w:val="clear" w:color="auto" w:fill="E1DFDD"/>
    </w:rPr>
  </w:style>
  <w:style w:type="numbering" w:customStyle="1" w:styleId="NoList1">
    <w:name w:val="No List1"/>
    <w:next w:val="NoList"/>
    <w:uiPriority w:val="99"/>
    <w:semiHidden/>
    <w:unhideWhenUsed/>
    <w:rsid w:val="00F46357"/>
  </w:style>
  <w:style w:type="paragraph" w:styleId="ListParagraph">
    <w:name w:val="List Paragraph"/>
    <w:aliases w:val="Recommendation,List Paragraph11,List Paragraph 1,List Paragraph1"/>
    <w:basedOn w:val="Normal"/>
    <w:link w:val="ListParagraphChar"/>
    <w:uiPriority w:val="34"/>
    <w:qFormat/>
    <w:rsid w:val="00F46357"/>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NormalaftertitleChar">
    <w:name w:val="Normal after title Char"/>
    <w:link w:val="Normalaftertitle"/>
    <w:locked/>
    <w:rsid w:val="00F46357"/>
    <w:rPr>
      <w:rFonts w:ascii="Calibri" w:hAnsi="Calibri"/>
      <w:sz w:val="24"/>
      <w:lang w:val="en-GB" w:eastAsia="en-US"/>
    </w:rPr>
  </w:style>
  <w:style w:type="character" w:customStyle="1" w:styleId="CallChar">
    <w:name w:val="Call Char"/>
    <w:basedOn w:val="DefaultParagraphFont"/>
    <w:link w:val="Call"/>
    <w:rsid w:val="00F46357"/>
    <w:rPr>
      <w:rFonts w:ascii="Calibri" w:hAnsi="Calibri"/>
      <w:i/>
      <w:sz w:val="24"/>
      <w:lang w:val="en-GB" w:eastAsia="en-US"/>
    </w:rPr>
  </w:style>
  <w:style w:type="paragraph" w:styleId="NormalWeb">
    <w:name w:val="Normal (Web)"/>
    <w:basedOn w:val="Normal"/>
    <w:uiPriority w:val="99"/>
    <w:unhideWhenUsed/>
    <w:rsid w:val="00F4635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F46357"/>
    <w:rPr>
      <w:rFonts w:ascii="Calibri" w:hAnsi="Calibri"/>
      <w:sz w:val="24"/>
      <w:lang w:val="en-GB" w:eastAsia="en-US"/>
    </w:rPr>
  </w:style>
  <w:style w:type="paragraph" w:styleId="BodyTextIndent">
    <w:name w:val="Body Text Indent"/>
    <w:basedOn w:val="Normal"/>
    <w:link w:val="BodyTextIndentChar"/>
    <w:rsid w:val="00F46357"/>
    <w:pPr>
      <w:tabs>
        <w:tab w:val="clear" w:pos="1701"/>
        <w:tab w:val="clear" w:pos="2268"/>
        <w:tab w:val="clear" w:pos="2835"/>
        <w:tab w:val="left" w:pos="851"/>
        <w:tab w:val="left" w:pos="1418"/>
      </w:tabs>
      <w:spacing w:before="0"/>
      <w:ind w:left="142"/>
    </w:pPr>
    <w:rPr>
      <w:rFonts w:ascii="Times New Roman" w:hAnsi="Times New Roman"/>
      <w:sz w:val="22"/>
    </w:rPr>
  </w:style>
  <w:style w:type="character" w:customStyle="1" w:styleId="BodyTextIndentChar">
    <w:name w:val="Body Text Indent Char"/>
    <w:basedOn w:val="DefaultParagraphFont"/>
    <w:link w:val="BodyTextIndent"/>
    <w:rsid w:val="00F46357"/>
    <w:rPr>
      <w:rFonts w:ascii="Times New Roman" w:hAnsi="Times New Roman"/>
      <w:sz w:val="22"/>
      <w:lang w:val="en-GB" w:eastAsia="en-US"/>
    </w:rPr>
  </w:style>
  <w:style w:type="paragraph" w:styleId="PlainText">
    <w:name w:val="Plain Text"/>
    <w:basedOn w:val="Normal"/>
    <w:link w:val="PlainTextChar"/>
    <w:uiPriority w:val="99"/>
    <w:semiHidden/>
    <w:unhideWhenUsed/>
    <w:rsid w:val="00F46357"/>
    <w:pPr>
      <w:tabs>
        <w:tab w:val="clear" w:pos="567"/>
        <w:tab w:val="clear" w:pos="1134"/>
        <w:tab w:val="clear" w:pos="1701"/>
        <w:tab w:val="clear" w:pos="2268"/>
        <w:tab w:val="clear" w:pos="2835"/>
      </w:tabs>
      <w:overflowPunct/>
      <w:autoSpaceDE/>
      <w:autoSpaceDN/>
      <w:adjustRightInd/>
      <w:spacing w:before="0"/>
      <w:textAlignment w:val="auto"/>
    </w:pPr>
    <w:rPr>
      <w:rFonts w:cstheme="minorBidi"/>
      <w:sz w:val="28"/>
      <w:szCs w:val="21"/>
    </w:rPr>
  </w:style>
  <w:style w:type="character" w:customStyle="1" w:styleId="PlainTextChar">
    <w:name w:val="Plain Text Char"/>
    <w:basedOn w:val="DefaultParagraphFont"/>
    <w:link w:val="PlainText"/>
    <w:uiPriority w:val="99"/>
    <w:semiHidden/>
    <w:rsid w:val="00F46357"/>
    <w:rPr>
      <w:rFonts w:ascii="Calibri" w:hAnsi="Calibri" w:cstheme="minorBidi"/>
      <w:sz w:val="28"/>
      <w:szCs w:val="21"/>
      <w:lang w:val="en-GB" w:eastAsia="en-US"/>
    </w:rPr>
  </w:style>
  <w:style w:type="character" w:customStyle="1" w:styleId="ListParagraphChar">
    <w:name w:val="List Paragraph Char"/>
    <w:aliases w:val="Recommendation Char,List Paragraph11 Char,List Paragraph 1 Char,List Paragraph1 Char"/>
    <w:basedOn w:val="DefaultParagraphFont"/>
    <w:link w:val="ListParagraph"/>
    <w:uiPriority w:val="1"/>
    <w:rsid w:val="00F46357"/>
    <w:rPr>
      <w:rFonts w:ascii="Times New Roman" w:hAnsi="Times New Roman"/>
      <w:sz w:val="22"/>
      <w:lang w:eastAsia="en-US"/>
    </w:rPr>
  </w:style>
  <w:style w:type="character" w:styleId="Strong">
    <w:name w:val="Strong"/>
    <w:basedOn w:val="DefaultParagraphFont"/>
    <w:uiPriority w:val="22"/>
    <w:qFormat/>
    <w:rsid w:val="00F46357"/>
    <w:rPr>
      <w:b/>
      <w:bCs/>
    </w:rPr>
  </w:style>
  <w:style w:type="character" w:customStyle="1" w:styleId="ui-provider">
    <w:name w:val="ui-provider"/>
    <w:basedOn w:val="DefaultParagraphFont"/>
    <w:rsid w:val="00F46357"/>
  </w:style>
  <w:style w:type="character" w:customStyle="1" w:styleId="eop">
    <w:name w:val="eop"/>
    <w:basedOn w:val="DefaultParagraphFont"/>
    <w:rsid w:val="00F46357"/>
  </w:style>
  <w:style w:type="character" w:customStyle="1" w:styleId="CEONormalChar">
    <w:name w:val="CEO_Normal Char"/>
    <w:basedOn w:val="DefaultParagraphFont"/>
    <w:link w:val="CEONormal"/>
    <w:locked/>
    <w:rsid w:val="00F46357"/>
    <w:rPr>
      <w:rFonts w:ascii="Verdana" w:hAnsi="Verdana"/>
    </w:rPr>
  </w:style>
  <w:style w:type="paragraph" w:customStyle="1" w:styleId="CEONormal">
    <w:name w:val="CEO_Normal"/>
    <w:basedOn w:val="Normal"/>
    <w:link w:val="CEONormalChar"/>
    <w:rsid w:val="00F46357"/>
    <w:pPr>
      <w:tabs>
        <w:tab w:val="clear" w:pos="567"/>
        <w:tab w:val="clear" w:pos="1134"/>
        <w:tab w:val="clear" w:pos="1701"/>
        <w:tab w:val="clear" w:pos="2268"/>
        <w:tab w:val="clear" w:pos="2835"/>
      </w:tabs>
      <w:overflowPunct/>
      <w:autoSpaceDE/>
      <w:autoSpaceDN/>
      <w:adjustRightInd/>
      <w:spacing w:after="120"/>
      <w:textAlignment w:val="auto"/>
    </w:pPr>
    <w:rPr>
      <w:rFonts w:ascii="Verdana" w:hAnsi="Verdana"/>
      <w:sz w:val="20"/>
      <w:lang w:val="en-US" w:eastAsia="zh-CN"/>
    </w:rPr>
  </w:style>
  <w:style w:type="paragraph" w:customStyle="1" w:styleId="elementtoproof">
    <w:name w:val="elementtoproof"/>
    <w:basedOn w:val="Normal"/>
    <w:uiPriority w:val="99"/>
    <w:semiHidden/>
    <w:rsid w:val="00F46357"/>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customStyle="1" w:styleId="CEOIndent-bulletsBlueSquare">
    <w:name w:val="CEO_Indent-bulletsBlueSquare"/>
    <w:basedOn w:val="Normal"/>
    <w:rsid w:val="00F46357"/>
    <w:pPr>
      <w:numPr>
        <w:numId w:val="18"/>
      </w:numPr>
      <w:tabs>
        <w:tab w:val="clear" w:pos="567"/>
        <w:tab w:val="clear" w:pos="1134"/>
        <w:tab w:val="clear" w:pos="1701"/>
        <w:tab w:val="clear" w:pos="2268"/>
        <w:tab w:val="clear" w:pos="2835"/>
      </w:tabs>
      <w:overflowPunct/>
      <w:autoSpaceDE/>
      <w:autoSpaceDN/>
      <w:adjustRightInd/>
      <w:spacing w:before="60" w:after="60"/>
      <w:textAlignment w:val="auto"/>
    </w:pPr>
    <w:rPr>
      <w:rFonts w:ascii="Verdana" w:eastAsia="SimHei" w:hAnsi="Verdana" w:cs="Simplified Arabic"/>
      <w:sz w:val="19"/>
      <w:szCs w:val="28"/>
    </w:rPr>
  </w:style>
  <w:style w:type="character" w:customStyle="1" w:styleId="CommentTextChar">
    <w:name w:val="Comment Text Char"/>
    <w:basedOn w:val="DefaultParagraphFont"/>
    <w:link w:val="CommentText"/>
    <w:uiPriority w:val="99"/>
    <w:rsid w:val="00F46357"/>
    <w:rPr>
      <w:rFonts w:asciiTheme="minorHAnsi" w:eastAsiaTheme="minorEastAsia" w:hAnsiTheme="minorHAnsi" w:cstheme="minorBidi"/>
      <w:szCs w:val="22"/>
    </w:rPr>
  </w:style>
  <w:style w:type="paragraph" w:styleId="CommentText">
    <w:name w:val="annotation text"/>
    <w:basedOn w:val="Normal"/>
    <w:link w:val="CommentTextChar"/>
    <w:uiPriority w:val="99"/>
    <w:unhideWhenUsed/>
    <w:rsid w:val="00F46357"/>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character" w:customStyle="1" w:styleId="CommentTextChar1">
    <w:name w:val="Comment Text Char1"/>
    <w:basedOn w:val="DefaultParagraphFont"/>
    <w:semiHidden/>
    <w:rsid w:val="00F46357"/>
    <w:rPr>
      <w:rFonts w:ascii="Calibri" w:hAnsi="Calibri"/>
      <w:lang w:val="en-GB" w:eastAsia="en-US"/>
    </w:rPr>
  </w:style>
  <w:style w:type="character" w:styleId="CommentReference">
    <w:name w:val="annotation reference"/>
    <w:basedOn w:val="DefaultParagraphFont"/>
    <w:uiPriority w:val="99"/>
    <w:semiHidden/>
    <w:unhideWhenUsed/>
    <w:rsid w:val="00F46357"/>
    <w:rPr>
      <w:sz w:val="16"/>
      <w:szCs w:val="16"/>
    </w:rPr>
  </w:style>
  <w:style w:type="table" w:customStyle="1" w:styleId="TableGrid1">
    <w:name w:val="Table Grid1"/>
    <w:basedOn w:val="TableNormal"/>
    <w:next w:val="TableGrid"/>
    <w:uiPriority w:val="59"/>
    <w:rsid w:val="00A849AF"/>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
    <w:basedOn w:val="DefaultParagraphFont"/>
    <w:link w:val="FootnoteText"/>
    <w:rsid w:val="00AF0BAB"/>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E0268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b/>
      <w:bCs/>
      <w:szCs w:val="20"/>
      <w:lang w:val="en-GB" w:eastAsia="en-US"/>
    </w:rPr>
  </w:style>
  <w:style w:type="character" w:customStyle="1" w:styleId="CommentSubjectChar">
    <w:name w:val="Comment Subject Char"/>
    <w:basedOn w:val="CommentTextChar"/>
    <w:link w:val="CommentSubject"/>
    <w:semiHidden/>
    <w:rsid w:val="00E02685"/>
    <w:rPr>
      <w:rFonts w:ascii="Calibri" w:eastAsiaTheme="minorEastAsia" w:hAnsi="Calibri" w:cstheme="minorBidi"/>
      <w:b/>
      <w:bCs/>
      <w:szCs w:val="22"/>
      <w:lang w:val="en-GB" w:eastAsia="en-US"/>
    </w:rPr>
  </w:style>
  <w:style w:type="character" w:styleId="Mention">
    <w:name w:val="Mention"/>
    <w:basedOn w:val="DefaultParagraphFont"/>
    <w:uiPriority w:val="99"/>
    <w:unhideWhenUsed/>
    <w:rsid w:val="00E02685"/>
    <w:rPr>
      <w:color w:val="2B579A"/>
      <w:shd w:val="clear" w:color="auto" w:fill="E1DFDD"/>
    </w:rPr>
  </w:style>
  <w:style w:type="paragraph" w:customStyle="1" w:styleId="Default">
    <w:name w:val="Default"/>
    <w:rsid w:val="007070A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3933">
      <w:bodyDiv w:val="1"/>
      <w:marLeft w:val="0"/>
      <w:marRight w:val="0"/>
      <w:marTop w:val="0"/>
      <w:marBottom w:val="0"/>
      <w:divBdr>
        <w:top w:val="none" w:sz="0" w:space="0" w:color="auto"/>
        <w:left w:val="none" w:sz="0" w:space="0" w:color="auto"/>
        <w:bottom w:val="none" w:sz="0" w:space="0" w:color="auto"/>
        <w:right w:val="none" w:sz="0" w:space="0" w:color="auto"/>
      </w:divBdr>
    </w:div>
    <w:div w:id="21449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S24-CWGFHR18-C-0002/en" TargetMode="External"/><Relationship Id="rId26" Type="http://schemas.openxmlformats.org/officeDocument/2006/relationships/hyperlink" Target="https://www.itu.int/md/S24-CL-C-0070/en" TargetMode="External"/><Relationship Id="rId21" Type="http://schemas.openxmlformats.org/officeDocument/2006/relationships/hyperlink" Target="https://www.itu.int/md/S24-CWGFHR18-C-0002/en"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md/S23-CL-C-0129/en" TargetMode="External"/><Relationship Id="rId17" Type="http://schemas.openxmlformats.org/officeDocument/2006/relationships/hyperlink" Target="https://www.itu.int/en/council/ties/Documents/2024/Summary-and-Position-paper.docx" TargetMode="External"/><Relationship Id="rId25" Type="http://schemas.openxmlformats.org/officeDocument/2006/relationships/hyperlink" Target="https://www.itu.int/md/S24-CWGFHR18-C-0008/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S24-CWGFHR17-C-0010/en" TargetMode="External"/><Relationship Id="rId20" Type="http://schemas.openxmlformats.org/officeDocument/2006/relationships/hyperlink" Target="https://www.itu.int/md/S24-CWGFHR18-C-0002/en" TargetMode="External"/><Relationship Id="rId29" Type="http://schemas.openxmlformats.org/officeDocument/2006/relationships/hyperlink" Target="https://www.itu.int/md/S24-CL-C-009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CL-C-0050/en" TargetMode="External"/><Relationship Id="rId24" Type="http://schemas.openxmlformats.org/officeDocument/2006/relationships/hyperlink" Target="https://www.itu.int/md/S24-CWGFHR18-C-0008/en" TargetMode="External"/><Relationship Id="rId32" Type="http://schemas.openxmlformats.org/officeDocument/2006/relationships/hyperlink" Target="https://www.itu.int/md/S24-CL-C-0048/en" TargetMode="Externa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tu.int/md/S24-CWGFHR18-C-0006/en" TargetMode="External"/><Relationship Id="rId28" Type="http://schemas.openxmlformats.org/officeDocument/2006/relationships/hyperlink" Target="https://www.itu.int/md/S24-CL-C-0083/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council/ties/Documents/Financial-regulations/S-GEN-REG_RGTFIN-2022-PDF-E.pdf" TargetMode="External"/><Relationship Id="rId31" Type="http://schemas.openxmlformats.org/officeDocument/2006/relationships/hyperlink" Target="https://www.itu.int/md/S24-CWGFHR18-C-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tu.int/md/S24-CWGFHR18-C-0005/en" TargetMode="External"/><Relationship Id="rId27" Type="http://schemas.openxmlformats.org/officeDocument/2006/relationships/hyperlink" Target="https://www.itu.int/md/S24-CL-C-0007/en" TargetMode="External"/><Relationship Id="rId30" Type="http://schemas.openxmlformats.org/officeDocument/2006/relationships/hyperlink" Target="https://www.itu.int/md/S24-CL-C-0104/en"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documenttasks/documenttasks1.xml><?xml version="1.0" encoding="utf-8"?>
<t:Tasks xmlns:t="http://schemas.microsoft.com/office/tasks/2019/documenttasks" xmlns:oel="http://schemas.microsoft.com/office/2019/extlst">
  <t:Task id="{7CF4B4E2-55E7-4B2D-B62C-7E56712005DE}">
    <t:Anchor>
      <t:Comment id="291092836"/>
    </t:Anchor>
    <t:History>
      <t:Event id="{79E85434-E890-4ABF-AC1D-9B3C63433A43}" time="2024-05-04T18:36:17.529Z">
        <t:Attribution userId="S::ricarda.brouard@itu.int::886417f6-4fe6-47f8-93fa-a541586b3990" userProvider="AD" userName="Brouard, Ricarda"/>
        <t:Anchor>
          <t:Comment id="97978120"/>
        </t:Anchor>
        <t:Create/>
      </t:Event>
      <t:Event id="{61C5E9CF-E336-48D7-904B-039C27A22AEE}" time="2024-05-04T18:36:17.529Z">
        <t:Attribution userId="S::ricarda.brouard@itu.int::886417f6-4fe6-47f8-93fa-a541586b3990" userProvider="AD" userName="Brouard, Ricarda"/>
        <t:Anchor>
          <t:Comment id="97978120"/>
        </t:Anchor>
        <t:Assign userId="S::Alassane.Ba@itu.int::aae652ad-faff-4a82-bb27-e3ce531f5899" userProvider="AD" userName="Ba, Alassane"/>
      </t:Event>
      <t:Event id="{1BE0EC74-1A8A-47BA-8260-A7A0EF9ADFCB}" time="2024-05-04T18:36:17.529Z">
        <t:Attribution userId="S::ricarda.brouard@itu.int::886417f6-4fe6-47f8-93fa-a541586b3990" userProvider="AD" userName="Brouard, Ricarda"/>
        <t:Anchor>
          <t:Comment id="97978120"/>
        </t:Anchor>
        <t:SetTitle title="@Ba, Alassane Cher Alassane, est-ce que je peux te laisser voir les commentaires de Tomas, ici et plus bas et me confirmer si je peux supprimer “Financial Rules” ou commenter si nécessaire? Merci beaucoup et bon week-end, Ricarda"/>
      </t:Event>
      <t:Event id="{A5BF604A-3E0C-4499-9A5F-F19A1E9C209E}" time="2024-05-06T12:26:08.622Z">
        <t:Attribution userId="S::ricarda.brouard@itu.int::886417f6-4fe6-47f8-93fa-a541586b3990" userProvider="AD" userName="Brouard, Ricard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ée un document." ma:contentTypeScope="" ma:versionID="21eb84d73e7a675104c7fde3a9d4b3a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a3edfd7e1c0ee2ea79557039166d9c4a"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02170-CE42-4613-A009-C6DA0EF3F383}">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metadata/properties"/>
    <ds:schemaRef ds:uri="http://purl.org/dc/terms/"/>
    <ds:schemaRef ds:uri="http://purl.org/dc/elements/1.1/"/>
    <ds:schemaRef ds:uri="98b04e1e-0540-4930-9623-702d547a0a33"/>
    <ds:schemaRef ds:uri="085b46e1-7f22-4e81-9ba5-912dc5a5fd9a"/>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F80BE8D0-AE67-4DDB-BAD6-A1EF855A3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C5E99-C2D5-4640-9B9B-0A6E01ACC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6</TotalTime>
  <Pages>7</Pages>
  <Words>2125</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Report by the Chair of CWG-FHR</vt:lpstr>
    </vt:vector>
  </TitlesOfParts>
  <Manager>General Secretariat - Pool</Manager>
  <Company>International Telecommunication Union (ITU)</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 of the Council Working Group on Financial and Human Resources (CWG-FHR)</dc:title>
  <dc:subject>Council 2024</dc:subject>
  <dc:creator>author</dc:creator>
  <cp:keywords>C2024, C24, Council-24</cp:keywords>
  <dc:description/>
  <cp:lastModifiedBy>Brouard, Ricarda</cp:lastModifiedBy>
  <cp:revision>4</cp:revision>
  <cp:lastPrinted>2000-07-18T13:30:00Z</cp:lastPrinted>
  <dcterms:created xsi:type="dcterms:W3CDTF">2024-06-04T17:26:00Z</dcterms:created>
  <dcterms:modified xsi:type="dcterms:W3CDTF">2024-06-05T06:13:00Z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