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ED3488" w14:paraId="3AB8B4C4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B451F4C" w14:textId="4775E3C8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B90378" w:rsidRPr="00B90378">
              <w:rPr>
                <w:b/>
                <w:bCs/>
                <w:sz w:val="24"/>
                <w:lang w:val="ru-RU"/>
              </w:rPr>
              <w:t xml:space="preserve"> </w:t>
            </w:r>
            <w:r w:rsidR="00B90378" w:rsidRPr="00B90378">
              <w:rPr>
                <w:b/>
                <w:bCs/>
                <w:lang w:val="ru-RU"/>
              </w:rPr>
              <w:t>ADM 1</w:t>
            </w:r>
          </w:p>
        </w:tc>
        <w:tc>
          <w:tcPr>
            <w:tcW w:w="5245" w:type="dxa"/>
          </w:tcPr>
          <w:p w14:paraId="65CE69AB" w14:textId="7D050784" w:rsidR="00796BD3" w:rsidRPr="00B90378" w:rsidRDefault="00B90378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bookmarkStart w:id="3" w:name="lt_pId004"/>
            <w:r w:rsidRPr="00B90378">
              <w:rPr>
                <w:b/>
                <w:bCs/>
                <w:lang w:val="ru-RU"/>
              </w:rPr>
              <w:t>Дополнительный документ 1</w:t>
            </w:r>
            <w:bookmarkEnd w:id="3"/>
            <w:r>
              <w:rPr>
                <w:b/>
                <w:lang w:val="ru-RU"/>
              </w:rPr>
              <w:br/>
              <w:t xml:space="preserve">к </w:t>
            </w:r>
            <w:r w:rsidR="0033025A" w:rsidRPr="00B90378">
              <w:rPr>
                <w:b/>
                <w:lang w:val="ru-RU"/>
              </w:rPr>
              <w:t>Документ</w:t>
            </w:r>
            <w:r>
              <w:rPr>
                <w:b/>
                <w:lang w:val="ru-RU"/>
              </w:rPr>
              <w:t>у</w:t>
            </w:r>
            <w:r w:rsidR="0033025A" w:rsidRPr="00B90378">
              <w:rPr>
                <w:b/>
                <w:lang w:val="ru-RU"/>
              </w:rPr>
              <w:t xml:space="preserve"> </w:t>
            </w:r>
            <w:r w:rsidR="00796BD3">
              <w:rPr>
                <w:b/>
              </w:rPr>
              <w:t>C</w:t>
            </w:r>
            <w:r w:rsidR="00796BD3" w:rsidRPr="00B90378">
              <w:rPr>
                <w:b/>
                <w:lang w:val="ru-RU"/>
              </w:rPr>
              <w:t>2</w:t>
            </w:r>
            <w:r w:rsidR="00660449" w:rsidRPr="00B90378">
              <w:rPr>
                <w:b/>
                <w:lang w:val="ru-RU"/>
              </w:rPr>
              <w:t>4</w:t>
            </w:r>
            <w:r w:rsidR="00796BD3" w:rsidRPr="00B90378">
              <w:rPr>
                <w:b/>
                <w:lang w:val="ru-RU"/>
              </w:rPr>
              <w:t>/</w:t>
            </w:r>
            <w:r>
              <w:rPr>
                <w:b/>
                <w:lang w:val="ru-RU"/>
              </w:rPr>
              <w:t>50</w:t>
            </w:r>
            <w:r w:rsidR="00796BD3" w:rsidRPr="00B90378">
              <w:rPr>
                <w:b/>
                <w:lang w:val="ru-RU"/>
              </w:rPr>
              <w:t>-</w:t>
            </w:r>
            <w:r w:rsidR="00796BD3">
              <w:rPr>
                <w:b/>
              </w:rPr>
              <w:t>R</w:t>
            </w:r>
          </w:p>
        </w:tc>
      </w:tr>
      <w:tr w:rsidR="00796BD3" w:rsidRPr="00813E5E" w14:paraId="0479B16A" w14:textId="77777777" w:rsidTr="00E31DCE">
        <w:trPr>
          <w:cantSplit/>
        </w:trPr>
        <w:tc>
          <w:tcPr>
            <w:tcW w:w="3969" w:type="dxa"/>
            <w:vMerge/>
          </w:tcPr>
          <w:p w14:paraId="5AFB8F67" w14:textId="77777777" w:rsidR="00796BD3" w:rsidRPr="00B90378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FB95834" w14:textId="4DB74CEB" w:rsidR="00796BD3" w:rsidRPr="00B90378" w:rsidRDefault="00B90378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 июня </w:t>
            </w:r>
            <w:r w:rsidR="00796BD3">
              <w:rPr>
                <w:b/>
              </w:rPr>
              <w:t>202</w:t>
            </w:r>
            <w:r w:rsidR="00660449">
              <w:rPr>
                <w:b/>
              </w:rPr>
              <w:t>4</w:t>
            </w:r>
            <w:r>
              <w:rPr>
                <w:b/>
                <w:lang w:val="ru-RU"/>
              </w:rPr>
              <w:t xml:space="preserve"> года</w:t>
            </w:r>
          </w:p>
        </w:tc>
      </w:tr>
      <w:tr w:rsidR="00796BD3" w:rsidRPr="00813E5E" w14:paraId="5DAD451B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4B97DFFC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5245" w:type="dxa"/>
          </w:tcPr>
          <w:p w14:paraId="1C78B46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56F7B40B" w14:textId="77777777" w:rsidTr="00E31DCE">
        <w:trPr>
          <w:cantSplit/>
          <w:trHeight w:val="23"/>
        </w:trPr>
        <w:tc>
          <w:tcPr>
            <w:tcW w:w="3969" w:type="dxa"/>
          </w:tcPr>
          <w:p w14:paraId="5B41026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8065BAC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BFE8B28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C2ECAC" w14:textId="72DF24F6" w:rsidR="00796BD3" w:rsidRPr="00672F8A" w:rsidRDefault="00796BD3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6" w:name="dsource" w:colFirst="0" w:colLast="0"/>
            <w:bookmarkEnd w:id="5"/>
          </w:p>
        </w:tc>
      </w:tr>
      <w:tr w:rsidR="00796BD3" w:rsidRPr="00ED3488" w14:paraId="4589D6B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F2D3CFF" w14:textId="593755C4" w:rsidR="00796BD3" w:rsidRPr="00B90378" w:rsidRDefault="00B90378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7" w:name="lt_pId009"/>
            <w:bookmarkStart w:id="8" w:name="_Hlk168410988"/>
            <w:bookmarkStart w:id="9" w:name="dtitle1" w:colFirst="0" w:colLast="0"/>
            <w:bookmarkEnd w:id="6"/>
            <w:r w:rsidRPr="00B90378">
              <w:rPr>
                <w:rFonts w:cstheme="minorHAnsi"/>
                <w:sz w:val="32"/>
                <w:szCs w:val="32"/>
                <w:lang w:val="ru-RU"/>
              </w:rPr>
              <w:t>ОТЧЕТ ПРЕДСЕДАТЕЛЯ РАБОЧЕЙ ГРУППЫ СОВЕТА ПО ФИНАНСОВЫМ И ЛЮДСКИМ РЕСУРСАМ (РГС-ФЛР)</w:t>
            </w:r>
            <w:bookmarkEnd w:id="7"/>
            <w:bookmarkEnd w:id="8"/>
          </w:p>
        </w:tc>
      </w:tr>
      <w:tr w:rsidR="00796BD3" w:rsidRPr="00813E5E" w14:paraId="6F3C168D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53FEAFF3" w14:textId="4C87457C" w:rsidR="00796BD3" w:rsidRPr="00B9037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0378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6CB0E114" w14:textId="024AA483" w:rsidR="00796BD3" w:rsidRPr="00B90378" w:rsidRDefault="00B90378" w:rsidP="00E31DCE">
            <w:pPr>
              <w:rPr>
                <w:lang w:val="ru-RU"/>
              </w:rPr>
            </w:pPr>
            <w:bookmarkStart w:id="10" w:name="lt_pId011"/>
            <w:r w:rsidRPr="00B90378">
              <w:rPr>
                <w:lang w:val="ru-RU"/>
              </w:rPr>
              <w:t>В настоящем документе представлены рекомендации в отношении итоговых документов собрания РГС-ФЛР, состоявшегося 3 июня 2024 года.</w:t>
            </w:r>
            <w:bookmarkEnd w:id="10"/>
          </w:p>
          <w:p w14:paraId="58B7BA5E" w14:textId="77777777" w:rsidR="00796BD3" w:rsidRPr="00B9037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0378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1B759CF7" w14:textId="60541B86" w:rsidR="00796BD3" w:rsidRPr="00B90378" w:rsidRDefault="00B90378" w:rsidP="00E31DCE">
            <w:pPr>
              <w:rPr>
                <w:lang w:val="ru-RU"/>
              </w:rPr>
            </w:pPr>
            <w:bookmarkStart w:id="11" w:name="lt_pId013"/>
            <w:r w:rsidRPr="00B90378">
              <w:rPr>
                <w:lang w:val="ru-RU"/>
              </w:rPr>
              <w:t xml:space="preserve">Совету предлагается </w:t>
            </w:r>
            <w:r w:rsidRPr="00B90378">
              <w:rPr>
                <w:b/>
                <w:bCs/>
                <w:lang w:val="ru-RU"/>
              </w:rPr>
              <w:t>принять к сведению</w:t>
            </w:r>
            <w:r w:rsidRPr="00B90378">
              <w:rPr>
                <w:lang w:val="ru-RU"/>
              </w:rPr>
              <w:t xml:space="preserve"> результаты работы РГС-ФЛР, а также </w:t>
            </w:r>
            <w:r w:rsidRPr="00B90378">
              <w:rPr>
                <w:b/>
                <w:bCs/>
                <w:lang w:val="ru-RU"/>
              </w:rPr>
              <w:t>рассмотреть</w:t>
            </w:r>
            <w:r w:rsidRPr="00B90378">
              <w:rPr>
                <w:lang w:val="ru-RU"/>
              </w:rPr>
              <w:t xml:space="preserve"> меры, определенные в настоящем отчете, и </w:t>
            </w:r>
            <w:r w:rsidRPr="00B90378">
              <w:rPr>
                <w:b/>
                <w:bCs/>
                <w:lang w:val="ru-RU"/>
              </w:rPr>
              <w:t>высказать мнения</w:t>
            </w:r>
            <w:r w:rsidRPr="00B90378">
              <w:rPr>
                <w:lang w:val="ru-RU"/>
              </w:rPr>
              <w:t>, в зависимости от случая.</w:t>
            </w:r>
            <w:bookmarkEnd w:id="11"/>
          </w:p>
          <w:p w14:paraId="0A136A07" w14:textId="77777777" w:rsidR="00796BD3" w:rsidRPr="00B90378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0378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5D74E29" w14:textId="37B0579C" w:rsidR="00796BD3" w:rsidRPr="00B90378" w:rsidRDefault="00B90378" w:rsidP="00E31DCE">
            <w:pPr>
              <w:rPr>
                <w:lang w:val="ru-RU"/>
              </w:rPr>
            </w:pPr>
            <w:bookmarkStart w:id="12" w:name="lt_pId015"/>
            <w:r w:rsidRPr="00B90378">
              <w:rPr>
                <w:lang w:val="ru-RU"/>
              </w:rPr>
              <w:t>Отсутствуют.</w:t>
            </w:r>
            <w:bookmarkEnd w:id="12"/>
          </w:p>
          <w:p w14:paraId="4FDE3689" w14:textId="2A698502" w:rsidR="00796BD3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B90378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4F4A81DC" w14:textId="552D9617" w:rsidR="00B90378" w:rsidRPr="00B90378" w:rsidRDefault="00B90378" w:rsidP="00B90378">
            <w:pPr>
              <w:rPr>
                <w:lang w:val="ru-RU"/>
              </w:rPr>
            </w:pPr>
            <w:bookmarkStart w:id="13" w:name="lt_pId017"/>
            <w:r>
              <w:rPr>
                <w:lang w:val="ru-RU"/>
              </w:rPr>
              <w:t>Отсутствуют.</w:t>
            </w:r>
            <w:bookmarkEnd w:id="13"/>
          </w:p>
          <w:p w14:paraId="1ADF1617" w14:textId="77777777" w:rsidR="00796BD3" w:rsidRPr="00B90378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B90378">
              <w:rPr>
                <w:sz w:val="20"/>
                <w:szCs w:val="18"/>
                <w:lang w:val="ru-RU"/>
              </w:rPr>
              <w:t>__________________</w:t>
            </w:r>
          </w:p>
          <w:p w14:paraId="7B5F2E8B" w14:textId="77777777" w:rsidR="00796BD3" w:rsidRPr="00B90378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B90378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bookmarkStart w:id="14" w:name="lt_pId020"/>
          <w:p w14:paraId="0D898190" w14:textId="150816F5" w:rsidR="00796BD3" w:rsidRDefault="00B90378" w:rsidP="00E31DCE">
            <w:pPr>
              <w:spacing w:after="160"/>
            </w:pPr>
            <w:r w:rsidRPr="00B90378">
              <w:rPr>
                <w:i/>
                <w:iCs/>
                <w:lang w:val="ru-RU"/>
              </w:rPr>
              <w:fldChar w:fldCharType="begin"/>
            </w:r>
            <w:r w:rsidRPr="00B90378">
              <w:rPr>
                <w:i/>
                <w:iCs/>
                <w:lang w:val="ru-RU"/>
              </w:rPr>
              <w:instrText>HYPERLINK "https://www.itu.int/md/S22-CL-C-0050/en"</w:instrText>
            </w:r>
            <w:r w:rsidRPr="00B90378">
              <w:rPr>
                <w:i/>
                <w:iCs/>
                <w:lang w:val="ru-RU"/>
              </w:rPr>
            </w:r>
            <w:r w:rsidRPr="00B90378">
              <w:rPr>
                <w:i/>
                <w:iCs/>
                <w:lang w:val="ru-RU"/>
              </w:rPr>
              <w:fldChar w:fldCharType="separate"/>
            </w:r>
            <w:r w:rsidRPr="00B90378">
              <w:rPr>
                <w:rStyle w:val="Hyperlink"/>
                <w:i/>
                <w:iCs/>
                <w:lang w:val="ru-RU"/>
              </w:rPr>
              <w:t>С22/50</w:t>
            </w:r>
            <w:r w:rsidRPr="00B90378">
              <w:fldChar w:fldCharType="end"/>
            </w:r>
            <w:r w:rsidRPr="00B90378">
              <w:rPr>
                <w:i/>
                <w:iCs/>
                <w:lang w:val="ru-RU"/>
              </w:rPr>
              <w:t xml:space="preserve"> и </w:t>
            </w:r>
            <w:hyperlink r:id="rId7" w:history="1">
              <w:r w:rsidRPr="00B90378">
                <w:rPr>
                  <w:rStyle w:val="Hyperlink"/>
                  <w:i/>
                  <w:iCs/>
                  <w:lang w:val="ru-RU"/>
                </w:rPr>
                <w:t>Решение 563 (Измененное, 2023 г.) Совета</w:t>
              </w:r>
              <w:bookmarkEnd w:id="14"/>
            </w:hyperlink>
          </w:p>
        </w:tc>
      </w:tr>
      <w:bookmarkEnd w:id="2"/>
      <w:bookmarkEnd w:id="9"/>
    </w:tbl>
    <w:p w14:paraId="6F3A03A0" w14:textId="77777777" w:rsidR="00796BD3" w:rsidRDefault="00796BD3" w:rsidP="00796BD3"/>
    <w:p w14:paraId="1FA9FA40" w14:textId="77777777" w:rsidR="00165D06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DEB1A56" w14:textId="77777777" w:rsidR="00B90378" w:rsidRPr="00BE731A" w:rsidRDefault="00B90378" w:rsidP="00B90378">
      <w:pPr>
        <w:pStyle w:val="Heading1"/>
        <w:rPr>
          <w:lang w:val="ru-RU"/>
        </w:rPr>
      </w:pPr>
      <w:r w:rsidRPr="00BE731A">
        <w:rPr>
          <w:lang w:val="ru-RU"/>
        </w:rPr>
        <w:lastRenderedPageBreak/>
        <w:t>1</w:t>
      </w:r>
      <w:r w:rsidRPr="00BE731A">
        <w:rPr>
          <w:lang w:val="ru-RU"/>
        </w:rPr>
        <w:tab/>
        <w:t>Финансовый регламент и Финансовые правила</w:t>
      </w:r>
      <w:bookmarkStart w:id="15" w:name="lt_pId023"/>
      <w:bookmarkEnd w:id="15"/>
    </w:p>
    <w:p w14:paraId="3907E3E8" w14:textId="447ECAFA" w:rsidR="00B90378" w:rsidRPr="00BE731A" w:rsidRDefault="00B90378" w:rsidP="00B90378">
      <w:pPr>
        <w:rPr>
          <w:highlight w:val="lightGray"/>
          <w:lang w:val="ru-RU"/>
        </w:rPr>
      </w:pPr>
      <w:r w:rsidRPr="00BE731A">
        <w:rPr>
          <w:lang w:val="ru-RU"/>
        </w:rPr>
        <w:t>1.1</w:t>
      </w:r>
      <w:r w:rsidRPr="00BE731A">
        <w:rPr>
          <w:lang w:val="ru-RU"/>
        </w:rPr>
        <w:tab/>
        <w:t xml:space="preserve">На сессии РГС-ФЛР в январе 2024 года была создана группа, работающая по переписке, для рассмотрения и продолжения обсуждения предлагаемых в Документе </w:t>
      </w:r>
      <w:hyperlink r:id="rId8" w:history="1">
        <w:r w:rsidRPr="00BE731A">
          <w:rPr>
            <w:rStyle w:val="Hyperlink"/>
            <w:rFonts w:asciiTheme="minorHAnsi" w:hAnsiTheme="minorHAnsi" w:cstheme="minorHAnsi"/>
            <w:szCs w:val="22"/>
            <w:lang w:val="en-US"/>
          </w:rPr>
          <w:t>CWG</w:t>
        </w:r>
        <w:r w:rsidRPr="00BE731A">
          <w:rPr>
            <w:rStyle w:val="Hyperlink"/>
            <w:rFonts w:asciiTheme="minorHAnsi" w:hAnsiTheme="minorHAnsi" w:cstheme="minorHAnsi"/>
            <w:szCs w:val="22"/>
            <w:lang w:val="ru-RU"/>
          </w:rPr>
          <w:t>-</w:t>
        </w:r>
        <w:r w:rsidRPr="00BE731A">
          <w:rPr>
            <w:rStyle w:val="Hyperlink"/>
            <w:rFonts w:asciiTheme="minorHAnsi" w:hAnsiTheme="minorHAnsi" w:cstheme="minorHAnsi"/>
            <w:szCs w:val="22"/>
            <w:lang w:val="en-US"/>
          </w:rPr>
          <w:t>FHR</w:t>
        </w:r>
        <w:r w:rsidRPr="00BE731A">
          <w:rPr>
            <w:rStyle w:val="Hyperlink"/>
            <w:rFonts w:asciiTheme="minorHAnsi" w:hAnsiTheme="minorHAnsi" w:cstheme="minorHAnsi"/>
            <w:szCs w:val="22"/>
            <w:lang w:val="ru-RU"/>
          </w:rPr>
          <w:t>-17/10</w:t>
        </w:r>
      </w:hyperlink>
      <w:r w:rsidRPr="00BE731A">
        <w:rPr>
          <w:lang w:val="ru-RU"/>
        </w:rPr>
        <w:t xml:space="preserve"> изменений в Финансовом регламенте с целью представления одобренных рекомендаций Совету 2024 года. Работающая по переписке группа в составе 66 участников вела работу с февраля по апрель 2024 года через веб-страницу для обмена сообщениями, чтобы упростить размещение предлагаемых изменений, их обоснований, вопросов и замечаний, а также ведение прочих обсуждений. Окончательные рекомендации были опубликованы на веб-странице для обмена сообщениями 24 апреля 2024 года, и всем </w:t>
      </w:r>
      <w:r>
        <w:rPr>
          <w:lang w:val="ru-RU"/>
        </w:rPr>
        <w:t>Членам</w:t>
      </w:r>
      <w:r w:rsidRPr="00BE731A">
        <w:rPr>
          <w:lang w:val="ru-RU"/>
        </w:rPr>
        <w:t xml:space="preserve"> было предложено </w:t>
      </w:r>
      <w:r>
        <w:rPr>
          <w:lang w:val="ru-RU"/>
        </w:rPr>
        <w:t>пред</w:t>
      </w:r>
      <w:r w:rsidRPr="00BE731A">
        <w:rPr>
          <w:lang w:val="ru-RU"/>
        </w:rPr>
        <w:t xml:space="preserve">ставить </w:t>
      </w:r>
      <w:r>
        <w:rPr>
          <w:lang w:val="ru-RU"/>
        </w:rPr>
        <w:t>заключительные</w:t>
      </w:r>
      <w:r w:rsidRPr="00BE731A">
        <w:rPr>
          <w:lang w:val="ru-RU"/>
        </w:rPr>
        <w:t xml:space="preserve"> замечания. Возражений не выразил ни один из </w:t>
      </w:r>
      <w:r>
        <w:rPr>
          <w:lang w:val="ru-RU"/>
        </w:rPr>
        <w:t>Членов</w:t>
      </w:r>
      <w:r w:rsidRPr="00BE731A">
        <w:rPr>
          <w:lang w:val="ru-RU"/>
        </w:rPr>
        <w:t>. Дополнительный документ (</w:t>
      </w:r>
      <w:hyperlink r:id="rId9" w:history="1">
        <w:r>
          <w:rPr>
            <w:rStyle w:val="Hyperlink"/>
            <w:rFonts w:asciiTheme="minorHAnsi" w:hAnsiTheme="minorHAnsi" w:cstheme="minorHAnsi"/>
            <w:szCs w:val="22"/>
            <w:lang w:val="ru-RU"/>
          </w:rPr>
          <w:t>Краткий обзор и</w:t>
        </w:r>
        <w:r w:rsidRPr="00BE731A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 </w:t>
        </w:r>
        <w:r>
          <w:rPr>
            <w:rStyle w:val="Hyperlink"/>
            <w:rFonts w:asciiTheme="minorHAnsi" w:hAnsiTheme="minorHAnsi" w:cstheme="minorHAnsi"/>
            <w:szCs w:val="22"/>
            <w:lang w:val="ru-RU"/>
          </w:rPr>
          <w:t>Д</w:t>
        </w:r>
        <w:r w:rsidRPr="00BE731A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окумент с изложением позиции: </w:t>
        </w:r>
        <w:r>
          <w:rPr>
            <w:rStyle w:val="Hyperlink"/>
            <w:rFonts w:asciiTheme="minorHAnsi" w:hAnsiTheme="minorHAnsi" w:cstheme="minorHAnsi"/>
            <w:szCs w:val="22"/>
            <w:lang w:val="ru-RU"/>
          </w:rPr>
          <w:t>п</w:t>
        </w:r>
        <w:r w:rsidRPr="00BE731A">
          <w:rPr>
            <w:rStyle w:val="Hyperlink"/>
            <w:rFonts w:asciiTheme="minorHAnsi" w:hAnsiTheme="minorHAnsi" w:cstheme="minorHAnsi"/>
            <w:szCs w:val="22"/>
            <w:lang w:val="ru-RU"/>
          </w:rPr>
          <w:t>редлагаемые изменения в ФРФП</w:t>
        </w:r>
      </w:hyperlink>
      <w:r w:rsidRPr="00BE731A">
        <w:rPr>
          <w:lang w:val="ru-RU"/>
        </w:rPr>
        <w:t xml:space="preserve">) был включен в отчет в качестве </w:t>
      </w:r>
      <w:hyperlink r:id="rId10" w:history="1">
        <w:r w:rsidRPr="00BE731A">
          <w:rPr>
            <w:rStyle w:val="Hyperlink"/>
            <w:rFonts w:asciiTheme="minorHAnsi" w:hAnsiTheme="minorHAnsi" w:cstheme="minorHAnsi"/>
            <w:szCs w:val="22"/>
            <w:lang w:val="ru-RU"/>
          </w:rPr>
          <w:t xml:space="preserve">Приложения </w:t>
        </w:r>
        <w:r w:rsidRPr="00BE731A">
          <w:rPr>
            <w:rStyle w:val="Hyperlink"/>
            <w:rFonts w:asciiTheme="minorHAnsi" w:hAnsiTheme="minorHAnsi" w:cstheme="minorHAnsi"/>
            <w:szCs w:val="22"/>
            <w:lang w:val="en-US"/>
          </w:rPr>
          <w:t>B</w:t>
        </w:r>
      </w:hyperlink>
      <w:r w:rsidRPr="00BE731A">
        <w:rPr>
          <w:lang w:val="ru-RU"/>
        </w:rPr>
        <w:t xml:space="preserve"> по просьбе нескольких Государств-Членов. В этом документе представлен отчет о проходивших обсуждениях, а также дополнительная информация и контекст окончательных рекомендаций. </w:t>
      </w:r>
      <w:r w:rsidRPr="00EE2D94">
        <w:rPr>
          <w:b/>
          <w:bCs/>
          <w:lang w:val="ru-RU"/>
        </w:rPr>
        <w:t>РГС-ФЛР рекомендует Совету-24 утвердить</w:t>
      </w:r>
      <w:r w:rsidRPr="00BE731A">
        <w:rPr>
          <w:lang w:val="ru-RU"/>
        </w:rPr>
        <w:t xml:space="preserve"> предлагаемые обновления Финансового регламента и Финансовых правил издания </w:t>
      </w:r>
      <w:r w:rsidRPr="000E739B">
        <w:rPr>
          <w:lang w:val="ru-RU"/>
        </w:rPr>
        <w:t>20</w:t>
      </w:r>
      <w:r w:rsidR="000E739B" w:rsidRPr="000E739B">
        <w:rPr>
          <w:lang w:val="ru-RU"/>
        </w:rPr>
        <w:t>22</w:t>
      </w:r>
      <w:r w:rsidRPr="00BE731A">
        <w:rPr>
          <w:lang w:val="ru-RU"/>
        </w:rPr>
        <w:t xml:space="preserve"> года (</w:t>
      </w:r>
      <w:hyperlink r:id="rId11" w:history="1">
        <w:r w:rsidRPr="000E739B">
          <w:rPr>
            <w:rStyle w:val="Hyperlink"/>
            <w:lang w:val="ru-RU"/>
          </w:rPr>
          <w:t>ФРФП</w:t>
        </w:r>
      </w:hyperlink>
      <w:r w:rsidRPr="00BE731A">
        <w:rPr>
          <w:lang w:val="ru-RU"/>
        </w:rPr>
        <w:t>).</w:t>
      </w:r>
    </w:p>
    <w:p w14:paraId="051586DE" w14:textId="77777777" w:rsidR="00B90378" w:rsidRPr="00BE731A" w:rsidRDefault="00B90378" w:rsidP="00B90378">
      <w:pPr>
        <w:pStyle w:val="Headingb"/>
        <w:rPr>
          <w:color w:val="000000"/>
          <w:lang w:val="ru-RU"/>
        </w:rPr>
      </w:pPr>
      <w:bookmarkStart w:id="16" w:name="lt_pId032"/>
      <w:r w:rsidRPr="00BE731A">
        <w:rPr>
          <w:lang w:val="ru-RU"/>
        </w:rPr>
        <w:t>Рекомендации</w:t>
      </w:r>
      <w:bookmarkEnd w:id="16"/>
    </w:p>
    <w:p w14:paraId="2854F7B7" w14:textId="6B6E33EB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17" w:name="lt_pId033"/>
      <w:r w:rsidRPr="00BE731A">
        <w:rPr>
          <w:lang w:val="ru-RU"/>
        </w:rPr>
        <w:t>ПРЕАМБУЛА (непосредственно соответствующий стандарт IPSAS отсутствует)</w:t>
      </w:r>
      <w:bookmarkEnd w:id="17"/>
    </w:p>
    <w:p w14:paraId="5EAFE67E" w14:textId="5C6819B2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lang w:val="ru-RU"/>
        </w:rPr>
        <w:t>Пункт 3, второе предложение: этот текст был удален, поскольку управление всеми фондами, которые находятся в ведении МСЭ, включая фонды по проектам, должно осуществляться в соответствии с Финансовым регламентом МСЭ.</w:t>
      </w:r>
      <w:bookmarkStart w:id="18" w:name="lt_pId035"/>
      <w:bookmarkEnd w:id="18"/>
    </w:p>
    <w:p w14:paraId="1D2A66C3" w14:textId="20AEA732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90378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РГС-ФЛР, которая прошла 2 апреля 2024 года, приняла решение исключить этот пункт, поскольку управление всеми полученными средствами должно осуществляться исключительно в соответствии с Финансовым регламентом и Финансовыми правилами МСЭ.</w:t>
      </w:r>
      <w:bookmarkStart w:id="19" w:name="lt_pId037"/>
      <w:bookmarkEnd w:id="19"/>
    </w:p>
    <w:p w14:paraId="0283299E" w14:textId="7DCAAC70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20" w:name="lt_pId038"/>
      <w:r w:rsidRPr="00BE731A">
        <w:rPr>
          <w:lang w:val="ru-RU"/>
        </w:rPr>
        <w:t>Статья 1. Управление финансами Союза и финансовый контроль (непосредственно соответствующий стандарт IPSAS отсутствует)</w:t>
      </w:r>
      <w:bookmarkEnd w:id="20"/>
    </w:p>
    <w:p w14:paraId="7CE032B0" w14:textId="595992F8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lang w:val="ru-RU"/>
        </w:rPr>
        <w:t>Изменений не предлагается.</w:t>
      </w:r>
      <w:bookmarkStart w:id="21" w:name="lt_pId040"/>
      <w:bookmarkEnd w:id="21"/>
    </w:p>
    <w:p w14:paraId="40059528" w14:textId="4DD401E5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после обсуждения виртуальная сессия работающей по переписке группы РГС-ФЛР приняла решение сохранить эти пункты в Финансовом регламенте. Вследствие этого изменений не предлагается. В дальнейшем необходимо продолжить работу по включению роли Комитета по контрактам в существующее Руководство МСЭ по закупкам. Это будет сделано, и Совету будет представлен отчет.</w:t>
      </w:r>
      <w:bookmarkStart w:id="22" w:name="lt_pId042"/>
      <w:bookmarkStart w:id="23" w:name="lt_pId043"/>
      <w:bookmarkStart w:id="24" w:name="lt_pId044"/>
      <w:bookmarkStart w:id="25" w:name="lt_pId045"/>
      <w:bookmarkEnd w:id="22"/>
      <w:bookmarkEnd w:id="23"/>
      <w:bookmarkEnd w:id="24"/>
      <w:bookmarkEnd w:id="25"/>
    </w:p>
    <w:p w14:paraId="4BEABD3C" w14:textId="63463E72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26" w:name="lt_pId046"/>
      <w:r w:rsidRPr="00BE731A">
        <w:rPr>
          <w:lang w:val="ru-RU"/>
        </w:rPr>
        <w:t>Статья 3. Бюджет Секретариата ITU TELECOM (непосредственно соответствующий стандарт IPSAS отсутствует)</w:t>
      </w:r>
      <w:bookmarkEnd w:id="26"/>
    </w:p>
    <w:p w14:paraId="076A8270" w14:textId="18D67BB3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lang w:val="ru-RU"/>
        </w:rPr>
        <w:t>Предлагается удалить эту статью, так как мероприятие ITU Telecom более не проводится.</w:t>
      </w:r>
      <w:bookmarkStart w:id="27" w:name="lt_pId048"/>
      <w:bookmarkEnd w:id="27"/>
    </w:p>
    <w:p w14:paraId="1C1ABBC9" w14:textId="77544529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</w:t>
      </w:r>
      <w:bookmarkStart w:id="28" w:name="lt_pId050"/>
      <w:bookmarkEnd w:id="28"/>
    </w:p>
    <w:p w14:paraId="29419BA7" w14:textId="76EE2C81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29" w:name="lt_pId051"/>
      <w:r w:rsidRPr="00BE731A">
        <w:rPr>
          <w:lang w:val="ru-RU"/>
        </w:rPr>
        <w:t>Статья 9. Утверждение бюджета на двухгодичный период</w:t>
      </w:r>
      <w:bookmarkEnd w:id="29"/>
    </w:p>
    <w:p w14:paraId="54FD19A1" w14:textId="2A2E3F62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lang w:val="ru-RU"/>
        </w:rPr>
        <w:t>Предлагается исключить пункт 4, так как он устарел.</w:t>
      </w:r>
      <w:bookmarkStart w:id="30" w:name="lt_pId053"/>
      <w:bookmarkEnd w:id="30"/>
    </w:p>
    <w:p w14:paraId="0CCD05AA" w14:textId="4B426971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</w:t>
      </w:r>
      <w:bookmarkStart w:id="31" w:name="lt_pId055"/>
      <w:bookmarkEnd w:id="31"/>
    </w:p>
    <w:p w14:paraId="49573DEE" w14:textId="6750E15C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32" w:name="lt_pId056"/>
      <w:r w:rsidRPr="00BE731A">
        <w:rPr>
          <w:lang w:val="ru-RU"/>
        </w:rPr>
        <w:lastRenderedPageBreak/>
        <w:t>Статья 10. Исполнение бюджета Союза: Роль Генерального секретаря (непосредственно соответствующий стандарт IPSAS отсутствует)</w:t>
      </w:r>
      <w:bookmarkEnd w:id="32"/>
    </w:p>
    <w:p w14:paraId="32EFBE16" w14:textId="24E2691B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lang w:val="ru-RU"/>
        </w:rPr>
        <w:t>Пункт 6: исключить ссылку на деятельность ITU Telecom.</w:t>
      </w:r>
      <w:bookmarkStart w:id="33" w:name="lt_pId058"/>
      <w:bookmarkEnd w:id="33"/>
    </w:p>
    <w:p w14:paraId="325C17AD" w14:textId="1CE6ECC1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lang w:val="ru-RU"/>
        </w:rPr>
        <w:t>Пункт 6: перенести процесс представления отчетов на веб-платформу.</w:t>
      </w:r>
      <w:bookmarkStart w:id="34" w:name="lt_pId060"/>
      <w:bookmarkEnd w:id="34"/>
    </w:p>
    <w:p w14:paraId="12051ED8" w14:textId="62156793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 МСЭ обеспечит доступность ежеквартальной информации за прошлые периоды.</w:t>
      </w:r>
      <w:bookmarkStart w:id="35" w:name="lt_pId062"/>
      <w:bookmarkStart w:id="36" w:name="lt_pId063"/>
      <w:bookmarkEnd w:id="35"/>
      <w:bookmarkEnd w:id="36"/>
    </w:p>
    <w:p w14:paraId="79973837" w14:textId="6A336CD5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37" w:name="lt_pId064"/>
      <w:r w:rsidRPr="00BE731A">
        <w:rPr>
          <w:lang w:val="ru-RU"/>
        </w:rPr>
        <w:t>Статья 15. Хранение денежных средств и эквивалентов денежных средств (стандарт 2 IPSAS − Отчеты о движении денежных средств)</w:t>
      </w:r>
      <w:bookmarkEnd w:id="37"/>
    </w:p>
    <w:p w14:paraId="39547C55" w14:textId="51E31FF0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lang w:val="ru-RU"/>
        </w:rPr>
        <w:t>Включение нового текста для укрепления финансовой отчетности в части денежных средств и эквивалентов денежных средств МСЭ.</w:t>
      </w:r>
      <w:bookmarkStart w:id="38" w:name="lt_pId066"/>
      <w:bookmarkEnd w:id="38"/>
    </w:p>
    <w:p w14:paraId="7932A783" w14:textId="114D1DFF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</w:t>
      </w:r>
      <w:bookmarkStart w:id="39" w:name="lt_pId068"/>
      <w:bookmarkEnd w:id="39"/>
    </w:p>
    <w:p w14:paraId="719AA07E" w14:textId="56847103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40" w:name="lt_pId069"/>
      <w:r w:rsidRPr="00BE731A">
        <w:rPr>
          <w:lang w:val="ru-RU"/>
        </w:rPr>
        <w:t>Статья 16. Инвестиции денежных средств и эквивалентов денежных средств (стандарт 2 IPSAS</w:t>
      </w:r>
      <w:r>
        <w:rPr>
          <w:lang w:val="ru-RU"/>
        </w:rPr>
        <w:t> </w:t>
      </w:r>
      <w:r w:rsidRPr="00BE731A">
        <w:rPr>
          <w:lang w:val="ru-RU"/>
        </w:rPr>
        <w:t>− Отчеты о движении денежных средств)</w:t>
      </w:r>
      <w:bookmarkEnd w:id="40"/>
    </w:p>
    <w:p w14:paraId="540BF5E9" w14:textId="31F074D4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lang w:val="ru-RU"/>
        </w:rPr>
        <w:t>Включение нового текста для укрепления отчетности по инвестициям в части денежных средств и эквивалентов денежных средств МСЭ.</w:t>
      </w:r>
      <w:bookmarkStart w:id="41" w:name="lt_pId071"/>
      <w:bookmarkEnd w:id="41"/>
    </w:p>
    <w:p w14:paraId="69E5DA76" w14:textId="70BEC2B4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 В результате этого изменения потребуется, чтобы секретариат МСЭ провел дополнительную работу по обновлению инвестиционной политики, с тем чтобы МСЭ усовершенствовал управление денежными средствами и эквивалентами денежных средств.</w:t>
      </w:r>
      <w:bookmarkStart w:id="42" w:name="lt_pId073"/>
      <w:bookmarkStart w:id="43" w:name="lt_pId074"/>
      <w:bookmarkEnd w:id="42"/>
      <w:bookmarkEnd w:id="43"/>
    </w:p>
    <w:p w14:paraId="7E90F89E" w14:textId="61405D7D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44" w:name="lt_pId075"/>
      <w:r w:rsidRPr="00BE731A">
        <w:rPr>
          <w:lang w:val="ru-RU"/>
        </w:rPr>
        <w:t>Статья 18. Ведение счетов и представление финансовой отчетности (стандарт 1 IPSAS − Представление финансовой отчетности)</w:t>
      </w:r>
      <w:bookmarkEnd w:id="44"/>
    </w:p>
    <w:p w14:paraId="1A9EAFCD" w14:textId="7D4F660A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lang w:val="ru-RU"/>
        </w:rPr>
        <w:t>Включение нового текста для укрепления ведения счетов и представления финансовой отчетности.</w:t>
      </w:r>
      <w:bookmarkStart w:id="45" w:name="lt_pId077"/>
      <w:bookmarkEnd w:id="45"/>
    </w:p>
    <w:p w14:paraId="54CAFC40" w14:textId="6A0A8178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</w:t>
      </w:r>
      <w:bookmarkStart w:id="46" w:name="lt_pId079"/>
      <w:bookmarkEnd w:id="46"/>
    </w:p>
    <w:p w14:paraId="3BD63C9A" w14:textId="3015D1E7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47" w:name="lt_pId080"/>
      <w:r w:rsidRPr="00BE731A">
        <w:rPr>
          <w:lang w:val="ru-RU"/>
        </w:rPr>
        <w:t>Статья 19. Выставки и форумы ITU TELECOM и аналогичные мероприятия, организуемые Союзом (непосредственно соответствующий стандарт IPSAS отсутствует)</w:t>
      </w:r>
      <w:bookmarkEnd w:id="47"/>
    </w:p>
    <w:p w14:paraId="24DFC70C" w14:textId="502267AE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lang w:val="ru-RU"/>
        </w:rPr>
        <w:t>Предлагается исключить эту статью, для того чтобы отразить текущую оперативную деятельность.</w:t>
      </w:r>
      <w:bookmarkStart w:id="48" w:name="lt_pId082"/>
      <w:bookmarkEnd w:id="48"/>
    </w:p>
    <w:p w14:paraId="37E3EECD" w14:textId="52F0531B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</w:t>
      </w:r>
      <w:bookmarkStart w:id="49" w:name="lt_pId084"/>
      <w:bookmarkEnd w:id="49"/>
    </w:p>
    <w:p w14:paraId="2C1F586B" w14:textId="68B104EE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50" w:name="lt_pId085"/>
      <w:r w:rsidRPr="00BE731A">
        <w:rPr>
          <w:lang w:val="ru-RU"/>
        </w:rPr>
        <w:t>Статья 19. Фонды (непосредственно соответствующий стандарт IPSAS отсутствует)</w:t>
      </w:r>
      <w:bookmarkEnd w:id="50"/>
    </w:p>
    <w:p w14:paraId="498FC31C" w14:textId="6A16FB4B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lang w:val="ru-RU"/>
        </w:rPr>
        <w:t>Введение учета по фондам для более полного отражения требований бухгалтерского учета.</w:t>
      </w:r>
      <w:bookmarkStart w:id="51" w:name="lt_pId087"/>
      <w:bookmarkEnd w:id="51"/>
    </w:p>
    <w:p w14:paraId="2B3CD287" w14:textId="0EB36E7A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B90378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 xml:space="preserve">: виртуальная сессия работающей по переписке группы РГС-ФЛР поддерживает данное предлагаемое изменение. Введение учета по фондам позволяет МСЭ обеспечить точность и прозрачность управления своей финансовой отчетностью. Речь идет </w:t>
      </w:r>
      <w:r w:rsidRPr="00BE731A">
        <w:rPr>
          <w:u w:val="single"/>
          <w:lang w:val="ru-RU"/>
        </w:rPr>
        <w:t>не</w:t>
      </w:r>
      <w:r w:rsidRPr="00BE731A">
        <w:rPr>
          <w:lang w:val="ru-RU"/>
        </w:rPr>
        <w:t xml:space="preserve"> о создании дополнительного резервного счета, основной целью является совершенствование структур бухгалтерского учета, с тем чтобы в итоге улучшить финансовую отчетность.</w:t>
      </w:r>
      <w:bookmarkStart w:id="52" w:name="lt_pId089"/>
      <w:bookmarkStart w:id="53" w:name="lt_pId090"/>
      <w:bookmarkStart w:id="54" w:name="lt_pId091"/>
      <w:bookmarkEnd w:id="52"/>
      <w:bookmarkEnd w:id="53"/>
      <w:bookmarkEnd w:id="54"/>
    </w:p>
    <w:p w14:paraId="65F60148" w14:textId="14A1E5F6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55" w:name="lt_pId092"/>
      <w:r w:rsidRPr="00BE731A">
        <w:rPr>
          <w:lang w:val="ru-RU"/>
        </w:rPr>
        <w:lastRenderedPageBreak/>
        <w:t>Статья 26. Начисленные обязательства по выплате других пособий сотрудникам (стандарт 25 IPSAS − Вознаграждение сотрудников)</w:t>
      </w:r>
      <w:bookmarkEnd w:id="55"/>
    </w:p>
    <w:p w14:paraId="299C160D" w14:textId="6C3DA752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lang w:val="ru-RU"/>
        </w:rPr>
        <w:t>Обновить текст, для того чтобы отразить полное соответствие IPSAS.</w:t>
      </w:r>
      <w:bookmarkStart w:id="56" w:name="lt_pId094"/>
      <w:bookmarkEnd w:id="56"/>
    </w:p>
    <w:p w14:paraId="6406C3F7" w14:textId="21FFC538" w:rsidR="00B90378" w:rsidRPr="00FA3594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</w:t>
      </w:r>
      <w:bookmarkStart w:id="57" w:name="lt_pId096"/>
      <w:bookmarkEnd w:id="57"/>
    </w:p>
    <w:p w14:paraId="6BF1818E" w14:textId="1448D48D" w:rsidR="00B90378" w:rsidRPr="001860D7" w:rsidRDefault="00B90378" w:rsidP="00B90378">
      <w:pPr>
        <w:pStyle w:val="Headingb"/>
        <w:rPr>
          <w:color w:val="000000"/>
          <w:lang w:val="ru-RU"/>
        </w:rPr>
      </w:pPr>
      <w:bookmarkStart w:id="58" w:name="lt_pId097"/>
      <w:r w:rsidRPr="00BE731A">
        <w:rPr>
          <w:lang w:val="ru-RU"/>
        </w:rPr>
        <w:t>Статья 27. Чистые активы, включая Резервный счет (стандарт 1 IPSAS − Представление финансовой отчетности)</w:t>
      </w:r>
      <w:bookmarkEnd w:id="58"/>
    </w:p>
    <w:p w14:paraId="2B041EA5" w14:textId="490EDE18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lang w:val="ru-RU"/>
        </w:rPr>
        <w:t>Обновить текст, для того чтобы отразить фактическую деловую практику.</w:t>
      </w:r>
      <w:bookmarkStart w:id="59" w:name="lt_pId099"/>
      <w:bookmarkEnd w:id="59"/>
    </w:p>
    <w:p w14:paraId="581875BC" w14:textId="5A6B1363" w:rsidR="00B90378" w:rsidRPr="001860D7" w:rsidRDefault="00B90378" w:rsidP="00B90378">
      <w:pPr>
        <w:pStyle w:val="enumlev1"/>
        <w:rPr>
          <w:color w:val="000000"/>
          <w:lang w:val="ru-RU"/>
        </w:rPr>
      </w:pPr>
      <w:r w:rsidRPr="00BE731A">
        <w:rPr>
          <w:lang w:val="ru-RU"/>
        </w:rPr>
        <w:t>•</w:t>
      </w:r>
      <w:r w:rsidRPr="00FA3594">
        <w:rPr>
          <w:lang w:val="ru-RU"/>
        </w:rPr>
        <w:tab/>
      </w:r>
      <w:r w:rsidRPr="00BE731A">
        <w:rPr>
          <w:b/>
          <w:bCs/>
          <w:lang w:val="ru-RU"/>
        </w:rPr>
        <w:t>Рекомендация</w:t>
      </w:r>
      <w:r w:rsidRPr="00BE731A">
        <w:rPr>
          <w:lang w:val="ru-RU"/>
        </w:rPr>
        <w:t>: виртуальная сессия работающей по переписке группы РГС-ФЛР поддерживает данное предлагаемое изменение.</w:t>
      </w:r>
      <w:bookmarkStart w:id="60" w:name="lt_pId101"/>
      <w:bookmarkEnd w:id="60"/>
    </w:p>
    <w:p w14:paraId="14527CD0" w14:textId="77777777" w:rsidR="00B90378" w:rsidRPr="00BE731A" w:rsidRDefault="00B90378" w:rsidP="00B90378">
      <w:pPr>
        <w:rPr>
          <w:color w:val="000000"/>
          <w:lang w:val="ru-RU"/>
        </w:rPr>
      </w:pPr>
      <w:r w:rsidRPr="00BE731A">
        <w:rPr>
          <w:lang w:val="ru-RU"/>
        </w:rPr>
        <w:t>1.2</w:t>
      </w:r>
      <w:r w:rsidRPr="00BE731A">
        <w:rPr>
          <w:lang w:val="ru-RU"/>
        </w:rPr>
        <w:tab/>
        <w:t xml:space="preserve">Дополнительная информация об этой деятельности и рекомендации, утвержденные работающей по переписке группой, включены в </w:t>
      </w:r>
      <w:hyperlink r:id="rId12" w:history="1">
        <w:r w:rsidRPr="00BE731A">
          <w:rPr>
            <w:rStyle w:val="Hyperlink"/>
            <w:rFonts w:asciiTheme="minorHAnsi" w:hAnsiTheme="minorHAnsi" w:cstheme="minorHAnsi"/>
            <w:szCs w:val="22"/>
            <w:lang w:val="ru-RU"/>
          </w:rPr>
          <w:t>Приложение А</w:t>
        </w:r>
      </w:hyperlink>
      <w:r w:rsidRPr="00BE731A">
        <w:rPr>
          <w:lang w:val="ru-RU"/>
        </w:rPr>
        <w:t xml:space="preserve">, а в </w:t>
      </w:r>
      <w:hyperlink r:id="rId13" w:history="1">
        <w:r w:rsidRPr="00BE731A">
          <w:rPr>
            <w:rStyle w:val="Hyperlink"/>
            <w:rFonts w:asciiTheme="minorHAnsi" w:hAnsiTheme="minorHAnsi" w:cstheme="minorHAnsi"/>
            <w:szCs w:val="22"/>
            <w:lang w:val="ru-RU"/>
          </w:rPr>
          <w:t>Приложение В</w:t>
        </w:r>
      </w:hyperlink>
      <w:r w:rsidRPr="00BE731A">
        <w:rPr>
          <w:lang w:val="ru-RU"/>
        </w:rPr>
        <w:t xml:space="preserve"> включена дополнительная информация, касающаяся обоснования и контекста, лежащих в основе предлагаемых изменений. </w:t>
      </w:r>
      <w:bookmarkStart w:id="61" w:name="lt_pId103"/>
      <w:bookmarkEnd w:id="61"/>
    </w:p>
    <w:p w14:paraId="5C61C50D" w14:textId="77777777" w:rsidR="00B90378" w:rsidRPr="00BE731A" w:rsidRDefault="00B90378" w:rsidP="00B90378">
      <w:pPr>
        <w:pStyle w:val="Heading1"/>
        <w:rPr>
          <w:lang w:val="ru-RU"/>
        </w:rPr>
      </w:pPr>
      <w:r w:rsidRPr="00BE731A">
        <w:rPr>
          <w:lang w:val="ru-RU"/>
        </w:rPr>
        <w:t>2</w:t>
      </w:r>
      <w:r w:rsidRPr="00BE731A">
        <w:rPr>
          <w:lang w:val="ru-RU"/>
        </w:rPr>
        <w:tab/>
        <w:t>Устав Подразделения по надзору</w:t>
      </w:r>
      <w:bookmarkStart w:id="62" w:name="lt_pId105"/>
      <w:bookmarkEnd w:id="62"/>
    </w:p>
    <w:p w14:paraId="57B0E46F" w14:textId="49C2DDB2" w:rsidR="00B90378" w:rsidRPr="00BE731A" w:rsidRDefault="00B90378" w:rsidP="00B90378">
      <w:pPr>
        <w:rPr>
          <w:szCs w:val="24"/>
          <w:lang w:val="ru-RU"/>
        </w:rPr>
      </w:pPr>
      <w:r w:rsidRPr="00BE731A">
        <w:rPr>
          <w:lang w:val="ru-RU"/>
        </w:rPr>
        <w:t>2.1</w:t>
      </w:r>
      <w:r w:rsidRPr="00BE731A">
        <w:rPr>
          <w:lang w:val="ru-RU"/>
        </w:rPr>
        <w:tab/>
        <w:t xml:space="preserve">На сессии РГС-ФЛР в январе 2024 года подробно обсуждался Устав Подразделения по надзору и для продолжения его обсуждения была создана </w:t>
      </w:r>
      <w:r>
        <w:rPr>
          <w:lang w:val="ru-RU"/>
        </w:rPr>
        <w:t xml:space="preserve">онлайновая </w:t>
      </w:r>
      <w:r w:rsidRPr="00BE731A">
        <w:rPr>
          <w:lang w:val="ru-RU"/>
        </w:rPr>
        <w:t>работающая по переписке группа. Собрания группы проходили трижды, и 44 из 91 зарегистрированного участника приняли активное участие по крайней мере в одном собрании. По итог</w:t>
      </w:r>
      <w:r>
        <w:rPr>
          <w:lang w:val="ru-RU"/>
        </w:rPr>
        <w:t>ам</w:t>
      </w:r>
      <w:r w:rsidRPr="00BE731A">
        <w:rPr>
          <w:lang w:val="ru-RU"/>
        </w:rPr>
        <w:t xml:space="preserve"> собраний группа, работающая по переписке, предложила текст Устава, который был полностью согласован, за исключением </w:t>
      </w:r>
      <w:r>
        <w:rPr>
          <w:lang w:val="ru-RU"/>
        </w:rPr>
        <w:t>текста</w:t>
      </w:r>
      <w:r w:rsidRPr="00BE731A">
        <w:rPr>
          <w:lang w:val="ru-RU"/>
        </w:rPr>
        <w:t xml:space="preserve"> </w:t>
      </w:r>
      <w:r w:rsidRPr="00BE731A">
        <w:rPr>
          <w:u w:val="single"/>
          <w:lang w:val="ru-RU"/>
        </w:rPr>
        <w:t xml:space="preserve">в трех пунктах, </w:t>
      </w:r>
      <w:r>
        <w:rPr>
          <w:u w:val="single"/>
          <w:lang w:val="ru-RU"/>
        </w:rPr>
        <w:t>заключенного в</w:t>
      </w:r>
      <w:r w:rsidRPr="00BE731A">
        <w:rPr>
          <w:u w:val="single"/>
          <w:lang w:val="ru-RU"/>
        </w:rPr>
        <w:t xml:space="preserve"> квадратны</w:t>
      </w:r>
      <w:r>
        <w:rPr>
          <w:u w:val="single"/>
          <w:lang w:val="ru-RU"/>
        </w:rPr>
        <w:t>е</w:t>
      </w:r>
      <w:r w:rsidRPr="00BE731A">
        <w:rPr>
          <w:u w:val="single"/>
          <w:lang w:val="ru-RU"/>
        </w:rPr>
        <w:t xml:space="preserve"> скобки</w:t>
      </w:r>
      <w:r w:rsidRPr="00BE731A">
        <w:rPr>
          <w:lang w:val="ru-RU"/>
        </w:rPr>
        <w:t xml:space="preserve">. Учитывая, что предлагаемый текст Устава Подразделения по надзору является результатом </w:t>
      </w:r>
      <w:r>
        <w:rPr>
          <w:lang w:val="ru-RU"/>
        </w:rPr>
        <w:t>продолжительных дискуссий</w:t>
      </w:r>
      <w:r w:rsidRPr="00BE731A">
        <w:rPr>
          <w:lang w:val="ru-RU"/>
        </w:rPr>
        <w:t xml:space="preserve"> в январе 2024 года, </w:t>
      </w:r>
      <w:r>
        <w:rPr>
          <w:lang w:val="ru-RU"/>
        </w:rPr>
        <w:t xml:space="preserve">а затем дальнейшего обсуждения и согласования </w:t>
      </w:r>
      <w:r w:rsidRPr="00BE731A">
        <w:rPr>
          <w:lang w:val="ru-RU"/>
        </w:rPr>
        <w:t>нескольким</w:t>
      </w:r>
      <w:r>
        <w:rPr>
          <w:lang w:val="ru-RU"/>
        </w:rPr>
        <w:t>и</w:t>
      </w:r>
      <w:r w:rsidRPr="00BE731A">
        <w:rPr>
          <w:lang w:val="ru-RU"/>
        </w:rPr>
        <w:t xml:space="preserve"> Государствам</w:t>
      </w:r>
      <w:r>
        <w:rPr>
          <w:lang w:val="ru-RU"/>
        </w:rPr>
        <w:t>и</w:t>
      </w:r>
      <w:r w:rsidRPr="00BE731A">
        <w:rPr>
          <w:lang w:val="ru-RU"/>
        </w:rPr>
        <w:t>-Членам</w:t>
      </w:r>
      <w:r>
        <w:rPr>
          <w:lang w:val="ru-RU"/>
        </w:rPr>
        <w:t>и в</w:t>
      </w:r>
      <w:r w:rsidRPr="00BE731A">
        <w:rPr>
          <w:lang w:val="ru-RU"/>
        </w:rPr>
        <w:t xml:space="preserve"> работающей по переписке групп</w:t>
      </w:r>
      <w:r>
        <w:rPr>
          <w:lang w:val="ru-RU"/>
        </w:rPr>
        <w:t>е</w:t>
      </w:r>
      <w:r w:rsidRPr="00BE731A">
        <w:rPr>
          <w:lang w:val="ru-RU"/>
        </w:rPr>
        <w:t xml:space="preserve">, а также принимая во внимание, что текст предлагаемого Устава Подразделения по надзору был рассмотрен Советником МСЭ по правовым вопросам, [на собрании РГС-ФЛР в июне] было принято решение </w:t>
      </w:r>
      <w:r>
        <w:rPr>
          <w:lang w:val="ru-RU"/>
        </w:rPr>
        <w:t xml:space="preserve">исключить </w:t>
      </w:r>
      <w:r w:rsidRPr="00BE731A">
        <w:rPr>
          <w:lang w:val="ru-RU"/>
        </w:rPr>
        <w:t xml:space="preserve">текст в </w:t>
      </w:r>
      <w:r>
        <w:rPr>
          <w:lang w:val="ru-RU"/>
        </w:rPr>
        <w:t xml:space="preserve">трех </w:t>
      </w:r>
      <w:r w:rsidRPr="00BE731A">
        <w:rPr>
          <w:lang w:val="ru-RU"/>
        </w:rPr>
        <w:t>квадратных скобках и доработать Устав Подразделения по надзору. Были рассмотрены полученные вклады Государств-Членов (</w:t>
      </w:r>
      <w:hyperlink r:id="rId14" w:history="1">
        <w:r w:rsidRPr="00BE731A">
          <w:rPr>
            <w:rStyle w:val="Hyperlink"/>
            <w:rFonts w:asciiTheme="minorHAnsi" w:hAnsiTheme="minorHAnsi" w:cstheme="minorHAnsi"/>
            <w:lang w:val="en-US"/>
          </w:rPr>
          <w:t>CWG</w:t>
        </w:r>
        <w:r w:rsidR="00FA3594" w:rsidRPr="00FA3594">
          <w:rPr>
            <w:rStyle w:val="Hyperlink"/>
            <w:rFonts w:asciiTheme="minorHAnsi" w:hAnsiTheme="minorHAnsi" w:cstheme="minorHAnsi"/>
            <w:lang w:val="ru-RU"/>
          </w:rPr>
          <w:noBreakHyphen/>
        </w:r>
        <w:r w:rsidRPr="00BE731A">
          <w:rPr>
            <w:rStyle w:val="Hyperlink"/>
            <w:rFonts w:asciiTheme="minorHAnsi" w:hAnsiTheme="minorHAnsi" w:cstheme="minorHAnsi"/>
            <w:lang w:val="en-US"/>
          </w:rPr>
          <w:t>FHR</w:t>
        </w:r>
        <w:r w:rsidRPr="00BE731A">
          <w:rPr>
            <w:rStyle w:val="Hyperlink"/>
            <w:rFonts w:asciiTheme="minorHAnsi" w:hAnsiTheme="minorHAnsi" w:cstheme="minorHAnsi"/>
            <w:lang w:val="ru-RU"/>
          </w:rPr>
          <w:t>-18/5</w:t>
        </w:r>
      </w:hyperlink>
      <w:r w:rsidRPr="00BE731A">
        <w:rPr>
          <w:lang w:val="ru-RU"/>
        </w:rPr>
        <w:t xml:space="preserve"> и </w:t>
      </w:r>
      <w:hyperlink r:id="rId15" w:history="1">
        <w:r w:rsidRPr="00BE731A">
          <w:rPr>
            <w:rStyle w:val="Hyperlink"/>
            <w:rFonts w:asciiTheme="minorHAnsi" w:hAnsiTheme="minorHAnsi" w:cstheme="minorHAnsi"/>
            <w:lang w:val="en-US"/>
          </w:rPr>
          <w:t>CWG</w:t>
        </w:r>
        <w:r w:rsidRPr="00BE731A">
          <w:rPr>
            <w:rStyle w:val="Hyperlink"/>
            <w:rFonts w:asciiTheme="minorHAnsi" w:hAnsiTheme="minorHAnsi" w:cstheme="minorHAnsi"/>
            <w:lang w:val="ru-RU"/>
          </w:rPr>
          <w:t>-</w:t>
        </w:r>
        <w:r w:rsidRPr="00BE731A">
          <w:rPr>
            <w:rStyle w:val="Hyperlink"/>
            <w:rFonts w:asciiTheme="minorHAnsi" w:hAnsiTheme="minorHAnsi" w:cstheme="minorHAnsi"/>
            <w:lang w:val="en-US"/>
          </w:rPr>
          <w:t>FHR</w:t>
        </w:r>
        <w:r w:rsidRPr="00BE731A">
          <w:rPr>
            <w:rStyle w:val="Hyperlink"/>
            <w:rFonts w:asciiTheme="minorHAnsi" w:hAnsiTheme="minorHAnsi" w:cstheme="minorHAnsi"/>
            <w:lang w:val="ru-RU"/>
          </w:rPr>
          <w:t>-18/6</w:t>
        </w:r>
      </w:hyperlink>
      <w:r w:rsidRPr="00BE731A">
        <w:rPr>
          <w:lang w:val="ru-RU"/>
        </w:rPr>
        <w:t xml:space="preserve">) и </w:t>
      </w:r>
      <w:r w:rsidRPr="00BE731A">
        <w:rPr>
          <w:lang w:val="en-US"/>
        </w:rPr>
        <w:t>IMAC</w:t>
      </w:r>
      <w:r w:rsidRPr="00BE731A">
        <w:rPr>
          <w:lang w:val="ru-RU"/>
        </w:rPr>
        <w:t xml:space="preserve"> (</w:t>
      </w:r>
      <w:hyperlink r:id="rId16" w:history="1">
        <w:r w:rsidRPr="00BE731A">
          <w:rPr>
            <w:rStyle w:val="Hyperlink"/>
            <w:rFonts w:asciiTheme="minorHAnsi" w:hAnsiTheme="minorHAnsi" w:cstheme="minorHAnsi"/>
            <w:lang w:val="en-US"/>
          </w:rPr>
          <w:t>CWG</w:t>
        </w:r>
        <w:r w:rsidRPr="00BE731A">
          <w:rPr>
            <w:rStyle w:val="Hyperlink"/>
            <w:rFonts w:asciiTheme="minorHAnsi" w:hAnsiTheme="minorHAnsi" w:cstheme="minorHAnsi"/>
            <w:lang w:val="ru-RU"/>
          </w:rPr>
          <w:t>-</w:t>
        </w:r>
        <w:r w:rsidRPr="00BE731A">
          <w:rPr>
            <w:rStyle w:val="Hyperlink"/>
            <w:rFonts w:asciiTheme="minorHAnsi" w:hAnsiTheme="minorHAnsi" w:cstheme="minorHAnsi"/>
            <w:lang w:val="en-US"/>
          </w:rPr>
          <w:t>FHR</w:t>
        </w:r>
        <w:r w:rsidRPr="00BE731A">
          <w:rPr>
            <w:rStyle w:val="Hyperlink"/>
            <w:rFonts w:asciiTheme="minorHAnsi" w:hAnsiTheme="minorHAnsi" w:cstheme="minorHAnsi"/>
            <w:lang w:val="ru-RU"/>
          </w:rPr>
          <w:t>-18/8</w:t>
        </w:r>
      </w:hyperlink>
      <w:r w:rsidRPr="00BE731A">
        <w:rPr>
          <w:lang w:val="ru-RU"/>
        </w:rPr>
        <w:t xml:space="preserve">); </w:t>
      </w:r>
      <w:r w:rsidRPr="00C42104">
        <w:rPr>
          <w:lang w:val="ru-RU"/>
        </w:rPr>
        <w:t>однако они не были приняты</w:t>
      </w:r>
      <w:r>
        <w:rPr>
          <w:lang w:val="ru-RU"/>
        </w:rPr>
        <w:t xml:space="preserve"> в интересах достижения</w:t>
      </w:r>
      <w:r w:rsidRPr="00C42104">
        <w:rPr>
          <w:lang w:val="ru-RU"/>
        </w:rPr>
        <w:t xml:space="preserve"> предварительн</w:t>
      </w:r>
      <w:r>
        <w:rPr>
          <w:lang w:val="ru-RU"/>
        </w:rPr>
        <w:t>ого</w:t>
      </w:r>
      <w:r w:rsidRPr="00C42104">
        <w:rPr>
          <w:lang w:val="ru-RU"/>
        </w:rPr>
        <w:t xml:space="preserve"> консенсус</w:t>
      </w:r>
      <w:r>
        <w:rPr>
          <w:lang w:val="ru-RU"/>
        </w:rPr>
        <w:t>а</w:t>
      </w:r>
      <w:r w:rsidRPr="00C42104">
        <w:rPr>
          <w:lang w:val="ru-RU"/>
        </w:rPr>
        <w:t xml:space="preserve"> и призна</w:t>
      </w:r>
      <w:r>
        <w:rPr>
          <w:lang w:val="ru-RU"/>
        </w:rPr>
        <w:t>ния</w:t>
      </w:r>
      <w:r w:rsidRPr="00C42104">
        <w:rPr>
          <w:lang w:val="ru-RU"/>
        </w:rPr>
        <w:t xml:space="preserve"> значительны</w:t>
      </w:r>
      <w:r>
        <w:rPr>
          <w:lang w:val="ru-RU"/>
        </w:rPr>
        <w:t>х</w:t>
      </w:r>
      <w:r w:rsidRPr="00C42104">
        <w:rPr>
          <w:lang w:val="ru-RU"/>
        </w:rPr>
        <w:t xml:space="preserve"> усили</w:t>
      </w:r>
      <w:r>
        <w:rPr>
          <w:lang w:val="ru-RU"/>
        </w:rPr>
        <w:t>й</w:t>
      </w:r>
      <w:r w:rsidRPr="00C42104">
        <w:rPr>
          <w:lang w:val="ru-RU"/>
        </w:rPr>
        <w:t xml:space="preserve"> Государств-Членов в ходе работы во время сессий РГС-ФЛР и в рамках группы по переписке.</w:t>
      </w:r>
      <w:r w:rsidRPr="00BE731A">
        <w:rPr>
          <w:lang w:val="ru-RU"/>
        </w:rPr>
        <w:t xml:space="preserve"> РГС-ФЛР рекомендует Совету-24 утвердить Устав Подразделения по надзору после рассмотрения вклада </w:t>
      </w:r>
      <w:r w:rsidRPr="00BE731A">
        <w:rPr>
          <w:lang w:val="en-US"/>
        </w:rPr>
        <w:t>IMAC</w:t>
      </w:r>
      <w:r w:rsidRPr="00BE731A">
        <w:rPr>
          <w:lang w:val="ru-RU"/>
        </w:rPr>
        <w:t xml:space="preserve"> (</w:t>
      </w:r>
      <w:hyperlink r:id="rId17" w:history="1">
        <w:r w:rsidRPr="00BE731A">
          <w:rPr>
            <w:rStyle w:val="Hyperlink"/>
            <w:rFonts w:asciiTheme="minorHAnsi" w:hAnsiTheme="minorHAnsi" w:cstheme="minorHAnsi"/>
            <w:lang w:val="en-US"/>
          </w:rPr>
          <w:t>CWG</w:t>
        </w:r>
        <w:r w:rsidRPr="00BE731A">
          <w:rPr>
            <w:rStyle w:val="Hyperlink"/>
            <w:rFonts w:asciiTheme="minorHAnsi" w:hAnsiTheme="minorHAnsi" w:cstheme="minorHAnsi"/>
            <w:lang w:val="ru-RU"/>
          </w:rPr>
          <w:t>-</w:t>
        </w:r>
        <w:r w:rsidRPr="00BE731A">
          <w:rPr>
            <w:rStyle w:val="Hyperlink"/>
            <w:rFonts w:asciiTheme="minorHAnsi" w:hAnsiTheme="minorHAnsi" w:cstheme="minorHAnsi"/>
            <w:lang w:val="en-US"/>
          </w:rPr>
          <w:t>FHR</w:t>
        </w:r>
        <w:r w:rsidRPr="00BE731A">
          <w:rPr>
            <w:rStyle w:val="Hyperlink"/>
            <w:rFonts w:asciiTheme="minorHAnsi" w:hAnsiTheme="minorHAnsi" w:cstheme="minorHAnsi"/>
            <w:lang w:val="ru-RU"/>
          </w:rPr>
          <w:t>-18/8</w:t>
        </w:r>
      </w:hyperlink>
      <w:r w:rsidRPr="00BE731A">
        <w:rPr>
          <w:lang w:val="ru-RU"/>
        </w:rPr>
        <w:t>). РГС-ФЛР далее рекомендует Совету-24 поручить РГС-ФЛР провести обзор соблюдения Устава Подразделения по надзору на сессии в январе 2025 года.</w:t>
      </w:r>
      <w:bookmarkStart w:id="63" w:name="lt_pId107"/>
      <w:bookmarkStart w:id="64" w:name="lt_pId108"/>
      <w:bookmarkStart w:id="65" w:name="lt_pId109"/>
      <w:bookmarkStart w:id="66" w:name="lt_pId110"/>
      <w:bookmarkStart w:id="67" w:name="lt_pId111"/>
      <w:bookmarkStart w:id="68" w:name="lt_pId112"/>
      <w:bookmarkStart w:id="69" w:name="lt_pId113"/>
      <w:bookmarkEnd w:id="63"/>
      <w:bookmarkEnd w:id="64"/>
      <w:bookmarkEnd w:id="65"/>
      <w:bookmarkEnd w:id="66"/>
      <w:bookmarkEnd w:id="67"/>
      <w:bookmarkEnd w:id="68"/>
      <w:bookmarkEnd w:id="69"/>
    </w:p>
    <w:p w14:paraId="4E38F1C9" w14:textId="77777777" w:rsidR="00AF6A81" w:rsidRPr="00A03335" w:rsidRDefault="00AF6A81" w:rsidP="00AF6A81">
      <w:pPr>
        <w:pStyle w:val="Heading1"/>
        <w:rPr>
          <w:rFonts w:cs="Calibri"/>
          <w:lang w:val="ru-RU"/>
        </w:rPr>
      </w:pPr>
      <w:r w:rsidRPr="00A03335">
        <w:rPr>
          <w:lang w:val="ru-RU" w:bidi="ru-RU"/>
        </w:rPr>
        <w:t>3</w:t>
      </w:r>
      <w:r w:rsidRPr="00A03335">
        <w:rPr>
          <w:lang w:val="ru-RU" w:bidi="ru-RU"/>
        </w:rPr>
        <w:tab/>
        <w:t>Стратегия мобилизации ресурсов</w:t>
      </w:r>
    </w:p>
    <w:p w14:paraId="79A08C39" w14:textId="77777777" w:rsidR="00AF6A81" w:rsidRPr="00A03335" w:rsidRDefault="00AF6A81" w:rsidP="00AF6A81">
      <w:pPr>
        <w:rPr>
          <w:rFonts w:cs="Calibri"/>
          <w:b/>
          <w:bCs/>
          <w:lang w:val="ru-RU"/>
        </w:rPr>
      </w:pPr>
      <w:r w:rsidRPr="00A03335">
        <w:rPr>
          <w:lang w:val="ru-RU" w:bidi="ru-RU"/>
        </w:rPr>
        <w:t>3.1</w:t>
      </w:r>
      <w:r w:rsidRPr="00A03335">
        <w:rPr>
          <w:lang w:val="ru-RU" w:bidi="ru-RU"/>
        </w:rPr>
        <w:tab/>
        <w:t xml:space="preserve">Для продолжения обсуждения проекта стратегии мобилизации ресурсов после "мозгового штурма", состоявшегося в ходе январского заседания РГС-ФЛР, была создана группа, работающая по переписке. Секретариат поблагодарил более 50 делегатов, принявших участие в очных и онлайновых сессиях. Было организовано по одной онлайновой сессии для каждого из трех основных направлений деятельности в рамках стратегии: укрепление членского состава; эффективное использование мероприятий, продуктов и услуг; увеличение добровольных взносов. Был предоставлен значительный объем базовой информации. После этих трех онлайновых сессий была проведена последняя сессия, на которой рассматривалась версия стратегии, содержащая редакционные изменения (в том виде, в котором она была </w:t>
      </w:r>
      <w:r w:rsidRPr="00A03335">
        <w:rPr>
          <w:lang w:val="ru-RU" w:bidi="ru-RU"/>
        </w:rPr>
        <w:lastRenderedPageBreak/>
        <w:t xml:space="preserve">представлена Совету-23), с учетом вкладов, полученных от делегатов в ходе этого процесса консультаций. Затем Секретариат доработал Документ </w:t>
      </w:r>
      <w:hyperlink r:id="rId18" w:history="1">
        <w:r w:rsidRPr="00A03335">
          <w:rPr>
            <w:rStyle w:val="Hyperlink"/>
            <w:szCs w:val="22"/>
            <w:lang w:val="ru-RU" w:bidi="ru-RU"/>
          </w:rPr>
          <w:t>(C24/70</w:t>
        </w:r>
      </w:hyperlink>
      <w:r w:rsidRPr="00A03335">
        <w:rPr>
          <w:lang w:val="ru-RU" w:bidi="ru-RU"/>
        </w:rPr>
        <w:t>) и представил его на рассмотрение Совета-24.</w:t>
      </w:r>
    </w:p>
    <w:p w14:paraId="1F306F9A" w14:textId="77777777" w:rsidR="00AF6A81" w:rsidRPr="00A03335" w:rsidRDefault="00AF6A81" w:rsidP="00AF6A81">
      <w:pPr>
        <w:rPr>
          <w:rFonts w:cs="Calibri"/>
          <w:b/>
          <w:bCs/>
          <w:lang w:val="ru-RU"/>
        </w:rPr>
      </w:pPr>
      <w:r w:rsidRPr="00A03335">
        <w:rPr>
          <w:lang w:val="ru-RU" w:bidi="ru-RU"/>
        </w:rPr>
        <w:t>3.2</w:t>
      </w:r>
      <w:r w:rsidRPr="00A03335">
        <w:rPr>
          <w:lang w:val="ru-RU" w:bidi="ru-RU"/>
        </w:rPr>
        <w:tab/>
        <w:t xml:space="preserve">Делегаты поблагодарили Секретариат за организацию сессий, отметив, что это был позитивный и информативный процесс. Они просили доработать стратегию путем включения в нее таких подробных сведений, как смета необходимых средств в более широком финансовом контексте Союза; мероприятия, за осуществление которых возложена ответственность на Бюро, Генеральный секретариат и региональные отделения, и их роли, а также KPI для мониторинга хода выполнения работы. </w:t>
      </w:r>
    </w:p>
    <w:p w14:paraId="20363B64" w14:textId="77777777" w:rsidR="00AF6A81" w:rsidRPr="00A03335" w:rsidRDefault="00AF6A81" w:rsidP="00AF6A81">
      <w:pPr>
        <w:pStyle w:val="Heading1"/>
        <w:rPr>
          <w:rFonts w:eastAsia="SimSun" w:cs="Calibri"/>
          <w:bCs/>
          <w:color w:val="000000"/>
          <w:lang w:val="ru-RU"/>
        </w:rPr>
      </w:pPr>
      <w:r w:rsidRPr="00A03335">
        <w:rPr>
          <w:lang w:val="ru-RU" w:bidi="ru-RU"/>
        </w:rPr>
        <w:t>4</w:t>
      </w:r>
      <w:r w:rsidRPr="00A03335">
        <w:rPr>
          <w:lang w:val="ru-RU" w:bidi="ru-RU"/>
        </w:rPr>
        <w:tab/>
        <w:t>Проект штаб-квартиры МСЭ</w:t>
      </w:r>
    </w:p>
    <w:p w14:paraId="5B913A00" w14:textId="29F588EE" w:rsidR="00AF6A81" w:rsidRPr="00A03335" w:rsidRDefault="00AF6A81" w:rsidP="00AF6A81">
      <w:pPr>
        <w:rPr>
          <w:rFonts w:eastAsia="SimSun" w:cs="Calibri"/>
          <w:color w:val="000000"/>
          <w:shd w:val="clear" w:color="auto" w:fill="FFFFFF"/>
          <w:lang w:val="ru-RU"/>
        </w:rPr>
      </w:pPr>
      <w:r w:rsidRPr="00A03335">
        <w:rPr>
          <w:lang w:val="ru-RU" w:bidi="ru-RU"/>
        </w:rPr>
        <w:t>4.1</w:t>
      </w:r>
      <w:r w:rsidRPr="00A03335">
        <w:rPr>
          <w:lang w:val="ru-RU" w:bidi="ru-RU"/>
        </w:rPr>
        <w:tab/>
        <w:t>На основании указаний, данных на сессии РГС-ФЛР, которая состоялась в январе 2024</w:t>
      </w:r>
      <w:r w:rsidR="00EB5B7D">
        <w:rPr>
          <w:lang w:val="en-US" w:bidi="ru-RU"/>
        </w:rPr>
        <w:t> </w:t>
      </w:r>
      <w:r w:rsidRPr="00A03335">
        <w:rPr>
          <w:lang w:val="ru-RU" w:bidi="ru-RU"/>
        </w:rPr>
        <w:t>года, и последующей деятельности, Секретариат представил отчет о ходе осуществления проекта по помещениям штаб-квартиры Союза (</w:t>
      </w:r>
      <w:hyperlink r:id="rId19" w:history="1">
        <w:r w:rsidRPr="001860D7">
          <w:rPr>
            <w:rStyle w:val="Hyperlink"/>
            <w:szCs w:val="22"/>
          </w:rPr>
          <w:t>C</w:t>
        </w:r>
        <w:r w:rsidRPr="001860D7">
          <w:rPr>
            <w:rStyle w:val="Hyperlink"/>
            <w:szCs w:val="22"/>
            <w:lang w:val="ru-RU"/>
          </w:rPr>
          <w:t>24/7</w:t>
        </w:r>
      </w:hyperlink>
      <w:r w:rsidRPr="00A03335">
        <w:rPr>
          <w:shd w:val="clear" w:color="auto" w:fill="FFFFFF"/>
          <w:lang w:val="ru-RU" w:bidi="ru-RU"/>
        </w:rPr>
        <w:t>), и</w:t>
      </w:r>
      <w:r w:rsidRPr="00A03335">
        <w:rPr>
          <w:lang w:val="ru-RU" w:bidi="ru-RU"/>
        </w:rPr>
        <w:t xml:space="preserve"> </w:t>
      </w:r>
      <w:r w:rsidRPr="00A03335">
        <w:rPr>
          <w:shd w:val="clear" w:color="auto" w:fill="FFFFFF"/>
          <w:lang w:val="ru-RU" w:bidi="ru-RU"/>
        </w:rPr>
        <w:t>было представлено несколько</w:t>
      </w:r>
      <w:r w:rsidRPr="00A03335">
        <w:rPr>
          <w:lang w:val="ru-RU" w:bidi="ru-RU"/>
        </w:rPr>
        <w:t xml:space="preserve"> </w:t>
      </w:r>
      <w:r w:rsidRPr="00A03335">
        <w:rPr>
          <w:shd w:val="clear" w:color="auto" w:fill="FFFFFF"/>
          <w:lang w:val="ru-RU" w:bidi="ru-RU"/>
        </w:rPr>
        <w:t>вкладов</w:t>
      </w:r>
      <w:r w:rsidRPr="00A03335">
        <w:rPr>
          <w:lang w:val="ru-RU" w:bidi="ru-RU"/>
        </w:rPr>
        <w:t xml:space="preserve"> Государств-Членов, а также вкладов от </w:t>
      </w:r>
      <w:r w:rsidRPr="00A03335">
        <w:rPr>
          <w:shd w:val="clear" w:color="auto" w:fill="FFFFFF"/>
          <w:lang w:val="ru-RU" w:bidi="ru-RU"/>
        </w:rPr>
        <w:t>нескольких стран (</w:t>
      </w:r>
      <w:hyperlink r:id="rId20" w:history="1">
        <w:r w:rsidRPr="001860D7">
          <w:rPr>
            <w:rStyle w:val="Hyperlink"/>
            <w:szCs w:val="22"/>
          </w:rPr>
          <w:t>C</w:t>
        </w:r>
        <w:r w:rsidRPr="008C191E">
          <w:rPr>
            <w:rStyle w:val="Hyperlink"/>
            <w:szCs w:val="22"/>
            <w:lang w:val="ru-RU"/>
          </w:rPr>
          <w:t>24/83</w:t>
        </w:r>
      </w:hyperlink>
      <w:r w:rsidRPr="00A03335">
        <w:rPr>
          <w:lang w:val="ru-RU" w:bidi="ru-RU"/>
        </w:rPr>
        <w:t xml:space="preserve">; </w:t>
      </w:r>
      <w:hyperlink r:id="rId21" w:history="1">
        <w:r w:rsidRPr="001860D7">
          <w:rPr>
            <w:rStyle w:val="Hyperlink"/>
            <w:szCs w:val="22"/>
          </w:rPr>
          <w:t>C</w:t>
        </w:r>
        <w:r w:rsidRPr="008C191E">
          <w:rPr>
            <w:rStyle w:val="Hyperlink"/>
            <w:szCs w:val="22"/>
            <w:lang w:val="ru-RU"/>
          </w:rPr>
          <w:t>24/94</w:t>
        </w:r>
      </w:hyperlink>
      <w:r w:rsidRPr="00A03335">
        <w:rPr>
          <w:shd w:val="clear" w:color="auto" w:fill="FFFFFF"/>
          <w:lang w:val="ru-RU" w:bidi="ru-RU"/>
        </w:rPr>
        <w:t xml:space="preserve">; </w:t>
      </w:r>
      <w:hyperlink r:id="rId22" w:history="1">
        <w:r w:rsidRPr="001860D7">
          <w:rPr>
            <w:rStyle w:val="Hyperlink"/>
            <w:szCs w:val="22"/>
          </w:rPr>
          <w:t>C</w:t>
        </w:r>
        <w:r w:rsidRPr="008C191E">
          <w:rPr>
            <w:rStyle w:val="Hyperlink"/>
            <w:szCs w:val="22"/>
            <w:lang w:val="ru-RU"/>
          </w:rPr>
          <w:t>24/104</w:t>
        </w:r>
      </w:hyperlink>
      <w:r w:rsidRPr="00A03335">
        <w:rPr>
          <w:lang w:val="ru-RU" w:bidi="ru-RU"/>
        </w:rPr>
        <w:t xml:space="preserve">; </w:t>
      </w:r>
      <w:hyperlink r:id="rId23" w:history="1">
        <w:r w:rsidRPr="001860D7">
          <w:rPr>
            <w:rStyle w:val="Hyperlink"/>
            <w:szCs w:val="22"/>
          </w:rPr>
          <w:t>CWG</w:t>
        </w:r>
        <w:r w:rsidRPr="008C191E">
          <w:rPr>
            <w:rStyle w:val="Hyperlink"/>
            <w:szCs w:val="22"/>
            <w:lang w:val="ru-RU"/>
          </w:rPr>
          <w:t>-</w:t>
        </w:r>
        <w:r w:rsidRPr="001860D7">
          <w:rPr>
            <w:rStyle w:val="Hyperlink"/>
            <w:szCs w:val="22"/>
          </w:rPr>
          <w:t>FHR</w:t>
        </w:r>
        <w:r w:rsidRPr="008C191E">
          <w:rPr>
            <w:rStyle w:val="Hyperlink"/>
            <w:szCs w:val="22"/>
            <w:lang w:val="ru-RU"/>
          </w:rPr>
          <w:t>-18/</w:t>
        </w:r>
      </w:hyperlink>
      <w:r w:rsidRPr="008C191E">
        <w:rPr>
          <w:rStyle w:val="Hyperlink"/>
          <w:szCs w:val="22"/>
          <w:lang w:val="ru-RU"/>
        </w:rPr>
        <w:t>7</w:t>
      </w:r>
      <w:r w:rsidRPr="00A03335">
        <w:rPr>
          <w:shd w:val="clear" w:color="auto" w:fill="FFFFFF"/>
          <w:lang w:val="ru-RU" w:bidi="ru-RU"/>
        </w:rPr>
        <w:t>). Наконец, Консультативная группа Государств-Членов (КГГЧ) представила отчет о деятельности и результатах, достигнутых после внеочередной сессии Совета 2023 года (</w:t>
      </w:r>
      <w:hyperlink r:id="rId24" w:history="1">
        <w:r w:rsidRPr="001860D7">
          <w:rPr>
            <w:rStyle w:val="Hyperlink"/>
            <w:szCs w:val="22"/>
          </w:rPr>
          <w:t>C</w:t>
        </w:r>
        <w:r w:rsidRPr="008C191E">
          <w:rPr>
            <w:rStyle w:val="Hyperlink"/>
            <w:szCs w:val="22"/>
            <w:lang w:val="ru-RU"/>
          </w:rPr>
          <w:t>24/48</w:t>
        </w:r>
      </w:hyperlink>
      <w:r w:rsidRPr="00A03335">
        <w:rPr>
          <w:shd w:val="clear" w:color="auto" w:fill="FFFFFF"/>
          <w:lang w:val="ru-RU" w:bidi="ru-RU"/>
        </w:rPr>
        <w:t>).</w:t>
      </w:r>
    </w:p>
    <w:p w14:paraId="6D6B078F" w14:textId="77777777" w:rsidR="00AF6A81" w:rsidRPr="00A03335" w:rsidRDefault="00AF6A81" w:rsidP="00AF6A81">
      <w:pPr>
        <w:rPr>
          <w:rFonts w:cs="Calibri"/>
          <w:lang w:val="ru-RU"/>
        </w:rPr>
      </w:pPr>
      <w:r w:rsidRPr="00A03335">
        <w:rPr>
          <w:lang w:val="ru-RU" w:bidi="ru-RU"/>
        </w:rPr>
        <w:t>4.2</w:t>
      </w:r>
      <w:r w:rsidRPr="00A03335">
        <w:rPr>
          <w:lang w:val="ru-RU" w:bidi="ru-RU"/>
        </w:rPr>
        <w:tab/>
        <w:t>После дополнительного обсуждения и на основе информации о мероприятиях, проведенных в октябре 2023 года и январе 2024 года на собраниях РГС-ФЛР, а также на собраниях КГГЧ, состоявшихся 8 и 28 марта, 22 апреля, 13 и 23 мая, и принимая во внимание вклад Государств-Членов и членов КГГЧ, был достигнут консенсус в отношении рекомендации в адрес Совета принять решение об утверждении альтернативного проекта с переоценкой, бюджет которого не должен превышать 172,69 млн. швейцарских франков, при условии согласия большинства Государств – Членов МСЭ в соответствии с п. 79 Конвенции, и поручить Генеральному секретарю предпринять последующие шаги, необходимые для реализации альтернативного проекта с переоценкой, с учетом вкладов и выступлений Государств-Членов и КГГЧ.</w:t>
      </w:r>
    </w:p>
    <w:p w14:paraId="3E0DF8ED" w14:textId="77777777" w:rsidR="00AF6A81" w:rsidRPr="00A03335" w:rsidRDefault="00AF6A81" w:rsidP="00AF6A81">
      <w:pPr>
        <w:rPr>
          <w:rFonts w:cs="Calibri"/>
          <w:lang w:val="ru-RU"/>
        </w:rPr>
      </w:pPr>
      <w:r w:rsidRPr="00A03335">
        <w:rPr>
          <w:lang w:val="ru-RU" w:bidi="ru-RU"/>
        </w:rPr>
        <w:t>4.3</w:t>
      </w:r>
      <w:r w:rsidRPr="00A03335">
        <w:rPr>
          <w:lang w:val="ru-RU" w:bidi="ru-RU"/>
        </w:rPr>
        <w:tab/>
        <w:t xml:space="preserve">Если Совет одобрит альтернативный проект с переоценкой, РГС-ФЛР рекомендует Совету поручить Генеральному секретарю разработать оценку и стратегический план долгосрочной концепции всего комплекса зданий МСЭ в Женеве и представить первоначальный проект РГС-ФЛР в январе 2025 года, учитывая, как минимум, несколько факторов, отмеченных в ходе выступлений и во вкладах. </w:t>
      </w:r>
    </w:p>
    <w:p w14:paraId="39137F3B" w14:textId="77777777" w:rsidR="00AF6A81" w:rsidRPr="00A03335" w:rsidRDefault="00AF6A81" w:rsidP="00AF6A81">
      <w:pPr>
        <w:rPr>
          <w:rFonts w:cs="Calibri"/>
          <w:lang w:val="ru-RU"/>
        </w:rPr>
      </w:pPr>
      <w:r w:rsidRPr="00A03335">
        <w:rPr>
          <w:lang w:val="ru-RU" w:bidi="ru-RU"/>
        </w:rPr>
        <w:t>4.4</w:t>
      </w:r>
      <w:r w:rsidRPr="00A03335">
        <w:rPr>
          <w:lang w:val="ru-RU" w:bidi="ru-RU"/>
        </w:rPr>
        <w:tab/>
        <w:t xml:space="preserve">Вышеизложенные положения отражены в виде добавления </w:t>
      </w:r>
      <w:r w:rsidRPr="00A03335">
        <w:rPr>
          <w:u w:val="single"/>
          <w:lang w:val="ru-RU" w:bidi="ru-RU"/>
        </w:rPr>
        <w:t>одного пункта в квадратных скобках</w:t>
      </w:r>
      <w:r w:rsidRPr="00A03335">
        <w:rPr>
          <w:lang w:val="ru-RU" w:bidi="ru-RU"/>
        </w:rPr>
        <w:t xml:space="preserve">, касающегося сроков, в течение которых Генеральный секретарь должен представить КГГЧ описание работ, включающее проектные требования и концепцию дизайна. Специалисты по правовым вопросам отметили, что этот процесс должен соответствовать правилам закупок, что также отражено в добавлении. </w:t>
      </w:r>
    </w:p>
    <w:p w14:paraId="3578E26F" w14:textId="77777777" w:rsidR="00AF6A81" w:rsidRPr="00E61C9B" w:rsidRDefault="00AF6A81" w:rsidP="00AF6A81">
      <w:pPr>
        <w:pStyle w:val="Headingb"/>
        <w:rPr>
          <w:rFonts w:cs="Calibri"/>
          <w:lang w:val="ru-RU"/>
        </w:rPr>
      </w:pPr>
      <w:r w:rsidRPr="00E61C9B">
        <w:rPr>
          <w:lang w:val="ru-RU" w:bidi="ru-RU"/>
        </w:rPr>
        <w:t>Рекомендация</w:t>
      </w:r>
    </w:p>
    <w:p w14:paraId="79937963" w14:textId="77777777" w:rsidR="00AF6A81" w:rsidRPr="00A03335" w:rsidRDefault="00AF6A81" w:rsidP="00AF6A81">
      <w:pPr>
        <w:rPr>
          <w:rFonts w:cs="Calibri"/>
          <w:lang w:val="ru-RU"/>
        </w:rPr>
      </w:pPr>
      <w:r w:rsidRPr="00A03335">
        <w:rPr>
          <w:lang w:val="ru-RU" w:bidi="ru-RU"/>
        </w:rPr>
        <w:t xml:space="preserve">Рабочая группа Совета по финансовым и людским ресурсам (РГС-ФЛР), принимая во внимание Резолюцию 212 (Пересм. Бухарест, 2022 г.) Полномочной конференции о </w:t>
      </w:r>
      <w:r w:rsidRPr="00A03335">
        <w:rPr>
          <w:i/>
          <w:lang w:val="ru-RU" w:bidi="ru-RU"/>
        </w:rPr>
        <w:t>будущ</w:t>
      </w:r>
      <w:r>
        <w:rPr>
          <w:i/>
          <w:lang w:val="ru-RU" w:bidi="ru-RU"/>
        </w:rPr>
        <w:t>их помещениях</w:t>
      </w:r>
      <w:r w:rsidRPr="00A03335">
        <w:rPr>
          <w:i/>
          <w:lang w:val="ru-RU" w:bidi="ru-RU"/>
        </w:rPr>
        <w:t xml:space="preserve"> штаб-квартир</w:t>
      </w:r>
      <w:r>
        <w:rPr>
          <w:i/>
          <w:lang w:val="ru-RU" w:bidi="ru-RU"/>
        </w:rPr>
        <w:t>ы</w:t>
      </w:r>
      <w:r w:rsidRPr="00A03335">
        <w:rPr>
          <w:i/>
          <w:lang w:val="ru-RU" w:bidi="ru-RU"/>
        </w:rPr>
        <w:t xml:space="preserve"> Союза, </w:t>
      </w:r>
      <w:r w:rsidRPr="00A03335">
        <w:rPr>
          <w:lang w:val="ru-RU" w:bidi="ru-RU"/>
        </w:rPr>
        <w:t>рекомендует Совету-24 принять решение, включающее следующие элементы:</w:t>
      </w:r>
    </w:p>
    <w:p w14:paraId="29A4CC98" w14:textId="3D060C51" w:rsidR="00AF6A81" w:rsidRPr="00A03335" w:rsidRDefault="00AF6A81" w:rsidP="00AF6A81">
      <w:pPr>
        <w:pStyle w:val="enumlev1"/>
        <w:rPr>
          <w:rFonts w:cs="Calibri"/>
          <w:lang w:val="ru-RU"/>
        </w:rPr>
      </w:pPr>
      <w:r w:rsidRPr="00AF6A81">
        <w:rPr>
          <w:lang w:val="ru-RU" w:bidi="ru-RU"/>
        </w:rPr>
        <w:t>1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>утвердить альтернативный проект с переоценкой, бюджет которого не должен превышать 172,69</w:t>
      </w:r>
      <w:r>
        <w:rPr>
          <w:lang w:val="ru-RU" w:bidi="ru-RU"/>
        </w:rPr>
        <w:t> </w:t>
      </w:r>
      <w:r w:rsidRPr="00A03335">
        <w:rPr>
          <w:lang w:val="ru-RU" w:bidi="ru-RU"/>
        </w:rPr>
        <w:t>млн. швейцарских франков, при условии получения согласия большинства Государств – Членов МСЭ в соответствии с п. 79 Конвенции, и поручить Генеральному секретарю:</w:t>
      </w:r>
    </w:p>
    <w:p w14:paraId="32499FFD" w14:textId="222386DA" w:rsidR="00AF6A81" w:rsidRPr="00A03335" w:rsidRDefault="00AF6A81" w:rsidP="00AF6A81">
      <w:pPr>
        <w:pStyle w:val="enumlev2"/>
        <w:spacing w:after="120"/>
        <w:rPr>
          <w:rFonts w:cs="Calibri"/>
          <w:lang w:val="ru-RU"/>
        </w:rPr>
      </w:pPr>
      <w:r>
        <w:rPr>
          <w:lang w:val="en-US" w:bidi="ru-RU"/>
        </w:rPr>
        <w:lastRenderedPageBreak/>
        <w:t>a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предпринять все необходимые шаги для реализации альтернативного проекта с переоценкой, чтобы удовлетворить потребности Членов и сотрудников МСЭ, как это отражено в таблицах ниже</w:t>
      </w:r>
      <w:r>
        <w:rPr>
          <w:lang w:val="ru-RU" w:bidi="ru-RU"/>
        </w:rPr>
        <w:t>;</w:t>
      </w:r>
    </w:p>
    <w:tbl>
      <w:tblPr>
        <w:tblStyle w:val="TableGrid"/>
        <w:tblW w:w="7650" w:type="dxa"/>
        <w:jc w:val="center"/>
        <w:tblLook w:val="04A0" w:firstRow="1" w:lastRow="0" w:firstColumn="1" w:lastColumn="0" w:noHBand="0" w:noVBand="1"/>
      </w:tblPr>
      <w:tblGrid>
        <w:gridCol w:w="2835"/>
        <w:gridCol w:w="4815"/>
      </w:tblGrid>
      <w:tr w:rsidR="00AF6A81" w:rsidRPr="00ED3488" w14:paraId="78C69312" w14:textId="77777777" w:rsidTr="00F120B7">
        <w:trPr>
          <w:trHeight w:val="381"/>
          <w:jc w:val="center"/>
        </w:trPr>
        <w:tc>
          <w:tcPr>
            <w:tcW w:w="7650" w:type="dxa"/>
            <w:gridSpan w:val="2"/>
          </w:tcPr>
          <w:p w14:paraId="4D8B6C4D" w14:textId="77777777" w:rsidR="00AF6A81" w:rsidRPr="00A03335" w:rsidRDefault="00AF6A81" w:rsidP="00AF6A81">
            <w:pPr>
              <w:pStyle w:val="Tablehead"/>
              <w:rPr>
                <w:rFonts w:eastAsia="Calibri" w:cs="Calibri"/>
                <w:bCs/>
                <w:lang w:val="ru-RU" w:eastAsia="en-GB"/>
              </w:rPr>
            </w:pPr>
            <w:r w:rsidRPr="00A03335">
              <w:rPr>
                <w:lang w:val="ru-RU" w:bidi="ru-RU"/>
              </w:rPr>
              <w:t>Объем работ по альтернативному проекту с переоценкой</w:t>
            </w:r>
          </w:p>
        </w:tc>
      </w:tr>
      <w:tr w:rsidR="00AF6A81" w:rsidRPr="00ED3488" w14:paraId="1FFD52A7" w14:textId="77777777" w:rsidTr="00F120B7">
        <w:trPr>
          <w:trHeight w:val="815"/>
          <w:jc w:val="center"/>
        </w:trPr>
        <w:tc>
          <w:tcPr>
            <w:tcW w:w="2835" w:type="dxa"/>
            <w:hideMark/>
          </w:tcPr>
          <w:p w14:paraId="75051638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  <w:lang w:eastAsia="en-GB"/>
              </w:rPr>
            </w:pPr>
            <w:r w:rsidRPr="00AF6A81">
              <w:rPr>
                <w:b/>
                <w:bCs/>
                <w:lang w:val="ru-RU" w:bidi="ru-RU"/>
              </w:rPr>
              <w:t>Помещения для проведения конференций</w:t>
            </w:r>
          </w:p>
        </w:tc>
        <w:tc>
          <w:tcPr>
            <w:tcW w:w="4815" w:type="dxa"/>
            <w:hideMark/>
          </w:tcPr>
          <w:p w14:paraId="5F3245C6" w14:textId="77777777" w:rsidR="00AF6A81" w:rsidRPr="00A03335" w:rsidRDefault="00AF6A81" w:rsidP="00AF6A81">
            <w:pPr>
              <w:pStyle w:val="Tabletext"/>
              <w:rPr>
                <w:rFonts w:cs="Calibri"/>
                <w:lang w:val="ru-RU" w:eastAsia="en-GB"/>
              </w:rPr>
            </w:pPr>
            <w:r w:rsidRPr="00AF6A81">
              <w:rPr>
                <w:b/>
                <w:bCs/>
                <w:lang w:val="ru-RU" w:bidi="ru-RU"/>
              </w:rPr>
              <w:t>Большой конференц-зал (спонсируется Саудовской Аравией)</w:t>
            </w:r>
            <w:r w:rsidRPr="00A03335">
              <w:rPr>
                <w:lang w:val="ru-RU" w:bidi="ru-RU"/>
              </w:rPr>
              <w:br/>
              <w:t>Около 500 мест</w:t>
            </w:r>
          </w:p>
          <w:p w14:paraId="26AB9845" w14:textId="77777777" w:rsidR="00AF6A81" w:rsidRPr="00A03335" w:rsidRDefault="00AF6A81" w:rsidP="00AF6A81">
            <w:pPr>
              <w:pStyle w:val="Tabletext"/>
              <w:rPr>
                <w:rFonts w:cs="Calibri"/>
                <w:lang w:val="ru-RU" w:eastAsia="en-GB"/>
              </w:rPr>
            </w:pPr>
            <w:r w:rsidRPr="00AF6A81">
              <w:rPr>
                <w:b/>
                <w:bCs/>
                <w:lang w:val="ru-RU" w:bidi="ru-RU"/>
              </w:rPr>
              <w:t>Прилегающая зона конференц-зала</w:t>
            </w:r>
            <w:r w:rsidRPr="00A03335">
              <w:rPr>
                <w:lang w:val="ru-RU" w:bidi="ru-RU"/>
              </w:rPr>
              <w:br/>
              <w:t>Пропорциональный размер</w:t>
            </w:r>
          </w:p>
        </w:tc>
      </w:tr>
      <w:tr w:rsidR="00AF6A81" w:rsidRPr="00ED3488" w14:paraId="53D26F83" w14:textId="77777777" w:rsidTr="00F120B7">
        <w:trPr>
          <w:trHeight w:val="745"/>
          <w:jc w:val="center"/>
        </w:trPr>
        <w:tc>
          <w:tcPr>
            <w:tcW w:w="2835" w:type="dxa"/>
            <w:hideMark/>
          </w:tcPr>
          <w:p w14:paraId="5458A45D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  <w:lang w:eastAsia="en-GB"/>
              </w:rPr>
            </w:pPr>
            <w:r w:rsidRPr="00AF6A81">
              <w:rPr>
                <w:b/>
                <w:bCs/>
                <w:lang w:val="ru-RU" w:bidi="ru-RU"/>
              </w:rPr>
              <w:t>Обеспечение питания</w:t>
            </w:r>
          </w:p>
        </w:tc>
        <w:tc>
          <w:tcPr>
            <w:tcW w:w="4815" w:type="dxa"/>
            <w:hideMark/>
          </w:tcPr>
          <w:p w14:paraId="67A65980" w14:textId="77777777" w:rsidR="00AF6A81" w:rsidRPr="00A03335" w:rsidRDefault="00AF6A81" w:rsidP="00AF6A81">
            <w:pPr>
              <w:pStyle w:val="Tabletext"/>
              <w:rPr>
                <w:rFonts w:cs="Calibri"/>
                <w:lang w:val="ru-RU" w:eastAsia="en-GB"/>
              </w:rPr>
            </w:pPr>
            <w:r w:rsidRPr="00AF6A81">
              <w:rPr>
                <w:b/>
                <w:bCs/>
                <w:lang w:val="ru-RU" w:bidi="ru-RU"/>
              </w:rPr>
              <w:t>Кафетерий</w:t>
            </w:r>
            <w:r w:rsidRPr="00A03335">
              <w:rPr>
                <w:lang w:val="ru-RU" w:bidi="ru-RU"/>
              </w:rPr>
              <w:t xml:space="preserve"> </w:t>
            </w:r>
            <w:r w:rsidRPr="00A03335">
              <w:rPr>
                <w:lang w:val="ru-RU" w:bidi="ru-RU"/>
              </w:rPr>
              <w:br/>
              <w:t>Обеденный зал на 150 мест</w:t>
            </w:r>
          </w:p>
          <w:p w14:paraId="73C47BE8" w14:textId="77777777" w:rsidR="00AF6A81" w:rsidRPr="00A03335" w:rsidRDefault="00AF6A81" w:rsidP="00AF6A81">
            <w:pPr>
              <w:pStyle w:val="Tabletext"/>
              <w:rPr>
                <w:rFonts w:cs="Calibri"/>
                <w:lang w:val="ru-RU" w:eastAsia="en-GB"/>
              </w:rPr>
            </w:pPr>
            <w:r w:rsidRPr="00AF6A81">
              <w:rPr>
                <w:b/>
                <w:bCs/>
                <w:lang w:val="ru-RU" w:bidi="ru-RU"/>
              </w:rPr>
              <w:t>Зона отдыха для делегатов</w:t>
            </w:r>
            <w:r w:rsidRPr="00A03335">
              <w:rPr>
                <w:lang w:val="ru-RU" w:bidi="ru-RU"/>
              </w:rPr>
              <w:br/>
              <w:t>Около 120 мест</w:t>
            </w:r>
          </w:p>
        </w:tc>
      </w:tr>
      <w:tr w:rsidR="00AF6A81" w:rsidRPr="00A03335" w14:paraId="1076960F" w14:textId="77777777" w:rsidTr="00F120B7">
        <w:trPr>
          <w:trHeight w:val="186"/>
          <w:jc w:val="center"/>
        </w:trPr>
        <w:tc>
          <w:tcPr>
            <w:tcW w:w="2835" w:type="dxa"/>
            <w:hideMark/>
          </w:tcPr>
          <w:p w14:paraId="4B0CD4B9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  <w:lang w:eastAsia="en-GB"/>
              </w:rPr>
            </w:pPr>
            <w:r w:rsidRPr="00AF6A81">
              <w:rPr>
                <w:b/>
                <w:bCs/>
                <w:lang w:val="ru-RU" w:bidi="ru-RU"/>
              </w:rPr>
              <w:t>Залы заседаний</w:t>
            </w:r>
          </w:p>
        </w:tc>
        <w:tc>
          <w:tcPr>
            <w:tcW w:w="4815" w:type="dxa"/>
            <w:hideMark/>
          </w:tcPr>
          <w:p w14:paraId="464998C5" w14:textId="77777777" w:rsidR="00AF6A81" w:rsidRPr="00A03335" w:rsidRDefault="00AF6A81" w:rsidP="00AF6A81">
            <w:pPr>
              <w:pStyle w:val="Tabletext"/>
              <w:rPr>
                <w:rFonts w:cs="Calibri"/>
                <w:lang w:eastAsia="en-GB"/>
              </w:rPr>
            </w:pPr>
            <w:r w:rsidRPr="00A03335">
              <w:rPr>
                <w:lang w:val="ru-RU" w:bidi="ru-RU"/>
              </w:rPr>
              <w:t>Около 23 залов</w:t>
            </w:r>
          </w:p>
        </w:tc>
      </w:tr>
      <w:tr w:rsidR="00AF6A81" w:rsidRPr="00A03335" w14:paraId="3E21CCFB" w14:textId="77777777" w:rsidTr="00F120B7">
        <w:trPr>
          <w:trHeight w:val="47"/>
          <w:jc w:val="center"/>
        </w:trPr>
        <w:tc>
          <w:tcPr>
            <w:tcW w:w="2835" w:type="dxa"/>
            <w:hideMark/>
          </w:tcPr>
          <w:p w14:paraId="306784C8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  <w:lang w:eastAsia="en-GB"/>
              </w:rPr>
            </w:pPr>
            <w:r w:rsidRPr="00AF6A81">
              <w:rPr>
                <w:b/>
                <w:bCs/>
                <w:lang w:val="ru-RU" w:bidi="ru-RU"/>
              </w:rPr>
              <w:t>Рабочие места</w:t>
            </w:r>
          </w:p>
        </w:tc>
        <w:tc>
          <w:tcPr>
            <w:tcW w:w="4815" w:type="dxa"/>
            <w:hideMark/>
          </w:tcPr>
          <w:p w14:paraId="0E5DC380" w14:textId="77777777" w:rsidR="00AF6A81" w:rsidRPr="00A03335" w:rsidRDefault="00AF6A81" w:rsidP="00AF6A81">
            <w:pPr>
              <w:pStyle w:val="Tabletext"/>
              <w:rPr>
                <w:rFonts w:cs="Calibri"/>
                <w:lang w:eastAsia="en-GB"/>
              </w:rPr>
            </w:pPr>
            <w:r w:rsidRPr="00A03335">
              <w:rPr>
                <w:lang w:val="ru-RU" w:bidi="ru-RU"/>
              </w:rPr>
              <w:t>Около 200 мест</w:t>
            </w:r>
          </w:p>
        </w:tc>
      </w:tr>
      <w:tr w:rsidR="00AF6A81" w:rsidRPr="00ED3488" w14:paraId="03FECEA0" w14:textId="77777777" w:rsidTr="00F120B7">
        <w:trPr>
          <w:trHeight w:val="47"/>
          <w:jc w:val="center"/>
        </w:trPr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31C19DF7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  <w:lang w:eastAsia="en-GB"/>
              </w:rPr>
            </w:pPr>
            <w:r w:rsidRPr="00AF6A81">
              <w:rPr>
                <w:b/>
                <w:bCs/>
                <w:lang w:val="ru-RU" w:bidi="ru-RU"/>
              </w:rPr>
              <w:t>Необходимые вспомогательные помещения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6BD5CBF8" w14:textId="77777777" w:rsidR="00AF6A81" w:rsidRPr="00A03335" w:rsidRDefault="00AF6A81" w:rsidP="00AF6A81">
            <w:pPr>
              <w:pStyle w:val="Tabletext"/>
              <w:rPr>
                <w:rFonts w:cs="Calibri"/>
                <w:lang w:val="ru-RU" w:eastAsia="en-GB"/>
              </w:rPr>
            </w:pPr>
            <w:r w:rsidRPr="00A03335">
              <w:rPr>
                <w:lang w:val="ru-RU" w:bidi="ru-RU"/>
              </w:rPr>
              <w:t>Достаточное количество для поддержки функционирования эт</w:t>
            </w:r>
            <w:r>
              <w:rPr>
                <w:lang w:val="ru-RU" w:bidi="ru-RU"/>
              </w:rPr>
              <w:t>их</w:t>
            </w:r>
            <w:r w:rsidRPr="00A03335">
              <w:rPr>
                <w:lang w:val="ru-RU" w:bidi="ru-RU"/>
              </w:rPr>
              <w:t xml:space="preserve"> объект</w:t>
            </w:r>
            <w:r>
              <w:rPr>
                <w:lang w:val="ru-RU" w:bidi="ru-RU"/>
              </w:rPr>
              <w:t>ов</w:t>
            </w:r>
          </w:p>
        </w:tc>
      </w:tr>
      <w:tr w:rsidR="00AF6A81" w:rsidRPr="00ED3488" w14:paraId="42360BCA" w14:textId="77777777" w:rsidTr="00F120B7">
        <w:trPr>
          <w:trHeight w:val="47"/>
          <w:jc w:val="center"/>
        </w:trPr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61498865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  <w:lang w:eastAsia="en-GB"/>
              </w:rPr>
            </w:pPr>
            <w:r w:rsidRPr="00AF6A81">
              <w:rPr>
                <w:b/>
                <w:bCs/>
                <w:lang w:val="ru-RU" w:bidi="ru-RU"/>
              </w:rPr>
              <w:t>Проектный размер здания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hideMark/>
          </w:tcPr>
          <w:p w14:paraId="5D027457" w14:textId="77777777" w:rsidR="00AF6A81" w:rsidRPr="00A03335" w:rsidRDefault="00AF6A81" w:rsidP="00AF6A81">
            <w:pPr>
              <w:pStyle w:val="Tabletext"/>
              <w:rPr>
                <w:rFonts w:cs="Calibri"/>
                <w:lang w:val="ru-RU" w:eastAsia="en-GB"/>
              </w:rPr>
            </w:pPr>
            <w:r w:rsidRPr="00A03335">
              <w:rPr>
                <w:lang w:val="ru-RU" w:bidi="ru-RU"/>
              </w:rPr>
              <w:t>Приблизительно 15 000 кв. м (аналогично проекту, который будет заменен)</w:t>
            </w:r>
          </w:p>
        </w:tc>
      </w:tr>
      <w:tr w:rsidR="00AF6A81" w:rsidRPr="00ED3488" w14:paraId="4F3D8220" w14:textId="77777777" w:rsidTr="00F120B7">
        <w:trPr>
          <w:trHeight w:val="4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75B11" w14:textId="77777777" w:rsidR="00AF6A81" w:rsidRPr="00A03335" w:rsidRDefault="00AF6A81" w:rsidP="00AF6A81">
            <w:pPr>
              <w:pStyle w:val="Tabletext"/>
              <w:rPr>
                <w:lang w:val="ru-RU" w:bidi="ru-RU"/>
              </w:rPr>
            </w:pPr>
          </w:p>
        </w:tc>
      </w:tr>
      <w:tr w:rsidR="00AF6A81" w:rsidRPr="00ED3488" w14:paraId="114C9C97" w14:textId="77777777" w:rsidTr="00F120B7">
        <w:tblPrEx>
          <w:tblLook w:val="0420" w:firstRow="1" w:lastRow="0" w:firstColumn="0" w:lastColumn="0" w:noHBand="0" w:noVBand="1"/>
        </w:tblPrEx>
        <w:trPr>
          <w:trHeight w:val="47"/>
          <w:jc w:val="center"/>
        </w:trPr>
        <w:tc>
          <w:tcPr>
            <w:tcW w:w="7650" w:type="dxa"/>
            <w:gridSpan w:val="2"/>
            <w:tcBorders>
              <w:top w:val="single" w:sz="4" w:space="0" w:color="auto"/>
            </w:tcBorders>
            <w:hideMark/>
          </w:tcPr>
          <w:p w14:paraId="79C18D09" w14:textId="77777777" w:rsidR="00AF6A81" w:rsidRPr="00AF6A81" w:rsidRDefault="00AF6A81" w:rsidP="00FA3594">
            <w:pPr>
              <w:pStyle w:val="Tablehead"/>
              <w:rPr>
                <w:rFonts w:cs="Calibri"/>
                <w:lang w:val="ru-RU"/>
              </w:rPr>
            </w:pPr>
            <w:r w:rsidRPr="00AF6A81">
              <w:rPr>
                <w:lang w:val="ru-RU" w:bidi="ru-RU"/>
              </w:rPr>
              <w:t>Основные этапы альтернативного проекта с переоценкой</w:t>
            </w:r>
          </w:p>
        </w:tc>
      </w:tr>
      <w:tr w:rsidR="00AF6A81" w:rsidRPr="00A03335" w14:paraId="7EA0BF1D" w14:textId="77777777" w:rsidTr="00F120B7">
        <w:tblPrEx>
          <w:tblLook w:val="0420" w:firstRow="1" w:lastRow="0" w:firstColumn="0" w:lastColumn="0" w:noHBand="0" w:noVBand="1"/>
        </w:tblPrEx>
        <w:trPr>
          <w:trHeight w:val="55"/>
          <w:jc w:val="center"/>
        </w:trPr>
        <w:tc>
          <w:tcPr>
            <w:tcW w:w="2835" w:type="dxa"/>
            <w:hideMark/>
          </w:tcPr>
          <w:p w14:paraId="43200C52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</w:rPr>
            </w:pPr>
            <w:r w:rsidRPr="00AF6A81">
              <w:rPr>
                <w:b/>
                <w:bCs/>
                <w:lang w:val="ru-RU" w:bidi="ru-RU"/>
              </w:rPr>
              <w:t>Планирование и проектирование</w:t>
            </w:r>
          </w:p>
        </w:tc>
        <w:tc>
          <w:tcPr>
            <w:tcW w:w="4815" w:type="dxa"/>
            <w:hideMark/>
          </w:tcPr>
          <w:p w14:paraId="3F8579DC" w14:textId="77777777" w:rsidR="00AF6A81" w:rsidRPr="00A03335" w:rsidRDefault="00AF6A81" w:rsidP="00AF6A81">
            <w:pPr>
              <w:pStyle w:val="Tabletext"/>
              <w:jc w:val="center"/>
              <w:rPr>
                <w:rFonts w:cs="Calibri"/>
              </w:rPr>
            </w:pPr>
            <w:r w:rsidRPr="00A03335">
              <w:rPr>
                <w:lang w:val="ru-RU" w:bidi="ru-RU"/>
              </w:rPr>
              <w:t>2024–2026 гг.</w:t>
            </w:r>
          </w:p>
        </w:tc>
      </w:tr>
      <w:tr w:rsidR="00AF6A81" w:rsidRPr="00A03335" w14:paraId="10EA80CE" w14:textId="77777777" w:rsidTr="00F120B7">
        <w:tblPrEx>
          <w:tblLook w:val="0420" w:firstRow="1" w:lastRow="0" w:firstColumn="0" w:lastColumn="0" w:noHBand="0" w:noVBand="1"/>
        </w:tblPrEx>
        <w:trPr>
          <w:trHeight w:val="47"/>
          <w:jc w:val="center"/>
        </w:trPr>
        <w:tc>
          <w:tcPr>
            <w:tcW w:w="2835" w:type="dxa"/>
            <w:hideMark/>
          </w:tcPr>
          <w:p w14:paraId="77D0C5B3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</w:rPr>
            </w:pPr>
            <w:r w:rsidRPr="00AF6A81">
              <w:rPr>
                <w:b/>
                <w:bCs/>
                <w:lang w:val="ru-RU" w:bidi="ru-RU"/>
              </w:rPr>
              <w:t>Тендер и контракт </w:t>
            </w:r>
          </w:p>
        </w:tc>
        <w:tc>
          <w:tcPr>
            <w:tcW w:w="4815" w:type="dxa"/>
            <w:hideMark/>
          </w:tcPr>
          <w:p w14:paraId="1F3D6222" w14:textId="77777777" w:rsidR="00AF6A81" w:rsidRPr="00A03335" w:rsidRDefault="00AF6A81" w:rsidP="00AF6A81">
            <w:pPr>
              <w:pStyle w:val="Tabletext"/>
              <w:jc w:val="center"/>
              <w:rPr>
                <w:rFonts w:cs="Calibri"/>
              </w:rPr>
            </w:pPr>
            <w:r w:rsidRPr="00A03335">
              <w:rPr>
                <w:lang w:val="ru-RU" w:bidi="ru-RU"/>
              </w:rPr>
              <w:t>2027 г.</w:t>
            </w:r>
          </w:p>
        </w:tc>
      </w:tr>
      <w:tr w:rsidR="00AF6A81" w:rsidRPr="00A03335" w14:paraId="4B5BA1BC" w14:textId="77777777" w:rsidTr="00F120B7">
        <w:tblPrEx>
          <w:tblLook w:val="0420" w:firstRow="1" w:lastRow="0" w:firstColumn="0" w:lastColumn="0" w:noHBand="0" w:noVBand="1"/>
        </w:tblPrEx>
        <w:trPr>
          <w:trHeight w:val="47"/>
          <w:jc w:val="center"/>
        </w:trPr>
        <w:tc>
          <w:tcPr>
            <w:tcW w:w="2835" w:type="dxa"/>
            <w:hideMark/>
          </w:tcPr>
          <w:p w14:paraId="0F5C1922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</w:rPr>
            </w:pPr>
            <w:r w:rsidRPr="00AF6A81">
              <w:rPr>
                <w:b/>
                <w:bCs/>
                <w:lang w:val="ru-RU" w:bidi="ru-RU"/>
              </w:rPr>
              <w:t>Разрешение и исполнение</w:t>
            </w:r>
          </w:p>
        </w:tc>
        <w:tc>
          <w:tcPr>
            <w:tcW w:w="4815" w:type="dxa"/>
            <w:hideMark/>
          </w:tcPr>
          <w:p w14:paraId="5B3CECF7" w14:textId="77777777" w:rsidR="00AF6A81" w:rsidRPr="00A03335" w:rsidRDefault="00AF6A81" w:rsidP="00AF6A81">
            <w:pPr>
              <w:pStyle w:val="Tabletext"/>
              <w:jc w:val="center"/>
              <w:rPr>
                <w:rFonts w:cs="Calibri"/>
              </w:rPr>
            </w:pPr>
            <w:r w:rsidRPr="00A03335">
              <w:rPr>
                <w:lang w:val="ru-RU" w:bidi="ru-RU"/>
              </w:rPr>
              <w:t>2028–2031 гг.</w:t>
            </w:r>
          </w:p>
        </w:tc>
      </w:tr>
      <w:tr w:rsidR="00AF6A81" w:rsidRPr="00A03335" w14:paraId="31C5718E" w14:textId="77777777" w:rsidTr="00F120B7">
        <w:tblPrEx>
          <w:tblLook w:val="0420" w:firstRow="1" w:lastRow="0" w:firstColumn="0" w:lastColumn="0" w:noHBand="0" w:noVBand="1"/>
        </w:tblPrEx>
        <w:trPr>
          <w:trHeight w:val="47"/>
          <w:jc w:val="center"/>
        </w:trPr>
        <w:tc>
          <w:tcPr>
            <w:tcW w:w="2835" w:type="dxa"/>
            <w:hideMark/>
          </w:tcPr>
          <w:p w14:paraId="1558999E" w14:textId="77777777" w:rsidR="00AF6A81" w:rsidRPr="00AF6A81" w:rsidRDefault="00AF6A81" w:rsidP="00AF6A81">
            <w:pPr>
              <w:pStyle w:val="Tabletext"/>
              <w:rPr>
                <w:rFonts w:cs="Calibri"/>
                <w:b/>
                <w:bCs/>
              </w:rPr>
            </w:pPr>
            <w:r w:rsidRPr="00AF6A81">
              <w:rPr>
                <w:b/>
                <w:bCs/>
                <w:lang w:val="ru-RU" w:bidi="ru-RU"/>
              </w:rPr>
              <w:t>Передача объекта</w:t>
            </w:r>
          </w:p>
        </w:tc>
        <w:tc>
          <w:tcPr>
            <w:tcW w:w="4815" w:type="dxa"/>
            <w:hideMark/>
          </w:tcPr>
          <w:p w14:paraId="030A0098" w14:textId="77777777" w:rsidR="00AF6A81" w:rsidRPr="00A03335" w:rsidRDefault="00AF6A81" w:rsidP="00AF6A81">
            <w:pPr>
              <w:pStyle w:val="Tabletext"/>
              <w:jc w:val="center"/>
              <w:rPr>
                <w:rFonts w:cs="Calibri"/>
              </w:rPr>
            </w:pPr>
            <w:r w:rsidRPr="00A03335">
              <w:rPr>
                <w:lang w:val="ru-RU" w:bidi="ru-RU"/>
              </w:rPr>
              <w:t>2031 г.</w:t>
            </w:r>
          </w:p>
        </w:tc>
      </w:tr>
    </w:tbl>
    <w:p w14:paraId="2CB6ECFA" w14:textId="5FA56AC8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b</w:t>
      </w:r>
      <w:r w:rsidRPr="00AF6A81">
        <w:rPr>
          <w:lang w:val="ru-RU" w:bidi="ru-RU"/>
        </w:rPr>
        <w:t>)</w:t>
      </w:r>
      <w:r w:rsidRPr="00F120B7">
        <w:rPr>
          <w:lang w:val="ru-RU" w:bidi="ru-RU"/>
        </w:rPr>
        <w:tab/>
      </w:r>
      <w:r w:rsidRPr="00A03335">
        <w:rPr>
          <w:lang w:val="ru-RU" w:bidi="ru-RU"/>
        </w:rPr>
        <w:t>связаться со страной пребывания и принять необходимые меры для перепрофилирования ссуды в размере 150</w:t>
      </w:r>
      <w:r>
        <w:rPr>
          <w:lang w:val="ru-RU" w:bidi="ru-RU"/>
        </w:rPr>
        <w:t> </w:t>
      </w:r>
      <w:r w:rsidRPr="00A03335">
        <w:rPr>
          <w:lang w:val="ru-RU" w:bidi="ru-RU"/>
        </w:rPr>
        <w:t>млн. швейцарских франков для переоцененного проекта;</w:t>
      </w:r>
    </w:p>
    <w:p w14:paraId="00ADF0CA" w14:textId="75C10261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c</w:t>
      </w:r>
      <w:r w:rsidRPr="00AF6A81">
        <w:rPr>
          <w:lang w:val="ru-RU" w:bidi="ru-RU"/>
        </w:rPr>
        <w:t>)</w:t>
      </w:r>
      <w:r w:rsidRPr="00FA3594">
        <w:rPr>
          <w:lang w:val="ru-RU" w:bidi="ru-RU"/>
        </w:rPr>
        <w:tab/>
      </w:r>
      <w:r w:rsidRPr="00A03335">
        <w:rPr>
          <w:lang w:val="ru-RU" w:bidi="ru-RU"/>
        </w:rPr>
        <w:t>взаимодействовать со спонсорами и заинтересованными сторонами с целью сохранения обязательств по предоставлению спонсорской поддержки, как указано в Резолюции</w:t>
      </w:r>
      <w:r>
        <w:rPr>
          <w:lang w:val="ru-RU" w:bidi="ru-RU"/>
        </w:rPr>
        <w:t> </w:t>
      </w:r>
      <w:r w:rsidRPr="00A03335">
        <w:rPr>
          <w:lang w:val="ru-RU" w:bidi="ru-RU"/>
        </w:rPr>
        <w:t>212 (например, в пункте</w:t>
      </w:r>
      <w:r>
        <w:rPr>
          <w:lang w:val="ru-RU" w:bidi="ru-RU"/>
        </w:rPr>
        <w:t> </w:t>
      </w:r>
      <w:r w:rsidRPr="00FA3594">
        <w:rPr>
          <w:i/>
          <w:iCs/>
          <w:lang w:val="ru-RU" w:bidi="ru-RU"/>
        </w:rPr>
        <w:t>d</w:t>
      </w:r>
      <w:r w:rsidR="00FA3594" w:rsidRPr="00FA3594">
        <w:rPr>
          <w:i/>
          <w:iCs/>
          <w:lang w:val="ru-RU" w:bidi="ru-RU"/>
        </w:rPr>
        <w:t>)</w:t>
      </w:r>
      <w:r w:rsidRPr="00A03335">
        <w:rPr>
          <w:lang w:val="ru-RU" w:bidi="ru-RU"/>
        </w:rPr>
        <w:t xml:space="preserve"> раздела </w:t>
      </w:r>
      <w:r w:rsidRPr="00A03335">
        <w:rPr>
          <w:i/>
          <w:lang w:val="ru-RU" w:bidi="ru-RU"/>
        </w:rPr>
        <w:t>отмечая</w:t>
      </w:r>
      <w:r w:rsidRPr="00A03335">
        <w:rPr>
          <w:lang w:val="ru-RU" w:bidi="ru-RU"/>
        </w:rPr>
        <w:t>), и поиска взаимоприемлемых решений для выполнения обязательств, которые могут оказаться невыполнимыми в рамках альтернативного проекта с переоценкой;</w:t>
      </w:r>
    </w:p>
    <w:p w14:paraId="2BFB312D" w14:textId="66FD88E5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d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обеспечить, чтобы концепция и реализация проекта с переоценкой соответствовала потребностям Союза, предоставив КГГЧ информацию, необходимую для того, чтобы:</w:t>
      </w:r>
    </w:p>
    <w:p w14:paraId="5E9A633D" w14:textId="446AE541" w:rsidR="00AF6A81" w:rsidRPr="00A03335" w:rsidRDefault="00AF6A81" w:rsidP="00AF6A81">
      <w:pPr>
        <w:pStyle w:val="enumlev3"/>
        <w:rPr>
          <w:rFonts w:cs="Calibri"/>
          <w:lang w:val="ru-RU"/>
        </w:rPr>
      </w:pPr>
      <w:r>
        <w:rPr>
          <w:lang w:val="en-US" w:bidi="ru-RU"/>
        </w:rPr>
        <w:t>i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представлять консультации и рекомендации общего характера относительно проекта, с тем чтобы обеспечивать соблюдение сроков и исполнение бюджета (не выходить за рамки 172,69</w:t>
      </w:r>
      <w:r>
        <w:rPr>
          <w:lang w:val="ru-RU" w:bidi="ru-RU"/>
        </w:rPr>
        <w:t> </w:t>
      </w:r>
      <w:r w:rsidRPr="00A03335">
        <w:rPr>
          <w:lang w:val="ru-RU" w:bidi="ru-RU"/>
        </w:rPr>
        <w:t>млн. швейцарских франков);</w:t>
      </w:r>
    </w:p>
    <w:p w14:paraId="63DE02F9" w14:textId="14F11212" w:rsidR="00AF6A81" w:rsidRPr="00A03335" w:rsidRDefault="00AF6A81" w:rsidP="00AF6A81">
      <w:pPr>
        <w:pStyle w:val="enumlev3"/>
        <w:rPr>
          <w:rFonts w:cs="Calibri"/>
          <w:lang w:val="ru-RU"/>
        </w:rPr>
      </w:pPr>
      <w:r>
        <w:rPr>
          <w:lang w:val="en-US" w:bidi="ru-RU"/>
        </w:rPr>
        <w:t>ii</w:t>
      </w:r>
      <w:r w:rsidRPr="00AF6A81">
        <w:rPr>
          <w:lang w:val="ru-RU" w:bidi="ru-RU"/>
        </w:rPr>
        <w:t>)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 xml:space="preserve">предоставлять рекомендации относительно любых изменений в финансировании в результате колебаний расходов, экономии или любой возможной дополнительной спонсорской поддержки или пожертвования; </w:t>
      </w:r>
    </w:p>
    <w:p w14:paraId="5724EA84" w14:textId="70A3654D" w:rsidR="00AF6A81" w:rsidRPr="00A03335" w:rsidRDefault="00AF6A81" w:rsidP="00AF6A81">
      <w:pPr>
        <w:pStyle w:val="enumlev3"/>
        <w:rPr>
          <w:rFonts w:cs="Calibri"/>
          <w:lang w:val="ru-RU"/>
        </w:rPr>
      </w:pPr>
      <w:r>
        <w:rPr>
          <w:lang w:val="en-US" w:bidi="ru-RU"/>
        </w:rPr>
        <w:t>iii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предоставить руководство по взаимодействию со спонсорами и заинтересованными сторонами.</w:t>
      </w:r>
    </w:p>
    <w:p w14:paraId="3E459E8C" w14:textId="4C9FA5A2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lastRenderedPageBreak/>
        <w:t>e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[к декабрю 2024 года предоставить КГГЧ обновленное описание работ, которое будет включать в себя проектные требования и концепцию дизайна, в соответствии с правилами закупок;]</w:t>
      </w:r>
    </w:p>
    <w:p w14:paraId="0FE03D79" w14:textId="7EE38748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f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продолжать консультации с КГГЧ на протяжении всего процесса проектирования и строительства, соблюдая при этом правила закупок.</w:t>
      </w:r>
    </w:p>
    <w:p w14:paraId="28A311EA" w14:textId="07D5C3A9" w:rsidR="00AF6A81" w:rsidRPr="00A03335" w:rsidRDefault="00AF6A81" w:rsidP="00AF6A81">
      <w:pPr>
        <w:pStyle w:val="enumlev1"/>
        <w:rPr>
          <w:rFonts w:cs="Calibri"/>
          <w:lang w:val="ru-RU"/>
        </w:rPr>
      </w:pPr>
      <w:r w:rsidRPr="00AF6A81">
        <w:rPr>
          <w:lang w:val="ru-RU" w:bidi="ru-RU"/>
        </w:rPr>
        <w:t>2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>Поручить Генеральному секретарю разработать оценку и стратегический план, а также представить первоначальный проект на сессии РГС-ФЛР, которая пройдет в январе 2025</w:t>
      </w:r>
      <w:r>
        <w:rPr>
          <w:lang w:val="ru-RU" w:bidi="ru-RU"/>
        </w:rPr>
        <w:t> </w:t>
      </w:r>
      <w:r w:rsidRPr="00A03335">
        <w:rPr>
          <w:lang w:val="ru-RU" w:bidi="ru-RU"/>
        </w:rPr>
        <w:t xml:space="preserve">года, касающийся долгосрочной концепции всего комплекса зданий МСЭ в Женеве, учитывая, как минимум, следующие факторы: </w:t>
      </w:r>
    </w:p>
    <w:p w14:paraId="12F31860" w14:textId="174FAC79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a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общее финансовое воздействие и устойчивость комплекса зданий МСЭ в Женеве;</w:t>
      </w:r>
    </w:p>
    <w:p w14:paraId="12FAD09A" w14:textId="7D9534B1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b</w:t>
      </w:r>
      <w:r w:rsidRPr="00AF6A81">
        <w:rPr>
          <w:lang w:val="ru-RU" w:bidi="ru-RU"/>
        </w:rPr>
        <w:t>)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>требования к безопасности и защите;</w:t>
      </w:r>
    </w:p>
    <w:p w14:paraId="3B21607D" w14:textId="7C43CB57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c</w:t>
      </w:r>
      <w:r w:rsidRPr="00AF6A81">
        <w:rPr>
          <w:lang w:val="ru-RU" w:bidi="ru-RU"/>
        </w:rPr>
        <w:t>)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>требования к управлению и техническому обслуживанию;</w:t>
      </w:r>
    </w:p>
    <w:p w14:paraId="0A7F6C43" w14:textId="71A398CD" w:rsidR="00AF6A81" w:rsidRPr="00AF6A81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d</w:t>
      </w:r>
      <w:r w:rsidRPr="00AF6A81">
        <w:rPr>
          <w:lang w:val="ru-RU" w:bidi="ru-RU"/>
        </w:rPr>
        <w:t>)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>оптимизация использования всех помещений;</w:t>
      </w:r>
    </w:p>
    <w:p w14:paraId="5568F971" w14:textId="2688A934" w:rsidR="00AF6A81" w:rsidRPr="00AF6A81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e</w:t>
      </w:r>
      <w:r w:rsidRPr="00AF6A81">
        <w:rPr>
          <w:lang w:val="ru-RU" w:bidi="ru-RU"/>
        </w:rPr>
        <w:t>)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>обеспечение непрерывности ведения деятельности;</w:t>
      </w:r>
    </w:p>
    <w:p w14:paraId="3736393F" w14:textId="66201CCA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f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 xml:space="preserve">обеспечение выделения средств из регулярного бюджета на техническое обслуживание всего </w:t>
      </w:r>
      <w:r>
        <w:rPr>
          <w:lang w:val="ru-RU" w:bidi="ru-RU"/>
        </w:rPr>
        <w:t>комплекса зданий</w:t>
      </w:r>
      <w:r w:rsidRPr="00A03335">
        <w:rPr>
          <w:lang w:val="ru-RU" w:bidi="ru-RU"/>
        </w:rPr>
        <w:t xml:space="preserve"> МСЭ в Женеве;</w:t>
      </w:r>
    </w:p>
    <w:p w14:paraId="363EED85" w14:textId="5035AE23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g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гибкость работы сотрудников (например, смешанные форматы работы);</w:t>
      </w:r>
    </w:p>
    <w:p w14:paraId="272AD3AC" w14:textId="52C50141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h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>варианты альтернативных мест проведения собраний МСЭ за пределами территории комплекса зданий МСЭ в Женеве; и</w:t>
      </w:r>
    </w:p>
    <w:p w14:paraId="3107247C" w14:textId="7D1C7F5B" w:rsidR="00AF6A81" w:rsidRPr="00A03335" w:rsidRDefault="00AF6A81" w:rsidP="00AF6A81">
      <w:pPr>
        <w:pStyle w:val="enumlev2"/>
        <w:rPr>
          <w:rFonts w:cs="Calibri"/>
          <w:lang w:val="ru-RU"/>
        </w:rPr>
      </w:pPr>
      <w:r>
        <w:rPr>
          <w:lang w:val="en-US" w:bidi="ru-RU"/>
        </w:rPr>
        <w:t>i</w:t>
      </w:r>
      <w:r w:rsidRPr="00AF6A81">
        <w:rPr>
          <w:lang w:val="ru-RU" w:bidi="ru-RU"/>
        </w:rPr>
        <w:t>)</w:t>
      </w:r>
      <w:r w:rsidRPr="001860D7">
        <w:rPr>
          <w:lang w:val="ru-RU" w:bidi="ru-RU"/>
        </w:rPr>
        <w:tab/>
      </w:r>
      <w:r w:rsidRPr="00A03335">
        <w:rPr>
          <w:lang w:val="ru-RU" w:bidi="ru-RU"/>
        </w:rPr>
        <w:t xml:space="preserve">взаимодействие с Рабочей группой </w:t>
      </w:r>
      <w:r w:rsidRPr="00686B99">
        <w:rPr>
          <w:lang w:val="ru-RU" w:bidi="ru-RU"/>
        </w:rPr>
        <w:t>по разработке Стратегического и Финансового планов</w:t>
      </w:r>
      <w:r w:rsidRPr="00A03335">
        <w:rPr>
          <w:lang w:val="ru-RU" w:bidi="ru-RU"/>
        </w:rPr>
        <w:t>.</w:t>
      </w:r>
    </w:p>
    <w:p w14:paraId="7A0F68F5" w14:textId="64229E7D" w:rsidR="00AF6A81" w:rsidRPr="00A03335" w:rsidRDefault="00AF6A81" w:rsidP="00AF6A81">
      <w:pPr>
        <w:pStyle w:val="enumlev1"/>
        <w:rPr>
          <w:rFonts w:cs="Calibri"/>
          <w:lang w:val="ru-RU"/>
        </w:rPr>
      </w:pPr>
      <w:r w:rsidRPr="00AF6A81">
        <w:rPr>
          <w:lang w:val="ru-RU" w:bidi="ru-RU"/>
        </w:rPr>
        <w:t>3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 xml:space="preserve">Поручить Генеральному секретарю предоставлять все отчеты о выполнении пунктов 1 и 2 внутренним и внешним надзорным органам МСЭ и Государствам – Членам МСЭ. </w:t>
      </w:r>
    </w:p>
    <w:p w14:paraId="3C3A7CE2" w14:textId="3958ABB1" w:rsidR="00AF6A81" w:rsidRPr="00A03335" w:rsidRDefault="00AF6A81" w:rsidP="00AF6A81">
      <w:pPr>
        <w:pStyle w:val="enumlev1"/>
        <w:rPr>
          <w:rFonts w:cs="Calibri"/>
          <w:lang w:val="ru-RU"/>
        </w:rPr>
      </w:pPr>
      <w:r w:rsidRPr="00AF6A81">
        <w:rPr>
          <w:lang w:val="ru-RU" w:bidi="ru-RU"/>
        </w:rPr>
        <w:t>4</w:t>
      </w:r>
      <w:r w:rsidRPr="00AF6A81">
        <w:rPr>
          <w:lang w:val="ru-RU" w:bidi="ru-RU"/>
        </w:rPr>
        <w:tab/>
      </w:r>
      <w:r w:rsidRPr="00A03335">
        <w:rPr>
          <w:lang w:val="ru-RU" w:bidi="ru-RU"/>
        </w:rPr>
        <w:t>Поручить КГГЧ обновить ее круг ведения и своевременно предоставлять РГС-ФЛР обновленную информацию и отчеты.</w:t>
      </w:r>
    </w:p>
    <w:p w14:paraId="2C2AAB86" w14:textId="77777777" w:rsidR="00AF6A81" w:rsidRPr="009D1B22" w:rsidRDefault="00AF6A81" w:rsidP="00ED3488">
      <w:pPr>
        <w:spacing w:before="480"/>
        <w:jc w:val="center"/>
        <w:rPr>
          <w:lang w:val="ru-RU"/>
        </w:rPr>
      </w:pPr>
      <w:r w:rsidRPr="009D1B22">
        <w:rPr>
          <w:lang w:val="ru-RU"/>
        </w:rPr>
        <w:t>______________</w:t>
      </w:r>
    </w:p>
    <w:sectPr w:rsidR="00AF6A81" w:rsidRPr="009D1B22" w:rsidSect="00796BD3">
      <w:footerReference w:type="default" r:id="rId25"/>
      <w:headerReference w:type="first" r:id="rId26"/>
      <w:footerReference w:type="first" r:id="rId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3959" w14:textId="77777777" w:rsidR="00915D12" w:rsidRDefault="00915D12">
      <w:r>
        <w:separator/>
      </w:r>
    </w:p>
  </w:endnote>
  <w:endnote w:type="continuationSeparator" w:id="0">
    <w:p w14:paraId="2359B38C" w14:textId="77777777" w:rsidR="00915D12" w:rsidRDefault="0091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51F1C98" w14:textId="77777777" w:rsidTr="00E31DCE">
      <w:trPr>
        <w:jc w:val="center"/>
      </w:trPr>
      <w:tc>
        <w:tcPr>
          <w:tcW w:w="1803" w:type="dxa"/>
          <w:vAlign w:val="center"/>
        </w:tcPr>
        <w:p w14:paraId="3479BCF9" w14:textId="0373DD7B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3D5370E7" w14:textId="36B12DB3" w:rsidR="00672F8A" w:rsidRPr="00E06FD5" w:rsidRDefault="00672F8A" w:rsidP="00B90378">
          <w:pPr>
            <w:pStyle w:val="Header"/>
            <w:tabs>
              <w:tab w:val="left" w:pos="644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90378">
            <w:rPr>
              <w:bCs/>
              <w:lang w:val="ru-RU"/>
            </w:rPr>
            <w:t>50(</w:t>
          </w:r>
          <w:r w:rsidR="00B90378">
            <w:rPr>
              <w:bCs/>
              <w:lang w:val="en-US"/>
            </w:rPr>
            <w:t>Add.1)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5598C26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A9E6250" w14:textId="77777777" w:rsidTr="00E31DCE">
      <w:trPr>
        <w:jc w:val="center"/>
      </w:trPr>
      <w:tc>
        <w:tcPr>
          <w:tcW w:w="1803" w:type="dxa"/>
          <w:vAlign w:val="center"/>
        </w:tcPr>
        <w:p w14:paraId="5241774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8AC46D" w14:textId="5F12AC0F" w:rsidR="00672F8A" w:rsidRPr="00E06FD5" w:rsidRDefault="00672F8A" w:rsidP="00672F8A">
          <w:pPr>
            <w:pStyle w:val="Header"/>
            <w:tabs>
              <w:tab w:val="left" w:pos="6442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B90378">
            <w:rPr>
              <w:bCs/>
              <w:lang w:val="ru-RU"/>
            </w:rPr>
            <w:t>50(</w:t>
          </w:r>
          <w:r w:rsidR="00B90378">
            <w:rPr>
              <w:bCs/>
              <w:lang w:val="en-US"/>
            </w:rPr>
            <w:t>Add.1)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92E734D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EDCF2" w14:textId="77777777" w:rsidR="00915D12" w:rsidRDefault="00915D12">
      <w:r>
        <w:t>____________________</w:t>
      </w:r>
    </w:p>
  </w:footnote>
  <w:footnote w:type="continuationSeparator" w:id="0">
    <w:p w14:paraId="75C12B3F" w14:textId="77777777" w:rsidR="00915D12" w:rsidRDefault="00915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2307C8F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853E42D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0" w:name="_Hlk133422111"/>
          <w:r>
            <w:rPr>
              <w:noProof/>
            </w:rPr>
            <w:drawing>
              <wp:inline distT="0" distB="0" distL="0" distR="0" wp14:anchorId="0838EE9B" wp14:editId="0B265819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565781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0BD4AB2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8E772EB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70"/>
  <w:p w14:paraId="592755F6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E7BDD" wp14:editId="1BB2C3C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B8B7C8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506C06"/>
    <w:multiLevelType w:val="hybridMultilevel"/>
    <w:tmpl w:val="3F368726"/>
    <w:lvl w:ilvl="0" w:tplc="BAC6F556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53982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0673B"/>
    <w:rsid w:val="0002183E"/>
    <w:rsid w:val="000569B4"/>
    <w:rsid w:val="00080E82"/>
    <w:rsid w:val="000B2DE7"/>
    <w:rsid w:val="000E568E"/>
    <w:rsid w:val="000E739B"/>
    <w:rsid w:val="001012D9"/>
    <w:rsid w:val="0014734F"/>
    <w:rsid w:val="0015710D"/>
    <w:rsid w:val="00163A32"/>
    <w:rsid w:val="00165D06"/>
    <w:rsid w:val="001860D7"/>
    <w:rsid w:val="00192B41"/>
    <w:rsid w:val="001B7B09"/>
    <w:rsid w:val="001E6719"/>
    <w:rsid w:val="001E7F50"/>
    <w:rsid w:val="00225368"/>
    <w:rsid w:val="00227FF0"/>
    <w:rsid w:val="00291EB6"/>
    <w:rsid w:val="002D2F57"/>
    <w:rsid w:val="002D48C5"/>
    <w:rsid w:val="0033025A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601994"/>
    <w:rsid w:val="00630056"/>
    <w:rsid w:val="00660449"/>
    <w:rsid w:val="00672F8A"/>
    <w:rsid w:val="006E2D42"/>
    <w:rsid w:val="00703676"/>
    <w:rsid w:val="00707304"/>
    <w:rsid w:val="00732269"/>
    <w:rsid w:val="00762555"/>
    <w:rsid w:val="00785ABD"/>
    <w:rsid w:val="00795691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C191E"/>
    <w:rsid w:val="008D2D7B"/>
    <w:rsid w:val="008E0737"/>
    <w:rsid w:val="008F7C2C"/>
    <w:rsid w:val="00915D12"/>
    <w:rsid w:val="00940E96"/>
    <w:rsid w:val="0098730C"/>
    <w:rsid w:val="009B0BAE"/>
    <w:rsid w:val="009C1C89"/>
    <w:rsid w:val="009F3448"/>
    <w:rsid w:val="00A01CF9"/>
    <w:rsid w:val="00A71773"/>
    <w:rsid w:val="00AE2C85"/>
    <w:rsid w:val="00AF6A81"/>
    <w:rsid w:val="00B12A37"/>
    <w:rsid w:val="00B41837"/>
    <w:rsid w:val="00B63EF2"/>
    <w:rsid w:val="00B90378"/>
    <w:rsid w:val="00BA7D89"/>
    <w:rsid w:val="00BC0D39"/>
    <w:rsid w:val="00BC7BC0"/>
    <w:rsid w:val="00BD57B7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B5B7D"/>
    <w:rsid w:val="00EC6BC5"/>
    <w:rsid w:val="00ED3488"/>
    <w:rsid w:val="00F120B7"/>
    <w:rsid w:val="00F35898"/>
    <w:rsid w:val="00F5225B"/>
    <w:rsid w:val="00FA359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E673B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B90378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uiPriority w:val="99"/>
    <w:semiHidden/>
    <w:rsid w:val="00B903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WGFHR17-C-0010/en" TargetMode="External"/><Relationship Id="rId13" Type="http://schemas.openxmlformats.org/officeDocument/2006/relationships/hyperlink" Target="https://www.itu.int/md/S24-CWGFHR18-C-0002/en" TargetMode="External"/><Relationship Id="rId18" Type="http://schemas.openxmlformats.org/officeDocument/2006/relationships/hyperlink" Target="https://www.itu.int/md/S24-CL-C-0070/en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S24-CL-C-0094/en" TargetMode="External"/><Relationship Id="rId7" Type="http://schemas.openxmlformats.org/officeDocument/2006/relationships/hyperlink" Target="https://www.itu.int/md/S23-CL-C-0129/en" TargetMode="External"/><Relationship Id="rId12" Type="http://schemas.openxmlformats.org/officeDocument/2006/relationships/hyperlink" Target="https://www.itu.int/md/S24-CWGFHR18-C-0002/en" TargetMode="External"/><Relationship Id="rId17" Type="http://schemas.openxmlformats.org/officeDocument/2006/relationships/hyperlink" Target="https://www.itu.int/md/S24-CWGFHR18-C-0008/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u.int/md/S24-CWGFHR18-C-0008/en" TargetMode="External"/><Relationship Id="rId20" Type="http://schemas.openxmlformats.org/officeDocument/2006/relationships/hyperlink" Target="https://www.itu.int/md/S24-CL-C-0083/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en/council/ties/Documents/Financial-regulations/S-GEN-REG_RGTFIN-2022-PDF-R.pdf" TargetMode="External"/><Relationship Id="rId24" Type="http://schemas.openxmlformats.org/officeDocument/2006/relationships/hyperlink" Target="https://www.itu.int/md/S24-CL-C-004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24-CWGFHR18-C-0006/en" TargetMode="External"/><Relationship Id="rId23" Type="http://schemas.openxmlformats.org/officeDocument/2006/relationships/hyperlink" Target="https://www.itu.int/md/S24-CWGFHR18-C-0007/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24-CWGFHR18-C-0002/en" TargetMode="External"/><Relationship Id="rId19" Type="http://schemas.openxmlformats.org/officeDocument/2006/relationships/hyperlink" Target="https://www.itu.int/md/S24-CL-C-000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ties/Documents/2024/Summary-and-Position-paper.docx" TargetMode="External"/><Relationship Id="rId14" Type="http://schemas.openxmlformats.org/officeDocument/2006/relationships/hyperlink" Target="https://www.itu.int/md/S24-CWGFHR18-C-0005/en" TargetMode="External"/><Relationship Id="rId22" Type="http://schemas.openxmlformats.org/officeDocument/2006/relationships/hyperlink" Target="https://www.itu.int/md/S24-CL-C-0104/en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48</TotalTime>
  <Pages>7</Pages>
  <Words>2066</Words>
  <Characters>15682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17713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AA</dc:creator>
  <cp:keywords>C2024, C24, Council-24</cp:keywords>
  <dc:description/>
  <cp:lastModifiedBy>Antipina, Nadezda</cp:lastModifiedBy>
  <cp:revision>14</cp:revision>
  <cp:lastPrinted>2006-03-28T16:12:00Z</cp:lastPrinted>
  <dcterms:created xsi:type="dcterms:W3CDTF">2024-06-04T20:29:00Z</dcterms:created>
  <dcterms:modified xsi:type="dcterms:W3CDTF">2024-06-05T06:55:00Z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