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70" w:tblpY="2317"/>
        <w:tblW w:w="10065" w:type="dxa"/>
        <w:tblLayout w:type="fixed"/>
        <w:tblLook w:val="0000" w:firstRow="0" w:lastRow="0" w:firstColumn="0" w:lastColumn="0" w:noHBand="0" w:noVBand="0"/>
      </w:tblPr>
      <w:tblGrid>
        <w:gridCol w:w="4820"/>
        <w:gridCol w:w="5245"/>
      </w:tblGrid>
      <w:tr w:rsidR="00AD3606" w:rsidRPr="001A2FD1" w14:paraId="1591300A" w14:textId="77777777" w:rsidTr="78C5C231">
        <w:trPr>
          <w:cantSplit/>
          <w:trHeight w:val="23"/>
        </w:trPr>
        <w:tc>
          <w:tcPr>
            <w:tcW w:w="4820" w:type="dxa"/>
            <w:vMerge w:val="restart"/>
            <w:tcMar>
              <w:left w:w="0" w:type="dxa"/>
            </w:tcMar>
          </w:tcPr>
          <w:p w14:paraId="4F2DE73B" w14:textId="436DEBD9" w:rsidR="00AD3606" w:rsidRPr="001A2FD1" w:rsidRDefault="00AD3606" w:rsidP="0014188D">
            <w:pPr>
              <w:tabs>
                <w:tab w:val="left" w:pos="851"/>
              </w:tabs>
              <w:spacing w:before="0" w:line="240" w:lineRule="atLeast"/>
              <w:rPr>
                <w:b/>
              </w:rPr>
            </w:pPr>
            <w:bookmarkStart w:id="0" w:name="dmeeting" w:colFirst="0" w:colLast="0"/>
            <w:bookmarkStart w:id="1" w:name="dnum" w:colFirst="1" w:colLast="1"/>
            <w:r w:rsidRPr="001A2FD1">
              <w:rPr>
                <w:b/>
              </w:rPr>
              <w:t xml:space="preserve">Agenda item: </w:t>
            </w:r>
            <w:r w:rsidR="00D608A4">
              <w:rPr>
                <w:b/>
              </w:rPr>
              <w:t>ADM 3</w:t>
            </w:r>
          </w:p>
        </w:tc>
        <w:tc>
          <w:tcPr>
            <w:tcW w:w="5245" w:type="dxa"/>
          </w:tcPr>
          <w:p w14:paraId="2F0CB53A" w14:textId="3A5BDCF8" w:rsidR="00AD3606" w:rsidRPr="001A2FD1" w:rsidRDefault="00AD3606" w:rsidP="0014188D">
            <w:pPr>
              <w:tabs>
                <w:tab w:val="left" w:pos="851"/>
              </w:tabs>
              <w:spacing w:before="0" w:line="240" w:lineRule="atLeast"/>
              <w:jc w:val="right"/>
              <w:rPr>
                <w:b/>
              </w:rPr>
            </w:pPr>
            <w:r w:rsidRPr="001A2FD1">
              <w:rPr>
                <w:b/>
              </w:rPr>
              <w:t>Document C2</w:t>
            </w:r>
            <w:r w:rsidR="0069205B">
              <w:rPr>
                <w:b/>
              </w:rPr>
              <w:t>4</w:t>
            </w:r>
            <w:r w:rsidRPr="001A2FD1">
              <w:rPr>
                <w:b/>
              </w:rPr>
              <w:t>/</w:t>
            </w:r>
            <w:r w:rsidR="00D608A4">
              <w:rPr>
                <w:b/>
              </w:rPr>
              <w:t>56</w:t>
            </w:r>
            <w:r w:rsidRPr="001A2FD1">
              <w:rPr>
                <w:b/>
              </w:rPr>
              <w:t>-E</w:t>
            </w:r>
          </w:p>
        </w:tc>
      </w:tr>
      <w:tr w:rsidR="00AD3606" w:rsidRPr="001A2FD1" w14:paraId="777833CB" w14:textId="77777777" w:rsidTr="78C5C231">
        <w:trPr>
          <w:cantSplit/>
        </w:trPr>
        <w:tc>
          <w:tcPr>
            <w:tcW w:w="4820" w:type="dxa"/>
            <w:vMerge/>
          </w:tcPr>
          <w:p w14:paraId="7DECAB6C" w14:textId="77777777" w:rsidR="00AD3606" w:rsidRPr="001A2FD1" w:rsidRDefault="00AD3606" w:rsidP="0014188D">
            <w:pPr>
              <w:tabs>
                <w:tab w:val="left" w:pos="851"/>
              </w:tabs>
              <w:spacing w:line="240" w:lineRule="atLeast"/>
              <w:rPr>
                <w:b/>
              </w:rPr>
            </w:pPr>
            <w:bookmarkStart w:id="2" w:name="ddate" w:colFirst="1" w:colLast="1"/>
            <w:bookmarkEnd w:id="0"/>
            <w:bookmarkEnd w:id="1"/>
          </w:p>
        </w:tc>
        <w:tc>
          <w:tcPr>
            <w:tcW w:w="5245" w:type="dxa"/>
          </w:tcPr>
          <w:p w14:paraId="7B794C7C" w14:textId="7DD587B8" w:rsidR="00AD3606" w:rsidRPr="001A2FD1" w:rsidRDefault="00AF7582" w:rsidP="0014188D">
            <w:pPr>
              <w:tabs>
                <w:tab w:val="left" w:pos="851"/>
              </w:tabs>
              <w:spacing w:before="0"/>
              <w:jc w:val="right"/>
              <w:rPr>
                <w:b/>
              </w:rPr>
            </w:pPr>
            <w:r>
              <w:rPr>
                <w:b/>
              </w:rPr>
              <w:t>9 April</w:t>
            </w:r>
            <w:r w:rsidR="00AD3606" w:rsidRPr="001A2FD1">
              <w:rPr>
                <w:b/>
              </w:rPr>
              <w:t xml:space="preserve"> 202</w:t>
            </w:r>
            <w:r w:rsidR="0069205B">
              <w:rPr>
                <w:b/>
              </w:rPr>
              <w:t>4</w:t>
            </w:r>
          </w:p>
        </w:tc>
      </w:tr>
      <w:tr w:rsidR="00AD3606" w:rsidRPr="001A2FD1" w14:paraId="082C2282" w14:textId="77777777" w:rsidTr="78C5C231">
        <w:trPr>
          <w:cantSplit/>
          <w:trHeight w:val="23"/>
        </w:trPr>
        <w:tc>
          <w:tcPr>
            <w:tcW w:w="4820" w:type="dxa"/>
            <w:vMerge/>
          </w:tcPr>
          <w:p w14:paraId="5967F199" w14:textId="77777777" w:rsidR="00AD3606" w:rsidRPr="001A2FD1" w:rsidRDefault="00AD3606" w:rsidP="0014188D">
            <w:pPr>
              <w:tabs>
                <w:tab w:val="left" w:pos="851"/>
              </w:tabs>
              <w:spacing w:line="240" w:lineRule="atLeast"/>
              <w:rPr>
                <w:b/>
              </w:rPr>
            </w:pPr>
            <w:bookmarkStart w:id="3" w:name="dorlang" w:colFirst="1" w:colLast="1"/>
            <w:bookmarkEnd w:id="2"/>
          </w:p>
        </w:tc>
        <w:tc>
          <w:tcPr>
            <w:tcW w:w="5245" w:type="dxa"/>
          </w:tcPr>
          <w:p w14:paraId="03AC685B" w14:textId="77777777" w:rsidR="00AD3606" w:rsidRPr="001A2FD1" w:rsidRDefault="00AD3606" w:rsidP="0014188D">
            <w:pPr>
              <w:tabs>
                <w:tab w:val="left" w:pos="851"/>
              </w:tabs>
              <w:spacing w:before="0" w:line="240" w:lineRule="atLeast"/>
              <w:jc w:val="right"/>
              <w:rPr>
                <w:b/>
              </w:rPr>
            </w:pPr>
            <w:r w:rsidRPr="001A2FD1">
              <w:rPr>
                <w:b/>
              </w:rPr>
              <w:t>Original: English</w:t>
            </w:r>
          </w:p>
        </w:tc>
      </w:tr>
      <w:tr w:rsidR="00472BAD" w:rsidRPr="001A2FD1" w14:paraId="3C9C7706" w14:textId="77777777" w:rsidTr="78C5C231">
        <w:trPr>
          <w:cantSplit/>
          <w:trHeight w:val="23"/>
        </w:trPr>
        <w:tc>
          <w:tcPr>
            <w:tcW w:w="4820" w:type="dxa"/>
          </w:tcPr>
          <w:p w14:paraId="20349897" w14:textId="77777777" w:rsidR="00472BAD" w:rsidRPr="001A2FD1" w:rsidRDefault="00472BAD" w:rsidP="0014188D">
            <w:pPr>
              <w:tabs>
                <w:tab w:val="left" w:pos="851"/>
              </w:tabs>
              <w:spacing w:line="240" w:lineRule="atLeast"/>
              <w:rPr>
                <w:b/>
              </w:rPr>
            </w:pPr>
          </w:p>
        </w:tc>
        <w:tc>
          <w:tcPr>
            <w:tcW w:w="5245" w:type="dxa"/>
          </w:tcPr>
          <w:p w14:paraId="1CCE97A6" w14:textId="77777777" w:rsidR="00472BAD" w:rsidRPr="001A2FD1" w:rsidRDefault="00472BAD" w:rsidP="0014188D">
            <w:pPr>
              <w:tabs>
                <w:tab w:val="left" w:pos="851"/>
              </w:tabs>
              <w:spacing w:before="0" w:line="240" w:lineRule="atLeast"/>
              <w:jc w:val="right"/>
              <w:rPr>
                <w:b/>
              </w:rPr>
            </w:pPr>
          </w:p>
        </w:tc>
      </w:tr>
      <w:tr w:rsidR="00AD3606" w:rsidRPr="001A2FD1" w14:paraId="5BEAAFE0" w14:textId="77777777" w:rsidTr="78C5C231">
        <w:trPr>
          <w:cantSplit/>
        </w:trPr>
        <w:tc>
          <w:tcPr>
            <w:tcW w:w="10065" w:type="dxa"/>
            <w:gridSpan w:val="2"/>
            <w:tcMar>
              <w:left w:w="0" w:type="dxa"/>
            </w:tcMar>
          </w:tcPr>
          <w:p w14:paraId="598EF21A" w14:textId="77777777" w:rsidR="00AD3606" w:rsidRPr="005D73FC" w:rsidRDefault="00AD3606" w:rsidP="0014188D">
            <w:pPr>
              <w:pStyle w:val="Source"/>
              <w:framePr w:hSpace="0" w:wrap="auto" w:vAnchor="margin" w:hAnchor="text" w:xAlign="left" w:yAlign="inline"/>
            </w:pPr>
            <w:bookmarkStart w:id="4" w:name="dsource" w:colFirst="0" w:colLast="0"/>
            <w:bookmarkEnd w:id="3"/>
            <w:r w:rsidRPr="005D73FC">
              <w:t>Report by the Secretary-General</w:t>
            </w:r>
          </w:p>
        </w:tc>
      </w:tr>
      <w:tr w:rsidR="00AD3606" w:rsidRPr="001A2FD1" w14:paraId="62B9C291" w14:textId="77777777" w:rsidTr="78C5C231">
        <w:trPr>
          <w:cantSplit/>
        </w:trPr>
        <w:tc>
          <w:tcPr>
            <w:tcW w:w="10065" w:type="dxa"/>
            <w:gridSpan w:val="2"/>
            <w:tcMar>
              <w:left w:w="0" w:type="dxa"/>
            </w:tcMar>
          </w:tcPr>
          <w:p w14:paraId="556A1BCF" w14:textId="7ED3DEB7" w:rsidR="009E2C77" w:rsidRPr="0009110D" w:rsidRDefault="009E5E16" w:rsidP="0014188D">
            <w:pPr>
              <w:pStyle w:val="Subtitle1"/>
              <w:framePr w:hSpace="0" w:wrap="auto" w:xAlign="left" w:yAlign="inline"/>
            </w:pPr>
            <w:bookmarkStart w:id="5" w:name="_Hlk162953765"/>
            <w:bookmarkStart w:id="6" w:name="dtitle1" w:colFirst="0" w:colLast="0"/>
            <w:bookmarkEnd w:id="4"/>
            <w:r w:rsidRPr="0009110D">
              <w:t>REPORT ON THE IMPLEMENTATION OF RESOLUTION 1</w:t>
            </w:r>
            <w:r w:rsidR="003E35B8" w:rsidRPr="0009110D">
              <w:t>420</w:t>
            </w:r>
            <w:bookmarkEnd w:id="5"/>
          </w:p>
        </w:tc>
      </w:tr>
      <w:tr w:rsidR="00AD3606" w:rsidRPr="00914A68" w14:paraId="59287389" w14:textId="77777777" w:rsidTr="78C5C231">
        <w:trPr>
          <w:cantSplit/>
        </w:trPr>
        <w:tc>
          <w:tcPr>
            <w:tcW w:w="10065" w:type="dxa"/>
            <w:gridSpan w:val="2"/>
            <w:tcBorders>
              <w:top w:val="single" w:sz="4" w:space="0" w:color="auto"/>
            </w:tcBorders>
            <w:tcMar>
              <w:left w:w="0" w:type="dxa"/>
            </w:tcMar>
          </w:tcPr>
          <w:p w14:paraId="0B6A23DF" w14:textId="0E9310A0" w:rsidR="00AD3606" w:rsidRPr="001A2FD1" w:rsidRDefault="00F16BAB" w:rsidP="005101E3">
            <w:pPr>
              <w:spacing w:before="240"/>
              <w:rPr>
                <w:b/>
                <w:bCs/>
                <w:sz w:val="26"/>
                <w:szCs w:val="26"/>
              </w:rPr>
            </w:pPr>
            <w:r w:rsidRPr="001A2FD1">
              <w:rPr>
                <w:b/>
                <w:bCs/>
                <w:sz w:val="26"/>
                <w:szCs w:val="26"/>
              </w:rPr>
              <w:t>Purpose</w:t>
            </w:r>
          </w:p>
          <w:p w14:paraId="1339BA28" w14:textId="0EB9F1B3" w:rsidR="002A010A" w:rsidRPr="001A2FD1" w:rsidRDefault="51080BCE" w:rsidP="00AF7582">
            <w:pPr>
              <w:jc w:val="both"/>
              <w:rPr>
                <w:rFonts w:cs="Calibri"/>
                <w:szCs w:val="24"/>
              </w:rPr>
            </w:pPr>
            <w:r w:rsidRPr="5B36A887">
              <w:rPr>
                <w:rFonts w:cs="Calibri"/>
              </w:rPr>
              <w:t xml:space="preserve">ITU Council at its 2023 </w:t>
            </w:r>
            <w:r w:rsidR="10B7A549" w:rsidRPr="5B36A887">
              <w:rPr>
                <w:rFonts w:cs="Calibri"/>
              </w:rPr>
              <w:t xml:space="preserve">session </w:t>
            </w:r>
            <w:r w:rsidRPr="5B36A887">
              <w:rPr>
                <w:rFonts w:cs="Calibri"/>
              </w:rPr>
              <w:t xml:space="preserve">adopted </w:t>
            </w:r>
            <w:r w:rsidR="11144277" w:rsidRPr="5B36A887">
              <w:rPr>
                <w:rFonts w:cs="Calibri"/>
              </w:rPr>
              <w:t>Resolution 1</w:t>
            </w:r>
            <w:r w:rsidR="1111C164" w:rsidRPr="5B36A887">
              <w:rPr>
                <w:rFonts w:cs="Calibri"/>
              </w:rPr>
              <w:t>420</w:t>
            </w:r>
            <w:r w:rsidR="393422D8" w:rsidRPr="5B36A887">
              <w:rPr>
                <w:rFonts w:cs="Calibri"/>
              </w:rPr>
              <w:t xml:space="preserve"> </w:t>
            </w:r>
            <w:r w:rsidR="174F003B" w:rsidRPr="5B36A887">
              <w:rPr>
                <w:rFonts w:cs="Calibri"/>
              </w:rPr>
              <w:t xml:space="preserve">accepting </w:t>
            </w:r>
            <w:r w:rsidR="174F003B" w:rsidRPr="5B36A887">
              <w:rPr>
                <w:rFonts w:eastAsia="Calibri" w:cs="Calibri"/>
                <w:szCs w:val="24"/>
              </w:rPr>
              <w:t xml:space="preserve">the amendments to the statute of </w:t>
            </w:r>
            <w:r w:rsidR="18DDE214" w:rsidRPr="5B36A887">
              <w:rPr>
                <w:rFonts w:eastAsia="Calibri" w:cs="Calibri"/>
                <w:szCs w:val="24"/>
              </w:rPr>
              <w:t>the International Civil Service Commission (</w:t>
            </w:r>
            <w:r w:rsidR="174F003B" w:rsidRPr="5B36A887">
              <w:rPr>
                <w:rFonts w:eastAsia="Calibri" w:cs="Calibri"/>
                <w:szCs w:val="24"/>
              </w:rPr>
              <w:t>ICSC</w:t>
            </w:r>
            <w:r w:rsidR="0732FC0F" w:rsidRPr="5B36A887">
              <w:rPr>
                <w:rFonts w:eastAsia="Calibri" w:cs="Calibri"/>
                <w:szCs w:val="24"/>
              </w:rPr>
              <w:t>)</w:t>
            </w:r>
            <w:r w:rsidR="174F003B" w:rsidRPr="5B36A887">
              <w:rPr>
                <w:rFonts w:eastAsia="Calibri" w:cs="Calibri"/>
                <w:szCs w:val="24"/>
              </w:rPr>
              <w:t xml:space="preserve"> adopted by </w:t>
            </w:r>
            <w:r w:rsidR="470B55CE" w:rsidRPr="5B36A887">
              <w:rPr>
                <w:rFonts w:eastAsia="Calibri" w:cs="Calibri"/>
                <w:szCs w:val="24"/>
              </w:rPr>
              <w:t>the United Nations General Assembly</w:t>
            </w:r>
            <w:r w:rsidR="7C37F9D0" w:rsidRPr="5B36A887">
              <w:rPr>
                <w:rFonts w:eastAsia="Calibri" w:cs="Calibri"/>
                <w:szCs w:val="24"/>
              </w:rPr>
              <w:t xml:space="preserve"> </w:t>
            </w:r>
            <w:r w:rsidR="470B55CE" w:rsidRPr="5B36A887">
              <w:rPr>
                <w:rFonts w:eastAsia="Calibri" w:cs="Calibri"/>
                <w:szCs w:val="24"/>
              </w:rPr>
              <w:t>(</w:t>
            </w:r>
            <w:r w:rsidR="174F003B" w:rsidRPr="5B36A887">
              <w:rPr>
                <w:rFonts w:eastAsia="Calibri" w:cs="Calibri"/>
                <w:szCs w:val="24"/>
              </w:rPr>
              <w:t>UNGA</w:t>
            </w:r>
            <w:r w:rsidR="39C42471" w:rsidRPr="5B36A887">
              <w:rPr>
                <w:rFonts w:eastAsia="Calibri" w:cs="Calibri"/>
                <w:szCs w:val="24"/>
              </w:rPr>
              <w:t>)</w:t>
            </w:r>
            <w:r w:rsidR="174F003B" w:rsidRPr="5B36A887">
              <w:rPr>
                <w:rFonts w:eastAsia="Calibri" w:cs="Calibri"/>
                <w:szCs w:val="24"/>
              </w:rPr>
              <w:t xml:space="preserve"> at its 77th session on 30 December 2022 in Resolution 77/256 A and</w:t>
            </w:r>
            <w:r w:rsidR="174F003B" w:rsidRPr="5B36A887">
              <w:rPr>
                <w:rFonts w:cs="Calibri"/>
              </w:rPr>
              <w:t xml:space="preserve"> instruct</w:t>
            </w:r>
            <w:r w:rsidR="1B3CE9D7" w:rsidRPr="5B36A887">
              <w:rPr>
                <w:rFonts w:cs="Calibri"/>
              </w:rPr>
              <w:t>ed</w:t>
            </w:r>
            <w:r w:rsidR="174F003B" w:rsidRPr="5B36A887">
              <w:rPr>
                <w:rFonts w:cs="Calibri"/>
              </w:rPr>
              <w:t xml:space="preserve"> the ITU Secretary-General to notify this acceptance to the Secretary-General of the United Nations (UN).</w:t>
            </w:r>
          </w:p>
          <w:p w14:paraId="37F26F67" w14:textId="6C24843C" w:rsidR="002A010A" w:rsidRPr="001A2FD1" w:rsidRDefault="002A010A" w:rsidP="00AF7582">
            <w:pPr>
              <w:pStyle w:val="paragraph"/>
              <w:spacing w:before="120" w:beforeAutospacing="0" w:after="120" w:afterAutospacing="0"/>
              <w:jc w:val="both"/>
              <w:textAlignment w:val="baseline"/>
              <w:rPr>
                <w:rFonts w:ascii="Calibri" w:hAnsi="Calibri" w:cs="Calibri"/>
                <w:sz w:val="22"/>
                <w:szCs w:val="22"/>
                <w:lang w:eastAsia="en-US"/>
              </w:rPr>
            </w:pPr>
            <w:r w:rsidRPr="001A2FD1">
              <w:rPr>
                <w:rFonts w:ascii="Calibri" w:hAnsi="Calibri" w:cs="Calibri"/>
                <w:spacing w:val="2"/>
                <w:lang w:eastAsia="en-US"/>
              </w:rPr>
              <w:t>This report outlines</w:t>
            </w:r>
            <w:r w:rsidR="00191F23">
              <w:rPr>
                <w:rFonts w:ascii="Calibri" w:hAnsi="Calibri" w:cs="Calibri"/>
                <w:spacing w:val="2"/>
                <w:lang w:eastAsia="en-US"/>
              </w:rPr>
              <w:t xml:space="preserve"> </w:t>
            </w:r>
            <w:r w:rsidR="00191F23" w:rsidRPr="00191F23">
              <w:rPr>
                <w:rFonts w:ascii="Calibri" w:hAnsi="Calibri" w:cs="Calibri"/>
                <w:spacing w:val="2"/>
                <w:lang w:eastAsia="en-US"/>
              </w:rPr>
              <w:t>the</w:t>
            </w:r>
            <w:r w:rsidR="00CB1C77">
              <w:rPr>
                <w:rFonts w:ascii="Calibri" w:hAnsi="Calibri" w:cs="Calibri"/>
                <w:spacing w:val="2"/>
                <w:lang w:eastAsia="en-US"/>
              </w:rPr>
              <w:t xml:space="preserve"> </w:t>
            </w:r>
            <w:r w:rsidR="00CB1C77" w:rsidRPr="00CB1C77">
              <w:rPr>
                <w:rFonts w:ascii="Calibri" w:hAnsi="Calibri" w:cs="Calibri"/>
                <w:spacing w:val="2"/>
                <w:lang w:eastAsia="en-US"/>
              </w:rPr>
              <w:t>implementation</w:t>
            </w:r>
            <w:r w:rsidR="00CB1C77">
              <w:rPr>
                <w:rFonts w:ascii="Calibri" w:hAnsi="Calibri" w:cs="Calibri"/>
                <w:spacing w:val="2"/>
                <w:lang w:eastAsia="en-US"/>
              </w:rPr>
              <w:t xml:space="preserve"> </w:t>
            </w:r>
            <w:r w:rsidR="00191F23" w:rsidRPr="00191F23">
              <w:rPr>
                <w:rFonts w:ascii="Calibri" w:hAnsi="Calibri" w:cs="Calibri"/>
                <w:spacing w:val="2"/>
                <w:lang w:eastAsia="en-US"/>
              </w:rPr>
              <w:t>of the resolution, with particular emphasis on noteworthy</w:t>
            </w:r>
            <w:r w:rsidR="00E55653">
              <w:rPr>
                <w:rFonts w:ascii="Calibri" w:hAnsi="Calibri" w:cs="Calibri"/>
                <w:spacing w:val="2"/>
                <w:lang w:eastAsia="en-US"/>
              </w:rPr>
              <w:t xml:space="preserve"> </w:t>
            </w:r>
            <w:r w:rsidR="00191F23" w:rsidRPr="00191F23">
              <w:rPr>
                <w:rFonts w:ascii="Calibri" w:hAnsi="Calibri" w:cs="Calibri"/>
                <w:spacing w:val="2"/>
                <w:lang w:eastAsia="en-US"/>
              </w:rPr>
              <w:t>advancements pertaining to the Post Adjustment Multiplier (PAM) for Geneva.</w:t>
            </w:r>
          </w:p>
          <w:p w14:paraId="45B1495A" w14:textId="77777777" w:rsidR="00AD3606" w:rsidRPr="001A2FD1" w:rsidRDefault="00AD3606" w:rsidP="00AF7582">
            <w:pPr>
              <w:spacing w:before="160"/>
              <w:jc w:val="both"/>
              <w:rPr>
                <w:b/>
                <w:bCs/>
                <w:sz w:val="26"/>
                <w:szCs w:val="26"/>
              </w:rPr>
            </w:pPr>
            <w:r w:rsidRPr="001A2FD1">
              <w:rPr>
                <w:b/>
                <w:bCs/>
                <w:sz w:val="26"/>
                <w:szCs w:val="26"/>
              </w:rPr>
              <w:t>Action required</w:t>
            </w:r>
            <w:r w:rsidR="00F16BAB" w:rsidRPr="001A2FD1">
              <w:rPr>
                <w:b/>
                <w:bCs/>
                <w:sz w:val="26"/>
                <w:szCs w:val="26"/>
              </w:rPr>
              <w:t xml:space="preserve"> by the </w:t>
            </w:r>
            <w:proofErr w:type="gramStart"/>
            <w:r w:rsidR="00F16BAB" w:rsidRPr="001A2FD1">
              <w:rPr>
                <w:b/>
                <w:bCs/>
                <w:sz w:val="26"/>
                <w:szCs w:val="26"/>
              </w:rPr>
              <w:t>Council</w:t>
            </w:r>
            <w:proofErr w:type="gramEnd"/>
          </w:p>
          <w:p w14:paraId="15D4A682" w14:textId="47666614" w:rsidR="00EF4BE2" w:rsidRPr="001A2FD1" w:rsidRDefault="00CE07A2" w:rsidP="00AF7582">
            <w:pPr>
              <w:pStyle w:val="paragraph"/>
              <w:spacing w:before="120" w:beforeAutospacing="0" w:after="120" w:afterAutospacing="0"/>
              <w:jc w:val="both"/>
              <w:textAlignment w:val="baseline"/>
              <w:rPr>
                <w:rFonts w:asciiTheme="minorHAnsi" w:eastAsiaTheme="minorEastAsia" w:hAnsiTheme="minorHAnsi" w:cstheme="minorHAnsi"/>
              </w:rPr>
            </w:pPr>
            <w:r w:rsidRPr="00CE07A2">
              <w:rPr>
                <w:rFonts w:asciiTheme="minorHAnsi" w:eastAsiaTheme="minorEastAsia" w:hAnsiTheme="minorHAnsi" w:cstheme="minorHAnsi"/>
              </w:rPr>
              <w:t xml:space="preserve">The Council is invited </w:t>
            </w:r>
            <w:r w:rsidRPr="00CE07A2">
              <w:rPr>
                <w:rFonts w:asciiTheme="minorHAnsi" w:eastAsiaTheme="minorEastAsia" w:hAnsiTheme="minorHAnsi" w:cstheme="minorHAnsi"/>
                <w:b/>
                <w:bCs/>
              </w:rPr>
              <w:t>to take note</w:t>
            </w:r>
            <w:r w:rsidRPr="00CE07A2">
              <w:rPr>
                <w:rFonts w:asciiTheme="minorHAnsi" w:eastAsiaTheme="minorEastAsia" w:hAnsiTheme="minorHAnsi" w:cstheme="minorHAnsi"/>
              </w:rPr>
              <w:t xml:space="preserve"> of the implementation of Resolution 1420 and the application of the PAM established by the ICSC with effect from 1 February 2024.</w:t>
            </w:r>
          </w:p>
          <w:p w14:paraId="71511FA1" w14:textId="5F038F64" w:rsidR="00F16BAB" w:rsidRPr="001A2FD1" w:rsidRDefault="00F16BAB" w:rsidP="0014188D">
            <w:pPr>
              <w:spacing w:before="160"/>
              <w:rPr>
                <w:b/>
                <w:bCs/>
                <w:sz w:val="26"/>
                <w:szCs w:val="26"/>
              </w:rPr>
            </w:pPr>
            <w:r w:rsidRPr="001A2FD1">
              <w:rPr>
                <w:b/>
                <w:bCs/>
                <w:sz w:val="26"/>
                <w:szCs w:val="26"/>
              </w:rPr>
              <w:t>Relevant link</w:t>
            </w:r>
            <w:r w:rsidR="0014188D">
              <w:rPr>
                <w:b/>
                <w:bCs/>
                <w:sz w:val="26"/>
                <w:szCs w:val="26"/>
              </w:rPr>
              <w:t>(s)</w:t>
            </w:r>
            <w:r w:rsidRPr="001A2FD1">
              <w:rPr>
                <w:b/>
                <w:bCs/>
                <w:sz w:val="26"/>
                <w:szCs w:val="26"/>
              </w:rPr>
              <w:t xml:space="preserve"> with the </w:t>
            </w:r>
            <w:r w:rsidRPr="009E452D">
              <w:rPr>
                <w:b/>
                <w:bCs/>
                <w:sz w:val="26"/>
                <w:szCs w:val="26"/>
              </w:rPr>
              <w:t>Strategic Plan</w:t>
            </w:r>
          </w:p>
          <w:p w14:paraId="65250B1E" w14:textId="4327EBB2" w:rsidR="00AD3606" w:rsidRPr="0014188D" w:rsidRDefault="00414AE3" w:rsidP="0014188D">
            <w:pPr>
              <w:spacing w:after="120"/>
              <w:rPr>
                <w:i/>
                <w:iCs/>
                <w:sz w:val="22"/>
                <w:szCs w:val="22"/>
              </w:rPr>
            </w:pPr>
            <w:r w:rsidRPr="00E40F0B">
              <w:t xml:space="preserve">ITU as a part of the United Nations </w:t>
            </w:r>
            <w:r w:rsidR="00B33070">
              <w:t>Common S</w:t>
            </w:r>
            <w:r w:rsidRPr="00E40F0B">
              <w:t>ystem.</w:t>
            </w:r>
          </w:p>
        </w:tc>
      </w:tr>
    </w:tbl>
    <w:p w14:paraId="56657795" w14:textId="77777777" w:rsidR="0014188D" w:rsidRDefault="0014188D" w:rsidP="0014188D">
      <w:pPr>
        <w:keepNext/>
        <w:keepLines/>
        <w:spacing w:before="160"/>
        <w:rPr>
          <w:b/>
          <w:bCs/>
          <w:sz w:val="26"/>
          <w:szCs w:val="26"/>
        </w:rPr>
        <w:sectPr w:rsidR="0014188D" w:rsidSect="00D27922">
          <w:footerReference w:type="default" r:id="rId11"/>
          <w:headerReference w:type="first" r:id="rId12"/>
          <w:footerReference w:type="first" r:id="rId13"/>
          <w:pgSz w:w="11907" w:h="16834"/>
          <w:pgMar w:top="1418" w:right="1418" w:bottom="1418" w:left="1418" w:header="720" w:footer="720" w:gutter="0"/>
          <w:paperSrc w:first="15" w:other="15"/>
          <w:cols w:space="720"/>
          <w:titlePg/>
          <w:docGrid w:linePitch="326"/>
        </w:sectPr>
      </w:pPr>
    </w:p>
    <w:tbl>
      <w:tblPr>
        <w:tblpPr w:leftFromText="180" w:rightFromText="180" w:vertAnchor="page" w:horzAnchor="page" w:tblpX="970" w:tblpY="2317"/>
        <w:tblW w:w="10065" w:type="dxa"/>
        <w:tblLayout w:type="fixed"/>
        <w:tblLook w:val="0000" w:firstRow="0" w:lastRow="0" w:firstColumn="0" w:lastColumn="0" w:noHBand="0" w:noVBand="0"/>
      </w:tblPr>
      <w:tblGrid>
        <w:gridCol w:w="10065"/>
      </w:tblGrid>
      <w:tr w:rsidR="0014188D" w:rsidRPr="00914A68" w14:paraId="26066E4C" w14:textId="77777777" w:rsidTr="78C5C231">
        <w:trPr>
          <w:cantSplit/>
        </w:trPr>
        <w:tc>
          <w:tcPr>
            <w:tcW w:w="10065" w:type="dxa"/>
            <w:tcBorders>
              <w:bottom w:val="single" w:sz="4" w:space="0" w:color="auto"/>
            </w:tcBorders>
            <w:tcMar>
              <w:left w:w="0" w:type="dxa"/>
            </w:tcMar>
          </w:tcPr>
          <w:p w14:paraId="17DE03F5" w14:textId="77777777" w:rsidR="0014188D" w:rsidRPr="007A28EB" w:rsidRDefault="0014188D" w:rsidP="0014188D">
            <w:pPr>
              <w:keepNext/>
              <w:keepLines/>
              <w:spacing w:before="160"/>
              <w:rPr>
                <w:b/>
                <w:bCs/>
                <w:sz w:val="26"/>
                <w:szCs w:val="26"/>
              </w:rPr>
            </w:pPr>
            <w:r w:rsidRPr="007A28EB">
              <w:rPr>
                <w:b/>
                <w:bCs/>
                <w:sz w:val="26"/>
                <w:szCs w:val="26"/>
              </w:rPr>
              <w:lastRenderedPageBreak/>
              <w:t>Financial implications</w:t>
            </w:r>
          </w:p>
          <w:p w14:paraId="3B4A7963" w14:textId="36AA2320" w:rsidR="0014188D" w:rsidRPr="0014188D" w:rsidRDefault="00CE07A2" w:rsidP="00AF7582">
            <w:pPr>
              <w:pStyle w:val="paragraph"/>
              <w:keepNext/>
              <w:keepLines/>
              <w:spacing w:before="120" w:beforeAutospacing="0" w:after="120" w:afterAutospacing="0"/>
              <w:jc w:val="both"/>
              <w:textAlignment w:val="baseline"/>
              <w:rPr>
                <w:rFonts w:asciiTheme="minorHAnsi" w:eastAsiaTheme="minorEastAsia" w:hAnsiTheme="minorHAnsi" w:cstheme="minorBidi"/>
                <w:spacing w:val="-2"/>
              </w:rPr>
            </w:pPr>
            <w:r w:rsidRPr="78C5C231">
              <w:rPr>
                <w:rFonts w:asciiTheme="minorHAnsi" w:eastAsiaTheme="minorEastAsia" w:hAnsiTheme="minorHAnsi" w:cstheme="minorBidi"/>
                <w:spacing w:val="-2"/>
              </w:rPr>
              <w:t>The ICSC issued the outcome of the post-adjustment annual review on 14 February 2024. The</w:t>
            </w:r>
            <w:r w:rsidR="629BE73C" w:rsidRPr="650EC008">
              <w:rPr>
                <w:rFonts w:asciiTheme="minorHAnsi" w:eastAsiaTheme="minorEastAsia" w:hAnsiTheme="minorHAnsi" w:cstheme="minorBidi"/>
                <w:spacing w:val="-2"/>
              </w:rPr>
              <w:t xml:space="preserve"> </w:t>
            </w:r>
            <w:r w:rsidRPr="78C5C231">
              <w:rPr>
                <w:rFonts w:asciiTheme="minorHAnsi" w:eastAsiaTheme="minorEastAsia" w:hAnsiTheme="minorHAnsi" w:cstheme="minorBidi"/>
                <w:spacing w:val="-2"/>
              </w:rPr>
              <w:t xml:space="preserve">financial consequences for 2024 of the </w:t>
            </w:r>
            <w:proofErr w:type="gramStart"/>
            <w:r w:rsidRPr="78C5C231">
              <w:rPr>
                <w:rFonts w:asciiTheme="minorHAnsi" w:eastAsiaTheme="minorEastAsia" w:hAnsiTheme="minorHAnsi" w:cstheme="minorBidi"/>
                <w:spacing w:val="-2"/>
              </w:rPr>
              <w:t>implementation</w:t>
            </w:r>
            <w:proofErr w:type="gramEnd"/>
            <w:r w:rsidRPr="78C5C231">
              <w:rPr>
                <w:rFonts w:asciiTheme="minorHAnsi" w:eastAsiaTheme="minorEastAsia" w:hAnsiTheme="minorHAnsi" w:cstheme="minorBidi"/>
                <w:spacing w:val="-2"/>
              </w:rPr>
              <w:t xml:space="preserve"> of the new post adjustment for Geneva amount to CHF </w:t>
            </w:r>
            <w:r w:rsidR="21BFC7A9" w:rsidRPr="5B36A887">
              <w:rPr>
                <w:rFonts w:asciiTheme="minorHAnsi" w:eastAsiaTheme="minorEastAsia" w:hAnsiTheme="minorHAnsi" w:cstheme="minorBidi"/>
              </w:rPr>
              <w:t>2</w:t>
            </w:r>
            <w:r w:rsidR="00AF7582">
              <w:rPr>
                <w:rFonts w:asciiTheme="minorHAnsi" w:eastAsiaTheme="minorEastAsia" w:hAnsiTheme="minorHAnsi" w:cstheme="minorBidi"/>
              </w:rPr>
              <w:t> </w:t>
            </w:r>
            <w:r w:rsidR="365FA6E4" w:rsidRPr="5B36A887">
              <w:rPr>
                <w:rFonts w:asciiTheme="minorHAnsi" w:eastAsiaTheme="minorEastAsia" w:hAnsiTheme="minorHAnsi" w:cstheme="minorBidi"/>
              </w:rPr>
              <w:t>543</w:t>
            </w:r>
            <w:r w:rsidR="00AF7582">
              <w:rPr>
                <w:rFonts w:asciiTheme="minorHAnsi" w:eastAsiaTheme="minorEastAsia" w:hAnsiTheme="minorHAnsi" w:cstheme="minorBidi"/>
              </w:rPr>
              <w:t> </w:t>
            </w:r>
            <w:r w:rsidR="32BADA30" w:rsidRPr="5B36A887">
              <w:rPr>
                <w:rFonts w:asciiTheme="minorHAnsi" w:eastAsiaTheme="minorEastAsia" w:hAnsiTheme="minorHAnsi" w:cstheme="minorBidi"/>
              </w:rPr>
              <w:t>861</w:t>
            </w:r>
            <w:r w:rsidRPr="78C5C231">
              <w:rPr>
                <w:rFonts w:asciiTheme="minorHAnsi" w:eastAsiaTheme="minorEastAsia" w:hAnsiTheme="minorHAnsi" w:cstheme="minorBidi"/>
                <w:spacing w:val="-2"/>
              </w:rPr>
              <w:t xml:space="preserve"> (to cover an 11-month period from 1 February 2024 until the end of the year</w:t>
            </w:r>
            <w:r w:rsidR="4F847E91" w:rsidRPr="650EC008">
              <w:rPr>
                <w:rFonts w:asciiTheme="minorHAnsi" w:eastAsiaTheme="minorEastAsia" w:hAnsiTheme="minorHAnsi" w:cstheme="minorBidi"/>
                <w:spacing w:val="-2"/>
              </w:rPr>
              <w:t>)</w:t>
            </w:r>
            <w:r w:rsidR="26548FD2" w:rsidRPr="5B36A887">
              <w:rPr>
                <w:rFonts w:asciiTheme="minorHAnsi" w:eastAsiaTheme="minorEastAsia" w:hAnsiTheme="minorHAnsi" w:cstheme="minorBidi"/>
              </w:rPr>
              <w:t xml:space="preserve"> and </w:t>
            </w:r>
            <w:r w:rsidR="06E0397F" w:rsidRPr="5B36A887">
              <w:rPr>
                <w:rFonts w:asciiTheme="minorHAnsi" w:eastAsiaTheme="minorEastAsia" w:hAnsiTheme="minorHAnsi" w:cstheme="minorBidi"/>
              </w:rPr>
              <w:t>CHF</w:t>
            </w:r>
            <w:r w:rsidR="00AF7582">
              <w:rPr>
                <w:rFonts w:asciiTheme="minorHAnsi" w:eastAsiaTheme="minorEastAsia" w:hAnsiTheme="minorHAnsi" w:cstheme="minorBidi"/>
              </w:rPr>
              <w:t> </w:t>
            </w:r>
            <w:r w:rsidR="19198A2C" w:rsidRPr="5B36A887">
              <w:rPr>
                <w:rFonts w:asciiTheme="minorHAnsi" w:eastAsiaTheme="minorEastAsia" w:hAnsiTheme="minorHAnsi" w:cstheme="minorBidi"/>
              </w:rPr>
              <w:t>2</w:t>
            </w:r>
            <w:r w:rsidR="00AF7582">
              <w:rPr>
                <w:rFonts w:asciiTheme="minorHAnsi" w:eastAsiaTheme="minorEastAsia" w:hAnsiTheme="minorHAnsi" w:cstheme="minorBidi"/>
              </w:rPr>
              <w:t> </w:t>
            </w:r>
            <w:r w:rsidR="19198A2C" w:rsidRPr="5B36A887">
              <w:rPr>
                <w:rFonts w:asciiTheme="minorHAnsi" w:eastAsiaTheme="minorEastAsia" w:hAnsiTheme="minorHAnsi" w:cstheme="minorBidi"/>
              </w:rPr>
              <w:t>775</w:t>
            </w:r>
            <w:r w:rsidR="00AF7582">
              <w:rPr>
                <w:rFonts w:asciiTheme="minorHAnsi" w:eastAsiaTheme="minorEastAsia" w:hAnsiTheme="minorHAnsi" w:cstheme="minorBidi"/>
              </w:rPr>
              <w:t> </w:t>
            </w:r>
            <w:r w:rsidR="19198A2C" w:rsidRPr="5B36A887">
              <w:rPr>
                <w:rFonts w:asciiTheme="minorHAnsi" w:eastAsiaTheme="minorEastAsia" w:hAnsiTheme="minorHAnsi" w:cstheme="minorBidi"/>
              </w:rPr>
              <w:t>121 for 2025. For the biennium 2024-2025 the total financial implication</w:t>
            </w:r>
            <w:r w:rsidR="2A24DC64" w:rsidRPr="5B36A887">
              <w:rPr>
                <w:rFonts w:asciiTheme="minorHAnsi" w:eastAsiaTheme="minorEastAsia" w:hAnsiTheme="minorHAnsi" w:cstheme="minorBidi"/>
              </w:rPr>
              <w:t xml:space="preserve"> amounts to CHF</w:t>
            </w:r>
            <w:r w:rsidR="00AF7582">
              <w:rPr>
                <w:rFonts w:asciiTheme="minorHAnsi" w:eastAsiaTheme="minorEastAsia" w:hAnsiTheme="minorHAnsi" w:cstheme="minorBidi"/>
              </w:rPr>
              <w:t> </w:t>
            </w:r>
            <w:r w:rsidR="2A24DC64" w:rsidRPr="5B36A887">
              <w:rPr>
                <w:rFonts w:asciiTheme="minorHAnsi" w:eastAsiaTheme="minorEastAsia" w:hAnsiTheme="minorHAnsi" w:cstheme="minorBidi"/>
              </w:rPr>
              <w:t>5</w:t>
            </w:r>
            <w:r w:rsidR="00AF7582">
              <w:rPr>
                <w:rFonts w:asciiTheme="minorHAnsi" w:eastAsiaTheme="minorEastAsia" w:hAnsiTheme="minorHAnsi" w:cstheme="minorBidi"/>
              </w:rPr>
              <w:t> </w:t>
            </w:r>
            <w:r w:rsidR="2A24DC64" w:rsidRPr="5B36A887">
              <w:rPr>
                <w:rFonts w:asciiTheme="minorHAnsi" w:eastAsiaTheme="minorEastAsia" w:hAnsiTheme="minorHAnsi" w:cstheme="minorBidi"/>
              </w:rPr>
              <w:t>318</w:t>
            </w:r>
            <w:r w:rsidR="00AF7582">
              <w:rPr>
                <w:rFonts w:asciiTheme="minorHAnsi" w:eastAsiaTheme="minorEastAsia" w:hAnsiTheme="minorHAnsi" w:cstheme="minorBidi"/>
              </w:rPr>
              <w:t> </w:t>
            </w:r>
            <w:r w:rsidR="2A24DC64" w:rsidRPr="5B36A887">
              <w:rPr>
                <w:rFonts w:asciiTheme="minorHAnsi" w:eastAsiaTheme="minorEastAsia" w:hAnsiTheme="minorHAnsi" w:cstheme="minorBidi"/>
              </w:rPr>
              <w:t>982</w:t>
            </w:r>
            <w:r w:rsidR="05CA1AB7" w:rsidRPr="5B36A887">
              <w:rPr>
                <w:rFonts w:asciiTheme="minorHAnsi" w:eastAsiaTheme="minorEastAsia" w:hAnsiTheme="minorHAnsi" w:cstheme="minorBidi"/>
              </w:rPr>
              <w:t>.</w:t>
            </w:r>
          </w:p>
          <w:p w14:paraId="331FAB53" w14:textId="2F653827" w:rsidR="0014188D" w:rsidRPr="00841721" w:rsidRDefault="00CE07A2" w:rsidP="0014188D">
            <w:pPr>
              <w:keepNext/>
              <w:keepLines/>
              <w:spacing w:line="259" w:lineRule="auto"/>
              <w:jc w:val="both"/>
              <w:rPr>
                <w:rFonts w:asciiTheme="minorHAnsi" w:hAnsiTheme="minorHAnsi"/>
              </w:rPr>
            </w:pPr>
            <w:r w:rsidRPr="08ADAF75">
              <w:rPr>
                <w:rFonts w:asciiTheme="minorHAnsi" w:hAnsiTheme="minorHAnsi"/>
              </w:rPr>
              <w:t xml:space="preserve">In case this increase cannot be absorbed by the 2024-2025 budget, according to Council Resolution 1417, the Secretary-General is authorized, during the implementation of the budget for 2024-2025, to adjust appropriations related to expenses (such as post adjustments applicable to Geneva, as adopted by the United Nations Common System) </w:t>
            </w:r>
            <w:proofErr w:type="gramStart"/>
            <w:r w:rsidRPr="08ADAF75">
              <w:rPr>
                <w:rFonts w:asciiTheme="minorHAnsi" w:hAnsiTheme="minorHAnsi"/>
              </w:rPr>
              <w:t>through the use of</w:t>
            </w:r>
            <w:proofErr w:type="gramEnd"/>
            <w:r w:rsidRPr="08ADAF75">
              <w:rPr>
                <w:rFonts w:asciiTheme="minorHAnsi" w:hAnsiTheme="minorHAnsi"/>
              </w:rPr>
              <w:t xml:space="preserve"> the Reserve </w:t>
            </w:r>
            <w:r w:rsidR="0014188D" w:rsidRPr="08ADAF75">
              <w:rPr>
                <w:rFonts w:asciiTheme="minorHAnsi" w:hAnsiTheme="minorHAnsi"/>
              </w:rPr>
              <w:t>Account.</w:t>
            </w:r>
            <w:r w:rsidR="0014188D" w:rsidRPr="08ADAF75">
              <w:rPr>
                <w:rStyle w:val="FootnoteReference"/>
                <w:rFonts w:asciiTheme="minorHAnsi" w:hAnsiTheme="minorHAnsi"/>
              </w:rPr>
              <w:footnoteReference w:id="2"/>
            </w:r>
          </w:p>
          <w:p w14:paraId="60FC5941" w14:textId="77777777" w:rsidR="0014188D" w:rsidRPr="007A28EB" w:rsidRDefault="0014188D" w:rsidP="0014188D">
            <w:pPr>
              <w:keepNext/>
              <w:keepLines/>
              <w:spacing w:line="259" w:lineRule="auto"/>
              <w:jc w:val="both"/>
            </w:pPr>
            <w:r w:rsidRPr="007A28EB">
              <w:t>______________</w:t>
            </w:r>
          </w:p>
          <w:p w14:paraId="4BF9051A" w14:textId="77777777" w:rsidR="0014188D" w:rsidRPr="007A28EB" w:rsidRDefault="0014188D" w:rsidP="0014188D">
            <w:pPr>
              <w:keepNext/>
              <w:keepLines/>
              <w:spacing w:before="160"/>
              <w:rPr>
                <w:b/>
                <w:bCs/>
                <w:sz w:val="26"/>
                <w:szCs w:val="26"/>
              </w:rPr>
            </w:pPr>
            <w:r w:rsidRPr="007A28EB">
              <w:rPr>
                <w:b/>
                <w:bCs/>
                <w:sz w:val="26"/>
                <w:szCs w:val="26"/>
              </w:rPr>
              <w:t>References</w:t>
            </w:r>
          </w:p>
          <w:p w14:paraId="15457E2E" w14:textId="14314E24" w:rsidR="0014188D" w:rsidRPr="001A2FD1" w:rsidRDefault="0014188D" w:rsidP="0014188D">
            <w:pPr>
              <w:keepNext/>
              <w:keepLines/>
              <w:spacing w:before="160" w:after="120"/>
              <w:rPr>
                <w:b/>
                <w:bCs/>
                <w:sz w:val="26"/>
                <w:szCs w:val="26"/>
              </w:rPr>
            </w:pPr>
            <w:r w:rsidRPr="0014188D">
              <w:rPr>
                <w:i/>
                <w:iCs/>
                <w:sz w:val="22"/>
                <w:szCs w:val="22"/>
              </w:rPr>
              <w:t xml:space="preserve">Council Document </w:t>
            </w:r>
            <w:hyperlink r:id="rId14" w:history="1">
              <w:r w:rsidRPr="0014188D">
                <w:rPr>
                  <w:rStyle w:val="Hyperlink"/>
                  <w:i/>
                  <w:iCs/>
                  <w:sz w:val="22"/>
                  <w:szCs w:val="22"/>
                </w:rPr>
                <w:t>C23/56</w:t>
              </w:r>
            </w:hyperlink>
            <w:r w:rsidRPr="0014188D">
              <w:rPr>
                <w:i/>
                <w:iCs/>
                <w:sz w:val="22"/>
                <w:szCs w:val="22"/>
              </w:rPr>
              <w:t xml:space="preserve">; </w:t>
            </w:r>
            <w:hyperlink r:id="rId15" w:history="1">
              <w:r w:rsidRPr="0014188D">
                <w:rPr>
                  <w:rStyle w:val="Hyperlink"/>
                  <w:i/>
                  <w:iCs/>
                  <w:sz w:val="22"/>
                  <w:szCs w:val="22"/>
                </w:rPr>
                <w:t>Resolution 1420</w:t>
              </w:r>
            </w:hyperlink>
            <w:r w:rsidRPr="0014188D">
              <w:rPr>
                <w:rStyle w:val="Hyperlink"/>
                <w:i/>
                <w:iCs/>
                <w:sz w:val="22"/>
                <w:szCs w:val="22"/>
                <w:u w:val="none"/>
              </w:rPr>
              <w:t xml:space="preserve"> </w:t>
            </w:r>
            <w:r w:rsidRPr="0014188D">
              <w:rPr>
                <w:i/>
                <w:iCs/>
                <w:sz w:val="22"/>
                <w:szCs w:val="22"/>
              </w:rPr>
              <w:t>adopted by the 2023 Session of the ITU Council</w:t>
            </w:r>
          </w:p>
        </w:tc>
      </w:tr>
      <w:bookmarkEnd w:id="6"/>
    </w:tbl>
    <w:p w14:paraId="7600BCD6" w14:textId="77777777" w:rsidR="000529A7" w:rsidRPr="007A28EB" w:rsidRDefault="000529A7">
      <w:pPr>
        <w:tabs>
          <w:tab w:val="clear" w:pos="567"/>
          <w:tab w:val="clear" w:pos="1134"/>
          <w:tab w:val="clear" w:pos="1701"/>
          <w:tab w:val="clear" w:pos="2268"/>
          <w:tab w:val="clear" w:pos="2835"/>
        </w:tabs>
        <w:overflowPunct/>
        <w:autoSpaceDE/>
        <w:autoSpaceDN/>
        <w:adjustRightInd/>
        <w:spacing w:before="0"/>
        <w:textAlignment w:val="auto"/>
      </w:pPr>
      <w:r w:rsidRPr="007A28EB">
        <w:br w:type="page"/>
      </w:r>
    </w:p>
    <w:p w14:paraId="46BB4DDB" w14:textId="34423474" w:rsidR="00EE10FA" w:rsidRPr="001A2FD1" w:rsidRDefault="00D674A7" w:rsidP="00D674A7">
      <w:pPr>
        <w:pStyle w:val="paragraph"/>
        <w:spacing w:before="120" w:beforeAutospacing="0" w:after="120" w:afterAutospacing="0"/>
        <w:jc w:val="both"/>
        <w:textAlignment w:val="baseline"/>
        <w:rPr>
          <w:rFonts w:asciiTheme="minorHAnsi" w:hAnsiTheme="minorHAnsi" w:cstheme="minorHAnsi"/>
          <w:b/>
          <w:bCs/>
          <w:sz w:val="26"/>
          <w:szCs w:val="26"/>
        </w:rPr>
      </w:pPr>
      <w:r w:rsidRPr="001A2FD1">
        <w:rPr>
          <w:rStyle w:val="normaltextrun"/>
          <w:rFonts w:asciiTheme="minorHAnsi" w:hAnsiTheme="minorHAnsi" w:cstheme="minorHAnsi"/>
          <w:b/>
          <w:bCs/>
          <w:sz w:val="26"/>
          <w:szCs w:val="26"/>
        </w:rPr>
        <w:lastRenderedPageBreak/>
        <w:t>1</w:t>
      </w:r>
      <w:r w:rsidRPr="001A2FD1">
        <w:rPr>
          <w:rStyle w:val="normaltextrun"/>
          <w:rFonts w:asciiTheme="minorHAnsi" w:hAnsiTheme="minorHAnsi" w:cstheme="minorHAnsi"/>
          <w:b/>
          <w:bCs/>
          <w:sz w:val="26"/>
          <w:szCs w:val="26"/>
        </w:rPr>
        <w:tab/>
      </w:r>
      <w:r w:rsidR="00E665B9">
        <w:rPr>
          <w:rStyle w:val="normaltextrun"/>
          <w:rFonts w:asciiTheme="minorHAnsi" w:hAnsiTheme="minorHAnsi" w:cstheme="minorHAnsi"/>
          <w:b/>
          <w:bCs/>
          <w:sz w:val="26"/>
          <w:szCs w:val="26"/>
        </w:rPr>
        <w:t>BACKGROUND</w:t>
      </w:r>
    </w:p>
    <w:p w14:paraId="2F1C8C76" w14:textId="7E5BA867" w:rsidR="0000303B" w:rsidRPr="001A2FD1" w:rsidRDefault="00D674A7" w:rsidP="009E5E16">
      <w:pPr>
        <w:pStyle w:val="paragraph"/>
        <w:spacing w:before="120" w:beforeAutospacing="0" w:after="120" w:afterAutospacing="0"/>
        <w:jc w:val="both"/>
        <w:textAlignment w:val="baseline"/>
        <w:rPr>
          <w:rStyle w:val="eop"/>
          <w:rFonts w:asciiTheme="minorHAnsi" w:hAnsiTheme="minorHAnsi" w:cstheme="minorBidi"/>
        </w:rPr>
      </w:pPr>
      <w:r w:rsidRPr="5B36A887">
        <w:rPr>
          <w:rStyle w:val="normaltextrun"/>
          <w:rFonts w:asciiTheme="minorHAnsi" w:hAnsiTheme="minorHAnsi" w:cstheme="minorBidi"/>
        </w:rPr>
        <w:t>1.1</w:t>
      </w:r>
      <w:r>
        <w:tab/>
      </w:r>
      <w:r w:rsidR="002B5F25" w:rsidRPr="5B36A887">
        <w:rPr>
          <w:rStyle w:val="normaltextrun"/>
          <w:rFonts w:asciiTheme="minorHAnsi" w:hAnsiTheme="minorHAnsi" w:cstheme="minorBidi"/>
        </w:rPr>
        <w:t xml:space="preserve">To clarify the decision-making authority of </w:t>
      </w:r>
      <w:r w:rsidR="00530AAC" w:rsidRPr="5B36A887">
        <w:rPr>
          <w:rStyle w:val="normaltextrun"/>
          <w:rFonts w:asciiTheme="minorHAnsi" w:hAnsiTheme="minorHAnsi" w:cstheme="minorBidi"/>
        </w:rPr>
        <w:t>the International Civil Service Commission (ICSC)</w:t>
      </w:r>
      <w:r w:rsidR="002B5F25" w:rsidRPr="5B36A887">
        <w:rPr>
          <w:rStyle w:val="normaltextrun"/>
          <w:rFonts w:asciiTheme="minorHAnsi" w:hAnsiTheme="minorHAnsi" w:cstheme="minorBidi"/>
        </w:rPr>
        <w:t xml:space="preserve"> with respect to the determination of post adjustment multipliers, </w:t>
      </w:r>
      <w:r w:rsidR="00A629BE" w:rsidRPr="5B36A887">
        <w:rPr>
          <w:rStyle w:val="normaltextrun"/>
          <w:rFonts w:asciiTheme="minorHAnsi" w:hAnsiTheme="minorHAnsi" w:cstheme="minorBidi"/>
        </w:rPr>
        <w:t xml:space="preserve">the </w:t>
      </w:r>
      <w:r w:rsidR="002B5F25" w:rsidRPr="5B36A887">
        <w:rPr>
          <w:rStyle w:val="normaltextrun"/>
          <w:rFonts w:asciiTheme="minorHAnsi" w:hAnsiTheme="minorHAnsi" w:cstheme="minorBidi"/>
        </w:rPr>
        <w:t>UNGA approved amendments to Articles 10 and 11 of the ICSC statute in December 2022.</w:t>
      </w:r>
      <w:r w:rsidR="006027ED" w:rsidRPr="5B36A887">
        <w:rPr>
          <w:rStyle w:val="normaltextrun"/>
          <w:rFonts w:asciiTheme="minorHAnsi" w:hAnsiTheme="minorHAnsi" w:cstheme="minorBidi"/>
        </w:rPr>
        <w:t xml:space="preserve"> </w:t>
      </w:r>
      <w:r w:rsidR="00A629BE" w:rsidRPr="5B36A887">
        <w:rPr>
          <w:rStyle w:val="normaltextrun"/>
          <w:rFonts w:asciiTheme="minorHAnsi" w:hAnsiTheme="minorHAnsi" w:cstheme="minorBidi"/>
        </w:rPr>
        <w:t xml:space="preserve">The </w:t>
      </w:r>
      <w:r w:rsidR="006027ED" w:rsidRPr="5B36A887">
        <w:rPr>
          <w:rStyle w:val="normaltextrun"/>
          <w:rFonts w:asciiTheme="minorHAnsi" w:hAnsiTheme="minorHAnsi" w:cstheme="minorBidi"/>
        </w:rPr>
        <w:t xml:space="preserve">UNGA invited the relevant organizations of the </w:t>
      </w:r>
      <w:r w:rsidR="00A629BE" w:rsidRPr="5B36A887">
        <w:rPr>
          <w:rStyle w:val="normaltextrun"/>
          <w:rFonts w:asciiTheme="minorHAnsi" w:hAnsiTheme="minorHAnsi" w:cstheme="minorBidi"/>
        </w:rPr>
        <w:t xml:space="preserve">UN </w:t>
      </w:r>
      <w:r w:rsidR="005E14C2" w:rsidRPr="5B36A887">
        <w:rPr>
          <w:rStyle w:val="normaltextrun"/>
          <w:rFonts w:asciiTheme="minorHAnsi" w:hAnsiTheme="minorHAnsi" w:cstheme="minorBidi"/>
        </w:rPr>
        <w:t>C</w:t>
      </w:r>
      <w:r w:rsidR="006027ED" w:rsidRPr="5B36A887">
        <w:rPr>
          <w:rStyle w:val="normaltextrun"/>
          <w:rFonts w:asciiTheme="minorHAnsi" w:hAnsiTheme="minorHAnsi" w:cstheme="minorBidi"/>
        </w:rPr>
        <w:t xml:space="preserve">ommon </w:t>
      </w:r>
      <w:r w:rsidR="005E14C2" w:rsidRPr="5B36A887">
        <w:rPr>
          <w:rStyle w:val="normaltextrun"/>
          <w:rFonts w:asciiTheme="minorHAnsi" w:hAnsiTheme="minorHAnsi" w:cstheme="minorBidi"/>
        </w:rPr>
        <w:t>S</w:t>
      </w:r>
      <w:r w:rsidR="006027ED" w:rsidRPr="5B36A887">
        <w:rPr>
          <w:rStyle w:val="normaltextrun"/>
          <w:rFonts w:asciiTheme="minorHAnsi" w:hAnsiTheme="minorHAnsi" w:cstheme="minorBidi"/>
        </w:rPr>
        <w:t xml:space="preserve">ystem to </w:t>
      </w:r>
      <w:r w:rsidR="00A629BE" w:rsidRPr="5B36A887">
        <w:rPr>
          <w:rStyle w:val="normaltextrun"/>
          <w:rFonts w:asciiTheme="minorHAnsi" w:hAnsiTheme="minorHAnsi" w:cstheme="minorBidi"/>
        </w:rPr>
        <w:t xml:space="preserve">confirm </w:t>
      </w:r>
      <w:r w:rsidR="006027ED" w:rsidRPr="5B36A887">
        <w:rPr>
          <w:rStyle w:val="normaltextrun"/>
          <w:rFonts w:asciiTheme="minorHAnsi" w:hAnsiTheme="minorHAnsi" w:cstheme="minorBidi"/>
        </w:rPr>
        <w:t>formal acceptance of the amended statute.</w:t>
      </w:r>
    </w:p>
    <w:p w14:paraId="4B8542DB" w14:textId="439B3F5A" w:rsidR="009A0041" w:rsidRDefault="00D674A7" w:rsidP="78C5C231">
      <w:pPr>
        <w:pStyle w:val="paragraph"/>
        <w:spacing w:before="120" w:beforeAutospacing="0" w:after="120" w:afterAutospacing="0"/>
        <w:jc w:val="both"/>
        <w:textAlignment w:val="baseline"/>
        <w:rPr>
          <w:rFonts w:asciiTheme="minorHAnsi" w:eastAsia="Calibri" w:hAnsiTheme="minorHAnsi" w:cstheme="minorBidi"/>
          <w:kern w:val="2"/>
          <w:lang w:val="en-US"/>
          <w14:ligatures w14:val="standardContextual"/>
        </w:rPr>
      </w:pPr>
      <w:r w:rsidRPr="78C5C231">
        <w:rPr>
          <w:rStyle w:val="normaltextrun"/>
          <w:rFonts w:asciiTheme="minorHAnsi" w:hAnsiTheme="minorHAnsi" w:cstheme="minorBidi"/>
        </w:rPr>
        <w:t>1.2</w:t>
      </w:r>
      <w:r w:rsidRPr="001A2FD1">
        <w:rPr>
          <w:rStyle w:val="normaltextrun"/>
          <w:rFonts w:asciiTheme="minorHAnsi" w:hAnsiTheme="minorHAnsi" w:cstheme="minorHAnsi"/>
        </w:rPr>
        <w:tab/>
      </w:r>
      <w:r w:rsidR="00CE07A2" w:rsidRPr="78C5C231">
        <w:rPr>
          <w:rFonts w:asciiTheme="minorHAnsi" w:hAnsiTheme="minorHAnsi" w:cstheme="minorBidi"/>
        </w:rPr>
        <w:t>In Resolution 1420, which was adopted at the seventh Plenary meeting</w:t>
      </w:r>
      <w:r w:rsidR="0091217F">
        <w:rPr>
          <w:rFonts w:asciiTheme="minorHAnsi" w:hAnsiTheme="minorHAnsi" w:cstheme="minorBidi"/>
        </w:rPr>
        <w:t xml:space="preserve"> of the 2023 session of the Council</w:t>
      </w:r>
      <w:r w:rsidR="00CE07A2" w:rsidRPr="78C5C231">
        <w:rPr>
          <w:rFonts w:asciiTheme="minorHAnsi" w:hAnsiTheme="minorHAnsi" w:cstheme="minorBidi"/>
        </w:rPr>
        <w:t xml:space="preserve">, the ITU Council accepted the amendments to the statute of ICSC in UNGA Resolution </w:t>
      </w:r>
      <w:hyperlink r:id="rId16" w:history="1">
        <w:r w:rsidR="00CE07A2" w:rsidRPr="78C5C231">
          <w:rPr>
            <w:rStyle w:val="Hyperlink"/>
            <w:rFonts w:asciiTheme="minorHAnsi" w:hAnsiTheme="minorHAnsi" w:cstheme="minorBidi"/>
          </w:rPr>
          <w:t>A/RES/77/256 A</w:t>
        </w:r>
      </w:hyperlink>
      <w:r w:rsidR="00CE07A2" w:rsidRPr="78C5C231">
        <w:rPr>
          <w:rFonts w:asciiTheme="minorHAnsi" w:hAnsiTheme="minorHAnsi" w:cstheme="minorBidi"/>
        </w:rPr>
        <w:t xml:space="preserve">. </w:t>
      </w:r>
      <w:r w:rsidR="00CE07A2" w:rsidRPr="78C5C231">
        <w:rPr>
          <w:rFonts w:asciiTheme="minorHAnsi" w:hAnsiTheme="minorHAnsi" w:cstheme="minorBidi"/>
          <w:spacing w:val="-2"/>
        </w:rPr>
        <w:t>Subsequently, the Secretary-General has notified the U</w:t>
      </w:r>
      <w:r w:rsidR="00AF7582">
        <w:rPr>
          <w:rFonts w:asciiTheme="minorHAnsi" w:hAnsiTheme="minorHAnsi" w:cstheme="minorBidi"/>
          <w:spacing w:val="-2"/>
        </w:rPr>
        <w:t>nited Nations</w:t>
      </w:r>
      <w:r w:rsidR="00CE07A2" w:rsidRPr="78C5C231">
        <w:rPr>
          <w:rFonts w:asciiTheme="minorHAnsi" w:hAnsiTheme="minorHAnsi" w:cstheme="minorBidi"/>
          <w:spacing w:val="-2"/>
        </w:rPr>
        <w:t xml:space="preserve"> Secretary-General of this acceptance</w:t>
      </w:r>
      <w:r w:rsidR="00CE07A2" w:rsidRPr="78C5C231">
        <w:rPr>
          <w:rFonts w:asciiTheme="minorHAnsi" w:hAnsiTheme="minorHAnsi" w:cstheme="minorBidi"/>
          <w:spacing w:val="-2"/>
          <w:lang w:val="en-US"/>
        </w:rPr>
        <w:t>.</w:t>
      </w:r>
    </w:p>
    <w:p w14:paraId="1D0C99CC" w14:textId="4C2C1C55" w:rsidR="00682B2E" w:rsidRPr="007820F0" w:rsidRDefault="000848DD" w:rsidP="78C5C231">
      <w:pPr>
        <w:pStyle w:val="paragraph"/>
        <w:spacing w:before="120" w:beforeAutospacing="0" w:after="120" w:afterAutospacing="0"/>
        <w:jc w:val="both"/>
        <w:textAlignment w:val="baseline"/>
        <w:rPr>
          <w:rStyle w:val="normaltextrun"/>
          <w:rFonts w:asciiTheme="minorHAnsi" w:eastAsia="Calibri" w:hAnsiTheme="minorHAnsi" w:cstheme="minorBidi"/>
          <w:kern w:val="2"/>
          <w:lang w:val="en-US"/>
          <w14:ligatures w14:val="standardContextual"/>
        </w:rPr>
      </w:pPr>
      <w:r w:rsidRPr="78C5C231">
        <w:rPr>
          <w:rStyle w:val="normaltextrun"/>
          <w:rFonts w:asciiTheme="minorHAnsi" w:hAnsiTheme="minorHAnsi" w:cstheme="minorBidi"/>
        </w:rPr>
        <w:t>1.3</w:t>
      </w:r>
      <w:r w:rsidR="005101E3">
        <w:rPr>
          <w:rStyle w:val="normaltextrun"/>
          <w:rFonts w:asciiTheme="minorHAnsi" w:hAnsiTheme="minorHAnsi" w:cstheme="minorHAnsi"/>
        </w:rPr>
        <w:tab/>
      </w:r>
      <w:r w:rsidR="00665C55">
        <w:rPr>
          <w:rStyle w:val="normaltextrun"/>
          <w:rFonts w:asciiTheme="minorHAnsi" w:hAnsiTheme="minorHAnsi" w:cstheme="minorBidi"/>
        </w:rPr>
        <w:t>T</w:t>
      </w:r>
      <w:r w:rsidR="00682B2E" w:rsidRPr="78C5C231">
        <w:rPr>
          <w:rStyle w:val="normaltextrun"/>
          <w:rFonts w:asciiTheme="minorHAnsi" w:hAnsiTheme="minorHAnsi" w:cstheme="minorBidi"/>
        </w:rPr>
        <w:t xml:space="preserve">he Council also </w:t>
      </w:r>
      <w:r w:rsidR="00CE07A2" w:rsidRPr="78C5C231">
        <w:rPr>
          <w:rStyle w:val="normaltextrun"/>
          <w:rFonts w:asciiTheme="minorHAnsi" w:hAnsiTheme="minorHAnsi" w:cstheme="minorBidi"/>
        </w:rPr>
        <w:t>authorized</w:t>
      </w:r>
      <w:r w:rsidR="00E55CBF" w:rsidRPr="78C5C231">
        <w:rPr>
          <w:rStyle w:val="normaltextrun"/>
          <w:rFonts w:asciiTheme="minorHAnsi" w:hAnsiTheme="minorHAnsi" w:cstheme="minorBidi"/>
        </w:rPr>
        <w:t xml:space="preserve"> </w:t>
      </w:r>
      <w:r w:rsidR="009A0041" w:rsidRPr="78C5C231">
        <w:rPr>
          <w:rStyle w:val="normaltextrun"/>
          <w:rFonts w:asciiTheme="minorHAnsi" w:hAnsiTheme="minorHAnsi" w:cstheme="minorBidi"/>
        </w:rPr>
        <w:t xml:space="preserve">the </w:t>
      </w:r>
      <w:r w:rsidR="00682B2E" w:rsidRPr="78C5C231">
        <w:rPr>
          <w:rFonts w:asciiTheme="minorHAnsi" w:eastAsia="Calibri" w:hAnsiTheme="minorHAnsi" w:cstheme="minorBidi"/>
          <w:kern w:val="2"/>
          <w:lang w:val="en-US"/>
          <w14:ligatures w14:val="standardContextual"/>
        </w:rPr>
        <w:t>Secretary-</w:t>
      </w:r>
      <w:r w:rsidR="00682B2E" w:rsidRPr="78C5C231">
        <w:rPr>
          <w:rStyle w:val="normaltextrun"/>
          <w:rFonts w:asciiTheme="minorHAnsi" w:hAnsiTheme="minorHAnsi" w:cstheme="minorBidi"/>
        </w:rPr>
        <w:t>General</w:t>
      </w:r>
      <w:r w:rsidR="00E55CBF" w:rsidRPr="78C5C231">
        <w:rPr>
          <w:rStyle w:val="normaltextrun"/>
          <w:rFonts w:asciiTheme="minorHAnsi" w:hAnsiTheme="minorHAnsi" w:cstheme="minorBidi"/>
        </w:rPr>
        <w:t xml:space="preserve"> to </w:t>
      </w:r>
      <w:r w:rsidR="00682B2E" w:rsidRPr="78C5C231">
        <w:rPr>
          <w:rStyle w:val="normaltextrun"/>
          <w:rFonts w:asciiTheme="minorHAnsi" w:hAnsiTheme="minorHAnsi" w:cstheme="minorBidi"/>
        </w:rPr>
        <w:t>explore</w:t>
      </w:r>
      <w:r w:rsidR="00682B2E" w:rsidRPr="78C5C231">
        <w:rPr>
          <w:rFonts w:asciiTheme="minorHAnsi" w:eastAsia="Calibri" w:hAnsiTheme="minorHAnsi" w:cstheme="minorBidi"/>
          <w:kern w:val="2"/>
          <w:lang w:val="en-US"/>
          <w14:ligatures w14:val="standardContextual"/>
        </w:rPr>
        <w:t xml:space="preserve"> any permissible flexibility in implementing </w:t>
      </w:r>
      <w:r w:rsidR="009A0041" w:rsidRPr="78C5C231">
        <w:rPr>
          <w:rFonts w:asciiTheme="minorHAnsi" w:eastAsia="Calibri" w:hAnsiTheme="minorHAnsi" w:cstheme="minorBidi"/>
          <w:kern w:val="2"/>
          <w:lang w:val="en-US"/>
          <w14:ligatures w14:val="standardContextual"/>
        </w:rPr>
        <w:t>Resolution</w:t>
      </w:r>
      <w:r w:rsidR="00CE07A2" w:rsidRPr="78C5C231">
        <w:rPr>
          <w:rFonts w:asciiTheme="minorHAnsi" w:eastAsia="Calibri" w:hAnsiTheme="minorHAnsi" w:cstheme="minorBidi"/>
          <w:kern w:val="2"/>
          <w:lang w:val="en-US"/>
          <w14:ligatures w14:val="standardContextual"/>
        </w:rPr>
        <w:t xml:space="preserve"> 1420</w:t>
      </w:r>
      <w:r w:rsidR="009A0041" w:rsidRPr="78C5C231">
        <w:rPr>
          <w:rFonts w:asciiTheme="minorHAnsi" w:eastAsia="Calibri" w:hAnsiTheme="minorHAnsi" w:cstheme="minorBidi"/>
          <w:kern w:val="2"/>
          <w:lang w:val="en-US"/>
          <w14:ligatures w14:val="standardContextual"/>
        </w:rPr>
        <w:t xml:space="preserve">. </w:t>
      </w:r>
      <w:r w:rsidR="009A0041" w:rsidRPr="78C5C231">
        <w:rPr>
          <w:rStyle w:val="normaltextrun"/>
          <w:rFonts w:asciiTheme="minorHAnsi" w:hAnsiTheme="minorHAnsi" w:cstheme="minorBidi"/>
        </w:rPr>
        <w:t>B</w:t>
      </w:r>
      <w:r w:rsidR="00682B2E" w:rsidRPr="78C5C231">
        <w:rPr>
          <w:rStyle w:val="normaltextrun"/>
          <w:rFonts w:asciiTheme="minorHAnsi" w:hAnsiTheme="minorHAnsi" w:cstheme="minorBidi"/>
        </w:rPr>
        <w:t>earing in mind the high inflation and steep increase in the cost of living in Geneva, IT</w:t>
      </w:r>
      <w:r w:rsidR="009A0041" w:rsidRPr="78C5C231">
        <w:rPr>
          <w:rStyle w:val="normaltextrun"/>
          <w:rFonts w:asciiTheme="minorHAnsi" w:hAnsiTheme="minorHAnsi" w:cstheme="minorBidi"/>
        </w:rPr>
        <w:t>U, in collaboration with other Geneva-based specialized agencies</w:t>
      </w:r>
      <w:r w:rsidR="00607FBA" w:rsidRPr="78C5C231">
        <w:rPr>
          <w:rStyle w:val="normaltextrun"/>
          <w:rFonts w:asciiTheme="minorHAnsi" w:hAnsiTheme="minorHAnsi" w:cstheme="minorBidi"/>
        </w:rPr>
        <w:t xml:space="preserve"> (</w:t>
      </w:r>
      <w:r w:rsidR="009A0041" w:rsidRPr="78C5C231">
        <w:rPr>
          <w:rStyle w:val="normaltextrun"/>
          <w:rFonts w:asciiTheme="minorHAnsi" w:hAnsiTheme="minorHAnsi" w:cstheme="minorBidi"/>
        </w:rPr>
        <w:t>WHO and WIPO</w:t>
      </w:r>
      <w:r w:rsidR="00607FBA" w:rsidRPr="78C5C231">
        <w:rPr>
          <w:rStyle w:val="normaltextrun"/>
          <w:rFonts w:asciiTheme="minorHAnsi" w:hAnsiTheme="minorHAnsi" w:cstheme="minorBidi"/>
        </w:rPr>
        <w:t>)</w:t>
      </w:r>
      <w:r w:rsidR="00915C89" w:rsidRPr="78C5C231">
        <w:rPr>
          <w:rStyle w:val="normaltextrun"/>
          <w:rFonts w:asciiTheme="minorHAnsi" w:hAnsiTheme="minorHAnsi" w:cstheme="minorBidi"/>
        </w:rPr>
        <w:t>,</w:t>
      </w:r>
      <w:r w:rsidR="009A0041" w:rsidRPr="78C5C231">
        <w:rPr>
          <w:rStyle w:val="normaltextrun"/>
          <w:rFonts w:asciiTheme="minorHAnsi" w:hAnsiTheme="minorHAnsi" w:cstheme="minorBidi"/>
        </w:rPr>
        <w:t xml:space="preserve"> and </w:t>
      </w:r>
      <w:r w:rsidR="49DE86B4" w:rsidRPr="5B36A887">
        <w:rPr>
          <w:rStyle w:val="normaltextrun"/>
          <w:rFonts w:asciiTheme="minorHAnsi" w:hAnsiTheme="minorHAnsi" w:cstheme="minorBidi"/>
        </w:rPr>
        <w:t>after</w:t>
      </w:r>
      <w:r w:rsidR="009A0041" w:rsidRPr="78C5C231">
        <w:rPr>
          <w:rStyle w:val="normaltextrun"/>
          <w:rFonts w:asciiTheme="minorHAnsi" w:hAnsiTheme="minorHAnsi" w:cstheme="minorBidi"/>
        </w:rPr>
        <w:t xml:space="preserve"> consultation with the ICSC, </w:t>
      </w:r>
      <w:r w:rsidR="469CC5D2" w:rsidRPr="5B36A887">
        <w:rPr>
          <w:rStyle w:val="normaltextrun"/>
          <w:rFonts w:asciiTheme="minorHAnsi" w:hAnsiTheme="minorHAnsi" w:cstheme="minorBidi"/>
        </w:rPr>
        <w:t xml:space="preserve">decided to </w:t>
      </w:r>
      <w:r w:rsidR="00915C89" w:rsidRPr="78C5C231">
        <w:rPr>
          <w:rStyle w:val="normaltextrun"/>
          <w:rFonts w:asciiTheme="minorHAnsi" w:hAnsiTheme="minorHAnsi" w:cstheme="minorBidi"/>
        </w:rPr>
        <w:t xml:space="preserve">maintain </w:t>
      </w:r>
      <w:r w:rsidR="00682B2E" w:rsidRPr="78C5C231">
        <w:rPr>
          <w:rStyle w:val="normaltextrun"/>
          <w:rFonts w:asciiTheme="minorHAnsi" w:hAnsiTheme="minorHAnsi" w:cstheme="minorBidi"/>
        </w:rPr>
        <w:t xml:space="preserve">the </w:t>
      </w:r>
      <w:r w:rsidR="00EB4FDA" w:rsidRPr="00191F23">
        <w:rPr>
          <w:rFonts w:ascii="Calibri" w:hAnsi="Calibri" w:cs="Calibri"/>
          <w:spacing w:val="2"/>
          <w:lang w:eastAsia="en-US"/>
        </w:rPr>
        <w:t>Post Adjustment Multiplier (PAM)</w:t>
      </w:r>
      <w:r w:rsidR="00682B2E" w:rsidRPr="78C5C231">
        <w:rPr>
          <w:rStyle w:val="normaltextrun"/>
          <w:rFonts w:asciiTheme="minorHAnsi" w:hAnsiTheme="minorHAnsi" w:cstheme="minorBidi"/>
        </w:rPr>
        <w:t xml:space="preserve">for </w:t>
      </w:r>
      <w:r w:rsidR="00127F83" w:rsidRPr="78C5C231">
        <w:rPr>
          <w:rStyle w:val="normaltextrun"/>
          <w:rFonts w:asciiTheme="minorHAnsi" w:hAnsiTheme="minorHAnsi" w:cstheme="minorBidi"/>
        </w:rPr>
        <w:t xml:space="preserve">Geneva </w:t>
      </w:r>
      <w:r w:rsidR="00682B2E" w:rsidRPr="78C5C231">
        <w:rPr>
          <w:rStyle w:val="normaltextrun"/>
          <w:rFonts w:asciiTheme="minorHAnsi" w:hAnsiTheme="minorHAnsi" w:cstheme="minorBidi"/>
        </w:rPr>
        <w:t>based on the 2010 Cost-of-Living (COL) survey results</w:t>
      </w:r>
      <w:r w:rsidR="00915C89" w:rsidRPr="78C5C231">
        <w:rPr>
          <w:rStyle w:val="normaltextrun"/>
          <w:rFonts w:asciiTheme="minorHAnsi" w:hAnsiTheme="minorHAnsi" w:cstheme="minorBidi"/>
        </w:rPr>
        <w:t>,</w:t>
      </w:r>
      <w:r w:rsidR="00682B2E" w:rsidRPr="78C5C231">
        <w:rPr>
          <w:rStyle w:val="normaltextrun"/>
          <w:rFonts w:asciiTheme="minorHAnsi" w:hAnsiTheme="minorHAnsi" w:cstheme="minorBidi"/>
        </w:rPr>
        <w:t xml:space="preserve"> in </w:t>
      </w:r>
      <w:r w:rsidR="3579F3F3" w:rsidRPr="5B36A887">
        <w:rPr>
          <w:rStyle w:val="normaltextrun"/>
          <w:rFonts w:asciiTheme="minorHAnsi" w:hAnsiTheme="minorHAnsi" w:cstheme="minorBidi"/>
        </w:rPr>
        <w:t>anticipation of the upcoming annual review by the ICSC, aiming to more comprehensively reflect the current living conditions.</w:t>
      </w:r>
      <w:r w:rsidR="5AF49E94" w:rsidRPr="5B36A887">
        <w:rPr>
          <w:rStyle w:val="normaltextrun"/>
          <w:rFonts w:asciiTheme="minorHAnsi" w:hAnsiTheme="minorHAnsi" w:cstheme="minorBidi"/>
        </w:rPr>
        <w:t xml:space="preserve"> </w:t>
      </w:r>
    </w:p>
    <w:p w14:paraId="115D4BC4" w14:textId="3439207E" w:rsidR="00915C89" w:rsidRDefault="00D674A7" w:rsidP="00AF7582">
      <w:pPr>
        <w:pStyle w:val="Default"/>
        <w:spacing w:after="120"/>
        <w:jc w:val="both"/>
        <w:rPr>
          <w:rStyle w:val="normaltextrun"/>
          <w:rFonts w:asciiTheme="minorHAnsi" w:hAnsiTheme="minorHAnsi" w:cstheme="minorHAnsi"/>
          <w:color w:val="auto"/>
          <w:lang w:eastAsia="en-GB"/>
        </w:rPr>
      </w:pPr>
      <w:r w:rsidRPr="001A2FD1">
        <w:rPr>
          <w:rStyle w:val="normaltextrun"/>
          <w:rFonts w:asciiTheme="minorHAnsi" w:hAnsiTheme="minorHAnsi" w:cstheme="minorHAnsi"/>
        </w:rPr>
        <w:t>1.4</w:t>
      </w:r>
      <w:r w:rsidRPr="001A2FD1">
        <w:rPr>
          <w:rStyle w:val="normaltextrun"/>
          <w:rFonts w:asciiTheme="minorHAnsi" w:hAnsiTheme="minorHAnsi" w:cstheme="minorHAnsi"/>
        </w:rPr>
        <w:tab/>
      </w:r>
      <w:r w:rsidR="00FF30C3" w:rsidRPr="009A0041">
        <w:rPr>
          <w:rStyle w:val="normaltextrun"/>
          <w:rFonts w:asciiTheme="minorHAnsi" w:hAnsiTheme="minorHAnsi" w:cstheme="minorHAnsi"/>
        </w:rPr>
        <w:t>On 14</w:t>
      </w:r>
      <w:r w:rsidR="00D443D6" w:rsidRPr="009A0041">
        <w:rPr>
          <w:rStyle w:val="normaltextrun"/>
          <w:rFonts w:asciiTheme="minorHAnsi" w:hAnsiTheme="minorHAnsi" w:cstheme="minorHAnsi"/>
          <w:vertAlign w:val="superscript"/>
        </w:rPr>
        <w:t xml:space="preserve"> </w:t>
      </w:r>
      <w:r w:rsidR="00FF30C3" w:rsidRPr="009A0041">
        <w:rPr>
          <w:rStyle w:val="normaltextrun"/>
          <w:rFonts w:asciiTheme="minorHAnsi" w:hAnsiTheme="minorHAnsi" w:cstheme="minorHAnsi"/>
        </w:rPr>
        <w:t xml:space="preserve">February 2024, the </w:t>
      </w:r>
      <w:r w:rsidR="002E2F9F" w:rsidRPr="009A0041">
        <w:rPr>
          <w:rStyle w:val="normaltextrun"/>
          <w:rFonts w:asciiTheme="minorHAnsi" w:hAnsiTheme="minorHAnsi" w:cstheme="minorHAnsi"/>
        </w:rPr>
        <w:t>ICSC</w:t>
      </w:r>
      <w:r w:rsidR="00FF30C3" w:rsidRPr="009A0041">
        <w:rPr>
          <w:rStyle w:val="normaltextrun"/>
          <w:rFonts w:asciiTheme="minorHAnsi" w:hAnsiTheme="minorHAnsi" w:cstheme="minorHAnsi"/>
        </w:rPr>
        <w:t xml:space="preserve"> issued the outcome of the post adjustment</w:t>
      </w:r>
      <w:r w:rsidR="000848DD">
        <w:rPr>
          <w:rStyle w:val="normaltextrun"/>
          <w:rFonts w:asciiTheme="minorHAnsi" w:hAnsiTheme="minorHAnsi" w:cstheme="minorHAnsi"/>
        </w:rPr>
        <w:t xml:space="preserve"> </w:t>
      </w:r>
      <w:r w:rsidR="00915C89">
        <w:rPr>
          <w:rStyle w:val="normaltextrun"/>
          <w:rFonts w:asciiTheme="minorHAnsi" w:hAnsiTheme="minorHAnsi" w:cstheme="minorHAnsi"/>
        </w:rPr>
        <w:t xml:space="preserve">classification </w:t>
      </w:r>
      <w:r w:rsidR="00FF30C3" w:rsidRPr="009A0041">
        <w:rPr>
          <w:rStyle w:val="normaltextrun"/>
          <w:rFonts w:asciiTheme="minorHAnsi" w:hAnsiTheme="minorHAnsi" w:cstheme="minorHAnsi"/>
        </w:rPr>
        <w:t>an</w:t>
      </w:r>
      <w:r w:rsidR="00FF30C3" w:rsidRPr="00FF30C3">
        <w:rPr>
          <w:rStyle w:val="normaltextrun"/>
          <w:rFonts w:asciiTheme="minorHAnsi" w:hAnsiTheme="minorHAnsi" w:cstheme="minorHAnsi"/>
        </w:rPr>
        <w:t>nual review</w:t>
      </w:r>
      <w:r w:rsidR="002C2DD2">
        <w:rPr>
          <w:rStyle w:val="normaltextrun"/>
          <w:rFonts w:asciiTheme="minorHAnsi" w:hAnsiTheme="minorHAnsi" w:cstheme="minorHAnsi"/>
        </w:rPr>
        <w:t xml:space="preserve"> </w:t>
      </w:r>
      <w:r w:rsidR="00915C89">
        <w:rPr>
          <w:rStyle w:val="normaltextrun"/>
          <w:rFonts w:asciiTheme="minorHAnsi" w:hAnsiTheme="minorHAnsi" w:cstheme="minorHAnsi"/>
        </w:rPr>
        <w:t>for New York</w:t>
      </w:r>
      <w:r w:rsidR="001634A3">
        <w:rPr>
          <w:rStyle w:val="normaltextrun"/>
          <w:rFonts w:asciiTheme="minorHAnsi" w:hAnsiTheme="minorHAnsi" w:cstheme="minorHAnsi"/>
        </w:rPr>
        <w:t xml:space="preserve">, </w:t>
      </w:r>
      <w:r w:rsidR="00915C89" w:rsidRPr="000E431A">
        <w:rPr>
          <w:rStyle w:val="normaltextrun"/>
          <w:rFonts w:asciiTheme="minorHAnsi" w:hAnsiTheme="minorHAnsi" w:cstheme="minorHAnsi"/>
        </w:rPr>
        <w:t xml:space="preserve">pursuant to </w:t>
      </w:r>
      <w:r w:rsidR="007B13DC" w:rsidRPr="00DF1A82">
        <w:rPr>
          <w:rStyle w:val="normaltextrun"/>
          <w:rFonts w:asciiTheme="minorHAnsi" w:hAnsiTheme="minorHAnsi" w:cstheme="minorHAnsi"/>
        </w:rPr>
        <w:t xml:space="preserve">UNGA Resolution </w:t>
      </w:r>
      <w:hyperlink r:id="rId17" w:history="1">
        <w:r w:rsidR="00915C89" w:rsidRPr="000E431A">
          <w:rPr>
            <w:rStyle w:val="Hyperlink"/>
            <w:rFonts w:asciiTheme="minorHAnsi" w:hAnsiTheme="minorHAnsi" w:cstheme="minorHAnsi"/>
          </w:rPr>
          <w:t>A/RES/70/244</w:t>
        </w:r>
      </w:hyperlink>
      <w:r w:rsidR="00915C89" w:rsidRPr="000E431A">
        <w:rPr>
          <w:rStyle w:val="normaltextrun"/>
          <w:rFonts w:asciiTheme="minorHAnsi" w:hAnsiTheme="minorHAnsi" w:cstheme="minorHAnsi"/>
        </w:rPr>
        <w:t xml:space="preserve"> (section II, para 5)</w:t>
      </w:r>
      <w:r w:rsidR="003B47C8">
        <w:rPr>
          <w:rStyle w:val="normaltextrun"/>
          <w:rFonts w:asciiTheme="minorHAnsi" w:hAnsiTheme="minorHAnsi" w:cstheme="minorHAnsi"/>
        </w:rPr>
        <w:t xml:space="preserve">, which resulted in an increase in </w:t>
      </w:r>
      <w:r w:rsidR="00472AB9">
        <w:rPr>
          <w:rStyle w:val="normaltextrun"/>
          <w:rFonts w:asciiTheme="minorHAnsi" w:hAnsiTheme="minorHAnsi" w:cstheme="minorHAnsi"/>
        </w:rPr>
        <w:t>t</w:t>
      </w:r>
      <w:r w:rsidR="00915C89" w:rsidRPr="000E431A">
        <w:rPr>
          <w:rStyle w:val="normaltextrun"/>
          <w:rFonts w:asciiTheme="minorHAnsi" w:hAnsiTheme="minorHAnsi" w:cstheme="minorHAnsi"/>
        </w:rPr>
        <w:t>he post adjustment multiplier for New York from 80.5 to 88.4</w:t>
      </w:r>
      <w:r w:rsidR="00915C89">
        <w:rPr>
          <w:rStyle w:val="normaltextrun"/>
          <w:rFonts w:asciiTheme="minorHAnsi" w:hAnsiTheme="minorHAnsi" w:cstheme="minorHAnsi"/>
        </w:rPr>
        <w:t>.</w:t>
      </w:r>
    </w:p>
    <w:p w14:paraId="113E7F16" w14:textId="0EA05C97" w:rsidR="00A177DB" w:rsidRDefault="00655908" w:rsidP="00AF7582">
      <w:pPr>
        <w:pStyle w:val="Default"/>
        <w:spacing w:after="120"/>
        <w:jc w:val="both"/>
        <w:rPr>
          <w:rStyle w:val="normaltextrun"/>
          <w:rFonts w:asciiTheme="minorHAnsi" w:hAnsiTheme="minorHAnsi" w:cstheme="minorHAnsi"/>
        </w:rPr>
      </w:pPr>
      <w:r w:rsidRPr="001A2FD1">
        <w:rPr>
          <w:rStyle w:val="normaltextrun"/>
          <w:rFonts w:asciiTheme="minorHAnsi" w:hAnsiTheme="minorHAnsi" w:cstheme="minorHAnsi"/>
        </w:rPr>
        <w:t>1.5</w:t>
      </w:r>
      <w:r>
        <w:rPr>
          <w:rStyle w:val="normaltextrun"/>
          <w:rFonts w:asciiTheme="minorHAnsi" w:hAnsiTheme="minorHAnsi" w:cstheme="minorHAnsi"/>
        </w:rPr>
        <w:tab/>
      </w:r>
      <w:r w:rsidR="003C7529" w:rsidRPr="000E431A">
        <w:rPr>
          <w:rStyle w:val="normaltextrun"/>
          <w:rFonts w:asciiTheme="minorHAnsi" w:hAnsiTheme="minorHAnsi" w:cstheme="minorHAnsi"/>
        </w:rPr>
        <w:t>The post adjustment classifications review of all headquarters and other group I duty stations, on the anniversary date of the post adjustment classification review for New York</w:t>
      </w:r>
      <w:r w:rsidR="00F542A0">
        <w:rPr>
          <w:rStyle w:val="normaltextrun"/>
          <w:rFonts w:asciiTheme="minorHAnsi" w:hAnsiTheme="minorHAnsi" w:cstheme="minorHAnsi"/>
        </w:rPr>
        <w:t xml:space="preserve">, </w:t>
      </w:r>
      <w:r w:rsidR="003C7529" w:rsidRPr="000E431A">
        <w:rPr>
          <w:rStyle w:val="normaltextrun"/>
          <w:rFonts w:asciiTheme="minorHAnsi" w:hAnsiTheme="minorHAnsi" w:cstheme="minorHAnsi"/>
        </w:rPr>
        <w:t xml:space="preserve">pursuant to </w:t>
      </w:r>
      <w:r w:rsidR="007B13DC" w:rsidRPr="00DF1A82">
        <w:rPr>
          <w:rStyle w:val="normaltextrun"/>
          <w:rFonts w:asciiTheme="minorHAnsi" w:hAnsiTheme="minorHAnsi" w:cstheme="minorHAnsi"/>
        </w:rPr>
        <w:t xml:space="preserve">UNGA Resolution </w:t>
      </w:r>
      <w:hyperlink r:id="rId18" w:history="1">
        <w:r w:rsidR="003C7529" w:rsidRPr="000E431A">
          <w:rPr>
            <w:rStyle w:val="Hyperlink"/>
            <w:rFonts w:asciiTheme="minorHAnsi" w:hAnsiTheme="minorHAnsi" w:cstheme="minorHAnsi"/>
          </w:rPr>
          <w:t>A/RES/69/251</w:t>
        </w:r>
      </w:hyperlink>
      <w:r w:rsidR="009A0041" w:rsidRPr="00882FC3">
        <w:rPr>
          <w:rStyle w:val="Hyperlink"/>
          <w:rFonts w:asciiTheme="minorHAnsi" w:hAnsiTheme="minorHAnsi" w:cstheme="minorHAnsi"/>
          <w:u w:val="none"/>
        </w:rPr>
        <w:t xml:space="preserve"> </w:t>
      </w:r>
      <w:r w:rsidR="009A0041" w:rsidRPr="007820F0">
        <w:rPr>
          <w:rFonts w:ascii="Calibri" w:hAnsi="Calibri" w:cs="Calibri"/>
        </w:rPr>
        <w:t>(Section E)</w:t>
      </w:r>
      <w:r w:rsidR="000F1A9C">
        <w:rPr>
          <w:rFonts w:ascii="Calibri" w:hAnsi="Calibri" w:cs="Calibri"/>
        </w:rPr>
        <w:t xml:space="preserve">, </w:t>
      </w:r>
      <w:r w:rsidR="003C7529" w:rsidRPr="00F542A0">
        <w:rPr>
          <w:rStyle w:val="normaltextrun"/>
          <w:rFonts w:asciiTheme="minorHAnsi" w:hAnsiTheme="minorHAnsi" w:cstheme="minorHAnsi"/>
        </w:rPr>
        <w:t>led to real salary increases in 51 (out of 53) group I duty stations</w:t>
      </w:r>
      <w:r w:rsidR="00BA6828">
        <w:rPr>
          <w:rStyle w:val="normaltextrun"/>
          <w:rFonts w:asciiTheme="minorHAnsi" w:hAnsiTheme="minorHAnsi" w:cstheme="minorHAnsi"/>
        </w:rPr>
        <w:t>,</w:t>
      </w:r>
      <w:r w:rsidR="003C7529" w:rsidRPr="00F542A0">
        <w:rPr>
          <w:rStyle w:val="normaltextrun"/>
          <w:rFonts w:asciiTheme="minorHAnsi" w:hAnsiTheme="minorHAnsi" w:cstheme="minorHAnsi"/>
        </w:rPr>
        <w:t xml:space="preserve"> whose updated post adjust</w:t>
      </w:r>
      <w:r w:rsidR="003C7529" w:rsidRPr="003C7529">
        <w:rPr>
          <w:rStyle w:val="normaltextrun"/>
          <w:rFonts w:asciiTheme="minorHAnsi" w:hAnsiTheme="minorHAnsi" w:cstheme="minorHAnsi"/>
        </w:rPr>
        <w:t>ment indices exceeded their prevailing pay indices</w:t>
      </w:r>
      <w:r w:rsidR="00F50677">
        <w:rPr>
          <w:rStyle w:val="normaltextrun"/>
          <w:rFonts w:asciiTheme="minorHAnsi" w:hAnsiTheme="minorHAnsi" w:cstheme="minorHAnsi"/>
        </w:rPr>
        <w:t>, with effect from 1 February 2024.</w:t>
      </w:r>
      <w:r w:rsidR="001634A3">
        <w:rPr>
          <w:rStyle w:val="normaltextrun"/>
          <w:rFonts w:asciiTheme="minorHAnsi" w:hAnsiTheme="minorHAnsi" w:cstheme="minorHAnsi"/>
        </w:rPr>
        <w:t xml:space="preserve"> </w:t>
      </w:r>
    </w:p>
    <w:p w14:paraId="2D138EAE" w14:textId="4C2C9278" w:rsidR="0000303B" w:rsidRPr="001A2FD1" w:rsidRDefault="00655908" w:rsidP="004E1E55">
      <w:pPr>
        <w:pStyle w:val="paragraph"/>
        <w:spacing w:before="0" w:beforeAutospacing="0" w:after="120" w:afterAutospacing="0"/>
        <w:jc w:val="both"/>
        <w:rPr>
          <w:rStyle w:val="eop"/>
          <w:rFonts w:asciiTheme="minorHAnsi" w:hAnsiTheme="minorHAnsi" w:cstheme="minorHAnsi"/>
        </w:rPr>
      </w:pPr>
      <w:r w:rsidRPr="001A2FD1">
        <w:rPr>
          <w:rStyle w:val="normaltextrun"/>
          <w:rFonts w:asciiTheme="minorHAnsi" w:hAnsiTheme="minorHAnsi" w:cstheme="minorHAnsi"/>
        </w:rPr>
        <w:t>1.</w:t>
      </w:r>
      <w:r>
        <w:rPr>
          <w:rStyle w:val="normaltextrun"/>
          <w:rFonts w:asciiTheme="minorHAnsi" w:hAnsiTheme="minorHAnsi" w:cstheme="minorHAnsi"/>
        </w:rPr>
        <w:t>6</w:t>
      </w:r>
      <w:r w:rsidR="00D219F0" w:rsidRPr="001A2FD1">
        <w:rPr>
          <w:rStyle w:val="normaltextrun"/>
          <w:rFonts w:asciiTheme="minorHAnsi" w:hAnsiTheme="minorHAnsi" w:cstheme="minorHAnsi"/>
        </w:rPr>
        <w:tab/>
      </w:r>
      <w:r w:rsidR="00FA2E34" w:rsidRPr="00FA2E34">
        <w:rPr>
          <w:rFonts w:asciiTheme="minorHAnsi" w:hAnsiTheme="minorHAnsi" w:cstheme="minorHAnsi"/>
        </w:rPr>
        <w:t>This review, coupled with adjustments in pensionable remuneration (as of 1 February 2024 by a ratio of 188.4/180.5; see Annex 1), resulted in a net increase of approximately 1.5% in take-home pay for staff in Geneva for February 2024, when applying the ICSC established PAM for Switzerland of 89.7 (see Annex 2 for New York and Switzerland).</w:t>
      </w:r>
    </w:p>
    <w:p w14:paraId="6441F6DB" w14:textId="01298E1F" w:rsidR="0000303B" w:rsidRDefault="00655908" w:rsidP="78C5C231">
      <w:pPr>
        <w:pStyle w:val="paragraph"/>
        <w:spacing w:before="120" w:beforeAutospacing="0" w:after="120" w:afterAutospacing="0"/>
        <w:jc w:val="both"/>
        <w:textAlignment w:val="baseline"/>
        <w:rPr>
          <w:rStyle w:val="normaltextrun"/>
          <w:rFonts w:asciiTheme="minorHAnsi" w:hAnsiTheme="minorHAnsi" w:cstheme="minorBidi"/>
        </w:rPr>
      </w:pPr>
      <w:r w:rsidRPr="78C5C231">
        <w:rPr>
          <w:rStyle w:val="normaltextrun"/>
          <w:rFonts w:asciiTheme="minorHAnsi" w:hAnsiTheme="minorHAnsi" w:cstheme="minorBidi"/>
        </w:rPr>
        <w:t>1.7</w:t>
      </w:r>
      <w:r>
        <w:tab/>
      </w:r>
      <w:r w:rsidR="009C4B83" w:rsidRPr="78C5C231">
        <w:rPr>
          <w:rStyle w:val="normaltextrun"/>
          <w:rFonts w:asciiTheme="minorHAnsi" w:hAnsiTheme="minorHAnsi" w:cstheme="minorBidi"/>
        </w:rPr>
        <w:t>ITU implement</w:t>
      </w:r>
      <w:r w:rsidR="00DC0D7D" w:rsidRPr="78C5C231">
        <w:rPr>
          <w:rStyle w:val="normaltextrun"/>
          <w:rFonts w:asciiTheme="minorHAnsi" w:hAnsiTheme="minorHAnsi" w:cstheme="minorBidi"/>
        </w:rPr>
        <w:t>ed</w:t>
      </w:r>
      <w:r w:rsidR="009C4B83" w:rsidRPr="78C5C231">
        <w:rPr>
          <w:rStyle w:val="normaltextrun"/>
          <w:rFonts w:asciiTheme="minorHAnsi" w:hAnsiTheme="minorHAnsi" w:cstheme="minorBidi"/>
        </w:rPr>
        <w:t xml:space="preserve"> the PAM </w:t>
      </w:r>
      <w:r w:rsidR="00A629BE" w:rsidRPr="78C5C231">
        <w:rPr>
          <w:rStyle w:val="normaltextrun"/>
          <w:rFonts w:asciiTheme="minorHAnsi" w:hAnsiTheme="minorHAnsi" w:cstheme="minorBidi"/>
        </w:rPr>
        <w:t xml:space="preserve">established by the ICSC, </w:t>
      </w:r>
      <w:r w:rsidR="009C4B83" w:rsidRPr="78C5C231">
        <w:rPr>
          <w:rStyle w:val="normaltextrun"/>
          <w:rFonts w:asciiTheme="minorHAnsi" w:hAnsiTheme="minorHAnsi" w:cstheme="minorBidi"/>
        </w:rPr>
        <w:t xml:space="preserve">as reflected in the ICSC circular </w:t>
      </w:r>
      <w:r w:rsidR="561E5100" w:rsidRPr="5B36A887">
        <w:rPr>
          <w:rStyle w:val="normaltextrun"/>
          <w:rFonts w:asciiTheme="minorHAnsi" w:hAnsiTheme="minorHAnsi" w:cstheme="minorBidi"/>
        </w:rPr>
        <w:t>with an effective date of 1</w:t>
      </w:r>
      <w:r w:rsidR="009C4B83" w:rsidRPr="78C5C231">
        <w:rPr>
          <w:rStyle w:val="normaltextrun"/>
          <w:rFonts w:asciiTheme="minorHAnsi" w:hAnsiTheme="minorHAnsi" w:cstheme="minorBidi"/>
        </w:rPr>
        <w:t xml:space="preserve"> February 2024.</w:t>
      </w:r>
      <w:r w:rsidRPr="78C5C231">
        <w:rPr>
          <w:rStyle w:val="normaltextrun"/>
          <w:rFonts w:asciiTheme="minorHAnsi" w:hAnsiTheme="minorHAnsi" w:cstheme="minorBidi"/>
        </w:rPr>
        <w:t xml:space="preserve"> </w:t>
      </w:r>
      <w:r w:rsidR="002D24CC" w:rsidRPr="78C5C231">
        <w:rPr>
          <w:rStyle w:val="normaltextrun"/>
          <w:rFonts w:asciiTheme="minorHAnsi" w:hAnsiTheme="minorHAnsi" w:cstheme="minorBidi"/>
        </w:rPr>
        <w:t xml:space="preserve">This adjustment </w:t>
      </w:r>
      <w:proofErr w:type="gramStart"/>
      <w:r w:rsidRPr="78C5C231">
        <w:rPr>
          <w:rStyle w:val="normaltextrun"/>
          <w:rFonts w:asciiTheme="minorHAnsi" w:hAnsiTheme="minorHAnsi" w:cstheme="minorBidi"/>
        </w:rPr>
        <w:t xml:space="preserve">brought </w:t>
      </w:r>
      <w:r w:rsidR="002D24CC" w:rsidRPr="78C5C231">
        <w:rPr>
          <w:rStyle w:val="normaltextrun"/>
          <w:rFonts w:asciiTheme="minorHAnsi" w:hAnsiTheme="minorHAnsi" w:cstheme="minorBidi"/>
        </w:rPr>
        <w:t>to an end</w:t>
      </w:r>
      <w:proofErr w:type="gramEnd"/>
      <w:r w:rsidR="002D24CC" w:rsidRPr="78C5C231">
        <w:rPr>
          <w:rStyle w:val="normaltextrun"/>
          <w:rFonts w:asciiTheme="minorHAnsi" w:hAnsiTheme="minorHAnsi" w:cstheme="minorBidi"/>
        </w:rPr>
        <w:t xml:space="preserve"> the recent history of applying two different PAMs in </w:t>
      </w:r>
      <w:r w:rsidR="00084732" w:rsidRPr="78C5C231">
        <w:rPr>
          <w:rStyle w:val="normaltextrun"/>
          <w:rFonts w:asciiTheme="minorHAnsi" w:hAnsiTheme="minorHAnsi" w:cstheme="minorBidi"/>
        </w:rPr>
        <w:t xml:space="preserve">Geneva </w:t>
      </w:r>
      <w:r w:rsidR="002D24CC" w:rsidRPr="78C5C231">
        <w:rPr>
          <w:rStyle w:val="normaltextrun"/>
          <w:rFonts w:asciiTheme="minorHAnsi" w:hAnsiTheme="minorHAnsi" w:cstheme="minorBidi"/>
        </w:rPr>
        <w:t xml:space="preserve">for </w:t>
      </w:r>
      <w:r w:rsidR="00DB1B8B" w:rsidRPr="78C5C231">
        <w:rPr>
          <w:rStyle w:val="normaltextrun"/>
          <w:rFonts w:asciiTheme="minorHAnsi" w:hAnsiTheme="minorHAnsi" w:cstheme="minorBidi"/>
        </w:rPr>
        <w:t>P</w:t>
      </w:r>
      <w:r w:rsidR="002D24CC" w:rsidRPr="78C5C231">
        <w:rPr>
          <w:rStyle w:val="normaltextrun"/>
          <w:rFonts w:asciiTheme="minorHAnsi" w:hAnsiTheme="minorHAnsi" w:cstheme="minorBidi"/>
        </w:rPr>
        <w:t xml:space="preserve">rofessional and higher category staff. </w:t>
      </w:r>
    </w:p>
    <w:p w14:paraId="4A9FE5DC" w14:textId="31ABAD22" w:rsidR="005B717A" w:rsidRDefault="0022698F" w:rsidP="005101E3">
      <w:pPr>
        <w:pStyle w:val="paragraph"/>
        <w:spacing w:before="360" w:beforeAutospacing="0" w:after="120" w:afterAutospacing="0"/>
        <w:ind w:left="567" w:hanging="567"/>
        <w:jc w:val="both"/>
        <w:textAlignment w:val="baseline"/>
        <w:rPr>
          <w:rStyle w:val="normaltextrun"/>
          <w:rFonts w:asciiTheme="minorHAnsi" w:hAnsiTheme="minorHAnsi" w:cstheme="minorHAnsi"/>
          <w:b/>
          <w:bCs/>
          <w:sz w:val="26"/>
          <w:szCs w:val="26"/>
        </w:rPr>
      </w:pPr>
      <w:r w:rsidRPr="001A2FD1">
        <w:rPr>
          <w:rStyle w:val="normaltextrun"/>
          <w:rFonts w:asciiTheme="minorHAnsi" w:hAnsiTheme="minorHAnsi" w:cstheme="minorHAnsi"/>
          <w:b/>
          <w:bCs/>
          <w:sz w:val="26"/>
          <w:szCs w:val="26"/>
        </w:rPr>
        <w:t>2</w:t>
      </w:r>
      <w:r w:rsidRPr="001A2FD1">
        <w:rPr>
          <w:rStyle w:val="normaltextrun"/>
          <w:rFonts w:asciiTheme="minorHAnsi" w:hAnsiTheme="minorHAnsi" w:cstheme="minorHAnsi"/>
          <w:b/>
          <w:bCs/>
          <w:sz w:val="26"/>
          <w:szCs w:val="26"/>
        </w:rPr>
        <w:tab/>
      </w:r>
      <w:r w:rsidR="00083511" w:rsidRPr="00083511">
        <w:rPr>
          <w:rStyle w:val="normaltextrun"/>
          <w:rFonts w:asciiTheme="minorHAnsi" w:hAnsiTheme="minorHAnsi" w:cstheme="minorHAnsi"/>
          <w:b/>
          <w:bCs/>
          <w:sz w:val="26"/>
          <w:szCs w:val="26"/>
        </w:rPr>
        <w:t>ACTION REQUESTED FROM THE COUNCIL</w:t>
      </w:r>
    </w:p>
    <w:p w14:paraId="6A3748EC" w14:textId="5A2C920A" w:rsidR="00E42465" w:rsidRPr="009976AA" w:rsidRDefault="00E42465" w:rsidP="005101E3">
      <w:pPr>
        <w:jc w:val="both"/>
      </w:pPr>
      <w:r w:rsidRPr="009976AA">
        <w:t xml:space="preserve">The Council is invited to </w:t>
      </w:r>
      <w:r w:rsidR="00591E3A">
        <w:t xml:space="preserve">take </w:t>
      </w:r>
      <w:r w:rsidRPr="009976AA">
        <w:t>note</w:t>
      </w:r>
      <w:r w:rsidR="00591E3A">
        <w:t xml:space="preserve"> </w:t>
      </w:r>
      <w:r w:rsidR="00DD07F4" w:rsidRPr="00DD07F4">
        <w:t>o</w:t>
      </w:r>
      <w:r w:rsidR="00591E3A">
        <w:t>f</w:t>
      </w:r>
      <w:r w:rsidR="00DD07F4" w:rsidRPr="00DD07F4">
        <w:t xml:space="preserve"> the implementation of </w:t>
      </w:r>
      <w:r w:rsidR="00DD07F4">
        <w:t>R</w:t>
      </w:r>
      <w:r w:rsidR="00DD07F4" w:rsidRPr="00DD07F4">
        <w:t>esolution 1420</w:t>
      </w:r>
      <w:r w:rsidR="00DD07F4">
        <w:t xml:space="preserve"> </w:t>
      </w:r>
      <w:r w:rsidRPr="009976AA">
        <w:t>and</w:t>
      </w:r>
      <w:r w:rsidR="00863547">
        <w:t xml:space="preserve"> </w:t>
      </w:r>
      <w:r w:rsidR="00CB5208" w:rsidRPr="00494C1E">
        <w:rPr>
          <w:rFonts w:asciiTheme="minorHAnsi" w:eastAsiaTheme="minorEastAsia" w:hAnsiTheme="minorHAnsi" w:cstheme="minorHAnsi"/>
        </w:rPr>
        <w:t>the</w:t>
      </w:r>
      <w:r w:rsidR="00CB5208">
        <w:rPr>
          <w:rFonts w:asciiTheme="minorHAnsi" w:eastAsiaTheme="minorEastAsia" w:hAnsiTheme="minorHAnsi" w:cstheme="minorHAnsi"/>
        </w:rPr>
        <w:t xml:space="preserve"> application of</w:t>
      </w:r>
      <w:r w:rsidR="00DD07F4" w:rsidRPr="00DD07F4">
        <w:t xml:space="preserve"> </w:t>
      </w:r>
      <w:r w:rsidR="00A629BE">
        <w:t xml:space="preserve">the </w:t>
      </w:r>
      <w:r w:rsidR="00DD07F4" w:rsidRPr="00DD07F4">
        <w:t xml:space="preserve">PAM </w:t>
      </w:r>
      <w:r w:rsidR="00A629BE">
        <w:t>established by the ICSC</w:t>
      </w:r>
      <w:r w:rsidR="00DB1B8B">
        <w:t xml:space="preserve"> in </w:t>
      </w:r>
      <w:r w:rsidR="006A0AC0" w:rsidRPr="006A0AC0">
        <w:t>Geneva</w:t>
      </w:r>
      <w:r w:rsidR="006A0AC0">
        <w:t xml:space="preserve"> </w:t>
      </w:r>
      <w:r w:rsidR="00CE07A2">
        <w:t>with effect</w:t>
      </w:r>
      <w:r w:rsidR="00DB1B8B">
        <w:t xml:space="preserve"> from </w:t>
      </w:r>
      <w:r w:rsidR="00CE07A2">
        <w:t xml:space="preserve">1 </w:t>
      </w:r>
      <w:r w:rsidR="00DB1B8B">
        <w:t>February 2024 onwards</w:t>
      </w:r>
      <w:r w:rsidR="00DD07F4">
        <w:t>.</w:t>
      </w:r>
    </w:p>
    <w:p w14:paraId="33E66269" w14:textId="46FF7C05" w:rsidR="00DB474E" w:rsidRPr="001A2FD1" w:rsidRDefault="00BC1DA0" w:rsidP="005101E3">
      <w:pPr>
        <w:pStyle w:val="PlainText"/>
        <w:spacing w:before="720"/>
        <w:jc w:val="both"/>
      </w:pPr>
      <w:r w:rsidRPr="005101E3">
        <w:rPr>
          <w:rFonts w:asciiTheme="minorHAnsi" w:hAnsiTheme="minorHAnsi" w:cstheme="minorHAnsi"/>
          <w:b/>
          <w:bCs/>
          <w:i/>
          <w:iCs/>
          <w:szCs w:val="24"/>
        </w:rPr>
        <w:t>Annex</w:t>
      </w:r>
      <w:r w:rsidR="001B2E0C" w:rsidRPr="005101E3">
        <w:rPr>
          <w:rFonts w:asciiTheme="minorHAnsi" w:hAnsiTheme="minorHAnsi" w:cstheme="minorHAnsi"/>
          <w:b/>
          <w:bCs/>
          <w:i/>
          <w:iCs/>
          <w:szCs w:val="24"/>
        </w:rPr>
        <w:t>es</w:t>
      </w:r>
      <w:r w:rsidRPr="005101E3">
        <w:rPr>
          <w:rFonts w:asciiTheme="minorHAnsi" w:hAnsiTheme="minorHAnsi" w:cstheme="minorHAnsi"/>
          <w:b/>
          <w:bCs/>
          <w:i/>
          <w:iCs/>
          <w:szCs w:val="24"/>
        </w:rPr>
        <w:t>:</w:t>
      </w:r>
      <w:r w:rsidR="00625FAA">
        <w:rPr>
          <w:rFonts w:asciiTheme="minorHAnsi" w:hAnsiTheme="minorHAnsi" w:cstheme="minorHAnsi"/>
          <w:i/>
          <w:iCs/>
          <w:szCs w:val="24"/>
        </w:rPr>
        <w:t xml:space="preserve"> </w:t>
      </w:r>
      <w:r w:rsidR="00A20314">
        <w:rPr>
          <w:rFonts w:asciiTheme="minorHAnsi" w:hAnsiTheme="minorHAnsi" w:cstheme="minorHAnsi"/>
          <w:b/>
          <w:bCs/>
          <w:i/>
          <w:iCs/>
          <w:szCs w:val="24"/>
        </w:rPr>
        <w:t>2</w:t>
      </w:r>
      <w:r w:rsidR="00DB474E" w:rsidRPr="001A2FD1">
        <w:br w:type="page"/>
      </w:r>
    </w:p>
    <w:p w14:paraId="11178844" w14:textId="77777777" w:rsidR="005101E3" w:rsidRDefault="005101E3" w:rsidP="005101E3">
      <w:pPr>
        <w:pStyle w:val="AnnexNo"/>
      </w:pPr>
    </w:p>
    <w:p w14:paraId="08D4CA6F" w14:textId="183A5690" w:rsidR="00A20314" w:rsidRDefault="00A20314" w:rsidP="005101E3">
      <w:pPr>
        <w:pStyle w:val="AnnexNo"/>
        <w:spacing w:before="120"/>
      </w:pPr>
      <w:r w:rsidRPr="001A2FD1">
        <w:t xml:space="preserve">Annex </w:t>
      </w:r>
      <w:r w:rsidR="00412DCB">
        <w:t>1</w:t>
      </w:r>
    </w:p>
    <w:p w14:paraId="4420FCF8" w14:textId="77777777" w:rsidR="00885C83" w:rsidRPr="00885C83" w:rsidRDefault="00885C83" w:rsidP="00885C83">
      <w:pPr>
        <w:jc w:val="center"/>
        <w:rPr>
          <w:b/>
          <w:bCs/>
          <w:sz w:val="26"/>
          <w:szCs w:val="26"/>
        </w:rPr>
      </w:pPr>
      <w:r w:rsidRPr="00885C83">
        <w:rPr>
          <w:b/>
          <w:bCs/>
          <w:sz w:val="26"/>
          <w:szCs w:val="26"/>
        </w:rPr>
        <w:t>Pensionable remuneration for staff in the Professional and higher categories</w:t>
      </w:r>
    </w:p>
    <w:p w14:paraId="488A40ED" w14:textId="4A39B0F2" w:rsidR="00A20314" w:rsidRPr="00286BAD" w:rsidRDefault="00286BAD" w:rsidP="00885C83">
      <w:pPr>
        <w:jc w:val="center"/>
        <w:rPr>
          <w:sz w:val="22"/>
          <w:szCs w:val="22"/>
        </w:rPr>
      </w:pPr>
      <w:r w:rsidRPr="00286BAD">
        <w:rPr>
          <w:b/>
          <w:bCs/>
          <w:noProof/>
          <w:sz w:val="26"/>
          <w:szCs w:val="26"/>
        </w:rPr>
        <w:drawing>
          <wp:anchor distT="0" distB="0" distL="114300" distR="114300" simplePos="0" relativeHeight="251658240" behindDoc="0" locked="0" layoutInCell="1" allowOverlap="1" wp14:anchorId="3B45F6B1" wp14:editId="2246109A">
            <wp:simplePos x="0" y="0"/>
            <wp:positionH relativeFrom="margin">
              <wp:align>center</wp:align>
            </wp:positionH>
            <wp:positionV relativeFrom="paragraph">
              <wp:posOffset>489374</wp:posOffset>
            </wp:positionV>
            <wp:extent cx="6595533" cy="1593078"/>
            <wp:effectExtent l="0" t="0" r="0" b="7620"/>
            <wp:wrapThrough wrapText="bothSides">
              <wp:wrapPolygon edited="0">
                <wp:start x="0" y="0"/>
                <wp:lineTo x="0" y="21445"/>
                <wp:lineTo x="21525" y="21445"/>
                <wp:lineTo x="21525" y="0"/>
                <wp:lineTo x="0" y="0"/>
              </wp:wrapPolygon>
            </wp:wrapThrough>
            <wp:docPr id="1"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595533" cy="1593078"/>
                    </a:xfrm>
                    <a:prstGeom prst="rect">
                      <a:avLst/>
                    </a:prstGeom>
                  </pic:spPr>
                </pic:pic>
              </a:graphicData>
            </a:graphic>
          </wp:anchor>
        </w:drawing>
      </w:r>
      <w:r w:rsidR="00885C83" w:rsidRPr="00286BAD">
        <w:rPr>
          <w:sz w:val="22"/>
          <w:szCs w:val="22"/>
        </w:rPr>
        <w:t>In US dollars - effective 1 February 2024</w:t>
      </w:r>
    </w:p>
    <w:p w14:paraId="4748FAF7" w14:textId="77777777" w:rsidR="00A95968" w:rsidRDefault="00A95968" w:rsidP="00023B0B">
      <w:pPr>
        <w:tabs>
          <w:tab w:val="clear" w:pos="567"/>
          <w:tab w:val="clear" w:pos="1134"/>
          <w:tab w:val="clear" w:pos="1701"/>
          <w:tab w:val="clear" w:pos="2268"/>
          <w:tab w:val="clear" w:pos="2835"/>
        </w:tabs>
        <w:overflowPunct/>
        <w:autoSpaceDE/>
        <w:autoSpaceDN/>
        <w:adjustRightInd/>
        <w:spacing w:before="0"/>
        <w:jc w:val="center"/>
        <w:textAlignment w:val="auto"/>
        <w:rPr>
          <w:b/>
          <w:bCs/>
          <w:sz w:val="26"/>
          <w:szCs w:val="26"/>
        </w:rPr>
      </w:pPr>
    </w:p>
    <w:p w14:paraId="6078F36D" w14:textId="466E1ADE" w:rsidR="00412DCB" w:rsidRPr="001A2FD1" w:rsidRDefault="00412DCB" w:rsidP="005101E3">
      <w:pPr>
        <w:pStyle w:val="AnnexNo"/>
        <w:spacing w:before="600"/>
      </w:pPr>
      <w:r w:rsidRPr="001A2FD1">
        <w:t xml:space="preserve">Annex </w:t>
      </w:r>
      <w:r>
        <w:t>2</w:t>
      </w:r>
    </w:p>
    <w:p w14:paraId="1B1F9649" w14:textId="77777777" w:rsidR="00412DCB" w:rsidRPr="002B4B3F" w:rsidRDefault="00412DCB" w:rsidP="00412DCB">
      <w:pPr>
        <w:jc w:val="center"/>
        <w:rPr>
          <w:b/>
          <w:bCs/>
          <w:sz w:val="26"/>
          <w:szCs w:val="26"/>
        </w:rPr>
      </w:pPr>
      <w:r w:rsidRPr="002B4B3F">
        <w:rPr>
          <w:b/>
          <w:bCs/>
          <w:sz w:val="26"/>
          <w:szCs w:val="26"/>
        </w:rPr>
        <w:t>Post Adjustment Classification Review for Group I Duty Stations, February 2024</w:t>
      </w:r>
    </w:p>
    <w:p w14:paraId="25D52166" w14:textId="77777777" w:rsidR="00412DCB" w:rsidRPr="001A2FD1" w:rsidRDefault="00412DCB" w:rsidP="00412DCB"/>
    <w:tbl>
      <w:tblPr>
        <w:tblStyle w:val="TableGrid"/>
        <w:tblW w:w="0" w:type="auto"/>
        <w:jc w:val="center"/>
        <w:tblLook w:val="04A0" w:firstRow="1" w:lastRow="0" w:firstColumn="1" w:lastColumn="0" w:noHBand="0" w:noVBand="1"/>
      </w:tblPr>
      <w:tblGrid>
        <w:gridCol w:w="1259"/>
        <w:gridCol w:w="1299"/>
        <w:gridCol w:w="1077"/>
        <w:gridCol w:w="1258"/>
        <w:gridCol w:w="1282"/>
        <w:gridCol w:w="1236"/>
        <w:gridCol w:w="1650"/>
      </w:tblGrid>
      <w:tr w:rsidR="00412DCB" w:rsidRPr="001A2FD1" w14:paraId="1163D91E" w14:textId="77777777" w:rsidTr="78C5C231">
        <w:trPr>
          <w:trHeight w:val="356"/>
          <w:jc w:val="center"/>
        </w:trPr>
        <w:tc>
          <w:tcPr>
            <w:tcW w:w="1259" w:type="dxa"/>
            <w:vMerge w:val="restart"/>
            <w:vAlign w:val="center"/>
          </w:tcPr>
          <w:p w14:paraId="7C6F0657" w14:textId="77777777" w:rsidR="00412DCB" w:rsidRPr="00023B0B" w:rsidRDefault="00412DCB" w:rsidP="00255049">
            <w:pPr>
              <w:spacing w:before="0" w:line="240" w:lineRule="exact"/>
              <w:jc w:val="center"/>
              <w:rPr>
                <w:b/>
                <w:bCs/>
              </w:rPr>
            </w:pPr>
            <w:r w:rsidRPr="00023B0B">
              <w:rPr>
                <w:b/>
                <w:bCs/>
              </w:rPr>
              <w:t>DUTY STATION</w:t>
            </w:r>
          </w:p>
        </w:tc>
        <w:tc>
          <w:tcPr>
            <w:tcW w:w="2376" w:type="dxa"/>
            <w:gridSpan w:val="2"/>
            <w:vAlign w:val="center"/>
          </w:tcPr>
          <w:p w14:paraId="4A5331F7" w14:textId="77777777" w:rsidR="00412DCB" w:rsidRPr="00023B0B" w:rsidRDefault="00412DCB" w:rsidP="00255049">
            <w:pPr>
              <w:spacing w:before="0" w:line="240" w:lineRule="exact"/>
              <w:jc w:val="center"/>
              <w:rPr>
                <w:b/>
                <w:bCs/>
              </w:rPr>
            </w:pPr>
            <w:r w:rsidRPr="00023B0B">
              <w:rPr>
                <w:b/>
                <w:bCs/>
              </w:rPr>
              <w:t>PAI</w:t>
            </w:r>
          </w:p>
        </w:tc>
        <w:tc>
          <w:tcPr>
            <w:tcW w:w="3776" w:type="dxa"/>
            <w:gridSpan w:val="3"/>
            <w:vAlign w:val="center"/>
          </w:tcPr>
          <w:p w14:paraId="74B09C08" w14:textId="77777777" w:rsidR="00412DCB" w:rsidRPr="00023B0B" w:rsidRDefault="00412DCB" w:rsidP="00255049">
            <w:pPr>
              <w:spacing w:before="0" w:line="240" w:lineRule="exact"/>
              <w:jc w:val="center"/>
              <w:rPr>
                <w:b/>
                <w:bCs/>
              </w:rPr>
            </w:pPr>
            <w:r w:rsidRPr="00023B0B">
              <w:rPr>
                <w:b/>
                <w:bCs/>
              </w:rPr>
              <w:t>MULTIPLIER</w:t>
            </w:r>
          </w:p>
        </w:tc>
        <w:tc>
          <w:tcPr>
            <w:tcW w:w="1650" w:type="dxa"/>
            <w:vMerge w:val="restart"/>
            <w:vAlign w:val="center"/>
          </w:tcPr>
          <w:p w14:paraId="365ECDCD" w14:textId="77777777" w:rsidR="00412DCB" w:rsidRPr="00023B0B" w:rsidRDefault="00412DCB" w:rsidP="00255049">
            <w:pPr>
              <w:spacing w:before="0" w:line="240" w:lineRule="exact"/>
              <w:jc w:val="center"/>
              <w:rPr>
                <w:b/>
                <w:bCs/>
              </w:rPr>
            </w:pPr>
            <w:r w:rsidRPr="00023B0B">
              <w:rPr>
                <w:b/>
                <w:bCs/>
              </w:rPr>
              <w:t>Change in Net</w:t>
            </w:r>
          </w:p>
          <w:p w14:paraId="6E0A04B7" w14:textId="77777777" w:rsidR="00412DCB" w:rsidRPr="00023B0B" w:rsidRDefault="00412DCB" w:rsidP="00255049">
            <w:pPr>
              <w:spacing w:before="0" w:line="240" w:lineRule="exact"/>
              <w:jc w:val="center"/>
              <w:rPr>
                <w:b/>
                <w:bCs/>
              </w:rPr>
            </w:pPr>
            <w:r w:rsidRPr="00023B0B">
              <w:rPr>
                <w:b/>
                <w:bCs/>
              </w:rPr>
              <w:t>Remuneration</w:t>
            </w:r>
          </w:p>
        </w:tc>
      </w:tr>
      <w:tr w:rsidR="00412DCB" w:rsidRPr="001A2FD1" w14:paraId="029EE57D" w14:textId="77777777" w:rsidTr="78C5C231">
        <w:trPr>
          <w:trHeight w:val="417"/>
          <w:jc w:val="center"/>
        </w:trPr>
        <w:tc>
          <w:tcPr>
            <w:tcW w:w="1259" w:type="dxa"/>
            <w:vMerge/>
          </w:tcPr>
          <w:p w14:paraId="3E8D1875" w14:textId="77777777" w:rsidR="00412DCB" w:rsidRPr="001A2FD1" w:rsidRDefault="00412DCB" w:rsidP="00255049">
            <w:pPr>
              <w:spacing w:before="0" w:line="240" w:lineRule="exact"/>
              <w:jc w:val="center"/>
            </w:pPr>
          </w:p>
        </w:tc>
        <w:tc>
          <w:tcPr>
            <w:tcW w:w="1299" w:type="dxa"/>
            <w:vAlign w:val="center"/>
          </w:tcPr>
          <w:p w14:paraId="45F0220F" w14:textId="77777777" w:rsidR="00412DCB" w:rsidRPr="00023B0B" w:rsidRDefault="00412DCB" w:rsidP="00255049">
            <w:pPr>
              <w:pStyle w:val="Default"/>
              <w:spacing w:line="240" w:lineRule="exact"/>
              <w:jc w:val="center"/>
              <w:rPr>
                <w:rFonts w:ascii="Calibri" w:hAnsi="Calibri"/>
                <w:b/>
                <w:bCs/>
                <w:color w:val="auto"/>
                <w:szCs w:val="22"/>
              </w:rPr>
            </w:pPr>
            <w:r w:rsidRPr="00023B0B">
              <w:rPr>
                <w:rFonts w:ascii="Calibri" w:hAnsi="Calibri"/>
                <w:b/>
                <w:bCs/>
                <w:color w:val="auto"/>
                <w:szCs w:val="22"/>
              </w:rPr>
              <w:t>Feb-24</w:t>
            </w:r>
          </w:p>
        </w:tc>
        <w:tc>
          <w:tcPr>
            <w:tcW w:w="1077" w:type="dxa"/>
            <w:vAlign w:val="center"/>
          </w:tcPr>
          <w:p w14:paraId="28578652" w14:textId="77777777" w:rsidR="00412DCB" w:rsidRPr="00023B0B" w:rsidRDefault="00412DCB" w:rsidP="00255049">
            <w:pPr>
              <w:spacing w:before="0" w:line="240" w:lineRule="exact"/>
              <w:jc w:val="center"/>
              <w:rPr>
                <w:b/>
                <w:bCs/>
              </w:rPr>
            </w:pPr>
            <w:r w:rsidRPr="00023B0B">
              <w:rPr>
                <w:b/>
                <w:bCs/>
              </w:rPr>
              <w:t>Feb-24</w:t>
            </w:r>
          </w:p>
        </w:tc>
        <w:tc>
          <w:tcPr>
            <w:tcW w:w="1258" w:type="dxa"/>
            <w:vMerge w:val="restart"/>
            <w:vAlign w:val="center"/>
          </w:tcPr>
          <w:p w14:paraId="40C8CEB5" w14:textId="77777777" w:rsidR="00412DCB" w:rsidRPr="00023B0B" w:rsidRDefault="00412DCB" w:rsidP="00255049">
            <w:pPr>
              <w:spacing w:before="0" w:line="240" w:lineRule="exact"/>
              <w:jc w:val="center"/>
              <w:rPr>
                <w:b/>
                <w:bCs/>
              </w:rPr>
            </w:pPr>
            <w:r w:rsidRPr="78C5C231">
              <w:rPr>
                <w:b/>
                <w:bCs/>
              </w:rPr>
              <w:t>Feb-24</w:t>
            </w:r>
          </w:p>
          <w:p w14:paraId="72AEC433" w14:textId="63429FE2" w:rsidR="00412DCB" w:rsidRPr="00023B0B" w:rsidRDefault="00412DCB" w:rsidP="00255049">
            <w:pPr>
              <w:spacing w:before="0" w:line="240" w:lineRule="exact"/>
              <w:jc w:val="center"/>
              <w:rPr>
                <w:b/>
                <w:bCs/>
              </w:rPr>
            </w:pPr>
            <w:r w:rsidRPr="78C5C231">
              <w:rPr>
                <w:b/>
                <w:bCs/>
              </w:rPr>
              <w:t>0.5% rule</w:t>
            </w:r>
            <w:r w:rsidRPr="5B36A887">
              <w:rPr>
                <w:rStyle w:val="FootnoteReference"/>
                <w:b/>
                <w:bCs/>
              </w:rPr>
              <w:footnoteReference w:id="3"/>
            </w:r>
          </w:p>
        </w:tc>
        <w:tc>
          <w:tcPr>
            <w:tcW w:w="1282" w:type="dxa"/>
            <w:vAlign w:val="center"/>
          </w:tcPr>
          <w:p w14:paraId="35A9DF8D" w14:textId="77777777" w:rsidR="00412DCB" w:rsidRPr="00023B0B" w:rsidRDefault="00412DCB" w:rsidP="00255049">
            <w:pPr>
              <w:spacing w:before="0" w:line="240" w:lineRule="exact"/>
              <w:jc w:val="center"/>
              <w:rPr>
                <w:b/>
                <w:bCs/>
              </w:rPr>
            </w:pPr>
            <w:r w:rsidRPr="00023B0B">
              <w:rPr>
                <w:b/>
                <w:bCs/>
              </w:rPr>
              <w:t>Feb-24</w:t>
            </w:r>
          </w:p>
        </w:tc>
        <w:tc>
          <w:tcPr>
            <w:tcW w:w="1236" w:type="dxa"/>
            <w:vAlign w:val="center"/>
          </w:tcPr>
          <w:p w14:paraId="50F1E3FC" w14:textId="77777777" w:rsidR="00412DCB" w:rsidRPr="00023B0B" w:rsidRDefault="00412DCB" w:rsidP="00255049">
            <w:pPr>
              <w:spacing w:before="0" w:line="240" w:lineRule="exact"/>
              <w:jc w:val="center"/>
              <w:rPr>
                <w:b/>
                <w:bCs/>
              </w:rPr>
            </w:pPr>
            <w:r w:rsidRPr="00023B0B">
              <w:rPr>
                <w:b/>
                <w:bCs/>
              </w:rPr>
              <w:t>Feb-24</w:t>
            </w:r>
          </w:p>
        </w:tc>
        <w:tc>
          <w:tcPr>
            <w:tcW w:w="1650" w:type="dxa"/>
            <w:vMerge/>
            <w:vAlign w:val="center"/>
          </w:tcPr>
          <w:p w14:paraId="6AC42A7D" w14:textId="77777777" w:rsidR="00412DCB" w:rsidRPr="001A2FD1" w:rsidRDefault="00412DCB" w:rsidP="00255049">
            <w:pPr>
              <w:spacing w:before="0" w:line="240" w:lineRule="exact"/>
              <w:jc w:val="center"/>
            </w:pPr>
          </w:p>
        </w:tc>
      </w:tr>
      <w:tr w:rsidR="00412DCB" w:rsidRPr="001A2FD1" w14:paraId="1A7B7BE1" w14:textId="77777777" w:rsidTr="78C5C231">
        <w:trPr>
          <w:jc w:val="center"/>
        </w:trPr>
        <w:tc>
          <w:tcPr>
            <w:tcW w:w="1259" w:type="dxa"/>
            <w:vMerge/>
          </w:tcPr>
          <w:p w14:paraId="24D6AB6D" w14:textId="77777777" w:rsidR="00412DCB" w:rsidRPr="001A2FD1" w:rsidRDefault="00412DCB" w:rsidP="00255049">
            <w:pPr>
              <w:spacing w:before="0" w:line="240" w:lineRule="exact"/>
              <w:jc w:val="center"/>
            </w:pPr>
          </w:p>
        </w:tc>
        <w:tc>
          <w:tcPr>
            <w:tcW w:w="1299" w:type="dxa"/>
            <w:vAlign w:val="center"/>
          </w:tcPr>
          <w:p w14:paraId="5A7B4539" w14:textId="77777777" w:rsidR="00412DCB" w:rsidRPr="00023B0B" w:rsidRDefault="00412DCB" w:rsidP="00255049">
            <w:pPr>
              <w:pStyle w:val="Default"/>
              <w:spacing w:line="240" w:lineRule="exact"/>
              <w:jc w:val="center"/>
              <w:rPr>
                <w:rFonts w:ascii="Calibri" w:hAnsi="Calibri"/>
                <w:b/>
                <w:bCs/>
                <w:color w:val="auto"/>
                <w:szCs w:val="22"/>
              </w:rPr>
            </w:pPr>
            <w:r w:rsidRPr="00023B0B">
              <w:rPr>
                <w:rFonts w:ascii="Calibri" w:hAnsi="Calibri"/>
                <w:b/>
                <w:bCs/>
                <w:color w:val="auto"/>
                <w:szCs w:val="22"/>
              </w:rPr>
              <w:t>Pre</w:t>
            </w:r>
          </w:p>
          <w:p w14:paraId="461B7745" w14:textId="77777777" w:rsidR="00412DCB" w:rsidRPr="00023B0B" w:rsidRDefault="00412DCB" w:rsidP="00255049">
            <w:pPr>
              <w:spacing w:before="0" w:line="240" w:lineRule="exact"/>
              <w:jc w:val="center"/>
              <w:rPr>
                <w:b/>
                <w:bCs/>
              </w:rPr>
            </w:pPr>
            <w:r w:rsidRPr="00023B0B">
              <w:rPr>
                <w:b/>
                <w:bCs/>
              </w:rPr>
              <w:t>Scaling Up</w:t>
            </w:r>
          </w:p>
        </w:tc>
        <w:tc>
          <w:tcPr>
            <w:tcW w:w="1077" w:type="dxa"/>
            <w:vAlign w:val="center"/>
          </w:tcPr>
          <w:p w14:paraId="26BB6A8F" w14:textId="77777777" w:rsidR="00412DCB" w:rsidRPr="00023B0B" w:rsidRDefault="00412DCB" w:rsidP="00255049">
            <w:pPr>
              <w:pStyle w:val="Default"/>
              <w:spacing w:line="240" w:lineRule="exact"/>
              <w:jc w:val="center"/>
              <w:rPr>
                <w:rFonts w:ascii="Calibri" w:hAnsi="Calibri"/>
                <w:b/>
                <w:bCs/>
                <w:color w:val="auto"/>
                <w:szCs w:val="22"/>
              </w:rPr>
            </w:pPr>
            <w:r w:rsidRPr="00023B0B">
              <w:rPr>
                <w:rFonts w:ascii="Calibri" w:hAnsi="Calibri"/>
                <w:b/>
                <w:bCs/>
                <w:color w:val="auto"/>
                <w:szCs w:val="22"/>
              </w:rPr>
              <w:t>Post</w:t>
            </w:r>
          </w:p>
          <w:p w14:paraId="7EF3B747" w14:textId="77777777" w:rsidR="00412DCB" w:rsidRPr="00023B0B" w:rsidRDefault="00412DCB" w:rsidP="00255049">
            <w:pPr>
              <w:spacing w:before="0" w:line="240" w:lineRule="exact"/>
              <w:jc w:val="center"/>
              <w:rPr>
                <w:b/>
                <w:bCs/>
              </w:rPr>
            </w:pPr>
            <w:r w:rsidRPr="00023B0B">
              <w:rPr>
                <w:b/>
                <w:bCs/>
              </w:rPr>
              <w:t>Scaling Up</w:t>
            </w:r>
          </w:p>
        </w:tc>
        <w:tc>
          <w:tcPr>
            <w:tcW w:w="1258" w:type="dxa"/>
            <w:vMerge/>
            <w:vAlign w:val="center"/>
          </w:tcPr>
          <w:p w14:paraId="66CB1BFF" w14:textId="77777777" w:rsidR="00412DCB" w:rsidRPr="00023B0B" w:rsidRDefault="00412DCB" w:rsidP="00255049">
            <w:pPr>
              <w:spacing w:before="0" w:line="240" w:lineRule="exact"/>
              <w:jc w:val="center"/>
              <w:rPr>
                <w:b/>
                <w:bCs/>
              </w:rPr>
            </w:pPr>
          </w:p>
        </w:tc>
        <w:tc>
          <w:tcPr>
            <w:tcW w:w="1282" w:type="dxa"/>
            <w:vAlign w:val="center"/>
          </w:tcPr>
          <w:p w14:paraId="18FDF38F" w14:textId="77777777" w:rsidR="00412DCB" w:rsidRPr="00023B0B" w:rsidRDefault="00412DCB" w:rsidP="00255049">
            <w:pPr>
              <w:pStyle w:val="Default"/>
              <w:spacing w:line="240" w:lineRule="exact"/>
              <w:jc w:val="center"/>
              <w:rPr>
                <w:rFonts w:ascii="Calibri" w:hAnsi="Calibri"/>
                <w:b/>
                <w:bCs/>
                <w:color w:val="auto"/>
                <w:szCs w:val="22"/>
              </w:rPr>
            </w:pPr>
            <w:r w:rsidRPr="00023B0B">
              <w:rPr>
                <w:rFonts w:ascii="Calibri" w:hAnsi="Calibri"/>
                <w:b/>
                <w:bCs/>
                <w:color w:val="auto"/>
                <w:szCs w:val="22"/>
              </w:rPr>
              <w:t>Pre</w:t>
            </w:r>
          </w:p>
          <w:p w14:paraId="61757A55" w14:textId="77777777" w:rsidR="00412DCB" w:rsidRPr="00023B0B" w:rsidRDefault="00412DCB" w:rsidP="00255049">
            <w:pPr>
              <w:spacing w:before="0" w:line="240" w:lineRule="exact"/>
              <w:jc w:val="center"/>
              <w:rPr>
                <w:b/>
                <w:bCs/>
              </w:rPr>
            </w:pPr>
            <w:r w:rsidRPr="00023B0B">
              <w:rPr>
                <w:b/>
                <w:bCs/>
              </w:rPr>
              <w:t>Scaling Up</w:t>
            </w:r>
          </w:p>
        </w:tc>
        <w:tc>
          <w:tcPr>
            <w:tcW w:w="1236" w:type="dxa"/>
            <w:vAlign w:val="center"/>
          </w:tcPr>
          <w:p w14:paraId="72E2F05C" w14:textId="77777777" w:rsidR="00412DCB" w:rsidRPr="0002544F" w:rsidRDefault="00412DCB" w:rsidP="00255049">
            <w:pPr>
              <w:spacing w:before="0" w:line="240" w:lineRule="exact"/>
              <w:jc w:val="center"/>
              <w:rPr>
                <w:b/>
                <w:bCs/>
              </w:rPr>
            </w:pPr>
            <w:r w:rsidRPr="0002544F">
              <w:rPr>
                <w:b/>
                <w:bCs/>
              </w:rPr>
              <w:t>Post</w:t>
            </w:r>
          </w:p>
          <w:p w14:paraId="072BDF54" w14:textId="77777777" w:rsidR="00412DCB" w:rsidRPr="00023B0B" w:rsidRDefault="00412DCB" w:rsidP="00255049">
            <w:pPr>
              <w:spacing w:before="0" w:line="240" w:lineRule="exact"/>
              <w:jc w:val="center"/>
              <w:rPr>
                <w:b/>
                <w:bCs/>
              </w:rPr>
            </w:pPr>
            <w:r w:rsidRPr="0002544F">
              <w:rPr>
                <w:b/>
                <w:bCs/>
              </w:rPr>
              <w:t>Scaling Up</w:t>
            </w:r>
          </w:p>
        </w:tc>
        <w:tc>
          <w:tcPr>
            <w:tcW w:w="1650" w:type="dxa"/>
            <w:vMerge/>
            <w:vAlign w:val="center"/>
          </w:tcPr>
          <w:p w14:paraId="39234E31" w14:textId="77777777" w:rsidR="00412DCB" w:rsidRPr="001A2FD1" w:rsidRDefault="00412DCB" w:rsidP="00255049">
            <w:pPr>
              <w:spacing w:before="0" w:line="240" w:lineRule="exact"/>
              <w:jc w:val="center"/>
            </w:pPr>
          </w:p>
        </w:tc>
      </w:tr>
      <w:tr w:rsidR="00412DCB" w:rsidRPr="001A2FD1" w14:paraId="6338844E" w14:textId="77777777" w:rsidTr="78C5C231">
        <w:trPr>
          <w:trHeight w:val="684"/>
          <w:jc w:val="center"/>
        </w:trPr>
        <w:tc>
          <w:tcPr>
            <w:tcW w:w="1259" w:type="dxa"/>
            <w:vAlign w:val="center"/>
          </w:tcPr>
          <w:p w14:paraId="0E4C248F" w14:textId="77777777" w:rsidR="00412DCB" w:rsidRPr="008207E2" w:rsidRDefault="00412DCB" w:rsidP="00255049">
            <w:pPr>
              <w:jc w:val="center"/>
              <w:rPr>
                <w:sz w:val="22"/>
              </w:rPr>
            </w:pPr>
            <w:r>
              <w:rPr>
                <w:sz w:val="22"/>
              </w:rPr>
              <w:t>USA, New York</w:t>
            </w:r>
          </w:p>
        </w:tc>
        <w:tc>
          <w:tcPr>
            <w:tcW w:w="1299" w:type="dxa"/>
            <w:vAlign w:val="center"/>
          </w:tcPr>
          <w:p w14:paraId="1A232FCF" w14:textId="77777777" w:rsidR="00412DCB" w:rsidRPr="008207E2" w:rsidRDefault="00412DCB" w:rsidP="00255049">
            <w:pPr>
              <w:jc w:val="center"/>
              <w:rPr>
                <w:sz w:val="22"/>
              </w:rPr>
            </w:pPr>
            <w:r>
              <w:rPr>
                <w:sz w:val="22"/>
              </w:rPr>
              <w:t>186.7</w:t>
            </w:r>
          </w:p>
        </w:tc>
        <w:tc>
          <w:tcPr>
            <w:tcW w:w="1077" w:type="dxa"/>
            <w:vAlign w:val="center"/>
          </w:tcPr>
          <w:p w14:paraId="52EDD1F8" w14:textId="1074D863" w:rsidR="00412DCB" w:rsidRPr="008207E2" w:rsidRDefault="00412DCB" w:rsidP="78C5C231">
            <w:pPr>
              <w:jc w:val="center"/>
              <w:rPr>
                <w:sz w:val="22"/>
              </w:rPr>
            </w:pPr>
            <w:r w:rsidRPr="78C5C231">
              <w:rPr>
                <w:sz w:val="22"/>
              </w:rPr>
              <w:t>188</w:t>
            </w:r>
            <w:r w:rsidR="7BB62C80" w:rsidRPr="5B36A887">
              <w:rPr>
                <w:sz w:val="22"/>
              </w:rPr>
              <w:t>.4</w:t>
            </w:r>
          </w:p>
        </w:tc>
        <w:tc>
          <w:tcPr>
            <w:tcW w:w="1258" w:type="dxa"/>
            <w:vAlign w:val="center"/>
          </w:tcPr>
          <w:p w14:paraId="089CF2A9" w14:textId="77777777" w:rsidR="00412DCB" w:rsidRPr="008207E2" w:rsidRDefault="00412DCB" w:rsidP="00255049">
            <w:pPr>
              <w:jc w:val="center"/>
              <w:rPr>
                <w:sz w:val="22"/>
              </w:rPr>
            </w:pPr>
            <w:r>
              <w:rPr>
                <w:sz w:val="22"/>
              </w:rPr>
              <w:t>80.5</w:t>
            </w:r>
          </w:p>
        </w:tc>
        <w:tc>
          <w:tcPr>
            <w:tcW w:w="1282" w:type="dxa"/>
            <w:vAlign w:val="center"/>
          </w:tcPr>
          <w:p w14:paraId="0815EF86" w14:textId="77777777" w:rsidR="00412DCB" w:rsidRPr="008207E2" w:rsidRDefault="00412DCB" w:rsidP="00255049">
            <w:pPr>
              <w:jc w:val="center"/>
              <w:rPr>
                <w:sz w:val="22"/>
              </w:rPr>
            </w:pPr>
            <w:r>
              <w:rPr>
                <w:sz w:val="22"/>
              </w:rPr>
              <w:t>86.7</w:t>
            </w:r>
          </w:p>
        </w:tc>
        <w:tc>
          <w:tcPr>
            <w:tcW w:w="1236" w:type="dxa"/>
            <w:vAlign w:val="center"/>
          </w:tcPr>
          <w:p w14:paraId="4C92AF03" w14:textId="77777777" w:rsidR="00412DCB" w:rsidRPr="008207E2" w:rsidRDefault="00412DCB" w:rsidP="00255049">
            <w:pPr>
              <w:jc w:val="center"/>
              <w:rPr>
                <w:sz w:val="22"/>
              </w:rPr>
            </w:pPr>
            <w:r>
              <w:rPr>
                <w:sz w:val="22"/>
              </w:rPr>
              <w:t>88.4</w:t>
            </w:r>
          </w:p>
        </w:tc>
        <w:tc>
          <w:tcPr>
            <w:tcW w:w="1650" w:type="dxa"/>
            <w:vAlign w:val="center"/>
          </w:tcPr>
          <w:p w14:paraId="3250DCEF" w14:textId="77777777" w:rsidR="00412DCB" w:rsidRPr="008207E2" w:rsidRDefault="00412DCB" w:rsidP="00255049">
            <w:pPr>
              <w:jc w:val="center"/>
              <w:rPr>
                <w:sz w:val="22"/>
              </w:rPr>
            </w:pPr>
            <w:r>
              <w:rPr>
                <w:sz w:val="22"/>
              </w:rPr>
              <w:t>Increase 4.4 %</w:t>
            </w:r>
          </w:p>
        </w:tc>
      </w:tr>
      <w:tr w:rsidR="00412DCB" w:rsidRPr="001A2FD1" w14:paraId="408BA947" w14:textId="77777777" w:rsidTr="78C5C231">
        <w:trPr>
          <w:trHeight w:val="684"/>
          <w:jc w:val="center"/>
        </w:trPr>
        <w:tc>
          <w:tcPr>
            <w:tcW w:w="1259" w:type="dxa"/>
            <w:vAlign w:val="center"/>
          </w:tcPr>
          <w:p w14:paraId="0A38891E" w14:textId="77777777" w:rsidR="00412DCB" w:rsidRDefault="00412DCB" w:rsidP="00255049">
            <w:pPr>
              <w:jc w:val="center"/>
              <w:rPr>
                <w:sz w:val="22"/>
              </w:rPr>
            </w:pPr>
            <w:r>
              <w:rPr>
                <w:sz w:val="22"/>
              </w:rPr>
              <w:t>Switzerland</w:t>
            </w:r>
          </w:p>
        </w:tc>
        <w:tc>
          <w:tcPr>
            <w:tcW w:w="1299" w:type="dxa"/>
            <w:vAlign w:val="center"/>
          </w:tcPr>
          <w:p w14:paraId="35F10324" w14:textId="77777777" w:rsidR="00412DCB" w:rsidRDefault="00412DCB" w:rsidP="00255049">
            <w:pPr>
              <w:jc w:val="center"/>
              <w:rPr>
                <w:sz w:val="22"/>
              </w:rPr>
            </w:pPr>
            <w:r>
              <w:rPr>
                <w:sz w:val="22"/>
              </w:rPr>
              <w:t>188.0</w:t>
            </w:r>
          </w:p>
        </w:tc>
        <w:tc>
          <w:tcPr>
            <w:tcW w:w="1077" w:type="dxa"/>
            <w:vAlign w:val="center"/>
          </w:tcPr>
          <w:p w14:paraId="7A123B3D" w14:textId="77777777" w:rsidR="00412DCB" w:rsidRDefault="00412DCB" w:rsidP="00255049">
            <w:pPr>
              <w:jc w:val="center"/>
              <w:rPr>
                <w:sz w:val="22"/>
              </w:rPr>
            </w:pPr>
            <w:r>
              <w:rPr>
                <w:sz w:val="22"/>
              </w:rPr>
              <w:t>189.7</w:t>
            </w:r>
          </w:p>
        </w:tc>
        <w:tc>
          <w:tcPr>
            <w:tcW w:w="1258" w:type="dxa"/>
            <w:vAlign w:val="center"/>
          </w:tcPr>
          <w:p w14:paraId="28779816" w14:textId="77777777" w:rsidR="00412DCB" w:rsidRDefault="00412DCB" w:rsidP="00255049">
            <w:pPr>
              <w:spacing w:line="259" w:lineRule="auto"/>
              <w:jc w:val="center"/>
              <w:rPr>
                <w:sz w:val="22"/>
              </w:rPr>
            </w:pPr>
            <w:r>
              <w:rPr>
                <w:sz w:val="22"/>
              </w:rPr>
              <w:t>83.8</w:t>
            </w:r>
          </w:p>
        </w:tc>
        <w:tc>
          <w:tcPr>
            <w:tcW w:w="1282" w:type="dxa"/>
            <w:vAlign w:val="center"/>
          </w:tcPr>
          <w:p w14:paraId="0F124076" w14:textId="77777777" w:rsidR="00412DCB" w:rsidRDefault="00412DCB" w:rsidP="00255049">
            <w:pPr>
              <w:spacing w:line="259" w:lineRule="auto"/>
              <w:jc w:val="center"/>
              <w:rPr>
                <w:sz w:val="22"/>
              </w:rPr>
            </w:pPr>
            <w:r>
              <w:rPr>
                <w:sz w:val="22"/>
              </w:rPr>
              <w:t>88.0</w:t>
            </w:r>
          </w:p>
        </w:tc>
        <w:tc>
          <w:tcPr>
            <w:tcW w:w="1236" w:type="dxa"/>
            <w:vAlign w:val="center"/>
          </w:tcPr>
          <w:p w14:paraId="4A3FB8BF" w14:textId="77777777" w:rsidR="00412DCB" w:rsidRDefault="00412DCB" w:rsidP="00255049">
            <w:pPr>
              <w:spacing w:line="259" w:lineRule="auto"/>
              <w:jc w:val="center"/>
              <w:rPr>
                <w:sz w:val="22"/>
              </w:rPr>
            </w:pPr>
            <w:r>
              <w:rPr>
                <w:sz w:val="22"/>
              </w:rPr>
              <w:t>89.7</w:t>
            </w:r>
          </w:p>
        </w:tc>
        <w:tc>
          <w:tcPr>
            <w:tcW w:w="1650" w:type="dxa"/>
            <w:vAlign w:val="center"/>
          </w:tcPr>
          <w:p w14:paraId="099F54FA" w14:textId="77777777" w:rsidR="00412DCB" w:rsidRDefault="00412DCB" w:rsidP="00255049">
            <w:pPr>
              <w:spacing w:line="259" w:lineRule="auto"/>
              <w:jc w:val="center"/>
              <w:rPr>
                <w:sz w:val="22"/>
              </w:rPr>
            </w:pPr>
            <w:r>
              <w:rPr>
                <w:sz w:val="22"/>
              </w:rPr>
              <w:t>Increase 3.2 %</w:t>
            </w:r>
          </w:p>
        </w:tc>
      </w:tr>
    </w:tbl>
    <w:p w14:paraId="5D3F5332" w14:textId="55D0B351" w:rsidR="00DB474E" w:rsidRPr="001A2FD1" w:rsidRDefault="00D674A7" w:rsidP="005101E3">
      <w:pPr>
        <w:tabs>
          <w:tab w:val="clear" w:pos="567"/>
          <w:tab w:val="clear" w:pos="1134"/>
          <w:tab w:val="clear" w:pos="1701"/>
          <w:tab w:val="clear" w:pos="2268"/>
          <w:tab w:val="clear" w:pos="2835"/>
        </w:tabs>
        <w:overflowPunct/>
        <w:autoSpaceDE/>
        <w:autoSpaceDN/>
        <w:adjustRightInd/>
        <w:spacing w:before="840"/>
        <w:jc w:val="center"/>
        <w:textAlignment w:val="auto"/>
      </w:pPr>
      <w:r w:rsidRPr="001A2FD1">
        <w:t>____________________</w:t>
      </w:r>
    </w:p>
    <w:sectPr w:rsidR="00DB474E" w:rsidRPr="001A2FD1" w:rsidSect="00D27922">
      <w:footerReference w:type="default" r:id="rId20"/>
      <w:headerReference w:type="first" r:id="rId21"/>
      <w:footerReference w:type="first" r:id="rId22"/>
      <w:pgSz w:w="11907" w:h="16834"/>
      <w:pgMar w:top="1134" w:right="1418" w:bottom="1134" w:left="1418" w:header="720" w:footer="720" w:gutter="0"/>
      <w:paperSrc w:first="1516" w:other="151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AF86E" w14:textId="77777777" w:rsidR="00D27922" w:rsidRDefault="00D27922">
      <w:r>
        <w:separator/>
      </w:r>
    </w:p>
  </w:endnote>
  <w:endnote w:type="continuationSeparator" w:id="0">
    <w:p w14:paraId="44D42F76" w14:textId="77777777" w:rsidR="00D27922" w:rsidRDefault="00D27922">
      <w:r>
        <w:continuationSeparator/>
      </w:r>
    </w:p>
  </w:endnote>
  <w:endnote w:type="continuationNotice" w:id="1">
    <w:p w14:paraId="40900252" w14:textId="77777777" w:rsidR="00D27922" w:rsidRDefault="00D279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trPr>
        <w:jc w:val="center"/>
      </w:trPr>
      <w:tc>
        <w:tcPr>
          <w:tcW w:w="1803" w:type="dxa"/>
          <w:vAlign w:val="center"/>
        </w:tcPr>
        <w:p w14:paraId="3FDA5160" w14:textId="26686462" w:rsidR="00EE49E8" w:rsidRDefault="00EE49E8" w:rsidP="00EE49E8">
          <w:pPr>
            <w:pStyle w:val="Header"/>
            <w:jc w:val="left"/>
            <w:rPr>
              <w:noProof/>
            </w:rPr>
          </w:pPr>
          <w:r>
            <w:rPr>
              <w:noProof/>
            </w:rPr>
            <w:t xml:space="preserve">DPS </w:t>
          </w:r>
          <w:r w:rsidR="00AE549F">
            <w:rPr>
              <w:noProof/>
            </w:rPr>
            <w:t>#</w:t>
          </w:r>
        </w:p>
      </w:tc>
      <w:tc>
        <w:tcPr>
          <w:tcW w:w="8261" w:type="dxa"/>
        </w:tcPr>
        <w:p w14:paraId="35709C74" w14:textId="44C4024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00AE549F" w:rsidRPr="00623AE3">
            <w:rPr>
              <w:bCs/>
            </w:rPr>
            <w:t>C</w:t>
          </w:r>
          <w:r w:rsidR="00AE549F">
            <w:rPr>
              <w:bCs/>
            </w:rPr>
            <w:t>24</w:t>
          </w:r>
          <w:r w:rsidR="00AE549F" w:rsidRPr="00623AE3">
            <w:rPr>
              <w:bCs/>
            </w:rPr>
            <w:t>/</w:t>
          </w:r>
          <w:r w:rsidR="00D608A4">
            <w:rPr>
              <w:bCs/>
            </w:rPr>
            <w:t>56</w:t>
          </w:r>
          <w:r w:rsidR="00AE549F"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AF758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BC3847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00AE549F" w:rsidRPr="00623AE3">
            <w:rPr>
              <w:bCs/>
            </w:rPr>
            <w:t>C</w:t>
          </w:r>
          <w:r w:rsidR="00AE549F">
            <w:rPr>
              <w:bCs/>
            </w:rPr>
            <w:t>24</w:t>
          </w:r>
          <w:r w:rsidR="00AE549F" w:rsidRPr="00623AE3">
            <w:rPr>
              <w:bCs/>
            </w:rPr>
            <w:t>/</w:t>
          </w:r>
          <w:r w:rsidR="00D608A4">
            <w:rPr>
              <w:bCs/>
            </w:rPr>
            <w:t>56</w:t>
          </w:r>
          <w:r w:rsidR="00AE549F"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101E3" w:rsidRPr="00784011" w14:paraId="762DC3E2" w14:textId="77777777">
      <w:trPr>
        <w:jc w:val="center"/>
      </w:trPr>
      <w:tc>
        <w:tcPr>
          <w:tcW w:w="1803" w:type="dxa"/>
          <w:vAlign w:val="center"/>
        </w:tcPr>
        <w:p w14:paraId="26CB8508" w14:textId="00D87900" w:rsidR="005101E3" w:rsidRDefault="005101E3" w:rsidP="00EE49E8">
          <w:pPr>
            <w:pStyle w:val="Header"/>
            <w:jc w:val="left"/>
            <w:rPr>
              <w:noProof/>
            </w:rPr>
          </w:pPr>
        </w:p>
      </w:tc>
      <w:tc>
        <w:tcPr>
          <w:tcW w:w="8261" w:type="dxa"/>
        </w:tcPr>
        <w:p w14:paraId="68BB580C" w14:textId="77777777" w:rsidR="005101E3" w:rsidRPr="00E06FD5" w:rsidRDefault="005101E3"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56</w:t>
          </w:r>
          <w:r w:rsidRPr="00623AE3">
            <w:rPr>
              <w:bCs/>
            </w:rPr>
            <w:t>-E</w:t>
          </w:r>
          <w:r>
            <w:rPr>
              <w:bCs/>
            </w:rPr>
            <w:tab/>
          </w:r>
          <w:r>
            <w:fldChar w:fldCharType="begin"/>
          </w:r>
          <w:r>
            <w:instrText>PAGE</w:instrText>
          </w:r>
          <w:r>
            <w:fldChar w:fldCharType="separate"/>
          </w:r>
          <w:r>
            <w:t>1</w:t>
          </w:r>
          <w:r>
            <w:rPr>
              <w:noProof/>
            </w:rPr>
            <w:fldChar w:fldCharType="end"/>
          </w:r>
        </w:p>
      </w:tc>
    </w:tr>
  </w:tbl>
  <w:p w14:paraId="54C0BB26" w14:textId="77777777" w:rsidR="005101E3" w:rsidRPr="00DB1936" w:rsidRDefault="005101E3"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101E3" w:rsidRPr="00784011" w14:paraId="7F24DEB5" w14:textId="77777777" w:rsidTr="00255049">
      <w:trPr>
        <w:jc w:val="center"/>
      </w:trPr>
      <w:tc>
        <w:tcPr>
          <w:tcW w:w="1803" w:type="dxa"/>
          <w:vAlign w:val="center"/>
        </w:tcPr>
        <w:p w14:paraId="476B6A09" w14:textId="77777777" w:rsidR="005101E3" w:rsidRDefault="005101E3" w:rsidP="005101E3">
          <w:pPr>
            <w:pStyle w:val="Header"/>
            <w:jc w:val="left"/>
            <w:rPr>
              <w:noProof/>
            </w:rPr>
          </w:pPr>
        </w:p>
      </w:tc>
      <w:tc>
        <w:tcPr>
          <w:tcW w:w="8261" w:type="dxa"/>
        </w:tcPr>
        <w:p w14:paraId="7ECFA61F" w14:textId="77777777" w:rsidR="005101E3" w:rsidRPr="00E06FD5" w:rsidRDefault="005101E3" w:rsidP="005101E3">
          <w:pPr>
            <w:pStyle w:val="Header"/>
            <w:tabs>
              <w:tab w:val="left" w:pos="7070"/>
              <w:tab w:val="right" w:pos="8505"/>
              <w:tab w:val="right" w:pos="9639"/>
            </w:tabs>
            <w:spacing w:before="120"/>
            <w:jc w:val="left"/>
            <w:rPr>
              <w:rFonts w:ascii="Arial" w:hAnsi="Arial" w:cs="Arial"/>
              <w:b/>
              <w:bCs/>
              <w:szCs w:val="18"/>
            </w:rPr>
          </w:pPr>
          <w:r>
            <w:rPr>
              <w:bCs/>
            </w:rPr>
            <w:tab/>
          </w:r>
          <w:r w:rsidRPr="00623AE3">
            <w:rPr>
              <w:bCs/>
            </w:rPr>
            <w:t>C</w:t>
          </w:r>
          <w:r>
            <w:rPr>
              <w:bCs/>
            </w:rPr>
            <w:t>24</w:t>
          </w:r>
          <w:r w:rsidRPr="00623AE3">
            <w:rPr>
              <w:bCs/>
            </w:rPr>
            <w:t>/</w:t>
          </w:r>
          <w:r>
            <w:rPr>
              <w:bCs/>
            </w:rPr>
            <w:t>56</w:t>
          </w:r>
          <w:r w:rsidRPr="00623AE3">
            <w:rPr>
              <w:bCs/>
            </w:rPr>
            <w:t>-E</w:t>
          </w:r>
          <w:r>
            <w:rPr>
              <w:bCs/>
            </w:rPr>
            <w:tab/>
          </w:r>
          <w:r>
            <w:fldChar w:fldCharType="begin"/>
          </w:r>
          <w:r>
            <w:instrText>PAGE</w:instrText>
          </w:r>
          <w:r>
            <w:fldChar w:fldCharType="separate"/>
          </w:r>
          <w:r>
            <w:t>1</w:t>
          </w:r>
          <w:r>
            <w:rPr>
              <w:noProof/>
            </w:rPr>
            <w:fldChar w:fldCharType="end"/>
          </w:r>
        </w:p>
      </w:tc>
    </w:tr>
  </w:tbl>
  <w:p w14:paraId="3F75CE71" w14:textId="77777777" w:rsidR="0014188D" w:rsidRPr="005101E3" w:rsidRDefault="0014188D" w:rsidP="005101E3">
    <w:pPr>
      <w:pStyle w:val="Header"/>
      <w:tabs>
        <w:tab w:val="left" w:pos="8080"/>
        <w:tab w:val="right" w:pos="9072"/>
      </w:tabs>
      <w:jc w:val="lef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A66B" w14:textId="77777777" w:rsidR="00D27922" w:rsidRDefault="00D27922">
      <w:r>
        <w:t>____________________</w:t>
      </w:r>
    </w:p>
  </w:footnote>
  <w:footnote w:type="continuationSeparator" w:id="0">
    <w:p w14:paraId="1E41752B" w14:textId="77777777" w:rsidR="00D27922" w:rsidRDefault="00D27922">
      <w:r>
        <w:continuationSeparator/>
      </w:r>
    </w:p>
  </w:footnote>
  <w:footnote w:type="continuationNotice" w:id="1">
    <w:p w14:paraId="2B4B3C19" w14:textId="77777777" w:rsidR="00D27922" w:rsidRDefault="00D27922">
      <w:pPr>
        <w:spacing w:before="0"/>
      </w:pPr>
    </w:p>
  </w:footnote>
  <w:footnote w:id="2">
    <w:p w14:paraId="29E1EDFB" w14:textId="689152E3" w:rsidR="0014188D" w:rsidRDefault="0014188D" w:rsidP="08ADAF75">
      <w:pPr>
        <w:tabs>
          <w:tab w:val="left" w:pos="720"/>
        </w:tabs>
        <w:spacing w:before="0"/>
        <w:ind w:left="284" w:hanging="284"/>
        <w:rPr>
          <w:rFonts w:eastAsia="Calibri" w:cs="Calibri"/>
          <w:sz w:val="20"/>
        </w:rPr>
      </w:pPr>
      <w:r w:rsidRPr="45977724">
        <w:rPr>
          <w:rStyle w:val="FootnoteReference"/>
        </w:rPr>
        <w:footnoteRef/>
      </w:r>
      <w:r w:rsidR="005101E3">
        <w:rPr>
          <w:rFonts w:eastAsia="Calibri" w:cs="Calibri"/>
          <w:szCs w:val="24"/>
        </w:rPr>
        <w:tab/>
      </w:r>
      <w:r w:rsidR="08ADAF75" w:rsidRPr="45977724">
        <w:rPr>
          <w:rFonts w:eastAsia="Calibri" w:cs="Calibri"/>
          <w:szCs w:val="24"/>
        </w:rPr>
        <w:t>“</w:t>
      </w:r>
      <w:r w:rsidR="08ADAF75" w:rsidRPr="08ADAF75">
        <w:rPr>
          <w:rFonts w:eastAsia="Calibri" w:cs="Calibri"/>
          <w:sz w:val="20"/>
        </w:rPr>
        <w:t xml:space="preserve">To authorize, during the implementation of the budget for 2024-2025, the Secretary-General to adjust the appropriations in relation to the items of expenses in a) and b) below, in accordance with changes incurred, </w:t>
      </w:r>
      <w:proofErr w:type="gramStart"/>
      <w:r w:rsidR="08ADAF75" w:rsidRPr="08ADAF75">
        <w:rPr>
          <w:rFonts w:eastAsia="Calibri" w:cs="Calibri"/>
          <w:sz w:val="20"/>
        </w:rPr>
        <w:t>through the use of</w:t>
      </w:r>
      <w:proofErr w:type="gramEnd"/>
      <w:r w:rsidR="08ADAF75" w:rsidRPr="08ADAF75">
        <w:rPr>
          <w:rFonts w:eastAsia="Calibri" w:cs="Calibri"/>
          <w:sz w:val="20"/>
        </w:rPr>
        <w:t xml:space="preserve"> the Reserve Account, provided that the Reserve Account is kept at the level prescribed in Decision 5 (Rev. Bucharest, 2022):</w:t>
      </w:r>
    </w:p>
    <w:p w14:paraId="5B738C93" w14:textId="4196E3BD" w:rsidR="0014188D" w:rsidRDefault="0014188D" w:rsidP="0014188D">
      <w:pPr>
        <w:tabs>
          <w:tab w:val="left" w:pos="720"/>
        </w:tabs>
        <w:spacing w:before="0"/>
        <w:ind w:left="568" w:hanging="284"/>
      </w:pPr>
      <w:r w:rsidRPr="45977724">
        <w:rPr>
          <w:rFonts w:eastAsia="Calibri" w:cs="Calibri"/>
          <w:sz w:val="20"/>
        </w:rPr>
        <w:t>a)</w:t>
      </w:r>
      <w:r w:rsidR="005101E3">
        <w:rPr>
          <w:rFonts w:eastAsia="Calibri" w:cs="Calibri"/>
          <w:sz w:val="20"/>
        </w:rPr>
        <w:tab/>
      </w:r>
      <w:r w:rsidRPr="45977724">
        <w:rPr>
          <w:rFonts w:eastAsia="Calibri" w:cs="Calibri"/>
          <w:sz w:val="20"/>
        </w:rPr>
        <w:t xml:space="preserve">increases </w:t>
      </w:r>
      <w:r w:rsidR="00CE07A2" w:rsidRPr="00CE07A2">
        <w:rPr>
          <w:rFonts w:eastAsia="Calibri" w:cs="Calibri"/>
          <w:sz w:val="20"/>
        </w:rPr>
        <w:t xml:space="preserve">in salary scales, pension contributions and allowances, including post adjustments, applicable to Geneva, as adopted by the United Nations common </w:t>
      </w:r>
      <w:proofErr w:type="gramStart"/>
      <w:r w:rsidR="00CE07A2" w:rsidRPr="00CE07A2">
        <w:rPr>
          <w:rFonts w:eastAsia="Calibri" w:cs="Calibri"/>
          <w:sz w:val="20"/>
        </w:rPr>
        <w:t>system</w:t>
      </w:r>
      <w:r w:rsidRPr="45977724">
        <w:rPr>
          <w:rFonts w:eastAsia="Calibri" w:cs="Calibri"/>
          <w:sz w:val="20"/>
        </w:rPr>
        <w:t>;</w:t>
      </w:r>
      <w:proofErr w:type="gramEnd"/>
    </w:p>
    <w:p w14:paraId="7AE4CDCC" w14:textId="2925D8B5" w:rsidR="0014188D" w:rsidRDefault="0014188D" w:rsidP="0014188D">
      <w:pPr>
        <w:tabs>
          <w:tab w:val="left" w:pos="720"/>
        </w:tabs>
        <w:spacing w:before="0"/>
        <w:ind w:left="568" w:hanging="284"/>
      </w:pPr>
      <w:r w:rsidRPr="45977724">
        <w:rPr>
          <w:rFonts w:eastAsia="Calibri" w:cs="Calibri"/>
          <w:sz w:val="20"/>
        </w:rPr>
        <w:t>b)</w:t>
      </w:r>
      <w:r w:rsidR="005101E3">
        <w:rPr>
          <w:rFonts w:eastAsia="Calibri" w:cs="Calibri"/>
          <w:sz w:val="20"/>
        </w:rPr>
        <w:tab/>
      </w:r>
      <w:r w:rsidRPr="45977724">
        <w:rPr>
          <w:rFonts w:eastAsia="Calibri" w:cs="Calibri"/>
          <w:sz w:val="20"/>
        </w:rPr>
        <w:t xml:space="preserve">fluctuations </w:t>
      </w:r>
      <w:r w:rsidR="00CE07A2" w:rsidRPr="00CE07A2">
        <w:rPr>
          <w:rFonts w:eastAsia="Calibri" w:cs="Calibri"/>
          <w:sz w:val="20"/>
        </w:rPr>
        <w:t>in the exchange rate between the United States dollar and the Swiss franc in so far as this affects the staff costs for those staff members on United Nations salary scales</w:t>
      </w:r>
      <w:r w:rsidRPr="45977724">
        <w:rPr>
          <w:rFonts w:eastAsia="Calibri" w:cs="Calibri"/>
          <w:sz w:val="20"/>
        </w:rPr>
        <w:t>.”</w:t>
      </w:r>
    </w:p>
  </w:footnote>
  <w:footnote w:id="3">
    <w:p w14:paraId="26CFBA50" w14:textId="77C73C65" w:rsidR="5B36A887" w:rsidRDefault="5B36A887" w:rsidP="00AF7582">
      <w:pPr>
        <w:pStyle w:val="FootnoteText"/>
        <w:rPr>
          <w:sz w:val="20"/>
        </w:rPr>
      </w:pPr>
      <w:r w:rsidRPr="5B36A887">
        <w:rPr>
          <w:rStyle w:val="FootnoteReference"/>
          <w:sz w:val="22"/>
          <w:szCs w:val="22"/>
        </w:rPr>
        <w:footnoteRef/>
      </w:r>
      <w:r w:rsidRPr="00AF7582">
        <w:rPr>
          <w:sz w:val="22"/>
          <w:szCs w:val="22"/>
        </w:rPr>
        <w:t xml:space="preserve"> </w:t>
      </w:r>
      <w:r w:rsidRPr="5B36A887">
        <w:rPr>
          <w:sz w:val="20"/>
        </w:rPr>
        <w:t>The aim of the 0.5 per cent rule is to stabilize net-take-home pay (NTP) in local currency by restricting its exchange rate driven fluctuations to within plus or minus 0.5 per cent from one month to the next. NTP in local currency is maintained within a range of plus or minus 0.5 per cent of an established pay level until the next review date, that is, either a full 5 per cent increase in the cost-of living index has been measured or a 12-month period has elapsed whichever comes first.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trPr>
        <w:trHeight w:val="1104"/>
        <w:jc w:val="center"/>
      </w:trPr>
      <w:tc>
        <w:tcPr>
          <w:tcW w:w="4390" w:type="dxa"/>
          <w:vAlign w:val="center"/>
        </w:tcPr>
        <w:p w14:paraId="3AC295DD" w14:textId="71853324" w:rsidR="00AD3606" w:rsidRPr="009621F8" w:rsidRDefault="00A965FB" w:rsidP="00AD3606">
          <w:pPr>
            <w:pStyle w:val="Header"/>
            <w:jc w:val="left"/>
            <w:rPr>
              <w:rFonts w:ascii="Arial" w:hAnsi="Arial" w:cs="Arial"/>
              <w:b/>
              <w:bCs/>
              <w:color w:val="009CD6"/>
              <w:sz w:val="36"/>
              <w:szCs w:val="36"/>
            </w:rPr>
          </w:pPr>
          <w:r>
            <w:rPr>
              <w:noProof/>
            </w:rPr>
            <w:drawing>
              <wp:inline distT="0" distB="0" distL="0" distR="0" wp14:anchorId="1E07D1FC" wp14:editId="2D0F6539">
                <wp:extent cx="2369820" cy="558297"/>
                <wp:effectExtent l="0" t="0" r="0" b="0"/>
                <wp:docPr id="3" name="Picture 3"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4883533B" w14:textId="1A3A2CBA" w:rsidR="00AD3606" w:rsidRPr="00784011" w:rsidRDefault="00AD3606" w:rsidP="00AD3606">
          <w:pPr>
            <w:pStyle w:val="Header"/>
            <w:jc w:val="right"/>
            <w:rPr>
              <w:rFonts w:ascii="Arial" w:hAnsi="Arial" w:cs="Arial"/>
              <w:color w:val="009CD6"/>
              <w:szCs w:val="18"/>
            </w:rPr>
          </w:pP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D3502"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DCB4" w14:textId="4503C086" w:rsidR="0014188D" w:rsidRDefault="0014188D">
    <w:pPr>
      <w:pStyle w:val="Header"/>
    </w:pPr>
  </w:p>
</w:hdr>
</file>

<file path=word/intelligence2.xml><?xml version="1.0" encoding="utf-8"?>
<int2:intelligence xmlns:int2="http://schemas.microsoft.com/office/intelligence/2020/intelligence" xmlns:oel="http://schemas.microsoft.com/office/2019/extlst">
  <int2:observations>
    <int2:textHash int2:hashCode="XyMhyvCcKXl4zk" int2:id="3jJl4BKH">
      <int2:state int2:value="Rejected" int2:type="LegacyProofing"/>
    </int2:textHash>
    <int2:textHash int2:hashCode="TASqWYopBo9MAx" int2:id="8OBEwhnS">
      <int2:state int2:value="Rejected" int2:type="LegacyProofing"/>
    </int2:textHash>
    <int2:textHash int2:hashCode="jQX3SbABpQoM9n" int2:id="YTUu5fO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8647"/>
        </w:tabs>
        <w:ind w:left="8647" w:hanging="360"/>
      </w:pPr>
      <w:rPr>
        <w:rFonts w:ascii="Symbol" w:hAnsi="Symbol" w:hint="default"/>
      </w:rPr>
    </w:lvl>
  </w:abstractNum>
  <w:abstractNum w:abstractNumId="1" w15:restartNumberingAfterBreak="0">
    <w:nsid w:val="013E5611"/>
    <w:multiLevelType w:val="hybridMultilevel"/>
    <w:tmpl w:val="5426C026"/>
    <w:lvl w:ilvl="0" w:tplc="5C9671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009A9"/>
    <w:multiLevelType w:val="hybridMultilevel"/>
    <w:tmpl w:val="71904088"/>
    <w:lvl w:ilvl="0" w:tplc="3B5A38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43E0A"/>
    <w:multiLevelType w:val="hybridMultilevel"/>
    <w:tmpl w:val="84507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6B0599"/>
    <w:multiLevelType w:val="hybridMultilevel"/>
    <w:tmpl w:val="2BD25DF2"/>
    <w:lvl w:ilvl="0" w:tplc="2CEE0A02">
      <w:start w:val="2"/>
      <w:numFmt w:val="decimal"/>
      <w:lvlText w:val="(%1)"/>
      <w:lvlJc w:val="left"/>
      <w:pPr>
        <w:ind w:left="720" w:hanging="360"/>
      </w:pPr>
      <w:rPr>
        <w:rFonts w:eastAsia="SimSu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96324"/>
    <w:multiLevelType w:val="hybridMultilevel"/>
    <w:tmpl w:val="2AA2099C"/>
    <w:lvl w:ilvl="0" w:tplc="6C7E9FA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D08BBF"/>
    <w:multiLevelType w:val="hybridMultilevel"/>
    <w:tmpl w:val="6764E638"/>
    <w:lvl w:ilvl="0" w:tplc="9A1830A8">
      <w:start w:val="1"/>
      <w:numFmt w:val="decimal"/>
      <w:lvlText w:val="%1."/>
      <w:lvlJc w:val="left"/>
      <w:pPr>
        <w:ind w:left="720" w:hanging="360"/>
      </w:pPr>
    </w:lvl>
    <w:lvl w:ilvl="1" w:tplc="2CCAC220">
      <w:start w:val="1"/>
      <w:numFmt w:val="lowerLetter"/>
      <w:lvlText w:val="%2."/>
      <w:lvlJc w:val="left"/>
      <w:pPr>
        <w:ind w:left="1440" w:hanging="360"/>
      </w:pPr>
    </w:lvl>
    <w:lvl w:ilvl="2" w:tplc="CB3C5F72">
      <w:start w:val="1"/>
      <w:numFmt w:val="lowerRoman"/>
      <w:lvlText w:val="%3."/>
      <w:lvlJc w:val="right"/>
      <w:pPr>
        <w:ind w:left="2160" w:hanging="180"/>
      </w:pPr>
    </w:lvl>
    <w:lvl w:ilvl="3" w:tplc="2244D3F8">
      <w:start w:val="1"/>
      <w:numFmt w:val="decimal"/>
      <w:lvlText w:val="%4."/>
      <w:lvlJc w:val="left"/>
      <w:pPr>
        <w:ind w:left="2880" w:hanging="360"/>
      </w:pPr>
    </w:lvl>
    <w:lvl w:ilvl="4" w:tplc="84C4E32C">
      <w:start w:val="1"/>
      <w:numFmt w:val="lowerLetter"/>
      <w:lvlText w:val="%5."/>
      <w:lvlJc w:val="left"/>
      <w:pPr>
        <w:ind w:left="3600" w:hanging="360"/>
      </w:pPr>
    </w:lvl>
    <w:lvl w:ilvl="5" w:tplc="BB7E462C">
      <w:start w:val="1"/>
      <w:numFmt w:val="lowerRoman"/>
      <w:lvlText w:val="%6."/>
      <w:lvlJc w:val="right"/>
      <w:pPr>
        <w:ind w:left="4320" w:hanging="180"/>
      </w:pPr>
    </w:lvl>
    <w:lvl w:ilvl="6" w:tplc="6C6022A6">
      <w:start w:val="1"/>
      <w:numFmt w:val="decimal"/>
      <w:lvlText w:val="%7."/>
      <w:lvlJc w:val="left"/>
      <w:pPr>
        <w:ind w:left="5040" w:hanging="360"/>
      </w:pPr>
    </w:lvl>
    <w:lvl w:ilvl="7" w:tplc="9F783E3E">
      <w:start w:val="1"/>
      <w:numFmt w:val="lowerLetter"/>
      <w:lvlText w:val="%8."/>
      <w:lvlJc w:val="left"/>
      <w:pPr>
        <w:ind w:left="5760" w:hanging="360"/>
      </w:pPr>
    </w:lvl>
    <w:lvl w:ilvl="8" w:tplc="2832562C">
      <w:start w:val="1"/>
      <w:numFmt w:val="lowerRoman"/>
      <w:lvlText w:val="%9."/>
      <w:lvlJc w:val="right"/>
      <w:pPr>
        <w:ind w:left="6480" w:hanging="180"/>
      </w:pPr>
    </w:lvl>
  </w:abstractNum>
  <w:abstractNum w:abstractNumId="7" w15:restartNumberingAfterBreak="0">
    <w:nsid w:val="359255E0"/>
    <w:multiLevelType w:val="hybridMultilevel"/>
    <w:tmpl w:val="C1020CF8"/>
    <w:lvl w:ilvl="0" w:tplc="C628787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A06D98"/>
    <w:multiLevelType w:val="hybridMultilevel"/>
    <w:tmpl w:val="487C0A28"/>
    <w:lvl w:ilvl="0" w:tplc="B5FAC3C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7936152">
    <w:abstractNumId w:val="0"/>
  </w:num>
  <w:num w:numId="2" w16cid:durableId="278219338">
    <w:abstractNumId w:val="6"/>
  </w:num>
  <w:num w:numId="3" w16cid:durableId="240721382">
    <w:abstractNumId w:val="3"/>
  </w:num>
  <w:num w:numId="4" w16cid:durableId="2075077999">
    <w:abstractNumId w:val="5"/>
  </w:num>
  <w:num w:numId="5" w16cid:durableId="1557813440">
    <w:abstractNumId w:val="1"/>
  </w:num>
  <w:num w:numId="6" w16cid:durableId="96870807">
    <w:abstractNumId w:val="4"/>
  </w:num>
  <w:num w:numId="7" w16cid:durableId="188758196">
    <w:abstractNumId w:val="7"/>
  </w:num>
  <w:num w:numId="8" w16cid:durableId="659501535">
    <w:abstractNumId w:val="8"/>
  </w:num>
  <w:num w:numId="9" w16cid:durableId="245188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303B"/>
    <w:rsid w:val="000032F6"/>
    <w:rsid w:val="0000359B"/>
    <w:rsid w:val="0001194F"/>
    <w:rsid w:val="00012BEA"/>
    <w:rsid w:val="000150B9"/>
    <w:rsid w:val="00016927"/>
    <w:rsid w:val="00016DAB"/>
    <w:rsid w:val="00017CB8"/>
    <w:rsid w:val="00017DAC"/>
    <w:rsid w:val="0002062A"/>
    <w:rsid w:val="000207FC"/>
    <w:rsid w:val="000210D4"/>
    <w:rsid w:val="00021FCC"/>
    <w:rsid w:val="00023B0B"/>
    <w:rsid w:val="0002544F"/>
    <w:rsid w:val="00027BD4"/>
    <w:rsid w:val="0003079F"/>
    <w:rsid w:val="00035095"/>
    <w:rsid w:val="00040748"/>
    <w:rsid w:val="00042E28"/>
    <w:rsid w:val="00043D4F"/>
    <w:rsid w:val="0004405E"/>
    <w:rsid w:val="000448F3"/>
    <w:rsid w:val="00045610"/>
    <w:rsid w:val="00045C6E"/>
    <w:rsid w:val="0004619A"/>
    <w:rsid w:val="0004748C"/>
    <w:rsid w:val="00050800"/>
    <w:rsid w:val="000529A7"/>
    <w:rsid w:val="000532C4"/>
    <w:rsid w:val="000540E4"/>
    <w:rsid w:val="0005636A"/>
    <w:rsid w:val="00063016"/>
    <w:rsid w:val="0006350B"/>
    <w:rsid w:val="00066795"/>
    <w:rsid w:val="00066834"/>
    <w:rsid w:val="00073C90"/>
    <w:rsid w:val="000767C6"/>
    <w:rsid w:val="00076AF6"/>
    <w:rsid w:val="00080CE4"/>
    <w:rsid w:val="000811CF"/>
    <w:rsid w:val="00081390"/>
    <w:rsid w:val="000814B3"/>
    <w:rsid w:val="00083511"/>
    <w:rsid w:val="00084732"/>
    <w:rsid w:val="000848DD"/>
    <w:rsid w:val="00085CF2"/>
    <w:rsid w:val="000864CB"/>
    <w:rsid w:val="00090B71"/>
    <w:rsid w:val="0009110D"/>
    <w:rsid w:val="000950E4"/>
    <w:rsid w:val="000A3066"/>
    <w:rsid w:val="000A6142"/>
    <w:rsid w:val="000A6F93"/>
    <w:rsid w:val="000A7680"/>
    <w:rsid w:val="000B1305"/>
    <w:rsid w:val="000B1705"/>
    <w:rsid w:val="000C5C41"/>
    <w:rsid w:val="000D25F6"/>
    <w:rsid w:val="000D3510"/>
    <w:rsid w:val="000D4034"/>
    <w:rsid w:val="000D43B2"/>
    <w:rsid w:val="000D4D18"/>
    <w:rsid w:val="000D75B2"/>
    <w:rsid w:val="000D7864"/>
    <w:rsid w:val="000E431A"/>
    <w:rsid w:val="000F1A9C"/>
    <w:rsid w:val="000F2272"/>
    <w:rsid w:val="000F2AC2"/>
    <w:rsid w:val="001121F5"/>
    <w:rsid w:val="00122CC6"/>
    <w:rsid w:val="001248B2"/>
    <w:rsid w:val="00127F83"/>
    <w:rsid w:val="00136603"/>
    <w:rsid w:val="00136910"/>
    <w:rsid w:val="001400DC"/>
    <w:rsid w:val="00140CE1"/>
    <w:rsid w:val="00141528"/>
    <w:rsid w:val="0014188D"/>
    <w:rsid w:val="001423A9"/>
    <w:rsid w:val="0014734D"/>
    <w:rsid w:val="0015038D"/>
    <w:rsid w:val="0015378B"/>
    <w:rsid w:val="00153A7E"/>
    <w:rsid w:val="001560B3"/>
    <w:rsid w:val="00160D3C"/>
    <w:rsid w:val="00161ABC"/>
    <w:rsid w:val="001634A3"/>
    <w:rsid w:val="00167626"/>
    <w:rsid w:val="00167C20"/>
    <w:rsid w:val="0017289E"/>
    <w:rsid w:val="0017539C"/>
    <w:rsid w:val="00175AC2"/>
    <w:rsid w:val="0017609F"/>
    <w:rsid w:val="00180AF9"/>
    <w:rsid w:val="0019066A"/>
    <w:rsid w:val="00190E9B"/>
    <w:rsid w:val="00191D3F"/>
    <w:rsid w:val="00191F23"/>
    <w:rsid w:val="001A2FD1"/>
    <w:rsid w:val="001A3B74"/>
    <w:rsid w:val="001A7C30"/>
    <w:rsid w:val="001A7D1D"/>
    <w:rsid w:val="001B0197"/>
    <w:rsid w:val="001B11B1"/>
    <w:rsid w:val="001B2E0C"/>
    <w:rsid w:val="001B433B"/>
    <w:rsid w:val="001B51DD"/>
    <w:rsid w:val="001B65C6"/>
    <w:rsid w:val="001C426F"/>
    <w:rsid w:val="001C4D9B"/>
    <w:rsid w:val="001C5BDC"/>
    <w:rsid w:val="001C628E"/>
    <w:rsid w:val="001C6C8D"/>
    <w:rsid w:val="001C7FBE"/>
    <w:rsid w:val="001D37BC"/>
    <w:rsid w:val="001E0F7B"/>
    <w:rsid w:val="001E61BE"/>
    <w:rsid w:val="001F41DE"/>
    <w:rsid w:val="001F5022"/>
    <w:rsid w:val="002038DD"/>
    <w:rsid w:val="00205CF7"/>
    <w:rsid w:val="002077B6"/>
    <w:rsid w:val="00211399"/>
    <w:rsid w:val="002119FD"/>
    <w:rsid w:val="002130E0"/>
    <w:rsid w:val="00213B95"/>
    <w:rsid w:val="00214BC6"/>
    <w:rsid w:val="0022654A"/>
    <w:rsid w:val="0022698F"/>
    <w:rsid w:val="002270D1"/>
    <w:rsid w:val="00231927"/>
    <w:rsid w:val="00233B0E"/>
    <w:rsid w:val="00233E60"/>
    <w:rsid w:val="00245C07"/>
    <w:rsid w:val="00247CA1"/>
    <w:rsid w:val="002546B9"/>
    <w:rsid w:val="00255049"/>
    <w:rsid w:val="00255331"/>
    <w:rsid w:val="00256E1C"/>
    <w:rsid w:val="0025788F"/>
    <w:rsid w:val="00260C11"/>
    <w:rsid w:val="00263EB7"/>
    <w:rsid w:val="002643D7"/>
    <w:rsid w:val="00264425"/>
    <w:rsid w:val="00265875"/>
    <w:rsid w:val="002712FD"/>
    <w:rsid w:val="0027303B"/>
    <w:rsid w:val="00274F65"/>
    <w:rsid w:val="00276F7B"/>
    <w:rsid w:val="00280241"/>
    <w:rsid w:val="0028109B"/>
    <w:rsid w:val="00286BAD"/>
    <w:rsid w:val="00290F93"/>
    <w:rsid w:val="002945AC"/>
    <w:rsid w:val="00295737"/>
    <w:rsid w:val="00296620"/>
    <w:rsid w:val="002A010A"/>
    <w:rsid w:val="002A0E41"/>
    <w:rsid w:val="002A2188"/>
    <w:rsid w:val="002B1F58"/>
    <w:rsid w:val="002B2492"/>
    <w:rsid w:val="002B2D5A"/>
    <w:rsid w:val="002B44BF"/>
    <w:rsid w:val="002B4B3F"/>
    <w:rsid w:val="002B5F25"/>
    <w:rsid w:val="002B6BF5"/>
    <w:rsid w:val="002C04F2"/>
    <w:rsid w:val="002C1C7A"/>
    <w:rsid w:val="002C2DD2"/>
    <w:rsid w:val="002C54E2"/>
    <w:rsid w:val="002D24CC"/>
    <w:rsid w:val="002D435A"/>
    <w:rsid w:val="002D4CD5"/>
    <w:rsid w:val="002E0210"/>
    <w:rsid w:val="002E2F9F"/>
    <w:rsid w:val="002E513C"/>
    <w:rsid w:val="0030160F"/>
    <w:rsid w:val="0030187C"/>
    <w:rsid w:val="00301BC4"/>
    <w:rsid w:val="00303C7D"/>
    <w:rsid w:val="00303D8E"/>
    <w:rsid w:val="003054FB"/>
    <w:rsid w:val="00307E94"/>
    <w:rsid w:val="003110E6"/>
    <w:rsid w:val="0031449F"/>
    <w:rsid w:val="00320223"/>
    <w:rsid w:val="00322D0D"/>
    <w:rsid w:val="00323F91"/>
    <w:rsid w:val="00333E40"/>
    <w:rsid w:val="00336AD1"/>
    <w:rsid w:val="00337E58"/>
    <w:rsid w:val="003420BF"/>
    <w:rsid w:val="003534A6"/>
    <w:rsid w:val="003560E4"/>
    <w:rsid w:val="00357D8E"/>
    <w:rsid w:val="00361465"/>
    <w:rsid w:val="00362DAF"/>
    <w:rsid w:val="00364213"/>
    <w:rsid w:val="003656AB"/>
    <w:rsid w:val="003711CD"/>
    <w:rsid w:val="003723BD"/>
    <w:rsid w:val="00374F8A"/>
    <w:rsid w:val="00375C50"/>
    <w:rsid w:val="00384A7A"/>
    <w:rsid w:val="0038656C"/>
    <w:rsid w:val="003877F5"/>
    <w:rsid w:val="00387ED4"/>
    <w:rsid w:val="00392223"/>
    <w:rsid w:val="003942D4"/>
    <w:rsid w:val="00394402"/>
    <w:rsid w:val="003958A8"/>
    <w:rsid w:val="00397672"/>
    <w:rsid w:val="003A2B78"/>
    <w:rsid w:val="003A5CBB"/>
    <w:rsid w:val="003A71A3"/>
    <w:rsid w:val="003B127A"/>
    <w:rsid w:val="003B19E7"/>
    <w:rsid w:val="003B47C8"/>
    <w:rsid w:val="003C2533"/>
    <w:rsid w:val="003C7529"/>
    <w:rsid w:val="003D0383"/>
    <w:rsid w:val="003D0918"/>
    <w:rsid w:val="003D1DF3"/>
    <w:rsid w:val="003D2A9E"/>
    <w:rsid w:val="003D390E"/>
    <w:rsid w:val="003D5A7F"/>
    <w:rsid w:val="003E0748"/>
    <w:rsid w:val="003E2077"/>
    <w:rsid w:val="003E35B8"/>
    <w:rsid w:val="003E6D42"/>
    <w:rsid w:val="003F180E"/>
    <w:rsid w:val="003F1B61"/>
    <w:rsid w:val="003F22D5"/>
    <w:rsid w:val="003F7440"/>
    <w:rsid w:val="00400E2A"/>
    <w:rsid w:val="00402EF2"/>
    <w:rsid w:val="0040435A"/>
    <w:rsid w:val="004052C1"/>
    <w:rsid w:val="004060A4"/>
    <w:rsid w:val="00406DE3"/>
    <w:rsid w:val="004074B2"/>
    <w:rsid w:val="00407991"/>
    <w:rsid w:val="004108E8"/>
    <w:rsid w:val="0041280C"/>
    <w:rsid w:val="00412DCB"/>
    <w:rsid w:val="00414AE3"/>
    <w:rsid w:val="00416A24"/>
    <w:rsid w:val="00417C7C"/>
    <w:rsid w:val="004233F6"/>
    <w:rsid w:val="00426A93"/>
    <w:rsid w:val="00427EC2"/>
    <w:rsid w:val="00431406"/>
    <w:rsid w:val="00431D9E"/>
    <w:rsid w:val="00433CE8"/>
    <w:rsid w:val="00434A5C"/>
    <w:rsid w:val="00436CD6"/>
    <w:rsid w:val="00440D6C"/>
    <w:rsid w:val="004415BC"/>
    <w:rsid w:val="004433BD"/>
    <w:rsid w:val="004440F5"/>
    <w:rsid w:val="00445237"/>
    <w:rsid w:val="00445ACD"/>
    <w:rsid w:val="004466FF"/>
    <w:rsid w:val="00451259"/>
    <w:rsid w:val="0045298A"/>
    <w:rsid w:val="00452FC7"/>
    <w:rsid w:val="004544D9"/>
    <w:rsid w:val="00456C9D"/>
    <w:rsid w:val="0046479B"/>
    <w:rsid w:val="00465DE1"/>
    <w:rsid w:val="00472AB9"/>
    <w:rsid w:val="00472BAD"/>
    <w:rsid w:val="0047390E"/>
    <w:rsid w:val="00475962"/>
    <w:rsid w:val="00480C7E"/>
    <w:rsid w:val="00484009"/>
    <w:rsid w:val="0048692E"/>
    <w:rsid w:val="004875CC"/>
    <w:rsid w:val="00490E72"/>
    <w:rsid w:val="00491157"/>
    <w:rsid w:val="004921C8"/>
    <w:rsid w:val="0049354F"/>
    <w:rsid w:val="00494C1E"/>
    <w:rsid w:val="00495B0B"/>
    <w:rsid w:val="004A1B8B"/>
    <w:rsid w:val="004A2671"/>
    <w:rsid w:val="004A44ED"/>
    <w:rsid w:val="004A5F95"/>
    <w:rsid w:val="004B1087"/>
    <w:rsid w:val="004B25D7"/>
    <w:rsid w:val="004B77E5"/>
    <w:rsid w:val="004C128C"/>
    <w:rsid w:val="004C46B9"/>
    <w:rsid w:val="004C619B"/>
    <w:rsid w:val="004D1851"/>
    <w:rsid w:val="004D42C4"/>
    <w:rsid w:val="004D5288"/>
    <w:rsid w:val="004D599D"/>
    <w:rsid w:val="004E1E55"/>
    <w:rsid w:val="004E2EA5"/>
    <w:rsid w:val="004E3AEB"/>
    <w:rsid w:val="004F15BD"/>
    <w:rsid w:val="004F4A08"/>
    <w:rsid w:val="004F5715"/>
    <w:rsid w:val="0050223C"/>
    <w:rsid w:val="005030B3"/>
    <w:rsid w:val="005101E3"/>
    <w:rsid w:val="00513985"/>
    <w:rsid w:val="005145CE"/>
    <w:rsid w:val="00520976"/>
    <w:rsid w:val="00520AC7"/>
    <w:rsid w:val="00520CF3"/>
    <w:rsid w:val="005243FF"/>
    <w:rsid w:val="0052599C"/>
    <w:rsid w:val="00527F61"/>
    <w:rsid w:val="00530AAC"/>
    <w:rsid w:val="00531237"/>
    <w:rsid w:val="00532888"/>
    <w:rsid w:val="00532B9C"/>
    <w:rsid w:val="00535162"/>
    <w:rsid w:val="00536711"/>
    <w:rsid w:val="00542122"/>
    <w:rsid w:val="00544607"/>
    <w:rsid w:val="005518B6"/>
    <w:rsid w:val="005534AC"/>
    <w:rsid w:val="00554DB8"/>
    <w:rsid w:val="00563257"/>
    <w:rsid w:val="00564FBC"/>
    <w:rsid w:val="0057210D"/>
    <w:rsid w:val="005735B5"/>
    <w:rsid w:val="00573871"/>
    <w:rsid w:val="005800BC"/>
    <w:rsid w:val="00581403"/>
    <w:rsid w:val="00581851"/>
    <w:rsid w:val="005819AA"/>
    <w:rsid w:val="005823A8"/>
    <w:rsid w:val="00582442"/>
    <w:rsid w:val="005906C8"/>
    <w:rsid w:val="005912E0"/>
    <w:rsid w:val="00591E3A"/>
    <w:rsid w:val="00593FD8"/>
    <w:rsid w:val="00596621"/>
    <w:rsid w:val="00596C28"/>
    <w:rsid w:val="005A1E74"/>
    <w:rsid w:val="005B21F3"/>
    <w:rsid w:val="005B278D"/>
    <w:rsid w:val="005B38FA"/>
    <w:rsid w:val="005B476A"/>
    <w:rsid w:val="005B5719"/>
    <w:rsid w:val="005B669A"/>
    <w:rsid w:val="005B6D45"/>
    <w:rsid w:val="005B717A"/>
    <w:rsid w:val="005C0210"/>
    <w:rsid w:val="005C18B0"/>
    <w:rsid w:val="005D3C15"/>
    <w:rsid w:val="005D73FC"/>
    <w:rsid w:val="005E14C2"/>
    <w:rsid w:val="005E23A5"/>
    <w:rsid w:val="005E3FDD"/>
    <w:rsid w:val="005E5F50"/>
    <w:rsid w:val="005F3269"/>
    <w:rsid w:val="005F66AA"/>
    <w:rsid w:val="006027ED"/>
    <w:rsid w:val="00607B2D"/>
    <w:rsid w:val="00607FBA"/>
    <w:rsid w:val="00614DB9"/>
    <w:rsid w:val="00616BF6"/>
    <w:rsid w:val="00623AE3"/>
    <w:rsid w:val="006246EC"/>
    <w:rsid w:val="00625311"/>
    <w:rsid w:val="00625FAA"/>
    <w:rsid w:val="006407E8"/>
    <w:rsid w:val="00640F06"/>
    <w:rsid w:val="00642743"/>
    <w:rsid w:val="0064429B"/>
    <w:rsid w:val="00646A08"/>
    <w:rsid w:val="00646B13"/>
    <w:rsid w:val="0064737F"/>
    <w:rsid w:val="006535F1"/>
    <w:rsid w:val="006537D0"/>
    <w:rsid w:val="0065557D"/>
    <w:rsid w:val="00655908"/>
    <w:rsid w:val="006561B9"/>
    <w:rsid w:val="00660A28"/>
    <w:rsid w:val="00660D50"/>
    <w:rsid w:val="00661B40"/>
    <w:rsid w:val="00662984"/>
    <w:rsid w:val="00664120"/>
    <w:rsid w:val="00665C55"/>
    <w:rsid w:val="006662F9"/>
    <w:rsid w:val="006672FF"/>
    <w:rsid w:val="00667745"/>
    <w:rsid w:val="006716BB"/>
    <w:rsid w:val="00671994"/>
    <w:rsid w:val="006767B6"/>
    <w:rsid w:val="00682A2F"/>
    <w:rsid w:val="00682B2E"/>
    <w:rsid w:val="00684729"/>
    <w:rsid w:val="0068479D"/>
    <w:rsid w:val="00687E0B"/>
    <w:rsid w:val="0069205B"/>
    <w:rsid w:val="006941ED"/>
    <w:rsid w:val="00695905"/>
    <w:rsid w:val="00696525"/>
    <w:rsid w:val="006966F2"/>
    <w:rsid w:val="006A0AC0"/>
    <w:rsid w:val="006A3243"/>
    <w:rsid w:val="006A56F3"/>
    <w:rsid w:val="006A7CD1"/>
    <w:rsid w:val="006B1859"/>
    <w:rsid w:val="006B39CB"/>
    <w:rsid w:val="006B6680"/>
    <w:rsid w:val="006B6DCC"/>
    <w:rsid w:val="006C28BA"/>
    <w:rsid w:val="006D0425"/>
    <w:rsid w:val="006D778F"/>
    <w:rsid w:val="006E2452"/>
    <w:rsid w:val="006E4B31"/>
    <w:rsid w:val="006E53C1"/>
    <w:rsid w:val="006E6C46"/>
    <w:rsid w:val="006E79E3"/>
    <w:rsid w:val="00700541"/>
    <w:rsid w:val="00702DEF"/>
    <w:rsid w:val="00706861"/>
    <w:rsid w:val="00707816"/>
    <w:rsid w:val="00712C33"/>
    <w:rsid w:val="00714428"/>
    <w:rsid w:val="007201A9"/>
    <w:rsid w:val="007229A4"/>
    <w:rsid w:val="00735074"/>
    <w:rsid w:val="0075051B"/>
    <w:rsid w:val="00752E78"/>
    <w:rsid w:val="00755FA9"/>
    <w:rsid w:val="00756D2C"/>
    <w:rsid w:val="00756FFE"/>
    <w:rsid w:val="00771251"/>
    <w:rsid w:val="007735CB"/>
    <w:rsid w:val="00774FB9"/>
    <w:rsid w:val="00775AC0"/>
    <w:rsid w:val="0077753F"/>
    <w:rsid w:val="00780777"/>
    <w:rsid w:val="00781006"/>
    <w:rsid w:val="007820F0"/>
    <w:rsid w:val="00782E94"/>
    <w:rsid w:val="00793188"/>
    <w:rsid w:val="00794D34"/>
    <w:rsid w:val="00795A7B"/>
    <w:rsid w:val="007A21DD"/>
    <w:rsid w:val="007A28EB"/>
    <w:rsid w:val="007B13DC"/>
    <w:rsid w:val="007B1525"/>
    <w:rsid w:val="007B4504"/>
    <w:rsid w:val="007B55BD"/>
    <w:rsid w:val="007C0AE3"/>
    <w:rsid w:val="007C5CB4"/>
    <w:rsid w:val="007C5D03"/>
    <w:rsid w:val="007D0B11"/>
    <w:rsid w:val="007D3C9C"/>
    <w:rsid w:val="007D71E9"/>
    <w:rsid w:val="007D736D"/>
    <w:rsid w:val="007E65AF"/>
    <w:rsid w:val="007F0A3C"/>
    <w:rsid w:val="007F299C"/>
    <w:rsid w:val="007F2FD7"/>
    <w:rsid w:val="007F39A8"/>
    <w:rsid w:val="007F7CAB"/>
    <w:rsid w:val="007F9A82"/>
    <w:rsid w:val="00802358"/>
    <w:rsid w:val="00802651"/>
    <w:rsid w:val="00802B7A"/>
    <w:rsid w:val="00803C57"/>
    <w:rsid w:val="00807204"/>
    <w:rsid w:val="00813E5E"/>
    <w:rsid w:val="008207E2"/>
    <w:rsid w:val="00821B07"/>
    <w:rsid w:val="00823353"/>
    <w:rsid w:val="0082346E"/>
    <w:rsid w:val="008255A1"/>
    <w:rsid w:val="00825A00"/>
    <w:rsid w:val="00826FE2"/>
    <w:rsid w:val="00830CCB"/>
    <w:rsid w:val="00831AA1"/>
    <w:rsid w:val="0083581B"/>
    <w:rsid w:val="00841721"/>
    <w:rsid w:val="00844087"/>
    <w:rsid w:val="00844A1D"/>
    <w:rsid w:val="00845E87"/>
    <w:rsid w:val="0084672A"/>
    <w:rsid w:val="00852AE7"/>
    <w:rsid w:val="00854CEC"/>
    <w:rsid w:val="00855586"/>
    <w:rsid w:val="00856563"/>
    <w:rsid w:val="0085772F"/>
    <w:rsid w:val="008601E3"/>
    <w:rsid w:val="00860AF6"/>
    <w:rsid w:val="00863547"/>
    <w:rsid w:val="00863874"/>
    <w:rsid w:val="0086440C"/>
    <w:rsid w:val="00864AFF"/>
    <w:rsid w:val="0086517E"/>
    <w:rsid w:val="00865925"/>
    <w:rsid w:val="008673C2"/>
    <w:rsid w:val="00875975"/>
    <w:rsid w:val="008773C9"/>
    <w:rsid w:val="008800FE"/>
    <w:rsid w:val="00882FC3"/>
    <w:rsid w:val="00885C83"/>
    <w:rsid w:val="008876F7"/>
    <w:rsid w:val="00890601"/>
    <w:rsid w:val="00895459"/>
    <w:rsid w:val="008A14B6"/>
    <w:rsid w:val="008A40FE"/>
    <w:rsid w:val="008B13AD"/>
    <w:rsid w:val="008B28B2"/>
    <w:rsid w:val="008B3AFA"/>
    <w:rsid w:val="008B4A6A"/>
    <w:rsid w:val="008B5B65"/>
    <w:rsid w:val="008B6809"/>
    <w:rsid w:val="008C0D96"/>
    <w:rsid w:val="008C649D"/>
    <w:rsid w:val="008C7E27"/>
    <w:rsid w:val="008D003A"/>
    <w:rsid w:val="008D2E7B"/>
    <w:rsid w:val="008D404B"/>
    <w:rsid w:val="008E25B3"/>
    <w:rsid w:val="008E3828"/>
    <w:rsid w:val="008F0915"/>
    <w:rsid w:val="008F2179"/>
    <w:rsid w:val="008F2572"/>
    <w:rsid w:val="008F53E2"/>
    <w:rsid w:val="008F7448"/>
    <w:rsid w:val="0090147A"/>
    <w:rsid w:val="00902AA1"/>
    <w:rsid w:val="0090302D"/>
    <w:rsid w:val="00906593"/>
    <w:rsid w:val="009101C3"/>
    <w:rsid w:val="0091217F"/>
    <w:rsid w:val="00914A68"/>
    <w:rsid w:val="00915C89"/>
    <w:rsid w:val="009173EF"/>
    <w:rsid w:val="00924733"/>
    <w:rsid w:val="00932412"/>
    <w:rsid w:val="00932906"/>
    <w:rsid w:val="00932E17"/>
    <w:rsid w:val="00942E2A"/>
    <w:rsid w:val="0095055A"/>
    <w:rsid w:val="0095203F"/>
    <w:rsid w:val="00957242"/>
    <w:rsid w:val="00961B0B"/>
    <w:rsid w:val="00964702"/>
    <w:rsid w:val="009654EB"/>
    <w:rsid w:val="00966C91"/>
    <w:rsid w:val="00970057"/>
    <w:rsid w:val="00971538"/>
    <w:rsid w:val="009719E6"/>
    <w:rsid w:val="00996CE7"/>
    <w:rsid w:val="009A0041"/>
    <w:rsid w:val="009B109C"/>
    <w:rsid w:val="009B10F5"/>
    <w:rsid w:val="009B38C3"/>
    <w:rsid w:val="009B7218"/>
    <w:rsid w:val="009C189D"/>
    <w:rsid w:val="009C1ACB"/>
    <w:rsid w:val="009C46F3"/>
    <w:rsid w:val="009C4B83"/>
    <w:rsid w:val="009C6CAA"/>
    <w:rsid w:val="009D164E"/>
    <w:rsid w:val="009D61CF"/>
    <w:rsid w:val="009D6945"/>
    <w:rsid w:val="009D75A7"/>
    <w:rsid w:val="009D7EA1"/>
    <w:rsid w:val="009E17BD"/>
    <w:rsid w:val="009E22A3"/>
    <w:rsid w:val="009E29D4"/>
    <w:rsid w:val="009E2ACF"/>
    <w:rsid w:val="009E2C77"/>
    <w:rsid w:val="009E38EE"/>
    <w:rsid w:val="009E452D"/>
    <w:rsid w:val="009E485A"/>
    <w:rsid w:val="009E4F53"/>
    <w:rsid w:val="009E5E16"/>
    <w:rsid w:val="009F3544"/>
    <w:rsid w:val="009F6605"/>
    <w:rsid w:val="009F75CE"/>
    <w:rsid w:val="00A012B6"/>
    <w:rsid w:val="00A01C0D"/>
    <w:rsid w:val="00A02A74"/>
    <w:rsid w:val="00A04CEC"/>
    <w:rsid w:val="00A05E63"/>
    <w:rsid w:val="00A0608F"/>
    <w:rsid w:val="00A11BED"/>
    <w:rsid w:val="00A15690"/>
    <w:rsid w:val="00A1583F"/>
    <w:rsid w:val="00A15C1C"/>
    <w:rsid w:val="00A177DB"/>
    <w:rsid w:val="00A17826"/>
    <w:rsid w:val="00A20314"/>
    <w:rsid w:val="00A22661"/>
    <w:rsid w:val="00A2550F"/>
    <w:rsid w:val="00A267F7"/>
    <w:rsid w:val="00A27F92"/>
    <w:rsid w:val="00A30D2C"/>
    <w:rsid w:val="00A31199"/>
    <w:rsid w:val="00A32257"/>
    <w:rsid w:val="00A3427E"/>
    <w:rsid w:val="00A3546C"/>
    <w:rsid w:val="00A36872"/>
    <w:rsid w:val="00A36D20"/>
    <w:rsid w:val="00A4173D"/>
    <w:rsid w:val="00A43B00"/>
    <w:rsid w:val="00A451F8"/>
    <w:rsid w:val="00A45B76"/>
    <w:rsid w:val="00A47D3D"/>
    <w:rsid w:val="00A50929"/>
    <w:rsid w:val="00A514A4"/>
    <w:rsid w:val="00A51C91"/>
    <w:rsid w:val="00A54038"/>
    <w:rsid w:val="00A54171"/>
    <w:rsid w:val="00A5514A"/>
    <w:rsid w:val="00A55622"/>
    <w:rsid w:val="00A6043F"/>
    <w:rsid w:val="00A610AE"/>
    <w:rsid w:val="00A61E56"/>
    <w:rsid w:val="00A629BE"/>
    <w:rsid w:val="00A63714"/>
    <w:rsid w:val="00A63CD1"/>
    <w:rsid w:val="00A74F79"/>
    <w:rsid w:val="00A83502"/>
    <w:rsid w:val="00A95968"/>
    <w:rsid w:val="00A963DD"/>
    <w:rsid w:val="00A965FB"/>
    <w:rsid w:val="00A97EAF"/>
    <w:rsid w:val="00AA02B0"/>
    <w:rsid w:val="00AA34A0"/>
    <w:rsid w:val="00AA6F4C"/>
    <w:rsid w:val="00AB21E3"/>
    <w:rsid w:val="00AB24D1"/>
    <w:rsid w:val="00AC4204"/>
    <w:rsid w:val="00AC6568"/>
    <w:rsid w:val="00AD066F"/>
    <w:rsid w:val="00AD0FBF"/>
    <w:rsid w:val="00AD15B3"/>
    <w:rsid w:val="00AD1970"/>
    <w:rsid w:val="00AD331B"/>
    <w:rsid w:val="00AD3606"/>
    <w:rsid w:val="00AD42E6"/>
    <w:rsid w:val="00AD4A3D"/>
    <w:rsid w:val="00AD7250"/>
    <w:rsid w:val="00AE549F"/>
    <w:rsid w:val="00AF0161"/>
    <w:rsid w:val="00AF30FD"/>
    <w:rsid w:val="00AF3616"/>
    <w:rsid w:val="00AF4DA6"/>
    <w:rsid w:val="00AF6E49"/>
    <w:rsid w:val="00AF7582"/>
    <w:rsid w:val="00B04A67"/>
    <w:rsid w:val="00B0583C"/>
    <w:rsid w:val="00B06407"/>
    <w:rsid w:val="00B169BD"/>
    <w:rsid w:val="00B17FDE"/>
    <w:rsid w:val="00B24875"/>
    <w:rsid w:val="00B24A19"/>
    <w:rsid w:val="00B26D87"/>
    <w:rsid w:val="00B27A2F"/>
    <w:rsid w:val="00B33070"/>
    <w:rsid w:val="00B33D03"/>
    <w:rsid w:val="00B35771"/>
    <w:rsid w:val="00B40A81"/>
    <w:rsid w:val="00B41235"/>
    <w:rsid w:val="00B43B23"/>
    <w:rsid w:val="00B44910"/>
    <w:rsid w:val="00B52503"/>
    <w:rsid w:val="00B57214"/>
    <w:rsid w:val="00B63611"/>
    <w:rsid w:val="00B63FCF"/>
    <w:rsid w:val="00B664CC"/>
    <w:rsid w:val="00B67302"/>
    <w:rsid w:val="00B676B0"/>
    <w:rsid w:val="00B7017C"/>
    <w:rsid w:val="00B7086F"/>
    <w:rsid w:val="00B72267"/>
    <w:rsid w:val="00B76EB6"/>
    <w:rsid w:val="00B7737B"/>
    <w:rsid w:val="00B821E0"/>
    <w:rsid w:val="00B824C8"/>
    <w:rsid w:val="00B83D67"/>
    <w:rsid w:val="00B8485A"/>
    <w:rsid w:val="00B84B9D"/>
    <w:rsid w:val="00B901BC"/>
    <w:rsid w:val="00B940F3"/>
    <w:rsid w:val="00B950A5"/>
    <w:rsid w:val="00BA4395"/>
    <w:rsid w:val="00BA5693"/>
    <w:rsid w:val="00BA5DDC"/>
    <w:rsid w:val="00BA6828"/>
    <w:rsid w:val="00BB22AD"/>
    <w:rsid w:val="00BB6819"/>
    <w:rsid w:val="00BC1DA0"/>
    <w:rsid w:val="00BC251A"/>
    <w:rsid w:val="00BC304B"/>
    <w:rsid w:val="00BC5448"/>
    <w:rsid w:val="00BC5FDF"/>
    <w:rsid w:val="00BD032B"/>
    <w:rsid w:val="00BD6BA8"/>
    <w:rsid w:val="00BE1DC6"/>
    <w:rsid w:val="00BE2640"/>
    <w:rsid w:val="00BE5875"/>
    <w:rsid w:val="00BE6150"/>
    <w:rsid w:val="00BF3A5D"/>
    <w:rsid w:val="00BF4593"/>
    <w:rsid w:val="00C01189"/>
    <w:rsid w:val="00C02C63"/>
    <w:rsid w:val="00C0756B"/>
    <w:rsid w:val="00C1465B"/>
    <w:rsid w:val="00C14E92"/>
    <w:rsid w:val="00C15695"/>
    <w:rsid w:val="00C15E72"/>
    <w:rsid w:val="00C16F84"/>
    <w:rsid w:val="00C17393"/>
    <w:rsid w:val="00C244DF"/>
    <w:rsid w:val="00C254B6"/>
    <w:rsid w:val="00C32EBF"/>
    <w:rsid w:val="00C33046"/>
    <w:rsid w:val="00C35467"/>
    <w:rsid w:val="00C374DE"/>
    <w:rsid w:val="00C412AA"/>
    <w:rsid w:val="00C47AD4"/>
    <w:rsid w:val="00C50941"/>
    <w:rsid w:val="00C52D81"/>
    <w:rsid w:val="00C55198"/>
    <w:rsid w:val="00C6045C"/>
    <w:rsid w:val="00C618BB"/>
    <w:rsid w:val="00C70068"/>
    <w:rsid w:val="00C70903"/>
    <w:rsid w:val="00C73D59"/>
    <w:rsid w:val="00C86685"/>
    <w:rsid w:val="00C906F9"/>
    <w:rsid w:val="00C90E5B"/>
    <w:rsid w:val="00C97C47"/>
    <w:rsid w:val="00CA2E14"/>
    <w:rsid w:val="00CA5238"/>
    <w:rsid w:val="00CA6393"/>
    <w:rsid w:val="00CA7150"/>
    <w:rsid w:val="00CB06A4"/>
    <w:rsid w:val="00CB0891"/>
    <w:rsid w:val="00CB18FF"/>
    <w:rsid w:val="00CB1C77"/>
    <w:rsid w:val="00CB38B2"/>
    <w:rsid w:val="00CB3EE2"/>
    <w:rsid w:val="00CB5208"/>
    <w:rsid w:val="00CC0B6F"/>
    <w:rsid w:val="00CC0BA5"/>
    <w:rsid w:val="00CC4D67"/>
    <w:rsid w:val="00CD016B"/>
    <w:rsid w:val="00CD0C08"/>
    <w:rsid w:val="00CD29AB"/>
    <w:rsid w:val="00CD3384"/>
    <w:rsid w:val="00CD41BD"/>
    <w:rsid w:val="00CD5A9D"/>
    <w:rsid w:val="00CD72B0"/>
    <w:rsid w:val="00CD7F9A"/>
    <w:rsid w:val="00CE03FB"/>
    <w:rsid w:val="00CE07A2"/>
    <w:rsid w:val="00CE117E"/>
    <w:rsid w:val="00CE433C"/>
    <w:rsid w:val="00CE4D78"/>
    <w:rsid w:val="00CE643B"/>
    <w:rsid w:val="00CF0161"/>
    <w:rsid w:val="00CF1444"/>
    <w:rsid w:val="00CF33F3"/>
    <w:rsid w:val="00CF78E3"/>
    <w:rsid w:val="00D020E0"/>
    <w:rsid w:val="00D02F19"/>
    <w:rsid w:val="00D06183"/>
    <w:rsid w:val="00D06D26"/>
    <w:rsid w:val="00D145F1"/>
    <w:rsid w:val="00D219F0"/>
    <w:rsid w:val="00D22C42"/>
    <w:rsid w:val="00D22D93"/>
    <w:rsid w:val="00D275A9"/>
    <w:rsid w:val="00D27922"/>
    <w:rsid w:val="00D336DA"/>
    <w:rsid w:val="00D3605E"/>
    <w:rsid w:val="00D403ED"/>
    <w:rsid w:val="00D437AF"/>
    <w:rsid w:val="00D44359"/>
    <w:rsid w:val="00D443D6"/>
    <w:rsid w:val="00D46004"/>
    <w:rsid w:val="00D51E7F"/>
    <w:rsid w:val="00D52447"/>
    <w:rsid w:val="00D5663B"/>
    <w:rsid w:val="00D57591"/>
    <w:rsid w:val="00D57A5E"/>
    <w:rsid w:val="00D608A4"/>
    <w:rsid w:val="00D6143F"/>
    <w:rsid w:val="00D61F23"/>
    <w:rsid w:val="00D62FB9"/>
    <w:rsid w:val="00D65041"/>
    <w:rsid w:val="00D654F2"/>
    <w:rsid w:val="00D6570A"/>
    <w:rsid w:val="00D674A7"/>
    <w:rsid w:val="00D67D85"/>
    <w:rsid w:val="00D70025"/>
    <w:rsid w:val="00D7074D"/>
    <w:rsid w:val="00D7732C"/>
    <w:rsid w:val="00D86BDE"/>
    <w:rsid w:val="00D87A0A"/>
    <w:rsid w:val="00D87A10"/>
    <w:rsid w:val="00D9000E"/>
    <w:rsid w:val="00D906E1"/>
    <w:rsid w:val="00D9675A"/>
    <w:rsid w:val="00D97E65"/>
    <w:rsid w:val="00DB1936"/>
    <w:rsid w:val="00DB1A7C"/>
    <w:rsid w:val="00DB1B8B"/>
    <w:rsid w:val="00DB384B"/>
    <w:rsid w:val="00DB42B3"/>
    <w:rsid w:val="00DB474E"/>
    <w:rsid w:val="00DC0D7D"/>
    <w:rsid w:val="00DC2A5B"/>
    <w:rsid w:val="00DC78B4"/>
    <w:rsid w:val="00DD07F4"/>
    <w:rsid w:val="00DD0CB0"/>
    <w:rsid w:val="00DE6216"/>
    <w:rsid w:val="00DF0189"/>
    <w:rsid w:val="00DF1A82"/>
    <w:rsid w:val="00DF206B"/>
    <w:rsid w:val="00DF3205"/>
    <w:rsid w:val="00DF7906"/>
    <w:rsid w:val="00E058E9"/>
    <w:rsid w:val="00E05C96"/>
    <w:rsid w:val="00E06DCD"/>
    <w:rsid w:val="00E06FD5"/>
    <w:rsid w:val="00E10151"/>
    <w:rsid w:val="00E10E80"/>
    <w:rsid w:val="00E124F0"/>
    <w:rsid w:val="00E21BF8"/>
    <w:rsid w:val="00E23DAA"/>
    <w:rsid w:val="00E30BA9"/>
    <w:rsid w:val="00E33441"/>
    <w:rsid w:val="00E42465"/>
    <w:rsid w:val="00E469AB"/>
    <w:rsid w:val="00E503AB"/>
    <w:rsid w:val="00E50865"/>
    <w:rsid w:val="00E55653"/>
    <w:rsid w:val="00E55CBF"/>
    <w:rsid w:val="00E56229"/>
    <w:rsid w:val="00E6058A"/>
    <w:rsid w:val="00E60B61"/>
    <w:rsid w:val="00E60F04"/>
    <w:rsid w:val="00E6267B"/>
    <w:rsid w:val="00E65B24"/>
    <w:rsid w:val="00E662A1"/>
    <w:rsid w:val="00E665B9"/>
    <w:rsid w:val="00E71C2C"/>
    <w:rsid w:val="00E72F44"/>
    <w:rsid w:val="00E76DF7"/>
    <w:rsid w:val="00E76EF4"/>
    <w:rsid w:val="00E82F30"/>
    <w:rsid w:val="00E83655"/>
    <w:rsid w:val="00E854E4"/>
    <w:rsid w:val="00E86DBF"/>
    <w:rsid w:val="00E92797"/>
    <w:rsid w:val="00EA369B"/>
    <w:rsid w:val="00EA676C"/>
    <w:rsid w:val="00EB0D6F"/>
    <w:rsid w:val="00EB2232"/>
    <w:rsid w:val="00EB2C85"/>
    <w:rsid w:val="00EB4FDA"/>
    <w:rsid w:val="00EB749F"/>
    <w:rsid w:val="00EBBFC6"/>
    <w:rsid w:val="00EC2E61"/>
    <w:rsid w:val="00EC5337"/>
    <w:rsid w:val="00ED146E"/>
    <w:rsid w:val="00ED4BFA"/>
    <w:rsid w:val="00ED6310"/>
    <w:rsid w:val="00EE0C23"/>
    <w:rsid w:val="00EE10FA"/>
    <w:rsid w:val="00EE49E8"/>
    <w:rsid w:val="00EE6495"/>
    <w:rsid w:val="00EE67D9"/>
    <w:rsid w:val="00EE765A"/>
    <w:rsid w:val="00EE796C"/>
    <w:rsid w:val="00EF32C9"/>
    <w:rsid w:val="00EF33C1"/>
    <w:rsid w:val="00EF48A4"/>
    <w:rsid w:val="00EF4BE2"/>
    <w:rsid w:val="00EF506F"/>
    <w:rsid w:val="00F02B0A"/>
    <w:rsid w:val="00F02F0C"/>
    <w:rsid w:val="00F02FC7"/>
    <w:rsid w:val="00F0423A"/>
    <w:rsid w:val="00F15FF9"/>
    <w:rsid w:val="00F165B7"/>
    <w:rsid w:val="00F16BAB"/>
    <w:rsid w:val="00F201E2"/>
    <w:rsid w:val="00F2150A"/>
    <w:rsid w:val="00F22110"/>
    <w:rsid w:val="00F22551"/>
    <w:rsid w:val="00F231D8"/>
    <w:rsid w:val="00F27FA0"/>
    <w:rsid w:val="00F33BF5"/>
    <w:rsid w:val="00F41A42"/>
    <w:rsid w:val="00F41AA3"/>
    <w:rsid w:val="00F42C65"/>
    <w:rsid w:val="00F44C00"/>
    <w:rsid w:val="00F45536"/>
    <w:rsid w:val="00F46C5F"/>
    <w:rsid w:val="00F50677"/>
    <w:rsid w:val="00F50A90"/>
    <w:rsid w:val="00F52304"/>
    <w:rsid w:val="00F5341B"/>
    <w:rsid w:val="00F542A0"/>
    <w:rsid w:val="00F56730"/>
    <w:rsid w:val="00F5735D"/>
    <w:rsid w:val="00F603DA"/>
    <w:rsid w:val="00F63121"/>
    <w:rsid w:val="00F632C0"/>
    <w:rsid w:val="00F635CF"/>
    <w:rsid w:val="00F650AD"/>
    <w:rsid w:val="00F71B3F"/>
    <w:rsid w:val="00F767E8"/>
    <w:rsid w:val="00F77CBE"/>
    <w:rsid w:val="00F811DC"/>
    <w:rsid w:val="00F83669"/>
    <w:rsid w:val="00F8550E"/>
    <w:rsid w:val="00F9024D"/>
    <w:rsid w:val="00F92032"/>
    <w:rsid w:val="00F94A63"/>
    <w:rsid w:val="00FA1C28"/>
    <w:rsid w:val="00FA2E34"/>
    <w:rsid w:val="00FA457A"/>
    <w:rsid w:val="00FA4B7F"/>
    <w:rsid w:val="00FA5F1B"/>
    <w:rsid w:val="00FA6524"/>
    <w:rsid w:val="00FA7D65"/>
    <w:rsid w:val="00FB1279"/>
    <w:rsid w:val="00FB2A6D"/>
    <w:rsid w:val="00FB5445"/>
    <w:rsid w:val="00FB5E40"/>
    <w:rsid w:val="00FB67B7"/>
    <w:rsid w:val="00FB6B76"/>
    <w:rsid w:val="00FB7596"/>
    <w:rsid w:val="00FC0400"/>
    <w:rsid w:val="00FC108D"/>
    <w:rsid w:val="00FC7778"/>
    <w:rsid w:val="00FD5D0B"/>
    <w:rsid w:val="00FD6D92"/>
    <w:rsid w:val="00FE1871"/>
    <w:rsid w:val="00FE3951"/>
    <w:rsid w:val="00FE4077"/>
    <w:rsid w:val="00FE77D2"/>
    <w:rsid w:val="00FF30C3"/>
    <w:rsid w:val="00FF37BC"/>
    <w:rsid w:val="00FF3A72"/>
    <w:rsid w:val="00FF69B2"/>
    <w:rsid w:val="016AB1FC"/>
    <w:rsid w:val="02085C61"/>
    <w:rsid w:val="0233931E"/>
    <w:rsid w:val="04B200EB"/>
    <w:rsid w:val="056D591B"/>
    <w:rsid w:val="0574A739"/>
    <w:rsid w:val="05AED64E"/>
    <w:rsid w:val="05B2AA2F"/>
    <w:rsid w:val="05CA1AB7"/>
    <w:rsid w:val="068058E9"/>
    <w:rsid w:val="06BD26B9"/>
    <w:rsid w:val="06E0397F"/>
    <w:rsid w:val="06EE1E13"/>
    <w:rsid w:val="0732FC0F"/>
    <w:rsid w:val="0749F286"/>
    <w:rsid w:val="07678AD8"/>
    <w:rsid w:val="0845C1CE"/>
    <w:rsid w:val="089EDF07"/>
    <w:rsid w:val="08ADAF75"/>
    <w:rsid w:val="08C4E8AE"/>
    <w:rsid w:val="091BEE31"/>
    <w:rsid w:val="092E556C"/>
    <w:rsid w:val="0944DDEB"/>
    <w:rsid w:val="09470A22"/>
    <w:rsid w:val="0986744F"/>
    <w:rsid w:val="09E1922F"/>
    <w:rsid w:val="09EDA13E"/>
    <w:rsid w:val="0A0FFBFA"/>
    <w:rsid w:val="0A2A7E69"/>
    <w:rsid w:val="0A383F2C"/>
    <w:rsid w:val="0A4A4F00"/>
    <w:rsid w:val="0A4C3F6E"/>
    <w:rsid w:val="0A60B90F"/>
    <w:rsid w:val="0AC2DEB0"/>
    <w:rsid w:val="0AF09919"/>
    <w:rsid w:val="0B21815A"/>
    <w:rsid w:val="0B388609"/>
    <w:rsid w:val="0BE06DB7"/>
    <w:rsid w:val="0C021792"/>
    <w:rsid w:val="0C3B4776"/>
    <w:rsid w:val="0C670F60"/>
    <w:rsid w:val="0C6E5CAE"/>
    <w:rsid w:val="0C8FA9A2"/>
    <w:rsid w:val="0CA471E1"/>
    <w:rsid w:val="0CB224AD"/>
    <w:rsid w:val="0D07C991"/>
    <w:rsid w:val="0D52D6FA"/>
    <w:rsid w:val="0D7EE51B"/>
    <w:rsid w:val="0D8578C6"/>
    <w:rsid w:val="0DADBEB8"/>
    <w:rsid w:val="0DB35029"/>
    <w:rsid w:val="0DB64D96"/>
    <w:rsid w:val="0DE1FACF"/>
    <w:rsid w:val="0DF68FA1"/>
    <w:rsid w:val="0E1160B4"/>
    <w:rsid w:val="0E480B2B"/>
    <w:rsid w:val="0E62EB7A"/>
    <w:rsid w:val="0F110C94"/>
    <w:rsid w:val="0F4F5E97"/>
    <w:rsid w:val="0FA50CAA"/>
    <w:rsid w:val="0FF76060"/>
    <w:rsid w:val="1013BF95"/>
    <w:rsid w:val="101D8849"/>
    <w:rsid w:val="1021D5E2"/>
    <w:rsid w:val="107E47B8"/>
    <w:rsid w:val="1095D527"/>
    <w:rsid w:val="10A133F4"/>
    <w:rsid w:val="10B7A549"/>
    <w:rsid w:val="10CAFA7B"/>
    <w:rsid w:val="1111C164"/>
    <w:rsid w:val="11144277"/>
    <w:rsid w:val="113CFF24"/>
    <w:rsid w:val="120F73C0"/>
    <w:rsid w:val="12B1B529"/>
    <w:rsid w:val="12C2D71F"/>
    <w:rsid w:val="1311898F"/>
    <w:rsid w:val="1311CB6C"/>
    <w:rsid w:val="137EC16F"/>
    <w:rsid w:val="13E47037"/>
    <w:rsid w:val="140170ED"/>
    <w:rsid w:val="141EA332"/>
    <w:rsid w:val="1420077E"/>
    <w:rsid w:val="1441940D"/>
    <w:rsid w:val="147F5FFF"/>
    <w:rsid w:val="14FBB59E"/>
    <w:rsid w:val="153C75A4"/>
    <w:rsid w:val="1547A9FA"/>
    <w:rsid w:val="1577B9BC"/>
    <w:rsid w:val="1583C80A"/>
    <w:rsid w:val="16854504"/>
    <w:rsid w:val="16DA6984"/>
    <w:rsid w:val="16DC98C4"/>
    <w:rsid w:val="1702F351"/>
    <w:rsid w:val="174F003B"/>
    <w:rsid w:val="176735AB"/>
    <w:rsid w:val="176E5448"/>
    <w:rsid w:val="18523292"/>
    <w:rsid w:val="189CDDAF"/>
    <w:rsid w:val="18BE9450"/>
    <w:rsid w:val="18C41025"/>
    <w:rsid w:val="18DDE214"/>
    <w:rsid w:val="19198A2C"/>
    <w:rsid w:val="19A9B8C5"/>
    <w:rsid w:val="1A643D8C"/>
    <w:rsid w:val="1A8D9D87"/>
    <w:rsid w:val="1AB96566"/>
    <w:rsid w:val="1B323910"/>
    <w:rsid w:val="1B3CE9D7"/>
    <w:rsid w:val="1B688341"/>
    <w:rsid w:val="1BD40C8A"/>
    <w:rsid w:val="1BF502F4"/>
    <w:rsid w:val="1C586111"/>
    <w:rsid w:val="1CCD58FF"/>
    <w:rsid w:val="1CD9E026"/>
    <w:rsid w:val="1D3E390C"/>
    <w:rsid w:val="1D684957"/>
    <w:rsid w:val="1D7A2077"/>
    <w:rsid w:val="1DAAE57C"/>
    <w:rsid w:val="1DB91F87"/>
    <w:rsid w:val="1E1EB8DE"/>
    <w:rsid w:val="1E232433"/>
    <w:rsid w:val="1E26A6B5"/>
    <w:rsid w:val="1E2D5EE7"/>
    <w:rsid w:val="1E6AE6E2"/>
    <w:rsid w:val="1E9F950D"/>
    <w:rsid w:val="1EAF1B6C"/>
    <w:rsid w:val="1EB162DF"/>
    <w:rsid w:val="1ED86DF1"/>
    <w:rsid w:val="1EE82AC3"/>
    <w:rsid w:val="1F0AA634"/>
    <w:rsid w:val="1F2CE19D"/>
    <w:rsid w:val="1F5852AC"/>
    <w:rsid w:val="1F66B4BD"/>
    <w:rsid w:val="1F722261"/>
    <w:rsid w:val="2036E465"/>
    <w:rsid w:val="2056353F"/>
    <w:rsid w:val="207EF66D"/>
    <w:rsid w:val="20B8389F"/>
    <w:rsid w:val="21084A1B"/>
    <w:rsid w:val="2133DBE3"/>
    <w:rsid w:val="2140C89E"/>
    <w:rsid w:val="21BFC7A9"/>
    <w:rsid w:val="21DEACB8"/>
    <w:rsid w:val="22162523"/>
    <w:rsid w:val="2255E976"/>
    <w:rsid w:val="225F73AA"/>
    <w:rsid w:val="22A0206A"/>
    <w:rsid w:val="22A077D2"/>
    <w:rsid w:val="22ED97BB"/>
    <w:rsid w:val="22EF24D8"/>
    <w:rsid w:val="2317473A"/>
    <w:rsid w:val="23B2C062"/>
    <w:rsid w:val="23C63F24"/>
    <w:rsid w:val="248C83C3"/>
    <w:rsid w:val="24A0ED01"/>
    <w:rsid w:val="24B070D8"/>
    <w:rsid w:val="24F15107"/>
    <w:rsid w:val="24FD92E9"/>
    <w:rsid w:val="255B5430"/>
    <w:rsid w:val="25B92200"/>
    <w:rsid w:val="25F3AACF"/>
    <w:rsid w:val="26548FD2"/>
    <w:rsid w:val="26AD7385"/>
    <w:rsid w:val="26CBD966"/>
    <w:rsid w:val="27492572"/>
    <w:rsid w:val="27E13D88"/>
    <w:rsid w:val="28052B3E"/>
    <w:rsid w:val="28139BA8"/>
    <w:rsid w:val="2828D682"/>
    <w:rsid w:val="282B3B16"/>
    <w:rsid w:val="282F0060"/>
    <w:rsid w:val="28522DEF"/>
    <w:rsid w:val="28C60A0E"/>
    <w:rsid w:val="296ED7BC"/>
    <w:rsid w:val="297BC174"/>
    <w:rsid w:val="29CF4301"/>
    <w:rsid w:val="29F1AC23"/>
    <w:rsid w:val="2A24DC64"/>
    <w:rsid w:val="2A2C1669"/>
    <w:rsid w:val="2A5475A5"/>
    <w:rsid w:val="2A68014A"/>
    <w:rsid w:val="2A715CF6"/>
    <w:rsid w:val="2AA7CE8C"/>
    <w:rsid w:val="2AC9D710"/>
    <w:rsid w:val="2ADCF57C"/>
    <w:rsid w:val="2AF99E66"/>
    <w:rsid w:val="2B2A1B92"/>
    <w:rsid w:val="2B4BAFEA"/>
    <w:rsid w:val="2B694B1F"/>
    <w:rsid w:val="2B73EE4A"/>
    <w:rsid w:val="2BB30710"/>
    <w:rsid w:val="2BF4D299"/>
    <w:rsid w:val="2C30A6CA"/>
    <w:rsid w:val="2D3FB745"/>
    <w:rsid w:val="2D6B5914"/>
    <w:rsid w:val="2D8CD96D"/>
    <w:rsid w:val="2DAEE4A5"/>
    <w:rsid w:val="2DEC88AD"/>
    <w:rsid w:val="2EA37AEE"/>
    <w:rsid w:val="2ED0685A"/>
    <w:rsid w:val="2EF30D2F"/>
    <w:rsid w:val="2F2C0BD1"/>
    <w:rsid w:val="2F877854"/>
    <w:rsid w:val="2FE0F677"/>
    <w:rsid w:val="30097290"/>
    <w:rsid w:val="30A7E7CF"/>
    <w:rsid w:val="30D08610"/>
    <w:rsid w:val="314ED42D"/>
    <w:rsid w:val="3228DD00"/>
    <w:rsid w:val="3244B6AD"/>
    <w:rsid w:val="324C7E49"/>
    <w:rsid w:val="325C5985"/>
    <w:rsid w:val="3276BE57"/>
    <w:rsid w:val="32B80B0C"/>
    <w:rsid w:val="32BADA30"/>
    <w:rsid w:val="32C329A7"/>
    <w:rsid w:val="32D459A8"/>
    <w:rsid w:val="32F73F99"/>
    <w:rsid w:val="32F87A23"/>
    <w:rsid w:val="33153139"/>
    <w:rsid w:val="3414F7AC"/>
    <w:rsid w:val="34D055C9"/>
    <w:rsid w:val="34D73A3D"/>
    <w:rsid w:val="34E15D3C"/>
    <w:rsid w:val="3524550F"/>
    <w:rsid w:val="35272B38"/>
    <w:rsid w:val="354B1462"/>
    <w:rsid w:val="3579F3F3"/>
    <w:rsid w:val="357FD7C3"/>
    <w:rsid w:val="358F4FE2"/>
    <w:rsid w:val="3599D555"/>
    <w:rsid w:val="35BBEEC8"/>
    <w:rsid w:val="365FA6E4"/>
    <w:rsid w:val="3679D4B0"/>
    <w:rsid w:val="36A45151"/>
    <w:rsid w:val="370B467A"/>
    <w:rsid w:val="3733BB23"/>
    <w:rsid w:val="3735497B"/>
    <w:rsid w:val="37411C37"/>
    <w:rsid w:val="376C644F"/>
    <w:rsid w:val="37AF3B4A"/>
    <w:rsid w:val="37EDC318"/>
    <w:rsid w:val="380C8F0B"/>
    <w:rsid w:val="38173924"/>
    <w:rsid w:val="38B77885"/>
    <w:rsid w:val="38C96BEC"/>
    <w:rsid w:val="393422D8"/>
    <w:rsid w:val="394A89B1"/>
    <w:rsid w:val="39760D76"/>
    <w:rsid w:val="39C42471"/>
    <w:rsid w:val="39D5AD0D"/>
    <w:rsid w:val="3A290687"/>
    <w:rsid w:val="3A3210C4"/>
    <w:rsid w:val="3A67F43B"/>
    <w:rsid w:val="3B216A23"/>
    <w:rsid w:val="3B25A9EE"/>
    <w:rsid w:val="3BDED7C7"/>
    <w:rsid w:val="3C0F82A9"/>
    <w:rsid w:val="3C71151E"/>
    <w:rsid w:val="3C7D8152"/>
    <w:rsid w:val="3CF37E8D"/>
    <w:rsid w:val="3CF79636"/>
    <w:rsid w:val="3D720353"/>
    <w:rsid w:val="3D79A86B"/>
    <w:rsid w:val="3D86FA68"/>
    <w:rsid w:val="3D9A5187"/>
    <w:rsid w:val="3D9BE253"/>
    <w:rsid w:val="3DD71827"/>
    <w:rsid w:val="3E0B0007"/>
    <w:rsid w:val="3E753FD1"/>
    <w:rsid w:val="3EA3DBD2"/>
    <w:rsid w:val="3ED1417B"/>
    <w:rsid w:val="3F1B93C3"/>
    <w:rsid w:val="3F3D5D9C"/>
    <w:rsid w:val="4063EBAA"/>
    <w:rsid w:val="40754E30"/>
    <w:rsid w:val="40FD5352"/>
    <w:rsid w:val="415BECD8"/>
    <w:rsid w:val="419D9DFA"/>
    <w:rsid w:val="41E9160C"/>
    <w:rsid w:val="41F2A2D8"/>
    <w:rsid w:val="4281BDE3"/>
    <w:rsid w:val="42C16767"/>
    <w:rsid w:val="42DEC6D7"/>
    <w:rsid w:val="42F4EA04"/>
    <w:rsid w:val="42F5D27E"/>
    <w:rsid w:val="43723D8B"/>
    <w:rsid w:val="44ABAC0C"/>
    <w:rsid w:val="44C0DFC7"/>
    <w:rsid w:val="44CA34F0"/>
    <w:rsid w:val="44DE1B4F"/>
    <w:rsid w:val="44FE4356"/>
    <w:rsid w:val="4563FF1F"/>
    <w:rsid w:val="45D5F2CF"/>
    <w:rsid w:val="45E3BFCF"/>
    <w:rsid w:val="46039951"/>
    <w:rsid w:val="46108582"/>
    <w:rsid w:val="46417A74"/>
    <w:rsid w:val="466A79AE"/>
    <w:rsid w:val="46730619"/>
    <w:rsid w:val="469CC5D2"/>
    <w:rsid w:val="46B5BFE3"/>
    <w:rsid w:val="470B55CE"/>
    <w:rsid w:val="4778F31D"/>
    <w:rsid w:val="47A068F9"/>
    <w:rsid w:val="48438882"/>
    <w:rsid w:val="48A20E96"/>
    <w:rsid w:val="48AC39E9"/>
    <w:rsid w:val="48CDAC56"/>
    <w:rsid w:val="498D2653"/>
    <w:rsid w:val="49C59527"/>
    <w:rsid w:val="49DE86B4"/>
    <w:rsid w:val="49E69D72"/>
    <w:rsid w:val="49F9FBB7"/>
    <w:rsid w:val="4A29708C"/>
    <w:rsid w:val="4A6217F1"/>
    <w:rsid w:val="4A72885C"/>
    <w:rsid w:val="4A8E1F0A"/>
    <w:rsid w:val="4AA583B5"/>
    <w:rsid w:val="4B1E6CAD"/>
    <w:rsid w:val="4C511426"/>
    <w:rsid w:val="4C953653"/>
    <w:rsid w:val="4CF978FE"/>
    <w:rsid w:val="4D6A0350"/>
    <w:rsid w:val="4D8A19DF"/>
    <w:rsid w:val="4EBB2509"/>
    <w:rsid w:val="4F0D217A"/>
    <w:rsid w:val="4F29F569"/>
    <w:rsid w:val="4F847E91"/>
    <w:rsid w:val="500F592C"/>
    <w:rsid w:val="50507913"/>
    <w:rsid w:val="51080BCE"/>
    <w:rsid w:val="5141C0FA"/>
    <w:rsid w:val="51DE97AA"/>
    <w:rsid w:val="51FEA268"/>
    <w:rsid w:val="52678A81"/>
    <w:rsid w:val="52D289FB"/>
    <w:rsid w:val="52E65826"/>
    <w:rsid w:val="52F35E77"/>
    <w:rsid w:val="5303C41F"/>
    <w:rsid w:val="53343B11"/>
    <w:rsid w:val="534CB2B3"/>
    <w:rsid w:val="534F192B"/>
    <w:rsid w:val="53539B9A"/>
    <w:rsid w:val="535E4CAC"/>
    <w:rsid w:val="53D75CBF"/>
    <w:rsid w:val="540E42B8"/>
    <w:rsid w:val="5443F2CB"/>
    <w:rsid w:val="54D4C044"/>
    <w:rsid w:val="551CCC10"/>
    <w:rsid w:val="552B12ED"/>
    <w:rsid w:val="554A3B9C"/>
    <w:rsid w:val="55F8C350"/>
    <w:rsid w:val="561E5100"/>
    <w:rsid w:val="57844A7D"/>
    <w:rsid w:val="578FAFD2"/>
    <w:rsid w:val="579C6DA8"/>
    <w:rsid w:val="57A3938E"/>
    <w:rsid w:val="57A7C169"/>
    <w:rsid w:val="57ADDDBA"/>
    <w:rsid w:val="57CFB8F5"/>
    <w:rsid w:val="57E2C7ED"/>
    <w:rsid w:val="5816D20E"/>
    <w:rsid w:val="58282F1A"/>
    <w:rsid w:val="585938CE"/>
    <w:rsid w:val="585C8812"/>
    <w:rsid w:val="58813367"/>
    <w:rsid w:val="5894DB53"/>
    <w:rsid w:val="58E4A801"/>
    <w:rsid w:val="5927BEF5"/>
    <w:rsid w:val="5969FE26"/>
    <w:rsid w:val="5A48E23D"/>
    <w:rsid w:val="5AA8B0D8"/>
    <w:rsid w:val="5AD672A5"/>
    <w:rsid w:val="5AF49E94"/>
    <w:rsid w:val="5AF8702E"/>
    <w:rsid w:val="5B36A887"/>
    <w:rsid w:val="5BB8F430"/>
    <w:rsid w:val="5CC39E0F"/>
    <w:rsid w:val="5CF2BA44"/>
    <w:rsid w:val="5D0E851B"/>
    <w:rsid w:val="5D373803"/>
    <w:rsid w:val="5D900FD7"/>
    <w:rsid w:val="5D9F852E"/>
    <w:rsid w:val="5DB9F07D"/>
    <w:rsid w:val="5DE0519A"/>
    <w:rsid w:val="5DE07124"/>
    <w:rsid w:val="5E2AE13E"/>
    <w:rsid w:val="5EB52EEA"/>
    <w:rsid w:val="5F67BF0C"/>
    <w:rsid w:val="5F93D512"/>
    <w:rsid w:val="5FBA249D"/>
    <w:rsid w:val="60352ADC"/>
    <w:rsid w:val="603589D1"/>
    <w:rsid w:val="604DB1F6"/>
    <w:rsid w:val="6085790A"/>
    <w:rsid w:val="609A7887"/>
    <w:rsid w:val="60B76089"/>
    <w:rsid w:val="60CA196A"/>
    <w:rsid w:val="61265E9A"/>
    <w:rsid w:val="612E09A8"/>
    <w:rsid w:val="6173B41C"/>
    <w:rsid w:val="61AA0D6E"/>
    <w:rsid w:val="61ACE434"/>
    <w:rsid w:val="61B07899"/>
    <w:rsid w:val="61C683AC"/>
    <w:rsid w:val="626FAEE3"/>
    <w:rsid w:val="629BE73C"/>
    <w:rsid w:val="62D00731"/>
    <w:rsid w:val="63925BC3"/>
    <w:rsid w:val="63B0C11F"/>
    <w:rsid w:val="63BA84F8"/>
    <w:rsid w:val="63C5761E"/>
    <w:rsid w:val="63F59E55"/>
    <w:rsid w:val="63FB0A4F"/>
    <w:rsid w:val="640C5B26"/>
    <w:rsid w:val="644FB19C"/>
    <w:rsid w:val="647983C5"/>
    <w:rsid w:val="647BEE90"/>
    <w:rsid w:val="650EC008"/>
    <w:rsid w:val="65454E4F"/>
    <w:rsid w:val="65640D39"/>
    <w:rsid w:val="65833587"/>
    <w:rsid w:val="65EB81FD"/>
    <w:rsid w:val="65FC2711"/>
    <w:rsid w:val="661454BE"/>
    <w:rsid w:val="6627C218"/>
    <w:rsid w:val="66449B70"/>
    <w:rsid w:val="667C284D"/>
    <w:rsid w:val="66B2FBB9"/>
    <w:rsid w:val="66E835CD"/>
    <w:rsid w:val="67090111"/>
    <w:rsid w:val="672D3F17"/>
    <w:rsid w:val="677E8442"/>
    <w:rsid w:val="6798C96A"/>
    <w:rsid w:val="6826E157"/>
    <w:rsid w:val="683B7BDB"/>
    <w:rsid w:val="689AB002"/>
    <w:rsid w:val="68A1881A"/>
    <w:rsid w:val="68EC642A"/>
    <w:rsid w:val="693C2C9E"/>
    <w:rsid w:val="69513AEE"/>
    <w:rsid w:val="69CCCD7F"/>
    <w:rsid w:val="69DB519C"/>
    <w:rsid w:val="69F6BA34"/>
    <w:rsid w:val="6A451330"/>
    <w:rsid w:val="6A8FE99F"/>
    <w:rsid w:val="6AA93CE8"/>
    <w:rsid w:val="6B54B9D7"/>
    <w:rsid w:val="6B5DDA7B"/>
    <w:rsid w:val="6BC76B5C"/>
    <w:rsid w:val="6BCF4F0B"/>
    <w:rsid w:val="6C04149B"/>
    <w:rsid w:val="6C73CD60"/>
    <w:rsid w:val="6D0DD338"/>
    <w:rsid w:val="6D34F9C4"/>
    <w:rsid w:val="6DA0AF7B"/>
    <w:rsid w:val="6DB09B22"/>
    <w:rsid w:val="6DC60E11"/>
    <w:rsid w:val="6E2C3FE0"/>
    <w:rsid w:val="6E305AA2"/>
    <w:rsid w:val="6E338DE3"/>
    <w:rsid w:val="6E9D606E"/>
    <w:rsid w:val="6EC1B0C0"/>
    <w:rsid w:val="6ED1F6BC"/>
    <w:rsid w:val="6EEEAB03"/>
    <w:rsid w:val="6F600319"/>
    <w:rsid w:val="6FAB6E22"/>
    <w:rsid w:val="6FB51E3C"/>
    <w:rsid w:val="6FCEA734"/>
    <w:rsid w:val="6FFE95BC"/>
    <w:rsid w:val="7084D990"/>
    <w:rsid w:val="70B2F541"/>
    <w:rsid w:val="71411C93"/>
    <w:rsid w:val="7196D1D8"/>
    <w:rsid w:val="7212185D"/>
    <w:rsid w:val="7229AC9A"/>
    <w:rsid w:val="7280DC5B"/>
    <w:rsid w:val="73064DFF"/>
    <w:rsid w:val="73F04D7B"/>
    <w:rsid w:val="748F52DF"/>
    <w:rsid w:val="74A989DE"/>
    <w:rsid w:val="74B29232"/>
    <w:rsid w:val="74D54FB6"/>
    <w:rsid w:val="74DFED35"/>
    <w:rsid w:val="74F10723"/>
    <w:rsid w:val="74F26D70"/>
    <w:rsid w:val="7537FB63"/>
    <w:rsid w:val="7554B638"/>
    <w:rsid w:val="7568646C"/>
    <w:rsid w:val="756FFF6E"/>
    <w:rsid w:val="75CDFB63"/>
    <w:rsid w:val="764CF95A"/>
    <w:rsid w:val="767E7FC3"/>
    <w:rsid w:val="76BA8944"/>
    <w:rsid w:val="7718CE22"/>
    <w:rsid w:val="773406AA"/>
    <w:rsid w:val="77A5EC4D"/>
    <w:rsid w:val="7861DDB5"/>
    <w:rsid w:val="7872B942"/>
    <w:rsid w:val="78C53410"/>
    <w:rsid w:val="78C5C231"/>
    <w:rsid w:val="7901E888"/>
    <w:rsid w:val="79B90A7C"/>
    <w:rsid w:val="79CC7043"/>
    <w:rsid w:val="7AF16EC0"/>
    <w:rsid w:val="7BB62C80"/>
    <w:rsid w:val="7BB8C567"/>
    <w:rsid w:val="7C09EAA9"/>
    <w:rsid w:val="7C37F9D0"/>
    <w:rsid w:val="7C44F3D8"/>
    <w:rsid w:val="7C8FDDC4"/>
    <w:rsid w:val="7CB4545E"/>
    <w:rsid w:val="7D4E229B"/>
    <w:rsid w:val="7D6BC508"/>
    <w:rsid w:val="7DCD10E4"/>
    <w:rsid w:val="7E3A445F"/>
    <w:rsid w:val="7E8FB5D1"/>
    <w:rsid w:val="7EAD4D78"/>
    <w:rsid w:val="7EB259C8"/>
    <w:rsid w:val="7EC55980"/>
    <w:rsid w:val="7EF56C55"/>
    <w:rsid w:val="7EFC8EEE"/>
    <w:rsid w:val="7F474D34"/>
    <w:rsid w:val="7FBE9523"/>
    <w:rsid w:val="7FFFD9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B3D2D855-F1B6-40DA-A082-05C0F536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14188D"/>
    <w:pPr>
      <w:framePr w:hSpace="180" w:wrap="around" w:vAnchor="page" w:hAnchor="page" w:x="970"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pPr>
    <w:rPr>
      <w:b w:val="0"/>
    </w:rPr>
  </w:style>
  <w:style w:type="paragraph" w:customStyle="1" w:styleId="Title2">
    <w:name w:val="Title 2"/>
    <w:basedOn w:val="Source"/>
    <w:next w:val="Title3"/>
    <w:rsid w:val="00813E5E"/>
    <w:pPr>
      <w:framePr w:wrap="around"/>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x="1821"/>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PlainText">
    <w:name w:val="Plain Text"/>
    <w:basedOn w:val="Normal"/>
    <w:link w:val="PlainTextChar"/>
    <w:uiPriority w:val="99"/>
    <w:unhideWhenUsed/>
    <w:rsid w:val="0022698F"/>
    <w:pPr>
      <w:tabs>
        <w:tab w:val="clear" w:pos="567"/>
        <w:tab w:val="clear" w:pos="1134"/>
        <w:tab w:val="clear" w:pos="1701"/>
        <w:tab w:val="clear" w:pos="2268"/>
        <w:tab w:val="clear" w:pos="2835"/>
      </w:tabs>
      <w:overflowPunct/>
      <w:autoSpaceDE/>
      <w:autoSpaceDN/>
      <w:adjustRightInd/>
      <w:spacing w:before="0"/>
      <w:textAlignment w:val="auto"/>
    </w:pPr>
    <w:rPr>
      <w:rFonts w:eastAsiaTheme="minorHAnsi" w:cs="Calibri"/>
      <w:szCs w:val="21"/>
    </w:rPr>
  </w:style>
  <w:style w:type="character" w:customStyle="1" w:styleId="PlainTextChar">
    <w:name w:val="Plain Text Char"/>
    <w:basedOn w:val="DefaultParagraphFont"/>
    <w:link w:val="PlainText"/>
    <w:uiPriority w:val="99"/>
    <w:rsid w:val="0022698F"/>
    <w:rPr>
      <w:rFonts w:ascii="Calibri" w:eastAsiaTheme="minorHAnsi" w:hAnsi="Calibri" w:cs="Calibri"/>
      <w:sz w:val="24"/>
      <w:szCs w:val="21"/>
      <w:lang w:val="en-GB" w:eastAsia="en-US"/>
    </w:rPr>
  </w:style>
  <w:style w:type="character" w:customStyle="1" w:styleId="FootnoteTextChar">
    <w:name w:val="Footnote Text Char"/>
    <w:basedOn w:val="DefaultParagraphFont"/>
    <w:link w:val="FootnoteText"/>
    <w:uiPriority w:val="99"/>
    <w:rsid w:val="0022698F"/>
    <w:rPr>
      <w:rFonts w:ascii="Calibri" w:hAnsi="Calibri"/>
      <w:sz w:val="24"/>
      <w:lang w:val="en-GB" w:eastAsia="en-US"/>
    </w:rPr>
  </w:style>
  <w:style w:type="paragraph" w:styleId="Revision">
    <w:name w:val="Revision"/>
    <w:hidden/>
    <w:uiPriority w:val="99"/>
    <w:semiHidden/>
    <w:rsid w:val="008E25B3"/>
    <w:rPr>
      <w:rFonts w:ascii="Calibri" w:hAnsi="Calibri"/>
      <w:sz w:val="24"/>
      <w:lang w:val="en-GB" w:eastAsia="en-US"/>
    </w:rPr>
  </w:style>
  <w:style w:type="character" w:styleId="CommentReference">
    <w:name w:val="annotation reference"/>
    <w:basedOn w:val="DefaultParagraphFont"/>
    <w:semiHidden/>
    <w:unhideWhenUsed/>
    <w:rsid w:val="00333E40"/>
    <w:rPr>
      <w:sz w:val="16"/>
      <w:szCs w:val="16"/>
    </w:rPr>
  </w:style>
  <w:style w:type="paragraph" w:styleId="CommentText">
    <w:name w:val="annotation text"/>
    <w:basedOn w:val="Normal"/>
    <w:link w:val="CommentTextChar"/>
    <w:unhideWhenUsed/>
    <w:rsid w:val="00333E40"/>
    <w:rPr>
      <w:sz w:val="20"/>
    </w:rPr>
  </w:style>
  <w:style w:type="character" w:customStyle="1" w:styleId="CommentTextChar">
    <w:name w:val="Comment Text Char"/>
    <w:basedOn w:val="DefaultParagraphFont"/>
    <w:link w:val="CommentText"/>
    <w:rsid w:val="00333E40"/>
    <w:rPr>
      <w:rFonts w:ascii="Calibri" w:hAnsi="Calibri"/>
      <w:lang w:val="en-GB" w:eastAsia="en-US"/>
    </w:rPr>
  </w:style>
  <w:style w:type="paragraph" w:styleId="CommentSubject">
    <w:name w:val="annotation subject"/>
    <w:basedOn w:val="CommentText"/>
    <w:next w:val="CommentText"/>
    <w:link w:val="CommentSubjectChar"/>
    <w:semiHidden/>
    <w:unhideWhenUsed/>
    <w:rsid w:val="00333E40"/>
    <w:rPr>
      <w:b/>
      <w:bCs/>
    </w:rPr>
  </w:style>
  <w:style w:type="character" w:customStyle="1" w:styleId="CommentSubjectChar">
    <w:name w:val="Comment Subject Char"/>
    <w:basedOn w:val="CommentTextChar"/>
    <w:link w:val="CommentSubject"/>
    <w:semiHidden/>
    <w:rsid w:val="00333E40"/>
    <w:rPr>
      <w:rFonts w:ascii="Calibri" w:hAnsi="Calibri"/>
      <w:b/>
      <w:bCs/>
      <w:lang w:val="en-GB" w:eastAsia="en-US"/>
    </w:rPr>
  </w:style>
  <w:style w:type="character" w:styleId="UnresolvedMention">
    <w:name w:val="Unresolved Mention"/>
    <w:basedOn w:val="DefaultParagraphFont"/>
    <w:uiPriority w:val="99"/>
    <w:semiHidden/>
    <w:unhideWhenUsed/>
    <w:rsid w:val="003F7440"/>
    <w:rPr>
      <w:color w:val="605E5C"/>
      <w:shd w:val="clear" w:color="auto" w:fill="E1DFDD"/>
    </w:rPr>
  </w:style>
  <w:style w:type="paragraph" w:customStyle="1" w:styleId="paragraph">
    <w:name w:val="paragraph"/>
    <w:basedOn w:val="Normal"/>
    <w:rsid w:val="002A010A"/>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 w:type="character" w:styleId="Mention">
    <w:name w:val="Mention"/>
    <w:basedOn w:val="DefaultParagraphFont"/>
    <w:uiPriority w:val="99"/>
    <w:unhideWhenUsed/>
    <w:rsid w:val="00EF4BE2"/>
    <w:rPr>
      <w:color w:val="2B579A"/>
      <w:shd w:val="clear" w:color="auto" w:fill="E1DFDD"/>
    </w:rPr>
  </w:style>
  <w:style w:type="character" w:customStyle="1" w:styleId="normaltextrun">
    <w:name w:val="normaltextrun"/>
    <w:basedOn w:val="DefaultParagraphFont"/>
    <w:rsid w:val="00596C28"/>
  </w:style>
  <w:style w:type="paragraph" w:styleId="ListParagraph">
    <w:name w:val="List Paragraph"/>
    <w:basedOn w:val="Normal"/>
    <w:link w:val="ListParagraphChar"/>
    <w:uiPriority w:val="34"/>
    <w:qFormat/>
    <w:rsid w:val="00F56730"/>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link w:val="ListParagraph"/>
    <w:uiPriority w:val="34"/>
    <w:locked/>
    <w:rsid w:val="00F56730"/>
    <w:rPr>
      <w:rFonts w:asciiTheme="minorHAnsi" w:eastAsiaTheme="minorEastAsia" w:hAnsiTheme="minorHAnsi" w:cstheme="minorBidi"/>
      <w:sz w:val="22"/>
      <w:szCs w:val="22"/>
    </w:rPr>
  </w:style>
  <w:style w:type="character" w:customStyle="1" w:styleId="eop">
    <w:name w:val="eop"/>
    <w:basedOn w:val="DefaultParagraphFont"/>
    <w:rsid w:val="00EE10FA"/>
  </w:style>
  <w:style w:type="character" w:customStyle="1" w:styleId="tabchar">
    <w:name w:val="tabchar"/>
    <w:basedOn w:val="DefaultParagraphFont"/>
    <w:rsid w:val="00932E17"/>
  </w:style>
  <w:style w:type="character" w:customStyle="1" w:styleId="cf01">
    <w:name w:val="cf01"/>
    <w:basedOn w:val="DefaultParagraphFont"/>
    <w:rsid w:val="004C128C"/>
    <w:rPr>
      <w:rFonts w:ascii="Segoe UI" w:hAnsi="Segoe UI" w:cs="Segoe UI" w:hint="default"/>
      <w:sz w:val="18"/>
      <w:szCs w:val="18"/>
    </w:rPr>
  </w:style>
  <w:style w:type="paragraph" w:styleId="BalloonText">
    <w:name w:val="Balloon Text"/>
    <w:basedOn w:val="Normal"/>
    <w:link w:val="BalloonTextChar"/>
    <w:semiHidden/>
    <w:unhideWhenUsed/>
    <w:rsid w:val="003D2A9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D2A9E"/>
    <w:rPr>
      <w:rFonts w:ascii="Segoe UI" w:hAnsi="Segoe UI" w:cs="Segoe UI"/>
      <w:sz w:val="18"/>
      <w:szCs w:val="18"/>
      <w:lang w:val="en-GB" w:eastAsia="en-US"/>
    </w:rPr>
  </w:style>
  <w:style w:type="paragraph" w:customStyle="1" w:styleId="Default">
    <w:name w:val="Default"/>
    <w:rsid w:val="0095203F"/>
    <w:pPr>
      <w:autoSpaceDE w:val="0"/>
      <w:autoSpaceDN w:val="0"/>
      <w:adjustRightInd w:val="0"/>
    </w:pPr>
    <w:rPr>
      <w:rFonts w:ascii="Times New Roman" w:hAnsi="Times New Roman"/>
      <w:color w:val="000000"/>
      <w:sz w:val="24"/>
      <w:szCs w:val="24"/>
      <w:lang w:val="en-GB"/>
    </w:rPr>
  </w:style>
  <w:style w:type="paragraph" w:styleId="NormalWeb">
    <w:name w:val="Normal (Web)"/>
    <w:basedOn w:val="Normal"/>
    <w:uiPriority w:val="99"/>
    <w:unhideWhenUsed/>
    <w:rsid w:val="00682B2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4404">
      <w:bodyDiv w:val="1"/>
      <w:marLeft w:val="0"/>
      <w:marRight w:val="0"/>
      <w:marTop w:val="0"/>
      <w:marBottom w:val="0"/>
      <w:divBdr>
        <w:top w:val="none" w:sz="0" w:space="0" w:color="auto"/>
        <w:left w:val="none" w:sz="0" w:space="0" w:color="auto"/>
        <w:bottom w:val="none" w:sz="0" w:space="0" w:color="auto"/>
        <w:right w:val="none" w:sz="0" w:space="0" w:color="auto"/>
      </w:divBdr>
    </w:div>
    <w:div w:id="1103693582">
      <w:bodyDiv w:val="1"/>
      <w:marLeft w:val="0"/>
      <w:marRight w:val="0"/>
      <w:marTop w:val="0"/>
      <w:marBottom w:val="0"/>
      <w:divBdr>
        <w:top w:val="none" w:sz="0" w:space="0" w:color="auto"/>
        <w:left w:val="none" w:sz="0" w:space="0" w:color="auto"/>
        <w:bottom w:val="none" w:sz="0" w:space="0" w:color="auto"/>
        <w:right w:val="none" w:sz="0" w:space="0" w:color="auto"/>
      </w:divBdr>
    </w:div>
    <w:div w:id="1656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undocs.org/Home/Mobile?FinalSymbol=a%2Fres%2F69%2F251&amp;Language=E&amp;DeviceType=Desktop&amp;LangRequested=False"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undocs.org/Home/Mobile?FinalSymbol=A%2FRES%2F70%2F244&amp;Language=E&amp;DeviceType=Desktop&amp;LangRequested=False"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apps.who.int/gb/ebwha/pdf_files/WHA76/A_RES_77_256_A-B-en.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md/S23-CL-C-0118/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056/en" TargetMode="Externa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7FB6CE4-E1E6-42F0-AC23-66BF33C1D139}">
    <t:Anchor>
      <t:Comment id="598187536"/>
    </t:Anchor>
    <t:History>
      <t:Event id="{48B8A173-B6BD-4865-98CD-20BE0329D388}" time="2023-03-30T14:43:04.862Z">
        <t:Attribution userId="S::evenor.valdivia@itu.int::2ede5e73-5183-469a-987e-de6d99ad10b1" userProvider="AD" userName="Valdivia, Evenor"/>
        <t:Anchor>
          <t:Comment id="598187536"/>
        </t:Anchor>
        <t:Create/>
      </t:Event>
      <t:Event id="{36450773-6522-4578-8477-CA456072141D}" time="2023-03-30T14:43:04.862Z">
        <t:Attribution userId="S::evenor.valdivia@itu.int::2ede5e73-5183-469a-987e-de6d99ad10b1" userProvider="AD" userName="Valdivia, Evenor"/>
        <t:Anchor>
          <t:Comment id="598187536"/>
        </t:Anchor>
        <t:Assign userId="S::edmund.tam@itu.int::084bc7ce-dc59-4e34-8a5f-7aa89fc27fd2" userProvider="AD" userName="Tam, Edmund"/>
      </t:Event>
      <t:Event id="{C1EB6F23-B64C-4939-A6B0-CC528377DDD1}" time="2023-03-30T14:43:04.862Z">
        <t:Attribution userId="S::evenor.valdivia@itu.int::2ede5e73-5183-469a-987e-de6d99ad10b1" userProvider="AD" userName="Valdivia, Evenor"/>
        <t:Anchor>
          <t:Comment id="598187536"/>
        </t:Anchor>
        <t:SetTitle title="@Tam, Edmund FYI. pending fixing on event classification. The respective team will fix data in CRM and will let me know when done to update this tab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1E470-2F1E-4853-8FB4-7AD5AC802839}">
  <ds:schemaRefs>
    <ds:schemaRef ds:uri="http://schemas.microsoft.com/sharepoint/v3/contenttype/forms"/>
  </ds:schemaRefs>
</ds:datastoreItem>
</file>

<file path=customXml/itemProps2.xml><?xml version="1.0" encoding="utf-8"?>
<ds:datastoreItem xmlns:ds="http://schemas.openxmlformats.org/officeDocument/2006/customXml" ds:itemID="{2940C6E6-67FD-4EB5-81BC-BC159E6DEA7E}">
  <ds:schemaRefs>
    <ds:schemaRef ds:uri="085b46e1-7f22-4e81-9ba5-912dc5a5fd9a"/>
    <ds:schemaRef ds:uri="http://www.w3.org/XML/1998/namespace"/>
    <ds:schemaRef ds:uri="http://purl.org/dc/terms/"/>
    <ds:schemaRef ds:uri="http://schemas.microsoft.com/office/2006/metadata/properties"/>
    <ds:schemaRef ds:uri="http://purl.org/dc/elements/1.1/"/>
    <ds:schemaRef ds:uri="http://schemas.microsoft.com/office/2006/documentManagement/types"/>
    <ds:schemaRef ds:uri="98b04e1e-0540-4930-9623-702d547a0a33"/>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91737D8-0C52-4FDB-B846-190ADA7A5FD9}">
  <ds:schemaRefs>
    <ds:schemaRef ds:uri="http://schemas.openxmlformats.org/officeDocument/2006/bibliography"/>
  </ds:schemaRefs>
</ds:datastoreItem>
</file>

<file path=customXml/itemProps4.xml><?xml version="1.0" encoding="utf-8"?>
<ds:datastoreItem xmlns:ds="http://schemas.openxmlformats.org/officeDocument/2006/customXml" ds:itemID="{EDDEBBC0-DE9F-49FD-A151-6C5EA327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826</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Report on the implementation of Resolution 1420</vt:lpstr>
    </vt:vector>
  </TitlesOfParts>
  <Manager>General Secretariat - Pool</Manager>
  <Company>International Telecommunication Union (ITU)</Company>
  <LinksUpToDate>false</LinksUpToDate>
  <CharactersWithSpaces>5721</CharactersWithSpaces>
  <SharedDoc>false</SharedDoc>
  <HLinks>
    <vt:vector size="120" baseType="variant">
      <vt:variant>
        <vt:i4>7340077</vt:i4>
      </vt:variant>
      <vt:variant>
        <vt:i4>12</vt:i4>
      </vt:variant>
      <vt:variant>
        <vt:i4>0</vt:i4>
      </vt:variant>
      <vt:variant>
        <vt:i4>5</vt:i4>
      </vt:variant>
      <vt:variant>
        <vt:lpwstr>https://undocs.org/Home/Mobile?FinalSymbol=a%2Fres%2F69%2F251&amp;Language=E&amp;DeviceType=Desktop&amp;LangRequested=False</vt:lpwstr>
      </vt:variant>
      <vt:variant>
        <vt:lpwstr/>
      </vt:variant>
      <vt:variant>
        <vt:i4>7340065</vt:i4>
      </vt:variant>
      <vt:variant>
        <vt:i4>9</vt:i4>
      </vt:variant>
      <vt:variant>
        <vt:i4>0</vt:i4>
      </vt:variant>
      <vt:variant>
        <vt:i4>5</vt:i4>
      </vt:variant>
      <vt:variant>
        <vt:lpwstr>https://undocs.org/Home/Mobile?FinalSymbol=A%2FRES%2F70%2F244&amp;Language=E&amp;DeviceType=Desktop&amp;LangRequested=False</vt:lpwstr>
      </vt:variant>
      <vt:variant>
        <vt:lpwstr/>
      </vt:variant>
      <vt:variant>
        <vt:i4>6815834</vt:i4>
      </vt:variant>
      <vt:variant>
        <vt:i4>6</vt:i4>
      </vt:variant>
      <vt:variant>
        <vt:i4>0</vt:i4>
      </vt:variant>
      <vt:variant>
        <vt:i4>5</vt:i4>
      </vt:variant>
      <vt:variant>
        <vt:lpwstr>https://apps.who.int/gb/ebwha/pdf_files/WHA76/A_RES_77_256_A-B-en.pdf</vt:lpwstr>
      </vt:variant>
      <vt:variant>
        <vt:lpwstr/>
      </vt:variant>
      <vt:variant>
        <vt:i4>7864381</vt:i4>
      </vt:variant>
      <vt:variant>
        <vt:i4>3</vt:i4>
      </vt:variant>
      <vt:variant>
        <vt:i4>0</vt:i4>
      </vt:variant>
      <vt:variant>
        <vt:i4>5</vt:i4>
      </vt:variant>
      <vt:variant>
        <vt:lpwstr>https://www.itu.int/md/S23-CL-C-0118/en</vt:lpwstr>
      </vt:variant>
      <vt:variant>
        <vt:lpwstr/>
      </vt:variant>
      <vt:variant>
        <vt:i4>6946823</vt:i4>
      </vt:variant>
      <vt:variant>
        <vt:i4>0</vt:i4>
      </vt:variant>
      <vt:variant>
        <vt:i4>0</vt:i4>
      </vt:variant>
      <vt:variant>
        <vt:i4>5</vt:i4>
      </vt:variant>
      <vt:variant>
        <vt:lpwstr>https://view.officeapps.live.com/op/view.aspx?src=https%3A%2F%2Fwww.itu.int%2Fdms_pub%2Fitu-s%2Fmd%2F23%2Fcl%2Fc%2FS23-CL-C-0056!!MSW-E.docx&amp;wdOrigin=BROWSELINK</vt:lpwstr>
      </vt:variant>
      <vt:variant>
        <vt:lpwstr/>
      </vt:variant>
      <vt:variant>
        <vt:i4>3342371</vt:i4>
      </vt:variant>
      <vt:variant>
        <vt:i4>3</vt:i4>
      </vt:variant>
      <vt:variant>
        <vt:i4>0</vt:i4>
      </vt:variant>
      <vt:variant>
        <vt:i4>5</vt:i4>
      </vt:variant>
      <vt:variant>
        <vt:lpwstr>http://www.itu.int/council</vt:lpwstr>
      </vt:variant>
      <vt:variant>
        <vt:lpwstr/>
      </vt:variant>
      <vt:variant>
        <vt:i4>6881289</vt:i4>
      </vt:variant>
      <vt:variant>
        <vt:i4>39</vt:i4>
      </vt:variant>
      <vt:variant>
        <vt:i4>0</vt:i4>
      </vt:variant>
      <vt:variant>
        <vt:i4>5</vt:i4>
      </vt:variant>
      <vt:variant>
        <vt:lpwstr>mailto:Ricarda.Brouard@itu.int</vt:lpwstr>
      </vt:variant>
      <vt:variant>
        <vt:lpwstr/>
      </vt:variant>
      <vt:variant>
        <vt:i4>6291482</vt:i4>
      </vt:variant>
      <vt:variant>
        <vt:i4>36</vt:i4>
      </vt:variant>
      <vt:variant>
        <vt:i4>0</vt:i4>
      </vt:variant>
      <vt:variant>
        <vt:i4>5</vt:i4>
      </vt:variant>
      <vt:variant>
        <vt:lpwstr>mailto:fei.you@itu.int</vt:lpwstr>
      </vt:variant>
      <vt:variant>
        <vt:lpwstr/>
      </vt:variant>
      <vt:variant>
        <vt:i4>6881289</vt:i4>
      </vt:variant>
      <vt:variant>
        <vt:i4>33</vt:i4>
      </vt:variant>
      <vt:variant>
        <vt:i4>0</vt:i4>
      </vt:variant>
      <vt:variant>
        <vt:i4>5</vt:i4>
      </vt:variant>
      <vt:variant>
        <vt:lpwstr>mailto:Ricarda.Brouard@itu.int</vt:lpwstr>
      </vt:variant>
      <vt:variant>
        <vt:lpwstr/>
      </vt:variant>
      <vt:variant>
        <vt:i4>6291482</vt:i4>
      </vt:variant>
      <vt:variant>
        <vt:i4>30</vt:i4>
      </vt:variant>
      <vt:variant>
        <vt:i4>0</vt:i4>
      </vt:variant>
      <vt:variant>
        <vt:i4>5</vt:i4>
      </vt:variant>
      <vt:variant>
        <vt:lpwstr>mailto:fei.you@itu.int</vt:lpwstr>
      </vt:variant>
      <vt:variant>
        <vt:lpwstr/>
      </vt:variant>
      <vt:variant>
        <vt:i4>6881289</vt:i4>
      </vt:variant>
      <vt:variant>
        <vt:i4>27</vt:i4>
      </vt:variant>
      <vt:variant>
        <vt:i4>0</vt:i4>
      </vt:variant>
      <vt:variant>
        <vt:i4>5</vt:i4>
      </vt:variant>
      <vt:variant>
        <vt:lpwstr>mailto:Ricarda.Brouard@itu.int</vt:lpwstr>
      </vt:variant>
      <vt:variant>
        <vt:lpwstr/>
      </vt:variant>
      <vt:variant>
        <vt:i4>6291482</vt:i4>
      </vt:variant>
      <vt:variant>
        <vt:i4>24</vt:i4>
      </vt:variant>
      <vt:variant>
        <vt:i4>0</vt:i4>
      </vt:variant>
      <vt:variant>
        <vt:i4>5</vt:i4>
      </vt:variant>
      <vt:variant>
        <vt:lpwstr>mailto:fei.you@itu.int</vt:lpwstr>
      </vt:variant>
      <vt:variant>
        <vt:lpwstr/>
      </vt:variant>
      <vt:variant>
        <vt:i4>6881289</vt:i4>
      </vt:variant>
      <vt:variant>
        <vt:i4>21</vt:i4>
      </vt:variant>
      <vt:variant>
        <vt:i4>0</vt:i4>
      </vt:variant>
      <vt:variant>
        <vt:i4>5</vt:i4>
      </vt:variant>
      <vt:variant>
        <vt:lpwstr>mailto:Ricarda.Brouard@itu.int</vt:lpwstr>
      </vt:variant>
      <vt:variant>
        <vt:lpwstr/>
      </vt:variant>
      <vt:variant>
        <vt:i4>6291482</vt:i4>
      </vt:variant>
      <vt:variant>
        <vt:i4>18</vt:i4>
      </vt:variant>
      <vt:variant>
        <vt:i4>0</vt:i4>
      </vt:variant>
      <vt:variant>
        <vt:i4>5</vt:i4>
      </vt:variant>
      <vt:variant>
        <vt:lpwstr>mailto:fei.you@itu.int</vt:lpwstr>
      </vt:variant>
      <vt:variant>
        <vt:lpwstr/>
      </vt:variant>
      <vt:variant>
        <vt:i4>6881289</vt:i4>
      </vt:variant>
      <vt:variant>
        <vt:i4>15</vt:i4>
      </vt:variant>
      <vt:variant>
        <vt:i4>0</vt:i4>
      </vt:variant>
      <vt:variant>
        <vt:i4>5</vt:i4>
      </vt:variant>
      <vt:variant>
        <vt:lpwstr>mailto:Ricarda.Brouard@itu.int</vt:lpwstr>
      </vt:variant>
      <vt:variant>
        <vt:lpwstr/>
      </vt:variant>
      <vt:variant>
        <vt:i4>6291482</vt:i4>
      </vt:variant>
      <vt:variant>
        <vt:i4>12</vt:i4>
      </vt:variant>
      <vt:variant>
        <vt:i4>0</vt:i4>
      </vt:variant>
      <vt:variant>
        <vt:i4>5</vt:i4>
      </vt:variant>
      <vt:variant>
        <vt:lpwstr>mailto:fei.you@itu.int</vt:lpwstr>
      </vt:variant>
      <vt:variant>
        <vt:lpwstr/>
      </vt:variant>
      <vt:variant>
        <vt:i4>3211335</vt:i4>
      </vt:variant>
      <vt:variant>
        <vt:i4>9</vt:i4>
      </vt:variant>
      <vt:variant>
        <vt:i4>0</vt:i4>
      </vt:variant>
      <vt:variant>
        <vt:i4>5</vt:i4>
      </vt:variant>
      <vt:variant>
        <vt:lpwstr>mailto:Alassane.Ba@itu.int</vt:lpwstr>
      </vt:variant>
      <vt:variant>
        <vt:lpwstr/>
      </vt:variant>
      <vt:variant>
        <vt:i4>6881289</vt:i4>
      </vt:variant>
      <vt:variant>
        <vt:i4>6</vt:i4>
      </vt:variant>
      <vt:variant>
        <vt:i4>0</vt:i4>
      </vt:variant>
      <vt:variant>
        <vt:i4>5</vt:i4>
      </vt:variant>
      <vt:variant>
        <vt:lpwstr>mailto:Ricarda.Brouard@itu.int</vt:lpwstr>
      </vt:variant>
      <vt:variant>
        <vt:lpwstr/>
      </vt:variant>
      <vt:variant>
        <vt:i4>5636149</vt:i4>
      </vt:variant>
      <vt:variant>
        <vt:i4>3</vt:i4>
      </vt:variant>
      <vt:variant>
        <vt:i4>0</vt:i4>
      </vt:variant>
      <vt:variant>
        <vt:i4>5</vt:i4>
      </vt:variant>
      <vt:variant>
        <vt:lpwstr>mailto:Judith.Duval@itu.int</vt:lpwstr>
      </vt:variant>
      <vt:variant>
        <vt:lpwstr/>
      </vt:variant>
      <vt:variant>
        <vt:i4>6291482</vt:i4>
      </vt:variant>
      <vt:variant>
        <vt:i4>0</vt:i4>
      </vt:variant>
      <vt:variant>
        <vt:i4>0</vt:i4>
      </vt:variant>
      <vt:variant>
        <vt:i4>5</vt:i4>
      </vt:variant>
      <vt:variant>
        <vt:lpwstr>mailto:fei.you@itu.int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1420</dc:title>
  <dc:subject>Council 2024</dc:subject>
  <dc:creator>Brouard, Ricarda</dc:creator>
  <cp:keywords>C2024, C24, Council-24</cp:keywords>
  <dc:description/>
  <cp:lastModifiedBy>Brouard, Ricarda</cp:lastModifiedBy>
  <cp:revision>3</cp:revision>
  <cp:lastPrinted>2024-03-27T14:52:00Z</cp:lastPrinted>
  <dcterms:created xsi:type="dcterms:W3CDTF">2024-04-09T19:56:00Z</dcterms:created>
  <dcterms:modified xsi:type="dcterms:W3CDTF">2024-04-09T20:03:00Z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