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3B1A1E" w14:paraId="2592CC74" w14:textId="77777777" w:rsidTr="00D72F49">
        <w:trPr>
          <w:cantSplit/>
          <w:trHeight w:val="23"/>
        </w:trPr>
        <w:tc>
          <w:tcPr>
            <w:tcW w:w="3969" w:type="dxa"/>
            <w:vMerge w:val="restart"/>
            <w:tcMar>
              <w:left w:w="0" w:type="dxa"/>
            </w:tcMar>
          </w:tcPr>
          <w:p w14:paraId="27E56DEB" w14:textId="358581F2" w:rsidR="00D72F49" w:rsidRPr="003B1A1E" w:rsidRDefault="00D72F49" w:rsidP="00D72F49">
            <w:pPr>
              <w:tabs>
                <w:tab w:val="left" w:pos="851"/>
              </w:tabs>
              <w:spacing w:before="0" w:line="240" w:lineRule="atLeast"/>
              <w:rPr>
                <w:b/>
              </w:rPr>
            </w:pPr>
            <w:r w:rsidRPr="003B1A1E">
              <w:rPr>
                <w:b/>
              </w:rPr>
              <w:t>Point de l</w:t>
            </w:r>
            <w:r w:rsidR="003B1A1E">
              <w:rPr>
                <w:b/>
              </w:rPr>
              <w:t>'</w:t>
            </w:r>
            <w:r w:rsidRPr="003B1A1E">
              <w:rPr>
                <w:b/>
              </w:rPr>
              <w:t>ordre du jour:</w:t>
            </w:r>
            <w:r w:rsidR="00B704CF" w:rsidRPr="003B1A1E">
              <w:rPr>
                <w:b/>
              </w:rPr>
              <w:t xml:space="preserve"> ADM 3</w:t>
            </w:r>
          </w:p>
        </w:tc>
        <w:tc>
          <w:tcPr>
            <w:tcW w:w="5245" w:type="dxa"/>
          </w:tcPr>
          <w:p w14:paraId="27B6A98A" w14:textId="6AF6086A" w:rsidR="00D72F49" w:rsidRPr="003B1A1E" w:rsidRDefault="00D72F49" w:rsidP="00D72F49">
            <w:pPr>
              <w:tabs>
                <w:tab w:val="left" w:pos="851"/>
              </w:tabs>
              <w:spacing w:before="0" w:line="240" w:lineRule="atLeast"/>
              <w:jc w:val="right"/>
              <w:rPr>
                <w:b/>
              </w:rPr>
            </w:pPr>
            <w:r w:rsidRPr="003B1A1E">
              <w:rPr>
                <w:b/>
              </w:rPr>
              <w:t>Document C2</w:t>
            </w:r>
            <w:r w:rsidR="0073275D" w:rsidRPr="003B1A1E">
              <w:rPr>
                <w:b/>
              </w:rPr>
              <w:t>4</w:t>
            </w:r>
            <w:r w:rsidRPr="003B1A1E">
              <w:rPr>
                <w:b/>
              </w:rPr>
              <w:t>/</w:t>
            </w:r>
            <w:r w:rsidR="00B704CF" w:rsidRPr="003B1A1E">
              <w:rPr>
                <w:b/>
              </w:rPr>
              <w:t>56</w:t>
            </w:r>
            <w:r w:rsidRPr="003B1A1E">
              <w:rPr>
                <w:b/>
              </w:rPr>
              <w:t>-F</w:t>
            </w:r>
          </w:p>
        </w:tc>
      </w:tr>
      <w:tr w:rsidR="00D72F49" w:rsidRPr="003B1A1E" w14:paraId="41096C77" w14:textId="77777777" w:rsidTr="00D72F49">
        <w:trPr>
          <w:cantSplit/>
        </w:trPr>
        <w:tc>
          <w:tcPr>
            <w:tcW w:w="3969" w:type="dxa"/>
            <w:vMerge/>
          </w:tcPr>
          <w:p w14:paraId="0BBA5643" w14:textId="77777777" w:rsidR="00D72F49" w:rsidRPr="003B1A1E" w:rsidRDefault="00D72F49" w:rsidP="00D72F49">
            <w:pPr>
              <w:tabs>
                <w:tab w:val="left" w:pos="851"/>
              </w:tabs>
              <w:spacing w:line="240" w:lineRule="atLeast"/>
              <w:rPr>
                <w:b/>
              </w:rPr>
            </w:pPr>
          </w:p>
        </w:tc>
        <w:tc>
          <w:tcPr>
            <w:tcW w:w="5245" w:type="dxa"/>
          </w:tcPr>
          <w:p w14:paraId="068BECD5" w14:textId="05321113" w:rsidR="00D72F49" w:rsidRPr="003B1A1E" w:rsidRDefault="00B704CF" w:rsidP="00D72F49">
            <w:pPr>
              <w:tabs>
                <w:tab w:val="left" w:pos="851"/>
              </w:tabs>
              <w:spacing w:before="0"/>
              <w:jc w:val="right"/>
              <w:rPr>
                <w:b/>
              </w:rPr>
            </w:pPr>
            <w:r w:rsidRPr="003B1A1E">
              <w:rPr>
                <w:b/>
              </w:rPr>
              <w:t>9 avril</w:t>
            </w:r>
            <w:r w:rsidR="00D72F49" w:rsidRPr="003B1A1E">
              <w:rPr>
                <w:b/>
              </w:rPr>
              <w:t xml:space="preserve"> 202</w:t>
            </w:r>
            <w:r w:rsidR="0073275D" w:rsidRPr="003B1A1E">
              <w:rPr>
                <w:b/>
              </w:rPr>
              <w:t>4</w:t>
            </w:r>
          </w:p>
        </w:tc>
      </w:tr>
      <w:tr w:rsidR="00D72F49" w:rsidRPr="003B1A1E" w14:paraId="17E5B988" w14:textId="77777777" w:rsidTr="00D72F49">
        <w:trPr>
          <w:cantSplit/>
          <w:trHeight w:val="23"/>
        </w:trPr>
        <w:tc>
          <w:tcPr>
            <w:tcW w:w="3969" w:type="dxa"/>
            <w:vMerge/>
          </w:tcPr>
          <w:p w14:paraId="2192D6D7" w14:textId="77777777" w:rsidR="00D72F49" w:rsidRPr="003B1A1E" w:rsidRDefault="00D72F49" w:rsidP="00D72F49">
            <w:pPr>
              <w:tabs>
                <w:tab w:val="left" w:pos="851"/>
              </w:tabs>
              <w:spacing w:line="240" w:lineRule="atLeast"/>
              <w:rPr>
                <w:b/>
              </w:rPr>
            </w:pPr>
          </w:p>
        </w:tc>
        <w:tc>
          <w:tcPr>
            <w:tcW w:w="5245" w:type="dxa"/>
          </w:tcPr>
          <w:p w14:paraId="1948C622" w14:textId="77777777" w:rsidR="00D72F49" w:rsidRPr="003B1A1E" w:rsidRDefault="00D72F49" w:rsidP="00D72F49">
            <w:pPr>
              <w:tabs>
                <w:tab w:val="left" w:pos="851"/>
              </w:tabs>
              <w:spacing w:before="0" w:line="240" w:lineRule="atLeast"/>
              <w:jc w:val="right"/>
              <w:rPr>
                <w:b/>
              </w:rPr>
            </w:pPr>
            <w:r w:rsidRPr="003B1A1E">
              <w:rPr>
                <w:b/>
              </w:rPr>
              <w:t>Original: anglais</w:t>
            </w:r>
          </w:p>
        </w:tc>
      </w:tr>
      <w:tr w:rsidR="00D72F49" w:rsidRPr="003B1A1E" w14:paraId="53623BEE" w14:textId="77777777" w:rsidTr="00D72F49">
        <w:trPr>
          <w:cantSplit/>
          <w:trHeight w:val="23"/>
        </w:trPr>
        <w:tc>
          <w:tcPr>
            <w:tcW w:w="3969" w:type="dxa"/>
          </w:tcPr>
          <w:p w14:paraId="630B4C34" w14:textId="77777777" w:rsidR="00D72F49" w:rsidRPr="003B1A1E" w:rsidRDefault="00D72F49" w:rsidP="00D72F49">
            <w:pPr>
              <w:tabs>
                <w:tab w:val="left" w:pos="851"/>
              </w:tabs>
              <w:spacing w:line="240" w:lineRule="atLeast"/>
              <w:rPr>
                <w:b/>
              </w:rPr>
            </w:pPr>
          </w:p>
        </w:tc>
        <w:tc>
          <w:tcPr>
            <w:tcW w:w="5245" w:type="dxa"/>
          </w:tcPr>
          <w:p w14:paraId="437750C4" w14:textId="77777777" w:rsidR="00D72F49" w:rsidRPr="003B1A1E" w:rsidRDefault="00D72F49" w:rsidP="00D72F49">
            <w:pPr>
              <w:tabs>
                <w:tab w:val="left" w:pos="851"/>
              </w:tabs>
              <w:spacing w:before="0" w:line="240" w:lineRule="atLeast"/>
              <w:jc w:val="right"/>
              <w:rPr>
                <w:b/>
              </w:rPr>
            </w:pPr>
          </w:p>
        </w:tc>
      </w:tr>
      <w:tr w:rsidR="00D72F49" w:rsidRPr="003B1A1E" w14:paraId="31FFA2A5" w14:textId="77777777" w:rsidTr="00D72F49">
        <w:trPr>
          <w:cantSplit/>
        </w:trPr>
        <w:tc>
          <w:tcPr>
            <w:tcW w:w="9214" w:type="dxa"/>
            <w:gridSpan w:val="2"/>
            <w:tcMar>
              <w:left w:w="0" w:type="dxa"/>
            </w:tcMar>
          </w:tcPr>
          <w:p w14:paraId="7AA1F34C" w14:textId="3E7729BE" w:rsidR="00D72F49" w:rsidRPr="003B1A1E" w:rsidRDefault="00D72F49" w:rsidP="00D72F49">
            <w:pPr>
              <w:pStyle w:val="Source"/>
              <w:jc w:val="left"/>
              <w:rPr>
                <w:sz w:val="34"/>
                <w:szCs w:val="34"/>
              </w:rPr>
            </w:pPr>
            <w:r w:rsidRPr="003B1A1E">
              <w:rPr>
                <w:rFonts w:cstheme="minorHAnsi"/>
                <w:color w:val="000000"/>
                <w:sz w:val="34"/>
                <w:szCs w:val="34"/>
              </w:rPr>
              <w:t xml:space="preserve">Rapport </w:t>
            </w:r>
            <w:r w:rsidR="00E95647" w:rsidRPr="003B1A1E">
              <w:rPr>
                <w:rFonts w:cstheme="minorHAnsi"/>
                <w:color w:val="000000"/>
                <w:sz w:val="34"/>
                <w:szCs w:val="34"/>
              </w:rPr>
              <w:t xml:space="preserve">de la </w:t>
            </w:r>
            <w:r w:rsidRPr="003B1A1E">
              <w:rPr>
                <w:rFonts w:cstheme="minorHAnsi"/>
                <w:color w:val="000000"/>
                <w:sz w:val="34"/>
                <w:szCs w:val="34"/>
              </w:rPr>
              <w:t>Secrétaire général</w:t>
            </w:r>
            <w:r w:rsidR="00E95647" w:rsidRPr="003B1A1E">
              <w:rPr>
                <w:rFonts w:cstheme="minorHAnsi"/>
                <w:color w:val="000000"/>
                <w:sz w:val="34"/>
                <w:szCs w:val="34"/>
              </w:rPr>
              <w:t>e</w:t>
            </w:r>
          </w:p>
        </w:tc>
      </w:tr>
      <w:tr w:rsidR="00D72F49" w:rsidRPr="003B1A1E" w14:paraId="65E7E3D8" w14:textId="77777777" w:rsidTr="00D72F49">
        <w:trPr>
          <w:cantSplit/>
        </w:trPr>
        <w:tc>
          <w:tcPr>
            <w:tcW w:w="9214" w:type="dxa"/>
            <w:gridSpan w:val="2"/>
            <w:tcMar>
              <w:left w:w="0" w:type="dxa"/>
            </w:tcMar>
          </w:tcPr>
          <w:p w14:paraId="370F6D7B" w14:textId="60A071EA" w:rsidR="00D72F49" w:rsidRPr="003B1A1E" w:rsidRDefault="00B704CF" w:rsidP="00D72F49">
            <w:pPr>
              <w:pStyle w:val="Subtitle"/>
              <w:framePr w:hSpace="0" w:wrap="auto" w:hAnchor="text" w:xAlign="left" w:yAlign="inline"/>
              <w:rPr>
                <w:lang w:val="fr-FR"/>
              </w:rPr>
            </w:pPr>
            <w:r w:rsidRPr="003B1A1E">
              <w:rPr>
                <w:rFonts w:cstheme="minorHAnsi"/>
                <w:lang w:val="fr-FR"/>
              </w:rPr>
              <w:t>RAPPORT SUR LA MISE EN ŒUVRE DE LA RÉSOLUTION 1420</w:t>
            </w:r>
          </w:p>
        </w:tc>
      </w:tr>
      <w:tr w:rsidR="00D72F49" w:rsidRPr="003B1A1E" w14:paraId="2C09D976" w14:textId="77777777" w:rsidTr="004E40A9">
        <w:trPr>
          <w:cantSplit/>
        </w:trPr>
        <w:tc>
          <w:tcPr>
            <w:tcW w:w="9214" w:type="dxa"/>
            <w:gridSpan w:val="2"/>
            <w:tcBorders>
              <w:top w:val="single" w:sz="4" w:space="0" w:color="auto"/>
            </w:tcBorders>
            <w:tcMar>
              <w:left w:w="0" w:type="dxa"/>
            </w:tcMar>
          </w:tcPr>
          <w:p w14:paraId="0C1CBF59" w14:textId="4F1930CB" w:rsidR="00D72F49" w:rsidRPr="003B1A1E" w:rsidRDefault="00F37FE5" w:rsidP="00D72F49">
            <w:pPr>
              <w:spacing w:before="160"/>
              <w:rPr>
                <w:b/>
                <w:bCs/>
                <w:sz w:val="26"/>
                <w:szCs w:val="26"/>
              </w:rPr>
            </w:pPr>
            <w:r w:rsidRPr="003B1A1E">
              <w:rPr>
                <w:b/>
                <w:bCs/>
                <w:sz w:val="26"/>
                <w:szCs w:val="26"/>
              </w:rPr>
              <w:t>Objet</w:t>
            </w:r>
          </w:p>
          <w:p w14:paraId="525C231A" w14:textId="1D00CB28" w:rsidR="00B704CF" w:rsidRPr="003B1A1E" w:rsidRDefault="00B704CF" w:rsidP="00B704CF">
            <w:r w:rsidRPr="003B1A1E">
              <w:t>À sa session de 2023, le Conseil de l</w:t>
            </w:r>
            <w:r w:rsidR="003B1A1E">
              <w:t>'</w:t>
            </w:r>
            <w:r w:rsidRPr="003B1A1E">
              <w:t>UIT a adopté la Résolution 1420 par laquelle il acceptait les amendements au statut de la Commission de la fonction publique internationale (CFPI) adoptés par l</w:t>
            </w:r>
            <w:r w:rsidR="003B1A1E">
              <w:t>'</w:t>
            </w:r>
            <w:r w:rsidRPr="003B1A1E">
              <w:t>Assemblée générale des Nations Unies à sa soixante-dix-septième session, le 30 décembre 2022, dans la Résolution 77/256 A, et a chargé le Secrétaire général de l</w:t>
            </w:r>
            <w:r w:rsidR="003B1A1E">
              <w:t>'</w:t>
            </w:r>
            <w:r w:rsidRPr="003B1A1E">
              <w:t>UIT de notifier cette acceptation au Secrétaire général de l</w:t>
            </w:r>
            <w:r w:rsidR="003B1A1E">
              <w:t>'</w:t>
            </w:r>
            <w:r w:rsidRPr="003B1A1E">
              <w:t>Organisation des Nations Unies (ONU).</w:t>
            </w:r>
          </w:p>
          <w:p w14:paraId="45E55FB2" w14:textId="72048CD2" w:rsidR="00D72F49" w:rsidRPr="003B1A1E" w:rsidRDefault="00B704CF" w:rsidP="00B704CF">
            <w:r w:rsidRPr="003B1A1E">
              <w:t>Le présent rapport décrit la mise en œuvre de la résolution, en mettant particulièrement l</w:t>
            </w:r>
            <w:r w:rsidR="003B1A1E">
              <w:t>'</w:t>
            </w:r>
            <w:r w:rsidRPr="003B1A1E">
              <w:t>accent sur les progrès notables qui ont été accomplis au sujet du coefficient applicable à</w:t>
            </w:r>
            <w:r w:rsidR="00FE226D" w:rsidRPr="003B1A1E">
              <w:t> </w:t>
            </w:r>
            <w:r w:rsidRPr="003B1A1E">
              <w:t>l</w:t>
            </w:r>
            <w:r w:rsidR="003B1A1E">
              <w:t>'</w:t>
            </w:r>
            <w:r w:rsidRPr="003B1A1E">
              <w:t>indemnité de poste pour Genève.</w:t>
            </w:r>
          </w:p>
          <w:p w14:paraId="0B950982" w14:textId="77777777" w:rsidR="00D72F49" w:rsidRPr="003B1A1E" w:rsidRDefault="00D72F49" w:rsidP="00D72F49">
            <w:pPr>
              <w:spacing w:before="160"/>
              <w:rPr>
                <w:b/>
                <w:bCs/>
                <w:sz w:val="26"/>
                <w:szCs w:val="26"/>
              </w:rPr>
            </w:pPr>
            <w:r w:rsidRPr="003B1A1E">
              <w:rPr>
                <w:b/>
                <w:bCs/>
                <w:sz w:val="26"/>
                <w:szCs w:val="26"/>
              </w:rPr>
              <w:t>Suite à donner par le Conseil</w:t>
            </w:r>
          </w:p>
          <w:p w14:paraId="6F9A6B88" w14:textId="443EC8AA" w:rsidR="00D72F49" w:rsidRPr="003B1A1E" w:rsidRDefault="00B704CF" w:rsidP="00D72F49">
            <w:r w:rsidRPr="003B1A1E">
              <w:t xml:space="preserve">Le Conseil est invité à </w:t>
            </w:r>
            <w:r w:rsidRPr="003B1A1E">
              <w:rPr>
                <w:b/>
                <w:bCs/>
              </w:rPr>
              <w:t>prendre note</w:t>
            </w:r>
            <w:r w:rsidRPr="003B1A1E">
              <w:t xml:space="preserve"> de la mise en œuvre de la Résolution 1420 et de l</w:t>
            </w:r>
            <w:r w:rsidR="003B1A1E">
              <w:t>'</w:t>
            </w:r>
            <w:r w:rsidRPr="003B1A1E">
              <w:t>application du coefficient applicable à l</w:t>
            </w:r>
            <w:r w:rsidR="003B1A1E">
              <w:t>'</w:t>
            </w:r>
            <w:r w:rsidRPr="003B1A1E">
              <w:t>indemnité de poste établi par la CFPI, avec effet au 1er février 2024.</w:t>
            </w:r>
          </w:p>
          <w:p w14:paraId="121C402A" w14:textId="4FDE1FF1" w:rsidR="00D72F49" w:rsidRPr="003B1A1E" w:rsidRDefault="00D72F49" w:rsidP="00D72F49">
            <w:pPr>
              <w:spacing w:before="160"/>
              <w:rPr>
                <w:b/>
                <w:bCs/>
                <w:sz w:val="26"/>
                <w:szCs w:val="26"/>
              </w:rPr>
            </w:pPr>
            <w:r w:rsidRPr="003B1A1E">
              <w:rPr>
                <w:b/>
                <w:bCs/>
                <w:sz w:val="26"/>
                <w:szCs w:val="26"/>
              </w:rPr>
              <w:t xml:space="preserve">Lien(s) pertinent(s) avec le </w:t>
            </w:r>
            <w:r w:rsidR="00F37FE5" w:rsidRPr="003B1A1E">
              <w:rPr>
                <w:b/>
                <w:bCs/>
                <w:sz w:val="26"/>
                <w:szCs w:val="26"/>
              </w:rPr>
              <w:t>p</w:t>
            </w:r>
            <w:r w:rsidRPr="003B1A1E">
              <w:rPr>
                <w:b/>
                <w:bCs/>
                <w:sz w:val="26"/>
                <w:szCs w:val="26"/>
              </w:rPr>
              <w:t>lan stratégique</w:t>
            </w:r>
          </w:p>
          <w:p w14:paraId="60D63331" w14:textId="58EF960C" w:rsidR="00D72F49" w:rsidRPr="003B1A1E" w:rsidRDefault="00B704CF" w:rsidP="00D72F49">
            <w:r w:rsidRPr="003B1A1E">
              <w:t>L</w:t>
            </w:r>
            <w:r w:rsidR="003B1A1E">
              <w:t>'</w:t>
            </w:r>
            <w:r w:rsidRPr="003B1A1E">
              <w:t>UIT, en tant qu</w:t>
            </w:r>
            <w:r w:rsidR="003B1A1E">
              <w:t>'</w:t>
            </w:r>
            <w:r w:rsidRPr="003B1A1E">
              <w:t>organisation du système des Nations Unies.</w:t>
            </w:r>
          </w:p>
          <w:p w14:paraId="11FAADC9" w14:textId="0ABD4D7F" w:rsidR="00E95647" w:rsidRPr="003B1A1E" w:rsidRDefault="00D72F49" w:rsidP="00D72F49">
            <w:pPr>
              <w:spacing w:before="160"/>
              <w:rPr>
                <w:b/>
                <w:bCs/>
                <w:sz w:val="26"/>
                <w:szCs w:val="26"/>
              </w:rPr>
            </w:pPr>
            <w:r w:rsidRPr="003B1A1E">
              <w:rPr>
                <w:b/>
                <w:bCs/>
                <w:sz w:val="26"/>
                <w:szCs w:val="26"/>
              </w:rPr>
              <w:t>Incidences financières</w:t>
            </w:r>
          </w:p>
          <w:p w14:paraId="3B399B5C" w14:textId="5991D743" w:rsidR="00D72F49" w:rsidRPr="003B1A1E" w:rsidRDefault="00B704CF" w:rsidP="004E40A9">
            <w:pPr>
              <w:spacing w:before="160"/>
              <w:rPr>
                <w:szCs w:val="24"/>
              </w:rPr>
            </w:pPr>
            <w:r w:rsidRPr="003B1A1E">
              <w:rPr>
                <w:szCs w:val="24"/>
              </w:rPr>
              <w:t>La CFPI a publié, le 14 février 2024, les résultats de l</w:t>
            </w:r>
            <w:r w:rsidR="003B1A1E">
              <w:rPr>
                <w:szCs w:val="24"/>
              </w:rPr>
              <w:t>'</w:t>
            </w:r>
            <w:r w:rsidRPr="003B1A1E">
              <w:rPr>
                <w:szCs w:val="24"/>
              </w:rPr>
              <w:t>examen annuel des indemnités de poste. Les conséquences financières, pour 2024, de la mise en œuvre de la nouvelle indemnité de poste à Genève se chiffrent à 2 543 861 CHF (pour une période de 11 mois allant du</w:t>
            </w:r>
            <w:r w:rsidR="004E40A9" w:rsidRPr="003B1A1E">
              <w:rPr>
                <w:szCs w:val="24"/>
              </w:rPr>
              <w:t> </w:t>
            </w:r>
            <w:r w:rsidRPr="003B1A1E">
              <w:rPr>
                <w:szCs w:val="24"/>
              </w:rPr>
              <w:t>1er</w:t>
            </w:r>
            <w:r w:rsidR="004E40A9" w:rsidRPr="003B1A1E">
              <w:rPr>
                <w:szCs w:val="24"/>
              </w:rPr>
              <w:t> </w:t>
            </w:r>
            <w:r w:rsidRPr="003B1A1E">
              <w:rPr>
                <w:szCs w:val="24"/>
              </w:rPr>
              <w:t>février 2024 à la fin de l</w:t>
            </w:r>
            <w:r w:rsidR="003B1A1E">
              <w:rPr>
                <w:szCs w:val="24"/>
              </w:rPr>
              <w:t>'</w:t>
            </w:r>
            <w:r w:rsidRPr="003B1A1E">
              <w:rPr>
                <w:szCs w:val="24"/>
              </w:rPr>
              <w:t>année) et à 2 775 121 CHF pour 2025. Pour l</w:t>
            </w:r>
            <w:r w:rsidR="003B1A1E">
              <w:rPr>
                <w:szCs w:val="24"/>
              </w:rPr>
              <w:t>'</w:t>
            </w:r>
            <w:r w:rsidRPr="003B1A1E">
              <w:rPr>
                <w:szCs w:val="24"/>
              </w:rPr>
              <w:t>exercice biennal 2024</w:t>
            </w:r>
            <w:r w:rsidRPr="003B1A1E">
              <w:rPr>
                <w:szCs w:val="24"/>
              </w:rPr>
              <w:noBreakHyphen/>
              <w:t>2025, le montant total des incidences financières s</w:t>
            </w:r>
            <w:r w:rsidR="003B1A1E">
              <w:rPr>
                <w:szCs w:val="24"/>
              </w:rPr>
              <w:t>'</w:t>
            </w:r>
            <w:r w:rsidRPr="003B1A1E">
              <w:rPr>
                <w:szCs w:val="24"/>
              </w:rPr>
              <w:t>élève à 5 318 982 CHF.</w:t>
            </w:r>
          </w:p>
        </w:tc>
      </w:tr>
    </w:tbl>
    <w:p w14:paraId="5B436B82" w14:textId="6E00DFD5" w:rsidR="004E40A9" w:rsidRPr="003B1A1E" w:rsidRDefault="004E40A9">
      <w:r w:rsidRPr="003B1A1E">
        <w:br w:type="page"/>
      </w:r>
    </w:p>
    <w:tbl>
      <w:tblPr>
        <w:tblStyle w:val="TableGrid"/>
        <w:tblpPr w:leftFromText="181" w:rightFromText="181" w:vertAnchor="page" w:horzAnchor="margin" w:tblpX="284" w:tblpY="1430"/>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423EC0" w:rsidRPr="003B1A1E" w14:paraId="1A642B31" w14:textId="77777777" w:rsidTr="00423EC0">
        <w:tc>
          <w:tcPr>
            <w:tcW w:w="9214" w:type="dxa"/>
          </w:tcPr>
          <w:p w14:paraId="3F209411" w14:textId="304D6EE0" w:rsidR="00423EC0" w:rsidRPr="003B1A1E" w:rsidRDefault="00423EC0" w:rsidP="00FE226D">
            <w:pPr>
              <w:spacing w:before="0"/>
            </w:pPr>
            <w:r w:rsidRPr="003B1A1E">
              <w:lastRenderedPageBreak/>
              <w:t>Si cette augmentation ne peut pas être absorbée par le budget 2024-2025, conformément à la Résolution 1417 du Conseil, la Secrétaire générale est autorisée, dans le cadre de la mise en œuvre du budget 2024-2025, à ajuster les crédits budgétaires en rapport avec les postes de dépenses (comme les indemnités de poste applicables à Genève, telles qu</w:t>
            </w:r>
            <w:r w:rsidR="003B1A1E">
              <w:t>'</w:t>
            </w:r>
            <w:r w:rsidRPr="003B1A1E">
              <w:t>établies par le régime commun des Nations Unies) par le biais de l</w:t>
            </w:r>
            <w:r w:rsidR="003B1A1E">
              <w:t>'</w:t>
            </w:r>
            <w:r w:rsidRPr="003B1A1E">
              <w:t>utilisation du Fonds de réserve</w:t>
            </w:r>
            <w:r w:rsidRPr="003B1A1E">
              <w:rPr>
                <w:rStyle w:val="FootnoteReference"/>
                <w:szCs w:val="24"/>
              </w:rPr>
              <w:footnoteReference w:id="1"/>
            </w:r>
            <w:r w:rsidR="009D7D93" w:rsidRPr="003B1A1E">
              <w:t>.</w:t>
            </w:r>
          </w:p>
          <w:p w14:paraId="5FDD175B" w14:textId="77777777" w:rsidR="00423EC0" w:rsidRPr="003B1A1E" w:rsidRDefault="00423EC0" w:rsidP="00423EC0">
            <w:pPr>
              <w:spacing w:before="160"/>
              <w:rPr>
                <w:caps/>
                <w:sz w:val="22"/>
              </w:rPr>
            </w:pPr>
            <w:r w:rsidRPr="003B1A1E">
              <w:rPr>
                <w:sz w:val="22"/>
              </w:rPr>
              <w:t>__________________</w:t>
            </w:r>
          </w:p>
          <w:p w14:paraId="3FD5ED54" w14:textId="77777777" w:rsidR="00423EC0" w:rsidRPr="003B1A1E" w:rsidRDefault="00423EC0" w:rsidP="00423EC0">
            <w:pPr>
              <w:spacing w:before="160"/>
              <w:rPr>
                <w:b/>
                <w:bCs/>
                <w:sz w:val="26"/>
                <w:szCs w:val="26"/>
              </w:rPr>
            </w:pPr>
            <w:r w:rsidRPr="003B1A1E">
              <w:rPr>
                <w:b/>
                <w:bCs/>
                <w:sz w:val="26"/>
                <w:szCs w:val="26"/>
              </w:rPr>
              <w:t>Références</w:t>
            </w:r>
          </w:p>
          <w:p w14:paraId="0CFE7F3E" w14:textId="03ECF9A9" w:rsidR="00423EC0" w:rsidRPr="003B1A1E" w:rsidRDefault="00423EC0" w:rsidP="00423EC0">
            <w:r w:rsidRPr="003B1A1E">
              <w:rPr>
                <w:i/>
                <w:iCs/>
              </w:rPr>
              <w:t xml:space="preserve">Document du Conseil </w:t>
            </w:r>
            <w:hyperlink r:id="rId7" w:history="1">
              <w:r w:rsidRPr="003B1A1E">
                <w:rPr>
                  <w:rStyle w:val="Hyperlink"/>
                  <w:i/>
                  <w:iCs/>
                </w:rPr>
                <w:t>C23/</w:t>
              </w:r>
              <w:r w:rsidRPr="003B1A1E">
                <w:rPr>
                  <w:rStyle w:val="Hyperlink"/>
                  <w:i/>
                  <w:iCs/>
                </w:rPr>
                <w:t>5</w:t>
              </w:r>
              <w:r w:rsidRPr="003B1A1E">
                <w:rPr>
                  <w:rStyle w:val="Hyperlink"/>
                  <w:i/>
                  <w:iCs/>
                </w:rPr>
                <w:t>6</w:t>
              </w:r>
            </w:hyperlink>
            <w:r w:rsidRPr="003B1A1E">
              <w:t xml:space="preserve">; </w:t>
            </w:r>
            <w:hyperlink r:id="rId8" w:history="1">
              <w:r w:rsidRPr="003B1A1E">
                <w:rPr>
                  <w:rStyle w:val="Hyperlink"/>
                  <w:i/>
                  <w:iCs/>
                </w:rPr>
                <w:t>Résolution 1</w:t>
              </w:r>
              <w:r w:rsidRPr="003B1A1E">
                <w:rPr>
                  <w:rStyle w:val="Hyperlink"/>
                  <w:i/>
                  <w:iCs/>
                </w:rPr>
                <w:t>4</w:t>
              </w:r>
              <w:r w:rsidRPr="003B1A1E">
                <w:rPr>
                  <w:rStyle w:val="Hyperlink"/>
                  <w:i/>
                  <w:iCs/>
                </w:rPr>
                <w:t>20</w:t>
              </w:r>
            </w:hyperlink>
            <w:r w:rsidRPr="003B1A1E">
              <w:rPr>
                <w:i/>
                <w:iCs/>
              </w:rPr>
              <w:t xml:space="preserve"> adoptée par le Conseil de l</w:t>
            </w:r>
            <w:r w:rsidR="003B1A1E">
              <w:rPr>
                <w:i/>
                <w:iCs/>
              </w:rPr>
              <w:t>'</w:t>
            </w:r>
            <w:r w:rsidRPr="003B1A1E">
              <w:rPr>
                <w:i/>
                <w:iCs/>
              </w:rPr>
              <w:t>UIT à sa session de 2023</w:t>
            </w:r>
          </w:p>
        </w:tc>
      </w:tr>
    </w:tbl>
    <w:p w14:paraId="024B4055" w14:textId="55EB7D9E" w:rsidR="00423EC0" w:rsidRPr="003B1A1E" w:rsidRDefault="00423EC0" w:rsidP="00423EC0">
      <w:r w:rsidRPr="003B1A1E">
        <w:br w:type="page"/>
      </w:r>
    </w:p>
    <w:p w14:paraId="3FD28A74" w14:textId="4EED57B9" w:rsidR="00423EC0" w:rsidRPr="003B1A1E" w:rsidRDefault="00423EC0" w:rsidP="00423EC0">
      <w:pPr>
        <w:pStyle w:val="Heading1"/>
      </w:pPr>
      <w:r w:rsidRPr="003B1A1E">
        <w:lastRenderedPageBreak/>
        <w:t>1</w:t>
      </w:r>
      <w:r w:rsidRPr="003B1A1E">
        <w:tab/>
        <w:t>CONTEXTE</w:t>
      </w:r>
    </w:p>
    <w:p w14:paraId="0B164807" w14:textId="2AD15871" w:rsidR="00423EC0" w:rsidRPr="003B1A1E" w:rsidRDefault="00423EC0" w:rsidP="00423EC0">
      <w:r w:rsidRPr="003B1A1E">
        <w:t>1.1</w:t>
      </w:r>
      <w:r w:rsidRPr="003B1A1E">
        <w:tab/>
        <w:t>Afin de clarifier le pouvoir décisionnel de la Commission de la fonction publique internationale (CFPI) en ce qui concerne la détermination des coefficients applicables à l</w:t>
      </w:r>
      <w:r w:rsidR="003B1A1E">
        <w:t>'</w:t>
      </w:r>
      <w:r w:rsidRPr="003B1A1E">
        <w:t>indemnité de poste, l</w:t>
      </w:r>
      <w:r w:rsidR="003B1A1E">
        <w:t>'</w:t>
      </w:r>
      <w:r w:rsidRPr="003B1A1E">
        <w:t>Assemblée générale des Nations Unies a approuvé en décembre 2022 des amendements aux articles 10 et 11 du Statut de la CFPI. L</w:t>
      </w:r>
      <w:r w:rsidR="003B1A1E">
        <w:t>'</w:t>
      </w:r>
      <w:r w:rsidRPr="003B1A1E">
        <w:t>Assemblée générale des Nations Unies a invité les organisations pertinentes du régime commun des Nations Unies à</w:t>
      </w:r>
      <w:r w:rsidR="009D7D93" w:rsidRPr="003B1A1E">
        <w:t> </w:t>
      </w:r>
      <w:r w:rsidRPr="003B1A1E">
        <w:t>accepter officiellement le Statut modifié.</w:t>
      </w:r>
    </w:p>
    <w:p w14:paraId="70D5FDBF" w14:textId="122C8454" w:rsidR="00423EC0" w:rsidRPr="003B1A1E" w:rsidRDefault="00423EC0" w:rsidP="00423EC0">
      <w:r w:rsidRPr="003B1A1E">
        <w:t>1.2</w:t>
      </w:r>
      <w:r w:rsidRPr="003B1A1E">
        <w:tab/>
        <w:t>Dans sa Résolution 1420, adoptée à la septième séance plénière de sa session de 2023, le Conseil de l</w:t>
      </w:r>
      <w:r w:rsidR="003B1A1E">
        <w:t>'</w:t>
      </w:r>
      <w:r w:rsidRPr="003B1A1E">
        <w:t>UIT a accepté les amendements apportés au statut de la CFPI dans la Résolution </w:t>
      </w:r>
      <w:hyperlink r:id="rId9" w:history="1">
        <w:r w:rsidRPr="003B1A1E">
          <w:rPr>
            <w:rStyle w:val="Hyperlink"/>
          </w:rPr>
          <w:t>A/RES/77/256</w:t>
        </w:r>
        <w:r w:rsidRPr="003B1A1E">
          <w:rPr>
            <w:rStyle w:val="Hyperlink"/>
          </w:rPr>
          <w:t xml:space="preserve"> </w:t>
        </w:r>
        <w:r w:rsidRPr="003B1A1E">
          <w:rPr>
            <w:rStyle w:val="Hyperlink"/>
          </w:rPr>
          <w:t>A</w:t>
        </w:r>
      </w:hyperlink>
      <w:r w:rsidRPr="003B1A1E">
        <w:t xml:space="preserve"> de l</w:t>
      </w:r>
      <w:r w:rsidR="003B1A1E">
        <w:t>'</w:t>
      </w:r>
      <w:r w:rsidRPr="003B1A1E">
        <w:t>Assemblée générale des Nations Unies. Ultérieurement, la Secrétaire générale a notifié cette acceptation au Secrétaire général de l</w:t>
      </w:r>
      <w:r w:rsidR="003B1A1E">
        <w:t>'</w:t>
      </w:r>
      <w:r w:rsidRPr="003B1A1E">
        <w:t>Organisation des Nations Unies.</w:t>
      </w:r>
    </w:p>
    <w:p w14:paraId="5C7473FB" w14:textId="3F883289" w:rsidR="00423EC0" w:rsidRPr="003B1A1E" w:rsidRDefault="00423EC0" w:rsidP="00423EC0">
      <w:r w:rsidRPr="003B1A1E">
        <w:t>1.3</w:t>
      </w:r>
      <w:r w:rsidRPr="003B1A1E">
        <w:tab/>
        <w:t>Le Conseil a également autorisé la Secrétaire générale à examiner toute la marge de manœuvre possible dans la mise en œuvre de la Résolution 1420. Compte tenu de la forte inflation et de la nette augmentation du coût de la vie à Genève, l</w:t>
      </w:r>
      <w:r w:rsidR="003B1A1E">
        <w:t>'</w:t>
      </w:r>
      <w:r w:rsidRPr="003B1A1E">
        <w:t>UIT, en collaboration avec d</w:t>
      </w:r>
      <w:r w:rsidR="003B1A1E">
        <w:t>'</w:t>
      </w:r>
      <w:r w:rsidRPr="003B1A1E">
        <w:t>autres institutions spécialisées ayant leur siège à Genève (OMS et OMPI), a décidé, après consultation de la CFPI, de maintenir le coefficient applicable à l</w:t>
      </w:r>
      <w:r w:rsidR="003B1A1E">
        <w:t>'</w:t>
      </w:r>
      <w:r w:rsidRPr="003B1A1E">
        <w:t>indemnité de poste pour Genève établi sur la base des résultats de l</w:t>
      </w:r>
      <w:r w:rsidR="003B1A1E">
        <w:t>'</w:t>
      </w:r>
      <w:r w:rsidRPr="003B1A1E">
        <w:t xml:space="preserve">enquête sur le coût de la vie de 2010, en prévision de la prochaine révision annuelle par la CFPI, afin de mieux tenir compte des conditions de vie actuelles. </w:t>
      </w:r>
    </w:p>
    <w:p w14:paraId="7A925E17" w14:textId="2F0B656A" w:rsidR="00423EC0" w:rsidRPr="003B1A1E" w:rsidRDefault="00423EC0" w:rsidP="00423EC0">
      <w:r w:rsidRPr="003B1A1E">
        <w:t>1.4</w:t>
      </w:r>
      <w:r w:rsidRPr="003B1A1E">
        <w:tab/>
        <w:t>Le 14 février 2024, la CFPI a publié les résultats de l</w:t>
      </w:r>
      <w:r w:rsidR="003B1A1E">
        <w:t>'</w:t>
      </w:r>
      <w:r w:rsidRPr="003B1A1E">
        <w:t>examen annuel du classement aux fins de l</w:t>
      </w:r>
      <w:r w:rsidR="003B1A1E">
        <w:t>'</w:t>
      </w:r>
      <w:r w:rsidRPr="003B1A1E">
        <w:t xml:space="preserve">indemnité de poste pour New York, conformément à la Résolution </w:t>
      </w:r>
      <w:hyperlink r:id="rId10" w:history="1">
        <w:r w:rsidRPr="003B1A1E">
          <w:rPr>
            <w:rStyle w:val="Hyperlink"/>
          </w:rPr>
          <w:t>A/RES/70</w:t>
        </w:r>
        <w:r w:rsidRPr="003B1A1E">
          <w:rPr>
            <w:rStyle w:val="Hyperlink"/>
          </w:rPr>
          <w:t>/</w:t>
        </w:r>
        <w:r w:rsidRPr="003B1A1E">
          <w:rPr>
            <w:rStyle w:val="Hyperlink"/>
          </w:rPr>
          <w:t>2</w:t>
        </w:r>
        <w:r w:rsidRPr="003B1A1E">
          <w:rPr>
            <w:rStyle w:val="Hyperlink"/>
          </w:rPr>
          <w:t>4</w:t>
        </w:r>
        <w:r w:rsidRPr="003B1A1E">
          <w:rPr>
            <w:rStyle w:val="Hyperlink"/>
          </w:rPr>
          <w:t>4</w:t>
        </w:r>
      </w:hyperlink>
      <w:r w:rsidRPr="003B1A1E">
        <w:t xml:space="preserve"> de l</w:t>
      </w:r>
      <w:r w:rsidR="003B1A1E">
        <w:t>'</w:t>
      </w:r>
      <w:r w:rsidRPr="003B1A1E">
        <w:t>Assemblée générale des Nations Unies (section II, paragraphe 5), qui a entraîné l</w:t>
      </w:r>
      <w:r w:rsidR="003B1A1E">
        <w:t>'</w:t>
      </w:r>
      <w:r w:rsidRPr="003B1A1E">
        <w:t>augmentation de 80,5 à 88,4 du coefficient applicable à New York.</w:t>
      </w:r>
    </w:p>
    <w:p w14:paraId="5C308680" w14:textId="7741B3BC" w:rsidR="00423EC0" w:rsidRPr="003B1A1E" w:rsidRDefault="00423EC0" w:rsidP="00423EC0">
      <w:r w:rsidRPr="003B1A1E">
        <w:t>1.5</w:t>
      </w:r>
      <w:r w:rsidRPr="003B1A1E">
        <w:tab/>
        <w:t>La révision du classement aux fins de l</w:t>
      </w:r>
      <w:r w:rsidR="003B1A1E">
        <w:t>'</w:t>
      </w:r>
      <w:r w:rsidRPr="003B1A1E">
        <w:t>indemnité de poste pour toutes les villes sièges et tous les autres lieux d</w:t>
      </w:r>
      <w:r w:rsidR="003B1A1E">
        <w:t>'</w:t>
      </w:r>
      <w:r w:rsidRPr="003B1A1E">
        <w:t>affectation du groupe I, à la date anniversaire de l</w:t>
      </w:r>
      <w:r w:rsidR="003B1A1E">
        <w:t>'</w:t>
      </w:r>
      <w:r w:rsidRPr="003B1A1E">
        <w:t>examen du classement aux fins de l</w:t>
      </w:r>
      <w:r w:rsidR="003B1A1E">
        <w:t>'</w:t>
      </w:r>
      <w:r w:rsidRPr="003B1A1E">
        <w:t>indemnité de poste pour New York, conformément à la Résolution </w:t>
      </w:r>
      <w:hyperlink r:id="rId11" w:history="1">
        <w:r w:rsidRPr="003B1A1E">
          <w:rPr>
            <w:rStyle w:val="Hyperlink"/>
          </w:rPr>
          <w:t>A/R</w:t>
        </w:r>
        <w:r w:rsidRPr="003B1A1E">
          <w:rPr>
            <w:rStyle w:val="Hyperlink"/>
          </w:rPr>
          <w:t>E</w:t>
        </w:r>
        <w:r w:rsidRPr="003B1A1E">
          <w:rPr>
            <w:rStyle w:val="Hyperlink"/>
          </w:rPr>
          <w:t>S/6</w:t>
        </w:r>
        <w:r w:rsidRPr="003B1A1E">
          <w:rPr>
            <w:rStyle w:val="Hyperlink"/>
          </w:rPr>
          <w:t>9</w:t>
        </w:r>
        <w:r w:rsidRPr="003B1A1E">
          <w:rPr>
            <w:rStyle w:val="Hyperlink"/>
          </w:rPr>
          <w:t>/251</w:t>
        </w:r>
      </w:hyperlink>
      <w:r w:rsidRPr="003B1A1E">
        <w:t xml:space="preserve"> (Section E) de l</w:t>
      </w:r>
      <w:r w:rsidR="003B1A1E">
        <w:t>'</w:t>
      </w:r>
      <w:r w:rsidRPr="003B1A1E">
        <w:t>Assemblée générale des Nations Unies, a donné lieu à des augmentations de traitement effectives dans 51 lieux d</w:t>
      </w:r>
      <w:r w:rsidR="003B1A1E">
        <w:t>'</w:t>
      </w:r>
      <w:r w:rsidRPr="003B1A1E">
        <w:t>affectation du groupe I (sur 53), dont les indices actualisés d</w:t>
      </w:r>
      <w:r w:rsidR="003B1A1E">
        <w:t>'</w:t>
      </w:r>
      <w:r w:rsidRPr="003B1A1E">
        <w:t>ajustement dépassent l</w:t>
      </w:r>
      <w:r w:rsidR="003B1A1E">
        <w:t>'</w:t>
      </w:r>
      <w:r w:rsidRPr="003B1A1E">
        <w:t>indice de classement en vigueur, avec effet au 1er février 2024.</w:t>
      </w:r>
    </w:p>
    <w:p w14:paraId="4CA4B6F0" w14:textId="31BE270E" w:rsidR="00423EC0" w:rsidRPr="003B1A1E" w:rsidRDefault="00423EC0" w:rsidP="00423EC0">
      <w:r w:rsidRPr="003B1A1E">
        <w:t>1.6</w:t>
      </w:r>
      <w:r w:rsidRPr="003B1A1E">
        <w:tab/>
        <w:t>Cette révision, conjuguée à des ajustements de la rémunération considérée aux fins de la pension (avec effet au 1er février 2024, selon un ratio de 188,4/180,5; voir l</w:t>
      </w:r>
      <w:r w:rsidR="003B1A1E">
        <w:t>'</w:t>
      </w:r>
      <w:r w:rsidRPr="003B1A1E">
        <w:t>Annexe 1) a entraîné une augmentation nette d</w:t>
      </w:r>
      <w:r w:rsidR="003B1A1E">
        <w:t>'</w:t>
      </w:r>
      <w:r w:rsidRPr="003B1A1E">
        <w:t>environ 1,5</w:t>
      </w:r>
      <w:r w:rsidR="00D5511D" w:rsidRPr="003B1A1E">
        <w:t>%</w:t>
      </w:r>
      <w:r w:rsidRPr="003B1A1E">
        <w:t xml:space="preserve"> du traitement net des fonctionnaires à</w:t>
      </w:r>
      <w:r w:rsidR="009D7D93" w:rsidRPr="003B1A1E">
        <w:t> </w:t>
      </w:r>
      <w:r w:rsidRPr="003B1A1E">
        <w:t>Genève en février 2024, alors que le coefficient applicable à l</w:t>
      </w:r>
      <w:r w:rsidR="003B1A1E">
        <w:t>'</w:t>
      </w:r>
      <w:r w:rsidRPr="003B1A1E">
        <w:t>indemnité de poste établi par la CFPI pour la Suisse était de 89,7 (voir l</w:t>
      </w:r>
      <w:r w:rsidR="003B1A1E">
        <w:t>'</w:t>
      </w:r>
      <w:r w:rsidRPr="003B1A1E">
        <w:t>Annexe 2 pour New York et la Suisse).</w:t>
      </w:r>
    </w:p>
    <w:p w14:paraId="660AF83E" w14:textId="32EB8D00" w:rsidR="00423EC0" w:rsidRPr="003B1A1E" w:rsidRDefault="00423EC0" w:rsidP="00423EC0">
      <w:r w:rsidRPr="003B1A1E">
        <w:t>1.7</w:t>
      </w:r>
      <w:r w:rsidRPr="003B1A1E">
        <w:tab/>
        <w:t>L</w:t>
      </w:r>
      <w:r w:rsidR="003B1A1E">
        <w:t>'</w:t>
      </w:r>
      <w:r w:rsidRPr="003B1A1E">
        <w:t>UIT a mis en œuvre le coefficient applicable à l</w:t>
      </w:r>
      <w:r w:rsidR="003B1A1E">
        <w:t>'</w:t>
      </w:r>
      <w:r w:rsidRPr="003B1A1E">
        <w:t>indemnité de poste établi par la CFPI, tel qu</w:t>
      </w:r>
      <w:r w:rsidR="003B1A1E">
        <w:t>'</w:t>
      </w:r>
      <w:r w:rsidRPr="003B1A1E">
        <w:t>il figure dans la circulaire de la CFPI, avec effet au 1er février 2024. Cet ajustement a mis un terme à la pratique récente consistant à appliquer, pour l</w:t>
      </w:r>
      <w:r w:rsidR="003B1A1E">
        <w:t>'</w:t>
      </w:r>
      <w:r w:rsidRPr="003B1A1E">
        <w:t>indemnité de poste, deux</w:t>
      </w:r>
      <w:r w:rsidR="009D7D93" w:rsidRPr="003B1A1E">
        <w:t> </w:t>
      </w:r>
      <w:r w:rsidRPr="003B1A1E">
        <w:t>coefficients différents à Genève pour les fonctionnaires des catégories professionnelle et supérieure.</w:t>
      </w:r>
    </w:p>
    <w:p w14:paraId="4DE2414F" w14:textId="77777777" w:rsidR="00423EC0" w:rsidRPr="003B1A1E" w:rsidRDefault="00423EC0" w:rsidP="00423EC0">
      <w:pPr>
        <w:pStyle w:val="Heading1"/>
      </w:pPr>
      <w:r w:rsidRPr="003B1A1E">
        <w:lastRenderedPageBreak/>
        <w:t>2</w:t>
      </w:r>
      <w:r w:rsidRPr="003B1A1E">
        <w:tab/>
        <w:t>SUITE À DONNER PAR LE CONSEIL</w:t>
      </w:r>
    </w:p>
    <w:p w14:paraId="7BF044EB" w14:textId="2865FD78" w:rsidR="00423EC0" w:rsidRPr="003B1A1E" w:rsidRDefault="00423EC0" w:rsidP="00423EC0">
      <w:pPr>
        <w:pStyle w:val="Normalaftertitle"/>
      </w:pPr>
      <w:r w:rsidRPr="003B1A1E">
        <w:t>Le Conseil est invité à prendre note de la mise en œuvre de la Résolution 1420 et de l</w:t>
      </w:r>
      <w:r w:rsidR="003B1A1E">
        <w:t>'</w:t>
      </w:r>
      <w:r w:rsidRPr="003B1A1E">
        <w:t>application du coefficient applicable à l</w:t>
      </w:r>
      <w:r w:rsidR="003B1A1E">
        <w:t>'</w:t>
      </w:r>
      <w:r w:rsidRPr="003B1A1E">
        <w:t>indemnité de poste établi par la CFPI à Genève, avec effet au 1er février 2024.</w:t>
      </w:r>
    </w:p>
    <w:p w14:paraId="56ECADAD" w14:textId="57038F10" w:rsidR="004E40A9" w:rsidRPr="003B1A1E" w:rsidRDefault="00423EC0" w:rsidP="00423EC0">
      <w:pPr>
        <w:pStyle w:val="Normalaftertitle"/>
        <w:rPr>
          <w:b/>
          <w:bCs/>
        </w:rPr>
      </w:pPr>
      <w:r w:rsidRPr="003B1A1E">
        <w:rPr>
          <w:b/>
          <w:bCs/>
          <w:i/>
          <w:iCs/>
        </w:rPr>
        <w:t>Annexes:</w:t>
      </w:r>
      <w:r w:rsidRPr="003B1A1E">
        <w:rPr>
          <w:i/>
          <w:iCs/>
        </w:rPr>
        <w:tab/>
      </w:r>
      <w:r w:rsidRPr="003B1A1E">
        <w:t>2</w:t>
      </w:r>
    </w:p>
    <w:p w14:paraId="3A156701" w14:textId="77777777" w:rsidR="00E44368" w:rsidRPr="003B1A1E" w:rsidRDefault="00E44368" w:rsidP="00423EC0">
      <w:pPr>
        <w:sectPr w:rsidR="00E44368" w:rsidRPr="003B1A1E" w:rsidSect="00D72F49">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720" w:footer="720" w:gutter="0"/>
          <w:paperSrc w:first="286" w:other="286"/>
          <w:cols w:space="720"/>
          <w:titlePg/>
        </w:sectPr>
      </w:pPr>
    </w:p>
    <w:p w14:paraId="54A2DA77" w14:textId="74104BBC" w:rsidR="00E44368" w:rsidRPr="003B1A1E" w:rsidRDefault="00E44368" w:rsidP="0053116F">
      <w:pPr>
        <w:pStyle w:val="AnnexNo"/>
        <w:spacing w:before="0"/>
      </w:pPr>
      <w:r w:rsidRPr="003B1A1E">
        <w:lastRenderedPageBreak/>
        <w:t>Annexe 1</w:t>
      </w:r>
    </w:p>
    <w:p w14:paraId="2B0E4406" w14:textId="77777777" w:rsidR="00E44368" w:rsidRPr="003B1A1E" w:rsidRDefault="00E44368" w:rsidP="00E44368">
      <w:pPr>
        <w:pStyle w:val="Annextitle"/>
      </w:pPr>
      <w:r w:rsidRPr="003B1A1E">
        <w:t>Rémunération considérée aux fins de la pension des fonctionnaires des catégories professionnelle et supérieure</w:t>
      </w:r>
    </w:p>
    <w:p w14:paraId="0DBEDD7A" w14:textId="7B69F5F9" w:rsidR="00E44368" w:rsidRPr="003B1A1E" w:rsidRDefault="00E44368" w:rsidP="00E44368">
      <w:pPr>
        <w:jc w:val="center"/>
      </w:pPr>
      <w:r w:rsidRPr="003B1A1E">
        <w:t>En USD – avec effet au 1er février 2024</w:t>
      </w:r>
    </w:p>
    <w:p w14:paraId="444AE20D" w14:textId="77777777" w:rsidR="004D21D9" w:rsidRPr="003B1A1E" w:rsidRDefault="004D21D9" w:rsidP="004D21D9">
      <w:pPr>
        <w:ind w:hanging="709"/>
        <w:jc w:val="center"/>
      </w:pPr>
      <w:r w:rsidRPr="003B1A1E">
        <w:drawing>
          <wp:inline distT="0" distB="0" distL="0" distR="0" wp14:anchorId="200970A0" wp14:editId="285040BC">
            <wp:extent cx="6967357" cy="2450211"/>
            <wp:effectExtent l="0" t="0" r="5080" b="7620"/>
            <wp:docPr id="430575647" name="Picture 1" descr="A table of numbers and a few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575647" name="Picture 1" descr="A table of numbers and a few black text&#10;&#10;Description automatically generated with medium confidence"/>
                    <pic:cNvPicPr/>
                  </pic:nvPicPr>
                  <pic:blipFill>
                    <a:blip r:embed="rId18"/>
                    <a:stretch>
                      <a:fillRect/>
                    </a:stretch>
                  </pic:blipFill>
                  <pic:spPr>
                    <a:xfrm>
                      <a:off x="0" y="0"/>
                      <a:ext cx="6967357" cy="2450211"/>
                    </a:xfrm>
                    <a:prstGeom prst="rect">
                      <a:avLst/>
                    </a:prstGeom>
                  </pic:spPr>
                </pic:pic>
              </a:graphicData>
            </a:graphic>
          </wp:inline>
        </w:drawing>
      </w:r>
    </w:p>
    <w:p w14:paraId="03E438AA" w14:textId="1CD57735" w:rsidR="00E44368" w:rsidRPr="003B1A1E" w:rsidRDefault="00E44368" w:rsidP="00E44368">
      <w:r w:rsidRPr="003B1A1E">
        <w:br w:type="page"/>
      </w:r>
    </w:p>
    <w:p w14:paraId="2B2BC962" w14:textId="665271CA" w:rsidR="00E44368" w:rsidRPr="003B1A1E" w:rsidRDefault="00E44368" w:rsidP="0053116F">
      <w:pPr>
        <w:pStyle w:val="AnnexNo"/>
      </w:pPr>
      <w:r w:rsidRPr="003B1A1E">
        <w:lastRenderedPageBreak/>
        <w:t>Annexe 2</w:t>
      </w:r>
    </w:p>
    <w:p w14:paraId="49D96D66" w14:textId="162C1834" w:rsidR="00E44368" w:rsidRPr="003B1A1E" w:rsidRDefault="00E44368" w:rsidP="00461911">
      <w:pPr>
        <w:pStyle w:val="Annextitle"/>
      </w:pPr>
      <w:r w:rsidRPr="003B1A1E">
        <w:t>Révision du classement aux fins de l</w:t>
      </w:r>
      <w:r w:rsidR="003B1A1E">
        <w:t>'</w:t>
      </w:r>
      <w:r w:rsidRPr="003B1A1E">
        <w:t xml:space="preserve">indemnité de poste pour les </w:t>
      </w:r>
      <w:r w:rsidR="00461911" w:rsidRPr="003B1A1E">
        <w:br/>
      </w:r>
      <w:r w:rsidRPr="003B1A1E">
        <w:t>lieux d</w:t>
      </w:r>
      <w:r w:rsidR="003B1A1E">
        <w:t>'</w:t>
      </w:r>
      <w:r w:rsidRPr="003B1A1E">
        <w:t>affectation du groupe I, février 2024</w:t>
      </w:r>
    </w:p>
    <w:tbl>
      <w:tblPr>
        <w:tblStyle w:val="TableGrid"/>
        <w:tblW w:w="10060" w:type="dxa"/>
        <w:jc w:val="center"/>
        <w:tblLayout w:type="fixed"/>
        <w:tblLook w:val="04A0" w:firstRow="1" w:lastRow="0" w:firstColumn="1" w:lastColumn="0" w:noHBand="0" w:noVBand="1"/>
      </w:tblPr>
      <w:tblGrid>
        <w:gridCol w:w="1669"/>
        <w:gridCol w:w="1507"/>
        <w:gridCol w:w="1507"/>
        <w:gridCol w:w="864"/>
        <w:gridCol w:w="1507"/>
        <w:gridCol w:w="1507"/>
        <w:gridCol w:w="1499"/>
      </w:tblGrid>
      <w:tr w:rsidR="004D21D9" w:rsidRPr="003B1A1E" w14:paraId="1747C902" w14:textId="77777777" w:rsidTr="004D21D9">
        <w:trPr>
          <w:trHeight w:val="356"/>
          <w:jc w:val="center"/>
        </w:trPr>
        <w:tc>
          <w:tcPr>
            <w:tcW w:w="1669" w:type="dxa"/>
            <w:vMerge w:val="restart"/>
            <w:vAlign w:val="center"/>
          </w:tcPr>
          <w:p w14:paraId="0EB5D71C" w14:textId="5BD69777" w:rsidR="004D21D9" w:rsidRPr="003B1A1E" w:rsidRDefault="004D21D9" w:rsidP="004D21D9">
            <w:pPr>
              <w:pStyle w:val="Tablehead"/>
              <w:rPr>
                <w:bCs/>
              </w:rPr>
            </w:pPr>
            <w:r w:rsidRPr="003B1A1E">
              <w:t>LIEU D</w:t>
            </w:r>
            <w:r w:rsidR="003B1A1E">
              <w:t>'</w:t>
            </w:r>
            <w:r w:rsidRPr="003B1A1E">
              <w:t>AFFECTATION</w:t>
            </w:r>
          </w:p>
        </w:tc>
        <w:tc>
          <w:tcPr>
            <w:tcW w:w="3014" w:type="dxa"/>
            <w:gridSpan w:val="2"/>
            <w:vAlign w:val="center"/>
          </w:tcPr>
          <w:p w14:paraId="7109FA5A" w14:textId="599F802F" w:rsidR="004D21D9" w:rsidRPr="003B1A1E" w:rsidRDefault="004D21D9" w:rsidP="004D21D9">
            <w:pPr>
              <w:pStyle w:val="Tablehead"/>
              <w:rPr>
                <w:bCs/>
              </w:rPr>
            </w:pPr>
            <w:r w:rsidRPr="003B1A1E">
              <w:t>Indice indemn. poste</w:t>
            </w:r>
          </w:p>
        </w:tc>
        <w:tc>
          <w:tcPr>
            <w:tcW w:w="3878" w:type="dxa"/>
            <w:gridSpan w:val="3"/>
            <w:vAlign w:val="center"/>
          </w:tcPr>
          <w:p w14:paraId="26D63CD7" w14:textId="10F24DF6" w:rsidR="004D21D9" w:rsidRPr="003B1A1E" w:rsidRDefault="004D21D9" w:rsidP="004D21D9">
            <w:pPr>
              <w:pStyle w:val="Tablehead"/>
              <w:rPr>
                <w:bCs/>
              </w:rPr>
            </w:pPr>
            <w:r w:rsidRPr="003B1A1E">
              <w:t>COEFFICIENT</w:t>
            </w:r>
          </w:p>
        </w:tc>
        <w:tc>
          <w:tcPr>
            <w:tcW w:w="1499" w:type="dxa"/>
            <w:vMerge w:val="restart"/>
            <w:vAlign w:val="center"/>
          </w:tcPr>
          <w:p w14:paraId="17AE5D8E" w14:textId="5B7C6610" w:rsidR="004D21D9" w:rsidRPr="003B1A1E" w:rsidRDefault="004D21D9" w:rsidP="004D21D9">
            <w:pPr>
              <w:pStyle w:val="Tablehead"/>
              <w:rPr>
                <w:bCs/>
              </w:rPr>
            </w:pPr>
            <w:r w:rsidRPr="003B1A1E">
              <w:t>Variation de</w:t>
            </w:r>
            <w:r w:rsidRPr="003B1A1E">
              <w:t> </w:t>
            </w:r>
            <w:r w:rsidRPr="003B1A1E">
              <w:t>la rémunération</w:t>
            </w:r>
            <w:r w:rsidRPr="003B1A1E">
              <w:br/>
              <w:t>nette</w:t>
            </w:r>
          </w:p>
        </w:tc>
      </w:tr>
      <w:tr w:rsidR="004D21D9" w:rsidRPr="003B1A1E" w14:paraId="6FED47DD" w14:textId="77777777" w:rsidTr="004D21D9">
        <w:trPr>
          <w:trHeight w:val="417"/>
          <w:jc w:val="center"/>
        </w:trPr>
        <w:tc>
          <w:tcPr>
            <w:tcW w:w="1669" w:type="dxa"/>
            <w:vMerge/>
          </w:tcPr>
          <w:p w14:paraId="37F722F3" w14:textId="77777777" w:rsidR="004D21D9" w:rsidRPr="003B1A1E" w:rsidRDefault="004D21D9" w:rsidP="004D21D9">
            <w:pPr>
              <w:pStyle w:val="Tablehead"/>
            </w:pPr>
          </w:p>
        </w:tc>
        <w:tc>
          <w:tcPr>
            <w:tcW w:w="1507" w:type="dxa"/>
          </w:tcPr>
          <w:p w14:paraId="1F049A39" w14:textId="34488196" w:rsidR="004D21D9" w:rsidRPr="003B1A1E" w:rsidRDefault="004D21D9" w:rsidP="004D21D9">
            <w:pPr>
              <w:pStyle w:val="Tablehead"/>
            </w:pPr>
            <w:r w:rsidRPr="003B1A1E">
              <w:t>Fév. 24</w:t>
            </w:r>
          </w:p>
        </w:tc>
        <w:tc>
          <w:tcPr>
            <w:tcW w:w="1507" w:type="dxa"/>
          </w:tcPr>
          <w:p w14:paraId="0E9D3D4C" w14:textId="0660D4C6" w:rsidR="004D21D9" w:rsidRPr="003B1A1E" w:rsidRDefault="004D21D9" w:rsidP="004D21D9">
            <w:pPr>
              <w:pStyle w:val="Tablehead"/>
            </w:pPr>
            <w:r w:rsidRPr="003B1A1E">
              <w:t>Fév. 24</w:t>
            </w:r>
          </w:p>
        </w:tc>
        <w:tc>
          <w:tcPr>
            <w:tcW w:w="864" w:type="dxa"/>
            <w:vMerge w:val="restart"/>
            <w:vAlign w:val="center"/>
          </w:tcPr>
          <w:p w14:paraId="1C0577A5" w14:textId="7A46156D" w:rsidR="004D21D9" w:rsidRPr="003B1A1E" w:rsidRDefault="004D21D9" w:rsidP="004D21D9">
            <w:pPr>
              <w:pStyle w:val="Tablehead"/>
              <w:rPr>
                <w:bCs/>
              </w:rPr>
            </w:pPr>
            <w:r w:rsidRPr="003B1A1E">
              <w:t>Fév.</w:t>
            </w:r>
            <w:r w:rsidRPr="003B1A1E">
              <w:t> </w:t>
            </w:r>
            <w:r w:rsidRPr="003B1A1E">
              <w:t>24</w:t>
            </w:r>
            <w:r w:rsidRPr="003B1A1E">
              <w:br/>
              <w:t>Règle des 0,5</w:t>
            </w:r>
            <w:r w:rsidRPr="003B1A1E">
              <w:t> </w:t>
            </w:r>
            <w:r w:rsidRPr="003B1A1E">
              <w:t>%</w:t>
            </w:r>
            <w:r w:rsidRPr="003B1A1E">
              <w:rPr>
                <w:rStyle w:val="FootnoteReference"/>
                <w:bCs/>
              </w:rPr>
              <w:footnoteReference w:id="2"/>
            </w:r>
          </w:p>
        </w:tc>
        <w:tc>
          <w:tcPr>
            <w:tcW w:w="1507" w:type="dxa"/>
          </w:tcPr>
          <w:p w14:paraId="18CBB801" w14:textId="03A50328" w:rsidR="004D21D9" w:rsidRPr="003B1A1E" w:rsidRDefault="004D21D9" w:rsidP="004D21D9">
            <w:pPr>
              <w:pStyle w:val="Tablehead"/>
              <w:rPr>
                <w:bCs/>
              </w:rPr>
            </w:pPr>
            <w:r w:rsidRPr="003B1A1E">
              <w:t>Fév. 24</w:t>
            </w:r>
          </w:p>
        </w:tc>
        <w:tc>
          <w:tcPr>
            <w:tcW w:w="1507" w:type="dxa"/>
          </w:tcPr>
          <w:p w14:paraId="5A5EC7A4" w14:textId="26A50566" w:rsidR="004D21D9" w:rsidRPr="003B1A1E" w:rsidRDefault="004D21D9" w:rsidP="004D21D9">
            <w:pPr>
              <w:pStyle w:val="Tablehead"/>
              <w:rPr>
                <w:bCs/>
              </w:rPr>
            </w:pPr>
            <w:r w:rsidRPr="003B1A1E">
              <w:t>Fév. 24</w:t>
            </w:r>
          </w:p>
        </w:tc>
        <w:tc>
          <w:tcPr>
            <w:tcW w:w="1499" w:type="dxa"/>
            <w:vMerge/>
            <w:vAlign w:val="center"/>
          </w:tcPr>
          <w:p w14:paraId="011DD126" w14:textId="77777777" w:rsidR="004D21D9" w:rsidRPr="003B1A1E" w:rsidRDefault="004D21D9" w:rsidP="004D21D9">
            <w:pPr>
              <w:pStyle w:val="Tablehead"/>
            </w:pPr>
          </w:p>
        </w:tc>
      </w:tr>
      <w:tr w:rsidR="004D21D9" w:rsidRPr="003B1A1E" w14:paraId="270F0CBB" w14:textId="77777777" w:rsidTr="004D21D9">
        <w:trPr>
          <w:jc w:val="center"/>
        </w:trPr>
        <w:tc>
          <w:tcPr>
            <w:tcW w:w="1669" w:type="dxa"/>
            <w:vMerge/>
          </w:tcPr>
          <w:p w14:paraId="7CEAD7CD" w14:textId="77777777" w:rsidR="004D21D9" w:rsidRPr="003B1A1E" w:rsidRDefault="004D21D9" w:rsidP="004D21D9">
            <w:pPr>
              <w:pStyle w:val="Tablehead"/>
            </w:pPr>
          </w:p>
        </w:tc>
        <w:tc>
          <w:tcPr>
            <w:tcW w:w="1507" w:type="dxa"/>
            <w:vAlign w:val="center"/>
          </w:tcPr>
          <w:p w14:paraId="56BE16DA" w14:textId="70C4025D" w:rsidR="004D21D9" w:rsidRPr="003B1A1E" w:rsidRDefault="004D21D9" w:rsidP="004D21D9">
            <w:pPr>
              <w:pStyle w:val="Tablehead"/>
              <w:rPr>
                <w:bCs/>
              </w:rPr>
            </w:pPr>
            <w:r w:rsidRPr="003B1A1E">
              <w:t>Avant</w:t>
            </w:r>
            <w:r w:rsidRPr="003B1A1E">
              <w:br/>
              <w:t>augmentation</w:t>
            </w:r>
          </w:p>
        </w:tc>
        <w:tc>
          <w:tcPr>
            <w:tcW w:w="1507" w:type="dxa"/>
            <w:vAlign w:val="center"/>
          </w:tcPr>
          <w:p w14:paraId="1762A6FD" w14:textId="05CBFFB4" w:rsidR="004D21D9" w:rsidRPr="003B1A1E" w:rsidRDefault="004D21D9" w:rsidP="004D21D9">
            <w:pPr>
              <w:pStyle w:val="Tablehead"/>
              <w:rPr>
                <w:bCs/>
              </w:rPr>
            </w:pPr>
            <w:r w:rsidRPr="003B1A1E">
              <w:t>Après</w:t>
            </w:r>
            <w:r w:rsidRPr="003B1A1E">
              <w:br/>
            </w:r>
            <w:r w:rsidRPr="003B1A1E">
              <w:t>augmentation</w:t>
            </w:r>
          </w:p>
        </w:tc>
        <w:tc>
          <w:tcPr>
            <w:tcW w:w="864" w:type="dxa"/>
            <w:vMerge/>
            <w:vAlign w:val="center"/>
          </w:tcPr>
          <w:p w14:paraId="3EACF234" w14:textId="77777777" w:rsidR="004D21D9" w:rsidRPr="003B1A1E" w:rsidRDefault="004D21D9" w:rsidP="004D21D9">
            <w:pPr>
              <w:pStyle w:val="Tablehead"/>
              <w:rPr>
                <w:bCs/>
              </w:rPr>
            </w:pPr>
          </w:p>
        </w:tc>
        <w:tc>
          <w:tcPr>
            <w:tcW w:w="1507" w:type="dxa"/>
            <w:vAlign w:val="center"/>
          </w:tcPr>
          <w:p w14:paraId="764618A7" w14:textId="0CC36D7A" w:rsidR="004D21D9" w:rsidRPr="003B1A1E" w:rsidRDefault="004D21D9" w:rsidP="004D21D9">
            <w:pPr>
              <w:pStyle w:val="Tablehead"/>
              <w:rPr>
                <w:bCs/>
              </w:rPr>
            </w:pPr>
            <w:r w:rsidRPr="003B1A1E">
              <w:t>Avant</w:t>
            </w:r>
            <w:r w:rsidRPr="003B1A1E">
              <w:br/>
              <w:t>augmentation</w:t>
            </w:r>
          </w:p>
        </w:tc>
        <w:tc>
          <w:tcPr>
            <w:tcW w:w="1507" w:type="dxa"/>
            <w:vAlign w:val="center"/>
          </w:tcPr>
          <w:p w14:paraId="1F41DE2E" w14:textId="2F951C67" w:rsidR="004D21D9" w:rsidRPr="003B1A1E" w:rsidRDefault="004D21D9" w:rsidP="004D21D9">
            <w:pPr>
              <w:pStyle w:val="Tablehead"/>
              <w:rPr>
                <w:bCs/>
              </w:rPr>
            </w:pPr>
            <w:r w:rsidRPr="003B1A1E">
              <w:t>Après</w:t>
            </w:r>
            <w:r w:rsidRPr="003B1A1E">
              <w:br/>
              <w:t>augmentation</w:t>
            </w:r>
          </w:p>
        </w:tc>
        <w:tc>
          <w:tcPr>
            <w:tcW w:w="1499" w:type="dxa"/>
            <w:vMerge/>
            <w:vAlign w:val="center"/>
          </w:tcPr>
          <w:p w14:paraId="3CF53C17" w14:textId="77777777" w:rsidR="004D21D9" w:rsidRPr="003B1A1E" w:rsidRDefault="004D21D9" w:rsidP="004D21D9">
            <w:pPr>
              <w:pStyle w:val="Tablehead"/>
            </w:pPr>
          </w:p>
        </w:tc>
      </w:tr>
      <w:tr w:rsidR="004D21D9" w:rsidRPr="003B1A1E" w14:paraId="11191E91" w14:textId="77777777" w:rsidTr="004D21D9">
        <w:trPr>
          <w:trHeight w:val="684"/>
          <w:jc w:val="center"/>
        </w:trPr>
        <w:tc>
          <w:tcPr>
            <w:tcW w:w="1669" w:type="dxa"/>
          </w:tcPr>
          <w:p w14:paraId="07683BA0" w14:textId="0E7CBCFB" w:rsidR="004D21D9" w:rsidRPr="003B1A1E" w:rsidRDefault="004D21D9" w:rsidP="004D21D9">
            <w:pPr>
              <w:pStyle w:val="Tabletext"/>
            </w:pPr>
            <w:r w:rsidRPr="003B1A1E">
              <w:t>New York (États</w:t>
            </w:r>
            <w:r w:rsidRPr="003B1A1E">
              <w:noBreakHyphen/>
              <w:t>Unis)</w:t>
            </w:r>
          </w:p>
        </w:tc>
        <w:tc>
          <w:tcPr>
            <w:tcW w:w="1507" w:type="dxa"/>
          </w:tcPr>
          <w:p w14:paraId="44C42CDC" w14:textId="3019E4C8" w:rsidR="004D21D9" w:rsidRPr="003B1A1E" w:rsidRDefault="004D21D9" w:rsidP="004D21D9">
            <w:pPr>
              <w:pStyle w:val="Tabletext"/>
              <w:jc w:val="center"/>
            </w:pPr>
            <w:r w:rsidRPr="003B1A1E">
              <w:t>186,7</w:t>
            </w:r>
          </w:p>
        </w:tc>
        <w:tc>
          <w:tcPr>
            <w:tcW w:w="1507" w:type="dxa"/>
          </w:tcPr>
          <w:p w14:paraId="34F9D58E" w14:textId="5143162A" w:rsidR="004D21D9" w:rsidRPr="003B1A1E" w:rsidRDefault="004D21D9" w:rsidP="004D21D9">
            <w:pPr>
              <w:pStyle w:val="Tabletext"/>
              <w:jc w:val="center"/>
            </w:pPr>
            <w:r w:rsidRPr="003B1A1E">
              <w:t>188,4</w:t>
            </w:r>
          </w:p>
        </w:tc>
        <w:tc>
          <w:tcPr>
            <w:tcW w:w="864" w:type="dxa"/>
          </w:tcPr>
          <w:p w14:paraId="6F82760F" w14:textId="06EECD73" w:rsidR="004D21D9" w:rsidRPr="003B1A1E" w:rsidRDefault="004D21D9" w:rsidP="004D21D9">
            <w:pPr>
              <w:pStyle w:val="Tabletext"/>
              <w:jc w:val="center"/>
            </w:pPr>
            <w:r w:rsidRPr="003B1A1E">
              <w:t>80,5</w:t>
            </w:r>
          </w:p>
        </w:tc>
        <w:tc>
          <w:tcPr>
            <w:tcW w:w="1507" w:type="dxa"/>
          </w:tcPr>
          <w:p w14:paraId="7AF8169B" w14:textId="16A4AA2B" w:rsidR="004D21D9" w:rsidRPr="003B1A1E" w:rsidRDefault="004D21D9" w:rsidP="004D21D9">
            <w:pPr>
              <w:pStyle w:val="Tabletext"/>
              <w:jc w:val="center"/>
            </w:pPr>
            <w:r w:rsidRPr="003B1A1E">
              <w:t>86,7</w:t>
            </w:r>
          </w:p>
        </w:tc>
        <w:tc>
          <w:tcPr>
            <w:tcW w:w="1507" w:type="dxa"/>
          </w:tcPr>
          <w:p w14:paraId="1A882D93" w14:textId="7B2B4F43" w:rsidR="004D21D9" w:rsidRPr="003B1A1E" w:rsidRDefault="004D21D9" w:rsidP="004D21D9">
            <w:pPr>
              <w:pStyle w:val="Tabletext"/>
              <w:jc w:val="center"/>
            </w:pPr>
            <w:r w:rsidRPr="003B1A1E">
              <w:t>88,4</w:t>
            </w:r>
          </w:p>
        </w:tc>
        <w:tc>
          <w:tcPr>
            <w:tcW w:w="1499" w:type="dxa"/>
          </w:tcPr>
          <w:p w14:paraId="75491E37" w14:textId="7D840CE9" w:rsidR="004D21D9" w:rsidRPr="003B1A1E" w:rsidRDefault="004D21D9" w:rsidP="004D21D9">
            <w:pPr>
              <w:pStyle w:val="Tabletext"/>
              <w:jc w:val="center"/>
            </w:pPr>
            <w:r w:rsidRPr="003B1A1E">
              <w:t>Augmentation de 4,4%</w:t>
            </w:r>
          </w:p>
        </w:tc>
      </w:tr>
      <w:tr w:rsidR="004D21D9" w:rsidRPr="003B1A1E" w14:paraId="0E259264" w14:textId="77777777" w:rsidTr="004D21D9">
        <w:trPr>
          <w:trHeight w:val="684"/>
          <w:jc w:val="center"/>
        </w:trPr>
        <w:tc>
          <w:tcPr>
            <w:tcW w:w="1669" w:type="dxa"/>
          </w:tcPr>
          <w:p w14:paraId="0BB65A73" w14:textId="173694DC" w:rsidR="004D21D9" w:rsidRPr="003B1A1E" w:rsidRDefault="004D21D9" w:rsidP="004D21D9">
            <w:pPr>
              <w:pStyle w:val="Tabletext"/>
            </w:pPr>
            <w:r w:rsidRPr="003B1A1E">
              <w:t>Suisse</w:t>
            </w:r>
          </w:p>
        </w:tc>
        <w:tc>
          <w:tcPr>
            <w:tcW w:w="1507" w:type="dxa"/>
          </w:tcPr>
          <w:p w14:paraId="6DB8A2F9" w14:textId="33250E60" w:rsidR="004D21D9" w:rsidRPr="003B1A1E" w:rsidRDefault="004D21D9" w:rsidP="004D21D9">
            <w:pPr>
              <w:pStyle w:val="Tabletext"/>
              <w:jc w:val="center"/>
            </w:pPr>
            <w:r w:rsidRPr="003B1A1E">
              <w:t>188,0</w:t>
            </w:r>
          </w:p>
        </w:tc>
        <w:tc>
          <w:tcPr>
            <w:tcW w:w="1507" w:type="dxa"/>
          </w:tcPr>
          <w:p w14:paraId="5F51294F" w14:textId="71A88793" w:rsidR="004D21D9" w:rsidRPr="003B1A1E" w:rsidRDefault="004D21D9" w:rsidP="004D21D9">
            <w:pPr>
              <w:pStyle w:val="Tabletext"/>
              <w:jc w:val="center"/>
            </w:pPr>
            <w:r w:rsidRPr="003B1A1E">
              <w:t>189,7</w:t>
            </w:r>
          </w:p>
        </w:tc>
        <w:tc>
          <w:tcPr>
            <w:tcW w:w="864" w:type="dxa"/>
          </w:tcPr>
          <w:p w14:paraId="47AAA978" w14:textId="0C6BB00E" w:rsidR="004D21D9" w:rsidRPr="003B1A1E" w:rsidRDefault="004D21D9" w:rsidP="004D21D9">
            <w:pPr>
              <w:pStyle w:val="Tabletext"/>
              <w:jc w:val="center"/>
            </w:pPr>
            <w:r w:rsidRPr="003B1A1E">
              <w:t>83,8</w:t>
            </w:r>
          </w:p>
        </w:tc>
        <w:tc>
          <w:tcPr>
            <w:tcW w:w="1507" w:type="dxa"/>
          </w:tcPr>
          <w:p w14:paraId="79343E67" w14:textId="35053DF1" w:rsidR="004D21D9" w:rsidRPr="003B1A1E" w:rsidRDefault="004D21D9" w:rsidP="004D21D9">
            <w:pPr>
              <w:pStyle w:val="Tabletext"/>
              <w:jc w:val="center"/>
            </w:pPr>
            <w:r w:rsidRPr="003B1A1E">
              <w:t>88,0</w:t>
            </w:r>
          </w:p>
        </w:tc>
        <w:tc>
          <w:tcPr>
            <w:tcW w:w="1507" w:type="dxa"/>
          </w:tcPr>
          <w:p w14:paraId="644ADF24" w14:textId="3EE6F9D8" w:rsidR="004D21D9" w:rsidRPr="003B1A1E" w:rsidRDefault="004D21D9" w:rsidP="004D21D9">
            <w:pPr>
              <w:pStyle w:val="Tabletext"/>
              <w:jc w:val="center"/>
            </w:pPr>
            <w:r w:rsidRPr="003B1A1E">
              <w:t>89,7</w:t>
            </w:r>
          </w:p>
        </w:tc>
        <w:tc>
          <w:tcPr>
            <w:tcW w:w="1499" w:type="dxa"/>
          </w:tcPr>
          <w:p w14:paraId="275F4D4F" w14:textId="5D97C8D0" w:rsidR="004D21D9" w:rsidRPr="003B1A1E" w:rsidRDefault="004D21D9" w:rsidP="004D21D9">
            <w:pPr>
              <w:pStyle w:val="Tabletext"/>
              <w:jc w:val="center"/>
            </w:pPr>
            <w:r w:rsidRPr="003B1A1E">
              <w:t>Augmentation de 3,2%</w:t>
            </w:r>
          </w:p>
        </w:tc>
      </w:tr>
    </w:tbl>
    <w:p w14:paraId="05309BCC" w14:textId="4BF3C5BC" w:rsidR="00897553" w:rsidRPr="003B1A1E" w:rsidRDefault="006A11AE" w:rsidP="00E1605D">
      <w:pPr>
        <w:spacing w:before="240"/>
        <w:jc w:val="center"/>
      </w:pPr>
      <w:r w:rsidRPr="003B1A1E">
        <w:t>______________</w:t>
      </w:r>
    </w:p>
    <w:sectPr w:rsidR="00897553" w:rsidRPr="003B1A1E" w:rsidSect="004D21D9">
      <w:footerReference w:type="default" r:id="rId19"/>
      <w:headerReference w:type="first" r:id="rId20"/>
      <w:pgSz w:w="11907" w:h="16840" w:code="9"/>
      <w:pgMar w:top="1418" w:right="1418" w:bottom="1418" w:left="1418" w:header="720" w:footer="720" w:gutter="0"/>
      <w:paperSrc w:first="286" w:other="286"/>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B8E9E6" w14:textId="77777777" w:rsidR="00566679" w:rsidRDefault="00566679">
      <w:r>
        <w:separator/>
      </w:r>
    </w:p>
  </w:endnote>
  <w:endnote w:type="continuationSeparator" w:id="0">
    <w:p w14:paraId="3D4797BD" w14:textId="77777777" w:rsidR="00566679" w:rsidRDefault="0056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F0A98" w14:textId="636FB4F7" w:rsidR="00732045" w:rsidRPr="00FE226D" w:rsidRDefault="00BA6826">
    <w:pPr>
      <w:pStyle w:val="Footer"/>
      <w:rPr>
        <w:lang w:val="en-GB"/>
      </w:rPr>
    </w:pPr>
    <w:r>
      <w:fldChar w:fldCharType="begin"/>
    </w:r>
    <w:r w:rsidRPr="00FE226D">
      <w:rPr>
        <w:lang w:val="en-GB"/>
      </w:rPr>
      <w:instrText xml:space="preserve"> FILENAME \p \* MERGEFORMAT </w:instrText>
    </w:r>
    <w:r>
      <w:fldChar w:fldCharType="separate"/>
    </w:r>
    <w:r w:rsidR="00D5511D" w:rsidRPr="00FE226D">
      <w:rPr>
        <w:lang w:val="en-GB"/>
      </w:rPr>
      <w:t>P:\FRA\gDoc\SG\C24\24-00550F.docx</w:t>
    </w:r>
    <w:r>
      <w:fldChar w:fldCharType="end"/>
    </w:r>
    <w:r w:rsidR="00732045" w:rsidRPr="00FE226D">
      <w:rPr>
        <w:lang w:val="en-GB"/>
      </w:rPr>
      <w:tab/>
    </w:r>
    <w:r w:rsidR="002F1B76">
      <w:fldChar w:fldCharType="begin"/>
    </w:r>
    <w:r w:rsidR="00732045">
      <w:instrText xml:space="preserve"> savedate \@ dd.MM.yy </w:instrText>
    </w:r>
    <w:r w:rsidR="002F1B76">
      <w:fldChar w:fldCharType="separate"/>
    </w:r>
    <w:r w:rsidR="00FE226D">
      <w:t>06.05.24</w:t>
    </w:r>
    <w:r w:rsidR="002F1B76">
      <w:fldChar w:fldCharType="end"/>
    </w:r>
    <w:r w:rsidR="00732045" w:rsidRPr="00FE226D">
      <w:rPr>
        <w:lang w:val="en-GB"/>
      </w:rPr>
      <w:tab/>
    </w:r>
    <w:r w:rsidR="002F1B76">
      <w:fldChar w:fldCharType="begin"/>
    </w:r>
    <w:r w:rsidR="00732045">
      <w:instrText xml:space="preserve"> printdate \@ dd.MM.yy </w:instrText>
    </w:r>
    <w:r w:rsidR="002F1B76">
      <w:fldChar w:fldCharType="separate"/>
    </w:r>
    <w:r w:rsidR="00D5511D">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4C87AA90" w14:textId="77777777" w:rsidTr="00E31DCE">
      <w:trPr>
        <w:jc w:val="center"/>
      </w:trPr>
      <w:tc>
        <w:tcPr>
          <w:tcW w:w="1803" w:type="dxa"/>
          <w:vAlign w:val="center"/>
        </w:tcPr>
        <w:p w14:paraId="2C2E77A4" w14:textId="307F51BC" w:rsidR="00A51849" w:rsidRDefault="00A51849" w:rsidP="00A51849">
          <w:pPr>
            <w:pStyle w:val="Header"/>
            <w:jc w:val="left"/>
            <w:rPr>
              <w:noProof/>
            </w:rPr>
          </w:pPr>
        </w:p>
      </w:tc>
      <w:tc>
        <w:tcPr>
          <w:tcW w:w="8261" w:type="dxa"/>
        </w:tcPr>
        <w:p w14:paraId="0DB0A3C6" w14:textId="3A929367"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423EC0">
            <w:rPr>
              <w:bCs/>
            </w:rPr>
            <w:t>56</w:t>
          </w:r>
          <w:r w:rsidRPr="00623AE3">
            <w:rPr>
              <w:bCs/>
            </w:rPr>
            <w:t>-</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502C4C80" w:rsidR="00732045" w:rsidRPr="00A51849" w:rsidRDefault="00732045" w:rsidP="006A11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A51849" w:rsidRPr="00784011" w14:paraId="5C9C0095" w14:textId="77777777" w:rsidTr="00E31DCE">
      <w:trPr>
        <w:jc w:val="center"/>
      </w:trPr>
      <w:tc>
        <w:tcPr>
          <w:tcW w:w="1803" w:type="dxa"/>
          <w:vAlign w:val="center"/>
        </w:tcPr>
        <w:p w14:paraId="5151DAA0" w14:textId="77777777" w:rsidR="00A51849" w:rsidRPr="0082299A" w:rsidRDefault="003B1A1E" w:rsidP="00A51849">
          <w:pPr>
            <w:pStyle w:val="Header"/>
            <w:jc w:val="left"/>
            <w:rPr>
              <w:noProof/>
              <w:color w:val="0563C1"/>
            </w:rPr>
          </w:pPr>
          <w:hyperlink r:id="rId1" w:history="1">
            <w:r w:rsidR="00A51849" w:rsidRPr="0082299A">
              <w:rPr>
                <w:rStyle w:val="Hyperlink"/>
                <w:color w:val="0563C1"/>
                <w:szCs w:val="14"/>
              </w:rPr>
              <w:t>www.itu.int/council</w:t>
            </w:r>
          </w:hyperlink>
        </w:p>
      </w:tc>
      <w:tc>
        <w:tcPr>
          <w:tcW w:w="8261" w:type="dxa"/>
        </w:tcPr>
        <w:p w14:paraId="4C3D0956" w14:textId="270D38DE"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73275D">
            <w:rPr>
              <w:bCs/>
            </w:rPr>
            <w:t>4</w:t>
          </w:r>
          <w:r w:rsidRPr="00623AE3">
            <w:rPr>
              <w:bCs/>
            </w:rPr>
            <w:t>/</w:t>
          </w:r>
          <w:r w:rsidR="00B704CF">
            <w:rPr>
              <w:bCs/>
            </w:rPr>
            <w:t>56</w:t>
          </w:r>
          <w:r w:rsidRPr="00623AE3">
            <w:rPr>
              <w:bCs/>
            </w:rPr>
            <w:t>-</w:t>
          </w:r>
          <w:r w:rsidR="00D72F49">
            <w:rPr>
              <w:bCs/>
            </w:rPr>
            <w:t>F</w:t>
          </w:r>
          <w:r>
            <w:rPr>
              <w:bCs/>
            </w:rPr>
            <w:tab/>
          </w:r>
          <w:r>
            <w:fldChar w:fldCharType="begin"/>
          </w:r>
          <w:r>
            <w:instrText>PAGE</w:instrText>
          </w:r>
          <w:r>
            <w:fldChar w:fldCharType="separate"/>
          </w:r>
          <w:r>
            <w:t>1</w:t>
          </w:r>
          <w:r>
            <w:rPr>
              <w:noProof/>
            </w:rPr>
            <w:fldChar w:fldCharType="end"/>
          </w:r>
        </w:p>
      </w:tc>
    </w:tr>
  </w:tbl>
  <w:p w14:paraId="67CF33E3" w14:textId="5F6BB32E" w:rsidR="00732045" w:rsidRPr="00A51849" w:rsidRDefault="00732045" w:rsidP="006A11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53116F" w:rsidRPr="00784011" w14:paraId="25AD5FA7" w14:textId="77777777" w:rsidTr="00014F85">
      <w:trPr>
        <w:jc w:val="center"/>
      </w:trPr>
      <w:tc>
        <w:tcPr>
          <w:tcW w:w="1803" w:type="dxa"/>
          <w:vAlign w:val="center"/>
        </w:tcPr>
        <w:p w14:paraId="3E64E5F4" w14:textId="77777777" w:rsidR="0053116F" w:rsidRDefault="0053116F" w:rsidP="0053116F">
          <w:pPr>
            <w:pStyle w:val="Header"/>
            <w:jc w:val="left"/>
            <w:rPr>
              <w:noProof/>
            </w:rPr>
          </w:pPr>
        </w:p>
      </w:tc>
      <w:tc>
        <w:tcPr>
          <w:tcW w:w="8261" w:type="dxa"/>
        </w:tcPr>
        <w:p w14:paraId="3FD6920A" w14:textId="77777777" w:rsidR="0053116F" w:rsidRPr="00E06FD5" w:rsidRDefault="0053116F" w:rsidP="0053116F">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24</w:t>
          </w:r>
          <w:r w:rsidRPr="00623AE3">
            <w:rPr>
              <w:bCs/>
            </w:rPr>
            <w:t>/</w:t>
          </w:r>
          <w:r>
            <w:rPr>
              <w:bCs/>
            </w:rPr>
            <w:t>56</w:t>
          </w:r>
          <w:r w:rsidRPr="00623AE3">
            <w:rPr>
              <w:bCs/>
            </w:rPr>
            <w:t>-</w:t>
          </w:r>
          <w:r>
            <w:rPr>
              <w:bCs/>
            </w:rPr>
            <w:t>F</w:t>
          </w:r>
          <w:r>
            <w:rPr>
              <w:bCs/>
            </w:rPr>
            <w:tab/>
          </w:r>
          <w:r>
            <w:fldChar w:fldCharType="begin"/>
          </w:r>
          <w:r>
            <w:instrText>PAGE</w:instrText>
          </w:r>
          <w:r>
            <w:fldChar w:fldCharType="separate"/>
          </w:r>
          <w:r>
            <w:t>4</w:t>
          </w:r>
          <w:r>
            <w:rPr>
              <w:noProof/>
            </w:rPr>
            <w:fldChar w:fldCharType="end"/>
          </w:r>
        </w:p>
      </w:tc>
    </w:tr>
  </w:tbl>
  <w:p w14:paraId="073B513A" w14:textId="77777777" w:rsidR="0053116F" w:rsidRPr="00A51849" w:rsidRDefault="0053116F" w:rsidP="00531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12B46" w14:textId="77777777" w:rsidR="00566679" w:rsidRDefault="00566679">
      <w:r>
        <w:t>____________________</w:t>
      </w:r>
    </w:p>
  </w:footnote>
  <w:footnote w:type="continuationSeparator" w:id="0">
    <w:p w14:paraId="073173F3" w14:textId="77777777" w:rsidR="00566679" w:rsidRDefault="00566679">
      <w:r>
        <w:continuationSeparator/>
      </w:r>
    </w:p>
  </w:footnote>
  <w:footnote w:id="1">
    <w:p w14:paraId="0FD9BD16" w14:textId="3001676B" w:rsidR="00423EC0" w:rsidRDefault="00423EC0" w:rsidP="009D7D93">
      <w:pPr>
        <w:pStyle w:val="FootnoteText"/>
      </w:pPr>
      <w:r>
        <w:rPr>
          <w:rStyle w:val="FootnoteReference"/>
        </w:rPr>
        <w:footnoteRef/>
      </w:r>
      <w:r>
        <w:tab/>
        <w:t>"d</w:t>
      </w:r>
      <w:r w:rsidR="003B1A1E">
        <w:t>'</w:t>
      </w:r>
      <w:r>
        <w:t>autoriser le Secrétaire général, dans le cadre de la mise en œuvre du budget pour</w:t>
      </w:r>
      <w:r w:rsidR="009D7D93">
        <w:t> </w:t>
      </w:r>
      <w:r>
        <w:t>2024-2025, à ajuster les crédits budgétaires en rapport avec les postes de dépenses indiqués aux points a) et b) ci-après, conformément aux modifications effectives, par le biais de l</w:t>
      </w:r>
      <w:r w:rsidR="003B1A1E">
        <w:t>'</w:t>
      </w:r>
      <w:r>
        <w:t>utilisation du Fonds de réserve et à condition que le niveau de ce Fonds reste le même que celui qui est prescrit dans la Décision 5 (Rév. Bucarest, 2022) de la Conférence de plénipotentiaires:</w:t>
      </w:r>
    </w:p>
    <w:p w14:paraId="2F37B701" w14:textId="4ED32DC2" w:rsidR="00423EC0" w:rsidRDefault="00423EC0" w:rsidP="009D7D93">
      <w:pPr>
        <w:pStyle w:val="FootnoteText"/>
        <w:tabs>
          <w:tab w:val="clear" w:pos="256"/>
          <w:tab w:val="clear" w:pos="567"/>
        </w:tabs>
        <w:spacing w:before="0"/>
        <w:ind w:left="567" w:hanging="283"/>
      </w:pPr>
      <w:r>
        <w:t>a)</w:t>
      </w:r>
      <w:r>
        <w:tab/>
        <w:t>augmentation des barèmes de traitement, contributions au titre des pensions et indemnités y compris les indemnités de poste applicables à Genève, telles qu</w:t>
      </w:r>
      <w:r w:rsidR="003B1A1E">
        <w:t>'</w:t>
      </w:r>
      <w:r>
        <w:t>établies par le régime commun des Nations Unies;</w:t>
      </w:r>
    </w:p>
    <w:p w14:paraId="07747C2E" w14:textId="77777777" w:rsidR="00423EC0" w:rsidRDefault="00423EC0" w:rsidP="009D7D93">
      <w:pPr>
        <w:pStyle w:val="FootnoteText"/>
        <w:tabs>
          <w:tab w:val="clear" w:pos="256"/>
          <w:tab w:val="clear" w:pos="567"/>
        </w:tabs>
        <w:spacing w:before="0"/>
        <w:ind w:left="567" w:hanging="283"/>
      </w:pPr>
      <w:r>
        <w:t>b)</w:t>
      </w:r>
      <w:r>
        <w:tab/>
        <w:t>fluctuations du taux de change entre le franc suisse et le dollar des États-Unis, dans la mesure où elles influent sur les dépenses afférentes au personnel payé selon le barème des Nations Unies."</w:t>
      </w:r>
    </w:p>
  </w:footnote>
  <w:footnote w:id="2">
    <w:p w14:paraId="61F0E356" w14:textId="4BEBF1D1" w:rsidR="004D21D9" w:rsidRPr="00F37899" w:rsidRDefault="004D21D9" w:rsidP="004D21D9">
      <w:pPr>
        <w:pStyle w:val="FootnoteText"/>
        <w:rPr>
          <w:sz w:val="20"/>
        </w:rPr>
      </w:pPr>
      <w:r>
        <w:rPr>
          <w:rStyle w:val="FootnoteReference"/>
          <w:sz w:val="22"/>
          <w:szCs w:val="22"/>
        </w:rPr>
        <w:footnoteRef/>
      </w:r>
      <w:r>
        <w:tab/>
        <w:t>La règle des 0,5 % vise à stabiliser le traitement net en monnaie locale en limitant les fluctuations dues au taux de change à plus ou moins 0,5% d</w:t>
      </w:r>
      <w:r w:rsidR="003B1A1E">
        <w:t>'</w:t>
      </w:r>
      <w:r>
        <w:t>un mois à l</w:t>
      </w:r>
      <w:r w:rsidR="003B1A1E">
        <w:t>'</w:t>
      </w:r>
      <w:r>
        <w:t>autre. Le traitement net en monnaie locale est maintenu dans une fourchette de plus ou moins</w:t>
      </w:r>
      <w:r w:rsidR="003B1A1E">
        <w:t> </w:t>
      </w:r>
      <w:r>
        <w:t>0,5% d</w:t>
      </w:r>
      <w:r w:rsidR="003B1A1E">
        <w:t>'</w:t>
      </w:r>
      <w:r>
        <w:t>un niveau de rémunération fixé jusqu</w:t>
      </w:r>
      <w:r w:rsidR="003B1A1E">
        <w:t>'</w:t>
      </w:r>
      <w:r>
        <w:t>à la prochaine date de révision, à</w:t>
      </w:r>
      <w:r w:rsidR="003B1A1E">
        <w:t> </w:t>
      </w:r>
      <w:r>
        <w:t xml:space="preserve">savoir </w:t>
      </w:r>
      <w:r w:rsidRPr="0057010C">
        <w:t>lorsqu</w:t>
      </w:r>
      <w:r w:rsidR="003B1A1E">
        <w:t>'</w:t>
      </w:r>
      <w:r w:rsidRPr="0057010C">
        <w:t xml:space="preserve">une augmentation </w:t>
      </w:r>
      <w:r>
        <w:t>d</w:t>
      </w:r>
      <w:r w:rsidR="003B1A1E">
        <w:t>'</w:t>
      </w:r>
      <w:r>
        <w:t>au moins</w:t>
      </w:r>
      <w:r w:rsidRPr="0057010C">
        <w:t xml:space="preserve"> 5</w:t>
      </w:r>
      <w:r>
        <w:t>%</w:t>
      </w:r>
      <w:r w:rsidRPr="0057010C">
        <w:t xml:space="preserve"> de l</w:t>
      </w:r>
      <w:r w:rsidR="003B1A1E">
        <w:t>'</w:t>
      </w:r>
      <w:r w:rsidRPr="0057010C">
        <w:t>indice du coût de la vie a</w:t>
      </w:r>
      <w:r>
        <w:t>ura</w:t>
      </w:r>
      <w:r w:rsidRPr="0057010C">
        <w:t xml:space="preserve"> été mesurée ou qu</w:t>
      </w:r>
      <w:r w:rsidR="003B1A1E">
        <w:t>'</w:t>
      </w:r>
      <w:r w:rsidRPr="0057010C">
        <w:t xml:space="preserve">une période de 12 mois </w:t>
      </w:r>
      <w:r>
        <w:t xml:space="preserve">se sera </w:t>
      </w:r>
      <w:r w:rsidRPr="0057010C">
        <w:t>écoulé</w:t>
      </w:r>
      <w:r>
        <w:t>e, quelle que soit la raison qui intervient en premier.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1872451"/>
      <w:docPartObj>
        <w:docPartGallery w:val="Page Numbers (Top of Page)"/>
        <w:docPartUnique/>
      </w:docPartObj>
    </w:sdtPr>
    <w:sdtEndPr>
      <w:rPr>
        <w:noProof/>
      </w:rPr>
    </w:sdtEndPr>
    <w:sdtContent>
      <w:p w14:paraId="7EB64A1D" w14:textId="0B79A9FB" w:rsidR="006A11AE" w:rsidRDefault="006A11AE">
        <w:pPr>
          <w:pStyle w:val="Header"/>
        </w:pPr>
        <w:r>
          <w:fldChar w:fldCharType="begin"/>
        </w:r>
        <w:r>
          <w:instrText xml:space="preserve"> PAGE   \* MERGEFORMAT </w:instrText>
        </w:r>
        <w:r>
          <w:fldChar w:fldCharType="separate"/>
        </w:r>
        <w:r>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00251A84" w:rsidR="00A51849" w:rsidRPr="009621F8" w:rsidRDefault="0082299A" w:rsidP="00A51849">
          <w:pPr>
            <w:pStyle w:val="Header"/>
            <w:jc w:val="left"/>
            <w:rPr>
              <w:rFonts w:ascii="Arial" w:hAnsi="Arial" w:cs="Arial"/>
              <w:b/>
              <w:bCs/>
              <w:color w:val="009CD6"/>
              <w:sz w:val="36"/>
              <w:szCs w:val="36"/>
            </w:rPr>
          </w:pPr>
          <w:r>
            <w:rPr>
              <w:noProof/>
            </w:rPr>
            <w:drawing>
              <wp:inline distT="0" distB="0" distL="0" distR="0" wp14:anchorId="68486828" wp14:editId="1DE66D1A">
                <wp:extent cx="2102400" cy="558000"/>
                <wp:effectExtent l="0" t="0" r="0" b="0"/>
                <wp:docPr id="230141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44368" w:rsidRPr="00784011" w14:paraId="5E229356" w14:textId="77777777" w:rsidTr="00E31DCE">
      <w:trPr>
        <w:trHeight w:val="1104"/>
        <w:jc w:val="center"/>
      </w:trPr>
      <w:tc>
        <w:tcPr>
          <w:tcW w:w="4390" w:type="dxa"/>
          <w:vAlign w:val="center"/>
        </w:tcPr>
        <w:p w14:paraId="22ABB0DB" w14:textId="77777777" w:rsidR="00E44368" w:rsidRPr="009621F8" w:rsidRDefault="00E44368" w:rsidP="00A51849">
          <w:pPr>
            <w:pStyle w:val="Header"/>
            <w:jc w:val="left"/>
            <w:rPr>
              <w:rFonts w:ascii="Arial" w:hAnsi="Arial" w:cs="Arial"/>
              <w:b/>
              <w:bCs/>
              <w:color w:val="009CD6"/>
              <w:sz w:val="36"/>
              <w:szCs w:val="36"/>
            </w:rPr>
          </w:pPr>
          <w:r>
            <w:rPr>
              <w:noProof/>
            </w:rPr>
            <w:drawing>
              <wp:inline distT="0" distB="0" distL="0" distR="0" wp14:anchorId="6617DDC7" wp14:editId="3CA3FC07">
                <wp:extent cx="2102400" cy="558000"/>
                <wp:effectExtent l="0" t="0" r="0" b="0"/>
                <wp:docPr id="10771193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2400" cy="558000"/>
                        </a:xfrm>
                        <a:prstGeom prst="rect">
                          <a:avLst/>
                        </a:prstGeom>
                        <a:noFill/>
                        <a:ln>
                          <a:noFill/>
                        </a:ln>
                      </pic:spPr>
                    </pic:pic>
                  </a:graphicData>
                </a:graphic>
              </wp:inline>
            </w:drawing>
          </w:r>
        </w:p>
      </w:tc>
      <w:tc>
        <w:tcPr>
          <w:tcW w:w="5630" w:type="dxa"/>
        </w:tcPr>
        <w:p w14:paraId="2FAC8F1C" w14:textId="77777777" w:rsidR="00E44368" w:rsidRDefault="00E44368" w:rsidP="00A51849">
          <w:pPr>
            <w:pStyle w:val="Header"/>
            <w:jc w:val="right"/>
            <w:rPr>
              <w:rFonts w:ascii="Arial" w:hAnsi="Arial" w:cs="Arial"/>
              <w:b/>
              <w:bCs/>
              <w:color w:val="009CD6"/>
              <w:szCs w:val="18"/>
            </w:rPr>
          </w:pPr>
        </w:p>
        <w:p w14:paraId="09FAFEF1" w14:textId="77777777" w:rsidR="00E44368" w:rsidRDefault="00E44368" w:rsidP="00A51849">
          <w:pPr>
            <w:pStyle w:val="Header"/>
            <w:jc w:val="right"/>
            <w:rPr>
              <w:rFonts w:ascii="Arial" w:hAnsi="Arial" w:cs="Arial"/>
              <w:b/>
              <w:bCs/>
              <w:color w:val="009CD6"/>
              <w:szCs w:val="18"/>
            </w:rPr>
          </w:pPr>
        </w:p>
        <w:p w14:paraId="7D1307E3" w14:textId="77777777" w:rsidR="00E44368" w:rsidRPr="00784011" w:rsidRDefault="00E44368"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6F7B3E74" w14:textId="77777777" w:rsidR="00E44368" w:rsidRDefault="00E44368">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61312" behindDoc="0" locked="0" layoutInCell="1" allowOverlap="1" wp14:anchorId="7A085F1F" wp14:editId="2E362C83">
              <wp:simplePos x="0" y="0"/>
              <wp:positionH relativeFrom="page">
                <wp:posOffset>12065</wp:posOffset>
              </wp:positionH>
              <wp:positionV relativeFrom="topMargin">
                <wp:posOffset>652450</wp:posOffset>
              </wp:positionV>
              <wp:extent cx="92075" cy="360680"/>
              <wp:effectExtent l="0" t="0" r="3175" b="12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B39D9" id="Rectangle 4" o:spid="_x0000_s1026" style="position:absolute;margin-left:.95pt;margin-top:51.35pt;width:7.25pt;height:2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8F"/>
    <w:rsid w:val="00076A2C"/>
    <w:rsid w:val="00092374"/>
    <w:rsid w:val="000D0D0A"/>
    <w:rsid w:val="00103163"/>
    <w:rsid w:val="00106B19"/>
    <w:rsid w:val="001133EF"/>
    <w:rsid w:val="00115D93"/>
    <w:rsid w:val="001247A8"/>
    <w:rsid w:val="001378C0"/>
    <w:rsid w:val="0018694A"/>
    <w:rsid w:val="001A3287"/>
    <w:rsid w:val="001A6508"/>
    <w:rsid w:val="001C7DFA"/>
    <w:rsid w:val="001D4C31"/>
    <w:rsid w:val="001E4D21"/>
    <w:rsid w:val="00207CD1"/>
    <w:rsid w:val="00226657"/>
    <w:rsid w:val="002477A2"/>
    <w:rsid w:val="00263A51"/>
    <w:rsid w:val="00267E02"/>
    <w:rsid w:val="002A5D44"/>
    <w:rsid w:val="002E0BC4"/>
    <w:rsid w:val="002F1B76"/>
    <w:rsid w:val="0033568E"/>
    <w:rsid w:val="00355FF5"/>
    <w:rsid w:val="00361350"/>
    <w:rsid w:val="003B1A1E"/>
    <w:rsid w:val="003C3FAE"/>
    <w:rsid w:val="004038CB"/>
    <w:rsid w:val="0040546F"/>
    <w:rsid w:val="00423EC0"/>
    <w:rsid w:val="0042404A"/>
    <w:rsid w:val="0044618F"/>
    <w:rsid w:val="00461911"/>
    <w:rsid w:val="0046769A"/>
    <w:rsid w:val="00475FB3"/>
    <w:rsid w:val="004C37A9"/>
    <w:rsid w:val="004D1D50"/>
    <w:rsid w:val="004D21D9"/>
    <w:rsid w:val="004E40A9"/>
    <w:rsid w:val="004F259E"/>
    <w:rsid w:val="00511F1D"/>
    <w:rsid w:val="00520F36"/>
    <w:rsid w:val="0053116F"/>
    <w:rsid w:val="00534E13"/>
    <w:rsid w:val="00540615"/>
    <w:rsid w:val="00540A6D"/>
    <w:rsid w:val="00566679"/>
    <w:rsid w:val="00571EEA"/>
    <w:rsid w:val="00575417"/>
    <w:rsid w:val="005768E1"/>
    <w:rsid w:val="005B1938"/>
    <w:rsid w:val="005C3890"/>
    <w:rsid w:val="005F7BFE"/>
    <w:rsid w:val="00600017"/>
    <w:rsid w:val="006235CA"/>
    <w:rsid w:val="006643AB"/>
    <w:rsid w:val="006A11AE"/>
    <w:rsid w:val="006F0A53"/>
    <w:rsid w:val="007210CD"/>
    <w:rsid w:val="00732045"/>
    <w:rsid w:val="0073275D"/>
    <w:rsid w:val="007369DB"/>
    <w:rsid w:val="007956C2"/>
    <w:rsid w:val="007A187E"/>
    <w:rsid w:val="007C72C2"/>
    <w:rsid w:val="007D4436"/>
    <w:rsid w:val="007F257A"/>
    <w:rsid w:val="007F3665"/>
    <w:rsid w:val="00800037"/>
    <w:rsid w:val="0082299A"/>
    <w:rsid w:val="0083391C"/>
    <w:rsid w:val="00861D73"/>
    <w:rsid w:val="00897553"/>
    <w:rsid w:val="008A4E87"/>
    <w:rsid w:val="008D76E6"/>
    <w:rsid w:val="0092392D"/>
    <w:rsid w:val="0093234A"/>
    <w:rsid w:val="00956A78"/>
    <w:rsid w:val="0097363B"/>
    <w:rsid w:val="00973F53"/>
    <w:rsid w:val="009A6BAA"/>
    <w:rsid w:val="009C307F"/>
    <w:rsid w:val="009C353C"/>
    <w:rsid w:val="009D7D93"/>
    <w:rsid w:val="00A2113E"/>
    <w:rsid w:val="00A23A51"/>
    <w:rsid w:val="00A24607"/>
    <w:rsid w:val="00A25CD3"/>
    <w:rsid w:val="00A51849"/>
    <w:rsid w:val="00A709FE"/>
    <w:rsid w:val="00A73C60"/>
    <w:rsid w:val="00A82767"/>
    <w:rsid w:val="00AA332F"/>
    <w:rsid w:val="00AA7BBB"/>
    <w:rsid w:val="00AB64A8"/>
    <w:rsid w:val="00AC0266"/>
    <w:rsid w:val="00AD24EC"/>
    <w:rsid w:val="00B309F9"/>
    <w:rsid w:val="00B32B60"/>
    <w:rsid w:val="00B61619"/>
    <w:rsid w:val="00B704CF"/>
    <w:rsid w:val="00BA6826"/>
    <w:rsid w:val="00BB4545"/>
    <w:rsid w:val="00BD5873"/>
    <w:rsid w:val="00BF4B60"/>
    <w:rsid w:val="00C04BE3"/>
    <w:rsid w:val="00C25D29"/>
    <w:rsid w:val="00C27A7C"/>
    <w:rsid w:val="00C42437"/>
    <w:rsid w:val="00CA08ED"/>
    <w:rsid w:val="00CF183B"/>
    <w:rsid w:val="00D375CD"/>
    <w:rsid w:val="00D5511D"/>
    <w:rsid w:val="00D553A2"/>
    <w:rsid w:val="00D72F49"/>
    <w:rsid w:val="00D774D3"/>
    <w:rsid w:val="00D904E8"/>
    <w:rsid w:val="00DA08C3"/>
    <w:rsid w:val="00DB5A3E"/>
    <w:rsid w:val="00DC22AA"/>
    <w:rsid w:val="00DF74DD"/>
    <w:rsid w:val="00E1605D"/>
    <w:rsid w:val="00E25AD0"/>
    <w:rsid w:val="00E4428F"/>
    <w:rsid w:val="00E44368"/>
    <w:rsid w:val="00E93668"/>
    <w:rsid w:val="00E95647"/>
    <w:rsid w:val="00EB6350"/>
    <w:rsid w:val="00F15B57"/>
    <w:rsid w:val="00F35EF4"/>
    <w:rsid w:val="00F37FE5"/>
    <w:rsid w:val="00F427DB"/>
    <w:rsid w:val="00FA5EB1"/>
    <w:rsid w:val="00FA7439"/>
    <w:rsid w:val="00FC4EC0"/>
    <w:rsid w:val="00FE226D"/>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uiPriority w:val="99"/>
    <w:rsid w:val="00732045"/>
    <w:rPr>
      <w:rFonts w:ascii="Calibri" w:hAnsi="Calibri"/>
      <w:position w:val="6"/>
      <w:sz w:val="16"/>
    </w:rPr>
  </w:style>
  <w:style w:type="paragraph" w:styleId="FootnoteText">
    <w:name w:val="footnote text"/>
    <w:basedOn w:val="Normal"/>
    <w:link w:val="FootnoteTextChar"/>
    <w:uiPriority w:val="99"/>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character" w:customStyle="1" w:styleId="FootnoteTextChar">
    <w:name w:val="Footnote Text Char"/>
    <w:basedOn w:val="DefaultParagraphFont"/>
    <w:link w:val="FootnoteText"/>
    <w:uiPriority w:val="99"/>
    <w:rsid w:val="00423EC0"/>
    <w:rPr>
      <w:rFonts w:ascii="Calibri" w:hAnsi="Calibri"/>
      <w:sz w:val="24"/>
      <w:lang w:val="fr-FR" w:eastAsia="en-US"/>
    </w:rPr>
  </w:style>
  <w:style w:type="character" w:styleId="UnresolvedMention">
    <w:name w:val="Unresolved Mention"/>
    <w:basedOn w:val="DefaultParagraphFont"/>
    <w:uiPriority w:val="99"/>
    <w:semiHidden/>
    <w:unhideWhenUsed/>
    <w:rsid w:val="00423EC0"/>
    <w:rPr>
      <w:color w:val="605E5C"/>
      <w:shd w:val="clear" w:color="auto" w:fill="E1DFDD"/>
    </w:rPr>
  </w:style>
  <w:style w:type="paragraph" w:customStyle="1" w:styleId="Default">
    <w:name w:val="Default"/>
    <w:rsid w:val="004D21D9"/>
    <w:pPr>
      <w:autoSpaceDE w:val="0"/>
      <w:autoSpaceDN w:val="0"/>
      <w:adjustRightInd w:val="0"/>
    </w:pPr>
    <w:rPr>
      <w:rFonts w:ascii="Times New Roman" w:eastAsia="SimSun" w:hAnsi="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118/fr" TargetMode="External"/><Relationship Id="rId13" Type="http://schemas.openxmlformats.org/officeDocument/2006/relationships/header" Target="header2.xm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itu.int/md/S23-CL-C-0056/fr"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undocs.org/Home/Mobile?FinalSymbol=a%2Fres%2F69%2F251&amp;Language=E&amp;DeviceType=Desktop&amp;LangRequested=Fals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undocs.org/Home/Mobile?FinalSymbol=A%2FRES%2F70%2F244&amp;Language=E&amp;DeviceType=Desktop&amp;LangRequested=False"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s://apps.who.int/gb/ebwha/pdf_files/WHA76/A_RES_77_256_A-B-en.pdf" TargetMode="External"/><Relationship Id="rId14" Type="http://schemas.openxmlformats.org/officeDocument/2006/relationships/footer" Target="foot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56FDB-F5DA-4870-9CD4-F8AB5BA7B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6</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6833</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Conseil 2024 de l'UIT</dc:subject>
  <dc:creator>Xue, Kun</dc:creator>
  <cp:keywords>C2024, C24, Council-24</cp:keywords>
  <dc:description/>
  <cp:lastModifiedBy>French</cp:lastModifiedBy>
  <cp:revision>9</cp:revision>
  <cp:lastPrinted>2000-07-18T08:55:00Z</cp:lastPrinted>
  <dcterms:created xsi:type="dcterms:W3CDTF">2024-05-03T14:13:00Z</dcterms:created>
  <dcterms:modified xsi:type="dcterms:W3CDTF">2024-05-06T07:30:00Z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