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95F2C" w14:paraId="2592CC74" w14:textId="77777777" w:rsidTr="00D72F49">
        <w:trPr>
          <w:cantSplit/>
          <w:trHeight w:val="23"/>
        </w:trPr>
        <w:tc>
          <w:tcPr>
            <w:tcW w:w="3969" w:type="dxa"/>
            <w:vMerge w:val="restart"/>
            <w:tcMar>
              <w:left w:w="0" w:type="dxa"/>
            </w:tcMar>
          </w:tcPr>
          <w:p w14:paraId="27E56DEB" w14:textId="156FEE60" w:rsidR="00D72F49" w:rsidRPr="00795F2C" w:rsidRDefault="00D72F49" w:rsidP="00D72F49">
            <w:pPr>
              <w:tabs>
                <w:tab w:val="left" w:pos="851"/>
              </w:tabs>
              <w:spacing w:before="0" w:line="240" w:lineRule="atLeast"/>
              <w:rPr>
                <w:b/>
              </w:rPr>
            </w:pPr>
            <w:r w:rsidRPr="00795F2C">
              <w:rPr>
                <w:b/>
              </w:rPr>
              <w:t>Point de l'ordre du jour:</w:t>
            </w:r>
            <w:r w:rsidR="0025070C" w:rsidRPr="00795F2C">
              <w:rPr>
                <w:b/>
              </w:rPr>
              <w:t xml:space="preserve"> ADM 2</w:t>
            </w:r>
          </w:p>
        </w:tc>
        <w:tc>
          <w:tcPr>
            <w:tcW w:w="5245" w:type="dxa"/>
          </w:tcPr>
          <w:p w14:paraId="27B6A98A" w14:textId="1C1022CB" w:rsidR="00D72F49" w:rsidRPr="00795F2C" w:rsidRDefault="00D72F49" w:rsidP="00D72F49">
            <w:pPr>
              <w:tabs>
                <w:tab w:val="left" w:pos="851"/>
              </w:tabs>
              <w:spacing w:before="0" w:line="240" w:lineRule="atLeast"/>
              <w:jc w:val="right"/>
              <w:rPr>
                <w:b/>
              </w:rPr>
            </w:pPr>
            <w:r w:rsidRPr="00795F2C">
              <w:rPr>
                <w:b/>
              </w:rPr>
              <w:t>Document C2</w:t>
            </w:r>
            <w:r w:rsidR="0073275D" w:rsidRPr="00795F2C">
              <w:rPr>
                <w:b/>
              </w:rPr>
              <w:t>4</w:t>
            </w:r>
            <w:r w:rsidRPr="00795F2C">
              <w:rPr>
                <w:b/>
              </w:rPr>
              <w:t>/</w:t>
            </w:r>
            <w:r w:rsidR="0025070C" w:rsidRPr="00795F2C">
              <w:rPr>
                <w:b/>
              </w:rPr>
              <w:t>57</w:t>
            </w:r>
            <w:r w:rsidRPr="00795F2C">
              <w:rPr>
                <w:b/>
              </w:rPr>
              <w:t>-F</w:t>
            </w:r>
          </w:p>
        </w:tc>
      </w:tr>
      <w:tr w:rsidR="00D72F49" w:rsidRPr="00795F2C" w14:paraId="41096C77" w14:textId="77777777" w:rsidTr="00D72F49">
        <w:trPr>
          <w:cantSplit/>
        </w:trPr>
        <w:tc>
          <w:tcPr>
            <w:tcW w:w="3969" w:type="dxa"/>
            <w:vMerge/>
          </w:tcPr>
          <w:p w14:paraId="0BBA5643" w14:textId="77777777" w:rsidR="00D72F49" w:rsidRPr="00795F2C" w:rsidRDefault="00D72F49" w:rsidP="00D72F49">
            <w:pPr>
              <w:tabs>
                <w:tab w:val="left" w:pos="851"/>
              </w:tabs>
              <w:spacing w:line="240" w:lineRule="atLeast"/>
              <w:rPr>
                <w:b/>
              </w:rPr>
            </w:pPr>
          </w:p>
        </w:tc>
        <w:tc>
          <w:tcPr>
            <w:tcW w:w="5245" w:type="dxa"/>
          </w:tcPr>
          <w:p w14:paraId="068BECD5" w14:textId="1371CF51" w:rsidR="00D72F49" w:rsidRPr="00795F2C" w:rsidRDefault="0025070C" w:rsidP="00D72F49">
            <w:pPr>
              <w:tabs>
                <w:tab w:val="left" w:pos="851"/>
              </w:tabs>
              <w:spacing w:before="0"/>
              <w:jc w:val="right"/>
              <w:rPr>
                <w:b/>
              </w:rPr>
            </w:pPr>
            <w:r w:rsidRPr="00795F2C">
              <w:rPr>
                <w:b/>
              </w:rPr>
              <w:t>9 avril</w:t>
            </w:r>
            <w:r w:rsidR="00D72F49" w:rsidRPr="00795F2C">
              <w:rPr>
                <w:b/>
              </w:rPr>
              <w:t xml:space="preserve"> 202</w:t>
            </w:r>
            <w:r w:rsidR="0073275D" w:rsidRPr="00795F2C">
              <w:rPr>
                <w:b/>
              </w:rPr>
              <w:t>4</w:t>
            </w:r>
          </w:p>
        </w:tc>
      </w:tr>
      <w:tr w:rsidR="00D72F49" w:rsidRPr="00795F2C" w14:paraId="17E5B988" w14:textId="77777777" w:rsidTr="00D72F49">
        <w:trPr>
          <w:cantSplit/>
          <w:trHeight w:val="23"/>
        </w:trPr>
        <w:tc>
          <w:tcPr>
            <w:tcW w:w="3969" w:type="dxa"/>
            <w:vMerge/>
          </w:tcPr>
          <w:p w14:paraId="2192D6D7" w14:textId="77777777" w:rsidR="00D72F49" w:rsidRPr="00795F2C" w:rsidRDefault="00D72F49" w:rsidP="00D72F49">
            <w:pPr>
              <w:tabs>
                <w:tab w:val="left" w:pos="851"/>
              </w:tabs>
              <w:spacing w:line="240" w:lineRule="atLeast"/>
              <w:rPr>
                <w:b/>
              </w:rPr>
            </w:pPr>
          </w:p>
        </w:tc>
        <w:tc>
          <w:tcPr>
            <w:tcW w:w="5245" w:type="dxa"/>
          </w:tcPr>
          <w:p w14:paraId="1948C622" w14:textId="77777777" w:rsidR="00D72F49" w:rsidRPr="00795F2C" w:rsidRDefault="00D72F49" w:rsidP="00D72F49">
            <w:pPr>
              <w:tabs>
                <w:tab w:val="left" w:pos="851"/>
              </w:tabs>
              <w:spacing w:before="0" w:line="240" w:lineRule="atLeast"/>
              <w:jc w:val="right"/>
              <w:rPr>
                <w:b/>
              </w:rPr>
            </w:pPr>
            <w:r w:rsidRPr="00795F2C">
              <w:rPr>
                <w:b/>
              </w:rPr>
              <w:t>Original: anglais</w:t>
            </w:r>
          </w:p>
        </w:tc>
      </w:tr>
      <w:tr w:rsidR="00D72F49" w:rsidRPr="00795F2C" w14:paraId="53623BEE" w14:textId="77777777" w:rsidTr="00D72F49">
        <w:trPr>
          <w:cantSplit/>
          <w:trHeight w:val="23"/>
        </w:trPr>
        <w:tc>
          <w:tcPr>
            <w:tcW w:w="3969" w:type="dxa"/>
          </w:tcPr>
          <w:p w14:paraId="630B4C34" w14:textId="77777777" w:rsidR="00D72F49" w:rsidRPr="00795F2C" w:rsidRDefault="00D72F49" w:rsidP="00D72F49">
            <w:pPr>
              <w:tabs>
                <w:tab w:val="left" w:pos="851"/>
              </w:tabs>
              <w:spacing w:line="240" w:lineRule="atLeast"/>
              <w:rPr>
                <w:b/>
              </w:rPr>
            </w:pPr>
          </w:p>
        </w:tc>
        <w:tc>
          <w:tcPr>
            <w:tcW w:w="5245" w:type="dxa"/>
          </w:tcPr>
          <w:p w14:paraId="437750C4" w14:textId="77777777" w:rsidR="00D72F49" w:rsidRPr="00795F2C" w:rsidRDefault="00D72F49" w:rsidP="00D72F49">
            <w:pPr>
              <w:tabs>
                <w:tab w:val="left" w:pos="851"/>
              </w:tabs>
              <w:spacing w:before="0" w:line="240" w:lineRule="atLeast"/>
              <w:jc w:val="right"/>
              <w:rPr>
                <w:b/>
              </w:rPr>
            </w:pPr>
          </w:p>
        </w:tc>
      </w:tr>
      <w:tr w:rsidR="00D72F49" w:rsidRPr="00795F2C" w14:paraId="31FFA2A5" w14:textId="77777777" w:rsidTr="00D72F49">
        <w:trPr>
          <w:cantSplit/>
        </w:trPr>
        <w:tc>
          <w:tcPr>
            <w:tcW w:w="9214" w:type="dxa"/>
            <w:gridSpan w:val="2"/>
            <w:tcMar>
              <w:left w:w="0" w:type="dxa"/>
            </w:tcMar>
          </w:tcPr>
          <w:p w14:paraId="7AA1F34C" w14:textId="3E7729BE" w:rsidR="00D72F49" w:rsidRPr="00795F2C" w:rsidRDefault="00D72F49" w:rsidP="00D72F49">
            <w:pPr>
              <w:pStyle w:val="Source"/>
              <w:jc w:val="left"/>
              <w:rPr>
                <w:sz w:val="34"/>
                <w:szCs w:val="34"/>
              </w:rPr>
            </w:pPr>
            <w:r w:rsidRPr="00795F2C">
              <w:rPr>
                <w:rFonts w:cstheme="minorHAnsi"/>
                <w:color w:val="000000"/>
                <w:sz w:val="34"/>
                <w:szCs w:val="34"/>
              </w:rPr>
              <w:t xml:space="preserve">Rapport </w:t>
            </w:r>
            <w:r w:rsidR="00E95647" w:rsidRPr="00795F2C">
              <w:rPr>
                <w:rFonts w:cstheme="minorHAnsi"/>
                <w:color w:val="000000"/>
                <w:sz w:val="34"/>
                <w:szCs w:val="34"/>
              </w:rPr>
              <w:t xml:space="preserve">de la </w:t>
            </w:r>
            <w:r w:rsidRPr="00795F2C">
              <w:rPr>
                <w:rFonts w:cstheme="minorHAnsi"/>
                <w:color w:val="000000"/>
                <w:sz w:val="34"/>
                <w:szCs w:val="34"/>
              </w:rPr>
              <w:t>Secrétaire général</w:t>
            </w:r>
            <w:r w:rsidR="00E95647" w:rsidRPr="00795F2C">
              <w:rPr>
                <w:rFonts w:cstheme="minorHAnsi"/>
                <w:color w:val="000000"/>
                <w:sz w:val="34"/>
                <w:szCs w:val="34"/>
              </w:rPr>
              <w:t>e</w:t>
            </w:r>
          </w:p>
        </w:tc>
      </w:tr>
      <w:tr w:rsidR="00D72F49" w:rsidRPr="00795F2C" w14:paraId="65E7E3D8" w14:textId="77777777" w:rsidTr="00D72F49">
        <w:trPr>
          <w:cantSplit/>
        </w:trPr>
        <w:tc>
          <w:tcPr>
            <w:tcW w:w="9214" w:type="dxa"/>
            <w:gridSpan w:val="2"/>
            <w:tcMar>
              <w:left w:w="0" w:type="dxa"/>
            </w:tcMar>
          </w:tcPr>
          <w:p w14:paraId="370F6D7B" w14:textId="4D85AE80" w:rsidR="00D72F49" w:rsidRPr="00795F2C" w:rsidRDefault="0025070C" w:rsidP="00D72F49">
            <w:pPr>
              <w:pStyle w:val="Subtitle"/>
              <w:framePr w:hSpace="0" w:wrap="auto" w:hAnchor="text" w:xAlign="left" w:yAlign="inline"/>
              <w:rPr>
                <w:lang w:val="fr-FR"/>
              </w:rPr>
            </w:pPr>
            <w:r w:rsidRPr="00795F2C">
              <w:rPr>
                <w:rFonts w:cstheme="minorHAnsi"/>
                <w:lang w:val="fr-FR"/>
              </w:rPr>
              <w:t>RAPPORTS DU CCI SUR LES QUESTIONS RELATIVES À L'ENSEMBLE DU SYSTEME DES NATIONS UNIES POUR 2022-2023 ET RECOMMANDATIONS À L'INTENTION DES CHEFS DE SECRETARIAT ET DES ORGANES DELIBERANTS</w:t>
            </w:r>
          </w:p>
        </w:tc>
      </w:tr>
      <w:tr w:rsidR="00D72F49" w:rsidRPr="00795F2C"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795F2C" w:rsidRDefault="00F37FE5" w:rsidP="00D72F49">
            <w:pPr>
              <w:spacing w:before="160"/>
              <w:rPr>
                <w:b/>
                <w:bCs/>
                <w:sz w:val="26"/>
                <w:szCs w:val="26"/>
              </w:rPr>
            </w:pPr>
            <w:r w:rsidRPr="00795F2C">
              <w:rPr>
                <w:b/>
                <w:bCs/>
                <w:sz w:val="26"/>
                <w:szCs w:val="26"/>
              </w:rPr>
              <w:t>Objet</w:t>
            </w:r>
          </w:p>
          <w:p w14:paraId="45E55FB2" w14:textId="136B3D1A" w:rsidR="00D72F49" w:rsidRPr="00795F2C" w:rsidRDefault="0025070C" w:rsidP="00D72F49">
            <w:r w:rsidRPr="00795F2C">
              <w:t>Le présent document contient les rapports du CCI issus du programme de travail pour 2022</w:t>
            </w:r>
            <w:r w:rsidRPr="00795F2C">
              <w:noBreakHyphen/>
              <w:t>2023 qui ont été mis à disposition depuis la dernière session du Conseil. Il présente en détail l'ensemble de recommandations formulées à l'intention des organes directeurs de l'UIT, ainsi que les observations du Secrétariat de l'UIT et du Conseil des chefs de secrétariat, le cas échéant (lien fourni).</w:t>
            </w:r>
          </w:p>
          <w:p w14:paraId="0B950982" w14:textId="77777777" w:rsidR="00D72F49" w:rsidRPr="00795F2C" w:rsidRDefault="00D72F49" w:rsidP="00D72F49">
            <w:pPr>
              <w:spacing w:before="160"/>
              <w:rPr>
                <w:b/>
                <w:bCs/>
                <w:sz w:val="26"/>
                <w:szCs w:val="26"/>
              </w:rPr>
            </w:pPr>
            <w:r w:rsidRPr="00795F2C">
              <w:rPr>
                <w:b/>
                <w:bCs/>
                <w:sz w:val="26"/>
                <w:szCs w:val="26"/>
              </w:rPr>
              <w:t>Suite à donner par le Conseil</w:t>
            </w:r>
          </w:p>
          <w:p w14:paraId="6F9A6B88" w14:textId="48B7C7E7" w:rsidR="00D72F49" w:rsidRPr="00795F2C" w:rsidRDefault="0025070C" w:rsidP="00D72F49">
            <w:r w:rsidRPr="00795F2C">
              <w:t xml:space="preserve">Le Conseil est invité à </w:t>
            </w:r>
            <w:r w:rsidRPr="00795F2C">
              <w:rPr>
                <w:b/>
                <w:bCs/>
              </w:rPr>
              <w:t>examiner</w:t>
            </w:r>
            <w:r w:rsidRPr="00795F2C">
              <w:t xml:space="preserve"> et à </w:t>
            </w:r>
            <w:r w:rsidRPr="00795F2C">
              <w:rPr>
                <w:b/>
                <w:bCs/>
              </w:rPr>
              <w:t>approuver</w:t>
            </w:r>
            <w:r w:rsidRPr="00795F2C">
              <w:t xml:space="preserve"> l'acceptation des </w:t>
            </w:r>
            <w:r w:rsidRPr="00795F2C">
              <w:rPr>
                <w:b/>
                <w:bCs/>
              </w:rPr>
              <w:t>six recommandations</w:t>
            </w:r>
            <w:r w:rsidRPr="00795F2C">
              <w:t xml:space="preserve"> adressées aux organes délibérants (Recommandation 4 issue de l'Examen de l'aménagement des modalités de travail, Recommandation 3 de l'Examen des politiques et pratiques des institutions du système des Nations Unies en matière de santé mentale et de bien-être, Recommandations 1 et 2 de l'Examen des dispositifs d'application du principe de responsabilité dans les institutions du système des Nations Unies et Recommandations 4 et 5 de l'Examen des mécanismes de recours interne avant toute procédure au tribunal), comme présenté dans le tableau ci-après.</w:t>
            </w:r>
          </w:p>
          <w:p w14:paraId="121C402A" w14:textId="4FDE1FF1" w:rsidR="00D72F49" w:rsidRPr="00795F2C" w:rsidRDefault="00D72F49" w:rsidP="00D72F49">
            <w:pPr>
              <w:spacing w:before="160"/>
              <w:rPr>
                <w:b/>
                <w:bCs/>
                <w:sz w:val="26"/>
                <w:szCs w:val="26"/>
              </w:rPr>
            </w:pPr>
            <w:r w:rsidRPr="00795F2C">
              <w:rPr>
                <w:b/>
                <w:bCs/>
                <w:sz w:val="26"/>
                <w:szCs w:val="26"/>
              </w:rPr>
              <w:t xml:space="preserve">Lien(s) pertinent(s) avec le </w:t>
            </w:r>
            <w:r w:rsidR="00F37FE5" w:rsidRPr="00795F2C">
              <w:rPr>
                <w:b/>
                <w:bCs/>
                <w:sz w:val="26"/>
                <w:szCs w:val="26"/>
              </w:rPr>
              <w:t>p</w:t>
            </w:r>
            <w:r w:rsidRPr="00795F2C">
              <w:rPr>
                <w:b/>
                <w:bCs/>
                <w:sz w:val="26"/>
                <w:szCs w:val="26"/>
              </w:rPr>
              <w:t>lan stratégique</w:t>
            </w:r>
          </w:p>
          <w:p w14:paraId="60D63331" w14:textId="0586EC34" w:rsidR="00D72F49" w:rsidRPr="00795F2C" w:rsidRDefault="0025070C" w:rsidP="00D72F49">
            <w:r w:rsidRPr="00795F2C">
              <w:t>Excellence en matière de ressources humaines et d'innovation institutionnelle.</w:t>
            </w:r>
          </w:p>
          <w:p w14:paraId="11FAADC9" w14:textId="1413D0E9" w:rsidR="00E95647" w:rsidRPr="00795F2C" w:rsidRDefault="00D72F49" w:rsidP="00D72F49">
            <w:pPr>
              <w:spacing w:before="160"/>
              <w:rPr>
                <w:b/>
                <w:bCs/>
                <w:sz w:val="26"/>
                <w:szCs w:val="26"/>
              </w:rPr>
            </w:pPr>
            <w:r w:rsidRPr="00795F2C">
              <w:rPr>
                <w:b/>
                <w:bCs/>
                <w:sz w:val="26"/>
                <w:szCs w:val="26"/>
              </w:rPr>
              <w:t>Incidences financières</w:t>
            </w:r>
          </w:p>
          <w:p w14:paraId="1476D7E3" w14:textId="7DA9D142" w:rsidR="00D72F49" w:rsidRPr="00795F2C" w:rsidRDefault="0025070C" w:rsidP="00D72F49">
            <w:pPr>
              <w:spacing w:before="160"/>
              <w:rPr>
                <w:sz w:val="26"/>
                <w:szCs w:val="26"/>
              </w:rPr>
            </w:pPr>
            <w:r w:rsidRPr="00795F2C">
              <w:rPr>
                <w:szCs w:val="24"/>
              </w:rPr>
              <w:t>Dans les limites du budget alloué pour la période 2024-2025.</w:t>
            </w:r>
          </w:p>
          <w:p w14:paraId="2E44E753" w14:textId="77777777" w:rsidR="00D72F49" w:rsidRPr="00795F2C" w:rsidRDefault="00D72F49" w:rsidP="00D72F49">
            <w:pPr>
              <w:spacing w:before="160"/>
              <w:rPr>
                <w:caps/>
                <w:sz w:val="22"/>
              </w:rPr>
            </w:pPr>
            <w:r w:rsidRPr="00795F2C">
              <w:rPr>
                <w:sz w:val="22"/>
              </w:rPr>
              <w:t>__________________</w:t>
            </w:r>
          </w:p>
          <w:p w14:paraId="4FEA7337" w14:textId="77777777" w:rsidR="00D72F49" w:rsidRPr="00795F2C" w:rsidRDefault="00D72F49" w:rsidP="0025070C">
            <w:pPr>
              <w:spacing w:before="160"/>
              <w:rPr>
                <w:b/>
                <w:bCs/>
                <w:sz w:val="26"/>
                <w:szCs w:val="26"/>
              </w:rPr>
            </w:pPr>
            <w:r w:rsidRPr="00795F2C">
              <w:rPr>
                <w:b/>
                <w:bCs/>
                <w:sz w:val="26"/>
                <w:szCs w:val="26"/>
              </w:rPr>
              <w:t>Références</w:t>
            </w:r>
          </w:p>
          <w:p w14:paraId="3B399B5C" w14:textId="26D4E1E2" w:rsidR="0025070C" w:rsidRPr="00795F2C" w:rsidRDefault="0025070C" w:rsidP="0025070C">
            <w:pPr>
              <w:spacing w:before="160"/>
              <w:rPr>
                <w:b/>
                <w:bCs/>
                <w:sz w:val="26"/>
                <w:szCs w:val="26"/>
              </w:rPr>
            </w:pPr>
          </w:p>
        </w:tc>
      </w:tr>
    </w:tbl>
    <w:p w14:paraId="682321CF" w14:textId="084B845C" w:rsidR="0025070C" w:rsidRPr="00795F2C" w:rsidRDefault="00A51849">
      <w:pPr>
        <w:tabs>
          <w:tab w:val="clear" w:pos="567"/>
          <w:tab w:val="clear" w:pos="1134"/>
          <w:tab w:val="clear" w:pos="1701"/>
          <w:tab w:val="clear" w:pos="2268"/>
          <w:tab w:val="clear" w:pos="2835"/>
        </w:tabs>
        <w:overflowPunct/>
        <w:autoSpaceDE/>
        <w:autoSpaceDN/>
        <w:adjustRightInd/>
        <w:spacing w:before="0"/>
        <w:textAlignment w:val="auto"/>
        <w:sectPr w:rsidR="0025070C" w:rsidRPr="00795F2C" w:rsidSect="00D72F49">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pPr>
      <w:r w:rsidRPr="00795F2C">
        <w:br w:type="page"/>
      </w:r>
    </w:p>
    <w:p w14:paraId="3B7150AC" w14:textId="7E7D9C31" w:rsidR="00A51849" w:rsidRPr="00795F2C" w:rsidRDefault="0025070C" w:rsidP="0025070C">
      <w:pPr>
        <w:pStyle w:val="Tabletitle"/>
      </w:pPr>
      <w:r w:rsidRPr="00795F2C">
        <w:lastRenderedPageBreak/>
        <w:t>RAPPORTS DU CCI CONCERNANT L'ENSEMBLE DU SYSTEME DES NATIONS UNIES POUR 2022-2023</w:t>
      </w:r>
      <w:r w:rsidRPr="00795F2C">
        <w:rPr>
          <w:rStyle w:val="FootnoteReference"/>
        </w:rPr>
        <w:footnoteReference w:id="1"/>
      </w:r>
    </w:p>
    <w:tbl>
      <w:tblPr>
        <w:tblW w:w="5084" w:type="pct"/>
        <w:jc w:val="center"/>
        <w:tblLayout w:type="fixed"/>
        <w:tblCellMar>
          <w:left w:w="0" w:type="dxa"/>
          <w:right w:w="0" w:type="dxa"/>
        </w:tblCellMar>
        <w:tblLook w:val="04A0" w:firstRow="1" w:lastRow="0" w:firstColumn="1" w:lastColumn="0" w:noHBand="0" w:noVBand="1"/>
      </w:tblPr>
      <w:tblGrid>
        <w:gridCol w:w="4520"/>
        <w:gridCol w:w="995"/>
        <w:gridCol w:w="992"/>
        <w:gridCol w:w="1134"/>
        <w:gridCol w:w="1134"/>
        <w:gridCol w:w="1131"/>
        <w:gridCol w:w="708"/>
        <w:gridCol w:w="1140"/>
        <w:gridCol w:w="2455"/>
      </w:tblGrid>
      <w:tr w:rsidR="0025070C" w:rsidRPr="00795F2C" w14:paraId="7A5DF7B2" w14:textId="77777777" w:rsidTr="00C9548E">
        <w:trPr>
          <w:trHeight w:val="418"/>
          <w:jc w:val="center"/>
        </w:trPr>
        <w:tc>
          <w:tcPr>
            <w:tcW w:w="5000" w:type="pct"/>
            <w:gridSpan w:val="9"/>
            <w:tcBorders>
              <w:top w:val="single" w:sz="12" w:space="0" w:color="auto"/>
              <w:left w:val="single" w:sz="12" w:space="0" w:color="auto"/>
              <w:bottom w:val="single" w:sz="4" w:space="0" w:color="auto"/>
              <w:right w:val="single" w:sz="12" w:space="0" w:color="auto"/>
            </w:tcBorders>
            <w:shd w:val="clear" w:color="auto" w:fill="FFFF00"/>
            <w:tcMar>
              <w:top w:w="0" w:type="dxa"/>
              <w:left w:w="108" w:type="dxa"/>
              <w:bottom w:w="0" w:type="dxa"/>
              <w:right w:w="108" w:type="dxa"/>
            </w:tcMar>
            <w:hideMark/>
          </w:tcPr>
          <w:p w14:paraId="6F60E8BE" w14:textId="13EDB094" w:rsidR="0025070C" w:rsidRPr="00795F2C" w:rsidRDefault="0025070C" w:rsidP="0025070C">
            <w:pPr>
              <w:pStyle w:val="Tablehead"/>
              <w:spacing w:after="0"/>
              <w:rPr>
                <w:rFonts w:asciiTheme="minorHAnsi" w:hAnsiTheme="minorHAnsi" w:cstheme="minorHAnsi"/>
                <w:bCs/>
                <w:sz w:val="20"/>
              </w:rPr>
            </w:pPr>
            <w:r w:rsidRPr="00795F2C">
              <w:rPr>
                <w:sz w:val="20"/>
              </w:rPr>
              <w:t xml:space="preserve">JIU/REP/2023/6 – </w:t>
            </w:r>
            <w:hyperlink r:id="rId14" w:history="1">
              <w:r w:rsidRPr="00795F2C">
                <w:rPr>
                  <w:rStyle w:val="Hyperlink"/>
                  <w:sz w:val="20"/>
                </w:rPr>
                <w:t>Aménagement des modalités de travail dans les institutions du système des Nations Unies</w:t>
              </w:r>
            </w:hyperlink>
            <w:r w:rsidRPr="00795F2C">
              <w:rPr>
                <w:sz w:val="20"/>
              </w:rPr>
              <w:t xml:space="preserve"> – Coordonnatrice de l'UIT: Ulrika Martinius</w:t>
            </w:r>
          </w:p>
          <w:p w14:paraId="36D3E752" w14:textId="1DA74212" w:rsidR="0025070C" w:rsidRPr="00795F2C" w:rsidRDefault="004D7348" w:rsidP="0025070C">
            <w:pPr>
              <w:pStyle w:val="Tablehead"/>
              <w:spacing w:before="0"/>
              <w:rPr>
                <w:rFonts w:asciiTheme="minorHAnsi" w:hAnsiTheme="minorHAnsi" w:cstheme="minorHAnsi"/>
                <w:sz w:val="20"/>
              </w:rPr>
            </w:pPr>
            <w:r w:rsidRPr="00795F2C">
              <w:rPr>
                <w:b w:val="0"/>
                <w:sz w:val="20"/>
              </w:rPr>
              <w:t>•</w:t>
            </w:r>
            <w:r w:rsidRPr="00795F2C">
              <w:rPr>
                <w:b w:val="0"/>
                <w:sz w:val="20"/>
              </w:rPr>
              <w:tab/>
            </w:r>
            <w:hyperlink r:id="rId15" w:history="1">
              <w:r w:rsidR="0025070C" w:rsidRPr="00795F2C">
                <w:rPr>
                  <w:rStyle w:val="Hyperlink"/>
                  <w:bCs/>
                  <w:sz w:val="20"/>
                </w:rPr>
                <w:t>Points saillants de l'examen</w:t>
              </w:r>
            </w:hyperlink>
          </w:p>
        </w:tc>
      </w:tr>
      <w:tr w:rsidR="00924533" w:rsidRPr="00795F2C" w14:paraId="04D23AFC" w14:textId="77777777" w:rsidTr="000B5026">
        <w:trPr>
          <w:cantSplit/>
          <w:trHeight w:val="291"/>
          <w:jc w:val="center"/>
        </w:trPr>
        <w:tc>
          <w:tcPr>
            <w:tcW w:w="159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hideMark/>
          </w:tcPr>
          <w:p w14:paraId="01F46FBD" w14:textId="77777777" w:rsidR="0025070C" w:rsidRPr="00795F2C" w:rsidRDefault="0025070C" w:rsidP="0025070C">
            <w:pPr>
              <w:pStyle w:val="Tablehead"/>
              <w:rPr>
                <w:rFonts w:asciiTheme="minorHAnsi" w:hAnsiTheme="minorHAnsi" w:cstheme="minorHAnsi"/>
                <w:bCs/>
                <w:sz w:val="20"/>
              </w:rPr>
            </w:pPr>
            <w:r w:rsidRPr="00795F2C">
              <w:rPr>
                <w:bCs/>
                <w:sz w:val="20"/>
              </w:rPr>
              <w:t>Recommandation</w:t>
            </w:r>
          </w:p>
        </w:tc>
        <w:tc>
          <w:tcPr>
            <w:tcW w:w="1497" w:type="pct"/>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14:paraId="196F53BE" w14:textId="77777777" w:rsidR="0025070C" w:rsidRPr="00795F2C" w:rsidRDefault="0025070C" w:rsidP="0025070C">
            <w:pPr>
              <w:pStyle w:val="Tablehead"/>
              <w:rPr>
                <w:rFonts w:asciiTheme="minorHAnsi" w:hAnsiTheme="minorHAnsi" w:cstheme="minorHAnsi"/>
                <w:bCs/>
                <w:sz w:val="20"/>
              </w:rPr>
            </w:pPr>
            <w:r w:rsidRPr="00795F2C">
              <w:rPr>
                <w:bCs/>
                <w:sz w:val="20"/>
              </w:rPr>
              <w:t>Acceptation de la recommandation</w:t>
            </w:r>
          </w:p>
        </w:tc>
        <w:tc>
          <w:tcPr>
            <w:tcW w:w="1048" w:type="pct"/>
            <w:gridSpan w:val="3"/>
            <w:tcBorders>
              <w:top w:val="single" w:sz="12" w:space="0" w:color="auto"/>
              <w:left w:val="single" w:sz="12" w:space="0" w:color="auto"/>
              <w:bottom w:val="single" w:sz="12" w:space="0" w:color="auto"/>
              <w:right w:val="single" w:sz="12" w:space="0" w:color="auto"/>
            </w:tcBorders>
            <w:shd w:val="clear" w:color="auto" w:fill="FDE9D9" w:themeFill="accent6" w:themeFillTint="33"/>
            <w:tcMar>
              <w:top w:w="0" w:type="dxa"/>
              <w:left w:w="108" w:type="dxa"/>
              <w:bottom w:w="0" w:type="dxa"/>
              <w:right w:w="108" w:type="dxa"/>
            </w:tcMar>
            <w:hideMark/>
          </w:tcPr>
          <w:p w14:paraId="5EEC6EB3" w14:textId="77777777" w:rsidR="0025070C" w:rsidRPr="00795F2C" w:rsidRDefault="0025070C" w:rsidP="0025070C">
            <w:pPr>
              <w:pStyle w:val="Tablehead"/>
              <w:ind w:left="-116" w:right="-102"/>
              <w:rPr>
                <w:rFonts w:asciiTheme="minorHAnsi" w:hAnsiTheme="minorHAnsi" w:cstheme="minorHAnsi"/>
                <w:bCs/>
                <w:sz w:val="20"/>
              </w:rPr>
            </w:pPr>
            <w:r w:rsidRPr="00795F2C">
              <w:rPr>
                <w:bCs/>
                <w:sz w:val="20"/>
              </w:rPr>
              <w:t>État d'avancement de l'application</w:t>
            </w:r>
          </w:p>
        </w:tc>
        <w:tc>
          <w:tcPr>
            <w:tcW w:w="86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tcPr>
          <w:p w14:paraId="2F5FAF3B" w14:textId="77777777" w:rsidR="0025070C" w:rsidRPr="00795F2C" w:rsidRDefault="0025070C" w:rsidP="0025070C">
            <w:pPr>
              <w:pStyle w:val="Tablehead"/>
              <w:rPr>
                <w:rFonts w:asciiTheme="minorHAnsi" w:hAnsiTheme="minorHAnsi" w:cstheme="minorHAnsi"/>
                <w:bCs/>
                <w:sz w:val="20"/>
              </w:rPr>
            </w:pPr>
            <w:r w:rsidRPr="00795F2C">
              <w:rPr>
                <w:bCs/>
                <w:sz w:val="20"/>
              </w:rPr>
              <w:t>Commentaires</w:t>
            </w:r>
          </w:p>
        </w:tc>
      </w:tr>
      <w:tr w:rsidR="000A183B" w:rsidRPr="00795F2C" w14:paraId="10F0FB92" w14:textId="77777777" w:rsidTr="000B5026">
        <w:trPr>
          <w:trHeight w:val="336"/>
          <w:jc w:val="center"/>
        </w:trPr>
        <w:tc>
          <w:tcPr>
            <w:tcW w:w="1591" w:type="pct"/>
            <w:tcBorders>
              <w:top w:val="single" w:sz="12" w:space="0" w:color="auto"/>
              <w:left w:val="single" w:sz="12" w:space="0" w:color="auto"/>
              <w:bottom w:val="single" w:sz="12" w:space="0" w:color="auto"/>
              <w:right w:val="single" w:sz="12" w:space="0" w:color="auto"/>
            </w:tcBorders>
            <w:shd w:val="clear" w:color="auto" w:fill="EAF1DD" w:themeFill="accent3" w:themeFillTint="33"/>
            <w:tcMar>
              <w:top w:w="0" w:type="dxa"/>
              <w:left w:w="108" w:type="dxa"/>
              <w:bottom w:w="0" w:type="dxa"/>
              <w:right w:w="108" w:type="dxa"/>
            </w:tcMar>
            <w:hideMark/>
          </w:tcPr>
          <w:p w14:paraId="3F728B65" w14:textId="77777777" w:rsidR="0025070C" w:rsidRPr="00795F2C" w:rsidRDefault="0025070C" w:rsidP="0025070C">
            <w:pPr>
              <w:pStyle w:val="Tablehead"/>
              <w:rPr>
                <w:rFonts w:asciiTheme="minorHAnsi" w:hAnsiTheme="minorHAnsi" w:cstheme="minorHAnsi"/>
                <w:bCs/>
                <w:sz w:val="20"/>
              </w:rPr>
            </w:pPr>
            <w:r w:rsidRPr="00795F2C">
              <w:rPr>
                <w:bCs/>
                <w:sz w:val="20"/>
              </w:rPr>
              <w:t>Organes délibérants/directeurs</w:t>
            </w:r>
          </w:p>
        </w:tc>
        <w:tc>
          <w:tcPr>
            <w:tcW w:w="350" w:type="pct"/>
            <w:tcBorders>
              <w:top w:val="single" w:sz="12" w:space="0" w:color="auto"/>
              <w:left w:val="single" w:sz="12" w:space="0" w:color="auto"/>
              <w:bottom w:val="single" w:sz="12" w:space="0" w:color="auto"/>
              <w:right w:val="single" w:sz="8" w:space="0" w:color="auto"/>
            </w:tcBorders>
            <w:shd w:val="clear" w:color="auto" w:fill="DBE5F1" w:themeFill="accent1" w:themeFillTint="33"/>
            <w:tcMar>
              <w:top w:w="0" w:type="dxa"/>
              <w:left w:w="108" w:type="dxa"/>
              <w:bottom w:w="0" w:type="dxa"/>
              <w:right w:w="108" w:type="dxa"/>
            </w:tcMar>
            <w:hideMark/>
          </w:tcPr>
          <w:p w14:paraId="285A67D3" w14:textId="4972B06E" w:rsidR="0025070C" w:rsidRPr="00795F2C" w:rsidRDefault="0025070C" w:rsidP="0025070C">
            <w:pPr>
              <w:pStyle w:val="Tablehead"/>
              <w:rPr>
                <w:rFonts w:asciiTheme="minorHAnsi" w:hAnsiTheme="minorHAnsi" w:cstheme="minorHAnsi"/>
                <w:bCs/>
                <w:sz w:val="20"/>
              </w:rPr>
            </w:pPr>
            <w:r w:rsidRPr="00795F2C">
              <w:rPr>
                <w:bCs/>
                <w:sz w:val="20"/>
              </w:rPr>
              <w:t>Acceptée</w:t>
            </w:r>
          </w:p>
        </w:tc>
        <w:tc>
          <w:tcPr>
            <w:tcW w:w="349" w:type="pct"/>
            <w:tcBorders>
              <w:top w:val="single" w:sz="12" w:space="0" w:color="auto"/>
              <w:left w:val="nil"/>
              <w:bottom w:val="single" w:sz="12" w:space="0" w:color="auto"/>
              <w:right w:val="single" w:sz="8" w:space="0" w:color="auto"/>
            </w:tcBorders>
            <w:shd w:val="clear" w:color="auto" w:fill="DBE5F1" w:themeFill="accent1" w:themeFillTint="33"/>
            <w:tcMar>
              <w:top w:w="0" w:type="dxa"/>
              <w:left w:w="108" w:type="dxa"/>
              <w:bottom w:w="0" w:type="dxa"/>
              <w:right w:w="108" w:type="dxa"/>
            </w:tcMar>
            <w:hideMark/>
          </w:tcPr>
          <w:p w14:paraId="2F4DE418" w14:textId="77777777" w:rsidR="0025070C" w:rsidRPr="00795F2C" w:rsidRDefault="0025070C" w:rsidP="0025070C">
            <w:pPr>
              <w:pStyle w:val="Tablehead"/>
              <w:rPr>
                <w:rFonts w:asciiTheme="minorHAnsi" w:hAnsiTheme="minorHAnsi" w:cstheme="minorHAnsi"/>
                <w:bCs/>
                <w:sz w:val="20"/>
              </w:rPr>
            </w:pPr>
            <w:r w:rsidRPr="00795F2C">
              <w:rPr>
                <w:bCs/>
                <w:sz w:val="20"/>
              </w:rPr>
              <w:t>Non Acceptée</w:t>
            </w:r>
          </w:p>
        </w:tc>
        <w:tc>
          <w:tcPr>
            <w:tcW w:w="399" w:type="pct"/>
            <w:tcBorders>
              <w:top w:val="single" w:sz="12" w:space="0" w:color="auto"/>
              <w:left w:val="nil"/>
              <w:bottom w:val="single" w:sz="12" w:space="0" w:color="auto"/>
              <w:right w:val="single" w:sz="8" w:space="0" w:color="auto"/>
            </w:tcBorders>
            <w:shd w:val="clear" w:color="auto" w:fill="DBE5F1" w:themeFill="accent1" w:themeFillTint="33"/>
            <w:tcMar>
              <w:top w:w="0" w:type="dxa"/>
              <w:left w:w="108" w:type="dxa"/>
              <w:bottom w:w="0" w:type="dxa"/>
              <w:right w:w="108" w:type="dxa"/>
            </w:tcMar>
            <w:hideMark/>
          </w:tcPr>
          <w:p w14:paraId="5A342969" w14:textId="77777777" w:rsidR="0025070C" w:rsidRPr="00795F2C" w:rsidRDefault="0025070C" w:rsidP="0025070C">
            <w:pPr>
              <w:pStyle w:val="Tablehead"/>
              <w:rPr>
                <w:rFonts w:asciiTheme="minorHAnsi" w:hAnsiTheme="minorHAnsi" w:cstheme="minorHAnsi"/>
                <w:bCs/>
                <w:sz w:val="20"/>
              </w:rPr>
            </w:pPr>
            <w:r w:rsidRPr="00795F2C">
              <w:rPr>
                <w:bCs/>
                <w:sz w:val="20"/>
              </w:rPr>
              <w:t>Non pertinente</w:t>
            </w:r>
          </w:p>
        </w:tc>
        <w:tc>
          <w:tcPr>
            <w:tcW w:w="399" w:type="pct"/>
            <w:tcBorders>
              <w:top w:val="nil"/>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14:paraId="1E257FEE" w14:textId="77777777" w:rsidR="0025070C" w:rsidRPr="00795F2C" w:rsidRDefault="0025070C" w:rsidP="000B5026">
            <w:pPr>
              <w:pStyle w:val="Tablehead"/>
              <w:ind w:left="-105"/>
              <w:rPr>
                <w:rFonts w:asciiTheme="minorHAnsi" w:hAnsiTheme="minorHAnsi" w:cstheme="minorHAnsi"/>
                <w:bCs/>
                <w:sz w:val="20"/>
              </w:rPr>
            </w:pPr>
            <w:r w:rsidRPr="00795F2C">
              <w:rPr>
                <w:bCs/>
                <w:sz w:val="20"/>
              </w:rPr>
              <w:t>Nécessite un examen plus approfondi</w:t>
            </w:r>
          </w:p>
        </w:tc>
        <w:tc>
          <w:tcPr>
            <w:tcW w:w="398" w:type="pct"/>
            <w:tcBorders>
              <w:top w:val="nil"/>
              <w:left w:val="single" w:sz="12" w:space="0" w:color="auto"/>
              <w:bottom w:val="single" w:sz="12" w:space="0" w:color="auto"/>
              <w:right w:val="single" w:sz="8" w:space="0" w:color="auto"/>
            </w:tcBorders>
            <w:shd w:val="clear" w:color="auto" w:fill="FDE9D9" w:themeFill="accent6" w:themeFillTint="33"/>
            <w:tcMar>
              <w:top w:w="0" w:type="dxa"/>
              <w:left w:w="108" w:type="dxa"/>
              <w:bottom w:w="0" w:type="dxa"/>
              <w:right w:w="108" w:type="dxa"/>
            </w:tcMar>
            <w:hideMark/>
          </w:tcPr>
          <w:p w14:paraId="1FA99EAF" w14:textId="21BA0C59" w:rsidR="0025070C" w:rsidRPr="00795F2C" w:rsidRDefault="0025070C" w:rsidP="0025070C">
            <w:pPr>
              <w:pStyle w:val="Tablehead"/>
              <w:rPr>
                <w:rFonts w:asciiTheme="minorHAnsi" w:hAnsiTheme="minorHAnsi" w:cstheme="minorHAnsi"/>
                <w:bCs/>
                <w:sz w:val="20"/>
              </w:rPr>
            </w:pPr>
            <w:r w:rsidRPr="00795F2C">
              <w:rPr>
                <w:bCs/>
                <w:sz w:val="20"/>
              </w:rPr>
              <w:t>En attente</w:t>
            </w:r>
          </w:p>
        </w:tc>
        <w:tc>
          <w:tcPr>
            <w:tcW w:w="249" w:type="pct"/>
            <w:tcBorders>
              <w:top w:val="nil"/>
              <w:left w:val="nil"/>
              <w:bottom w:val="single" w:sz="12" w:space="0" w:color="auto"/>
              <w:right w:val="single" w:sz="8" w:space="0" w:color="auto"/>
            </w:tcBorders>
            <w:shd w:val="clear" w:color="auto" w:fill="FDE9D9" w:themeFill="accent6" w:themeFillTint="33"/>
            <w:tcMar>
              <w:top w:w="0" w:type="dxa"/>
              <w:left w:w="108" w:type="dxa"/>
              <w:bottom w:w="0" w:type="dxa"/>
              <w:right w:w="108" w:type="dxa"/>
            </w:tcMar>
            <w:hideMark/>
          </w:tcPr>
          <w:p w14:paraId="49397584" w14:textId="77777777" w:rsidR="0025070C" w:rsidRPr="00795F2C" w:rsidRDefault="0025070C" w:rsidP="0025070C">
            <w:pPr>
              <w:pStyle w:val="Tablehead"/>
              <w:rPr>
                <w:rFonts w:asciiTheme="minorHAnsi" w:hAnsiTheme="minorHAnsi" w:cstheme="minorHAnsi"/>
                <w:bCs/>
                <w:sz w:val="20"/>
              </w:rPr>
            </w:pPr>
            <w:r w:rsidRPr="00795F2C">
              <w:rPr>
                <w:bCs/>
                <w:sz w:val="20"/>
              </w:rPr>
              <w:t>En cours</w:t>
            </w:r>
          </w:p>
        </w:tc>
        <w:tc>
          <w:tcPr>
            <w:tcW w:w="401" w:type="pct"/>
            <w:tcBorders>
              <w:top w:val="nil"/>
              <w:left w:val="nil"/>
              <w:bottom w:val="single" w:sz="12" w:space="0" w:color="auto"/>
              <w:right w:val="single" w:sz="12" w:space="0" w:color="auto"/>
            </w:tcBorders>
            <w:shd w:val="clear" w:color="auto" w:fill="FDE9D9" w:themeFill="accent6" w:themeFillTint="33"/>
            <w:tcMar>
              <w:top w:w="0" w:type="dxa"/>
              <w:left w:w="108" w:type="dxa"/>
              <w:bottom w:w="0" w:type="dxa"/>
              <w:right w:w="108" w:type="dxa"/>
            </w:tcMar>
            <w:hideMark/>
          </w:tcPr>
          <w:p w14:paraId="3C5E2FE8" w14:textId="77777777" w:rsidR="0025070C" w:rsidRPr="00795F2C" w:rsidRDefault="0025070C" w:rsidP="0025070C">
            <w:pPr>
              <w:pStyle w:val="Tablehead"/>
              <w:rPr>
                <w:rFonts w:asciiTheme="minorHAnsi" w:hAnsiTheme="minorHAnsi" w:cstheme="minorHAnsi"/>
                <w:bCs/>
                <w:sz w:val="20"/>
              </w:rPr>
            </w:pPr>
            <w:r w:rsidRPr="00795F2C">
              <w:rPr>
                <w:bCs/>
                <w:sz w:val="20"/>
              </w:rPr>
              <w:t>Appliquée</w:t>
            </w:r>
          </w:p>
        </w:tc>
        <w:tc>
          <w:tcPr>
            <w:tcW w:w="86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hideMark/>
          </w:tcPr>
          <w:p w14:paraId="0460A0CA" w14:textId="1CB0D8E9" w:rsidR="0025070C" w:rsidRPr="00795F2C" w:rsidRDefault="0025070C" w:rsidP="00C9548E">
            <w:pPr>
              <w:pStyle w:val="Tablehead"/>
              <w:spacing w:after="0"/>
              <w:ind w:left="-106"/>
              <w:rPr>
                <w:bCs/>
                <w:color w:val="FF0000"/>
                <w:sz w:val="20"/>
              </w:rPr>
            </w:pPr>
            <w:r w:rsidRPr="00795F2C">
              <w:rPr>
                <w:bCs/>
                <w:sz w:val="20"/>
              </w:rPr>
              <w:t xml:space="preserve">Observations du Conseil des chefs de secrétariat (CCS) – </w:t>
            </w:r>
            <w:r w:rsidRPr="00795F2C">
              <w:rPr>
                <w:bCs/>
                <w:color w:val="FF0000"/>
                <w:sz w:val="20"/>
              </w:rPr>
              <w:t>Pas encore disponibles</w:t>
            </w:r>
          </w:p>
          <w:p w14:paraId="0A052021" w14:textId="77777777" w:rsidR="0025070C" w:rsidRPr="00795F2C" w:rsidRDefault="0025070C" w:rsidP="00C9548E">
            <w:pPr>
              <w:pStyle w:val="Tablehead"/>
              <w:spacing w:before="0" w:after="0"/>
              <w:ind w:left="-106"/>
              <w:rPr>
                <w:rFonts w:asciiTheme="minorHAnsi" w:hAnsiTheme="minorHAnsi" w:cstheme="minorHAnsi"/>
                <w:bCs/>
                <w:color w:val="000000"/>
                <w:sz w:val="20"/>
              </w:rPr>
            </w:pPr>
            <w:r w:rsidRPr="00795F2C">
              <w:rPr>
                <w:sz w:val="20"/>
              </w:rPr>
              <w:t>___</w:t>
            </w:r>
          </w:p>
          <w:p w14:paraId="01AE550E" w14:textId="0E4F0C89" w:rsidR="0025070C" w:rsidRPr="00795F2C" w:rsidRDefault="0025070C" w:rsidP="004D7348">
            <w:pPr>
              <w:pStyle w:val="Tablehead"/>
              <w:spacing w:before="60" w:after="60"/>
              <w:ind w:left="-106" w:right="-55"/>
              <w:rPr>
                <w:rFonts w:asciiTheme="minorHAnsi" w:hAnsiTheme="minorHAnsi" w:cstheme="minorHAnsi"/>
                <w:bCs/>
                <w:color w:val="000000"/>
                <w:sz w:val="20"/>
              </w:rPr>
            </w:pPr>
            <w:r w:rsidRPr="00795F2C">
              <w:rPr>
                <w:bCs/>
                <w:sz w:val="20"/>
              </w:rPr>
              <w:t>Observations de l'UIT sur la pertinence et les incidences sur les ressources financières et les ressources</w:t>
            </w:r>
            <w:r w:rsidR="004D7348" w:rsidRPr="00795F2C">
              <w:rPr>
                <w:bCs/>
                <w:sz w:val="20"/>
              </w:rPr>
              <w:t> </w:t>
            </w:r>
            <w:r w:rsidRPr="00795F2C">
              <w:rPr>
                <w:bCs/>
                <w:sz w:val="20"/>
              </w:rPr>
              <w:t>humaines</w:t>
            </w:r>
          </w:p>
          <w:p w14:paraId="18019D01" w14:textId="77777777" w:rsidR="0025070C" w:rsidRPr="00795F2C" w:rsidRDefault="0025070C" w:rsidP="00924533">
            <w:pPr>
              <w:pStyle w:val="Tablehead"/>
              <w:spacing w:before="60" w:after="60"/>
              <w:ind w:left="-106"/>
              <w:rPr>
                <w:rFonts w:asciiTheme="minorHAnsi" w:hAnsiTheme="minorHAnsi" w:cstheme="minorHAnsi"/>
                <w:sz w:val="20"/>
              </w:rPr>
            </w:pPr>
            <w:r w:rsidRPr="00795F2C">
              <w:rPr>
                <w:bCs/>
                <w:sz w:val="20"/>
              </w:rPr>
              <w:t>(ci-dessous)</w:t>
            </w:r>
          </w:p>
        </w:tc>
      </w:tr>
      <w:tr w:rsidR="000A183B" w:rsidRPr="00795F2C" w14:paraId="66C9FC67" w14:textId="77777777" w:rsidTr="00FB5431">
        <w:trPr>
          <w:trHeight w:val="60"/>
          <w:jc w:val="center"/>
        </w:trPr>
        <w:tc>
          <w:tcPr>
            <w:tcW w:w="1591" w:type="pct"/>
            <w:tcBorders>
              <w:top w:val="single" w:sz="12" w:space="0" w:color="auto"/>
              <w:left w:val="single" w:sz="12" w:space="0" w:color="auto"/>
              <w:bottom w:val="nil"/>
              <w:right w:val="single" w:sz="12" w:space="0" w:color="auto"/>
            </w:tcBorders>
            <w:shd w:val="clear" w:color="auto" w:fill="EAF1DD" w:themeFill="accent3" w:themeFillTint="33"/>
            <w:tcMar>
              <w:top w:w="0" w:type="dxa"/>
              <w:left w:w="108" w:type="dxa"/>
              <w:bottom w:w="0" w:type="dxa"/>
              <w:right w:w="108" w:type="dxa"/>
            </w:tcMar>
            <w:hideMark/>
          </w:tcPr>
          <w:p w14:paraId="07EFD01B" w14:textId="4D62BA20" w:rsidR="0025070C" w:rsidRPr="00795F2C" w:rsidRDefault="0025070C" w:rsidP="0025070C">
            <w:pPr>
              <w:pStyle w:val="Tabletext"/>
              <w:ind w:right="-105"/>
              <w:rPr>
                <w:rFonts w:asciiTheme="minorHAnsi" w:hAnsiTheme="minorHAnsi" w:cstheme="minorHAnsi"/>
                <w:sz w:val="20"/>
              </w:rPr>
            </w:pPr>
            <w:r w:rsidRPr="00795F2C">
              <w:rPr>
                <w:b/>
                <w:bCs/>
                <w:sz w:val="20"/>
              </w:rPr>
              <w:t>Recommandation 4</w:t>
            </w:r>
            <w:r w:rsidRPr="00795F2C">
              <w:rPr>
                <w:sz w:val="20"/>
              </w:rPr>
              <w:t xml:space="preserve">: </w:t>
            </w:r>
            <w:r w:rsidR="000B5026" w:rsidRPr="00795F2C">
              <w:rPr>
                <w:sz w:val="20"/>
              </w:rPr>
              <w:t>l</w:t>
            </w:r>
            <w:r w:rsidRPr="00795F2C">
              <w:rPr>
                <w:sz w:val="20"/>
              </w:rPr>
              <w:t>es organes délibérants et directeurs des institutions du système des Nations</w:t>
            </w:r>
            <w:r w:rsidR="00924533" w:rsidRPr="00795F2C">
              <w:rPr>
                <w:sz w:val="20"/>
              </w:rPr>
              <w:t> </w:t>
            </w:r>
            <w:r w:rsidRPr="00795F2C">
              <w:rPr>
                <w:sz w:val="20"/>
              </w:rPr>
              <w:t>Unies devraient charger leur chef de secrétariat, d'ici à la fin de 2025, de fournir, dans le cadre de rapports sur la gestion des ressources humaines, des mises à jour périodiques sur la mise en œuvre de l</w:t>
            </w:r>
            <w:r w:rsidR="00924533" w:rsidRPr="00795F2C">
              <w:rPr>
                <w:sz w:val="20"/>
              </w:rPr>
              <w:t>'</w:t>
            </w:r>
            <w:r w:rsidRPr="00795F2C">
              <w:rPr>
                <w:sz w:val="20"/>
              </w:rPr>
              <w:t>aménagement des modalités de travail et des politiques de télétravail, y compris des données statistiques, ventilées par sexe et selon d'autres paramètres pertinents, en vue de garantir une prise de décisions fondées sur des éléments factuels et des données probantes quant à la gestion de ces modalités.</w:t>
            </w:r>
          </w:p>
        </w:tc>
        <w:tc>
          <w:tcPr>
            <w:tcW w:w="350" w:type="pct"/>
            <w:tcBorders>
              <w:top w:val="single" w:sz="12" w:space="0" w:color="auto"/>
              <w:left w:val="single" w:sz="12" w:space="0" w:color="auto"/>
              <w:bottom w:val="nil"/>
              <w:right w:val="single" w:sz="8" w:space="0" w:color="auto"/>
            </w:tcBorders>
            <w:shd w:val="clear" w:color="auto" w:fill="FFFFFF" w:themeFill="background1"/>
            <w:tcMar>
              <w:top w:w="0" w:type="dxa"/>
              <w:left w:w="108" w:type="dxa"/>
              <w:bottom w:w="0" w:type="dxa"/>
              <w:right w:w="108" w:type="dxa"/>
            </w:tcMar>
          </w:tcPr>
          <w:p w14:paraId="160F5AE7" w14:textId="77777777" w:rsidR="0025070C" w:rsidRPr="00795F2C" w:rsidRDefault="0025070C" w:rsidP="00FB5431">
            <w:pPr>
              <w:pStyle w:val="Tabletext"/>
              <w:jc w:val="center"/>
              <w:rPr>
                <w:rFonts w:asciiTheme="minorHAnsi" w:hAnsiTheme="minorHAnsi" w:cstheme="minorHAnsi"/>
                <w:b/>
                <w:bCs/>
                <w:color w:val="000000"/>
                <w:sz w:val="20"/>
              </w:rPr>
            </w:pPr>
            <w:r w:rsidRPr="00795F2C">
              <w:rPr>
                <w:b/>
                <w:bCs/>
                <w:sz w:val="20"/>
              </w:rPr>
              <w:t>X</w:t>
            </w:r>
          </w:p>
        </w:tc>
        <w:tc>
          <w:tcPr>
            <w:tcW w:w="349" w:type="pct"/>
            <w:tcBorders>
              <w:top w:val="single" w:sz="12" w:space="0" w:color="auto"/>
              <w:left w:val="nil"/>
              <w:bottom w:val="nil"/>
              <w:right w:val="single" w:sz="8" w:space="0" w:color="auto"/>
            </w:tcBorders>
            <w:shd w:val="clear" w:color="auto" w:fill="FFFFFF" w:themeFill="background1"/>
            <w:tcMar>
              <w:top w:w="0" w:type="dxa"/>
              <w:left w:w="108" w:type="dxa"/>
              <w:bottom w:w="0" w:type="dxa"/>
              <w:right w:w="108" w:type="dxa"/>
            </w:tcMar>
          </w:tcPr>
          <w:p w14:paraId="661F0125" w14:textId="77777777" w:rsidR="0025070C" w:rsidRPr="00795F2C" w:rsidRDefault="0025070C" w:rsidP="00FB5431">
            <w:pPr>
              <w:pStyle w:val="Tabletext"/>
              <w:jc w:val="center"/>
              <w:rPr>
                <w:rFonts w:asciiTheme="minorHAnsi" w:hAnsiTheme="minorHAnsi" w:cstheme="minorHAnsi"/>
                <w:sz w:val="20"/>
              </w:rPr>
            </w:pPr>
          </w:p>
        </w:tc>
        <w:tc>
          <w:tcPr>
            <w:tcW w:w="399" w:type="pct"/>
            <w:tcBorders>
              <w:top w:val="single" w:sz="12" w:space="0" w:color="auto"/>
              <w:left w:val="nil"/>
              <w:bottom w:val="nil"/>
              <w:right w:val="single" w:sz="8" w:space="0" w:color="auto"/>
            </w:tcBorders>
            <w:shd w:val="clear" w:color="auto" w:fill="FFFFFF" w:themeFill="background1"/>
            <w:tcMar>
              <w:top w:w="0" w:type="dxa"/>
              <w:left w:w="108" w:type="dxa"/>
              <w:bottom w:w="0" w:type="dxa"/>
              <w:right w:w="108" w:type="dxa"/>
            </w:tcMar>
          </w:tcPr>
          <w:p w14:paraId="4E7BCF3E" w14:textId="77777777" w:rsidR="0025070C" w:rsidRPr="00795F2C" w:rsidRDefault="0025070C" w:rsidP="00FB5431">
            <w:pPr>
              <w:pStyle w:val="Tabletext"/>
              <w:jc w:val="center"/>
              <w:rPr>
                <w:rFonts w:asciiTheme="minorHAnsi" w:hAnsiTheme="minorHAnsi" w:cstheme="minorHAnsi"/>
                <w:sz w:val="20"/>
              </w:rPr>
            </w:pPr>
          </w:p>
        </w:tc>
        <w:tc>
          <w:tcPr>
            <w:tcW w:w="399" w:type="pct"/>
            <w:tcBorders>
              <w:top w:val="single" w:sz="12" w:space="0" w:color="auto"/>
              <w:left w:val="nil"/>
              <w:bottom w:val="nil"/>
              <w:right w:val="single" w:sz="12" w:space="0" w:color="auto"/>
            </w:tcBorders>
            <w:shd w:val="clear" w:color="auto" w:fill="FFFFFF" w:themeFill="background1"/>
            <w:tcMar>
              <w:top w:w="0" w:type="dxa"/>
              <w:left w:w="108" w:type="dxa"/>
              <w:bottom w:w="0" w:type="dxa"/>
              <w:right w:w="108" w:type="dxa"/>
            </w:tcMar>
          </w:tcPr>
          <w:p w14:paraId="7ECA5F74" w14:textId="77777777" w:rsidR="0025070C" w:rsidRPr="00795F2C" w:rsidRDefault="0025070C" w:rsidP="00FB5431">
            <w:pPr>
              <w:pStyle w:val="Tabletext"/>
              <w:jc w:val="center"/>
              <w:rPr>
                <w:rFonts w:asciiTheme="minorHAnsi" w:eastAsiaTheme="minorHAnsi" w:hAnsiTheme="minorHAnsi" w:cstheme="minorHAnsi"/>
                <w:b/>
                <w:bCs/>
                <w:sz w:val="20"/>
              </w:rPr>
            </w:pPr>
          </w:p>
        </w:tc>
        <w:tc>
          <w:tcPr>
            <w:tcW w:w="398" w:type="pct"/>
            <w:tcBorders>
              <w:top w:val="single" w:sz="12" w:space="0" w:color="auto"/>
              <w:left w:val="single" w:sz="12" w:space="0" w:color="auto"/>
              <w:bottom w:val="nil"/>
              <w:right w:val="single" w:sz="8" w:space="0" w:color="auto"/>
            </w:tcBorders>
            <w:shd w:val="clear" w:color="auto" w:fill="FFFFFF" w:themeFill="background1"/>
            <w:tcMar>
              <w:top w:w="0" w:type="dxa"/>
              <w:left w:w="108" w:type="dxa"/>
              <w:bottom w:w="0" w:type="dxa"/>
              <w:right w:w="108" w:type="dxa"/>
            </w:tcMar>
          </w:tcPr>
          <w:p w14:paraId="34BCCE7E" w14:textId="77777777" w:rsidR="0025070C" w:rsidRPr="00795F2C" w:rsidRDefault="0025070C" w:rsidP="00FB5431">
            <w:pPr>
              <w:pStyle w:val="Tabletext"/>
              <w:jc w:val="center"/>
              <w:rPr>
                <w:rFonts w:asciiTheme="minorHAnsi" w:hAnsiTheme="minorHAnsi" w:cstheme="minorHAnsi"/>
                <w:b/>
                <w:bCs/>
                <w:sz w:val="20"/>
              </w:rPr>
            </w:pPr>
          </w:p>
        </w:tc>
        <w:tc>
          <w:tcPr>
            <w:tcW w:w="249" w:type="pct"/>
            <w:tcBorders>
              <w:top w:val="single" w:sz="12" w:space="0" w:color="auto"/>
              <w:left w:val="nil"/>
              <w:bottom w:val="nil"/>
              <w:right w:val="single" w:sz="8" w:space="0" w:color="auto"/>
            </w:tcBorders>
            <w:shd w:val="clear" w:color="auto" w:fill="FFFFFF" w:themeFill="background1"/>
            <w:tcMar>
              <w:top w:w="0" w:type="dxa"/>
              <w:left w:w="108" w:type="dxa"/>
              <w:bottom w:w="0" w:type="dxa"/>
              <w:right w:w="108" w:type="dxa"/>
            </w:tcMar>
          </w:tcPr>
          <w:p w14:paraId="4A4A7A3C" w14:textId="77777777" w:rsidR="0025070C" w:rsidRPr="00795F2C" w:rsidRDefault="0025070C" w:rsidP="00FB5431">
            <w:pPr>
              <w:pStyle w:val="Tabletext"/>
              <w:jc w:val="center"/>
              <w:rPr>
                <w:rFonts w:asciiTheme="minorHAnsi" w:hAnsiTheme="minorHAnsi" w:cstheme="minorHAnsi"/>
                <w:b/>
                <w:bCs/>
                <w:sz w:val="20"/>
              </w:rPr>
            </w:pPr>
            <w:r w:rsidRPr="00795F2C">
              <w:rPr>
                <w:b/>
                <w:bCs/>
                <w:sz w:val="20"/>
              </w:rPr>
              <w:t>X</w:t>
            </w:r>
          </w:p>
        </w:tc>
        <w:tc>
          <w:tcPr>
            <w:tcW w:w="401" w:type="pct"/>
            <w:tcBorders>
              <w:top w:val="single" w:sz="12" w:space="0" w:color="auto"/>
              <w:left w:val="nil"/>
              <w:bottom w:val="nil"/>
              <w:right w:val="single" w:sz="12" w:space="0" w:color="auto"/>
            </w:tcBorders>
            <w:shd w:val="clear" w:color="auto" w:fill="FFFFFF" w:themeFill="background1"/>
            <w:tcMar>
              <w:top w:w="0" w:type="dxa"/>
              <w:left w:w="108" w:type="dxa"/>
              <w:bottom w:w="0" w:type="dxa"/>
              <w:right w:w="108" w:type="dxa"/>
            </w:tcMar>
          </w:tcPr>
          <w:p w14:paraId="26402E0F" w14:textId="77777777" w:rsidR="0025070C" w:rsidRPr="00795F2C" w:rsidRDefault="0025070C" w:rsidP="00FB5431">
            <w:pPr>
              <w:pStyle w:val="Tabletext"/>
              <w:jc w:val="center"/>
              <w:rPr>
                <w:rFonts w:asciiTheme="minorHAnsi" w:eastAsiaTheme="minorHAnsi" w:hAnsiTheme="minorHAnsi" w:cstheme="minorHAnsi"/>
                <w:b/>
                <w:bCs/>
                <w:sz w:val="20"/>
              </w:rPr>
            </w:pPr>
          </w:p>
        </w:tc>
        <w:tc>
          <w:tcPr>
            <w:tcW w:w="864" w:type="pct"/>
            <w:tcBorders>
              <w:top w:val="single" w:sz="12" w:space="0" w:color="auto"/>
              <w:left w:val="single" w:sz="12" w:space="0" w:color="auto"/>
              <w:bottom w:val="nil"/>
              <w:right w:val="single" w:sz="8" w:space="0" w:color="auto"/>
            </w:tcBorders>
            <w:tcMar>
              <w:top w:w="0" w:type="dxa"/>
              <w:left w:w="108" w:type="dxa"/>
              <w:bottom w:w="0" w:type="dxa"/>
              <w:right w:w="108" w:type="dxa"/>
            </w:tcMar>
            <w:vAlign w:val="center"/>
          </w:tcPr>
          <w:p w14:paraId="0733BC43" w14:textId="12F2E951" w:rsidR="0025070C" w:rsidRPr="00795F2C" w:rsidRDefault="0025070C" w:rsidP="0025070C">
            <w:pPr>
              <w:pStyle w:val="Tabletext"/>
              <w:rPr>
                <w:rFonts w:asciiTheme="minorHAnsi" w:hAnsiTheme="minorHAnsi" w:cstheme="minorHAnsi"/>
                <w:sz w:val="20"/>
              </w:rPr>
            </w:pPr>
            <w:r w:rsidRPr="00795F2C">
              <w:rPr>
                <w:sz w:val="20"/>
              </w:rPr>
              <w:t>Aucune incidence financière. À mettre en œuvre dans les limites des ressources financières et des ressources humaines actuelles.</w:t>
            </w:r>
          </w:p>
        </w:tc>
      </w:tr>
      <w:tr w:rsidR="00C9548E" w:rsidRPr="00795F2C" w14:paraId="667682E1" w14:textId="77777777" w:rsidTr="00C9548E">
        <w:trPr>
          <w:trHeight w:val="60"/>
          <w:jc w:val="center"/>
        </w:trPr>
        <w:tc>
          <w:tcPr>
            <w:tcW w:w="5000" w:type="pct"/>
            <w:gridSpan w:val="9"/>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tcPr>
          <w:p w14:paraId="11FFF486" w14:textId="103937E1" w:rsidR="00C9548E" w:rsidRPr="00795F2C" w:rsidRDefault="00C9548E" w:rsidP="004D7348">
            <w:pPr>
              <w:pStyle w:val="Tablehead"/>
              <w:spacing w:after="0"/>
              <w:rPr>
                <w:sz w:val="20"/>
              </w:rPr>
            </w:pPr>
            <w:r w:rsidRPr="00795F2C">
              <w:rPr>
                <w:sz w:val="20"/>
              </w:rPr>
              <w:lastRenderedPageBreak/>
              <w:t xml:space="preserve">JIU/REP/2023/4 – </w:t>
            </w:r>
            <w:hyperlink r:id="rId16" w:history="1">
              <w:r w:rsidRPr="00795F2C">
                <w:rPr>
                  <w:rStyle w:val="Hyperlink"/>
                  <w:sz w:val="20"/>
                </w:rPr>
                <w:t>Examen des politiques et pratiques des institutions du système des Nations Unies</w:t>
              </w:r>
              <w:r w:rsidR="004D7348" w:rsidRPr="00795F2C">
                <w:rPr>
                  <w:rStyle w:val="Hyperlink"/>
                  <w:sz w:val="20"/>
                </w:rPr>
                <w:br/>
              </w:r>
              <w:r w:rsidRPr="00795F2C">
                <w:rPr>
                  <w:rStyle w:val="Hyperlink"/>
                  <w:sz w:val="20"/>
                </w:rPr>
                <w:t>en matière de santé mentale et de bien-être</w:t>
              </w:r>
            </w:hyperlink>
            <w:r w:rsidRPr="00795F2C">
              <w:rPr>
                <w:sz w:val="20"/>
              </w:rPr>
              <w:t xml:space="preserve"> – Coordonnatrice de l'UIT: Roza Van der Heide</w:t>
            </w:r>
          </w:p>
          <w:p w14:paraId="70361953" w14:textId="37736A1E" w:rsidR="00C9548E" w:rsidRPr="00795F2C" w:rsidRDefault="00C9548E" w:rsidP="004D7348">
            <w:pPr>
              <w:pStyle w:val="Tablehead"/>
              <w:spacing w:before="0"/>
              <w:rPr>
                <w:sz w:val="20"/>
              </w:rPr>
            </w:pPr>
            <w:r w:rsidRPr="00795F2C">
              <w:rPr>
                <w:sz w:val="20"/>
              </w:rPr>
              <w:t>•</w:t>
            </w:r>
            <w:r w:rsidRPr="00795F2C">
              <w:rPr>
                <w:sz w:val="20"/>
              </w:rPr>
              <w:tab/>
            </w:r>
            <w:hyperlink r:id="rId17" w:history="1">
              <w:r w:rsidRPr="00795F2C">
                <w:rPr>
                  <w:rStyle w:val="Hyperlink"/>
                  <w:sz w:val="20"/>
                </w:rPr>
                <w:t>Points saillants de l'examen</w:t>
              </w:r>
            </w:hyperlink>
          </w:p>
        </w:tc>
      </w:tr>
      <w:tr w:rsidR="004D7348" w:rsidRPr="00795F2C" w14:paraId="54B43E2D" w14:textId="77777777" w:rsidTr="000B5026">
        <w:trPr>
          <w:trHeight w:val="60"/>
          <w:jc w:val="center"/>
        </w:trPr>
        <w:tc>
          <w:tcPr>
            <w:tcW w:w="1591" w:type="pct"/>
            <w:tcBorders>
              <w:top w:val="single" w:sz="12" w:space="0" w:color="auto"/>
              <w:left w:val="single" w:sz="12" w:space="0" w:color="auto"/>
              <w:bottom w:val="single" w:sz="12" w:space="0" w:color="auto"/>
              <w:right w:val="single" w:sz="12" w:space="0" w:color="auto"/>
            </w:tcBorders>
            <w:shd w:val="clear" w:color="auto" w:fill="FFFFFF" w:themeFill="background1"/>
            <w:tcMar>
              <w:top w:w="0" w:type="dxa"/>
              <w:left w:w="108" w:type="dxa"/>
              <w:bottom w:w="0" w:type="dxa"/>
              <w:right w:w="108" w:type="dxa"/>
            </w:tcMar>
          </w:tcPr>
          <w:p w14:paraId="0889AF66" w14:textId="05B9A2FF" w:rsidR="004D7348" w:rsidRPr="00795F2C" w:rsidRDefault="004D7348" w:rsidP="004D7348">
            <w:pPr>
              <w:pStyle w:val="Tablehead"/>
              <w:rPr>
                <w:bCs/>
                <w:sz w:val="20"/>
              </w:rPr>
            </w:pPr>
            <w:r w:rsidRPr="00795F2C">
              <w:rPr>
                <w:bCs/>
                <w:sz w:val="20"/>
              </w:rPr>
              <w:t>Recommandation</w:t>
            </w:r>
          </w:p>
        </w:tc>
        <w:tc>
          <w:tcPr>
            <w:tcW w:w="1497" w:type="pct"/>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0" w:type="dxa"/>
              <w:left w:w="108" w:type="dxa"/>
              <w:bottom w:w="0" w:type="dxa"/>
              <w:right w:w="108" w:type="dxa"/>
            </w:tcMar>
          </w:tcPr>
          <w:p w14:paraId="705B405A" w14:textId="3DAED619" w:rsidR="004D7348" w:rsidRPr="00795F2C" w:rsidRDefault="004D7348" w:rsidP="004D7348">
            <w:pPr>
              <w:pStyle w:val="Tablehead"/>
              <w:rPr>
                <w:bCs/>
                <w:sz w:val="20"/>
              </w:rPr>
            </w:pPr>
            <w:r w:rsidRPr="00795F2C">
              <w:rPr>
                <w:bCs/>
                <w:sz w:val="20"/>
              </w:rPr>
              <w:t>Acceptation de la recommandation</w:t>
            </w:r>
          </w:p>
        </w:tc>
        <w:tc>
          <w:tcPr>
            <w:tcW w:w="1048" w:type="pct"/>
            <w:gridSpan w:val="3"/>
            <w:tcBorders>
              <w:top w:val="single" w:sz="12" w:space="0" w:color="auto"/>
              <w:left w:val="single" w:sz="12" w:space="0" w:color="auto"/>
              <w:bottom w:val="single" w:sz="12" w:space="0" w:color="auto"/>
              <w:right w:val="single" w:sz="12" w:space="0" w:color="auto"/>
            </w:tcBorders>
            <w:shd w:val="clear" w:color="auto" w:fill="FDE9D9" w:themeFill="accent6" w:themeFillTint="33"/>
            <w:tcMar>
              <w:top w:w="0" w:type="dxa"/>
              <w:left w:w="108" w:type="dxa"/>
              <w:bottom w:w="0" w:type="dxa"/>
              <w:right w:w="108" w:type="dxa"/>
            </w:tcMar>
          </w:tcPr>
          <w:p w14:paraId="258D91C0" w14:textId="77583F2A" w:rsidR="004D7348" w:rsidRPr="00795F2C" w:rsidRDefault="004D7348" w:rsidP="004D7348">
            <w:pPr>
              <w:pStyle w:val="Tablehead"/>
              <w:rPr>
                <w:bCs/>
                <w:sz w:val="20"/>
              </w:rPr>
            </w:pPr>
            <w:r w:rsidRPr="00795F2C">
              <w:rPr>
                <w:bCs/>
                <w:sz w:val="20"/>
              </w:rPr>
              <w:t>État d'avancement de l'application</w:t>
            </w:r>
          </w:p>
        </w:tc>
        <w:tc>
          <w:tcPr>
            <w:tcW w:w="864"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31D4386" w14:textId="0F7C3668" w:rsidR="004D7348" w:rsidRPr="00795F2C" w:rsidRDefault="004D7348" w:rsidP="004D7348">
            <w:pPr>
              <w:pStyle w:val="Tablehead"/>
              <w:rPr>
                <w:bCs/>
                <w:sz w:val="20"/>
              </w:rPr>
            </w:pPr>
            <w:r w:rsidRPr="00795F2C">
              <w:rPr>
                <w:bCs/>
                <w:sz w:val="20"/>
              </w:rPr>
              <w:t>Commentaires</w:t>
            </w:r>
          </w:p>
        </w:tc>
      </w:tr>
      <w:tr w:rsidR="000A183B" w:rsidRPr="00795F2C" w14:paraId="1DF0A0BE" w14:textId="77777777" w:rsidTr="000B5026">
        <w:trPr>
          <w:trHeight w:val="60"/>
          <w:jc w:val="center"/>
        </w:trPr>
        <w:tc>
          <w:tcPr>
            <w:tcW w:w="1591" w:type="pct"/>
            <w:tcBorders>
              <w:top w:val="single" w:sz="12" w:space="0" w:color="auto"/>
              <w:left w:val="single" w:sz="12" w:space="0" w:color="auto"/>
              <w:bottom w:val="single" w:sz="12" w:space="0" w:color="auto"/>
              <w:right w:val="single" w:sz="12" w:space="0" w:color="auto"/>
            </w:tcBorders>
            <w:shd w:val="clear" w:color="auto" w:fill="EAF1DD" w:themeFill="accent3" w:themeFillTint="33"/>
            <w:tcMar>
              <w:top w:w="0" w:type="dxa"/>
              <w:left w:w="108" w:type="dxa"/>
              <w:bottom w:w="0" w:type="dxa"/>
              <w:right w:w="108" w:type="dxa"/>
            </w:tcMar>
          </w:tcPr>
          <w:p w14:paraId="0E4DC598" w14:textId="0FC03E6A" w:rsidR="00C9548E" w:rsidRPr="00795F2C" w:rsidRDefault="00C9548E" w:rsidP="004D7348">
            <w:pPr>
              <w:pStyle w:val="Tablehead"/>
              <w:rPr>
                <w:bCs/>
                <w:sz w:val="20"/>
              </w:rPr>
            </w:pPr>
            <w:r w:rsidRPr="00795F2C">
              <w:rPr>
                <w:bCs/>
                <w:sz w:val="20"/>
              </w:rPr>
              <w:t>Organes délibérants/directeurs</w:t>
            </w:r>
          </w:p>
        </w:tc>
        <w:tc>
          <w:tcPr>
            <w:tcW w:w="350" w:type="pct"/>
            <w:tcBorders>
              <w:top w:val="single" w:sz="12" w:space="0" w:color="auto"/>
              <w:left w:val="single" w:sz="12" w:space="0" w:color="auto"/>
              <w:bottom w:val="single" w:sz="12" w:space="0" w:color="auto"/>
              <w:right w:val="single" w:sz="8" w:space="0" w:color="auto"/>
            </w:tcBorders>
            <w:shd w:val="clear" w:color="auto" w:fill="DBE5F1" w:themeFill="accent1" w:themeFillTint="33"/>
            <w:tcMar>
              <w:top w:w="0" w:type="dxa"/>
              <w:left w:w="108" w:type="dxa"/>
              <w:bottom w:w="0" w:type="dxa"/>
              <w:right w:w="108" w:type="dxa"/>
            </w:tcMar>
          </w:tcPr>
          <w:p w14:paraId="58A2216C" w14:textId="5D271923" w:rsidR="00C9548E" w:rsidRPr="00795F2C" w:rsidRDefault="00C9548E" w:rsidP="004D7348">
            <w:pPr>
              <w:pStyle w:val="Tablehead"/>
              <w:rPr>
                <w:bCs/>
                <w:sz w:val="20"/>
              </w:rPr>
            </w:pPr>
            <w:r w:rsidRPr="00795F2C">
              <w:rPr>
                <w:bCs/>
                <w:sz w:val="20"/>
              </w:rPr>
              <w:t>Acceptée</w:t>
            </w:r>
          </w:p>
        </w:tc>
        <w:tc>
          <w:tcPr>
            <w:tcW w:w="349" w:type="pct"/>
            <w:tcBorders>
              <w:top w:val="single" w:sz="12" w:space="0" w:color="auto"/>
              <w:left w:val="nil"/>
              <w:bottom w:val="single" w:sz="12" w:space="0" w:color="auto"/>
              <w:right w:val="single" w:sz="8" w:space="0" w:color="auto"/>
            </w:tcBorders>
            <w:shd w:val="clear" w:color="auto" w:fill="DBE5F1" w:themeFill="accent1" w:themeFillTint="33"/>
            <w:tcMar>
              <w:top w:w="0" w:type="dxa"/>
              <w:left w:w="108" w:type="dxa"/>
              <w:bottom w:w="0" w:type="dxa"/>
              <w:right w:w="108" w:type="dxa"/>
            </w:tcMar>
          </w:tcPr>
          <w:p w14:paraId="5EE917D4" w14:textId="3FFC2922" w:rsidR="00C9548E" w:rsidRPr="00795F2C" w:rsidRDefault="00C9548E" w:rsidP="004D7348">
            <w:pPr>
              <w:pStyle w:val="Tablehead"/>
              <w:rPr>
                <w:bCs/>
                <w:sz w:val="20"/>
              </w:rPr>
            </w:pPr>
            <w:r w:rsidRPr="00795F2C">
              <w:rPr>
                <w:bCs/>
                <w:sz w:val="20"/>
              </w:rPr>
              <w:t>Non Acceptée</w:t>
            </w:r>
          </w:p>
        </w:tc>
        <w:tc>
          <w:tcPr>
            <w:tcW w:w="399" w:type="pct"/>
            <w:tcBorders>
              <w:top w:val="single" w:sz="12" w:space="0" w:color="auto"/>
              <w:left w:val="nil"/>
              <w:bottom w:val="single" w:sz="12" w:space="0" w:color="auto"/>
              <w:right w:val="single" w:sz="8" w:space="0" w:color="auto"/>
            </w:tcBorders>
            <w:shd w:val="clear" w:color="auto" w:fill="DBE5F1" w:themeFill="accent1" w:themeFillTint="33"/>
            <w:tcMar>
              <w:top w:w="0" w:type="dxa"/>
              <w:left w:w="108" w:type="dxa"/>
              <w:bottom w:w="0" w:type="dxa"/>
              <w:right w:w="108" w:type="dxa"/>
            </w:tcMar>
          </w:tcPr>
          <w:p w14:paraId="2F4419ED" w14:textId="47C2D9E3" w:rsidR="00C9548E" w:rsidRPr="00795F2C" w:rsidRDefault="00C9548E" w:rsidP="004D7348">
            <w:pPr>
              <w:pStyle w:val="Tablehead"/>
              <w:rPr>
                <w:bCs/>
                <w:sz w:val="20"/>
              </w:rPr>
            </w:pPr>
            <w:r w:rsidRPr="00795F2C">
              <w:rPr>
                <w:bCs/>
                <w:sz w:val="20"/>
              </w:rPr>
              <w:t>Non pertinente</w:t>
            </w:r>
          </w:p>
        </w:tc>
        <w:tc>
          <w:tcPr>
            <w:tcW w:w="399" w:type="pct"/>
            <w:tcBorders>
              <w:top w:val="single" w:sz="12" w:space="0" w:color="auto"/>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tcPr>
          <w:p w14:paraId="62A360E1" w14:textId="192DBFD2" w:rsidR="00C9548E" w:rsidRPr="00795F2C" w:rsidRDefault="00C9548E" w:rsidP="000A183B">
            <w:pPr>
              <w:pStyle w:val="Tablehead"/>
              <w:ind w:left="-105" w:right="-103"/>
              <w:rPr>
                <w:bCs/>
                <w:sz w:val="20"/>
              </w:rPr>
            </w:pPr>
            <w:r w:rsidRPr="00795F2C">
              <w:rPr>
                <w:bCs/>
                <w:sz w:val="20"/>
              </w:rPr>
              <w:t>Nécessite un examen plus approfondi</w:t>
            </w:r>
          </w:p>
        </w:tc>
        <w:tc>
          <w:tcPr>
            <w:tcW w:w="398" w:type="pct"/>
            <w:tcBorders>
              <w:top w:val="single" w:sz="12" w:space="0" w:color="auto"/>
              <w:left w:val="single" w:sz="12" w:space="0" w:color="auto"/>
              <w:bottom w:val="single" w:sz="12" w:space="0" w:color="auto"/>
              <w:right w:val="single" w:sz="8" w:space="0" w:color="auto"/>
            </w:tcBorders>
            <w:shd w:val="clear" w:color="auto" w:fill="FDE9D9" w:themeFill="accent6" w:themeFillTint="33"/>
            <w:tcMar>
              <w:top w:w="0" w:type="dxa"/>
              <w:left w:w="108" w:type="dxa"/>
              <w:bottom w:w="0" w:type="dxa"/>
              <w:right w:w="108" w:type="dxa"/>
            </w:tcMar>
          </w:tcPr>
          <w:p w14:paraId="30C87207" w14:textId="0B24936A" w:rsidR="00C9548E" w:rsidRPr="00795F2C" w:rsidRDefault="00C9548E" w:rsidP="004D7348">
            <w:pPr>
              <w:pStyle w:val="Tablehead"/>
              <w:rPr>
                <w:bCs/>
                <w:sz w:val="20"/>
              </w:rPr>
            </w:pPr>
            <w:r w:rsidRPr="00795F2C">
              <w:rPr>
                <w:bCs/>
                <w:sz w:val="20"/>
              </w:rPr>
              <w:t>En attente</w:t>
            </w:r>
          </w:p>
        </w:tc>
        <w:tc>
          <w:tcPr>
            <w:tcW w:w="249" w:type="pct"/>
            <w:tcBorders>
              <w:top w:val="single" w:sz="12" w:space="0" w:color="auto"/>
              <w:left w:val="nil"/>
              <w:bottom w:val="single" w:sz="12" w:space="0" w:color="auto"/>
              <w:right w:val="single" w:sz="8" w:space="0" w:color="auto"/>
            </w:tcBorders>
            <w:shd w:val="clear" w:color="auto" w:fill="FDE9D9" w:themeFill="accent6" w:themeFillTint="33"/>
            <w:tcMar>
              <w:top w:w="0" w:type="dxa"/>
              <w:left w:w="108" w:type="dxa"/>
              <w:bottom w:w="0" w:type="dxa"/>
              <w:right w:w="108" w:type="dxa"/>
            </w:tcMar>
          </w:tcPr>
          <w:p w14:paraId="14CB4BAA" w14:textId="1537FEDC" w:rsidR="00C9548E" w:rsidRPr="00795F2C" w:rsidRDefault="00C9548E" w:rsidP="004D7348">
            <w:pPr>
              <w:pStyle w:val="Tablehead"/>
              <w:rPr>
                <w:bCs/>
                <w:sz w:val="20"/>
              </w:rPr>
            </w:pPr>
            <w:r w:rsidRPr="00795F2C">
              <w:rPr>
                <w:bCs/>
                <w:sz w:val="20"/>
              </w:rPr>
              <w:t>En cours</w:t>
            </w:r>
          </w:p>
        </w:tc>
        <w:tc>
          <w:tcPr>
            <w:tcW w:w="401" w:type="pct"/>
            <w:tcBorders>
              <w:top w:val="single" w:sz="12" w:space="0" w:color="auto"/>
              <w:left w:val="nil"/>
              <w:bottom w:val="single" w:sz="12" w:space="0" w:color="auto"/>
              <w:right w:val="single" w:sz="12" w:space="0" w:color="auto"/>
            </w:tcBorders>
            <w:shd w:val="clear" w:color="auto" w:fill="FDE9D9" w:themeFill="accent6" w:themeFillTint="33"/>
            <w:tcMar>
              <w:top w:w="0" w:type="dxa"/>
              <w:left w:w="108" w:type="dxa"/>
              <w:bottom w:w="0" w:type="dxa"/>
              <w:right w:w="108" w:type="dxa"/>
            </w:tcMar>
          </w:tcPr>
          <w:p w14:paraId="5622796B" w14:textId="2038FDFD" w:rsidR="00C9548E" w:rsidRPr="00795F2C" w:rsidRDefault="00C9548E" w:rsidP="004D7348">
            <w:pPr>
              <w:pStyle w:val="Tablehead"/>
              <w:rPr>
                <w:bCs/>
                <w:sz w:val="20"/>
              </w:rPr>
            </w:pPr>
            <w:r w:rsidRPr="00795F2C">
              <w:rPr>
                <w:bCs/>
                <w:sz w:val="20"/>
              </w:rPr>
              <w:t>Appliquée</w:t>
            </w:r>
          </w:p>
        </w:tc>
        <w:tc>
          <w:tcPr>
            <w:tcW w:w="864"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1A75D3D" w14:textId="195CDBB0" w:rsidR="00C9548E" w:rsidRPr="00795F2C" w:rsidRDefault="00000000" w:rsidP="000B5026">
            <w:pPr>
              <w:pStyle w:val="Tablehead"/>
              <w:spacing w:after="0"/>
              <w:rPr>
                <w:bCs/>
                <w:sz w:val="20"/>
              </w:rPr>
            </w:pPr>
            <w:hyperlink r:id="rId18" w:history="1">
              <w:r w:rsidR="00C9548E" w:rsidRPr="00795F2C">
                <w:rPr>
                  <w:rStyle w:val="Hyperlink"/>
                  <w:bCs/>
                  <w:sz w:val="20"/>
                </w:rPr>
                <w:t>Observations du Conseil des chefs de secrétariat (CCS)</w:t>
              </w:r>
            </w:hyperlink>
          </w:p>
          <w:p w14:paraId="2411E198" w14:textId="00F8537C" w:rsidR="00C9548E" w:rsidRPr="00795F2C" w:rsidRDefault="00C9548E" w:rsidP="000B5026">
            <w:pPr>
              <w:pStyle w:val="Tablehead"/>
              <w:spacing w:before="0" w:after="0"/>
              <w:rPr>
                <w:bCs/>
                <w:sz w:val="20"/>
              </w:rPr>
            </w:pPr>
            <w:r w:rsidRPr="00795F2C">
              <w:rPr>
                <w:bCs/>
                <w:sz w:val="20"/>
              </w:rPr>
              <w:t>___</w:t>
            </w:r>
          </w:p>
          <w:p w14:paraId="5D0844A8" w14:textId="77777777" w:rsidR="00C9548E" w:rsidRPr="00795F2C" w:rsidRDefault="00C9548E" w:rsidP="000B5026">
            <w:pPr>
              <w:pStyle w:val="Tablehead"/>
              <w:rPr>
                <w:bCs/>
                <w:sz w:val="20"/>
              </w:rPr>
            </w:pPr>
            <w:r w:rsidRPr="00795F2C">
              <w:rPr>
                <w:bCs/>
                <w:sz w:val="20"/>
              </w:rPr>
              <w:t>Observations de l'UIT sur la pertinence et les incidences sur les ressources financières et les ressources humaines</w:t>
            </w:r>
          </w:p>
          <w:p w14:paraId="0398F4B6" w14:textId="213EC2F7" w:rsidR="00C9548E" w:rsidRPr="00795F2C" w:rsidRDefault="00C9548E" w:rsidP="004D7348">
            <w:pPr>
              <w:pStyle w:val="Tablehead"/>
              <w:rPr>
                <w:bCs/>
                <w:sz w:val="20"/>
              </w:rPr>
            </w:pPr>
            <w:r w:rsidRPr="00795F2C">
              <w:rPr>
                <w:bCs/>
                <w:sz w:val="20"/>
              </w:rPr>
              <w:t>(ci-dessous)</w:t>
            </w:r>
          </w:p>
        </w:tc>
      </w:tr>
      <w:tr w:rsidR="000A183B" w:rsidRPr="00795F2C" w14:paraId="0809871D" w14:textId="77777777" w:rsidTr="00FB5431">
        <w:trPr>
          <w:trHeight w:val="60"/>
          <w:jc w:val="center"/>
        </w:trPr>
        <w:tc>
          <w:tcPr>
            <w:tcW w:w="1591" w:type="pct"/>
            <w:tcBorders>
              <w:top w:val="single" w:sz="12" w:space="0" w:color="auto"/>
              <w:left w:val="single" w:sz="12" w:space="0" w:color="auto"/>
              <w:bottom w:val="single" w:sz="12" w:space="0" w:color="auto"/>
              <w:right w:val="single" w:sz="12" w:space="0" w:color="auto"/>
            </w:tcBorders>
            <w:shd w:val="clear" w:color="auto" w:fill="EAF1DD" w:themeFill="accent3" w:themeFillTint="33"/>
            <w:tcMar>
              <w:top w:w="0" w:type="dxa"/>
              <w:left w:w="108" w:type="dxa"/>
              <w:bottom w:w="0" w:type="dxa"/>
              <w:right w:w="108" w:type="dxa"/>
            </w:tcMar>
          </w:tcPr>
          <w:p w14:paraId="31FF2089" w14:textId="04F88B6A" w:rsidR="00924533" w:rsidRPr="00795F2C" w:rsidRDefault="00924533" w:rsidP="00924533">
            <w:pPr>
              <w:pStyle w:val="Tabletext"/>
              <w:ind w:right="-105"/>
              <w:rPr>
                <w:b/>
                <w:bCs/>
                <w:sz w:val="20"/>
              </w:rPr>
            </w:pPr>
            <w:r w:rsidRPr="00795F2C">
              <w:rPr>
                <w:b/>
                <w:bCs/>
                <w:sz w:val="20"/>
              </w:rPr>
              <w:t>Recommandation 3</w:t>
            </w:r>
            <w:r w:rsidRPr="00795F2C">
              <w:rPr>
                <w:sz w:val="20"/>
              </w:rPr>
              <w:t xml:space="preserve">: </w:t>
            </w:r>
            <w:r w:rsidR="000B5026" w:rsidRPr="00795F2C">
              <w:rPr>
                <w:sz w:val="20"/>
              </w:rPr>
              <w:t>l</w:t>
            </w:r>
            <w:r w:rsidRPr="00795F2C">
              <w:rPr>
                <w:sz w:val="20"/>
              </w:rPr>
              <w:t>es organes délibérants et directeurs des institutions du système des Nations</w:t>
            </w:r>
            <w:r w:rsidR="000A183B" w:rsidRPr="00795F2C">
              <w:rPr>
                <w:sz w:val="20"/>
              </w:rPr>
              <w:t> </w:t>
            </w:r>
            <w:r w:rsidRPr="00795F2C">
              <w:rPr>
                <w:sz w:val="20"/>
              </w:rPr>
              <w:t>Unies devraient charger leur chef de secrétariat de faire le point, d</w:t>
            </w:r>
            <w:r w:rsidR="000A183B" w:rsidRPr="00795F2C">
              <w:rPr>
                <w:sz w:val="20"/>
              </w:rPr>
              <w:t>'</w:t>
            </w:r>
            <w:r w:rsidRPr="00795F2C">
              <w:rPr>
                <w:sz w:val="20"/>
              </w:rPr>
              <w:t>ici à la fin de</w:t>
            </w:r>
            <w:r w:rsidR="00D57C4F" w:rsidRPr="00795F2C">
              <w:rPr>
                <w:sz w:val="20"/>
              </w:rPr>
              <w:t> </w:t>
            </w:r>
            <w:r w:rsidRPr="00795F2C">
              <w:rPr>
                <w:sz w:val="20"/>
              </w:rPr>
              <w:t>2026, sur l</w:t>
            </w:r>
            <w:r w:rsidR="000A183B" w:rsidRPr="00795F2C">
              <w:rPr>
                <w:sz w:val="20"/>
              </w:rPr>
              <w:t>'</w:t>
            </w:r>
            <w:r w:rsidRPr="00795F2C">
              <w:rPr>
                <w:sz w:val="20"/>
              </w:rPr>
              <w:t>élaboration et l</w:t>
            </w:r>
            <w:r w:rsidR="000A183B" w:rsidRPr="00795F2C">
              <w:rPr>
                <w:sz w:val="20"/>
              </w:rPr>
              <w:t>'</w:t>
            </w:r>
            <w:r w:rsidRPr="00795F2C">
              <w:rPr>
                <w:sz w:val="20"/>
              </w:rPr>
              <w:t>exécution de leur plan d</w:t>
            </w:r>
            <w:r w:rsidR="000A183B" w:rsidRPr="00795F2C">
              <w:rPr>
                <w:sz w:val="20"/>
              </w:rPr>
              <w:t>'</w:t>
            </w:r>
            <w:r w:rsidRPr="00795F2C">
              <w:rPr>
                <w:sz w:val="20"/>
              </w:rPr>
              <w:t>action pour la santé mentale et le bien</w:t>
            </w:r>
            <w:r w:rsidR="00D57C4F" w:rsidRPr="00795F2C">
              <w:rPr>
                <w:sz w:val="20"/>
              </w:rPr>
              <w:noBreakHyphen/>
            </w:r>
            <w:r w:rsidRPr="00795F2C">
              <w:rPr>
                <w:sz w:val="20"/>
              </w:rPr>
              <w:t>être sur le lieu de travail élaboré selon la démarche institutionnelle y afférente guidée par les données et fondée sur des éléments probants.</w:t>
            </w:r>
          </w:p>
        </w:tc>
        <w:tc>
          <w:tcPr>
            <w:tcW w:w="350" w:type="pct"/>
            <w:tcBorders>
              <w:top w:val="single" w:sz="12" w:space="0" w:color="auto"/>
              <w:left w:val="single" w:sz="12" w:space="0" w:color="auto"/>
              <w:bottom w:val="single" w:sz="12" w:space="0" w:color="auto"/>
              <w:right w:val="single" w:sz="8" w:space="0" w:color="auto"/>
            </w:tcBorders>
            <w:shd w:val="clear" w:color="auto" w:fill="FFFFFF" w:themeFill="background1"/>
            <w:tcMar>
              <w:top w:w="0" w:type="dxa"/>
              <w:left w:w="108" w:type="dxa"/>
              <w:bottom w:w="0" w:type="dxa"/>
              <w:right w:w="108" w:type="dxa"/>
            </w:tcMar>
          </w:tcPr>
          <w:p w14:paraId="238FEDC1" w14:textId="6FBB712F" w:rsidR="00924533" w:rsidRPr="00795F2C" w:rsidRDefault="00924533" w:rsidP="00FB5431">
            <w:pPr>
              <w:pStyle w:val="Tabletext"/>
              <w:jc w:val="center"/>
              <w:rPr>
                <w:b/>
                <w:bCs/>
                <w:sz w:val="20"/>
              </w:rPr>
            </w:pPr>
            <w:r w:rsidRPr="00795F2C">
              <w:rPr>
                <w:b/>
                <w:bCs/>
                <w:sz w:val="20"/>
              </w:rPr>
              <w:t>X</w:t>
            </w:r>
          </w:p>
        </w:tc>
        <w:tc>
          <w:tcPr>
            <w:tcW w:w="349" w:type="pct"/>
            <w:tcBorders>
              <w:top w:val="single" w:sz="12" w:space="0" w:color="auto"/>
              <w:left w:val="nil"/>
              <w:bottom w:val="single" w:sz="12" w:space="0" w:color="auto"/>
              <w:right w:val="single" w:sz="8" w:space="0" w:color="auto"/>
            </w:tcBorders>
            <w:shd w:val="clear" w:color="auto" w:fill="FFFFFF" w:themeFill="background1"/>
            <w:tcMar>
              <w:top w:w="0" w:type="dxa"/>
              <w:left w:w="108" w:type="dxa"/>
              <w:bottom w:w="0" w:type="dxa"/>
              <w:right w:w="108" w:type="dxa"/>
            </w:tcMar>
          </w:tcPr>
          <w:p w14:paraId="63A0D19D" w14:textId="77777777" w:rsidR="00924533" w:rsidRPr="00795F2C" w:rsidRDefault="00924533" w:rsidP="00FB5431">
            <w:pPr>
              <w:pStyle w:val="Tabletext"/>
              <w:jc w:val="center"/>
              <w:rPr>
                <w:rFonts w:asciiTheme="minorHAnsi" w:hAnsiTheme="minorHAnsi" w:cstheme="minorHAnsi"/>
                <w:sz w:val="20"/>
              </w:rPr>
            </w:pPr>
          </w:p>
        </w:tc>
        <w:tc>
          <w:tcPr>
            <w:tcW w:w="399" w:type="pct"/>
            <w:tcBorders>
              <w:top w:val="single" w:sz="12" w:space="0" w:color="auto"/>
              <w:left w:val="nil"/>
              <w:bottom w:val="single" w:sz="12" w:space="0" w:color="auto"/>
              <w:right w:val="single" w:sz="8" w:space="0" w:color="auto"/>
            </w:tcBorders>
            <w:shd w:val="clear" w:color="auto" w:fill="FFFFFF" w:themeFill="background1"/>
            <w:tcMar>
              <w:top w:w="0" w:type="dxa"/>
              <w:left w:w="108" w:type="dxa"/>
              <w:bottom w:w="0" w:type="dxa"/>
              <w:right w:w="108" w:type="dxa"/>
            </w:tcMar>
          </w:tcPr>
          <w:p w14:paraId="2B965F56" w14:textId="77777777" w:rsidR="00924533" w:rsidRPr="00795F2C" w:rsidRDefault="00924533" w:rsidP="00FB5431">
            <w:pPr>
              <w:pStyle w:val="Tabletext"/>
              <w:jc w:val="center"/>
              <w:rPr>
                <w:rFonts w:asciiTheme="minorHAnsi" w:hAnsiTheme="minorHAnsi" w:cstheme="minorHAnsi"/>
                <w:sz w:val="20"/>
              </w:rPr>
            </w:pPr>
          </w:p>
        </w:tc>
        <w:tc>
          <w:tcPr>
            <w:tcW w:w="399" w:type="pct"/>
            <w:tcBorders>
              <w:top w:val="single" w:sz="12" w:space="0" w:color="auto"/>
              <w:left w:val="nil"/>
              <w:bottom w:val="single" w:sz="12" w:space="0" w:color="auto"/>
              <w:right w:val="single" w:sz="12" w:space="0" w:color="auto"/>
            </w:tcBorders>
            <w:shd w:val="clear" w:color="auto" w:fill="FFFFFF" w:themeFill="background1"/>
            <w:tcMar>
              <w:top w:w="0" w:type="dxa"/>
              <w:left w:w="108" w:type="dxa"/>
              <w:bottom w:w="0" w:type="dxa"/>
              <w:right w:w="108" w:type="dxa"/>
            </w:tcMar>
          </w:tcPr>
          <w:p w14:paraId="42D41DEA" w14:textId="77777777" w:rsidR="00924533" w:rsidRPr="00795F2C" w:rsidRDefault="00924533" w:rsidP="00FB5431">
            <w:pPr>
              <w:pStyle w:val="Tabletext"/>
              <w:jc w:val="center"/>
              <w:rPr>
                <w:rFonts w:asciiTheme="minorHAnsi" w:eastAsiaTheme="minorHAnsi" w:hAnsiTheme="minorHAnsi" w:cstheme="minorHAnsi"/>
                <w:b/>
                <w:bCs/>
                <w:sz w:val="20"/>
              </w:rPr>
            </w:pPr>
          </w:p>
        </w:tc>
        <w:tc>
          <w:tcPr>
            <w:tcW w:w="398" w:type="pct"/>
            <w:tcBorders>
              <w:top w:val="single" w:sz="12" w:space="0" w:color="auto"/>
              <w:left w:val="single" w:sz="12" w:space="0" w:color="auto"/>
              <w:bottom w:val="single" w:sz="12" w:space="0" w:color="auto"/>
              <w:right w:val="single" w:sz="8" w:space="0" w:color="auto"/>
            </w:tcBorders>
            <w:shd w:val="clear" w:color="auto" w:fill="FFFFFF" w:themeFill="background1"/>
            <w:tcMar>
              <w:top w:w="0" w:type="dxa"/>
              <w:left w:w="108" w:type="dxa"/>
              <w:bottom w:w="0" w:type="dxa"/>
              <w:right w:w="108" w:type="dxa"/>
            </w:tcMar>
          </w:tcPr>
          <w:p w14:paraId="5E8C7246" w14:textId="77777777" w:rsidR="00924533" w:rsidRPr="00795F2C" w:rsidRDefault="00924533" w:rsidP="00FB5431">
            <w:pPr>
              <w:pStyle w:val="Tabletext"/>
              <w:jc w:val="center"/>
              <w:rPr>
                <w:rFonts w:asciiTheme="minorHAnsi" w:hAnsiTheme="minorHAnsi" w:cstheme="minorHAnsi"/>
                <w:b/>
                <w:bCs/>
                <w:sz w:val="20"/>
              </w:rPr>
            </w:pPr>
          </w:p>
        </w:tc>
        <w:tc>
          <w:tcPr>
            <w:tcW w:w="249" w:type="pct"/>
            <w:tcBorders>
              <w:top w:val="single" w:sz="12" w:space="0" w:color="auto"/>
              <w:left w:val="nil"/>
              <w:bottom w:val="single" w:sz="12" w:space="0" w:color="auto"/>
              <w:right w:val="single" w:sz="8" w:space="0" w:color="auto"/>
            </w:tcBorders>
            <w:shd w:val="clear" w:color="auto" w:fill="FFFFFF" w:themeFill="background1"/>
            <w:tcMar>
              <w:top w:w="0" w:type="dxa"/>
              <w:left w:w="108" w:type="dxa"/>
              <w:bottom w:w="0" w:type="dxa"/>
              <w:right w:w="108" w:type="dxa"/>
            </w:tcMar>
          </w:tcPr>
          <w:p w14:paraId="4D08C038" w14:textId="04F2192E" w:rsidR="00924533" w:rsidRPr="00795F2C" w:rsidRDefault="00924533" w:rsidP="00FB5431">
            <w:pPr>
              <w:pStyle w:val="Tabletext"/>
              <w:jc w:val="center"/>
              <w:rPr>
                <w:b/>
                <w:bCs/>
                <w:sz w:val="20"/>
              </w:rPr>
            </w:pPr>
            <w:r w:rsidRPr="00795F2C">
              <w:rPr>
                <w:b/>
                <w:bCs/>
                <w:sz w:val="20"/>
              </w:rPr>
              <w:t>X</w:t>
            </w:r>
          </w:p>
        </w:tc>
        <w:tc>
          <w:tcPr>
            <w:tcW w:w="401" w:type="pct"/>
            <w:tcBorders>
              <w:top w:val="single" w:sz="12" w:space="0" w:color="auto"/>
              <w:left w:val="nil"/>
              <w:bottom w:val="single" w:sz="12" w:space="0" w:color="auto"/>
              <w:right w:val="single" w:sz="12" w:space="0" w:color="auto"/>
            </w:tcBorders>
            <w:shd w:val="clear" w:color="auto" w:fill="FFFFFF" w:themeFill="background1"/>
            <w:tcMar>
              <w:top w:w="0" w:type="dxa"/>
              <w:left w:w="108" w:type="dxa"/>
              <w:bottom w:w="0" w:type="dxa"/>
              <w:right w:w="108" w:type="dxa"/>
            </w:tcMar>
          </w:tcPr>
          <w:p w14:paraId="63C3078C" w14:textId="77777777" w:rsidR="00924533" w:rsidRPr="00795F2C" w:rsidRDefault="00924533" w:rsidP="00FB5431">
            <w:pPr>
              <w:pStyle w:val="Tabletext"/>
              <w:jc w:val="center"/>
              <w:rPr>
                <w:rFonts w:asciiTheme="minorHAnsi" w:eastAsiaTheme="minorHAnsi" w:hAnsiTheme="minorHAnsi" w:cstheme="minorHAnsi"/>
                <w:b/>
                <w:bCs/>
                <w:sz w:val="20"/>
              </w:rPr>
            </w:pPr>
          </w:p>
        </w:tc>
        <w:tc>
          <w:tcPr>
            <w:tcW w:w="864"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C057294" w14:textId="0C49F0DA" w:rsidR="00924533" w:rsidRPr="00795F2C" w:rsidRDefault="00924533" w:rsidP="000B5026">
            <w:pPr>
              <w:pStyle w:val="Tabletext"/>
              <w:rPr>
                <w:sz w:val="20"/>
              </w:rPr>
            </w:pPr>
            <w:r w:rsidRPr="00795F2C">
              <w:rPr>
                <w:sz w:val="20"/>
              </w:rPr>
              <w:t xml:space="preserve">Aucune incidence financière. À mettre en </w:t>
            </w:r>
            <w:r w:rsidR="000B5026" w:rsidRPr="00795F2C">
              <w:rPr>
                <w:sz w:val="20"/>
              </w:rPr>
              <w:t>œ</w:t>
            </w:r>
            <w:r w:rsidRPr="00795F2C">
              <w:rPr>
                <w:sz w:val="20"/>
              </w:rPr>
              <w:t>uvre dans les limites des ressources financières et humaines actuelles.</w:t>
            </w:r>
          </w:p>
        </w:tc>
      </w:tr>
    </w:tbl>
    <w:p w14:paraId="797C27D8" w14:textId="2B11797D" w:rsidR="0025070C" w:rsidRPr="00795F2C" w:rsidRDefault="0025070C">
      <w:pPr>
        <w:tabs>
          <w:tab w:val="clear" w:pos="567"/>
          <w:tab w:val="clear" w:pos="1134"/>
          <w:tab w:val="clear" w:pos="1701"/>
          <w:tab w:val="clear" w:pos="2268"/>
          <w:tab w:val="clear" w:pos="2835"/>
        </w:tabs>
        <w:overflowPunct/>
        <w:autoSpaceDE/>
        <w:autoSpaceDN/>
        <w:adjustRightInd/>
        <w:spacing w:before="0"/>
        <w:textAlignment w:val="auto"/>
      </w:pPr>
      <w:r w:rsidRPr="00795F2C">
        <w:br w:type="page"/>
      </w:r>
    </w:p>
    <w:tbl>
      <w:tblPr>
        <w:tblW w:w="5065" w:type="pct"/>
        <w:jc w:val="center"/>
        <w:tblLayout w:type="fixed"/>
        <w:tblCellMar>
          <w:left w:w="0" w:type="dxa"/>
          <w:right w:w="0" w:type="dxa"/>
        </w:tblCellMar>
        <w:tblLook w:val="04A0" w:firstRow="1" w:lastRow="0" w:firstColumn="1" w:lastColumn="0" w:noHBand="0" w:noVBand="1"/>
      </w:tblPr>
      <w:tblGrid>
        <w:gridCol w:w="1979"/>
        <w:gridCol w:w="992"/>
        <w:gridCol w:w="992"/>
        <w:gridCol w:w="1134"/>
        <w:gridCol w:w="1134"/>
        <w:gridCol w:w="851"/>
        <w:gridCol w:w="709"/>
        <w:gridCol w:w="992"/>
        <w:gridCol w:w="5393"/>
      </w:tblGrid>
      <w:tr w:rsidR="0025070C" w:rsidRPr="00795F2C" w14:paraId="4E9A5051" w14:textId="77777777" w:rsidTr="002A5FDE">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2E8319DF" w14:textId="33BACAC6" w:rsidR="0025070C" w:rsidRPr="00795F2C" w:rsidRDefault="0025070C" w:rsidP="00B23AED">
            <w:pPr>
              <w:pStyle w:val="Tablehead"/>
              <w:spacing w:before="60" w:after="0"/>
              <w:rPr>
                <w:sz w:val="20"/>
              </w:rPr>
            </w:pPr>
            <w:r w:rsidRPr="00795F2C">
              <w:rPr>
                <w:sz w:val="20"/>
              </w:rPr>
              <w:lastRenderedPageBreak/>
              <w:t xml:space="preserve">JIU/REP/2023/3 </w:t>
            </w:r>
            <w:r w:rsidR="00997820" w:rsidRPr="00795F2C">
              <w:rPr>
                <w:sz w:val="20"/>
              </w:rPr>
              <w:t xml:space="preserve">– </w:t>
            </w:r>
            <w:hyperlink r:id="rId19" w:history="1">
              <w:r w:rsidRPr="00795F2C">
                <w:rPr>
                  <w:rStyle w:val="Hyperlink"/>
                  <w:sz w:val="20"/>
                </w:rPr>
                <w:t>Examen des dispositifs d'application du principe de responsabilité dans les institutions</w:t>
              </w:r>
              <w:r w:rsidR="00084FA6" w:rsidRPr="00795F2C">
                <w:rPr>
                  <w:rStyle w:val="Hyperlink"/>
                  <w:sz w:val="20"/>
                </w:rPr>
                <w:br/>
              </w:r>
              <w:r w:rsidRPr="00795F2C">
                <w:rPr>
                  <w:rStyle w:val="Hyperlink"/>
                  <w:sz w:val="20"/>
                </w:rPr>
                <w:t>du système des Nations Unies</w:t>
              </w:r>
            </w:hyperlink>
            <w:r w:rsidRPr="00795F2C">
              <w:rPr>
                <w:sz w:val="20"/>
              </w:rPr>
              <w:t xml:space="preserve"> </w:t>
            </w:r>
            <w:r w:rsidR="007F5E11" w:rsidRPr="00795F2C">
              <w:rPr>
                <w:sz w:val="20"/>
              </w:rPr>
              <w:t>–</w:t>
            </w:r>
            <w:r w:rsidRPr="00795F2C">
              <w:rPr>
                <w:sz w:val="20"/>
              </w:rPr>
              <w:t xml:space="preserve"> Coordonnateurs de l</w:t>
            </w:r>
            <w:r w:rsidR="007F5E11" w:rsidRPr="00795F2C">
              <w:rPr>
                <w:sz w:val="20"/>
              </w:rPr>
              <w:t>'</w:t>
            </w:r>
            <w:r w:rsidRPr="00795F2C">
              <w:rPr>
                <w:sz w:val="20"/>
              </w:rPr>
              <w:t>UIT: Catalin Marinescu, Martin Philibert</w:t>
            </w:r>
            <w:bookmarkStart w:id="0" w:name="_Hlk148344601"/>
            <w:bookmarkEnd w:id="0"/>
          </w:p>
          <w:p w14:paraId="76845ABF" w14:textId="521784CD" w:rsidR="0025070C" w:rsidRPr="00795F2C" w:rsidRDefault="00084FA6" w:rsidP="00B23AED">
            <w:pPr>
              <w:pStyle w:val="Tablehead"/>
              <w:spacing w:before="0" w:after="60"/>
              <w:rPr>
                <w:sz w:val="20"/>
              </w:rPr>
            </w:pPr>
            <w:r w:rsidRPr="00795F2C">
              <w:rPr>
                <w:sz w:val="20"/>
              </w:rPr>
              <w:t>•</w:t>
            </w:r>
            <w:r w:rsidRPr="00795F2C">
              <w:rPr>
                <w:sz w:val="20"/>
              </w:rPr>
              <w:tab/>
            </w:r>
            <w:hyperlink r:id="rId20" w:history="1">
              <w:r w:rsidR="0025070C" w:rsidRPr="00795F2C">
                <w:rPr>
                  <w:rStyle w:val="Hyperlink"/>
                  <w:sz w:val="20"/>
                </w:rPr>
                <w:t>Points saillants de l'examen</w:t>
              </w:r>
            </w:hyperlink>
          </w:p>
        </w:tc>
      </w:tr>
      <w:tr w:rsidR="00997820" w:rsidRPr="00795F2C" w14:paraId="00407F00" w14:textId="77777777" w:rsidTr="00B23AED">
        <w:trPr>
          <w:cantSplit/>
          <w:trHeight w:val="291"/>
          <w:jc w:val="center"/>
        </w:trPr>
        <w:tc>
          <w:tcPr>
            <w:tcW w:w="698"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10801E1" w14:textId="77777777" w:rsidR="0025070C" w:rsidRPr="00795F2C" w:rsidRDefault="0025070C" w:rsidP="00B23AED">
            <w:pPr>
              <w:pStyle w:val="Tablehead"/>
              <w:spacing w:before="60" w:after="60"/>
              <w:rPr>
                <w:rFonts w:cstheme="minorHAnsi"/>
                <w:bCs/>
                <w:sz w:val="20"/>
                <w:szCs w:val="18"/>
              </w:rPr>
            </w:pPr>
            <w:r w:rsidRPr="00795F2C">
              <w:rPr>
                <w:sz w:val="20"/>
                <w:szCs w:val="18"/>
              </w:rPr>
              <w:t>Recommandation</w:t>
            </w:r>
          </w:p>
        </w:tc>
        <w:tc>
          <w:tcPr>
            <w:tcW w:w="1500"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B3CCF07" w14:textId="77777777" w:rsidR="0025070C" w:rsidRPr="00795F2C" w:rsidRDefault="0025070C" w:rsidP="00B23AED">
            <w:pPr>
              <w:pStyle w:val="Tablehead"/>
              <w:spacing w:before="60" w:after="60"/>
              <w:rPr>
                <w:rFonts w:cstheme="minorHAnsi"/>
                <w:bCs/>
                <w:sz w:val="20"/>
                <w:szCs w:val="18"/>
              </w:rPr>
            </w:pPr>
            <w:r w:rsidRPr="00795F2C">
              <w:rPr>
                <w:bCs/>
                <w:sz w:val="20"/>
                <w:szCs w:val="18"/>
              </w:rPr>
              <w:t>Acceptation de la recommandation</w:t>
            </w:r>
          </w:p>
        </w:tc>
        <w:tc>
          <w:tcPr>
            <w:tcW w:w="900"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6DF4BE2" w14:textId="77777777" w:rsidR="0025070C" w:rsidRPr="00795F2C" w:rsidRDefault="0025070C" w:rsidP="00B23AED">
            <w:pPr>
              <w:pStyle w:val="Tablehead"/>
              <w:spacing w:before="60" w:after="60"/>
              <w:rPr>
                <w:rFonts w:cstheme="minorHAnsi"/>
                <w:bCs/>
                <w:sz w:val="20"/>
                <w:szCs w:val="18"/>
              </w:rPr>
            </w:pPr>
            <w:r w:rsidRPr="00795F2C">
              <w:rPr>
                <w:bCs/>
                <w:sz w:val="20"/>
                <w:szCs w:val="18"/>
              </w:rPr>
              <w:t>État d'avancement de l'application</w:t>
            </w:r>
          </w:p>
        </w:tc>
        <w:tc>
          <w:tcPr>
            <w:tcW w:w="1902"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F6EFF2F" w14:textId="77777777" w:rsidR="0025070C" w:rsidRPr="00795F2C" w:rsidRDefault="0025070C" w:rsidP="00B23AED">
            <w:pPr>
              <w:pStyle w:val="Tablehead"/>
              <w:spacing w:before="60" w:after="60"/>
              <w:rPr>
                <w:rFonts w:cstheme="minorHAnsi"/>
                <w:bCs/>
                <w:sz w:val="20"/>
                <w:szCs w:val="18"/>
              </w:rPr>
            </w:pPr>
            <w:r w:rsidRPr="00795F2C">
              <w:rPr>
                <w:bCs/>
                <w:sz w:val="20"/>
                <w:szCs w:val="18"/>
              </w:rPr>
              <w:t>Commentaires</w:t>
            </w:r>
          </w:p>
        </w:tc>
      </w:tr>
      <w:tr w:rsidR="00B23AED" w:rsidRPr="00795F2C" w14:paraId="5C772349" w14:textId="77777777" w:rsidTr="00B23AED">
        <w:trPr>
          <w:trHeight w:val="336"/>
          <w:jc w:val="center"/>
        </w:trPr>
        <w:tc>
          <w:tcPr>
            <w:tcW w:w="698"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63B1CC9C" w14:textId="27247F59" w:rsidR="0025070C" w:rsidRPr="00795F2C" w:rsidRDefault="0025070C" w:rsidP="00B23AED">
            <w:pPr>
              <w:pStyle w:val="Tabletext"/>
              <w:rPr>
                <w:rFonts w:cstheme="minorHAnsi"/>
                <w:b/>
                <w:bCs/>
                <w:sz w:val="20"/>
              </w:rPr>
            </w:pPr>
            <w:r w:rsidRPr="00795F2C">
              <w:rPr>
                <w:b/>
                <w:bCs/>
                <w:sz w:val="20"/>
              </w:rPr>
              <w:t>Organes délibérants/</w:t>
            </w:r>
            <w:r w:rsidR="00B23AED" w:rsidRPr="00795F2C">
              <w:rPr>
                <w:b/>
                <w:bCs/>
                <w:sz w:val="20"/>
              </w:rPr>
              <w:br/>
            </w:r>
            <w:r w:rsidRPr="00795F2C">
              <w:rPr>
                <w:b/>
                <w:bCs/>
                <w:sz w:val="20"/>
              </w:rPr>
              <w:t>directeurs</w:t>
            </w:r>
          </w:p>
        </w:tc>
        <w:tc>
          <w:tcPr>
            <w:tcW w:w="35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703796E" w14:textId="3A6137D4" w:rsidR="0025070C" w:rsidRPr="00795F2C" w:rsidRDefault="0025070C" w:rsidP="00B23AED">
            <w:pPr>
              <w:pStyle w:val="Tabletext"/>
              <w:rPr>
                <w:rFonts w:cstheme="minorHAnsi"/>
                <w:b/>
                <w:bCs/>
                <w:sz w:val="20"/>
              </w:rPr>
            </w:pPr>
            <w:r w:rsidRPr="00795F2C">
              <w:rPr>
                <w:b/>
                <w:bCs/>
                <w:sz w:val="20"/>
              </w:rPr>
              <w:t>Acceptée</w:t>
            </w:r>
          </w:p>
        </w:tc>
        <w:tc>
          <w:tcPr>
            <w:tcW w:w="35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B563500" w14:textId="77777777" w:rsidR="0025070C" w:rsidRPr="00795F2C" w:rsidRDefault="0025070C" w:rsidP="00B23AED">
            <w:pPr>
              <w:pStyle w:val="Tabletext"/>
              <w:rPr>
                <w:rFonts w:cstheme="minorHAnsi"/>
                <w:b/>
                <w:bCs/>
                <w:sz w:val="20"/>
              </w:rPr>
            </w:pPr>
            <w:r w:rsidRPr="00795F2C">
              <w:rPr>
                <w:b/>
                <w:bCs/>
                <w:sz w:val="20"/>
              </w:rPr>
              <w:t>Non Acceptée</w:t>
            </w:r>
          </w:p>
        </w:tc>
        <w:tc>
          <w:tcPr>
            <w:tcW w:w="40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53BF1C7" w14:textId="77777777" w:rsidR="0025070C" w:rsidRPr="00795F2C" w:rsidRDefault="0025070C" w:rsidP="00B23AED">
            <w:pPr>
              <w:pStyle w:val="Tabletext"/>
              <w:ind w:right="-103"/>
              <w:rPr>
                <w:rFonts w:cstheme="minorHAnsi"/>
                <w:b/>
                <w:bCs/>
                <w:sz w:val="20"/>
              </w:rPr>
            </w:pPr>
            <w:r w:rsidRPr="00795F2C">
              <w:rPr>
                <w:b/>
                <w:bCs/>
                <w:sz w:val="20"/>
              </w:rPr>
              <w:t>Non pertinente</w:t>
            </w:r>
          </w:p>
        </w:tc>
        <w:tc>
          <w:tcPr>
            <w:tcW w:w="40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7B742A5" w14:textId="77777777" w:rsidR="0025070C" w:rsidRPr="00795F2C" w:rsidRDefault="0025070C" w:rsidP="00B23AED">
            <w:pPr>
              <w:pStyle w:val="Tabletext"/>
              <w:ind w:right="-109"/>
              <w:rPr>
                <w:rFonts w:cstheme="minorHAnsi"/>
                <w:b/>
                <w:bCs/>
                <w:sz w:val="20"/>
              </w:rPr>
            </w:pPr>
            <w:r w:rsidRPr="00795F2C">
              <w:rPr>
                <w:b/>
                <w:bCs/>
                <w:sz w:val="20"/>
              </w:rPr>
              <w:t>Nécessite un examen plus approfondi</w:t>
            </w:r>
          </w:p>
        </w:tc>
        <w:tc>
          <w:tcPr>
            <w:tcW w:w="300"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C84AE99" w14:textId="0EA27B76" w:rsidR="0025070C" w:rsidRPr="00795F2C" w:rsidRDefault="0025070C" w:rsidP="00B23AED">
            <w:pPr>
              <w:pStyle w:val="Tabletext"/>
              <w:rPr>
                <w:rFonts w:cstheme="minorHAnsi"/>
                <w:b/>
                <w:bCs/>
                <w:sz w:val="20"/>
              </w:rPr>
            </w:pPr>
            <w:r w:rsidRPr="00795F2C">
              <w:rPr>
                <w:b/>
                <w:bCs/>
                <w:sz w:val="20"/>
              </w:rPr>
              <w:t>En attent</w:t>
            </w:r>
            <w:r w:rsidR="00997820" w:rsidRPr="00795F2C">
              <w:rPr>
                <w:b/>
                <w:bCs/>
                <w:sz w:val="20"/>
              </w:rPr>
              <w:t>e</w:t>
            </w:r>
          </w:p>
        </w:tc>
        <w:tc>
          <w:tcPr>
            <w:tcW w:w="250"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92B0AC3" w14:textId="77777777" w:rsidR="0025070C" w:rsidRPr="00795F2C" w:rsidRDefault="0025070C" w:rsidP="00B23AED">
            <w:pPr>
              <w:pStyle w:val="Tabletext"/>
              <w:rPr>
                <w:rFonts w:cstheme="minorHAnsi"/>
                <w:b/>
                <w:bCs/>
                <w:sz w:val="20"/>
              </w:rPr>
            </w:pPr>
            <w:r w:rsidRPr="00795F2C">
              <w:rPr>
                <w:b/>
                <w:bCs/>
                <w:sz w:val="20"/>
              </w:rPr>
              <w:t>En cours</w:t>
            </w:r>
          </w:p>
        </w:tc>
        <w:tc>
          <w:tcPr>
            <w:tcW w:w="350"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34892E3" w14:textId="77777777" w:rsidR="0025070C" w:rsidRPr="00795F2C" w:rsidRDefault="0025070C" w:rsidP="00B23AED">
            <w:pPr>
              <w:pStyle w:val="Tabletext"/>
              <w:ind w:right="-101"/>
              <w:rPr>
                <w:rFonts w:cstheme="minorHAnsi"/>
                <w:b/>
                <w:bCs/>
                <w:sz w:val="20"/>
              </w:rPr>
            </w:pPr>
            <w:r w:rsidRPr="00795F2C">
              <w:rPr>
                <w:b/>
                <w:bCs/>
                <w:sz w:val="20"/>
              </w:rPr>
              <w:t>Appliquée</w:t>
            </w:r>
          </w:p>
        </w:tc>
        <w:tc>
          <w:tcPr>
            <w:tcW w:w="190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237E336" w14:textId="3C415662" w:rsidR="0025070C" w:rsidRPr="00795F2C" w:rsidRDefault="00000000" w:rsidP="00B23AED">
            <w:pPr>
              <w:pStyle w:val="Tabletext"/>
              <w:ind w:left="-105" w:right="-102"/>
              <w:jc w:val="center"/>
              <w:rPr>
                <w:rStyle w:val="Hyperlink"/>
                <w:b/>
                <w:bCs/>
              </w:rPr>
            </w:pPr>
            <w:hyperlink r:id="rId21" w:history="1">
              <w:r w:rsidR="0025070C" w:rsidRPr="00795F2C">
                <w:rPr>
                  <w:rStyle w:val="Hyperlink"/>
                  <w:b/>
                  <w:bCs/>
                  <w:sz w:val="20"/>
                  <w:szCs w:val="18"/>
                </w:rPr>
                <w:t>Observations du Conseil des chefs de secrétariat (CCS)</w:t>
              </w:r>
            </w:hyperlink>
          </w:p>
          <w:p w14:paraId="251452CE" w14:textId="77777777" w:rsidR="0025070C" w:rsidRPr="00795F2C" w:rsidRDefault="0025070C" w:rsidP="00B23AED">
            <w:pPr>
              <w:pStyle w:val="Tabletext"/>
              <w:jc w:val="center"/>
              <w:rPr>
                <w:rFonts w:cstheme="minorHAnsi"/>
                <w:b/>
                <w:bCs/>
                <w:color w:val="000000"/>
                <w:sz w:val="20"/>
              </w:rPr>
            </w:pPr>
            <w:r w:rsidRPr="00795F2C">
              <w:rPr>
                <w:b/>
                <w:bCs/>
                <w:sz w:val="20"/>
              </w:rPr>
              <w:t>___</w:t>
            </w:r>
          </w:p>
          <w:p w14:paraId="17B9678E" w14:textId="77777777" w:rsidR="0025070C" w:rsidRPr="00795F2C" w:rsidRDefault="0025070C" w:rsidP="00B23AED">
            <w:pPr>
              <w:pStyle w:val="Tabletext"/>
              <w:jc w:val="center"/>
              <w:rPr>
                <w:rFonts w:cstheme="minorHAnsi"/>
                <w:b/>
                <w:bCs/>
                <w:color w:val="000000"/>
                <w:sz w:val="20"/>
              </w:rPr>
            </w:pPr>
            <w:r w:rsidRPr="00795F2C">
              <w:rPr>
                <w:b/>
                <w:bCs/>
                <w:sz w:val="20"/>
              </w:rPr>
              <w:t>Observations de l'UIT sur la pertinence et les incidences sur les ressources financières et les ressources humaines</w:t>
            </w:r>
          </w:p>
          <w:p w14:paraId="3EC66756" w14:textId="77777777" w:rsidR="0025070C" w:rsidRPr="00795F2C" w:rsidRDefault="0025070C" w:rsidP="00B23AED">
            <w:pPr>
              <w:pStyle w:val="Tabletext"/>
              <w:jc w:val="center"/>
              <w:rPr>
                <w:rFonts w:cstheme="minorHAnsi"/>
                <w:sz w:val="20"/>
              </w:rPr>
            </w:pPr>
            <w:r w:rsidRPr="00795F2C">
              <w:rPr>
                <w:b/>
                <w:bCs/>
                <w:sz w:val="20"/>
              </w:rPr>
              <w:t>(ci-dessous)</w:t>
            </w:r>
          </w:p>
        </w:tc>
      </w:tr>
      <w:tr w:rsidR="00B23AED" w:rsidRPr="00795F2C" w14:paraId="00A5D0DC" w14:textId="77777777" w:rsidTr="00FB5431">
        <w:trPr>
          <w:trHeight w:val="60"/>
          <w:jc w:val="center"/>
        </w:trPr>
        <w:tc>
          <w:tcPr>
            <w:tcW w:w="698"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61918793" w14:textId="14DF073B" w:rsidR="0025070C" w:rsidRPr="00795F2C" w:rsidRDefault="0025070C" w:rsidP="00997820">
            <w:pPr>
              <w:pStyle w:val="Tabletext"/>
              <w:rPr>
                <w:rFonts w:cstheme="minorHAnsi"/>
                <w:color w:val="000000"/>
                <w:sz w:val="20"/>
              </w:rPr>
            </w:pPr>
            <w:bookmarkStart w:id="1" w:name="_Hlk147837486"/>
            <w:r w:rsidRPr="00795F2C">
              <w:rPr>
                <w:b/>
                <w:bCs/>
                <w:sz w:val="20"/>
              </w:rPr>
              <w:t>Recommandation 1</w:t>
            </w:r>
            <w:r w:rsidRPr="00795F2C">
              <w:rPr>
                <w:sz w:val="20"/>
              </w:rPr>
              <w:t xml:space="preserve">: </w:t>
            </w:r>
            <w:r w:rsidR="00997820" w:rsidRPr="00795F2C">
              <w:rPr>
                <w:sz w:val="20"/>
              </w:rPr>
              <w:t>l</w:t>
            </w:r>
            <w:r w:rsidRPr="00795F2C">
              <w:rPr>
                <w:sz w:val="20"/>
              </w:rPr>
              <w:t>es organes délibérants ou directeurs des institutions du système des Nations</w:t>
            </w:r>
            <w:r w:rsidR="00997820" w:rsidRPr="00795F2C">
              <w:rPr>
                <w:sz w:val="20"/>
              </w:rPr>
              <w:t> </w:t>
            </w:r>
            <w:r w:rsidRPr="00795F2C">
              <w:rPr>
                <w:sz w:val="20"/>
              </w:rPr>
              <w:t>Unies devraient charger leur chef de secrétariat d</w:t>
            </w:r>
            <w:r w:rsidR="00997820" w:rsidRPr="00795F2C">
              <w:rPr>
                <w:sz w:val="20"/>
              </w:rPr>
              <w:t>'</w:t>
            </w:r>
            <w:r w:rsidRPr="00795F2C">
              <w:rPr>
                <w:sz w:val="20"/>
              </w:rPr>
              <w:t>évaluer le dispositif d</w:t>
            </w:r>
            <w:r w:rsidR="00997820" w:rsidRPr="00795F2C">
              <w:rPr>
                <w:sz w:val="20"/>
              </w:rPr>
              <w:t>'</w:t>
            </w:r>
            <w:r w:rsidRPr="00795F2C">
              <w:rPr>
                <w:sz w:val="20"/>
              </w:rPr>
              <w:t>application du principe de responsabilité de leur institution au regard du dispositif de référence actualisé établi par le CCI et de procéder, s</w:t>
            </w:r>
            <w:r w:rsidR="00997820" w:rsidRPr="00795F2C">
              <w:rPr>
                <w:sz w:val="20"/>
              </w:rPr>
              <w:t>'</w:t>
            </w:r>
            <w:r w:rsidRPr="00795F2C">
              <w:rPr>
                <w:sz w:val="20"/>
              </w:rPr>
              <w:t>il y a lieu, à son ajustement d</w:t>
            </w:r>
            <w:r w:rsidR="00997820" w:rsidRPr="00795F2C">
              <w:rPr>
                <w:sz w:val="20"/>
              </w:rPr>
              <w:t>'</w:t>
            </w:r>
            <w:r w:rsidRPr="00795F2C">
              <w:rPr>
                <w:sz w:val="20"/>
              </w:rPr>
              <w:t>ici à la fin de</w:t>
            </w:r>
            <w:r w:rsidR="00997820" w:rsidRPr="00795F2C">
              <w:rPr>
                <w:sz w:val="20"/>
              </w:rPr>
              <w:t> </w:t>
            </w:r>
            <w:r w:rsidRPr="00795F2C">
              <w:rPr>
                <w:sz w:val="20"/>
              </w:rPr>
              <w:t>2024.</w:t>
            </w:r>
          </w:p>
        </w:tc>
        <w:tc>
          <w:tcPr>
            <w:tcW w:w="35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70B0D5D" w14:textId="77777777" w:rsidR="0025070C" w:rsidRPr="00795F2C" w:rsidRDefault="0025070C" w:rsidP="00FB5431">
            <w:pPr>
              <w:pStyle w:val="Tabletext"/>
              <w:jc w:val="center"/>
              <w:rPr>
                <w:rFonts w:cstheme="minorHAnsi"/>
                <w:b/>
                <w:bCs/>
                <w:sz w:val="20"/>
              </w:rPr>
            </w:pPr>
            <w:r w:rsidRPr="00795F2C">
              <w:rPr>
                <w:b/>
                <w:bCs/>
                <w:sz w:val="20"/>
              </w:rPr>
              <w:t>X</w:t>
            </w:r>
          </w:p>
        </w:tc>
        <w:tc>
          <w:tcPr>
            <w:tcW w:w="35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E0C5F08" w14:textId="77777777" w:rsidR="0025070C" w:rsidRPr="00795F2C" w:rsidRDefault="0025070C" w:rsidP="00FB5431">
            <w:pPr>
              <w:pStyle w:val="Tabletext"/>
              <w:jc w:val="center"/>
              <w:rPr>
                <w:rFonts w:cstheme="minorHAnsi"/>
                <w:sz w:val="20"/>
              </w:rPr>
            </w:pPr>
          </w:p>
        </w:tc>
        <w:tc>
          <w:tcPr>
            <w:tcW w:w="40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BA6A339" w14:textId="77777777" w:rsidR="0025070C" w:rsidRPr="00795F2C" w:rsidRDefault="0025070C" w:rsidP="00FB5431">
            <w:pPr>
              <w:pStyle w:val="Tabletext"/>
              <w:jc w:val="center"/>
              <w:rPr>
                <w:rFonts w:eastAsia="SimSun" w:cstheme="minorHAnsi"/>
                <w:b/>
                <w:bCs/>
                <w:sz w:val="20"/>
              </w:rPr>
            </w:pPr>
          </w:p>
        </w:tc>
        <w:tc>
          <w:tcPr>
            <w:tcW w:w="40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2D0C282" w14:textId="77777777" w:rsidR="0025070C" w:rsidRPr="00795F2C" w:rsidRDefault="0025070C" w:rsidP="00FB5431">
            <w:pPr>
              <w:pStyle w:val="Tabletext"/>
              <w:jc w:val="center"/>
              <w:rPr>
                <w:rFonts w:cstheme="minorHAnsi"/>
                <w:b/>
                <w:bCs/>
                <w:sz w:val="20"/>
              </w:rPr>
            </w:pPr>
          </w:p>
        </w:tc>
        <w:tc>
          <w:tcPr>
            <w:tcW w:w="30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DC2D85B" w14:textId="77777777" w:rsidR="0025070C" w:rsidRPr="00795F2C" w:rsidRDefault="0025070C" w:rsidP="00FB5431">
            <w:pPr>
              <w:pStyle w:val="Tabletext"/>
              <w:jc w:val="center"/>
              <w:rPr>
                <w:rFonts w:cstheme="minorBidi"/>
                <w:b/>
                <w:bCs/>
                <w:sz w:val="20"/>
              </w:rPr>
            </w:pPr>
          </w:p>
        </w:tc>
        <w:tc>
          <w:tcPr>
            <w:tcW w:w="25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375D888" w14:textId="7F162BDD" w:rsidR="0025070C" w:rsidRPr="00795F2C" w:rsidRDefault="0025070C" w:rsidP="00FB5431">
            <w:pPr>
              <w:pStyle w:val="Tabletext"/>
              <w:jc w:val="center"/>
              <w:rPr>
                <w:rFonts w:cstheme="minorBidi"/>
                <w:b/>
                <w:bCs/>
                <w:sz w:val="20"/>
              </w:rPr>
            </w:pPr>
            <w:r w:rsidRPr="00795F2C">
              <w:rPr>
                <w:b/>
                <w:bCs/>
                <w:sz w:val="20"/>
              </w:rPr>
              <w:t>X</w:t>
            </w:r>
          </w:p>
        </w:tc>
        <w:tc>
          <w:tcPr>
            <w:tcW w:w="35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00D1F8" w14:textId="77777777" w:rsidR="0025070C" w:rsidRPr="00795F2C" w:rsidRDefault="0025070C" w:rsidP="00FB5431">
            <w:pPr>
              <w:pStyle w:val="Tabletext"/>
              <w:jc w:val="center"/>
              <w:rPr>
                <w:rFonts w:cstheme="minorHAnsi"/>
                <w:b/>
                <w:bCs/>
                <w:sz w:val="20"/>
              </w:rPr>
            </w:pPr>
          </w:p>
        </w:tc>
        <w:tc>
          <w:tcPr>
            <w:tcW w:w="190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983D49C" w14:textId="27F0BD68" w:rsidR="0025070C" w:rsidRPr="00795F2C" w:rsidRDefault="0025070C" w:rsidP="00997820">
            <w:pPr>
              <w:pStyle w:val="Tabletext"/>
              <w:rPr>
                <w:rFonts w:eastAsia="SimSun" w:cstheme="minorHAnsi"/>
                <w:i/>
                <w:iCs/>
                <w:sz w:val="20"/>
              </w:rPr>
            </w:pPr>
            <w:r w:rsidRPr="00795F2C">
              <w:rPr>
                <w:b/>
                <w:bCs/>
                <w:sz w:val="20"/>
                <w:u w:val="single"/>
              </w:rPr>
              <w:t>CCS</w:t>
            </w:r>
            <w:r w:rsidRPr="00795F2C">
              <w:rPr>
                <w:sz w:val="20"/>
              </w:rPr>
              <w:t xml:space="preserve">: </w:t>
            </w:r>
            <w:r w:rsidR="00997820" w:rsidRPr="00795F2C">
              <w:rPr>
                <w:sz w:val="20"/>
              </w:rPr>
              <w:t>"</w:t>
            </w:r>
            <w:r w:rsidRPr="00795F2C">
              <w:rPr>
                <w:i/>
                <w:iCs/>
                <w:sz w:val="20"/>
              </w:rPr>
              <w:t>Les entités notent que cette recommandation s</w:t>
            </w:r>
            <w:r w:rsidR="00997820" w:rsidRPr="00795F2C">
              <w:rPr>
                <w:i/>
                <w:iCs/>
                <w:sz w:val="20"/>
              </w:rPr>
              <w:t>'</w:t>
            </w:r>
            <w:r w:rsidRPr="00795F2C">
              <w:rPr>
                <w:i/>
                <w:iCs/>
                <w:sz w:val="20"/>
              </w:rPr>
              <w:t>adresse à leurs organes délibérants et directeurs. Les entités attachent une grande importance à l</w:t>
            </w:r>
            <w:r w:rsidR="00997820" w:rsidRPr="00795F2C">
              <w:rPr>
                <w:i/>
                <w:iCs/>
                <w:sz w:val="20"/>
              </w:rPr>
              <w:t>'</w:t>
            </w:r>
            <w:r w:rsidRPr="00795F2C">
              <w:rPr>
                <w:i/>
                <w:iCs/>
                <w:sz w:val="20"/>
              </w:rPr>
              <w:t>actualisation de leur dispositif d</w:t>
            </w:r>
            <w:r w:rsidR="00997820" w:rsidRPr="00795F2C">
              <w:rPr>
                <w:i/>
                <w:iCs/>
                <w:sz w:val="20"/>
              </w:rPr>
              <w:t>'</w:t>
            </w:r>
            <w:r w:rsidRPr="00795F2C">
              <w:rPr>
                <w:i/>
                <w:iCs/>
                <w:sz w:val="20"/>
              </w:rPr>
              <w:t>application du principe de responsabilité [...] et apprécient le travail du CCI à cet égard et le modèle de référence actualisé proposé [...]. Toutefois, elles soulignent qu</w:t>
            </w:r>
            <w:r w:rsidR="006B51CE" w:rsidRPr="00795F2C">
              <w:rPr>
                <w:i/>
                <w:iCs/>
                <w:sz w:val="20"/>
              </w:rPr>
              <w:t>'</w:t>
            </w:r>
            <w:r w:rsidRPr="00795F2C">
              <w:rPr>
                <w:i/>
                <w:iCs/>
                <w:sz w:val="20"/>
              </w:rPr>
              <w:t>il ne peut y</w:t>
            </w:r>
            <w:r w:rsidR="00084FA6" w:rsidRPr="00795F2C">
              <w:rPr>
                <w:i/>
                <w:iCs/>
                <w:sz w:val="20"/>
              </w:rPr>
              <w:t> </w:t>
            </w:r>
            <w:r w:rsidRPr="00795F2C">
              <w:rPr>
                <w:i/>
                <w:iCs/>
                <w:sz w:val="20"/>
              </w:rPr>
              <w:t xml:space="preserve">avoir de </w:t>
            </w:r>
            <w:r w:rsidR="00997820" w:rsidRPr="00795F2C">
              <w:rPr>
                <w:i/>
                <w:iCs/>
                <w:sz w:val="20"/>
              </w:rPr>
              <w:t>"</w:t>
            </w:r>
            <w:r w:rsidRPr="00795F2C">
              <w:rPr>
                <w:i/>
                <w:iCs/>
                <w:sz w:val="20"/>
              </w:rPr>
              <w:t>solution toute faite</w:t>
            </w:r>
            <w:r w:rsidR="00997820" w:rsidRPr="00795F2C">
              <w:rPr>
                <w:i/>
                <w:iCs/>
                <w:sz w:val="20"/>
              </w:rPr>
              <w:t>"</w:t>
            </w:r>
            <w:r w:rsidRPr="00795F2C">
              <w:rPr>
                <w:i/>
                <w:iCs/>
                <w:sz w:val="20"/>
              </w:rPr>
              <w:t xml:space="preserve"> et que chaque organisation devra procéder en fonction de ses propres spécificités, tout en se référant au modèle élaboré par le Corps commun d'inspection [...]. Ce faisant, les entités peuvent chercher à s</w:t>
            </w:r>
            <w:r w:rsidR="006B51CE" w:rsidRPr="00795F2C">
              <w:rPr>
                <w:i/>
                <w:iCs/>
                <w:sz w:val="20"/>
              </w:rPr>
              <w:t>'</w:t>
            </w:r>
            <w:r w:rsidRPr="00795F2C">
              <w:rPr>
                <w:i/>
                <w:iCs/>
                <w:sz w:val="20"/>
              </w:rPr>
              <w:t>appuyer et à se fonder sur les mécanismes existants d'exécution, de suivi de la performance et de communication de l'information, plutôt que de créer un système de responsabilité distinct. [...] Les entités proposent de fixer un délai plus long (par exemple, fin 2026) afin de donner [...] suffisamment de temps pour passer en revue leur dispositif actuel, mener des consultations en interne [et] avec divers organes directeurs et consultatifs, actualiser leur dispositif et obtenir les approbations nécessaires pour sa mise en œuvre.</w:t>
            </w:r>
            <w:r w:rsidRPr="00795F2C">
              <w:rPr>
                <w:sz w:val="20"/>
              </w:rPr>
              <w:t>"</w:t>
            </w:r>
          </w:p>
          <w:p w14:paraId="11804362" w14:textId="3B28E505" w:rsidR="0025070C" w:rsidRPr="00795F2C" w:rsidRDefault="0025070C" w:rsidP="00997820">
            <w:pPr>
              <w:pStyle w:val="Tabletext"/>
              <w:rPr>
                <w:rFonts w:eastAsia="SimSun" w:cstheme="minorHAnsi"/>
                <w:i/>
                <w:iCs/>
                <w:sz w:val="20"/>
              </w:rPr>
            </w:pPr>
            <w:r w:rsidRPr="00795F2C">
              <w:rPr>
                <w:b/>
                <w:bCs/>
                <w:sz w:val="20"/>
                <w:u w:val="single"/>
              </w:rPr>
              <w:t>UIT</w:t>
            </w:r>
            <w:r w:rsidR="00997820" w:rsidRPr="00795F2C">
              <w:rPr>
                <w:sz w:val="20"/>
              </w:rPr>
              <w:t>: l</w:t>
            </w:r>
            <w:r w:rsidRPr="00795F2C">
              <w:rPr>
                <w:sz w:val="20"/>
              </w:rPr>
              <w:t>e nouveau modèle et cadre de responsabilité de l</w:t>
            </w:r>
            <w:r w:rsidR="00997820" w:rsidRPr="00795F2C">
              <w:rPr>
                <w:sz w:val="20"/>
              </w:rPr>
              <w:t>'</w:t>
            </w:r>
            <w:r w:rsidRPr="00795F2C">
              <w:rPr>
                <w:sz w:val="20"/>
              </w:rPr>
              <w:t>UIT (UIT</w:t>
            </w:r>
            <w:r w:rsidR="00B23AED" w:rsidRPr="00795F2C">
              <w:rPr>
                <w:sz w:val="20"/>
              </w:rPr>
              <w:t> </w:t>
            </w:r>
            <w:r w:rsidRPr="00795F2C">
              <w:rPr>
                <w:sz w:val="20"/>
              </w:rPr>
              <w:t>AF) a été récemment approuvé par le Conseil à sa session de</w:t>
            </w:r>
            <w:r w:rsidR="00B23AED" w:rsidRPr="00795F2C">
              <w:rPr>
                <w:sz w:val="20"/>
              </w:rPr>
              <w:t> </w:t>
            </w:r>
            <w:r w:rsidRPr="00795F2C">
              <w:rPr>
                <w:sz w:val="20"/>
              </w:rPr>
              <w:t>2022. Le Conseil souhaitera peut-être que cette analyse comparative par rapport au nouveau modèle de référence du</w:t>
            </w:r>
            <w:r w:rsidR="00B23AED" w:rsidRPr="00795F2C">
              <w:rPr>
                <w:sz w:val="20"/>
              </w:rPr>
              <w:t> </w:t>
            </w:r>
            <w:r w:rsidRPr="00795F2C">
              <w:rPr>
                <w:sz w:val="20"/>
              </w:rPr>
              <w:t xml:space="preserve">CCI soit effectuée lors de sessions ultérieures du Conseil. </w:t>
            </w:r>
            <w:r w:rsidRPr="00795F2C">
              <w:rPr>
                <w:sz w:val="20"/>
              </w:rPr>
              <w:lastRenderedPageBreak/>
              <w:t>Cette analyse pourra être axée sur les éléments du nouveau modèle de référence qui sont les mieux adaptés et qui serviront au mieux le mandat et le contexte opérationnel de l</w:t>
            </w:r>
            <w:r w:rsidR="00997820" w:rsidRPr="00795F2C">
              <w:rPr>
                <w:sz w:val="20"/>
              </w:rPr>
              <w:t>'</w:t>
            </w:r>
            <w:r w:rsidRPr="00795F2C">
              <w:rPr>
                <w:sz w:val="20"/>
              </w:rPr>
              <w:t>UIT</w:t>
            </w:r>
            <w:r w:rsidRPr="00795F2C">
              <w:rPr>
                <w:i/>
                <w:iCs/>
                <w:sz w:val="20"/>
              </w:rPr>
              <w:t>.</w:t>
            </w:r>
          </w:p>
        </w:tc>
      </w:tr>
      <w:tr w:rsidR="00B23AED" w:rsidRPr="00795F2C" w14:paraId="466D7B23" w14:textId="77777777" w:rsidTr="00FB5431">
        <w:trPr>
          <w:trHeight w:val="473"/>
          <w:jc w:val="center"/>
        </w:trPr>
        <w:tc>
          <w:tcPr>
            <w:tcW w:w="698"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744A3B9F" w14:textId="1D3707B9" w:rsidR="0025070C" w:rsidRPr="00795F2C" w:rsidRDefault="0025070C" w:rsidP="00997820">
            <w:pPr>
              <w:pStyle w:val="Tabletext"/>
              <w:rPr>
                <w:rFonts w:cstheme="minorHAnsi"/>
                <w:color w:val="000000"/>
                <w:sz w:val="20"/>
              </w:rPr>
            </w:pPr>
            <w:r w:rsidRPr="00795F2C">
              <w:rPr>
                <w:b/>
                <w:bCs/>
                <w:sz w:val="20"/>
              </w:rPr>
              <w:lastRenderedPageBreak/>
              <w:t>Recommandation 2</w:t>
            </w:r>
            <w:r w:rsidRPr="00795F2C">
              <w:rPr>
                <w:sz w:val="20"/>
              </w:rPr>
              <w:t xml:space="preserve">: </w:t>
            </w:r>
            <w:r w:rsidR="00084FA6" w:rsidRPr="00795F2C">
              <w:rPr>
                <w:sz w:val="20"/>
              </w:rPr>
              <w:t>à </w:t>
            </w:r>
            <w:r w:rsidRPr="00795F2C">
              <w:rPr>
                <w:sz w:val="20"/>
              </w:rPr>
              <w:t>partir de 2025, les organes délibérants ou directeurs des institutions du système des Nations</w:t>
            </w:r>
            <w:r w:rsidR="00084FA6" w:rsidRPr="00795F2C">
              <w:rPr>
                <w:sz w:val="20"/>
              </w:rPr>
              <w:t> </w:t>
            </w:r>
            <w:r w:rsidRPr="00795F2C">
              <w:rPr>
                <w:sz w:val="20"/>
              </w:rPr>
              <w:t>Unies devraient veiller à ce que, dans un délai raisonnable, les activités des bureaux du contrôle interne soient planifiées de sorte à couvrir tous les aspects du dispositif d</w:t>
            </w:r>
            <w:r w:rsidR="00997820" w:rsidRPr="00795F2C">
              <w:rPr>
                <w:sz w:val="20"/>
              </w:rPr>
              <w:t>'</w:t>
            </w:r>
            <w:r w:rsidRPr="00795F2C">
              <w:rPr>
                <w:sz w:val="20"/>
              </w:rPr>
              <w:t>application du principe de responsabilité de leur institution ou, si certains aspects ne sont pas couverts, à ce que soient fournis les motifs de cet état de fait.</w:t>
            </w:r>
          </w:p>
        </w:tc>
        <w:tc>
          <w:tcPr>
            <w:tcW w:w="35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DE2957" w14:textId="77777777" w:rsidR="0025070C" w:rsidRPr="00795F2C" w:rsidRDefault="0025070C" w:rsidP="00FB5431">
            <w:pPr>
              <w:pStyle w:val="Tabletext"/>
              <w:jc w:val="center"/>
              <w:rPr>
                <w:rFonts w:cstheme="minorHAnsi"/>
                <w:b/>
                <w:bCs/>
                <w:sz w:val="20"/>
              </w:rPr>
            </w:pPr>
          </w:p>
        </w:tc>
        <w:tc>
          <w:tcPr>
            <w:tcW w:w="35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E4C740" w14:textId="77777777" w:rsidR="0025070C" w:rsidRPr="00795F2C" w:rsidRDefault="0025070C" w:rsidP="00FB5431">
            <w:pPr>
              <w:pStyle w:val="Tabletext"/>
              <w:jc w:val="center"/>
              <w:rPr>
                <w:rFonts w:cstheme="minorHAnsi"/>
                <w:b/>
                <w:bCs/>
                <w:sz w:val="20"/>
              </w:rPr>
            </w:pPr>
            <w:r w:rsidRPr="00795F2C">
              <w:rPr>
                <w:b/>
                <w:bCs/>
                <w:sz w:val="20"/>
              </w:rPr>
              <w:t>X</w:t>
            </w:r>
          </w:p>
        </w:tc>
        <w:tc>
          <w:tcPr>
            <w:tcW w:w="40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BC9127" w14:textId="77777777" w:rsidR="0025070C" w:rsidRPr="00795F2C" w:rsidRDefault="0025070C" w:rsidP="00FB5431">
            <w:pPr>
              <w:pStyle w:val="Tabletext"/>
              <w:jc w:val="center"/>
              <w:rPr>
                <w:rFonts w:cstheme="minorHAnsi"/>
                <w:sz w:val="20"/>
              </w:rPr>
            </w:pPr>
          </w:p>
        </w:tc>
        <w:tc>
          <w:tcPr>
            <w:tcW w:w="40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7197A21" w14:textId="77777777" w:rsidR="0025070C" w:rsidRPr="00795F2C" w:rsidRDefault="0025070C" w:rsidP="00FB5431">
            <w:pPr>
              <w:pStyle w:val="Tabletext"/>
              <w:jc w:val="center"/>
              <w:rPr>
                <w:rFonts w:cstheme="minorHAnsi"/>
                <w:sz w:val="20"/>
              </w:rPr>
            </w:pPr>
          </w:p>
        </w:tc>
        <w:tc>
          <w:tcPr>
            <w:tcW w:w="30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76F3296" w14:textId="77777777" w:rsidR="0025070C" w:rsidRPr="00795F2C" w:rsidRDefault="0025070C" w:rsidP="00FB5431">
            <w:pPr>
              <w:pStyle w:val="Tabletext"/>
              <w:jc w:val="center"/>
              <w:rPr>
                <w:rFonts w:cstheme="minorHAnsi"/>
                <w:b/>
                <w:bCs/>
                <w:sz w:val="20"/>
              </w:rPr>
            </w:pPr>
            <w:r w:rsidRPr="00795F2C">
              <w:rPr>
                <w:b/>
                <w:bCs/>
                <w:sz w:val="20"/>
              </w:rPr>
              <w:t>X</w:t>
            </w:r>
          </w:p>
        </w:tc>
        <w:tc>
          <w:tcPr>
            <w:tcW w:w="25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FF45BDD" w14:textId="77777777" w:rsidR="0025070C" w:rsidRPr="00795F2C" w:rsidRDefault="0025070C" w:rsidP="00FB5431">
            <w:pPr>
              <w:pStyle w:val="Tabletext"/>
              <w:jc w:val="center"/>
              <w:rPr>
                <w:rFonts w:cstheme="minorHAnsi"/>
                <w:b/>
                <w:bCs/>
                <w:sz w:val="20"/>
              </w:rPr>
            </w:pPr>
          </w:p>
        </w:tc>
        <w:tc>
          <w:tcPr>
            <w:tcW w:w="35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C75100B" w14:textId="77777777" w:rsidR="0025070C" w:rsidRPr="00795F2C" w:rsidRDefault="0025070C" w:rsidP="00FB5431">
            <w:pPr>
              <w:pStyle w:val="Tabletext"/>
              <w:jc w:val="center"/>
              <w:rPr>
                <w:rFonts w:eastAsia="SimSun" w:cstheme="minorHAnsi"/>
                <w:b/>
                <w:bCs/>
                <w:sz w:val="20"/>
              </w:rPr>
            </w:pPr>
          </w:p>
        </w:tc>
        <w:tc>
          <w:tcPr>
            <w:tcW w:w="190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1F53910" w14:textId="2C9A0D01" w:rsidR="0025070C" w:rsidRPr="00795F2C" w:rsidRDefault="0025070C" w:rsidP="00B23AED">
            <w:pPr>
              <w:pStyle w:val="Tabletext"/>
              <w:spacing w:before="120"/>
              <w:rPr>
                <w:rFonts w:eastAsia="SimSun" w:cstheme="minorHAnsi"/>
                <w:i/>
                <w:iCs/>
                <w:sz w:val="20"/>
              </w:rPr>
            </w:pPr>
            <w:r w:rsidRPr="00795F2C">
              <w:rPr>
                <w:b/>
                <w:bCs/>
                <w:sz w:val="20"/>
                <w:u w:val="single"/>
              </w:rPr>
              <w:t>CCS</w:t>
            </w:r>
            <w:r w:rsidRPr="00795F2C">
              <w:rPr>
                <w:sz w:val="20"/>
              </w:rPr>
              <w:t xml:space="preserve">: </w:t>
            </w:r>
            <w:r w:rsidR="00997820" w:rsidRPr="00795F2C">
              <w:rPr>
                <w:sz w:val="20"/>
              </w:rPr>
              <w:t>"</w:t>
            </w:r>
            <w:r w:rsidRPr="00795F2C">
              <w:rPr>
                <w:i/>
                <w:iCs/>
                <w:sz w:val="20"/>
              </w:rPr>
              <w:t>Les entités notent que cette recommandation s</w:t>
            </w:r>
            <w:r w:rsidR="00997820" w:rsidRPr="00795F2C">
              <w:rPr>
                <w:i/>
                <w:iCs/>
                <w:sz w:val="20"/>
              </w:rPr>
              <w:t>'</w:t>
            </w:r>
            <w:r w:rsidRPr="00795F2C">
              <w:rPr>
                <w:i/>
                <w:iCs/>
                <w:sz w:val="20"/>
              </w:rPr>
              <w:t>adresse à leurs organes délibérants et à leurs organes directeurs. Certaines entités estiment que [l'objectif] visant à ce que tous les aspects du dispositif d</w:t>
            </w:r>
            <w:r w:rsidR="00997820" w:rsidRPr="00795F2C">
              <w:rPr>
                <w:i/>
                <w:iCs/>
                <w:sz w:val="20"/>
              </w:rPr>
              <w:t>'</w:t>
            </w:r>
            <w:r w:rsidRPr="00795F2C">
              <w:rPr>
                <w:i/>
                <w:iCs/>
                <w:sz w:val="20"/>
              </w:rPr>
              <w:t>application du principe de responsabilité soient couverts par les fonctions de contrôle interne va à l</w:t>
            </w:r>
            <w:r w:rsidR="00997820" w:rsidRPr="00795F2C">
              <w:rPr>
                <w:i/>
                <w:iCs/>
                <w:sz w:val="20"/>
              </w:rPr>
              <w:t>'</w:t>
            </w:r>
            <w:r w:rsidRPr="00795F2C">
              <w:rPr>
                <w:i/>
                <w:iCs/>
                <w:sz w:val="20"/>
              </w:rPr>
              <w:t>encontre d</w:t>
            </w:r>
            <w:r w:rsidR="00997820" w:rsidRPr="00795F2C">
              <w:rPr>
                <w:i/>
                <w:iCs/>
                <w:sz w:val="20"/>
              </w:rPr>
              <w:t>'</w:t>
            </w:r>
            <w:r w:rsidRPr="00795F2C">
              <w:rPr>
                <w:i/>
                <w:iCs/>
                <w:sz w:val="20"/>
              </w:rPr>
              <w:t>une approche fondée sur les risques, qui veut que l</w:t>
            </w:r>
            <w:r w:rsidR="00997820" w:rsidRPr="00795F2C">
              <w:rPr>
                <w:i/>
                <w:iCs/>
                <w:sz w:val="20"/>
              </w:rPr>
              <w:t>'</w:t>
            </w:r>
            <w:r w:rsidRPr="00795F2C">
              <w:rPr>
                <w:i/>
                <w:iCs/>
                <w:sz w:val="20"/>
              </w:rPr>
              <w:t>effort [...] de contrôle porte en priorité sur les domaines présentant un risque élevé, où les [...] recommandations issues du contrôle [produisent] le plus d</w:t>
            </w:r>
            <w:r w:rsidR="00997820" w:rsidRPr="00795F2C">
              <w:rPr>
                <w:i/>
                <w:iCs/>
                <w:sz w:val="20"/>
              </w:rPr>
              <w:t>'</w:t>
            </w:r>
            <w:r w:rsidRPr="00795F2C">
              <w:rPr>
                <w:i/>
                <w:iCs/>
                <w:sz w:val="20"/>
              </w:rPr>
              <w:t>effets. [...] Les entités soulignent en outre que les [...] services de contrôle interne conservent leur indépendance [...] dans la planification de leurs activités de contrôle et que le dispositif d</w:t>
            </w:r>
            <w:r w:rsidR="00997820" w:rsidRPr="00795F2C">
              <w:rPr>
                <w:i/>
                <w:iCs/>
                <w:sz w:val="20"/>
              </w:rPr>
              <w:t>'</w:t>
            </w:r>
            <w:r w:rsidRPr="00795F2C">
              <w:rPr>
                <w:i/>
                <w:iCs/>
                <w:sz w:val="20"/>
              </w:rPr>
              <w:t>application du principe de responsabilité sera l</w:t>
            </w:r>
            <w:r w:rsidR="00997820" w:rsidRPr="00795F2C">
              <w:rPr>
                <w:i/>
                <w:iCs/>
                <w:sz w:val="20"/>
              </w:rPr>
              <w:t>'</w:t>
            </w:r>
            <w:r w:rsidRPr="00795F2C">
              <w:rPr>
                <w:i/>
                <w:iCs/>
                <w:sz w:val="20"/>
              </w:rPr>
              <w:t>un des [...] facteurs à prendre en considération. [...] Les entités estiment que le délai proposé n</w:t>
            </w:r>
            <w:r w:rsidR="00997820" w:rsidRPr="00795F2C">
              <w:rPr>
                <w:i/>
                <w:iCs/>
                <w:sz w:val="20"/>
              </w:rPr>
              <w:t>'</w:t>
            </w:r>
            <w:r w:rsidRPr="00795F2C">
              <w:rPr>
                <w:i/>
                <w:iCs/>
                <w:sz w:val="20"/>
              </w:rPr>
              <w:t xml:space="preserve">est pas réaliste [et] proposent donc que le délai soit révisé comme suit: </w:t>
            </w:r>
            <w:r w:rsidR="00997820" w:rsidRPr="00795F2C">
              <w:rPr>
                <w:i/>
                <w:iCs/>
                <w:sz w:val="20"/>
              </w:rPr>
              <w:t>"</w:t>
            </w:r>
            <w:r w:rsidRPr="00795F2C">
              <w:rPr>
                <w:i/>
                <w:iCs/>
                <w:sz w:val="20"/>
              </w:rPr>
              <w:t>à partir de</w:t>
            </w:r>
            <w:r w:rsidR="00B23AED" w:rsidRPr="00795F2C">
              <w:rPr>
                <w:i/>
                <w:iCs/>
                <w:sz w:val="20"/>
              </w:rPr>
              <w:t> </w:t>
            </w:r>
            <w:r w:rsidRPr="00795F2C">
              <w:rPr>
                <w:i/>
                <w:iCs/>
                <w:sz w:val="20"/>
              </w:rPr>
              <w:t>2027</w:t>
            </w:r>
            <w:r w:rsidR="00997820" w:rsidRPr="00795F2C">
              <w:rPr>
                <w:i/>
                <w:iCs/>
                <w:sz w:val="20"/>
              </w:rPr>
              <w:t>".</w:t>
            </w:r>
            <w:r w:rsidR="00997820" w:rsidRPr="00795F2C">
              <w:rPr>
                <w:sz w:val="20"/>
              </w:rPr>
              <w:t>"</w:t>
            </w:r>
          </w:p>
          <w:p w14:paraId="379ABDBB" w14:textId="21E38D7B" w:rsidR="0025070C" w:rsidRPr="00795F2C" w:rsidRDefault="0025070C" w:rsidP="00B23AED">
            <w:pPr>
              <w:pStyle w:val="Tabletext"/>
              <w:rPr>
                <w:rFonts w:cstheme="minorBidi"/>
                <w:sz w:val="20"/>
              </w:rPr>
            </w:pPr>
            <w:r w:rsidRPr="00795F2C">
              <w:rPr>
                <w:b/>
                <w:bCs/>
                <w:sz w:val="20"/>
                <w:u w:val="single"/>
              </w:rPr>
              <w:t>UIT</w:t>
            </w:r>
            <w:r w:rsidRPr="00795F2C">
              <w:rPr>
                <w:sz w:val="20"/>
              </w:rPr>
              <w:t xml:space="preserve">: </w:t>
            </w:r>
            <w:r w:rsidR="00997820" w:rsidRPr="00795F2C">
              <w:rPr>
                <w:sz w:val="20"/>
              </w:rPr>
              <w:t>u</w:t>
            </w:r>
            <w:r w:rsidRPr="00795F2C">
              <w:rPr>
                <w:sz w:val="20"/>
              </w:rPr>
              <w:t>ne nouvelle unité de contrôle a été approuvée par le Conseil à sa session de 2023. Une charte du contrôle interne sera soumise au Conseil à sa session de 2024. Il est très probable que cette charte consacre, notamment, l</w:t>
            </w:r>
            <w:r w:rsidR="00997820" w:rsidRPr="00795F2C">
              <w:rPr>
                <w:sz w:val="20"/>
              </w:rPr>
              <w:t>'</w:t>
            </w:r>
            <w:r w:rsidRPr="00795F2C">
              <w:rPr>
                <w:sz w:val="20"/>
              </w:rPr>
              <w:t>indépendance de la fonction de contrôle et définisse la conduite des missions d</w:t>
            </w:r>
            <w:r w:rsidR="00997820" w:rsidRPr="00795F2C">
              <w:rPr>
                <w:sz w:val="20"/>
              </w:rPr>
              <w:t>'</w:t>
            </w:r>
            <w:r w:rsidRPr="00795F2C">
              <w:rPr>
                <w:sz w:val="20"/>
              </w:rPr>
              <w:t>audit conformément aux normes de l'Institut des auditeurs internes, qui exigent une approche fondée sur les risques et des plans, la finalité étant d'aider l</w:t>
            </w:r>
            <w:r w:rsidR="00997820" w:rsidRPr="00795F2C">
              <w:rPr>
                <w:sz w:val="20"/>
              </w:rPr>
              <w:t>'</w:t>
            </w:r>
            <w:r w:rsidRPr="00795F2C">
              <w:rPr>
                <w:sz w:val="20"/>
              </w:rPr>
              <w:t>UIT à atteindre ses objectifs stratégiques (qui peuvent inclure ou non toutes les composantes du modèle et cadre de responsabilité). Par conséquent, conformément à la décision prise par le Conseil à sa session de 2023 et lors des discussions menées par le</w:t>
            </w:r>
            <w:r w:rsidR="00997820" w:rsidRPr="00795F2C">
              <w:rPr>
                <w:sz w:val="20"/>
              </w:rPr>
              <w:t> </w:t>
            </w:r>
            <w:r w:rsidRPr="00795F2C">
              <w:rPr>
                <w:sz w:val="20"/>
              </w:rPr>
              <w:t>GTC-FHR en octobre 2023 sur la charte d</w:t>
            </w:r>
            <w:r w:rsidR="00997820" w:rsidRPr="00795F2C">
              <w:rPr>
                <w:sz w:val="20"/>
              </w:rPr>
              <w:t>'</w:t>
            </w:r>
            <w:r w:rsidRPr="00795F2C">
              <w:rPr>
                <w:sz w:val="20"/>
              </w:rPr>
              <w:t>audit interne, le Conseil estimera peut-être qu</w:t>
            </w:r>
            <w:r w:rsidR="00997820" w:rsidRPr="00795F2C">
              <w:rPr>
                <w:sz w:val="20"/>
              </w:rPr>
              <w:t>'</w:t>
            </w:r>
            <w:r w:rsidRPr="00795F2C">
              <w:rPr>
                <w:sz w:val="20"/>
              </w:rPr>
              <w:t>il n</w:t>
            </w:r>
            <w:r w:rsidR="00997820" w:rsidRPr="00795F2C">
              <w:rPr>
                <w:sz w:val="20"/>
              </w:rPr>
              <w:t>'</w:t>
            </w:r>
            <w:r w:rsidRPr="00795F2C">
              <w:rPr>
                <w:sz w:val="20"/>
              </w:rPr>
              <w:t>est pas nécessaire de suivre cette recommandation.</w:t>
            </w:r>
          </w:p>
        </w:tc>
      </w:tr>
      <w:bookmarkEnd w:id="1"/>
    </w:tbl>
    <w:p w14:paraId="3DDFA45D" w14:textId="71EAAE0F" w:rsidR="0025070C" w:rsidRPr="00795F2C" w:rsidRDefault="0025070C">
      <w:pPr>
        <w:tabs>
          <w:tab w:val="clear" w:pos="567"/>
          <w:tab w:val="clear" w:pos="1134"/>
          <w:tab w:val="clear" w:pos="1701"/>
          <w:tab w:val="clear" w:pos="2268"/>
          <w:tab w:val="clear" w:pos="2835"/>
        </w:tabs>
        <w:overflowPunct/>
        <w:autoSpaceDE/>
        <w:autoSpaceDN/>
        <w:adjustRightInd/>
        <w:spacing w:before="0"/>
        <w:textAlignment w:val="auto"/>
      </w:pPr>
    </w:p>
    <w:tbl>
      <w:tblPr>
        <w:tblW w:w="5065" w:type="pct"/>
        <w:jc w:val="center"/>
        <w:tblLayout w:type="fixed"/>
        <w:tblCellMar>
          <w:left w:w="0" w:type="dxa"/>
          <w:right w:w="0" w:type="dxa"/>
        </w:tblCellMar>
        <w:tblLook w:val="04A0" w:firstRow="1" w:lastRow="0" w:firstColumn="1" w:lastColumn="0" w:noHBand="0" w:noVBand="1"/>
      </w:tblPr>
      <w:tblGrid>
        <w:gridCol w:w="3256"/>
        <w:gridCol w:w="1083"/>
        <w:gridCol w:w="1043"/>
        <w:gridCol w:w="1134"/>
        <w:gridCol w:w="1276"/>
        <w:gridCol w:w="992"/>
        <w:gridCol w:w="995"/>
        <w:gridCol w:w="1134"/>
        <w:gridCol w:w="3263"/>
      </w:tblGrid>
      <w:tr w:rsidR="0025070C" w:rsidRPr="00795F2C" w14:paraId="3A13DD33" w14:textId="77777777" w:rsidTr="002A5FDE">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7047E585" w14:textId="249B5902" w:rsidR="0025070C" w:rsidRPr="00795F2C" w:rsidRDefault="0025070C" w:rsidP="00FB5431">
            <w:pPr>
              <w:pStyle w:val="Tablehead"/>
              <w:spacing w:after="0"/>
              <w:rPr>
                <w:rFonts w:asciiTheme="minorHAnsi" w:hAnsiTheme="minorHAnsi" w:cstheme="minorHAnsi"/>
                <w:bCs/>
                <w:sz w:val="20"/>
              </w:rPr>
            </w:pPr>
            <w:bookmarkStart w:id="2" w:name="_Hlk164160409"/>
            <w:r w:rsidRPr="00795F2C">
              <w:rPr>
                <w:sz w:val="20"/>
              </w:rPr>
              <w:t xml:space="preserve">JIU/REP/2023/2 </w:t>
            </w:r>
            <w:bookmarkEnd w:id="2"/>
            <w:r w:rsidR="0063172F" w:rsidRPr="00795F2C">
              <w:rPr>
                <w:sz w:val="20"/>
              </w:rPr>
              <w:t xml:space="preserve">– </w:t>
            </w:r>
            <w:hyperlink r:id="rId22" w:history="1">
              <w:r w:rsidRPr="00795F2C">
                <w:rPr>
                  <w:rStyle w:val="Hyperlink"/>
                  <w:sz w:val="20"/>
                </w:rPr>
                <w:t>Examen des mécanismes de recours interne avant toute procédure au tribunal,</w:t>
              </w:r>
              <w:r w:rsidR="00FB5431" w:rsidRPr="00795F2C">
                <w:rPr>
                  <w:rStyle w:val="Hyperlink"/>
                  <w:sz w:val="20"/>
                </w:rPr>
                <w:t xml:space="preserve"> </w:t>
              </w:r>
              <w:r w:rsidRPr="00795F2C">
                <w:rPr>
                  <w:rStyle w:val="Hyperlink"/>
                  <w:sz w:val="20"/>
                </w:rPr>
                <w:t>mis à la disposition du personnel</w:t>
              </w:r>
              <w:r w:rsidR="00FB5431" w:rsidRPr="00795F2C">
                <w:rPr>
                  <w:rStyle w:val="Hyperlink"/>
                  <w:sz w:val="20"/>
                </w:rPr>
                <w:br/>
              </w:r>
              <w:r w:rsidRPr="00795F2C">
                <w:rPr>
                  <w:rStyle w:val="Hyperlink"/>
                  <w:sz w:val="20"/>
                </w:rPr>
                <w:t>des organisations du système des Nations Unies</w:t>
              </w:r>
            </w:hyperlink>
            <w:r w:rsidR="00FB5431" w:rsidRPr="00795F2C">
              <w:rPr>
                <w:sz w:val="20"/>
              </w:rPr>
              <w:t xml:space="preserve"> – </w:t>
            </w:r>
            <w:r w:rsidRPr="00795F2C">
              <w:rPr>
                <w:sz w:val="20"/>
              </w:rPr>
              <w:t>Coordonnatrice de l</w:t>
            </w:r>
            <w:r w:rsidR="00997820" w:rsidRPr="00795F2C">
              <w:rPr>
                <w:sz w:val="20"/>
              </w:rPr>
              <w:t>'</w:t>
            </w:r>
            <w:r w:rsidRPr="00795F2C">
              <w:rPr>
                <w:sz w:val="20"/>
              </w:rPr>
              <w:t>UIT: Maria Traficanti, Chef du Département HRMD</w:t>
            </w:r>
          </w:p>
          <w:p w14:paraId="6FB2D149" w14:textId="59B89096" w:rsidR="0025070C" w:rsidRPr="00795F2C" w:rsidRDefault="00B23AED" w:rsidP="0063172F">
            <w:pPr>
              <w:pStyle w:val="Tablehead"/>
              <w:spacing w:before="0"/>
              <w:rPr>
                <w:rFonts w:asciiTheme="minorHAnsi" w:hAnsiTheme="minorHAnsi" w:cstheme="minorHAnsi"/>
                <w:bCs/>
                <w:sz w:val="20"/>
              </w:rPr>
            </w:pPr>
            <w:r w:rsidRPr="00795F2C">
              <w:rPr>
                <w:sz w:val="20"/>
              </w:rPr>
              <w:t>•</w:t>
            </w:r>
            <w:r w:rsidRPr="00795F2C">
              <w:rPr>
                <w:sz w:val="20"/>
              </w:rPr>
              <w:tab/>
            </w:r>
            <w:hyperlink r:id="rId23" w:history="1">
              <w:r w:rsidR="0025070C" w:rsidRPr="00795F2C">
                <w:rPr>
                  <w:rStyle w:val="Hyperlink"/>
                  <w:sz w:val="20"/>
                  <w:szCs w:val="18"/>
                </w:rPr>
                <w:t>Points saillants de l'examen</w:t>
              </w:r>
            </w:hyperlink>
          </w:p>
        </w:tc>
      </w:tr>
      <w:tr w:rsidR="00A5130D" w:rsidRPr="00795F2C" w14:paraId="6A8640ED" w14:textId="77777777" w:rsidTr="00A5130D">
        <w:trPr>
          <w:cantSplit/>
          <w:trHeight w:val="291"/>
          <w:jc w:val="center"/>
        </w:trPr>
        <w:tc>
          <w:tcPr>
            <w:tcW w:w="1148"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719B4C9" w14:textId="77777777" w:rsidR="0025070C" w:rsidRPr="00795F2C" w:rsidRDefault="0025070C" w:rsidP="0063172F">
            <w:pPr>
              <w:pStyle w:val="Tablehead"/>
              <w:rPr>
                <w:rFonts w:asciiTheme="minorHAnsi" w:hAnsiTheme="minorHAnsi" w:cstheme="minorHAnsi"/>
                <w:bCs/>
                <w:sz w:val="20"/>
              </w:rPr>
            </w:pPr>
            <w:r w:rsidRPr="00795F2C">
              <w:rPr>
                <w:sz w:val="20"/>
              </w:rPr>
              <w:t>Recommandation</w:t>
            </w:r>
          </w:p>
        </w:tc>
        <w:tc>
          <w:tcPr>
            <w:tcW w:w="1600"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03952E5" w14:textId="77777777" w:rsidR="0025070C" w:rsidRPr="00795F2C" w:rsidRDefault="0025070C" w:rsidP="0063172F">
            <w:pPr>
              <w:pStyle w:val="Tablehead"/>
              <w:rPr>
                <w:rFonts w:asciiTheme="minorHAnsi" w:hAnsiTheme="minorHAnsi" w:cstheme="minorHAnsi"/>
                <w:bCs/>
                <w:sz w:val="20"/>
              </w:rPr>
            </w:pPr>
            <w:r w:rsidRPr="00795F2C">
              <w:rPr>
                <w:bCs/>
                <w:sz w:val="20"/>
              </w:rPr>
              <w:t>Acceptation de la recommandation</w:t>
            </w:r>
          </w:p>
        </w:tc>
        <w:tc>
          <w:tcPr>
            <w:tcW w:w="1101"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22DE6CB" w14:textId="77777777" w:rsidR="0025070C" w:rsidRPr="00795F2C" w:rsidRDefault="0025070C" w:rsidP="0063172F">
            <w:pPr>
              <w:pStyle w:val="Tablehead"/>
              <w:rPr>
                <w:rFonts w:asciiTheme="minorHAnsi" w:hAnsiTheme="minorHAnsi" w:cstheme="minorHAnsi"/>
                <w:bCs/>
                <w:sz w:val="20"/>
              </w:rPr>
            </w:pPr>
            <w:r w:rsidRPr="00795F2C">
              <w:rPr>
                <w:bCs/>
                <w:sz w:val="20"/>
              </w:rPr>
              <w:t>État d'avancement de l'application</w:t>
            </w:r>
          </w:p>
        </w:tc>
        <w:tc>
          <w:tcPr>
            <w:tcW w:w="1151"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5FBDE26" w14:textId="77777777" w:rsidR="0025070C" w:rsidRPr="00795F2C" w:rsidRDefault="0025070C" w:rsidP="0063172F">
            <w:pPr>
              <w:pStyle w:val="Tablehead"/>
              <w:rPr>
                <w:rFonts w:asciiTheme="minorHAnsi" w:hAnsiTheme="minorHAnsi" w:cstheme="minorHAnsi"/>
                <w:bCs/>
                <w:sz w:val="20"/>
              </w:rPr>
            </w:pPr>
            <w:r w:rsidRPr="00795F2C">
              <w:rPr>
                <w:bCs/>
                <w:sz w:val="20"/>
              </w:rPr>
              <w:t>Commentaires</w:t>
            </w:r>
          </w:p>
        </w:tc>
      </w:tr>
      <w:tr w:rsidR="00A5130D" w:rsidRPr="00795F2C" w14:paraId="199B58AA" w14:textId="77777777" w:rsidTr="00A5130D">
        <w:trPr>
          <w:trHeight w:val="336"/>
          <w:jc w:val="center"/>
        </w:trPr>
        <w:tc>
          <w:tcPr>
            <w:tcW w:w="1148"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2F0FBA1F" w14:textId="77777777" w:rsidR="0025070C" w:rsidRPr="00795F2C" w:rsidRDefault="0025070C" w:rsidP="0063172F">
            <w:pPr>
              <w:pStyle w:val="Tablehead"/>
              <w:rPr>
                <w:rFonts w:asciiTheme="minorHAnsi" w:hAnsiTheme="minorHAnsi" w:cstheme="minorHAnsi"/>
                <w:bCs/>
                <w:sz w:val="20"/>
              </w:rPr>
            </w:pPr>
            <w:r w:rsidRPr="00795F2C">
              <w:rPr>
                <w:bCs/>
                <w:sz w:val="20"/>
              </w:rPr>
              <w:t>Organes délibérants/directeurs</w:t>
            </w:r>
          </w:p>
        </w:tc>
        <w:tc>
          <w:tcPr>
            <w:tcW w:w="382"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9640531" w14:textId="255FA656" w:rsidR="0025070C" w:rsidRPr="00795F2C" w:rsidRDefault="0025070C" w:rsidP="0063172F">
            <w:pPr>
              <w:pStyle w:val="Tablehead"/>
              <w:rPr>
                <w:rFonts w:asciiTheme="minorHAnsi" w:hAnsiTheme="minorHAnsi" w:cstheme="minorHAnsi"/>
                <w:bCs/>
                <w:sz w:val="20"/>
              </w:rPr>
            </w:pPr>
            <w:r w:rsidRPr="00795F2C">
              <w:rPr>
                <w:bCs/>
                <w:sz w:val="20"/>
              </w:rPr>
              <w:t>Acceptée</w:t>
            </w:r>
          </w:p>
        </w:tc>
        <w:tc>
          <w:tcPr>
            <w:tcW w:w="368"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D27D8AE" w14:textId="77777777" w:rsidR="0025070C" w:rsidRPr="00795F2C" w:rsidRDefault="0025070C" w:rsidP="0063172F">
            <w:pPr>
              <w:pStyle w:val="Tablehead"/>
              <w:rPr>
                <w:rFonts w:asciiTheme="minorHAnsi" w:hAnsiTheme="minorHAnsi" w:cstheme="minorHAnsi"/>
                <w:bCs/>
                <w:sz w:val="20"/>
              </w:rPr>
            </w:pPr>
            <w:r w:rsidRPr="00795F2C">
              <w:rPr>
                <w:bCs/>
                <w:sz w:val="20"/>
              </w:rPr>
              <w:t>Non Acceptée</w:t>
            </w:r>
          </w:p>
        </w:tc>
        <w:tc>
          <w:tcPr>
            <w:tcW w:w="40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CB067AC" w14:textId="77777777" w:rsidR="0025070C" w:rsidRPr="00795F2C" w:rsidRDefault="0025070C" w:rsidP="0063172F">
            <w:pPr>
              <w:pStyle w:val="Tablehead"/>
              <w:rPr>
                <w:rFonts w:asciiTheme="minorHAnsi" w:hAnsiTheme="minorHAnsi" w:cstheme="minorHAnsi"/>
                <w:bCs/>
                <w:sz w:val="20"/>
              </w:rPr>
            </w:pPr>
            <w:r w:rsidRPr="00795F2C">
              <w:rPr>
                <w:bCs/>
                <w:sz w:val="20"/>
              </w:rPr>
              <w:t>Non pertinente</w:t>
            </w:r>
          </w:p>
        </w:tc>
        <w:tc>
          <w:tcPr>
            <w:tcW w:w="45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68610DD" w14:textId="77777777" w:rsidR="0025070C" w:rsidRPr="00795F2C" w:rsidRDefault="0025070C" w:rsidP="0063172F">
            <w:pPr>
              <w:pStyle w:val="Tablehead"/>
              <w:rPr>
                <w:rFonts w:asciiTheme="minorHAnsi" w:hAnsiTheme="minorHAnsi" w:cstheme="minorHAnsi"/>
                <w:bCs/>
                <w:sz w:val="20"/>
              </w:rPr>
            </w:pPr>
            <w:r w:rsidRPr="00795F2C">
              <w:rPr>
                <w:bCs/>
                <w:sz w:val="20"/>
              </w:rPr>
              <w:t>Nécessite un examen plus approfondi</w:t>
            </w:r>
          </w:p>
        </w:tc>
        <w:tc>
          <w:tcPr>
            <w:tcW w:w="350"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041F742" w14:textId="3F25EEBB" w:rsidR="0025070C" w:rsidRPr="00795F2C" w:rsidRDefault="0025070C" w:rsidP="0063172F">
            <w:pPr>
              <w:pStyle w:val="Tablehead"/>
              <w:rPr>
                <w:rFonts w:asciiTheme="minorHAnsi" w:hAnsiTheme="minorHAnsi" w:cstheme="minorHAnsi"/>
                <w:bCs/>
                <w:sz w:val="20"/>
              </w:rPr>
            </w:pPr>
            <w:r w:rsidRPr="00795F2C">
              <w:rPr>
                <w:bCs/>
                <w:sz w:val="20"/>
              </w:rPr>
              <w:t>En attente</w:t>
            </w:r>
          </w:p>
        </w:tc>
        <w:tc>
          <w:tcPr>
            <w:tcW w:w="351"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DB753F3" w14:textId="77777777" w:rsidR="0025070C" w:rsidRPr="00795F2C" w:rsidRDefault="0025070C" w:rsidP="0063172F">
            <w:pPr>
              <w:pStyle w:val="Tablehead"/>
              <w:rPr>
                <w:rFonts w:asciiTheme="minorHAnsi" w:hAnsiTheme="minorHAnsi" w:cstheme="minorHAnsi"/>
                <w:bCs/>
                <w:sz w:val="20"/>
              </w:rPr>
            </w:pPr>
            <w:r w:rsidRPr="00795F2C">
              <w:rPr>
                <w:bCs/>
                <w:sz w:val="20"/>
              </w:rPr>
              <w:t>En cours</w:t>
            </w:r>
          </w:p>
        </w:tc>
        <w:tc>
          <w:tcPr>
            <w:tcW w:w="400"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D1C7B3B" w14:textId="77777777" w:rsidR="0025070C" w:rsidRPr="00795F2C" w:rsidRDefault="0025070C" w:rsidP="0063172F">
            <w:pPr>
              <w:pStyle w:val="Tablehead"/>
              <w:rPr>
                <w:rFonts w:asciiTheme="minorHAnsi" w:hAnsiTheme="minorHAnsi" w:cstheme="minorHAnsi"/>
                <w:bCs/>
                <w:sz w:val="20"/>
              </w:rPr>
            </w:pPr>
            <w:r w:rsidRPr="00795F2C">
              <w:rPr>
                <w:bCs/>
                <w:sz w:val="20"/>
              </w:rPr>
              <w:t>Appliquée</w:t>
            </w:r>
          </w:p>
        </w:tc>
        <w:tc>
          <w:tcPr>
            <w:tcW w:w="1151"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8B033C5" w14:textId="77777777" w:rsidR="0025070C" w:rsidRPr="00795F2C" w:rsidRDefault="0025070C" w:rsidP="00A5130D">
            <w:pPr>
              <w:pStyle w:val="Tablehead"/>
              <w:spacing w:after="0"/>
              <w:rPr>
                <w:rFonts w:asciiTheme="minorHAnsi" w:hAnsiTheme="minorHAnsi" w:cstheme="minorHAnsi"/>
                <w:bCs/>
                <w:color w:val="FF0000"/>
                <w:sz w:val="20"/>
              </w:rPr>
            </w:pPr>
            <w:r w:rsidRPr="00795F2C">
              <w:rPr>
                <w:bCs/>
                <w:sz w:val="20"/>
              </w:rPr>
              <w:t xml:space="preserve">Observations du Conseil des chefs de secrétariat (CCS) – </w:t>
            </w:r>
            <w:r w:rsidRPr="00795F2C">
              <w:rPr>
                <w:bCs/>
                <w:color w:val="FF0000"/>
                <w:sz w:val="20"/>
              </w:rPr>
              <w:t>Pas encore disponibles</w:t>
            </w:r>
          </w:p>
          <w:p w14:paraId="3ABEBBEC" w14:textId="77777777" w:rsidR="0025070C" w:rsidRPr="00795F2C" w:rsidRDefault="0025070C" w:rsidP="00A5130D">
            <w:pPr>
              <w:pStyle w:val="Tablehead"/>
              <w:spacing w:before="0" w:after="0"/>
              <w:rPr>
                <w:rFonts w:asciiTheme="minorHAnsi" w:hAnsiTheme="minorHAnsi" w:cstheme="minorHAnsi"/>
                <w:bCs/>
                <w:color w:val="000000"/>
                <w:sz w:val="20"/>
              </w:rPr>
            </w:pPr>
            <w:r w:rsidRPr="00795F2C">
              <w:rPr>
                <w:sz w:val="20"/>
              </w:rPr>
              <w:t>___</w:t>
            </w:r>
          </w:p>
          <w:p w14:paraId="423C1EC8" w14:textId="77777777" w:rsidR="0025070C" w:rsidRPr="00795F2C" w:rsidRDefault="0025070C" w:rsidP="00A5130D">
            <w:pPr>
              <w:pStyle w:val="Tablehead"/>
              <w:spacing w:before="0"/>
              <w:rPr>
                <w:rFonts w:asciiTheme="minorHAnsi" w:hAnsiTheme="minorHAnsi" w:cstheme="minorHAnsi"/>
                <w:bCs/>
                <w:color w:val="000000"/>
                <w:sz w:val="20"/>
              </w:rPr>
            </w:pPr>
            <w:r w:rsidRPr="00795F2C">
              <w:rPr>
                <w:bCs/>
                <w:sz w:val="20"/>
              </w:rPr>
              <w:t>Observations de l'UIT sur la pertinence et les incidences sur les ressources financières et les ressources humaines</w:t>
            </w:r>
          </w:p>
          <w:p w14:paraId="1775B487" w14:textId="77777777" w:rsidR="0025070C" w:rsidRPr="00795F2C" w:rsidRDefault="0025070C" w:rsidP="00A5130D">
            <w:pPr>
              <w:pStyle w:val="Tablehead"/>
              <w:spacing w:before="60"/>
              <w:rPr>
                <w:rFonts w:asciiTheme="minorHAnsi" w:hAnsiTheme="minorHAnsi" w:cstheme="minorHAnsi"/>
                <w:sz w:val="20"/>
              </w:rPr>
            </w:pPr>
            <w:r w:rsidRPr="00795F2C">
              <w:rPr>
                <w:bCs/>
                <w:sz w:val="20"/>
              </w:rPr>
              <w:t>(ci-dessous)</w:t>
            </w:r>
          </w:p>
        </w:tc>
      </w:tr>
      <w:tr w:rsidR="00A5130D" w:rsidRPr="00795F2C" w14:paraId="30E121A5" w14:textId="77777777" w:rsidTr="00FB5431">
        <w:trPr>
          <w:trHeight w:val="60"/>
          <w:jc w:val="center"/>
        </w:trPr>
        <w:tc>
          <w:tcPr>
            <w:tcW w:w="1148"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77A53F61" w14:textId="17DF36FF" w:rsidR="0025070C" w:rsidRPr="00795F2C" w:rsidRDefault="0025070C" w:rsidP="0063172F">
            <w:pPr>
              <w:pStyle w:val="Tabletext"/>
              <w:rPr>
                <w:rFonts w:asciiTheme="minorHAnsi" w:hAnsiTheme="minorHAnsi" w:cstheme="minorHAnsi"/>
                <w:sz w:val="20"/>
              </w:rPr>
            </w:pPr>
            <w:r w:rsidRPr="00795F2C">
              <w:rPr>
                <w:b/>
                <w:bCs/>
                <w:sz w:val="20"/>
              </w:rPr>
              <w:t>Recommandation 4</w:t>
            </w:r>
            <w:r w:rsidRPr="00795F2C">
              <w:rPr>
                <w:sz w:val="20"/>
              </w:rPr>
              <w:t xml:space="preserve">: </w:t>
            </w:r>
            <w:r w:rsidR="00A5130D" w:rsidRPr="00795F2C">
              <w:rPr>
                <w:sz w:val="20"/>
              </w:rPr>
              <w:t>l</w:t>
            </w:r>
            <w:r w:rsidRPr="00795F2C">
              <w:rPr>
                <w:sz w:val="20"/>
              </w:rPr>
              <w:t>es organes délibérants et directeurs des entités des Nations Unies devraient demander à leur chef de secrétariat, si cela n</w:t>
            </w:r>
            <w:r w:rsidR="00A5130D" w:rsidRPr="00795F2C">
              <w:rPr>
                <w:sz w:val="20"/>
              </w:rPr>
              <w:t>'</w:t>
            </w:r>
            <w:r w:rsidRPr="00795F2C">
              <w:rPr>
                <w:sz w:val="20"/>
              </w:rPr>
              <w:t>a pas encore été fait, d</w:t>
            </w:r>
            <w:r w:rsidR="00A5130D" w:rsidRPr="00795F2C">
              <w:rPr>
                <w:sz w:val="20"/>
              </w:rPr>
              <w:t>'</w:t>
            </w:r>
            <w:r w:rsidRPr="00795F2C">
              <w:rPr>
                <w:sz w:val="20"/>
              </w:rPr>
              <w:t>entreprendre un examen approfondi de leurs cadre et pratiques réglementaires concernant les mécanismes de recours spécialisé interne, afin d</w:t>
            </w:r>
            <w:r w:rsidR="00A5130D" w:rsidRPr="00795F2C">
              <w:rPr>
                <w:sz w:val="20"/>
              </w:rPr>
              <w:t>'</w:t>
            </w:r>
            <w:r w:rsidRPr="00795F2C">
              <w:rPr>
                <w:sz w:val="20"/>
              </w:rPr>
              <w:t>évaluer s</w:t>
            </w:r>
            <w:r w:rsidR="00A5130D" w:rsidRPr="00795F2C">
              <w:rPr>
                <w:sz w:val="20"/>
              </w:rPr>
              <w:t>'</w:t>
            </w:r>
            <w:r w:rsidRPr="00795F2C">
              <w:rPr>
                <w:sz w:val="20"/>
              </w:rPr>
              <w:t>ils continuent d</w:t>
            </w:r>
            <w:r w:rsidR="006B51CE" w:rsidRPr="00795F2C">
              <w:rPr>
                <w:sz w:val="20"/>
              </w:rPr>
              <w:t>'</w:t>
            </w:r>
            <w:r w:rsidRPr="00795F2C">
              <w:rPr>
                <w:sz w:val="20"/>
              </w:rPr>
              <w:t>être utiles et de bien fonctionner dans le cadre plus global des mécanismes de recours interne, y compris l</w:t>
            </w:r>
            <w:r w:rsidR="00A5130D" w:rsidRPr="00795F2C">
              <w:rPr>
                <w:sz w:val="20"/>
              </w:rPr>
              <w:t>'</w:t>
            </w:r>
            <w:r w:rsidRPr="00795F2C">
              <w:rPr>
                <w:sz w:val="20"/>
              </w:rPr>
              <w:t>élimination des processus qui font double emploi ou sont source d'ambiguïtés dans un souci d</w:t>
            </w:r>
            <w:r w:rsidR="00A5130D" w:rsidRPr="00795F2C">
              <w:rPr>
                <w:sz w:val="20"/>
              </w:rPr>
              <w:t>'</w:t>
            </w:r>
            <w:r w:rsidRPr="00795F2C">
              <w:rPr>
                <w:sz w:val="20"/>
              </w:rPr>
              <w:t>efficacité de la procédure, et d</w:t>
            </w:r>
            <w:r w:rsidR="00A5130D" w:rsidRPr="00795F2C">
              <w:rPr>
                <w:sz w:val="20"/>
              </w:rPr>
              <w:t>'</w:t>
            </w:r>
            <w:r w:rsidRPr="00795F2C">
              <w:rPr>
                <w:sz w:val="20"/>
              </w:rPr>
              <w:t>en rendre compte au plus tard en 2025.</w:t>
            </w: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97D7356" w14:textId="77777777" w:rsidR="0025070C" w:rsidRPr="00795F2C" w:rsidRDefault="0025070C" w:rsidP="00FB5431">
            <w:pPr>
              <w:pStyle w:val="Tabletext"/>
              <w:jc w:val="center"/>
              <w:rPr>
                <w:rFonts w:asciiTheme="minorHAnsi" w:hAnsiTheme="minorHAnsi" w:cstheme="minorHAnsi"/>
                <w:b/>
                <w:bCs/>
                <w:color w:val="000000"/>
                <w:sz w:val="20"/>
              </w:rPr>
            </w:pPr>
            <w:r w:rsidRPr="00795F2C">
              <w:rPr>
                <w:b/>
                <w:bCs/>
                <w:sz w:val="20"/>
              </w:rPr>
              <w:t>X</w:t>
            </w:r>
          </w:p>
        </w:tc>
        <w:tc>
          <w:tcPr>
            <w:tcW w:w="36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CBE70E5" w14:textId="77777777" w:rsidR="0025070C" w:rsidRPr="00795F2C" w:rsidRDefault="0025070C" w:rsidP="0063172F">
            <w:pPr>
              <w:pStyle w:val="Tabletext"/>
              <w:rPr>
                <w:rFonts w:asciiTheme="minorHAnsi" w:hAnsiTheme="minorHAnsi" w:cstheme="minorHAnsi"/>
                <w:sz w:val="20"/>
              </w:rPr>
            </w:pPr>
          </w:p>
        </w:tc>
        <w:tc>
          <w:tcPr>
            <w:tcW w:w="40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0FE0C69" w14:textId="77777777" w:rsidR="0025070C" w:rsidRPr="00795F2C" w:rsidRDefault="0025070C" w:rsidP="0063172F">
            <w:pPr>
              <w:pStyle w:val="Tabletext"/>
              <w:rPr>
                <w:rFonts w:asciiTheme="minorHAnsi" w:hAnsiTheme="minorHAnsi" w:cstheme="minorHAnsi"/>
                <w:sz w:val="20"/>
              </w:rPr>
            </w:pPr>
          </w:p>
        </w:tc>
        <w:tc>
          <w:tcPr>
            <w:tcW w:w="45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2EDE81" w14:textId="77777777" w:rsidR="0025070C" w:rsidRPr="00795F2C" w:rsidRDefault="0025070C" w:rsidP="0063172F">
            <w:pPr>
              <w:pStyle w:val="Tabletext"/>
              <w:rPr>
                <w:rFonts w:asciiTheme="minorHAnsi" w:eastAsiaTheme="minorHAnsi" w:hAnsiTheme="minorHAnsi" w:cstheme="minorHAnsi"/>
                <w:b/>
                <w:bCs/>
                <w:sz w:val="20"/>
              </w:rPr>
            </w:pPr>
          </w:p>
        </w:tc>
        <w:tc>
          <w:tcPr>
            <w:tcW w:w="35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A1AC3D8" w14:textId="77777777" w:rsidR="0025070C" w:rsidRPr="00795F2C" w:rsidRDefault="0025070C" w:rsidP="00FB5431">
            <w:pPr>
              <w:pStyle w:val="Tabletext"/>
              <w:jc w:val="center"/>
              <w:rPr>
                <w:rFonts w:asciiTheme="minorHAnsi" w:hAnsiTheme="minorHAnsi" w:cstheme="minorHAnsi"/>
                <w:b/>
                <w:bCs/>
                <w:sz w:val="20"/>
              </w:rPr>
            </w:pPr>
            <w:r w:rsidRPr="00795F2C">
              <w:rPr>
                <w:b/>
                <w:bCs/>
                <w:sz w:val="20"/>
              </w:rPr>
              <w:t>X</w:t>
            </w:r>
          </w:p>
        </w:tc>
        <w:tc>
          <w:tcPr>
            <w:tcW w:w="35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FD80C29" w14:textId="77777777" w:rsidR="0025070C" w:rsidRPr="00795F2C" w:rsidRDefault="0025070C" w:rsidP="0063172F">
            <w:pPr>
              <w:pStyle w:val="Tabletext"/>
              <w:rPr>
                <w:rFonts w:asciiTheme="minorHAnsi" w:hAnsiTheme="minorHAnsi" w:cstheme="minorHAnsi"/>
                <w:b/>
                <w:bCs/>
                <w:sz w:val="20"/>
              </w:rPr>
            </w:pPr>
          </w:p>
        </w:tc>
        <w:tc>
          <w:tcPr>
            <w:tcW w:w="40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E5760CD" w14:textId="77777777" w:rsidR="0025070C" w:rsidRPr="00795F2C" w:rsidRDefault="0025070C" w:rsidP="0063172F">
            <w:pPr>
              <w:pStyle w:val="Tabletext"/>
              <w:rPr>
                <w:rFonts w:asciiTheme="minorHAnsi" w:eastAsiaTheme="minorHAnsi" w:hAnsiTheme="minorHAnsi" w:cstheme="minorHAnsi"/>
                <w:b/>
                <w:bCs/>
                <w:sz w:val="20"/>
              </w:rPr>
            </w:pPr>
          </w:p>
        </w:tc>
        <w:tc>
          <w:tcPr>
            <w:tcW w:w="1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29857D" w14:textId="770AA076" w:rsidR="0025070C" w:rsidRPr="00795F2C" w:rsidRDefault="0025070C" w:rsidP="0063172F">
            <w:pPr>
              <w:pStyle w:val="Tabletext"/>
              <w:rPr>
                <w:rFonts w:asciiTheme="minorHAnsi" w:hAnsiTheme="minorHAnsi" w:cstheme="minorHAnsi"/>
                <w:sz w:val="20"/>
              </w:rPr>
            </w:pPr>
            <w:r w:rsidRPr="00795F2C">
              <w:rPr>
                <w:sz w:val="20"/>
              </w:rPr>
              <w:t>Sous réserve de la disponibilité des ressources nécessaires, l</w:t>
            </w:r>
            <w:r w:rsidR="00A5130D" w:rsidRPr="00795F2C">
              <w:rPr>
                <w:sz w:val="20"/>
              </w:rPr>
              <w:t>'</w:t>
            </w:r>
            <w:r w:rsidRPr="00795F2C">
              <w:rPr>
                <w:sz w:val="20"/>
              </w:rPr>
              <w:t>UIT convient qu</w:t>
            </w:r>
            <w:r w:rsidR="00A5130D" w:rsidRPr="00795F2C">
              <w:rPr>
                <w:sz w:val="20"/>
              </w:rPr>
              <w:t>'</w:t>
            </w:r>
            <w:r w:rsidRPr="00795F2C">
              <w:rPr>
                <w:sz w:val="20"/>
              </w:rPr>
              <w:t>un examen approfondi de son cadre réglementaire et de ses pratiques portant sur les mécanismes internes de recours spécialisés (par exemple pour les réclamations liées aux pensions ou aux mesures disciplinaires), ainsi qu</w:t>
            </w:r>
            <w:r w:rsidR="00A5130D" w:rsidRPr="00795F2C">
              <w:rPr>
                <w:sz w:val="20"/>
              </w:rPr>
              <w:t>'</w:t>
            </w:r>
            <w:r w:rsidRPr="00795F2C">
              <w:rPr>
                <w:sz w:val="20"/>
              </w:rPr>
              <w:t>il ressort de cette Recommandation, serait utile pour le système de justice interne de l</w:t>
            </w:r>
            <w:r w:rsidR="00A5130D" w:rsidRPr="00795F2C">
              <w:rPr>
                <w:sz w:val="20"/>
              </w:rPr>
              <w:t>'</w:t>
            </w:r>
            <w:r w:rsidRPr="00795F2C">
              <w:rPr>
                <w:sz w:val="20"/>
              </w:rPr>
              <w:t>UIT.</w:t>
            </w:r>
          </w:p>
          <w:p w14:paraId="48F317B4" w14:textId="3CA84789" w:rsidR="0025070C" w:rsidRPr="00795F2C" w:rsidRDefault="0025070C" w:rsidP="0063172F">
            <w:pPr>
              <w:pStyle w:val="Tabletext"/>
              <w:rPr>
                <w:rFonts w:asciiTheme="minorHAnsi" w:hAnsiTheme="minorHAnsi" w:cstheme="minorHAnsi"/>
                <w:sz w:val="20"/>
              </w:rPr>
            </w:pPr>
            <w:r w:rsidRPr="00795F2C">
              <w:rPr>
                <w:sz w:val="20"/>
              </w:rPr>
              <w:t>La réalisation d</w:t>
            </w:r>
            <w:r w:rsidR="00A5130D" w:rsidRPr="00795F2C">
              <w:rPr>
                <w:sz w:val="20"/>
              </w:rPr>
              <w:t>'</w:t>
            </w:r>
            <w:r w:rsidRPr="00795F2C">
              <w:rPr>
                <w:sz w:val="20"/>
              </w:rPr>
              <w:t>une telle évaluation serait très complexe et nécessiterait l</w:t>
            </w:r>
            <w:r w:rsidR="00A5130D" w:rsidRPr="00795F2C">
              <w:rPr>
                <w:sz w:val="20"/>
              </w:rPr>
              <w:t>'</w:t>
            </w:r>
            <w:r w:rsidRPr="00795F2C">
              <w:rPr>
                <w:sz w:val="20"/>
              </w:rPr>
              <w:t>affectation de ressources humaines supplémentaires pendant une courte période.</w:t>
            </w:r>
          </w:p>
        </w:tc>
      </w:tr>
      <w:tr w:rsidR="00A5130D" w:rsidRPr="00795F2C" w14:paraId="363109D7" w14:textId="77777777" w:rsidTr="00FB5431">
        <w:trPr>
          <w:trHeight w:val="1698"/>
          <w:jc w:val="center"/>
        </w:trPr>
        <w:tc>
          <w:tcPr>
            <w:tcW w:w="1148" w:type="pct"/>
            <w:tcBorders>
              <w:top w:val="nil"/>
              <w:left w:val="single" w:sz="8" w:space="0" w:color="auto"/>
              <w:bottom w:val="single" w:sz="4" w:space="0" w:color="auto"/>
              <w:right w:val="single" w:sz="8" w:space="0" w:color="auto"/>
            </w:tcBorders>
            <w:shd w:val="clear" w:color="auto" w:fill="EAF1DD" w:themeFill="accent3" w:themeFillTint="33"/>
            <w:tcMar>
              <w:top w:w="0" w:type="dxa"/>
              <w:left w:w="108" w:type="dxa"/>
              <w:bottom w:w="0" w:type="dxa"/>
              <w:right w:w="108" w:type="dxa"/>
            </w:tcMar>
          </w:tcPr>
          <w:p w14:paraId="47D474D5" w14:textId="49BEA3A0" w:rsidR="0025070C" w:rsidRPr="00795F2C" w:rsidRDefault="0025070C" w:rsidP="0063172F">
            <w:pPr>
              <w:pStyle w:val="Tabletext"/>
              <w:rPr>
                <w:rFonts w:asciiTheme="minorHAnsi" w:hAnsiTheme="minorHAnsi" w:cstheme="minorHAnsi"/>
                <w:color w:val="000000"/>
                <w:sz w:val="20"/>
              </w:rPr>
            </w:pPr>
            <w:r w:rsidRPr="00795F2C">
              <w:rPr>
                <w:b/>
                <w:bCs/>
                <w:sz w:val="20"/>
              </w:rPr>
              <w:lastRenderedPageBreak/>
              <w:t>Recommandation 5</w:t>
            </w:r>
            <w:r w:rsidRPr="00795F2C">
              <w:rPr>
                <w:sz w:val="20"/>
              </w:rPr>
              <w:t xml:space="preserve">: </w:t>
            </w:r>
            <w:r w:rsidR="00A5130D" w:rsidRPr="00795F2C">
              <w:rPr>
                <w:sz w:val="20"/>
              </w:rPr>
              <w:t>l</w:t>
            </w:r>
            <w:r w:rsidRPr="00795F2C">
              <w:rPr>
                <w:sz w:val="20"/>
              </w:rPr>
              <w:t>es organes délibérants et directeurs des entités des Nations Unies devraient demander à leur chef de secrétariat, si cela n</w:t>
            </w:r>
            <w:r w:rsidR="00A5130D" w:rsidRPr="00795F2C">
              <w:rPr>
                <w:sz w:val="20"/>
              </w:rPr>
              <w:t>'</w:t>
            </w:r>
            <w:r w:rsidRPr="00795F2C">
              <w:rPr>
                <w:sz w:val="20"/>
              </w:rPr>
              <w:t>a pas encore été fait, de leur rendre compte chaque année, à compter de 2025, du fonctionnement de leurs mécanismes de recours interne officiel, y compris les mécanismes de recours spécialisé. Il s</w:t>
            </w:r>
            <w:r w:rsidR="00A5130D" w:rsidRPr="00795F2C">
              <w:rPr>
                <w:sz w:val="20"/>
              </w:rPr>
              <w:t>'</w:t>
            </w:r>
            <w:r w:rsidRPr="00795F2C">
              <w:rPr>
                <w:sz w:val="20"/>
              </w:rPr>
              <w:t>agirait de donner des détails sur le nombre, l</w:t>
            </w:r>
            <w:r w:rsidR="00A5130D" w:rsidRPr="00795F2C">
              <w:rPr>
                <w:sz w:val="20"/>
              </w:rPr>
              <w:t>'</w:t>
            </w:r>
            <w:r w:rsidRPr="00795F2C">
              <w:rPr>
                <w:sz w:val="20"/>
              </w:rPr>
              <w:t>objet et l</w:t>
            </w:r>
            <w:r w:rsidR="00A5130D" w:rsidRPr="00795F2C">
              <w:rPr>
                <w:sz w:val="20"/>
              </w:rPr>
              <w:t>'</w:t>
            </w:r>
            <w:r w:rsidRPr="00795F2C">
              <w:rPr>
                <w:sz w:val="20"/>
              </w:rPr>
              <w:t>issue des recours, y</w:t>
            </w:r>
            <w:r w:rsidR="00A5130D" w:rsidRPr="00795F2C">
              <w:rPr>
                <w:sz w:val="20"/>
              </w:rPr>
              <w:t> </w:t>
            </w:r>
            <w:r w:rsidRPr="00795F2C">
              <w:rPr>
                <w:sz w:val="20"/>
              </w:rPr>
              <w:t>compris les affaires jugées irrecevables, des informations sur les données démographiques des demandeurs et des informations sur la question de savoir si les décisions contestées sont confirmées ou revues, ventilées par type de procédure, le cas échéant.</w:t>
            </w:r>
          </w:p>
        </w:tc>
        <w:tc>
          <w:tcPr>
            <w:tcW w:w="382"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C92EA91" w14:textId="77777777" w:rsidR="0025070C" w:rsidRPr="00795F2C" w:rsidRDefault="0025070C" w:rsidP="00FB5431">
            <w:pPr>
              <w:pStyle w:val="Tabletext"/>
              <w:jc w:val="center"/>
              <w:rPr>
                <w:rFonts w:asciiTheme="minorHAnsi" w:hAnsiTheme="minorHAnsi" w:cstheme="minorHAnsi"/>
                <w:b/>
                <w:bCs/>
                <w:color w:val="000000"/>
                <w:sz w:val="20"/>
              </w:rPr>
            </w:pPr>
            <w:r w:rsidRPr="00795F2C">
              <w:rPr>
                <w:b/>
                <w:bCs/>
                <w:sz w:val="20"/>
              </w:rPr>
              <w:t>X</w:t>
            </w:r>
          </w:p>
        </w:tc>
        <w:tc>
          <w:tcPr>
            <w:tcW w:w="36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B3D98AF" w14:textId="77777777" w:rsidR="0025070C" w:rsidRPr="00795F2C" w:rsidRDefault="0025070C" w:rsidP="0063172F">
            <w:pPr>
              <w:pStyle w:val="Tabletext"/>
              <w:rPr>
                <w:rFonts w:asciiTheme="minorHAnsi" w:hAnsiTheme="minorHAnsi" w:cstheme="minorHAnsi"/>
                <w:sz w:val="20"/>
              </w:rPr>
            </w:pPr>
          </w:p>
        </w:tc>
        <w:tc>
          <w:tcPr>
            <w:tcW w:w="400"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51773E0" w14:textId="77777777" w:rsidR="0025070C" w:rsidRPr="00795F2C" w:rsidRDefault="0025070C" w:rsidP="0063172F">
            <w:pPr>
              <w:pStyle w:val="Tabletext"/>
              <w:rPr>
                <w:rFonts w:asciiTheme="minorHAnsi" w:hAnsiTheme="minorHAnsi" w:cstheme="minorHAnsi"/>
                <w:sz w:val="20"/>
              </w:rPr>
            </w:pPr>
          </w:p>
        </w:tc>
        <w:tc>
          <w:tcPr>
            <w:tcW w:w="450"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FC52D6B" w14:textId="77777777" w:rsidR="0025070C" w:rsidRPr="00795F2C" w:rsidRDefault="0025070C" w:rsidP="0063172F">
            <w:pPr>
              <w:pStyle w:val="Tabletext"/>
              <w:rPr>
                <w:rFonts w:asciiTheme="minorHAnsi" w:hAnsiTheme="minorHAnsi" w:cstheme="minorHAnsi"/>
                <w:b/>
                <w:bCs/>
                <w:color w:val="000000"/>
                <w:sz w:val="20"/>
              </w:rPr>
            </w:pPr>
          </w:p>
        </w:tc>
        <w:tc>
          <w:tcPr>
            <w:tcW w:w="350"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A6C41EE" w14:textId="77777777" w:rsidR="0025070C" w:rsidRPr="00795F2C" w:rsidRDefault="0025070C" w:rsidP="00FB5431">
            <w:pPr>
              <w:pStyle w:val="Tabletext"/>
              <w:jc w:val="center"/>
              <w:rPr>
                <w:rFonts w:asciiTheme="minorHAnsi" w:hAnsiTheme="minorHAnsi" w:cstheme="minorHAnsi"/>
                <w:b/>
                <w:bCs/>
                <w:sz w:val="20"/>
              </w:rPr>
            </w:pPr>
            <w:r w:rsidRPr="00795F2C">
              <w:rPr>
                <w:b/>
                <w:bCs/>
                <w:sz w:val="20"/>
              </w:rPr>
              <w:t>X</w:t>
            </w:r>
          </w:p>
        </w:tc>
        <w:tc>
          <w:tcPr>
            <w:tcW w:w="351"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62A1C0F" w14:textId="77777777" w:rsidR="0025070C" w:rsidRPr="00795F2C" w:rsidRDefault="0025070C" w:rsidP="0063172F">
            <w:pPr>
              <w:pStyle w:val="Tabletext"/>
              <w:rPr>
                <w:rFonts w:asciiTheme="minorHAnsi" w:hAnsiTheme="minorHAnsi" w:cstheme="minorHAnsi"/>
                <w:b/>
                <w:bCs/>
                <w:sz w:val="20"/>
              </w:rPr>
            </w:pPr>
          </w:p>
        </w:tc>
        <w:tc>
          <w:tcPr>
            <w:tcW w:w="400"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88321B2" w14:textId="77777777" w:rsidR="0025070C" w:rsidRPr="00795F2C" w:rsidRDefault="0025070C" w:rsidP="0063172F">
            <w:pPr>
              <w:pStyle w:val="Tabletext"/>
              <w:rPr>
                <w:rFonts w:asciiTheme="minorHAnsi" w:hAnsiTheme="minorHAnsi" w:cstheme="minorHAnsi"/>
                <w:b/>
                <w:bCs/>
                <w:color w:val="000000"/>
                <w:sz w:val="20"/>
              </w:rPr>
            </w:pPr>
          </w:p>
        </w:tc>
        <w:tc>
          <w:tcPr>
            <w:tcW w:w="1151" w:type="pct"/>
            <w:tcBorders>
              <w:top w:val="nil"/>
              <w:left w:val="nil"/>
              <w:bottom w:val="single" w:sz="4" w:space="0" w:color="auto"/>
              <w:right w:val="single" w:sz="8" w:space="0" w:color="auto"/>
            </w:tcBorders>
            <w:tcMar>
              <w:top w:w="0" w:type="dxa"/>
              <w:left w:w="108" w:type="dxa"/>
              <w:bottom w:w="0" w:type="dxa"/>
              <w:right w:w="108" w:type="dxa"/>
            </w:tcMar>
            <w:vAlign w:val="center"/>
          </w:tcPr>
          <w:p w14:paraId="09B096FD" w14:textId="60F0092C" w:rsidR="0025070C" w:rsidRPr="00795F2C" w:rsidRDefault="0025070C" w:rsidP="0063172F">
            <w:pPr>
              <w:pStyle w:val="Tabletext"/>
              <w:rPr>
                <w:rFonts w:asciiTheme="minorHAnsi" w:hAnsiTheme="minorHAnsi" w:cstheme="minorHAnsi"/>
                <w:sz w:val="20"/>
              </w:rPr>
            </w:pPr>
            <w:r w:rsidRPr="00795F2C">
              <w:rPr>
                <w:sz w:val="20"/>
              </w:rPr>
              <w:t>L</w:t>
            </w:r>
            <w:r w:rsidR="00A5130D" w:rsidRPr="00795F2C">
              <w:rPr>
                <w:sz w:val="20"/>
              </w:rPr>
              <w:t>'</w:t>
            </w:r>
            <w:r w:rsidRPr="00795F2C">
              <w:rPr>
                <w:sz w:val="20"/>
              </w:rPr>
              <w:t>UIT accepte cette Recommandation et prévoit de rendre compte du fonctionnement des mécanismes de recours interne officiel. L</w:t>
            </w:r>
            <w:r w:rsidR="00A5130D" w:rsidRPr="00795F2C">
              <w:rPr>
                <w:sz w:val="20"/>
              </w:rPr>
              <w:t>'</w:t>
            </w:r>
            <w:r w:rsidRPr="00795F2C">
              <w:rPr>
                <w:sz w:val="20"/>
              </w:rPr>
              <w:t>établissement de rapports sur les mécanismes de recours spécialisé peut nécessiter plus de temps en fonction de la mise en œuvre de la Recommandation 4.</w:t>
            </w:r>
          </w:p>
          <w:p w14:paraId="569D1BE9" w14:textId="4E7D6B4D" w:rsidR="0025070C" w:rsidRPr="00795F2C" w:rsidRDefault="00A5130D" w:rsidP="0063172F">
            <w:pPr>
              <w:pStyle w:val="Tabletext"/>
              <w:rPr>
                <w:rFonts w:asciiTheme="minorHAnsi" w:hAnsiTheme="minorHAnsi" w:cstheme="minorHAnsi"/>
                <w:sz w:val="20"/>
              </w:rPr>
            </w:pPr>
            <w:r w:rsidRPr="00795F2C">
              <w:rPr>
                <w:sz w:val="20"/>
              </w:rPr>
              <w:t>É</w:t>
            </w:r>
            <w:r w:rsidR="0025070C" w:rsidRPr="00795F2C">
              <w:rPr>
                <w:sz w:val="20"/>
              </w:rPr>
              <w:t>tant donné le nombre relativement faible de fonctionnaires de l</w:t>
            </w:r>
            <w:r w:rsidRPr="00795F2C">
              <w:rPr>
                <w:sz w:val="20"/>
              </w:rPr>
              <w:t>'</w:t>
            </w:r>
            <w:r w:rsidR="0025070C" w:rsidRPr="00795F2C">
              <w:rPr>
                <w:sz w:val="20"/>
              </w:rPr>
              <w:t>UIT, il sera tenu dûment compte des exigences de confidentialité à leur sujet.</w:t>
            </w:r>
          </w:p>
          <w:p w14:paraId="644495BB" w14:textId="1680E539" w:rsidR="0025070C" w:rsidRPr="00795F2C" w:rsidRDefault="0025070C" w:rsidP="0063172F">
            <w:pPr>
              <w:pStyle w:val="Tabletext"/>
              <w:rPr>
                <w:rFonts w:asciiTheme="minorHAnsi" w:hAnsiTheme="minorHAnsi" w:cstheme="minorHAnsi"/>
                <w:sz w:val="20"/>
              </w:rPr>
            </w:pPr>
            <w:r w:rsidRPr="00795F2C">
              <w:rPr>
                <w:sz w:val="20"/>
              </w:rPr>
              <w:t>Aucune ressource financière ou humaine supplémentaire ne serait nécessaire pour procéder à une telle évaluation additionnelle de la situation de l</w:t>
            </w:r>
            <w:r w:rsidR="00A5130D" w:rsidRPr="00795F2C">
              <w:rPr>
                <w:sz w:val="20"/>
              </w:rPr>
              <w:t>'</w:t>
            </w:r>
            <w:r w:rsidRPr="00795F2C">
              <w:rPr>
                <w:sz w:val="20"/>
              </w:rPr>
              <w:t>UIT. Cette évaluation peut être effectuée par des fonctionnaires de l</w:t>
            </w:r>
            <w:r w:rsidR="00A5130D" w:rsidRPr="00795F2C">
              <w:rPr>
                <w:sz w:val="20"/>
              </w:rPr>
              <w:t>'</w:t>
            </w:r>
            <w:r w:rsidRPr="00795F2C">
              <w:rPr>
                <w:sz w:val="20"/>
              </w:rPr>
              <w:t>UIT dans le cadre de leurs fonctions.</w:t>
            </w:r>
          </w:p>
        </w:tc>
      </w:tr>
    </w:tbl>
    <w:p w14:paraId="05309BCC" w14:textId="4BF3C5BC" w:rsidR="00897553" w:rsidRPr="00795F2C" w:rsidRDefault="006A11AE" w:rsidP="006A11AE">
      <w:pPr>
        <w:jc w:val="center"/>
      </w:pPr>
      <w:r w:rsidRPr="00795F2C">
        <w:t>______________</w:t>
      </w:r>
    </w:p>
    <w:sectPr w:rsidR="00897553" w:rsidRPr="00795F2C" w:rsidSect="0025070C">
      <w:headerReference w:type="first" r:id="rId24"/>
      <w:footerReference w:type="first" r:id="rId25"/>
      <w:pgSz w:w="16840" w:h="11907" w:orient="landscape" w:code="9"/>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6451" w14:textId="77777777" w:rsidR="001561D7" w:rsidRDefault="001561D7">
      <w:r>
        <w:separator/>
      </w:r>
    </w:p>
  </w:endnote>
  <w:endnote w:type="continuationSeparator" w:id="0">
    <w:p w14:paraId="6ED460D5" w14:textId="77777777" w:rsidR="001561D7" w:rsidRDefault="0015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55447B1B" w:rsidR="00732045" w:rsidRDefault="00000000">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202280">
      <w:t>26.04.24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093AF8EC" w:rsidR="00A51849" w:rsidRDefault="00A51849" w:rsidP="00A51849">
          <w:pPr>
            <w:pStyle w:val="Header"/>
            <w:jc w:val="left"/>
            <w:rPr>
              <w:noProof/>
            </w:rPr>
          </w:pPr>
        </w:p>
      </w:tc>
      <w:tc>
        <w:tcPr>
          <w:tcW w:w="8261" w:type="dxa"/>
        </w:tcPr>
        <w:p w14:paraId="0DB0A3C6" w14:textId="687F195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F5E11">
            <w:rPr>
              <w:bCs/>
            </w:rPr>
            <w:t>57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5F66985" w:rsidR="00732045" w:rsidRPr="00A51849" w:rsidRDefault="00732045" w:rsidP="00B23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00000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37C9238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5070C">
            <w:rPr>
              <w:bCs/>
            </w:rPr>
            <w:t>57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3C43F947" w:rsidR="00732045" w:rsidRPr="00A51849" w:rsidRDefault="00732045" w:rsidP="006A1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B5026" w:rsidRPr="00784011" w14:paraId="41EA8483" w14:textId="77777777" w:rsidTr="00E31DCE">
      <w:trPr>
        <w:jc w:val="center"/>
      </w:trPr>
      <w:tc>
        <w:tcPr>
          <w:tcW w:w="1803" w:type="dxa"/>
          <w:vAlign w:val="center"/>
        </w:tcPr>
        <w:p w14:paraId="2EAB23D7" w14:textId="2A9ECB2B" w:rsidR="000B5026" w:rsidRPr="0082299A" w:rsidRDefault="000B5026" w:rsidP="00A51849">
          <w:pPr>
            <w:pStyle w:val="Header"/>
            <w:jc w:val="left"/>
            <w:rPr>
              <w:noProof/>
              <w:color w:val="0563C1"/>
            </w:rPr>
          </w:pPr>
        </w:p>
      </w:tc>
      <w:tc>
        <w:tcPr>
          <w:tcW w:w="8261" w:type="dxa"/>
        </w:tcPr>
        <w:p w14:paraId="768AB263" w14:textId="77777777" w:rsidR="000B5026" w:rsidRPr="00E06FD5" w:rsidRDefault="000B5026"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57</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5CEA7BDE" w14:textId="77777777" w:rsidR="000B5026" w:rsidRPr="00A51849" w:rsidRDefault="000B5026"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742B" w14:textId="77777777" w:rsidR="001561D7" w:rsidRDefault="001561D7">
      <w:r>
        <w:t>____________________</w:t>
      </w:r>
    </w:p>
  </w:footnote>
  <w:footnote w:type="continuationSeparator" w:id="0">
    <w:p w14:paraId="2F830DA6" w14:textId="77777777" w:rsidR="001561D7" w:rsidRDefault="001561D7">
      <w:r>
        <w:continuationSeparator/>
      </w:r>
    </w:p>
  </w:footnote>
  <w:footnote w:id="1">
    <w:p w14:paraId="33DE0E92" w14:textId="3F7EF5B6" w:rsidR="0025070C" w:rsidRDefault="0025070C">
      <w:pPr>
        <w:pStyle w:val="FootnoteText"/>
      </w:pPr>
      <w:r>
        <w:rPr>
          <w:rStyle w:val="FootnoteReference"/>
        </w:rPr>
        <w:footnoteRef/>
      </w:r>
      <w:r>
        <w:tab/>
      </w:r>
      <w:r w:rsidRPr="000B5026">
        <w:rPr>
          <w:sz w:val="20"/>
          <w:szCs w:val="16"/>
        </w:rPr>
        <w:t>Note: la traduction officielle, dans les autres langues de l'Union, de certaines des Recommandations figurant dans le présent document n'était pas disponible à la date du</w:t>
      </w:r>
      <w:r w:rsidR="000B5026">
        <w:rPr>
          <w:sz w:val="20"/>
          <w:szCs w:val="16"/>
        </w:rPr>
        <w:t> </w:t>
      </w:r>
      <w:r w:rsidRPr="000B5026">
        <w:rPr>
          <w:sz w:val="20"/>
          <w:szCs w:val="16"/>
        </w:rPr>
        <w:t xml:space="preserve">9 avril 2024 sur le site web du CCI (voir les </w:t>
      </w:r>
      <w:hyperlink r:id="rId1" w:history="1">
        <w:r w:rsidRPr="000B5026">
          <w:rPr>
            <w:rStyle w:val="Hyperlink"/>
            <w:sz w:val="20"/>
            <w:szCs w:val="16"/>
          </w:rPr>
          <w:t>rapports du CCI</w:t>
        </w:r>
      </w:hyperlink>
      <w:r w:rsidRPr="000B5026">
        <w:rPr>
          <w:sz w:val="20"/>
          <w:szCs w:val="16"/>
        </w:rPr>
        <w:t>); l'UIT a fourni une traduction non officielle de ces Recommandations.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F415" w14:textId="39C062E4" w:rsidR="0025070C" w:rsidRDefault="00250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3338"/>
    <w:multiLevelType w:val="hybridMultilevel"/>
    <w:tmpl w:val="694AAB12"/>
    <w:lvl w:ilvl="0" w:tplc="0809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3BB1509"/>
    <w:multiLevelType w:val="hybridMultilevel"/>
    <w:tmpl w:val="82ACA94A"/>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2C3DE2"/>
    <w:multiLevelType w:val="hybridMultilevel"/>
    <w:tmpl w:val="8FE26D38"/>
    <w:lvl w:ilvl="0" w:tplc="0809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43658856">
    <w:abstractNumId w:val="2"/>
  </w:num>
  <w:num w:numId="2" w16cid:durableId="2034842701">
    <w:abstractNumId w:val="1"/>
  </w:num>
  <w:num w:numId="3" w16cid:durableId="137770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84FA6"/>
    <w:rsid w:val="000A183B"/>
    <w:rsid w:val="000B366B"/>
    <w:rsid w:val="000B5026"/>
    <w:rsid w:val="000D0D0A"/>
    <w:rsid w:val="00103163"/>
    <w:rsid w:val="00106B19"/>
    <w:rsid w:val="001133EF"/>
    <w:rsid w:val="00115D93"/>
    <w:rsid w:val="001247A8"/>
    <w:rsid w:val="001378C0"/>
    <w:rsid w:val="001561D7"/>
    <w:rsid w:val="0018694A"/>
    <w:rsid w:val="001A3287"/>
    <w:rsid w:val="001A6508"/>
    <w:rsid w:val="001D4C31"/>
    <w:rsid w:val="001E4D21"/>
    <w:rsid w:val="00202280"/>
    <w:rsid w:val="00207CD1"/>
    <w:rsid w:val="00226657"/>
    <w:rsid w:val="002477A2"/>
    <w:rsid w:val="0025070C"/>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D7348"/>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3172F"/>
    <w:rsid w:val="006643AB"/>
    <w:rsid w:val="006A11AE"/>
    <w:rsid w:val="006B51CE"/>
    <w:rsid w:val="006F0A53"/>
    <w:rsid w:val="007210CD"/>
    <w:rsid w:val="00732045"/>
    <w:rsid w:val="0073275D"/>
    <w:rsid w:val="007369DB"/>
    <w:rsid w:val="007956C2"/>
    <w:rsid w:val="00795F2C"/>
    <w:rsid w:val="007A187E"/>
    <w:rsid w:val="007C72C2"/>
    <w:rsid w:val="007D4436"/>
    <w:rsid w:val="007F257A"/>
    <w:rsid w:val="007F3665"/>
    <w:rsid w:val="007F5E11"/>
    <w:rsid w:val="00800037"/>
    <w:rsid w:val="0082299A"/>
    <w:rsid w:val="0083391C"/>
    <w:rsid w:val="00861D73"/>
    <w:rsid w:val="00897553"/>
    <w:rsid w:val="008A4E87"/>
    <w:rsid w:val="008D76E6"/>
    <w:rsid w:val="0092392D"/>
    <w:rsid w:val="00924533"/>
    <w:rsid w:val="0093234A"/>
    <w:rsid w:val="00956A78"/>
    <w:rsid w:val="0097363B"/>
    <w:rsid w:val="00973F53"/>
    <w:rsid w:val="00997820"/>
    <w:rsid w:val="009A6BAA"/>
    <w:rsid w:val="009C307F"/>
    <w:rsid w:val="009C353C"/>
    <w:rsid w:val="00A2113E"/>
    <w:rsid w:val="00A23A51"/>
    <w:rsid w:val="00A24607"/>
    <w:rsid w:val="00A25CD3"/>
    <w:rsid w:val="00A5130D"/>
    <w:rsid w:val="00A51849"/>
    <w:rsid w:val="00A709FE"/>
    <w:rsid w:val="00A73C60"/>
    <w:rsid w:val="00A82767"/>
    <w:rsid w:val="00AA332F"/>
    <w:rsid w:val="00AA7BBB"/>
    <w:rsid w:val="00AB64A8"/>
    <w:rsid w:val="00AC0266"/>
    <w:rsid w:val="00AD24EC"/>
    <w:rsid w:val="00B23AED"/>
    <w:rsid w:val="00B309F9"/>
    <w:rsid w:val="00B32B60"/>
    <w:rsid w:val="00B61619"/>
    <w:rsid w:val="00BB4545"/>
    <w:rsid w:val="00BD5873"/>
    <w:rsid w:val="00BF4B60"/>
    <w:rsid w:val="00C04BE3"/>
    <w:rsid w:val="00C25D29"/>
    <w:rsid w:val="00C27A7C"/>
    <w:rsid w:val="00C42437"/>
    <w:rsid w:val="00C9548E"/>
    <w:rsid w:val="00CA08ED"/>
    <w:rsid w:val="00CA5711"/>
    <w:rsid w:val="00CF183B"/>
    <w:rsid w:val="00D16D3C"/>
    <w:rsid w:val="00D375CD"/>
    <w:rsid w:val="00D553A2"/>
    <w:rsid w:val="00D57C4F"/>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B5431"/>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styleId="ListParagraph">
    <w:name w:val="List Paragraph"/>
    <w:basedOn w:val="Normal"/>
    <w:uiPriority w:val="34"/>
    <w:qFormat/>
    <w:rsid w:val="0025070C"/>
    <w:pPr>
      <w:ind w:left="720"/>
      <w:contextualSpacing/>
    </w:pPr>
    <w:rPr>
      <w:lang w:val="en-GB"/>
    </w:rPr>
  </w:style>
  <w:style w:type="character" w:styleId="UnresolvedMention">
    <w:name w:val="Unresolved Mention"/>
    <w:basedOn w:val="DefaultParagraphFont"/>
    <w:uiPriority w:val="99"/>
    <w:semiHidden/>
    <w:unhideWhenUsed/>
    <w:rsid w:val="0025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unjiu.org/sites/www.unjiu.org/files/a_78_695_add_1_e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jiu.org/sites/www.unjiu.org/files/a_78_595_add.1_0.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unjiu.org/sites/www.unjiu.org/files/jiu-rep-2023-4_review_highlights_0.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unjiu.org/sites/www.unjiu.org/files/jiu_rep_2023_4_french.pdf" TargetMode="External"/><Relationship Id="rId20" Type="http://schemas.openxmlformats.org/officeDocument/2006/relationships/hyperlink" Target="https://www.unjiu.org/sites/www.unjiu.org/files/jiu-rep-2023-3_review_highligh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unjiu.org/sites/www.unjiu.org/files/jiu_rep_2023_6_review_highlights.pdf" TargetMode="External"/><Relationship Id="rId23" Type="http://schemas.openxmlformats.org/officeDocument/2006/relationships/hyperlink" Target="https://www.unjiu.org/sites/www.unjiu.org/files/jiu-rep-2023-2_review_highlights.pdf" TargetMode="External"/><Relationship Id="rId10" Type="http://schemas.openxmlformats.org/officeDocument/2006/relationships/footer" Target="footer1.xml"/><Relationship Id="rId19" Type="http://schemas.openxmlformats.org/officeDocument/2006/relationships/hyperlink" Target="https://www.unjiu.org/sites/www.unjiu.org/files/jiu_rep_2023_3_french.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jiu.org/sites/www.unjiu.org/files/jiu_rep_2023_6.pdf" TargetMode="External"/><Relationship Id="rId22" Type="http://schemas.openxmlformats.org/officeDocument/2006/relationships/hyperlink" Target="https://www.unjiu.org/sites/www.unjiu.org/files/jiu_rep_2023_2_english_0.pdf"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fr/content/rappor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29EDE-09EE-4035-AC7B-609622E4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13402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3</cp:revision>
  <cp:lastPrinted>2000-07-18T08:55:00Z</cp:lastPrinted>
  <dcterms:created xsi:type="dcterms:W3CDTF">2024-06-10T15:25:00Z</dcterms:created>
  <dcterms:modified xsi:type="dcterms:W3CDTF">2024-06-10T15:30:00Z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