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813E5E" w14:paraId="253549B1" w14:textId="77777777" w:rsidTr="00E31DCE">
        <w:trPr>
          <w:cantSplit/>
          <w:trHeight w:val="23"/>
        </w:trPr>
        <w:tc>
          <w:tcPr>
            <w:tcW w:w="3969" w:type="dxa"/>
            <w:vMerge w:val="restart"/>
            <w:tcMar>
              <w:left w:w="0" w:type="dxa"/>
            </w:tcMar>
          </w:tcPr>
          <w:p w14:paraId="45839F82" w14:textId="6FD300FE" w:rsidR="00796BD3" w:rsidRPr="00E954EE" w:rsidRDefault="0033025A"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33025A">
              <w:rPr>
                <w:b/>
              </w:rPr>
              <w:t>Пункт повестки дня:</w:t>
            </w:r>
            <w:r w:rsidR="00E954EE">
              <w:rPr>
                <w:b/>
                <w:lang w:val="ru-RU"/>
              </w:rPr>
              <w:t xml:space="preserve"> </w:t>
            </w:r>
            <w:r w:rsidR="00E954EE">
              <w:rPr>
                <w:b/>
                <w:bCs/>
                <w:lang w:val="ru-RU"/>
              </w:rPr>
              <w:t>ADM 2</w:t>
            </w:r>
          </w:p>
        </w:tc>
        <w:tc>
          <w:tcPr>
            <w:tcW w:w="5245" w:type="dxa"/>
          </w:tcPr>
          <w:p w14:paraId="658B1F1B" w14:textId="61D77EAF" w:rsidR="00796BD3" w:rsidRPr="00E85629" w:rsidRDefault="0033025A" w:rsidP="00E31DCE">
            <w:pPr>
              <w:tabs>
                <w:tab w:val="left" w:pos="851"/>
              </w:tabs>
              <w:spacing w:before="0" w:line="240" w:lineRule="atLeast"/>
              <w:jc w:val="right"/>
              <w:rPr>
                <w:b/>
              </w:rPr>
            </w:pPr>
            <w:r w:rsidRPr="0033025A">
              <w:rPr>
                <w:b/>
              </w:rPr>
              <w:t xml:space="preserve">Документ </w:t>
            </w:r>
            <w:r w:rsidR="00796BD3">
              <w:rPr>
                <w:b/>
              </w:rPr>
              <w:t>C2</w:t>
            </w:r>
            <w:r w:rsidR="00660449">
              <w:rPr>
                <w:b/>
              </w:rPr>
              <w:t>4</w:t>
            </w:r>
            <w:r w:rsidR="00796BD3">
              <w:rPr>
                <w:b/>
              </w:rPr>
              <w:t>/</w:t>
            </w:r>
            <w:r w:rsidR="00E954EE">
              <w:rPr>
                <w:b/>
                <w:lang w:val="ru-RU"/>
              </w:rPr>
              <w:t>57</w:t>
            </w:r>
            <w:r w:rsidR="00796BD3">
              <w:rPr>
                <w:b/>
              </w:rPr>
              <w:t>-R</w:t>
            </w:r>
          </w:p>
        </w:tc>
      </w:tr>
      <w:tr w:rsidR="00796BD3" w:rsidRPr="00813E5E" w14:paraId="0F40E044" w14:textId="77777777" w:rsidTr="00E31DCE">
        <w:trPr>
          <w:cantSplit/>
        </w:trPr>
        <w:tc>
          <w:tcPr>
            <w:tcW w:w="3969" w:type="dxa"/>
            <w:vMerge/>
          </w:tcPr>
          <w:p w14:paraId="0858E0F3" w14:textId="77777777" w:rsidR="00796BD3" w:rsidRPr="00813E5E" w:rsidRDefault="00796BD3" w:rsidP="00E31DCE">
            <w:pPr>
              <w:tabs>
                <w:tab w:val="left" w:pos="851"/>
              </w:tabs>
              <w:spacing w:line="240" w:lineRule="atLeast"/>
              <w:rPr>
                <w:b/>
              </w:rPr>
            </w:pPr>
            <w:bookmarkStart w:id="3" w:name="ddate" w:colFirst="1" w:colLast="1"/>
            <w:bookmarkEnd w:id="0"/>
            <w:bookmarkEnd w:id="1"/>
          </w:p>
        </w:tc>
        <w:tc>
          <w:tcPr>
            <w:tcW w:w="5245" w:type="dxa"/>
          </w:tcPr>
          <w:p w14:paraId="54BA6EFE" w14:textId="023716C3" w:rsidR="00796BD3" w:rsidRPr="00E954EE" w:rsidRDefault="00E954EE" w:rsidP="00E31DCE">
            <w:pPr>
              <w:tabs>
                <w:tab w:val="left" w:pos="851"/>
              </w:tabs>
              <w:spacing w:before="0"/>
              <w:jc w:val="right"/>
              <w:rPr>
                <w:b/>
                <w:lang w:val="ru-RU"/>
              </w:rPr>
            </w:pPr>
            <w:r w:rsidRPr="00E954EE">
              <w:rPr>
                <w:b/>
                <w:bCs/>
                <w:lang w:val="ru-RU"/>
              </w:rPr>
              <w:t xml:space="preserve">9 апреля </w:t>
            </w:r>
            <w:r w:rsidR="00796BD3">
              <w:rPr>
                <w:b/>
              </w:rPr>
              <w:t>202</w:t>
            </w:r>
            <w:r w:rsidR="00660449">
              <w:rPr>
                <w:b/>
              </w:rPr>
              <w:t>4</w:t>
            </w:r>
            <w:r>
              <w:rPr>
                <w:b/>
                <w:lang w:val="ru-RU"/>
              </w:rPr>
              <w:t xml:space="preserve"> года</w:t>
            </w:r>
          </w:p>
        </w:tc>
      </w:tr>
      <w:tr w:rsidR="00796BD3" w:rsidRPr="00813E5E" w14:paraId="6C07E492" w14:textId="77777777" w:rsidTr="00E31DCE">
        <w:trPr>
          <w:cantSplit/>
          <w:trHeight w:val="23"/>
        </w:trPr>
        <w:tc>
          <w:tcPr>
            <w:tcW w:w="3969" w:type="dxa"/>
            <w:vMerge/>
          </w:tcPr>
          <w:p w14:paraId="46E849F3" w14:textId="77777777" w:rsidR="00796BD3" w:rsidRPr="00813E5E" w:rsidRDefault="00796BD3" w:rsidP="00E31DCE">
            <w:pPr>
              <w:tabs>
                <w:tab w:val="left" w:pos="851"/>
              </w:tabs>
              <w:spacing w:line="240" w:lineRule="atLeast"/>
              <w:rPr>
                <w:b/>
              </w:rPr>
            </w:pPr>
            <w:bookmarkStart w:id="4" w:name="dorlang" w:colFirst="1" w:colLast="1"/>
            <w:bookmarkEnd w:id="3"/>
          </w:p>
        </w:tc>
        <w:tc>
          <w:tcPr>
            <w:tcW w:w="5245" w:type="dxa"/>
          </w:tcPr>
          <w:p w14:paraId="5869C06C" w14:textId="77777777" w:rsidR="00796BD3" w:rsidRPr="00E85629" w:rsidRDefault="0033025A" w:rsidP="00E31DCE">
            <w:pPr>
              <w:tabs>
                <w:tab w:val="left" w:pos="851"/>
              </w:tabs>
              <w:spacing w:before="0" w:line="240" w:lineRule="atLeast"/>
              <w:jc w:val="right"/>
              <w:rPr>
                <w:b/>
              </w:rPr>
            </w:pPr>
            <w:r w:rsidRPr="0033025A">
              <w:rPr>
                <w:b/>
              </w:rPr>
              <w:t>Оригинал: английский</w:t>
            </w:r>
          </w:p>
        </w:tc>
      </w:tr>
      <w:tr w:rsidR="00796BD3" w:rsidRPr="00813E5E" w14:paraId="607DDB41" w14:textId="77777777" w:rsidTr="00E31DCE">
        <w:trPr>
          <w:cantSplit/>
          <w:trHeight w:val="23"/>
        </w:trPr>
        <w:tc>
          <w:tcPr>
            <w:tcW w:w="3969" w:type="dxa"/>
          </w:tcPr>
          <w:p w14:paraId="05D8A01E" w14:textId="77777777" w:rsidR="00796BD3" w:rsidRPr="00813E5E" w:rsidRDefault="00796BD3" w:rsidP="00E31DCE">
            <w:pPr>
              <w:tabs>
                <w:tab w:val="left" w:pos="851"/>
              </w:tabs>
              <w:spacing w:line="240" w:lineRule="atLeast"/>
              <w:rPr>
                <w:b/>
              </w:rPr>
            </w:pPr>
          </w:p>
        </w:tc>
        <w:tc>
          <w:tcPr>
            <w:tcW w:w="5245" w:type="dxa"/>
          </w:tcPr>
          <w:p w14:paraId="628341BD" w14:textId="77777777" w:rsidR="00796BD3" w:rsidRDefault="00796BD3" w:rsidP="00E31DCE">
            <w:pPr>
              <w:tabs>
                <w:tab w:val="left" w:pos="851"/>
              </w:tabs>
              <w:spacing w:before="0" w:line="240" w:lineRule="atLeast"/>
              <w:jc w:val="right"/>
              <w:rPr>
                <w:b/>
              </w:rPr>
            </w:pPr>
          </w:p>
        </w:tc>
      </w:tr>
      <w:tr w:rsidR="00796BD3" w:rsidRPr="00813E5E" w14:paraId="640B4A76" w14:textId="77777777" w:rsidTr="00E31DCE">
        <w:trPr>
          <w:cantSplit/>
        </w:trPr>
        <w:tc>
          <w:tcPr>
            <w:tcW w:w="9214" w:type="dxa"/>
            <w:gridSpan w:val="2"/>
            <w:tcMar>
              <w:left w:w="0" w:type="dxa"/>
            </w:tcMar>
          </w:tcPr>
          <w:p w14:paraId="57514685" w14:textId="77777777" w:rsidR="00796BD3" w:rsidRPr="00672F8A" w:rsidRDefault="0033025A" w:rsidP="00672F8A">
            <w:pPr>
              <w:pStyle w:val="Source"/>
              <w:jc w:val="left"/>
              <w:rPr>
                <w:sz w:val="32"/>
                <w:szCs w:val="32"/>
              </w:rPr>
            </w:pPr>
            <w:bookmarkStart w:id="5" w:name="dsource" w:colFirst="0" w:colLast="0"/>
            <w:bookmarkEnd w:id="4"/>
            <w:r w:rsidRPr="00672F8A">
              <w:rPr>
                <w:rFonts w:cstheme="minorHAnsi"/>
                <w:sz w:val="32"/>
                <w:szCs w:val="32"/>
                <w:lang w:val="ru-RU"/>
              </w:rPr>
              <w:t>Отчет Генерального секретаря</w:t>
            </w:r>
          </w:p>
        </w:tc>
      </w:tr>
      <w:tr w:rsidR="00796BD3" w:rsidRPr="00F631F2" w14:paraId="15FFB2A7" w14:textId="77777777" w:rsidTr="00E31DCE">
        <w:trPr>
          <w:cantSplit/>
        </w:trPr>
        <w:tc>
          <w:tcPr>
            <w:tcW w:w="9214" w:type="dxa"/>
            <w:gridSpan w:val="2"/>
            <w:tcMar>
              <w:left w:w="0" w:type="dxa"/>
            </w:tcMar>
          </w:tcPr>
          <w:p w14:paraId="20346B28" w14:textId="692B6A0E" w:rsidR="00796BD3" w:rsidRPr="00E954EE" w:rsidRDefault="00E954EE" w:rsidP="00E31DCE">
            <w:pPr>
              <w:pStyle w:val="Subtitle"/>
              <w:framePr w:hSpace="0" w:wrap="auto" w:hAnchor="text" w:xAlign="left" w:yAlign="inline"/>
              <w:rPr>
                <w:sz w:val="32"/>
                <w:szCs w:val="32"/>
                <w:lang w:val="ru-RU"/>
              </w:rPr>
            </w:pPr>
            <w:bookmarkStart w:id="6" w:name="_Hlk160518982"/>
            <w:bookmarkStart w:id="7" w:name="dtitle1" w:colFirst="0" w:colLast="0"/>
            <w:bookmarkEnd w:id="5"/>
            <w:r w:rsidRPr="00E954EE">
              <w:rPr>
                <w:rFonts w:cstheme="minorHAnsi"/>
                <w:sz w:val="32"/>
                <w:szCs w:val="32"/>
                <w:lang w:val="ru-RU"/>
              </w:rPr>
              <w:t>ДОКЛАДЫ ОИГ ПО ВОПРОСАМ, КАСАЮЩИМСЯ ВСЕЙ СИСТЕМЫ ОРГАНИЗАЦИИ ОБЪЕДИНЕННЫХ НАЦИЙ, ЗА 2022−2023 ГОДЫ И РЕКОМЕНДАЦИИ АДМИНИСТРАТИВНЫМ РУКОВОДИТЕЛЯМ И ДИРЕКТИВНЫМ ОРГАНАМ</w:t>
            </w:r>
            <w:bookmarkEnd w:id="6"/>
          </w:p>
        </w:tc>
      </w:tr>
      <w:tr w:rsidR="00796BD3" w:rsidRPr="00813E5E" w14:paraId="0140AAB0" w14:textId="77777777" w:rsidTr="00E31DCE">
        <w:trPr>
          <w:cantSplit/>
        </w:trPr>
        <w:tc>
          <w:tcPr>
            <w:tcW w:w="9214" w:type="dxa"/>
            <w:gridSpan w:val="2"/>
            <w:tcBorders>
              <w:top w:val="single" w:sz="4" w:space="0" w:color="auto"/>
              <w:bottom w:val="single" w:sz="4" w:space="0" w:color="auto"/>
            </w:tcBorders>
            <w:tcMar>
              <w:left w:w="0" w:type="dxa"/>
            </w:tcMar>
          </w:tcPr>
          <w:p w14:paraId="0D757156" w14:textId="1DDD4BEA" w:rsidR="00796BD3" w:rsidRPr="00E954EE" w:rsidRDefault="0033025A" w:rsidP="00E31DCE">
            <w:pPr>
              <w:spacing w:before="160"/>
              <w:rPr>
                <w:b/>
                <w:bCs/>
                <w:sz w:val="24"/>
                <w:szCs w:val="24"/>
                <w:lang w:val="ru-RU"/>
              </w:rPr>
            </w:pPr>
            <w:r w:rsidRPr="00E954EE">
              <w:rPr>
                <w:b/>
                <w:bCs/>
                <w:sz w:val="24"/>
                <w:szCs w:val="24"/>
                <w:lang w:val="ru-RU"/>
              </w:rPr>
              <w:t>Назначение</w:t>
            </w:r>
          </w:p>
          <w:p w14:paraId="6D899A59" w14:textId="6C9ECBA0" w:rsidR="00796BD3" w:rsidRPr="00E954EE" w:rsidRDefault="00E954EE" w:rsidP="00E31DCE">
            <w:pPr>
              <w:rPr>
                <w:lang w:val="ru-RU"/>
              </w:rPr>
            </w:pPr>
            <w:r w:rsidRPr="00E954EE">
              <w:rPr>
                <w:lang w:val="ru-RU"/>
              </w:rPr>
              <w:t>В настоящем документе содержатся доклады ОИГ по программе работы на 2022/2023 годы, представленные после последней сессии Совета, подробный перечень рекомендаций, адресованных руководящим органам МСЭ, а также комментарии Секретариата в соответствующих случаях и Координационного совета руководителей, при наличии (указана ссылка).</w:t>
            </w:r>
          </w:p>
          <w:p w14:paraId="52F34BAE" w14:textId="77777777" w:rsidR="00796BD3" w:rsidRPr="00E954EE" w:rsidRDefault="0033025A" w:rsidP="00E31DCE">
            <w:pPr>
              <w:spacing w:before="160"/>
              <w:rPr>
                <w:b/>
                <w:bCs/>
                <w:sz w:val="24"/>
                <w:szCs w:val="24"/>
                <w:lang w:val="ru-RU"/>
              </w:rPr>
            </w:pPr>
            <w:r w:rsidRPr="00E954EE">
              <w:rPr>
                <w:b/>
                <w:bCs/>
                <w:sz w:val="24"/>
                <w:szCs w:val="24"/>
                <w:lang w:val="ru-RU"/>
              </w:rPr>
              <w:t>Необходимые действия Совета</w:t>
            </w:r>
          </w:p>
          <w:p w14:paraId="5AAB3C15" w14:textId="7ABB13ED" w:rsidR="00796BD3" w:rsidRPr="00E954EE" w:rsidRDefault="00E954EE" w:rsidP="00E31DCE">
            <w:pPr>
              <w:rPr>
                <w:lang w:val="ru-RU"/>
              </w:rPr>
            </w:pPr>
            <w:r w:rsidRPr="00E954EE">
              <w:rPr>
                <w:lang w:val="ru-RU"/>
              </w:rPr>
              <w:t xml:space="preserve">Совету предлагается </w:t>
            </w:r>
            <w:r w:rsidRPr="00E954EE">
              <w:rPr>
                <w:b/>
                <w:bCs/>
                <w:lang w:val="ru-RU"/>
              </w:rPr>
              <w:t>рассмотреть</w:t>
            </w:r>
            <w:r w:rsidRPr="00E954EE">
              <w:rPr>
                <w:lang w:val="ru-RU"/>
              </w:rPr>
              <w:t xml:space="preserve"> и </w:t>
            </w:r>
            <w:r w:rsidRPr="00E954EE">
              <w:rPr>
                <w:b/>
                <w:bCs/>
                <w:lang w:val="ru-RU"/>
              </w:rPr>
              <w:t>утвердить</w:t>
            </w:r>
            <w:r w:rsidRPr="00E954EE">
              <w:rPr>
                <w:lang w:val="ru-RU"/>
              </w:rPr>
              <w:t xml:space="preserve"> принятие </w:t>
            </w:r>
            <w:r w:rsidRPr="00E954EE">
              <w:rPr>
                <w:b/>
                <w:bCs/>
                <w:lang w:val="ru-RU"/>
              </w:rPr>
              <w:t>шести рекомендаций</w:t>
            </w:r>
            <w:r w:rsidRPr="00E954EE">
              <w:rPr>
                <w:lang w:val="ru-RU"/>
              </w:rPr>
              <w:t>, адресованных директивным органам (Рекомендация 4 по обзору гибкого графика работы, Рекомендация 3 по обзору политики и практики поддержания психического здоровья и благополучия сотрудников в организациях системы ООН, Рекомендации 1 и 2 по обзору систем подотчетности в организациях системы Организации Объединенных Наций, и Рекомендации 4 и 5 по обзору внутренних механизмов обжалования на предшествующем судебному разбирательству этапе), представленные в приведенной ниже таблице.</w:t>
            </w:r>
          </w:p>
          <w:p w14:paraId="762CE4B7" w14:textId="77777777" w:rsidR="00796BD3" w:rsidRPr="00E954EE" w:rsidRDefault="0033025A" w:rsidP="00E31DCE">
            <w:pPr>
              <w:spacing w:before="160"/>
              <w:rPr>
                <w:b/>
                <w:bCs/>
                <w:sz w:val="24"/>
                <w:szCs w:val="24"/>
                <w:lang w:val="ru-RU"/>
              </w:rPr>
            </w:pPr>
            <w:r w:rsidRPr="00E954EE">
              <w:rPr>
                <w:b/>
                <w:bCs/>
                <w:sz w:val="24"/>
                <w:szCs w:val="24"/>
                <w:lang w:val="ru-RU"/>
              </w:rPr>
              <w:t>Соответствующая увязка со Стратегическим планом</w:t>
            </w:r>
          </w:p>
          <w:p w14:paraId="334F40AF" w14:textId="3F94A860" w:rsidR="00796BD3" w:rsidRPr="00E954EE" w:rsidRDefault="00E954EE" w:rsidP="00E31DCE">
            <w:pPr>
              <w:rPr>
                <w:lang w:val="ru-RU"/>
              </w:rPr>
            </w:pPr>
            <w:r w:rsidRPr="00E954EE">
              <w:rPr>
                <w:lang w:val="ru-RU"/>
              </w:rPr>
              <w:t>Развитие людских ресурсов и организационные инновации.</w:t>
            </w:r>
          </w:p>
          <w:p w14:paraId="02714B53" w14:textId="6B90D1AB" w:rsidR="00796BD3" w:rsidRPr="00E954EE" w:rsidRDefault="0033025A" w:rsidP="00E31DCE">
            <w:pPr>
              <w:spacing w:before="160"/>
              <w:rPr>
                <w:b/>
                <w:bCs/>
                <w:sz w:val="24"/>
                <w:szCs w:val="24"/>
                <w:lang w:val="ru-RU"/>
              </w:rPr>
            </w:pPr>
            <w:r w:rsidRPr="00E954EE">
              <w:rPr>
                <w:b/>
                <w:bCs/>
                <w:sz w:val="24"/>
                <w:szCs w:val="24"/>
                <w:lang w:val="ru-RU"/>
              </w:rPr>
              <w:t>Финансовые последствия</w:t>
            </w:r>
          </w:p>
          <w:p w14:paraId="06B39F97" w14:textId="33FE17A2" w:rsidR="00E954EE" w:rsidRPr="00E954EE" w:rsidRDefault="00E954EE" w:rsidP="00E954EE">
            <w:pPr>
              <w:rPr>
                <w:lang w:val="ru-RU"/>
              </w:rPr>
            </w:pPr>
            <w:r w:rsidRPr="00E954EE">
              <w:rPr>
                <w:lang w:val="ru-RU"/>
              </w:rPr>
              <w:t>В рамках выделенного бюджета на 2024−2025 годы.</w:t>
            </w:r>
          </w:p>
          <w:p w14:paraId="4F636925" w14:textId="77777777" w:rsidR="00796BD3" w:rsidRPr="00672F8A" w:rsidRDefault="00796BD3" w:rsidP="00E31DCE">
            <w:pPr>
              <w:spacing w:before="160"/>
              <w:rPr>
                <w:caps/>
                <w:sz w:val="20"/>
                <w:szCs w:val="18"/>
              </w:rPr>
            </w:pPr>
            <w:r w:rsidRPr="00672F8A">
              <w:rPr>
                <w:sz w:val="20"/>
                <w:szCs w:val="18"/>
              </w:rPr>
              <w:t>__________________</w:t>
            </w:r>
          </w:p>
          <w:p w14:paraId="33C5A0EA" w14:textId="77777777" w:rsidR="00796BD3" w:rsidRDefault="0033025A" w:rsidP="00E31DCE">
            <w:pPr>
              <w:spacing w:before="160"/>
              <w:rPr>
                <w:b/>
                <w:bCs/>
                <w:sz w:val="26"/>
                <w:szCs w:val="26"/>
              </w:rPr>
            </w:pPr>
            <w:r w:rsidRPr="00672F8A">
              <w:rPr>
                <w:b/>
                <w:bCs/>
                <w:sz w:val="24"/>
                <w:szCs w:val="24"/>
              </w:rPr>
              <w:t>Справочные материалы</w:t>
            </w:r>
          </w:p>
          <w:p w14:paraId="3FBAEDC6" w14:textId="77777777" w:rsidR="00796BD3" w:rsidRDefault="00796BD3" w:rsidP="00E31DCE">
            <w:pPr>
              <w:spacing w:after="160"/>
            </w:pPr>
          </w:p>
        </w:tc>
      </w:tr>
      <w:bookmarkEnd w:id="2"/>
      <w:bookmarkEnd w:id="7"/>
    </w:tbl>
    <w:p w14:paraId="28E0C8AD" w14:textId="77777777" w:rsidR="00796BD3" w:rsidRDefault="00796BD3" w:rsidP="00796BD3"/>
    <w:p w14:paraId="0386803B" w14:textId="77777777" w:rsidR="00E954EE" w:rsidRDefault="00E954EE">
      <w:pPr>
        <w:tabs>
          <w:tab w:val="clear" w:pos="794"/>
          <w:tab w:val="clear" w:pos="1191"/>
          <w:tab w:val="clear" w:pos="1588"/>
          <w:tab w:val="clear" w:pos="1985"/>
        </w:tabs>
        <w:overflowPunct/>
        <w:autoSpaceDE/>
        <w:autoSpaceDN/>
        <w:adjustRightInd/>
        <w:spacing w:before="0"/>
        <w:textAlignment w:val="auto"/>
        <w:rPr>
          <w:lang w:val="ru-RU"/>
        </w:rPr>
      </w:pPr>
    </w:p>
    <w:p w14:paraId="64474473" w14:textId="77777777" w:rsidR="00E954EE" w:rsidRDefault="00E954EE">
      <w:pPr>
        <w:tabs>
          <w:tab w:val="clear" w:pos="794"/>
          <w:tab w:val="clear" w:pos="1191"/>
          <w:tab w:val="clear" w:pos="1588"/>
          <w:tab w:val="clear" w:pos="1985"/>
        </w:tabs>
        <w:overflowPunct/>
        <w:autoSpaceDE/>
        <w:autoSpaceDN/>
        <w:adjustRightInd/>
        <w:spacing w:before="0"/>
        <w:textAlignment w:val="auto"/>
        <w:sectPr w:rsidR="00E954EE" w:rsidSect="00E954EE">
          <w:footerReference w:type="default" r:id="rId8"/>
          <w:headerReference w:type="first" r:id="rId9"/>
          <w:footerReference w:type="first" r:id="rId10"/>
          <w:pgSz w:w="11907" w:h="16834"/>
          <w:pgMar w:top="1418" w:right="1418" w:bottom="1418" w:left="1418" w:header="720" w:footer="720" w:gutter="0"/>
          <w:paperSrc w:first="286" w:other="286"/>
          <w:cols w:space="720"/>
          <w:titlePg/>
        </w:sectPr>
      </w:pPr>
    </w:p>
    <w:p w14:paraId="5C78D277" w14:textId="4F92AE4E" w:rsidR="00484493" w:rsidRPr="00984390" w:rsidRDefault="00484493" w:rsidP="00C30F66">
      <w:pPr>
        <w:spacing w:after="120"/>
        <w:jc w:val="center"/>
        <w:rPr>
          <w:rFonts w:ascii="Arial" w:eastAsia="SimSun" w:hAnsi="Arial" w:cstheme="minorHAnsi"/>
          <w:b/>
          <w:bCs/>
          <w:szCs w:val="24"/>
          <w:lang w:val="ru-RU"/>
        </w:rPr>
      </w:pPr>
      <w:r>
        <w:rPr>
          <w:b/>
          <w:bCs/>
          <w:lang w:val="ru-RU"/>
        </w:rPr>
        <w:lastRenderedPageBreak/>
        <w:t>ДОКЛАДЫ ОИГ ПО ОБЩЕСИСТЕМНЫМ ВОПРОСАМ ООН ЗА 2022–2023 ГОДЫ</w:t>
      </w:r>
      <w:r w:rsidRPr="00451D84">
        <w:rPr>
          <w:rStyle w:val="FootnoteReference"/>
          <w:rFonts w:eastAsia="SimSun"/>
          <w:lang w:val="ru-RU"/>
        </w:rPr>
        <w:footnoteReference w:customMarkFollows="1" w:id="1"/>
        <w:t>1</w:t>
      </w:r>
    </w:p>
    <w:tbl>
      <w:tblPr>
        <w:tblW w:w="5084" w:type="pct"/>
        <w:jc w:val="center"/>
        <w:tblLayout w:type="fixed"/>
        <w:tblCellMar>
          <w:left w:w="0" w:type="dxa"/>
          <w:right w:w="0" w:type="dxa"/>
        </w:tblCellMar>
        <w:tblLook w:val="04A0" w:firstRow="1" w:lastRow="0" w:firstColumn="1" w:lastColumn="0" w:noHBand="0" w:noVBand="1"/>
      </w:tblPr>
      <w:tblGrid>
        <w:gridCol w:w="3755"/>
        <w:gridCol w:w="774"/>
        <w:gridCol w:w="774"/>
        <w:gridCol w:w="927"/>
        <w:gridCol w:w="1328"/>
        <w:gridCol w:w="811"/>
        <w:gridCol w:w="916"/>
        <w:gridCol w:w="1314"/>
        <w:gridCol w:w="3624"/>
      </w:tblGrid>
      <w:tr w:rsidR="00484493" w:rsidRPr="00984390" w14:paraId="3D0B5B76" w14:textId="77777777" w:rsidTr="008645D5">
        <w:trPr>
          <w:trHeight w:val="4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3A4FC423" w14:textId="33748822" w:rsidR="00484493" w:rsidRPr="00984390" w:rsidRDefault="00484493" w:rsidP="00C30F66">
            <w:pPr>
              <w:pStyle w:val="Tablehead"/>
              <w:rPr>
                <w:rFonts w:asciiTheme="minorHAnsi" w:hAnsiTheme="minorHAnsi" w:cstheme="minorHAnsi"/>
                <w:lang w:val="ru-RU"/>
              </w:rPr>
            </w:pPr>
            <w:proofErr w:type="spellStart"/>
            <w:r w:rsidRPr="00984390">
              <w:rPr>
                <w:lang w:val="ru-RU"/>
              </w:rPr>
              <w:t>JIU</w:t>
            </w:r>
            <w:proofErr w:type="spellEnd"/>
            <w:r w:rsidRPr="00984390">
              <w:rPr>
                <w:lang w:val="ru-RU"/>
              </w:rPr>
              <w:t>/</w:t>
            </w:r>
            <w:proofErr w:type="spellStart"/>
            <w:r w:rsidRPr="00984390">
              <w:rPr>
                <w:lang w:val="ru-RU"/>
              </w:rPr>
              <w:t>REP</w:t>
            </w:r>
            <w:proofErr w:type="spellEnd"/>
            <w:r w:rsidRPr="00984390">
              <w:rPr>
                <w:lang w:val="ru-RU"/>
              </w:rPr>
              <w:t xml:space="preserve">/2023/6 </w:t>
            </w:r>
            <w:hyperlink r:id="rId11" w:history="1">
              <w:r w:rsidRPr="00DB6941">
                <w:rPr>
                  <w:rStyle w:val="Hyperlink"/>
                  <w:bCs/>
                  <w:lang w:val="ru-RU"/>
                </w:rPr>
                <w:t>Гибкий график работы в организациях системы Организации Объединенных Наций</w:t>
              </w:r>
            </w:hyperlink>
            <w:r w:rsidRPr="00984390">
              <w:rPr>
                <w:lang w:val="ru-RU"/>
              </w:rPr>
              <w:t xml:space="preserve"> </w:t>
            </w:r>
            <w:r>
              <w:rPr>
                <w:lang w:val="ru-RU"/>
              </w:rPr>
              <w:t>–</w:t>
            </w:r>
            <w:r w:rsidRPr="00984390">
              <w:rPr>
                <w:lang w:val="ru-RU"/>
              </w:rPr>
              <w:t xml:space="preserve"> </w:t>
            </w:r>
            <w:r>
              <w:rPr>
                <w:lang w:val="ru-RU"/>
              </w:rPr>
              <w:t>КООРДИНАТОР МСЭ</w:t>
            </w:r>
            <w:r w:rsidRPr="00984390">
              <w:rPr>
                <w:lang w:val="ru-RU"/>
              </w:rPr>
              <w:t>: Ульрика Мартинус</w:t>
            </w:r>
          </w:p>
          <w:p w14:paraId="087CF68E" w14:textId="52075C49" w:rsidR="00484493" w:rsidRPr="00484493" w:rsidRDefault="000719A6" w:rsidP="00C30F66">
            <w:pPr>
              <w:pStyle w:val="Tablehead"/>
              <w:rPr>
                <w:rFonts w:asciiTheme="minorHAnsi" w:hAnsiTheme="minorHAnsi" w:cstheme="minorHAnsi"/>
              </w:rPr>
            </w:pPr>
            <w:r>
              <w:rPr>
                <w:rFonts w:ascii="Times New Roman" w:hAnsi="Times New Roman"/>
              </w:rPr>
              <w:t>•</w:t>
            </w:r>
            <w:r>
              <w:tab/>
            </w:r>
            <w:hyperlink r:id="rId12" w:history="1">
              <w:r w:rsidR="00484493" w:rsidRPr="00DB6941">
                <w:rPr>
                  <w:rStyle w:val="Hyperlink"/>
                  <w:bCs/>
                </w:rPr>
                <w:t>Основные элементы обзора</w:t>
              </w:r>
            </w:hyperlink>
            <w:r w:rsidR="00484493">
              <w:rPr>
                <w:u w:val="single"/>
                <w:lang w:val="ru-RU"/>
              </w:rPr>
              <w:t xml:space="preserve"> </w:t>
            </w:r>
          </w:p>
        </w:tc>
      </w:tr>
      <w:tr w:rsidR="00484493" w:rsidRPr="00984390" w14:paraId="4A33EFB7" w14:textId="77777777" w:rsidTr="008645D5">
        <w:trPr>
          <w:cantSplit/>
          <w:trHeight w:val="291"/>
          <w:jc w:val="center"/>
        </w:trPr>
        <w:tc>
          <w:tcPr>
            <w:tcW w:w="1320"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7C08858" w14:textId="77777777" w:rsidR="00484493" w:rsidRPr="00984390" w:rsidRDefault="00484493" w:rsidP="00C30F66">
            <w:pPr>
              <w:pStyle w:val="Tablehead"/>
              <w:rPr>
                <w:rFonts w:asciiTheme="minorHAnsi" w:hAnsiTheme="minorHAnsi" w:cstheme="minorHAnsi"/>
              </w:rPr>
            </w:pPr>
            <w:r w:rsidRPr="00984390">
              <w:rPr>
                <w:lang w:val="ru-RU"/>
              </w:rPr>
              <w:t>Рекомендация</w:t>
            </w:r>
          </w:p>
        </w:tc>
        <w:tc>
          <w:tcPr>
            <w:tcW w:w="1337"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03B86F0" w14:textId="77777777" w:rsidR="00484493" w:rsidRPr="00984390" w:rsidRDefault="00484493" w:rsidP="00C30F66">
            <w:pPr>
              <w:pStyle w:val="Tablehead"/>
              <w:rPr>
                <w:rFonts w:asciiTheme="minorHAnsi" w:hAnsiTheme="minorHAnsi" w:cstheme="minorHAnsi"/>
              </w:rPr>
            </w:pPr>
            <w:r w:rsidRPr="00984390">
              <w:rPr>
                <w:lang w:val="ru-RU"/>
              </w:rPr>
              <w:t>Принятие рекомендации</w:t>
            </w:r>
          </w:p>
        </w:tc>
        <w:tc>
          <w:tcPr>
            <w:tcW w:w="1069"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6B47F79" w14:textId="77777777" w:rsidR="00484493" w:rsidRPr="00984390" w:rsidRDefault="00484493" w:rsidP="00C30F66">
            <w:pPr>
              <w:pStyle w:val="Tablehead"/>
              <w:rPr>
                <w:rFonts w:asciiTheme="minorHAnsi" w:hAnsiTheme="minorHAnsi" w:cstheme="minorHAnsi"/>
              </w:rPr>
            </w:pPr>
            <w:r w:rsidRPr="00984390">
              <w:rPr>
                <w:lang w:val="ru-RU"/>
              </w:rPr>
              <w:t>Статус выполнения</w:t>
            </w:r>
          </w:p>
        </w:tc>
        <w:tc>
          <w:tcPr>
            <w:tcW w:w="1274"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58B4071" w14:textId="77777777" w:rsidR="00484493" w:rsidRPr="00984390" w:rsidRDefault="00484493" w:rsidP="00C30F66">
            <w:pPr>
              <w:pStyle w:val="Tablehead"/>
              <w:rPr>
                <w:rFonts w:asciiTheme="minorHAnsi" w:hAnsiTheme="minorHAnsi" w:cstheme="minorHAnsi"/>
              </w:rPr>
            </w:pPr>
            <w:r w:rsidRPr="00984390">
              <w:rPr>
                <w:lang w:val="ru-RU"/>
              </w:rPr>
              <w:t>Комментарии</w:t>
            </w:r>
          </w:p>
        </w:tc>
      </w:tr>
      <w:tr w:rsidR="00484493" w:rsidRPr="00C30F66" w14:paraId="69024DC7" w14:textId="77777777" w:rsidTr="00436A27">
        <w:trPr>
          <w:trHeight w:val="336"/>
          <w:jc w:val="center"/>
        </w:trPr>
        <w:tc>
          <w:tcPr>
            <w:tcW w:w="1320"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5CF0E0A0" w14:textId="2915E04B" w:rsidR="00484493" w:rsidRPr="00C30F66" w:rsidRDefault="00484493" w:rsidP="000719A6">
            <w:pPr>
              <w:pStyle w:val="Tablehead"/>
              <w:jc w:val="left"/>
            </w:pPr>
            <w:r w:rsidRPr="00C30F66">
              <w:rPr>
                <w:lang w:val="ru-RU"/>
              </w:rPr>
              <w:t>Адресована директивным/</w:t>
            </w:r>
            <w:r w:rsidR="00451D84">
              <w:rPr>
                <w:lang w:val="en-US"/>
              </w:rPr>
              <w:t xml:space="preserve"> </w:t>
            </w:r>
            <w:r w:rsidRPr="00C30F66">
              <w:rPr>
                <w:lang w:val="ru-RU"/>
              </w:rPr>
              <w:t>руководящим органам</w:t>
            </w:r>
          </w:p>
        </w:tc>
        <w:tc>
          <w:tcPr>
            <w:tcW w:w="272"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FE643ED" w14:textId="393EFEED" w:rsidR="00484493" w:rsidRPr="00C30F66" w:rsidRDefault="00484493" w:rsidP="00436A27">
            <w:pPr>
              <w:pStyle w:val="Tablehead"/>
              <w:jc w:val="left"/>
            </w:pPr>
            <w:r w:rsidRPr="00C30F66">
              <w:rPr>
                <w:lang w:val="ru-RU"/>
              </w:rPr>
              <w:t>При</w:t>
            </w:r>
            <w:r w:rsidR="000719A6">
              <w:rPr>
                <w:lang w:val="en-US"/>
              </w:rPr>
              <w:softHyphen/>
            </w:r>
            <w:r w:rsidRPr="00C30F66">
              <w:rPr>
                <w:lang w:val="ru-RU"/>
              </w:rPr>
              <w:t>нима</w:t>
            </w:r>
            <w:r w:rsidR="000719A6">
              <w:rPr>
                <w:lang w:val="en-US"/>
              </w:rPr>
              <w:softHyphen/>
            </w:r>
            <w:r w:rsidRPr="00C30F66">
              <w:rPr>
                <w:lang w:val="ru-RU"/>
              </w:rPr>
              <w:t>ется</w:t>
            </w:r>
          </w:p>
        </w:tc>
        <w:tc>
          <w:tcPr>
            <w:tcW w:w="272"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FC8A0DB" w14:textId="1F891FFE" w:rsidR="00484493" w:rsidRPr="00C30F66" w:rsidRDefault="00484493" w:rsidP="00436A27">
            <w:pPr>
              <w:pStyle w:val="Tablehead"/>
              <w:jc w:val="left"/>
            </w:pPr>
            <w:r w:rsidRPr="00C30F66">
              <w:rPr>
                <w:lang w:val="ru-RU"/>
              </w:rPr>
              <w:t>Не при</w:t>
            </w:r>
            <w:r w:rsidR="000719A6">
              <w:rPr>
                <w:lang w:val="en-US"/>
              </w:rPr>
              <w:softHyphen/>
            </w:r>
            <w:r w:rsidRPr="00C30F66">
              <w:rPr>
                <w:lang w:val="ru-RU"/>
              </w:rPr>
              <w:t>нима</w:t>
            </w:r>
            <w:r w:rsidR="000719A6">
              <w:rPr>
                <w:lang w:val="en-US"/>
              </w:rPr>
              <w:softHyphen/>
            </w:r>
            <w:r w:rsidRPr="00C30F66">
              <w:rPr>
                <w:lang w:val="ru-RU"/>
              </w:rPr>
              <w:t>ется</w:t>
            </w:r>
          </w:p>
        </w:tc>
        <w:tc>
          <w:tcPr>
            <w:tcW w:w="326"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ECFCF85" w14:textId="0DA76AA7" w:rsidR="00484493" w:rsidRPr="00C30F66" w:rsidRDefault="00484493" w:rsidP="00436A27">
            <w:pPr>
              <w:pStyle w:val="Tablehead"/>
              <w:jc w:val="left"/>
            </w:pPr>
            <w:r w:rsidRPr="00C30F66">
              <w:rPr>
                <w:lang w:val="ru-RU"/>
              </w:rPr>
              <w:t>Непри</w:t>
            </w:r>
            <w:r w:rsidR="000719A6">
              <w:rPr>
                <w:lang w:val="en-US"/>
              </w:rPr>
              <w:softHyphen/>
            </w:r>
            <w:r w:rsidRPr="00451D84">
              <w:rPr>
                <w:spacing w:val="-4"/>
                <w:lang w:val="ru-RU"/>
              </w:rPr>
              <w:t>менимо</w:t>
            </w:r>
          </w:p>
        </w:tc>
        <w:tc>
          <w:tcPr>
            <w:tcW w:w="467"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558F29C" w14:textId="2CCB0B96" w:rsidR="00484493" w:rsidRPr="00C30F66" w:rsidRDefault="00484493" w:rsidP="00436A27">
            <w:pPr>
              <w:pStyle w:val="Tablehead"/>
              <w:jc w:val="left"/>
            </w:pPr>
            <w:r w:rsidRPr="00451D84">
              <w:rPr>
                <w:spacing w:val="-4"/>
                <w:lang w:val="ru-RU"/>
              </w:rPr>
              <w:t>Необходимо</w:t>
            </w:r>
            <w:r w:rsidRPr="00C30F66">
              <w:rPr>
                <w:lang w:val="ru-RU"/>
              </w:rPr>
              <w:t xml:space="preserve"> дальнейшее рассмотре</w:t>
            </w:r>
            <w:r w:rsidR="000719A6">
              <w:rPr>
                <w:lang w:val="en-US"/>
              </w:rPr>
              <w:softHyphen/>
            </w:r>
            <w:r w:rsidRPr="00C30F66">
              <w:rPr>
                <w:lang w:val="ru-RU"/>
              </w:rPr>
              <w:t>ние</w:t>
            </w:r>
          </w:p>
        </w:tc>
        <w:tc>
          <w:tcPr>
            <w:tcW w:w="285"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0604DF2" w14:textId="77777777" w:rsidR="00484493" w:rsidRPr="00C30F66" w:rsidRDefault="00484493" w:rsidP="00436A27">
            <w:pPr>
              <w:pStyle w:val="Tablehead"/>
              <w:jc w:val="left"/>
            </w:pPr>
            <w:r w:rsidRPr="00C30F66">
              <w:rPr>
                <w:lang w:val="ru-RU"/>
              </w:rPr>
              <w:t>Не начато</w:t>
            </w:r>
          </w:p>
        </w:tc>
        <w:tc>
          <w:tcPr>
            <w:tcW w:w="322"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99B1FBF" w14:textId="55074A87" w:rsidR="00484493" w:rsidRPr="00C30F66" w:rsidRDefault="00484493" w:rsidP="00436A27">
            <w:pPr>
              <w:pStyle w:val="Tablehead"/>
              <w:jc w:val="left"/>
            </w:pPr>
            <w:r w:rsidRPr="00C30F66">
              <w:rPr>
                <w:lang w:val="ru-RU"/>
              </w:rPr>
              <w:t>Выпол</w:t>
            </w:r>
            <w:r w:rsidR="000719A6">
              <w:rPr>
                <w:lang w:val="en-US"/>
              </w:rPr>
              <w:softHyphen/>
            </w:r>
            <w:r w:rsidRPr="00C30F66">
              <w:rPr>
                <w:lang w:val="ru-RU"/>
              </w:rPr>
              <w:t>няется</w:t>
            </w:r>
          </w:p>
        </w:tc>
        <w:tc>
          <w:tcPr>
            <w:tcW w:w="462"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F1DAC58" w14:textId="77777777" w:rsidR="00484493" w:rsidRPr="00C30F66" w:rsidRDefault="00484493" w:rsidP="00436A27">
            <w:pPr>
              <w:pStyle w:val="Tablehead"/>
              <w:jc w:val="left"/>
            </w:pPr>
            <w:r w:rsidRPr="00C30F66">
              <w:rPr>
                <w:lang w:val="ru-RU"/>
              </w:rPr>
              <w:t>Выполнена</w:t>
            </w:r>
          </w:p>
        </w:tc>
        <w:tc>
          <w:tcPr>
            <w:tcW w:w="1274"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0696A2A" w14:textId="77777777" w:rsidR="00484493" w:rsidRPr="00C30F66" w:rsidRDefault="00484493" w:rsidP="00904C90">
            <w:pPr>
              <w:pStyle w:val="Tablehead"/>
              <w:rPr>
                <w:color w:val="FF0000"/>
                <w:lang w:val="ru-RU"/>
              </w:rPr>
            </w:pPr>
            <w:r w:rsidRPr="00C30F66">
              <w:rPr>
                <w:lang w:val="ru-RU"/>
              </w:rPr>
              <w:t xml:space="preserve">Комментарии Координационного совета руководителей (КСР) – </w:t>
            </w:r>
            <w:r w:rsidRPr="00C30F66">
              <w:rPr>
                <w:lang w:val="ru-RU"/>
              </w:rPr>
              <w:br/>
            </w:r>
            <w:r w:rsidRPr="00C30F66">
              <w:rPr>
                <w:color w:val="FF0000"/>
                <w:lang w:val="ru-RU"/>
              </w:rPr>
              <w:t>пока не доступны</w:t>
            </w:r>
          </w:p>
          <w:p w14:paraId="671A7797" w14:textId="77777777" w:rsidR="00484493" w:rsidRPr="00C30F66" w:rsidRDefault="00484493" w:rsidP="00904C90">
            <w:pPr>
              <w:pStyle w:val="Tablehead"/>
              <w:rPr>
                <w:color w:val="000000"/>
                <w:lang w:val="ru-RU"/>
              </w:rPr>
            </w:pPr>
            <w:r w:rsidRPr="00C30F66">
              <w:rPr>
                <w:lang w:val="ru-RU"/>
              </w:rPr>
              <w:t>___</w:t>
            </w:r>
          </w:p>
          <w:p w14:paraId="7D6ACDBF" w14:textId="77777777" w:rsidR="00484493" w:rsidRPr="00C30F66" w:rsidRDefault="00484493" w:rsidP="00904C90">
            <w:pPr>
              <w:pStyle w:val="Tablehead"/>
              <w:rPr>
                <w:color w:val="000000"/>
                <w:lang w:val="ru-RU"/>
              </w:rPr>
            </w:pPr>
            <w:r w:rsidRPr="00C30F66">
              <w:rPr>
                <w:lang w:val="ru-RU"/>
              </w:rPr>
              <w:t>Комментарии МСЭ об актуальности и последствиях для финансовых и людских ресурсов</w:t>
            </w:r>
          </w:p>
          <w:p w14:paraId="05640436" w14:textId="77777777" w:rsidR="00484493" w:rsidRPr="00C30F66" w:rsidRDefault="00484493" w:rsidP="00904C90">
            <w:pPr>
              <w:pStyle w:val="Tablehead"/>
            </w:pPr>
            <w:r w:rsidRPr="00C30F66">
              <w:rPr>
                <w:lang w:val="ru-RU"/>
              </w:rPr>
              <w:t>(см. ниже)</w:t>
            </w:r>
          </w:p>
        </w:tc>
      </w:tr>
      <w:tr w:rsidR="00484493" w:rsidRPr="00F631F2" w14:paraId="320318E3" w14:textId="77777777" w:rsidTr="000719A6">
        <w:trPr>
          <w:trHeight w:val="60"/>
          <w:jc w:val="center"/>
        </w:trPr>
        <w:tc>
          <w:tcPr>
            <w:tcW w:w="1320"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186EB40C" w14:textId="77777777" w:rsidR="00484493" w:rsidRPr="00984390" w:rsidRDefault="00484493" w:rsidP="00C30F66">
            <w:pPr>
              <w:pStyle w:val="Tabletext"/>
              <w:rPr>
                <w:rFonts w:asciiTheme="minorHAnsi" w:hAnsiTheme="minorHAnsi" w:cstheme="minorHAnsi"/>
                <w:lang w:val="ru-RU"/>
              </w:rPr>
            </w:pPr>
            <w:r w:rsidRPr="00984390">
              <w:rPr>
                <w:b/>
                <w:bCs/>
                <w:lang w:val="ru-RU"/>
              </w:rPr>
              <w:t>Рекомендация 4</w:t>
            </w:r>
            <w:r>
              <w:rPr>
                <w:b/>
                <w:bCs/>
                <w:lang w:val="ru-RU"/>
              </w:rPr>
              <w:t>.</w:t>
            </w:r>
            <w:r w:rsidRPr="00984390">
              <w:rPr>
                <w:lang w:val="ru-RU"/>
              </w:rPr>
              <w:t xml:space="preserve"> </w:t>
            </w:r>
            <w:r>
              <w:rPr>
                <w:lang w:val="ru-RU"/>
              </w:rPr>
              <w:t>Д</w:t>
            </w:r>
            <w:r w:rsidRPr="00984390">
              <w:rPr>
                <w:lang w:val="ru-RU"/>
              </w:rPr>
              <w:t>ирективным и руководящим органам организаций системы Организации Объединенных Наций следует предложить их административным руководителям представить к концу 2025 года в рамках докладов об управлении людскими ресурсами периодические обновленные данные о внедрении гибких графиков работы и политики в области телеработы, включая статистические данные в разбивке по гендерному признаку и другим соответствующим аспектам, с целью обеспечения принятия решений, основанных на конкретных фактических данных, по управлению гибким графиком работы.</w:t>
            </w:r>
          </w:p>
        </w:tc>
        <w:tc>
          <w:tcPr>
            <w:tcW w:w="27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9FDE149" w14:textId="77777777" w:rsidR="00484493" w:rsidRPr="00984390" w:rsidRDefault="00484493" w:rsidP="000719A6">
            <w:pPr>
              <w:pStyle w:val="Tabletext"/>
              <w:jc w:val="center"/>
              <w:rPr>
                <w:rFonts w:asciiTheme="minorHAnsi" w:hAnsiTheme="minorHAnsi" w:cstheme="minorHAnsi"/>
                <w:b/>
                <w:bCs/>
                <w:color w:val="000000"/>
              </w:rPr>
            </w:pPr>
            <w:r w:rsidRPr="00984390">
              <w:rPr>
                <w:b/>
                <w:bCs/>
                <w:lang w:val="ru-RU"/>
              </w:rPr>
              <w:t>X</w:t>
            </w:r>
          </w:p>
        </w:tc>
        <w:tc>
          <w:tcPr>
            <w:tcW w:w="27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B89ED0" w14:textId="77777777" w:rsidR="00484493" w:rsidRPr="00984390" w:rsidRDefault="00484493" w:rsidP="000719A6">
            <w:pPr>
              <w:pStyle w:val="Tabletext"/>
              <w:jc w:val="center"/>
              <w:rPr>
                <w:rFonts w:asciiTheme="minorHAnsi" w:hAnsiTheme="minorHAnsi" w:cstheme="minorHAnsi"/>
              </w:rPr>
            </w:pPr>
          </w:p>
        </w:tc>
        <w:tc>
          <w:tcPr>
            <w:tcW w:w="32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B15D9E" w14:textId="77777777" w:rsidR="00484493" w:rsidRPr="00984390" w:rsidRDefault="00484493" w:rsidP="000719A6">
            <w:pPr>
              <w:pStyle w:val="Tabletext"/>
              <w:jc w:val="center"/>
              <w:rPr>
                <w:rFonts w:asciiTheme="minorHAnsi" w:hAnsiTheme="minorHAnsi" w:cstheme="minorHAnsi"/>
              </w:rPr>
            </w:pPr>
          </w:p>
        </w:tc>
        <w:tc>
          <w:tcPr>
            <w:tcW w:w="46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6137E3" w14:textId="77777777" w:rsidR="00484493" w:rsidRPr="00984390" w:rsidRDefault="00484493" w:rsidP="000719A6">
            <w:pPr>
              <w:pStyle w:val="Tabletext"/>
              <w:jc w:val="center"/>
              <w:rPr>
                <w:rFonts w:asciiTheme="minorHAnsi" w:eastAsiaTheme="minorHAnsi" w:hAnsiTheme="minorHAnsi" w:cstheme="minorHAnsi"/>
                <w:b/>
                <w:bCs/>
              </w:rPr>
            </w:pPr>
          </w:p>
        </w:tc>
        <w:tc>
          <w:tcPr>
            <w:tcW w:w="28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3A9CFDC" w14:textId="77777777" w:rsidR="00484493" w:rsidRPr="00984390" w:rsidRDefault="00484493" w:rsidP="000719A6">
            <w:pPr>
              <w:pStyle w:val="Tabletext"/>
              <w:jc w:val="center"/>
              <w:rPr>
                <w:rFonts w:asciiTheme="minorHAnsi" w:hAnsiTheme="minorHAnsi" w:cstheme="minorHAnsi"/>
                <w:b/>
                <w:bCs/>
              </w:rPr>
            </w:pPr>
          </w:p>
        </w:tc>
        <w:tc>
          <w:tcPr>
            <w:tcW w:w="32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98274F" w14:textId="77777777" w:rsidR="00484493" w:rsidRPr="00984390" w:rsidRDefault="00484493" w:rsidP="000719A6">
            <w:pPr>
              <w:pStyle w:val="Tabletext"/>
              <w:jc w:val="center"/>
              <w:rPr>
                <w:rFonts w:asciiTheme="minorHAnsi" w:hAnsiTheme="minorHAnsi" w:cstheme="minorHAnsi"/>
                <w:b/>
                <w:bCs/>
              </w:rPr>
            </w:pPr>
            <w:r w:rsidRPr="00984390">
              <w:rPr>
                <w:b/>
                <w:bCs/>
                <w:lang w:val="ru-RU"/>
              </w:rPr>
              <w:t>X</w:t>
            </w:r>
          </w:p>
        </w:tc>
        <w:tc>
          <w:tcPr>
            <w:tcW w:w="46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C28A2E4" w14:textId="77777777" w:rsidR="00484493" w:rsidRPr="00984390" w:rsidRDefault="00484493" w:rsidP="000719A6">
            <w:pPr>
              <w:pStyle w:val="Tabletext"/>
              <w:jc w:val="center"/>
              <w:rPr>
                <w:rFonts w:asciiTheme="minorHAnsi" w:eastAsiaTheme="minorHAnsi" w:hAnsiTheme="minorHAnsi" w:cstheme="minorHAnsi"/>
                <w:b/>
                <w:bCs/>
              </w:rPr>
            </w:pPr>
          </w:p>
        </w:tc>
        <w:tc>
          <w:tcPr>
            <w:tcW w:w="1274" w:type="pct"/>
            <w:tcBorders>
              <w:top w:val="nil"/>
              <w:left w:val="nil"/>
              <w:bottom w:val="single" w:sz="8" w:space="0" w:color="auto"/>
              <w:right w:val="single" w:sz="8" w:space="0" w:color="auto"/>
            </w:tcBorders>
            <w:tcMar>
              <w:top w:w="0" w:type="dxa"/>
              <w:left w:w="108" w:type="dxa"/>
              <w:bottom w:w="0" w:type="dxa"/>
              <w:right w:w="108" w:type="dxa"/>
            </w:tcMar>
            <w:vAlign w:val="center"/>
          </w:tcPr>
          <w:p w14:paraId="1DFDF094" w14:textId="77777777" w:rsidR="00484493" w:rsidRPr="00984390" w:rsidRDefault="00484493" w:rsidP="00C30F66">
            <w:pPr>
              <w:pStyle w:val="Tabletext"/>
              <w:rPr>
                <w:rFonts w:asciiTheme="minorHAnsi" w:hAnsiTheme="minorHAnsi" w:cstheme="minorHAnsi"/>
                <w:lang w:val="ru-RU"/>
              </w:rPr>
            </w:pPr>
            <w:r w:rsidRPr="00984390">
              <w:rPr>
                <w:lang w:val="ru-RU"/>
              </w:rPr>
              <w:t>Финансовые последствия отсутствуют, и подлежит выполнению в рамках текущих финансовых и людских ресурсов.</w:t>
            </w:r>
          </w:p>
        </w:tc>
      </w:tr>
    </w:tbl>
    <w:p w14:paraId="7D3F1930" w14:textId="783A417E" w:rsidR="00296AE8" w:rsidRDefault="00296AE8" w:rsidP="00796BD3">
      <w:pPr>
        <w:rPr>
          <w:lang w:val="ru-RU"/>
        </w:rPr>
      </w:pPr>
      <w:r>
        <w:rPr>
          <w:lang w:val="ru-RU"/>
        </w:rPr>
        <w:br w:type="page"/>
      </w:r>
    </w:p>
    <w:tbl>
      <w:tblPr>
        <w:tblW w:w="5065" w:type="pct"/>
        <w:jc w:val="center"/>
        <w:tblLayout w:type="fixed"/>
        <w:tblCellMar>
          <w:left w:w="0" w:type="dxa"/>
          <w:right w:w="0" w:type="dxa"/>
        </w:tblCellMar>
        <w:tblLook w:val="04A0" w:firstRow="1" w:lastRow="0" w:firstColumn="1" w:lastColumn="0" w:noHBand="0" w:noVBand="1"/>
      </w:tblPr>
      <w:tblGrid>
        <w:gridCol w:w="3552"/>
        <w:gridCol w:w="782"/>
        <w:gridCol w:w="782"/>
        <w:gridCol w:w="949"/>
        <w:gridCol w:w="1445"/>
        <w:gridCol w:w="745"/>
        <w:gridCol w:w="930"/>
        <w:gridCol w:w="1338"/>
        <w:gridCol w:w="3647"/>
      </w:tblGrid>
      <w:tr w:rsidR="00296AE8" w:rsidRPr="00984390" w14:paraId="70D81354" w14:textId="77777777" w:rsidTr="008645D5">
        <w:trPr>
          <w:trHeight w:val="4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3639EBC6" w14:textId="6599BE86" w:rsidR="00296AE8" w:rsidRPr="00984390" w:rsidRDefault="00296AE8" w:rsidP="00296AE8">
            <w:pPr>
              <w:pStyle w:val="Tablehead"/>
              <w:rPr>
                <w:rFonts w:asciiTheme="minorHAnsi" w:hAnsiTheme="minorHAnsi" w:cstheme="minorHAnsi"/>
                <w:color w:val="FFFF00"/>
                <w:lang w:val="ru-RU"/>
              </w:rPr>
            </w:pPr>
            <w:proofErr w:type="spellStart"/>
            <w:r w:rsidRPr="007E5717">
              <w:rPr>
                <w:lang w:val="ru-RU"/>
              </w:rPr>
              <w:lastRenderedPageBreak/>
              <w:t>JIU</w:t>
            </w:r>
            <w:proofErr w:type="spellEnd"/>
            <w:r w:rsidRPr="007E5717">
              <w:rPr>
                <w:lang w:val="ru-RU"/>
              </w:rPr>
              <w:t>/</w:t>
            </w:r>
            <w:proofErr w:type="spellStart"/>
            <w:r w:rsidRPr="007E5717">
              <w:rPr>
                <w:lang w:val="ru-RU"/>
              </w:rPr>
              <w:t>REP</w:t>
            </w:r>
            <w:proofErr w:type="spellEnd"/>
            <w:r w:rsidRPr="007E5717">
              <w:rPr>
                <w:lang w:val="ru-RU"/>
              </w:rPr>
              <w:t xml:space="preserve">/2023/4 </w:t>
            </w:r>
            <w:hyperlink r:id="rId13" w:history="1">
              <w:r w:rsidRPr="007E5717">
                <w:rPr>
                  <w:rStyle w:val="Hyperlink"/>
                  <w:bCs/>
                  <w:lang w:val="ru-RU"/>
                </w:rPr>
                <w:t>Обзор политики и практики поддержания психического здоровья и благополучия сотрудников в организациях системы Организации Объединенных Наций</w:t>
              </w:r>
            </w:hyperlink>
            <w:r w:rsidRPr="00984390">
              <w:rPr>
                <w:lang w:val="ru-RU"/>
              </w:rPr>
              <w:t xml:space="preserve"> – </w:t>
            </w:r>
            <w:r w:rsidRPr="007E5717">
              <w:rPr>
                <w:lang w:val="ru-RU"/>
              </w:rPr>
              <w:t>Координатор МСЭ: Роза Ван дер Хайде</w:t>
            </w:r>
          </w:p>
          <w:p w14:paraId="6716CD8A" w14:textId="20E1C617" w:rsidR="00296AE8" w:rsidRPr="00984390" w:rsidRDefault="000719A6" w:rsidP="00296AE8">
            <w:pPr>
              <w:pStyle w:val="Tablehead"/>
              <w:rPr>
                <w:rFonts w:asciiTheme="minorHAnsi" w:hAnsiTheme="minorHAnsi" w:cstheme="minorHAnsi"/>
              </w:rPr>
            </w:pPr>
            <w:r>
              <w:rPr>
                <w:rFonts w:ascii="Times New Roman" w:hAnsi="Times New Roman"/>
              </w:rPr>
              <w:t>•</w:t>
            </w:r>
            <w:r>
              <w:rPr>
                <w:rFonts w:ascii="Times New Roman" w:hAnsi="Times New Roman"/>
              </w:rPr>
              <w:tab/>
            </w:r>
            <w:hyperlink r:id="rId14" w:history="1">
              <w:r w:rsidR="00296AE8" w:rsidRPr="007E5717">
                <w:rPr>
                  <w:rStyle w:val="Hyperlink"/>
                  <w:bCs/>
                </w:rPr>
                <w:t>Основные элементы обзора</w:t>
              </w:r>
            </w:hyperlink>
          </w:p>
        </w:tc>
      </w:tr>
      <w:tr w:rsidR="00296AE8" w:rsidRPr="00984390" w14:paraId="25740FE2" w14:textId="77777777" w:rsidTr="000719A6">
        <w:trPr>
          <w:cantSplit/>
          <w:trHeight w:val="291"/>
          <w:jc w:val="center"/>
        </w:trPr>
        <w:tc>
          <w:tcPr>
            <w:tcW w:w="1253"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C6A6272" w14:textId="77777777" w:rsidR="00296AE8" w:rsidRPr="00984390" w:rsidRDefault="00296AE8" w:rsidP="00296AE8">
            <w:pPr>
              <w:pStyle w:val="Tablehead"/>
              <w:rPr>
                <w:rFonts w:asciiTheme="minorHAnsi" w:hAnsiTheme="minorHAnsi" w:cstheme="minorHAnsi"/>
              </w:rPr>
            </w:pPr>
            <w:r w:rsidRPr="00984390">
              <w:rPr>
                <w:lang w:val="ru-RU"/>
              </w:rPr>
              <w:t>Рекомендация</w:t>
            </w:r>
          </w:p>
        </w:tc>
        <w:tc>
          <w:tcPr>
            <w:tcW w:w="1396"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84F7CAB" w14:textId="77777777" w:rsidR="00296AE8" w:rsidRPr="00984390" w:rsidRDefault="00296AE8" w:rsidP="00296AE8">
            <w:pPr>
              <w:pStyle w:val="Tablehead"/>
              <w:rPr>
                <w:rFonts w:asciiTheme="minorHAnsi" w:hAnsiTheme="minorHAnsi" w:cstheme="minorHAnsi"/>
              </w:rPr>
            </w:pPr>
            <w:r>
              <w:rPr>
                <w:lang w:val="ru-RU"/>
              </w:rPr>
              <w:t>Принятие рекомендации</w:t>
            </w:r>
          </w:p>
        </w:tc>
        <w:tc>
          <w:tcPr>
            <w:tcW w:w="1063"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C6E6A02" w14:textId="77777777" w:rsidR="00296AE8" w:rsidRPr="00984390" w:rsidRDefault="00296AE8" w:rsidP="00296AE8">
            <w:pPr>
              <w:pStyle w:val="Tablehead"/>
              <w:rPr>
                <w:rFonts w:asciiTheme="minorHAnsi" w:hAnsiTheme="minorHAnsi" w:cstheme="minorHAnsi"/>
              </w:rPr>
            </w:pPr>
            <w:r w:rsidRPr="00984390">
              <w:rPr>
                <w:lang w:val="ru-RU"/>
              </w:rPr>
              <w:t>Статус выполнения</w:t>
            </w:r>
          </w:p>
        </w:tc>
        <w:tc>
          <w:tcPr>
            <w:tcW w:w="1288"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2E5D047" w14:textId="77777777" w:rsidR="00296AE8" w:rsidRPr="00984390" w:rsidRDefault="00296AE8" w:rsidP="00296AE8">
            <w:pPr>
              <w:pStyle w:val="Tablehead"/>
              <w:rPr>
                <w:rFonts w:asciiTheme="minorHAnsi" w:hAnsiTheme="minorHAnsi" w:cstheme="minorHAnsi"/>
              </w:rPr>
            </w:pPr>
            <w:r w:rsidRPr="00984390">
              <w:rPr>
                <w:lang w:val="ru-RU"/>
              </w:rPr>
              <w:t>Комментарии</w:t>
            </w:r>
          </w:p>
        </w:tc>
      </w:tr>
      <w:tr w:rsidR="000719A6" w:rsidRPr="00984390" w14:paraId="296A0FD8" w14:textId="77777777" w:rsidTr="00436A27">
        <w:trPr>
          <w:trHeight w:val="336"/>
          <w:jc w:val="center"/>
        </w:trPr>
        <w:tc>
          <w:tcPr>
            <w:tcW w:w="1253"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2E2243CA" w14:textId="77777777" w:rsidR="00296AE8" w:rsidRPr="00984390" w:rsidRDefault="00296AE8" w:rsidP="000719A6">
            <w:pPr>
              <w:pStyle w:val="Tablehead"/>
              <w:jc w:val="left"/>
              <w:rPr>
                <w:rFonts w:asciiTheme="minorHAnsi" w:hAnsiTheme="minorHAnsi" w:cstheme="minorHAnsi"/>
              </w:rPr>
            </w:pPr>
            <w:r w:rsidRPr="00984390">
              <w:rPr>
                <w:lang w:val="ru-RU"/>
              </w:rPr>
              <w:t>Адресована директивным/ руководящим органам</w:t>
            </w:r>
          </w:p>
        </w:tc>
        <w:tc>
          <w:tcPr>
            <w:tcW w:w="276"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38F75EB" w14:textId="2984892A" w:rsidR="00296AE8" w:rsidRPr="00984390" w:rsidRDefault="00296AE8" w:rsidP="00436A27">
            <w:pPr>
              <w:pStyle w:val="Tablehead"/>
              <w:jc w:val="left"/>
              <w:rPr>
                <w:rFonts w:asciiTheme="minorHAnsi" w:hAnsiTheme="minorHAnsi" w:cstheme="minorHAnsi"/>
              </w:rPr>
            </w:pPr>
            <w:r w:rsidRPr="00984390">
              <w:rPr>
                <w:lang w:val="ru-RU"/>
              </w:rPr>
              <w:t>При</w:t>
            </w:r>
            <w:r w:rsidR="000719A6">
              <w:rPr>
                <w:lang w:val="en-US"/>
              </w:rPr>
              <w:softHyphen/>
            </w:r>
            <w:r w:rsidRPr="00984390">
              <w:rPr>
                <w:lang w:val="ru-RU"/>
              </w:rPr>
              <w:t>нима</w:t>
            </w:r>
            <w:r w:rsidR="000719A6">
              <w:rPr>
                <w:lang w:val="en-US"/>
              </w:rPr>
              <w:softHyphen/>
            </w:r>
            <w:r w:rsidRPr="00984390">
              <w:rPr>
                <w:lang w:val="ru-RU"/>
              </w:rPr>
              <w:t>ется</w:t>
            </w:r>
          </w:p>
        </w:tc>
        <w:tc>
          <w:tcPr>
            <w:tcW w:w="276"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1ABBAE5" w14:textId="702AE499" w:rsidR="00296AE8" w:rsidRPr="00984390" w:rsidRDefault="00296AE8" w:rsidP="00436A27">
            <w:pPr>
              <w:pStyle w:val="Tablehead"/>
              <w:jc w:val="left"/>
              <w:rPr>
                <w:rFonts w:asciiTheme="minorHAnsi" w:hAnsiTheme="minorHAnsi" w:cstheme="minorHAnsi"/>
              </w:rPr>
            </w:pPr>
            <w:r w:rsidRPr="00984390">
              <w:rPr>
                <w:lang w:val="ru-RU"/>
              </w:rPr>
              <w:t>Не при</w:t>
            </w:r>
            <w:r w:rsidR="000719A6">
              <w:rPr>
                <w:lang w:val="en-US"/>
              </w:rPr>
              <w:softHyphen/>
            </w:r>
            <w:r w:rsidRPr="00984390">
              <w:rPr>
                <w:lang w:val="ru-RU"/>
              </w:rPr>
              <w:t>нима</w:t>
            </w:r>
            <w:r w:rsidR="000719A6">
              <w:rPr>
                <w:lang w:val="en-US"/>
              </w:rPr>
              <w:softHyphen/>
            </w:r>
            <w:r w:rsidRPr="00984390">
              <w:rPr>
                <w:lang w:val="ru-RU"/>
              </w:rPr>
              <w:t>ется</w:t>
            </w:r>
          </w:p>
        </w:tc>
        <w:tc>
          <w:tcPr>
            <w:tcW w:w="335"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142DCD38" w14:textId="3890BA98" w:rsidR="00296AE8" w:rsidRPr="00984390" w:rsidRDefault="00296AE8" w:rsidP="00436A27">
            <w:pPr>
              <w:pStyle w:val="Tablehead"/>
              <w:jc w:val="left"/>
              <w:rPr>
                <w:rFonts w:asciiTheme="minorHAnsi" w:hAnsiTheme="minorHAnsi" w:cstheme="minorHAnsi"/>
              </w:rPr>
            </w:pPr>
            <w:r w:rsidRPr="00984390">
              <w:rPr>
                <w:lang w:val="ru-RU"/>
              </w:rPr>
              <w:t>Непри</w:t>
            </w:r>
            <w:r w:rsidR="000719A6">
              <w:rPr>
                <w:lang w:val="en-US"/>
              </w:rPr>
              <w:softHyphen/>
            </w:r>
            <w:r w:rsidRPr="00984390">
              <w:rPr>
                <w:lang w:val="ru-RU"/>
              </w:rPr>
              <w:t>менимо</w:t>
            </w:r>
          </w:p>
        </w:tc>
        <w:tc>
          <w:tcPr>
            <w:tcW w:w="510"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C2691A5" w14:textId="23531A2F" w:rsidR="00296AE8" w:rsidRPr="00984390" w:rsidRDefault="00296AE8" w:rsidP="00436A27">
            <w:pPr>
              <w:pStyle w:val="Tablehead"/>
              <w:jc w:val="left"/>
              <w:rPr>
                <w:rFonts w:asciiTheme="minorHAnsi" w:hAnsiTheme="minorHAnsi" w:cstheme="minorHAnsi"/>
              </w:rPr>
            </w:pPr>
            <w:r w:rsidRPr="00984390">
              <w:rPr>
                <w:lang w:val="ru-RU"/>
              </w:rPr>
              <w:t>Необходимо дальнейшее рассмотре</w:t>
            </w:r>
            <w:r w:rsidR="000719A6">
              <w:rPr>
                <w:lang w:val="en-US"/>
              </w:rPr>
              <w:softHyphen/>
            </w:r>
            <w:r w:rsidRPr="00984390">
              <w:rPr>
                <w:lang w:val="ru-RU"/>
              </w:rPr>
              <w:t>ние</w:t>
            </w:r>
          </w:p>
        </w:tc>
        <w:tc>
          <w:tcPr>
            <w:tcW w:w="263"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2EAE388A" w14:textId="7385049C" w:rsidR="00296AE8" w:rsidRPr="00984390" w:rsidRDefault="00296AE8" w:rsidP="00436A27">
            <w:pPr>
              <w:pStyle w:val="Tablehead"/>
              <w:jc w:val="left"/>
              <w:rPr>
                <w:rFonts w:asciiTheme="minorHAnsi" w:hAnsiTheme="minorHAnsi" w:cstheme="minorHAnsi"/>
              </w:rPr>
            </w:pPr>
            <w:r w:rsidRPr="00984390">
              <w:rPr>
                <w:lang w:val="ru-RU"/>
              </w:rPr>
              <w:t>Не нача</w:t>
            </w:r>
            <w:r w:rsidR="000719A6">
              <w:rPr>
                <w:lang w:val="en-US"/>
              </w:rPr>
              <w:softHyphen/>
            </w:r>
            <w:r w:rsidRPr="00984390">
              <w:rPr>
                <w:lang w:val="ru-RU"/>
              </w:rPr>
              <w:t>то</w:t>
            </w:r>
          </w:p>
        </w:tc>
        <w:tc>
          <w:tcPr>
            <w:tcW w:w="328"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6CBBD88D" w14:textId="4620430F" w:rsidR="00296AE8" w:rsidRPr="00984390" w:rsidRDefault="00296AE8" w:rsidP="00436A27">
            <w:pPr>
              <w:pStyle w:val="Tablehead"/>
              <w:jc w:val="left"/>
              <w:rPr>
                <w:rFonts w:asciiTheme="minorHAnsi" w:hAnsiTheme="minorHAnsi" w:cstheme="minorHAnsi"/>
              </w:rPr>
            </w:pPr>
            <w:r w:rsidRPr="00984390">
              <w:rPr>
                <w:lang w:val="ru-RU"/>
              </w:rPr>
              <w:t>Выпол</w:t>
            </w:r>
            <w:r w:rsidR="000719A6">
              <w:rPr>
                <w:lang w:val="en-US"/>
              </w:rPr>
              <w:softHyphen/>
            </w:r>
            <w:r w:rsidRPr="00984390">
              <w:rPr>
                <w:lang w:val="ru-RU"/>
              </w:rPr>
              <w:t>няется</w:t>
            </w:r>
          </w:p>
        </w:tc>
        <w:tc>
          <w:tcPr>
            <w:tcW w:w="472"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D6F91EE" w14:textId="5EB962F3" w:rsidR="00296AE8" w:rsidRPr="00984390" w:rsidRDefault="00296AE8" w:rsidP="00436A27">
            <w:pPr>
              <w:pStyle w:val="Tablehead"/>
              <w:jc w:val="left"/>
              <w:rPr>
                <w:rFonts w:asciiTheme="minorHAnsi" w:hAnsiTheme="minorHAnsi" w:cstheme="minorHAnsi"/>
              </w:rPr>
            </w:pPr>
            <w:r w:rsidRPr="00984390">
              <w:rPr>
                <w:lang w:val="ru-RU"/>
              </w:rPr>
              <w:t>Выполнена</w:t>
            </w:r>
          </w:p>
        </w:tc>
        <w:tc>
          <w:tcPr>
            <w:tcW w:w="1288"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C3E4947" w14:textId="77777777" w:rsidR="00296AE8" w:rsidRPr="00984390" w:rsidRDefault="00000000" w:rsidP="000719A6">
            <w:pPr>
              <w:pStyle w:val="Tablehead"/>
              <w:rPr>
                <w:rFonts w:asciiTheme="minorHAnsi" w:hAnsiTheme="minorHAnsi" w:cstheme="minorHAnsi"/>
                <w:color w:val="000000"/>
                <w:lang w:val="ru-RU"/>
              </w:rPr>
            </w:pPr>
            <w:hyperlink r:id="rId15" w:history="1">
              <w:r w:rsidR="00296AE8" w:rsidRPr="007E5717">
                <w:rPr>
                  <w:rStyle w:val="Hyperlink"/>
                  <w:bCs/>
                  <w:lang w:val="ru-RU"/>
                </w:rPr>
                <w:t>Комментарии Координационного совета руководителей (КСР)</w:t>
              </w:r>
            </w:hyperlink>
            <w:r w:rsidR="00296AE8" w:rsidRPr="00984390">
              <w:rPr>
                <w:lang w:val="ru-RU"/>
              </w:rPr>
              <w:t xml:space="preserve"> – </w:t>
            </w:r>
          </w:p>
          <w:p w14:paraId="3C8DFF56" w14:textId="77777777" w:rsidR="00296AE8" w:rsidRPr="00984390" w:rsidRDefault="00296AE8" w:rsidP="000719A6">
            <w:pPr>
              <w:pStyle w:val="Tablehead"/>
              <w:rPr>
                <w:rFonts w:asciiTheme="minorHAnsi" w:hAnsiTheme="minorHAnsi" w:cstheme="minorHAnsi"/>
                <w:color w:val="000000"/>
                <w:lang w:val="ru-RU"/>
              </w:rPr>
            </w:pPr>
            <w:r w:rsidRPr="00984390">
              <w:rPr>
                <w:lang w:val="ru-RU"/>
              </w:rPr>
              <w:t>___</w:t>
            </w:r>
          </w:p>
          <w:p w14:paraId="2E895837" w14:textId="77777777" w:rsidR="00296AE8" w:rsidRPr="00984390" w:rsidRDefault="00296AE8" w:rsidP="000719A6">
            <w:pPr>
              <w:pStyle w:val="Tablehead"/>
              <w:rPr>
                <w:rFonts w:asciiTheme="minorHAnsi" w:hAnsiTheme="minorHAnsi" w:cstheme="minorHAnsi"/>
                <w:color w:val="000000"/>
                <w:lang w:val="ru-RU"/>
              </w:rPr>
            </w:pPr>
            <w:r w:rsidRPr="00984390">
              <w:rPr>
                <w:lang w:val="ru-RU"/>
              </w:rPr>
              <w:t>Комментарии МСЭ об актуальности и последствиях для финансовых и людских ресурсов</w:t>
            </w:r>
          </w:p>
          <w:p w14:paraId="660A04E1" w14:textId="77777777" w:rsidR="00296AE8" w:rsidRPr="00984390" w:rsidRDefault="00296AE8" w:rsidP="000719A6">
            <w:pPr>
              <w:pStyle w:val="Tablehead"/>
              <w:rPr>
                <w:rFonts w:asciiTheme="minorHAnsi" w:hAnsiTheme="minorHAnsi" w:cstheme="minorHAnsi"/>
              </w:rPr>
            </w:pPr>
            <w:r w:rsidRPr="00984390">
              <w:rPr>
                <w:lang w:val="ru-RU"/>
              </w:rPr>
              <w:t>(см. ниже)</w:t>
            </w:r>
          </w:p>
        </w:tc>
      </w:tr>
      <w:tr w:rsidR="000719A6" w:rsidRPr="00F631F2" w14:paraId="4D07C98B" w14:textId="77777777" w:rsidTr="000719A6">
        <w:trPr>
          <w:trHeight w:val="478"/>
          <w:jc w:val="center"/>
        </w:trPr>
        <w:tc>
          <w:tcPr>
            <w:tcW w:w="1253"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64EE9EB8" w14:textId="77777777" w:rsidR="00296AE8" w:rsidRPr="00984390" w:rsidRDefault="00296AE8" w:rsidP="00296AE8">
            <w:pPr>
              <w:pStyle w:val="Tabletext"/>
              <w:rPr>
                <w:rFonts w:asciiTheme="minorHAnsi" w:hAnsiTheme="minorHAnsi" w:cstheme="minorHAnsi"/>
                <w:lang w:val="ru-RU"/>
              </w:rPr>
            </w:pPr>
            <w:r w:rsidRPr="00296AE8">
              <w:rPr>
                <w:b/>
                <w:bCs/>
                <w:lang w:val="ru-RU"/>
              </w:rPr>
              <w:t>Рекомендация 3</w:t>
            </w:r>
            <w:r>
              <w:rPr>
                <w:lang w:val="ru-RU"/>
              </w:rPr>
              <w:t>.</w:t>
            </w:r>
            <w:r w:rsidRPr="00984390">
              <w:rPr>
                <w:lang w:val="ru-RU"/>
              </w:rPr>
              <w:t xml:space="preserve"> </w:t>
            </w:r>
            <w:r>
              <w:rPr>
                <w:lang w:val="ru-RU"/>
              </w:rPr>
              <w:t>Д</w:t>
            </w:r>
            <w:r w:rsidRPr="00984390">
              <w:rPr>
                <w:lang w:val="ru-RU"/>
              </w:rPr>
              <w:t>ирективным и/или руководящим органам организаций системы Организации Объединенных Наций следует предложить их административным руководителям представить к концу 2026 года обновленную информацию о разработке и реализации плана действий по охране психического здоровья и благополучия на рабочих местах, составленного в соответствии с основанным на конкретных фактических данных подходом их организаций к этому вопросу.</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14BDD19" w14:textId="77777777" w:rsidR="00296AE8" w:rsidRPr="000719A6" w:rsidRDefault="00296AE8" w:rsidP="000719A6">
            <w:pPr>
              <w:pStyle w:val="Tabletext"/>
              <w:jc w:val="center"/>
              <w:rPr>
                <w:rFonts w:asciiTheme="minorHAnsi" w:hAnsiTheme="minorHAnsi" w:cstheme="minorHAnsi"/>
                <w:b/>
                <w:bCs/>
                <w:color w:val="000000"/>
              </w:rPr>
            </w:pPr>
            <w:r w:rsidRPr="000719A6">
              <w:rPr>
                <w:b/>
                <w:bCs/>
                <w:lang w:val="ru-RU"/>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6DE345" w14:textId="77777777" w:rsidR="00296AE8" w:rsidRPr="000719A6" w:rsidRDefault="00296AE8" w:rsidP="000719A6">
            <w:pPr>
              <w:pStyle w:val="Tabletext"/>
              <w:jc w:val="center"/>
              <w:rPr>
                <w:rFonts w:asciiTheme="minorHAnsi" w:hAnsiTheme="minorHAnsi" w:cstheme="minorHAnsi"/>
                <w:b/>
                <w:bCs/>
              </w:rPr>
            </w:pPr>
          </w:p>
        </w:tc>
        <w:tc>
          <w:tcPr>
            <w:tcW w:w="33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0B4AA15" w14:textId="77777777" w:rsidR="00296AE8" w:rsidRPr="000719A6" w:rsidRDefault="00296AE8" w:rsidP="000719A6">
            <w:pPr>
              <w:pStyle w:val="Tabletext"/>
              <w:jc w:val="center"/>
              <w:rPr>
                <w:rFonts w:asciiTheme="minorHAnsi" w:hAnsiTheme="minorHAnsi" w:cstheme="minorHAnsi"/>
                <w:b/>
                <w:bCs/>
              </w:rPr>
            </w:pPr>
          </w:p>
        </w:tc>
        <w:tc>
          <w:tcPr>
            <w:tcW w:w="510"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DED9D34" w14:textId="77777777" w:rsidR="00296AE8" w:rsidRPr="000719A6" w:rsidRDefault="00296AE8" w:rsidP="000719A6">
            <w:pPr>
              <w:pStyle w:val="Tabletext"/>
              <w:jc w:val="center"/>
              <w:rPr>
                <w:rFonts w:asciiTheme="minorHAnsi" w:eastAsiaTheme="minorHAnsi" w:hAnsiTheme="minorHAnsi" w:cstheme="minorHAnsi"/>
                <w:b/>
                <w:bCs/>
              </w:rPr>
            </w:pPr>
          </w:p>
        </w:tc>
        <w:tc>
          <w:tcPr>
            <w:tcW w:w="26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FB4A8DD" w14:textId="77777777" w:rsidR="00296AE8" w:rsidRPr="000719A6" w:rsidRDefault="00296AE8" w:rsidP="000719A6">
            <w:pPr>
              <w:pStyle w:val="Tabletext"/>
              <w:jc w:val="center"/>
              <w:rPr>
                <w:rFonts w:asciiTheme="minorHAnsi" w:hAnsiTheme="minorHAnsi" w:cstheme="minorHAnsi"/>
                <w:b/>
                <w:bCs/>
              </w:rPr>
            </w:pP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BEE484" w14:textId="77777777" w:rsidR="00296AE8" w:rsidRPr="000719A6" w:rsidRDefault="00296AE8" w:rsidP="000719A6">
            <w:pPr>
              <w:pStyle w:val="Tabletext"/>
              <w:jc w:val="center"/>
              <w:rPr>
                <w:rFonts w:asciiTheme="minorHAnsi" w:eastAsiaTheme="minorHAnsi" w:hAnsiTheme="minorHAnsi" w:cstheme="minorHAnsi"/>
                <w:b/>
                <w:bCs/>
              </w:rPr>
            </w:pPr>
            <w:r w:rsidRPr="000719A6">
              <w:rPr>
                <w:b/>
                <w:bCs/>
                <w:lang w:val="ru-RU"/>
              </w:rPr>
              <w:t>X</w:t>
            </w:r>
          </w:p>
        </w:tc>
        <w:tc>
          <w:tcPr>
            <w:tcW w:w="47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6515CF4" w14:textId="77777777" w:rsidR="00296AE8" w:rsidRPr="000719A6" w:rsidRDefault="00296AE8" w:rsidP="000719A6">
            <w:pPr>
              <w:pStyle w:val="Tabletext"/>
              <w:jc w:val="center"/>
              <w:rPr>
                <w:rFonts w:asciiTheme="minorHAnsi" w:hAnsiTheme="minorHAnsi" w:cstheme="minorHAnsi"/>
                <w:b/>
                <w:bCs/>
              </w:rPr>
            </w:pPr>
          </w:p>
        </w:tc>
        <w:tc>
          <w:tcPr>
            <w:tcW w:w="128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A67D94B" w14:textId="77777777" w:rsidR="00296AE8" w:rsidRPr="00984390" w:rsidRDefault="00296AE8" w:rsidP="00296AE8">
            <w:pPr>
              <w:pStyle w:val="Tabletext"/>
              <w:rPr>
                <w:rFonts w:asciiTheme="minorHAnsi" w:eastAsiaTheme="minorHAnsi" w:hAnsiTheme="minorHAnsi" w:cstheme="minorHAnsi"/>
                <w:lang w:val="ru-RU"/>
              </w:rPr>
            </w:pPr>
            <w:r w:rsidRPr="00984390">
              <w:rPr>
                <w:lang w:val="ru-RU"/>
              </w:rPr>
              <w:t>Финансовые последствия отсутствуют, и подлежит выполнению в рамках текущих финансовых и людских ресурсов.</w:t>
            </w:r>
          </w:p>
        </w:tc>
      </w:tr>
    </w:tbl>
    <w:p w14:paraId="2BC6390F" w14:textId="6EF6313C" w:rsidR="00296AE8" w:rsidRPr="00451D84" w:rsidRDefault="00296AE8" w:rsidP="00296AE8">
      <w:pPr>
        <w:rPr>
          <w:lang w:val="ru-RU"/>
        </w:rPr>
      </w:pPr>
      <w:r w:rsidRPr="00451D84">
        <w:rPr>
          <w:lang w:val="ru-RU"/>
        </w:rPr>
        <w:br w:type="page"/>
      </w:r>
    </w:p>
    <w:tbl>
      <w:tblPr>
        <w:tblW w:w="5065" w:type="pct"/>
        <w:jc w:val="center"/>
        <w:tblLayout w:type="fixed"/>
        <w:tblCellMar>
          <w:left w:w="0" w:type="dxa"/>
          <w:right w:w="0" w:type="dxa"/>
        </w:tblCellMar>
        <w:tblLook w:val="04A0" w:firstRow="1" w:lastRow="0" w:firstColumn="1" w:lastColumn="0" w:noHBand="0" w:noVBand="1"/>
      </w:tblPr>
      <w:tblGrid>
        <w:gridCol w:w="3500"/>
        <w:gridCol w:w="958"/>
        <w:gridCol w:w="774"/>
        <w:gridCol w:w="927"/>
        <w:gridCol w:w="1329"/>
        <w:gridCol w:w="813"/>
        <w:gridCol w:w="918"/>
        <w:gridCol w:w="1312"/>
        <w:gridCol w:w="3639"/>
      </w:tblGrid>
      <w:tr w:rsidR="00296AE8" w:rsidRPr="00984390" w14:paraId="40DB8ACD" w14:textId="77777777" w:rsidTr="008645D5">
        <w:trPr>
          <w:trHeight w:val="4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44767355" w14:textId="24599E75" w:rsidR="00296AE8" w:rsidRPr="00984390" w:rsidRDefault="00296AE8" w:rsidP="00296AE8">
            <w:pPr>
              <w:pStyle w:val="Tablehead"/>
              <w:rPr>
                <w:rFonts w:cstheme="minorBidi"/>
                <w:color w:val="FFFF00"/>
                <w:lang w:val="ru-RU"/>
              </w:rPr>
            </w:pPr>
            <w:proofErr w:type="spellStart"/>
            <w:r w:rsidRPr="007E5717">
              <w:rPr>
                <w:lang w:val="ru-RU"/>
              </w:rPr>
              <w:lastRenderedPageBreak/>
              <w:t>JIU</w:t>
            </w:r>
            <w:proofErr w:type="spellEnd"/>
            <w:r w:rsidRPr="007E5717">
              <w:rPr>
                <w:lang w:val="ru-RU"/>
              </w:rPr>
              <w:t>/</w:t>
            </w:r>
            <w:proofErr w:type="spellStart"/>
            <w:r w:rsidRPr="007E5717">
              <w:rPr>
                <w:lang w:val="ru-RU"/>
              </w:rPr>
              <w:t>REP</w:t>
            </w:r>
            <w:proofErr w:type="spellEnd"/>
            <w:r w:rsidRPr="007E5717">
              <w:rPr>
                <w:lang w:val="ru-RU"/>
              </w:rPr>
              <w:t>/2023/3</w:t>
            </w:r>
            <w:r w:rsidRPr="00984390">
              <w:rPr>
                <w:lang w:val="ru-RU"/>
              </w:rPr>
              <w:t xml:space="preserve"> </w:t>
            </w:r>
            <w:hyperlink r:id="rId16" w:history="1">
              <w:r w:rsidRPr="007E5717">
                <w:rPr>
                  <w:rStyle w:val="Hyperlink"/>
                  <w:bCs/>
                  <w:lang w:val="ru-RU"/>
                </w:rPr>
                <w:t>Обзор систем подотчетности в организациях системы Организации Объединенных Наций</w:t>
              </w:r>
            </w:hyperlink>
            <w:r w:rsidRPr="00984390">
              <w:rPr>
                <w:lang w:val="ru-RU"/>
              </w:rPr>
              <w:t xml:space="preserve"> – Координатор МСЭ: Каталин Маринеску, </w:t>
            </w:r>
            <w:r w:rsidR="000719A6" w:rsidRPr="00451D84">
              <w:rPr>
                <w:lang w:val="ru-RU"/>
              </w:rPr>
              <w:br/>
            </w:r>
            <w:r w:rsidRPr="00984390">
              <w:rPr>
                <w:lang w:val="ru-RU"/>
              </w:rPr>
              <w:t>Мартин Филибер</w:t>
            </w:r>
            <w:bookmarkStart w:id="9" w:name="_Hlk148344601"/>
            <w:bookmarkEnd w:id="9"/>
          </w:p>
          <w:p w14:paraId="0F335F4B" w14:textId="294ACE15" w:rsidR="00296AE8" w:rsidRPr="00984390" w:rsidRDefault="000719A6" w:rsidP="00296AE8">
            <w:pPr>
              <w:pStyle w:val="Tablehead"/>
              <w:rPr>
                <w:rFonts w:cstheme="minorHAnsi"/>
              </w:rPr>
            </w:pPr>
            <w:r>
              <w:rPr>
                <w:rFonts w:ascii="Times New Roman" w:hAnsi="Times New Roman"/>
              </w:rPr>
              <w:t>•</w:t>
            </w:r>
            <w:r>
              <w:tab/>
            </w:r>
            <w:hyperlink r:id="rId17" w:history="1">
              <w:proofErr w:type="spellStart"/>
              <w:r w:rsidR="00296AE8" w:rsidRPr="007E5717">
                <w:rPr>
                  <w:rStyle w:val="Hyperlink"/>
                  <w:bCs/>
                </w:rPr>
                <w:t>Основные</w:t>
              </w:r>
              <w:proofErr w:type="spellEnd"/>
              <w:r w:rsidR="00296AE8" w:rsidRPr="007E5717">
                <w:rPr>
                  <w:rStyle w:val="Hyperlink"/>
                  <w:bCs/>
                </w:rPr>
                <w:t xml:space="preserve"> </w:t>
              </w:r>
              <w:proofErr w:type="spellStart"/>
              <w:r w:rsidR="00296AE8" w:rsidRPr="007E5717">
                <w:rPr>
                  <w:rStyle w:val="Hyperlink"/>
                  <w:bCs/>
                </w:rPr>
                <w:t>элементы</w:t>
              </w:r>
              <w:proofErr w:type="spellEnd"/>
              <w:r w:rsidR="00296AE8" w:rsidRPr="007E5717">
                <w:rPr>
                  <w:rStyle w:val="Hyperlink"/>
                  <w:bCs/>
                </w:rPr>
                <w:t xml:space="preserve"> </w:t>
              </w:r>
              <w:proofErr w:type="spellStart"/>
              <w:r w:rsidR="00296AE8" w:rsidRPr="007E5717">
                <w:rPr>
                  <w:rStyle w:val="Hyperlink"/>
                  <w:bCs/>
                </w:rPr>
                <w:t>обзора</w:t>
              </w:r>
              <w:proofErr w:type="spellEnd"/>
            </w:hyperlink>
          </w:p>
        </w:tc>
      </w:tr>
      <w:tr w:rsidR="00296AE8" w:rsidRPr="00984390" w14:paraId="4D487275" w14:textId="77777777" w:rsidTr="008645D5">
        <w:trPr>
          <w:cantSplit/>
          <w:trHeight w:val="291"/>
          <w:jc w:val="center"/>
        </w:trPr>
        <w:tc>
          <w:tcPr>
            <w:tcW w:w="1235"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168AA0C" w14:textId="77777777" w:rsidR="00296AE8" w:rsidRPr="00984390" w:rsidRDefault="00296AE8" w:rsidP="00296AE8">
            <w:pPr>
              <w:pStyle w:val="Tablehead"/>
              <w:rPr>
                <w:rFonts w:cstheme="minorHAnsi"/>
              </w:rPr>
            </w:pPr>
            <w:r w:rsidRPr="00984390">
              <w:rPr>
                <w:lang w:val="ru-RU"/>
              </w:rPr>
              <w:t>Рекомендация</w:t>
            </w:r>
          </w:p>
        </w:tc>
        <w:tc>
          <w:tcPr>
            <w:tcW w:w="1407"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7506473" w14:textId="77777777" w:rsidR="00296AE8" w:rsidRPr="00984390" w:rsidRDefault="00296AE8" w:rsidP="00296AE8">
            <w:pPr>
              <w:pStyle w:val="Tablehead"/>
              <w:rPr>
                <w:rFonts w:cstheme="minorHAnsi"/>
              </w:rPr>
            </w:pPr>
            <w:r>
              <w:rPr>
                <w:lang w:val="ru-RU"/>
              </w:rPr>
              <w:t>Принятие рекомендации</w:t>
            </w:r>
          </w:p>
        </w:tc>
        <w:tc>
          <w:tcPr>
            <w:tcW w:w="1073"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122A84AB" w14:textId="77777777" w:rsidR="00296AE8" w:rsidRPr="00984390" w:rsidRDefault="00296AE8" w:rsidP="00296AE8">
            <w:pPr>
              <w:pStyle w:val="Tablehead"/>
              <w:rPr>
                <w:rFonts w:cstheme="minorHAnsi"/>
              </w:rPr>
            </w:pPr>
            <w:r w:rsidRPr="00984390">
              <w:rPr>
                <w:lang w:val="ru-RU"/>
              </w:rPr>
              <w:t>Статус выполнения</w:t>
            </w:r>
          </w:p>
        </w:tc>
        <w:tc>
          <w:tcPr>
            <w:tcW w:w="1285"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4305563" w14:textId="77777777" w:rsidR="00296AE8" w:rsidRPr="00984390" w:rsidRDefault="00296AE8" w:rsidP="00296AE8">
            <w:pPr>
              <w:pStyle w:val="Tablehead"/>
              <w:rPr>
                <w:rFonts w:cstheme="minorHAnsi"/>
              </w:rPr>
            </w:pPr>
            <w:r w:rsidRPr="00984390">
              <w:rPr>
                <w:lang w:val="ru-RU"/>
              </w:rPr>
              <w:t>Комментарии</w:t>
            </w:r>
          </w:p>
        </w:tc>
      </w:tr>
      <w:tr w:rsidR="00296AE8" w:rsidRPr="00984390" w14:paraId="2FC2054C" w14:textId="77777777" w:rsidTr="00436A27">
        <w:trPr>
          <w:trHeight w:val="336"/>
          <w:jc w:val="center"/>
        </w:trPr>
        <w:tc>
          <w:tcPr>
            <w:tcW w:w="1235"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3102CEE6" w14:textId="474A5D62" w:rsidR="00296AE8" w:rsidRPr="00984390" w:rsidRDefault="00296AE8" w:rsidP="00451D84">
            <w:pPr>
              <w:pStyle w:val="Tablehead"/>
              <w:tabs>
                <w:tab w:val="clear" w:pos="3686"/>
                <w:tab w:val="left" w:pos="3286"/>
              </w:tabs>
              <w:jc w:val="left"/>
            </w:pPr>
            <w:r w:rsidRPr="00984390">
              <w:rPr>
                <w:lang w:val="ru-RU"/>
              </w:rPr>
              <w:t>Адресована директивным/</w:t>
            </w:r>
            <w:r w:rsidR="00451D84">
              <w:rPr>
                <w:lang w:val="en-US"/>
              </w:rPr>
              <w:t xml:space="preserve"> </w:t>
            </w:r>
            <w:r w:rsidRPr="00984390">
              <w:rPr>
                <w:lang w:val="ru-RU"/>
              </w:rPr>
              <w:t>руководящим органам</w:t>
            </w:r>
          </w:p>
        </w:tc>
        <w:tc>
          <w:tcPr>
            <w:tcW w:w="338"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3C81D81" w14:textId="1079E8BA" w:rsidR="00296AE8" w:rsidRPr="00984390" w:rsidRDefault="00296AE8" w:rsidP="00436A27">
            <w:pPr>
              <w:pStyle w:val="Tablehead"/>
              <w:jc w:val="left"/>
            </w:pPr>
            <w:r w:rsidRPr="00984390">
              <w:rPr>
                <w:lang w:val="ru-RU"/>
              </w:rPr>
              <w:t>Прини</w:t>
            </w:r>
            <w:r w:rsidR="00104D82">
              <w:rPr>
                <w:lang w:val="ru-RU"/>
              </w:rPr>
              <w:softHyphen/>
            </w:r>
            <w:r w:rsidRPr="00984390">
              <w:rPr>
                <w:lang w:val="ru-RU"/>
              </w:rPr>
              <w:t xml:space="preserve">мается </w:t>
            </w:r>
          </w:p>
        </w:tc>
        <w:tc>
          <w:tcPr>
            <w:tcW w:w="273"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3F20B06F" w14:textId="7ACC738D" w:rsidR="00296AE8" w:rsidRPr="00984390" w:rsidRDefault="00296AE8" w:rsidP="00436A27">
            <w:pPr>
              <w:pStyle w:val="Tablehead"/>
              <w:jc w:val="left"/>
            </w:pPr>
            <w:r w:rsidRPr="00984390">
              <w:rPr>
                <w:lang w:val="ru-RU"/>
              </w:rPr>
              <w:t>Не при</w:t>
            </w:r>
            <w:r w:rsidR="00104D82">
              <w:rPr>
                <w:lang w:val="ru-RU"/>
              </w:rPr>
              <w:softHyphen/>
            </w:r>
            <w:r w:rsidRPr="00984390">
              <w:rPr>
                <w:lang w:val="ru-RU"/>
              </w:rPr>
              <w:t>нима</w:t>
            </w:r>
            <w:r w:rsidR="00104D82">
              <w:rPr>
                <w:lang w:val="ru-RU"/>
              </w:rPr>
              <w:softHyphen/>
            </w:r>
            <w:r w:rsidRPr="00984390">
              <w:rPr>
                <w:lang w:val="ru-RU"/>
              </w:rPr>
              <w:t>ется</w:t>
            </w:r>
          </w:p>
        </w:tc>
        <w:tc>
          <w:tcPr>
            <w:tcW w:w="327"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641D729B" w14:textId="11EF6143" w:rsidR="00296AE8" w:rsidRPr="00984390" w:rsidRDefault="00296AE8" w:rsidP="00436A27">
            <w:pPr>
              <w:pStyle w:val="Tablehead"/>
              <w:jc w:val="left"/>
            </w:pPr>
            <w:r w:rsidRPr="00984390">
              <w:rPr>
                <w:lang w:val="ru-RU"/>
              </w:rPr>
              <w:t>Непри</w:t>
            </w:r>
            <w:r w:rsidR="00104D82">
              <w:rPr>
                <w:lang w:val="ru-RU"/>
              </w:rPr>
              <w:softHyphen/>
            </w:r>
            <w:r w:rsidRPr="00451D84">
              <w:rPr>
                <w:spacing w:val="-4"/>
                <w:lang w:val="ru-RU"/>
              </w:rPr>
              <w:t>менимо</w:t>
            </w:r>
          </w:p>
        </w:tc>
        <w:tc>
          <w:tcPr>
            <w:tcW w:w="469"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58C28DCE" w14:textId="7D8B93FD" w:rsidR="00296AE8" w:rsidRPr="00984390" w:rsidRDefault="00296AE8" w:rsidP="00436A27">
            <w:pPr>
              <w:pStyle w:val="Tablehead"/>
              <w:jc w:val="left"/>
            </w:pPr>
            <w:r w:rsidRPr="00451D84">
              <w:rPr>
                <w:spacing w:val="-4"/>
                <w:lang w:val="ru-RU"/>
              </w:rPr>
              <w:t>Необходи</w:t>
            </w:r>
            <w:r w:rsidR="00104D82" w:rsidRPr="00451D84">
              <w:rPr>
                <w:spacing w:val="-4"/>
                <w:lang w:val="ru-RU"/>
              </w:rPr>
              <w:softHyphen/>
            </w:r>
            <w:r w:rsidRPr="00451D84">
              <w:rPr>
                <w:spacing w:val="-4"/>
                <w:lang w:val="ru-RU"/>
              </w:rPr>
              <w:t xml:space="preserve">мо </w:t>
            </w:r>
            <w:r w:rsidRPr="00984390">
              <w:rPr>
                <w:lang w:val="ru-RU"/>
              </w:rPr>
              <w:t>дальнейшее рассмотре</w:t>
            </w:r>
            <w:r w:rsidR="00104D82">
              <w:rPr>
                <w:lang w:val="ru-RU"/>
              </w:rPr>
              <w:softHyphen/>
            </w:r>
            <w:r w:rsidRPr="00984390">
              <w:rPr>
                <w:lang w:val="ru-RU"/>
              </w:rPr>
              <w:t>ние</w:t>
            </w:r>
          </w:p>
        </w:tc>
        <w:tc>
          <w:tcPr>
            <w:tcW w:w="287"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3AC70E73" w14:textId="77777777" w:rsidR="00296AE8" w:rsidRPr="00984390" w:rsidRDefault="00296AE8" w:rsidP="00436A27">
            <w:pPr>
              <w:pStyle w:val="Tablehead"/>
              <w:jc w:val="left"/>
            </w:pPr>
            <w:r w:rsidRPr="00984390">
              <w:rPr>
                <w:lang w:val="ru-RU"/>
              </w:rPr>
              <w:t xml:space="preserve">Не начато </w:t>
            </w:r>
          </w:p>
        </w:tc>
        <w:tc>
          <w:tcPr>
            <w:tcW w:w="324"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018219DD" w14:textId="2FE1EED4" w:rsidR="00296AE8" w:rsidRPr="00984390" w:rsidRDefault="00296AE8" w:rsidP="00436A27">
            <w:pPr>
              <w:pStyle w:val="Tablehead"/>
              <w:jc w:val="left"/>
            </w:pPr>
            <w:r w:rsidRPr="00984390">
              <w:rPr>
                <w:lang w:val="ru-RU"/>
              </w:rPr>
              <w:t>Выпол</w:t>
            </w:r>
            <w:r w:rsidR="00104D82">
              <w:rPr>
                <w:lang w:val="ru-RU"/>
              </w:rPr>
              <w:softHyphen/>
            </w:r>
            <w:r w:rsidRPr="00984390">
              <w:rPr>
                <w:lang w:val="ru-RU"/>
              </w:rPr>
              <w:t>няется</w:t>
            </w:r>
          </w:p>
        </w:tc>
        <w:tc>
          <w:tcPr>
            <w:tcW w:w="463"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726DCB8" w14:textId="77777777" w:rsidR="00296AE8" w:rsidRPr="00984390" w:rsidRDefault="00296AE8" w:rsidP="00436A27">
            <w:pPr>
              <w:pStyle w:val="Tablehead"/>
              <w:jc w:val="left"/>
            </w:pPr>
            <w:r w:rsidRPr="00984390">
              <w:rPr>
                <w:lang w:val="ru-RU"/>
              </w:rPr>
              <w:t>Выполнена</w:t>
            </w:r>
          </w:p>
        </w:tc>
        <w:tc>
          <w:tcPr>
            <w:tcW w:w="1285"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8EE69D8" w14:textId="77777777" w:rsidR="00296AE8" w:rsidRPr="00984390" w:rsidRDefault="00000000" w:rsidP="000719A6">
            <w:pPr>
              <w:pStyle w:val="Tablehead"/>
              <w:rPr>
                <w:lang w:val="ru-RU"/>
              </w:rPr>
            </w:pPr>
            <w:hyperlink r:id="rId18" w:history="1">
              <w:r w:rsidR="00296AE8" w:rsidRPr="007E5717">
                <w:rPr>
                  <w:rStyle w:val="Hyperlink"/>
                  <w:bCs/>
                  <w:lang w:val="ru-RU"/>
                </w:rPr>
                <w:t>Комментарии Координационного совета руководителей (КСР)</w:t>
              </w:r>
            </w:hyperlink>
            <w:r w:rsidR="00296AE8" w:rsidRPr="00984390">
              <w:rPr>
                <w:lang w:val="ru-RU"/>
              </w:rPr>
              <w:t xml:space="preserve"> </w:t>
            </w:r>
          </w:p>
          <w:p w14:paraId="5D5F512B" w14:textId="77777777" w:rsidR="00296AE8" w:rsidRPr="00984390" w:rsidRDefault="00296AE8" w:rsidP="000719A6">
            <w:pPr>
              <w:pStyle w:val="Tablehead"/>
              <w:rPr>
                <w:color w:val="000000"/>
                <w:lang w:val="ru-RU"/>
              </w:rPr>
            </w:pPr>
            <w:r w:rsidRPr="00984390">
              <w:rPr>
                <w:lang w:val="ru-RU"/>
              </w:rPr>
              <w:t>___</w:t>
            </w:r>
          </w:p>
          <w:p w14:paraId="2CB9C653" w14:textId="77777777" w:rsidR="00296AE8" w:rsidRPr="00984390" w:rsidRDefault="00296AE8" w:rsidP="000719A6">
            <w:pPr>
              <w:pStyle w:val="Tablehead"/>
              <w:rPr>
                <w:color w:val="000000"/>
                <w:lang w:val="ru-RU"/>
              </w:rPr>
            </w:pPr>
            <w:r w:rsidRPr="00984390">
              <w:rPr>
                <w:lang w:val="ru-RU"/>
              </w:rPr>
              <w:t>Комментарии МСЭ об актуальности и последствиях для финансовых и людских ресурсов</w:t>
            </w:r>
          </w:p>
          <w:p w14:paraId="6DFA209C" w14:textId="77777777" w:rsidR="00296AE8" w:rsidRPr="00984390" w:rsidRDefault="00296AE8" w:rsidP="000719A6">
            <w:pPr>
              <w:pStyle w:val="Tablehead"/>
            </w:pPr>
            <w:r w:rsidRPr="00984390">
              <w:rPr>
                <w:lang w:val="ru-RU"/>
              </w:rPr>
              <w:t>(см. ниже)</w:t>
            </w:r>
          </w:p>
        </w:tc>
      </w:tr>
      <w:tr w:rsidR="00296AE8" w:rsidRPr="00F631F2" w14:paraId="59D3869C" w14:textId="77777777" w:rsidTr="000719A6">
        <w:trPr>
          <w:trHeight w:val="60"/>
          <w:jc w:val="center"/>
        </w:trPr>
        <w:tc>
          <w:tcPr>
            <w:tcW w:w="1235"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4151FB91" w14:textId="207B146B" w:rsidR="00296AE8" w:rsidRPr="00984390" w:rsidRDefault="00296AE8" w:rsidP="00296AE8">
            <w:pPr>
              <w:pStyle w:val="Tabletext"/>
              <w:rPr>
                <w:rFonts w:cstheme="minorHAnsi"/>
                <w:color w:val="000000"/>
                <w:lang w:val="ru-RU"/>
              </w:rPr>
            </w:pPr>
            <w:bookmarkStart w:id="10" w:name="_Hlk147837486"/>
            <w:r w:rsidRPr="00296AE8">
              <w:rPr>
                <w:b/>
                <w:bCs/>
                <w:lang w:val="ru-RU"/>
              </w:rPr>
              <w:t>Рекомендация 1</w:t>
            </w:r>
            <w:r>
              <w:rPr>
                <w:lang w:val="ru-RU"/>
              </w:rPr>
              <w:t>.</w:t>
            </w:r>
            <w:r w:rsidRPr="00984390">
              <w:rPr>
                <w:lang w:val="ru-RU"/>
              </w:rPr>
              <w:t xml:space="preserve"> </w:t>
            </w:r>
            <w:r>
              <w:rPr>
                <w:lang w:val="ru-RU"/>
              </w:rPr>
              <w:t>Д</w:t>
            </w:r>
            <w:r w:rsidRPr="00984390">
              <w:rPr>
                <w:lang w:val="ru-RU"/>
              </w:rPr>
              <w:t>ирективным и/или руководящим органам организаций системы Организации Объединенных Наций следует предложить их административным руководителям оценить систему подотчетности своей организации в сопоставлении с обновленной типовой системой подотчетности ОИГ и при необходимости скорректировать ее к концу 2024</w:t>
            </w:r>
            <w:r w:rsidR="00451D84">
              <w:rPr>
                <w:lang w:val="en-US"/>
              </w:rPr>
              <w:t> </w:t>
            </w:r>
            <w:r w:rsidRPr="00984390">
              <w:rPr>
                <w:lang w:val="ru-RU"/>
              </w:rPr>
              <w:t>года.</w:t>
            </w:r>
          </w:p>
        </w:tc>
        <w:tc>
          <w:tcPr>
            <w:tcW w:w="33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2CC40B" w14:textId="77777777" w:rsidR="00296AE8" w:rsidRPr="000719A6" w:rsidRDefault="00296AE8" w:rsidP="000719A6">
            <w:pPr>
              <w:pStyle w:val="Tabletext"/>
              <w:jc w:val="center"/>
              <w:rPr>
                <w:rFonts w:cstheme="minorHAnsi"/>
                <w:b/>
                <w:bCs/>
              </w:rPr>
            </w:pPr>
            <w:r w:rsidRPr="000719A6">
              <w:rPr>
                <w:b/>
                <w:bCs/>
                <w:lang w:val="ru-RU"/>
              </w:rPr>
              <w:t>X</w:t>
            </w:r>
          </w:p>
        </w:tc>
        <w:tc>
          <w:tcPr>
            <w:tcW w:w="27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D698FB9" w14:textId="77777777" w:rsidR="00296AE8" w:rsidRPr="000719A6" w:rsidRDefault="00296AE8" w:rsidP="000719A6">
            <w:pPr>
              <w:pStyle w:val="Tabletext"/>
              <w:jc w:val="center"/>
              <w:rPr>
                <w:rFonts w:cstheme="minorHAnsi"/>
                <w:b/>
                <w:bCs/>
              </w:rPr>
            </w:pPr>
          </w:p>
        </w:tc>
        <w:tc>
          <w:tcPr>
            <w:tcW w:w="32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5BB68C0" w14:textId="77777777" w:rsidR="00296AE8" w:rsidRPr="000719A6" w:rsidRDefault="00296AE8" w:rsidP="000719A6">
            <w:pPr>
              <w:pStyle w:val="Tabletext"/>
              <w:jc w:val="center"/>
              <w:rPr>
                <w:rFonts w:eastAsia="SimSun" w:cstheme="minorHAnsi"/>
                <w:b/>
                <w:bCs/>
              </w:rPr>
            </w:pP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AE6A19" w14:textId="77777777" w:rsidR="00296AE8" w:rsidRPr="000719A6" w:rsidRDefault="00296AE8" w:rsidP="000719A6">
            <w:pPr>
              <w:pStyle w:val="Tabletext"/>
              <w:jc w:val="center"/>
              <w:rPr>
                <w:rFonts w:cstheme="minorHAnsi"/>
                <w:b/>
                <w:bCs/>
              </w:rPr>
            </w:pPr>
          </w:p>
        </w:tc>
        <w:tc>
          <w:tcPr>
            <w:tcW w:w="2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B29293B" w14:textId="77777777" w:rsidR="00296AE8" w:rsidRPr="000719A6" w:rsidRDefault="00296AE8" w:rsidP="000719A6">
            <w:pPr>
              <w:pStyle w:val="Tabletext"/>
              <w:jc w:val="center"/>
              <w:rPr>
                <w:rFonts w:cstheme="minorBidi"/>
                <w:b/>
                <w:bCs/>
              </w:rPr>
            </w:pPr>
          </w:p>
        </w:tc>
        <w:tc>
          <w:tcPr>
            <w:tcW w:w="3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A97ED4A" w14:textId="6B2B537E" w:rsidR="00296AE8" w:rsidRPr="000719A6" w:rsidRDefault="00296AE8" w:rsidP="000719A6">
            <w:pPr>
              <w:pStyle w:val="Tabletext"/>
              <w:jc w:val="center"/>
              <w:rPr>
                <w:rFonts w:cstheme="minorBidi"/>
                <w:b/>
                <w:bCs/>
              </w:rPr>
            </w:pPr>
            <w:r w:rsidRPr="000719A6">
              <w:rPr>
                <w:b/>
                <w:bCs/>
                <w:lang w:val="ru-RU"/>
              </w:rPr>
              <w:t>X</w:t>
            </w:r>
          </w:p>
        </w:tc>
        <w:tc>
          <w:tcPr>
            <w:tcW w:w="46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176F8EF" w14:textId="77777777" w:rsidR="00296AE8" w:rsidRPr="000719A6" w:rsidRDefault="00296AE8" w:rsidP="000719A6">
            <w:pPr>
              <w:pStyle w:val="Tabletext"/>
              <w:jc w:val="center"/>
              <w:rPr>
                <w:rFonts w:cstheme="minorHAnsi"/>
                <w:b/>
                <w:bCs/>
              </w:rPr>
            </w:pPr>
          </w:p>
        </w:tc>
        <w:tc>
          <w:tcPr>
            <w:tcW w:w="128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C38ECD8" w14:textId="77777777" w:rsidR="00296AE8" w:rsidRPr="00984390" w:rsidRDefault="00296AE8" w:rsidP="00296AE8">
            <w:pPr>
              <w:pStyle w:val="Tabletext"/>
              <w:rPr>
                <w:rFonts w:eastAsia="SimSun" w:cstheme="minorHAnsi"/>
                <w:i/>
                <w:iCs/>
                <w:lang w:val="ru-RU"/>
              </w:rPr>
            </w:pPr>
            <w:r w:rsidRPr="000719A6">
              <w:rPr>
                <w:b/>
                <w:bCs/>
                <w:u w:val="single"/>
                <w:lang w:val="ru-RU"/>
              </w:rPr>
              <w:t>КСР</w:t>
            </w:r>
            <w:r w:rsidRPr="00984390">
              <w:rPr>
                <w:lang w:val="ru-RU"/>
              </w:rPr>
              <w:t xml:space="preserve">: </w:t>
            </w:r>
            <w:r w:rsidRPr="00451D84">
              <w:rPr>
                <w:lang w:val="ru-RU"/>
              </w:rPr>
              <w:t>"</w:t>
            </w:r>
            <w:r w:rsidRPr="0015798D">
              <w:rPr>
                <w:i/>
                <w:iCs/>
                <w:lang w:val="ru-RU"/>
              </w:rPr>
              <w:t xml:space="preserve">Организации отмечают, что данная рекомендация адресована их директивным и руководящим органам. </w:t>
            </w:r>
            <w:r w:rsidRPr="005A68E0">
              <w:rPr>
                <w:rFonts w:eastAsia="SimSun" w:cstheme="minorHAnsi"/>
                <w:i/>
                <w:iCs/>
                <w:lang w:val="ru-RU"/>
              </w:rPr>
              <w:t xml:space="preserve">Организации придают важное значение обновлению своих систем подотчетности […] и высоко оценивают работу Объединенной инспекционной группы по подготовке обновленной типовой модели и контрольных показателей. Однако при этом они отмечают, что универсального подхода не существует, и, используя модель Группы в качестве эталона, [они] должны учитывать свои особенности, чтобы обеспечить возможность ее гибкого и адаптивного применения. При этом организации могут ориентироваться на задействование и объединение существующих механизмов осуществления деятельности, оценки результатов и отчетности, а не создавать отдельную систему подотчетности. […] Организации </w:t>
            </w:r>
            <w:r w:rsidRPr="005A68E0">
              <w:rPr>
                <w:rFonts w:eastAsia="SimSun" w:cstheme="minorHAnsi"/>
                <w:i/>
                <w:iCs/>
                <w:lang w:val="ru-RU"/>
              </w:rPr>
              <w:lastRenderedPageBreak/>
              <w:t>предлагают установить более длительные сроки (например, до конца 2026</w:t>
            </w:r>
            <w:r w:rsidRPr="003D05BB">
              <w:rPr>
                <w:rFonts w:eastAsia="SimSun" w:cstheme="minorHAnsi"/>
                <w:i/>
                <w:iCs/>
                <w:lang w:val="en-US"/>
              </w:rPr>
              <w:t> </w:t>
            </w:r>
            <w:r w:rsidRPr="005A68E0">
              <w:rPr>
                <w:rFonts w:eastAsia="SimSun" w:cstheme="minorHAnsi"/>
                <w:i/>
                <w:iCs/>
                <w:lang w:val="ru-RU"/>
              </w:rPr>
              <w:t>года), с тем чтобы дать […] достаточно времени для оценки своей существующей системы, проведения внутренних консультаций [и] консультаций с различными руководящими и консультативными органами, обновления системы и получения необходимых согласований для ее внедрения</w:t>
            </w:r>
            <w:r w:rsidRPr="00451D84">
              <w:rPr>
                <w:lang w:val="ru-RU"/>
              </w:rPr>
              <w:t>"</w:t>
            </w:r>
            <w:r w:rsidRPr="00984390">
              <w:rPr>
                <w:i/>
                <w:iCs/>
                <w:lang w:val="ru-RU"/>
              </w:rPr>
              <w:t>.</w:t>
            </w:r>
          </w:p>
          <w:p w14:paraId="2EE31CC5" w14:textId="12577836" w:rsidR="00296AE8" w:rsidRPr="00984390" w:rsidRDefault="00296AE8" w:rsidP="00296AE8">
            <w:pPr>
              <w:pStyle w:val="Tabletext"/>
              <w:rPr>
                <w:rFonts w:eastAsia="SimSun" w:cstheme="minorHAnsi"/>
                <w:lang w:val="ru-RU"/>
              </w:rPr>
            </w:pPr>
            <w:r w:rsidRPr="000719A6">
              <w:rPr>
                <w:b/>
                <w:bCs/>
                <w:u w:val="single"/>
                <w:lang w:val="ru-RU"/>
              </w:rPr>
              <w:t>МСЭ</w:t>
            </w:r>
            <w:r w:rsidRPr="00984390">
              <w:rPr>
                <w:lang w:val="ru-RU"/>
              </w:rPr>
              <w:t xml:space="preserve">: </w:t>
            </w:r>
            <w:r w:rsidR="00451D84">
              <w:rPr>
                <w:lang w:val="ru-RU"/>
              </w:rPr>
              <w:t>Н</w:t>
            </w:r>
            <w:r w:rsidRPr="00451D84">
              <w:rPr>
                <w:lang w:val="ru-RU"/>
              </w:rPr>
              <w:t>едавно</w:t>
            </w:r>
            <w:r w:rsidRPr="00984390">
              <w:rPr>
                <w:lang w:val="ru-RU"/>
              </w:rPr>
              <w:t xml:space="preserve"> Советом-22 была утверждена новая модель и система подотчетности МСЭ (СП МСЭ). Совет может пожелать, чтобы на последующих сессиях Совета была проведена оценка контрольных параметров относительно новой типовой модели ОИГ. Эта оценка может быть сосредоточена на тех элементах новой типовой модели, которые наилучшим образом "приспособлены" и будут наилучшим образом отвечать мандату и оперативному контексту МСЭ. </w:t>
            </w:r>
          </w:p>
        </w:tc>
      </w:tr>
      <w:tr w:rsidR="00296AE8" w:rsidRPr="00F631F2" w14:paraId="233CB473" w14:textId="77777777" w:rsidTr="008645D5">
        <w:trPr>
          <w:trHeight w:val="473"/>
          <w:jc w:val="center"/>
        </w:trPr>
        <w:tc>
          <w:tcPr>
            <w:tcW w:w="1235"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22DFEEBB" w14:textId="77777777" w:rsidR="00296AE8" w:rsidRPr="00984390" w:rsidRDefault="00296AE8" w:rsidP="00296AE8">
            <w:pPr>
              <w:pStyle w:val="Tabletext"/>
              <w:rPr>
                <w:rFonts w:cstheme="minorHAnsi"/>
                <w:color w:val="000000"/>
                <w:lang w:val="ru-RU"/>
              </w:rPr>
            </w:pPr>
            <w:r w:rsidRPr="00FD62CE">
              <w:rPr>
                <w:b/>
                <w:bCs/>
                <w:lang w:val="ru-RU"/>
              </w:rPr>
              <w:lastRenderedPageBreak/>
              <w:t>Рекомендация 2</w:t>
            </w:r>
            <w:r>
              <w:rPr>
                <w:lang w:val="ru-RU"/>
              </w:rPr>
              <w:t>.</w:t>
            </w:r>
            <w:r w:rsidRPr="00984390">
              <w:rPr>
                <w:lang w:val="ru-RU"/>
              </w:rPr>
              <w:t xml:space="preserve"> </w:t>
            </w:r>
            <w:r>
              <w:rPr>
                <w:lang w:val="ru-RU"/>
              </w:rPr>
              <w:t>Н</w:t>
            </w:r>
            <w:r w:rsidRPr="00984390">
              <w:rPr>
                <w:lang w:val="ru-RU"/>
              </w:rPr>
              <w:t>ачиная с 2025 года директивны</w:t>
            </w:r>
            <w:r>
              <w:rPr>
                <w:lang w:val="ru-RU"/>
              </w:rPr>
              <w:t>м</w:t>
            </w:r>
            <w:r w:rsidRPr="00984390">
              <w:rPr>
                <w:lang w:val="ru-RU"/>
              </w:rPr>
              <w:t xml:space="preserve"> и/или руководящи</w:t>
            </w:r>
            <w:r>
              <w:rPr>
                <w:lang w:val="ru-RU"/>
              </w:rPr>
              <w:t>м</w:t>
            </w:r>
            <w:r w:rsidRPr="00984390">
              <w:rPr>
                <w:lang w:val="ru-RU"/>
              </w:rPr>
              <w:t xml:space="preserve"> орган</w:t>
            </w:r>
            <w:r>
              <w:rPr>
                <w:lang w:val="ru-RU"/>
              </w:rPr>
              <w:t>ам</w:t>
            </w:r>
            <w:r w:rsidRPr="00984390">
              <w:rPr>
                <w:lang w:val="ru-RU"/>
              </w:rPr>
              <w:t xml:space="preserve"> организаций системы Организации Объединенных Наций </w:t>
            </w:r>
            <w:r>
              <w:rPr>
                <w:lang w:val="ru-RU"/>
              </w:rPr>
              <w:t xml:space="preserve">следует </w:t>
            </w:r>
            <w:r w:rsidRPr="00984390">
              <w:rPr>
                <w:lang w:val="ru-RU"/>
              </w:rPr>
              <w:t xml:space="preserve">обеспечить, чтобы планами надзорной деятельности подразделений внутреннего надзора в разумные сроки были охвачены все элементы их соответствующей системы подотчетности и чтобы в случае неполного охвата было представлено обоснование. </w:t>
            </w:r>
          </w:p>
        </w:tc>
        <w:tc>
          <w:tcPr>
            <w:tcW w:w="33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3D65088" w14:textId="77777777" w:rsidR="00296AE8" w:rsidRPr="00FD62CE" w:rsidRDefault="00296AE8" w:rsidP="00FD62CE">
            <w:pPr>
              <w:pStyle w:val="Tabletext"/>
              <w:jc w:val="center"/>
              <w:rPr>
                <w:rFonts w:cstheme="minorHAnsi"/>
                <w:b/>
                <w:bCs/>
                <w:lang w:val="ru-RU"/>
              </w:rPr>
            </w:pPr>
          </w:p>
        </w:tc>
        <w:tc>
          <w:tcPr>
            <w:tcW w:w="27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FDC27A7" w14:textId="77777777" w:rsidR="00296AE8" w:rsidRPr="00FD62CE" w:rsidRDefault="00296AE8" w:rsidP="00FD62CE">
            <w:pPr>
              <w:pStyle w:val="Tabletext"/>
              <w:jc w:val="center"/>
              <w:rPr>
                <w:rFonts w:cstheme="minorHAnsi"/>
                <w:b/>
                <w:bCs/>
              </w:rPr>
            </w:pPr>
            <w:r w:rsidRPr="00FD62CE">
              <w:rPr>
                <w:b/>
                <w:bCs/>
                <w:lang w:val="ru-RU"/>
              </w:rPr>
              <w:t>X</w:t>
            </w:r>
          </w:p>
        </w:tc>
        <w:tc>
          <w:tcPr>
            <w:tcW w:w="32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EA1EFD" w14:textId="77777777" w:rsidR="00296AE8" w:rsidRPr="00FD62CE" w:rsidRDefault="00296AE8" w:rsidP="00FD62CE">
            <w:pPr>
              <w:pStyle w:val="Tabletext"/>
              <w:jc w:val="center"/>
              <w:rPr>
                <w:rFonts w:cstheme="minorHAnsi"/>
                <w:b/>
                <w:bCs/>
              </w:rPr>
            </w:pPr>
          </w:p>
        </w:tc>
        <w:tc>
          <w:tcPr>
            <w:tcW w:w="46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FB3AA45" w14:textId="77777777" w:rsidR="00296AE8" w:rsidRPr="00FD62CE" w:rsidRDefault="00296AE8" w:rsidP="00FD62CE">
            <w:pPr>
              <w:pStyle w:val="Tabletext"/>
              <w:jc w:val="center"/>
              <w:rPr>
                <w:rFonts w:cstheme="minorHAnsi"/>
                <w:b/>
                <w:bCs/>
              </w:rPr>
            </w:pPr>
          </w:p>
        </w:tc>
        <w:tc>
          <w:tcPr>
            <w:tcW w:w="287"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981B84" w14:textId="77777777" w:rsidR="00296AE8" w:rsidRPr="00FD62CE" w:rsidRDefault="00296AE8" w:rsidP="00FD62CE">
            <w:pPr>
              <w:pStyle w:val="Tabletext"/>
              <w:jc w:val="center"/>
              <w:rPr>
                <w:rFonts w:cstheme="minorHAnsi"/>
                <w:b/>
                <w:bCs/>
              </w:rPr>
            </w:pPr>
            <w:r w:rsidRPr="00FD62CE">
              <w:rPr>
                <w:b/>
                <w:bCs/>
                <w:lang w:val="ru-RU"/>
              </w:rPr>
              <w:t>X</w:t>
            </w:r>
          </w:p>
        </w:tc>
        <w:tc>
          <w:tcPr>
            <w:tcW w:w="324"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86479F0" w14:textId="77777777" w:rsidR="00296AE8" w:rsidRPr="00FD62CE" w:rsidRDefault="00296AE8" w:rsidP="00FD62CE">
            <w:pPr>
              <w:pStyle w:val="Tabletext"/>
              <w:jc w:val="center"/>
              <w:rPr>
                <w:rFonts w:cstheme="minorHAnsi"/>
                <w:b/>
                <w:bCs/>
              </w:rPr>
            </w:pPr>
          </w:p>
        </w:tc>
        <w:tc>
          <w:tcPr>
            <w:tcW w:w="463"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1A69DA3" w14:textId="77777777" w:rsidR="00296AE8" w:rsidRPr="00FD62CE" w:rsidRDefault="00296AE8" w:rsidP="00FD62CE">
            <w:pPr>
              <w:pStyle w:val="Tabletext"/>
              <w:jc w:val="center"/>
              <w:rPr>
                <w:rFonts w:eastAsia="SimSun" w:cstheme="minorHAnsi"/>
                <w:b/>
                <w:bCs/>
              </w:rPr>
            </w:pPr>
          </w:p>
        </w:tc>
        <w:tc>
          <w:tcPr>
            <w:tcW w:w="128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FFA71EC" w14:textId="12223FDA" w:rsidR="00296AE8" w:rsidRPr="00AE5E26" w:rsidRDefault="00296AE8" w:rsidP="00296AE8">
            <w:pPr>
              <w:pStyle w:val="Tabletext"/>
              <w:rPr>
                <w:lang w:val="ru-RU"/>
              </w:rPr>
            </w:pPr>
            <w:r w:rsidRPr="00FD62CE">
              <w:rPr>
                <w:b/>
                <w:bCs/>
                <w:u w:val="single"/>
                <w:lang w:val="ru-RU"/>
              </w:rPr>
              <w:t>КСР</w:t>
            </w:r>
            <w:r w:rsidRPr="00984390">
              <w:rPr>
                <w:lang w:val="ru-RU"/>
              </w:rPr>
              <w:t xml:space="preserve">: </w:t>
            </w:r>
            <w:r w:rsidR="00451D84" w:rsidRPr="00451D84">
              <w:rPr>
                <w:rFonts w:ascii="Times New Roman" w:hAnsi="Times New Roman"/>
                <w:lang w:val="ru-RU"/>
              </w:rPr>
              <w:t>"</w:t>
            </w:r>
            <w:r w:rsidRPr="00FD62CE">
              <w:rPr>
                <w:i/>
                <w:iCs/>
                <w:lang w:val="ru-RU"/>
              </w:rPr>
              <w:t xml:space="preserve">Организации отмечают, что данная рекомендация адресована их директивным и руководящим органам. Некоторые организации считают, что рекомендация обеспечить охват внутренним надзором всех элементов системы подотчетности противоречит подходу, основанному на оценке рисков, который направляет усилия […] по надзору на те области, где риск высок и где […] рекомендации надзорных органов могут принести наибольшую отдачу. […] Организации </w:t>
            </w:r>
            <w:r w:rsidRPr="00FD62CE">
              <w:rPr>
                <w:i/>
                <w:iCs/>
                <w:lang w:val="ru-RU"/>
              </w:rPr>
              <w:lastRenderedPageBreak/>
              <w:t>особо отмечают далее, что инстанции</w:t>
            </w:r>
            <w:r w:rsidRPr="00AE5E26">
              <w:rPr>
                <w:lang w:val="ru-RU"/>
              </w:rPr>
              <w:t xml:space="preserve"> </w:t>
            </w:r>
            <w:r w:rsidRPr="00FD62CE">
              <w:rPr>
                <w:i/>
                <w:iCs/>
                <w:lang w:val="ru-RU"/>
              </w:rPr>
              <w:t xml:space="preserve">внутреннего надзора должны сохранять независимость и […] что система подотчетности будет одним из нескольких факторов для рассмотрения. […] Организации считают предложенный срок нереалистичным […] и предлагают изменить его формулировку фразой </w:t>
            </w:r>
            <w:r w:rsidR="00451D84">
              <w:rPr>
                <w:rFonts w:cs="Calibri"/>
                <w:i/>
                <w:iCs/>
                <w:lang w:val="ru-RU"/>
              </w:rPr>
              <w:t>«</w:t>
            </w:r>
            <w:r w:rsidRPr="00FD62CE">
              <w:rPr>
                <w:i/>
                <w:iCs/>
                <w:lang w:val="ru-RU"/>
              </w:rPr>
              <w:t>начиная с 2027 года</w:t>
            </w:r>
            <w:r w:rsidR="00451D84">
              <w:rPr>
                <w:rFonts w:cs="Calibri"/>
                <w:i/>
                <w:iCs/>
                <w:lang w:val="ru-RU"/>
              </w:rPr>
              <w:t>»</w:t>
            </w:r>
            <w:r w:rsidR="00451D84">
              <w:rPr>
                <w:i/>
                <w:iCs/>
                <w:lang w:val="ru-RU"/>
              </w:rPr>
              <w:t>"</w:t>
            </w:r>
            <w:r w:rsidRPr="00AE5E26">
              <w:rPr>
                <w:lang w:val="ru-RU"/>
              </w:rPr>
              <w:t>.</w:t>
            </w:r>
          </w:p>
          <w:p w14:paraId="55F1404D" w14:textId="77777777" w:rsidR="00296AE8" w:rsidRPr="00984390" w:rsidRDefault="00296AE8" w:rsidP="00296AE8">
            <w:pPr>
              <w:pStyle w:val="Tabletext"/>
              <w:rPr>
                <w:rFonts w:cstheme="minorBidi"/>
                <w:lang w:val="ru-RU"/>
              </w:rPr>
            </w:pPr>
            <w:r w:rsidRPr="00FD62CE">
              <w:rPr>
                <w:b/>
                <w:bCs/>
                <w:u w:val="single"/>
                <w:lang w:val="ru-RU"/>
              </w:rPr>
              <w:t>МСЭ</w:t>
            </w:r>
            <w:r w:rsidRPr="00FD62CE">
              <w:rPr>
                <w:lang w:val="ru-RU"/>
              </w:rPr>
              <w:t xml:space="preserve">: </w:t>
            </w:r>
            <w:r w:rsidRPr="00984390">
              <w:rPr>
                <w:lang w:val="ru-RU"/>
              </w:rPr>
              <w:t>Совет-23 утвердил новое подразделение по надзору. Совету-24 будет представлен устав внутреннего надзора, в котором, скорее всего, будет предусмотрена независимость функции надзора и проведение аудиторских проверок в соответствии со стандартами ИВА, которые требуют подхода, основанного на оценке рисков, и планы для содействия МСЭ в достижении его стратегических целей (которые могут включать или не включать все компоненты СП). Таким образом, в соответствии с решением Совета-23, включая обсуждения устава внутреннего аудита в РГС-ФЛР в октябре 2023 года, Совет может посчитать, что необходимость принимать эту рекомендацию отсутствует.</w:t>
            </w:r>
          </w:p>
        </w:tc>
      </w:tr>
      <w:bookmarkEnd w:id="10"/>
    </w:tbl>
    <w:p w14:paraId="26F56C3C" w14:textId="21E0DBC2" w:rsidR="00296AE8" w:rsidRPr="00451D84" w:rsidRDefault="00296AE8" w:rsidP="00296AE8">
      <w:pPr>
        <w:rPr>
          <w:lang w:val="ru-RU"/>
        </w:rPr>
      </w:pPr>
      <w:r w:rsidRPr="00451D84">
        <w:rPr>
          <w:lang w:val="ru-RU"/>
        </w:rPr>
        <w:lastRenderedPageBreak/>
        <w:br w:type="page"/>
      </w:r>
    </w:p>
    <w:tbl>
      <w:tblPr>
        <w:tblW w:w="5065" w:type="pct"/>
        <w:jc w:val="center"/>
        <w:tblLayout w:type="fixed"/>
        <w:tblCellMar>
          <w:left w:w="0" w:type="dxa"/>
          <w:right w:w="0" w:type="dxa"/>
        </w:tblCellMar>
        <w:tblLook w:val="04A0" w:firstRow="1" w:lastRow="0" w:firstColumn="1" w:lastColumn="0" w:noHBand="0" w:noVBand="1"/>
      </w:tblPr>
      <w:tblGrid>
        <w:gridCol w:w="3551"/>
        <w:gridCol w:w="782"/>
        <w:gridCol w:w="782"/>
        <w:gridCol w:w="949"/>
        <w:gridCol w:w="1357"/>
        <w:gridCol w:w="828"/>
        <w:gridCol w:w="930"/>
        <w:gridCol w:w="1338"/>
        <w:gridCol w:w="3653"/>
      </w:tblGrid>
      <w:tr w:rsidR="00904C90" w:rsidRPr="00984390" w14:paraId="5753BBEA" w14:textId="77777777" w:rsidTr="008645D5">
        <w:trPr>
          <w:trHeight w:val="41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hideMark/>
          </w:tcPr>
          <w:p w14:paraId="764F04F8" w14:textId="19683E85" w:rsidR="00904C90" w:rsidRPr="00984390" w:rsidRDefault="00904C90" w:rsidP="00904C90">
            <w:pPr>
              <w:pStyle w:val="Tablehead"/>
              <w:rPr>
                <w:rFonts w:asciiTheme="minorHAnsi" w:hAnsiTheme="minorHAnsi" w:cstheme="minorHAnsi"/>
                <w:lang w:val="ru-RU"/>
              </w:rPr>
            </w:pPr>
            <w:proofErr w:type="spellStart"/>
            <w:r w:rsidRPr="00984390">
              <w:rPr>
                <w:lang w:val="ru-RU"/>
              </w:rPr>
              <w:lastRenderedPageBreak/>
              <w:t>JIU</w:t>
            </w:r>
            <w:proofErr w:type="spellEnd"/>
            <w:r w:rsidRPr="00984390">
              <w:rPr>
                <w:lang w:val="ru-RU"/>
              </w:rPr>
              <w:t>/</w:t>
            </w:r>
            <w:proofErr w:type="spellStart"/>
            <w:r w:rsidRPr="00984390">
              <w:rPr>
                <w:lang w:val="ru-RU"/>
              </w:rPr>
              <w:t>REP</w:t>
            </w:r>
            <w:proofErr w:type="spellEnd"/>
            <w:r w:rsidRPr="00984390">
              <w:rPr>
                <w:lang w:val="ru-RU"/>
              </w:rPr>
              <w:t xml:space="preserve">/2023/2 </w:t>
            </w:r>
            <w:hyperlink r:id="rId19" w:history="1">
              <w:r w:rsidRPr="007E5717">
                <w:rPr>
                  <w:rStyle w:val="Hyperlink"/>
                  <w:bCs/>
                  <w:lang w:val="ru-RU"/>
                </w:rPr>
                <w:t>Обзор внутренних механизмов обжалования на предшествующем судебному разбирательству этапе, которые имеются в распоряжении сотрудников организаций системы Организации Объединенных Наций</w:t>
              </w:r>
            </w:hyperlink>
          </w:p>
          <w:p w14:paraId="507E83FF" w14:textId="77777777" w:rsidR="00904C90" w:rsidRPr="00984390" w:rsidRDefault="00904C90" w:rsidP="00904C90">
            <w:pPr>
              <w:pStyle w:val="Tablehead"/>
              <w:rPr>
                <w:rFonts w:asciiTheme="minorHAnsi" w:hAnsiTheme="minorHAnsi" w:cstheme="minorHAnsi"/>
                <w:lang w:val="ru-RU"/>
              </w:rPr>
            </w:pPr>
            <w:r w:rsidRPr="00984390">
              <w:rPr>
                <w:lang w:val="ru-RU"/>
              </w:rPr>
              <w:t>КООРДИНАТОР МСЭ – Мария Трафиканти, руководитель HRMD</w:t>
            </w:r>
          </w:p>
          <w:p w14:paraId="6845C2EC" w14:textId="0F67B896" w:rsidR="00904C90" w:rsidRPr="00FD62CE" w:rsidRDefault="00FD62CE" w:rsidP="00904C90">
            <w:pPr>
              <w:pStyle w:val="Tablehead"/>
              <w:rPr>
                <w:rFonts w:asciiTheme="minorHAnsi" w:hAnsiTheme="minorHAnsi" w:cstheme="minorHAnsi"/>
                <w:lang w:val="ru-RU"/>
              </w:rPr>
            </w:pPr>
            <w:r>
              <w:rPr>
                <w:rFonts w:ascii="Times New Roman" w:hAnsi="Times New Roman"/>
              </w:rPr>
              <w:t>•</w:t>
            </w:r>
            <w:r>
              <w:rPr>
                <w:lang w:val="ru-RU"/>
              </w:rPr>
              <w:t>−</w:t>
            </w:r>
            <w:hyperlink r:id="rId20" w:history="1">
              <w:r w:rsidR="00904C90" w:rsidRPr="007E5717">
                <w:rPr>
                  <w:rStyle w:val="Hyperlink"/>
                  <w:bCs/>
                </w:rPr>
                <w:t>Основные элементы обзора</w:t>
              </w:r>
            </w:hyperlink>
          </w:p>
        </w:tc>
      </w:tr>
      <w:tr w:rsidR="00904C90" w:rsidRPr="00984390" w14:paraId="384F1F00" w14:textId="77777777" w:rsidTr="008645D5">
        <w:trPr>
          <w:cantSplit/>
          <w:trHeight w:val="291"/>
          <w:jc w:val="center"/>
        </w:trPr>
        <w:tc>
          <w:tcPr>
            <w:tcW w:w="1253"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25CD43A" w14:textId="77777777" w:rsidR="00904C90" w:rsidRPr="00984390" w:rsidRDefault="00904C90" w:rsidP="00904C90">
            <w:pPr>
              <w:pStyle w:val="Tablehead"/>
              <w:rPr>
                <w:rFonts w:asciiTheme="minorHAnsi" w:hAnsiTheme="minorHAnsi" w:cstheme="minorHAnsi"/>
              </w:rPr>
            </w:pPr>
            <w:r w:rsidRPr="00984390">
              <w:rPr>
                <w:lang w:val="ru-RU"/>
              </w:rPr>
              <w:t>Рекомендация</w:t>
            </w:r>
          </w:p>
        </w:tc>
        <w:tc>
          <w:tcPr>
            <w:tcW w:w="1366" w:type="pct"/>
            <w:gridSpan w:val="4"/>
            <w:tcBorders>
              <w:top w:val="single" w:sz="4"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E469533" w14:textId="77777777" w:rsidR="00904C90" w:rsidRPr="00984390" w:rsidRDefault="00904C90" w:rsidP="00904C90">
            <w:pPr>
              <w:pStyle w:val="Tablehead"/>
              <w:rPr>
                <w:rFonts w:asciiTheme="minorHAnsi" w:hAnsiTheme="minorHAnsi" w:cstheme="minorHAnsi"/>
              </w:rPr>
            </w:pPr>
            <w:r>
              <w:rPr>
                <w:lang w:val="ru-RU"/>
              </w:rPr>
              <w:t>Принятие рекомендации</w:t>
            </w:r>
          </w:p>
        </w:tc>
        <w:tc>
          <w:tcPr>
            <w:tcW w:w="1092" w:type="pct"/>
            <w:gridSpan w:val="3"/>
            <w:tcBorders>
              <w:top w:val="single" w:sz="4" w:space="0" w:color="auto"/>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74D6C773" w14:textId="77777777" w:rsidR="00904C90" w:rsidRPr="00984390" w:rsidRDefault="00904C90" w:rsidP="00904C90">
            <w:pPr>
              <w:pStyle w:val="Tablehead"/>
              <w:rPr>
                <w:rFonts w:asciiTheme="minorHAnsi" w:hAnsiTheme="minorHAnsi" w:cstheme="minorHAnsi"/>
              </w:rPr>
            </w:pPr>
            <w:r w:rsidRPr="00984390">
              <w:rPr>
                <w:lang w:val="ru-RU"/>
              </w:rPr>
              <w:t>Статус выполнения</w:t>
            </w:r>
          </w:p>
        </w:tc>
        <w:tc>
          <w:tcPr>
            <w:tcW w:w="1289" w:type="pct"/>
            <w:tcBorders>
              <w:top w:val="single" w:sz="4"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6EAE85C7" w14:textId="77777777" w:rsidR="00904C90" w:rsidRPr="00984390" w:rsidRDefault="00904C90" w:rsidP="00904C90">
            <w:pPr>
              <w:pStyle w:val="Tablehead"/>
              <w:rPr>
                <w:rFonts w:asciiTheme="minorHAnsi" w:hAnsiTheme="minorHAnsi" w:cstheme="minorHAnsi"/>
              </w:rPr>
            </w:pPr>
            <w:r w:rsidRPr="00984390">
              <w:rPr>
                <w:lang w:val="ru-RU"/>
              </w:rPr>
              <w:t>Комментарии</w:t>
            </w:r>
          </w:p>
        </w:tc>
      </w:tr>
      <w:tr w:rsidR="00904C90" w:rsidRPr="00984390" w14:paraId="00DAF612" w14:textId="77777777" w:rsidTr="00436A27">
        <w:trPr>
          <w:trHeight w:val="336"/>
          <w:jc w:val="center"/>
        </w:trPr>
        <w:tc>
          <w:tcPr>
            <w:tcW w:w="1253"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176F3D06" w14:textId="46F853E1" w:rsidR="00904C90" w:rsidRPr="00984390" w:rsidRDefault="00904C90" w:rsidP="00FD62CE">
            <w:pPr>
              <w:pStyle w:val="Tablehead"/>
              <w:jc w:val="left"/>
              <w:rPr>
                <w:rFonts w:asciiTheme="minorHAnsi" w:hAnsiTheme="minorHAnsi" w:cstheme="minorHAnsi"/>
              </w:rPr>
            </w:pPr>
            <w:r w:rsidRPr="00984390">
              <w:rPr>
                <w:lang w:val="ru-RU"/>
              </w:rPr>
              <w:t>Адресована директивным/</w:t>
            </w:r>
            <w:r w:rsidR="00451D84">
              <w:rPr>
                <w:lang w:val="ru-RU"/>
              </w:rPr>
              <w:t xml:space="preserve"> </w:t>
            </w:r>
            <w:r w:rsidRPr="00984390">
              <w:rPr>
                <w:lang w:val="ru-RU"/>
              </w:rPr>
              <w:t>руководящим органам</w:t>
            </w:r>
          </w:p>
        </w:tc>
        <w:tc>
          <w:tcPr>
            <w:tcW w:w="276"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2184C2CF" w14:textId="70FB8555" w:rsidR="00904C90" w:rsidRPr="00984390" w:rsidRDefault="00904C90" w:rsidP="00436A27">
            <w:pPr>
              <w:pStyle w:val="Tablehead"/>
              <w:jc w:val="left"/>
              <w:rPr>
                <w:rFonts w:asciiTheme="minorHAnsi" w:hAnsiTheme="minorHAnsi" w:cstheme="minorHAnsi"/>
              </w:rPr>
            </w:pPr>
            <w:r w:rsidRPr="00984390">
              <w:rPr>
                <w:lang w:val="ru-RU"/>
              </w:rPr>
              <w:t>При</w:t>
            </w:r>
            <w:r w:rsidR="00FD62CE">
              <w:rPr>
                <w:lang w:val="ru-RU"/>
              </w:rPr>
              <w:softHyphen/>
            </w:r>
            <w:r w:rsidRPr="00984390">
              <w:rPr>
                <w:lang w:val="ru-RU"/>
              </w:rPr>
              <w:t>нима</w:t>
            </w:r>
            <w:r w:rsidR="00FD62CE">
              <w:rPr>
                <w:lang w:val="ru-RU"/>
              </w:rPr>
              <w:softHyphen/>
            </w:r>
            <w:r w:rsidRPr="00984390">
              <w:rPr>
                <w:lang w:val="ru-RU"/>
              </w:rPr>
              <w:t>ется</w:t>
            </w:r>
          </w:p>
        </w:tc>
        <w:tc>
          <w:tcPr>
            <w:tcW w:w="276"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7D323871" w14:textId="65A5BEA6" w:rsidR="00904C90" w:rsidRPr="00984390" w:rsidRDefault="00904C90" w:rsidP="00436A27">
            <w:pPr>
              <w:pStyle w:val="Tablehead"/>
              <w:jc w:val="left"/>
              <w:rPr>
                <w:rFonts w:asciiTheme="minorHAnsi" w:hAnsiTheme="minorHAnsi" w:cstheme="minorHAnsi"/>
              </w:rPr>
            </w:pPr>
            <w:r w:rsidRPr="00984390">
              <w:rPr>
                <w:lang w:val="ru-RU"/>
              </w:rPr>
              <w:t>Не при</w:t>
            </w:r>
            <w:r w:rsidR="00FD62CE">
              <w:rPr>
                <w:lang w:val="ru-RU"/>
              </w:rPr>
              <w:softHyphen/>
            </w:r>
            <w:r w:rsidRPr="00984390">
              <w:rPr>
                <w:lang w:val="ru-RU"/>
              </w:rPr>
              <w:t>нима</w:t>
            </w:r>
            <w:r w:rsidR="00FD62CE">
              <w:rPr>
                <w:lang w:val="ru-RU"/>
              </w:rPr>
              <w:softHyphen/>
            </w:r>
            <w:r w:rsidRPr="00984390">
              <w:rPr>
                <w:lang w:val="ru-RU"/>
              </w:rPr>
              <w:t>ется</w:t>
            </w:r>
          </w:p>
        </w:tc>
        <w:tc>
          <w:tcPr>
            <w:tcW w:w="335"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AAC3E91" w14:textId="228FD8B9" w:rsidR="00904C90" w:rsidRPr="00984390" w:rsidRDefault="00904C90" w:rsidP="00436A27">
            <w:pPr>
              <w:pStyle w:val="Tablehead"/>
              <w:jc w:val="left"/>
              <w:rPr>
                <w:rFonts w:asciiTheme="minorHAnsi" w:hAnsiTheme="minorHAnsi" w:cstheme="minorHAnsi"/>
              </w:rPr>
            </w:pPr>
            <w:r w:rsidRPr="00984390">
              <w:rPr>
                <w:lang w:val="ru-RU"/>
              </w:rPr>
              <w:t>Непри</w:t>
            </w:r>
            <w:r w:rsidR="00FD62CE">
              <w:rPr>
                <w:lang w:val="ru-RU"/>
              </w:rPr>
              <w:softHyphen/>
            </w:r>
            <w:r w:rsidRPr="00984390">
              <w:rPr>
                <w:lang w:val="ru-RU"/>
              </w:rPr>
              <w:t>менимо</w:t>
            </w:r>
          </w:p>
        </w:tc>
        <w:tc>
          <w:tcPr>
            <w:tcW w:w="479" w:type="pct"/>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hideMark/>
          </w:tcPr>
          <w:p w14:paraId="0CE8E95E" w14:textId="0379F2B3" w:rsidR="00904C90" w:rsidRPr="00984390" w:rsidRDefault="00904C90" w:rsidP="00436A27">
            <w:pPr>
              <w:pStyle w:val="Tablehead"/>
              <w:jc w:val="left"/>
              <w:rPr>
                <w:rFonts w:asciiTheme="minorHAnsi" w:hAnsiTheme="minorHAnsi" w:cstheme="minorHAnsi"/>
              </w:rPr>
            </w:pPr>
            <w:r w:rsidRPr="00984390">
              <w:rPr>
                <w:lang w:val="ru-RU"/>
              </w:rPr>
              <w:t>Необходимо дальнейшее рассмотре</w:t>
            </w:r>
            <w:r w:rsidR="00FD62CE">
              <w:rPr>
                <w:lang w:val="ru-RU"/>
              </w:rPr>
              <w:softHyphen/>
            </w:r>
            <w:r w:rsidRPr="00984390">
              <w:rPr>
                <w:lang w:val="ru-RU"/>
              </w:rPr>
              <w:t>ние</w:t>
            </w:r>
          </w:p>
        </w:tc>
        <w:tc>
          <w:tcPr>
            <w:tcW w:w="292"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E4D6076" w14:textId="77777777" w:rsidR="00904C90" w:rsidRPr="00984390" w:rsidRDefault="00904C90" w:rsidP="00436A27">
            <w:pPr>
              <w:pStyle w:val="Tablehead"/>
              <w:jc w:val="left"/>
              <w:rPr>
                <w:rFonts w:asciiTheme="minorHAnsi" w:hAnsiTheme="minorHAnsi" w:cstheme="minorHAnsi"/>
              </w:rPr>
            </w:pPr>
            <w:r w:rsidRPr="00984390">
              <w:rPr>
                <w:lang w:val="ru-RU"/>
              </w:rPr>
              <w:t>Не начато</w:t>
            </w:r>
          </w:p>
        </w:tc>
        <w:tc>
          <w:tcPr>
            <w:tcW w:w="328"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597A7A3D" w14:textId="7860670F" w:rsidR="00904C90" w:rsidRPr="00984390" w:rsidRDefault="00904C90" w:rsidP="00436A27">
            <w:pPr>
              <w:pStyle w:val="Tablehead"/>
              <w:jc w:val="left"/>
              <w:rPr>
                <w:rFonts w:asciiTheme="minorHAnsi" w:hAnsiTheme="minorHAnsi" w:cstheme="minorHAnsi"/>
              </w:rPr>
            </w:pPr>
            <w:r w:rsidRPr="00984390">
              <w:rPr>
                <w:lang w:val="ru-RU"/>
              </w:rPr>
              <w:t>Выпол</w:t>
            </w:r>
            <w:r w:rsidR="00FD62CE">
              <w:rPr>
                <w:lang w:val="ru-RU"/>
              </w:rPr>
              <w:softHyphen/>
            </w:r>
            <w:r w:rsidRPr="00984390">
              <w:rPr>
                <w:lang w:val="ru-RU"/>
              </w:rPr>
              <w:t>няется</w:t>
            </w:r>
          </w:p>
        </w:tc>
        <w:tc>
          <w:tcPr>
            <w:tcW w:w="472" w:type="pct"/>
            <w:tcBorders>
              <w:top w:val="nil"/>
              <w:left w:val="nil"/>
              <w:bottom w:val="single" w:sz="8" w:space="0" w:color="auto"/>
              <w:right w:val="single" w:sz="8" w:space="0" w:color="auto"/>
            </w:tcBorders>
            <w:shd w:val="clear" w:color="auto" w:fill="FDE9D9" w:themeFill="accent6" w:themeFillTint="33"/>
            <w:tcMar>
              <w:top w:w="0" w:type="dxa"/>
              <w:left w:w="108" w:type="dxa"/>
              <w:bottom w:w="0" w:type="dxa"/>
              <w:right w:w="108" w:type="dxa"/>
            </w:tcMar>
            <w:hideMark/>
          </w:tcPr>
          <w:p w14:paraId="4AB05B2A" w14:textId="77777777" w:rsidR="00904C90" w:rsidRPr="00984390" w:rsidRDefault="00904C90" w:rsidP="00436A27">
            <w:pPr>
              <w:pStyle w:val="Tablehead"/>
              <w:jc w:val="left"/>
              <w:rPr>
                <w:rFonts w:asciiTheme="minorHAnsi" w:hAnsiTheme="minorHAnsi" w:cstheme="minorHAnsi"/>
              </w:rPr>
            </w:pPr>
            <w:r w:rsidRPr="00984390">
              <w:rPr>
                <w:lang w:val="ru-RU"/>
              </w:rPr>
              <w:t>Выполнена</w:t>
            </w:r>
          </w:p>
        </w:tc>
        <w:tc>
          <w:tcPr>
            <w:tcW w:w="1289" w:type="pct"/>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AA62E66" w14:textId="77777777" w:rsidR="00904C90" w:rsidRPr="007E5717" w:rsidRDefault="00904C90" w:rsidP="00904C90">
            <w:pPr>
              <w:pStyle w:val="Tablehead"/>
              <w:rPr>
                <w:color w:val="FF0000"/>
                <w:lang w:val="ru-RU"/>
              </w:rPr>
            </w:pPr>
            <w:r w:rsidRPr="00984390">
              <w:rPr>
                <w:lang w:val="ru-RU"/>
              </w:rPr>
              <w:t xml:space="preserve">Комментарии Координационного совета руководителей (КСР) – </w:t>
            </w:r>
            <w:r>
              <w:rPr>
                <w:lang w:val="ru-RU"/>
              </w:rPr>
              <w:br/>
            </w:r>
            <w:r w:rsidRPr="007E5717">
              <w:rPr>
                <w:color w:val="FF0000"/>
                <w:lang w:val="ru-RU"/>
              </w:rPr>
              <w:t>пока не доступны</w:t>
            </w:r>
          </w:p>
          <w:p w14:paraId="044EFE96" w14:textId="77777777" w:rsidR="00904C90" w:rsidRPr="00984390" w:rsidRDefault="00904C90" w:rsidP="00904C90">
            <w:pPr>
              <w:pStyle w:val="Tablehead"/>
              <w:rPr>
                <w:rFonts w:asciiTheme="minorHAnsi" w:hAnsiTheme="minorHAnsi" w:cstheme="minorHAnsi"/>
                <w:color w:val="000000"/>
                <w:lang w:val="ru-RU"/>
              </w:rPr>
            </w:pPr>
            <w:r w:rsidRPr="00984390">
              <w:rPr>
                <w:lang w:val="ru-RU"/>
              </w:rPr>
              <w:t>___</w:t>
            </w:r>
          </w:p>
          <w:p w14:paraId="658979CF" w14:textId="77777777" w:rsidR="00904C90" w:rsidRPr="00984390" w:rsidRDefault="00904C90" w:rsidP="00904C90">
            <w:pPr>
              <w:pStyle w:val="Tablehead"/>
              <w:rPr>
                <w:rFonts w:asciiTheme="minorHAnsi" w:hAnsiTheme="minorHAnsi" w:cstheme="minorHAnsi"/>
                <w:color w:val="000000"/>
                <w:lang w:val="ru-RU"/>
              </w:rPr>
            </w:pPr>
            <w:r w:rsidRPr="00984390">
              <w:rPr>
                <w:lang w:val="ru-RU"/>
              </w:rPr>
              <w:t>Комментарии МСЭ об актуальности и последствиях для финансовых и людских ресурсов</w:t>
            </w:r>
          </w:p>
          <w:p w14:paraId="6612F8AD" w14:textId="77777777" w:rsidR="00904C90" w:rsidRPr="00984390" w:rsidRDefault="00904C90" w:rsidP="00904C90">
            <w:pPr>
              <w:pStyle w:val="Tablehead"/>
              <w:rPr>
                <w:rFonts w:asciiTheme="minorHAnsi" w:hAnsiTheme="minorHAnsi" w:cstheme="minorHAnsi"/>
              </w:rPr>
            </w:pPr>
            <w:r w:rsidRPr="00984390">
              <w:rPr>
                <w:lang w:val="ru-RU"/>
              </w:rPr>
              <w:t>(см. ниже)</w:t>
            </w:r>
          </w:p>
        </w:tc>
      </w:tr>
      <w:tr w:rsidR="00904C90" w:rsidRPr="00F631F2" w14:paraId="70EE2438" w14:textId="77777777" w:rsidTr="00FD62CE">
        <w:trPr>
          <w:trHeight w:val="60"/>
          <w:jc w:val="center"/>
        </w:trPr>
        <w:tc>
          <w:tcPr>
            <w:tcW w:w="1253" w:type="pct"/>
            <w:tcBorders>
              <w:top w:val="nil"/>
              <w:left w:val="single" w:sz="8" w:space="0" w:color="auto"/>
              <w:bottom w:val="single" w:sz="8" w:space="0" w:color="auto"/>
              <w:right w:val="single" w:sz="8" w:space="0" w:color="auto"/>
            </w:tcBorders>
            <w:shd w:val="clear" w:color="auto" w:fill="EAF1DD" w:themeFill="accent3" w:themeFillTint="33"/>
            <w:tcMar>
              <w:top w:w="0" w:type="dxa"/>
              <w:left w:w="108" w:type="dxa"/>
              <w:bottom w:w="0" w:type="dxa"/>
              <w:right w:w="108" w:type="dxa"/>
            </w:tcMar>
            <w:hideMark/>
          </w:tcPr>
          <w:p w14:paraId="6B1EAF42" w14:textId="77777777" w:rsidR="00904C90" w:rsidRPr="00984390" w:rsidRDefault="00904C90" w:rsidP="00904C90">
            <w:pPr>
              <w:pStyle w:val="Tabletext"/>
              <w:rPr>
                <w:rFonts w:asciiTheme="minorHAnsi" w:hAnsiTheme="minorHAnsi" w:cstheme="minorHAnsi"/>
                <w:lang w:val="ru-RU"/>
              </w:rPr>
            </w:pPr>
            <w:r w:rsidRPr="00904C90">
              <w:rPr>
                <w:b/>
                <w:bCs/>
                <w:lang w:val="ru-RU"/>
              </w:rPr>
              <w:t>Рекомендация 4</w:t>
            </w:r>
            <w:r>
              <w:rPr>
                <w:lang w:val="ru-RU"/>
              </w:rPr>
              <w:t xml:space="preserve">. </w:t>
            </w:r>
            <w:r w:rsidRPr="00DB6941">
              <w:rPr>
                <w:lang w:val="ru-RU"/>
              </w:rPr>
              <w:t>Д</w:t>
            </w:r>
            <w:r w:rsidRPr="00984390">
              <w:rPr>
                <w:lang w:val="ru-RU"/>
              </w:rPr>
              <w:t>ирективным и руководящим органам организаций системы Организации Объединенных Наций следует предложить своим соответствующим административным руководителям, которые еще не сделали этого, провести тщательный обзор своей нормативной базы и практики в отношении внутренних специальных механизмов обращения за помощью с целью оценки их дальнейшей полезности и адекватного функционирования в более широких рамках внутренних механизмов обжалования, включая устранение дублирующих или недостаточно четких процедур в интересах процессуальной эффективности, и представить им соответствующий доклад не позднее 2025 года.</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3662F4" w14:textId="77777777" w:rsidR="00904C90" w:rsidRPr="00FD62CE" w:rsidRDefault="00904C90" w:rsidP="00FD62CE">
            <w:pPr>
              <w:pStyle w:val="Tabletext"/>
              <w:jc w:val="center"/>
              <w:rPr>
                <w:rFonts w:asciiTheme="minorHAnsi" w:hAnsiTheme="minorHAnsi" w:cstheme="minorHAnsi"/>
                <w:b/>
                <w:bCs/>
                <w:color w:val="000000"/>
              </w:rPr>
            </w:pPr>
            <w:r w:rsidRPr="00FD62CE">
              <w:rPr>
                <w:b/>
                <w:bCs/>
                <w:lang w:val="ru-RU"/>
              </w:rPr>
              <w:t>X</w:t>
            </w:r>
          </w:p>
        </w:tc>
        <w:tc>
          <w:tcPr>
            <w:tcW w:w="276"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87EDFEB" w14:textId="77777777" w:rsidR="00904C90" w:rsidRPr="00FD62CE" w:rsidRDefault="00904C90" w:rsidP="00FD62CE">
            <w:pPr>
              <w:pStyle w:val="Tabletext"/>
              <w:jc w:val="center"/>
              <w:rPr>
                <w:rFonts w:asciiTheme="minorHAnsi" w:hAnsiTheme="minorHAnsi" w:cstheme="minorHAnsi"/>
                <w:b/>
                <w:bCs/>
              </w:rPr>
            </w:pPr>
          </w:p>
        </w:tc>
        <w:tc>
          <w:tcPr>
            <w:tcW w:w="335"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660F378" w14:textId="77777777" w:rsidR="00904C90" w:rsidRPr="00FD62CE" w:rsidRDefault="00904C90" w:rsidP="00FD62CE">
            <w:pPr>
              <w:pStyle w:val="Tabletext"/>
              <w:jc w:val="center"/>
              <w:rPr>
                <w:rFonts w:asciiTheme="minorHAnsi" w:hAnsiTheme="minorHAnsi" w:cstheme="minorHAnsi"/>
                <w:b/>
                <w:bCs/>
              </w:rPr>
            </w:pPr>
          </w:p>
        </w:tc>
        <w:tc>
          <w:tcPr>
            <w:tcW w:w="479"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06905CD" w14:textId="77777777" w:rsidR="00904C90" w:rsidRPr="00FD62CE" w:rsidRDefault="00904C90" w:rsidP="00FD62CE">
            <w:pPr>
              <w:pStyle w:val="Tabletext"/>
              <w:jc w:val="center"/>
              <w:rPr>
                <w:rFonts w:asciiTheme="minorHAnsi" w:eastAsiaTheme="minorHAnsi" w:hAnsiTheme="minorHAnsi" w:cstheme="minorHAnsi"/>
                <w:b/>
                <w:bCs/>
              </w:rPr>
            </w:pPr>
          </w:p>
        </w:tc>
        <w:tc>
          <w:tcPr>
            <w:tcW w:w="29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10870E" w14:textId="77777777" w:rsidR="00904C90" w:rsidRPr="00FD62CE" w:rsidRDefault="00904C90" w:rsidP="00FD62CE">
            <w:pPr>
              <w:pStyle w:val="Tabletext"/>
              <w:jc w:val="center"/>
              <w:rPr>
                <w:rFonts w:asciiTheme="minorHAnsi" w:hAnsiTheme="minorHAnsi" w:cstheme="minorHAnsi"/>
                <w:b/>
                <w:bCs/>
              </w:rPr>
            </w:pPr>
            <w:r w:rsidRPr="00FD62CE">
              <w:rPr>
                <w:b/>
                <w:bCs/>
                <w:lang w:val="ru-RU"/>
              </w:rPr>
              <w:t>X</w:t>
            </w:r>
          </w:p>
        </w:tc>
        <w:tc>
          <w:tcPr>
            <w:tcW w:w="328"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D19E80B" w14:textId="77777777" w:rsidR="00904C90" w:rsidRPr="00FD62CE" w:rsidRDefault="00904C90" w:rsidP="00FD62CE">
            <w:pPr>
              <w:pStyle w:val="Tabletext"/>
              <w:jc w:val="center"/>
              <w:rPr>
                <w:rFonts w:asciiTheme="minorHAnsi" w:hAnsiTheme="minorHAnsi" w:cstheme="minorHAnsi"/>
                <w:b/>
                <w:bCs/>
              </w:rPr>
            </w:pPr>
          </w:p>
        </w:tc>
        <w:tc>
          <w:tcPr>
            <w:tcW w:w="472" w:type="pc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5E7E488" w14:textId="77777777" w:rsidR="00904C90" w:rsidRPr="00FD62CE" w:rsidRDefault="00904C90" w:rsidP="00FD62CE">
            <w:pPr>
              <w:pStyle w:val="Tabletext"/>
              <w:jc w:val="center"/>
              <w:rPr>
                <w:rFonts w:asciiTheme="minorHAnsi" w:eastAsiaTheme="minorHAnsi" w:hAnsiTheme="minorHAnsi" w:cstheme="minorHAnsi"/>
                <w:b/>
                <w:bCs/>
              </w:rPr>
            </w:pPr>
          </w:p>
        </w:tc>
        <w:tc>
          <w:tcPr>
            <w:tcW w:w="1289" w:type="pct"/>
            <w:tcBorders>
              <w:top w:val="nil"/>
              <w:left w:val="nil"/>
              <w:bottom w:val="single" w:sz="8" w:space="0" w:color="auto"/>
              <w:right w:val="single" w:sz="8" w:space="0" w:color="auto"/>
            </w:tcBorders>
            <w:tcMar>
              <w:top w:w="0" w:type="dxa"/>
              <w:left w:w="108" w:type="dxa"/>
              <w:bottom w:w="0" w:type="dxa"/>
              <w:right w:w="108" w:type="dxa"/>
            </w:tcMar>
          </w:tcPr>
          <w:p w14:paraId="0C371D09" w14:textId="77777777" w:rsidR="00904C90" w:rsidRPr="00984390" w:rsidRDefault="00904C90" w:rsidP="00FD62CE">
            <w:pPr>
              <w:pStyle w:val="Tabletext"/>
              <w:rPr>
                <w:rFonts w:asciiTheme="minorHAnsi" w:hAnsiTheme="minorHAnsi" w:cstheme="minorHAnsi"/>
                <w:lang w:val="ru-RU"/>
              </w:rPr>
            </w:pPr>
            <w:r w:rsidRPr="00984390">
              <w:rPr>
                <w:lang w:val="ru-RU"/>
              </w:rPr>
              <w:t xml:space="preserve">По получении соответствующих ресурсов МСЭ соглашается с тем, что проведение тщательного обзора своей нормативной базы и практики в отношении внутренних специализированных механизмов обращения за помощью (например, по пенсионным требованиям, по требованиям, связанным с дисциплинарными мерами), описанных в настоящей Рекомендации, было бы полезным для внутренней системы правосудия МСЭ. </w:t>
            </w:r>
          </w:p>
          <w:p w14:paraId="39619DC3" w14:textId="77777777" w:rsidR="00904C90" w:rsidRPr="00984390" w:rsidRDefault="00904C90" w:rsidP="00FD62CE">
            <w:pPr>
              <w:pStyle w:val="Tabletext"/>
              <w:rPr>
                <w:rFonts w:asciiTheme="minorHAnsi" w:hAnsiTheme="minorHAnsi" w:cstheme="minorHAnsi"/>
                <w:lang w:val="ru-RU"/>
              </w:rPr>
            </w:pPr>
            <w:r w:rsidRPr="00984390">
              <w:rPr>
                <w:lang w:val="ru-RU"/>
              </w:rPr>
              <w:t>Проведение такой оценки предполагает существенный уровень сложности и потребует выделения дополнительных людских ресурсов на короткий период времени.</w:t>
            </w:r>
          </w:p>
        </w:tc>
      </w:tr>
      <w:tr w:rsidR="00904C90" w:rsidRPr="00F631F2" w14:paraId="373AE412" w14:textId="77777777" w:rsidTr="00FD62CE">
        <w:trPr>
          <w:trHeight w:val="1698"/>
          <w:jc w:val="center"/>
        </w:trPr>
        <w:tc>
          <w:tcPr>
            <w:tcW w:w="1253" w:type="pct"/>
            <w:tcBorders>
              <w:top w:val="nil"/>
              <w:left w:val="single" w:sz="8" w:space="0" w:color="auto"/>
              <w:bottom w:val="single" w:sz="4" w:space="0" w:color="auto"/>
              <w:right w:val="single" w:sz="8" w:space="0" w:color="auto"/>
            </w:tcBorders>
            <w:shd w:val="clear" w:color="auto" w:fill="EAF1DD" w:themeFill="accent3" w:themeFillTint="33"/>
            <w:tcMar>
              <w:top w:w="0" w:type="dxa"/>
              <w:left w:w="108" w:type="dxa"/>
              <w:bottom w:w="0" w:type="dxa"/>
              <w:right w:w="108" w:type="dxa"/>
            </w:tcMar>
          </w:tcPr>
          <w:p w14:paraId="7AF06523" w14:textId="77777777" w:rsidR="00904C90" w:rsidRPr="00984390" w:rsidRDefault="00904C90" w:rsidP="00904C90">
            <w:pPr>
              <w:pStyle w:val="Tabletext"/>
              <w:rPr>
                <w:rFonts w:asciiTheme="minorHAnsi" w:hAnsiTheme="minorHAnsi" w:cstheme="minorHAnsi"/>
                <w:color w:val="000000"/>
                <w:lang w:val="ru-RU"/>
              </w:rPr>
            </w:pPr>
            <w:r w:rsidRPr="00FD62CE">
              <w:rPr>
                <w:b/>
                <w:bCs/>
                <w:lang w:val="ru-RU"/>
              </w:rPr>
              <w:lastRenderedPageBreak/>
              <w:t>Рекомендация 5</w:t>
            </w:r>
            <w:r>
              <w:rPr>
                <w:lang w:val="ru-RU"/>
              </w:rPr>
              <w:t>.</w:t>
            </w:r>
            <w:r w:rsidRPr="00984390">
              <w:rPr>
                <w:lang w:val="ru-RU"/>
              </w:rPr>
              <w:t xml:space="preserve"> </w:t>
            </w:r>
            <w:r>
              <w:rPr>
                <w:lang w:val="ru-RU"/>
              </w:rPr>
              <w:t>Д</w:t>
            </w:r>
            <w:r w:rsidRPr="00984390">
              <w:rPr>
                <w:lang w:val="ru-RU"/>
              </w:rPr>
              <w:t>ирективным и руководящим органам организаций системы Организации Объединенных Наций следует предложить соответствующим административным руководителям, которые еще не сделали этого, ежегодно начиная с 2025 года представлять им доклады о функционировании их официальных внутренних механизмов обжалования, включая специальные механизмы обращения за помощью. Доклады должны содержать подробные сведения о количестве, предмете и результатах рассмотрения апелляционных жалоб, включая жалобы, признанные неприемлемыми, общие сведения о заявителях и сведения о том, были ли обжалованные решения оставлены в силе или пересмотрены, с разбивкой по типам процедур, если это применимо.</w:t>
            </w:r>
          </w:p>
        </w:tc>
        <w:tc>
          <w:tcPr>
            <w:tcW w:w="276"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7364E606" w14:textId="77777777" w:rsidR="00904C90" w:rsidRPr="00FD62CE" w:rsidRDefault="00904C90" w:rsidP="00FD62CE">
            <w:pPr>
              <w:pStyle w:val="Tabletext"/>
              <w:jc w:val="center"/>
              <w:rPr>
                <w:rFonts w:asciiTheme="minorHAnsi" w:hAnsiTheme="minorHAnsi" w:cstheme="minorHAnsi"/>
                <w:b/>
                <w:bCs/>
                <w:color w:val="000000"/>
              </w:rPr>
            </w:pPr>
            <w:r w:rsidRPr="00FD62CE">
              <w:rPr>
                <w:b/>
                <w:bCs/>
                <w:lang w:val="ru-RU"/>
              </w:rPr>
              <w:t>X</w:t>
            </w:r>
          </w:p>
        </w:tc>
        <w:tc>
          <w:tcPr>
            <w:tcW w:w="276"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0D96D31" w14:textId="77777777" w:rsidR="00904C90" w:rsidRPr="00FD62CE" w:rsidRDefault="00904C90" w:rsidP="00FD62CE">
            <w:pPr>
              <w:pStyle w:val="Tabletext"/>
              <w:jc w:val="center"/>
              <w:rPr>
                <w:rFonts w:asciiTheme="minorHAnsi" w:hAnsiTheme="minorHAnsi" w:cstheme="minorHAnsi"/>
                <w:b/>
                <w:bCs/>
              </w:rPr>
            </w:pPr>
          </w:p>
        </w:tc>
        <w:tc>
          <w:tcPr>
            <w:tcW w:w="335"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03EB1C4" w14:textId="77777777" w:rsidR="00904C90" w:rsidRPr="00FD62CE" w:rsidRDefault="00904C90" w:rsidP="00FD62CE">
            <w:pPr>
              <w:pStyle w:val="Tabletext"/>
              <w:jc w:val="center"/>
              <w:rPr>
                <w:rFonts w:asciiTheme="minorHAnsi" w:hAnsiTheme="minorHAnsi" w:cstheme="minorHAnsi"/>
                <w:b/>
                <w:bCs/>
              </w:rPr>
            </w:pPr>
          </w:p>
        </w:tc>
        <w:tc>
          <w:tcPr>
            <w:tcW w:w="479"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7036722F" w14:textId="77777777" w:rsidR="00904C90" w:rsidRPr="00FD62CE" w:rsidRDefault="00904C90" w:rsidP="00FD62CE">
            <w:pPr>
              <w:pStyle w:val="Tabletext"/>
              <w:jc w:val="center"/>
              <w:rPr>
                <w:rFonts w:asciiTheme="minorHAnsi" w:hAnsiTheme="minorHAnsi" w:cstheme="minorHAnsi"/>
                <w:b/>
                <w:bCs/>
                <w:color w:val="000000"/>
              </w:rPr>
            </w:pPr>
          </w:p>
        </w:tc>
        <w:tc>
          <w:tcPr>
            <w:tcW w:w="292"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73C77370" w14:textId="77777777" w:rsidR="00904C90" w:rsidRPr="00FD62CE" w:rsidRDefault="00904C90" w:rsidP="00FD62CE">
            <w:pPr>
              <w:pStyle w:val="Tabletext"/>
              <w:jc w:val="center"/>
              <w:rPr>
                <w:rFonts w:asciiTheme="minorHAnsi" w:hAnsiTheme="minorHAnsi" w:cstheme="minorHAnsi"/>
                <w:b/>
                <w:bCs/>
              </w:rPr>
            </w:pPr>
            <w:r w:rsidRPr="00FD62CE">
              <w:rPr>
                <w:b/>
                <w:bCs/>
                <w:lang w:val="ru-RU"/>
              </w:rPr>
              <w:t>X</w:t>
            </w:r>
          </w:p>
        </w:tc>
        <w:tc>
          <w:tcPr>
            <w:tcW w:w="328"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A489BF" w14:textId="77777777" w:rsidR="00904C90" w:rsidRPr="00FD62CE" w:rsidRDefault="00904C90" w:rsidP="00FD62CE">
            <w:pPr>
              <w:pStyle w:val="Tabletext"/>
              <w:jc w:val="center"/>
              <w:rPr>
                <w:rFonts w:asciiTheme="minorHAnsi" w:hAnsiTheme="minorHAnsi" w:cstheme="minorHAnsi"/>
                <w:b/>
                <w:bCs/>
              </w:rPr>
            </w:pPr>
          </w:p>
        </w:tc>
        <w:tc>
          <w:tcPr>
            <w:tcW w:w="472" w:type="pct"/>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453A2E" w14:textId="77777777" w:rsidR="00904C90" w:rsidRPr="00FD62CE" w:rsidRDefault="00904C90" w:rsidP="00FD62CE">
            <w:pPr>
              <w:pStyle w:val="Tabletext"/>
              <w:jc w:val="center"/>
              <w:rPr>
                <w:rFonts w:asciiTheme="minorHAnsi" w:hAnsiTheme="minorHAnsi" w:cstheme="minorHAnsi"/>
                <w:b/>
                <w:bCs/>
                <w:color w:val="000000"/>
              </w:rPr>
            </w:pPr>
          </w:p>
        </w:tc>
        <w:tc>
          <w:tcPr>
            <w:tcW w:w="1289" w:type="pct"/>
            <w:tcBorders>
              <w:top w:val="nil"/>
              <w:left w:val="nil"/>
              <w:bottom w:val="single" w:sz="4" w:space="0" w:color="auto"/>
              <w:right w:val="single" w:sz="8" w:space="0" w:color="auto"/>
            </w:tcBorders>
            <w:tcMar>
              <w:top w:w="0" w:type="dxa"/>
              <w:left w:w="108" w:type="dxa"/>
              <w:bottom w:w="0" w:type="dxa"/>
              <w:right w:w="108" w:type="dxa"/>
            </w:tcMar>
          </w:tcPr>
          <w:p w14:paraId="7ED5CFB9" w14:textId="77777777" w:rsidR="00904C90" w:rsidRPr="00984390" w:rsidRDefault="00904C90" w:rsidP="00FD62CE">
            <w:pPr>
              <w:pStyle w:val="Tabletext"/>
              <w:rPr>
                <w:rFonts w:asciiTheme="minorHAnsi" w:hAnsiTheme="minorHAnsi" w:cstheme="minorHAnsi"/>
                <w:lang w:val="ru-RU"/>
              </w:rPr>
            </w:pPr>
            <w:r w:rsidRPr="00984390">
              <w:rPr>
                <w:lang w:val="ru-RU"/>
              </w:rPr>
              <w:t xml:space="preserve">МСЭ принимает эту Рекомендацию и планирует представить доклад о функционировании официальных внутренних механизмов обжалования. Представление доклада о специальных механизмах обращения может потребовать дополнительного времени в зависимости от выполнения Рекомендации 4. </w:t>
            </w:r>
          </w:p>
          <w:p w14:paraId="6B8EE451" w14:textId="77777777" w:rsidR="00904C90" w:rsidRPr="00984390" w:rsidRDefault="00904C90" w:rsidP="00FD62CE">
            <w:pPr>
              <w:pStyle w:val="Tabletext"/>
              <w:rPr>
                <w:rFonts w:asciiTheme="minorHAnsi" w:hAnsiTheme="minorHAnsi" w:cstheme="minorHAnsi"/>
                <w:lang w:val="ru-RU"/>
              </w:rPr>
            </w:pPr>
            <w:r w:rsidRPr="00984390">
              <w:rPr>
                <w:lang w:val="ru-RU"/>
              </w:rPr>
              <w:t xml:space="preserve">При представлении докладов должное внимание будет уделяться конфиденциальности сотрудников, учитывая относительно небольшую численность сотрудников МСЭ. </w:t>
            </w:r>
          </w:p>
          <w:p w14:paraId="63D9D7DB" w14:textId="77777777" w:rsidR="00904C90" w:rsidRPr="00984390" w:rsidRDefault="00904C90" w:rsidP="00FD62CE">
            <w:pPr>
              <w:pStyle w:val="Tabletext"/>
              <w:rPr>
                <w:rFonts w:asciiTheme="minorHAnsi" w:hAnsiTheme="minorHAnsi" w:cstheme="minorHAnsi"/>
                <w:lang w:val="ru-RU"/>
              </w:rPr>
            </w:pPr>
            <w:r w:rsidRPr="00984390">
              <w:rPr>
                <w:lang w:val="ru-RU"/>
              </w:rPr>
              <w:t>Для проведения такой дополнительной оценки положения в МСЭ дополнительные финансовые или людские ресурсы не потребуются; она может быть проведена персоналом МСЭ в рамках их существующих функций.</w:t>
            </w:r>
          </w:p>
        </w:tc>
      </w:tr>
    </w:tbl>
    <w:p w14:paraId="086C7367" w14:textId="77777777" w:rsidR="00904C90" w:rsidRPr="00EF6FD8" w:rsidRDefault="00904C90" w:rsidP="00904C90">
      <w:pPr>
        <w:spacing w:before="720"/>
        <w:jc w:val="center"/>
        <w:rPr>
          <w:lang w:val="ru-RU"/>
        </w:rPr>
      </w:pPr>
      <w:r w:rsidRPr="00EF6FD8">
        <w:rPr>
          <w:lang w:val="ru-RU"/>
        </w:rPr>
        <w:t>______________</w:t>
      </w:r>
    </w:p>
    <w:sectPr w:rsidR="00904C90" w:rsidRPr="00EF6FD8" w:rsidSect="00296AE8">
      <w:pgSz w:w="16834" w:h="11907" w:orient="landscape"/>
      <w:pgMar w:top="851" w:right="1418" w:bottom="851" w:left="1418"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23D2" w14:textId="77777777" w:rsidR="002F36EE" w:rsidRDefault="002F36EE">
      <w:r>
        <w:separator/>
      </w:r>
    </w:p>
  </w:endnote>
  <w:endnote w:type="continuationSeparator" w:id="0">
    <w:p w14:paraId="2780F908" w14:textId="77777777" w:rsidR="002F36EE" w:rsidRDefault="002F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3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2514"/>
    </w:tblGrid>
    <w:tr w:rsidR="00672F8A" w:rsidRPr="00784011" w14:paraId="3A23BE57" w14:textId="77777777" w:rsidTr="00904C90">
      <w:trPr>
        <w:jc w:val="center"/>
      </w:trPr>
      <w:tc>
        <w:tcPr>
          <w:tcW w:w="1803" w:type="dxa"/>
          <w:vAlign w:val="center"/>
        </w:tcPr>
        <w:p w14:paraId="6A906843" w14:textId="67AD4E6C" w:rsidR="00672F8A" w:rsidRPr="00E954EE" w:rsidRDefault="00672F8A" w:rsidP="00672F8A">
          <w:pPr>
            <w:pStyle w:val="Header"/>
            <w:jc w:val="left"/>
            <w:rPr>
              <w:noProof/>
              <w:lang w:val="ru-RU"/>
            </w:rPr>
          </w:pPr>
        </w:p>
      </w:tc>
      <w:tc>
        <w:tcPr>
          <w:tcW w:w="12514" w:type="dxa"/>
        </w:tcPr>
        <w:p w14:paraId="40FCB7CB" w14:textId="6411F668" w:rsidR="00672F8A" w:rsidRPr="00E06FD5" w:rsidRDefault="00672F8A" w:rsidP="00904C90">
          <w:pPr>
            <w:pStyle w:val="Header"/>
            <w:tabs>
              <w:tab w:val="left" w:pos="11125"/>
              <w:tab w:val="right" w:pos="1225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E954EE">
            <w:rPr>
              <w:bCs/>
              <w:lang w:val="ru-RU"/>
            </w:rPr>
            <w:t>57</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0849D00C"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0A6F2513" w14:textId="77777777" w:rsidTr="00E31DCE">
      <w:trPr>
        <w:jc w:val="center"/>
      </w:trPr>
      <w:tc>
        <w:tcPr>
          <w:tcW w:w="1803" w:type="dxa"/>
          <w:vAlign w:val="center"/>
        </w:tcPr>
        <w:p w14:paraId="23738C75" w14:textId="77777777" w:rsidR="00672F8A" w:rsidRDefault="00672F8A" w:rsidP="00672F8A">
          <w:pPr>
            <w:pStyle w:val="Header"/>
            <w:jc w:val="left"/>
            <w:rPr>
              <w:noProof/>
            </w:rPr>
          </w:pPr>
          <w:r w:rsidRPr="00660449">
            <w:rPr>
              <w:color w:val="0563C1"/>
              <w:szCs w:val="14"/>
            </w:rPr>
            <w:t>www.itu.int/council</w:t>
          </w:r>
        </w:p>
      </w:tc>
      <w:tc>
        <w:tcPr>
          <w:tcW w:w="8261" w:type="dxa"/>
        </w:tcPr>
        <w:p w14:paraId="22E01AC1" w14:textId="2E006947"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60449">
            <w:rPr>
              <w:bCs/>
            </w:rPr>
            <w:t>4</w:t>
          </w:r>
          <w:r w:rsidRPr="00623AE3">
            <w:rPr>
              <w:bCs/>
            </w:rPr>
            <w:t>/</w:t>
          </w:r>
          <w:r w:rsidR="00E954EE">
            <w:rPr>
              <w:bCs/>
              <w:lang w:val="ru-RU"/>
            </w:rPr>
            <w:t>57</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64EDFDE7"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E077" w14:textId="77777777" w:rsidR="002F36EE" w:rsidRDefault="002F36EE">
      <w:r>
        <w:t>____________________</w:t>
      </w:r>
    </w:p>
  </w:footnote>
  <w:footnote w:type="continuationSeparator" w:id="0">
    <w:p w14:paraId="57756C3C" w14:textId="77777777" w:rsidR="002F36EE" w:rsidRDefault="002F36EE">
      <w:r>
        <w:continuationSeparator/>
      </w:r>
    </w:p>
  </w:footnote>
  <w:footnote w:id="1">
    <w:p w14:paraId="0F9E864B" w14:textId="4F892EBE" w:rsidR="00484493" w:rsidRPr="00DB6941" w:rsidRDefault="00484493" w:rsidP="00904C90">
      <w:pPr>
        <w:pStyle w:val="FootnoteText"/>
        <w:spacing w:after="120"/>
        <w:rPr>
          <w:lang w:val="ru-RU"/>
        </w:rPr>
      </w:pPr>
      <w:r w:rsidRPr="00484493">
        <w:rPr>
          <w:rStyle w:val="FootnoteReference"/>
          <w:lang w:val="ru-RU"/>
        </w:rPr>
        <w:t>1</w:t>
      </w:r>
      <w:r>
        <w:rPr>
          <w:lang w:val="ru-RU"/>
        </w:rPr>
        <w:tab/>
      </w:r>
      <w:r w:rsidRPr="00DB6941">
        <w:rPr>
          <w:lang w:val="ru-RU"/>
        </w:rPr>
        <w:t>Примечание. Официальный перевод на другие языки Союза некоторых рекомендаций, упомянутых в настоящем документе, был недоступен 9 апреля 2024</w:t>
      </w:r>
      <w:r w:rsidR="00904C90">
        <w:rPr>
          <w:lang w:val="en-US"/>
        </w:rPr>
        <w:t> </w:t>
      </w:r>
      <w:r w:rsidRPr="00DB6941">
        <w:rPr>
          <w:lang w:val="ru-RU"/>
        </w:rPr>
        <w:t xml:space="preserve">года на веб-сайте ОИГ (см. </w:t>
      </w:r>
      <w:hyperlink r:id="rId1" w:history="1">
        <w:r w:rsidRPr="000719A6">
          <w:rPr>
            <w:rStyle w:val="Hyperlink"/>
            <w:lang w:val="ru-RU"/>
          </w:rPr>
          <w:t>доклады ОИГ</w:t>
        </w:r>
      </w:hyperlink>
      <w:r w:rsidRPr="00DB6941">
        <w:rPr>
          <w:lang w:val="ru-RU"/>
        </w:rPr>
        <w:t>); для рекомендаций, перевод которых был недоступен, МСЭ обеспечил заблаговременный неофициальный перевод.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2C770018" w14:textId="77777777" w:rsidTr="00E31DCE">
      <w:trPr>
        <w:trHeight w:val="1104"/>
        <w:jc w:val="center"/>
      </w:trPr>
      <w:tc>
        <w:tcPr>
          <w:tcW w:w="4390" w:type="dxa"/>
          <w:vAlign w:val="center"/>
        </w:tcPr>
        <w:p w14:paraId="4805C872" w14:textId="77777777" w:rsidR="00796BD3" w:rsidRPr="009621F8" w:rsidRDefault="00660449" w:rsidP="00796BD3">
          <w:pPr>
            <w:pStyle w:val="Header"/>
            <w:jc w:val="left"/>
            <w:rPr>
              <w:rFonts w:ascii="Arial" w:hAnsi="Arial" w:cs="Arial"/>
              <w:b/>
              <w:bCs/>
              <w:color w:val="009CD6"/>
              <w:sz w:val="36"/>
              <w:szCs w:val="36"/>
            </w:rPr>
          </w:pPr>
          <w:bookmarkStart w:id="8" w:name="_Hlk133422111"/>
          <w:r>
            <w:rPr>
              <w:noProof/>
            </w:rPr>
            <w:drawing>
              <wp:inline distT="0" distB="0" distL="0" distR="0" wp14:anchorId="36D027EA" wp14:editId="6A981578">
                <wp:extent cx="2764800" cy="558000"/>
                <wp:effectExtent l="0" t="0" r="0" b="0"/>
                <wp:docPr id="980768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20E7A617" w14:textId="77777777" w:rsidR="00796BD3" w:rsidRDefault="00796BD3" w:rsidP="00796BD3">
          <w:pPr>
            <w:pStyle w:val="Header"/>
            <w:jc w:val="right"/>
            <w:rPr>
              <w:rFonts w:ascii="Arial" w:hAnsi="Arial" w:cs="Arial"/>
              <w:b/>
              <w:bCs/>
              <w:color w:val="009CD6"/>
              <w:szCs w:val="18"/>
            </w:rPr>
          </w:pPr>
        </w:p>
        <w:p w14:paraId="71DB90AD" w14:textId="77777777" w:rsidR="00796BD3" w:rsidRDefault="00796BD3" w:rsidP="00796BD3">
          <w:pPr>
            <w:pStyle w:val="Header"/>
            <w:jc w:val="right"/>
            <w:rPr>
              <w:rFonts w:ascii="Arial" w:hAnsi="Arial" w:cs="Arial"/>
              <w:b/>
              <w:bCs/>
              <w:color w:val="009CD6"/>
              <w:szCs w:val="18"/>
            </w:rPr>
          </w:pPr>
        </w:p>
        <w:p w14:paraId="0F4A3243"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6C4B64B2"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77C9826" wp14:editId="31E5D7CD">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37028"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683338"/>
    <w:multiLevelType w:val="hybridMultilevel"/>
    <w:tmpl w:val="694AAB12"/>
    <w:lvl w:ilvl="0" w:tplc="0809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BB1509"/>
    <w:multiLevelType w:val="hybridMultilevel"/>
    <w:tmpl w:val="82ACA94A"/>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2C3DE2"/>
    <w:multiLevelType w:val="hybridMultilevel"/>
    <w:tmpl w:val="8FE26D38"/>
    <w:lvl w:ilvl="0" w:tplc="080900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4693786">
    <w:abstractNumId w:val="0"/>
  </w:num>
  <w:num w:numId="2" w16cid:durableId="1905603933">
    <w:abstractNumId w:val="3"/>
  </w:num>
  <w:num w:numId="3" w16cid:durableId="1302494249">
    <w:abstractNumId w:val="2"/>
  </w:num>
  <w:num w:numId="4" w16cid:durableId="90638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719A6"/>
    <w:rsid w:val="00080E82"/>
    <w:rsid w:val="000B2DE7"/>
    <w:rsid w:val="000E568E"/>
    <w:rsid w:val="00104D82"/>
    <w:rsid w:val="0013257F"/>
    <w:rsid w:val="0014734F"/>
    <w:rsid w:val="0015710D"/>
    <w:rsid w:val="00163A32"/>
    <w:rsid w:val="00165D06"/>
    <w:rsid w:val="00192B41"/>
    <w:rsid w:val="001B6048"/>
    <w:rsid w:val="001B7B09"/>
    <w:rsid w:val="001E6719"/>
    <w:rsid w:val="001E7F50"/>
    <w:rsid w:val="00225368"/>
    <w:rsid w:val="00227FF0"/>
    <w:rsid w:val="00291EB6"/>
    <w:rsid w:val="00296AE8"/>
    <w:rsid w:val="002D2F57"/>
    <w:rsid w:val="002D48C5"/>
    <w:rsid w:val="002F36EE"/>
    <w:rsid w:val="0033025A"/>
    <w:rsid w:val="003F099E"/>
    <w:rsid w:val="003F235E"/>
    <w:rsid w:val="004023E0"/>
    <w:rsid w:val="00403DD8"/>
    <w:rsid w:val="00436A27"/>
    <w:rsid w:val="00442515"/>
    <w:rsid w:val="00451D84"/>
    <w:rsid w:val="0045686C"/>
    <w:rsid w:val="00484493"/>
    <w:rsid w:val="004918C4"/>
    <w:rsid w:val="00497703"/>
    <w:rsid w:val="004A0374"/>
    <w:rsid w:val="004A45B5"/>
    <w:rsid w:val="004D0129"/>
    <w:rsid w:val="005A64D5"/>
    <w:rsid w:val="005B3DEC"/>
    <w:rsid w:val="00601994"/>
    <w:rsid w:val="00660449"/>
    <w:rsid w:val="00672F8A"/>
    <w:rsid w:val="006E2D42"/>
    <w:rsid w:val="00703676"/>
    <w:rsid w:val="00707304"/>
    <w:rsid w:val="00732269"/>
    <w:rsid w:val="00762555"/>
    <w:rsid w:val="00785ABD"/>
    <w:rsid w:val="00796BD3"/>
    <w:rsid w:val="007A2DD4"/>
    <w:rsid w:val="007D38B5"/>
    <w:rsid w:val="007E7EA0"/>
    <w:rsid w:val="00807255"/>
    <w:rsid w:val="0081023E"/>
    <w:rsid w:val="008173AA"/>
    <w:rsid w:val="00840A14"/>
    <w:rsid w:val="008B62B4"/>
    <w:rsid w:val="008D2D7B"/>
    <w:rsid w:val="008E0737"/>
    <w:rsid w:val="008F7C2C"/>
    <w:rsid w:val="00904C90"/>
    <w:rsid w:val="00940E96"/>
    <w:rsid w:val="009B0BAE"/>
    <w:rsid w:val="009C1C89"/>
    <w:rsid w:val="009F3448"/>
    <w:rsid w:val="00A01CF9"/>
    <w:rsid w:val="00A71773"/>
    <w:rsid w:val="00A73CA6"/>
    <w:rsid w:val="00AE2C85"/>
    <w:rsid w:val="00B12A37"/>
    <w:rsid w:val="00B41837"/>
    <w:rsid w:val="00B63EF2"/>
    <w:rsid w:val="00BA7D89"/>
    <w:rsid w:val="00BC0D39"/>
    <w:rsid w:val="00BC7BC0"/>
    <w:rsid w:val="00BD57B7"/>
    <w:rsid w:val="00BE63E2"/>
    <w:rsid w:val="00C30F66"/>
    <w:rsid w:val="00CD2009"/>
    <w:rsid w:val="00CF629C"/>
    <w:rsid w:val="00D47438"/>
    <w:rsid w:val="00D65A64"/>
    <w:rsid w:val="00D92EEA"/>
    <w:rsid w:val="00D969A5"/>
    <w:rsid w:val="00DA5D4E"/>
    <w:rsid w:val="00DD5515"/>
    <w:rsid w:val="00E176BA"/>
    <w:rsid w:val="00E423EC"/>
    <w:rsid w:val="00E55121"/>
    <w:rsid w:val="00E954EE"/>
    <w:rsid w:val="00EB4FCB"/>
    <w:rsid w:val="00EC6BC5"/>
    <w:rsid w:val="00F35898"/>
    <w:rsid w:val="00F5225B"/>
    <w:rsid w:val="00F631F2"/>
    <w:rsid w:val="00FD62CE"/>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43F04"/>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styleId="ListParagraph">
    <w:name w:val="List Paragraph"/>
    <w:basedOn w:val="Normal"/>
    <w:uiPriority w:val="34"/>
    <w:qFormat/>
    <w:rsid w:val="00484493"/>
    <w:pPr>
      <w:tabs>
        <w:tab w:val="clear" w:pos="794"/>
        <w:tab w:val="clear" w:pos="1191"/>
        <w:tab w:val="clear" w:pos="1588"/>
        <w:tab w:val="clear" w:pos="1985"/>
        <w:tab w:val="left" w:pos="567"/>
        <w:tab w:val="left" w:pos="1134"/>
        <w:tab w:val="left" w:pos="1701"/>
        <w:tab w:val="left" w:pos="2268"/>
        <w:tab w:val="left" w:pos="2835"/>
      </w:tabs>
      <w:ind w:left="720"/>
      <w:contextualSpacing/>
    </w:pPr>
    <w:rPr>
      <w:sz w:val="24"/>
    </w:rPr>
  </w:style>
  <w:style w:type="character" w:styleId="UnresolvedMention">
    <w:name w:val="Unresolved Mention"/>
    <w:basedOn w:val="DefaultParagraphFont"/>
    <w:uiPriority w:val="99"/>
    <w:semiHidden/>
    <w:unhideWhenUsed/>
    <w:rsid w:val="00071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jiu.org/sites/www.unjiu.org/files/jiu_rep_2023_4_english.pdf" TargetMode="External"/><Relationship Id="rId18" Type="http://schemas.openxmlformats.org/officeDocument/2006/relationships/hyperlink" Target="https://www.unjiu.org/sites/www.unjiu.org/files/a_78_595_add.1_0.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njiu.org/sites/www.unjiu.org/files/jiu_rep_2023_6_review_highlights.pdf" TargetMode="External"/><Relationship Id="rId17" Type="http://schemas.openxmlformats.org/officeDocument/2006/relationships/hyperlink" Target="https://www.unjiu.org/sites/www.unjiu.org/files/jiu-rep-2023-3_review_highlights.pdf" TargetMode="External"/><Relationship Id="rId2" Type="http://schemas.openxmlformats.org/officeDocument/2006/relationships/numbering" Target="numbering.xml"/><Relationship Id="rId16" Type="http://schemas.openxmlformats.org/officeDocument/2006/relationships/hyperlink" Target="https://www.unjiu.org/sites/www.unjiu.org/files/jiu_rep_2023_3_russian.pdf" TargetMode="External"/><Relationship Id="rId20" Type="http://schemas.openxmlformats.org/officeDocument/2006/relationships/hyperlink" Target="https://www.unjiu.org/sites/www.unjiu.org/files/jiu-rep-2023-2_review_highligh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jiu.org/sites/www.unjiu.org/files/jiu_rep_2023_6.pdf" TargetMode="External"/><Relationship Id="rId5" Type="http://schemas.openxmlformats.org/officeDocument/2006/relationships/webSettings" Target="webSettings.xml"/><Relationship Id="rId15" Type="http://schemas.openxmlformats.org/officeDocument/2006/relationships/hyperlink" Target="https://www.unjiu.org/sites/www.unjiu.org/files/a_78_695_add_1_en.pdf" TargetMode="External"/><Relationship Id="rId10" Type="http://schemas.openxmlformats.org/officeDocument/2006/relationships/footer" Target="footer2.xml"/><Relationship Id="rId19" Type="http://schemas.openxmlformats.org/officeDocument/2006/relationships/hyperlink" Target="https://www.unjiu.org/sites/www.unjiu.org/files/jiu_rep_2023_2_english_0.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njiu.org/sites/www.unjiu.org/files/jiu-rep-2023-4_review_highlights_0.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content/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7255-C405-4E1D-AEC7-86F67314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PR_Council23.dotx</Template>
  <TotalTime>3</TotalTime>
  <Pages>8</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12141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AA</dc:creator>
  <cp:keywords>C2024, C24, Council-24</cp:keywords>
  <dc:description/>
  <cp:lastModifiedBy>LRT</cp:lastModifiedBy>
  <cp:revision>3</cp:revision>
  <cp:lastPrinted>2006-03-28T16:12:00Z</cp:lastPrinted>
  <dcterms:created xsi:type="dcterms:W3CDTF">2024-06-10T15:27:00Z</dcterms:created>
  <dcterms:modified xsi:type="dcterms:W3CDTF">2024-06-10T15:30:00Z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