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00120A" w:rsidRPr="00813E5E" w14:paraId="16C8DD02" w14:textId="77777777" w:rsidTr="00C538FC">
        <w:trPr>
          <w:cantSplit/>
          <w:trHeight w:val="23"/>
        </w:trPr>
        <w:tc>
          <w:tcPr>
            <w:tcW w:w="3969" w:type="dxa"/>
            <w:vMerge w:val="restart"/>
            <w:tcMar>
              <w:left w:w="0" w:type="dxa"/>
            </w:tcMar>
          </w:tcPr>
          <w:p w14:paraId="380780FF" w14:textId="0277C62E" w:rsidR="0000120A" w:rsidRPr="00E85629" w:rsidRDefault="0000120A" w:rsidP="0000120A">
            <w:pPr>
              <w:tabs>
                <w:tab w:val="left" w:pos="851"/>
              </w:tabs>
              <w:spacing w:before="0" w:line="240" w:lineRule="atLeast"/>
              <w:rPr>
                <w:b/>
              </w:rPr>
            </w:pPr>
            <w:bookmarkStart w:id="0" w:name="_Hlk133421839"/>
            <w:r w:rsidRPr="00660C7D">
              <w:rPr>
                <w:b/>
              </w:rPr>
              <w:t>Punto del orden del día: ADM 1</w:t>
            </w:r>
          </w:p>
        </w:tc>
        <w:tc>
          <w:tcPr>
            <w:tcW w:w="5245" w:type="dxa"/>
          </w:tcPr>
          <w:p w14:paraId="12EC8577" w14:textId="0AD52E1F" w:rsidR="0000120A" w:rsidRPr="00E85629" w:rsidRDefault="0000120A" w:rsidP="0000120A">
            <w:pPr>
              <w:tabs>
                <w:tab w:val="left" w:pos="851"/>
              </w:tabs>
              <w:spacing w:before="0" w:line="240" w:lineRule="atLeast"/>
              <w:jc w:val="right"/>
              <w:rPr>
                <w:b/>
              </w:rPr>
            </w:pPr>
            <w:r w:rsidRPr="00660C7D">
              <w:rPr>
                <w:b/>
              </w:rPr>
              <w:t>Documento C24/58-S</w:t>
            </w:r>
          </w:p>
        </w:tc>
      </w:tr>
      <w:tr w:rsidR="0000120A" w:rsidRPr="00813E5E" w14:paraId="2F7BAD0F" w14:textId="77777777" w:rsidTr="00C538FC">
        <w:trPr>
          <w:cantSplit/>
        </w:trPr>
        <w:tc>
          <w:tcPr>
            <w:tcW w:w="3969" w:type="dxa"/>
            <w:vMerge/>
          </w:tcPr>
          <w:p w14:paraId="32D340BD" w14:textId="77777777" w:rsidR="0000120A" w:rsidRPr="00813E5E" w:rsidRDefault="0000120A" w:rsidP="0000120A">
            <w:pPr>
              <w:tabs>
                <w:tab w:val="left" w:pos="851"/>
              </w:tabs>
              <w:spacing w:line="240" w:lineRule="atLeast"/>
              <w:rPr>
                <w:b/>
              </w:rPr>
            </w:pPr>
          </w:p>
        </w:tc>
        <w:tc>
          <w:tcPr>
            <w:tcW w:w="5245" w:type="dxa"/>
          </w:tcPr>
          <w:p w14:paraId="6D67502D" w14:textId="3CA05A85" w:rsidR="0000120A" w:rsidRPr="00E85629" w:rsidRDefault="0000120A" w:rsidP="0000120A">
            <w:pPr>
              <w:tabs>
                <w:tab w:val="left" w:pos="851"/>
              </w:tabs>
              <w:spacing w:before="0"/>
              <w:jc w:val="right"/>
              <w:rPr>
                <w:b/>
              </w:rPr>
            </w:pPr>
            <w:r w:rsidRPr="00660C7D">
              <w:rPr>
                <w:b/>
              </w:rPr>
              <w:t>9 de abril de 2024</w:t>
            </w:r>
          </w:p>
        </w:tc>
      </w:tr>
      <w:tr w:rsidR="0000120A" w:rsidRPr="00F24B71" w14:paraId="14ED61B8" w14:textId="77777777" w:rsidTr="00C538FC">
        <w:trPr>
          <w:cantSplit/>
          <w:trHeight w:val="23"/>
        </w:trPr>
        <w:tc>
          <w:tcPr>
            <w:tcW w:w="3969" w:type="dxa"/>
            <w:vMerge/>
          </w:tcPr>
          <w:p w14:paraId="36AAE2B4" w14:textId="77777777" w:rsidR="0000120A" w:rsidRPr="00813E5E" w:rsidRDefault="0000120A" w:rsidP="0000120A">
            <w:pPr>
              <w:tabs>
                <w:tab w:val="left" w:pos="851"/>
              </w:tabs>
              <w:spacing w:line="240" w:lineRule="atLeast"/>
              <w:rPr>
                <w:b/>
              </w:rPr>
            </w:pPr>
          </w:p>
        </w:tc>
        <w:tc>
          <w:tcPr>
            <w:tcW w:w="5245" w:type="dxa"/>
          </w:tcPr>
          <w:p w14:paraId="54C7ED74" w14:textId="73803F2B" w:rsidR="0000120A" w:rsidRPr="00F24B71" w:rsidRDefault="0000120A" w:rsidP="0000120A">
            <w:pPr>
              <w:tabs>
                <w:tab w:val="left" w:pos="851"/>
              </w:tabs>
              <w:spacing w:before="0" w:line="240" w:lineRule="atLeast"/>
              <w:jc w:val="right"/>
              <w:rPr>
                <w:b/>
                <w:bCs/>
              </w:rPr>
            </w:pPr>
            <w:r w:rsidRPr="00660C7D">
              <w:rPr>
                <w:b/>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362A0E58" w:rsidR="00FE57F6" w:rsidRPr="0000120A" w:rsidRDefault="0000120A" w:rsidP="00C538FC">
            <w:pPr>
              <w:pStyle w:val="Subtitle"/>
              <w:framePr w:hSpace="0" w:wrap="auto" w:hAnchor="text" w:xAlign="left" w:yAlign="inline"/>
              <w:rPr>
                <w:lang w:val="es-ES"/>
              </w:rPr>
            </w:pPr>
            <w:bookmarkStart w:id="1" w:name="_Hlk161053971"/>
            <w:r w:rsidRPr="00660C7D">
              <w:rPr>
                <w:lang w:val="es-ES_tradnl"/>
              </w:rPr>
              <w:t>PARTICIPACIÓN EN LAS ACTIVIDADES DE LA UIT DE OTRAS ENTIDADES QUE SE OCUPAN DE CUESTIONES DE TELECOMUNICACIONES</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BCDCDB1" w:rsidR="00FE57F6" w:rsidRPr="00F24B71" w:rsidRDefault="00F24B71" w:rsidP="00C538FC">
            <w:pPr>
              <w:spacing w:before="160"/>
              <w:rPr>
                <w:b/>
                <w:bCs/>
                <w:sz w:val="26"/>
                <w:szCs w:val="26"/>
                <w:lang w:val="es-ES"/>
              </w:rPr>
            </w:pPr>
            <w:r w:rsidRPr="00F24B71">
              <w:rPr>
                <w:b/>
                <w:bCs/>
                <w:sz w:val="26"/>
                <w:szCs w:val="26"/>
                <w:lang w:val="es-ES"/>
              </w:rPr>
              <w:t xml:space="preserve">Finalidad </w:t>
            </w:r>
          </w:p>
          <w:p w14:paraId="618C4414" w14:textId="1C9FAE5F" w:rsidR="00FE57F6" w:rsidRPr="00F24B71" w:rsidRDefault="0000120A" w:rsidP="00C538FC">
            <w:pPr>
              <w:rPr>
                <w:lang w:val="es-ES"/>
              </w:rPr>
            </w:pPr>
            <w:r w:rsidRPr="00500CCA">
              <w:t xml:space="preserve">Por la presente, </w:t>
            </w:r>
            <w:r>
              <w:t xml:space="preserve">la </w:t>
            </w:r>
            <w:r w:rsidRPr="00660C7D">
              <w:t>Secretaria General comunica</w:t>
            </w:r>
            <w:r>
              <w:t xml:space="preserve"> </w:t>
            </w:r>
            <w:r w:rsidRPr="00660C7D">
              <w:t>al Consejo de la UIT los nombres de las "entidades que se ocupan de cuestiones de telecomunicaciones" (véase el número 230 del Convenio de la UIT) que se han incluido provisionalmente en la lista de Miembros de Sector para participar en los trabajos de los Sectores de la UIT, así como los nombres de los Asociados admitidos para participar en una determinada Comisión de Estudio,</w:t>
            </w:r>
            <w:r>
              <w:t xml:space="preserve"> </w:t>
            </w:r>
            <w:r w:rsidRPr="00500CCA">
              <w:t>en espera de la confirmación del Consejo.</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36AC8396" w:rsidR="00FE57F6" w:rsidRPr="00F24B71" w:rsidRDefault="0000120A" w:rsidP="00C538FC">
            <w:pPr>
              <w:rPr>
                <w:lang w:val="es-ES"/>
              </w:rPr>
            </w:pPr>
            <w:r w:rsidRPr="004015B8">
              <w:rPr>
                <w:lang w:val="es-ES"/>
              </w:rPr>
              <w:t xml:space="preserve">Se invita al Consejo a </w:t>
            </w:r>
            <w:r w:rsidRPr="004015B8">
              <w:rPr>
                <w:b/>
                <w:bCs/>
                <w:lang w:val="es-ES"/>
              </w:rPr>
              <w:t>confirmar</w:t>
            </w:r>
            <w:r w:rsidRPr="004015B8">
              <w:rPr>
                <w:lang w:val="es-ES"/>
              </w:rPr>
              <w:t xml:space="preserve"> las medidas adoptadas por la Secretaria General en relación con la admisión de</w:t>
            </w:r>
            <w:r>
              <w:rPr>
                <w:lang w:val="es-ES"/>
              </w:rPr>
              <w:t xml:space="preserve"> las</w:t>
            </w:r>
            <w:r w:rsidRPr="004015B8">
              <w:rPr>
                <w:lang w:val="es-ES"/>
              </w:rPr>
              <w:t xml:space="preserve"> </w:t>
            </w:r>
            <w:r>
              <w:rPr>
                <w:lang w:val="es-ES"/>
              </w:rPr>
              <w:t>"</w:t>
            </w:r>
            <w:r w:rsidRPr="004015B8">
              <w:rPr>
                <w:lang w:val="es-ES"/>
              </w:rPr>
              <w:t>entidades que se ocupan de cuestiones de</w:t>
            </w:r>
            <w:r>
              <w:rPr>
                <w:lang w:val="es-ES"/>
              </w:rPr>
              <w:t xml:space="preserve"> telecomunicaciones" (número 230 del Convenio) enumeradas en el </w:t>
            </w:r>
            <w:hyperlink w:anchor="Annex">
              <w:r w:rsidRPr="00660C7D">
                <w:rPr>
                  <w:rStyle w:val="Hyperlink"/>
                </w:rPr>
                <w:t>Anexo</w:t>
              </w:r>
            </w:hyperlink>
            <w:r w:rsidRPr="004015B8">
              <w:rPr>
                <w:lang w:val="es-ES"/>
              </w:rPr>
              <w:t>.</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43DC0BA9" w:rsidR="00FE57F6" w:rsidRPr="00F24B71" w:rsidRDefault="0000120A" w:rsidP="00C538FC">
            <w:pPr>
              <w:rPr>
                <w:lang w:val="es-ES"/>
              </w:rPr>
            </w:pPr>
            <w:r w:rsidRPr="004015B8">
              <w:rPr>
                <w:lang w:val="es-ES"/>
              </w:rPr>
              <w:t xml:space="preserve">Facilitadores: impulso de los Miembros, asociaciones y cooperación internacional, movilización de </w:t>
            </w:r>
            <w:r>
              <w:rPr>
                <w:lang w:val="es-ES"/>
              </w:rPr>
              <w:t>recursos</w:t>
            </w:r>
            <w:r w:rsidRPr="004015B8">
              <w:rPr>
                <w:lang w:val="es-ES"/>
              </w:rPr>
              <w:t>.</w:t>
            </w:r>
          </w:p>
          <w:p w14:paraId="570AED91" w14:textId="05A1B067" w:rsidR="00FE57F6" w:rsidRDefault="00F24B71" w:rsidP="00C538FC">
            <w:pPr>
              <w:spacing w:before="160"/>
              <w:rPr>
                <w:b/>
                <w:bCs/>
                <w:sz w:val="26"/>
                <w:szCs w:val="26"/>
              </w:rPr>
            </w:pPr>
            <w:r w:rsidRPr="00F24B71">
              <w:rPr>
                <w:b/>
                <w:bCs/>
                <w:sz w:val="26"/>
                <w:szCs w:val="26"/>
              </w:rPr>
              <w:t>Repercusiones financieras</w:t>
            </w:r>
          </w:p>
          <w:p w14:paraId="26F912F8" w14:textId="3C598CBC" w:rsidR="000A6B77" w:rsidRDefault="000A6B77" w:rsidP="00C538FC">
            <w:pPr>
              <w:spacing w:before="160"/>
              <w:rPr>
                <w:b/>
                <w:bCs/>
                <w:sz w:val="26"/>
                <w:szCs w:val="26"/>
              </w:rPr>
            </w:pPr>
            <w:r w:rsidRPr="00660C7D">
              <w:t xml:space="preserve">El presupuesto </w:t>
            </w:r>
            <w:r>
              <w:t>para</w:t>
            </w:r>
            <w:r w:rsidRPr="00660C7D">
              <w:t xml:space="preserve"> 2024-2025</w:t>
            </w:r>
            <w:r>
              <w:t xml:space="preserve"> prevé una suma de</w:t>
            </w:r>
            <w:r w:rsidRPr="00660C7D">
              <w:t xml:space="preserve"> 226 575 CHF/año en concepto de cuotas de los Miembros del Sector y </w:t>
            </w:r>
            <w:r>
              <w:t xml:space="preserve">los </w:t>
            </w:r>
            <w:r w:rsidRPr="00660C7D">
              <w:t>Asociados enumerados en el Anexo.</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7020713C" w:rsidR="00FE57F6" w:rsidRDefault="00DE48E0" w:rsidP="00C538FC">
            <w:pPr>
              <w:spacing w:after="160"/>
            </w:pPr>
            <w:hyperlink r:id="rId6" w:history="1">
              <w:r w:rsidR="0000120A">
                <w:rPr>
                  <w:rStyle w:val="Hyperlink"/>
                  <w:rFonts w:cs="Calibri"/>
                  <w:i/>
                  <w:iCs/>
                  <w:caps/>
                  <w:shd w:val="clear" w:color="auto" w:fill="FFFFFF"/>
                </w:rPr>
                <w:t>N</w:t>
              </w:r>
              <w:r w:rsidR="0000120A">
                <w:rPr>
                  <w:rStyle w:val="Hyperlink"/>
                  <w:rFonts w:cs="Calibri"/>
                  <w:i/>
                  <w:iCs/>
                  <w:shd w:val="clear" w:color="auto" w:fill="FFFFFF"/>
                </w:rPr>
                <w:t>úmeros</w:t>
              </w:r>
              <w:r w:rsidR="0000120A" w:rsidRPr="00660C7D">
                <w:rPr>
                  <w:rStyle w:val="Hyperlink"/>
                  <w:rFonts w:cs="Calibri"/>
                  <w:i/>
                  <w:iCs/>
                  <w:shd w:val="clear" w:color="auto" w:fill="FFFFFF"/>
                </w:rPr>
                <w:t xml:space="preserve"> </w:t>
              </w:r>
              <w:r w:rsidR="0000120A" w:rsidRPr="00660C7D">
                <w:rPr>
                  <w:rStyle w:val="Hyperlink"/>
                  <w:rFonts w:cs="Calibri"/>
                  <w:i/>
                  <w:iCs/>
                  <w:caps/>
                  <w:shd w:val="clear" w:color="auto" w:fill="FFFFFF"/>
                </w:rPr>
                <w:t>229, 230, 231, 234, 237, 241</w:t>
              </w:r>
              <w:r w:rsidR="0000120A">
                <w:rPr>
                  <w:rStyle w:val="Hyperlink"/>
                  <w:rFonts w:cs="Calibri"/>
                  <w:i/>
                  <w:iCs/>
                  <w:caps/>
                  <w:shd w:val="clear" w:color="auto" w:fill="FFFFFF"/>
                </w:rPr>
                <w:t xml:space="preserve">A </w:t>
              </w:r>
              <w:r w:rsidR="0000120A">
                <w:rPr>
                  <w:rStyle w:val="Hyperlink"/>
                  <w:rFonts w:cs="Calibri"/>
                  <w:i/>
                  <w:iCs/>
                  <w:shd w:val="clear" w:color="auto" w:fill="FFFFFF"/>
                </w:rPr>
                <w:t>y</w:t>
              </w:r>
              <w:r w:rsidR="0000120A" w:rsidRPr="00660C7D">
                <w:rPr>
                  <w:rStyle w:val="Hyperlink"/>
                  <w:rFonts w:cs="Calibri"/>
                  <w:i/>
                  <w:iCs/>
                  <w:caps/>
                  <w:shd w:val="clear" w:color="auto" w:fill="FFFFFF"/>
                </w:rPr>
                <w:t xml:space="preserve"> 241C</w:t>
              </w:r>
            </w:hyperlink>
            <w:r w:rsidR="0000120A">
              <w:rPr>
                <w:rStyle w:val="Hyperlink"/>
                <w:rFonts w:cs="Calibri"/>
                <w:i/>
                <w:iCs/>
                <w:caps/>
                <w:shd w:val="clear" w:color="auto" w:fill="FFFFFF"/>
              </w:rPr>
              <w:t xml:space="preserve"> </w:t>
            </w:r>
            <w:r w:rsidR="0000120A">
              <w:rPr>
                <w:rStyle w:val="Hyperlink"/>
                <w:rFonts w:cs="Calibri"/>
                <w:i/>
                <w:iCs/>
                <w:shd w:val="clear" w:color="auto" w:fill="FFFFFF"/>
              </w:rPr>
              <w:t>del Convenio</w:t>
            </w:r>
            <w:r w:rsidR="0000120A" w:rsidRPr="00660C7D">
              <w:rPr>
                <w:rStyle w:val="normaltextrun"/>
                <w:rFonts w:cs="Calibri"/>
                <w:i/>
                <w:iCs/>
                <w:caps/>
                <w:color w:val="000000"/>
                <w:shd w:val="clear" w:color="auto" w:fill="FFFFFF"/>
              </w:rPr>
              <w:t>,</w:t>
            </w:r>
            <w:r w:rsidR="0000120A">
              <w:rPr>
                <w:rStyle w:val="normaltextrun"/>
                <w:rFonts w:cs="Calibri"/>
                <w:i/>
                <w:iCs/>
                <w:color w:val="000000"/>
                <w:shd w:val="clear" w:color="auto" w:fill="FFFFFF"/>
              </w:rPr>
              <w:t xml:space="preserve"> y </w:t>
            </w:r>
            <w:r w:rsidR="0000120A">
              <w:rPr>
                <w:rStyle w:val="normaltextrun"/>
                <w:rFonts w:cs="Calibri"/>
                <w:i/>
                <w:iCs/>
                <w:caps/>
                <w:color w:val="000000"/>
                <w:shd w:val="clear" w:color="auto" w:fill="FFFFFF"/>
              </w:rPr>
              <w:t>D</w:t>
            </w:r>
            <w:r w:rsidR="0000120A">
              <w:rPr>
                <w:rStyle w:val="normaltextrun"/>
                <w:rFonts w:cs="Calibri"/>
                <w:i/>
                <w:iCs/>
                <w:color w:val="000000"/>
                <w:shd w:val="clear" w:color="auto" w:fill="FFFFFF"/>
              </w:rPr>
              <w:t xml:space="preserve">ocumentos </w:t>
            </w:r>
            <w:hyperlink r:id="rId7" w:tgtFrame="_blank" w:history="1">
              <w:r w:rsidR="0000120A" w:rsidRPr="00C972EC">
                <w:rPr>
                  <w:rStyle w:val="Hyperlink"/>
                  <w:rFonts w:cs="Calibri"/>
                  <w:i/>
                  <w:iCs/>
                  <w:caps/>
                  <w:shd w:val="clear" w:color="auto" w:fill="FFFFFF"/>
                  <w:lang w:val="es-ES"/>
                </w:rPr>
                <w:t>C93/49</w:t>
              </w:r>
            </w:hyperlink>
            <w:r w:rsidR="0000120A">
              <w:rPr>
                <w:rFonts w:cs="Calibri"/>
                <w:i/>
                <w:iCs/>
                <w:caps/>
                <w:color w:val="000000"/>
                <w:shd w:val="clear" w:color="auto" w:fill="FFFFFF"/>
                <w:lang w:val="es-ES"/>
              </w:rPr>
              <w:t xml:space="preserve"> </w:t>
            </w:r>
            <w:r w:rsidR="0000120A">
              <w:rPr>
                <w:rFonts w:cs="Calibri"/>
                <w:i/>
                <w:iCs/>
                <w:color w:val="000000"/>
                <w:shd w:val="clear" w:color="auto" w:fill="FFFFFF"/>
                <w:lang w:val="es-ES"/>
              </w:rPr>
              <w:t>y</w:t>
            </w:r>
            <w:r w:rsidR="0000120A" w:rsidRPr="00C972EC">
              <w:rPr>
                <w:rFonts w:cs="Calibri"/>
                <w:i/>
                <w:iCs/>
                <w:caps/>
                <w:color w:val="000000"/>
                <w:shd w:val="clear" w:color="auto" w:fill="FFFFFF"/>
                <w:lang w:val="es-ES"/>
              </w:rPr>
              <w:t xml:space="preserve"> </w:t>
            </w:r>
            <w:hyperlink r:id="rId8" w:tgtFrame="_blank" w:history="1">
              <w:r w:rsidR="0000120A" w:rsidRPr="00C972EC">
                <w:rPr>
                  <w:rStyle w:val="Hyperlink"/>
                  <w:rFonts w:cs="Calibri"/>
                  <w:i/>
                  <w:iCs/>
                  <w:caps/>
                  <w:shd w:val="clear" w:color="auto" w:fill="FFFFFF"/>
                  <w:lang w:val="es-ES"/>
                </w:rPr>
                <w:t>C2000/33</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14781BB7" w14:textId="77777777" w:rsidR="0000120A" w:rsidRPr="00117524" w:rsidRDefault="0000120A" w:rsidP="00651740">
      <w:pPr>
        <w:pStyle w:val="Headingb"/>
        <w:rPr>
          <w:lang w:val="es-ES"/>
        </w:rPr>
      </w:pPr>
      <w:r w:rsidRPr="00117524">
        <w:rPr>
          <w:lang w:val="es-ES"/>
        </w:rPr>
        <w:lastRenderedPageBreak/>
        <w:t>Antecedentes</w:t>
      </w:r>
    </w:p>
    <w:p w14:paraId="5ECBEE78" w14:textId="4C5C785C" w:rsidR="0000120A" w:rsidRPr="00660C7D" w:rsidRDefault="0000120A" w:rsidP="007436E5">
      <w:pPr>
        <w:rPr>
          <w:rFonts w:ascii="Segoe UI" w:hAnsi="Segoe UI" w:cs="Segoe UI"/>
          <w:sz w:val="18"/>
          <w:szCs w:val="18"/>
          <w:lang w:eastAsia="zh-CN"/>
        </w:rPr>
      </w:pPr>
      <w:r w:rsidRPr="00660C7D">
        <w:rPr>
          <w:rFonts w:cs="Calibri"/>
          <w:lang w:eastAsia="zh-CN"/>
        </w:rPr>
        <w:t>1</w:t>
      </w:r>
      <w:r w:rsidRPr="00660C7D">
        <w:tab/>
      </w:r>
      <w:r w:rsidRPr="00CD1EBC">
        <w:rPr>
          <w:lang w:val="es-ES" w:eastAsia="zh-CN"/>
        </w:rPr>
        <w:t>En 1993</w:t>
      </w:r>
      <w:r>
        <w:rPr>
          <w:lang w:val="es-ES" w:eastAsia="zh-CN"/>
        </w:rPr>
        <w:t>,</w:t>
      </w:r>
      <w:r w:rsidRPr="00CD1EBC">
        <w:rPr>
          <w:lang w:val="es-ES" w:eastAsia="zh-CN"/>
        </w:rPr>
        <w:t xml:space="preserve"> el Consejo de la UIT definió los procedimientos aplicables a la admisión y participación de</w:t>
      </w:r>
      <w:r>
        <w:rPr>
          <w:lang w:val="es-ES" w:eastAsia="zh-CN"/>
        </w:rPr>
        <w:t xml:space="preserve"> los Miembros de Sector (véase el</w:t>
      </w:r>
      <w:r w:rsidRPr="00CD1EBC">
        <w:rPr>
          <w:lang w:val="es-ES" w:eastAsia="zh-CN"/>
        </w:rPr>
        <w:t xml:space="preserve"> </w:t>
      </w:r>
      <w:hyperlink r:id="rId9" w:tgtFrame="_blank" w:history="1">
        <w:r w:rsidRPr="00CD1EBC">
          <w:rPr>
            <w:color w:val="0563C1"/>
            <w:u w:val="single"/>
            <w:lang w:val="es-ES" w:eastAsia="zh-CN"/>
          </w:rPr>
          <w:t>Document</w:t>
        </w:r>
        <w:r>
          <w:rPr>
            <w:color w:val="0563C1"/>
            <w:u w:val="single"/>
            <w:lang w:val="es-ES" w:eastAsia="zh-CN"/>
          </w:rPr>
          <w:t>o</w:t>
        </w:r>
        <w:r w:rsidRPr="00CD1EBC">
          <w:rPr>
            <w:color w:val="0563C1"/>
            <w:u w:val="single"/>
            <w:lang w:val="es-ES" w:eastAsia="zh-CN"/>
          </w:rPr>
          <w:t xml:space="preserve"> C93/49</w:t>
        </w:r>
      </w:hyperlink>
      <w:r w:rsidRPr="00CD1EBC">
        <w:rPr>
          <w:lang w:val="es-ES" w:eastAsia="zh-CN"/>
        </w:rPr>
        <w:t xml:space="preserve">). En </w:t>
      </w:r>
      <w:r>
        <w:rPr>
          <w:lang w:val="es-ES" w:eastAsia="zh-CN"/>
        </w:rPr>
        <w:t xml:space="preserve">el año </w:t>
      </w:r>
      <w:r w:rsidRPr="00CD1EBC">
        <w:rPr>
          <w:lang w:val="es-ES" w:eastAsia="zh-CN"/>
        </w:rPr>
        <w:t>2000</w:t>
      </w:r>
      <w:r>
        <w:rPr>
          <w:lang w:val="es-ES" w:eastAsia="zh-CN"/>
        </w:rPr>
        <w:t>,</w:t>
      </w:r>
      <w:r w:rsidRPr="00CD1EBC">
        <w:rPr>
          <w:lang w:val="es-ES" w:eastAsia="zh-CN"/>
        </w:rPr>
        <w:t xml:space="preserve"> el Consejo estableció una serie de pr</w:t>
      </w:r>
      <w:r>
        <w:rPr>
          <w:lang w:val="es-ES" w:eastAsia="zh-CN"/>
        </w:rPr>
        <w:t>ocedimientos conexos para los Asociados</w:t>
      </w:r>
      <w:r w:rsidRPr="00CD1EBC">
        <w:rPr>
          <w:lang w:val="es-ES" w:eastAsia="zh-CN"/>
        </w:rPr>
        <w:t>.</w:t>
      </w:r>
    </w:p>
    <w:p w14:paraId="50884F84" w14:textId="77777777" w:rsidR="0000120A" w:rsidRDefault="0000120A" w:rsidP="007436E5">
      <w:pPr>
        <w:rPr>
          <w:lang w:val="es-ES" w:eastAsia="zh-CN"/>
        </w:rPr>
      </w:pPr>
      <w:r w:rsidRPr="00660C7D">
        <w:rPr>
          <w:rFonts w:cs="Calibri"/>
          <w:lang w:eastAsia="zh-CN"/>
        </w:rPr>
        <w:t>2</w:t>
      </w:r>
      <w:r w:rsidRPr="00660C7D">
        <w:tab/>
      </w:r>
      <w:r w:rsidRPr="00CD1EBC">
        <w:rPr>
          <w:lang w:val="es-ES"/>
        </w:rPr>
        <w:t>De conformidad con el Artículo 19 del Convenio de la UIT, los Miembros de Sector, es decir, las entidades y organizaciones distintas de las administraciones, se dividen en tres grandes categorías: en el número 229 del Convenio se reconocen las empresas de explotación reconocidas, los organismos científicos o industriales y las instituciones de financiación o de de</w:t>
      </w:r>
      <w:r>
        <w:rPr>
          <w:lang w:val="es-ES"/>
        </w:rPr>
        <w:t xml:space="preserve">sarrollo autorizadas por el Estado Miembro interesado; en el número 230 del Convenio se reconocen otras entidades que se ocupan de cuestiones de telecomunicaciones, autorizadas por el Estado Miembro interesado; y en el número 231 del Convenio se reconocen las organizaciones regionales y otras organizaciones internacionales de telecomunicación, de normalización, de financiación o de desarrollo. </w:t>
      </w:r>
      <w:r w:rsidRPr="00CD1EBC">
        <w:rPr>
          <w:lang w:val="es-ES"/>
        </w:rPr>
        <w:t>Cada una de esas categorías posee distintos niveles de derechos y obligaciones en lo que respecta a su participación en las actividades de la UIT</w:t>
      </w:r>
      <w:r w:rsidRPr="00CD1EBC">
        <w:rPr>
          <w:lang w:val="es-ES" w:eastAsia="zh-CN"/>
        </w:rPr>
        <w:t>.</w:t>
      </w:r>
    </w:p>
    <w:p w14:paraId="185F5BEA" w14:textId="77777777" w:rsidR="0000120A" w:rsidRPr="00660C7D" w:rsidRDefault="0000120A" w:rsidP="0000120A">
      <w:pPr>
        <w:rPr>
          <w:rFonts w:asciiTheme="minorHAnsi" w:hAnsiTheme="minorHAnsi" w:cstheme="minorBidi"/>
          <w:lang w:eastAsia="zh-CN"/>
        </w:rPr>
      </w:pPr>
      <w:r w:rsidRPr="00660C7D">
        <w:rPr>
          <w:rFonts w:cs="Calibri"/>
          <w:lang w:eastAsia="zh-CN"/>
        </w:rPr>
        <w:t>3</w:t>
      </w:r>
      <w:r w:rsidRPr="00660C7D">
        <w:tab/>
      </w:r>
      <w:r>
        <w:rPr>
          <w:lang w:val="es-ES"/>
        </w:rPr>
        <w:t>A tenor</w:t>
      </w:r>
      <w:r w:rsidRPr="00CD1EBC">
        <w:rPr>
          <w:lang w:val="es-ES"/>
        </w:rPr>
        <w:t xml:space="preserve"> </w:t>
      </w:r>
      <w:r>
        <w:rPr>
          <w:lang w:val="es-ES"/>
        </w:rPr>
        <w:t>d</w:t>
      </w:r>
      <w:r w:rsidRPr="00CD1EBC">
        <w:rPr>
          <w:lang w:val="es-ES"/>
        </w:rPr>
        <w:t>el número</w:t>
      </w:r>
      <w:r w:rsidRPr="00CD1EBC">
        <w:rPr>
          <w:lang w:val="es-ES" w:eastAsia="zh-CN"/>
        </w:rPr>
        <w:t xml:space="preserve"> 241C del Convenio, las correspondientes disposiciones del Artículo</w:t>
      </w:r>
      <w:r>
        <w:rPr>
          <w:lang w:val="es-ES" w:eastAsia="zh-CN"/>
        </w:rPr>
        <w:t> </w:t>
      </w:r>
      <w:r w:rsidRPr="00CD1EBC">
        <w:rPr>
          <w:lang w:val="es-ES" w:eastAsia="zh-CN"/>
        </w:rPr>
        <w:t xml:space="preserve">19 del Convenio resultan aplicables a los Asociados. En consecuencia, los procedimientos de admisión y participación previstos para las entidades y organizaciones señaladas en dicho artículo rigen también en el caso de los Asociados, con arreglo a la categoría a la que pertenezcan (véanse los números 229, 230 y </w:t>
      </w:r>
      <w:r>
        <w:rPr>
          <w:lang w:val="es-ES" w:eastAsia="zh-CN"/>
        </w:rPr>
        <w:t>231 del Convenio</w:t>
      </w:r>
      <w:r w:rsidRPr="00CD1EBC">
        <w:rPr>
          <w:lang w:val="es-ES" w:eastAsia="zh-CN"/>
        </w:rPr>
        <w:t>).</w:t>
      </w:r>
    </w:p>
    <w:p w14:paraId="1D55D522" w14:textId="77777777" w:rsidR="0000120A" w:rsidRDefault="0000120A" w:rsidP="0000120A">
      <w:pPr>
        <w:rPr>
          <w:lang w:val="es-ES" w:eastAsia="zh-CN"/>
        </w:rPr>
      </w:pPr>
      <w:r w:rsidRPr="00660C7D">
        <w:rPr>
          <w:rFonts w:cs="Calibri"/>
          <w:lang w:eastAsia="zh-CN"/>
        </w:rPr>
        <w:t>4</w:t>
      </w:r>
      <w:r w:rsidRPr="00660C7D">
        <w:tab/>
      </w:r>
      <w:r w:rsidRPr="00CD1EBC">
        <w:rPr>
          <w:lang w:val="es-ES" w:eastAsia="zh-CN"/>
        </w:rPr>
        <w:t xml:space="preserve">El Artículo 19 del Convenio exige que toda solicitud </w:t>
      </w:r>
      <w:r>
        <w:rPr>
          <w:lang w:val="es-ES" w:eastAsia="zh-CN"/>
        </w:rPr>
        <w:t>presentada por</w:t>
      </w:r>
      <w:r w:rsidRPr="00CD1EBC">
        <w:rPr>
          <w:lang w:val="es-ES" w:eastAsia="zh-CN"/>
        </w:rPr>
        <w:t xml:space="preserve"> una entidad perteneciente a la categoría reconocida en el número 230 </w:t>
      </w:r>
      <w:r>
        <w:rPr>
          <w:lang w:val="es-ES" w:eastAsia="zh-CN"/>
        </w:rPr>
        <w:t>del Convenio</w:t>
      </w:r>
      <w:r w:rsidRPr="00CD1EBC">
        <w:rPr>
          <w:lang w:val="es-ES" w:eastAsia="zh-CN"/>
        </w:rPr>
        <w:t xml:space="preserve">, </w:t>
      </w:r>
      <w:r>
        <w:rPr>
          <w:lang w:val="es-ES" w:eastAsia="zh-CN"/>
        </w:rPr>
        <w:t>a saber, otras entidades que se ocupan de cuestiones de telecomunicaciones, autorizadas por el Estado Miembro interesado, sea confirmada por el Consejo.</w:t>
      </w:r>
    </w:p>
    <w:p w14:paraId="00DE4AE1" w14:textId="77777777" w:rsidR="0000120A" w:rsidRPr="00663819" w:rsidRDefault="0000120A" w:rsidP="007436E5">
      <w:pPr>
        <w:rPr>
          <w:lang w:val="es-ES" w:eastAsia="zh-CN"/>
        </w:rPr>
      </w:pPr>
      <w:r w:rsidRPr="00660C7D">
        <w:rPr>
          <w:rFonts w:cs="Calibri"/>
          <w:lang w:eastAsia="zh-CN"/>
        </w:rPr>
        <w:t>5</w:t>
      </w:r>
      <w:r w:rsidRPr="00660C7D">
        <w:tab/>
      </w:r>
      <w:r w:rsidRPr="00CD1EBC">
        <w:rPr>
          <w:lang w:val="es-ES" w:eastAsia="zh-CN"/>
        </w:rPr>
        <w:t>De conformidad con el procedimiento expuesto en el Documento</w:t>
      </w:r>
      <w:r w:rsidRPr="00CD1EBC">
        <w:rPr>
          <w:lang w:val="es-ES"/>
        </w:rPr>
        <w:t xml:space="preserve"> C93/49, la Secretaria General incluye provisionalmente los nomb</w:t>
      </w:r>
      <w:r>
        <w:rPr>
          <w:lang w:val="es-ES"/>
        </w:rPr>
        <w:t>res de las entidades en la lista de "Miembros" a que se hace referencia en el número 237 del Convenio para su aprobación formal por el Consejo</w:t>
      </w:r>
      <w:r w:rsidRPr="00CD1EBC">
        <w:rPr>
          <w:lang w:val="es-ES"/>
        </w:rPr>
        <w:t>.</w:t>
      </w:r>
    </w:p>
    <w:p w14:paraId="6AEB3ED3" w14:textId="77777777" w:rsidR="0000120A" w:rsidRPr="00660C7D" w:rsidRDefault="0000120A" w:rsidP="007436E5">
      <w:pPr>
        <w:pStyle w:val="Headingb"/>
        <w:rPr>
          <w:rFonts w:cs="Calibri"/>
          <w:lang w:eastAsia="zh-CN"/>
        </w:rPr>
      </w:pPr>
      <w:r w:rsidRPr="00660C7D">
        <w:t>Situación actual</w:t>
      </w:r>
    </w:p>
    <w:p w14:paraId="5DD6217C" w14:textId="28FA4D15" w:rsidR="0000120A" w:rsidRPr="00500CCA" w:rsidRDefault="0000120A" w:rsidP="007436E5">
      <w:pPr>
        <w:tabs>
          <w:tab w:val="clear" w:pos="567"/>
          <w:tab w:val="clear" w:pos="1134"/>
          <w:tab w:val="clear" w:pos="1701"/>
          <w:tab w:val="clear" w:pos="2268"/>
          <w:tab w:val="clear" w:pos="2835"/>
        </w:tabs>
        <w:overflowPunct/>
        <w:autoSpaceDE/>
        <w:autoSpaceDN/>
        <w:adjustRightInd/>
        <w:spacing w:before="0" w:after="120"/>
        <w:rPr>
          <w:lang w:val="es-ES" w:eastAsia="zh-CN"/>
        </w:rPr>
      </w:pPr>
      <w:r w:rsidRPr="00660C7D">
        <w:rPr>
          <w:rFonts w:cs="Calibri"/>
          <w:lang w:eastAsia="zh-CN"/>
        </w:rPr>
        <w:t>6</w:t>
      </w:r>
      <w:r w:rsidRPr="00660C7D">
        <w:tab/>
      </w:r>
      <w:r w:rsidRPr="008778DF">
        <w:rPr>
          <w:lang w:val="es-ES"/>
        </w:rPr>
        <w:t>Al</w:t>
      </w:r>
      <w:r w:rsidRPr="008778DF">
        <w:rPr>
          <w:lang w:val="es-ES" w:eastAsia="zh-CN"/>
        </w:rPr>
        <w:t xml:space="preserve"> 31 de diciembre de 202</w:t>
      </w:r>
      <w:r>
        <w:rPr>
          <w:lang w:val="es-ES" w:eastAsia="zh-CN"/>
        </w:rPr>
        <w:t>3</w:t>
      </w:r>
      <w:r w:rsidRPr="008778DF">
        <w:rPr>
          <w:lang w:val="es-ES" w:eastAsia="zh-CN"/>
        </w:rPr>
        <w:t xml:space="preserve">, las entidades </w:t>
      </w:r>
      <w:r>
        <w:rPr>
          <w:lang w:val="es-ES" w:eastAsia="zh-CN"/>
        </w:rPr>
        <w:t>m</w:t>
      </w:r>
      <w:r w:rsidRPr="008778DF">
        <w:rPr>
          <w:lang w:val="es-ES" w:eastAsia="zh-CN"/>
        </w:rPr>
        <w:t>iembros de la UIT que se ocupa</w:t>
      </w:r>
      <w:r>
        <w:rPr>
          <w:lang w:val="es-ES" w:eastAsia="zh-CN"/>
        </w:rPr>
        <w:t>ba</w:t>
      </w:r>
      <w:r w:rsidRPr="008778DF">
        <w:rPr>
          <w:lang w:val="es-ES" w:eastAsia="zh-CN"/>
        </w:rPr>
        <w:t>n de cuestiones de telecomunicaciones</w:t>
      </w:r>
      <w:r>
        <w:rPr>
          <w:lang w:val="es-ES" w:eastAsia="zh-CN"/>
        </w:rPr>
        <w:t xml:space="preserve"> y se regían por </w:t>
      </w:r>
      <w:r w:rsidRPr="008778DF">
        <w:rPr>
          <w:lang w:val="es-ES" w:eastAsia="zh-CN"/>
        </w:rPr>
        <w:t>el número</w:t>
      </w:r>
      <w:r>
        <w:rPr>
          <w:lang w:val="es-ES" w:eastAsia="zh-CN"/>
        </w:rPr>
        <w:t> </w:t>
      </w:r>
      <w:r w:rsidRPr="008778DF">
        <w:rPr>
          <w:lang w:val="es-ES" w:eastAsia="zh-CN"/>
        </w:rPr>
        <w:t xml:space="preserve">230 del Convenio eran </w:t>
      </w:r>
      <w:r w:rsidRPr="004F15C1">
        <w:rPr>
          <w:lang w:val="es-ES" w:eastAsia="zh-CN"/>
        </w:rPr>
        <w:t>57</w:t>
      </w:r>
      <w:r w:rsidR="00A23D96">
        <w:rPr>
          <w:lang w:val="es-ES" w:eastAsia="zh-CN"/>
        </w:rPr>
        <w:t> </w:t>
      </w:r>
      <w:r w:rsidRPr="008778DF">
        <w:rPr>
          <w:lang w:val="es-ES" w:eastAsia="zh-CN"/>
        </w:rPr>
        <w:t>Miembros de Sector, que represent</w:t>
      </w:r>
      <w:r>
        <w:rPr>
          <w:lang w:val="es-ES" w:eastAsia="zh-CN"/>
        </w:rPr>
        <w:t>ab</w:t>
      </w:r>
      <w:r w:rsidRPr="008778DF">
        <w:rPr>
          <w:lang w:val="es-ES" w:eastAsia="zh-CN"/>
        </w:rPr>
        <w:t xml:space="preserve">an </w:t>
      </w:r>
      <w:r w:rsidRPr="00660C7D">
        <w:rPr>
          <w:rFonts w:cs="Calibri"/>
          <w:lang w:eastAsia="zh-CN"/>
        </w:rPr>
        <w:t xml:space="preserve">72 </w:t>
      </w:r>
      <w:r w:rsidRPr="008778DF">
        <w:rPr>
          <w:lang w:val="es-ES" w:eastAsia="zh-CN"/>
        </w:rPr>
        <w:t xml:space="preserve">cotizaciones, y </w:t>
      </w:r>
      <w:r>
        <w:rPr>
          <w:lang w:val="es-ES" w:eastAsia="zh-CN"/>
        </w:rPr>
        <w:t>44 </w:t>
      </w:r>
      <w:r w:rsidRPr="008778DF">
        <w:rPr>
          <w:lang w:val="es-ES" w:eastAsia="zh-CN"/>
        </w:rPr>
        <w:t>Asociados, que represent</w:t>
      </w:r>
      <w:r>
        <w:rPr>
          <w:lang w:val="es-ES" w:eastAsia="zh-CN"/>
        </w:rPr>
        <w:t>ab</w:t>
      </w:r>
      <w:r w:rsidRPr="008778DF">
        <w:rPr>
          <w:lang w:val="es-ES" w:eastAsia="zh-CN"/>
        </w:rPr>
        <w:t xml:space="preserve">an </w:t>
      </w:r>
      <w:r>
        <w:rPr>
          <w:lang w:val="es-ES" w:eastAsia="zh-CN"/>
        </w:rPr>
        <w:t>45 </w:t>
      </w:r>
      <w:r w:rsidRPr="008778DF">
        <w:rPr>
          <w:lang w:val="es-ES" w:eastAsia="zh-CN"/>
        </w:rPr>
        <w:t>cotizaciones, admitid</w:t>
      </w:r>
      <w:r>
        <w:rPr>
          <w:lang w:val="es-ES" w:eastAsia="zh-CN"/>
        </w:rPr>
        <w:t>o</w:t>
      </w:r>
      <w:r w:rsidRPr="008778DF">
        <w:rPr>
          <w:lang w:val="es-ES" w:eastAsia="zh-CN"/>
        </w:rPr>
        <w:t xml:space="preserve">s para </w:t>
      </w:r>
      <w:r>
        <w:rPr>
          <w:lang w:val="es-ES" w:eastAsia="zh-CN"/>
        </w:rPr>
        <w:t>participar en una Comisión de Estudio determinada</w:t>
      </w:r>
      <w:r w:rsidRPr="008778DF">
        <w:rPr>
          <w:lang w:val="es-ES" w:eastAsia="zh-CN"/>
        </w:rPr>
        <w:t>.</w:t>
      </w:r>
    </w:p>
    <w:p w14:paraId="7ACF6896" w14:textId="77777777" w:rsidR="0000120A" w:rsidRPr="007436E5" w:rsidRDefault="0000120A" w:rsidP="007436E5">
      <w:pPr>
        <w:pStyle w:val="Headingb"/>
      </w:pPr>
      <w:r w:rsidRPr="007436E5">
        <w:t xml:space="preserve">Solicitud al Consejo </w:t>
      </w:r>
    </w:p>
    <w:p w14:paraId="01EC3AD5" w14:textId="77777777" w:rsidR="0000120A" w:rsidRPr="00660C7D" w:rsidRDefault="0000120A" w:rsidP="0000120A">
      <w:r w:rsidRPr="00660C7D">
        <w:t>7</w:t>
      </w:r>
      <w:r>
        <w:tab/>
      </w:r>
      <w:r w:rsidRPr="008778DF">
        <w:rPr>
          <w:lang w:val="es-ES"/>
        </w:rPr>
        <w:t xml:space="preserve">Se invita al Consejo a </w:t>
      </w:r>
      <w:r w:rsidRPr="008778DF">
        <w:rPr>
          <w:b/>
          <w:bCs/>
          <w:lang w:val="es-ES"/>
        </w:rPr>
        <w:t xml:space="preserve">confirmar </w:t>
      </w:r>
      <w:r w:rsidRPr="008778DF">
        <w:rPr>
          <w:lang w:val="es-ES"/>
        </w:rPr>
        <w:t xml:space="preserve">las medidas adoptadas por la Secretaria General en relación con la admisión de las </w:t>
      </w:r>
      <w:r>
        <w:rPr>
          <w:lang w:val="es-ES"/>
        </w:rPr>
        <w:t>"</w:t>
      </w:r>
      <w:r w:rsidRPr="008778DF">
        <w:rPr>
          <w:lang w:val="es-ES"/>
        </w:rPr>
        <w:t>entidades que se ocupan de cuestiones de telecomunicaciones</w:t>
      </w:r>
      <w:r>
        <w:rPr>
          <w:lang w:val="es-ES"/>
        </w:rPr>
        <w:t>"</w:t>
      </w:r>
      <w:r w:rsidRPr="008778DF">
        <w:rPr>
          <w:lang w:val="es-ES"/>
        </w:rPr>
        <w:t xml:space="preserve"> (número 230 del Co</w:t>
      </w:r>
      <w:r>
        <w:rPr>
          <w:lang w:val="es-ES"/>
        </w:rPr>
        <w:t xml:space="preserve">nvenio) enumeradas en el </w:t>
      </w:r>
      <w:hyperlink w:anchor="Annex">
        <w:r w:rsidRPr="00660C7D">
          <w:rPr>
            <w:rStyle w:val="Hyperlink"/>
          </w:rPr>
          <w:t>Anexo</w:t>
        </w:r>
      </w:hyperlink>
      <w:r w:rsidRPr="00660C7D">
        <w:t>.</w:t>
      </w:r>
    </w:p>
    <w:p w14:paraId="5E99A610" w14:textId="77777777" w:rsidR="0000120A" w:rsidRPr="00660C7D" w:rsidRDefault="0000120A" w:rsidP="0000120A">
      <w:pPr>
        <w:tabs>
          <w:tab w:val="clear" w:pos="567"/>
          <w:tab w:val="clear" w:pos="1134"/>
          <w:tab w:val="clear" w:pos="1701"/>
          <w:tab w:val="clear" w:pos="2268"/>
          <w:tab w:val="clear" w:pos="2835"/>
        </w:tabs>
        <w:overflowPunct/>
        <w:autoSpaceDE/>
        <w:autoSpaceDN/>
        <w:adjustRightInd/>
        <w:spacing w:before="0"/>
        <w:textAlignment w:val="auto"/>
        <w:rPr>
          <w:rFonts w:ascii="Segoe UI" w:hAnsi="Segoe UI" w:cs="Segoe UI"/>
          <w:sz w:val="18"/>
          <w:szCs w:val="18"/>
          <w:lang w:eastAsia="zh-CN"/>
        </w:rPr>
      </w:pPr>
      <w:r w:rsidRPr="00660C7D">
        <w:rPr>
          <w:rFonts w:ascii="Segoe UI" w:hAnsi="Segoe UI" w:cs="Segoe UI"/>
          <w:sz w:val="18"/>
          <w:szCs w:val="18"/>
          <w:lang w:eastAsia="zh-CN"/>
        </w:rPr>
        <w:br w:type="page"/>
      </w:r>
    </w:p>
    <w:p w14:paraId="4784A5DB" w14:textId="77777777" w:rsidR="0000120A" w:rsidRPr="00A23D96" w:rsidRDefault="0000120A" w:rsidP="00A23D96">
      <w:pPr>
        <w:pStyle w:val="Annextitle"/>
        <w:rPr>
          <w:b w:val="0"/>
          <w:bCs/>
        </w:rPr>
      </w:pPr>
      <w:bookmarkStart w:id="2" w:name="Annex"/>
      <w:r w:rsidRPr="00A23D96">
        <w:rPr>
          <w:b w:val="0"/>
          <w:bCs/>
        </w:rPr>
        <w:lastRenderedPageBreak/>
        <w:t>ANEXO</w:t>
      </w:r>
      <w:bookmarkEnd w:id="2"/>
    </w:p>
    <w:p w14:paraId="46DB9E92" w14:textId="77777777" w:rsidR="0000120A" w:rsidRPr="00660C7D" w:rsidRDefault="0000120A" w:rsidP="0000120A">
      <w:pPr>
        <w:pStyle w:val="Annextitle"/>
        <w:rPr>
          <w:rFonts w:ascii="Segoe UI" w:hAnsi="Segoe UI" w:cs="Segoe UI"/>
          <w:sz w:val="18"/>
          <w:szCs w:val="18"/>
          <w:lang w:eastAsia="zh-CN"/>
        </w:rPr>
      </w:pPr>
      <w:r w:rsidRPr="008778DF">
        <w:rPr>
          <w:lang w:val="es-ES" w:eastAsia="zh-CN"/>
        </w:rPr>
        <w:t>Participación provisional</w:t>
      </w:r>
      <w:r>
        <w:rPr>
          <w:lang w:val="es-ES" w:eastAsia="zh-CN"/>
        </w:rPr>
        <w:t xml:space="preserve"> </w:t>
      </w:r>
      <w:r w:rsidRPr="008778DF">
        <w:rPr>
          <w:lang w:val="es-ES" w:eastAsia="zh-CN"/>
        </w:rPr>
        <w:t xml:space="preserve">en las actividades de los Sectores de la UIT </w:t>
      </w:r>
      <w:r w:rsidRPr="00660C7D">
        <w:rPr>
          <w:lang w:eastAsia="zh-CN"/>
        </w:rPr>
        <w:t xml:space="preserve">de otras </w:t>
      </w:r>
      <w:r w:rsidRPr="008778DF">
        <w:rPr>
          <w:lang w:val="es-ES" w:eastAsia="zh-CN"/>
        </w:rPr>
        <w:t>entidades que se ocupan de cuestiones de telecomunicaciones (número</w:t>
      </w:r>
      <w:r>
        <w:rPr>
          <w:lang w:val="es-ES" w:eastAsia="zh-CN"/>
        </w:rPr>
        <w:t> </w:t>
      </w:r>
      <w:r w:rsidRPr="008778DF">
        <w:rPr>
          <w:lang w:val="es-ES" w:eastAsia="zh-CN"/>
        </w:rPr>
        <w:t xml:space="preserve">230 del </w:t>
      </w:r>
      <w:r>
        <w:rPr>
          <w:lang w:val="es-ES" w:eastAsia="zh-CN"/>
        </w:rPr>
        <w:t>Convenio) en calidad de Miembros de Sector y de Asociados</w:t>
      </w:r>
    </w:p>
    <w:p w14:paraId="725F22F9" w14:textId="77777777" w:rsidR="0000120A" w:rsidRPr="00660C7D" w:rsidRDefault="0000120A" w:rsidP="007436E5">
      <w:pPr>
        <w:rPr>
          <w:rFonts w:ascii="Segoe UI" w:hAnsi="Segoe UI" w:cs="Segoe UI"/>
          <w:sz w:val="18"/>
          <w:szCs w:val="18"/>
          <w:lang w:eastAsia="zh-CN"/>
        </w:rPr>
      </w:pPr>
      <w:r w:rsidRPr="00660C7D">
        <w:rPr>
          <w:lang w:eastAsia="zh-CN"/>
        </w:rPr>
        <w:t>Entre el 1 de enero y el 31 de diciembre de 2023, se recibieron once solicitudes</w:t>
      </w:r>
      <w:r>
        <w:rPr>
          <w:lang w:eastAsia="zh-CN"/>
        </w:rPr>
        <w:t xml:space="preserve"> de afiliación en calidad de</w:t>
      </w:r>
      <w:r w:rsidRPr="00660C7D">
        <w:rPr>
          <w:lang w:eastAsia="zh-CN"/>
        </w:rPr>
        <w:t xml:space="preserve"> Miembro de Sector y nueve solicitudes</w:t>
      </w:r>
      <w:r>
        <w:rPr>
          <w:lang w:eastAsia="zh-CN"/>
        </w:rPr>
        <w:t xml:space="preserve"> de afiliación en calidad de</w:t>
      </w:r>
      <w:r w:rsidRPr="00660C7D">
        <w:rPr>
          <w:lang w:eastAsia="zh-CN"/>
        </w:rPr>
        <w:t xml:space="preserve"> Asociado.</w:t>
      </w:r>
    </w:p>
    <w:p w14:paraId="5A5E0F9F" w14:textId="77777777" w:rsidR="0000120A" w:rsidRPr="00660C7D" w:rsidRDefault="0000120A" w:rsidP="00A23D96">
      <w:pPr>
        <w:pStyle w:val="Note"/>
        <w:rPr>
          <w:lang w:eastAsia="zh-CN"/>
        </w:rPr>
      </w:pPr>
      <w:r w:rsidRPr="00660C7D">
        <w:rPr>
          <w:lang w:eastAsia="zh-CN"/>
        </w:rPr>
        <w:t>NOTA: La</w:t>
      </w:r>
      <w:r>
        <w:rPr>
          <w:lang w:eastAsia="zh-CN"/>
        </w:rPr>
        <w:t xml:space="preserve"> unidad contributiva de</w:t>
      </w:r>
      <w:r w:rsidRPr="00660C7D">
        <w:rPr>
          <w:lang w:eastAsia="zh-CN"/>
        </w:rPr>
        <w:t xml:space="preserve"> los Miembros de Sector es de 63 600 CHF. La</w:t>
      </w:r>
      <w:r>
        <w:rPr>
          <w:lang w:eastAsia="zh-CN"/>
        </w:rPr>
        <w:t>s</w:t>
      </w:r>
      <w:r w:rsidRPr="00660C7D">
        <w:rPr>
          <w:lang w:eastAsia="zh-CN"/>
        </w:rPr>
        <w:t xml:space="preserve"> clase</w:t>
      </w:r>
      <w:r>
        <w:rPr>
          <w:lang w:eastAsia="zh-CN"/>
        </w:rPr>
        <w:t>s</w:t>
      </w:r>
      <w:r w:rsidRPr="00660C7D">
        <w:rPr>
          <w:lang w:eastAsia="zh-CN"/>
        </w:rPr>
        <w:t xml:space="preserve"> de contribución por entidad que figura</w:t>
      </w:r>
      <w:r>
        <w:rPr>
          <w:lang w:eastAsia="zh-CN"/>
        </w:rPr>
        <w:t>n</w:t>
      </w:r>
      <w:r w:rsidRPr="00660C7D">
        <w:rPr>
          <w:lang w:eastAsia="zh-CN"/>
        </w:rPr>
        <w:t xml:space="preserve"> en los cuadros siguientes</w:t>
      </w:r>
      <w:r>
        <w:rPr>
          <w:lang w:eastAsia="zh-CN"/>
        </w:rPr>
        <w:t xml:space="preserve"> hacen referencia </w:t>
      </w:r>
      <w:r w:rsidRPr="00660C7D">
        <w:rPr>
          <w:lang w:eastAsia="zh-CN"/>
        </w:rPr>
        <w:t xml:space="preserve">a fracciones de este importe. </w:t>
      </w:r>
    </w:p>
    <w:p w14:paraId="00FD0F82" w14:textId="77777777" w:rsidR="0000120A" w:rsidRPr="00660C7D" w:rsidRDefault="0000120A" w:rsidP="007436E5">
      <w:pPr>
        <w:pStyle w:val="Tabletitle"/>
        <w:rPr>
          <w:rFonts w:ascii="Segoe UI" w:hAnsi="Segoe UI" w:cs="Segoe UI"/>
          <w:sz w:val="18"/>
          <w:szCs w:val="18"/>
          <w:lang w:eastAsia="zh-CN"/>
        </w:rPr>
      </w:pPr>
      <w:r w:rsidRPr="00660C7D">
        <w:rPr>
          <w:lang w:eastAsia="zh-CN"/>
        </w:rPr>
        <w:t xml:space="preserve">Miembros de </w:t>
      </w:r>
      <w:r>
        <w:rPr>
          <w:lang w:eastAsia="zh-CN"/>
        </w:rPr>
        <w:t>S</w:t>
      </w:r>
      <w:r w:rsidRPr="00660C7D">
        <w:rPr>
          <w:lang w:eastAsia="zh-CN"/>
        </w:rPr>
        <w:t>ector</w:t>
      </w:r>
    </w:p>
    <w:tbl>
      <w:tblPr>
        <w:tblW w:w="9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46"/>
        <w:gridCol w:w="1199"/>
        <w:gridCol w:w="1354"/>
        <w:gridCol w:w="804"/>
        <w:gridCol w:w="1400"/>
        <w:gridCol w:w="1652"/>
      </w:tblGrid>
      <w:tr w:rsidR="0000120A" w:rsidRPr="00660C7D" w14:paraId="479CCC88" w14:textId="77777777" w:rsidTr="00AB583C">
        <w:trPr>
          <w:trHeight w:val="585"/>
        </w:trPr>
        <w:tc>
          <w:tcPr>
            <w:tcW w:w="2646" w:type="dxa"/>
            <w:shd w:val="clear" w:color="auto" w:fill="FFFFFF" w:themeFill="background1"/>
            <w:vAlign w:val="center"/>
            <w:hideMark/>
          </w:tcPr>
          <w:p w14:paraId="07489318" w14:textId="77777777" w:rsidR="0000120A" w:rsidRPr="00660C7D" w:rsidRDefault="0000120A" w:rsidP="007436E5">
            <w:pPr>
              <w:pStyle w:val="Tablehead"/>
              <w:rPr>
                <w:rFonts w:ascii="Times New Roman" w:hAnsi="Times New Roman"/>
                <w:szCs w:val="24"/>
                <w:lang w:eastAsia="zh-CN"/>
              </w:rPr>
            </w:pPr>
            <w:r w:rsidRPr="00660C7D">
              <w:rPr>
                <w:lang w:eastAsia="zh-CN"/>
              </w:rPr>
              <w:t xml:space="preserve">Miembro de </w:t>
            </w:r>
            <w:r>
              <w:rPr>
                <w:lang w:eastAsia="zh-CN"/>
              </w:rPr>
              <w:t>S</w:t>
            </w:r>
            <w:r w:rsidRPr="00660C7D">
              <w:rPr>
                <w:lang w:eastAsia="zh-CN"/>
              </w:rPr>
              <w:t>ector</w:t>
            </w:r>
          </w:p>
        </w:tc>
        <w:tc>
          <w:tcPr>
            <w:tcW w:w="1199" w:type="dxa"/>
            <w:shd w:val="clear" w:color="auto" w:fill="FFFFFF" w:themeFill="background1"/>
            <w:vAlign w:val="center"/>
            <w:hideMark/>
          </w:tcPr>
          <w:p w14:paraId="063FC149" w14:textId="77777777" w:rsidR="0000120A" w:rsidRPr="00660C7D" w:rsidRDefault="0000120A" w:rsidP="007436E5">
            <w:pPr>
              <w:pStyle w:val="Tablehead"/>
              <w:rPr>
                <w:rFonts w:ascii="Times New Roman" w:hAnsi="Times New Roman"/>
                <w:szCs w:val="24"/>
                <w:lang w:eastAsia="zh-CN"/>
              </w:rPr>
            </w:pPr>
            <w:r w:rsidRPr="00660C7D">
              <w:rPr>
                <w:lang w:eastAsia="zh-CN"/>
              </w:rPr>
              <w:t>Desde</w:t>
            </w:r>
          </w:p>
        </w:tc>
        <w:tc>
          <w:tcPr>
            <w:tcW w:w="1354" w:type="dxa"/>
            <w:shd w:val="clear" w:color="auto" w:fill="FFFFFF" w:themeFill="background1"/>
            <w:vAlign w:val="center"/>
            <w:hideMark/>
          </w:tcPr>
          <w:p w14:paraId="56E6CA06" w14:textId="77777777" w:rsidR="0000120A" w:rsidRPr="00660C7D" w:rsidRDefault="0000120A" w:rsidP="007436E5">
            <w:pPr>
              <w:pStyle w:val="Tablehead"/>
              <w:rPr>
                <w:rFonts w:asciiTheme="minorHAnsi" w:hAnsiTheme="minorHAnsi" w:cstheme="minorHAnsi"/>
                <w:lang w:eastAsia="zh-CN"/>
              </w:rPr>
            </w:pPr>
            <w:r w:rsidRPr="00660C7D">
              <w:rPr>
                <w:rFonts w:asciiTheme="minorHAnsi" w:hAnsiTheme="minorHAnsi" w:cstheme="minorHAnsi"/>
                <w:color w:val="000000" w:themeColor="text1"/>
                <w:lang w:eastAsia="zh-CN"/>
              </w:rPr>
              <w:t>Notificación</w:t>
            </w:r>
          </w:p>
        </w:tc>
        <w:tc>
          <w:tcPr>
            <w:tcW w:w="804" w:type="dxa"/>
            <w:shd w:val="clear" w:color="auto" w:fill="FFFFFF" w:themeFill="background1"/>
            <w:vAlign w:val="center"/>
            <w:hideMark/>
          </w:tcPr>
          <w:p w14:paraId="6EE128B9" w14:textId="77777777" w:rsidR="0000120A" w:rsidRPr="00660C7D" w:rsidRDefault="0000120A" w:rsidP="007436E5">
            <w:pPr>
              <w:pStyle w:val="Tablehead"/>
              <w:rPr>
                <w:rFonts w:ascii="Times New Roman" w:hAnsi="Times New Roman"/>
                <w:szCs w:val="24"/>
                <w:lang w:eastAsia="zh-CN"/>
              </w:rPr>
            </w:pPr>
            <w:r w:rsidRPr="00660C7D">
              <w:rPr>
                <w:lang w:eastAsia="zh-CN"/>
              </w:rPr>
              <w:t>Sector</w:t>
            </w:r>
          </w:p>
        </w:tc>
        <w:tc>
          <w:tcPr>
            <w:tcW w:w="1400" w:type="dxa"/>
            <w:shd w:val="clear" w:color="auto" w:fill="FFFFFF" w:themeFill="background1"/>
            <w:vAlign w:val="center"/>
            <w:hideMark/>
          </w:tcPr>
          <w:p w14:paraId="4EE42FF3" w14:textId="77777777" w:rsidR="0000120A" w:rsidRPr="00660C7D" w:rsidRDefault="0000120A" w:rsidP="007436E5">
            <w:pPr>
              <w:pStyle w:val="Tablehead"/>
              <w:rPr>
                <w:rFonts w:ascii="Times New Roman" w:hAnsi="Times New Roman"/>
                <w:szCs w:val="24"/>
                <w:lang w:eastAsia="zh-CN"/>
              </w:rPr>
            </w:pPr>
            <w:r w:rsidRPr="00660C7D">
              <w:rPr>
                <w:lang w:eastAsia="zh-CN"/>
              </w:rPr>
              <w:t>Clase de contribución</w:t>
            </w:r>
          </w:p>
        </w:tc>
        <w:tc>
          <w:tcPr>
            <w:tcW w:w="1652" w:type="dxa"/>
            <w:shd w:val="clear" w:color="auto" w:fill="FFFFFF" w:themeFill="background1"/>
            <w:vAlign w:val="center"/>
            <w:hideMark/>
          </w:tcPr>
          <w:p w14:paraId="2310691A" w14:textId="77777777" w:rsidR="0000120A" w:rsidRPr="00660C7D" w:rsidRDefault="0000120A" w:rsidP="007436E5">
            <w:pPr>
              <w:pStyle w:val="Tablehead"/>
              <w:rPr>
                <w:rFonts w:ascii="Times New Roman" w:hAnsi="Times New Roman"/>
                <w:szCs w:val="24"/>
                <w:lang w:eastAsia="zh-CN"/>
              </w:rPr>
            </w:pPr>
            <w:r w:rsidRPr="00660C7D">
              <w:rPr>
                <w:lang w:eastAsia="zh-CN"/>
              </w:rPr>
              <w:t>Aprobado por la Administración de</w:t>
            </w:r>
          </w:p>
        </w:tc>
      </w:tr>
      <w:tr w:rsidR="0000120A" w:rsidRPr="00660C7D" w14:paraId="07584DC6" w14:textId="77777777" w:rsidTr="00AB583C">
        <w:trPr>
          <w:trHeight w:val="300"/>
        </w:trPr>
        <w:tc>
          <w:tcPr>
            <w:tcW w:w="2646" w:type="dxa"/>
            <w:shd w:val="clear" w:color="auto" w:fill="FFFFFF" w:themeFill="background1"/>
            <w:vAlign w:val="center"/>
            <w:hideMark/>
          </w:tcPr>
          <w:p w14:paraId="655F5F30" w14:textId="77777777" w:rsidR="0000120A" w:rsidRPr="004F15C1" w:rsidRDefault="0000120A" w:rsidP="00651740">
            <w:pPr>
              <w:pStyle w:val="Tabletext"/>
              <w:jc w:val="center"/>
              <w:rPr>
                <w:rFonts w:ascii="Times New Roman" w:hAnsi="Times New Roman"/>
                <w:szCs w:val="24"/>
                <w:lang w:eastAsia="zh-CN"/>
              </w:rPr>
            </w:pPr>
            <w:bookmarkStart w:id="3" w:name="lt_pId052"/>
            <w:r w:rsidRPr="004F15C1">
              <w:rPr>
                <w:lang w:eastAsia="zh-CN"/>
              </w:rPr>
              <w:t>Everbridge One2many</w:t>
            </w:r>
            <w:bookmarkEnd w:id="3"/>
          </w:p>
        </w:tc>
        <w:tc>
          <w:tcPr>
            <w:tcW w:w="1199" w:type="dxa"/>
            <w:shd w:val="clear" w:color="auto" w:fill="FFFFFF" w:themeFill="background1"/>
            <w:vAlign w:val="center"/>
            <w:hideMark/>
          </w:tcPr>
          <w:p w14:paraId="16D38FDA"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28.03.2023</w:t>
            </w:r>
          </w:p>
        </w:tc>
        <w:tc>
          <w:tcPr>
            <w:tcW w:w="1354" w:type="dxa"/>
            <w:shd w:val="clear" w:color="auto" w:fill="FFFFFF" w:themeFill="background1"/>
            <w:vAlign w:val="center"/>
            <w:hideMark/>
          </w:tcPr>
          <w:p w14:paraId="4D4268C0"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1664</w:t>
            </w:r>
          </w:p>
        </w:tc>
        <w:tc>
          <w:tcPr>
            <w:tcW w:w="804" w:type="dxa"/>
            <w:shd w:val="clear" w:color="auto" w:fill="FFFFFF" w:themeFill="background1"/>
            <w:vAlign w:val="center"/>
            <w:hideMark/>
          </w:tcPr>
          <w:p w14:paraId="07B95D5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6D3E0F3E"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w:t>
            </w:r>
          </w:p>
        </w:tc>
        <w:tc>
          <w:tcPr>
            <w:tcW w:w="1652" w:type="dxa"/>
            <w:shd w:val="clear" w:color="auto" w:fill="FFFFFF" w:themeFill="background1"/>
            <w:vAlign w:val="center"/>
            <w:hideMark/>
          </w:tcPr>
          <w:p w14:paraId="00DBB26A"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Países Bajos (Reino de los)</w:t>
            </w:r>
          </w:p>
        </w:tc>
      </w:tr>
      <w:tr w:rsidR="0000120A" w:rsidRPr="00660C7D" w14:paraId="69D204D3" w14:textId="77777777" w:rsidTr="00AB583C">
        <w:trPr>
          <w:trHeight w:val="585"/>
        </w:trPr>
        <w:tc>
          <w:tcPr>
            <w:tcW w:w="2646" w:type="dxa"/>
            <w:shd w:val="clear" w:color="auto" w:fill="FFFFFF" w:themeFill="background1"/>
            <w:vAlign w:val="center"/>
            <w:hideMark/>
          </w:tcPr>
          <w:p w14:paraId="61AC606C" w14:textId="77777777" w:rsidR="0000120A" w:rsidRPr="004F15C1" w:rsidRDefault="0000120A" w:rsidP="00651740">
            <w:pPr>
              <w:pStyle w:val="Tabletext"/>
              <w:jc w:val="center"/>
              <w:rPr>
                <w:rFonts w:ascii="Times New Roman" w:hAnsi="Times New Roman"/>
                <w:szCs w:val="24"/>
                <w:lang w:eastAsia="zh-CN"/>
              </w:rPr>
            </w:pPr>
            <w:bookmarkStart w:id="4" w:name="lt_pId058"/>
            <w:r w:rsidRPr="004F15C1">
              <w:rPr>
                <w:lang w:eastAsia="zh-CN"/>
              </w:rPr>
              <w:t>AST &amp; Science SpaceMobile</w:t>
            </w:r>
            <w:bookmarkEnd w:id="4"/>
          </w:p>
        </w:tc>
        <w:tc>
          <w:tcPr>
            <w:tcW w:w="1199" w:type="dxa"/>
            <w:shd w:val="clear" w:color="auto" w:fill="FFFFFF" w:themeFill="background1"/>
            <w:vAlign w:val="center"/>
            <w:hideMark/>
          </w:tcPr>
          <w:p w14:paraId="2CFBFD1E"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13.04.2023</w:t>
            </w:r>
          </w:p>
        </w:tc>
        <w:tc>
          <w:tcPr>
            <w:tcW w:w="1354" w:type="dxa"/>
            <w:shd w:val="clear" w:color="auto" w:fill="FFFFFF" w:themeFill="background1"/>
            <w:vAlign w:val="center"/>
            <w:hideMark/>
          </w:tcPr>
          <w:p w14:paraId="5A2A3D04"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1665</w:t>
            </w:r>
          </w:p>
        </w:tc>
        <w:tc>
          <w:tcPr>
            <w:tcW w:w="804" w:type="dxa"/>
            <w:shd w:val="clear" w:color="auto" w:fill="FFFFFF" w:themeFill="background1"/>
            <w:vAlign w:val="center"/>
            <w:hideMark/>
          </w:tcPr>
          <w:p w14:paraId="2173A97B"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6D39A427"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w:t>
            </w:r>
          </w:p>
        </w:tc>
        <w:tc>
          <w:tcPr>
            <w:tcW w:w="1652" w:type="dxa"/>
            <w:shd w:val="clear" w:color="auto" w:fill="FFFFFF" w:themeFill="background1"/>
            <w:vAlign w:val="center"/>
            <w:hideMark/>
          </w:tcPr>
          <w:p w14:paraId="575B6F8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6894DE7E" w14:textId="77777777" w:rsidTr="00AB583C">
        <w:trPr>
          <w:trHeight w:val="300"/>
        </w:trPr>
        <w:tc>
          <w:tcPr>
            <w:tcW w:w="2646" w:type="dxa"/>
            <w:shd w:val="clear" w:color="auto" w:fill="FFFFFF" w:themeFill="background1"/>
            <w:vAlign w:val="center"/>
            <w:hideMark/>
          </w:tcPr>
          <w:p w14:paraId="391005BE" w14:textId="77777777" w:rsidR="0000120A" w:rsidRPr="004F15C1" w:rsidRDefault="0000120A" w:rsidP="00651740">
            <w:pPr>
              <w:pStyle w:val="Tabletext"/>
              <w:jc w:val="center"/>
              <w:rPr>
                <w:rFonts w:ascii="Times New Roman" w:hAnsi="Times New Roman"/>
                <w:szCs w:val="24"/>
                <w:lang w:eastAsia="zh-CN"/>
              </w:rPr>
            </w:pPr>
            <w:bookmarkStart w:id="5" w:name="lt_pId064"/>
            <w:r w:rsidRPr="004F15C1">
              <w:rPr>
                <w:lang w:eastAsia="zh-CN"/>
              </w:rPr>
              <w:t>DLA Piper</w:t>
            </w:r>
            <w:bookmarkEnd w:id="5"/>
          </w:p>
        </w:tc>
        <w:tc>
          <w:tcPr>
            <w:tcW w:w="1199" w:type="dxa"/>
            <w:shd w:val="clear" w:color="auto" w:fill="FFFFFF" w:themeFill="background1"/>
            <w:vAlign w:val="center"/>
            <w:hideMark/>
          </w:tcPr>
          <w:p w14:paraId="36B923DD"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30.05.2023</w:t>
            </w:r>
          </w:p>
        </w:tc>
        <w:tc>
          <w:tcPr>
            <w:tcW w:w="1354" w:type="dxa"/>
            <w:shd w:val="clear" w:color="auto" w:fill="FFFFFF" w:themeFill="background1"/>
            <w:vAlign w:val="center"/>
            <w:hideMark/>
          </w:tcPr>
          <w:p w14:paraId="77A1A6F4"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1666</w:t>
            </w:r>
          </w:p>
        </w:tc>
        <w:tc>
          <w:tcPr>
            <w:tcW w:w="804" w:type="dxa"/>
            <w:shd w:val="clear" w:color="auto" w:fill="FFFFFF" w:themeFill="background1"/>
            <w:vAlign w:val="center"/>
            <w:hideMark/>
          </w:tcPr>
          <w:p w14:paraId="0F8EDE6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R</w:t>
            </w:r>
          </w:p>
        </w:tc>
        <w:tc>
          <w:tcPr>
            <w:tcW w:w="1400" w:type="dxa"/>
            <w:shd w:val="clear" w:color="auto" w:fill="FFFFFF" w:themeFill="background1"/>
            <w:vAlign w:val="center"/>
            <w:hideMark/>
          </w:tcPr>
          <w:p w14:paraId="76F696FD"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1/2</w:t>
            </w:r>
          </w:p>
        </w:tc>
        <w:tc>
          <w:tcPr>
            <w:tcW w:w="1652" w:type="dxa"/>
            <w:shd w:val="clear" w:color="auto" w:fill="FFFFFF" w:themeFill="background1"/>
            <w:vAlign w:val="center"/>
            <w:hideMark/>
          </w:tcPr>
          <w:p w14:paraId="6D0B60FE"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49EAF710" w14:textId="77777777" w:rsidTr="00AB583C">
        <w:trPr>
          <w:trHeight w:val="585"/>
        </w:trPr>
        <w:tc>
          <w:tcPr>
            <w:tcW w:w="2646" w:type="dxa"/>
            <w:shd w:val="clear" w:color="auto" w:fill="FFFFFF" w:themeFill="background1"/>
            <w:vAlign w:val="center"/>
            <w:hideMark/>
          </w:tcPr>
          <w:p w14:paraId="3228691B" w14:textId="77777777" w:rsidR="0000120A" w:rsidRPr="004F15C1" w:rsidRDefault="0000120A" w:rsidP="00651740">
            <w:pPr>
              <w:pStyle w:val="Tabletext"/>
              <w:jc w:val="center"/>
              <w:rPr>
                <w:rFonts w:ascii="Times New Roman" w:hAnsi="Times New Roman"/>
                <w:szCs w:val="24"/>
                <w:lang w:eastAsia="zh-CN"/>
              </w:rPr>
            </w:pPr>
            <w:bookmarkStart w:id="6" w:name="lt_pId070"/>
            <w:r w:rsidRPr="004F15C1">
              <w:rPr>
                <w:lang w:eastAsia="zh-CN"/>
              </w:rPr>
              <w:t>FORTINET Inc.</w:t>
            </w:r>
            <w:bookmarkEnd w:id="6"/>
          </w:p>
        </w:tc>
        <w:tc>
          <w:tcPr>
            <w:tcW w:w="1199" w:type="dxa"/>
            <w:shd w:val="clear" w:color="auto" w:fill="FFFFFF" w:themeFill="background1"/>
            <w:vAlign w:val="center"/>
            <w:hideMark/>
          </w:tcPr>
          <w:p w14:paraId="535508C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28.06.2023</w:t>
            </w:r>
          </w:p>
        </w:tc>
        <w:tc>
          <w:tcPr>
            <w:tcW w:w="1354" w:type="dxa"/>
            <w:shd w:val="clear" w:color="auto" w:fill="FFFFFF" w:themeFill="background1"/>
            <w:vAlign w:val="center"/>
            <w:hideMark/>
          </w:tcPr>
          <w:p w14:paraId="003E7737"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1667</w:t>
            </w:r>
          </w:p>
        </w:tc>
        <w:tc>
          <w:tcPr>
            <w:tcW w:w="804" w:type="dxa"/>
            <w:shd w:val="clear" w:color="auto" w:fill="FFFFFF" w:themeFill="background1"/>
            <w:vAlign w:val="center"/>
            <w:hideMark/>
          </w:tcPr>
          <w:p w14:paraId="77701FF1"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23864BC7"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w:t>
            </w:r>
          </w:p>
        </w:tc>
        <w:tc>
          <w:tcPr>
            <w:tcW w:w="1652" w:type="dxa"/>
            <w:shd w:val="clear" w:color="auto" w:fill="FFFFFF" w:themeFill="background1"/>
            <w:vAlign w:val="center"/>
            <w:hideMark/>
          </w:tcPr>
          <w:p w14:paraId="7215D07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2150954B" w14:textId="77777777" w:rsidTr="00AB583C">
        <w:trPr>
          <w:trHeight w:val="300"/>
        </w:trPr>
        <w:tc>
          <w:tcPr>
            <w:tcW w:w="2646" w:type="dxa"/>
            <w:shd w:val="clear" w:color="auto" w:fill="FFFFFF" w:themeFill="background1"/>
            <w:vAlign w:val="center"/>
            <w:hideMark/>
          </w:tcPr>
          <w:p w14:paraId="561503A4" w14:textId="77777777" w:rsidR="0000120A" w:rsidRPr="004F15C1" w:rsidRDefault="0000120A" w:rsidP="00651740">
            <w:pPr>
              <w:pStyle w:val="Tabletext"/>
              <w:jc w:val="center"/>
              <w:rPr>
                <w:rFonts w:ascii="Times New Roman" w:hAnsi="Times New Roman"/>
                <w:szCs w:val="24"/>
                <w:lang w:eastAsia="zh-CN"/>
              </w:rPr>
            </w:pPr>
            <w:bookmarkStart w:id="7" w:name="lt_pId076"/>
            <w:r w:rsidRPr="004F15C1">
              <w:rPr>
                <w:lang w:eastAsia="zh-CN"/>
              </w:rPr>
              <w:t>Hill</w:t>
            </w:r>
            <w:bookmarkEnd w:id="7"/>
          </w:p>
        </w:tc>
        <w:tc>
          <w:tcPr>
            <w:tcW w:w="1199" w:type="dxa"/>
            <w:shd w:val="clear" w:color="auto" w:fill="FFFFFF" w:themeFill="background1"/>
            <w:vAlign w:val="center"/>
            <w:hideMark/>
          </w:tcPr>
          <w:p w14:paraId="7F399AD1"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04.09.2023</w:t>
            </w:r>
          </w:p>
        </w:tc>
        <w:tc>
          <w:tcPr>
            <w:tcW w:w="1354" w:type="dxa"/>
            <w:shd w:val="clear" w:color="auto" w:fill="FFFFFF" w:themeFill="background1"/>
            <w:vAlign w:val="center"/>
            <w:hideMark/>
          </w:tcPr>
          <w:p w14:paraId="5FF547DF"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1670</w:t>
            </w:r>
          </w:p>
        </w:tc>
        <w:tc>
          <w:tcPr>
            <w:tcW w:w="804" w:type="dxa"/>
            <w:shd w:val="clear" w:color="auto" w:fill="FFFFFF" w:themeFill="background1"/>
            <w:vAlign w:val="center"/>
            <w:hideMark/>
          </w:tcPr>
          <w:p w14:paraId="5FD3314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4415F630"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w:t>
            </w:r>
          </w:p>
        </w:tc>
        <w:tc>
          <w:tcPr>
            <w:tcW w:w="1652" w:type="dxa"/>
            <w:shd w:val="clear" w:color="auto" w:fill="FFFFFF" w:themeFill="background1"/>
            <w:vAlign w:val="center"/>
            <w:hideMark/>
          </w:tcPr>
          <w:p w14:paraId="19926C47"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Suiza</w:t>
            </w:r>
          </w:p>
        </w:tc>
      </w:tr>
      <w:tr w:rsidR="0000120A" w:rsidRPr="00660C7D" w14:paraId="0D28A9DD" w14:textId="77777777" w:rsidTr="00AB583C">
        <w:trPr>
          <w:trHeight w:val="300"/>
        </w:trPr>
        <w:tc>
          <w:tcPr>
            <w:tcW w:w="2646" w:type="dxa"/>
            <w:shd w:val="clear" w:color="auto" w:fill="FFFFFF" w:themeFill="background1"/>
            <w:vAlign w:val="center"/>
            <w:hideMark/>
          </w:tcPr>
          <w:p w14:paraId="2B7C2C3F" w14:textId="77777777" w:rsidR="0000120A" w:rsidRPr="004F15C1" w:rsidRDefault="0000120A" w:rsidP="00651740">
            <w:pPr>
              <w:pStyle w:val="Tabletext"/>
              <w:jc w:val="center"/>
              <w:rPr>
                <w:rFonts w:ascii="Times New Roman" w:hAnsi="Times New Roman"/>
                <w:szCs w:val="24"/>
                <w:lang w:eastAsia="zh-CN"/>
              </w:rPr>
            </w:pPr>
            <w:bookmarkStart w:id="8" w:name="lt_pId082"/>
            <w:r w:rsidRPr="004F15C1">
              <w:rPr>
                <w:lang w:eastAsia="zh-CN"/>
              </w:rPr>
              <w:t>PricewaterhouseCoopers AG</w:t>
            </w:r>
            <w:bookmarkEnd w:id="8"/>
          </w:p>
        </w:tc>
        <w:tc>
          <w:tcPr>
            <w:tcW w:w="1199" w:type="dxa"/>
            <w:shd w:val="clear" w:color="auto" w:fill="FFFFFF" w:themeFill="background1"/>
            <w:vAlign w:val="center"/>
            <w:hideMark/>
          </w:tcPr>
          <w:p w14:paraId="55BA4A19"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18.09.2023</w:t>
            </w:r>
          </w:p>
        </w:tc>
        <w:tc>
          <w:tcPr>
            <w:tcW w:w="1354" w:type="dxa"/>
            <w:shd w:val="clear" w:color="auto" w:fill="FFFFFF" w:themeFill="background1"/>
            <w:vAlign w:val="center"/>
            <w:hideMark/>
          </w:tcPr>
          <w:p w14:paraId="66B9796C"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1670</w:t>
            </w:r>
          </w:p>
        </w:tc>
        <w:tc>
          <w:tcPr>
            <w:tcW w:w="804" w:type="dxa"/>
            <w:shd w:val="clear" w:color="auto" w:fill="FFFFFF" w:themeFill="background1"/>
            <w:vAlign w:val="center"/>
            <w:hideMark/>
          </w:tcPr>
          <w:p w14:paraId="747403FD"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21CA065C"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1/8</w:t>
            </w:r>
          </w:p>
        </w:tc>
        <w:tc>
          <w:tcPr>
            <w:tcW w:w="1652" w:type="dxa"/>
            <w:shd w:val="clear" w:color="auto" w:fill="FFFFFF" w:themeFill="background1"/>
            <w:vAlign w:val="center"/>
            <w:hideMark/>
          </w:tcPr>
          <w:p w14:paraId="5E62BE3A"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Suiza</w:t>
            </w:r>
          </w:p>
        </w:tc>
      </w:tr>
      <w:tr w:rsidR="0000120A" w:rsidRPr="00660C7D" w14:paraId="45AE696F" w14:textId="77777777" w:rsidTr="00AB583C">
        <w:trPr>
          <w:trHeight w:val="300"/>
        </w:trPr>
        <w:tc>
          <w:tcPr>
            <w:tcW w:w="2646" w:type="dxa"/>
            <w:shd w:val="clear" w:color="auto" w:fill="FFFFFF" w:themeFill="background1"/>
            <w:vAlign w:val="center"/>
            <w:hideMark/>
          </w:tcPr>
          <w:p w14:paraId="6C094140" w14:textId="77777777" w:rsidR="0000120A" w:rsidRPr="004F15C1" w:rsidRDefault="0000120A" w:rsidP="00651740">
            <w:pPr>
              <w:pStyle w:val="Tabletext"/>
              <w:jc w:val="center"/>
              <w:rPr>
                <w:rFonts w:ascii="Times New Roman" w:hAnsi="Times New Roman"/>
                <w:szCs w:val="24"/>
                <w:lang w:eastAsia="zh-CN"/>
              </w:rPr>
            </w:pPr>
            <w:bookmarkStart w:id="9" w:name="lt_pId088"/>
            <w:r w:rsidRPr="004F15C1">
              <w:rPr>
                <w:lang w:eastAsia="zh-CN"/>
              </w:rPr>
              <w:t>avataa LLC</w:t>
            </w:r>
            <w:bookmarkEnd w:id="9"/>
          </w:p>
        </w:tc>
        <w:tc>
          <w:tcPr>
            <w:tcW w:w="1199" w:type="dxa"/>
            <w:shd w:val="clear" w:color="auto" w:fill="FFFFFF" w:themeFill="background1"/>
            <w:vAlign w:val="center"/>
            <w:hideMark/>
          </w:tcPr>
          <w:p w14:paraId="3A191668"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04.10.2023</w:t>
            </w:r>
          </w:p>
        </w:tc>
        <w:tc>
          <w:tcPr>
            <w:tcW w:w="1354" w:type="dxa"/>
            <w:shd w:val="clear" w:color="auto" w:fill="FFFFFF" w:themeFill="background1"/>
            <w:vAlign w:val="center"/>
            <w:hideMark/>
          </w:tcPr>
          <w:p w14:paraId="6F7D6BD2"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1671</w:t>
            </w:r>
          </w:p>
        </w:tc>
        <w:tc>
          <w:tcPr>
            <w:tcW w:w="804" w:type="dxa"/>
            <w:shd w:val="clear" w:color="auto" w:fill="FFFFFF" w:themeFill="background1"/>
            <w:vAlign w:val="center"/>
            <w:hideMark/>
          </w:tcPr>
          <w:p w14:paraId="399E418A"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D</w:t>
            </w:r>
          </w:p>
        </w:tc>
        <w:tc>
          <w:tcPr>
            <w:tcW w:w="1400" w:type="dxa"/>
            <w:shd w:val="clear" w:color="auto" w:fill="FFFFFF" w:themeFill="background1"/>
            <w:vAlign w:val="center"/>
            <w:hideMark/>
          </w:tcPr>
          <w:p w14:paraId="0745147E"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1/16</w:t>
            </w:r>
          </w:p>
        </w:tc>
        <w:tc>
          <w:tcPr>
            <w:tcW w:w="1652" w:type="dxa"/>
            <w:shd w:val="clear" w:color="auto" w:fill="FFFFFF" w:themeFill="background1"/>
            <w:vAlign w:val="center"/>
            <w:hideMark/>
          </w:tcPr>
          <w:p w14:paraId="002FD29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Emiratos Árabes Unidos</w:t>
            </w:r>
          </w:p>
        </w:tc>
      </w:tr>
      <w:tr w:rsidR="0000120A" w:rsidRPr="00660C7D" w14:paraId="0716AFB5" w14:textId="77777777" w:rsidTr="00AB583C">
        <w:trPr>
          <w:trHeight w:val="300"/>
        </w:trPr>
        <w:tc>
          <w:tcPr>
            <w:tcW w:w="2646" w:type="dxa"/>
            <w:shd w:val="clear" w:color="auto" w:fill="FFFFFF" w:themeFill="background1"/>
            <w:vAlign w:val="center"/>
            <w:hideMark/>
          </w:tcPr>
          <w:p w14:paraId="4F0F8FDB" w14:textId="77777777" w:rsidR="0000120A" w:rsidRPr="004F15C1" w:rsidRDefault="0000120A" w:rsidP="00651740">
            <w:pPr>
              <w:pStyle w:val="Tabletext"/>
              <w:jc w:val="center"/>
              <w:rPr>
                <w:rFonts w:ascii="Times New Roman" w:hAnsi="Times New Roman"/>
                <w:szCs w:val="24"/>
                <w:lang w:eastAsia="zh-CN"/>
              </w:rPr>
            </w:pPr>
            <w:bookmarkStart w:id="10" w:name="lt_pId094"/>
            <w:r w:rsidRPr="004F15C1">
              <w:rPr>
                <w:lang w:eastAsia="zh-CN"/>
              </w:rPr>
              <w:t>CTIA</w:t>
            </w:r>
            <w:bookmarkEnd w:id="10"/>
          </w:p>
        </w:tc>
        <w:tc>
          <w:tcPr>
            <w:tcW w:w="1199" w:type="dxa"/>
            <w:shd w:val="clear" w:color="auto" w:fill="FFFFFF" w:themeFill="background1"/>
            <w:vAlign w:val="center"/>
            <w:hideMark/>
          </w:tcPr>
          <w:p w14:paraId="230EA631"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23.10.2023</w:t>
            </w:r>
          </w:p>
        </w:tc>
        <w:tc>
          <w:tcPr>
            <w:tcW w:w="1354" w:type="dxa"/>
            <w:shd w:val="clear" w:color="auto" w:fill="FFFFFF" w:themeFill="background1"/>
            <w:vAlign w:val="center"/>
            <w:hideMark/>
          </w:tcPr>
          <w:p w14:paraId="040A7348"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1671</w:t>
            </w:r>
          </w:p>
        </w:tc>
        <w:tc>
          <w:tcPr>
            <w:tcW w:w="804" w:type="dxa"/>
            <w:shd w:val="clear" w:color="auto" w:fill="FFFFFF" w:themeFill="background1"/>
            <w:vAlign w:val="center"/>
            <w:hideMark/>
          </w:tcPr>
          <w:p w14:paraId="1FF53D97"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R</w:t>
            </w:r>
          </w:p>
        </w:tc>
        <w:tc>
          <w:tcPr>
            <w:tcW w:w="1400" w:type="dxa"/>
            <w:shd w:val="clear" w:color="auto" w:fill="FFFFFF" w:themeFill="background1"/>
            <w:vAlign w:val="center"/>
            <w:hideMark/>
          </w:tcPr>
          <w:p w14:paraId="1E4898AF"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1/2</w:t>
            </w:r>
          </w:p>
        </w:tc>
        <w:tc>
          <w:tcPr>
            <w:tcW w:w="1652" w:type="dxa"/>
            <w:shd w:val="clear" w:color="auto" w:fill="FFFFFF" w:themeFill="background1"/>
            <w:vAlign w:val="center"/>
            <w:hideMark/>
          </w:tcPr>
          <w:p w14:paraId="62162858"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71B788B4" w14:textId="77777777" w:rsidTr="00AB583C">
        <w:trPr>
          <w:trHeight w:val="585"/>
        </w:trPr>
        <w:tc>
          <w:tcPr>
            <w:tcW w:w="2646" w:type="dxa"/>
            <w:shd w:val="clear" w:color="auto" w:fill="FFFFFF" w:themeFill="background1"/>
            <w:vAlign w:val="center"/>
            <w:hideMark/>
          </w:tcPr>
          <w:p w14:paraId="0C5F7046" w14:textId="77777777" w:rsidR="0000120A" w:rsidRPr="004F15C1" w:rsidRDefault="0000120A" w:rsidP="00651740">
            <w:pPr>
              <w:pStyle w:val="Tabletext"/>
              <w:jc w:val="center"/>
              <w:rPr>
                <w:rFonts w:ascii="Times New Roman" w:hAnsi="Times New Roman"/>
                <w:szCs w:val="24"/>
                <w:lang w:eastAsia="zh-CN"/>
              </w:rPr>
            </w:pPr>
            <w:bookmarkStart w:id="11" w:name="lt_pId100"/>
            <w:r w:rsidRPr="004F15C1">
              <w:rPr>
                <w:lang w:eastAsia="zh-CN"/>
              </w:rPr>
              <w:t>AALTO HAPS Limited</w:t>
            </w:r>
            <w:bookmarkEnd w:id="11"/>
          </w:p>
        </w:tc>
        <w:tc>
          <w:tcPr>
            <w:tcW w:w="1199" w:type="dxa"/>
            <w:shd w:val="clear" w:color="auto" w:fill="FFFFFF" w:themeFill="background1"/>
            <w:vAlign w:val="center"/>
            <w:hideMark/>
          </w:tcPr>
          <w:p w14:paraId="4462E5C7"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17.11.2023</w:t>
            </w:r>
          </w:p>
        </w:tc>
        <w:tc>
          <w:tcPr>
            <w:tcW w:w="1354" w:type="dxa"/>
            <w:shd w:val="clear" w:color="auto" w:fill="FFFFFF" w:themeFill="background1"/>
            <w:vAlign w:val="center"/>
            <w:hideMark/>
          </w:tcPr>
          <w:p w14:paraId="2115CD8D"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1672</w:t>
            </w:r>
          </w:p>
        </w:tc>
        <w:tc>
          <w:tcPr>
            <w:tcW w:w="804" w:type="dxa"/>
            <w:shd w:val="clear" w:color="auto" w:fill="FFFFFF" w:themeFill="background1"/>
            <w:vAlign w:val="center"/>
            <w:hideMark/>
          </w:tcPr>
          <w:p w14:paraId="5C7B4DEC"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R</w:t>
            </w:r>
          </w:p>
        </w:tc>
        <w:tc>
          <w:tcPr>
            <w:tcW w:w="1400" w:type="dxa"/>
            <w:shd w:val="clear" w:color="auto" w:fill="FFFFFF" w:themeFill="background1"/>
            <w:vAlign w:val="center"/>
            <w:hideMark/>
          </w:tcPr>
          <w:p w14:paraId="01693D51"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1/2</w:t>
            </w:r>
          </w:p>
        </w:tc>
        <w:tc>
          <w:tcPr>
            <w:tcW w:w="1652" w:type="dxa"/>
            <w:shd w:val="clear" w:color="auto" w:fill="FFFFFF" w:themeFill="background1"/>
            <w:vAlign w:val="center"/>
            <w:hideMark/>
          </w:tcPr>
          <w:p w14:paraId="3D61F317" w14:textId="3989D96B" w:rsidR="0000120A" w:rsidRPr="00660C7D" w:rsidRDefault="0000120A" w:rsidP="00651740">
            <w:pPr>
              <w:pStyle w:val="Tabletext"/>
              <w:jc w:val="center"/>
              <w:rPr>
                <w:rFonts w:ascii="Times New Roman" w:hAnsi="Times New Roman"/>
                <w:szCs w:val="24"/>
                <w:lang w:eastAsia="zh-CN"/>
              </w:rPr>
            </w:pPr>
            <w:r w:rsidRPr="00660C7D">
              <w:rPr>
                <w:lang w:eastAsia="zh-CN"/>
              </w:rPr>
              <w:t>Reino Unido</w:t>
            </w:r>
          </w:p>
        </w:tc>
      </w:tr>
      <w:tr w:rsidR="0000120A" w:rsidRPr="00660C7D" w14:paraId="3AA637D0" w14:textId="77777777" w:rsidTr="00AB583C">
        <w:trPr>
          <w:trHeight w:val="585"/>
        </w:trPr>
        <w:tc>
          <w:tcPr>
            <w:tcW w:w="2646" w:type="dxa"/>
            <w:shd w:val="clear" w:color="auto" w:fill="FFFFFF" w:themeFill="background1"/>
            <w:vAlign w:val="center"/>
          </w:tcPr>
          <w:p w14:paraId="29045468" w14:textId="77777777" w:rsidR="0000120A" w:rsidRPr="004F15C1" w:rsidRDefault="0000120A" w:rsidP="00651740">
            <w:pPr>
              <w:pStyle w:val="Tabletext"/>
              <w:jc w:val="center"/>
              <w:rPr>
                <w:lang w:eastAsia="zh-CN"/>
              </w:rPr>
            </w:pPr>
            <w:bookmarkStart w:id="12" w:name="lt_pId106"/>
            <w:r w:rsidRPr="004F15C1">
              <w:rPr>
                <w:lang w:eastAsia="zh-CN"/>
              </w:rPr>
              <w:t>HISDESAT Servicios Estratégicos</w:t>
            </w:r>
            <w:bookmarkEnd w:id="12"/>
          </w:p>
        </w:tc>
        <w:tc>
          <w:tcPr>
            <w:tcW w:w="1199" w:type="dxa"/>
            <w:shd w:val="clear" w:color="auto" w:fill="FFFFFF" w:themeFill="background1"/>
            <w:vAlign w:val="center"/>
          </w:tcPr>
          <w:p w14:paraId="2626ECBB" w14:textId="77777777" w:rsidR="0000120A" w:rsidRPr="00660C7D" w:rsidRDefault="0000120A" w:rsidP="00651740">
            <w:pPr>
              <w:pStyle w:val="Tabletext"/>
              <w:jc w:val="center"/>
              <w:rPr>
                <w:lang w:eastAsia="zh-CN"/>
              </w:rPr>
            </w:pPr>
            <w:r w:rsidRPr="00660C7D">
              <w:rPr>
                <w:lang w:eastAsia="zh-CN"/>
              </w:rPr>
              <w:t>24.11.2023</w:t>
            </w:r>
          </w:p>
        </w:tc>
        <w:tc>
          <w:tcPr>
            <w:tcW w:w="1354" w:type="dxa"/>
            <w:shd w:val="clear" w:color="auto" w:fill="FFFFFF" w:themeFill="background1"/>
            <w:vAlign w:val="center"/>
          </w:tcPr>
          <w:p w14:paraId="3E547855"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1672</w:t>
            </w:r>
          </w:p>
        </w:tc>
        <w:tc>
          <w:tcPr>
            <w:tcW w:w="804" w:type="dxa"/>
            <w:shd w:val="clear" w:color="auto" w:fill="FFFFFF" w:themeFill="background1"/>
            <w:vAlign w:val="center"/>
          </w:tcPr>
          <w:p w14:paraId="499929C6" w14:textId="77777777" w:rsidR="0000120A" w:rsidRPr="00660C7D" w:rsidRDefault="0000120A" w:rsidP="00651740">
            <w:pPr>
              <w:pStyle w:val="Tabletext"/>
              <w:jc w:val="center"/>
              <w:rPr>
                <w:lang w:eastAsia="zh-CN"/>
              </w:rPr>
            </w:pPr>
            <w:r w:rsidRPr="00660C7D">
              <w:rPr>
                <w:lang w:eastAsia="zh-CN"/>
              </w:rPr>
              <w:t>R</w:t>
            </w:r>
          </w:p>
        </w:tc>
        <w:tc>
          <w:tcPr>
            <w:tcW w:w="1400" w:type="dxa"/>
            <w:shd w:val="clear" w:color="auto" w:fill="FFFFFF" w:themeFill="background1"/>
            <w:vAlign w:val="center"/>
          </w:tcPr>
          <w:p w14:paraId="13E4630E" w14:textId="77777777" w:rsidR="0000120A" w:rsidRPr="00660C7D" w:rsidRDefault="0000120A" w:rsidP="00651740">
            <w:pPr>
              <w:pStyle w:val="Tabletext"/>
              <w:jc w:val="center"/>
              <w:rPr>
                <w:lang w:eastAsia="zh-CN"/>
              </w:rPr>
            </w:pPr>
            <w:r w:rsidRPr="00660C7D">
              <w:rPr>
                <w:lang w:eastAsia="zh-CN"/>
              </w:rPr>
              <w:t>1/2</w:t>
            </w:r>
          </w:p>
        </w:tc>
        <w:tc>
          <w:tcPr>
            <w:tcW w:w="1652" w:type="dxa"/>
            <w:shd w:val="clear" w:color="auto" w:fill="FFFFFF" w:themeFill="background1"/>
            <w:vAlign w:val="center"/>
          </w:tcPr>
          <w:p w14:paraId="3BB8C68F" w14:textId="77777777" w:rsidR="0000120A" w:rsidRPr="00660C7D" w:rsidRDefault="0000120A" w:rsidP="00651740">
            <w:pPr>
              <w:pStyle w:val="Tabletext"/>
              <w:jc w:val="center"/>
              <w:rPr>
                <w:lang w:eastAsia="zh-CN"/>
              </w:rPr>
            </w:pPr>
            <w:r w:rsidRPr="00660C7D">
              <w:rPr>
                <w:lang w:eastAsia="zh-CN"/>
              </w:rPr>
              <w:t>España</w:t>
            </w:r>
          </w:p>
        </w:tc>
      </w:tr>
      <w:tr w:rsidR="0000120A" w:rsidRPr="00660C7D" w14:paraId="7A5FFDAE" w14:textId="77777777" w:rsidTr="00AB583C">
        <w:trPr>
          <w:trHeight w:val="585"/>
        </w:trPr>
        <w:tc>
          <w:tcPr>
            <w:tcW w:w="2646" w:type="dxa"/>
            <w:shd w:val="clear" w:color="auto" w:fill="FFFFFF" w:themeFill="background1"/>
            <w:vAlign w:val="center"/>
          </w:tcPr>
          <w:p w14:paraId="15B7F491" w14:textId="77777777" w:rsidR="0000120A" w:rsidRPr="004F15C1" w:rsidRDefault="0000120A" w:rsidP="00651740">
            <w:pPr>
              <w:pStyle w:val="Tabletext"/>
              <w:jc w:val="center"/>
              <w:rPr>
                <w:lang w:eastAsia="zh-CN"/>
              </w:rPr>
            </w:pPr>
            <w:bookmarkStart w:id="13" w:name="lt_pId112"/>
            <w:r w:rsidRPr="004F15C1">
              <w:rPr>
                <w:lang w:eastAsia="zh-CN"/>
              </w:rPr>
              <w:t>Berexia Digital</w:t>
            </w:r>
            <w:bookmarkEnd w:id="13"/>
          </w:p>
        </w:tc>
        <w:tc>
          <w:tcPr>
            <w:tcW w:w="1199" w:type="dxa"/>
            <w:shd w:val="clear" w:color="auto" w:fill="FFFFFF" w:themeFill="background1"/>
            <w:vAlign w:val="center"/>
          </w:tcPr>
          <w:p w14:paraId="4D2E1586" w14:textId="77777777" w:rsidR="0000120A" w:rsidRPr="00660C7D" w:rsidRDefault="0000120A" w:rsidP="00651740">
            <w:pPr>
              <w:pStyle w:val="Tabletext"/>
              <w:jc w:val="center"/>
              <w:rPr>
                <w:lang w:eastAsia="zh-CN"/>
              </w:rPr>
            </w:pPr>
            <w:r w:rsidRPr="00660C7D">
              <w:rPr>
                <w:lang w:eastAsia="zh-CN"/>
              </w:rPr>
              <w:t>18.12.2023</w:t>
            </w:r>
          </w:p>
        </w:tc>
        <w:tc>
          <w:tcPr>
            <w:tcW w:w="1354" w:type="dxa"/>
            <w:shd w:val="clear" w:color="auto" w:fill="FFFFFF" w:themeFill="background1"/>
            <w:vAlign w:val="center"/>
          </w:tcPr>
          <w:p w14:paraId="7BFC8E04"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1673</w:t>
            </w:r>
          </w:p>
        </w:tc>
        <w:tc>
          <w:tcPr>
            <w:tcW w:w="804" w:type="dxa"/>
            <w:shd w:val="clear" w:color="auto" w:fill="FFFFFF" w:themeFill="background1"/>
            <w:vAlign w:val="center"/>
          </w:tcPr>
          <w:p w14:paraId="22E13594" w14:textId="77777777" w:rsidR="0000120A" w:rsidRPr="00660C7D" w:rsidRDefault="0000120A" w:rsidP="00651740">
            <w:pPr>
              <w:pStyle w:val="Tabletext"/>
              <w:jc w:val="center"/>
              <w:rPr>
                <w:lang w:eastAsia="zh-CN"/>
              </w:rPr>
            </w:pPr>
            <w:r w:rsidRPr="00660C7D">
              <w:rPr>
                <w:lang w:eastAsia="zh-CN"/>
              </w:rPr>
              <w:t>D</w:t>
            </w:r>
          </w:p>
        </w:tc>
        <w:tc>
          <w:tcPr>
            <w:tcW w:w="1400" w:type="dxa"/>
            <w:shd w:val="clear" w:color="auto" w:fill="FFFFFF" w:themeFill="background1"/>
            <w:vAlign w:val="center"/>
          </w:tcPr>
          <w:p w14:paraId="34D127A3" w14:textId="77777777" w:rsidR="0000120A" w:rsidRPr="00660C7D" w:rsidRDefault="0000120A" w:rsidP="00651740">
            <w:pPr>
              <w:pStyle w:val="Tabletext"/>
              <w:jc w:val="center"/>
              <w:rPr>
                <w:lang w:eastAsia="zh-CN"/>
              </w:rPr>
            </w:pPr>
            <w:r w:rsidRPr="00660C7D">
              <w:rPr>
                <w:lang w:eastAsia="zh-CN"/>
              </w:rPr>
              <w:t>1/16</w:t>
            </w:r>
          </w:p>
        </w:tc>
        <w:tc>
          <w:tcPr>
            <w:tcW w:w="1652" w:type="dxa"/>
            <w:shd w:val="clear" w:color="auto" w:fill="FFFFFF" w:themeFill="background1"/>
            <w:vAlign w:val="center"/>
          </w:tcPr>
          <w:p w14:paraId="56EA6CE2" w14:textId="77777777" w:rsidR="0000120A" w:rsidRPr="00660C7D" w:rsidRDefault="0000120A" w:rsidP="00651740">
            <w:pPr>
              <w:pStyle w:val="Tabletext"/>
              <w:jc w:val="center"/>
              <w:rPr>
                <w:lang w:eastAsia="zh-CN"/>
              </w:rPr>
            </w:pPr>
            <w:r w:rsidRPr="00660C7D">
              <w:rPr>
                <w:lang w:eastAsia="zh-CN"/>
              </w:rPr>
              <w:t>Marruecos</w:t>
            </w:r>
          </w:p>
        </w:tc>
      </w:tr>
    </w:tbl>
    <w:p w14:paraId="4F93E569" w14:textId="77777777" w:rsidR="0000120A" w:rsidRPr="00660C7D" w:rsidRDefault="0000120A" w:rsidP="00651740">
      <w:pPr>
        <w:jc w:val="both"/>
        <w:rPr>
          <w:lang w:eastAsia="zh-CN"/>
        </w:rPr>
      </w:pPr>
    </w:p>
    <w:p w14:paraId="77D4C7E1" w14:textId="77777777" w:rsidR="0000120A" w:rsidRPr="00660C7D" w:rsidRDefault="0000120A" w:rsidP="0000120A">
      <w:pPr>
        <w:tabs>
          <w:tab w:val="clear" w:pos="567"/>
          <w:tab w:val="clear" w:pos="1134"/>
          <w:tab w:val="clear" w:pos="1701"/>
          <w:tab w:val="clear" w:pos="2268"/>
          <w:tab w:val="clear" w:pos="2835"/>
        </w:tabs>
        <w:overflowPunct/>
        <w:autoSpaceDE/>
        <w:autoSpaceDN/>
        <w:adjustRightInd/>
        <w:spacing w:before="0"/>
        <w:textAlignment w:val="auto"/>
        <w:rPr>
          <w:rFonts w:cs="Calibri"/>
          <w:b/>
          <w:bCs/>
          <w:lang w:eastAsia="zh-CN"/>
        </w:rPr>
      </w:pPr>
      <w:r w:rsidRPr="00660C7D">
        <w:rPr>
          <w:rFonts w:cs="Calibri"/>
          <w:b/>
          <w:bCs/>
          <w:lang w:eastAsia="zh-CN"/>
        </w:rPr>
        <w:br w:type="page"/>
      </w:r>
    </w:p>
    <w:p w14:paraId="101DCB93" w14:textId="77777777" w:rsidR="0000120A" w:rsidRPr="00660C7D" w:rsidRDefault="0000120A" w:rsidP="00EA25D4">
      <w:pPr>
        <w:pStyle w:val="Tabletitle"/>
        <w:rPr>
          <w:rFonts w:ascii="Segoe UI" w:hAnsi="Segoe UI" w:cs="Segoe UI"/>
          <w:sz w:val="18"/>
          <w:szCs w:val="18"/>
          <w:lang w:eastAsia="zh-CN"/>
        </w:rPr>
      </w:pPr>
      <w:r w:rsidRPr="00660C7D">
        <w:rPr>
          <w:lang w:eastAsia="zh-CN"/>
        </w:rPr>
        <w:lastRenderedPageBreak/>
        <w:t>Asociados</w:t>
      </w:r>
    </w:p>
    <w:tbl>
      <w:tblPr>
        <w:tblW w:w="9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92"/>
        <w:gridCol w:w="1170"/>
        <w:gridCol w:w="1350"/>
        <w:gridCol w:w="1017"/>
        <w:gridCol w:w="1233"/>
        <w:gridCol w:w="1593"/>
      </w:tblGrid>
      <w:tr w:rsidR="0000120A" w:rsidRPr="00660C7D" w14:paraId="316A0D46" w14:textId="77777777" w:rsidTr="00651740">
        <w:trPr>
          <w:trHeight w:val="855"/>
        </w:trPr>
        <w:tc>
          <w:tcPr>
            <w:tcW w:w="2692" w:type="dxa"/>
            <w:shd w:val="clear" w:color="auto" w:fill="FFFFFF" w:themeFill="background1"/>
            <w:vAlign w:val="center"/>
            <w:hideMark/>
          </w:tcPr>
          <w:p w14:paraId="621780B2" w14:textId="77777777" w:rsidR="0000120A" w:rsidRPr="00660C7D" w:rsidRDefault="0000120A" w:rsidP="00651740">
            <w:pPr>
              <w:pStyle w:val="Tablehead"/>
              <w:rPr>
                <w:rFonts w:ascii="Times New Roman" w:hAnsi="Times New Roman"/>
                <w:szCs w:val="24"/>
                <w:lang w:eastAsia="zh-CN"/>
              </w:rPr>
            </w:pPr>
            <w:r w:rsidRPr="00660C7D">
              <w:rPr>
                <w:lang w:eastAsia="zh-CN"/>
              </w:rPr>
              <w:t>Asociad</w:t>
            </w:r>
            <w:r w:rsidRPr="00E14BAF">
              <w:rPr>
                <w:lang w:eastAsia="zh-CN"/>
              </w:rPr>
              <w:t xml:space="preserve">o </w:t>
            </w:r>
          </w:p>
        </w:tc>
        <w:tc>
          <w:tcPr>
            <w:tcW w:w="1170" w:type="dxa"/>
            <w:shd w:val="clear" w:color="auto" w:fill="FFFFFF" w:themeFill="background1"/>
            <w:vAlign w:val="center"/>
            <w:hideMark/>
          </w:tcPr>
          <w:p w14:paraId="3AB112A4" w14:textId="77777777" w:rsidR="0000120A" w:rsidRPr="00660C7D" w:rsidRDefault="0000120A" w:rsidP="00651740">
            <w:pPr>
              <w:pStyle w:val="Tablehead"/>
              <w:rPr>
                <w:rFonts w:ascii="Times New Roman" w:hAnsi="Times New Roman"/>
                <w:szCs w:val="24"/>
                <w:lang w:eastAsia="zh-CN"/>
              </w:rPr>
            </w:pPr>
            <w:r w:rsidRPr="00660C7D">
              <w:rPr>
                <w:lang w:eastAsia="zh-CN"/>
              </w:rPr>
              <w:t>Desde</w:t>
            </w:r>
          </w:p>
        </w:tc>
        <w:tc>
          <w:tcPr>
            <w:tcW w:w="1350" w:type="dxa"/>
            <w:shd w:val="clear" w:color="auto" w:fill="FFFFFF" w:themeFill="background1"/>
            <w:vAlign w:val="center"/>
            <w:hideMark/>
          </w:tcPr>
          <w:p w14:paraId="3624FF96" w14:textId="77777777" w:rsidR="0000120A" w:rsidRPr="00660C7D" w:rsidRDefault="0000120A" w:rsidP="00651740">
            <w:pPr>
              <w:pStyle w:val="Tablehead"/>
              <w:rPr>
                <w:rFonts w:asciiTheme="minorHAnsi" w:hAnsiTheme="minorHAnsi" w:cstheme="minorHAnsi"/>
                <w:lang w:eastAsia="zh-CN"/>
              </w:rPr>
            </w:pPr>
            <w:r w:rsidRPr="00660C7D">
              <w:rPr>
                <w:rFonts w:asciiTheme="minorHAnsi" w:hAnsiTheme="minorHAnsi" w:cstheme="minorHAnsi"/>
                <w:lang w:eastAsia="zh-CN"/>
              </w:rPr>
              <w:t>Notificación</w:t>
            </w:r>
          </w:p>
        </w:tc>
        <w:tc>
          <w:tcPr>
            <w:tcW w:w="1017" w:type="dxa"/>
            <w:shd w:val="clear" w:color="auto" w:fill="FFFFFF" w:themeFill="background1"/>
            <w:vAlign w:val="center"/>
            <w:hideMark/>
          </w:tcPr>
          <w:p w14:paraId="446DE772" w14:textId="77777777" w:rsidR="0000120A" w:rsidRPr="00660C7D" w:rsidRDefault="0000120A" w:rsidP="00651740">
            <w:pPr>
              <w:pStyle w:val="Tablehead"/>
              <w:rPr>
                <w:rFonts w:ascii="Times New Roman" w:hAnsi="Times New Roman"/>
                <w:szCs w:val="24"/>
                <w:lang w:eastAsia="zh-CN"/>
              </w:rPr>
            </w:pPr>
            <w:r>
              <w:rPr>
                <w:lang w:eastAsia="zh-CN"/>
              </w:rPr>
              <w:t xml:space="preserve">CE de </w:t>
            </w:r>
            <w:r w:rsidRPr="00660C7D">
              <w:rPr>
                <w:lang w:eastAsia="zh-CN"/>
              </w:rPr>
              <w:t>Sector</w:t>
            </w:r>
          </w:p>
        </w:tc>
        <w:tc>
          <w:tcPr>
            <w:tcW w:w="1233" w:type="dxa"/>
            <w:shd w:val="clear" w:color="auto" w:fill="FFFFFF" w:themeFill="background1"/>
            <w:vAlign w:val="center"/>
            <w:hideMark/>
          </w:tcPr>
          <w:p w14:paraId="4754E4F8" w14:textId="77777777" w:rsidR="0000120A" w:rsidRPr="00660C7D" w:rsidRDefault="0000120A" w:rsidP="00651740">
            <w:pPr>
              <w:pStyle w:val="Tablehead"/>
              <w:rPr>
                <w:color w:val="000000" w:themeColor="text1"/>
                <w:lang w:eastAsia="zh-CN"/>
              </w:rPr>
            </w:pPr>
            <w:r w:rsidRPr="00660C7D">
              <w:rPr>
                <w:color w:val="000000" w:themeColor="text1"/>
                <w:lang w:eastAsia="zh-CN"/>
              </w:rPr>
              <w:t>Clase de contribución</w:t>
            </w:r>
          </w:p>
        </w:tc>
        <w:tc>
          <w:tcPr>
            <w:tcW w:w="1593" w:type="dxa"/>
            <w:shd w:val="clear" w:color="auto" w:fill="FFFFFF" w:themeFill="background1"/>
            <w:vAlign w:val="center"/>
            <w:hideMark/>
          </w:tcPr>
          <w:p w14:paraId="1EE0CECB" w14:textId="77777777" w:rsidR="0000120A" w:rsidRPr="00660C7D" w:rsidRDefault="0000120A" w:rsidP="00651740">
            <w:pPr>
              <w:pStyle w:val="Tablehead"/>
              <w:rPr>
                <w:rFonts w:ascii="Times New Roman" w:hAnsi="Times New Roman"/>
                <w:szCs w:val="24"/>
                <w:lang w:eastAsia="zh-CN"/>
              </w:rPr>
            </w:pPr>
            <w:r w:rsidRPr="00660C7D">
              <w:rPr>
                <w:lang w:eastAsia="zh-CN"/>
              </w:rPr>
              <w:t>Aprobado por la Administración de</w:t>
            </w:r>
          </w:p>
        </w:tc>
      </w:tr>
      <w:tr w:rsidR="0000120A" w:rsidRPr="00660C7D" w14:paraId="782EC493" w14:textId="77777777" w:rsidTr="00651740">
        <w:trPr>
          <w:trHeight w:val="570"/>
        </w:trPr>
        <w:tc>
          <w:tcPr>
            <w:tcW w:w="2692" w:type="dxa"/>
            <w:shd w:val="clear" w:color="auto" w:fill="FFFFFF" w:themeFill="background1"/>
            <w:vAlign w:val="center"/>
            <w:hideMark/>
          </w:tcPr>
          <w:p w14:paraId="4C8C13DD" w14:textId="4CA3E08B" w:rsidR="0000120A" w:rsidRPr="00E14BAF" w:rsidRDefault="0000120A" w:rsidP="00651740">
            <w:pPr>
              <w:pStyle w:val="Tabletext"/>
              <w:jc w:val="center"/>
              <w:rPr>
                <w:rFonts w:ascii="Times New Roman" w:hAnsi="Times New Roman"/>
                <w:szCs w:val="24"/>
                <w:lang w:eastAsia="zh-CN"/>
              </w:rPr>
            </w:pPr>
            <w:bookmarkStart w:id="14" w:name="lt_pId125"/>
            <w:r w:rsidRPr="00E14BAF">
              <w:rPr>
                <w:lang w:eastAsia="zh-CN"/>
              </w:rPr>
              <w:t>Qorvo Utrecht B.V.</w:t>
            </w:r>
            <w:bookmarkEnd w:id="14"/>
          </w:p>
        </w:tc>
        <w:tc>
          <w:tcPr>
            <w:tcW w:w="1170" w:type="dxa"/>
            <w:shd w:val="clear" w:color="auto" w:fill="FFFFFF" w:themeFill="background1"/>
            <w:vAlign w:val="center"/>
            <w:hideMark/>
          </w:tcPr>
          <w:p w14:paraId="34E2F288"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24.02.2023</w:t>
            </w:r>
          </w:p>
        </w:tc>
        <w:tc>
          <w:tcPr>
            <w:tcW w:w="1350" w:type="dxa"/>
            <w:shd w:val="clear" w:color="auto" w:fill="FFFFFF" w:themeFill="background1"/>
            <w:vAlign w:val="center"/>
            <w:hideMark/>
          </w:tcPr>
          <w:p w14:paraId="017F1ECE"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1663</w:t>
            </w:r>
          </w:p>
        </w:tc>
        <w:tc>
          <w:tcPr>
            <w:tcW w:w="1017" w:type="dxa"/>
            <w:shd w:val="clear" w:color="auto" w:fill="FFFFFF" w:themeFill="background1"/>
            <w:vAlign w:val="center"/>
            <w:hideMark/>
          </w:tcPr>
          <w:p w14:paraId="04CD7EAF"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CE</w:t>
            </w:r>
            <w:r>
              <w:rPr>
                <w:lang w:eastAsia="zh-CN"/>
              </w:rPr>
              <w:t xml:space="preserve"> </w:t>
            </w:r>
            <w:r w:rsidRPr="00660C7D">
              <w:rPr>
                <w:lang w:eastAsia="zh-CN"/>
              </w:rPr>
              <w:t>1 DEL UIT-R</w:t>
            </w:r>
          </w:p>
        </w:tc>
        <w:tc>
          <w:tcPr>
            <w:tcW w:w="1233" w:type="dxa"/>
            <w:shd w:val="clear" w:color="auto" w:fill="FFFFFF" w:themeFill="background1"/>
            <w:vAlign w:val="center"/>
            <w:hideMark/>
          </w:tcPr>
          <w:p w14:paraId="5A81BBBE" w14:textId="311D89A5"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1/6</w:t>
            </w:r>
          </w:p>
        </w:tc>
        <w:tc>
          <w:tcPr>
            <w:tcW w:w="1593" w:type="dxa"/>
            <w:shd w:val="clear" w:color="auto" w:fill="FFFFFF" w:themeFill="background1"/>
            <w:vAlign w:val="center"/>
            <w:hideMark/>
          </w:tcPr>
          <w:p w14:paraId="3E0C47E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Países Bajos (Reino de los)</w:t>
            </w:r>
          </w:p>
        </w:tc>
      </w:tr>
      <w:tr w:rsidR="0000120A" w:rsidRPr="00660C7D" w14:paraId="0C1988A1" w14:textId="77777777" w:rsidTr="00651740">
        <w:trPr>
          <w:trHeight w:val="570"/>
        </w:trPr>
        <w:tc>
          <w:tcPr>
            <w:tcW w:w="2692" w:type="dxa"/>
            <w:shd w:val="clear" w:color="auto" w:fill="FFFFFF" w:themeFill="background1"/>
            <w:vAlign w:val="center"/>
            <w:hideMark/>
          </w:tcPr>
          <w:p w14:paraId="353837EF" w14:textId="2A6B2F3F" w:rsidR="0000120A" w:rsidRPr="00E14BAF" w:rsidRDefault="0000120A" w:rsidP="00651740">
            <w:pPr>
              <w:pStyle w:val="Tabletext"/>
              <w:jc w:val="center"/>
              <w:rPr>
                <w:rFonts w:ascii="Times New Roman" w:hAnsi="Times New Roman"/>
                <w:szCs w:val="24"/>
                <w:lang w:eastAsia="zh-CN"/>
              </w:rPr>
            </w:pPr>
            <w:bookmarkStart w:id="15" w:name="lt_pId131"/>
            <w:r w:rsidRPr="00E14BAF">
              <w:rPr>
                <w:lang w:eastAsia="zh-CN"/>
              </w:rPr>
              <w:t>Parsons Corporation</w:t>
            </w:r>
            <w:bookmarkEnd w:id="15"/>
          </w:p>
        </w:tc>
        <w:tc>
          <w:tcPr>
            <w:tcW w:w="1170" w:type="dxa"/>
            <w:shd w:val="clear" w:color="auto" w:fill="FFFFFF" w:themeFill="background1"/>
            <w:vAlign w:val="center"/>
            <w:hideMark/>
          </w:tcPr>
          <w:p w14:paraId="48C6A178"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24.05.2023</w:t>
            </w:r>
          </w:p>
        </w:tc>
        <w:tc>
          <w:tcPr>
            <w:tcW w:w="1350" w:type="dxa"/>
            <w:shd w:val="clear" w:color="auto" w:fill="FFFFFF" w:themeFill="background1"/>
            <w:vAlign w:val="center"/>
            <w:hideMark/>
          </w:tcPr>
          <w:p w14:paraId="072D43AD"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1666</w:t>
            </w:r>
          </w:p>
        </w:tc>
        <w:tc>
          <w:tcPr>
            <w:tcW w:w="1017" w:type="dxa"/>
            <w:shd w:val="clear" w:color="auto" w:fill="FFFFFF" w:themeFill="background1"/>
            <w:vAlign w:val="center"/>
            <w:hideMark/>
          </w:tcPr>
          <w:p w14:paraId="6E89F779"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CE 4 DEL UIT-R</w:t>
            </w:r>
          </w:p>
        </w:tc>
        <w:tc>
          <w:tcPr>
            <w:tcW w:w="1233" w:type="dxa"/>
            <w:shd w:val="clear" w:color="auto" w:fill="FFFFFF" w:themeFill="background1"/>
            <w:vAlign w:val="center"/>
            <w:hideMark/>
          </w:tcPr>
          <w:p w14:paraId="3DE7BC91" w14:textId="55365230"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1/6</w:t>
            </w:r>
          </w:p>
        </w:tc>
        <w:tc>
          <w:tcPr>
            <w:tcW w:w="1593" w:type="dxa"/>
            <w:shd w:val="clear" w:color="auto" w:fill="FFFFFF" w:themeFill="background1"/>
            <w:vAlign w:val="center"/>
            <w:hideMark/>
          </w:tcPr>
          <w:p w14:paraId="7E39D7D2"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1BD5B734" w14:textId="77777777" w:rsidTr="00651740">
        <w:trPr>
          <w:trHeight w:val="570"/>
        </w:trPr>
        <w:tc>
          <w:tcPr>
            <w:tcW w:w="2692" w:type="dxa"/>
            <w:shd w:val="clear" w:color="auto" w:fill="FFFFFF" w:themeFill="background1"/>
            <w:vAlign w:val="center"/>
            <w:hideMark/>
          </w:tcPr>
          <w:p w14:paraId="4A9B4D59" w14:textId="0E2F9ECC" w:rsidR="0000120A" w:rsidRPr="00E14BAF" w:rsidRDefault="0000120A" w:rsidP="00651740">
            <w:pPr>
              <w:pStyle w:val="Tabletext"/>
              <w:jc w:val="center"/>
              <w:rPr>
                <w:rFonts w:ascii="Times New Roman" w:hAnsi="Times New Roman"/>
                <w:szCs w:val="24"/>
                <w:lang w:eastAsia="zh-CN"/>
              </w:rPr>
            </w:pPr>
            <w:bookmarkStart w:id="16" w:name="lt_pId137"/>
            <w:r w:rsidRPr="00E14BAF">
              <w:rPr>
                <w:lang w:eastAsia="zh-CN"/>
              </w:rPr>
              <w:t>Mozilla Corporation</w:t>
            </w:r>
            <w:bookmarkEnd w:id="16"/>
          </w:p>
        </w:tc>
        <w:tc>
          <w:tcPr>
            <w:tcW w:w="1170" w:type="dxa"/>
            <w:shd w:val="clear" w:color="auto" w:fill="FFFFFF" w:themeFill="background1"/>
            <w:vAlign w:val="center"/>
            <w:hideMark/>
          </w:tcPr>
          <w:p w14:paraId="42F3266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26.05.2023</w:t>
            </w:r>
          </w:p>
        </w:tc>
        <w:tc>
          <w:tcPr>
            <w:tcW w:w="1350" w:type="dxa"/>
            <w:shd w:val="clear" w:color="auto" w:fill="FFFFFF" w:themeFill="background1"/>
            <w:vAlign w:val="center"/>
            <w:hideMark/>
          </w:tcPr>
          <w:p w14:paraId="0514F372"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1666</w:t>
            </w:r>
          </w:p>
        </w:tc>
        <w:tc>
          <w:tcPr>
            <w:tcW w:w="1017" w:type="dxa"/>
            <w:shd w:val="clear" w:color="auto" w:fill="FFFFFF" w:themeFill="background1"/>
            <w:vAlign w:val="center"/>
            <w:hideMark/>
          </w:tcPr>
          <w:p w14:paraId="0FCC0E78"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CE 3 DEL UIT-T</w:t>
            </w:r>
          </w:p>
        </w:tc>
        <w:tc>
          <w:tcPr>
            <w:tcW w:w="1233" w:type="dxa"/>
            <w:shd w:val="clear" w:color="auto" w:fill="FFFFFF" w:themeFill="background1"/>
            <w:vAlign w:val="center"/>
            <w:hideMark/>
          </w:tcPr>
          <w:p w14:paraId="2253D1F6" w14:textId="1FFBCDB6"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1/6</w:t>
            </w:r>
          </w:p>
        </w:tc>
        <w:tc>
          <w:tcPr>
            <w:tcW w:w="1593" w:type="dxa"/>
            <w:shd w:val="clear" w:color="auto" w:fill="FFFFFF" w:themeFill="background1"/>
            <w:vAlign w:val="center"/>
            <w:hideMark/>
          </w:tcPr>
          <w:p w14:paraId="04AA7EF9"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139C8E9C" w14:textId="77777777" w:rsidTr="00651740">
        <w:trPr>
          <w:trHeight w:val="570"/>
        </w:trPr>
        <w:tc>
          <w:tcPr>
            <w:tcW w:w="2692" w:type="dxa"/>
            <w:shd w:val="clear" w:color="auto" w:fill="FFFFFF" w:themeFill="background1"/>
            <w:vAlign w:val="center"/>
            <w:hideMark/>
          </w:tcPr>
          <w:p w14:paraId="70E207D3" w14:textId="43BCA868" w:rsidR="0000120A" w:rsidRPr="00E14BAF" w:rsidRDefault="0000120A" w:rsidP="00651740">
            <w:pPr>
              <w:pStyle w:val="Tabletext"/>
              <w:jc w:val="center"/>
              <w:rPr>
                <w:rFonts w:ascii="Times New Roman" w:hAnsi="Times New Roman"/>
                <w:szCs w:val="24"/>
                <w:lang w:eastAsia="zh-CN"/>
              </w:rPr>
            </w:pPr>
            <w:bookmarkStart w:id="17" w:name="lt_pId143"/>
            <w:r w:rsidRPr="00E14BAF">
              <w:rPr>
                <w:lang w:eastAsia="zh-CN"/>
              </w:rPr>
              <w:t>Entirety LLC</w:t>
            </w:r>
            <w:bookmarkEnd w:id="17"/>
          </w:p>
        </w:tc>
        <w:tc>
          <w:tcPr>
            <w:tcW w:w="1170" w:type="dxa"/>
            <w:shd w:val="clear" w:color="auto" w:fill="FFFFFF" w:themeFill="background1"/>
            <w:vAlign w:val="center"/>
            <w:hideMark/>
          </w:tcPr>
          <w:p w14:paraId="2A5323DD"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29.05.2023</w:t>
            </w:r>
          </w:p>
        </w:tc>
        <w:tc>
          <w:tcPr>
            <w:tcW w:w="1350" w:type="dxa"/>
            <w:shd w:val="clear" w:color="auto" w:fill="FFFFFF" w:themeFill="background1"/>
            <w:vAlign w:val="center"/>
            <w:hideMark/>
          </w:tcPr>
          <w:p w14:paraId="529392A7"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1666</w:t>
            </w:r>
          </w:p>
        </w:tc>
        <w:tc>
          <w:tcPr>
            <w:tcW w:w="1017" w:type="dxa"/>
            <w:shd w:val="clear" w:color="auto" w:fill="FFFFFF" w:themeFill="background1"/>
            <w:vAlign w:val="center"/>
            <w:hideMark/>
          </w:tcPr>
          <w:p w14:paraId="026DE172" w14:textId="1A0F8388" w:rsidR="0000120A" w:rsidRPr="00660C7D" w:rsidRDefault="0000120A" w:rsidP="00651740">
            <w:pPr>
              <w:pStyle w:val="Tabletext"/>
              <w:jc w:val="center"/>
              <w:rPr>
                <w:rFonts w:ascii="Times New Roman" w:hAnsi="Times New Roman"/>
                <w:szCs w:val="24"/>
                <w:lang w:eastAsia="zh-CN"/>
              </w:rPr>
            </w:pPr>
            <w:r w:rsidRPr="00660C7D">
              <w:rPr>
                <w:lang w:eastAsia="zh-CN"/>
              </w:rPr>
              <w:t>CE 5 DEL UIT-R</w:t>
            </w:r>
          </w:p>
        </w:tc>
        <w:tc>
          <w:tcPr>
            <w:tcW w:w="1233" w:type="dxa"/>
            <w:shd w:val="clear" w:color="auto" w:fill="FFFFFF" w:themeFill="background1"/>
            <w:vAlign w:val="center"/>
            <w:hideMark/>
          </w:tcPr>
          <w:p w14:paraId="4C6E7E8C" w14:textId="6035A5A9"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1/16</w:t>
            </w:r>
          </w:p>
        </w:tc>
        <w:tc>
          <w:tcPr>
            <w:tcW w:w="1593" w:type="dxa"/>
            <w:shd w:val="clear" w:color="auto" w:fill="FFFFFF" w:themeFill="background1"/>
            <w:vAlign w:val="center"/>
            <w:hideMark/>
          </w:tcPr>
          <w:p w14:paraId="45F99A2D"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Estados Unidos</w:t>
            </w:r>
          </w:p>
        </w:tc>
      </w:tr>
      <w:tr w:rsidR="0000120A" w:rsidRPr="00660C7D" w14:paraId="35960197" w14:textId="77777777" w:rsidTr="00651740">
        <w:trPr>
          <w:trHeight w:val="570"/>
        </w:trPr>
        <w:tc>
          <w:tcPr>
            <w:tcW w:w="2692" w:type="dxa"/>
            <w:shd w:val="clear" w:color="auto" w:fill="FFFFFF" w:themeFill="background1"/>
            <w:vAlign w:val="center"/>
            <w:hideMark/>
          </w:tcPr>
          <w:p w14:paraId="7817BD7A" w14:textId="35C0B98F" w:rsidR="0000120A" w:rsidRPr="00E14BAF" w:rsidRDefault="0000120A" w:rsidP="00651740">
            <w:pPr>
              <w:pStyle w:val="Tabletext"/>
              <w:jc w:val="center"/>
              <w:rPr>
                <w:rFonts w:ascii="Times New Roman" w:hAnsi="Times New Roman"/>
                <w:szCs w:val="24"/>
                <w:lang w:eastAsia="zh-CN"/>
              </w:rPr>
            </w:pPr>
            <w:bookmarkStart w:id="18" w:name="lt_pId149"/>
            <w:r w:rsidRPr="00E14BAF">
              <w:rPr>
                <w:lang w:eastAsia="zh-CN"/>
              </w:rPr>
              <w:t>Added Value Applications Limited</w:t>
            </w:r>
            <w:bookmarkEnd w:id="18"/>
          </w:p>
        </w:tc>
        <w:tc>
          <w:tcPr>
            <w:tcW w:w="1170" w:type="dxa"/>
            <w:shd w:val="clear" w:color="auto" w:fill="FFFFFF" w:themeFill="background1"/>
            <w:vAlign w:val="center"/>
            <w:hideMark/>
          </w:tcPr>
          <w:p w14:paraId="41CCE41C"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09.06.2023</w:t>
            </w:r>
          </w:p>
        </w:tc>
        <w:tc>
          <w:tcPr>
            <w:tcW w:w="1350" w:type="dxa"/>
            <w:shd w:val="clear" w:color="auto" w:fill="FFFFFF" w:themeFill="background1"/>
            <w:vAlign w:val="center"/>
            <w:hideMark/>
          </w:tcPr>
          <w:p w14:paraId="6C57EA80"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1667</w:t>
            </w:r>
          </w:p>
        </w:tc>
        <w:tc>
          <w:tcPr>
            <w:tcW w:w="1017" w:type="dxa"/>
            <w:shd w:val="clear" w:color="auto" w:fill="FFFFFF" w:themeFill="background1"/>
            <w:vAlign w:val="center"/>
            <w:hideMark/>
          </w:tcPr>
          <w:p w14:paraId="03CC12A9" w14:textId="05213983" w:rsidR="0000120A" w:rsidRPr="00660C7D" w:rsidRDefault="0000120A" w:rsidP="00651740">
            <w:pPr>
              <w:pStyle w:val="Tabletext"/>
              <w:jc w:val="center"/>
              <w:rPr>
                <w:rFonts w:ascii="Times New Roman" w:hAnsi="Times New Roman"/>
                <w:szCs w:val="24"/>
                <w:lang w:eastAsia="zh-CN"/>
              </w:rPr>
            </w:pPr>
            <w:r w:rsidRPr="00660C7D">
              <w:rPr>
                <w:lang w:eastAsia="zh-CN"/>
              </w:rPr>
              <w:t>CE 4 DEL UIT-R</w:t>
            </w:r>
          </w:p>
        </w:tc>
        <w:tc>
          <w:tcPr>
            <w:tcW w:w="1233" w:type="dxa"/>
            <w:shd w:val="clear" w:color="auto" w:fill="FFFFFF" w:themeFill="background1"/>
            <w:vAlign w:val="center"/>
            <w:hideMark/>
          </w:tcPr>
          <w:p w14:paraId="46F48F12" w14:textId="66A80664"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1/16</w:t>
            </w:r>
          </w:p>
        </w:tc>
        <w:tc>
          <w:tcPr>
            <w:tcW w:w="1593" w:type="dxa"/>
            <w:shd w:val="clear" w:color="auto" w:fill="FFFFFF" w:themeFill="background1"/>
            <w:vAlign w:val="center"/>
            <w:hideMark/>
          </w:tcPr>
          <w:p w14:paraId="2F218FCA"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Nueva Zeland</w:t>
            </w:r>
            <w:r>
              <w:rPr>
                <w:lang w:eastAsia="zh-CN"/>
              </w:rPr>
              <w:t>i</w:t>
            </w:r>
            <w:r w:rsidRPr="00660C7D">
              <w:rPr>
                <w:lang w:eastAsia="zh-CN"/>
              </w:rPr>
              <w:t>a</w:t>
            </w:r>
          </w:p>
        </w:tc>
      </w:tr>
      <w:tr w:rsidR="0000120A" w:rsidRPr="00660C7D" w14:paraId="230DB80C" w14:textId="77777777" w:rsidTr="00651740">
        <w:trPr>
          <w:trHeight w:val="340"/>
        </w:trPr>
        <w:tc>
          <w:tcPr>
            <w:tcW w:w="2692" w:type="dxa"/>
            <w:shd w:val="clear" w:color="auto" w:fill="FFFFFF" w:themeFill="background1"/>
            <w:hideMark/>
          </w:tcPr>
          <w:p w14:paraId="56C7C317" w14:textId="6157DBF8" w:rsidR="0000120A" w:rsidRPr="00E14BAF" w:rsidRDefault="0000120A" w:rsidP="00651740">
            <w:pPr>
              <w:pStyle w:val="Tabletext"/>
              <w:jc w:val="center"/>
              <w:rPr>
                <w:rFonts w:ascii="Times New Roman" w:hAnsi="Times New Roman"/>
                <w:szCs w:val="24"/>
                <w:lang w:eastAsia="zh-CN"/>
              </w:rPr>
            </w:pPr>
            <w:bookmarkStart w:id="19" w:name="lt_pId155"/>
            <w:r w:rsidRPr="00E14BAF">
              <w:rPr>
                <w:lang w:eastAsia="zh-CN"/>
              </w:rPr>
              <w:t>DNS Research Federation</w:t>
            </w:r>
            <w:bookmarkEnd w:id="19"/>
          </w:p>
        </w:tc>
        <w:tc>
          <w:tcPr>
            <w:tcW w:w="1170" w:type="dxa"/>
            <w:shd w:val="clear" w:color="auto" w:fill="FFFFFF" w:themeFill="background1"/>
            <w:vAlign w:val="center"/>
            <w:hideMark/>
          </w:tcPr>
          <w:p w14:paraId="48941CE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10.07.2023</w:t>
            </w:r>
          </w:p>
        </w:tc>
        <w:tc>
          <w:tcPr>
            <w:tcW w:w="1350" w:type="dxa"/>
            <w:shd w:val="clear" w:color="auto" w:fill="FFFFFF" w:themeFill="background1"/>
            <w:vAlign w:val="center"/>
            <w:hideMark/>
          </w:tcPr>
          <w:p w14:paraId="752591B2"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1668</w:t>
            </w:r>
          </w:p>
        </w:tc>
        <w:tc>
          <w:tcPr>
            <w:tcW w:w="1017" w:type="dxa"/>
            <w:shd w:val="clear" w:color="auto" w:fill="FFFFFF" w:themeFill="background1"/>
            <w:vAlign w:val="center"/>
            <w:hideMark/>
          </w:tcPr>
          <w:p w14:paraId="3D535A51"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CE 13 DEL UIT-T</w:t>
            </w:r>
          </w:p>
        </w:tc>
        <w:tc>
          <w:tcPr>
            <w:tcW w:w="1233" w:type="dxa"/>
            <w:shd w:val="clear" w:color="auto" w:fill="FFFFFF" w:themeFill="background1"/>
            <w:vAlign w:val="center"/>
            <w:hideMark/>
          </w:tcPr>
          <w:p w14:paraId="41BCAA9F" w14:textId="570A262F"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1/16</w:t>
            </w:r>
          </w:p>
        </w:tc>
        <w:tc>
          <w:tcPr>
            <w:tcW w:w="1593" w:type="dxa"/>
            <w:shd w:val="clear" w:color="auto" w:fill="FFFFFF" w:themeFill="background1"/>
            <w:vAlign w:val="center"/>
            <w:hideMark/>
          </w:tcPr>
          <w:p w14:paraId="7DEA5D64"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Reino Unido</w:t>
            </w:r>
          </w:p>
        </w:tc>
      </w:tr>
      <w:tr w:rsidR="0000120A" w:rsidRPr="00660C7D" w14:paraId="3A15838F" w14:textId="77777777" w:rsidTr="00651740">
        <w:trPr>
          <w:trHeight w:val="570"/>
        </w:trPr>
        <w:tc>
          <w:tcPr>
            <w:tcW w:w="2692" w:type="dxa"/>
            <w:shd w:val="clear" w:color="auto" w:fill="FFFFFF" w:themeFill="background1"/>
            <w:vAlign w:val="center"/>
            <w:hideMark/>
          </w:tcPr>
          <w:p w14:paraId="605A5B6E" w14:textId="6575DDF4" w:rsidR="0000120A" w:rsidRPr="0000120A" w:rsidRDefault="0000120A" w:rsidP="00651740">
            <w:pPr>
              <w:pStyle w:val="Tabletext"/>
              <w:jc w:val="center"/>
              <w:rPr>
                <w:rFonts w:ascii="Times New Roman" w:hAnsi="Times New Roman"/>
                <w:szCs w:val="24"/>
                <w:lang w:val="en-GB" w:eastAsia="zh-CN"/>
              </w:rPr>
            </w:pPr>
            <w:bookmarkStart w:id="20" w:name="lt_pId161"/>
            <w:r w:rsidRPr="0000120A">
              <w:rPr>
                <w:lang w:val="en-GB" w:eastAsia="zh-CN"/>
              </w:rPr>
              <w:t>SENKO Advanced Components (Thailand) Co., Ltd.</w:t>
            </w:r>
            <w:bookmarkEnd w:id="20"/>
          </w:p>
        </w:tc>
        <w:tc>
          <w:tcPr>
            <w:tcW w:w="1170" w:type="dxa"/>
            <w:shd w:val="clear" w:color="auto" w:fill="FFFFFF" w:themeFill="background1"/>
            <w:vAlign w:val="center"/>
            <w:hideMark/>
          </w:tcPr>
          <w:p w14:paraId="05727836"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09.08.2023</w:t>
            </w:r>
          </w:p>
        </w:tc>
        <w:tc>
          <w:tcPr>
            <w:tcW w:w="1350" w:type="dxa"/>
            <w:shd w:val="clear" w:color="auto" w:fill="FFFFFF" w:themeFill="background1"/>
            <w:vAlign w:val="center"/>
            <w:hideMark/>
          </w:tcPr>
          <w:p w14:paraId="137A5CA7"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1669</w:t>
            </w:r>
          </w:p>
        </w:tc>
        <w:tc>
          <w:tcPr>
            <w:tcW w:w="1017" w:type="dxa"/>
            <w:shd w:val="clear" w:color="auto" w:fill="FFFFFF" w:themeFill="background1"/>
            <w:vAlign w:val="center"/>
            <w:hideMark/>
          </w:tcPr>
          <w:p w14:paraId="58412C83"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CE 2 DEL UIT-D</w:t>
            </w:r>
          </w:p>
        </w:tc>
        <w:tc>
          <w:tcPr>
            <w:tcW w:w="1233" w:type="dxa"/>
            <w:shd w:val="clear" w:color="auto" w:fill="FFFFFF" w:themeFill="background1"/>
            <w:vAlign w:val="center"/>
            <w:hideMark/>
          </w:tcPr>
          <w:p w14:paraId="5755801F" w14:textId="3B67BC94" w:rsidR="0000120A" w:rsidRPr="00660C7D" w:rsidRDefault="0000120A" w:rsidP="00651740">
            <w:pPr>
              <w:pStyle w:val="Tabletext"/>
              <w:jc w:val="center"/>
              <w:rPr>
                <w:rFonts w:ascii="Times New Roman" w:hAnsi="Times New Roman"/>
                <w:lang w:eastAsia="zh-CN"/>
              </w:rPr>
            </w:pPr>
            <w:r w:rsidRPr="00660C7D">
              <w:rPr>
                <w:color w:val="000000" w:themeColor="text1"/>
                <w:lang w:eastAsia="zh-CN"/>
              </w:rPr>
              <w:t>1/32</w:t>
            </w:r>
          </w:p>
        </w:tc>
        <w:tc>
          <w:tcPr>
            <w:tcW w:w="1593" w:type="dxa"/>
            <w:shd w:val="clear" w:color="auto" w:fill="FFFFFF" w:themeFill="background1"/>
            <w:vAlign w:val="center"/>
            <w:hideMark/>
          </w:tcPr>
          <w:p w14:paraId="0620F9A3" w14:textId="77777777" w:rsidR="0000120A" w:rsidRPr="00660C7D" w:rsidRDefault="0000120A" w:rsidP="00651740">
            <w:pPr>
              <w:pStyle w:val="Tabletext"/>
              <w:jc w:val="center"/>
              <w:rPr>
                <w:rFonts w:ascii="Times New Roman" w:hAnsi="Times New Roman"/>
                <w:szCs w:val="24"/>
                <w:lang w:eastAsia="zh-CN"/>
              </w:rPr>
            </w:pPr>
            <w:r w:rsidRPr="00660C7D">
              <w:rPr>
                <w:lang w:eastAsia="zh-CN"/>
              </w:rPr>
              <w:t>Tailandia</w:t>
            </w:r>
          </w:p>
        </w:tc>
      </w:tr>
      <w:tr w:rsidR="0000120A" w:rsidRPr="00660C7D" w14:paraId="03959C8A" w14:textId="77777777" w:rsidTr="00651740">
        <w:trPr>
          <w:trHeight w:val="570"/>
        </w:trPr>
        <w:tc>
          <w:tcPr>
            <w:tcW w:w="2692" w:type="dxa"/>
            <w:shd w:val="clear" w:color="auto" w:fill="FFFFFF" w:themeFill="background1"/>
            <w:vAlign w:val="center"/>
          </w:tcPr>
          <w:p w14:paraId="6664D844" w14:textId="19EE0853" w:rsidR="0000120A" w:rsidRPr="00E14BAF" w:rsidRDefault="0000120A" w:rsidP="00651740">
            <w:pPr>
              <w:pStyle w:val="Tabletext"/>
              <w:jc w:val="center"/>
              <w:rPr>
                <w:lang w:eastAsia="zh-CN"/>
              </w:rPr>
            </w:pPr>
            <w:bookmarkStart w:id="21" w:name="lt_pId167"/>
            <w:r w:rsidRPr="00E14BAF">
              <w:rPr>
                <w:lang w:eastAsia="zh-CN"/>
              </w:rPr>
              <w:t>Alcance Consulting</w:t>
            </w:r>
            <w:bookmarkEnd w:id="21"/>
          </w:p>
        </w:tc>
        <w:tc>
          <w:tcPr>
            <w:tcW w:w="1170" w:type="dxa"/>
            <w:shd w:val="clear" w:color="auto" w:fill="FFFFFF" w:themeFill="background1"/>
            <w:vAlign w:val="center"/>
          </w:tcPr>
          <w:p w14:paraId="45C9A84E" w14:textId="77777777" w:rsidR="0000120A" w:rsidRPr="00660C7D" w:rsidRDefault="0000120A" w:rsidP="00651740">
            <w:pPr>
              <w:pStyle w:val="Tabletext"/>
              <w:jc w:val="center"/>
              <w:rPr>
                <w:lang w:eastAsia="zh-CN"/>
              </w:rPr>
            </w:pPr>
            <w:r w:rsidRPr="00660C7D">
              <w:rPr>
                <w:lang w:eastAsia="zh-CN"/>
              </w:rPr>
              <w:t>02.10.2023</w:t>
            </w:r>
          </w:p>
        </w:tc>
        <w:tc>
          <w:tcPr>
            <w:tcW w:w="1350" w:type="dxa"/>
            <w:shd w:val="clear" w:color="auto" w:fill="FFFFFF" w:themeFill="background1"/>
            <w:vAlign w:val="center"/>
          </w:tcPr>
          <w:p w14:paraId="644A9EFC"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1671</w:t>
            </w:r>
          </w:p>
        </w:tc>
        <w:tc>
          <w:tcPr>
            <w:tcW w:w="1017" w:type="dxa"/>
            <w:shd w:val="clear" w:color="auto" w:fill="FFFFFF" w:themeFill="background1"/>
            <w:vAlign w:val="center"/>
          </w:tcPr>
          <w:p w14:paraId="1DC223E8" w14:textId="77777777" w:rsidR="0000120A" w:rsidRPr="00660C7D" w:rsidRDefault="0000120A" w:rsidP="00651740">
            <w:pPr>
              <w:pStyle w:val="Tabletext"/>
              <w:jc w:val="center"/>
              <w:rPr>
                <w:lang w:eastAsia="zh-CN"/>
              </w:rPr>
            </w:pPr>
            <w:r w:rsidRPr="00660C7D">
              <w:rPr>
                <w:lang w:eastAsia="zh-CN"/>
              </w:rPr>
              <w:t>CE 5 DEL UIT-R</w:t>
            </w:r>
          </w:p>
        </w:tc>
        <w:tc>
          <w:tcPr>
            <w:tcW w:w="1233" w:type="dxa"/>
            <w:shd w:val="clear" w:color="auto" w:fill="FFFFFF" w:themeFill="background1"/>
            <w:vAlign w:val="center"/>
          </w:tcPr>
          <w:p w14:paraId="3BE84683" w14:textId="77777777" w:rsidR="0000120A" w:rsidRPr="00660C7D" w:rsidRDefault="0000120A" w:rsidP="00651740">
            <w:pPr>
              <w:pStyle w:val="Tabletext"/>
              <w:jc w:val="center"/>
              <w:rPr>
                <w:lang w:eastAsia="zh-CN"/>
              </w:rPr>
            </w:pPr>
            <w:r w:rsidRPr="00660C7D">
              <w:rPr>
                <w:color w:val="000000" w:themeColor="text1"/>
                <w:lang w:eastAsia="zh-CN"/>
              </w:rPr>
              <w:t>1/16</w:t>
            </w:r>
          </w:p>
        </w:tc>
        <w:tc>
          <w:tcPr>
            <w:tcW w:w="1593" w:type="dxa"/>
            <w:shd w:val="clear" w:color="auto" w:fill="FFFFFF" w:themeFill="background1"/>
            <w:vAlign w:val="center"/>
          </w:tcPr>
          <w:p w14:paraId="58E5D127" w14:textId="77777777" w:rsidR="0000120A" w:rsidRPr="00660C7D" w:rsidRDefault="0000120A" w:rsidP="00651740">
            <w:pPr>
              <w:pStyle w:val="Tabletext"/>
              <w:jc w:val="center"/>
              <w:rPr>
                <w:lang w:eastAsia="zh-CN"/>
              </w:rPr>
            </w:pPr>
            <w:r w:rsidRPr="00660C7D">
              <w:rPr>
                <w:lang w:eastAsia="zh-CN"/>
              </w:rPr>
              <w:t>Canadá</w:t>
            </w:r>
          </w:p>
        </w:tc>
      </w:tr>
      <w:tr w:rsidR="0000120A" w:rsidRPr="00660C7D" w14:paraId="77456BFA" w14:textId="77777777" w:rsidTr="00651740">
        <w:trPr>
          <w:trHeight w:val="570"/>
        </w:trPr>
        <w:tc>
          <w:tcPr>
            <w:tcW w:w="2692" w:type="dxa"/>
            <w:shd w:val="clear" w:color="auto" w:fill="FFFFFF" w:themeFill="background1"/>
            <w:vAlign w:val="center"/>
          </w:tcPr>
          <w:p w14:paraId="1DA305AB" w14:textId="20629A19" w:rsidR="0000120A" w:rsidRPr="00E14BAF" w:rsidRDefault="0000120A" w:rsidP="00651740">
            <w:pPr>
              <w:pStyle w:val="Tabletext"/>
              <w:jc w:val="center"/>
              <w:rPr>
                <w:lang w:eastAsia="zh-CN"/>
              </w:rPr>
            </w:pPr>
            <w:bookmarkStart w:id="22" w:name="lt_pId173"/>
            <w:r w:rsidRPr="00E14BAF">
              <w:rPr>
                <w:lang w:eastAsia="zh-CN"/>
              </w:rPr>
              <w:t>Fergani Uzay Teknolojileri</w:t>
            </w:r>
            <w:bookmarkEnd w:id="22"/>
          </w:p>
        </w:tc>
        <w:tc>
          <w:tcPr>
            <w:tcW w:w="1170" w:type="dxa"/>
            <w:shd w:val="clear" w:color="auto" w:fill="FFFFFF" w:themeFill="background1"/>
            <w:vAlign w:val="center"/>
          </w:tcPr>
          <w:p w14:paraId="121D390E" w14:textId="77777777" w:rsidR="0000120A" w:rsidRPr="00660C7D" w:rsidRDefault="0000120A" w:rsidP="00651740">
            <w:pPr>
              <w:pStyle w:val="Tabletext"/>
              <w:jc w:val="center"/>
              <w:rPr>
                <w:lang w:eastAsia="zh-CN"/>
              </w:rPr>
            </w:pPr>
            <w:r w:rsidRPr="00660C7D">
              <w:rPr>
                <w:lang w:eastAsia="zh-CN"/>
              </w:rPr>
              <w:t>27.10.2023</w:t>
            </w:r>
          </w:p>
        </w:tc>
        <w:tc>
          <w:tcPr>
            <w:tcW w:w="1350" w:type="dxa"/>
            <w:shd w:val="clear" w:color="auto" w:fill="FFFFFF" w:themeFill="background1"/>
            <w:vAlign w:val="center"/>
          </w:tcPr>
          <w:p w14:paraId="06228FF4" w14:textId="77777777" w:rsidR="0000120A" w:rsidRPr="00660C7D" w:rsidRDefault="0000120A" w:rsidP="00651740">
            <w:pPr>
              <w:pStyle w:val="Tabletext"/>
              <w:jc w:val="center"/>
              <w:rPr>
                <w:rFonts w:asciiTheme="minorHAnsi" w:hAnsiTheme="minorHAnsi" w:cstheme="minorHAnsi"/>
                <w:lang w:eastAsia="zh-CN"/>
              </w:rPr>
            </w:pPr>
            <w:r w:rsidRPr="00660C7D">
              <w:rPr>
                <w:rFonts w:asciiTheme="minorHAnsi" w:hAnsiTheme="minorHAnsi" w:cstheme="minorHAnsi"/>
                <w:lang w:eastAsia="zh-CN"/>
              </w:rPr>
              <w:t>1671</w:t>
            </w:r>
          </w:p>
        </w:tc>
        <w:tc>
          <w:tcPr>
            <w:tcW w:w="1017" w:type="dxa"/>
            <w:shd w:val="clear" w:color="auto" w:fill="FFFFFF" w:themeFill="background1"/>
            <w:vAlign w:val="center"/>
          </w:tcPr>
          <w:p w14:paraId="76F92A27" w14:textId="77777777" w:rsidR="0000120A" w:rsidRPr="00660C7D" w:rsidRDefault="0000120A" w:rsidP="00651740">
            <w:pPr>
              <w:pStyle w:val="Tabletext"/>
              <w:jc w:val="center"/>
              <w:rPr>
                <w:lang w:eastAsia="zh-CN"/>
              </w:rPr>
            </w:pPr>
            <w:r w:rsidRPr="00660C7D">
              <w:rPr>
                <w:lang w:eastAsia="zh-CN"/>
              </w:rPr>
              <w:t>CE 4 DEL UIT-R</w:t>
            </w:r>
          </w:p>
        </w:tc>
        <w:tc>
          <w:tcPr>
            <w:tcW w:w="1233" w:type="dxa"/>
            <w:shd w:val="clear" w:color="auto" w:fill="FFFFFF" w:themeFill="background1"/>
            <w:vAlign w:val="center"/>
          </w:tcPr>
          <w:p w14:paraId="4FD301F1" w14:textId="77777777" w:rsidR="0000120A" w:rsidRPr="00660C7D" w:rsidRDefault="0000120A" w:rsidP="00651740">
            <w:pPr>
              <w:pStyle w:val="Tabletext"/>
              <w:jc w:val="center"/>
              <w:rPr>
                <w:lang w:eastAsia="zh-CN"/>
              </w:rPr>
            </w:pPr>
            <w:r w:rsidRPr="00660C7D">
              <w:rPr>
                <w:color w:val="000000" w:themeColor="text1"/>
                <w:lang w:eastAsia="zh-CN"/>
              </w:rPr>
              <w:t>1/32</w:t>
            </w:r>
          </w:p>
        </w:tc>
        <w:tc>
          <w:tcPr>
            <w:tcW w:w="1593" w:type="dxa"/>
            <w:shd w:val="clear" w:color="auto" w:fill="FFFFFF" w:themeFill="background1"/>
            <w:vAlign w:val="center"/>
          </w:tcPr>
          <w:p w14:paraId="6CFE6A6B" w14:textId="77777777" w:rsidR="0000120A" w:rsidRPr="00660C7D" w:rsidRDefault="0000120A" w:rsidP="00651740">
            <w:pPr>
              <w:pStyle w:val="Tabletext"/>
              <w:jc w:val="center"/>
              <w:rPr>
                <w:lang w:eastAsia="zh-CN"/>
              </w:rPr>
            </w:pPr>
            <w:r w:rsidRPr="00660C7D">
              <w:rPr>
                <w:lang w:eastAsia="zh-CN"/>
              </w:rPr>
              <w:t>Türkiye</w:t>
            </w:r>
          </w:p>
        </w:tc>
      </w:tr>
    </w:tbl>
    <w:p w14:paraId="3D4C3F3F" w14:textId="77777777" w:rsidR="0000120A" w:rsidRPr="00660C7D" w:rsidRDefault="0000120A" w:rsidP="0000120A">
      <w:pPr>
        <w:tabs>
          <w:tab w:val="clear" w:pos="567"/>
          <w:tab w:val="clear" w:pos="1134"/>
          <w:tab w:val="clear" w:pos="1701"/>
          <w:tab w:val="clear" w:pos="2268"/>
          <w:tab w:val="clear" w:pos="2835"/>
        </w:tabs>
        <w:overflowPunct/>
        <w:autoSpaceDE/>
        <w:autoSpaceDN/>
        <w:adjustRightInd/>
        <w:spacing w:before="840"/>
        <w:jc w:val="center"/>
        <w:textAlignment w:val="auto"/>
      </w:pPr>
      <w:r w:rsidRPr="00660C7D">
        <w:t>_________________</w:t>
      </w:r>
    </w:p>
    <w:sectPr w:rsidR="0000120A" w:rsidRPr="00660C7D"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27844FE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0120A">
            <w:rPr>
              <w:bCs/>
            </w:rPr>
            <w:t>58</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4F07213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00120A">
            <w:rPr>
              <w:bCs/>
            </w:rPr>
            <w:t>58</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0120A"/>
    <w:rsid w:val="00093EEB"/>
    <w:rsid w:val="000A6B77"/>
    <w:rsid w:val="000B0D00"/>
    <w:rsid w:val="000B7C15"/>
    <w:rsid w:val="000D1D0F"/>
    <w:rsid w:val="000F5290"/>
    <w:rsid w:val="0010165C"/>
    <w:rsid w:val="00117B52"/>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481D"/>
    <w:rsid w:val="0064731F"/>
    <w:rsid w:val="00651740"/>
    <w:rsid w:val="00664572"/>
    <w:rsid w:val="006710F6"/>
    <w:rsid w:val="00677A97"/>
    <w:rsid w:val="006C1B56"/>
    <w:rsid w:val="006D4761"/>
    <w:rsid w:val="00726872"/>
    <w:rsid w:val="007436E5"/>
    <w:rsid w:val="00760F1C"/>
    <w:rsid w:val="007657F0"/>
    <w:rsid w:val="0077252D"/>
    <w:rsid w:val="007955DA"/>
    <w:rsid w:val="007E5DD3"/>
    <w:rsid w:val="007F350B"/>
    <w:rsid w:val="00820BE4"/>
    <w:rsid w:val="008451E8"/>
    <w:rsid w:val="00913B9C"/>
    <w:rsid w:val="00927F93"/>
    <w:rsid w:val="00956E77"/>
    <w:rsid w:val="009F4811"/>
    <w:rsid w:val="00A23D96"/>
    <w:rsid w:val="00AA390C"/>
    <w:rsid w:val="00B0200A"/>
    <w:rsid w:val="00B26AE8"/>
    <w:rsid w:val="00B574DB"/>
    <w:rsid w:val="00B826C2"/>
    <w:rsid w:val="00B8298E"/>
    <w:rsid w:val="00BD0723"/>
    <w:rsid w:val="00BD2518"/>
    <w:rsid w:val="00BF1D1C"/>
    <w:rsid w:val="00C20C59"/>
    <w:rsid w:val="00C2727F"/>
    <w:rsid w:val="00C538FC"/>
    <w:rsid w:val="00C55B1F"/>
    <w:rsid w:val="00CB421D"/>
    <w:rsid w:val="00CF1A67"/>
    <w:rsid w:val="00D2750E"/>
    <w:rsid w:val="00D50A36"/>
    <w:rsid w:val="00D62446"/>
    <w:rsid w:val="00DA4EA2"/>
    <w:rsid w:val="00DC3D3E"/>
    <w:rsid w:val="00DE2C90"/>
    <w:rsid w:val="00DE3B24"/>
    <w:rsid w:val="00DE48E0"/>
    <w:rsid w:val="00E06947"/>
    <w:rsid w:val="00E34072"/>
    <w:rsid w:val="00E3592D"/>
    <w:rsid w:val="00E50D76"/>
    <w:rsid w:val="00E92DE8"/>
    <w:rsid w:val="00EA25D4"/>
    <w:rsid w:val="00EB1212"/>
    <w:rsid w:val="00ED65AB"/>
    <w:rsid w:val="00F019F5"/>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0120A"/>
  </w:style>
  <w:style w:type="character" w:customStyle="1" w:styleId="Heading1Char">
    <w:name w:val="Heading 1 Char"/>
    <w:basedOn w:val="DefaultParagraphFont"/>
    <w:link w:val="Heading1"/>
    <w:rsid w:val="0000120A"/>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00/docs/33-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council/miscellaneous/C93-49E.docx"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Convention-s.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council/miscellaneous/C93-49E.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986</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6717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en las actividades de la UIT de otras entidades que se ocupan de cuestiones de telecomunicaciones</dc:title>
  <dc:subject>Consejo 2024 de la UIT</dc:subject>
  <dc:creator>Brouard, Ricarda</dc:creator>
  <cp:keywords>C2024, C24, Council-24</cp:keywords>
  <dc:description/>
  <cp:lastModifiedBy>Brouard, Ricarda</cp:lastModifiedBy>
  <cp:revision>7</cp:revision>
  <cp:lastPrinted>2006-03-24T09:51:00Z</cp:lastPrinted>
  <dcterms:created xsi:type="dcterms:W3CDTF">2024-04-19T07:27:00Z</dcterms:created>
  <dcterms:modified xsi:type="dcterms:W3CDTF">2024-05-01T13:24:00Z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