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0508C" w14:paraId="3D22EF3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909DAFB" w14:textId="2CDBB17F" w:rsidR="00796BD3" w:rsidRPr="0090508C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0508C">
              <w:rPr>
                <w:b/>
                <w:szCs w:val="22"/>
                <w:lang w:val="ru-RU"/>
              </w:rPr>
              <w:t>Пункт повестки дня:</w:t>
            </w:r>
            <w:r w:rsidR="002A6F9C" w:rsidRPr="0090508C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E45AD5" w:rsidRPr="0090508C">
              <w:rPr>
                <w:b/>
                <w:bCs/>
                <w:szCs w:val="22"/>
                <w:lang w:val="ru-RU"/>
              </w:rPr>
              <w:t>ADM</w:t>
            </w:r>
            <w:proofErr w:type="spellEnd"/>
            <w:r w:rsidR="00E45AD5" w:rsidRPr="0090508C">
              <w:rPr>
                <w:b/>
                <w:bCs/>
                <w:szCs w:val="22"/>
                <w:lang w:val="ru-RU"/>
              </w:rPr>
              <w:t xml:space="preserve"> 3</w:t>
            </w:r>
          </w:p>
        </w:tc>
        <w:tc>
          <w:tcPr>
            <w:tcW w:w="5245" w:type="dxa"/>
          </w:tcPr>
          <w:p w14:paraId="1A229E63" w14:textId="65D7C1C2" w:rsidR="00796BD3" w:rsidRPr="0090508C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0508C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90508C">
              <w:rPr>
                <w:b/>
                <w:lang w:val="ru-RU"/>
              </w:rPr>
              <w:t>C2</w:t>
            </w:r>
            <w:r w:rsidR="00660449" w:rsidRPr="0090508C">
              <w:rPr>
                <w:b/>
                <w:lang w:val="ru-RU"/>
              </w:rPr>
              <w:t>4</w:t>
            </w:r>
            <w:proofErr w:type="spellEnd"/>
            <w:r w:rsidR="00796BD3" w:rsidRPr="0090508C">
              <w:rPr>
                <w:b/>
                <w:lang w:val="ru-RU"/>
              </w:rPr>
              <w:t>/</w:t>
            </w:r>
            <w:r w:rsidR="00E45AD5" w:rsidRPr="0090508C">
              <w:rPr>
                <w:b/>
                <w:lang w:val="ru-RU"/>
              </w:rPr>
              <w:t>61</w:t>
            </w:r>
            <w:r w:rsidR="00796BD3" w:rsidRPr="0090508C">
              <w:rPr>
                <w:b/>
                <w:lang w:val="ru-RU"/>
              </w:rPr>
              <w:t>-R</w:t>
            </w:r>
          </w:p>
        </w:tc>
      </w:tr>
      <w:tr w:rsidR="00796BD3" w:rsidRPr="0090508C" w14:paraId="6F2A4033" w14:textId="77777777" w:rsidTr="00E31DCE">
        <w:trPr>
          <w:cantSplit/>
        </w:trPr>
        <w:tc>
          <w:tcPr>
            <w:tcW w:w="3969" w:type="dxa"/>
            <w:vMerge/>
          </w:tcPr>
          <w:p w14:paraId="003FF41D" w14:textId="77777777" w:rsidR="00796BD3" w:rsidRPr="0090508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084BBED" w14:textId="75022EC5" w:rsidR="00796BD3" w:rsidRPr="0090508C" w:rsidRDefault="00E45AD5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90508C">
              <w:rPr>
                <w:b/>
                <w:lang w:val="ru-RU"/>
              </w:rPr>
              <w:t xml:space="preserve">6 </w:t>
            </w:r>
            <w:r w:rsidR="002A6F9C" w:rsidRPr="0090508C">
              <w:rPr>
                <w:b/>
                <w:lang w:val="ru-RU"/>
              </w:rPr>
              <w:t>мая</w:t>
            </w:r>
            <w:r w:rsidR="00796BD3" w:rsidRPr="0090508C">
              <w:rPr>
                <w:b/>
                <w:lang w:val="ru-RU"/>
              </w:rPr>
              <w:t xml:space="preserve"> 202</w:t>
            </w:r>
            <w:r w:rsidR="00660449" w:rsidRPr="0090508C">
              <w:rPr>
                <w:b/>
                <w:lang w:val="ru-RU"/>
              </w:rPr>
              <w:t>4</w:t>
            </w:r>
            <w:r w:rsidR="002A6F9C" w:rsidRPr="0090508C">
              <w:rPr>
                <w:b/>
                <w:lang w:val="ru-RU"/>
              </w:rPr>
              <w:t xml:space="preserve"> года</w:t>
            </w:r>
          </w:p>
        </w:tc>
      </w:tr>
      <w:tr w:rsidR="00796BD3" w:rsidRPr="0090508C" w14:paraId="3C0E64D3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2EDC93B" w14:textId="77777777" w:rsidR="00796BD3" w:rsidRPr="0090508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4DBB12" w14:textId="77777777" w:rsidR="00796BD3" w:rsidRPr="0090508C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0508C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0508C" w14:paraId="2F121F77" w14:textId="77777777" w:rsidTr="00E31DCE">
        <w:trPr>
          <w:cantSplit/>
          <w:trHeight w:val="23"/>
        </w:trPr>
        <w:tc>
          <w:tcPr>
            <w:tcW w:w="3969" w:type="dxa"/>
          </w:tcPr>
          <w:p w14:paraId="0F3ED0D7" w14:textId="77777777" w:rsidR="00796BD3" w:rsidRPr="0090508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7DE87F1" w14:textId="77777777" w:rsidR="00796BD3" w:rsidRPr="0090508C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0508C" w14:paraId="76139ED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54DD5E5" w14:textId="77777777" w:rsidR="00796BD3" w:rsidRPr="0090508C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0508C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90508C" w14:paraId="3A9139CA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9C1601D" w14:textId="2B6BF19E" w:rsidR="00796BD3" w:rsidRPr="0090508C" w:rsidRDefault="00E45AD5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90508C">
              <w:rPr>
                <w:sz w:val="32"/>
                <w:szCs w:val="32"/>
                <w:lang w:val="ru-RU"/>
              </w:rPr>
              <w:t>ДИСТАНЦИОННОЕ УЧАСТИЕ В РАМКАХ ВЫПОЛНЕНИЯ РЕЗОЛЮЦИИ 167 (</w:t>
            </w:r>
            <w:proofErr w:type="spellStart"/>
            <w:r w:rsidRPr="0090508C">
              <w:rPr>
                <w:sz w:val="32"/>
                <w:szCs w:val="32"/>
                <w:lang w:val="ru-RU"/>
              </w:rPr>
              <w:t>ПЕРЕСМ</w:t>
            </w:r>
            <w:proofErr w:type="spellEnd"/>
            <w:r w:rsidRPr="0090508C">
              <w:rPr>
                <w:sz w:val="32"/>
                <w:szCs w:val="32"/>
                <w:lang w:val="ru-RU"/>
              </w:rPr>
              <w:t>. БУХАРЕСТ, 2022 Г.)</w:t>
            </w:r>
          </w:p>
        </w:tc>
      </w:tr>
      <w:tr w:rsidR="00796BD3" w:rsidRPr="0090508C" w14:paraId="180715E9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062BA85" w14:textId="538535C9" w:rsidR="00796BD3" w:rsidRPr="0090508C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0508C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E13641A" w14:textId="77777777" w:rsidR="00E45AD5" w:rsidRPr="00E45AD5" w:rsidRDefault="00E45AD5" w:rsidP="00E45AD5">
            <w:pPr>
              <w:rPr>
                <w:lang w:val="ru-RU"/>
              </w:rPr>
            </w:pPr>
            <w:r w:rsidRPr="00E45AD5">
              <w:rPr>
                <w:lang w:val="ru-RU" w:bidi="ru-RU"/>
              </w:rPr>
              <w:t>Совет 2023 года пришел к выводу о том, что дистанционное участие является чрезвычайно ценным инструментом для Государств-Членов, и поручил Генеральному секретарю подготовить дорожную карту согласования и развития средств и возможностей для организации и проведения в полном объеме виртуальных и очных собраний с дистанционным участием с использованием электронных средств для собраний Союза, которая должна быть представлена на сессии Совета 2024 года.</w:t>
            </w:r>
          </w:p>
          <w:p w14:paraId="78F42963" w14:textId="77777777" w:rsidR="00E45AD5" w:rsidRPr="00E45AD5" w:rsidRDefault="00E45AD5" w:rsidP="00E45AD5">
            <w:pPr>
              <w:rPr>
                <w:lang w:val="ru-RU"/>
              </w:rPr>
            </w:pPr>
            <w:r w:rsidRPr="00E45AD5">
              <w:rPr>
                <w:lang w:val="ru-RU" w:bidi="ru-RU"/>
              </w:rPr>
              <w:t>На 16-м и 17-м собраниях Рабочей группы Совета по финансовым и людским ресурсам (РГ-</w:t>
            </w:r>
            <w:proofErr w:type="spellStart"/>
            <w:r w:rsidRPr="00E45AD5">
              <w:rPr>
                <w:lang w:val="ru-RU" w:bidi="ru-RU"/>
              </w:rPr>
              <w:t>ФЛР</w:t>
            </w:r>
            <w:proofErr w:type="spellEnd"/>
            <w:r w:rsidRPr="00E45AD5">
              <w:rPr>
                <w:lang w:val="ru-RU" w:bidi="ru-RU"/>
              </w:rPr>
              <w:t>) обсуждались преимущества дистанционного участия в части повышения инклюзивности, разнообразия и вовлеченности в работу Союза при одновременном сокращении расходов на участие Государств-Членов. Было принято решение обеспечить координацию четких рекомендаций в рамках Бюро и Генерального секретариата относительно статуса и прав дистанционных участников, включая председателей собраний, для всех видов собраний и конференций.</w:t>
            </w:r>
          </w:p>
          <w:p w14:paraId="169A6CBE" w14:textId="49E4A331" w:rsidR="00796BD3" w:rsidRPr="0090508C" w:rsidRDefault="00E45AD5" w:rsidP="00E45AD5">
            <w:pPr>
              <w:rPr>
                <w:lang w:val="ru-RU"/>
              </w:rPr>
            </w:pPr>
            <w:r w:rsidRPr="0090508C">
              <w:rPr>
                <w:lang w:val="ru-RU" w:bidi="ru-RU"/>
              </w:rPr>
              <w:t>В настоящем документе содержится отчет о статусе и роли участников очных собраний с дистанционным участием и полностью виртуальных собраний в МСЭ.</w:t>
            </w:r>
          </w:p>
          <w:p w14:paraId="3D4A6235" w14:textId="77777777" w:rsidR="00796BD3" w:rsidRPr="0090508C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0508C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9A65308" w14:textId="63E56402" w:rsidR="00796BD3" w:rsidRPr="0090508C" w:rsidRDefault="00E45AD5" w:rsidP="00E31DCE">
            <w:pPr>
              <w:rPr>
                <w:lang w:val="ru-RU"/>
              </w:rPr>
            </w:pPr>
            <w:r w:rsidRPr="0090508C">
              <w:rPr>
                <w:lang w:val="ru-RU" w:bidi="ru-RU"/>
              </w:rPr>
              <w:t xml:space="preserve">Совету предлагается </w:t>
            </w:r>
            <w:r w:rsidRPr="0090508C">
              <w:rPr>
                <w:b/>
                <w:lang w:val="ru-RU" w:bidi="ru-RU"/>
              </w:rPr>
              <w:t>рассмотреть</w:t>
            </w:r>
            <w:r w:rsidRPr="0090508C">
              <w:rPr>
                <w:lang w:val="ru-RU" w:bidi="ru-RU"/>
              </w:rPr>
              <w:t xml:space="preserve"> настоящий документ.</w:t>
            </w:r>
          </w:p>
          <w:p w14:paraId="2CCC5A8F" w14:textId="77777777" w:rsidR="00796BD3" w:rsidRPr="0090508C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0508C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36BAF512" w14:textId="59E720AC" w:rsidR="00796BD3" w:rsidRPr="0090508C" w:rsidRDefault="00E45AD5" w:rsidP="00E31DCE">
            <w:pPr>
              <w:rPr>
                <w:lang w:val="ru-RU"/>
              </w:rPr>
            </w:pPr>
            <w:r w:rsidRPr="0090508C">
              <w:rPr>
                <w:lang w:val="ru-RU" w:bidi="ru-RU"/>
              </w:rPr>
              <w:t>Развитие людских ресурсов и организационные инновации.</w:t>
            </w:r>
          </w:p>
          <w:p w14:paraId="3D587434" w14:textId="5070E2EF" w:rsidR="00796BD3" w:rsidRPr="0090508C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0508C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5F837FC" w14:textId="060AF7CF" w:rsidR="002A6F9C" w:rsidRPr="0090508C" w:rsidRDefault="00E45AD5" w:rsidP="002A6F9C">
            <w:pPr>
              <w:rPr>
                <w:lang w:val="ru-RU"/>
              </w:rPr>
            </w:pPr>
            <w:r w:rsidRPr="0090508C">
              <w:rPr>
                <w:lang w:val="ru-RU" w:bidi="ru-RU"/>
              </w:rPr>
              <w:t>В рамках выделенного бюджета на 2024–2025 г</w:t>
            </w:r>
            <w:r w:rsidRPr="0090508C">
              <w:rPr>
                <w:lang w:val="ru-RU" w:bidi="ru-RU"/>
              </w:rPr>
              <w:t>оды.</w:t>
            </w:r>
          </w:p>
          <w:p w14:paraId="056EBF5E" w14:textId="77777777" w:rsidR="00796BD3" w:rsidRPr="0090508C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90508C">
              <w:rPr>
                <w:sz w:val="20"/>
                <w:szCs w:val="18"/>
                <w:lang w:val="ru-RU"/>
              </w:rPr>
              <w:t>__________________</w:t>
            </w:r>
          </w:p>
          <w:p w14:paraId="04B02FC6" w14:textId="77777777" w:rsidR="00796BD3" w:rsidRPr="0090508C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90508C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7625825D" w14:textId="20275212" w:rsidR="00796BD3" w:rsidRPr="0090508C" w:rsidRDefault="00E45AD5" w:rsidP="00E31DCE">
            <w:pPr>
              <w:spacing w:after="160"/>
              <w:rPr>
                <w:lang w:val="ru-RU"/>
              </w:rPr>
            </w:pPr>
            <w:hyperlink r:id="rId7" w:tgtFrame="_blank" w:history="1">
              <w:r w:rsidRPr="0090508C">
                <w:rPr>
                  <w:rStyle w:val="Hyperlink"/>
                  <w:i/>
                  <w:lang w:val="ru-RU" w:bidi="ru-RU"/>
                </w:rPr>
                <w:t>Решение 5 (</w:t>
              </w:r>
              <w:proofErr w:type="spellStart"/>
              <w:r w:rsidRPr="0090508C">
                <w:rPr>
                  <w:rStyle w:val="Hyperlink"/>
                  <w:i/>
                  <w:lang w:val="ru-RU" w:bidi="ru-RU"/>
                </w:rPr>
                <w:t>Перес</w:t>
              </w:r>
              <w:r w:rsidRPr="0090508C">
                <w:rPr>
                  <w:rStyle w:val="Hyperlink"/>
                  <w:i/>
                  <w:lang w:val="ru-RU" w:bidi="ru-RU"/>
                </w:rPr>
                <w:t>м</w:t>
              </w:r>
              <w:proofErr w:type="spellEnd"/>
              <w:r w:rsidRPr="0090508C">
                <w:rPr>
                  <w:rStyle w:val="Hyperlink"/>
                  <w:i/>
                  <w:lang w:val="ru-RU" w:bidi="ru-RU"/>
                </w:rPr>
                <w:t>. Б</w:t>
              </w:r>
              <w:r w:rsidRPr="0090508C">
                <w:rPr>
                  <w:rStyle w:val="Hyperlink"/>
                  <w:i/>
                  <w:lang w:val="ru-RU" w:bidi="ru-RU"/>
                </w:rPr>
                <w:t>у</w:t>
              </w:r>
              <w:r w:rsidRPr="0090508C">
                <w:rPr>
                  <w:rStyle w:val="Hyperlink"/>
                  <w:i/>
                  <w:lang w:val="ru-RU" w:bidi="ru-RU"/>
                </w:rPr>
                <w:t>харест, 2022 г.)</w:t>
              </w:r>
            </w:hyperlink>
            <w:r w:rsidRPr="0090508C">
              <w:rPr>
                <w:i/>
                <w:lang w:val="ru-RU" w:bidi="ru-RU"/>
              </w:rPr>
              <w:t xml:space="preserve"> и </w:t>
            </w:r>
            <w:hyperlink r:id="rId8" w:history="1">
              <w:r w:rsidRPr="0090508C">
                <w:rPr>
                  <w:rStyle w:val="Hyperlink"/>
                  <w:i/>
                  <w:lang w:val="ru-RU" w:bidi="ru-RU"/>
                </w:rPr>
                <w:t>Резолюция 167 (</w:t>
              </w:r>
              <w:proofErr w:type="spellStart"/>
              <w:r w:rsidRPr="0090508C">
                <w:rPr>
                  <w:rStyle w:val="Hyperlink"/>
                  <w:i/>
                  <w:lang w:val="ru-RU" w:bidi="ru-RU"/>
                </w:rPr>
                <w:t>Пересм</w:t>
              </w:r>
              <w:proofErr w:type="spellEnd"/>
              <w:r w:rsidRPr="0090508C">
                <w:rPr>
                  <w:rStyle w:val="Hyperlink"/>
                  <w:i/>
                  <w:lang w:val="ru-RU" w:bidi="ru-RU"/>
                </w:rPr>
                <w:t>. Бухарест, 2022 г.)</w:t>
              </w:r>
            </w:hyperlink>
            <w:r w:rsidR="0090508C" w:rsidRPr="0090508C">
              <w:rPr>
                <w:i/>
                <w:lang w:val="ru-RU" w:bidi="ru-RU"/>
              </w:rPr>
              <w:t xml:space="preserve"> </w:t>
            </w:r>
            <w:r w:rsidRPr="0090508C">
              <w:rPr>
                <w:i/>
                <w:lang w:val="ru-RU" w:bidi="ru-RU"/>
              </w:rPr>
              <w:t>Полномочной конфе</w:t>
            </w:r>
            <w:r w:rsidRPr="0090508C">
              <w:rPr>
                <w:i/>
                <w:lang w:val="ru-RU" w:bidi="ru-RU"/>
              </w:rPr>
              <w:t>р</w:t>
            </w:r>
            <w:r w:rsidRPr="0090508C">
              <w:rPr>
                <w:i/>
                <w:lang w:val="ru-RU" w:bidi="ru-RU"/>
              </w:rPr>
              <w:t>енции</w:t>
            </w:r>
            <w:r w:rsidRPr="0090508C">
              <w:rPr>
                <w:lang w:val="ru-RU" w:bidi="ru-RU"/>
              </w:rPr>
              <w:t xml:space="preserve">; </w:t>
            </w:r>
            <w:r w:rsidRPr="0090508C">
              <w:rPr>
                <w:i/>
                <w:lang w:val="ru-RU" w:bidi="ru-RU"/>
              </w:rPr>
              <w:t>Документ</w:t>
            </w:r>
            <w:r w:rsidR="0090508C">
              <w:rPr>
                <w:i/>
                <w:lang w:val="ru-RU" w:bidi="ru-RU"/>
              </w:rPr>
              <w:t>ы</w:t>
            </w:r>
            <w:r w:rsidRPr="0090508C">
              <w:rPr>
                <w:i/>
                <w:lang w:val="ru-RU" w:bidi="ru-RU"/>
              </w:rPr>
              <w:t xml:space="preserve"> </w:t>
            </w:r>
            <w:hyperlink r:id="rId9" w:history="1">
              <w:proofErr w:type="spellStart"/>
              <w:r w:rsidRPr="0090508C">
                <w:rPr>
                  <w:rStyle w:val="Hyperlink"/>
                  <w:i/>
                  <w:lang w:val="ru-RU" w:bidi="ru-RU"/>
                </w:rPr>
                <w:t>CWG</w:t>
              </w:r>
              <w:proofErr w:type="spellEnd"/>
              <w:r w:rsidRPr="0090508C">
                <w:rPr>
                  <w:rStyle w:val="Hyperlink"/>
                  <w:i/>
                  <w:lang w:val="ru-RU" w:bidi="ru-RU"/>
                </w:rPr>
                <w:t>-</w:t>
              </w:r>
              <w:proofErr w:type="spellStart"/>
              <w:r w:rsidRPr="0090508C">
                <w:rPr>
                  <w:rStyle w:val="Hyperlink"/>
                  <w:i/>
                  <w:lang w:val="ru-RU" w:bidi="ru-RU"/>
                </w:rPr>
                <w:t>FHR</w:t>
              </w:r>
              <w:proofErr w:type="spellEnd"/>
              <w:r w:rsidRPr="0090508C">
                <w:rPr>
                  <w:rStyle w:val="Hyperlink"/>
                  <w:i/>
                  <w:lang w:val="ru-RU" w:bidi="ru-RU"/>
                </w:rPr>
                <w:t>-17/</w:t>
              </w:r>
              <w:proofErr w:type="spellStart"/>
              <w:r w:rsidRPr="0090508C">
                <w:rPr>
                  <w:rStyle w:val="Hyperlink"/>
                  <w:i/>
                  <w:lang w:val="ru-RU" w:bidi="ru-RU"/>
                </w:rPr>
                <w:t>INF</w:t>
              </w:r>
              <w:proofErr w:type="spellEnd"/>
              <w:r w:rsidRPr="0090508C">
                <w:rPr>
                  <w:rStyle w:val="Hyperlink"/>
                  <w:i/>
                  <w:lang w:val="ru-RU" w:bidi="ru-RU"/>
                </w:rPr>
                <w:t>/4</w:t>
              </w:r>
            </w:hyperlink>
            <w:r w:rsidRPr="0090508C">
              <w:rPr>
                <w:i/>
                <w:lang w:val="ru-RU" w:bidi="ru-RU"/>
              </w:rPr>
              <w:t xml:space="preserve">; </w:t>
            </w:r>
            <w:hyperlink r:id="rId10" w:history="1">
              <w:proofErr w:type="spellStart"/>
              <w:r w:rsidRPr="0090508C">
                <w:rPr>
                  <w:rStyle w:val="Hyperlink"/>
                  <w:i/>
                  <w:lang w:val="ru-RU" w:bidi="ru-RU"/>
                </w:rPr>
                <w:t>C24</w:t>
              </w:r>
              <w:proofErr w:type="spellEnd"/>
              <w:r w:rsidRPr="0090508C">
                <w:rPr>
                  <w:rStyle w:val="Hyperlink"/>
                  <w:i/>
                  <w:lang w:val="ru-RU" w:bidi="ru-RU"/>
                </w:rPr>
                <w:t>/</w:t>
              </w:r>
              <w:proofErr w:type="spellStart"/>
              <w:r w:rsidRPr="0090508C">
                <w:rPr>
                  <w:rStyle w:val="Hyperlink"/>
                  <w:i/>
                  <w:lang w:val="ru-RU" w:bidi="ru-RU"/>
                </w:rPr>
                <w:t>INF</w:t>
              </w:r>
              <w:proofErr w:type="spellEnd"/>
              <w:r w:rsidRPr="0090508C">
                <w:rPr>
                  <w:rStyle w:val="Hyperlink"/>
                  <w:i/>
                  <w:lang w:val="ru-RU" w:bidi="ru-RU"/>
                </w:rPr>
                <w:t>/7</w:t>
              </w:r>
            </w:hyperlink>
          </w:p>
        </w:tc>
      </w:tr>
      <w:bookmarkEnd w:id="2"/>
      <w:bookmarkEnd w:id="6"/>
    </w:tbl>
    <w:p w14:paraId="62E04350" w14:textId="77777777" w:rsidR="00796BD3" w:rsidRPr="0090508C" w:rsidRDefault="00796BD3" w:rsidP="00796BD3">
      <w:pPr>
        <w:rPr>
          <w:lang w:val="ru-RU"/>
        </w:rPr>
      </w:pPr>
    </w:p>
    <w:p w14:paraId="508352B1" w14:textId="77777777" w:rsidR="00165D06" w:rsidRPr="0090508C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0508C">
        <w:rPr>
          <w:lang w:val="ru-RU"/>
        </w:rPr>
        <w:br w:type="page"/>
      </w:r>
    </w:p>
    <w:p w14:paraId="147ED216" w14:textId="77777777" w:rsidR="00E45AD5" w:rsidRPr="0090508C" w:rsidRDefault="00E45AD5" w:rsidP="0090508C">
      <w:pPr>
        <w:pStyle w:val="Headingb"/>
        <w:rPr>
          <w:lang w:val="ru-RU"/>
        </w:rPr>
      </w:pPr>
      <w:r w:rsidRPr="0090508C">
        <w:rPr>
          <w:lang w:val="ru-RU" w:bidi="ru-RU"/>
        </w:rPr>
        <w:lastRenderedPageBreak/>
        <w:t>Введение</w:t>
      </w:r>
    </w:p>
    <w:p w14:paraId="604E4858" w14:textId="77777777" w:rsidR="00E45AD5" w:rsidRPr="00E45AD5" w:rsidRDefault="00E45AD5" w:rsidP="00E45AD5">
      <w:pPr>
        <w:rPr>
          <w:lang w:val="ru-RU"/>
        </w:rPr>
      </w:pPr>
      <w:r w:rsidRPr="00E45AD5">
        <w:rPr>
          <w:lang w:val="ru-RU" w:bidi="ru-RU"/>
        </w:rPr>
        <w:t>В настоящем документе содержится отчет о статусе и роли участников очных собраний с дистанционным участием и полностью виртуальных собраний в рамках всего МСЭ. Он касается всех собраний Секторов и Генерального секретариата и не противоречит существующей нормативной базе и методам работы Секторов.</w:t>
      </w:r>
    </w:p>
    <w:p w14:paraId="363A3435" w14:textId="77777777" w:rsidR="00E45AD5" w:rsidRPr="0090508C" w:rsidRDefault="00E45AD5" w:rsidP="0090508C">
      <w:pPr>
        <w:pStyle w:val="Heading1"/>
        <w:rPr>
          <w:lang w:val="ru-RU"/>
        </w:rPr>
      </w:pPr>
      <w:r w:rsidRPr="0090508C">
        <w:rPr>
          <w:lang w:val="ru-RU"/>
        </w:rPr>
        <w:t>1</w:t>
      </w:r>
      <w:r w:rsidRPr="0090508C">
        <w:rPr>
          <w:lang w:val="ru-RU"/>
        </w:rPr>
        <w:tab/>
      </w:r>
      <w:r w:rsidRPr="0090508C">
        <w:rPr>
          <w:lang w:val="ru-RU" w:bidi="ru-RU"/>
        </w:rPr>
        <w:t>Категории собраний</w:t>
      </w:r>
    </w:p>
    <w:p w14:paraId="71F19FBB" w14:textId="77777777" w:rsidR="00E45AD5" w:rsidRPr="00E45AD5" w:rsidRDefault="00E45AD5" w:rsidP="00E45AD5">
      <w:pPr>
        <w:rPr>
          <w:lang w:val="ru-RU"/>
        </w:rPr>
      </w:pPr>
      <w:r w:rsidRPr="00E45AD5">
        <w:rPr>
          <w:lang w:val="ru-RU" w:bidi="ru-RU"/>
        </w:rPr>
        <w:t>В настоящее время на мероприятиях МСЭ проводятся собрания, относящиеся к одной из следующих трех категорий:</w:t>
      </w:r>
    </w:p>
    <w:p w14:paraId="5D89B7E7" w14:textId="77777777" w:rsidR="00E45AD5" w:rsidRPr="0090508C" w:rsidRDefault="00E45AD5" w:rsidP="0090508C">
      <w:pPr>
        <w:pStyle w:val="enumlev1"/>
        <w:rPr>
          <w:lang w:val="ru-RU"/>
        </w:rPr>
      </w:pPr>
      <w:r w:rsidRPr="0090508C">
        <w:rPr>
          <w:bCs/>
          <w:lang w:val="ru-RU"/>
        </w:rPr>
        <w:t>a</w:t>
      </w:r>
      <w:r w:rsidRPr="0090508C">
        <w:rPr>
          <w:bCs/>
          <w:lang w:val="ru-RU" w:bidi="ru-RU"/>
        </w:rPr>
        <w:t>)</w:t>
      </w:r>
      <w:r w:rsidRPr="0090508C">
        <w:rPr>
          <w:bCs/>
          <w:lang w:val="ru-RU" w:bidi="ru-RU"/>
        </w:rPr>
        <w:tab/>
      </w:r>
      <w:r w:rsidRPr="0090508C">
        <w:rPr>
          <w:b/>
          <w:lang w:val="ru-RU" w:bidi="ru-RU"/>
        </w:rPr>
        <w:t>очные</w:t>
      </w:r>
      <w:r w:rsidRPr="0090508C">
        <w:rPr>
          <w:lang w:val="ru-RU" w:bidi="ru-RU"/>
        </w:rPr>
        <w:t xml:space="preserve"> – все участники присутствуют в зале заседаний;</w:t>
      </w:r>
    </w:p>
    <w:p w14:paraId="0760F336" w14:textId="77777777" w:rsidR="00E45AD5" w:rsidRPr="0090508C" w:rsidRDefault="00E45AD5" w:rsidP="0090508C">
      <w:pPr>
        <w:pStyle w:val="enumlev1"/>
        <w:rPr>
          <w:lang w:val="ru-RU"/>
        </w:rPr>
      </w:pPr>
      <w:r w:rsidRPr="0090508C">
        <w:rPr>
          <w:bCs/>
          <w:lang w:val="ru-RU"/>
        </w:rPr>
        <w:t>b</w:t>
      </w:r>
      <w:r w:rsidRPr="0090508C">
        <w:rPr>
          <w:bCs/>
          <w:lang w:val="ru-RU" w:bidi="ru-RU"/>
        </w:rPr>
        <w:t>)</w:t>
      </w:r>
      <w:r w:rsidRPr="0090508C">
        <w:rPr>
          <w:bCs/>
          <w:lang w:val="ru-RU" w:bidi="ru-RU"/>
        </w:rPr>
        <w:tab/>
      </w:r>
      <w:r w:rsidRPr="0090508C">
        <w:rPr>
          <w:b/>
          <w:lang w:val="ru-RU" w:bidi="ru-RU"/>
        </w:rPr>
        <w:t>полностью виртуальные</w:t>
      </w:r>
      <w:r w:rsidRPr="0051241D">
        <w:rPr>
          <w:bCs/>
          <w:lang w:val="ru-RU" w:bidi="ru-RU"/>
        </w:rPr>
        <w:t xml:space="preserve"> – в</w:t>
      </w:r>
      <w:r w:rsidRPr="0090508C">
        <w:rPr>
          <w:lang w:val="ru-RU" w:bidi="ru-RU"/>
        </w:rPr>
        <w:t>се участники работают дистанционно через платформу веб-конференции, находятся в местах пребывания;</w:t>
      </w:r>
    </w:p>
    <w:p w14:paraId="2D5F0D60" w14:textId="5869C233" w:rsidR="00E45AD5" w:rsidRPr="0090508C" w:rsidRDefault="00E45AD5" w:rsidP="0090508C">
      <w:pPr>
        <w:pStyle w:val="enumlev1"/>
        <w:rPr>
          <w:lang w:val="ru-RU"/>
        </w:rPr>
      </w:pPr>
      <w:r w:rsidRPr="0090508C">
        <w:rPr>
          <w:bCs/>
          <w:lang w:val="ru-RU"/>
        </w:rPr>
        <w:t>c</w:t>
      </w:r>
      <w:r w:rsidRPr="0090508C">
        <w:rPr>
          <w:bCs/>
          <w:lang w:val="ru-RU" w:bidi="ru-RU"/>
        </w:rPr>
        <w:t>)</w:t>
      </w:r>
      <w:r w:rsidRPr="0090508C">
        <w:rPr>
          <w:bCs/>
          <w:lang w:val="ru-RU" w:bidi="ru-RU"/>
        </w:rPr>
        <w:tab/>
      </w:r>
      <w:r w:rsidRPr="0090508C">
        <w:rPr>
          <w:b/>
          <w:lang w:val="ru-RU" w:bidi="ru-RU"/>
        </w:rPr>
        <w:t>очные с возможностью дистанционного участия (выступления)</w:t>
      </w:r>
      <w:r w:rsidRPr="0051241D">
        <w:rPr>
          <w:bCs/>
          <w:lang w:val="ru-RU" w:bidi="ru-RU"/>
        </w:rPr>
        <w:t xml:space="preserve"> – </w:t>
      </w:r>
      <w:r w:rsidRPr="0090508C">
        <w:rPr>
          <w:lang w:val="ru-RU" w:bidi="ru-RU"/>
        </w:rPr>
        <w:t>зал заседаний подключен к платформе веб-конференции. Участники могут присутствовать на месте, в</w:t>
      </w:r>
      <w:r w:rsidR="0051241D">
        <w:rPr>
          <w:lang w:val="ru-RU" w:bidi="ru-RU"/>
        </w:rPr>
        <w:t> </w:t>
      </w:r>
      <w:r w:rsidRPr="0090508C">
        <w:rPr>
          <w:lang w:val="ru-RU" w:bidi="ru-RU"/>
        </w:rPr>
        <w:t>зале заседаний, и/или принимать активное участие дистанционно через платформу веб-конференции</w:t>
      </w:r>
      <w:r w:rsidRPr="0051241D">
        <w:rPr>
          <w:rStyle w:val="FootnoteReference"/>
          <w:lang w:val="ru-RU"/>
        </w:rPr>
        <w:footnoteReference w:id="1"/>
      </w:r>
      <w:r w:rsidRPr="0090508C">
        <w:rPr>
          <w:lang w:val="ru-RU" w:bidi="ru-RU"/>
        </w:rPr>
        <w:t>.</w:t>
      </w:r>
    </w:p>
    <w:p w14:paraId="3290DC8A" w14:textId="77777777" w:rsidR="00E45AD5" w:rsidRPr="0090508C" w:rsidRDefault="00E45AD5" w:rsidP="0090508C">
      <w:pPr>
        <w:pStyle w:val="Heading1"/>
        <w:rPr>
          <w:lang w:val="ru-RU"/>
        </w:rPr>
      </w:pPr>
      <w:r w:rsidRPr="0090508C">
        <w:rPr>
          <w:lang w:val="ru-RU" w:bidi="ru-RU"/>
        </w:rPr>
        <w:t>2</w:t>
      </w:r>
      <w:r w:rsidRPr="0090508C">
        <w:rPr>
          <w:lang w:val="ru-RU" w:bidi="ru-RU"/>
        </w:rPr>
        <w:tab/>
        <w:t>Статус дистанционных участников очных собраний с дистанционным участием</w:t>
      </w:r>
    </w:p>
    <w:p w14:paraId="7A696A9A" w14:textId="77777777" w:rsidR="00E45AD5" w:rsidRPr="00E45AD5" w:rsidRDefault="00E45AD5" w:rsidP="00E45AD5">
      <w:pPr>
        <w:rPr>
          <w:lang w:val="ru-RU"/>
        </w:rPr>
      </w:pPr>
      <w:r w:rsidRPr="00E45AD5">
        <w:rPr>
          <w:lang w:val="ru-RU" w:bidi="ru-RU"/>
        </w:rPr>
        <w:t>В Резолюции 167 (</w:t>
      </w:r>
      <w:proofErr w:type="spellStart"/>
      <w:r w:rsidRPr="00E45AD5">
        <w:rPr>
          <w:lang w:val="ru-RU" w:bidi="ru-RU"/>
        </w:rPr>
        <w:t>Пересм</w:t>
      </w:r>
      <w:proofErr w:type="spellEnd"/>
      <w:r w:rsidRPr="00E45AD5">
        <w:rPr>
          <w:lang w:val="ru-RU" w:bidi="ru-RU"/>
        </w:rPr>
        <w:t>. Бухарест, 2022 г.) Полномочной конференции об укреплении и развитии потенциала МСЭ для проведения электронных собраний и обеспечении средств для продвижения работы Союза</w:t>
      </w:r>
      <w:r w:rsidRPr="00E45AD5">
        <w:rPr>
          <w:i/>
          <w:lang w:val="ru-RU" w:bidi="ru-RU"/>
        </w:rPr>
        <w:t xml:space="preserve"> </w:t>
      </w:r>
      <w:r w:rsidRPr="00E45AD5">
        <w:rPr>
          <w:lang w:val="ru-RU" w:bidi="ru-RU"/>
        </w:rPr>
        <w:t>подчеркивается важность дистанционного участия для обеспечения разнообразного состава участников и открытых для всех собраний, в частности для участия женщин, и устанавливается правовая основа для дистанционного участия. Устав, Конвенция и Общий регламент не содержат конкретных положений о дистанционном участии.</w:t>
      </w:r>
    </w:p>
    <w:p w14:paraId="392B994C" w14:textId="7CF0E04F" w:rsidR="00E45AD5" w:rsidRPr="00E45AD5" w:rsidRDefault="00E45AD5" w:rsidP="00E45AD5">
      <w:pPr>
        <w:rPr>
          <w:lang w:val="ru-RU"/>
        </w:rPr>
      </w:pPr>
      <w:r w:rsidRPr="00E45AD5">
        <w:rPr>
          <w:lang w:val="ru-RU" w:bidi="ru-RU"/>
        </w:rPr>
        <w:t xml:space="preserve">Если говорить более конкретно, то в пункте </w:t>
      </w:r>
      <w:r w:rsidRPr="00E45AD5">
        <w:rPr>
          <w:i/>
          <w:iCs/>
          <w:lang w:val="ru-RU" w:bidi="ru-RU"/>
        </w:rPr>
        <w:t>е)</w:t>
      </w:r>
      <w:r w:rsidRPr="00E45AD5">
        <w:rPr>
          <w:lang w:val="ru-RU" w:bidi="ru-RU"/>
        </w:rPr>
        <w:t xml:space="preserve"> раздела </w:t>
      </w:r>
      <w:r w:rsidRPr="00E45AD5">
        <w:rPr>
          <w:i/>
          <w:lang w:val="ru-RU" w:bidi="ru-RU"/>
        </w:rPr>
        <w:t>признавая</w:t>
      </w:r>
      <w:r w:rsidRPr="00E45AD5">
        <w:rPr>
          <w:lang w:val="ru-RU" w:bidi="ru-RU"/>
        </w:rPr>
        <w:t xml:space="preserve"> Резолюции 167 говорится, что </w:t>
      </w:r>
      <w:bookmarkStart w:id="7" w:name="_Int_MuD0xowu"/>
      <w:r w:rsidRPr="00E45AD5">
        <w:rPr>
          <w:lang w:val="ru-RU" w:bidi="ru-RU"/>
        </w:rPr>
        <w:t>на текущем этапе</w:t>
      </w:r>
      <w:bookmarkEnd w:id="7"/>
      <w:r w:rsidRPr="00E45AD5">
        <w:rPr>
          <w:lang w:val="ru-RU" w:bidi="ru-RU"/>
        </w:rPr>
        <w:t xml:space="preserve"> интерактивное дистанционное участие принимает форму скорее "дистанционного выступления", чем "дистанционного участия", поскольку дистанционный участник не может участвовать в процессе принятия решений. Это положение широко обсуждалось в ходе последней Полномочной конференции, в конце которой Конференция приняла решение сохранить его без изменений. Несмотря на эту повышенную осведомленность, решение сохранить существующие формулировки свидетельствует о намеренном выборе директивного органа в пользу сохранения статуса-</w:t>
      </w:r>
      <w:proofErr w:type="spellStart"/>
      <w:r w:rsidRPr="00E45AD5">
        <w:rPr>
          <w:lang w:val="ru-RU" w:bidi="ru-RU"/>
        </w:rPr>
        <w:t>кво</w:t>
      </w:r>
      <w:proofErr w:type="spellEnd"/>
      <w:r w:rsidRPr="00E45AD5">
        <w:rPr>
          <w:lang w:val="ru-RU" w:bidi="ru-RU"/>
        </w:rPr>
        <w:t xml:space="preserve"> по крайней мере до следующей Полномочной конференции. Соответственно, приняв решение не расширять сферу дистанционного участия для включения в нее прав на принятие решений, Полномочная конференция фактически провела различие между "дистанционным выступлением", которое означает способность дистанционных участников вносить свой вклад в обсуждения, и истинным "дистанционным участием", которое подразумевает более полный спектр прав на участие, потенциально охватывающий способность принимать решения и которое в настоящее время не допускается.</w:t>
      </w:r>
    </w:p>
    <w:p w14:paraId="58A4BC1E" w14:textId="77777777" w:rsidR="00E45AD5" w:rsidRPr="00E45AD5" w:rsidRDefault="00E45AD5" w:rsidP="00E45AD5">
      <w:pPr>
        <w:rPr>
          <w:lang w:val="ru-RU" w:bidi="ru-RU"/>
        </w:rPr>
      </w:pPr>
      <w:r w:rsidRPr="00E45AD5">
        <w:rPr>
          <w:lang w:val="ru-RU" w:bidi="ru-RU"/>
        </w:rPr>
        <w:lastRenderedPageBreak/>
        <w:t>В свете вышесказанного и в соответствии с предыдущими предложениями Секретариата по этому вопросу</w:t>
      </w:r>
      <w:r w:rsidRPr="00E45AD5">
        <w:rPr>
          <w:rStyle w:val="FootnoteReference"/>
          <w:lang w:val="ru-RU" w:bidi="ru-RU"/>
        </w:rPr>
        <w:footnoteReference w:id="2"/>
      </w:r>
      <w:r w:rsidRPr="00E45AD5">
        <w:rPr>
          <w:lang w:val="ru-RU" w:bidi="ru-RU"/>
        </w:rPr>
        <w:t xml:space="preserve"> </w:t>
      </w:r>
      <w:r w:rsidRPr="00E45AD5">
        <w:rPr>
          <w:lang w:val="ru-RU"/>
        </w:rPr>
        <w:t>можно сформулировать следующие замечания относительно роли дистанционных участников очных собраний, на которых допускается дистанционное участие:</w:t>
      </w:r>
    </w:p>
    <w:p w14:paraId="42D1BDFD" w14:textId="77777777" w:rsidR="00E45AD5" w:rsidRPr="00E45AD5" w:rsidRDefault="00E45AD5" w:rsidP="00E41C96">
      <w:pPr>
        <w:pStyle w:val="enumlev1"/>
        <w:rPr>
          <w:lang w:val="ru-RU"/>
        </w:rPr>
      </w:pPr>
      <w:r w:rsidRPr="00E45AD5">
        <w:rPr>
          <w:lang w:val="ru-RU"/>
        </w:rPr>
        <w:t>a</w:t>
      </w:r>
      <w:r w:rsidRPr="00E45AD5">
        <w:rPr>
          <w:lang w:val="ru-RU" w:bidi="ru-RU"/>
        </w:rPr>
        <w:t>)</w:t>
      </w:r>
      <w:r w:rsidRPr="00E45AD5">
        <w:rPr>
          <w:lang w:val="ru-RU" w:bidi="ru-RU"/>
        </w:rPr>
        <w:tab/>
        <w:t>дистанционные участники не пользуются такими же правами на участие в очных собраниях с дистанционным участием, как участники, присутствующие очно;</w:t>
      </w:r>
    </w:p>
    <w:p w14:paraId="03726CC1" w14:textId="77777777" w:rsidR="00E45AD5" w:rsidRPr="00E45AD5" w:rsidRDefault="00E45AD5" w:rsidP="00E41C96">
      <w:pPr>
        <w:pStyle w:val="enumlev1"/>
        <w:rPr>
          <w:lang w:val="ru-RU"/>
        </w:rPr>
      </w:pPr>
      <w:r w:rsidRPr="00E45AD5">
        <w:rPr>
          <w:lang w:val="ru-RU"/>
        </w:rPr>
        <w:t>b</w:t>
      </w:r>
      <w:r w:rsidRPr="00E45AD5">
        <w:rPr>
          <w:lang w:val="ru-RU" w:bidi="ru-RU"/>
        </w:rPr>
        <w:t>)</w:t>
      </w:r>
      <w:r w:rsidRPr="00E45AD5">
        <w:rPr>
          <w:lang w:val="ru-RU" w:bidi="ru-RU"/>
        </w:rPr>
        <w:tab/>
        <w:t>дистанционные участники могут участвовать в обсуждениях и прениях в рамках процесса достижения консенсуса;</w:t>
      </w:r>
    </w:p>
    <w:p w14:paraId="57C2D36C" w14:textId="77777777" w:rsidR="00E45AD5" w:rsidRPr="00E45AD5" w:rsidRDefault="00E45AD5" w:rsidP="00E41C96">
      <w:pPr>
        <w:pStyle w:val="enumlev1"/>
        <w:rPr>
          <w:lang w:val="ru-RU"/>
        </w:rPr>
      </w:pPr>
      <w:r w:rsidRPr="00E45AD5">
        <w:rPr>
          <w:lang w:val="ru-RU"/>
        </w:rPr>
        <w:t>c</w:t>
      </w:r>
      <w:r w:rsidRPr="00E45AD5">
        <w:rPr>
          <w:lang w:val="ru-RU" w:bidi="ru-RU"/>
        </w:rPr>
        <w:t>)</w:t>
      </w:r>
      <w:r w:rsidRPr="00E45AD5">
        <w:rPr>
          <w:lang w:val="ru-RU" w:bidi="ru-RU"/>
        </w:rPr>
        <w:tab/>
        <w:t>дистанционные участники не могут принимать участие в процессе принятия решений. Это означает, что:</w:t>
      </w:r>
    </w:p>
    <w:p w14:paraId="6835AF9F" w14:textId="77777777" w:rsidR="00E45AD5" w:rsidRPr="00E45AD5" w:rsidRDefault="00E45AD5" w:rsidP="00E41C96">
      <w:pPr>
        <w:pStyle w:val="enumlev2"/>
        <w:rPr>
          <w:lang w:val="ru-RU"/>
        </w:rPr>
      </w:pPr>
      <w:r w:rsidRPr="00E45AD5">
        <w:rPr>
          <w:lang w:val="ru-RU"/>
        </w:rPr>
        <w:t>i</w:t>
      </w:r>
      <w:r w:rsidRPr="00E45AD5">
        <w:rPr>
          <w:lang w:val="ru-RU" w:bidi="ru-RU"/>
        </w:rPr>
        <w:t>)</w:t>
      </w:r>
      <w:r w:rsidRPr="00E45AD5">
        <w:rPr>
          <w:lang w:val="ru-RU" w:bidi="ru-RU"/>
        </w:rPr>
        <w:tab/>
        <w:t>дистанционные участники не имеют права голоса и не учитываются при подсчете кворума (см. ОР 93, ОР 115);</w:t>
      </w:r>
    </w:p>
    <w:p w14:paraId="6E9F5B59" w14:textId="77777777" w:rsidR="00E45AD5" w:rsidRPr="00E45AD5" w:rsidRDefault="00E45AD5" w:rsidP="00E41C96">
      <w:pPr>
        <w:pStyle w:val="enumlev2"/>
        <w:rPr>
          <w:lang w:val="ru-RU"/>
        </w:rPr>
      </w:pPr>
      <w:proofErr w:type="spellStart"/>
      <w:r w:rsidRPr="00E45AD5">
        <w:rPr>
          <w:lang w:val="ru-RU"/>
        </w:rPr>
        <w:t>ii</w:t>
      </w:r>
      <w:proofErr w:type="spellEnd"/>
      <w:r w:rsidRPr="00E45AD5">
        <w:rPr>
          <w:lang w:val="ru-RU" w:bidi="ru-RU"/>
        </w:rPr>
        <w:t>)</w:t>
      </w:r>
      <w:r w:rsidRPr="00E45AD5">
        <w:rPr>
          <w:lang w:val="ru-RU" w:bidi="ru-RU"/>
        </w:rPr>
        <w:tab/>
        <w:t>все же возможно принятие решения на основе консенсуса между присутствующими очно участниками, даже если дистанционные участники не согласны;</w:t>
      </w:r>
    </w:p>
    <w:p w14:paraId="72805772" w14:textId="77777777" w:rsidR="00E45AD5" w:rsidRPr="00E45AD5" w:rsidRDefault="00E45AD5" w:rsidP="00E41C96">
      <w:pPr>
        <w:pStyle w:val="enumlev2"/>
        <w:rPr>
          <w:lang w:val="ru-RU"/>
        </w:rPr>
      </w:pPr>
      <w:proofErr w:type="spellStart"/>
      <w:r w:rsidRPr="00E45AD5">
        <w:rPr>
          <w:lang w:val="ru-RU"/>
        </w:rPr>
        <w:t>iii</w:t>
      </w:r>
      <w:proofErr w:type="spellEnd"/>
      <w:r w:rsidRPr="00E45AD5">
        <w:rPr>
          <w:lang w:val="ru-RU" w:bidi="ru-RU"/>
        </w:rPr>
        <w:t>)</w:t>
      </w:r>
      <w:r w:rsidRPr="00E45AD5">
        <w:rPr>
          <w:lang w:val="ru-RU" w:bidi="ru-RU"/>
        </w:rPr>
        <w:tab/>
        <w:t>дистанционные участники не имеют права поднимать вопросы по порядку ведения заседания или вносить предложения по порядку ведения заседания.</w:t>
      </w:r>
    </w:p>
    <w:p w14:paraId="40A7A2D4" w14:textId="77777777" w:rsidR="00E45AD5" w:rsidRPr="00E45AD5" w:rsidRDefault="00E45AD5" w:rsidP="00E41C96">
      <w:pPr>
        <w:pStyle w:val="enumlev1"/>
        <w:rPr>
          <w:lang w:val="ru-RU"/>
        </w:rPr>
      </w:pPr>
      <w:r w:rsidRPr="00E45AD5">
        <w:rPr>
          <w:lang w:val="ru-RU"/>
        </w:rPr>
        <w:t>d</w:t>
      </w:r>
      <w:r w:rsidRPr="00E45AD5">
        <w:rPr>
          <w:lang w:val="ru-RU" w:bidi="ru-RU"/>
        </w:rPr>
        <w:t>)</w:t>
      </w:r>
      <w:r w:rsidRPr="00E45AD5">
        <w:rPr>
          <w:lang w:val="ru-RU" w:bidi="ru-RU"/>
        </w:rPr>
        <w:tab/>
        <w:t>Председатель собрания отвечает за руководство обсуждениями, соблюдение процедурных правил и вынесение вопросов на голосование (см. ОР 59), а также за выполнение обязанностей вне официальных собраний, поэтому является обоснованным требование в отношении очного присутствия председателя на любом очном собрании, включая собрания с дистанционным участием. В дополнение к вышесказанному представляется целесообразным, чтобы заместители председателя присутствовали очно, учитывая, что им может быть предложено заменить председателя в случае его отсутствия или возглавить подкомитеты или специальные группы.</w:t>
      </w:r>
    </w:p>
    <w:p w14:paraId="7A1E86F0" w14:textId="77777777" w:rsidR="00E45AD5" w:rsidRPr="0090508C" w:rsidRDefault="00E45AD5" w:rsidP="0090508C">
      <w:pPr>
        <w:pStyle w:val="Heading1"/>
        <w:rPr>
          <w:lang w:val="ru-RU"/>
        </w:rPr>
      </w:pPr>
      <w:r w:rsidRPr="0090508C">
        <w:rPr>
          <w:lang w:val="ru-RU" w:bidi="ru-RU"/>
        </w:rPr>
        <w:t>3</w:t>
      </w:r>
      <w:r w:rsidRPr="0090508C">
        <w:rPr>
          <w:lang w:val="ru-RU" w:bidi="ru-RU"/>
        </w:rPr>
        <w:tab/>
        <w:t>Статус участников полностью виртуальных собраний</w:t>
      </w:r>
    </w:p>
    <w:p w14:paraId="002BA2EC" w14:textId="77777777" w:rsidR="00E45AD5" w:rsidRPr="00E45AD5" w:rsidRDefault="00E45AD5" w:rsidP="00E45AD5">
      <w:pPr>
        <w:rPr>
          <w:lang w:val="ru-RU"/>
        </w:rPr>
      </w:pPr>
      <w:r w:rsidRPr="00E45AD5">
        <w:rPr>
          <w:lang w:val="ru-RU" w:bidi="ru-RU"/>
        </w:rPr>
        <w:t>Начиная с ПК-22 полностью виртуальные собрания официально признаются и принимаются в качестве способа проведения собраний в положениях нормативной базы МСЭ (см. Решение 5, Резолюцию 25 и Резолюцию 167). Примечательно, что в Резолюции 167 (</w:t>
      </w:r>
      <w:proofErr w:type="spellStart"/>
      <w:r w:rsidRPr="00E45AD5">
        <w:rPr>
          <w:lang w:val="ru-RU" w:bidi="ru-RU"/>
        </w:rPr>
        <w:t>Пересм</w:t>
      </w:r>
      <w:proofErr w:type="spellEnd"/>
      <w:r w:rsidRPr="00E45AD5">
        <w:rPr>
          <w:lang w:val="ru-RU" w:bidi="ru-RU"/>
        </w:rPr>
        <w:t xml:space="preserve">. Бухарест, 2022 г.) Полномочной конференции МСЭ Союзу предоставлен всеобъемлющий мандат на развитие и укрепление его возможностей по организации и проведению полностью виртуальных собраний. Тем не менее </w:t>
      </w:r>
      <w:bookmarkStart w:id="9" w:name="_Int_D4AU9svA"/>
      <w:r w:rsidRPr="00E45AD5">
        <w:rPr>
          <w:lang w:val="ru-RU" w:bidi="ru-RU"/>
        </w:rPr>
        <w:t>в свете</w:t>
      </w:r>
      <w:bookmarkEnd w:id="9"/>
      <w:r w:rsidRPr="00E45AD5">
        <w:rPr>
          <w:lang w:val="ru-RU" w:bidi="ru-RU"/>
        </w:rPr>
        <w:t xml:space="preserve"> решения Полномочной конференции сохранить пункт </w:t>
      </w:r>
      <w:r w:rsidRPr="00E45AD5">
        <w:rPr>
          <w:i/>
          <w:lang w:val="ru-RU" w:bidi="ru-RU"/>
        </w:rPr>
        <w:t>e)</w:t>
      </w:r>
      <w:r w:rsidRPr="00E45AD5">
        <w:rPr>
          <w:lang w:val="ru-RU" w:bidi="ru-RU"/>
        </w:rPr>
        <w:t xml:space="preserve"> раздела </w:t>
      </w:r>
      <w:r w:rsidRPr="00E45AD5">
        <w:rPr>
          <w:i/>
          <w:lang w:val="ru-RU" w:bidi="ru-RU"/>
        </w:rPr>
        <w:t>признавая</w:t>
      </w:r>
      <w:r w:rsidRPr="00E45AD5">
        <w:rPr>
          <w:lang w:val="ru-RU" w:bidi="ru-RU"/>
        </w:rPr>
        <w:t xml:space="preserve"> Резолюции 167 в его нынешнем виде любое такое развитие событий и укрепление возможностей по проведению полностью виртуальных собраний в МСЭ должны оставаться в рамках ограничений, установленных </w:t>
      </w:r>
      <w:bookmarkStart w:id="10" w:name="_Int_dmPJmjNE"/>
      <w:r w:rsidRPr="00E45AD5">
        <w:rPr>
          <w:lang w:val="ru-RU" w:bidi="ru-RU"/>
        </w:rPr>
        <w:t>вышеупомянутым положением</w:t>
      </w:r>
      <w:bookmarkEnd w:id="10"/>
      <w:r w:rsidRPr="00E45AD5">
        <w:rPr>
          <w:lang w:val="ru-RU" w:bidi="ru-RU"/>
        </w:rPr>
        <w:t>.</w:t>
      </w:r>
    </w:p>
    <w:p w14:paraId="2515E36B" w14:textId="542176B4" w:rsidR="00E45AD5" w:rsidRPr="00E45AD5" w:rsidRDefault="00E45AD5" w:rsidP="00E45AD5">
      <w:pPr>
        <w:rPr>
          <w:lang w:val="ru-RU"/>
        </w:rPr>
      </w:pPr>
      <w:r w:rsidRPr="00E45AD5">
        <w:rPr>
          <w:lang w:val="ru-RU" w:bidi="ru-RU"/>
        </w:rPr>
        <w:t>Несмотря на то что строгое толкование пункта</w:t>
      </w:r>
      <w:r w:rsidRPr="00E45AD5">
        <w:rPr>
          <w:i/>
          <w:lang w:val="ru-RU" w:bidi="ru-RU"/>
        </w:rPr>
        <w:t xml:space="preserve"> е) </w:t>
      </w:r>
      <w:r w:rsidRPr="00E45AD5">
        <w:rPr>
          <w:lang w:val="ru-RU" w:bidi="ru-RU"/>
        </w:rPr>
        <w:t>раздела</w:t>
      </w:r>
      <w:r w:rsidRPr="00E45AD5">
        <w:rPr>
          <w:i/>
          <w:lang w:val="ru-RU" w:bidi="ru-RU"/>
        </w:rPr>
        <w:t xml:space="preserve"> признавая</w:t>
      </w:r>
      <w:r w:rsidRPr="00E45AD5">
        <w:rPr>
          <w:lang w:val="ru-RU" w:bidi="ru-RU"/>
        </w:rPr>
        <w:t xml:space="preserve"> предполагает, что в рамках полностью виртуальных собраний невозможно принятие решений (ни один участник полностью виртуального собрания не может принимать участие в процессе принятия решений, поскольку все они рассматриваются в качестве "дистанционных" участников для целей Резолюции 167), опыт МСЭ в период пандемии COVID-19 и цели Резолюции могли бы быть использованы в поддержку более либерального толкования. В частности, признание Членами МСЭ решений, принятых на основе консенсуса на полностью виртуальных собраниях в период пандемии, привело к правовым результатам, которые были интегрированы в оперативную </w:t>
      </w:r>
      <w:r w:rsidRPr="00E45AD5">
        <w:rPr>
          <w:lang w:val="ru-RU" w:bidi="ru-RU"/>
        </w:rPr>
        <w:lastRenderedPageBreak/>
        <w:t>деятельность МСЭ. Такая практика свидетельствует о коллективном понимании и признании того, что в контексте полностью виртуальных собраний консенсус между участниками является правомерной формой принятия решений в рамках Союза. Кроме того, отсутствие возражений по поводу этой практики со стороны высшего органа МСЭ, Полномочной конференции, в</w:t>
      </w:r>
      <w:r w:rsidR="00E41C96">
        <w:rPr>
          <w:lang w:val="ru-RU" w:bidi="ru-RU"/>
        </w:rPr>
        <w:t> </w:t>
      </w:r>
      <w:r w:rsidRPr="00E45AD5">
        <w:rPr>
          <w:lang w:val="ru-RU" w:bidi="ru-RU"/>
        </w:rPr>
        <w:t>сентябре 2022 года, может восприниматься как подтверждение правомерности и приемлемости решений, принятых на основе консенсуса на виртуальных собраниях, не только в отношении прошлого, но и в отношении будущего.</w:t>
      </w:r>
    </w:p>
    <w:p w14:paraId="53C255BD" w14:textId="77777777" w:rsidR="00E45AD5" w:rsidRPr="00E45AD5" w:rsidRDefault="00E45AD5" w:rsidP="00E45AD5">
      <w:pPr>
        <w:rPr>
          <w:lang w:val="ru-RU"/>
        </w:rPr>
      </w:pPr>
      <w:r w:rsidRPr="00E45AD5">
        <w:rPr>
          <w:lang w:val="ru-RU" w:bidi="ru-RU"/>
        </w:rPr>
        <w:t>Учитывая вышесказанное, можно сделать следующие замечания относительно роли участников полностью виртуальных собраний:</w:t>
      </w:r>
    </w:p>
    <w:p w14:paraId="61602207" w14:textId="77777777" w:rsidR="00E45AD5" w:rsidRPr="00E45AD5" w:rsidRDefault="00E45AD5" w:rsidP="00E41C96">
      <w:pPr>
        <w:pStyle w:val="enumlev1"/>
        <w:rPr>
          <w:lang w:val="ru-RU"/>
        </w:rPr>
      </w:pPr>
      <w:r w:rsidRPr="00E45AD5">
        <w:rPr>
          <w:lang w:val="ru-RU"/>
        </w:rPr>
        <w:t>a</w:t>
      </w:r>
      <w:r w:rsidRPr="00E45AD5">
        <w:rPr>
          <w:lang w:val="ru-RU" w:bidi="ru-RU"/>
        </w:rPr>
        <w:t>)</w:t>
      </w:r>
      <w:r w:rsidRPr="00E45AD5">
        <w:rPr>
          <w:lang w:val="ru-RU" w:bidi="ru-RU"/>
        </w:rPr>
        <w:tab/>
        <w:t>участники полностью виртуального собрания могут участвовать в дискуссиях и прениях в рамках процесса достижения консенсуса;</w:t>
      </w:r>
    </w:p>
    <w:p w14:paraId="400655BD" w14:textId="77777777" w:rsidR="00E45AD5" w:rsidRPr="00E45AD5" w:rsidRDefault="00E45AD5" w:rsidP="00E41C96">
      <w:pPr>
        <w:pStyle w:val="enumlev1"/>
        <w:rPr>
          <w:lang w:val="ru-RU"/>
        </w:rPr>
      </w:pPr>
      <w:r w:rsidRPr="00E45AD5">
        <w:rPr>
          <w:lang w:val="ru-RU"/>
        </w:rPr>
        <w:t>b</w:t>
      </w:r>
      <w:r w:rsidRPr="00E45AD5">
        <w:rPr>
          <w:lang w:val="ru-RU" w:bidi="ru-RU"/>
        </w:rPr>
        <w:t>)</w:t>
      </w:r>
      <w:r w:rsidRPr="00E45AD5">
        <w:rPr>
          <w:lang w:val="ru-RU" w:bidi="ru-RU"/>
        </w:rPr>
        <w:tab/>
        <w:t>решения на полностью виртуальных собраниях могут приниматься только на основе консенсуса; если на собрании не удается достичь консенсуса, то рассматриваемый вопрос должен быть вновь представлен на рассмотрение на одном из будущих собраний;</w:t>
      </w:r>
    </w:p>
    <w:p w14:paraId="4E13FC6A" w14:textId="77777777" w:rsidR="00E45AD5" w:rsidRPr="00E45AD5" w:rsidRDefault="00E45AD5" w:rsidP="00E41C96">
      <w:pPr>
        <w:pStyle w:val="enumlev1"/>
        <w:rPr>
          <w:lang w:val="ru-RU"/>
        </w:rPr>
      </w:pPr>
      <w:r w:rsidRPr="00E45AD5">
        <w:rPr>
          <w:lang w:val="ru-RU"/>
        </w:rPr>
        <w:t>c</w:t>
      </w:r>
      <w:r w:rsidRPr="00E45AD5">
        <w:rPr>
          <w:lang w:val="ru-RU" w:bidi="ru-RU"/>
        </w:rPr>
        <w:t>)</w:t>
      </w:r>
      <w:r w:rsidRPr="00E45AD5">
        <w:rPr>
          <w:lang w:val="ru-RU" w:bidi="ru-RU"/>
        </w:rPr>
        <w:tab/>
        <w:t>с учетом того, что при проведении полностью виртуального собрания физическое место отсутствует, логично предположить, что все участники, включая тех, кто выполняет руководящие функции, такие как председатели и заместители председателя, участвуют в собрании дистанционно;</w:t>
      </w:r>
    </w:p>
    <w:p w14:paraId="6FC756A8" w14:textId="72C4F6DB" w:rsidR="00E45AD5" w:rsidRPr="00E45AD5" w:rsidRDefault="00E45AD5" w:rsidP="00E41C96">
      <w:pPr>
        <w:pStyle w:val="enumlev1"/>
        <w:rPr>
          <w:lang w:val="ru-RU"/>
        </w:rPr>
      </w:pPr>
      <w:r w:rsidRPr="00E45AD5">
        <w:rPr>
          <w:lang w:val="ru-RU"/>
        </w:rPr>
        <w:t>d</w:t>
      </w:r>
      <w:r w:rsidRPr="00E45AD5">
        <w:rPr>
          <w:lang w:val="ru-RU" w:bidi="ru-RU"/>
        </w:rPr>
        <w:t>)</w:t>
      </w:r>
      <w:r w:rsidRPr="00E45AD5">
        <w:rPr>
          <w:lang w:val="ru-RU" w:bidi="ru-RU"/>
        </w:rPr>
        <w:tab/>
        <w:t>сложившаяся в МСЭ практика на полностью виртуальных собраниях, которая предполагает принятие решений на основе консенсуса, отражает понимание существующих регуляторных ограничений в отношении принятия решений. В таких условиях следует отказаться от использования процедурных инструментов, предусматривающие предложения или вопросы по порядку ведения заседаний, поскольку цель по-прежнему заключается в принятии решений на основе консенсуса, а</w:t>
      </w:r>
      <w:r w:rsidR="00E41C96">
        <w:rPr>
          <w:lang w:val="ru-RU" w:bidi="ru-RU"/>
        </w:rPr>
        <w:t> </w:t>
      </w:r>
      <w:r w:rsidRPr="00E45AD5">
        <w:rPr>
          <w:lang w:val="ru-RU" w:bidi="ru-RU"/>
        </w:rPr>
        <w:t>не голосованием.</w:t>
      </w:r>
    </w:p>
    <w:p w14:paraId="4D54574D" w14:textId="19EEFEAA" w:rsidR="00E45AD5" w:rsidRPr="0090508C" w:rsidRDefault="00E45AD5" w:rsidP="0090508C">
      <w:pPr>
        <w:pStyle w:val="Heading1"/>
        <w:rPr>
          <w:lang w:val="ru-RU"/>
        </w:rPr>
      </w:pPr>
      <w:r w:rsidRPr="0090508C">
        <w:rPr>
          <w:lang w:val="ru-RU" w:bidi="ru-RU"/>
        </w:rPr>
        <w:t>4</w:t>
      </w:r>
      <w:r w:rsidRPr="0090508C">
        <w:rPr>
          <w:lang w:val="ru-RU" w:bidi="ru-RU"/>
        </w:rPr>
        <w:tab/>
        <w:t>Ответственность за определение порядка проведения конференций по</w:t>
      </w:r>
      <w:r w:rsidR="00E41C96">
        <w:rPr>
          <w:lang w:val="ru-RU" w:bidi="ru-RU"/>
        </w:rPr>
        <w:t> </w:t>
      </w:r>
      <w:r w:rsidRPr="0090508C">
        <w:rPr>
          <w:lang w:val="ru-RU" w:bidi="ru-RU"/>
        </w:rPr>
        <w:t>заключению договоров, конференций/ассамблей Секторов и Совета</w:t>
      </w:r>
    </w:p>
    <w:p w14:paraId="37A610F2" w14:textId="0BE6F170" w:rsidR="00E45AD5" w:rsidRPr="00E45AD5" w:rsidRDefault="00E45AD5" w:rsidP="00E45AD5">
      <w:pPr>
        <w:rPr>
          <w:lang w:val="ru-RU"/>
        </w:rPr>
      </w:pPr>
      <w:r w:rsidRPr="00E45AD5">
        <w:rPr>
          <w:lang w:val="ru-RU" w:bidi="ru-RU"/>
        </w:rPr>
        <w:t>Существующей нормативной базе явно недостает ясности регуляторного характера в отношении органа, ответственного за принятие решения о том, является ли то или иное мероприятие или собрание очным, очным с дистанционным участием или полностью виртуальным. Для конференций по заключению договоров, конференций или ассамблей Секторов, а также Совета, которые требуют существенной подготовительной работы и материально-технической координации как для Секретариата, так и для Членов и которые оказывают финансовое воздействие на принимающую страну, представляется целесообразным в связи с данным вопросом организовать официальный процесс принятия решений. Несмотря на то</w:t>
      </w:r>
      <w:r w:rsidR="00E41C96">
        <w:rPr>
          <w:lang w:val="ru-RU" w:bidi="ru-RU"/>
        </w:rPr>
        <w:t>,</w:t>
      </w:r>
      <w:r w:rsidRPr="00E45AD5">
        <w:rPr>
          <w:lang w:val="ru-RU" w:bidi="ru-RU"/>
        </w:rPr>
        <w:t xml:space="preserve"> что естественной площадкой для принятия таких решений является сама конференция или ассамблея, значительное время, необходимое для надлежащей подготовки, позволяет предположить, что эффективность и практичность могут быть повышены, если эти решения будут приняты заблаговременно. В этом контексте было бы разумно, чтобы Совет МСЭ взял на себя эту ответственность в отношении всех конференций, ассамблей и собраний Совета начиная с 2025 года, учитывая его руководящую роль и способность динамично реагировать на меняющиеся потребности мероприятий Союза высокого уровня.</w:t>
      </w:r>
    </w:p>
    <w:p w14:paraId="78E4E3EF" w14:textId="77777777" w:rsidR="00E45AD5" w:rsidRPr="0090508C" w:rsidRDefault="00E45AD5" w:rsidP="0090508C">
      <w:pPr>
        <w:pStyle w:val="Heading1"/>
        <w:rPr>
          <w:lang w:val="ru-RU"/>
        </w:rPr>
      </w:pPr>
      <w:r w:rsidRPr="0090508C">
        <w:rPr>
          <w:lang w:val="ru-RU" w:bidi="ru-RU"/>
        </w:rPr>
        <w:lastRenderedPageBreak/>
        <w:t>5</w:t>
      </w:r>
      <w:r w:rsidRPr="0090508C">
        <w:rPr>
          <w:lang w:val="ru-RU" w:bidi="ru-RU"/>
        </w:rPr>
        <w:tab/>
      </w:r>
      <w:proofErr w:type="gramStart"/>
      <w:r w:rsidRPr="0090508C">
        <w:rPr>
          <w:lang w:val="ru-RU" w:bidi="ru-RU"/>
        </w:rPr>
        <w:t>Консультации</w:t>
      </w:r>
      <w:proofErr w:type="gramEnd"/>
      <w:r w:rsidRPr="0090508C">
        <w:rPr>
          <w:lang w:val="ru-RU" w:bidi="ru-RU"/>
        </w:rPr>
        <w:t xml:space="preserve"> по существующей практике, принятой в других организациях системы ООН</w:t>
      </w:r>
    </w:p>
    <w:p w14:paraId="000947BB" w14:textId="77777777" w:rsidR="00E45AD5" w:rsidRPr="00E45AD5" w:rsidRDefault="00E45AD5" w:rsidP="00E45AD5">
      <w:pPr>
        <w:rPr>
          <w:lang w:val="ru-RU"/>
        </w:rPr>
      </w:pPr>
      <w:bookmarkStart w:id="11" w:name="OpenAt"/>
      <w:bookmarkEnd w:id="11"/>
      <w:r w:rsidRPr="00E45AD5">
        <w:rPr>
          <w:lang w:val="ru-RU" w:bidi="ru-RU"/>
        </w:rPr>
        <w:t xml:space="preserve">По просьбе Рабочей группы Совета по финансовым и людским ресурсам Секретариат провел консультации с другими организациями системы ООН по вопросу об их подходе к управлению правами дистанционных участников на участие в процессе принятия решений или собраниях, решения которых имеют обязательную юридическую силу. Результаты этих консультаций представлены в Документе </w:t>
      </w:r>
      <w:hyperlink r:id="rId11" w:history="1">
        <w:proofErr w:type="spellStart"/>
        <w:r w:rsidRPr="00E45AD5">
          <w:rPr>
            <w:rStyle w:val="Hyperlink"/>
            <w:lang w:val="ru-RU" w:bidi="ru-RU"/>
          </w:rPr>
          <w:t>C24</w:t>
        </w:r>
        <w:proofErr w:type="spellEnd"/>
        <w:r w:rsidRPr="00E45AD5">
          <w:rPr>
            <w:rStyle w:val="Hyperlink"/>
            <w:lang w:val="ru-RU" w:bidi="ru-RU"/>
          </w:rPr>
          <w:t>/</w:t>
        </w:r>
        <w:proofErr w:type="spellStart"/>
        <w:r w:rsidRPr="00E45AD5">
          <w:rPr>
            <w:rStyle w:val="Hyperlink"/>
            <w:lang w:val="ru-RU" w:bidi="ru-RU"/>
          </w:rPr>
          <w:t>INF</w:t>
        </w:r>
        <w:proofErr w:type="spellEnd"/>
        <w:r w:rsidRPr="00E45AD5">
          <w:rPr>
            <w:rStyle w:val="Hyperlink"/>
            <w:lang w:val="ru-RU" w:bidi="ru-RU"/>
          </w:rPr>
          <w:t>/7</w:t>
        </w:r>
      </w:hyperlink>
      <w:r w:rsidRPr="00E45AD5">
        <w:rPr>
          <w:lang w:val="ru-RU" w:bidi="ru-RU"/>
        </w:rPr>
        <w:t>.</w:t>
      </w:r>
    </w:p>
    <w:p w14:paraId="11FA2ED8" w14:textId="77777777" w:rsidR="002A6F9C" w:rsidRPr="0090508C" w:rsidRDefault="002A6F9C" w:rsidP="002A6F9C">
      <w:pPr>
        <w:spacing w:before="720"/>
        <w:jc w:val="center"/>
        <w:rPr>
          <w:lang w:val="ru-RU"/>
        </w:rPr>
      </w:pPr>
      <w:r w:rsidRPr="0090508C">
        <w:rPr>
          <w:lang w:val="ru-RU"/>
        </w:rPr>
        <w:t>______________</w:t>
      </w:r>
    </w:p>
    <w:sectPr w:rsidR="002A6F9C" w:rsidRPr="0090508C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E399" w14:textId="77777777" w:rsidR="002A6F9C" w:rsidRDefault="002A6F9C">
      <w:r>
        <w:separator/>
      </w:r>
    </w:p>
  </w:endnote>
  <w:endnote w:type="continuationSeparator" w:id="0">
    <w:p w14:paraId="7D2B13E4" w14:textId="77777777" w:rsidR="002A6F9C" w:rsidRDefault="002A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13D5A1B" w14:textId="77777777" w:rsidTr="00E31DCE">
      <w:trPr>
        <w:jc w:val="center"/>
      </w:trPr>
      <w:tc>
        <w:tcPr>
          <w:tcW w:w="1803" w:type="dxa"/>
          <w:vAlign w:val="center"/>
        </w:tcPr>
        <w:p w14:paraId="3D8DE184" w14:textId="27AD5F13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7116431" w14:textId="18E3B255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E45AD5">
            <w:rPr>
              <w:bCs/>
              <w:lang w:val="ru-RU"/>
            </w:rPr>
            <w:t>61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B6A16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6F68BF2" w14:textId="77777777" w:rsidTr="00E31DCE">
      <w:trPr>
        <w:jc w:val="center"/>
      </w:trPr>
      <w:tc>
        <w:tcPr>
          <w:tcW w:w="1803" w:type="dxa"/>
          <w:vAlign w:val="center"/>
        </w:tcPr>
        <w:p w14:paraId="29347DC6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DC9EF84" w14:textId="3C853C4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E45AD5">
            <w:rPr>
              <w:bCs/>
              <w:lang w:val="ru-RU"/>
            </w:rPr>
            <w:t>61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639974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6CAB" w14:textId="77777777" w:rsidR="002A6F9C" w:rsidRDefault="002A6F9C">
      <w:r>
        <w:t>____________________</w:t>
      </w:r>
    </w:p>
  </w:footnote>
  <w:footnote w:type="continuationSeparator" w:id="0">
    <w:p w14:paraId="72A76AEB" w14:textId="77777777" w:rsidR="002A6F9C" w:rsidRDefault="002A6F9C">
      <w:r>
        <w:continuationSeparator/>
      </w:r>
    </w:p>
  </w:footnote>
  <w:footnote w:id="1">
    <w:p w14:paraId="7F1186CE" w14:textId="3FDA4477" w:rsidR="00E45AD5" w:rsidRPr="00006F3E" w:rsidRDefault="00E45AD5" w:rsidP="0051241D">
      <w:pPr>
        <w:pStyle w:val="FootnoteText"/>
        <w:rPr>
          <w:lang w:val="ru-RU"/>
        </w:rPr>
      </w:pPr>
      <w:r w:rsidRPr="0051241D">
        <w:rPr>
          <w:rStyle w:val="FootnoteReference"/>
        </w:rPr>
        <w:footnoteRef/>
      </w:r>
      <w:r>
        <w:rPr>
          <w:lang w:val="ru-RU" w:bidi="ru-RU"/>
        </w:rPr>
        <w:tab/>
      </w:r>
      <w:r w:rsidRPr="00E47677">
        <w:rPr>
          <w:lang w:val="ru-RU" w:bidi="ru-RU"/>
        </w:rPr>
        <w:t>В порядке разъяснения следует отметить, что веб-трансляции не входят в эт</w:t>
      </w:r>
      <w:r>
        <w:rPr>
          <w:lang w:val="ru-RU" w:bidi="ru-RU"/>
        </w:rPr>
        <w:t>у</w:t>
      </w:r>
      <w:r w:rsidRPr="00E47677">
        <w:rPr>
          <w:lang w:val="ru-RU" w:bidi="ru-RU"/>
        </w:rPr>
        <w:t xml:space="preserve"> категори</w:t>
      </w:r>
      <w:r>
        <w:rPr>
          <w:lang w:val="ru-RU" w:bidi="ru-RU"/>
        </w:rPr>
        <w:t>ю</w:t>
      </w:r>
      <w:r w:rsidRPr="00E47677">
        <w:rPr>
          <w:lang w:val="ru-RU" w:bidi="ru-RU"/>
        </w:rPr>
        <w:t>.</w:t>
      </w:r>
    </w:p>
  </w:footnote>
  <w:footnote w:id="2">
    <w:p w14:paraId="5E6D7DAE" w14:textId="433B6FAC" w:rsidR="00E45AD5" w:rsidRPr="00E41C96" w:rsidRDefault="00E45AD5" w:rsidP="0051241D">
      <w:pPr>
        <w:pStyle w:val="FootnoteText"/>
        <w:rPr>
          <w:rFonts w:cs="Calibri"/>
          <w:szCs w:val="24"/>
          <w:lang w:val="ru-RU"/>
        </w:rPr>
      </w:pPr>
      <w:r w:rsidRPr="0051241D">
        <w:rPr>
          <w:rStyle w:val="FootnoteReference"/>
        </w:rPr>
        <w:footnoteRef/>
      </w:r>
      <w:bookmarkStart w:id="8" w:name="_Hlk167720121"/>
      <w:r>
        <w:rPr>
          <w:lang w:val="ru-RU" w:bidi="ru-RU"/>
        </w:rPr>
        <w:tab/>
      </w:r>
      <w:bookmarkEnd w:id="8"/>
      <w:r>
        <w:fldChar w:fldCharType="begin"/>
      </w:r>
      <w:r w:rsidRPr="00DA4CD5">
        <w:rPr>
          <w:lang w:val="ru-RU"/>
        </w:rPr>
        <w:instrText xml:space="preserve"> </w:instrText>
      </w:r>
      <w:r>
        <w:instrText>HYPERLINK</w:instrText>
      </w:r>
      <w:r w:rsidRPr="00DA4CD5">
        <w:rPr>
          <w:lang w:val="ru-RU"/>
        </w:rPr>
        <w:instrText xml:space="preserve"> "</w:instrText>
      </w:r>
      <w:r>
        <w:instrText>https</w:instrText>
      </w:r>
      <w:r w:rsidRPr="00DA4CD5">
        <w:rPr>
          <w:lang w:val="ru-RU"/>
        </w:rPr>
        <w:instrText>://</w:instrText>
      </w:r>
      <w:r>
        <w:instrText>www</w:instrText>
      </w:r>
      <w:r w:rsidRPr="00DA4CD5">
        <w:rPr>
          <w:lang w:val="ru-RU"/>
        </w:rPr>
        <w:instrText>.</w:instrText>
      </w:r>
      <w:r>
        <w:instrText>itu</w:instrText>
      </w:r>
      <w:r w:rsidRPr="00DA4CD5">
        <w:rPr>
          <w:lang w:val="ru-RU"/>
        </w:rPr>
        <w:instrText>.</w:instrText>
      </w:r>
      <w:r>
        <w:instrText>int</w:instrText>
      </w:r>
      <w:r w:rsidRPr="00DA4CD5">
        <w:rPr>
          <w:lang w:val="ru-RU"/>
        </w:rPr>
        <w:instrText>/</w:instrText>
      </w:r>
      <w:r>
        <w:instrText>md</w:instrText>
      </w:r>
      <w:r w:rsidRPr="00DA4CD5">
        <w:rPr>
          <w:lang w:val="ru-RU"/>
        </w:rPr>
        <w:instrText>/</w:instrText>
      </w:r>
      <w:r>
        <w:instrText>S</w:instrText>
      </w:r>
      <w:r w:rsidRPr="00DA4CD5">
        <w:rPr>
          <w:lang w:val="ru-RU"/>
        </w:rPr>
        <w:instrText>22-</w:instrText>
      </w:r>
      <w:r>
        <w:instrText>PP</w:instrText>
      </w:r>
      <w:r w:rsidRPr="00DA4CD5">
        <w:rPr>
          <w:lang w:val="ru-RU"/>
        </w:rPr>
        <w:instrText>-</w:instrText>
      </w:r>
      <w:r>
        <w:instrText>C</w:instrText>
      </w:r>
      <w:r w:rsidRPr="00DA4CD5">
        <w:rPr>
          <w:lang w:val="ru-RU"/>
        </w:rPr>
        <w:instrText>-0064/</w:instrText>
      </w:r>
      <w:r>
        <w:instrText>en</w:instrText>
      </w:r>
      <w:r w:rsidRPr="00DA4CD5">
        <w:rPr>
          <w:lang w:val="ru-RU"/>
        </w:rPr>
        <w:instrText xml:space="preserve">" </w:instrText>
      </w:r>
      <w:r>
        <w:fldChar w:fldCharType="separate"/>
      </w:r>
      <w:r w:rsidRPr="00E47677">
        <w:rPr>
          <w:rStyle w:val="Hyperlink"/>
          <w:shd w:val="clear" w:color="auto" w:fill="FFFFFF"/>
          <w:lang w:val="ru-RU" w:bidi="ru-RU"/>
        </w:rPr>
        <w:t xml:space="preserve">Вклад 64 </w:t>
      </w:r>
      <w:r w:rsidR="00E41C96">
        <w:rPr>
          <w:rStyle w:val="Hyperlink"/>
          <w:shd w:val="clear" w:color="auto" w:fill="FFFFFF"/>
          <w:lang w:val="ru-RU" w:bidi="ru-RU"/>
        </w:rPr>
        <w:t xml:space="preserve">− Записка Генерального секретаря </w:t>
      </w:r>
      <w:r w:rsidR="0051241D" w:rsidRPr="0051241D">
        <w:rPr>
          <w:rStyle w:val="Hyperlink"/>
          <w:shd w:val="clear" w:color="auto" w:fill="FFFFFF"/>
          <w:lang w:val="ru-RU" w:bidi="ru-RU"/>
        </w:rPr>
        <w:t xml:space="preserve">МСЭ </w:t>
      </w:r>
      <w:r w:rsidR="00E41C96">
        <w:rPr>
          <w:rStyle w:val="Hyperlink"/>
          <w:shd w:val="clear" w:color="auto" w:fill="FFFFFF"/>
          <w:lang w:val="ru-RU" w:bidi="ru-RU"/>
        </w:rPr>
        <w:t xml:space="preserve">Полномочной конференции </w:t>
      </w:r>
      <w:r w:rsidRPr="00E47677">
        <w:rPr>
          <w:rStyle w:val="Hyperlink"/>
          <w:shd w:val="clear" w:color="auto" w:fill="FFFFFF"/>
          <w:lang w:val="ru-RU" w:bidi="ru-RU"/>
        </w:rPr>
        <w:t>"Отчет о ходе выпо</w:t>
      </w:r>
      <w:r w:rsidRPr="00E47677">
        <w:rPr>
          <w:rStyle w:val="Hyperlink"/>
          <w:shd w:val="clear" w:color="auto" w:fill="FFFFFF"/>
          <w:lang w:val="ru-RU" w:bidi="ru-RU"/>
        </w:rPr>
        <w:t>л</w:t>
      </w:r>
      <w:r w:rsidRPr="00E47677">
        <w:rPr>
          <w:rStyle w:val="Hyperlink"/>
          <w:shd w:val="clear" w:color="auto" w:fill="FFFFFF"/>
          <w:lang w:val="ru-RU" w:bidi="ru-RU"/>
        </w:rPr>
        <w:t>нения Резолюции 167 (</w:t>
      </w:r>
      <w:proofErr w:type="spellStart"/>
      <w:r w:rsidRPr="00E47677">
        <w:rPr>
          <w:rStyle w:val="Hyperlink"/>
          <w:shd w:val="clear" w:color="auto" w:fill="FFFFFF"/>
          <w:lang w:val="ru-RU" w:bidi="ru-RU"/>
        </w:rPr>
        <w:t>Пересм</w:t>
      </w:r>
      <w:proofErr w:type="spellEnd"/>
      <w:r w:rsidRPr="00E47677">
        <w:rPr>
          <w:rStyle w:val="Hyperlink"/>
          <w:shd w:val="clear" w:color="auto" w:fill="FFFFFF"/>
          <w:lang w:val="ru-RU" w:bidi="ru-RU"/>
        </w:rPr>
        <w:t>. Дубай, 2018 г.)"</w:t>
      </w:r>
      <w:r>
        <w:rPr>
          <w:rStyle w:val="Hyperlink"/>
          <w:shd w:val="clear" w:color="auto" w:fill="FFFFFF"/>
          <w:lang w:val="ru-RU" w:bidi="ru-RU"/>
        </w:rPr>
        <w:fldChar w:fldCharType="end"/>
      </w:r>
      <w:r w:rsidR="0051241D">
        <w:rPr>
          <w:lang w:val="ru-RU" w:bidi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6BA92B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6C2F200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1F8B4A73" wp14:editId="3DB3EB07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FCA9C3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AD7453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F863B9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53F311EB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C4FCC" wp14:editId="1C9E204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5B6A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3D3560"/>
    <w:multiLevelType w:val="hybridMultilevel"/>
    <w:tmpl w:val="B10207B8"/>
    <w:lvl w:ilvl="0" w:tplc="8A0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865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327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4B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8A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E2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00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AD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F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53510"/>
    <w:multiLevelType w:val="hybridMultilevel"/>
    <w:tmpl w:val="BF26C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EC3A0F"/>
    <w:multiLevelType w:val="hybridMultilevel"/>
    <w:tmpl w:val="27D4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025C3"/>
    <w:multiLevelType w:val="hybridMultilevel"/>
    <w:tmpl w:val="78B673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149204526">
    <w:abstractNumId w:val="1"/>
  </w:num>
  <w:num w:numId="3" w16cid:durableId="1774015402">
    <w:abstractNumId w:val="3"/>
  </w:num>
  <w:num w:numId="4" w16cid:durableId="1084642363">
    <w:abstractNumId w:val="2"/>
  </w:num>
  <w:num w:numId="5" w16cid:durableId="1325166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D106C"/>
    <w:rsid w:val="000E04A0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3054"/>
    <w:rsid w:val="00225368"/>
    <w:rsid w:val="00227FF0"/>
    <w:rsid w:val="00291EB6"/>
    <w:rsid w:val="002A6F9C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F6A06"/>
    <w:rsid w:val="0051241D"/>
    <w:rsid w:val="005A200B"/>
    <w:rsid w:val="005A64D5"/>
    <w:rsid w:val="005B3DEC"/>
    <w:rsid w:val="00601994"/>
    <w:rsid w:val="00660449"/>
    <w:rsid w:val="00672F8A"/>
    <w:rsid w:val="006E2D42"/>
    <w:rsid w:val="00703333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48E7"/>
    <w:rsid w:val="008F7C2C"/>
    <w:rsid w:val="0090508C"/>
    <w:rsid w:val="00915250"/>
    <w:rsid w:val="00940E96"/>
    <w:rsid w:val="009B0BAE"/>
    <w:rsid w:val="009C1C89"/>
    <w:rsid w:val="009D25B7"/>
    <w:rsid w:val="009F3448"/>
    <w:rsid w:val="00A01CF9"/>
    <w:rsid w:val="00A71773"/>
    <w:rsid w:val="00AE2C85"/>
    <w:rsid w:val="00B12A37"/>
    <w:rsid w:val="00B41837"/>
    <w:rsid w:val="00B63EF2"/>
    <w:rsid w:val="00BA7D89"/>
    <w:rsid w:val="00BC092A"/>
    <w:rsid w:val="00BC0D39"/>
    <w:rsid w:val="00BC7BC0"/>
    <w:rsid w:val="00BD57B7"/>
    <w:rsid w:val="00BE63E2"/>
    <w:rsid w:val="00CC6EEC"/>
    <w:rsid w:val="00CD2009"/>
    <w:rsid w:val="00CE6EFD"/>
    <w:rsid w:val="00CF629C"/>
    <w:rsid w:val="00D92EEA"/>
    <w:rsid w:val="00DA5D4E"/>
    <w:rsid w:val="00E0485C"/>
    <w:rsid w:val="00E176BA"/>
    <w:rsid w:val="00E41C96"/>
    <w:rsid w:val="00E423EC"/>
    <w:rsid w:val="00E45AD5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4B2B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4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BC092A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2A6F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6F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opb/conf/S-CONF-ACTF-2022-PDF-R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u.int/dms_pub/itu-s/opb/conf/S-CONF-ACTF-2022-PDF-R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4-CL-INF-0007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4-CL-INF-000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WGFHR17-INF-0004/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58</TotalTime>
  <Pages>5</Pages>
  <Words>1401</Words>
  <Characters>10080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Maloletkova, Svetlana</cp:lastModifiedBy>
  <cp:revision>6</cp:revision>
  <cp:lastPrinted>2006-03-28T16:12:00Z</cp:lastPrinted>
  <dcterms:created xsi:type="dcterms:W3CDTF">2024-05-27T14:05:00Z</dcterms:created>
  <dcterms:modified xsi:type="dcterms:W3CDTF">2024-05-27T15:08:00Z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