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5C4D47" w14:paraId="0043AC80" w14:textId="77777777" w:rsidTr="00AD3606">
        <w:trPr>
          <w:cantSplit/>
          <w:trHeight w:val="23"/>
        </w:trPr>
        <w:tc>
          <w:tcPr>
            <w:tcW w:w="3969" w:type="dxa"/>
            <w:vMerge w:val="restart"/>
            <w:tcMar>
              <w:left w:w="0" w:type="dxa"/>
            </w:tcMar>
          </w:tcPr>
          <w:p w14:paraId="60A806D3" w14:textId="74EC66A0" w:rsidR="00AD3606" w:rsidRPr="00E85629" w:rsidRDefault="00136082"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D35052">
              <w:rPr>
                <w:b/>
              </w:rPr>
              <w:t>ADM 1</w:t>
            </w:r>
          </w:p>
        </w:tc>
        <w:tc>
          <w:tcPr>
            <w:tcW w:w="5245" w:type="dxa"/>
          </w:tcPr>
          <w:p w14:paraId="291AB2A2" w14:textId="3171C5C3" w:rsidR="00AD3606" w:rsidRPr="005C4D47" w:rsidRDefault="00AD3606" w:rsidP="00472BAD">
            <w:pPr>
              <w:tabs>
                <w:tab w:val="left" w:pos="851"/>
              </w:tabs>
              <w:spacing w:before="0" w:line="240" w:lineRule="atLeast"/>
              <w:jc w:val="right"/>
              <w:rPr>
                <w:b/>
                <w:lang w:val="fr-CH"/>
              </w:rPr>
            </w:pPr>
            <w:r w:rsidRPr="005C4D47">
              <w:rPr>
                <w:b/>
                <w:lang w:val="fr-CH"/>
              </w:rPr>
              <w:t>Document C2</w:t>
            </w:r>
            <w:r w:rsidR="00E23618" w:rsidRPr="005C4D47">
              <w:rPr>
                <w:b/>
                <w:lang w:val="fr-CH"/>
              </w:rPr>
              <w:t>4</w:t>
            </w:r>
            <w:r w:rsidRPr="005C4D47">
              <w:rPr>
                <w:b/>
                <w:lang w:val="fr-CH"/>
              </w:rPr>
              <w:t>/</w:t>
            </w:r>
            <w:r w:rsidR="00BE5510">
              <w:rPr>
                <w:b/>
                <w:lang w:val="fr-CH"/>
              </w:rPr>
              <w:t>63</w:t>
            </w:r>
            <w:r w:rsidRPr="005C4D47">
              <w:rPr>
                <w:b/>
                <w:lang w:val="fr-CH"/>
              </w:rPr>
              <w:t>-E</w:t>
            </w:r>
          </w:p>
        </w:tc>
      </w:tr>
      <w:tr w:rsidR="00AD3606" w:rsidRPr="00813E5E" w14:paraId="789B45BA" w14:textId="77777777" w:rsidTr="00AD3606">
        <w:trPr>
          <w:cantSplit/>
        </w:trPr>
        <w:tc>
          <w:tcPr>
            <w:tcW w:w="3969" w:type="dxa"/>
            <w:vMerge/>
          </w:tcPr>
          <w:p w14:paraId="3F3D4E17" w14:textId="77777777" w:rsidR="00AD3606" w:rsidRPr="005C4D47"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4DCF080" w:rsidR="00AD3606" w:rsidRPr="00E85629" w:rsidRDefault="00BE5510" w:rsidP="00AD3606">
            <w:pPr>
              <w:tabs>
                <w:tab w:val="left" w:pos="851"/>
              </w:tabs>
              <w:spacing w:before="0"/>
              <w:jc w:val="right"/>
              <w:rPr>
                <w:b/>
              </w:rPr>
            </w:pPr>
            <w:r>
              <w:rPr>
                <w:b/>
              </w:rPr>
              <w:t>9</w:t>
            </w:r>
            <w:r w:rsidR="003E0605">
              <w:rPr>
                <w:b/>
              </w:rPr>
              <w:t xml:space="preserve"> April</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6E8F704" w:rsidR="00AD3606" w:rsidRPr="00E85629" w:rsidRDefault="00BE5510" w:rsidP="00AD3606">
            <w:pPr>
              <w:tabs>
                <w:tab w:val="left" w:pos="851"/>
              </w:tabs>
              <w:spacing w:before="0" w:line="240" w:lineRule="atLeast"/>
              <w:jc w:val="right"/>
              <w:rPr>
                <w:b/>
              </w:rPr>
            </w:pPr>
            <w:r>
              <w:rPr>
                <w:b/>
              </w:rPr>
              <w:t xml:space="preserve">Original: </w:t>
            </w:r>
            <w:r w:rsidR="00AD3606">
              <w:rPr>
                <w:b/>
              </w:rPr>
              <w:t>English</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04A915C7" w:rsidR="00AD3606" w:rsidRPr="006850BE" w:rsidRDefault="00332A7B" w:rsidP="006850BE">
            <w:pPr>
              <w:pStyle w:val="Subtitle"/>
              <w:framePr w:hSpace="0" w:wrap="auto" w:xAlign="left" w:yAlign="inline"/>
            </w:pPr>
            <w:bookmarkStart w:id="9" w:name="dtitle1" w:colFirst="0" w:colLast="0"/>
            <w:bookmarkEnd w:id="8"/>
            <w:r>
              <w:t xml:space="preserve">ANNUAL </w:t>
            </w:r>
            <w:r w:rsidR="007429D1">
              <w:t>BUDGET</w:t>
            </w:r>
            <w:r w:rsidR="00B66AF8">
              <w:t xml:space="preserve">ARY </w:t>
            </w:r>
            <w:r w:rsidR="00C5609E">
              <w:t>IMPLICATION</w:t>
            </w:r>
            <w:r w:rsidR="007E2E9B">
              <w:t>S</w:t>
            </w:r>
            <w:r w:rsidR="00C5609E">
              <w:t xml:space="preserve"> OF </w:t>
            </w:r>
            <w:r w:rsidR="00D72C18">
              <w:t xml:space="preserve">ADDRESSING THE </w:t>
            </w:r>
            <w:r w:rsidR="0047033A">
              <w:t>WRC-23 DECISIONS</w:t>
            </w:r>
          </w:p>
        </w:tc>
      </w:tr>
      <w:tr w:rsidR="00AD3606" w:rsidRPr="008E257F"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54ED443A" w:rsidR="00AD3606" w:rsidRPr="008E257F" w:rsidRDefault="00F16BAB" w:rsidP="00F16BAB">
            <w:pPr>
              <w:spacing w:before="160"/>
              <w:rPr>
                <w:b/>
                <w:bCs/>
                <w:sz w:val="26"/>
                <w:szCs w:val="26"/>
              </w:rPr>
            </w:pPr>
            <w:r w:rsidRPr="008E257F">
              <w:rPr>
                <w:b/>
                <w:bCs/>
                <w:sz w:val="26"/>
                <w:szCs w:val="26"/>
              </w:rPr>
              <w:t>Purpose</w:t>
            </w:r>
          </w:p>
          <w:p w14:paraId="7B473394" w14:textId="42837E60" w:rsidR="002A7403" w:rsidRPr="008E257F" w:rsidRDefault="005D677B" w:rsidP="002A7403">
            <w:pPr>
              <w:jc w:val="both"/>
            </w:pPr>
            <w:r w:rsidRPr="008E257F">
              <w:t>The</w:t>
            </w:r>
            <w:r w:rsidR="002A7403" w:rsidRPr="008E257F">
              <w:t xml:space="preserve"> Report of the Budget </w:t>
            </w:r>
            <w:r w:rsidR="00CE1537" w:rsidRPr="008E257F">
              <w:t xml:space="preserve">Control </w:t>
            </w:r>
            <w:r w:rsidR="002A7403" w:rsidRPr="008E257F">
              <w:t>Committee (</w:t>
            </w:r>
            <w:hyperlink r:id="rId11" w:history="1">
              <w:r w:rsidR="002A7403" w:rsidRPr="008E257F">
                <w:rPr>
                  <w:rStyle w:val="Hyperlink"/>
                </w:rPr>
                <w:t xml:space="preserve">Doc. </w:t>
              </w:r>
              <w:r w:rsidR="001A67D4" w:rsidRPr="008E257F">
                <w:rPr>
                  <w:rStyle w:val="Hyperlink"/>
                </w:rPr>
                <w:t>460</w:t>
              </w:r>
              <w:r w:rsidR="002A7403" w:rsidRPr="008E257F">
                <w:rPr>
                  <w:rStyle w:val="Hyperlink"/>
                </w:rPr>
                <w:t>(Rev.</w:t>
              </w:r>
              <w:r w:rsidR="001A67D4" w:rsidRPr="008E257F">
                <w:rPr>
                  <w:rStyle w:val="Hyperlink"/>
                </w:rPr>
                <w:t>1</w:t>
              </w:r>
            </w:hyperlink>
            <w:r w:rsidR="002A7403" w:rsidRPr="005C4D47">
              <w:rPr>
                <w:rStyle w:val="Hyperlink"/>
              </w:rPr>
              <w:t>)</w:t>
            </w:r>
            <w:r w:rsidR="002A7403" w:rsidRPr="008E257F">
              <w:t>) of the WRC-</w:t>
            </w:r>
            <w:r w:rsidR="00631989" w:rsidRPr="008E257F">
              <w:t>23</w:t>
            </w:r>
            <w:r w:rsidR="002A7403" w:rsidRPr="008E257F">
              <w:t xml:space="preserve">, identified </w:t>
            </w:r>
            <w:r w:rsidR="0047345A" w:rsidRPr="008E257F">
              <w:t>the conference decisions</w:t>
            </w:r>
            <w:r w:rsidR="009C6D00" w:rsidRPr="008E257F">
              <w:t xml:space="preserve">, including additional </w:t>
            </w:r>
            <w:r w:rsidR="002A7403" w:rsidRPr="008E257F">
              <w:t xml:space="preserve">areas of work, </w:t>
            </w:r>
            <w:r w:rsidR="00F43B75" w:rsidRPr="008E257F">
              <w:t xml:space="preserve">technical </w:t>
            </w:r>
            <w:r w:rsidR="002A7403" w:rsidRPr="008E257F">
              <w:t xml:space="preserve">studies, and </w:t>
            </w:r>
            <w:r w:rsidR="00F43B75" w:rsidRPr="008E257F">
              <w:t xml:space="preserve">software </w:t>
            </w:r>
            <w:r w:rsidR="002A7403" w:rsidRPr="008E257F">
              <w:t>development</w:t>
            </w:r>
            <w:r w:rsidR="00F43B75" w:rsidRPr="008E257F">
              <w:t>s</w:t>
            </w:r>
            <w:r w:rsidR="00205E22" w:rsidRPr="008E257F">
              <w:t xml:space="preserve">, </w:t>
            </w:r>
            <w:r w:rsidR="00A83890" w:rsidRPr="008E257F">
              <w:t xml:space="preserve">that </w:t>
            </w:r>
            <w:r w:rsidR="006A0F46" w:rsidRPr="008E257F">
              <w:t>required additional financial resources to be implemented</w:t>
            </w:r>
            <w:r w:rsidR="002A7403" w:rsidRPr="008E257F">
              <w:t xml:space="preserve">. The estimated costs for the completion of these new </w:t>
            </w:r>
            <w:r w:rsidR="003F76D1" w:rsidRPr="008E257F">
              <w:t>activities</w:t>
            </w:r>
            <w:r w:rsidR="002A7403" w:rsidRPr="008E257F">
              <w:t xml:space="preserve"> are in the magnitude of </w:t>
            </w:r>
            <w:r w:rsidR="003564DC" w:rsidRPr="008E257F">
              <w:t xml:space="preserve">12.5 MCHF in </w:t>
            </w:r>
            <w:r w:rsidR="001B08D2" w:rsidRPr="008E257F">
              <w:t>combined one-time and recurrent expenses</w:t>
            </w:r>
            <w:r w:rsidR="002A7403" w:rsidRPr="008E257F">
              <w:t>. WRC-23 requested the Secretary-General to bring this to the attention of the Council-24 session to discuss the most effective methodology for the funding of these activities as they should be concluded prior to the World Radiocommunication Conference scheduled to take place in 2027 (WRC-27).</w:t>
            </w:r>
          </w:p>
          <w:p w14:paraId="2E09FE8B" w14:textId="77D99B96" w:rsidR="00AD3606" w:rsidRDefault="002A7403" w:rsidP="00242265">
            <w:pPr>
              <w:jc w:val="both"/>
            </w:pPr>
            <w:r w:rsidRPr="008E257F">
              <w:t>The meeting of Council Working Group on Financial and Human Resources (CWG-FHR), which took place in January 2024</w:t>
            </w:r>
            <w:r w:rsidR="00721332" w:rsidRPr="008E257F">
              <w:t>,</w:t>
            </w:r>
            <w:r w:rsidRPr="008E257F">
              <w:t xml:space="preserve"> reviewed this matter and concluded that the request be submitted to the Council-24 session. </w:t>
            </w:r>
            <w:r w:rsidR="00C5609E" w:rsidRPr="008E257F">
              <w:t xml:space="preserve">This </w:t>
            </w:r>
            <w:r w:rsidR="00EE3A5F" w:rsidRPr="008E257F">
              <w:t xml:space="preserve">document provides the </w:t>
            </w:r>
            <w:r w:rsidR="00721332" w:rsidRPr="008E257F">
              <w:t xml:space="preserve">additional </w:t>
            </w:r>
            <w:r w:rsidR="00EE3A5F" w:rsidRPr="008E257F">
              <w:t xml:space="preserve">information requested </w:t>
            </w:r>
            <w:r w:rsidR="00F52BF1" w:rsidRPr="008E257F">
              <w:t xml:space="preserve">during that </w:t>
            </w:r>
            <w:r w:rsidR="00531C49" w:rsidRPr="008E257F">
              <w:t xml:space="preserve">CWG-FHR meeting (see </w:t>
            </w:r>
            <w:r w:rsidR="00531C49" w:rsidRPr="008E257F">
              <w:rPr>
                <w:rFonts w:ascii="Abadi" w:hAnsi="Abadi"/>
              </w:rPr>
              <w:t>§</w:t>
            </w:r>
            <w:r w:rsidR="005D2AA2" w:rsidRPr="008E257F">
              <w:rPr>
                <w:rFonts w:ascii="Abadi" w:hAnsi="Abadi"/>
              </w:rPr>
              <w:t>§</w:t>
            </w:r>
            <w:r w:rsidR="00531C49" w:rsidRPr="008E257F">
              <w:t>20.4</w:t>
            </w:r>
            <w:r w:rsidR="006478AB" w:rsidRPr="008E257F">
              <w:t>-20.5</w:t>
            </w:r>
            <w:r w:rsidR="00531C49" w:rsidRPr="008E257F">
              <w:t xml:space="preserve"> of </w:t>
            </w:r>
            <w:hyperlink r:id="rId12" w:history="1">
              <w:r w:rsidR="006B15B3" w:rsidRPr="008E257F">
                <w:rPr>
                  <w:rStyle w:val="Hyperlink"/>
                </w:rPr>
                <w:t>CWG</w:t>
              </w:r>
              <w:r w:rsidR="0092760D" w:rsidRPr="008E257F">
                <w:rPr>
                  <w:rStyle w:val="Hyperlink"/>
                </w:rPr>
                <w:t>FHR</w:t>
              </w:r>
              <w:r w:rsidR="00BA0763" w:rsidRPr="008E257F">
                <w:rPr>
                  <w:rStyle w:val="Hyperlink"/>
                </w:rPr>
                <w:t>17</w:t>
              </w:r>
              <w:r w:rsidR="0092760D" w:rsidRPr="008E257F">
                <w:rPr>
                  <w:rStyle w:val="Hyperlink"/>
                </w:rPr>
                <w:t>-24</w:t>
              </w:r>
            </w:hyperlink>
            <w:r w:rsidR="0092760D" w:rsidRPr="008E257F">
              <w:t>).</w:t>
            </w:r>
            <w:r w:rsidR="00EE3A5F" w:rsidRPr="008E257F">
              <w:t xml:space="preserve"> </w:t>
            </w:r>
          </w:p>
          <w:p w14:paraId="260C1CD6" w14:textId="0F937E04" w:rsidR="005C4D47" w:rsidRPr="00E77FFA" w:rsidRDefault="005C4D47" w:rsidP="00242265">
            <w:pPr>
              <w:jc w:val="both"/>
              <w:rPr>
                <w:b/>
                <w:sz w:val="28"/>
                <w:szCs w:val="22"/>
              </w:rPr>
            </w:pPr>
            <w:r w:rsidRPr="00E77FFA">
              <w:rPr>
                <w:b/>
                <w:sz w:val="28"/>
                <w:szCs w:val="22"/>
              </w:rPr>
              <w:t>Action required by the Council</w:t>
            </w:r>
          </w:p>
          <w:p w14:paraId="041014C7" w14:textId="47270E45" w:rsidR="005C4D47" w:rsidRPr="008E257F" w:rsidRDefault="00BE5510" w:rsidP="00242265">
            <w:pPr>
              <w:jc w:val="both"/>
            </w:pPr>
            <w:r w:rsidRPr="00BE5510">
              <w:t>The Council is invited to take note</w:t>
            </w:r>
            <w:r>
              <w:t xml:space="preserve"> of this document.</w:t>
            </w:r>
          </w:p>
          <w:p w14:paraId="0F8F1F03" w14:textId="51E75FD6" w:rsidR="00F16BAB" w:rsidRPr="00280122" w:rsidRDefault="00F16BAB" w:rsidP="00F16BAB">
            <w:pPr>
              <w:spacing w:before="160"/>
              <w:rPr>
                <w:b/>
                <w:bCs/>
                <w:sz w:val="26"/>
                <w:szCs w:val="26"/>
              </w:rPr>
            </w:pPr>
            <w:r w:rsidRPr="00280122">
              <w:rPr>
                <w:b/>
                <w:bCs/>
                <w:sz w:val="26"/>
                <w:szCs w:val="26"/>
              </w:rPr>
              <w:t>Relevant link</w:t>
            </w:r>
            <w:r w:rsidR="005C4D47" w:rsidRPr="00280122">
              <w:rPr>
                <w:b/>
                <w:bCs/>
                <w:sz w:val="26"/>
                <w:szCs w:val="26"/>
              </w:rPr>
              <w:t>(s)</w:t>
            </w:r>
            <w:r w:rsidRPr="00280122">
              <w:rPr>
                <w:b/>
                <w:bCs/>
                <w:sz w:val="26"/>
                <w:szCs w:val="26"/>
              </w:rPr>
              <w:t xml:space="preserve"> with the Strategic Plan</w:t>
            </w:r>
          </w:p>
          <w:p w14:paraId="0658EF6E" w14:textId="77777777" w:rsidR="002D2B48" w:rsidRPr="00280122" w:rsidRDefault="002D2B48" w:rsidP="00F16BAB">
            <w:pPr>
              <w:spacing w:before="160"/>
            </w:pPr>
            <w:r w:rsidRPr="00280122">
              <w:t>WRC outcomes are linked to the two strategic goals of the Union.</w:t>
            </w:r>
          </w:p>
          <w:p w14:paraId="632C043A" w14:textId="405B572A" w:rsidR="00F16BAB" w:rsidRPr="00280122" w:rsidRDefault="00F16BAB" w:rsidP="00F16BAB">
            <w:pPr>
              <w:spacing w:before="160"/>
              <w:rPr>
                <w:b/>
                <w:bCs/>
                <w:sz w:val="26"/>
                <w:szCs w:val="26"/>
              </w:rPr>
            </w:pPr>
            <w:r w:rsidRPr="00280122">
              <w:rPr>
                <w:b/>
                <w:bCs/>
                <w:sz w:val="26"/>
                <w:szCs w:val="26"/>
              </w:rPr>
              <w:t>Financial implications</w:t>
            </w:r>
          </w:p>
          <w:p w14:paraId="4BC824AB" w14:textId="42690DD8" w:rsidR="00257CD8" w:rsidRPr="008E257F" w:rsidRDefault="00257CD8" w:rsidP="00F16BAB">
            <w:pPr>
              <w:spacing w:before="160"/>
              <w:rPr>
                <w:b/>
                <w:bCs/>
                <w:sz w:val="26"/>
                <w:szCs w:val="26"/>
                <w:lang w:val="en-US"/>
              </w:rPr>
            </w:pPr>
            <w:r w:rsidRPr="02D4DCE2">
              <w:rPr>
                <w:lang w:val="en-US"/>
              </w:rPr>
              <w:t>The financial implications of the WRC-23 decisions were estimated at CHF 12.5 million over the 2024-2027 timeframe.</w:t>
            </w:r>
            <w:r w:rsidR="00162A00" w:rsidRPr="02D4DCE2">
              <w:rPr>
                <w:lang w:val="en-US"/>
              </w:rPr>
              <w:t xml:space="preserve"> </w:t>
            </w:r>
            <w:r w:rsidR="00B87A2F" w:rsidRPr="02D4DCE2">
              <w:rPr>
                <w:lang w:val="en-US"/>
              </w:rPr>
              <w:t xml:space="preserve">The annual budgetary </w:t>
            </w:r>
            <w:r w:rsidR="00C27154" w:rsidRPr="02D4DCE2">
              <w:rPr>
                <w:lang w:val="en-US"/>
              </w:rPr>
              <w:t>implications are contained herein</w:t>
            </w:r>
            <w:r w:rsidR="003E3AC0" w:rsidRPr="02D4DCE2">
              <w:rPr>
                <w:lang w:val="en-US"/>
              </w:rPr>
              <w:t xml:space="preserve">, and </w:t>
            </w:r>
            <w:r w:rsidR="00957EFB" w:rsidRPr="02D4DCE2">
              <w:rPr>
                <w:lang w:val="en-US"/>
              </w:rPr>
              <w:t>the fund</w:t>
            </w:r>
            <w:r w:rsidR="00DB30C8">
              <w:rPr>
                <w:lang w:val="en-US"/>
              </w:rPr>
              <w:t>ing</w:t>
            </w:r>
            <w:r w:rsidR="00957EFB" w:rsidRPr="02D4DCE2">
              <w:rPr>
                <w:lang w:val="en-US"/>
              </w:rPr>
              <w:t xml:space="preserve"> </w:t>
            </w:r>
            <w:r w:rsidR="59E0E65A" w:rsidRPr="02D4DCE2">
              <w:rPr>
                <w:lang w:val="en-US"/>
              </w:rPr>
              <w:t>is</w:t>
            </w:r>
            <w:r w:rsidR="00957EFB" w:rsidRPr="02D4DCE2">
              <w:rPr>
                <w:lang w:val="en-US"/>
              </w:rPr>
              <w:t xml:space="preserve"> </w:t>
            </w:r>
            <w:r w:rsidR="00DB30C8">
              <w:rPr>
                <w:lang w:val="en-US"/>
              </w:rPr>
              <w:t>proposed</w:t>
            </w:r>
            <w:r w:rsidR="00957EFB" w:rsidRPr="02D4DCE2">
              <w:rPr>
                <w:lang w:val="en-US"/>
              </w:rPr>
              <w:t xml:space="preserve"> in </w:t>
            </w:r>
            <w:r w:rsidR="003E3AC0" w:rsidRPr="02D4DCE2">
              <w:rPr>
                <w:lang w:val="en-US"/>
              </w:rPr>
              <w:t xml:space="preserve">document </w:t>
            </w:r>
            <w:hyperlink r:id="rId13">
              <w:r w:rsidR="003E3AC0" w:rsidRPr="02D4DCE2">
                <w:rPr>
                  <w:rStyle w:val="Hyperlink"/>
                  <w:lang w:val="en-US"/>
                </w:rPr>
                <w:t>C24/19</w:t>
              </w:r>
            </w:hyperlink>
            <w:r w:rsidR="00C27154" w:rsidRPr="02D4DCE2">
              <w:rPr>
                <w:lang w:val="en-US"/>
              </w:rPr>
              <w:t>.</w:t>
            </w:r>
          </w:p>
          <w:p w14:paraId="2AAB18B0" w14:textId="77777777" w:rsidR="00AD3606" w:rsidRPr="008E257F" w:rsidRDefault="00AD3606" w:rsidP="00F16BAB">
            <w:pPr>
              <w:spacing w:before="160"/>
              <w:rPr>
                <w:caps/>
                <w:sz w:val="22"/>
              </w:rPr>
            </w:pPr>
            <w:r w:rsidRPr="008E257F">
              <w:rPr>
                <w:sz w:val="22"/>
              </w:rPr>
              <w:t>__________________</w:t>
            </w:r>
          </w:p>
          <w:p w14:paraId="7FCF43E7" w14:textId="77777777" w:rsidR="008A20DD" w:rsidRPr="008E257F" w:rsidRDefault="00AD3606" w:rsidP="00F16BAB">
            <w:pPr>
              <w:spacing w:before="160"/>
              <w:rPr>
                <w:b/>
                <w:bCs/>
                <w:sz w:val="26"/>
                <w:szCs w:val="26"/>
              </w:rPr>
            </w:pPr>
            <w:r w:rsidRPr="008E257F">
              <w:rPr>
                <w:b/>
                <w:bCs/>
                <w:sz w:val="26"/>
                <w:szCs w:val="26"/>
              </w:rPr>
              <w:t>References</w:t>
            </w:r>
          </w:p>
          <w:p w14:paraId="0175CD6C" w14:textId="7AA41698" w:rsidR="00AD3606" w:rsidRPr="005C4D47" w:rsidRDefault="00C53F69" w:rsidP="005C4D47">
            <w:pPr>
              <w:spacing w:before="160" w:after="120"/>
              <w:rPr>
                <w:b/>
                <w:bCs/>
                <w:i/>
                <w:iCs/>
                <w:sz w:val="22"/>
                <w:szCs w:val="22"/>
              </w:rPr>
            </w:pPr>
            <w:hyperlink r:id="rId14" w:history="1">
              <w:r w:rsidR="005C4D47" w:rsidRPr="005C4D47">
                <w:rPr>
                  <w:rStyle w:val="Hyperlink"/>
                  <w:i/>
                  <w:iCs/>
                  <w:sz w:val="22"/>
                  <w:szCs w:val="22"/>
                </w:rPr>
                <w:t xml:space="preserve">WRC </w:t>
              </w:r>
              <w:r w:rsidR="007860D5" w:rsidRPr="005C4D47">
                <w:rPr>
                  <w:rStyle w:val="Hyperlink"/>
                  <w:i/>
                  <w:iCs/>
                  <w:sz w:val="22"/>
                  <w:szCs w:val="22"/>
                </w:rPr>
                <w:t>Doc. 460(Rev.1)</w:t>
              </w:r>
            </w:hyperlink>
            <w:r w:rsidR="008A20DD" w:rsidRPr="005C4D47">
              <w:rPr>
                <w:i/>
                <w:iCs/>
                <w:sz w:val="22"/>
                <w:szCs w:val="22"/>
              </w:rPr>
              <w:t xml:space="preserve">, </w:t>
            </w:r>
            <w:hyperlink r:id="rId15" w:history="1">
              <w:r w:rsidR="008A20DD" w:rsidRPr="005C4D47">
                <w:rPr>
                  <w:rStyle w:val="Hyperlink"/>
                  <w:i/>
                  <w:iCs/>
                  <w:sz w:val="22"/>
                  <w:szCs w:val="22"/>
                </w:rPr>
                <w:t>CWG</w:t>
              </w:r>
              <w:r w:rsidR="005C4D47" w:rsidRPr="005C4D47">
                <w:rPr>
                  <w:rStyle w:val="Hyperlink"/>
                  <w:i/>
                  <w:iCs/>
                  <w:sz w:val="22"/>
                  <w:szCs w:val="22"/>
                </w:rPr>
                <w:t>-</w:t>
              </w:r>
              <w:r w:rsidR="008A20DD" w:rsidRPr="005C4D47">
                <w:rPr>
                  <w:rStyle w:val="Hyperlink"/>
                  <w:i/>
                  <w:iCs/>
                  <w:sz w:val="22"/>
                  <w:szCs w:val="22"/>
                </w:rPr>
                <w:t>FHR</w:t>
              </w:r>
              <w:r w:rsidR="005C4D47" w:rsidRPr="005C4D47">
                <w:rPr>
                  <w:rStyle w:val="Hyperlink"/>
                  <w:i/>
                  <w:iCs/>
                  <w:sz w:val="22"/>
                  <w:szCs w:val="22"/>
                </w:rPr>
                <w:t>-</w:t>
              </w:r>
              <w:r w:rsidR="00365F6B" w:rsidRPr="005C4D47">
                <w:rPr>
                  <w:rStyle w:val="Hyperlink"/>
                  <w:i/>
                  <w:iCs/>
                  <w:sz w:val="22"/>
                  <w:szCs w:val="22"/>
                </w:rPr>
                <w:t>17</w:t>
              </w:r>
              <w:r w:rsidR="005C4D47" w:rsidRPr="005C4D47">
                <w:rPr>
                  <w:rStyle w:val="Hyperlink"/>
                  <w:i/>
                  <w:iCs/>
                  <w:sz w:val="22"/>
                  <w:szCs w:val="22"/>
                </w:rPr>
                <w:t>/</w:t>
              </w:r>
              <w:r w:rsidR="008A20DD" w:rsidRPr="005C4D47">
                <w:rPr>
                  <w:rStyle w:val="Hyperlink"/>
                  <w:i/>
                  <w:iCs/>
                  <w:sz w:val="22"/>
                  <w:szCs w:val="22"/>
                </w:rPr>
                <w:t>1</w:t>
              </w:r>
              <w:r w:rsidR="008D198E" w:rsidRPr="005C4D47">
                <w:rPr>
                  <w:rStyle w:val="Hyperlink"/>
                  <w:i/>
                  <w:iCs/>
                  <w:sz w:val="22"/>
                  <w:szCs w:val="22"/>
                </w:rPr>
                <w:t>2</w:t>
              </w:r>
            </w:hyperlink>
            <w:r w:rsidR="002A49F5" w:rsidRPr="005C4D47">
              <w:rPr>
                <w:i/>
                <w:iCs/>
                <w:color w:val="0000FF"/>
                <w:sz w:val="22"/>
                <w:szCs w:val="22"/>
              </w:rPr>
              <w:t>,</w:t>
            </w:r>
            <w:hyperlink r:id="rId16" w:history="1">
              <w:r w:rsidR="00365F6B" w:rsidRPr="005C4D47">
                <w:rPr>
                  <w:rStyle w:val="Hyperlink"/>
                  <w:i/>
                  <w:iCs/>
                  <w:sz w:val="22"/>
                  <w:szCs w:val="22"/>
                </w:rPr>
                <w:t>CWGFHR17-24</w:t>
              </w:r>
            </w:hyperlink>
            <w:r w:rsidR="00365F6B" w:rsidRPr="005C4D47">
              <w:rPr>
                <w:i/>
                <w:iCs/>
                <w:sz w:val="22"/>
                <w:szCs w:val="22"/>
              </w:rPr>
              <w:t xml:space="preserve"> ,</w:t>
            </w:r>
            <w:r w:rsidR="005C4D47" w:rsidRPr="005C4D47">
              <w:rPr>
                <w:i/>
                <w:iCs/>
                <w:sz w:val="22"/>
                <w:szCs w:val="22"/>
              </w:rPr>
              <w:t xml:space="preserve"> Council documents </w:t>
            </w:r>
            <w:hyperlink r:id="rId17" w:history="1">
              <w:r w:rsidR="005C4D47" w:rsidRPr="005C4D47">
                <w:rPr>
                  <w:rStyle w:val="Hyperlink"/>
                  <w:i/>
                  <w:iCs/>
                  <w:sz w:val="22"/>
                  <w:szCs w:val="22"/>
                </w:rPr>
                <w:t>C24/13</w:t>
              </w:r>
            </w:hyperlink>
            <w:r w:rsidR="005C4D47" w:rsidRPr="005C4D47">
              <w:rPr>
                <w:i/>
                <w:iCs/>
                <w:sz w:val="22"/>
                <w:szCs w:val="22"/>
              </w:rPr>
              <w:t xml:space="preserve">, </w:t>
            </w:r>
            <w:hyperlink r:id="rId18" w:history="1">
              <w:r w:rsidR="009B7E9D">
                <w:rPr>
                  <w:rStyle w:val="Hyperlink"/>
                  <w:i/>
                  <w:iCs/>
                  <w:sz w:val="22"/>
                  <w:szCs w:val="22"/>
                </w:rPr>
                <w:t>C24/19</w:t>
              </w:r>
            </w:hyperlink>
            <w:r w:rsidR="009B7E9D" w:rsidRPr="005C4D47">
              <w:rPr>
                <w:i/>
                <w:iCs/>
                <w:sz w:val="22"/>
                <w:szCs w:val="22"/>
              </w:rPr>
              <w:t>,</w:t>
            </w:r>
            <w:r w:rsidR="005C4D47" w:rsidRPr="005C4D47">
              <w:rPr>
                <w:i/>
                <w:iCs/>
                <w:sz w:val="22"/>
                <w:szCs w:val="22"/>
              </w:rPr>
              <w:t xml:space="preserve"> </w:t>
            </w:r>
            <w:hyperlink r:id="rId19" w:history="1">
              <w:r w:rsidR="005C4D47" w:rsidRPr="005C4D47">
                <w:rPr>
                  <w:rStyle w:val="Hyperlink"/>
                  <w:i/>
                  <w:iCs/>
                  <w:sz w:val="22"/>
                  <w:szCs w:val="22"/>
                </w:rPr>
                <w:t>C24/INF/2</w:t>
              </w:r>
            </w:hyperlink>
          </w:p>
        </w:tc>
      </w:tr>
    </w:tbl>
    <w:bookmarkEnd w:id="2"/>
    <w:bookmarkEnd w:id="3"/>
    <w:bookmarkEnd w:id="4"/>
    <w:bookmarkEnd w:id="5"/>
    <w:bookmarkEnd w:id="9"/>
    <w:p w14:paraId="0FEBD1C9" w14:textId="77777777" w:rsidR="00213826" w:rsidRPr="008E257F" w:rsidRDefault="00213826" w:rsidP="00F353D4">
      <w:pPr>
        <w:pStyle w:val="Heading1"/>
        <w:rPr>
          <w:lang w:val="en-US"/>
        </w:rPr>
      </w:pPr>
      <w:r w:rsidRPr="008E257F">
        <w:rPr>
          <w:lang w:val="en-US"/>
        </w:rPr>
        <w:lastRenderedPageBreak/>
        <w:t>Introduction</w:t>
      </w:r>
    </w:p>
    <w:p w14:paraId="7E2EF522" w14:textId="11B213B7" w:rsidR="00213826" w:rsidRPr="00FD2A66" w:rsidRDefault="00213826" w:rsidP="00D35052">
      <w:pPr>
        <w:tabs>
          <w:tab w:val="clear" w:pos="567"/>
          <w:tab w:val="clear" w:pos="1134"/>
          <w:tab w:val="clear" w:pos="1701"/>
          <w:tab w:val="clear" w:pos="2268"/>
          <w:tab w:val="clear" w:pos="2835"/>
        </w:tabs>
        <w:overflowPunct/>
        <w:autoSpaceDE/>
        <w:autoSpaceDN/>
        <w:adjustRightInd/>
        <w:spacing w:before="0" w:after="120"/>
        <w:jc w:val="both"/>
        <w:textAlignment w:val="auto"/>
        <w:rPr>
          <w:lang w:val="en-US"/>
        </w:rPr>
      </w:pPr>
      <w:r w:rsidRPr="008E257F">
        <w:rPr>
          <w:lang w:val="en-US"/>
        </w:rPr>
        <w:t xml:space="preserve">The World Radiocommunication Conference, held in </w:t>
      </w:r>
      <w:r w:rsidR="008F05D1" w:rsidRPr="008E257F">
        <w:rPr>
          <w:lang w:val="en-US"/>
        </w:rPr>
        <w:t>Dubai, UAE</w:t>
      </w:r>
      <w:r w:rsidRPr="008E257F">
        <w:rPr>
          <w:lang w:val="en-US"/>
        </w:rPr>
        <w:t xml:space="preserve"> from </w:t>
      </w:r>
      <w:r w:rsidR="008238F0" w:rsidRPr="008E257F">
        <w:rPr>
          <w:lang w:val="en-US"/>
        </w:rPr>
        <w:t>20</w:t>
      </w:r>
      <w:r w:rsidRPr="008E257F">
        <w:rPr>
          <w:lang w:val="en-US"/>
        </w:rPr>
        <w:t> November</w:t>
      </w:r>
      <w:r w:rsidR="008238F0" w:rsidRPr="008E257F">
        <w:rPr>
          <w:lang w:val="en-US"/>
        </w:rPr>
        <w:t xml:space="preserve"> to 15</w:t>
      </w:r>
      <w:r w:rsidR="005C4D47">
        <w:rPr>
          <w:lang w:val="en-US"/>
        </w:rPr>
        <w:t> </w:t>
      </w:r>
      <w:r w:rsidR="008238F0" w:rsidRPr="008E257F">
        <w:rPr>
          <w:lang w:val="en-US"/>
        </w:rPr>
        <w:t>December</w:t>
      </w:r>
      <w:r w:rsidRPr="008E257F">
        <w:rPr>
          <w:lang w:val="en-US"/>
        </w:rPr>
        <w:t xml:space="preserve"> 20</w:t>
      </w:r>
      <w:r w:rsidR="008238F0" w:rsidRPr="008E257F">
        <w:rPr>
          <w:lang w:val="en-US"/>
        </w:rPr>
        <w:t>23</w:t>
      </w:r>
      <w:r w:rsidRPr="008E257F">
        <w:rPr>
          <w:lang w:val="en-US"/>
        </w:rPr>
        <w:t>, adopted some decisions on new activities, studies, and improvement of existing systems and infrastructure to enable the Radiocommunication Bureau respond in a timely manner to membership demands and also address strategic issues that will require the attention of WRC-2</w:t>
      </w:r>
      <w:r w:rsidR="008238F0" w:rsidRPr="008E257F">
        <w:rPr>
          <w:lang w:val="en-US"/>
        </w:rPr>
        <w:t>7</w:t>
      </w:r>
      <w:r w:rsidRPr="008E257F">
        <w:rPr>
          <w:lang w:val="en-US"/>
        </w:rPr>
        <w:t>.</w:t>
      </w:r>
      <w:r w:rsidR="008238F0" w:rsidRPr="008E257F">
        <w:rPr>
          <w:lang w:val="en-US"/>
        </w:rPr>
        <w:t xml:space="preserve"> </w:t>
      </w:r>
      <w:r w:rsidRPr="008E257F">
        <w:rPr>
          <w:lang w:val="en-US"/>
        </w:rPr>
        <w:t>WRC-</w:t>
      </w:r>
      <w:r w:rsidR="008238F0" w:rsidRPr="008E257F">
        <w:rPr>
          <w:lang w:val="en-US"/>
        </w:rPr>
        <w:t>23</w:t>
      </w:r>
      <w:r w:rsidRPr="008E257F">
        <w:rPr>
          <w:lang w:val="en-US"/>
        </w:rPr>
        <w:t xml:space="preserve"> identified these activities as priority areas</w:t>
      </w:r>
      <w:r w:rsidRPr="00213826">
        <w:rPr>
          <w:lang w:val="en-US"/>
        </w:rPr>
        <w:t xml:space="preserve"> for the ITU-R and the Radiocommunication Bureau is mandated to implement these activities and report to the forthcoming Conference (WRC</w:t>
      </w:r>
      <w:r w:rsidRPr="00213826">
        <w:rPr>
          <w:lang w:val="en-US"/>
        </w:rPr>
        <w:noBreakHyphen/>
      </w:r>
      <w:r w:rsidR="008238F0">
        <w:rPr>
          <w:lang w:val="en-US"/>
        </w:rPr>
        <w:t>27</w:t>
      </w:r>
      <w:r w:rsidRPr="00213826">
        <w:rPr>
          <w:lang w:val="en-US"/>
        </w:rPr>
        <w:t xml:space="preserve">). </w:t>
      </w:r>
    </w:p>
    <w:p w14:paraId="7EAFA0EA" w14:textId="3D9312BA" w:rsidR="00B01F40" w:rsidRPr="00B01F40" w:rsidRDefault="00213826" w:rsidP="00F353D4">
      <w:pPr>
        <w:pStyle w:val="Heading1"/>
      </w:pPr>
      <w:r w:rsidRPr="003E3AC0">
        <w:rPr>
          <w:spacing w:val="2"/>
          <w:lang w:val="en-US"/>
        </w:rPr>
        <w:t>Financial implications of decisions or resolutions of the Conference</w:t>
      </w:r>
      <w:r w:rsidRPr="00F353D4">
        <w:rPr>
          <w:lang w:val="en-US"/>
        </w:rPr>
        <w:t xml:space="preserve"> (WRC-</w:t>
      </w:r>
      <w:r w:rsidR="0052348A" w:rsidRPr="00F353D4">
        <w:rPr>
          <w:lang w:val="en-US"/>
        </w:rPr>
        <w:t>23</w:t>
      </w:r>
      <w:r w:rsidRPr="00F353D4">
        <w:rPr>
          <w:lang w:val="en-US"/>
        </w:rPr>
        <w:t xml:space="preserve">) </w:t>
      </w:r>
    </w:p>
    <w:p w14:paraId="6EA739F6" w14:textId="4FE9FE9E" w:rsidR="00D2372F" w:rsidRDefault="004E11CE" w:rsidP="00D35052">
      <w:pPr>
        <w:tabs>
          <w:tab w:val="clear" w:pos="567"/>
          <w:tab w:val="clear" w:pos="1134"/>
          <w:tab w:val="clear" w:pos="1701"/>
          <w:tab w:val="clear" w:pos="2268"/>
          <w:tab w:val="clear" w:pos="2835"/>
        </w:tabs>
        <w:overflowPunct/>
        <w:autoSpaceDE/>
        <w:autoSpaceDN/>
        <w:adjustRightInd/>
        <w:spacing w:before="0"/>
        <w:jc w:val="both"/>
        <w:textAlignment w:val="auto"/>
      </w:pPr>
      <w:r w:rsidRPr="00977AAA">
        <w:rPr>
          <w:lang w:val="en-US"/>
        </w:rPr>
        <w:t>O</w:t>
      </w:r>
      <w:r w:rsidR="007A0244" w:rsidRPr="00C756C8">
        <w:t xml:space="preserve">n the basis of the outcomes of the conference, the </w:t>
      </w:r>
      <w:r w:rsidR="001B0143">
        <w:t>Budget</w:t>
      </w:r>
      <w:r w:rsidR="00CE1537">
        <w:t xml:space="preserve"> Control</w:t>
      </w:r>
      <w:r w:rsidR="001B0143">
        <w:t xml:space="preserve"> Committee estimated </w:t>
      </w:r>
      <w:r w:rsidR="001B0143" w:rsidRPr="005C72EB">
        <w:rPr>
          <w:spacing w:val="-2"/>
        </w:rPr>
        <w:t xml:space="preserve">that the </w:t>
      </w:r>
      <w:r w:rsidR="007A0244" w:rsidRPr="005C72EB">
        <w:rPr>
          <w:spacing w:val="-2"/>
        </w:rPr>
        <w:t>financial implications of the WRC-23 decisions were CHF 12.5 million</w:t>
      </w:r>
      <w:r w:rsidR="00F77F57" w:rsidRPr="005C72EB">
        <w:rPr>
          <w:spacing w:val="-2"/>
        </w:rPr>
        <w:t xml:space="preserve"> (see </w:t>
      </w:r>
      <w:hyperlink r:id="rId20" w:history="1">
        <w:r w:rsidR="005C72EB" w:rsidRPr="005C72EB">
          <w:rPr>
            <w:rStyle w:val="Hyperlink"/>
            <w:spacing w:val="-2"/>
          </w:rPr>
          <w:t>C24/</w:t>
        </w:r>
        <w:r w:rsidR="00F77F57" w:rsidRPr="005C72EB">
          <w:rPr>
            <w:rStyle w:val="Hyperlink"/>
            <w:spacing w:val="-2"/>
          </w:rPr>
          <w:t>INF</w:t>
        </w:r>
        <w:r w:rsidR="005C72EB" w:rsidRPr="005C72EB">
          <w:rPr>
            <w:rStyle w:val="Hyperlink"/>
            <w:spacing w:val="-2"/>
          </w:rPr>
          <w:t>/2</w:t>
        </w:r>
      </w:hyperlink>
      <w:r w:rsidR="00F77F57" w:rsidRPr="005C72EB">
        <w:rPr>
          <w:spacing w:val="-2"/>
        </w:rPr>
        <w:t>)</w:t>
      </w:r>
      <w:r w:rsidR="007A0244" w:rsidRPr="005C72EB">
        <w:rPr>
          <w:spacing w:val="-2"/>
        </w:rPr>
        <w:t>.</w:t>
      </w:r>
      <w:r w:rsidR="00B20F50">
        <w:t xml:space="preserve"> </w:t>
      </w:r>
      <w:r w:rsidR="001C03AE">
        <w:t>For convenience</w:t>
      </w:r>
      <w:r w:rsidR="00C7530E">
        <w:t>, th</w:t>
      </w:r>
      <w:r w:rsidR="001125C3">
        <w:t xml:space="preserve">is section </w:t>
      </w:r>
      <w:r w:rsidR="00483D33">
        <w:t>pr</w:t>
      </w:r>
      <w:r w:rsidR="00721332">
        <w:t>esents</w:t>
      </w:r>
      <w:r w:rsidR="001125C3">
        <w:t xml:space="preserve"> the </w:t>
      </w:r>
      <w:r w:rsidR="0096689A">
        <w:t xml:space="preserve">information </w:t>
      </w:r>
      <w:r w:rsidR="00721332">
        <w:t>provided</w:t>
      </w:r>
      <w:r w:rsidR="0096689A">
        <w:t xml:space="preserve"> in the Report of the WRC-23 Budget </w:t>
      </w:r>
      <w:r w:rsidR="007E2E9B">
        <w:t xml:space="preserve">Control </w:t>
      </w:r>
      <w:r w:rsidR="0096689A">
        <w:t xml:space="preserve">Committee. </w:t>
      </w:r>
      <w:r w:rsidR="00080BE8">
        <w:t>Table 1</w:t>
      </w:r>
      <w:r w:rsidR="007A0244" w:rsidRPr="00C756C8">
        <w:t xml:space="preserve"> sets forth </w:t>
      </w:r>
      <w:r w:rsidR="00080BE8">
        <w:t xml:space="preserve">overall summary of the estimates </w:t>
      </w:r>
      <w:r w:rsidR="00D72497">
        <w:t xml:space="preserve">in </w:t>
      </w:r>
      <w:r w:rsidR="00D2372F">
        <w:t>each of the</w:t>
      </w:r>
      <w:r w:rsidR="00D72497">
        <w:t xml:space="preserve"> major</w:t>
      </w:r>
      <w:r w:rsidR="00D2372F">
        <w:t xml:space="preserve"> areas of responsibilities, as follows:</w:t>
      </w:r>
    </w:p>
    <w:p w14:paraId="67E7E932" w14:textId="77777777" w:rsidR="005C72EB" w:rsidRDefault="005C72EB" w:rsidP="00B01F40">
      <w:pPr>
        <w:tabs>
          <w:tab w:val="clear" w:pos="567"/>
          <w:tab w:val="clear" w:pos="1134"/>
          <w:tab w:val="clear" w:pos="1701"/>
          <w:tab w:val="clear" w:pos="2268"/>
          <w:tab w:val="clear" w:pos="2835"/>
        </w:tabs>
        <w:overflowPunct/>
        <w:autoSpaceDE/>
        <w:autoSpaceDN/>
        <w:adjustRightInd/>
        <w:spacing w:before="0"/>
        <w:textAlignment w:val="auto"/>
      </w:pPr>
    </w:p>
    <w:p w14:paraId="3E639453" w14:textId="49D372DA" w:rsidR="00D2372F" w:rsidRDefault="00D2372F" w:rsidP="00D35052">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bCs/>
        </w:rPr>
      </w:pPr>
      <w:r w:rsidRPr="00981CAD">
        <w:rPr>
          <w:bCs/>
        </w:rPr>
        <w:t xml:space="preserve">Study Group </w:t>
      </w:r>
      <w:r w:rsidR="00981CAD" w:rsidRPr="00981CAD">
        <w:rPr>
          <w:bCs/>
        </w:rPr>
        <w:t>–</w:t>
      </w:r>
      <w:r w:rsidRPr="00981CAD">
        <w:rPr>
          <w:bCs/>
        </w:rPr>
        <w:t xml:space="preserve"> </w:t>
      </w:r>
      <w:r w:rsidR="00981CAD" w:rsidRPr="00981CAD">
        <w:rPr>
          <w:bCs/>
        </w:rPr>
        <w:t>financial implications related to preparations for the 2027 and 2031 World Radiocommunication Conferences</w:t>
      </w:r>
    </w:p>
    <w:p w14:paraId="1CB08FDC" w14:textId="4A327714" w:rsidR="00C311F1" w:rsidRDefault="00C311F1" w:rsidP="00D35052">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bCs/>
        </w:rPr>
      </w:pPr>
      <w:r>
        <w:rPr>
          <w:bCs/>
        </w:rPr>
        <w:t xml:space="preserve">Terrestrial - financial implications related to updates to the </w:t>
      </w:r>
      <w:r w:rsidR="00977AAA">
        <w:rPr>
          <w:bCs/>
        </w:rPr>
        <w:t>radio regulations related to the terrestrial services</w:t>
      </w:r>
    </w:p>
    <w:p w14:paraId="01E50741" w14:textId="14073986" w:rsidR="00977AAA" w:rsidRPr="00981CAD" w:rsidRDefault="00977AAA" w:rsidP="00D35052">
      <w:pPr>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rPr>
          <w:bCs/>
        </w:rPr>
      </w:pPr>
      <w:r>
        <w:rPr>
          <w:bCs/>
        </w:rPr>
        <w:t>Space - financial implications related to updates to the radio regulations related to the space services</w:t>
      </w:r>
    </w:p>
    <w:p w14:paraId="195C51DC" w14:textId="77777777" w:rsidR="00FD2A66" w:rsidRPr="00977AAA" w:rsidRDefault="00FD2A66" w:rsidP="00080BE8">
      <w:pPr>
        <w:rPr>
          <w:lang w:val="en-US"/>
        </w:rPr>
      </w:pPr>
    </w:p>
    <w:p w14:paraId="38AD38E1" w14:textId="77777777" w:rsidR="005C72EB" w:rsidRDefault="00710734" w:rsidP="005C72EB">
      <w:pPr>
        <w:pStyle w:val="TableNo"/>
        <w:spacing w:before="0" w:after="0"/>
        <w:rPr>
          <w:b/>
          <w:bCs/>
        </w:rPr>
      </w:pPr>
      <w:r w:rsidRPr="00EF0B4D">
        <w:rPr>
          <w:b/>
          <w:bCs/>
        </w:rPr>
        <w:t>Table 1</w:t>
      </w:r>
    </w:p>
    <w:p w14:paraId="15E116C9" w14:textId="686BD040" w:rsidR="00FC12D3" w:rsidRPr="00FC12D3" w:rsidRDefault="0008312E" w:rsidP="00FC12D3">
      <w:pPr>
        <w:pStyle w:val="TableNo"/>
        <w:spacing w:before="0"/>
        <w:rPr>
          <w:b/>
          <w:bCs/>
        </w:rPr>
      </w:pPr>
      <w:r>
        <w:rPr>
          <w:b/>
          <w:bCs/>
        </w:rPr>
        <w:t xml:space="preserve">FINANCIAL IMPLICATIONS </w:t>
      </w:r>
      <w:r w:rsidR="00E64EF6">
        <w:rPr>
          <w:b/>
          <w:bCs/>
        </w:rPr>
        <w:t>FOR</w:t>
      </w:r>
      <w:r w:rsidR="00FC12D3">
        <w:rPr>
          <w:b/>
          <w:bCs/>
        </w:rPr>
        <w:t xml:space="preserve"> 2024 – 2027</w:t>
      </w:r>
    </w:p>
    <w:p w14:paraId="6490288E" w14:textId="77777777" w:rsidR="00710734" w:rsidRDefault="00710734" w:rsidP="00710734">
      <w:pPr>
        <w:rPr>
          <w:b/>
          <w:bCs/>
        </w:rPr>
      </w:pPr>
      <w:r w:rsidRPr="00C756C8">
        <w:rPr>
          <w:b/>
          <w:bCs/>
          <w:noProof/>
        </w:rPr>
        <w:drawing>
          <wp:inline distT="0" distB="0" distL="0" distR="0" wp14:anchorId="459BA42E" wp14:editId="1EA43596">
            <wp:extent cx="6054654" cy="1271358"/>
            <wp:effectExtent l="0" t="0" r="3810" b="5080"/>
            <wp:docPr id="725283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283219" name=""/>
                    <pic:cNvPicPr/>
                  </pic:nvPicPr>
                  <pic:blipFill>
                    <a:blip r:embed="rId21"/>
                    <a:stretch>
                      <a:fillRect/>
                    </a:stretch>
                  </pic:blipFill>
                  <pic:spPr>
                    <a:xfrm>
                      <a:off x="0" y="0"/>
                      <a:ext cx="6081848" cy="1277068"/>
                    </a:xfrm>
                    <a:prstGeom prst="rect">
                      <a:avLst/>
                    </a:prstGeom>
                  </pic:spPr>
                </pic:pic>
              </a:graphicData>
            </a:graphic>
          </wp:inline>
        </w:drawing>
      </w:r>
    </w:p>
    <w:p w14:paraId="5AC54F76" w14:textId="77777777" w:rsidR="00F353D4" w:rsidRDefault="00F353D4" w:rsidP="00710734">
      <w:pPr>
        <w:rPr>
          <w:b/>
          <w:bCs/>
        </w:rPr>
      </w:pPr>
    </w:p>
    <w:p w14:paraId="38B66F39" w14:textId="25E29632" w:rsidR="00C21886" w:rsidRDefault="009B3C51" w:rsidP="009C4018">
      <w:pPr>
        <w:pStyle w:val="Heading2"/>
      </w:pPr>
      <w:r>
        <w:t xml:space="preserve">Financial implications </w:t>
      </w:r>
      <w:r w:rsidR="006C23EF">
        <w:t>for WRC-27 preparations</w:t>
      </w:r>
      <w:r w:rsidR="00280526">
        <w:t xml:space="preserve"> and for terrestrial and space services</w:t>
      </w:r>
      <w:r w:rsidR="00C21886">
        <w:t xml:space="preserve"> </w:t>
      </w:r>
    </w:p>
    <w:p w14:paraId="7A6EFF70" w14:textId="6A53428E" w:rsidR="009C4018" w:rsidRDefault="00B341C3" w:rsidP="00D35052">
      <w:pPr>
        <w:jc w:val="both"/>
        <w:rPr>
          <w:lang w:val="en-US"/>
        </w:rPr>
      </w:pPr>
      <w:r>
        <w:t xml:space="preserve">The Budget Control Committee </w:t>
      </w:r>
      <w:r w:rsidR="00C70A70">
        <w:t>identified</w:t>
      </w:r>
      <w:r>
        <w:t xml:space="preserve"> </w:t>
      </w:r>
      <w:r w:rsidR="00667F24">
        <w:t xml:space="preserve">the </w:t>
      </w:r>
      <w:r w:rsidR="00C70A70">
        <w:t xml:space="preserve">costs </w:t>
      </w:r>
      <w:r w:rsidR="00667F24">
        <w:t>of the WRC-23 decisions with</w:t>
      </w:r>
      <w:r w:rsidR="00C70A70">
        <w:t xml:space="preserve"> respect to the</w:t>
      </w:r>
      <w:r w:rsidR="008C13E6">
        <w:t xml:space="preserve"> </w:t>
      </w:r>
      <w:r w:rsidR="0086367A">
        <w:t>resources needed to prepare for WRC-27, which</w:t>
      </w:r>
      <w:r w:rsidR="008853C8">
        <w:t xml:space="preserve"> is </w:t>
      </w:r>
      <w:r w:rsidR="00C06B1B">
        <w:t xml:space="preserve">mainly </w:t>
      </w:r>
      <w:r w:rsidR="008853C8">
        <w:t xml:space="preserve">borne by the BR Study Groups </w:t>
      </w:r>
      <w:r w:rsidR="00C06B1B">
        <w:t xml:space="preserve">Department, </w:t>
      </w:r>
      <w:r w:rsidR="00D66601">
        <w:t xml:space="preserve">the costs of updating BR software systems used in </w:t>
      </w:r>
      <w:r w:rsidR="00303DFD">
        <w:t xml:space="preserve">filing and processing applications for </w:t>
      </w:r>
      <w:r w:rsidR="00145151">
        <w:t xml:space="preserve">frequency assignments in the terrestrial or space services, and </w:t>
      </w:r>
      <w:r w:rsidR="00911C71">
        <w:t>the costs</w:t>
      </w:r>
      <w:r w:rsidR="00FE1050">
        <w:t xml:space="preserve"> </w:t>
      </w:r>
      <w:r w:rsidR="00704933">
        <w:t>of</w:t>
      </w:r>
      <w:r w:rsidR="00FE1050">
        <w:t xml:space="preserve"> additional </w:t>
      </w:r>
      <w:r w:rsidR="00704933">
        <w:t xml:space="preserve">staff needed </w:t>
      </w:r>
      <w:r w:rsidR="00957AEA">
        <w:t>to address</w:t>
      </w:r>
      <w:r w:rsidR="004B5608">
        <w:t xml:space="preserve"> higher workloads </w:t>
      </w:r>
      <w:r w:rsidR="00957AEA">
        <w:t xml:space="preserve">in </w:t>
      </w:r>
      <w:r w:rsidR="004B5608">
        <w:t>identified</w:t>
      </w:r>
      <w:r w:rsidR="00957AEA">
        <w:t xml:space="preserve"> areas.</w:t>
      </w:r>
      <w:r w:rsidR="00FE1050">
        <w:t xml:space="preserve"> </w:t>
      </w:r>
      <w:r w:rsidR="009C4018">
        <w:t>Tables 2</w:t>
      </w:r>
      <w:r w:rsidR="00446E60">
        <w:t>-1</w:t>
      </w:r>
      <w:r w:rsidR="009C4018">
        <w:t xml:space="preserve">, </w:t>
      </w:r>
      <w:r w:rsidR="00F12FD9">
        <w:t>2-2</w:t>
      </w:r>
      <w:r w:rsidR="009C4018">
        <w:t xml:space="preserve"> and </w:t>
      </w:r>
      <w:r w:rsidR="00F12FD9">
        <w:t>2-3</w:t>
      </w:r>
      <w:r w:rsidR="009C4018" w:rsidRPr="00977AAA">
        <w:rPr>
          <w:lang w:val="en-US"/>
        </w:rPr>
        <w:t xml:space="preserve"> provide the details of the financial implications of the WRC-23 in terms of both one-time and annual recurring costs.</w:t>
      </w:r>
    </w:p>
    <w:p w14:paraId="48FE86F5" w14:textId="77777777" w:rsidR="005C72EB" w:rsidRDefault="00131CA4" w:rsidP="005C72EB">
      <w:pPr>
        <w:pStyle w:val="TableNo"/>
        <w:spacing w:after="0"/>
        <w:rPr>
          <w:b/>
          <w:bCs/>
        </w:rPr>
      </w:pPr>
      <w:r w:rsidRPr="003E3067">
        <w:rPr>
          <w:b/>
          <w:bCs/>
        </w:rPr>
        <w:lastRenderedPageBreak/>
        <w:t>Table 2</w:t>
      </w:r>
      <w:r w:rsidR="00F12FD9" w:rsidRPr="003E3067">
        <w:rPr>
          <w:b/>
          <w:bCs/>
        </w:rPr>
        <w:t>-1</w:t>
      </w:r>
    </w:p>
    <w:p w14:paraId="70064A48" w14:textId="0E756709" w:rsidR="00131CA4" w:rsidRPr="003E3067" w:rsidRDefault="00C71974" w:rsidP="005C72EB">
      <w:pPr>
        <w:pStyle w:val="TableNo"/>
        <w:spacing w:before="0"/>
        <w:rPr>
          <w:b/>
          <w:bCs/>
        </w:rPr>
      </w:pPr>
      <w:r w:rsidRPr="003E3067">
        <w:rPr>
          <w:b/>
          <w:bCs/>
        </w:rPr>
        <w:t>ADDITIONAL COSTS FOR WRC-27 PREPARATIONS</w:t>
      </w:r>
    </w:p>
    <w:p w14:paraId="3C5C93A2" w14:textId="77777777" w:rsidR="00131CA4" w:rsidRPr="00C756C8" w:rsidRDefault="00131CA4" w:rsidP="00131CA4">
      <w:pPr>
        <w:tabs>
          <w:tab w:val="clear" w:pos="1134"/>
          <w:tab w:val="clear" w:pos="2268"/>
        </w:tabs>
        <w:overflowPunct/>
        <w:autoSpaceDE/>
        <w:autoSpaceDN/>
        <w:adjustRightInd/>
        <w:spacing w:before="0"/>
        <w:textAlignment w:val="auto"/>
        <w:rPr>
          <w:b/>
          <w:bCs/>
        </w:rPr>
      </w:pPr>
      <w:r w:rsidRPr="00C756C8">
        <w:rPr>
          <w:b/>
          <w:bCs/>
          <w:noProof/>
        </w:rPr>
        <w:drawing>
          <wp:inline distT="0" distB="0" distL="0" distR="0" wp14:anchorId="13AD259F" wp14:editId="321A24E6">
            <wp:extent cx="6155710" cy="2151529"/>
            <wp:effectExtent l="0" t="0" r="0" b="1270"/>
            <wp:docPr id="326176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76860" name=""/>
                    <pic:cNvPicPr/>
                  </pic:nvPicPr>
                  <pic:blipFill>
                    <a:blip r:embed="rId22"/>
                    <a:stretch>
                      <a:fillRect/>
                    </a:stretch>
                  </pic:blipFill>
                  <pic:spPr>
                    <a:xfrm>
                      <a:off x="0" y="0"/>
                      <a:ext cx="6185642" cy="2161991"/>
                    </a:xfrm>
                    <a:prstGeom prst="rect">
                      <a:avLst/>
                    </a:prstGeom>
                  </pic:spPr>
                </pic:pic>
              </a:graphicData>
            </a:graphic>
          </wp:inline>
        </w:drawing>
      </w:r>
    </w:p>
    <w:p w14:paraId="469881D9" w14:textId="77777777" w:rsidR="00131CA4" w:rsidRDefault="00131CA4" w:rsidP="00131CA4"/>
    <w:p w14:paraId="54A3637E" w14:textId="77777777" w:rsidR="005C72EB" w:rsidRDefault="00131CA4" w:rsidP="005C72EB">
      <w:pPr>
        <w:pStyle w:val="TableNo"/>
        <w:spacing w:after="0"/>
        <w:rPr>
          <w:b/>
          <w:bCs/>
        </w:rPr>
      </w:pPr>
      <w:r w:rsidRPr="003E3067">
        <w:rPr>
          <w:b/>
          <w:bCs/>
        </w:rPr>
        <w:t xml:space="preserve">Table </w:t>
      </w:r>
      <w:r w:rsidR="00F12FD9" w:rsidRPr="003E3067">
        <w:rPr>
          <w:b/>
          <w:bCs/>
        </w:rPr>
        <w:t>2-2</w:t>
      </w:r>
      <w:bookmarkStart w:id="10" w:name="_Hlk163206056"/>
    </w:p>
    <w:p w14:paraId="43E5958E" w14:textId="085F8CA6" w:rsidR="00B82099" w:rsidRPr="003E3067" w:rsidRDefault="00E73BB1" w:rsidP="005C72EB">
      <w:pPr>
        <w:pStyle w:val="TableNo"/>
        <w:spacing w:before="0"/>
        <w:rPr>
          <w:b/>
          <w:bCs/>
        </w:rPr>
      </w:pPr>
      <w:r w:rsidRPr="003E3067">
        <w:rPr>
          <w:b/>
          <w:bCs/>
        </w:rPr>
        <w:t xml:space="preserve">ADDITIONAL </w:t>
      </w:r>
      <w:r w:rsidR="00B77D0F" w:rsidRPr="003E3067">
        <w:rPr>
          <w:b/>
          <w:bCs/>
        </w:rPr>
        <w:t xml:space="preserve">cOSTS </w:t>
      </w:r>
      <w:r w:rsidR="004B3E1A" w:rsidRPr="003E3067">
        <w:rPr>
          <w:b/>
          <w:bCs/>
        </w:rPr>
        <w:t>FOR TERRESTRIAL SERVICES SOFTWARE DEVELOPMENT</w:t>
      </w:r>
      <w:bookmarkEnd w:id="10"/>
    </w:p>
    <w:p w14:paraId="02CCBA3F" w14:textId="77777777" w:rsidR="00131CA4" w:rsidRPr="00C756C8" w:rsidRDefault="00131CA4" w:rsidP="00131CA4">
      <w:pPr>
        <w:jc w:val="center"/>
      </w:pPr>
      <w:r w:rsidRPr="00C756C8">
        <w:rPr>
          <w:noProof/>
        </w:rPr>
        <w:drawing>
          <wp:inline distT="0" distB="0" distL="0" distR="0" wp14:anchorId="44D35767" wp14:editId="08B5899C">
            <wp:extent cx="6155690" cy="1456700"/>
            <wp:effectExtent l="0" t="0" r="0" b="0"/>
            <wp:docPr id="81430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303539" name=""/>
                    <pic:cNvPicPr/>
                  </pic:nvPicPr>
                  <pic:blipFill>
                    <a:blip r:embed="rId23"/>
                    <a:stretch>
                      <a:fillRect/>
                    </a:stretch>
                  </pic:blipFill>
                  <pic:spPr>
                    <a:xfrm>
                      <a:off x="0" y="0"/>
                      <a:ext cx="6173781" cy="1460981"/>
                    </a:xfrm>
                    <a:prstGeom prst="rect">
                      <a:avLst/>
                    </a:prstGeom>
                  </pic:spPr>
                </pic:pic>
              </a:graphicData>
            </a:graphic>
          </wp:inline>
        </w:drawing>
      </w:r>
    </w:p>
    <w:p w14:paraId="0311AE93" w14:textId="77777777" w:rsidR="00131CA4" w:rsidRPr="00C756C8" w:rsidRDefault="00131CA4" w:rsidP="00131CA4">
      <w:pPr>
        <w:tabs>
          <w:tab w:val="clear" w:pos="1134"/>
          <w:tab w:val="clear" w:pos="2268"/>
        </w:tabs>
        <w:overflowPunct/>
        <w:autoSpaceDE/>
        <w:autoSpaceDN/>
        <w:adjustRightInd/>
        <w:spacing w:before="0"/>
        <w:textAlignment w:val="auto"/>
      </w:pPr>
    </w:p>
    <w:p w14:paraId="1462ECD2" w14:textId="77777777" w:rsidR="004B3E1A" w:rsidRDefault="004B3E1A">
      <w:pPr>
        <w:tabs>
          <w:tab w:val="clear" w:pos="567"/>
          <w:tab w:val="clear" w:pos="1134"/>
          <w:tab w:val="clear" w:pos="1701"/>
          <w:tab w:val="clear" w:pos="2268"/>
          <w:tab w:val="clear" w:pos="2835"/>
        </w:tabs>
        <w:overflowPunct/>
        <w:autoSpaceDE/>
        <w:autoSpaceDN/>
        <w:adjustRightInd/>
        <w:spacing w:before="0"/>
        <w:textAlignment w:val="auto"/>
        <w:rPr>
          <w:caps/>
        </w:rPr>
      </w:pPr>
      <w:r>
        <w:br w:type="page"/>
      </w:r>
    </w:p>
    <w:p w14:paraId="11A74941" w14:textId="77777777" w:rsidR="005C72EB" w:rsidRDefault="002316F6" w:rsidP="005C72EB">
      <w:pPr>
        <w:pStyle w:val="TableNo"/>
        <w:spacing w:after="0"/>
        <w:rPr>
          <w:b/>
          <w:bCs/>
        </w:rPr>
      </w:pPr>
      <w:r w:rsidRPr="003E3067">
        <w:rPr>
          <w:b/>
          <w:bCs/>
        </w:rPr>
        <w:lastRenderedPageBreak/>
        <w:t xml:space="preserve">Table </w:t>
      </w:r>
      <w:r w:rsidR="00F12FD9" w:rsidRPr="003E3067">
        <w:rPr>
          <w:b/>
          <w:bCs/>
        </w:rPr>
        <w:t>2-3</w:t>
      </w:r>
    </w:p>
    <w:p w14:paraId="66EE171F" w14:textId="1CCA22D7" w:rsidR="002316F6" w:rsidRPr="003E3067" w:rsidRDefault="002316F6" w:rsidP="005C72EB">
      <w:pPr>
        <w:pStyle w:val="TableNo"/>
        <w:spacing w:before="0"/>
        <w:rPr>
          <w:b/>
          <w:bCs/>
        </w:rPr>
      </w:pPr>
      <w:r w:rsidRPr="003E3067">
        <w:rPr>
          <w:b/>
          <w:bCs/>
        </w:rPr>
        <w:t xml:space="preserve">ADDITIONAL cOSTS FOR </w:t>
      </w:r>
      <w:r w:rsidR="00693A86" w:rsidRPr="003E3067">
        <w:rPr>
          <w:b/>
          <w:bCs/>
        </w:rPr>
        <w:t>space</w:t>
      </w:r>
      <w:r w:rsidRPr="003E3067">
        <w:rPr>
          <w:b/>
          <w:bCs/>
        </w:rPr>
        <w:t xml:space="preserve"> SERVICES SOFTWARE DEVELOPMENT</w:t>
      </w:r>
    </w:p>
    <w:p w14:paraId="362D84D5" w14:textId="14EEF452" w:rsidR="00131CA4" w:rsidRPr="00C756C8" w:rsidRDefault="00131CA4" w:rsidP="00131CA4">
      <w:pPr>
        <w:rPr>
          <w:b/>
          <w:bCs/>
        </w:rPr>
      </w:pPr>
      <w:r w:rsidRPr="00C756C8">
        <w:rPr>
          <w:noProof/>
        </w:rPr>
        <w:drawing>
          <wp:inline distT="0" distB="0" distL="0" distR="0" wp14:anchorId="2E1FA251" wp14:editId="0EA2BD91">
            <wp:extent cx="6120765" cy="5017770"/>
            <wp:effectExtent l="0" t="0" r="635" b="0"/>
            <wp:docPr id="72004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43186" name=""/>
                    <pic:cNvPicPr/>
                  </pic:nvPicPr>
                  <pic:blipFill>
                    <a:blip r:embed="rId24"/>
                    <a:stretch>
                      <a:fillRect/>
                    </a:stretch>
                  </pic:blipFill>
                  <pic:spPr>
                    <a:xfrm>
                      <a:off x="0" y="0"/>
                      <a:ext cx="6120765" cy="5017770"/>
                    </a:xfrm>
                    <a:prstGeom prst="rect">
                      <a:avLst/>
                    </a:prstGeom>
                  </pic:spPr>
                </pic:pic>
              </a:graphicData>
            </a:graphic>
          </wp:inline>
        </w:drawing>
      </w:r>
    </w:p>
    <w:p w14:paraId="2A454F03" w14:textId="513E6F7F" w:rsidR="008F0CE8" w:rsidRDefault="0049259C" w:rsidP="00F353D4">
      <w:pPr>
        <w:pStyle w:val="Heading1"/>
      </w:pPr>
      <w:bookmarkStart w:id="11" w:name="_Hlk163251339"/>
      <w:r>
        <w:t xml:space="preserve">2024 </w:t>
      </w:r>
      <w:r w:rsidR="00D94027">
        <w:t>Budgetary</w:t>
      </w:r>
      <w:r w:rsidR="008F0CE8">
        <w:t xml:space="preserve"> </w:t>
      </w:r>
      <w:r w:rsidR="00E64EF6">
        <w:t>i</w:t>
      </w:r>
      <w:r w:rsidR="008F0CE8">
        <w:t xml:space="preserve">mplications </w:t>
      </w:r>
      <w:r w:rsidR="00A11A09">
        <w:t xml:space="preserve">of </w:t>
      </w:r>
      <w:r w:rsidR="008F0CE8">
        <w:t>WRC-2</w:t>
      </w:r>
      <w:r w:rsidR="00A11A09">
        <w:t>3</w:t>
      </w:r>
      <w:r w:rsidR="008F0CE8">
        <w:t xml:space="preserve"> </w:t>
      </w:r>
      <w:r w:rsidR="00E64EF6">
        <w:t>d</w:t>
      </w:r>
      <w:r w:rsidR="00A11A09">
        <w:t>ecisions</w:t>
      </w:r>
    </w:p>
    <w:bookmarkEnd w:id="11"/>
    <w:p w14:paraId="645BF695" w14:textId="635355EE" w:rsidR="00BA3E1F" w:rsidRDefault="00A11A09" w:rsidP="0049259C">
      <w:pPr>
        <w:pStyle w:val="Heading2"/>
        <w:rPr>
          <w:lang w:val="en-US"/>
        </w:rPr>
      </w:pPr>
      <w:r>
        <w:rPr>
          <w:lang w:val="en-US"/>
        </w:rPr>
        <w:t xml:space="preserve">2024 </w:t>
      </w:r>
      <w:r w:rsidR="0055202F">
        <w:rPr>
          <w:lang w:val="en-US"/>
        </w:rPr>
        <w:t>Budgetary</w:t>
      </w:r>
      <w:r w:rsidR="00284733" w:rsidRPr="00284733">
        <w:rPr>
          <w:lang w:val="en-US"/>
        </w:rPr>
        <w:t xml:space="preserve"> implications for WRC-27 </w:t>
      </w:r>
      <w:r w:rsidR="00E64EF6">
        <w:rPr>
          <w:lang w:val="en-US"/>
        </w:rPr>
        <w:t>p</w:t>
      </w:r>
      <w:r w:rsidR="00284733" w:rsidRPr="00284733">
        <w:rPr>
          <w:lang w:val="en-US"/>
        </w:rPr>
        <w:t>reparations</w:t>
      </w:r>
    </w:p>
    <w:p w14:paraId="7C94C67A" w14:textId="08299A5E" w:rsidR="001A235D" w:rsidRPr="00CE4CAE" w:rsidRDefault="001A235D" w:rsidP="00D35052">
      <w:pPr>
        <w:jc w:val="both"/>
        <w:rPr>
          <w:lang w:val="en-US"/>
        </w:rPr>
      </w:pPr>
      <w:r>
        <w:rPr>
          <w:lang w:val="en-US"/>
        </w:rPr>
        <w:t xml:space="preserve">The preparatory process for the WRC-27 is being initiated by each ITU-R Study Group and its associated Working Parties, in accordance with the outcomes and decisions of the first Conference Preparatory Meeting for the WRC-27, which was held in Dubai, UAE on 18-19 December 2023 and reported in </w:t>
      </w:r>
      <w:hyperlink r:id="rId25" w:history="1">
        <w:r w:rsidRPr="00CE4CAE">
          <w:rPr>
            <w:rStyle w:val="Hyperlink"/>
            <w:lang w:val="en-US"/>
          </w:rPr>
          <w:t>CA-270</w:t>
        </w:r>
      </w:hyperlink>
      <w:r>
        <w:rPr>
          <w:lang w:val="en-US"/>
        </w:rPr>
        <w:t xml:space="preserve">. </w:t>
      </w:r>
      <w:r w:rsidR="004122D5">
        <w:rPr>
          <w:lang w:val="en-US"/>
        </w:rPr>
        <w:t xml:space="preserve">The Budget Control Committee identified that </w:t>
      </w:r>
      <w:r w:rsidR="000D12F6">
        <w:rPr>
          <w:lang w:val="en-US"/>
        </w:rPr>
        <w:t>some of WRC-</w:t>
      </w:r>
      <w:r w:rsidR="00EB2E99">
        <w:rPr>
          <w:lang w:val="en-US"/>
        </w:rPr>
        <w:t>27 agenda</w:t>
      </w:r>
      <w:r w:rsidR="00042C2E">
        <w:rPr>
          <w:lang w:val="en-US"/>
        </w:rPr>
        <w:t xml:space="preserve"> items would </w:t>
      </w:r>
      <w:r w:rsidR="008E00EE">
        <w:rPr>
          <w:lang w:val="en-US"/>
        </w:rPr>
        <w:t>require holding more meetings and producing more</w:t>
      </w:r>
      <w:r w:rsidR="00236C4C">
        <w:rPr>
          <w:lang w:val="en-US"/>
        </w:rPr>
        <w:t xml:space="preserve"> documentation than is currently planned. </w:t>
      </w:r>
      <w:r w:rsidR="003B4631">
        <w:rPr>
          <w:lang w:val="en-US"/>
        </w:rPr>
        <w:t>Th</w:t>
      </w:r>
      <w:r w:rsidR="007370CA">
        <w:rPr>
          <w:lang w:val="en-US"/>
        </w:rPr>
        <w:t>ese</w:t>
      </w:r>
      <w:r w:rsidR="003B4631">
        <w:rPr>
          <w:lang w:val="en-US"/>
        </w:rPr>
        <w:t xml:space="preserve"> costs, however, would not be borne in 2024 because the</w:t>
      </w:r>
      <w:r w:rsidR="007370CA">
        <w:rPr>
          <w:lang w:val="en-US"/>
        </w:rPr>
        <w:t xml:space="preserve"> ITU-R Study Groups and their associated Working Parties </w:t>
      </w:r>
      <w:r w:rsidR="00FB1083">
        <w:rPr>
          <w:lang w:val="en-US"/>
        </w:rPr>
        <w:t xml:space="preserve">are just commencing the preparatory process </w:t>
      </w:r>
      <w:r w:rsidR="00F47044">
        <w:rPr>
          <w:lang w:val="en-US"/>
        </w:rPr>
        <w:t xml:space="preserve">and structuring their work programs and the studies to be carried out. For this reason, </w:t>
      </w:r>
      <w:r w:rsidR="004851E3">
        <w:rPr>
          <w:lang w:val="en-US"/>
        </w:rPr>
        <w:t>none of the</w:t>
      </w:r>
      <w:r w:rsidR="00284733">
        <w:rPr>
          <w:lang w:val="en-US"/>
        </w:rPr>
        <w:t xml:space="preserve"> costs </w:t>
      </w:r>
      <w:r w:rsidR="005336C4">
        <w:rPr>
          <w:lang w:val="en-US"/>
        </w:rPr>
        <w:t xml:space="preserve">associated with WRC-27 preparations </w:t>
      </w:r>
      <w:r w:rsidR="00B4391D">
        <w:rPr>
          <w:lang w:val="en-US"/>
        </w:rPr>
        <w:t xml:space="preserve">would be incurred </w:t>
      </w:r>
      <w:r w:rsidR="004851E3">
        <w:rPr>
          <w:lang w:val="en-US"/>
        </w:rPr>
        <w:t>in 2024.</w:t>
      </w:r>
    </w:p>
    <w:p w14:paraId="54FB1C37" w14:textId="77777777" w:rsidR="00131CA4" w:rsidRPr="00F353D4" w:rsidRDefault="00131CA4" w:rsidP="00131CA4">
      <w:pPr>
        <w:rPr>
          <w:rFonts w:asciiTheme="minorHAnsi" w:hAnsiTheme="minorHAnsi" w:cstheme="minorHAnsi"/>
          <w:sz w:val="26"/>
          <w:szCs w:val="26"/>
        </w:rPr>
      </w:pPr>
    </w:p>
    <w:p w14:paraId="3C6D8F4F" w14:textId="3F13AB5D" w:rsidR="00196A5E" w:rsidRDefault="004C4C8C" w:rsidP="00196A5E">
      <w:pPr>
        <w:pStyle w:val="Heading2"/>
        <w:rPr>
          <w:rFonts w:eastAsia="Verdana"/>
        </w:rPr>
      </w:pPr>
      <w:r>
        <w:rPr>
          <w:rFonts w:eastAsia="Verdana"/>
        </w:rPr>
        <w:lastRenderedPageBreak/>
        <w:t xml:space="preserve">2024 </w:t>
      </w:r>
      <w:r w:rsidR="0055202F" w:rsidRPr="0055202F">
        <w:rPr>
          <w:rFonts w:eastAsia="Verdana"/>
        </w:rPr>
        <w:t xml:space="preserve">Budgetary </w:t>
      </w:r>
      <w:r w:rsidR="00D46BCC">
        <w:rPr>
          <w:rFonts w:eastAsia="Verdana"/>
        </w:rPr>
        <w:t xml:space="preserve">implications for </w:t>
      </w:r>
      <w:r>
        <w:rPr>
          <w:rFonts w:eastAsia="Verdana"/>
        </w:rPr>
        <w:t xml:space="preserve">WRC-23 decisions related to </w:t>
      </w:r>
      <w:r w:rsidR="0030586A">
        <w:rPr>
          <w:rFonts w:eastAsia="Verdana"/>
        </w:rPr>
        <w:t xml:space="preserve">space and </w:t>
      </w:r>
      <w:r w:rsidR="00BC18D2">
        <w:rPr>
          <w:rFonts w:eastAsia="Verdana"/>
        </w:rPr>
        <w:t>terrestrial services</w:t>
      </w:r>
    </w:p>
    <w:p w14:paraId="521FAD81" w14:textId="77777777" w:rsidR="00196A5E" w:rsidRDefault="00196A5E" w:rsidP="00196A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p>
    <w:p w14:paraId="5418B0F6" w14:textId="35974D40" w:rsidR="005C4714" w:rsidRDefault="00D42A82" w:rsidP="00D3505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Cs/>
          <w:sz w:val="26"/>
          <w:szCs w:val="26"/>
          <w:lang w:val="en-US"/>
        </w:rPr>
      </w:pPr>
      <w:r>
        <w:rPr>
          <w:rFonts w:eastAsia="Verdana"/>
        </w:rPr>
        <w:t>T</w:t>
      </w:r>
      <w:r w:rsidR="000B7B8D">
        <w:rPr>
          <w:rFonts w:eastAsia="Verdana"/>
        </w:rPr>
        <w:t xml:space="preserve">he </w:t>
      </w:r>
      <w:r w:rsidR="00C974F5">
        <w:rPr>
          <w:rFonts w:eastAsia="Verdana"/>
        </w:rPr>
        <w:t>new</w:t>
      </w:r>
      <w:r w:rsidR="003C0D34">
        <w:rPr>
          <w:rFonts w:eastAsia="Verdana"/>
        </w:rPr>
        <w:t xml:space="preserve"> software </w:t>
      </w:r>
      <w:r w:rsidR="00F4374E">
        <w:rPr>
          <w:rFonts w:eastAsia="Verdana"/>
        </w:rPr>
        <w:t>developments</w:t>
      </w:r>
      <w:r w:rsidR="000B7B8D">
        <w:rPr>
          <w:rFonts w:eastAsia="Verdana"/>
        </w:rPr>
        <w:t xml:space="preserve"> needed for </w:t>
      </w:r>
      <w:r w:rsidR="00F56580">
        <w:rPr>
          <w:rFonts w:eastAsia="Verdana"/>
        </w:rPr>
        <w:t xml:space="preserve">implementing the </w:t>
      </w:r>
      <w:r>
        <w:rPr>
          <w:rFonts w:eastAsia="Verdana"/>
        </w:rPr>
        <w:t>WRC</w:t>
      </w:r>
      <w:r w:rsidR="00993A49">
        <w:rPr>
          <w:rFonts w:eastAsia="Verdana"/>
        </w:rPr>
        <w:t>-23</w:t>
      </w:r>
      <w:r>
        <w:rPr>
          <w:rFonts w:eastAsia="Verdana"/>
        </w:rPr>
        <w:t xml:space="preserve"> decisions</w:t>
      </w:r>
      <w:r w:rsidR="003014BF">
        <w:rPr>
          <w:rFonts w:eastAsia="Verdana"/>
        </w:rPr>
        <w:t xml:space="preserve"> </w:t>
      </w:r>
      <w:r w:rsidR="00A05A5E">
        <w:rPr>
          <w:rFonts w:eastAsia="Verdana"/>
        </w:rPr>
        <w:t xml:space="preserve">for space and terrestrial services </w:t>
      </w:r>
      <w:r w:rsidR="00C974F5">
        <w:rPr>
          <w:rFonts w:eastAsia="Verdana"/>
        </w:rPr>
        <w:t>would impose a one-time cost to the BR</w:t>
      </w:r>
      <w:r w:rsidR="006214D0">
        <w:rPr>
          <w:rFonts w:eastAsia="Verdana"/>
        </w:rPr>
        <w:t xml:space="preserve">. </w:t>
      </w:r>
      <w:r w:rsidR="009A2017">
        <w:rPr>
          <w:rFonts w:eastAsia="Verdana"/>
        </w:rPr>
        <w:t>T</w:t>
      </w:r>
      <w:r w:rsidR="00FE0166" w:rsidRPr="00D35052">
        <w:rPr>
          <w:rFonts w:eastAsia="Verdana"/>
        </w:rPr>
        <w:t xml:space="preserve">he </w:t>
      </w:r>
      <w:r w:rsidR="005F7374" w:rsidRPr="00D35052">
        <w:rPr>
          <w:rFonts w:eastAsia="Verdana"/>
        </w:rPr>
        <w:t>budget</w:t>
      </w:r>
      <w:r w:rsidR="00BC0CF8" w:rsidRPr="00D35052">
        <w:rPr>
          <w:rFonts w:eastAsia="Verdana"/>
        </w:rPr>
        <w:t xml:space="preserve"> for these </w:t>
      </w:r>
      <w:r w:rsidR="006707A6" w:rsidRPr="00D35052">
        <w:rPr>
          <w:rFonts w:eastAsia="Verdana"/>
        </w:rPr>
        <w:t>developments</w:t>
      </w:r>
      <w:r w:rsidR="005D6F3F" w:rsidRPr="00D35052">
        <w:rPr>
          <w:rFonts w:eastAsia="Verdana"/>
        </w:rPr>
        <w:t xml:space="preserve"> is required in 2024 </w:t>
      </w:r>
      <w:r w:rsidR="00227D6A" w:rsidRPr="00D35052">
        <w:rPr>
          <w:rFonts w:eastAsia="Verdana"/>
        </w:rPr>
        <w:t xml:space="preserve">so that this work </w:t>
      </w:r>
      <w:r w:rsidR="006707A6" w:rsidRPr="00D35052">
        <w:rPr>
          <w:rFonts w:eastAsia="Verdana"/>
        </w:rPr>
        <w:t xml:space="preserve">could </w:t>
      </w:r>
      <w:r w:rsidR="00227D6A" w:rsidRPr="00D35052">
        <w:rPr>
          <w:rFonts w:eastAsia="Verdana"/>
        </w:rPr>
        <w:t>be carried out</w:t>
      </w:r>
      <w:r w:rsidR="006707A6" w:rsidRPr="00D35052">
        <w:rPr>
          <w:rFonts w:eastAsia="Verdana"/>
        </w:rPr>
        <w:t xml:space="preserve"> </w:t>
      </w:r>
      <w:r w:rsidR="002F7AF6" w:rsidRPr="00D35052">
        <w:rPr>
          <w:rFonts w:eastAsia="Verdana"/>
        </w:rPr>
        <w:t xml:space="preserve">prior to the Radio Regulations </w:t>
      </w:r>
      <w:r w:rsidR="00284B5F" w:rsidRPr="00D35052">
        <w:rPr>
          <w:rFonts w:eastAsia="Verdana"/>
        </w:rPr>
        <w:t xml:space="preserve">(2024 Version) </w:t>
      </w:r>
      <w:r w:rsidR="002F7AF6" w:rsidRPr="00D35052">
        <w:rPr>
          <w:rFonts w:eastAsia="Verdana"/>
        </w:rPr>
        <w:t xml:space="preserve">coming into force </w:t>
      </w:r>
      <w:r w:rsidR="00E179E8" w:rsidRPr="00D35052">
        <w:rPr>
          <w:rFonts w:eastAsia="Verdana"/>
        </w:rPr>
        <w:t xml:space="preserve">on 1 January 2025. </w:t>
      </w:r>
      <w:r w:rsidR="00BE335D" w:rsidRPr="00D35052">
        <w:rPr>
          <w:rFonts w:eastAsia="Verdana"/>
        </w:rPr>
        <w:t>Table 3-1</w:t>
      </w:r>
      <w:r w:rsidR="00030CEE" w:rsidRPr="00D35052">
        <w:rPr>
          <w:rFonts w:eastAsia="Verdana"/>
        </w:rPr>
        <w:t xml:space="preserve"> shows the 2024 costs to BR of implementing t</w:t>
      </w:r>
      <w:r w:rsidR="005C4714" w:rsidRPr="00D35052">
        <w:rPr>
          <w:rFonts w:eastAsia="Verdana"/>
        </w:rPr>
        <w:t xml:space="preserve">he conference decisions for </w:t>
      </w:r>
      <w:r w:rsidR="001D10BB" w:rsidRPr="00D35052">
        <w:rPr>
          <w:rFonts w:eastAsia="Verdana"/>
        </w:rPr>
        <w:t xml:space="preserve">space and </w:t>
      </w:r>
      <w:r w:rsidR="005C4714" w:rsidRPr="00D35052">
        <w:rPr>
          <w:rFonts w:eastAsia="Verdana"/>
        </w:rPr>
        <w:t>terrestrial services.</w:t>
      </w:r>
    </w:p>
    <w:p w14:paraId="7101D282" w14:textId="77777777" w:rsidR="005C4714" w:rsidRDefault="005C4714" w:rsidP="00CA6E1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6"/>
          <w:szCs w:val="26"/>
          <w:lang w:val="en-US"/>
        </w:rPr>
      </w:pPr>
    </w:p>
    <w:p w14:paraId="49C27CB4" w14:textId="77777777" w:rsidR="005C4714" w:rsidRPr="00B75F99" w:rsidRDefault="005C4714" w:rsidP="00693A8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sz w:val="26"/>
          <w:szCs w:val="26"/>
          <w:lang w:val="en-US"/>
        </w:rPr>
      </w:pPr>
      <w:r w:rsidRPr="00B75F99">
        <w:rPr>
          <w:rFonts w:asciiTheme="minorHAnsi" w:hAnsiTheme="minorHAnsi" w:cstheme="minorHAnsi"/>
          <w:b/>
          <w:sz w:val="26"/>
          <w:szCs w:val="26"/>
          <w:lang w:val="en-US"/>
        </w:rPr>
        <w:t>TABLE 3-1</w:t>
      </w:r>
    </w:p>
    <w:p w14:paraId="42D0FF3C" w14:textId="38C97274" w:rsidR="00CA6E18" w:rsidRPr="00B75F99" w:rsidRDefault="00693A86" w:rsidP="00693A8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sz w:val="26"/>
          <w:szCs w:val="26"/>
          <w:lang w:val="en-US"/>
        </w:rPr>
      </w:pPr>
      <w:r w:rsidRPr="00B75F99">
        <w:rPr>
          <w:b/>
        </w:rPr>
        <w:t xml:space="preserve">2024 </w:t>
      </w:r>
      <w:r w:rsidR="00BC2C8E">
        <w:rPr>
          <w:b/>
        </w:rPr>
        <w:t>BUDGET NEEDED</w:t>
      </w:r>
      <w:r w:rsidRPr="00B75F99">
        <w:rPr>
          <w:b/>
        </w:rPr>
        <w:t xml:space="preserve"> </w:t>
      </w:r>
      <w:r w:rsidR="005A2CE0" w:rsidRPr="00B75F99">
        <w:rPr>
          <w:b/>
        </w:rPr>
        <w:t xml:space="preserve">SPACE AND </w:t>
      </w:r>
      <w:r w:rsidRPr="00B75F99">
        <w:rPr>
          <w:b/>
        </w:rPr>
        <w:t>TERRESTRIAL SERVICES SOFTWARE DEVELOPMENT</w:t>
      </w:r>
    </w:p>
    <w:tbl>
      <w:tblPr>
        <w:tblW w:w="8724" w:type="dxa"/>
        <w:tblInd w:w="-5" w:type="dxa"/>
        <w:tblLook w:val="04A0" w:firstRow="1" w:lastRow="0" w:firstColumn="1" w:lastColumn="0" w:noHBand="0" w:noVBand="1"/>
      </w:tblPr>
      <w:tblGrid>
        <w:gridCol w:w="7224"/>
        <w:gridCol w:w="1500"/>
      </w:tblGrid>
      <w:tr w:rsidR="00B75F99" w:rsidRPr="00B75F99" w14:paraId="79F747EC" w14:textId="77777777" w:rsidTr="008C5A35">
        <w:trPr>
          <w:trHeight w:val="300"/>
        </w:trPr>
        <w:tc>
          <w:tcPr>
            <w:tcW w:w="7220" w:type="dxa"/>
            <w:tcBorders>
              <w:top w:val="nil"/>
              <w:left w:val="nil"/>
              <w:bottom w:val="nil"/>
              <w:right w:val="nil"/>
            </w:tcBorders>
            <w:shd w:val="clear" w:color="auto" w:fill="auto"/>
            <w:noWrap/>
            <w:vAlign w:val="bottom"/>
            <w:hideMark/>
          </w:tcPr>
          <w:p w14:paraId="09488C69" w14:textId="77777777" w:rsidR="00B75F99" w:rsidRPr="00B75F99" w:rsidRDefault="00B75F99">
            <w:pPr>
              <w:rPr>
                <w:rFonts w:ascii="Times New Roman" w:hAnsi="Times New Roman"/>
                <w:b/>
                <w:szCs w:val="24"/>
                <w:lang w:eastAsia="en-GB"/>
              </w:rPr>
            </w:pPr>
          </w:p>
        </w:tc>
        <w:tc>
          <w:tcPr>
            <w:tcW w:w="1499" w:type="dxa"/>
            <w:tcBorders>
              <w:top w:val="nil"/>
              <w:left w:val="nil"/>
              <w:bottom w:val="nil"/>
              <w:right w:val="nil"/>
            </w:tcBorders>
            <w:shd w:val="clear" w:color="auto" w:fill="auto"/>
            <w:noWrap/>
            <w:vAlign w:val="bottom"/>
            <w:hideMark/>
          </w:tcPr>
          <w:p w14:paraId="3F3F4999" w14:textId="77777777" w:rsidR="00B75F99" w:rsidRPr="00B75F99" w:rsidRDefault="00B75F99">
            <w:pPr>
              <w:rPr>
                <w:rFonts w:ascii="Times New Roman" w:hAnsi="Times New Roman"/>
                <w:b/>
                <w:sz w:val="20"/>
                <w:lang w:eastAsia="en-GB"/>
              </w:rPr>
            </w:pPr>
          </w:p>
        </w:tc>
      </w:tr>
      <w:tr w:rsidR="00B75F99" w:rsidRPr="00A15101" w14:paraId="32DD0D49" w14:textId="77777777" w:rsidTr="008C5A35">
        <w:trPr>
          <w:trHeight w:val="300"/>
        </w:trPr>
        <w:tc>
          <w:tcPr>
            <w:tcW w:w="7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F24AB" w14:textId="77777777" w:rsidR="00B75F99" w:rsidRPr="00BC2C8E" w:rsidRDefault="00B75F99">
            <w:pPr>
              <w:jc w:val="center"/>
              <w:rPr>
                <w:rFonts w:cs="Calibri"/>
                <w:b/>
                <w:bCs/>
                <w:color w:val="000000"/>
                <w:sz w:val="28"/>
                <w:szCs w:val="28"/>
                <w:lang w:eastAsia="en-GB"/>
              </w:rPr>
            </w:pPr>
            <w:r w:rsidRPr="00BC2C8E">
              <w:rPr>
                <w:rFonts w:cs="Calibri"/>
                <w:b/>
                <w:bCs/>
                <w:color w:val="000000"/>
                <w:sz w:val="28"/>
                <w:szCs w:val="28"/>
                <w:lang w:eastAsia="en-GB"/>
              </w:rPr>
              <w:t>WRC-23/Final Acts Reference and Description</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14:paraId="747E7861" w14:textId="77777777" w:rsidR="00B75F99" w:rsidRPr="00A15101" w:rsidRDefault="00B75F99">
            <w:pPr>
              <w:jc w:val="center"/>
              <w:rPr>
                <w:rFonts w:cs="Calibri"/>
                <w:b/>
                <w:bCs/>
                <w:color w:val="000000"/>
                <w:lang w:eastAsia="en-GB"/>
              </w:rPr>
            </w:pPr>
            <w:r w:rsidRPr="00A15101">
              <w:rPr>
                <w:rFonts w:cs="Calibri"/>
                <w:b/>
                <w:bCs/>
                <w:color w:val="000000"/>
                <w:lang w:eastAsia="en-GB"/>
              </w:rPr>
              <w:t>CHF</w:t>
            </w:r>
          </w:p>
        </w:tc>
      </w:tr>
      <w:tr w:rsidR="00B75F99" w:rsidRPr="00A15101" w14:paraId="4F7BB6C0" w14:textId="77777777" w:rsidTr="008C5A35">
        <w:trPr>
          <w:trHeight w:val="300"/>
        </w:trPr>
        <w:tc>
          <w:tcPr>
            <w:tcW w:w="8719"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655380A9" w14:textId="77777777" w:rsidR="00B75F99" w:rsidRPr="00A15101" w:rsidRDefault="00B75F99">
            <w:pPr>
              <w:jc w:val="center"/>
              <w:rPr>
                <w:rFonts w:cs="Calibri"/>
                <w:b/>
                <w:bCs/>
                <w:color w:val="000000"/>
                <w:lang w:eastAsia="en-GB"/>
              </w:rPr>
            </w:pPr>
            <w:r w:rsidRPr="00A15101">
              <w:rPr>
                <w:rFonts w:cs="Calibri"/>
                <w:b/>
                <w:bCs/>
                <w:color w:val="000000"/>
                <w:lang w:eastAsia="en-GB"/>
              </w:rPr>
              <w:t>Software development for terrestrial radiocommunication services</w:t>
            </w:r>
          </w:p>
        </w:tc>
      </w:tr>
      <w:tr w:rsidR="00B75F99" w:rsidRPr="00A15101" w14:paraId="3E3E4786"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581EB80B" w14:textId="77777777" w:rsidR="00B75F99" w:rsidRPr="00A15101" w:rsidRDefault="00B75F99">
            <w:pPr>
              <w:rPr>
                <w:rFonts w:cs="Calibri"/>
                <w:color w:val="000000"/>
                <w:lang w:eastAsia="en-GB"/>
              </w:rPr>
            </w:pPr>
            <w:r w:rsidRPr="00A15101">
              <w:rPr>
                <w:rFonts w:cs="Calibri"/>
                <w:color w:val="000000"/>
                <w:lang w:eastAsia="en-GB"/>
              </w:rPr>
              <w:t>New conditions and pfd limit calculations for HIBS</w:t>
            </w:r>
          </w:p>
        </w:tc>
        <w:tc>
          <w:tcPr>
            <w:tcW w:w="1499" w:type="dxa"/>
            <w:tcBorders>
              <w:top w:val="nil"/>
              <w:left w:val="nil"/>
              <w:bottom w:val="single" w:sz="8" w:space="0" w:color="auto"/>
              <w:right w:val="single" w:sz="8" w:space="0" w:color="auto"/>
            </w:tcBorders>
            <w:shd w:val="clear" w:color="auto" w:fill="auto"/>
            <w:vAlign w:val="center"/>
            <w:hideMark/>
          </w:tcPr>
          <w:p w14:paraId="2D876519" w14:textId="77777777" w:rsidR="00B75F99" w:rsidRPr="00A15101" w:rsidRDefault="00B75F99">
            <w:pPr>
              <w:jc w:val="right"/>
              <w:rPr>
                <w:rFonts w:cs="Calibri"/>
                <w:color w:val="000000"/>
                <w:lang w:eastAsia="en-GB"/>
              </w:rPr>
            </w:pPr>
            <w:r w:rsidRPr="00A15101">
              <w:rPr>
                <w:rFonts w:cs="Calibri"/>
                <w:color w:val="000000"/>
                <w:lang w:eastAsia="en-GB"/>
              </w:rPr>
              <w:t>175,284.00</w:t>
            </w:r>
          </w:p>
        </w:tc>
      </w:tr>
      <w:tr w:rsidR="00B75F99" w:rsidRPr="00971483" w14:paraId="4B1F06CC" w14:textId="77777777" w:rsidTr="008C5A35">
        <w:trPr>
          <w:trHeight w:val="59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64AB88B" w14:textId="47EC6597" w:rsidR="00B75F99" w:rsidRPr="00971483" w:rsidRDefault="00B75F99">
            <w:pPr>
              <w:rPr>
                <w:rFonts w:cs="Calibri"/>
                <w:color w:val="000000"/>
                <w:vertAlign w:val="superscript"/>
                <w:lang w:eastAsia="en-GB"/>
              </w:rPr>
            </w:pPr>
            <w:r w:rsidRPr="00971483">
              <w:rPr>
                <w:rFonts w:cs="Calibri"/>
                <w:color w:val="000000"/>
                <w:lang w:eastAsia="en-GB"/>
              </w:rPr>
              <w:t>IMT pfd limit calculation with associated antenna directivity under No. 5.441B</w:t>
            </w:r>
            <w:r w:rsidR="00657EE1">
              <w:rPr>
                <w:rFonts w:cs="Calibri"/>
                <w:color w:val="000000"/>
                <w:lang w:eastAsia="en-GB"/>
              </w:rPr>
              <w:t xml:space="preserve"> </w:t>
            </w:r>
            <w:r w:rsidR="007C1A6B" w:rsidRPr="00657EE1">
              <w:rPr>
                <w:rFonts w:cs="Calibri"/>
                <w:i/>
                <w:iCs/>
                <w:color w:val="000000"/>
                <w:vertAlign w:val="superscript"/>
                <w:lang w:eastAsia="en-GB"/>
              </w:rPr>
              <w:t>Note 1</w:t>
            </w:r>
          </w:p>
        </w:tc>
        <w:tc>
          <w:tcPr>
            <w:tcW w:w="1499" w:type="dxa"/>
            <w:tcBorders>
              <w:top w:val="nil"/>
              <w:left w:val="nil"/>
              <w:bottom w:val="single" w:sz="8" w:space="0" w:color="auto"/>
              <w:right w:val="single" w:sz="8" w:space="0" w:color="auto"/>
            </w:tcBorders>
            <w:shd w:val="clear" w:color="auto" w:fill="auto"/>
            <w:vAlign w:val="center"/>
            <w:hideMark/>
          </w:tcPr>
          <w:p w14:paraId="2B9696AC" w14:textId="77777777" w:rsidR="00B75F99" w:rsidRPr="00971483" w:rsidRDefault="00B75F99">
            <w:pPr>
              <w:jc w:val="right"/>
              <w:rPr>
                <w:rFonts w:cs="Calibri"/>
                <w:color w:val="000000"/>
                <w:lang w:eastAsia="en-GB"/>
              </w:rPr>
            </w:pPr>
            <w:r w:rsidRPr="00971483">
              <w:rPr>
                <w:rFonts w:cs="Calibri"/>
                <w:color w:val="000000"/>
                <w:lang w:eastAsia="en-GB"/>
              </w:rPr>
              <w:t>52,585.00</w:t>
            </w:r>
          </w:p>
        </w:tc>
      </w:tr>
      <w:tr w:rsidR="00B75F99" w:rsidRPr="00971483" w14:paraId="74484B8D"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00549070" w14:textId="0026FB88" w:rsidR="00B75F99" w:rsidRPr="00971483" w:rsidRDefault="00B75F99">
            <w:pPr>
              <w:rPr>
                <w:rFonts w:cs="Calibri"/>
                <w:color w:val="000000"/>
                <w:vertAlign w:val="superscript"/>
                <w:lang w:eastAsia="en-GB"/>
              </w:rPr>
            </w:pPr>
            <w:r w:rsidRPr="00971483">
              <w:rPr>
                <w:rFonts w:cs="Calibri"/>
                <w:color w:val="000000"/>
                <w:lang w:eastAsia="en-GB"/>
              </w:rPr>
              <w:t>New IMT spectrum mask for the 6 GHz band</w:t>
            </w:r>
            <w:r w:rsidR="00971483" w:rsidRPr="00971483">
              <w:rPr>
                <w:rFonts w:cs="Calibri"/>
                <w:color w:val="000000"/>
                <w:lang w:eastAsia="en-GB"/>
              </w:rPr>
              <w:t xml:space="preserve"> </w:t>
            </w:r>
            <w:r w:rsidR="007C1A6B" w:rsidRPr="00657EE1">
              <w:rPr>
                <w:rFonts w:cs="Calibri"/>
                <w:i/>
                <w:iCs/>
                <w:color w:val="000000"/>
                <w:vertAlign w:val="superscript"/>
                <w:lang w:eastAsia="en-GB"/>
              </w:rPr>
              <w:t>Note 2</w:t>
            </w:r>
          </w:p>
        </w:tc>
        <w:tc>
          <w:tcPr>
            <w:tcW w:w="1499" w:type="dxa"/>
            <w:tcBorders>
              <w:top w:val="nil"/>
              <w:left w:val="nil"/>
              <w:bottom w:val="single" w:sz="8" w:space="0" w:color="auto"/>
              <w:right w:val="single" w:sz="8" w:space="0" w:color="auto"/>
            </w:tcBorders>
            <w:shd w:val="clear" w:color="auto" w:fill="auto"/>
            <w:vAlign w:val="center"/>
            <w:hideMark/>
          </w:tcPr>
          <w:p w14:paraId="4735C160" w14:textId="77777777" w:rsidR="00B75F99" w:rsidRPr="00971483" w:rsidRDefault="00B75F99">
            <w:pPr>
              <w:jc w:val="right"/>
              <w:rPr>
                <w:rFonts w:cs="Calibri"/>
                <w:color w:val="000000"/>
                <w:lang w:eastAsia="en-GB"/>
              </w:rPr>
            </w:pPr>
            <w:r w:rsidRPr="00971483">
              <w:rPr>
                <w:rFonts w:cs="Calibri"/>
                <w:color w:val="000000"/>
                <w:lang w:eastAsia="en-GB"/>
              </w:rPr>
              <w:t>70,144.00</w:t>
            </w:r>
          </w:p>
        </w:tc>
      </w:tr>
      <w:tr w:rsidR="00B75F99" w:rsidRPr="00A15101" w14:paraId="6CFE08BA" w14:textId="77777777" w:rsidTr="008C5A35">
        <w:trPr>
          <w:trHeight w:val="842"/>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48759FC" w14:textId="77777777" w:rsidR="00B75F99" w:rsidRPr="00A15101" w:rsidRDefault="00B75F99">
            <w:pPr>
              <w:rPr>
                <w:rFonts w:cs="Calibri"/>
                <w:color w:val="000000"/>
                <w:lang w:eastAsia="en-GB"/>
              </w:rPr>
            </w:pPr>
            <w:r w:rsidRPr="00A15101">
              <w:rPr>
                <w:rFonts w:cs="Calibri"/>
                <w:color w:val="000000"/>
                <w:lang w:eastAsia="en-GB"/>
              </w:rPr>
              <w:t>New AM(OR)S pfd limit for protection of incumbent services in the 22 GHz band</w:t>
            </w:r>
          </w:p>
        </w:tc>
        <w:tc>
          <w:tcPr>
            <w:tcW w:w="1499" w:type="dxa"/>
            <w:tcBorders>
              <w:top w:val="nil"/>
              <w:left w:val="nil"/>
              <w:bottom w:val="single" w:sz="8" w:space="0" w:color="auto"/>
              <w:right w:val="single" w:sz="8" w:space="0" w:color="auto"/>
            </w:tcBorders>
            <w:shd w:val="clear" w:color="auto" w:fill="auto"/>
            <w:vAlign w:val="center"/>
            <w:hideMark/>
          </w:tcPr>
          <w:p w14:paraId="2793D278" w14:textId="77777777" w:rsidR="00B75F99" w:rsidRPr="00A15101" w:rsidRDefault="00B75F99">
            <w:pPr>
              <w:jc w:val="right"/>
              <w:rPr>
                <w:rFonts w:cs="Calibri"/>
                <w:color w:val="000000"/>
                <w:lang w:eastAsia="en-GB"/>
              </w:rPr>
            </w:pPr>
            <w:r w:rsidRPr="00A15101">
              <w:rPr>
                <w:rFonts w:cs="Calibri"/>
                <w:color w:val="000000"/>
                <w:lang w:eastAsia="en-GB"/>
              </w:rPr>
              <w:t>52,585.00</w:t>
            </w:r>
          </w:p>
        </w:tc>
      </w:tr>
      <w:tr w:rsidR="00B75F99" w:rsidRPr="00A15101" w14:paraId="34DF8334"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14:paraId="68A1BE2E" w14:textId="77777777" w:rsidR="00B75F99" w:rsidRPr="00A15101" w:rsidRDefault="00B75F99">
            <w:pPr>
              <w:rPr>
                <w:rFonts w:cs="Calibri"/>
                <w:b/>
                <w:bCs/>
                <w:color w:val="000000"/>
                <w:lang w:eastAsia="en-GB"/>
              </w:rPr>
            </w:pPr>
            <w:r w:rsidRPr="00A15101">
              <w:rPr>
                <w:rFonts w:cs="Calibri"/>
                <w:b/>
                <w:bCs/>
                <w:color w:val="000000"/>
                <w:lang w:eastAsia="en-GB"/>
              </w:rPr>
              <w:t xml:space="preserve">Total </w:t>
            </w:r>
          </w:p>
        </w:tc>
        <w:tc>
          <w:tcPr>
            <w:tcW w:w="1499" w:type="dxa"/>
            <w:tcBorders>
              <w:top w:val="nil"/>
              <w:left w:val="nil"/>
              <w:bottom w:val="single" w:sz="8" w:space="0" w:color="auto"/>
              <w:right w:val="single" w:sz="8" w:space="0" w:color="auto"/>
            </w:tcBorders>
            <w:shd w:val="clear" w:color="auto" w:fill="FBD4B4" w:themeFill="accent6" w:themeFillTint="66"/>
            <w:vAlign w:val="center"/>
            <w:hideMark/>
          </w:tcPr>
          <w:p w14:paraId="2009D93C" w14:textId="77777777" w:rsidR="00B75F99" w:rsidRPr="00A15101" w:rsidRDefault="00B75F99">
            <w:pPr>
              <w:jc w:val="right"/>
              <w:rPr>
                <w:rFonts w:cs="Calibri"/>
                <w:b/>
                <w:bCs/>
                <w:color w:val="000000"/>
                <w:lang w:eastAsia="en-GB"/>
              </w:rPr>
            </w:pPr>
            <w:r w:rsidRPr="00A15101">
              <w:rPr>
                <w:rFonts w:cs="Calibri"/>
                <w:b/>
                <w:bCs/>
                <w:color w:val="000000"/>
                <w:lang w:eastAsia="en-GB"/>
              </w:rPr>
              <w:t>350,568.00</w:t>
            </w:r>
          </w:p>
        </w:tc>
      </w:tr>
      <w:tr w:rsidR="00B75F99" w:rsidRPr="00A15101" w14:paraId="6819F4CB" w14:textId="77777777" w:rsidTr="008C5A35">
        <w:trPr>
          <w:trHeight w:val="300"/>
        </w:trPr>
        <w:tc>
          <w:tcPr>
            <w:tcW w:w="871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5D499B8" w14:textId="77777777" w:rsidR="00B75F99" w:rsidRPr="00A15101" w:rsidRDefault="00B75F99">
            <w:pPr>
              <w:jc w:val="center"/>
              <w:rPr>
                <w:rFonts w:cs="Calibri"/>
                <w:b/>
                <w:bCs/>
                <w:color w:val="000000"/>
                <w:lang w:eastAsia="en-GB"/>
              </w:rPr>
            </w:pPr>
            <w:r w:rsidRPr="00A15101">
              <w:rPr>
                <w:rFonts w:cs="Calibri"/>
                <w:b/>
                <w:bCs/>
                <w:color w:val="000000"/>
                <w:lang w:eastAsia="en-GB"/>
              </w:rPr>
              <w:t>Software development for space radiocommunication services</w:t>
            </w:r>
          </w:p>
        </w:tc>
      </w:tr>
      <w:tr w:rsidR="00B75F99" w:rsidRPr="00A15101" w14:paraId="0FF71925" w14:textId="77777777" w:rsidTr="008C5A35">
        <w:trPr>
          <w:trHeight w:val="650"/>
        </w:trPr>
        <w:tc>
          <w:tcPr>
            <w:tcW w:w="72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6D0FE7D" w14:textId="77777777" w:rsidR="00B75F99" w:rsidRPr="00A15101" w:rsidRDefault="00B75F99">
            <w:pPr>
              <w:rPr>
                <w:rFonts w:cs="Calibri"/>
                <w:color w:val="000000"/>
                <w:lang w:eastAsia="en-GB"/>
              </w:rPr>
            </w:pPr>
            <w:r w:rsidRPr="00A15101">
              <w:rPr>
                <w:rFonts w:cs="Calibri"/>
                <w:color w:val="000000"/>
                <w:lang w:eastAsia="en-GB"/>
              </w:rPr>
              <w:t>Res 406 (WRC-23): AMS(R) service in band 117.975-137 MHz</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14:paraId="5ABFED15" w14:textId="77777777" w:rsidR="00B75F99" w:rsidRPr="00A15101" w:rsidRDefault="00B75F99">
            <w:pPr>
              <w:jc w:val="right"/>
              <w:rPr>
                <w:rFonts w:cs="Calibri"/>
                <w:color w:val="000000"/>
                <w:lang w:eastAsia="en-GB"/>
              </w:rPr>
            </w:pPr>
            <w:r w:rsidRPr="00A15101">
              <w:rPr>
                <w:rFonts w:cs="Calibri"/>
                <w:color w:val="000000"/>
                <w:lang w:eastAsia="en-GB"/>
              </w:rPr>
              <w:t>43,821.00</w:t>
            </w:r>
          </w:p>
        </w:tc>
      </w:tr>
      <w:tr w:rsidR="00B75F99" w:rsidRPr="00A15101" w14:paraId="19B547C5" w14:textId="77777777" w:rsidTr="008C5A35">
        <w:trPr>
          <w:trHeight w:val="8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58C641B" w14:textId="77777777" w:rsidR="00B75F99" w:rsidRPr="00A15101" w:rsidRDefault="00B75F99">
            <w:pPr>
              <w:rPr>
                <w:rFonts w:cs="Calibri"/>
                <w:color w:val="000000"/>
                <w:lang w:eastAsia="en-GB"/>
              </w:rPr>
            </w:pPr>
            <w:r w:rsidRPr="00A15101">
              <w:rPr>
                <w:rFonts w:cs="Calibri"/>
                <w:color w:val="000000"/>
                <w:lang w:eastAsia="en-GB"/>
              </w:rPr>
              <w:t>Res 678 (WRC-23): Space research service in the frequency band 14.8-15.35 GHz</w:t>
            </w:r>
          </w:p>
        </w:tc>
        <w:tc>
          <w:tcPr>
            <w:tcW w:w="1499" w:type="dxa"/>
            <w:tcBorders>
              <w:top w:val="nil"/>
              <w:left w:val="nil"/>
              <w:bottom w:val="single" w:sz="8" w:space="0" w:color="auto"/>
              <w:right w:val="single" w:sz="8" w:space="0" w:color="auto"/>
            </w:tcBorders>
            <w:shd w:val="clear" w:color="auto" w:fill="auto"/>
            <w:vAlign w:val="center"/>
            <w:hideMark/>
          </w:tcPr>
          <w:p w14:paraId="45E9141C" w14:textId="77777777" w:rsidR="00B75F99" w:rsidRPr="00A15101" w:rsidRDefault="00B75F99">
            <w:pPr>
              <w:jc w:val="right"/>
              <w:rPr>
                <w:rFonts w:cs="Calibri"/>
                <w:color w:val="000000"/>
                <w:lang w:eastAsia="en-GB"/>
              </w:rPr>
            </w:pPr>
            <w:r w:rsidRPr="00A15101">
              <w:rPr>
                <w:rFonts w:cs="Calibri"/>
                <w:color w:val="000000"/>
                <w:lang w:eastAsia="en-GB"/>
              </w:rPr>
              <w:t>78,877.80</w:t>
            </w:r>
          </w:p>
        </w:tc>
      </w:tr>
      <w:tr w:rsidR="00B75F99" w:rsidRPr="00A15101" w14:paraId="28E8AD5B"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5A8F22FC" w14:textId="77777777" w:rsidR="00B75F99" w:rsidRPr="00A15101" w:rsidRDefault="00B75F99">
            <w:pPr>
              <w:rPr>
                <w:rFonts w:cs="Calibri"/>
                <w:color w:val="000000"/>
                <w:lang w:eastAsia="en-GB"/>
              </w:rPr>
            </w:pPr>
            <w:r w:rsidRPr="00A15101">
              <w:rPr>
                <w:rFonts w:cs="Calibri"/>
                <w:color w:val="000000"/>
                <w:lang w:eastAsia="en-GB"/>
              </w:rPr>
              <w:t>Res 121 (WRC-23): AP30B ESIM</w:t>
            </w:r>
          </w:p>
        </w:tc>
        <w:tc>
          <w:tcPr>
            <w:tcW w:w="1499" w:type="dxa"/>
            <w:tcBorders>
              <w:top w:val="nil"/>
              <w:left w:val="nil"/>
              <w:bottom w:val="single" w:sz="8" w:space="0" w:color="auto"/>
              <w:right w:val="single" w:sz="8" w:space="0" w:color="auto"/>
            </w:tcBorders>
            <w:shd w:val="clear" w:color="auto" w:fill="auto"/>
            <w:vAlign w:val="center"/>
            <w:hideMark/>
          </w:tcPr>
          <w:p w14:paraId="403E1642" w14:textId="77777777" w:rsidR="00B75F99" w:rsidRPr="00A15101" w:rsidRDefault="00B75F99">
            <w:pPr>
              <w:jc w:val="right"/>
              <w:rPr>
                <w:rFonts w:cs="Calibri"/>
                <w:color w:val="000000"/>
                <w:lang w:eastAsia="en-GB"/>
              </w:rPr>
            </w:pPr>
            <w:r w:rsidRPr="00A15101">
              <w:rPr>
                <w:rFonts w:cs="Calibri"/>
                <w:color w:val="000000"/>
                <w:lang w:eastAsia="en-GB"/>
              </w:rPr>
              <w:t>438,210.00</w:t>
            </w:r>
          </w:p>
        </w:tc>
      </w:tr>
      <w:tr w:rsidR="00B75F99" w:rsidRPr="00A15101" w14:paraId="122EB78D"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014F4B90" w14:textId="77777777" w:rsidR="00B75F99" w:rsidRPr="00A15101" w:rsidRDefault="00B75F99">
            <w:pPr>
              <w:rPr>
                <w:rFonts w:cs="Calibri"/>
                <w:color w:val="000000"/>
                <w:lang w:eastAsia="en-GB"/>
              </w:rPr>
            </w:pPr>
            <w:r w:rsidRPr="00A15101">
              <w:rPr>
                <w:rFonts w:cs="Calibri"/>
                <w:color w:val="000000"/>
                <w:lang w:eastAsia="en-GB"/>
              </w:rPr>
              <w:t>Res 123 (WRC-23): NGSO ESIM</w:t>
            </w:r>
          </w:p>
        </w:tc>
        <w:tc>
          <w:tcPr>
            <w:tcW w:w="1499" w:type="dxa"/>
            <w:tcBorders>
              <w:top w:val="nil"/>
              <w:left w:val="nil"/>
              <w:bottom w:val="single" w:sz="8" w:space="0" w:color="auto"/>
              <w:right w:val="single" w:sz="8" w:space="0" w:color="auto"/>
            </w:tcBorders>
            <w:shd w:val="clear" w:color="auto" w:fill="auto"/>
            <w:vAlign w:val="center"/>
            <w:hideMark/>
          </w:tcPr>
          <w:p w14:paraId="5A127C12" w14:textId="77777777" w:rsidR="00B75F99" w:rsidRPr="00A15101" w:rsidRDefault="00B75F99">
            <w:pPr>
              <w:jc w:val="right"/>
              <w:rPr>
                <w:rFonts w:cs="Calibri"/>
                <w:color w:val="000000"/>
                <w:lang w:eastAsia="en-GB"/>
              </w:rPr>
            </w:pPr>
            <w:r w:rsidRPr="00A15101">
              <w:rPr>
                <w:rFonts w:cs="Calibri"/>
                <w:color w:val="000000"/>
                <w:lang w:eastAsia="en-GB"/>
              </w:rPr>
              <w:t>350,568.00</w:t>
            </w:r>
          </w:p>
        </w:tc>
      </w:tr>
      <w:tr w:rsidR="00B75F99" w:rsidRPr="00A15101" w14:paraId="002C9B1F" w14:textId="77777777" w:rsidTr="008C5A35">
        <w:trPr>
          <w:trHeight w:val="59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25446894" w14:textId="77777777" w:rsidR="00B75F99" w:rsidRPr="00A15101" w:rsidRDefault="00B75F99">
            <w:pPr>
              <w:rPr>
                <w:rFonts w:cs="Calibri"/>
                <w:color w:val="000000"/>
                <w:lang w:eastAsia="en-GB"/>
              </w:rPr>
            </w:pPr>
            <w:r w:rsidRPr="00A15101">
              <w:rPr>
                <w:rFonts w:cs="Calibri"/>
                <w:color w:val="000000"/>
                <w:lang w:eastAsia="en-GB"/>
              </w:rPr>
              <w:t>Res 679 (WRC-23): Inter-satellite links: Protection of space and terrestrial services</w:t>
            </w:r>
          </w:p>
        </w:tc>
        <w:tc>
          <w:tcPr>
            <w:tcW w:w="1499" w:type="dxa"/>
            <w:tcBorders>
              <w:top w:val="nil"/>
              <w:left w:val="nil"/>
              <w:bottom w:val="single" w:sz="8" w:space="0" w:color="auto"/>
              <w:right w:val="single" w:sz="8" w:space="0" w:color="auto"/>
            </w:tcBorders>
            <w:shd w:val="clear" w:color="auto" w:fill="auto"/>
            <w:vAlign w:val="center"/>
            <w:hideMark/>
          </w:tcPr>
          <w:p w14:paraId="4C6CACC3" w14:textId="77777777" w:rsidR="00B75F99" w:rsidRPr="00A15101" w:rsidRDefault="00B75F99">
            <w:pPr>
              <w:jc w:val="right"/>
              <w:rPr>
                <w:rFonts w:cs="Calibri"/>
                <w:color w:val="000000"/>
                <w:lang w:eastAsia="en-GB"/>
              </w:rPr>
            </w:pPr>
            <w:r w:rsidRPr="00A15101">
              <w:rPr>
                <w:rFonts w:cs="Calibri"/>
                <w:color w:val="000000"/>
                <w:lang w:eastAsia="en-GB"/>
              </w:rPr>
              <w:t>350,568.00</w:t>
            </w:r>
          </w:p>
        </w:tc>
      </w:tr>
      <w:tr w:rsidR="00B75F99" w:rsidRPr="00A15101" w14:paraId="0B6A050C"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A47A56A" w14:textId="77777777" w:rsidR="00B75F99" w:rsidRPr="00A15101" w:rsidRDefault="00B75F99">
            <w:pPr>
              <w:rPr>
                <w:rFonts w:cs="Calibri"/>
                <w:color w:val="000000"/>
                <w:lang w:eastAsia="en-GB"/>
              </w:rPr>
            </w:pPr>
            <w:r w:rsidRPr="00A15101">
              <w:rPr>
                <w:rFonts w:cs="Calibri"/>
                <w:color w:val="000000"/>
                <w:lang w:eastAsia="en-GB"/>
              </w:rPr>
              <w:t>Res 8 (WRC-23): Tolerances for certain orbital characteristics of NGSO</w:t>
            </w:r>
          </w:p>
        </w:tc>
        <w:tc>
          <w:tcPr>
            <w:tcW w:w="1499" w:type="dxa"/>
            <w:tcBorders>
              <w:top w:val="nil"/>
              <w:left w:val="nil"/>
              <w:bottom w:val="single" w:sz="8" w:space="0" w:color="auto"/>
              <w:right w:val="single" w:sz="8" w:space="0" w:color="auto"/>
            </w:tcBorders>
            <w:shd w:val="clear" w:color="auto" w:fill="auto"/>
            <w:vAlign w:val="center"/>
            <w:hideMark/>
          </w:tcPr>
          <w:p w14:paraId="39A1B358" w14:textId="77777777" w:rsidR="00B75F99" w:rsidRPr="00A15101" w:rsidRDefault="00B75F99">
            <w:pPr>
              <w:jc w:val="right"/>
              <w:rPr>
                <w:rFonts w:cs="Calibri"/>
                <w:color w:val="000000"/>
                <w:lang w:eastAsia="en-GB"/>
              </w:rPr>
            </w:pPr>
            <w:r w:rsidRPr="00A15101">
              <w:rPr>
                <w:rFonts w:cs="Calibri"/>
                <w:color w:val="000000"/>
                <w:lang w:eastAsia="en-GB"/>
              </w:rPr>
              <w:t>262,926.00</w:t>
            </w:r>
          </w:p>
        </w:tc>
      </w:tr>
      <w:tr w:rsidR="00B75F99" w:rsidRPr="00A15101" w14:paraId="753117CE"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D505B2C" w14:textId="77777777" w:rsidR="00B75F99" w:rsidRPr="00A15101" w:rsidRDefault="00B75F99">
            <w:pPr>
              <w:rPr>
                <w:rFonts w:cs="Calibri"/>
                <w:color w:val="000000"/>
                <w:lang w:eastAsia="en-GB"/>
              </w:rPr>
            </w:pPr>
            <w:r w:rsidRPr="00A15101">
              <w:rPr>
                <w:rFonts w:cs="Calibri"/>
                <w:color w:val="000000"/>
                <w:lang w:eastAsia="en-GB"/>
              </w:rPr>
              <w:t>AI 7C (WRC-23): Protection of GSO MSS in 7/8 GHz and 20/30 GHz bands</w:t>
            </w:r>
          </w:p>
        </w:tc>
        <w:tc>
          <w:tcPr>
            <w:tcW w:w="1499" w:type="dxa"/>
            <w:tcBorders>
              <w:top w:val="nil"/>
              <w:left w:val="nil"/>
              <w:bottom w:val="single" w:sz="8" w:space="0" w:color="auto"/>
              <w:right w:val="single" w:sz="8" w:space="0" w:color="auto"/>
            </w:tcBorders>
            <w:shd w:val="clear" w:color="auto" w:fill="auto"/>
            <w:vAlign w:val="center"/>
            <w:hideMark/>
          </w:tcPr>
          <w:p w14:paraId="0EC6A192" w14:textId="77777777" w:rsidR="00B75F99" w:rsidRPr="00A15101" w:rsidRDefault="00B75F99">
            <w:pPr>
              <w:jc w:val="right"/>
              <w:rPr>
                <w:rFonts w:cs="Calibri"/>
                <w:color w:val="000000"/>
                <w:lang w:eastAsia="en-GB"/>
              </w:rPr>
            </w:pPr>
            <w:r w:rsidRPr="00A15101">
              <w:rPr>
                <w:rFonts w:cs="Calibri"/>
                <w:color w:val="000000"/>
                <w:lang w:eastAsia="en-GB"/>
              </w:rPr>
              <w:t>43,821.00</w:t>
            </w:r>
          </w:p>
        </w:tc>
      </w:tr>
      <w:tr w:rsidR="00B75F99" w:rsidRPr="00A15101" w14:paraId="2AADC407" w14:textId="77777777" w:rsidTr="00B25A8B">
        <w:trPr>
          <w:trHeight w:val="300"/>
        </w:trPr>
        <w:tc>
          <w:tcPr>
            <w:tcW w:w="7220" w:type="dxa"/>
            <w:tcBorders>
              <w:top w:val="nil"/>
              <w:left w:val="single" w:sz="8" w:space="0" w:color="auto"/>
              <w:bottom w:val="single" w:sz="4" w:space="0" w:color="auto"/>
              <w:right w:val="single" w:sz="8" w:space="0" w:color="auto"/>
            </w:tcBorders>
            <w:shd w:val="clear" w:color="auto" w:fill="auto"/>
            <w:vAlign w:val="center"/>
            <w:hideMark/>
          </w:tcPr>
          <w:p w14:paraId="776B3BC2" w14:textId="77777777" w:rsidR="00B75F99" w:rsidRPr="00A15101" w:rsidRDefault="00B75F99">
            <w:pPr>
              <w:rPr>
                <w:rFonts w:cs="Calibri"/>
                <w:color w:val="000000"/>
                <w:lang w:eastAsia="en-GB"/>
              </w:rPr>
            </w:pPr>
            <w:r w:rsidRPr="00A15101">
              <w:rPr>
                <w:rFonts w:cs="Calibri"/>
                <w:color w:val="000000"/>
                <w:lang w:eastAsia="en-GB"/>
              </w:rPr>
              <w:t>AI 7D2 (WRC-23): RR AP4 parameters for Rec ITU-R S.1503 updates</w:t>
            </w:r>
          </w:p>
        </w:tc>
        <w:tc>
          <w:tcPr>
            <w:tcW w:w="1499" w:type="dxa"/>
            <w:tcBorders>
              <w:top w:val="nil"/>
              <w:left w:val="nil"/>
              <w:bottom w:val="single" w:sz="4" w:space="0" w:color="auto"/>
              <w:right w:val="single" w:sz="8" w:space="0" w:color="auto"/>
            </w:tcBorders>
            <w:shd w:val="clear" w:color="auto" w:fill="auto"/>
            <w:vAlign w:val="center"/>
            <w:hideMark/>
          </w:tcPr>
          <w:p w14:paraId="67E0807A" w14:textId="77777777" w:rsidR="00B75F99" w:rsidRPr="00A15101" w:rsidRDefault="00B75F99">
            <w:pPr>
              <w:jc w:val="right"/>
              <w:rPr>
                <w:rFonts w:cs="Calibri"/>
                <w:color w:val="000000"/>
                <w:lang w:eastAsia="en-GB"/>
              </w:rPr>
            </w:pPr>
            <w:r w:rsidRPr="00A15101">
              <w:rPr>
                <w:rFonts w:cs="Calibri"/>
                <w:color w:val="000000"/>
                <w:lang w:eastAsia="en-GB"/>
              </w:rPr>
              <w:t>35,056.80</w:t>
            </w:r>
          </w:p>
        </w:tc>
      </w:tr>
      <w:tr w:rsidR="00B75F99" w:rsidRPr="00A15101" w14:paraId="38CA0A0D" w14:textId="77777777" w:rsidTr="00B25A8B">
        <w:trPr>
          <w:trHeight w:val="300"/>
        </w:trPr>
        <w:tc>
          <w:tcPr>
            <w:tcW w:w="7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6161C" w14:textId="77777777" w:rsidR="00B75F99" w:rsidRPr="00A15101" w:rsidRDefault="00B75F99">
            <w:pPr>
              <w:rPr>
                <w:rFonts w:cs="Calibri"/>
                <w:color w:val="000000"/>
                <w:lang w:eastAsia="en-GB"/>
              </w:rPr>
            </w:pPr>
            <w:r w:rsidRPr="00A15101">
              <w:rPr>
                <w:rFonts w:cs="Calibri"/>
                <w:color w:val="000000"/>
                <w:lang w:eastAsia="en-GB"/>
              </w:rPr>
              <w:t>AI 7D3 (WRC-23): BIU and BBIU reminders</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B1AA6" w14:textId="77777777" w:rsidR="00B75F99" w:rsidRPr="00A15101" w:rsidRDefault="00B75F99">
            <w:pPr>
              <w:jc w:val="right"/>
              <w:rPr>
                <w:rFonts w:cs="Calibri"/>
                <w:color w:val="000000"/>
                <w:lang w:eastAsia="en-GB"/>
              </w:rPr>
            </w:pPr>
            <w:r w:rsidRPr="00A15101">
              <w:rPr>
                <w:rFonts w:cs="Calibri"/>
                <w:color w:val="000000"/>
                <w:lang w:eastAsia="en-GB"/>
              </w:rPr>
              <w:t>43,821.00</w:t>
            </w:r>
          </w:p>
        </w:tc>
      </w:tr>
      <w:tr w:rsidR="00B75F99" w:rsidRPr="00A15101" w14:paraId="26797411" w14:textId="77777777" w:rsidTr="00B25A8B">
        <w:trPr>
          <w:trHeight w:val="300"/>
        </w:trPr>
        <w:tc>
          <w:tcPr>
            <w:tcW w:w="72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9F073F5" w14:textId="77777777" w:rsidR="00B75F99" w:rsidRPr="00A15101" w:rsidRDefault="00B75F99">
            <w:pPr>
              <w:rPr>
                <w:rFonts w:cs="Calibri"/>
                <w:color w:val="000000"/>
                <w:lang w:eastAsia="en-GB"/>
              </w:rPr>
            </w:pPr>
            <w:r w:rsidRPr="00A15101">
              <w:rPr>
                <w:rFonts w:cs="Calibri"/>
                <w:color w:val="000000"/>
                <w:lang w:eastAsia="en-GB"/>
              </w:rPr>
              <w:t>AI 7K (WRC-23): Changes to Attachment to Res 553</w:t>
            </w:r>
          </w:p>
        </w:tc>
        <w:tc>
          <w:tcPr>
            <w:tcW w:w="1499" w:type="dxa"/>
            <w:tcBorders>
              <w:top w:val="single" w:sz="4" w:space="0" w:color="auto"/>
              <w:left w:val="nil"/>
              <w:bottom w:val="single" w:sz="8" w:space="0" w:color="auto"/>
              <w:right w:val="single" w:sz="8" w:space="0" w:color="auto"/>
            </w:tcBorders>
            <w:shd w:val="clear" w:color="auto" w:fill="auto"/>
            <w:vAlign w:val="center"/>
            <w:hideMark/>
          </w:tcPr>
          <w:p w14:paraId="589D52AC" w14:textId="77777777" w:rsidR="00B75F99" w:rsidRPr="00A15101" w:rsidRDefault="00B75F99">
            <w:pPr>
              <w:jc w:val="right"/>
              <w:rPr>
                <w:rFonts w:cs="Calibri"/>
                <w:color w:val="000000"/>
                <w:lang w:eastAsia="en-GB"/>
              </w:rPr>
            </w:pPr>
            <w:r w:rsidRPr="00A15101">
              <w:rPr>
                <w:rFonts w:cs="Calibri"/>
                <w:color w:val="000000"/>
                <w:lang w:eastAsia="en-GB"/>
              </w:rPr>
              <w:t>26,292.60</w:t>
            </w:r>
          </w:p>
        </w:tc>
      </w:tr>
      <w:tr w:rsidR="00B75F99" w:rsidRPr="00A15101" w14:paraId="24C6E195"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C667304" w14:textId="77777777" w:rsidR="00B75F99" w:rsidRPr="00A15101" w:rsidRDefault="00B75F99">
            <w:pPr>
              <w:rPr>
                <w:rFonts w:cs="Calibri"/>
                <w:color w:val="000000"/>
                <w:lang w:val="fr-FR" w:eastAsia="en-GB"/>
              </w:rPr>
            </w:pPr>
            <w:r w:rsidRPr="00A15101">
              <w:rPr>
                <w:rFonts w:cs="Calibri"/>
                <w:color w:val="000000"/>
                <w:lang w:val="fr-FR" w:eastAsia="en-GB"/>
              </w:rPr>
              <w:t>AI 9.1 (WRC-23): RR Article 21 changes</w:t>
            </w:r>
          </w:p>
        </w:tc>
        <w:tc>
          <w:tcPr>
            <w:tcW w:w="1499" w:type="dxa"/>
            <w:tcBorders>
              <w:top w:val="nil"/>
              <w:left w:val="nil"/>
              <w:bottom w:val="single" w:sz="8" w:space="0" w:color="auto"/>
              <w:right w:val="single" w:sz="8" w:space="0" w:color="auto"/>
            </w:tcBorders>
            <w:shd w:val="clear" w:color="auto" w:fill="auto"/>
            <w:vAlign w:val="center"/>
            <w:hideMark/>
          </w:tcPr>
          <w:p w14:paraId="215714D5" w14:textId="77777777" w:rsidR="00B75F99" w:rsidRPr="00A15101" w:rsidRDefault="00B75F99">
            <w:pPr>
              <w:jc w:val="right"/>
              <w:rPr>
                <w:rFonts w:cs="Calibri"/>
                <w:color w:val="000000"/>
                <w:lang w:eastAsia="en-GB"/>
              </w:rPr>
            </w:pPr>
            <w:r w:rsidRPr="00A15101">
              <w:rPr>
                <w:rFonts w:cs="Calibri"/>
                <w:color w:val="000000"/>
                <w:lang w:eastAsia="en-GB"/>
              </w:rPr>
              <w:t>26,292.60</w:t>
            </w:r>
          </w:p>
        </w:tc>
      </w:tr>
      <w:tr w:rsidR="00B75F99" w:rsidRPr="00A15101" w14:paraId="75BA6E6D"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CC8DF6D" w14:textId="77777777" w:rsidR="00B75F99" w:rsidRPr="00A15101" w:rsidRDefault="00B75F99">
            <w:pPr>
              <w:rPr>
                <w:rFonts w:cs="Calibri"/>
                <w:color w:val="000000"/>
                <w:lang w:eastAsia="en-GB"/>
              </w:rPr>
            </w:pPr>
            <w:r w:rsidRPr="00A15101">
              <w:rPr>
                <w:rFonts w:cs="Calibri"/>
                <w:color w:val="000000"/>
                <w:lang w:eastAsia="en-GB"/>
              </w:rPr>
              <w:lastRenderedPageBreak/>
              <w:t>AI 9.1.d (WRC-23): Protection of EESS (passive) in band 36-37 GHz</w:t>
            </w:r>
          </w:p>
        </w:tc>
        <w:tc>
          <w:tcPr>
            <w:tcW w:w="1499" w:type="dxa"/>
            <w:tcBorders>
              <w:top w:val="nil"/>
              <w:left w:val="nil"/>
              <w:bottom w:val="single" w:sz="8" w:space="0" w:color="auto"/>
              <w:right w:val="single" w:sz="8" w:space="0" w:color="auto"/>
            </w:tcBorders>
            <w:shd w:val="clear" w:color="auto" w:fill="auto"/>
            <w:vAlign w:val="center"/>
            <w:hideMark/>
          </w:tcPr>
          <w:p w14:paraId="413051AF" w14:textId="77777777" w:rsidR="00B75F99" w:rsidRPr="00A15101" w:rsidRDefault="00B75F99">
            <w:pPr>
              <w:jc w:val="right"/>
              <w:rPr>
                <w:rFonts w:cs="Calibri"/>
                <w:color w:val="000000"/>
                <w:lang w:eastAsia="en-GB"/>
              </w:rPr>
            </w:pPr>
            <w:r w:rsidRPr="00A15101">
              <w:rPr>
                <w:rFonts w:cs="Calibri"/>
                <w:color w:val="000000"/>
                <w:lang w:eastAsia="en-GB"/>
              </w:rPr>
              <w:t>87,642.00</w:t>
            </w:r>
          </w:p>
        </w:tc>
      </w:tr>
      <w:tr w:rsidR="00B75F99" w:rsidRPr="00A15101" w14:paraId="0EFD1CC0"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0C2B5339" w14:textId="77777777" w:rsidR="00B75F99" w:rsidRPr="00A15101" w:rsidRDefault="00B75F99">
            <w:pPr>
              <w:rPr>
                <w:rFonts w:cs="Calibri"/>
                <w:color w:val="000000"/>
                <w:lang w:eastAsia="en-GB"/>
              </w:rPr>
            </w:pPr>
            <w:r w:rsidRPr="00A15101">
              <w:rPr>
                <w:rFonts w:cs="Calibri"/>
                <w:color w:val="000000"/>
                <w:lang w:eastAsia="en-GB"/>
              </w:rPr>
              <w:t>AI 9.3 (WRC-23): Changes to AP30B Art 6 and Art 8, plenary minutes</w:t>
            </w:r>
          </w:p>
        </w:tc>
        <w:tc>
          <w:tcPr>
            <w:tcW w:w="1499" w:type="dxa"/>
            <w:tcBorders>
              <w:top w:val="nil"/>
              <w:left w:val="nil"/>
              <w:bottom w:val="single" w:sz="8" w:space="0" w:color="auto"/>
              <w:right w:val="single" w:sz="8" w:space="0" w:color="auto"/>
            </w:tcBorders>
            <w:shd w:val="clear" w:color="auto" w:fill="auto"/>
            <w:vAlign w:val="center"/>
            <w:hideMark/>
          </w:tcPr>
          <w:p w14:paraId="75245C7D" w14:textId="77777777" w:rsidR="00B75F99" w:rsidRPr="00A15101" w:rsidRDefault="00B75F99">
            <w:pPr>
              <w:jc w:val="right"/>
              <w:rPr>
                <w:rFonts w:cs="Calibri"/>
                <w:color w:val="000000"/>
                <w:lang w:eastAsia="en-GB"/>
              </w:rPr>
            </w:pPr>
            <w:r w:rsidRPr="00A15101">
              <w:rPr>
                <w:rFonts w:cs="Calibri"/>
                <w:color w:val="000000"/>
                <w:lang w:eastAsia="en-GB"/>
              </w:rPr>
              <w:t>17,528.40</w:t>
            </w:r>
          </w:p>
        </w:tc>
      </w:tr>
      <w:tr w:rsidR="00B75F99" w:rsidRPr="00A15101" w14:paraId="68CC100B"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F44B69D" w14:textId="77777777" w:rsidR="00B75F99" w:rsidRPr="00A15101" w:rsidRDefault="00B75F99">
            <w:pPr>
              <w:rPr>
                <w:rFonts w:cs="Calibri"/>
                <w:color w:val="000000"/>
                <w:lang w:eastAsia="en-GB"/>
              </w:rPr>
            </w:pPr>
            <w:r w:rsidRPr="00A15101">
              <w:rPr>
                <w:rFonts w:cs="Calibri"/>
                <w:color w:val="000000"/>
                <w:lang w:eastAsia="en-GB"/>
              </w:rPr>
              <w:t>AI 7E (WRC-23): Changes to AP30B Art 7 and Art 10</w:t>
            </w:r>
          </w:p>
        </w:tc>
        <w:tc>
          <w:tcPr>
            <w:tcW w:w="1499" w:type="dxa"/>
            <w:tcBorders>
              <w:top w:val="nil"/>
              <w:left w:val="nil"/>
              <w:bottom w:val="single" w:sz="8" w:space="0" w:color="auto"/>
              <w:right w:val="single" w:sz="8" w:space="0" w:color="auto"/>
            </w:tcBorders>
            <w:shd w:val="clear" w:color="auto" w:fill="auto"/>
            <w:vAlign w:val="center"/>
            <w:hideMark/>
          </w:tcPr>
          <w:p w14:paraId="2A1E55BD" w14:textId="77777777" w:rsidR="00B75F99" w:rsidRPr="00A15101" w:rsidRDefault="00B75F99">
            <w:pPr>
              <w:jc w:val="right"/>
              <w:rPr>
                <w:rFonts w:cs="Calibri"/>
                <w:color w:val="000000"/>
                <w:lang w:eastAsia="en-GB"/>
              </w:rPr>
            </w:pPr>
            <w:r w:rsidRPr="00A15101">
              <w:rPr>
                <w:rFonts w:cs="Calibri"/>
                <w:color w:val="000000"/>
                <w:lang w:eastAsia="en-GB"/>
              </w:rPr>
              <w:t>175,284.00</w:t>
            </w:r>
          </w:p>
        </w:tc>
      </w:tr>
      <w:tr w:rsidR="00B75F99" w:rsidRPr="00A15101" w14:paraId="5D582611"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779074C6" w14:textId="77777777" w:rsidR="00B75F99" w:rsidRPr="00A15101" w:rsidRDefault="00B75F99">
            <w:pPr>
              <w:rPr>
                <w:rFonts w:cs="Calibri"/>
                <w:color w:val="000000"/>
                <w:lang w:eastAsia="en-GB"/>
              </w:rPr>
            </w:pPr>
            <w:r w:rsidRPr="00A15101">
              <w:rPr>
                <w:rFonts w:cs="Calibri"/>
                <w:color w:val="000000"/>
                <w:lang w:eastAsia="en-GB"/>
              </w:rPr>
              <w:t>AI 7F (WRC-23): Changes to AP30A Art 4 and AP30B Art 6</w:t>
            </w:r>
          </w:p>
        </w:tc>
        <w:tc>
          <w:tcPr>
            <w:tcW w:w="1499" w:type="dxa"/>
            <w:tcBorders>
              <w:top w:val="nil"/>
              <w:left w:val="nil"/>
              <w:bottom w:val="single" w:sz="8" w:space="0" w:color="auto"/>
              <w:right w:val="single" w:sz="8" w:space="0" w:color="auto"/>
            </w:tcBorders>
            <w:shd w:val="clear" w:color="auto" w:fill="auto"/>
            <w:vAlign w:val="center"/>
            <w:hideMark/>
          </w:tcPr>
          <w:p w14:paraId="7BDCB6A7" w14:textId="77777777" w:rsidR="00B75F99" w:rsidRPr="00A15101" w:rsidRDefault="00B75F99">
            <w:pPr>
              <w:jc w:val="right"/>
              <w:rPr>
                <w:rFonts w:cs="Calibri"/>
                <w:color w:val="000000"/>
                <w:lang w:eastAsia="en-GB"/>
              </w:rPr>
            </w:pPr>
            <w:r w:rsidRPr="00A15101">
              <w:rPr>
                <w:rFonts w:cs="Calibri"/>
                <w:color w:val="000000"/>
                <w:lang w:eastAsia="en-GB"/>
              </w:rPr>
              <w:t>175,284.00</w:t>
            </w:r>
          </w:p>
        </w:tc>
      </w:tr>
      <w:tr w:rsidR="00B75F99" w:rsidRPr="00A15101" w14:paraId="008C9918"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19B94EB1" w14:textId="77777777" w:rsidR="00B75F99" w:rsidRPr="00A15101" w:rsidRDefault="00B75F99">
            <w:pPr>
              <w:rPr>
                <w:rFonts w:cs="Calibri"/>
                <w:color w:val="000000"/>
                <w:lang w:eastAsia="en-GB"/>
              </w:rPr>
            </w:pPr>
            <w:r w:rsidRPr="00A15101">
              <w:rPr>
                <w:rFonts w:cs="Calibri"/>
                <w:color w:val="000000"/>
                <w:lang w:eastAsia="en-GB"/>
              </w:rPr>
              <w:t>AI 7G (WRC-23): Change to Res 770 EPFD Validation software</w:t>
            </w:r>
          </w:p>
        </w:tc>
        <w:tc>
          <w:tcPr>
            <w:tcW w:w="1499" w:type="dxa"/>
            <w:tcBorders>
              <w:top w:val="nil"/>
              <w:left w:val="nil"/>
              <w:bottom w:val="single" w:sz="8" w:space="0" w:color="auto"/>
              <w:right w:val="single" w:sz="8" w:space="0" w:color="auto"/>
            </w:tcBorders>
            <w:shd w:val="clear" w:color="auto" w:fill="auto"/>
            <w:vAlign w:val="center"/>
            <w:hideMark/>
          </w:tcPr>
          <w:p w14:paraId="750CA115" w14:textId="77777777" w:rsidR="00B75F99" w:rsidRPr="00A15101" w:rsidRDefault="00B75F99">
            <w:pPr>
              <w:jc w:val="right"/>
              <w:rPr>
                <w:rFonts w:cs="Calibri"/>
                <w:color w:val="000000"/>
                <w:lang w:eastAsia="en-GB"/>
              </w:rPr>
            </w:pPr>
            <w:r w:rsidRPr="00A15101">
              <w:rPr>
                <w:rFonts w:cs="Calibri"/>
                <w:color w:val="000000"/>
                <w:lang w:eastAsia="en-GB"/>
              </w:rPr>
              <w:t>175,284.00</w:t>
            </w:r>
          </w:p>
        </w:tc>
      </w:tr>
      <w:tr w:rsidR="00B75F99" w:rsidRPr="00A15101" w14:paraId="2B378CCB"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2CD9E7F1" w14:textId="77777777" w:rsidR="00B75F99" w:rsidRPr="00A15101" w:rsidRDefault="00B75F99">
            <w:pPr>
              <w:rPr>
                <w:rFonts w:cs="Calibri"/>
                <w:color w:val="000000"/>
                <w:lang w:eastAsia="en-GB"/>
              </w:rPr>
            </w:pPr>
            <w:r w:rsidRPr="00A15101">
              <w:rPr>
                <w:rFonts w:cs="Calibri"/>
                <w:color w:val="000000"/>
                <w:lang w:eastAsia="en-GB"/>
              </w:rPr>
              <w:t>Res 126 (WRC-23): Temporary measures in AP30B</w:t>
            </w:r>
          </w:p>
        </w:tc>
        <w:tc>
          <w:tcPr>
            <w:tcW w:w="1499" w:type="dxa"/>
            <w:tcBorders>
              <w:top w:val="nil"/>
              <w:left w:val="nil"/>
              <w:bottom w:val="single" w:sz="8" w:space="0" w:color="auto"/>
              <w:right w:val="single" w:sz="8" w:space="0" w:color="auto"/>
            </w:tcBorders>
            <w:shd w:val="clear" w:color="auto" w:fill="auto"/>
            <w:vAlign w:val="center"/>
            <w:hideMark/>
          </w:tcPr>
          <w:p w14:paraId="3EA3C133" w14:textId="77777777" w:rsidR="00B75F99" w:rsidRPr="00A15101" w:rsidRDefault="00B75F99">
            <w:pPr>
              <w:jc w:val="right"/>
              <w:rPr>
                <w:rFonts w:cs="Calibri"/>
                <w:color w:val="000000"/>
                <w:lang w:eastAsia="en-GB"/>
              </w:rPr>
            </w:pPr>
            <w:r w:rsidRPr="00A15101">
              <w:rPr>
                <w:rFonts w:cs="Calibri"/>
                <w:color w:val="000000"/>
                <w:lang w:eastAsia="en-GB"/>
              </w:rPr>
              <w:t>87,642.00</w:t>
            </w:r>
          </w:p>
        </w:tc>
      </w:tr>
      <w:tr w:rsidR="00B75F99" w:rsidRPr="00A15101" w14:paraId="0BC6F9F2" w14:textId="77777777" w:rsidTr="008C5A35">
        <w:trPr>
          <w:trHeight w:val="59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0D212004" w14:textId="77777777" w:rsidR="00B75F99" w:rsidRPr="00A15101" w:rsidRDefault="00B75F99">
            <w:pPr>
              <w:rPr>
                <w:rFonts w:cs="Calibri"/>
                <w:color w:val="000000"/>
                <w:lang w:eastAsia="en-GB"/>
              </w:rPr>
            </w:pPr>
            <w:r w:rsidRPr="00A15101">
              <w:rPr>
                <w:rFonts w:cs="Calibri"/>
                <w:color w:val="000000"/>
                <w:lang w:eastAsia="en-GB"/>
              </w:rPr>
              <w:t>Res 676 + AI 9.2 (WRC-23): Changes to 9.52.1 (unacceptable interference), RR21, and improvements of BR processing</w:t>
            </w:r>
          </w:p>
        </w:tc>
        <w:tc>
          <w:tcPr>
            <w:tcW w:w="1499" w:type="dxa"/>
            <w:tcBorders>
              <w:top w:val="nil"/>
              <w:left w:val="nil"/>
              <w:bottom w:val="single" w:sz="8" w:space="0" w:color="auto"/>
              <w:right w:val="single" w:sz="8" w:space="0" w:color="auto"/>
            </w:tcBorders>
            <w:shd w:val="clear" w:color="auto" w:fill="auto"/>
            <w:vAlign w:val="center"/>
            <w:hideMark/>
          </w:tcPr>
          <w:p w14:paraId="4AD5EBE1" w14:textId="77777777" w:rsidR="00B75F99" w:rsidRPr="00A15101" w:rsidRDefault="00B75F99">
            <w:pPr>
              <w:jc w:val="right"/>
              <w:rPr>
                <w:rFonts w:cs="Calibri"/>
                <w:color w:val="000000"/>
                <w:lang w:eastAsia="en-GB"/>
              </w:rPr>
            </w:pPr>
            <w:r w:rsidRPr="00A15101">
              <w:rPr>
                <w:rFonts w:cs="Calibri"/>
                <w:color w:val="000000"/>
                <w:lang w:eastAsia="en-GB"/>
              </w:rPr>
              <w:t>87,642.00</w:t>
            </w:r>
          </w:p>
        </w:tc>
      </w:tr>
      <w:tr w:rsidR="00B75F99" w:rsidRPr="00A15101" w14:paraId="5342B7FC"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6B6F7F45" w14:textId="77777777" w:rsidR="00B75F99" w:rsidRPr="00A15101" w:rsidRDefault="00B75F99">
            <w:pPr>
              <w:rPr>
                <w:rFonts w:cs="Calibri"/>
                <w:color w:val="000000"/>
                <w:lang w:eastAsia="en-GB"/>
              </w:rPr>
            </w:pPr>
            <w:r w:rsidRPr="00A15101">
              <w:rPr>
                <w:rFonts w:cs="Calibri"/>
                <w:color w:val="000000"/>
                <w:lang w:eastAsia="en-GB"/>
              </w:rPr>
              <w:t>Res 677 (WRC-23): EESS (active) for spaceborne radar sounders</w:t>
            </w:r>
          </w:p>
        </w:tc>
        <w:tc>
          <w:tcPr>
            <w:tcW w:w="1499" w:type="dxa"/>
            <w:tcBorders>
              <w:top w:val="nil"/>
              <w:left w:val="nil"/>
              <w:bottom w:val="single" w:sz="8" w:space="0" w:color="auto"/>
              <w:right w:val="single" w:sz="8" w:space="0" w:color="auto"/>
            </w:tcBorders>
            <w:shd w:val="clear" w:color="auto" w:fill="auto"/>
            <w:vAlign w:val="center"/>
            <w:hideMark/>
          </w:tcPr>
          <w:p w14:paraId="2F726969" w14:textId="77777777" w:rsidR="00B75F99" w:rsidRPr="00A15101" w:rsidRDefault="00B75F99">
            <w:pPr>
              <w:jc w:val="right"/>
              <w:rPr>
                <w:rFonts w:cs="Calibri"/>
                <w:color w:val="000000"/>
                <w:lang w:eastAsia="en-GB"/>
              </w:rPr>
            </w:pPr>
            <w:r w:rsidRPr="00A15101">
              <w:rPr>
                <w:rFonts w:cs="Calibri"/>
                <w:color w:val="000000"/>
                <w:lang w:eastAsia="en-GB"/>
              </w:rPr>
              <w:t>148,991.40</w:t>
            </w:r>
          </w:p>
        </w:tc>
      </w:tr>
      <w:tr w:rsidR="00B75F99" w:rsidRPr="00A15101" w14:paraId="02573A6A"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41992C64" w14:textId="77777777" w:rsidR="00B75F99" w:rsidRPr="00A15101" w:rsidRDefault="00B75F99">
            <w:pPr>
              <w:rPr>
                <w:rFonts w:cs="Calibri"/>
                <w:color w:val="000000"/>
                <w:lang w:eastAsia="en-GB"/>
              </w:rPr>
            </w:pPr>
            <w:r w:rsidRPr="00A15101">
              <w:rPr>
                <w:rFonts w:cs="Calibri"/>
                <w:color w:val="000000"/>
                <w:lang w:eastAsia="en-GB"/>
              </w:rPr>
              <w:t>AI 1.19 (WRC-23): FSS (space-to-Earth) in band 17.3-17.7 GHz in Region 2</w:t>
            </w:r>
          </w:p>
        </w:tc>
        <w:tc>
          <w:tcPr>
            <w:tcW w:w="1499" w:type="dxa"/>
            <w:tcBorders>
              <w:top w:val="nil"/>
              <w:left w:val="nil"/>
              <w:bottom w:val="single" w:sz="8" w:space="0" w:color="auto"/>
              <w:right w:val="single" w:sz="8" w:space="0" w:color="auto"/>
            </w:tcBorders>
            <w:shd w:val="clear" w:color="auto" w:fill="auto"/>
            <w:vAlign w:val="center"/>
            <w:hideMark/>
          </w:tcPr>
          <w:p w14:paraId="2C48DD1C" w14:textId="77777777" w:rsidR="00B75F99" w:rsidRPr="00A15101" w:rsidRDefault="00B75F99">
            <w:pPr>
              <w:jc w:val="right"/>
              <w:rPr>
                <w:rFonts w:cs="Calibri"/>
                <w:color w:val="000000"/>
                <w:lang w:eastAsia="en-GB"/>
              </w:rPr>
            </w:pPr>
            <w:r w:rsidRPr="00A15101">
              <w:rPr>
                <w:rFonts w:cs="Calibri"/>
                <w:color w:val="000000"/>
                <w:lang w:eastAsia="en-GB"/>
              </w:rPr>
              <w:t>148,991.40</w:t>
            </w:r>
          </w:p>
        </w:tc>
      </w:tr>
      <w:tr w:rsidR="00B75F99" w:rsidRPr="00A15101" w14:paraId="3EF21BAE"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auto"/>
            <w:vAlign w:val="center"/>
            <w:hideMark/>
          </w:tcPr>
          <w:p w14:paraId="6768B3AC" w14:textId="77777777" w:rsidR="00B75F99" w:rsidRPr="00A15101" w:rsidRDefault="00B75F99">
            <w:pPr>
              <w:rPr>
                <w:rFonts w:cs="Calibri"/>
                <w:color w:val="000000"/>
                <w:lang w:eastAsia="en-GB"/>
              </w:rPr>
            </w:pPr>
            <w:r w:rsidRPr="00A15101">
              <w:rPr>
                <w:rFonts w:cs="Calibri"/>
                <w:color w:val="000000"/>
                <w:lang w:eastAsia="en-GB"/>
              </w:rPr>
              <w:t>Res 35 (Rev. WRC-23): NGSO BIU post-milestone procedure</w:t>
            </w:r>
          </w:p>
        </w:tc>
        <w:tc>
          <w:tcPr>
            <w:tcW w:w="1499" w:type="dxa"/>
            <w:tcBorders>
              <w:top w:val="nil"/>
              <w:left w:val="nil"/>
              <w:bottom w:val="single" w:sz="8" w:space="0" w:color="auto"/>
              <w:right w:val="single" w:sz="8" w:space="0" w:color="auto"/>
            </w:tcBorders>
            <w:shd w:val="clear" w:color="auto" w:fill="auto"/>
            <w:vAlign w:val="center"/>
            <w:hideMark/>
          </w:tcPr>
          <w:p w14:paraId="36C1AC0C" w14:textId="77777777" w:rsidR="00B75F99" w:rsidRPr="00A15101" w:rsidRDefault="00B75F99">
            <w:pPr>
              <w:jc w:val="right"/>
              <w:rPr>
                <w:rFonts w:cs="Calibri"/>
                <w:color w:val="000000"/>
                <w:lang w:eastAsia="en-GB"/>
              </w:rPr>
            </w:pPr>
            <w:r w:rsidRPr="00A15101">
              <w:rPr>
                <w:rFonts w:cs="Calibri"/>
                <w:color w:val="000000"/>
                <w:lang w:eastAsia="en-GB"/>
              </w:rPr>
              <w:t>175,284.00</w:t>
            </w:r>
          </w:p>
        </w:tc>
      </w:tr>
      <w:tr w:rsidR="00B75F99" w:rsidRPr="00A15101" w14:paraId="30B97CF5"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B6DDE8" w:themeFill="accent5" w:themeFillTint="66"/>
            <w:vAlign w:val="center"/>
            <w:hideMark/>
          </w:tcPr>
          <w:p w14:paraId="691CBB73" w14:textId="77777777" w:rsidR="00B75F99" w:rsidRPr="00A15101" w:rsidRDefault="00B75F99">
            <w:pPr>
              <w:rPr>
                <w:rFonts w:cs="Calibri"/>
                <w:b/>
                <w:bCs/>
                <w:color w:val="000000"/>
                <w:lang w:eastAsia="en-GB"/>
              </w:rPr>
            </w:pPr>
            <w:r w:rsidRPr="00A15101">
              <w:rPr>
                <w:rFonts w:cs="Calibri"/>
                <w:b/>
                <w:bCs/>
                <w:color w:val="000000"/>
                <w:lang w:eastAsia="en-GB"/>
              </w:rPr>
              <w:t xml:space="preserve">Total </w:t>
            </w:r>
          </w:p>
        </w:tc>
        <w:tc>
          <w:tcPr>
            <w:tcW w:w="1499" w:type="dxa"/>
            <w:tcBorders>
              <w:top w:val="nil"/>
              <w:left w:val="nil"/>
              <w:bottom w:val="single" w:sz="8" w:space="0" w:color="auto"/>
              <w:right w:val="single" w:sz="8" w:space="0" w:color="auto"/>
            </w:tcBorders>
            <w:shd w:val="clear" w:color="auto" w:fill="B6DDE8" w:themeFill="accent5" w:themeFillTint="66"/>
            <w:vAlign w:val="center"/>
            <w:hideMark/>
          </w:tcPr>
          <w:p w14:paraId="0E50116F" w14:textId="77777777" w:rsidR="00B75F99" w:rsidRPr="00A15101" w:rsidRDefault="00B75F99">
            <w:pPr>
              <w:jc w:val="right"/>
              <w:rPr>
                <w:rFonts w:cs="Calibri"/>
                <w:b/>
                <w:bCs/>
                <w:color w:val="000000"/>
                <w:lang w:eastAsia="en-GB"/>
              </w:rPr>
            </w:pPr>
            <w:r w:rsidRPr="00A15101">
              <w:rPr>
                <w:rFonts w:cs="Calibri"/>
                <w:b/>
                <w:bCs/>
                <w:color w:val="000000"/>
                <w:lang w:eastAsia="en-GB"/>
              </w:rPr>
              <w:t>2,979,828.00</w:t>
            </w:r>
          </w:p>
        </w:tc>
      </w:tr>
      <w:tr w:rsidR="00B75F99" w:rsidRPr="00A15101" w14:paraId="21B381CA" w14:textId="77777777" w:rsidTr="008C5A35">
        <w:trPr>
          <w:trHeight w:val="300"/>
        </w:trPr>
        <w:tc>
          <w:tcPr>
            <w:tcW w:w="7220" w:type="dxa"/>
            <w:tcBorders>
              <w:top w:val="nil"/>
              <w:left w:val="single" w:sz="8" w:space="0" w:color="auto"/>
              <w:bottom w:val="single" w:sz="8" w:space="0" w:color="auto"/>
              <w:right w:val="single" w:sz="8" w:space="0" w:color="auto"/>
            </w:tcBorders>
            <w:shd w:val="clear" w:color="auto" w:fill="E5B8B7" w:themeFill="accent2" w:themeFillTint="66"/>
            <w:vAlign w:val="center"/>
            <w:hideMark/>
          </w:tcPr>
          <w:p w14:paraId="56FB8E3B" w14:textId="77777777" w:rsidR="00B75F99" w:rsidRPr="00A15101" w:rsidRDefault="00B75F99">
            <w:pPr>
              <w:rPr>
                <w:rFonts w:cs="Calibri"/>
                <w:b/>
                <w:bCs/>
                <w:color w:val="000000"/>
                <w:lang w:eastAsia="en-GB"/>
              </w:rPr>
            </w:pPr>
            <w:r w:rsidRPr="00A15101">
              <w:rPr>
                <w:rFonts w:cs="Calibri"/>
                <w:b/>
                <w:bCs/>
                <w:color w:val="000000"/>
                <w:lang w:eastAsia="en-GB"/>
              </w:rPr>
              <w:t xml:space="preserve">Grand total </w:t>
            </w:r>
          </w:p>
        </w:tc>
        <w:tc>
          <w:tcPr>
            <w:tcW w:w="1499" w:type="dxa"/>
            <w:tcBorders>
              <w:top w:val="nil"/>
              <w:left w:val="nil"/>
              <w:bottom w:val="single" w:sz="8" w:space="0" w:color="auto"/>
              <w:right w:val="single" w:sz="8" w:space="0" w:color="auto"/>
            </w:tcBorders>
            <w:shd w:val="clear" w:color="auto" w:fill="E5B8B7" w:themeFill="accent2" w:themeFillTint="66"/>
            <w:vAlign w:val="center"/>
            <w:hideMark/>
          </w:tcPr>
          <w:p w14:paraId="0B8C555D" w14:textId="77777777" w:rsidR="00B75F99" w:rsidRPr="00A15101" w:rsidRDefault="00B75F99">
            <w:pPr>
              <w:jc w:val="right"/>
              <w:rPr>
                <w:rFonts w:cs="Calibri"/>
                <w:b/>
                <w:bCs/>
                <w:color w:val="000000"/>
                <w:lang w:eastAsia="en-GB"/>
              </w:rPr>
            </w:pPr>
            <w:r w:rsidRPr="00A15101">
              <w:rPr>
                <w:rFonts w:cs="Calibri"/>
                <w:b/>
                <w:bCs/>
                <w:color w:val="000000"/>
                <w:lang w:eastAsia="en-GB"/>
              </w:rPr>
              <w:t>3,330,396.00</w:t>
            </w:r>
          </w:p>
        </w:tc>
      </w:tr>
    </w:tbl>
    <w:p w14:paraId="036511F6" w14:textId="4C014E79" w:rsidR="00031DB7" w:rsidRDefault="00031DB7" w:rsidP="00196A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6"/>
          <w:szCs w:val="26"/>
          <w:lang w:val="en-US"/>
        </w:rPr>
      </w:pPr>
    </w:p>
    <w:p w14:paraId="4D77AD38" w14:textId="5F0CF87D" w:rsidR="007C1A6B" w:rsidRPr="00BE5510" w:rsidRDefault="007C1A6B" w:rsidP="00D3505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bCs/>
          <w:szCs w:val="24"/>
          <w:lang w:val="en-US"/>
        </w:rPr>
      </w:pPr>
      <w:r w:rsidRPr="00BE5510">
        <w:rPr>
          <w:rFonts w:asciiTheme="minorHAnsi" w:hAnsiTheme="minorHAnsi" w:cstheme="minorHAnsi"/>
          <w:bCs/>
          <w:i/>
          <w:iCs/>
          <w:szCs w:val="24"/>
          <w:lang w:val="en-US"/>
        </w:rPr>
        <w:t>Note 1</w:t>
      </w:r>
      <w:r w:rsidRPr="00BE5510">
        <w:rPr>
          <w:rFonts w:asciiTheme="minorHAnsi" w:hAnsiTheme="minorHAnsi" w:cstheme="minorHAnsi"/>
          <w:bCs/>
          <w:szCs w:val="24"/>
          <w:lang w:val="en-US"/>
        </w:rPr>
        <w:t xml:space="preserve">: </w:t>
      </w:r>
      <w:r w:rsidR="005F7301" w:rsidRPr="00BE5510">
        <w:rPr>
          <w:rFonts w:asciiTheme="minorHAnsi" w:hAnsiTheme="minorHAnsi" w:cstheme="minorHAnsi"/>
          <w:bCs/>
          <w:szCs w:val="24"/>
          <w:lang w:val="en-US"/>
        </w:rPr>
        <w:t xml:space="preserve">The need for this software development was identified during WRC-23 when a possible relaxation of the pfd limit in No. </w:t>
      </w:r>
      <w:r w:rsidR="005F7301" w:rsidRPr="00BE5510">
        <w:rPr>
          <w:rFonts w:asciiTheme="minorHAnsi" w:hAnsiTheme="minorHAnsi" w:cstheme="minorHAnsi"/>
          <w:b/>
          <w:szCs w:val="24"/>
          <w:lang w:val="en-US"/>
        </w:rPr>
        <w:t>5.441B</w:t>
      </w:r>
      <w:r w:rsidR="005F7301" w:rsidRPr="00BE5510">
        <w:rPr>
          <w:rFonts w:asciiTheme="minorHAnsi" w:hAnsiTheme="minorHAnsi" w:cstheme="minorHAnsi"/>
          <w:bCs/>
          <w:szCs w:val="24"/>
          <w:lang w:val="en-US"/>
        </w:rPr>
        <w:t xml:space="preserve"> </w:t>
      </w:r>
      <w:r w:rsidR="00AC22F7" w:rsidRPr="00BE5510">
        <w:rPr>
          <w:rFonts w:asciiTheme="minorHAnsi" w:hAnsiTheme="minorHAnsi" w:cstheme="minorHAnsi"/>
          <w:bCs/>
          <w:szCs w:val="24"/>
          <w:lang w:val="en-US"/>
        </w:rPr>
        <w:t>had been</w:t>
      </w:r>
      <w:r w:rsidR="005F7301" w:rsidRPr="00BE5510">
        <w:rPr>
          <w:rFonts w:asciiTheme="minorHAnsi" w:hAnsiTheme="minorHAnsi" w:cstheme="minorHAnsi"/>
          <w:bCs/>
          <w:szCs w:val="24"/>
          <w:lang w:val="en-US"/>
        </w:rPr>
        <w:t xml:space="preserve"> discussed. Since WRC-23 decided to retain the pfd limit adopted by WRC-19</w:t>
      </w:r>
      <w:r w:rsidR="00AC22F7" w:rsidRPr="00BE5510">
        <w:rPr>
          <w:rFonts w:asciiTheme="minorHAnsi" w:hAnsiTheme="minorHAnsi" w:cstheme="minorHAnsi"/>
          <w:bCs/>
          <w:szCs w:val="24"/>
          <w:lang w:val="en-US"/>
        </w:rPr>
        <w:t xml:space="preserve"> and</w:t>
      </w:r>
      <w:r w:rsidR="005F7301" w:rsidRPr="00BE5510">
        <w:rPr>
          <w:rFonts w:asciiTheme="minorHAnsi" w:hAnsiTheme="minorHAnsi" w:cstheme="minorHAnsi"/>
          <w:bCs/>
          <w:szCs w:val="24"/>
          <w:lang w:val="en-US"/>
        </w:rPr>
        <w:t xml:space="preserve"> the notification of </w:t>
      </w:r>
      <w:r w:rsidR="00AC22F7" w:rsidRPr="00BE5510">
        <w:rPr>
          <w:rFonts w:asciiTheme="minorHAnsi" w:hAnsiTheme="minorHAnsi" w:cstheme="minorHAnsi"/>
          <w:bCs/>
          <w:szCs w:val="24"/>
          <w:lang w:val="en-US"/>
        </w:rPr>
        <w:t xml:space="preserve">a </w:t>
      </w:r>
      <w:r w:rsidR="005F7301" w:rsidRPr="00BE5510">
        <w:rPr>
          <w:rFonts w:asciiTheme="minorHAnsi" w:hAnsiTheme="minorHAnsi" w:cstheme="minorHAnsi"/>
          <w:bCs/>
          <w:szCs w:val="24"/>
          <w:lang w:val="en-US"/>
        </w:rPr>
        <w:t xml:space="preserve">detailed IMT antenna pattern </w:t>
      </w:r>
      <w:r w:rsidR="009316AD" w:rsidRPr="00BE5510">
        <w:rPr>
          <w:rFonts w:asciiTheme="minorHAnsi" w:hAnsiTheme="minorHAnsi" w:cstheme="minorHAnsi"/>
          <w:bCs/>
          <w:szCs w:val="24"/>
          <w:lang w:val="en-US"/>
        </w:rPr>
        <w:t>was</w:t>
      </w:r>
      <w:r w:rsidR="00AC22F7" w:rsidRPr="00BE5510">
        <w:rPr>
          <w:rFonts w:asciiTheme="minorHAnsi" w:hAnsiTheme="minorHAnsi" w:cstheme="minorHAnsi"/>
          <w:bCs/>
          <w:szCs w:val="24"/>
          <w:lang w:val="en-US"/>
        </w:rPr>
        <w:t xml:space="preserve"> not specified in the RR Appendix </w:t>
      </w:r>
      <w:r w:rsidR="00AC22F7" w:rsidRPr="00BE5510">
        <w:rPr>
          <w:rFonts w:asciiTheme="minorHAnsi" w:hAnsiTheme="minorHAnsi" w:cstheme="minorHAnsi"/>
          <w:b/>
          <w:szCs w:val="24"/>
          <w:lang w:val="en-US"/>
        </w:rPr>
        <w:t>4</w:t>
      </w:r>
      <w:r w:rsidR="00AC22F7" w:rsidRPr="00BE5510">
        <w:rPr>
          <w:rFonts w:asciiTheme="minorHAnsi" w:hAnsiTheme="minorHAnsi" w:cstheme="minorHAnsi"/>
          <w:bCs/>
          <w:szCs w:val="24"/>
          <w:lang w:val="en-US"/>
        </w:rPr>
        <w:t xml:space="preserve">, </w:t>
      </w:r>
      <w:r w:rsidR="00AC22F7" w:rsidRPr="00BE5510">
        <w:rPr>
          <w:rFonts w:cs="Calibri"/>
          <w:color w:val="000000"/>
          <w:szCs w:val="24"/>
          <w:lang w:eastAsia="en-GB"/>
        </w:rPr>
        <w:t>this software development is no longer required and can be removed from Table 3-1.</w:t>
      </w:r>
      <w:r w:rsidR="005F7301" w:rsidRPr="00BE5510">
        <w:rPr>
          <w:rFonts w:asciiTheme="minorHAnsi" w:hAnsiTheme="minorHAnsi" w:cstheme="minorHAnsi"/>
          <w:bCs/>
          <w:szCs w:val="24"/>
          <w:lang w:val="en-US"/>
        </w:rPr>
        <w:t xml:space="preserve"> </w:t>
      </w:r>
    </w:p>
    <w:p w14:paraId="41961020" w14:textId="52E18AA1" w:rsidR="007C1A6B" w:rsidRPr="00A32B47" w:rsidRDefault="007C1A6B" w:rsidP="00D35052">
      <w:pPr>
        <w:jc w:val="both"/>
        <w:rPr>
          <w:rFonts w:asciiTheme="minorHAnsi" w:hAnsiTheme="minorHAnsi" w:cstheme="minorHAnsi"/>
          <w:bCs/>
          <w:sz w:val="26"/>
          <w:szCs w:val="26"/>
          <w:lang w:val="en-US"/>
        </w:rPr>
      </w:pPr>
      <w:r w:rsidRPr="00BE5510">
        <w:rPr>
          <w:rFonts w:asciiTheme="minorHAnsi" w:hAnsiTheme="minorHAnsi" w:cstheme="minorHAnsi"/>
          <w:bCs/>
          <w:i/>
          <w:iCs/>
          <w:spacing w:val="-2"/>
          <w:szCs w:val="24"/>
          <w:lang w:val="en-US"/>
        </w:rPr>
        <w:t>Note 2</w:t>
      </w:r>
      <w:r w:rsidRPr="00BE5510">
        <w:rPr>
          <w:rFonts w:asciiTheme="minorHAnsi" w:hAnsiTheme="minorHAnsi" w:cstheme="minorHAnsi"/>
          <w:bCs/>
          <w:spacing w:val="-2"/>
          <w:szCs w:val="24"/>
          <w:lang w:val="en-US"/>
        </w:rPr>
        <w:t>: During the discussions</w:t>
      </w:r>
      <w:r w:rsidR="005F7301" w:rsidRPr="00BE5510">
        <w:rPr>
          <w:rFonts w:asciiTheme="minorHAnsi" w:hAnsiTheme="minorHAnsi" w:cstheme="minorHAnsi"/>
          <w:bCs/>
          <w:spacing w:val="-2"/>
          <w:szCs w:val="24"/>
          <w:lang w:val="en-US"/>
        </w:rPr>
        <w:t xml:space="preserve"> at</w:t>
      </w:r>
      <w:r w:rsidRPr="00BE5510">
        <w:rPr>
          <w:rFonts w:asciiTheme="minorHAnsi" w:hAnsiTheme="minorHAnsi" w:cstheme="minorHAnsi"/>
          <w:bCs/>
          <w:spacing w:val="-2"/>
          <w:szCs w:val="24"/>
          <w:lang w:val="en-US"/>
        </w:rPr>
        <w:t xml:space="preserve"> the meetings of some Regional Groups </w:t>
      </w:r>
      <w:r w:rsidR="005F7301" w:rsidRPr="00BE5510">
        <w:rPr>
          <w:rFonts w:asciiTheme="minorHAnsi" w:hAnsiTheme="minorHAnsi" w:cstheme="minorHAnsi"/>
          <w:bCs/>
          <w:spacing w:val="-2"/>
          <w:szCs w:val="24"/>
          <w:lang w:val="en-US"/>
        </w:rPr>
        <w:t>after WRC-23</w:t>
      </w:r>
      <w:r w:rsidR="005F7301" w:rsidRPr="00BE5510">
        <w:rPr>
          <w:rFonts w:asciiTheme="minorHAnsi" w:hAnsiTheme="minorHAnsi" w:cstheme="minorHAnsi"/>
          <w:bCs/>
          <w:szCs w:val="24"/>
          <w:lang w:val="en-US"/>
        </w:rPr>
        <w:t xml:space="preserve"> </w:t>
      </w:r>
      <w:r w:rsidRPr="00BE5510">
        <w:rPr>
          <w:rFonts w:asciiTheme="minorHAnsi" w:hAnsiTheme="minorHAnsi" w:cstheme="minorHAnsi"/>
          <w:bCs/>
          <w:szCs w:val="24"/>
          <w:lang w:val="en-US"/>
        </w:rPr>
        <w:t xml:space="preserve">and the RAG-24, it has been identified that the compliance with the </w:t>
      </w:r>
      <w:r w:rsidRPr="00BE5510">
        <w:rPr>
          <w:rFonts w:cs="Calibri"/>
          <w:color w:val="000000"/>
          <w:szCs w:val="24"/>
          <w:lang w:eastAsia="en-GB"/>
        </w:rPr>
        <w:t xml:space="preserve">IMT spectrum mask for the 6 GHz band </w:t>
      </w:r>
      <w:r w:rsidR="00AC22F7" w:rsidRPr="00BE5510">
        <w:rPr>
          <w:rFonts w:cs="Calibri"/>
          <w:color w:val="000000"/>
          <w:szCs w:val="24"/>
          <w:lang w:eastAsia="en-GB"/>
        </w:rPr>
        <w:t>in</w:t>
      </w:r>
      <w:r w:rsidRPr="00BE5510">
        <w:rPr>
          <w:rFonts w:cs="Calibri"/>
          <w:color w:val="000000"/>
          <w:szCs w:val="24"/>
          <w:lang w:eastAsia="en-GB"/>
        </w:rPr>
        <w:t xml:space="preserve"> Resolution </w:t>
      </w:r>
      <w:r w:rsidR="00AC22F7" w:rsidRPr="00BE5510">
        <w:rPr>
          <w:rFonts w:asciiTheme="minorHAnsi" w:hAnsiTheme="minorHAnsi" w:cstheme="minorHAnsi"/>
          <w:b/>
          <w:szCs w:val="24"/>
          <w:lang w:val="en-US"/>
        </w:rPr>
        <w:t>220 (WRC-23)</w:t>
      </w:r>
      <w:r w:rsidR="00AC22F7" w:rsidRPr="00BE5510">
        <w:rPr>
          <w:rFonts w:asciiTheme="minorHAnsi" w:hAnsiTheme="minorHAnsi" w:cstheme="minorHAnsi"/>
          <w:bCs/>
          <w:szCs w:val="24"/>
          <w:lang w:val="en-US"/>
        </w:rPr>
        <w:t xml:space="preserve"> </w:t>
      </w:r>
      <w:r w:rsidRPr="00BE5510">
        <w:rPr>
          <w:rFonts w:cs="Calibri"/>
          <w:color w:val="000000"/>
          <w:szCs w:val="24"/>
          <w:lang w:eastAsia="en-GB"/>
        </w:rPr>
        <w:t xml:space="preserve">should be verified at a national level and communicated to BR by the relevant commitment of the notifying administration. Consequently, </w:t>
      </w:r>
      <w:r w:rsidR="005F7301" w:rsidRPr="00BE5510">
        <w:rPr>
          <w:rFonts w:cs="Calibri"/>
          <w:color w:val="000000"/>
          <w:szCs w:val="24"/>
          <w:lang w:eastAsia="en-GB"/>
        </w:rPr>
        <w:t xml:space="preserve">this software development </w:t>
      </w:r>
      <w:r w:rsidRPr="00BE5510">
        <w:rPr>
          <w:rFonts w:cs="Calibri"/>
          <w:color w:val="000000"/>
          <w:szCs w:val="24"/>
          <w:lang w:eastAsia="en-GB"/>
        </w:rPr>
        <w:t xml:space="preserve">is no </w:t>
      </w:r>
      <w:r w:rsidR="005F7301" w:rsidRPr="00BE5510">
        <w:rPr>
          <w:rFonts w:cs="Calibri"/>
          <w:color w:val="000000"/>
          <w:szCs w:val="24"/>
          <w:lang w:eastAsia="en-GB"/>
        </w:rPr>
        <w:t>longer required</w:t>
      </w:r>
      <w:r w:rsidR="00AC22F7" w:rsidRPr="00BE5510">
        <w:rPr>
          <w:rFonts w:cs="Calibri"/>
          <w:color w:val="000000"/>
          <w:szCs w:val="24"/>
          <w:lang w:eastAsia="en-GB"/>
        </w:rPr>
        <w:t xml:space="preserve"> and can be removed from Table 3-1</w:t>
      </w:r>
      <w:r w:rsidRPr="00BE5510">
        <w:rPr>
          <w:rFonts w:cs="Calibri"/>
          <w:color w:val="000000"/>
          <w:szCs w:val="24"/>
          <w:lang w:eastAsia="en-GB"/>
        </w:rPr>
        <w:t>.</w:t>
      </w:r>
    </w:p>
    <w:p w14:paraId="651127DB" w14:textId="3870D2A8" w:rsidR="008E2942" w:rsidRPr="00833E4E" w:rsidRDefault="0055202F" w:rsidP="00833E4E">
      <w:pPr>
        <w:pStyle w:val="Heading1"/>
      </w:pPr>
      <w:r w:rsidRPr="00A32B47">
        <w:t>Budgetary</w:t>
      </w:r>
      <w:r w:rsidRPr="0055202F">
        <w:t xml:space="preserve"> </w:t>
      </w:r>
      <w:r w:rsidR="008E2942" w:rsidRPr="00833E4E">
        <w:t>implications of WRC-23 Decisions</w:t>
      </w:r>
      <w:r w:rsidR="005F52AA" w:rsidRPr="00833E4E">
        <w:t xml:space="preserve"> for 2025-2027</w:t>
      </w:r>
    </w:p>
    <w:p w14:paraId="5F050928" w14:textId="58C17730" w:rsidR="00265AC7" w:rsidRDefault="0055202F" w:rsidP="00265AC7">
      <w:pPr>
        <w:pStyle w:val="Heading2"/>
      </w:pPr>
      <w:r w:rsidRPr="0055202F">
        <w:t xml:space="preserve">Budgetary </w:t>
      </w:r>
      <w:r w:rsidR="00265AC7">
        <w:t>implications of WRC-27 Preparatory Process</w:t>
      </w:r>
      <w:r w:rsidR="00C64747">
        <w:t xml:space="preserve"> for 2025 – 2027</w:t>
      </w:r>
    </w:p>
    <w:p w14:paraId="0F72905B" w14:textId="79EA1D0B" w:rsidR="005C2BCD" w:rsidRDefault="00C64747" w:rsidP="00A22F82">
      <w:pPr>
        <w:jc w:val="both"/>
      </w:pPr>
      <w:r>
        <w:t xml:space="preserve">Taking into account that </w:t>
      </w:r>
      <w:r w:rsidR="00DD122C">
        <w:t xml:space="preserve">draft </w:t>
      </w:r>
      <w:r w:rsidR="004966FF">
        <w:t xml:space="preserve">text </w:t>
      </w:r>
      <w:r w:rsidR="00DD122C">
        <w:t>for the CPM</w:t>
      </w:r>
      <w:r w:rsidR="0082536E">
        <w:t xml:space="preserve">27 Report will be due around the end of 2026, </w:t>
      </w:r>
      <w:r w:rsidR="00D0400B">
        <w:t>the additional meetings and documentation are</w:t>
      </w:r>
      <w:r w:rsidR="004E17B3">
        <w:t xml:space="preserve"> presumed to occur in 2025 and 2026. </w:t>
      </w:r>
      <w:r w:rsidR="00F4550C">
        <w:t xml:space="preserve">The additional workload for the BR secretariat would persist through entire period. </w:t>
      </w:r>
      <w:r w:rsidR="00895BDA">
        <w:t>Table 4-</w:t>
      </w:r>
      <w:r w:rsidR="00F573D7">
        <w:t>1 presents</w:t>
      </w:r>
      <w:r w:rsidR="00895BDA">
        <w:t xml:space="preserve"> the additional cost</w:t>
      </w:r>
      <w:r w:rsidR="005C2BCD">
        <w:t>s for the WRC-27 preparatory process</w:t>
      </w:r>
      <w:r w:rsidR="003E77C9">
        <w:t xml:space="preserve"> in 2025-2027</w:t>
      </w:r>
      <w:r w:rsidR="005C2BCD">
        <w:t>.</w:t>
      </w:r>
    </w:p>
    <w:p w14:paraId="5F3D290F" w14:textId="0B6176B2" w:rsidR="005C2BCD" w:rsidRDefault="005C2BCD">
      <w:pPr>
        <w:tabs>
          <w:tab w:val="clear" w:pos="567"/>
          <w:tab w:val="clear" w:pos="1134"/>
          <w:tab w:val="clear" w:pos="1701"/>
          <w:tab w:val="clear" w:pos="2268"/>
          <w:tab w:val="clear" w:pos="2835"/>
        </w:tabs>
        <w:overflowPunct/>
        <w:autoSpaceDE/>
        <w:autoSpaceDN/>
        <w:adjustRightInd/>
        <w:spacing w:before="0"/>
        <w:textAlignment w:val="auto"/>
      </w:pPr>
      <w:r>
        <w:br w:type="page"/>
      </w:r>
    </w:p>
    <w:p w14:paraId="62D956B1" w14:textId="3DDFC50D" w:rsidR="005C2BCD" w:rsidRPr="00182EF1" w:rsidRDefault="005C2BCD" w:rsidP="00182EF1">
      <w:pPr>
        <w:jc w:val="center"/>
        <w:rPr>
          <w:b/>
          <w:bCs/>
        </w:rPr>
      </w:pPr>
      <w:r w:rsidRPr="00182EF1">
        <w:rPr>
          <w:b/>
          <w:bCs/>
        </w:rPr>
        <w:lastRenderedPageBreak/>
        <w:t>TABLE 4-1</w:t>
      </w:r>
    </w:p>
    <w:p w14:paraId="672F2BF6" w14:textId="1880D792" w:rsidR="00182EF1" w:rsidRPr="00182EF1" w:rsidRDefault="00182EF1" w:rsidP="00182EF1">
      <w:pPr>
        <w:jc w:val="center"/>
        <w:rPr>
          <w:b/>
          <w:bCs/>
        </w:rPr>
      </w:pPr>
      <w:r w:rsidRPr="00182EF1">
        <w:rPr>
          <w:b/>
          <w:bCs/>
        </w:rPr>
        <w:t>ADDITIONAL COSTS OF WRC-27 PREPARATORY PROCESS FOR 2025-2027</w:t>
      </w:r>
    </w:p>
    <w:p w14:paraId="5DE5489D" w14:textId="77777777" w:rsidR="00182EF1" w:rsidRDefault="00182EF1" w:rsidP="00265AC7"/>
    <w:tbl>
      <w:tblPr>
        <w:tblStyle w:val="TableGrid"/>
        <w:tblW w:w="0" w:type="auto"/>
        <w:tblLook w:val="04A0" w:firstRow="1" w:lastRow="0" w:firstColumn="1" w:lastColumn="0" w:noHBand="0" w:noVBand="1"/>
      </w:tblPr>
      <w:tblGrid>
        <w:gridCol w:w="5245"/>
        <w:gridCol w:w="1251"/>
        <w:gridCol w:w="1329"/>
        <w:gridCol w:w="1241"/>
      </w:tblGrid>
      <w:tr w:rsidR="00265AC7" w14:paraId="1E64AF5C" w14:textId="77777777" w:rsidTr="008E257F">
        <w:tc>
          <w:tcPr>
            <w:tcW w:w="5245" w:type="dxa"/>
            <w:tcBorders>
              <w:top w:val="nil"/>
              <w:left w:val="nil"/>
              <w:bottom w:val="single" w:sz="4" w:space="0" w:color="auto"/>
              <w:right w:val="single" w:sz="4" w:space="0" w:color="auto"/>
            </w:tcBorders>
            <w:shd w:val="clear" w:color="auto" w:fill="auto"/>
          </w:tcPr>
          <w:p w14:paraId="485D0302" w14:textId="77777777" w:rsidR="00265AC7" w:rsidRPr="00196A5E" w:rsidRDefault="00265AC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p>
        </w:tc>
        <w:tc>
          <w:tcPr>
            <w:tcW w:w="1251" w:type="dxa"/>
            <w:tcBorders>
              <w:left w:val="single" w:sz="4" w:space="0" w:color="auto"/>
            </w:tcBorders>
            <w:shd w:val="clear" w:color="auto" w:fill="C2D69B" w:themeFill="accent3" w:themeFillTint="99"/>
          </w:tcPr>
          <w:p w14:paraId="33494669" w14:textId="77777777" w:rsidR="00265AC7" w:rsidRPr="00196A5E"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cs="Calibri"/>
                <w:b/>
                <w:bCs/>
                <w:color w:val="000000"/>
                <w:sz w:val="22"/>
              </w:rPr>
              <w:t>2025</w:t>
            </w:r>
          </w:p>
        </w:tc>
        <w:tc>
          <w:tcPr>
            <w:tcW w:w="1329" w:type="dxa"/>
            <w:shd w:val="clear" w:color="auto" w:fill="C2D69B" w:themeFill="accent3" w:themeFillTint="99"/>
          </w:tcPr>
          <w:p w14:paraId="1D1EE617" w14:textId="77777777" w:rsidR="00265AC7" w:rsidRPr="00196A5E"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2026</w:t>
            </w:r>
          </w:p>
        </w:tc>
        <w:tc>
          <w:tcPr>
            <w:tcW w:w="1241" w:type="dxa"/>
            <w:shd w:val="clear" w:color="auto" w:fill="C2D69B" w:themeFill="accent3" w:themeFillTint="99"/>
          </w:tcPr>
          <w:p w14:paraId="456DBFD2" w14:textId="77777777" w:rsidR="00265AC7" w:rsidRPr="00196A5E"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2027</w:t>
            </w:r>
          </w:p>
        </w:tc>
      </w:tr>
      <w:tr w:rsidR="00265AC7" w14:paraId="2C47C0E9" w14:textId="77777777" w:rsidTr="008E257F">
        <w:tc>
          <w:tcPr>
            <w:tcW w:w="5245" w:type="dxa"/>
            <w:tcBorders>
              <w:top w:val="single" w:sz="4" w:space="0" w:color="auto"/>
            </w:tcBorders>
            <w:shd w:val="clear" w:color="auto" w:fill="C2D69B" w:themeFill="accent3" w:themeFillTint="99"/>
          </w:tcPr>
          <w:p w14:paraId="17A82E9F" w14:textId="77777777" w:rsidR="00265AC7" w:rsidRPr="00196A5E" w:rsidRDefault="00265A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6"/>
                <w:szCs w:val="26"/>
                <w:lang w:val="en-US"/>
              </w:rPr>
            </w:pPr>
            <w:r w:rsidRPr="00196A5E">
              <w:rPr>
                <w:rFonts w:cs="Calibri"/>
                <w:b/>
                <w:bCs/>
                <w:color w:val="000000"/>
                <w:sz w:val="22"/>
              </w:rPr>
              <w:t>WRC-23/Final Acts Reference and Description</w:t>
            </w:r>
          </w:p>
        </w:tc>
        <w:tc>
          <w:tcPr>
            <w:tcW w:w="1251" w:type="dxa"/>
            <w:shd w:val="clear" w:color="auto" w:fill="C2D69B" w:themeFill="accent3" w:themeFillTint="99"/>
          </w:tcPr>
          <w:p w14:paraId="2A114734" w14:textId="2AC064F8" w:rsidR="00265AC7" w:rsidRPr="00196A5E"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CHF</w:t>
            </w:r>
          </w:p>
        </w:tc>
        <w:tc>
          <w:tcPr>
            <w:tcW w:w="1329" w:type="dxa"/>
            <w:shd w:val="clear" w:color="auto" w:fill="C2D69B" w:themeFill="accent3" w:themeFillTint="99"/>
          </w:tcPr>
          <w:p w14:paraId="73E56DA1" w14:textId="63C03258" w:rsidR="00265AC7" w:rsidRPr="00196A5E"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CHF</w:t>
            </w:r>
          </w:p>
        </w:tc>
        <w:tc>
          <w:tcPr>
            <w:tcW w:w="1241" w:type="dxa"/>
            <w:shd w:val="clear" w:color="auto" w:fill="C2D69B" w:themeFill="accent3" w:themeFillTint="99"/>
          </w:tcPr>
          <w:p w14:paraId="43ABAE3A" w14:textId="4BA2E975" w:rsidR="00265AC7" w:rsidRPr="00196A5E"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CHF</w:t>
            </w:r>
          </w:p>
        </w:tc>
      </w:tr>
      <w:tr w:rsidR="00265AC7" w:rsidRPr="00A32B47" w14:paraId="54D2A8B6" w14:textId="77777777" w:rsidTr="00A32B47">
        <w:tc>
          <w:tcPr>
            <w:tcW w:w="5245" w:type="dxa"/>
            <w:vAlign w:val="bottom"/>
          </w:tcPr>
          <w:p w14:paraId="57C07C51" w14:textId="75134325" w:rsidR="00265AC7" w:rsidRPr="00A32B47" w:rsidRDefault="00265A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sidRPr="00A32B47">
              <w:rPr>
                <w:rFonts w:cs="Calibri"/>
                <w:color w:val="000000"/>
                <w:sz w:val="22"/>
              </w:rPr>
              <w:t>WRC-27 Agenda Items requiring additional meetings by the concerned group(s) to be fully accomplished within the study cycle.  Among other technical subjects, new areas of studies like space weather, communications on the moon, inter-satellite links, would result in additional activities</w:t>
            </w:r>
            <w:r w:rsidR="005F6D46" w:rsidRPr="00A32B47">
              <w:rPr>
                <w:rFonts w:cs="Calibri"/>
                <w:color w:val="000000"/>
                <w:sz w:val="22"/>
              </w:rPr>
              <w:t xml:space="preserve"> </w:t>
            </w:r>
            <w:r w:rsidR="005F6D46" w:rsidRPr="008E257F">
              <w:rPr>
                <w:rFonts w:cs="Calibri"/>
                <w:color w:val="000000"/>
                <w:sz w:val="22"/>
                <w:vertAlign w:val="superscript"/>
              </w:rPr>
              <w:t>Note 3</w:t>
            </w:r>
          </w:p>
        </w:tc>
        <w:tc>
          <w:tcPr>
            <w:tcW w:w="1251" w:type="dxa"/>
          </w:tcPr>
          <w:p w14:paraId="0E6E08D2"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Cs/>
                <w:sz w:val="22"/>
                <w:lang w:val="en-US"/>
              </w:rPr>
            </w:pPr>
            <w:r w:rsidRPr="00A32B47">
              <w:rPr>
                <w:rFonts w:asciiTheme="minorHAnsi" w:hAnsiTheme="minorHAnsi" w:cstheme="minorHAnsi"/>
                <w:bCs/>
                <w:sz w:val="22"/>
                <w:lang w:val="en-US"/>
              </w:rPr>
              <w:t>41’500</w:t>
            </w:r>
          </w:p>
        </w:tc>
        <w:tc>
          <w:tcPr>
            <w:tcW w:w="1329" w:type="dxa"/>
          </w:tcPr>
          <w:p w14:paraId="2E550827"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sz w:val="22"/>
              </w:rPr>
            </w:pPr>
            <w:r w:rsidRPr="00A32B47">
              <w:rPr>
                <w:sz w:val="22"/>
              </w:rPr>
              <w:t>41’500</w:t>
            </w:r>
          </w:p>
        </w:tc>
        <w:tc>
          <w:tcPr>
            <w:tcW w:w="1241" w:type="dxa"/>
          </w:tcPr>
          <w:p w14:paraId="0F268BEC"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sz w:val="22"/>
              </w:rPr>
            </w:pPr>
          </w:p>
        </w:tc>
      </w:tr>
      <w:tr w:rsidR="00265AC7" w:rsidRPr="00A32B47" w14:paraId="3B869567" w14:textId="77777777" w:rsidTr="00A32B47">
        <w:tc>
          <w:tcPr>
            <w:tcW w:w="5245" w:type="dxa"/>
            <w:vAlign w:val="bottom"/>
          </w:tcPr>
          <w:p w14:paraId="309F2F00" w14:textId="4A86BD20" w:rsidR="00265AC7" w:rsidRPr="00A32B47" w:rsidRDefault="00265A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sidRPr="00A32B47">
              <w:rPr>
                <w:rFonts w:cs="Calibri"/>
                <w:color w:val="000000"/>
                <w:sz w:val="22"/>
              </w:rPr>
              <w:t>Additional documentation would also be required, e.g. increase of translation and text proce</w:t>
            </w:r>
            <w:r w:rsidR="00514010" w:rsidRPr="00A32B47">
              <w:rPr>
                <w:rFonts w:cs="Calibri"/>
                <w:color w:val="000000"/>
                <w:sz w:val="22"/>
              </w:rPr>
              <w:t>ss</w:t>
            </w:r>
            <w:r w:rsidRPr="00A32B47">
              <w:rPr>
                <w:rFonts w:cs="Calibri"/>
                <w:color w:val="000000"/>
                <w:sz w:val="22"/>
              </w:rPr>
              <w:t>ing</w:t>
            </w:r>
            <w:r w:rsidR="005F6D46" w:rsidRPr="00A32B47">
              <w:rPr>
                <w:rFonts w:cs="Calibri"/>
                <w:color w:val="000000"/>
                <w:sz w:val="22"/>
              </w:rPr>
              <w:t xml:space="preserve"> </w:t>
            </w:r>
            <w:r w:rsidR="005F6D46" w:rsidRPr="008E257F">
              <w:rPr>
                <w:rFonts w:cs="Calibri"/>
                <w:color w:val="000000"/>
                <w:sz w:val="22"/>
                <w:vertAlign w:val="superscript"/>
              </w:rPr>
              <w:t>Note 4</w:t>
            </w:r>
          </w:p>
        </w:tc>
        <w:tc>
          <w:tcPr>
            <w:tcW w:w="1251" w:type="dxa"/>
          </w:tcPr>
          <w:p w14:paraId="65DAE784"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Cs/>
                <w:sz w:val="22"/>
                <w:lang w:val="en-US"/>
              </w:rPr>
            </w:pPr>
            <w:r w:rsidRPr="00A32B47">
              <w:rPr>
                <w:rFonts w:asciiTheme="minorHAnsi" w:hAnsiTheme="minorHAnsi" w:cstheme="minorHAnsi"/>
                <w:bCs/>
                <w:sz w:val="22"/>
                <w:lang w:val="en-US"/>
              </w:rPr>
              <w:t>255’950</w:t>
            </w:r>
          </w:p>
        </w:tc>
        <w:tc>
          <w:tcPr>
            <w:tcW w:w="1329" w:type="dxa"/>
          </w:tcPr>
          <w:p w14:paraId="19F0AEF6"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sz w:val="22"/>
              </w:rPr>
            </w:pPr>
            <w:r w:rsidRPr="00A32B47">
              <w:rPr>
                <w:sz w:val="22"/>
              </w:rPr>
              <w:t>255’950</w:t>
            </w:r>
          </w:p>
        </w:tc>
        <w:tc>
          <w:tcPr>
            <w:tcW w:w="1241" w:type="dxa"/>
          </w:tcPr>
          <w:p w14:paraId="4174DE72"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sz w:val="22"/>
              </w:rPr>
            </w:pPr>
          </w:p>
        </w:tc>
      </w:tr>
      <w:tr w:rsidR="00265AC7" w:rsidRPr="00A32B47" w14:paraId="529023BC" w14:textId="77777777" w:rsidTr="00A32B47">
        <w:tc>
          <w:tcPr>
            <w:tcW w:w="5245" w:type="dxa"/>
            <w:vAlign w:val="bottom"/>
          </w:tcPr>
          <w:p w14:paraId="351E7007" w14:textId="4B4C530A" w:rsidR="00265AC7" w:rsidRPr="00A32B47" w:rsidRDefault="00265A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sz w:val="22"/>
                <w:lang w:val="en-US"/>
              </w:rPr>
            </w:pPr>
            <w:r w:rsidRPr="00A32B47">
              <w:rPr>
                <w:rFonts w:cstheme="minorHAnsi"/>
                <w:bCs/>
                <w:sz w:val="22"/>
              </w:rPr>
              <w:t xml:space="preserve">The BR secretariat would need </w:t>
            </w:r>
            <w:r w:rsidR="005F6D46" w:rsidRPr="008E257F">
              <w:rPr>
                <w:rFonts w:cstheme="minorHAnsi"/>
                <w:bCs/>
                <w:sz w:val="22"/>
              </w:rPr>
              <w:t>additional</w:t>
            </w:r>
            <w:r w:rsidR="005F6D46" w:rsidRPr="00A32B47">
              <w:rPr>
                <w:rFonts w:cstheme="minorHAnsi"/>
                <w:bCs/>
                <w:sz w:val="22"/>
              </w:rPr>
              <w:t xml:space="preserve"> </w:t>
            </w:r>
            <w:r w:rsidRPr="00A32B47">
              <w:rPr>
                <w:rFonts w:cstheme="minorHAnsi"/>
                <w:bCs/>
                <w:sz w:val="22"/>
              </w:rPr>
              <w:t>resources to support additional workload</w:t>
            </w:r>
            <w:r w:rsidR="00514010" w:rsidRPr="00A32B47">
              <w:rPr>
                <w:rFonts w:cstheme="minorHAnsi"/>
                <w:bCs/>
                <w:sz w:val="22"/>
              </w:rPr>
              <w:t xml:space="preserve"> </w:t>
            </w:r>
            <w:r w:rsidR="00514010" w:rsidRPr="008E257F">
              <w:rPr>
                <w:rFonts w:cstheme="minorHAnsi"/>
                <w:bCs/>
                <w:sz w:val="22"/>
              </w:rPr>
              <w:t>(</w:t>
            </w:r>
            <w:r w:rsidR="005F6D46" w:rsidRPr="00A32B47">
              <w:rPr>
                <w:rFonts w:cstheme="minorHAnsi"/>
                <w:bCs/>
                <w:sz w:val="22"/>
              </w:rPr>
              <w:t xml:space="preserve">1 G6 and 1 P3 </w:t>
            </w:r>
            <w:r w:rsidR="00B51120" w:rsidRPr="008E257F">
              <w:rPr>
                <w:rFonts w:cstheme="minorHAnsi"/>
                <w:bCs/>
                <w:sz w:val="22"/>
              </w:rPr>
              <w:t>staff eq</w:t>
            </w:r>
            <w:r w:rsidR="00424554" w:rsidRPr="008E257F">
              <w:rPr>
                <w:rFonts w:cstheme="minorHAnsi"/>
                <w:bCs/>
                <w:sz w:val="22"/>
              </w:rPr>
              <w:t>uivalent</w:t>
            </w:r>
            <w:r w:rsidR="00424554" w:rsidRPr="00A32B47">
              <w:rPr>
                <w:rFonts w:cstheme="minorHAnsi"/>
                <w:bCs/>
                <w:sz w:val="22"/>
              </w:rPr>
              <w:t>)</w:t>
            </w:r>
          </w:p>
        </w:tc>
        <w:tc>
          <w:tcPr>
            <w:tcW w:w="1251" w:type="dxa"/>
          </w:tcPr>
          <w:p w14:paraId="6BBC8DB0"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Cs/>
                <w:sz w:val="22"/>
                <w:lang w:val="en-US"/>
              </w:rPr>
            </w:pPr>
            <w:r w:rsidRPr="00A32B47">
              <w:rPr>
                <w:rFonts w:asciiTheme="minorHAnsi" w:hAnsiTheme="minorHAnsi" w:cstheme="minorHAnsi"/>
                <w:bCs/>
                <w:sz w:val="22"/>
                <w:lang w:val="en-US"/>
              </w:rPr>
              <w:t>326’340</w:t>
            </w:r>
          </w:p>
        </w:tc>
        <w:tc>
          <w:tcPr>
            <w:tcW w:w="1329" w:type="dxa"/>
          </w:tcPr>
          <w:p w14:paraId="3B948E47"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sz w:val="22"/>
              </w:rPr>
            </w:pPr>
            <w:r w:rsidRPr="00A32B47">
              <w:rPr>
                <w:sz w:val="22"/>
              </w:rPr>
              <w:t>326’340</w:t>
            </w:r>
          </w:p>
        </w:tc>
        <w:tc>
          <w:tcPr>
            <w:tcW w:w="1241" w:type="dxa"/>
          </w:tcPr>
          <w:p w14:paraId="4D22FEA7" w14:textId="77777777" w:rsidR="00265AC7" w:rsidRPr="00A32B47" w:rsidRDefault="00265AC7" w:rsidP="00265AC7">
            <w:pPr>
              <w:tabs>
                <w:tab w:val="clear" w:pos="567"/>
                <w:tab w:val="clear" w:pos="1134"/>
                <w:tab w:val="clear" w:pos="1701"/>
                <w:tab w:val="clear" w:pos="2268"/>
                <w:tab w:val="clear" w:pos="2835"/>
              </w:tabs>
              <w:overflowPunct/>
              <w:autoSpaceDE/>
              <w:autoSpaceDN/>
              <w:adjustRightInd/>
              <w:spacing w:before="0"/>
              <w:jc w:val="center"/>
              <w:textAlignment w:val="auto"/>
              <w:rPr>
                <w:sz w:val="22"/>
              </w:rPr>
            </w:pPr>
            <w:r w:rsidRPr="00A32B47">
              <w:rPr>
                <w:sz w:val="22"/>
              </w:rPr>
              <w:t>326’340</w:t>
            </w:r>
          </w:p>
        </w:tc>
      </w:tr>
      <w:tr w:rsidR="00265AC7" w:rsidRPr="00A32B47" w14:paraId="60AB67F7" w14:textId="77777777" w:rsidTr="00A32B47">
        <w:tc>
          <w:tcPr>
            <w:tcW w:w="5245" w:type="dxa"/>
            <w:shd w:val="clear" w:color="auto" w:fill="C2D69B" w:themeFill="accent3" w:themeFillTint="99"/>
            <w:vAlign w:val="bottom"/>
          </w:tcPr>
          <w:p w14:paraId="7EB7BFAE" w14:textId="77777777" w:rsidR="00265AC7" w:rsidRPr="00A32B47" w:rsidRDefault="00265AC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r w:rsidRPr="00A32B47">
              <w:rPr>
                <w:rFonts w:cs="Calibri"/>
                <w:b/>
                <w:bCs/>
                <w:color w:val="000000"/>
                <w:sz w:val="22"/>
              </w:rPr>
              <w:t xml:space="preserve">Total </w:t>
            </w:r>
          </w:p>
        </w:tc>
        <w:tc>
          <w:tcPr>
            <w:tcW w:w="1251" w:type="dxa"/>
            <w:shd w:val="clear" w:color="auto" w:fill="C2D69B" w:themeFill="accent3" w:themeFillTint="99"/>
          </w:tcPr>
          <w:p w14:paraId="6A4174FD" w14:textId="0370DA0A" w:rsidR="00265AC7" w:rsidRPr="00A32B47" w:rsidRDefault="00D26DEF" w:rsidP="00265AC7">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sidRPr="00A32B47">
              <w:rPr>
                <w:rFonts w:asciiTheme="minorHAnsi" w:hAnsiTheme="minorHAnsi" w:cstheme="minorHAnsi"/>
                <w:b/>
                <w:bCs/>
                <w:sz w:val="22"/>
                <w:lang w:val="en-US"/>
              </w:rPr>
              <w:t>623</w:t>
            </w:r>
            <w:r w:rsidR="00DD122C" w:rsidRPr="00A32B47">
              <w:rPr>
                <w:rFonts w:asciiTheme="minorHAnsi" w:hAnsiTheme="minorHAnsi" w:cstheme="minorHAnsi"/>
                <w:b/>
                <w:bCs/>
                <w:sz w:val="22"/>
                <w:lang w:val="en-US"/>
              </w:rPr>
              <w:t>’790</w:t>
            </w:r>
          </w:p>
        </w:tc>
        <w:tc>
          <w:tcPr>
            <w:tcW w:w="1329" w:type="dxa"/>
            <w:shd w:val="clear" w:color="auto" w:fill="C2D69B" w:themeFill="accent3" w:themeFillTint="99"/>
          </w:tcPr>
          <w:p w14:paraId="6C31F4A2" w14:textId="2F3ED2E1" w:rsidR="00265AC7" w:rsidRPr="00A32B47" w:rsidRDefault="00DD122C" w:rsidP="00265AC7">
            <w:pPr>
              <w:tabs>
                <w:tab w:val="clear" w:pos="567"/>
                <w:tab w:val="clear" w:pos="1134"/>
                <w:tab w:val="clear" w:pos="1701"/>
                <w:tab w:val="clear" w:pos="2268"/>
                <w:tab w:val="clear" w:pos="2835"/>
              </w:tabs>
              <w:overflowPunct/>
              <w:autoSpaceDE/>
              <w:autoSpaceDN/>
              <w:adjustRightInd/>
              <w:spacing w:before="0"/>
              <w:jc w:val="center"/>
              <w:textAlignment w:val="auto"/>
              <w:rPr>
                <w:b/>
                <w:bCs/>
                <w:sz w:val="22"/>
              </w:rPr>
            </w:pPr>
            <w:r w:rsidRPr="00A32B47">
              <w:rPr>
                <w:b/>
                <w:bCs/>
                <w:sz w:val="22"/>
              </w:rPr>
              <w:t>623’790</w:t>
            </w:r>
          </w:p>
        </w:tc>
        <w:tc>
          <w:tcPr>
            <w:tcW w:w="1241" w:type="dxa"/>
            <w:shd w:val="clear" w:color="auto" w:fill="C2D69B" w:themeFill="accent3" w:themeFillTint="99"/>
          </w:tcPr>
          <w:p w14:paraId="5382EC2D" w14:textId="3F6961BC" w:rsidR="00265AC7" w:rsidRPr="00A32B47" w:rsidRDefault="00224419" w:rsidP="00265AC7">
            <w:pPr>
              <w:tabs>
                <w:tab w:val="clear" w:pos="567"/>
                <w:tab w:val="clear" w:pos="1134"/>
                <w:tab w:val="clear" w:pos="1701"/>
                <w:tab w:val="clear" w:pos="2268"/>
                <w:tab w:val="clear" w:pos="2835"/>
              </w:tabs>
              <w:overflowPunct/>
              <w:autoSpaceDE/>
              <w:autoSpaceDN/>
              <w:adjustRightInd/>
              <w:spacing w:before="0"/>
              <w:jc w:val="center"/>
              <w:textAlignment w:val="auto"/>
              <w:rPr>
                <w:b/>
                <w:bCs/>
                <w:sz w:val="22"/>
              </w:rPr>
            </w:pPr>
            <w:r w:rsidRPr="00A32B47">
              <w:rPr>
                <w:b/>
                <w:bCs/>
                <w:sz w:val="22"/>
              </w:rPr>
              <w:t>326’340</w:t>
            </w:r>
          </w:p>
        </w:tc>
      </w:tr>
    </w:tbl>
    <w:p w14:paraId="28B0161F" w14:textId="7F03CDBD" w:rsidR="00D84BA2" w:rsidRPr="008E257F" w:rsidRDefault="005F6D46" w:rsidP="00A22F82">
      <w:pPr>
        <w:jc w:val="both"/>
      </w:pPr>
      <w:r w:rsidRPr="00B51255">
        <w:rPr>
          <w:i/>
          <w:iCs/>
        </w:rPr>
        <w:t>Note 3:</w:t>
      </w:r>
      <w:r w:rsidRPr="008E257F">
        <w:t xml:space="preserve"> Most of these topics will impact the workload of SG4 (Satellite services) however, there will be some others that may be assigned to SG5 (Terrestrial services), SG7 (Science services) and/or SG1 (Spectrum management).</w:t>
      </w:r>
    </w:p>
    <w:p w14:paraId="30B39284" w14:textId="5B2E0299" w:rsidR="005F6D46" w:rsidRPr="00A32B47" w:rsidRDefault="005F6D46" w:rsidP="00A22F82">
      <w:pPr>
        <w:jc w:val="both"/>
      </w:pPr>
      <w:r w:rsidRPr="00B51255">
        <w:rPr>
          <w:i/>
          <w:iCs/>
        </w:rPr>
        <w:t>Note 4:</w:t>
      </w:r>
      <w:r w:rsidRPr="008E257F">
        <w:t xml:space="preserve"> Base</w:t>
      </w:r>
      <w:r w:rsidR="00AB63C7" w:rsidRPr="008E257F">
        <w:t>d</w:t>
      </w:r>
      <w:r w:rsidRPr="008E257F">
        <w:t xml:space="preserve"> on the above, we therefore estimate a need to have about additional 30 Working Party meeting days (including remote participation and webcast services) and about 3 additional Study Group meeting days (including captioning, interpretation, text translations of about 500 pages, remote participation and webcast services). All the above is under the assumption that the meetings of WPs are held in ITU HQ.</w:t>
      </w:r>
    </w:p>
    <w:p w14:paraId="272C6559" w14:textId="2AED533B" w:rsidR="00613CAE" w:rsidRPr="00A32B47" w:rsidRDefault="005C0BA1" w:rsidP="00196A5E">
      <w:pPr>
        <w:pStyle w:val="Heading2"/>
        <w:rPr>
          <w:rFonts w:eastAsia="Verdana"/>
        </w:rPr>
      </w:pPr>
      <w:r w:rsidRPr="00A32B47">
        <w:rPr>
          <w:rFonts w:eastAsia="Verdana"/>
        </w:rPr>
        <w:t xml:space="preserve">Recuring </w:t>
      </w:r>
      <w:r w:rsidR="0055202F" w:rsidRPr="00A32B47">
        <w:rPr>
          <w:rFonts w:eastAsia="Verdana"/>
        </w:rPr>
        <w:t xml:space="preserve">Budgetary </w:t>
      </w:r>
      <w:r w:rsidRPr="00A32B47">
        <w:rPr>
          <w:rFonts w:eastAsia="Verdana"/>
        </w:rPr>
        <w:t>implications for terrestrial services</w:t>
      </w:r>
    </w:p>
    <w:p w14:paraId="05283205" w14:textId="28E14FCF" w:rsidR="00CA120A" w:rsidRDefault="00F6263A" w:rsidP="00A22F82">
      <w:pPr>
        <w:jc w:val="both"/>
        <w:rPr>
          <w:rFonts w:eastAsia="Verdana"/>
        </w:rPr>
      </w:pPr>
      <w:r w:rsidRPr="00F6263A">
        <w:rPr>
          <w:rFonts w:eastAsia="Verdana"/>
        </w:rPr>
        <w:t xml:space="preserve">The WRC-23 </w:t>
      </w:r>
      <w:r w:rsidR="00CE1537">
        <w:rPr>
          <w:rFonts w:eastAsia="Verdana"/>
        </w:rPr>
        <w:t>B</w:t>
      </w:r>
      <w:r w:rsidRPr="00F6263A">
        <w:rPr>
          <w:rFonts w:eastAsia="Verdana"/>
        </w:rPr>
        <w:t xml:space="preserve">udget </w:t>
      </w:r>
      <w:r w:rsidR="00CE1537">
        <w:rPr>
          <w:rFonts w:eastAsia="Verdana"/>
        </w:rPr>
        <w:t>Control C</w:t>
      </w:r>
      <w:r w:rsidRPr="00F6263A">
        <w:rPr>
          <w:rFonts w:eastAsia="Verdana"/>
        </w:rPr>
        <w:t>ommittee did not identify any recurring financial implications for</w:t>
      </w:r>
      <w:r w:rsidR="00E51E21">
        <w:rPr>
          <w:rFonts w:eastAsia="Verdana"/>
        </w:rPr>
        <w:t xml:space="preserve"> either</w:t>
      </w:r>
      <w:r w:rsidRPr="00F6263A">
        <w:rPr>
          <w:rFonts w:eastAsia="Verdana"/>
        </w:rPr>
        <w:t xml:space="preserve"> the processing of terrestrial services submissions</w:t>
      </w:r>
      <w:r w:rsidR="00042A73" w:rsidRPr="00042A73">
        <w:t xml:space="preserve"> </w:t>
      </w:r>
      <w:r w:rsidR="00042A73">
        <w:t xml:space="preserve">or </w:t>
      </w:r>
      <w:r w:rsidR="00042A73" w:rsidRPr="00042A73">
        <w:rPr>
          <w:rFonts w:eastAsia="Verdana"/>
        </w:rPr>
        <w:t>for the maintenance of terrestrial services-related software.</w:t>
      </w:r>
    </w:p>
    <w:p w14:paraId="371549D5" w14:textId="00E4D934" w:rsidR="00182EF1" w:rsidRDefault="00CA120A" w:rsidP="00182EF1">
      <w:pPr>
        <w:pStyle w:val="Heading2"/>
      </w:pPr>
      <w:r w:rsidRPr="00F66E21">
        <w:t xml:space="preserve">Recurring </w:t>
      </w:r>
      <w:r w:rsidR="0055202F" w:rsidRPr="0055202F">
        <w:t xml:space="preserve">Budgetary </w:t>
      </w:r>
      <w:r w:rsidRPr="00F66E21">
        <w:t xml:space="preserve">implications for </w:t>
      </w:r>
      <w:r>
        <w:t xml:space="preserve">space services </w:t>
      </w:r>
    </w:p>
    <w:p w14:paraId="6F6BB9B4" w14:textId="1508422D" w:rsidR="007B066C" w:rsidRDefault="00395042" w:rsidP="00A22F82">
      <w:pPr>
        <w:jc w:val="both"/>
        <w:rPr>
          <w:rFonts w:eastAsia="Verdana"/>
        </w:rPr>
      </w:pPr>
      <w:r w:rsidRPr="00395042">
        <w:rPr>
          <w:rFonts w:eastAsia="Verdana"/>
        </w:rPr>
        <w:t xml:space="preserve">The WRC-23 </w:t>
      </w:r>
      <w:r w:rsidR="00CE1537">
        <w:rPr>
          <w:rFonts w:eastAsia="Verdana"/>
        </w:rPr>
        <w:t>B</w:t>
      </w:r>
      <w:r w:rsidRPr="00395042">
        <w:rPr>
          <w:rFonts w:eastAsia="Verdana"/>
        </w:rPr>
        <w:t xml:space="preserve">udget </w:t>
      </w:r>
      <w:r w:rsidR="00CE1537">
        <w:rPr>
          <w:rFonts w:eastAsia="Verdana"/>
        </w:rPr>
        <w:t>Control C</w:t>
      </w:r>
      <w:r w:rsidRPr="00395042">
        <w:rPr>
          <w:rFonts w:eastAsia="Verdana"/>
        </w:rPr>
        <w:t>ommittee did</w:t>
      </w:r>
      <w:r>
        <w:rPr>
          <w:rFonts w:eastAsia="Verdana"/>
        </w:rPr>
        <w:t>, however,</w:t>
      </w:r>
      <w:r w:rsidR="002F0C59">
        <w:rPr>
          <w:rFonts w:eastAsia="Verdana"/>
        </w:rPr>
        <w:t xml:space="preserve"> </w:t>
      </w:r>
      <w:r w:rsidRPr="00395042">
        <w:rPr>
          <w:rFonts w:eastAsia="Verdana"/>
        </w:rPr>
        <w:t xml:space="preserve">identify recurring financial implications for </w:t>
      </w:r>
      <w:r w:rsidR="002F0C59">
        <w:rPr>
          <w:rFonts w:eastAsia="Verdana"/>
        </w:rPr>
        <w:t>both</w:t>
      </w:r>
      <w:r w:rsidRPr="00395042">
        <w:rPr>
          <w:rFonts w:eastAsia="Verdana"/>
        </w:rPr>
        <w:t xml:space="preserve"> the processing of </w:t>
      </w:r>
      <w:r w:rsidR="002F0C59">
        <w:rPr>
          <w:rFonts w:eastAsia="Verdana"/>
        </w:rPr>
        <w:t>space</w:t>
      </w:r>
      <w:r w:rsidRPr="00395042">
        <w:rPr>
          <w:rFonts w:eastAsia="Verdana"/>
        </w:rPr>
        <w:t xml:space="preserve"> services submissions </w:t>
      </w:r>
      <w:r w:rsidR="002F0C59">
        <w:rPr>
          <w:rFonts w:eastAsia="Verdana"/>
        </w:rPr>
        <w:t xml:space="preserve">and </w:t>
      </w:r>
      <w:r w:rsidRPr="00395042">
        <w:rPr>
          <w:rFonts w:eastAsia="Verdana"/>
        </w:rPr>
        <w:t xml:space="preserve">for the maintenance of </w:t>
      </w:r>
      <w:r w:rsidR="002F0C59">
        <w:rPr>
          <w:rFonts w:eastAsia="Verdana"/>
        </w:rPr>
        <w:t>space</w:t>
      </w:r>
      <w:r w:rsidRPr="00395042">
        <w:rPr>
          <w:rFonts w:eastAsia="Verdana"/>
        </w:rPr>
        <w:t xml:space="preserve"> services-related software.</w:t>
      </w:r>
      <w:r w:rsidR="002F0C59">
        <w:rPr>
          <w:rFonts w:eastAsia="Verdana"/>
        </w:rPr>
        <w:t xml:space="preserve"> These costs are shown</w:t>
      </w:r>
      <w:r w:rsidR="003B3C9C">
        <w:rPr>
          <w:rFonts w:eastAsia="Verdana"/>
        </w:rPr>
        <w:t xml:space="preserve"> below</w:t>
      </w:r>
      <w:r w:rsidR="002F0C59">
        <w:rPr>
          <w:rFonts w:eastAsia="Verdana"/>
        </w:rPr>
        <w:t xml:space="preserve"> in </w:t>
      </w:r>
      <w:r w:rsidR="003B3C9C">
        <w:rPr>
          <w:rFonts w:eastAsia="Verdana"/>
        </w:rPr>
        <w:t>T</w:t>
      </w:r>
      <w:r w:rsidR="002F0C59">
        <w:rPr>
          <w:rFonts w:eastAsia="Verdana"/>
        </w:rPr>
        <w:t>ables</w:t>
      </w:r>
      <w:r w:rsidR="003B3C9C">
        <w:rPr>
          <w:rFonts w:eastAsia="Verdana"/>
        </w:rPr>
        <w:t xml:space="preserve"> 4-2 and 4-3, respectively.</w:t>
      </w:r>
      <w:r w:rsidR="002F0C59">
        <w:rPr>
          <w:rFonts w:eastAsia="Verdana"/>
        </w:rPr>
        <w:t xml:space="preserve"> </w:t>
      </w:r>
    </w:p>
    <w:p w14:paraId="3BDB153A" w14:textId="77777777" w:rsidR="00395042" w:rsidRPr="007B066C" w:rsidRDefault="00395042" w:rsidP="007B066C">
      <w:pPr>
        <w:rPr>
          <w:rFonts w:eastAsia="Verdana"/>
        </w:rPr>
      </w:pPr>
    </w:p>
    <w:p w14:paraId="519142C9" w14:textId="77777777" w:rsidR="00182EF1" w:rsidRPr="00182EF1" w:rsidRDefault="00182EF1" w:rsidP="00182EF1">
      <w:pPr>
        <w:rPr>
          <w:rFonts w:eastAsia="Verdana"/>
        </w:rPr>
        <w:sectPr w:rsidR="00182EF1" w:rsidRPr="00182EF1" w:rsidSect="00AC6E07">
          <w:footerReference w:type="default" r:id="rId26"/>
          <w:headerReference w:type="first" r:id="rId27"/>
          <w:footerReference w:type="first" r:id="rId28"/>
          <w:pgSz w:w="11907" w:h="16834"/>
          <w:pgMar w:top="1418" w:right="1418" w:bottom="1418" w:left="1418" w:header="720" w:footer="720" w:gutter="0"/>
          <w:paperSrc w:first="286" w:other="286"/>
          <w:cols w:space="720"/>
          <w:titlePg/>
          <w:docGrid w:linePitch="326"/>
        </w:sectPr>
      </w:pPr>
    </w:p>
    <w:p w14:paraId="4AC11D51" w14:textId="2F72D5F0" w:rsidR="00196A5E" w:rsidRPr="00131AA4" w:rsidRDefault="00D8684C" w:rsidP="00D8684C">
      <w:pPr>
        <w:pStyle w:val="Heading2"/>
        <w:numPr>
          <w:ilvl w:val="0"/>
          <w:numId w:val="0"/>
        </w:numPr>
        <w:jc w:val="center"/>
      </w:pPr>
      <w:r>
        <w:t>TABLE 4-2</w:t>
      </w:r>
      <w:r>
        <w:br/>
      </w:r>
      <w:r w:rsidRPr="00D8684C">
        <w:t xml:space="preserve">Recurring </w:t>
      </w:r>
      <w:r w:rsidR="0055202F">
        <w:t>b</w:t>
      </w:r>
      <w:r w:rsidR="0055202F" w:rsidRPr="0055202F">
        <w:t xml:space="preserve">udgetary </w:t>
      </w:r>
      <w:r w:rsidRPr="00D8684C">
        <w:t>implications for space services submissions processing (2025-2027)</w:t>
      </w:r>
      <w:r w:rsidR="00131AA4">
        <w:br/>
      </w:r>
    </w:p>
    <w:tbl>
      <w:tblPr>
        <w:tblStyle w:val="TableGrid"/>
        <w:tblW w:w="0" w:type="auto"/>
        <w:tblLook w:val="04A0" w:firstRow="1" w:lastRow="0" w:firstColumn="1" w:lastColumn="0" w:noHBand="0" w:noVBand="1"/>
      </w:tblPr>
      <w:tblGrid>
        <w:gridCol w:w="5519"/>
        <w:gridCol w:w="1389"/>
        <w:gridCol w:w="1532"/>
        <w:gridCol w:w="1387"/>
        <w:gridCol w:w="1387"/>
        <w:gridCol w:w="1387"/>
        <w:gridCol w:w="1387"/>
      </w:tblGrid>
      <w:tr w:rsidR="001238BB" w14:paraId="1158CECA" w14:textId="77777777" w:rsidTr="00BC2C8E">
        <w:tc>
          <w:tcPr>
            <w:tcW w:w="5519" w:type="dxa"/>
            <w:tcBorders>
              <w:top w:val="nil"/>
              <w:left w:val="nil"/>
              <w:bottom w:val="single" w:sz="4" w:space="0" w:color="auto"/>
              <w:right w:val="single" w:sz="4" w:space="0" w:color="auto"/>
            </w:tcBorders>
            <w:shd w:val="clear" w:color="auto" w:fill="auto"/>
          </w:tcPr>
          <w:p w14:paraId="3EAECBA7" w14:textId="77777777" w:rsidR="001238BB" w:rsidRPr="00196A5E" w:rsidRDefault="001238BB">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p>
        </w:tc>
        <w:tc>
          <w:tcPr>
            <w:tcW w:w="2921" w:type="dxa"/>
            <w:gridSpan w:val="2"/>
            <w:tcBorders>
              <w:left w:val="single" w:sz="4" w:space="0" w:color="auto"/>
            </w:tcBorders>
            <w:shd w:val="clear" w:color="auto" w:fill="92CDDC" w:themeFill="accent5" w:themeFillTint="99"/>
          </w:tcPr>
          <w:p w14:paraId="509DC01F" w14:textId="531BBF5D"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cs="Calibri"/>
                <w:b/>
                <w:bCs/>
                <w:color w:val="000000"/>
                <w:sz w:val="22"/>
              </w:rPr>
              <w:t>2025</w:t>
            </w:r>
          </w:p>
        </w:tc>
        <w:tc>
          <w:tcPr>
            <w:tcW w:w="2774" w:type="dxa"/>
            <w:gridSpan w:val="2"/>
            <w:shd w:val="clear" w:color="auto" w:fill="92CDDC" w:themeFill="accent5" w:themeFillTint="99"/>
          </w:tcPr>
          <w:p w14:paraId="0B3521E1" w14:textId="6C7BC932"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2026</w:t>
            </w:r>
          </w:p>
        </w:tc>
        <w:tc>
          <w:tcPr>
            <w:tcW w:w="2774" w:type="dxa"/>
            <w:gridSpan w:val="2"/>
            <w:shd w:val="clear" w:color="auto" w:fill="92CDDC" w:themeFill="accent5" w:themeFillTint="99"/>
          </w:tcPr>
          <w:p w14:paraId="0665FAF2" w14:textId="449E72B4"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2027</w:t>
            </w:r>
          </w:p>
        </w:tc>
      </w:tr>
      <w:tr w:rsidR="001238BB" w14:paraId="4774B537" w14:textId="38E5565E" w:rsidTr="00BC2C8E">
        <w:tc>
          <w:tcPr>
            <w:tcW w:w="5519" w:type="dxa"/>
            <w:tcBorders>
              <w:top w:val="single" w:sz="4" w:space="0" w:color="auto"/>
            </w:tcBorders>
            <w:shd w:val="clear" w:color="auto" w:fill="92CDDC" w:themeFill="accent5" w:themeFillTint="99"/>
          </w:tcPr>
          <w:p w14:paraId="6D8E7853" w14:textId="77777777"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6"/>
                <w:szCs w:val="26"/>
                <w:lang w:val="en-US"/>
              </w:rPr>
            </w:pPr>
            <w:r w:rsidRPr="00196A5E">
              <w:rPr>
                <w:rFonts w:cs="Calibri"/>
                <w:b/>
                <w:bCs/>
                <w:color w:val="000000"/>
                <w:sz w:val="22"/>
              </w:rPr>
              <w:t>WRC-23/Final Acts Reference and Description</w:t>
            </w:r>
          </w:p>
        </w:tc>
        <w:tc>
          <w:tcPr>
            <w:tcW w:w="1389" w:type="dxa"/>
            <w:shd w:val="clear" w:color="auto" w:fill="92CDDC" w:themeFill="accent5" w:themeFillTint="99"/>
            <w:vAlign w:val="bottom"/>
          </w:tcPr>
          <w:p w14:paraId="0DAB086F" w14:textId="73117B89"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6"/>
                <w:szCs w:val="26"/>
                <w:lang w:val="en-US"/>
              </w:rPr>
            </w:pPr>
            <w:r w:rsidRPr="00196A5E">
              <w:rPr>
                <w:rFonts w:cs="Calibri"/>
                <w:b/>
                <w:bCs/>
                <w:color w:val="000000"/>
                <w:sz w:val="22"/>
              </w:rPr>
              <w:t xml:space="preserve">P3-level staff equivalent </w:t>
            </w:r>
          </w:p>
        </w:tc>
        <w:tc>
          <w:tcPr>
            <w:tcW w:w="1532" w:type="dxa"/>
            <w:shd w:val="clear" w:color="auto" w:fill="92CDDC" w:themeFill="accent5" w:themeFillTint="99"/>
          </w:tcPr>
          <w:p w14:paraId="756F3C99" w14:textId="2975B5CA"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 xml:space="preserve">CHF </w:t>
            </w:r>
          </w:p>
        </w:tc>
        <w:tc>
          <w:tcPr>
            <w:tcW w:w="1387" w:type="dxa"/>
            <w:shd w:val="clear" w:color="auto" w:fill="92CDDC" w:themeFill="accent5" w:themeFillTint="99"/>
            <w:vAlign w:val="bottom"/>
          </w:tcPr>
          <w:p w14:paraId="486DE6F6" w14:textId="1480937E"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cs="Calibri"/>
                <w:b/>
                <w:bCs/>
                <w:color w:val="000000"/>
                <w:sz w:val="22"/>
              </w:rPr>
              <w:t xml:space="preserve">P3-level staff equivalent </w:t>
            </w:r>
          </w:p>
        </w:tc>
        <w:tc>
          <w:tcPr>
            <w:tcW w:w="1387" w:type="dxa"/>
            <w:shd w:val="clear" w:color="auto" w:fill="92CDDC" w:themeFill="accent5" w:themeFillTint="99"/>
          </w:tcPr>
          <w:p w14:paraId="2AFB6EA7" w14:textId="596426B2"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 xml:space="preserve">CHF </w:t>
            </w:r>
          </w:p>
        </w:tc>
        <w:tc>
          <w:tcPr>
            <w:tcW w:w="1387" w:type="dxa"/>
            <w:shd w:val="clear" w:color="auto" w:fill="92CDDC" w:themeFill="accent5" w:themeFillTint="99"/>
            <w:vAlign w:val="bottom"/>
          </w:tcPr>
          <w:p w14:paraId="2723C237" w14:textId="5FBCBDAC"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cs="Calibri"/>
                <w:b/>
                <w:bCs/>
                <w:color w:val="000000"/>
                <w:sz w:val="22"/>
              </w:rPr>
              <w:t xml:space="preserve">P3-level staff equivalent </w:t>
            </w:r>
          </w:p>
        </w:tc>
        <w:tc>
          <w:tcPr>
            <w:tcW w:w="1387" w:type="dxa"/>
            <w:shd w:val="clear" w:color="auto" w:fill="92CDDC" w:themeFill="accent5" w:themeFillTint="99"/>
          </w:tcPr>
          <w:p w14:paraId="512F2AB1" w14:textId="3AF9770C"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 xml:space="preserve">CHF </w:t>
            </w:r>
          </w:p>
        </w:tc>
      </w:tr>
      <w:tr w:rsidR="001238BB" w14:paraId="554529B1" w14:textId="19859A46" w:rsidTr="001238BB">
        <w:tc>
          <w:tcPr>
            <w:tcW w:w="5519" w:type="dxa"/>
            <w:vAlign w:val="bottom"/>
          </w:tcPr>
          <w:p w14:paraId="6358CDBA"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121 (WRC-23): AP30B ESIM</w:t>
            </w:r>
          </w:p>
        </w:tc>
        <w:tc>
          <w:tcPr>
            <w:tcW w:w="1389" w:type="dxa"/>
          </w:tcPr>
          <w:p w14:paraId="60D95519"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3</w:t>
            </w:r>
          </w:p>
        </w:tc>
        <w:tc>
          <w:tcPr>
            <w:tcW w:w="1532" w:type="dxa"/>
          </w:tcPr>
          <w:p w14:paraId="0CA29BF1" w14:textId="1087294F"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525'852</w:t>
            </w:r>
            <w:r>
              <w:rPr>
                <w:sz w:val="22"/>
              </w:rPr>
              <w:t>.00</w:t>
            </w:r>
          </w:p>
        </w:tc>
        <w:tc>
          <w:tcPr>
            <w:tcW w:w="1387" w:type="dxa"/>
          </w:tcPr>
          <w:p w14:paraId="780F97CD" w14:textId="510C9F2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w:t>
            </w:r>
          </w:p>
        </w:tc>
        <w:tc>
          <w:tcPr>
            <w:tcW w:w="1387" w:type="dxa"/>
          </w:tcPr>
          <w:p w14:paraId="03F3C241" w14:textId="4FA8FBB4"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525'852</w:t>
            </w:r>
            <w:r>
              <w:rPr>
                <w:sz w:val="22"/>
              </w:rPr>
              <w:t>.00</w:t>
            </w:r>
          </w:p>
        </w:tc>
        <w:tc>
          <w:tcPr>
            <w:tcW w:w="1387" w:type="dxa"/>
          </w:tcPr>
          <w:p w14:paraId="6E31A923" w14:textId="5F17BAF5"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w:t>
            </w:r>
          </w:p>
        </w:tc>
        <w:tc>
          <w:tcPr>
            <w:tcW w:w="1387" w:type="dxa"/>
          </w:tcPr>
          <w:p w14:paraId="357C3E55" w14:textId="4DFFAD6E"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525'852</w:t>
            </w:r>
            <w:r>
              <w:rPr>
                <w:sz w:val="22"/>
              </w:rPr>
              <w:t>.00</w:t>
            </w:r>
          </w:p>
        </w:tc>
      </w:tr>
      <w:tr w:rsidR="001238BB" w14:paraId="1112CC17" w14:textId="7A70009E" w:rsidTr="001238BB">
        <w:tc>
          <w:tcPr>
            <w:tcW w:w="5519" w:type="dxa"/>
            <w:vAlign w:val="bottom"/>
          </w:tcPr>
          <w:p w14:paraId="595D4D88"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123 (WRC-23): NGSO ESIM</w:t>
            </w:r>
          </w:p>
        </w:tc>
        <w:tc>
          <w:tcPr>
            <w:tcW w:w="1389" w:type="dxa"/>
          </w:tcPr>
          <w:p w14:paraId="6B743943"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2</w:t>
            </w:r>
          </w:p>
        </w:tc>
        <w:tc>
          <w:tcPr>
            <w:tcW w:w="1532" w:type="dxa"/>
          </w:tcPr>
          <w:p w14:paraId="64C5BDE4" w14:textId="738D0F9E"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350'568</w:t>
            </w:r>
            <w:r>
              <w:rPr>
                <w:sz w:val="22"/>
              </w:rPr>
              <w:t>.00</w:t>
            </w:r>
          </w:p>
        </w:tc>
        <w:tc>
          <w:tcPr>
            <w:tcW w:w="1387" w:type="dxa"/>
          </w:tcPr>
          <w:p w14:paraId="684797A0" w14:textId="75D54C5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w:t>
            </w:r>
          </w:p>
        </w:tc>
        <w:tc>
          <w:tcPr>
            <w:tcW w:w="1387" w:type="dxa"/>
          </w:tcPr>
          <w:p w14:paraId="1566E55C" w14:textId="03048285"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350'568</w:t>
            </w:r>
            <w:r>
              <w:rPr>
                <w:sz w:val="22"/>
              </w:rPr>
              <w:t>.00</w:t>
            </w:r>
          </w:p>
        </w:tc>
        <w:tc>
          <w:tcPr>
            <w:tcW w:w="1387" w:type="dxa"/>
          </w:tcPr>
          <w:p w14:paraId="69DE961A" w14:textId="63B836D5"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w:t>
            </w:r>
          </w:p>
        </w:tc>
        <w:tc>
          <w:tcPr>
            <w:tcW w:w="1387" w:type="dxa"/>
          </w:tcPr>
          <w:p w14:paraId="35D4A104" w14:textId="368CDC34"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350'568</w:t>
            </w:r>
            <w:r>
              <w:rPr>
                <w:sz w:val="22"/>
              </w:rPr>
              <w:t>.00</w:t>
            </w:r>
          </w:p>
        </w:tc>
      </w:tr>
      <w:tr w:rsidR="001238BB" w14:paraId="2A69741E" w14:textId="3931D46B" w:rsidTr="001238BB">
        <w:tc>
          <w:tcPr>
            <w:tcW w:w="5519" w:type="dxa"/>
            <w:vAlign w:val="bottom"/>
          </w:tcPr>
          <w:p w14:paraId="192C564A"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679 (WRC-23): Inter-satellite links: Protection of space and terrestrial services</w:t>
            </w:r>
          </w:p>
        </w:tc>
        <w:tc>
          <w:tcPr>
            <w:tcW w:w="1389" w:type="dxa"/>
          </w:tcPr>
          <w:p w14:paraId="54F716BE"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1</w:t>
            </w:r>
          </w:p>
        </w:tc>
        <w:tc>
          <w:tcPr>
            <w:tcW w:w="1532" w:type="dxa"/>
          </w:tcPr>
          <w:p w14:paraId="26306A44" w14:textId="04A32B1C"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175'284</w:t>
            </w:r>
            <w:r>
              <w:rPr>
                <w:sz w:val="22"/>
              </w:rPr>
              <w:t>.00</w:t>
            </w:r>
          </w:p>
        </w:tc>
        <w:tc>
          <w:tcPr>
            <w:tcW w:w="1387" w:type="dxa"/>
          </w:tcPr>
          <w:p w14:paraId="55D985C4" w14:textId="7C78C30D"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w:t>
            </w:r>
          </w:p>
        </w:tc>
        <w:tc>
          <w:tcPr>
            <w:tcW w:w="1387" w:type="dxa"/>
          </w:tcPr>
          <w:p w14:paraId="019E2767" w14:textId="03CBC375"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175'284</w:t>
            </w:r>
            <w:r>
              <w:rPr>
                <w:sz w:val="22"/>
              </w:rPr>
              <w:t>.00</w:t>
            </w:r>
          </w:p>
        </w:tc>
        <w:tc>
          <w:tcPr>
            <w:tcW w:w="1387" w:type="dxa"/>
          </w:tcPr>
          <w:p w14:paraId="4D84459D" w14:textId="7927A60D"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w:t>
            </w:r>
          </w:p>
        </w:tc>
        <w:tc>
          <w:tcPr>
            <w:tcW w:w="1387" w:type="dxa"/>
          </w:tcPr>
          <w:p w14:paraId="47AEEF07" w14:textId="657EE9C2"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175'284</w:t>
            </w:r>
            <w:r>
              <w:rPr>
                <w:sz w:val="22"/>
              </w:rPr>
              <w:t>.00</w:t>
            </w:r>
          </w:p>
        </w:tc>
      </w:tr>
      <w:tr w:rsidR="001238BB" w14:paraId="2619B6E3" w14:textId="1D14B770" w:rsidTr="001238BB">
        <w:tc>
          <w:tcPr>
            <w:tcW w:w="5519" w:type="dxa"/>
            <w:vAlign w:val="bottom"/>
          </w:tcPr>
          <w:p w14:paraId="2A986C54"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8 (WRC-23): Tolerances for certain orbital characteristics of NGSO</w:t>
            </w:r>
          </w:p>
        </w:tc>
        <w:tc>
          <w:tcPr>
            <w:tcW w:w="1389" w:type="dxa"/>
          </w:tcPr>
          <w:p w14:paraId="3480ACA8"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1</w:t>
            </w:r>
          </w:p>
        </w:tc>
        <w:tc>
          <w:tcPr>
            <w:tcW w:w="1532" w:type="dxa"/>
          </w:tcPr>
          <w:p w14:paraId="476C7037" w14:textId="7154AB90"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175'284</w:t>
            </w:r>
            <w:r>
              <w:rPr>
                <w:sz w:val="22"/>
              </w:rPr>
              <w:t>.00</w:t>
            </w:r>
          </w:p>
        </w:tc>
        <w:tc>
          <w:tcPr>
            <w:tcW w:w="1387" w:type="dxa"/>
          </w:tcPr>
          <w:p w14:paraId="7C05C96D" w14:textId="58505F73"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w:t>
            </w:r>
          </w:p>
        </w:tc>
        <w:tc>
          <w:tcPr>
            <w:tcW w:w="1387" w:type="dxa"/>
          </w:tcPr>
          <w:p w14:paraId="440EC8FC" w14:textId="7D1CB828"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175'284</w:t>
            </w:r>
            <w:r>
              <w:rPr>
                <w:sz w:val="22"/>
              </w:rPr>
              <w:t>.00</w:t>
            </w:r>
          </w:p>
        </w:tc>
        <w:tc>
          <w:tcPr>
            <w:tcW w:w="1387" w:type="dxa"/>
          </w:tcPr>
          <w:p w14:paraId="5C81AF45" w14:textId="701EDE5B"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w:t>
            </w:r>
          </w:p>
        </w:tc>
        <w:tc>
          <w:tcPr>
            <w:tcW w:w="1387" w:type="dxa"/>
          </w:tcPr>
          <w:p w14:paraId="3ECDF9A3" w14:textId="599FFD89"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175'284</w:t>
            </w:r>
            <w:r>
              <w:rPr>
                <w:sz w:val="22"/>
              </w:rPr>
              <w:t>.00</w:t>
            </w:r>
          </w:p>
        </w:tc>
      </w:tr>
      <w:tr w:rsidR="001238BB" w14:paraId="5407CDC0" w14:textId="7EEEB3A9" w:rsidTr="001238BB">
        <w:tc>
          <w:tcPr>
            <w:tcW w:w="5519" w:type="dxa"/>
            <w:vAlign w:val="bottom"/>
          </w:tcPr>
          <w:p w14:paraId="4389F230"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AI 7E (WRC-23): Changes to AP30B Art 7 and Art 10</w:t>
            </w:r>
          </w:p>
        </w:tc>
        <w:tc>
          <w:tcPr>
            <w:tcW w:w="1389" w:type="dxa"/>
          </w:tcPr>
          <w:p w14:paraId="1E1CFF78"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0.35</w:t>
            </w:r>
          </w:p>
        </w:tc>
        <w:tc>
          <w:tcPr>
            <w:tcW w:w="1532" w:type="dxa"/>
          </w:tcPr>
          <w:p w14:paraId="598164E0"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61'349.40</w:t>
            </w:r>
          </w:p>
        </w:tc>
        <w:tc>
          <w:tcPr>
            <w:tcW w:w="1387" w:type="dxa"/>
          </w:tcPr>
          <w:p w14:paraId="6BEB6198" w14:textId="7BF68725"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0.35</w:t>
            </w:r>
          </w:p>
        </w:tc>
        <w:tc>
          <w:tcPr>
            <w:tcW w:w="1387" w:type="dxa"/>
          </w:tcPr>
          <w:p w14:paraId="0EC9A2DE" w14:textId="3EFBBE11"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61'349.40</w:t>
            </w:r>
          </w:p>
        </w:tc>
        <w:tc>
          <w:tcPr>
            <w:tcW w:w="1387" w:type="dxa"/>
          </w:tcPr>
          <w:p w14:paraId="56BB5631" w14:textId="2EB15F10"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0.35</w:t>
            </w:r>
          </w:p>
        </w:tc>
        <w:tc>
          <w:tcPr>
            <w:tcW w:w="1387" w:type="dxa"/>
          </w:tcPr>
          <w:p w14:paraId="266F453F" w14:textId="2EE3A430"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61'349.40</w:t>
            </w:r>
          </w:p>
        </w:tc>
      </w:tr>
      <w:tr w:rsidR="001238BB" w14:paraId="08D9C130" w14:textId="15C03644" w:rsidTr="001238BB">
        <w:tc>
          <w:tcPr>
            <w:tcW w:w="5519" w:type="dxa"/>
            <w:vAlign w:val="bottom"/>
          </w:tcPr>
          <w:p w14:paraId="4A6D1990"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AI 7F (WRC-23): Changes to AP30A Art 4 and AP30B Art 6</w:t>
            </w:r>
          </w:p>
        </w:tc>
        <w:tc>
          <w:tcPr>
            <w:tcW w:w="1389" w:type="dxa"/>
          </w:tcPr>
          <w:p w14:paraId="567A88D8"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0.35</w:t>
            </w:r>
          </w:p>
        </w:tc>
        <w:tc>
          <w:tcPr>
            <w:tcW w:w="1532" w:type="dxa"/>
          </w:tcPr>
          <w:p w14:paraId="35E0B703"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61'349.40</w:t>
            </w:r>
          </w:p>
        </w:tc>
        <w:tc>
          <w:tcPr>
            <w:tcW w:w="1387" w:type="dxa"/>
          </w:tcPr>
          <w:p w14:paraId="26AB2539" w14:textId="4AF6B8C5"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0.35</w:t>
            </w:r>
          </w:p>
        </w:tc>
        <w:tc>
          <w:tcPr>
            <w:tcW w:w="1387" w:type="dxa"/>
          </w:tcPr>
          <w:p w14:paraId="2387B26C" w14:textId="0D883E30"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61'349.40</w:t>
            </w:r>
          </w:p>
        </w:tc>
        <w:tc>
          <w:tcPr>
            <w:tcW w:w="1387" w:type="dxa"/>
          </w:tcPr>
          <w:p w14:paraId="02D43290" w14:textId="26BD44E2"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0.35</w:t>
            </w:r>
          </w:p>
        </w:tc>
        <w:tc>
          <w:tcPr>
            <w:tcW w:w="1387" w:type="dxa"/>
          </w:tcPr>
          <w:p w14:paraId="09EE80E9" w14:textId="48227C43"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61'349.40</w:t>
            </w:r>
          </w:p>
        </w:tc>
      </w:tr>
      <w:tr w:rsidR="001238BB" w14:paraId="69C592CA" w14:textId="1DD41295" w:rsidTr="001238BB">
        <w:tc>
          <w:tcPr>
            <w:tcW w:w="5519" w:type="dxa"/>
            <w:vAlign w:val="bottom"/>
          </w:tcPr>
          <w:p w14:paraId="24D512C6"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sidRPr="00C113C6">
              <w:rPr>
                <w:rFonts w:cs="Calibri"/>
                <w:color w:val="000000"/>
                <w:sz w:val="22"/>
              </w:rPr>
              <w:t>AI 7H (WRC-23): Changes to AP30, AP30A, AP30B (Method H1C)</w:t>
            </w:r>
          </w:p>
        </w:tc>
        <w:tc>
          <w:tcPr>
            <w:tcW w:w="1389" w:type="dxa"/>
          </w:tcPr>
          <w:p w14:paraId="1D3E0295"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0.25</w:t>
            </w:r>
          </w:p>
        </w:tc>
        <w:tc>
          <w:tcPr>
            <w:tcW w:w="1532" w:type="dxa"/>
          </w:tcPr>
          <w:p w14:paraId="6EF5E0FF" w14:textId="44C012BA"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43'821</w:t>
            </w:r>
            <w:r>
              <w:rPr>
                <w:sz w:val="22"/>
              </w:rPr>
              <w:t>.00</w:t>
            </w:r>
          </w:p>
        </w:tc>
        <w:tc>
          <w:tcPr>
            <w:tcW w:w="1387" w:type="dxa"/>
          </w:tcPr>
          <w:p w14:paraId="6F2B5C24" w14:textId="5F8FC731"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7" w:type="dxa"/>
          </w:tcPr>
          <w:p w14:paraId="217464CA" w14:textId="1A69906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43'821</w:t>
            </w:r>
            <w:r>
              <w:rPr>
                <w:sz w:val="22"/>
              </w:rPr>
              <w:t>.00</w:t>
            </w:r>
          </w:p>
        </w:tc>
        <w:tc>
          <w:tcPr>
            <w:tcW w:w="1387" w:type="dxa"/>
          </w:tcPr>
          <w:p w14:paraId="3E351278" w14:textId="762F171F"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7" w:type="dxa"/>
          </w:tcPr>
          <w:p w14:paraId="6BD9B0D9" w14:textId="4305D480"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43'821</w:t>
            </w:r>
            <w:r>
              <w:rPr>
                <w:sz w:val="22"/>
              </w:rPr>
              <w:t>.00</w:t>
            </w:r>
          </w:p>
        </w:tc>
      </w:tr>
      <w:tr w:rsidR="001238BB" w14:paraId="0613D782" w14:textId="1962630E" w:rsidTr="001238BB">
        <w:tc>
          <w:tcPr>
            <w:tcW w:w="5519" w:type="dxa"/>
            <w:vAlign w:val="bottom"/>
          </w:tcPr>
          <w:p w14:paraId="5B9D4ED6"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Res 126 (WRC-23): Temporary measures in AP30B</w:t>
            </w:r>
          </w:p>
        </w:tc>
        <w:tc>
          <w:tcPr>
            <w:tcW w:w="1389" w:type="dxa"/>
          </w:tcPr>
          <w:p w14:paraId="3CE64075"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0.15</w:t>
            </w:r>
          </w:p>
        </w:tc>
        <w:tc>
          <w:tcPr>
            <w:tcW w:w="1532" w:type="dxa"/>
          </w:tcPr>
          <w:p w14:paraId="6843A4BD"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26'292.60</w:t>
            </w:r>
          </w:p>
        </w:tc>
        <w:tc>
          <w:tcPr>
            <w:tcW w:w="1387" w:type="dxa"/>
          </w:tcPr>
          <w:p w14:paraId="1C76606D" w14:textId="41B05E4E"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0.15</w:t>
            </w:r>
          </w:p>
        </w:tc>
        <w:tc>
          <w:tcPr>
            <w:tcW w:w="1387" w:type="dxa"/>
          </w:tcPr>
          <w:p w14:paraId="2BD882AD" w14:textId="042B2B13"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26'292.60</w:t>
            </w:r>
          </w:p>
        </w:tc>
        <w:tc>
          <w:tcPr>
            <w:tcW w:w="1387" w:type="dxa"/>
          </w:tcPr>
          <w:p w14:paraId="7CC4586A" w14:textId="4FEA5871"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0.15</w:t>
            </w:r>
          </w:p>
        </w:tc>
        <w:tc>
          <w:tcPr>
            <w:tcW w:w="1387" w:type="dxa"/>
          </w:tcPr>
          <w:p w14:paraId="6E7ECB0D" w14:textId="4A659F79"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26'292.60</w:t>
            </w:r>
          </w:p>
        </w:tc>
      </w:tr>
      <w:tr w:rsidR="001238BB" w14:paraId="4BCA3D7B" w14:textId="1140B00E" w:rsidTr="001238BB">
        <w:tc>
          <w:tcPr>
            <w:tcW w:w="5519" w:type="dxa"/>
            <w:vAlign w:val="bottom"/>
          </w:tcPr>
          <w:p w14:paraId="423F3878"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sidRPr="00C113C6">
              <w:rPr>
                <w:rFonts w:cs="Calibri"/>
                <w:color w:val="000000"/>
                <w:sz w:val="22"/>
              </w:rPr>
              <w:t>Res 76 (Rev. WRC-23): EPFD aggregate interference software </w:t>
            </w:r>
          </w:p>
        </w:tc>
        <w:tc>
          <w:tcPr>
            <w:tcW w:w="1389" w:type="dxa"/>
          </w:tcPr>
          <w:p w14:paraId="0E662DD0"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0.25</w:t>
            </w:r>
          </w:p>
        </w:tc>
        <w:tc>
          <w:tcPr>
            <w:tcW w:w="1532" w:type="dxa"/>
          </w:tcPr>
          <w:p w14:paraId="00F82C5B" w14:textId="2DDC8FBF"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43'821</w:t>
            </w:r>
            <w:r>
              <w:rPr>
                <w:sz w:val="22"/>
              </w:rPr>
              <w:t>.00</w:t>
            </w:r>
          </w:p>
        </w:tc>
        <w:tc>
          <w:tcPr>
            <w:tcW w:w="1387" w:type="dxa"/>
          </w:tcPr>
          <w:p w14:paraId="21CECF0F" w14:textId="75CB9553"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7" w:type="dxa"/>
          </w:tcPr>
          <w:p w14:paraId="7C8232A4" w14:textId="2D727196"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43'821</w:t>
            </w:r>
            <w:r>
              <w:rPr>
                <w:sz w:val="22"/>
              </w:rPr>
              <w:t>.00</w:t>
            </w:r>
          </w:p>
        </w:tc>
        <w:tc>
          <w:tcPr>
            <w:tcW w:w="1387" w:type="dxa"/>
          </w:tcPr>
          <w:p w14:paraId="524D5EB0" w14:textId="2281CB43"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7" w:type="dxa"/>
          </w:tcPr>
          <w:p w14:paraId="79AEC626" w14:textId="35ED4570"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43'821</w:t>
            </w:r>
            <w:r>
              <w:rPr>
                <w:sz w:val="22"/>
              </w:rPr>
              <w:t>.00</w:t>
            </w:r>
          </w:p>
        </w:tc>
      </w:tr>
      <w:tr w:rsidR="001238BB" w14:paraId="76DFB220" w14:textId="40F4A16E" w:rsidTr="001238BB">
        <w:tc>
          <w:tcPr>
            <w:tcW w:w="5519" w:type="dxa"/>
            <w:vAlign w:val="bottom"/>
          </w:tcPr>
          <w:p w14:paraId="28A567C9"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Res 676 + AI 9.2 (WRC-23): Changes to 9.52.1 (unacceptable interference), RR21, and improvements of BR processing</w:t>
            </w:r>
          </w:p>
        </w:tc>
        <w:tc>
          <w:tcPr>
            <w:tcW w:w="1389" w:type="dxa"/>
          </w:tcPr>
          <w:p w14:paraId="6C8B4FA0"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0.5</w:t>
            </w:r>
          </w:p>
        </w:tc>
        <w:tc>
          <w:tcPr>
            <w:tcW w:w="1532" w:type="dxa"/>
          </w:tcPr>
          <w:p w14:paraId="377AA383" w14:textId="17CD5FF8"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87'642</w:t>
            </w:r>
            <w:r>
              <w:rPr>
                <w:sz w:val="22"/>
              </w:rPr>
              <w:t>.00</w:t>
            </w:r>
          </w:p>
        </w:tc>
        <w:tc>
          <w:tcPr>
            <w:tcW w:w="1387" w:type="dxa"/>
          </w:tcPr>
          <w:p w14:paraId="55F3E1C8" w14:textId="2C845B88"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0.5</w:t>
            </w:r>
          </w:p>
        </w:tc>
        <w:tc>
          <w:tcPr>
            <w:tcW w:w="1387" w:type="dxa"/>
          </w:tcPr>
          <w:p w14:paraId="39E63D7E" w14:textId="741C4F08"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87'642</w:t>
            </w:r>
            <w:r>
              <w:rPr>
                <w:sz w:val="22"/>
              </w:rPr>
              <w:t>.00</w:t>
            </w:r>
          </w:p>
        </w:tc>
        <w:tc>
          <w:tcPr>
            <w:tcW w:w="1387" w:type="dxa"/>
          </w:tcPr>
          <w:p w14:paraId="2A0DC694" w14:textId="58FF15C8"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0.5</w:t>
            </w:r>
          </w:p>
        </w:tc>
        <w:tc>
          <w:tcPr>
            <w:tcW w:w="1387" w:type="dxa"/>
          </w:tcPr>
          <w:p w14:paraId="03E1DC18" w14:textId="36B331FE"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87'642</w:t>
            </w:r>
            <w:r>
              <w:rPr>
                <w:sz w:val="22"/>
              </w:rPr>
              <w:t>.00</w:t>
            </w:r>
          </w:p>
        </w:tc>
      </w:tr>
      <w:tr w:rsidR="001238BB" w14:paraId="448B92AE" w14:textId="0AC5441D" w:rsidTr="001238BB">
        <w:tc>
          <w:tcPr>
            <w:tcW w:w="5519" w:type="dxa"/>
            <w:vAlign w:val="bottom"/>
          </w:tcPr>
          <w:p w14:paraId="7EC17826"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Res 677 (WRC-23): EESS (active) for spaceborne radar sounders</w:t>
            </w:r>
          </w:p>
        </w:tc>
        <w:tc>
          <w:tcPr>
            <w:tcW w:w="1389" w:type="dxa"/>
          </w:tcPr>
          <w:p w14:paraId="5F2B33D4"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0.05</w:t>
            </w:r>
          </w:p>
        </w:tc>
        <w:tc>
          <w:tcPr>
            <w:tcW w:w="1532" w:type="dxa"/>
          </w:tcPr>
          <w:p w14:paraId="177026C2"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8'764.20</w:t>
            </w:r>
          </w:p>
        </w:tc>
        <w:tc>
          <w:tcPr>
            <w:tcW w:w="1387" w:type="dxa"/>
          </w:tcPr>
          <w:p w14:paraId="3EF9BB38" w14:textId="0A92665B"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0.05</w:t>
            </w:r>
          </w:p>
        </w:tc>
        <w:tc>
          <w:tcPr>
            <w:tcW w:w="1387" w:type="dxa"/>
          </w:tcPr>
          <w:p w14:paraId="1CA42A95" w14:textId="598B63DF"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8'764.20</w:t>
            </w:r>
          </w:p>
        </w:tc>
        <w:tc>
          <w:tcPr>
            <w:tcW w:w="1387" w:type="dxa"/>
          </w:tcPr>
          <w:p w14:paraId="11FD62F8" w14:textId="58C01E7B"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0.05</w:t>
            </w:r>
          </w:p>
        </w:tc>
        <w:tc>
          <w:tcPr>
            <w:tcW w:w="1387" w:type="dxa"/>
          </w:tcPr>
          <w:p w14:paraId="4CD2B346" w14:textId="037BC1B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8'764.20</w:t>
            </w:r>
          </w:p>
        </w:tc>
      </w:tr>
      <w:tr w:rsidR="001238BB" w14:paraId="26A0F7A1" w14:textId="4A345ABF" w:rsidTr="001238BB">
        <w:tc>
          <w:tcPr>
            <w:tcW w:w="5519" w:type="dxa"/>
            <w:vAlign w:val="bottom"/>
          </w:tcPr>
          <w:p w14:paraId="3986EB83" w14:textId="77777777"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AI 1.19 (WRC-23): FSS (space-to-Earth) in band 17.3-17.7 GHz in Region 2</w:t>
            </w:r>
          </w:p>
        </w:tc>
        <w:tc>
          <w:tcPr>
            <w:tcW w:w="1389" w:type="dxa"/>
          </w:tcPr>
          <w:p w14:paraId="0805D350"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0.125</w:t>
            </w:r>
          </w:p>
        </w:tc>
        <w:tc>
          <w:tcPr>
            <w:tcW w:w="1532" w:type="dxa"/>
          </w:tcPr>
          <w:p w14:paraId="62886BEB"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21'910.50</w:t>
            </w:r>
          </w:p>
        </w:tc>
        <w:tc>
          <w:tcPr>
            <w:tcW w:w="1387" w:type="dxa"/>
          </w:tcPr>
          <w:p w14:paraId="714FDCA7" w14:textId="6CD5694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0.125</w:t>
            </w:r>
          </w:p>
        </w:tc>
        <w:tc>
          <w:tcPr>
            <w:tcW w:w="1387" w:type="dxa"/>
          </w:tcPr>
          <w:p w14:paraId="346BFBD4" w14:textId="4D23FAFD"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21'910.50</w:t>
            </w:r>
          </w:p>
        </w:tc>
        <w:tc>
          <w:tcPr>
            <w:tcW w:w="1387" w:type="dxa"/>
          </w:tcPr>
          <w:p w14:paraId="33C9DD29" w14:textId="05375DFE"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0.125</w:t>
            </w:r>
          </w:p>
        </w:tc>
        <w:tc>
          <w:tcPr>
            <w:tcW w:w="1387" w:type="dxa"/>
          </w:tcPr>
          <w:p w14:paraId="558A34D1" w14:textId="5F1545C9"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21'910.50</w:t>
            </w:r>
          </w:p>
        </w:tc>
      </w:tr>
      <w:tr w:rsidR="001238BB" w14:paraId="2C516E51" w14:textId="32191131" w:rsidTr="001238BB">
        <w:tc>
          <w:tcPr>
            <w:tcW w:w="5519" w:type="dxa"/>
            <w:vAlign w:val="bottom"/>
          </w:tcPr>
          <w:p w14:paraId="0848AC7D" w14:textId="6CFDD90E" w:rsidR="001238BB"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Res 35 (Rev. WRC-23): NGSO BIU post-milestone procedure</w:t>
            </w:r>
          </w:p>
        </w:tc>
        <w:tc>
          <w:tcPr>
            <w:tcW w:w="1389" w:type="dxa"/>
          </w:tcPr>
          <w:p w14:paraId="670DF872" w14:textId="77777777"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0.25</w:t>
            </w:r>
          </w:p>
        </w:tc>
        <w:tc>
          <w:tcPr>
            <w:tcW w:w="1532" w:type="dxa"/>
          </w:tcPr>
          <w:p w14:paraId="1E0120BB" w14:textId="26A8E4CE"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43'821</w:t>
            </w:r>
            <w:r>
              <w:rPr>
                <w:sz w:val="22"/>
              </w:rPr>
              <w:t>.00</w:t>
            </w:r>
          </w:p>
        </w:tc>
        <w:tc>
          <w:tcPr>
            <w:tcW w:w="1387" w:type="dxa"/>
          </w:tcPr>
          <w:p w14:paraId="2EDC9CEE" w14:textId="2C3E19D9"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7" w:type="dxa"/>
          </w:tcPr>
          <w:p w14:paraId="3EFF86F7" w14:textId="6E0995FD"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43'821</w:t>
            </w:r>
            <w:r>
              <w:rPr>
                <w:sz w:val="22"/>
              </w:rPr>
              <w:t>.00</w:t>
            </w:r>
          </w:p>
        </w:tc>
        <w:tc>
          <w:tcPr>
            <w:tcW w:w="1387" w:type="dxa"/>
          </w:tcPr>
          <w:p w14:paraId="5309BB68" w14:textId="32A27E8F"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7" w:type="dxa"/>
          </w:tcPr>
          <w:p w14:paraId="06B5416C" w14:textId="45DB260A" w:rsidR="001238BB" w:rsidRPr="007A6D83"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43'821</w:t>
            </w:r>
            <w:r>
              <w:rPr>
                <w:sz w:val="22"/>
              </w:rPr>
              <w:t>.00</w:t>
            </w:r>
          </w:p>
        </w:tc>
      </w:tr>
      <w:tr w:rsidR="001238BB" w14:paraId="7CA2445E" w14:textId="729B7DAF" w:rsidTr="00AE4F8D">
        <w:tc>
          <w:tcPr>
            <w:tcW w:w="5519" w:type="dxa"/>
            <w:shd w:val="clear" w:color="auto" w:fill="92CDDC" w:themeFill="accent5" w:themeFillTint="99"/>
            <w:vAlign w:val="bottom"/>
          </w:tcPr>
          <w:p w14:paraId="4B01DEBC" w14:textId="77777777"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r w:rsidRPr="00196A5E">
              <w:rPr>
                <w:rFonts w:cs="Calibri"/>
                <w:b/>
                <w:bCs/>
                <w:color w:val="000000"/>
                <w:sz w:val="22"/>
              </w:rPr>
              <w:t xml:space="preserve">Total </w:t>
            </w:r>
          </w:p>
        </w:tc>
        <w:tc>
          <w:tcPr>
            <w:tcW w:w="1389" w:type="dxa"/>
            <w:shd w:val="clear" w:color="auto" w:fill="92CDDC" w:themeFill="accent5" w:themeFillTint="99"/>
          </w:tcPr>
          <w:p w14:paraId="21CAACD0" w14:textId="77777777"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rPr>
            </w:pPr>
            <w:r w:rsidRPr="00196A5E">
              <w:rPr>
                <w:b/>
                <w:bCs/>
                <w:sz w:val="22"/>
              </w:rPr>
              <w:t>9.275</w:t>
            </w:r>
          </w:p>
        </w:tc>
        <w:tc>
          <w:tcPr>
            <w:tcW w:w="1532" w:type="dxa"/>
            <w:shd w:val="clear" w:color="auto" w:fill="92CDDC" w:themeFill="accent5" w:themeFillTint="99"/>
          </w:tcPr>
          <w:p w14:paraId="77546B38" w14:textId="77777777"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lang w:val="en-US"/>
              </w:rPr>
            </w:pPr>
            <w:r w:rsidRPr="00196A5E">
              <w:rPr>
                <w:b/>
                <w:bCs/>
                <w:sz w:val="22"/>
              </w:rPr>
              <w:t>1'625'759.10</w:t>
            </w:r>
          </w:p>
        </w:tc>
        <w:tc>
          <w:tcPr>
            <w:tcW w:w="1387" w:type="dxa"/>
            <w:shd w:val="clear" w:color="auto" w:fill="92CDDC" w:themeFill="accent5" w:themeFillTint="99"/>
          </w:tcPr>
          <w:p w14:paraId="3DBB6B42" w14:textId="2C270810"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b/>
                <w:bCs/>
                <w:sz w:val="22"/>
              </w:rPr>
              <w:t>9.275</w:t>
            </w:r>
          </w:p>
        </w:tc>
        <w:tc>
          <w:tcPr>
            <w:tcW w:w="1387" w:type="dxa"/>
            <w:shd w:val="clear" w:color="auto" w:fill="92CDDC" w:themeFill="accent5" w:themeFillTint="99"/>
          </w:tcPr>
          <w:p w14:paraId="790F580B" w14:textId="2513004D"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b/>
                <w:bCs/>
                <w:sz w:val="22"/>
              </w:rPr>
              <w:t>1'625'759.10</w:t>
            </w:r>
          </w:p>
        </w:tc>
        <w:tc>
          <w:tcPr>
            <w:tcW w:w="1387" w:type="dxa"/>
            <w:shd w:val="clear" w:color="auto" w:fill="92CDDC" w:themeFill="accent5" w:themeFillTint="99"/>
          </w:tcPr>
          <w:p w14:paraId="12F95332" w14:textId="101A0E14"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b/>
                <w:bCs/>
                <w:sz w:val="22"/>
              </w:rPr>
              <w:t>9.275</w:t>
            </w:r>
          </w:p>
        </w:tc>
        <w:tc>
          <w:tcPr>
            <w:tcW w:w="1387" w:type="dxa"/>
            <w:shd w:val="clear" w:color="auto" w:fill="92CDDC" w:themeFill="accent5" w:themeFillTint="99"/>
          </w:tcPr>
          <w:p w14:paraId="52319E48" w14:textId="1872B9EC" w:rsidR="001238BB" w:rsidRPr="00196A5E" w:rsidRDefault="001238BB" w:rsidP="001238BB">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b/>
                <w:bCs/>
                <w:sz w:val="22"/>
              </w:rPr>
              <w:t>1'625'759.10</w:t>
            </w:r>
          </w:p>
        </w:tc>
      </w:tr>
    </w:tbl>
    <w:p w14:paraId="7825C241" w14:textId="77777777" w:rsidR="00196A5E" w:rsidRDefault="00196A5E" w:rsidP="00196A5E">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p>
    <w:p w14:paraId="5B9A3E68" w14:textId="0BA7CC34" w:rsidR="00196A5E" w:rsidRPr="00AB1B29" w:rsidRDefault="00D8684C" w:rsidP="00AB1B29">
      <w:pPr>
        <w:pStyle w:val="Heading2"/>
        <w:numPr>
          <w:ilvl w:val="0"/>
          <w:numId w:val="0"/>
        </w:numPr>
        <w:ind w:left="576" w:hanging="576"/>
        <w:jc w:val="center"/>
      </w:pPr>
      <w:r w:rsidRPr="00AB1B29">
        <w:t>TABLE 4-3</w:t>
      </w:r>
      <w:r w:rsidR="00AB1B29">
        <w:br/>
      </w:r>
      <w:r w:rsidR="00196A5E" w:rsidRPr="00AB1B29">
        <w:t>Recurring</w:t>
      </w:r>
      <w:r w:rsidR="0055202F">
        <w:t xml:space="preserve"> b</w:t>
      </w:r>
      <w:r w:rsidR="0055202F" w:rsidRPr="0055202F">
        <w:t xml:space="preserve">udgetary </w:t>
      </w:r>
      <w:r w:rsidR="00196A5E" w:rsidRPr="00AB1B29">
        <w:t>implications for space services-related software maintenance (2025-2027)</w:t>
      </w:r>
    </w:p>
    <w:p w14:paraId="4759134B" w14:textId="77777777" w:rsidR="00196A5E" w:rsidRPr="00C95B56" w:rsidRDefault="00196A5E" w:rsidP="00196A5E"/>
    <w:tbl>
      <w:tblPr>
        <w:tblStyle w:val="TableGrid"/>
        <w:tblW w:w="0" w:type="auto"/>
        <w:tblLook w:val="04A0" w:firstRow="1" w:lastRow="0" w:firstColumn="1" w:lastColumn="0" w:noHBand="0" w:noVBand="1"/>
      </w:tblPr>
      <w:tblGrid>
        <w:gridCol w:w="5530"/>
        <w:gridCol w:w="1390"/>
        <w:gridCol w:w="1512"/>
        <w:gridCol w:w="1389"/>
        <w:gridCol w:w="1389"/>
        <w:gridCol w:w="1389"/>
        <w:gridCol w:w="1389"/>
      </w:tblGrid>
      <w:tr w:rsidR="009D0AC8" w14:paraId="2423683B" w14:textId="77777777" w:rsidTr="00BC2C8E">
        <w:tc>
          <w:tcPr>
            <w:tcW w:w="5530" w:type="dxa"/>
            <w:tcBorders>
              <w:top w:val="nil"/>
              <w:left w:val="nil"/>
              <w:bottom w:val="single" w:sz="4" w:space="0" w:color="auto"/>
              <w:right w:val="single" w:sz="4" w:space="0" w:color="auto"/>
            </w:tcBorders>
            <w:shd w:val="clear" w:color="auto" w:fill="auto"/>
          </w:tcPr>
          <w:p w14:paraId="3588707D" w14:textId="77777777" w:rsidR="009D0AC8" w:rsidRPr="00196A5E" w:rsidRDefault="009D0AC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p>
        </w:tc>
        <w:tc>
          <w:tcPr>
            <w:tcW w:w="2902" w:type="dxa"/>
            <w:gridSpan w:val="2"/>
            <w:tcBorders>
              <w:left w:val="single" w:sz="4" w:space="0" w:color="auto"/>
            </w:tcBorders>
            <w:shd w:val="clear" w:color="auto" w:fill="92CDDC" w:themeFill="accent5" w:themeFillTint="99"/>
          </w:tcPr>
          <w:p w14:paraId="752D8012" w14:textId="5FA7C350"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cs="Calibri"/>
                <w:b/>
                <w:bCs/>
                <w:color w:val="000000"/>
                <w:sz w:val="22"/>
              </w:rPr>
              <w:t>2025</w:t>
            </w:r>
          </w:p>
        </w:tc>
        <w:tc>
          <w:tcPr>
            <w:tcW w:w="2778" w:type="dxa"/>
            <w:gridSpan w:val="2"/>
            <w:shd w:val="clear" w:color="auto" w:fill="92CDDC" w:themeFill="accent5" w:themeFillTint="99"/>
          </w:tcPr>
          <w:p w14:paraId="5AA82A2F" w14:textId="16E19A7F"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2026</w:t>
            </w:r>
          </w:p>
        </w:tc>
        <w:tc>
          <w:tcPr>
            <w:tcW w:w="2778" w:type="dxa"/>
            <w:gridSpan w:val="2"/>
            <w:shd w:val="clear" w:color="auto" w:fill="92CDDC" w:themeFill="accent5" w:themeFillTint="99"/>
          </w:tcPr>
          <w:p w14:paraId="10BFAB83" w14:textId="7E016A30"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lang w:val="en-US"/>
              </w:rPr>
            </w:pPr>
            <w:r>
              <w:rPr>
                <w:rFonts w:asciiTheme="minorHAnsi" w:hAnsiTheme="minorHAnsi" w:cstheme="minorHAnsi"/>
                <w:b/>
                <w:bCs/>
                <w:sz w:val="22"/>
                <w:lang w:val="en-US"/>
              </w:rPr>
              <w:t>2027</w:t>
            </w:r>
          </w:p>
        </w:tc>
      </w:tr>
      <w:tr w:rsidR="009D0AC8" w14:paraId="56F4F4A1" w14:textId="4DAA1F86" w:rsidTr="00BC2C8E">
        <w:tc>
          <w:tcPr>
            <w:tcW w:w="5530" w:type="dxa"/>
            <w:tcBorders>
              <w:top w:val="single" w:sz="4" w:space="0" w:color="auto"/>
            </w:tcBorders>
            <w:shd w:val="clear" w:color="auto" w:fill="92CDDC" w:themeFill="accent5" w:themeFillTint="99"/>
          </w:tcPr>
          <w:p w14:paraId="3F45F339" w14:textId="77777777"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6"/>
                <w:szCs w:val="26"/>
                <w:lang w:val="en-US"/>
              </w:rPr>
            </w:pPr>
            <w:r w:rsidRPr="00196A5E">
              <w:rPr>
                <w:rFonts w:cs="Calibri"/>
                <w:b/>
                <w:bCs/>
                <w:color w:val="000000"/>
                <w:sz w:val="22"/>
              </w:rPr>
              <w:t>WRC-23/Final Acts Reference and Description</w:t>
            </w:r>
          </w:p>
        </w:tc>
        <w:tc>
          <w:tcPr>
            <w:tcW w:w="1390" w:type="dxa"/>
            <w:shd w:val="clear" w:color="auto" w:fill="92CDDC" w:themeFill="accent5" w:themeFillTint="99"/>
            <w:vAlign w:val="bottom"/>
          </w:tcPr>
          <w:p w14:paraId="7990966A" w14:textId="3747762E"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6"/>
                <w:szCs w:val="26"/>
                <w:lang w:val="en-US"/>
              </w:rPr>
            </w:pPr>
            <w:r w:rsidRPr="00196A5E">
              <w:rPr>
                <w:rFonts w:cs="Calibri"/>
                <w:b/>
                <w:bCs/>
                <w:color w:val="000000"/>
                <w:sz w:val="22"/>
              </w:rPr>
              <w:t xml:space="preserve">P3-level staff equivalent </w:t>
            </w:r>
          </w:p>
        </w:tc>
        <w:tc>
          <w:tcPr>
            <w:tcW w:w="1512" w:type="dxa"/>
            <w:shd w:val="clear" w:color="auto" w:fill="92CDDC" w:themeFill="accent5" w:themeFillTint="99"/>
          </w:tcPr>
          <w:p w14:paraId="3AE75000" w14:textId="159A28A4"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CHF</w:t>
            </w:r>
          </w:p>
        </w:tc>
        <w:tc>
          <w:tcPr>
            <w:tcW w:w="1389" w:type="dxa"/>
            <w:shd w:val="clear" w:color="auto" w:fill="92CDDC" w:themeFill="accent5" w:themeFillTint="99"/>
            <w:vAlign w:val="bottom"/>
          </w:tcPr>
          <w:p w14:paraId="672336B0" w14:textId="6EC13722"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cs="Calibri"/>
                <w:b/>
                <w:bCs/>
                <w:color w:val="000000"/>
                <w:sz w:val="22"/>
              </w:rPr>
              <w:t xml:space="preserve">P3-level staff equivalent </w:t>
            </w:r>
          </w:p>
        </w:tc>
        <w:tc>
          <w:tcPr>
            <w:tcW w:w="1389" w:type="dxa"/>
            <w:shd w:val="clear" w:color="auto" w:fill="92CDDC" w:themeFill="accent5" w:themeFillTint="99"/>
          </w:tcPr>
          <w:p w14:paraId="0766F747" w14:textId="056CF703"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CHF</w:t>
            </w:r>
          </w:p>
        </w:tc>
        <w:tc>
          <w:tcPr>
            <w:tcW w:w="1389" w:type="dxa"/>
            <w:shd w:val="clear" w:color="auto" w:fill="92CDDC" w:themeFill="accent5" w:themeFillTint="99"/>
            <w:vAlign w:val="bottom"/>
          </w:tcPr>
          <w:p w14:paraId="121052DE" w14:textId="208B7AE8"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cs="Calibri"/>
                <w:b/>
                <w:bCs/>
                <w:color w:val="000000"/>
                <w:sz w:val="22"/>
              </w:rPr>
              <w:t xml:space="preserve">P3-level staff equivalent </w:t>
            </w:r>
          </w:p>
        </w:tc>
        <w:tc>
          <w:tcPr>
            <w:tcW w:w="1389" w:type="dxa"/>
            <w:shd w:val="clear" w:color="auto" w:fill="92CDDC" w:themeFill="accent5" w:themeFillTint="99"/>
          </w:tcPr>
          <w:p w14:paraId="1288418E" w14:textId="21F6DD8A"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 w:val="22"/>
                <w:lang w:val="en-US"/>
              </w:rPr>
            </w:pPr>
            <w:r w:rsidRPr="00196A5E">
              <w:rPr>
                <w:rFonts w:asciiTheme="minorHAnsi" w:hAnsiTheme="minorHAnsi" w:cstheme="minorHAnsi"/>
                <w:b/>
                <w:bCs/>
                <w:sz w:val="22"/>
                <w:lang w:val="en-US"/>
              </w:rPr>
              <w:t>CHF</w:t>
            </w:r>
          </w:p>
        </w:tc>
      </w:tr>
      <w:tr w:rsidR="009D0AC8" w14:paraId="3135DD5D" w14:textId="1047B151" w:rsidTr="009D0AC8">
        <w:tc>
          <w:tcPr>
            <w:tcW w:w="5530" w:type="dxa"/>
            <w:vAlign w:val="bottom"/>
          </w:tcPr>
          <w:p w14:paraId="0E599C28" w14:textId="77777777"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121 (WRC-23): AP30B ESIM</w:t>
            </w:r>
          </w:p>
        </w:tc>
        <w:tc>
          <w:tcPr>
            <w:tcW w:w="1390" w:type="dxa"/>
          </w:tcPr>
          <w:p w14:paraId="1EC871F1"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0.25</w:t>
            </w:r>
          </w:p>
        </w:tc>
        <w:tc>
          <w:tcPr>
            <w:tcW w:w="1512" w:type="dxa"/>
          </w:tcPr>
          <w:p w14:paraId="0AC7E200" w14:textId="04CD8D3D"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43</w:t>
            </w:r>
            <w:r w:rsidRPr="007A6D83">
              <w:rPr>
                <w:rFonts w:cs="Calibri"/>
                <w:color w:val="000000"/>
                <w:sz w:val="22"/>
              </w:rPr>
              <w:t>'</w:t>
            </w:r>
            <w:r w:rsidRPr="007A6D83">
              <w:rPr>
                <w:sz w:val="22"/>
              </w:rPr>
              <w:t>821</w:t>
            </w:r>
            <w:r>
              <w:rPr>
                <w:sz w:val="22"/>
              </w:rPr>
              <w:t>.00</w:t>
            </w:r>
          </w:p>
        </w:tc>
        <w:tc>
          <w:tcPr>
            <w:tcW w:w="1389" w:type="dxa"/>
          </w:tcPr>
          <w:p w14:paraId="110FE030" w14:textId="404CD1AE"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9" w:type="dxa"/>
          </w:tcPr>
          <w:p w14:paraId="097D5269" w14:textId="5E14E4C3"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w:t>
            </w:r>
            <w:r w:rsidRPr="007A6D83">
              <w:rPr>
                <w:rFonts w:cs="Calibri"/>
                <w:color w:val="000000"/>
                <w:sz w:val="22"/>
              </w:rPr>
              <w:t>'</w:t>
            </w:r>
            <w:r w:rsidRPr="007A6D83">
              <w:rPr>
                <w:sz w:val="22"/>
              </w:rPr>
              <w:t>821</w:t>
            </w:r>
            <w:r>
              <w:rPr>
                <w:sz w:val="22"/>
              </w:rPr>
              <w:t>.00</w:t>
            </w:r>
          </w:p>
        </w:tc>
        <w:tc>
          <w:tcPr>
            <w:tcW w:w="1389" w:type="dxa"/>
          </w:tcPr>
          <w:p w14:paraId="3742738C" w14:textId="169DC702"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0.25</w:t>
            </w:r>
          </w:p>
        </w:tc>
        <w:tc>
          <w:tcPr>
            <w:tcW w:w="1389" w:type="dxa"/>
          </w:tcPr>
          <w:p w14:paraId="296A23E7" w14:textId="3DE86354"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43</w:t>
            </w:r>
            <w:r w:rsidRPr="007A6D83">
              <w:rPr>
                <w:rFonts w:cs="Calibri"/>
                <w:color w:val="000000"/>
                <w:sz w:val="22"/>
              </w:rPr>
              <w:t>'</w:t>
            </w:r>
            <w:r w:rsidRPr="007A6D83">
              <w:rPr>
                <w:sz w:val="22"/>
              </w:rPr>
              <w:t>821</w:t>
            </w:r>
            <w:r>
              <w:rPr>
                <w:sz w:val="22"/>
              </w:rPr>
              <w:t>.00</w:t>
            </w:r>
          </w:p>
        </w:tc>
      </w:tr>
      <w:tr w:rsidR="009D0AC8" w14:paraId="4C625F66" w14:textId="67F02696" w:rsidTr="009D0AC8">
        <w:tc>
          <w:tcPr>
            <w:tcW w:w="5530" w:type="dxa"/>
            <w:vAlign w:val="bottom"/>
          </w:tcPr>
          <w:p w14:paraId="7A79F792" w14:textId="77777777"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123 (WRC-23): NGSO ESIM</w:t>
            </w:r>
          </w:p>
        </w:tc>
        <w:tc>
          <w:tcPr>
            <w:tcW w:w="1390" w:type="dxa"/>
          </w:tcPr>
          <w:p w14:paraId="341BA47C"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0.2</w:t>
            </w:r>
          </w:p>
        </w:tc>
        <w:tc>
          <w:tcPr>
            <w:tcW w:w="1512" w:type="dxa"/>
          </w:tcPr>
          <w:p w14:paraId="2381FA0C"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35</w:t>
            </w:r>
            <w:r w:rsidRPr="007A6D83">
              <w:rPr>
                <w:rFonts w:cs="Calibri"/>
                <w:color w:val="000000"/>
                <w:sz w:val="22"/>
              </w:rPr>
              <w:t>'</w:t>
            </w:r>
            <w:r w:rsidRPr="007A6D83">
              <w:rPr>
                <w:sz w:val="22"/>
              </w:rPr>
              <w:t>056.80</w:t>
            </w:r>
          </w:p>
        </w:tc>
        <w:tc>
          <w:tcPr>
            <w:tcW w:w="1389" w:type="dxa"/>
          </w:tcPr>
          <w:p w14:paraId="25857ABF" w14:textId="629903E6"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w:t>
            </w:r>
          </w:p>
        </w:tc>
        <w:tc>
          <w:tcPr>
            <w:tcW w:w="1389" w:type="dxa"/>
          </w:tcPr>
          <w:p w14:paraId="54A5D1A3" w14:textId="23378073"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35</w:t>
            </w:r>
            <w:r w:rsidRPr="007A6D83">
              <w:rPr>
                <w:rFonts w:cs="Calibri"/>
                <w:color w:val="000000"/>
                <w:sz w:val="22"/>
              </w:rPr>
              <w:t>'</w:t>
            </w:r>
            <w:r w:rsidRPr="007A6D83">
              <w:rPr>
                <w:sz w:val="22"/>
              </w:rPr>
              <w:t>056.80</w:t>
            </w:r>
          </w:p>
        </w:tc>
        <w:tc>
          <w:tcPr>
            <w:tcW w:w="1389" w:type="dxa"/>
          </w:tcPr>
          <w:p w14:paraId="3A421C1B" w14:textId="173771EC"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w:t>
            </w:r>
          </w:p>
        </w:tc>
        <w:tc>
          <w:tcPr>
            <w:tcW w:w="1389" w:type="dxa"/>
          </w:tcPr>
          <w:p w14:paraId="03054840" w14:textId="451A2D7F"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35</w:t>
            </w:r>
            <w:r w:rsidRPr="007A6D83">
              <w:rPr>
                <w:rFonts w:cs="Calibri"/>
                <w:color w:val="000000"/>
                <w:sz w:val="22"/>
              </w:rPr>
              <w:t>'</w:t>
            </w:r>
            <w:r w:rsidRPr="007A6D83">
              <w:rPr>
                <w:sz w:val="22"/>
              </w:rPr>
              <w:t>056.80</w:t>
            </w:r>
          </w:p>
        </w:tc>
      </w:tr>
      <w:tr w:rsidR="009D0AC8" w14:paraId="71043DF0" w14:textId="7CB1671C" w:rsidTr="009D0AC8">
        <w:tc>
          <w:tcPr>
            <w:tcW w:w="5530" w:type="dxa"/>
            <w:vAlign w:val="bottom"/>
          </w:tcPr>
          <w:p w14:paraId="74F29901" w14:textId="77777777"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679 (WRC-23): Inter-satellite links: Protection of space and terrestrial services</w:t>
            </w:r>
          </w:p>
        </w:tc>
        <w:tc>
          <w:tcPr>
            <w:tcW w:w="1390" w:type="dxa"/>
          </w:tcPr>
          <w:p w14:paraId="19E4AA1C"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0.2</w:t>
            </w:r>
          </w:p>
        </w:tc>
        <w:tc>
          <w:tcPr>
            <w:tcW w:w="1512" w:type="dxa"/>
          </w:tcPr>
          <w:p w14:paraId="745EB9A1"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35</w:t>
            </w:r>
            <w:r w:rsidRPr="007A6D83">
              <w:rPr>
                <w:rFonts w:cs="Calibri"/>
                <w:color w:val="000000"/>
                <w:sz w:val="22"/>
              </w:rPr>
              <w:t>'</w:t>
            </w:r>
            <w:r w:rsidRPr="007A6D83">
              <w:rPr>
                <w:sz w:val="22"/>
              </w:rPr>
              <w:t>056.80</w:t>
            </w:r>
          </w:p>
        </w:tc>
        <w:tc>
          <w:tcPr>
            <w:tcW w:w="1389" w:type="dxa"/>
          </w:tcPr>
          <w:p w14:paraId="26BF0FF8" w14:textId="234772DA"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w:t>
            </w:r>
          </w:p>
        </w:tc>
        <w:tc>
          <w:tcPr>
            <w:tcW w:w="1389" w:type="dxa"/>
          </w:tcPr>
          <w:p w14:paraId="548FE17E" w14:textId="070DDC15"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35</w:t>
            </w:r>
            <w:r w:rsidRPr="007A6D83">
              <w:rPr>
                <w:rFonts w:cs="Calibri"/>
                <w:color w:val="000000"/>
                <w:sz w:val="22"/>
              </w:rPr>
              <w:t>'</w:t>
            </w:r>
            <w:r w:rsidRPr="007A6D83">
              <w:rPr>
                <w:sz w:val="22"/>
              </w:rPr>
              <w:t>056.80</w:t>
            </w:r>
          </w:p>
        </w:tc>
        <w:tc>
          <w:tcPr>
            <w:tcW w:w="1389" w:type="dxa"/>
          </w:tcPr>
          <w:p w14:paraId="62AFC0EA" w14:textId="185034E9"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0.2</w:t>
            </w:r>
          </w:p>
        </w:tc>
        <w:tc>
          <w:tcPr>
            <w:tcW w:w="1389" w:type="dxa"/>
          </w:tcPr>
          <w:p w14:paraId="3CCD8F4A" w14:textId="580A84F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35</w:t>
            </w:r>
            <w:r w:rsidRPr="007A6D83">
              <w:rPr>
                <w:rFonts w:cs="Calibri"/>
                <w:color w:val="000000"/>
                <w:sz w:val="22"/>
              </w:rPr>
              <w:t>'</w:t>
            </w:r>
            <w:r w:rsidRPr="007A6D83">
              <w:rPr>
                <w:sz w:val="22"/>
              </w:rPr>
              <w:t>056.80</w:t>
            </w:r>
          </w:p>
        </w:tc>
      </w:tr>
      <w:tr w:rsidR="009D0AC8" w14:paraId="09ACD588" w14:textId="34FEECDD" w:rsidTr="009D0AC8">
        <w:tc>
          <w:tcPr>
            <w:tcW w:w="5530" w:type="dxa"/>
            <w:vAlign w:val="bottom"/>
          </w:tcPr>
          <w:p w14:paraId="4AC9021E" w14:textId="77777777"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sz w:val="26"/>
                <w:szCs w:val="26"/>
                <w:lang w:val="en-US"/>
              </w:rPr>
            </w:pPr>
            <w:r>
              <w:rPr>
                <w:rFonts w:cs="Calibri"/>
                <w:color w:val="000000"/>
                <w:sz w:val="22"/>
              </w:rPr>
              <w:t>Res 8 (WRC-23): Tolerances for certain orbital characteristics of NGSO</w:t>
            </w:r>
          </w:p>
        </w:tc>
        <w:tc>
          <w:tcPr>
            <w:tcW w:w="1390" w:type="dxa"/>
          </w:tcPr>
          <w:p w14:paraId="1C632253"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0.15</w:t>
            </w:r>
          </w:p>
        </w:tc>
        <w:tc>
          <w:tcPr>
            <w:tcW w:w="1512" w:type="dxa"/>
          </w:tcPr>
          <w:p w14:paraId="2228936F"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26</w:t>
            </w:r>
            <w:r w:rsidRPr="007A6D83">
              <w:rPr>
                <w:rFonts w:cs="Calibri"/>
                <w:color w:val="000000"/>
                <w:sz w:val="22"/>
              </w:rPr>
              <w:t>'</w:t>
            </w:r>
            <w:r w:rsidRPr="007A6D83">
              <w:rPr>
                <w:sz w:val="22"/>
              </w:rPr>
              <w:t>292.60</w:t>
            </w:r>
          </w:p>
        </w:tc>
        <w:tc>
          <w:tcPr>
            <w:tcW w:w="1389" w:type="dxa"/>
          </w:tcPr>
          <w:p w14:paraId="12C40D6F" w14:textId="39C0BEA9"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0.15</w:t>
            </w:r>
          </w:p>
        </w:tc>
        <w:tc>
          <w:tcPr>
            <w:tcW w:w="1389" w:type="dxa"/>
          </w:tcPr>
          <w:p w14:paraId="2AC0D6D8" w14:textId="325F399B"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26</w:t>
            </w:r>
            <w:r w:rsidRPr="007A6D83">
              <w:rPr>
                <w:rFonts w:cs="Calibri"/>
                <w:color w:val="000000"/>
                <w:sz w:val="22"/>
              </w:rPr>
              <w:t>'</w:t>
            </w:r>
            <w:r w:rsidRPr="007A6D83">
              <w:rPr>
                <w:sz w:val="22"/>
              </w:rPr>
              <w:t>292.60</w:t>
            </w:r>
          </w:p>
        </w:tc>
        <w:tc>
          <w:tcPr>
            <w:tcW w:w="1389" w:type="dxa"/>
          </w:tcPr>
          <w:p w14:paraId="188190CE" w14:textId="269BEC05"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0.15</w:t>
            </w:r>
          </w:p>
        </w:tc>
        <w:tc>
          <w:tcPr>
            <w:tcW w:w="1389" w:type="dxa"/>
          </w:tcPr>
          <w:p w14:paraId="32D1B21A" w14:textId="46BA520F"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26</w:t>
            </w:r>
            <w:r w:rsidRPr="007A6D83">
              <w:rPr>
                <w:rFonts w:cs="Calibri"/>
                <w:color w:val="000000"/>
                <w:sz w:val="22"/>
              </w:rPr>
              <w:t>'</w:t>
            </w:r>
            <w:r w:rsidRPr="007A6D83">
              <w:rPr>
                <w:sz w:val="22"/>
              </w:rPr>
              <w:t>292.60</w:t>
            </w:r>
          </w:p>
        </w:tc>
      </w:tr>
      <w:tr w:rsidR="009D0AC8" w14:paraId="49C68CFB" w14:textId="31AA64CA" w:rsidTr="009D0AC8">
        <w:tc>
          <w:tcPr>
            <w:tcW w:w="5530" w:type="dxa"/>
            <w:vAlign w:val="bottom"/>
          </w:tcPr>
          <w:p w14:paraId="46886B78" w14:textId="77777777"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Res 676 + AI 9.2 (WRC-23): Changes to 9.52.1 (unacceptable interference), RR21, and improvements of BR processing</w:t>
            </w:r>
          </w:p>
        </w:tc>
        <w:tc>
          <w:tcPr>
            <w:tcW w:w="1390" w:type="dxa"/>
          </w:tcPr>
          <w:p w14:paraId="7A8FA2BF"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0.05</w:t>
            </w:r>
          </w:p>
        </w:tc>
        <w:tc>
          <w:tcPr>
            <w:tcW w:w="1512" w:type="dxa"/>
          </w:tcPr>
          <w:p w14:paraId="73637684"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8</w:t>
            </w:r>
            <w:r w:rsidRPr="007A6D83">
              <w:rPr>
                <w:rFonts w:cs="Calibri"/>
                <w:color w:val="000000"/>
                <w:sz w:val="22"/>
              </w:rPr>
              <w:t>'</w:t>
            </w:r>
            <w:r w:rsidRPr="007A6D83">
              <w:rPr>
                <w:sz w:val="22"/>
              </w:rPr>
              <w:t>764.20</w:t>
            </w:r>
          </w:p>
        </w:tc>
        <w:tc>
          <w:tcPr>
            <w:tcW w:w="1389" w:type="dxa"/>
          </w:tcPr>
          <w:p w14:paraId="7A6BF1FD" w14:textId="0A31AB7B"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0.05</w:t>
            </w:r>
          </w:p>
        </w:tc>
        <w:tc>
          <w:tcPr>
            <w:tcW w:w="1389" w:type="dxa"/>
          </w:tcPr>
          <w:p w14:paraId="4761E738" w14:textId="2E8C3BB1"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8</w:t>
            </w:r>
            <w:r w:rsidRPr="007A6D83">
              <w:rPr>
                <w:rFonts w:cs="Calibri"/>
                <w:color w:val="000000"/>
                <w:sz w:val="22"/>
              </w:rPr>
              <w:t>'</w:t>
            </w:r>
            <w:r w:rsidRPr="007A6D83">
              <w:rPr>
                <w:sz w:val="22"/>
              </w:rPr>
              <w:t>764.20</w:t>
            </w:r>
          </w:p>
        </w:tc>
        <w:tc>
          <w:tcPr>
            <w:tcW w:w="1389" w:type="dxa"/>
          </w:tcPr>
          <w:p w14:paraId="46B14816" w14:textId="74EAE5E8"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0.05</w:t>
            </w:r>
          </w:p>
        </w:tc>
        <w:tc>
          <w:tcPr>
            <w:tcW w:w="1389" w:type="dxa"/>
          </w:tcPr>
          <w:p w14:paraId="70E96EF3" w14:textId="7282FB0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8</w:t>
            </w:r>
            <w:r w:rsidRPr="007A6D83">
              <w:rPr>
                <w:rFonts w:cs="Calibri"/>
                <w:color w:val="000000"/>
                <w:sz w:val="22"/>
              </w:rPr>
              <w:t>'</w:t>
            </w:r>
            <w:r w:rsidRPr="007A6D83">
              <w:rPr>
                <w:sz w:val="22"/>
              </w:rPr>
              <w:t>764.20</w:t>
            </w:r>
          </w:p>
        </w:tc>
      </w:tr>
      <w:tr w:rsidR="009D0AC8" w14:paraId="318DB1A7" w14:textId="46524AC0" w:rsidTr="009D0AC8">
        <w:tc>
          <w:tcPr>
            <w:tcW w:w="5530" w:type="dxa"/>
            <w:vAlign w:val="bottom"/>
          </w:tcPr>
          <w:p w14:paraId="611B49BB" w14:textId="77777777"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Res 677 (WRC-23): EESS (active) for spaceborne radar sounders</w:t>
            </w:r>
          </w:p>
        </w:tc>
        <w:tc>
          <w:tcPr>
            <w:tcW w:w="1390" w:type="dxa"/>
          </w:tcPr>
          <w:p w14:paraId="6EE86EE3"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0.1</w:t>
            </w:r>
          </w:p>
        </w:tc>
        <w:tc>
          <w:tcPr>
            <w:tcW w:w="1512" w:type="dxa"/>
          </w:tcPr>
          <w:p w14:paraId="65F2E024"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17</w:t>
            </w:r>
            <w:r w:rsidRPr="007A6D83">
              <w:rPr>
                <w:rFonts w:cs="Calibri"/>
                <w:color w:val="000000"/>
                <w:sz w:val="22"/>
              </w:rPr>
              <w:t>'</w:t>
            </w:r>
            <w:r w:rsidRPr="007A6D83">
              <w:rPr>
                <w:sz w:val="22"/>
              </w:rPr>
              <w:t>528.40</w:t>
            </w:r>
          </w:p>
        </w:tc>
        <w:tc>
          <w:tcPr>
            <w:tcW w:w="1389" w:type="dxa"/>
          </w:tcPr>
          <w:p w14:paraId="28E571B3" w14:textId="54DABD02"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w:t>
            </w:r>
          </w:p>
        </w:tc>
        <w:tc>
          <w:tcPr>
            <w:tcW w:w="1389" w:type="dxa"/>
          </w:tcPr>
          <w:p w14:paraId="46FB2FA4" w14:textId="6691C90B"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w:t>
            </w:r>
            <w:r w:rsidRPr="007A6D83">
              <w:rPr>
                <w:rFonts w:cs="Calibri"/>
                <w:color w:val="000000"/>
                <w:sz w:val="22"/>
              </w:rPr>
              <w:t>'</w:t>
            </w:r>
            <w:r w:rsidRPr="007A6D83">
              <w:rPr>
                <w:sz w:val="22"/>
              </w:rPr>
              <w:t>528.40</w:t>
            </w:r>
          </w:p>
        </w:tc>
        <w:tc>
          <w:tcPr>
            <w:tcW w:w="1389" w:type="dxa"/>
          </w:tcPr>
          <w:p w14:paraId="7379B82C" w14:textId="25E51E3A"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w:t>
            </w:r>
          </w:p>
        </w:tc>
        <w:tc>
          <w:tcPr>
            <w:tcW w:w="1389" w:type="dxa"/>
          </w:tcPr>
          <w:p w14:paraId="5E0A85EF" w14:textId="61C55316"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w:t>
            </w:r>
            <w:r w:rsidRPr="007A6D83">
              <w:rPr>
                <w:rFonts w:cs="Calibri"/>
                <w:color w:val="000000"/>
                <w:sz w:val="22"/>
              </w:rPr>
              <w:t>'</w:t>
            </w:r>
            <w:r w:rsidRPr="007A6D83">
              <w:rPr>
                <w:sz w:val="22"/>
              </w:rPr>
              <w:t>528.40</w:t>
            </w:r>
          </w:p>
        </w:tc>
      </w:tr>
      <w:tr w:rsidR="009D0AC8" w14:paraId="63D5EBCD" w14:textId="54C10807" w:rsidTr="009D0AC8">
        <w:tc>
          <w:tcPr>
            <w:tcW w:w="5530" w:type="dxa"/>
            <w:vAlign w:val="bottom"/>
          </w:tcPr>
          <w:p w14:paraId="23E50EB7" w14:textId="77777777"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AI 1.19 (WRC-23): FSS (space-to-Earth) in band 17.3-17.7 GHz in Region 2</w:t>
            </w:r>
          </w:p>
        </w:tc>
        <w:tc>
          <w:tcPr>
            <w:tcW w:w="1390" w:type="dxa"/>
          </w:tcPr>
          <w:p w14:paraId="25723B0E"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0.1</w:t>
            </w:r>
          </w:p>
        </w:tc>
        <w:tc>
          <w:tcPr>
            <w:tcW w:w="1512" w:type="dxa"/>
          </w:tcPr>
          <w:p w14:paraId="2A5040E2"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17</w:t>
            </w:r>
            <w:r w:rsidRPr="007A6D83">
              <w:rPr>
                <w:rFonts w:cs="Calibri"/>
                <w:color w:val="000000"/>
                <w:sz w:val="22"/>
              </w:rPr>
              <w:t>'</w:t>
            </w:r>
            <w:r w:rsidRPr="007A6D83">
              <w:rPr>
                <w:sz w:val="22"/>
              </w:rPr>
              <w:t>528.40</w:t>
            </w:r>
          </w:p>
        </w:tc>
        <w:tc>
          <w:tcPr>
            <w:tcW w:w="1389" w:type="dxa"/>
          </w:tcPr>
          <w:p w14:paraId="28B88D98" w14:textId="01DAAA9A"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w:t>
            </w:r>
          </w:p>
        </w:tc>
        <w:tc>
          <w:tcPr>
            <w:tcW w:w="1389" w:type="dxa"/>
          </w:tcPr>
          <w:p w14:paraId="43839DE8" w14:textId="3CCF963C"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w:t>
            </w:r>
            <w:r w:rsidRPr="007A6D83">
              <w:rPr>
                <w:rFonts w:cs="Calibri"/>
                <w:color w:val="000000"/>
                <w:sz w:val="22"/>
              </w:rPr>
              <w:t>'</w:t>
            </w:r>
            <w:r w:rsidRPr="007A6D83">
              <w:rPr>
                <w:sz w:val="22"/>
              </w:rPr>
              <w:t>528.40</w:t>
            </w:r>
          </w:p>
        </w:tc>
        <w:tc>
          <w:tcPr>
            <w:tcW w:w="1389" w:type="dxa"/>
          </w:tcPr>
          <w:p w14:paraId="2A2B879A" w14:textId="6A115FC9"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w:t>
            </w:r>
          </w:p>
        </w:tc>
        <w:tc>
          <w:tcPr>
            <w:tcW w:w="1389" w:type="dxa"/>
          </w:tcPr>
          <w:p w14:paraId="0C5DC518" w14:textId="37949855"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w:t>
            </w:r>
            <w:r w:rsidRPr="007A6D83">
              <w:rPr>
                <w:rFonts w:cs="Calibri"/>
                <w:color w:val="000000"/>
                <w:sz w:val="22"/>
              </w:rPr>
              <w:t>'</w:t>
            </w:r>
            <w:r w:rsidRPr="007A6D83">
              <w:rPr>
                <w:sz w:val="22"/>
              </w:rPr>
              <w:t>528.40</w:t>
            </w:r>
          </w:p>
        </w:tc>
      </w:tr>
      <w:tr w:rsidR="009D0AC8" w14:paraId="159D67AD" w14:textId="045EE750" w:rsidTr="009D0AC8">
        <w:tc>
          <w:tcPr>
            <w:tcW w:w="5530" w:type="dxa"/>
            <w:vAlign w:val="bottom"/>
          </w:tcPr>
          <w:p w14:paraId="20C3FF2D" w14:textId="602C7FE2" w:rsidR="009D0AC8"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22"/>
              </w:rPr>
            </w:pPr>
            <w:r>
              <w:rPr>
                <w:rFonts w:cs="Calibri"/>
                <w:color w:val="000000"/>
                <w:sz w:val="22"/>
              </w:rPr>
              <w:t>Res 35 (Rev. WRC-23): NGSO BIU post-milestone procedure</w:t>
            </w:r>
          </w:p>
        </w:tc>
        <w:tc>
          <w:tcPr>
            <w:tcW w:w="1390" w:type="dxa"/>
          </w:tcPr>
          <w:p w14:paraId="1A2123D0"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22"/>
              </w:rPr>
            </w:pPr>
            <w:r w:rsidRPr="007A6D83">
              <w:rPr>
                <w:sz w:val="22"/>
              </w:rPr>
              <w:t>0.1</w:t>
            </w:r>
          </w:p>
        </w:tc>
        <w:tc>
          <w:tcPr>
            <w:tcW w:w="1512" w:type="dxa"/>
          </w:tcPr>
          <w:p w14:paraId="04679A77" w14:textId="77777777"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sz w:val="22"/>
                <w:lang w:val="en-US"/>
              </w:rPr>
            </w:pPr>
            <w:r w:rsidRPr="007A6D83">
              <w:rPr>
                <w:sz w:val="22"/>
              </w:rPr>
              <w:t>17</w:t>
            </w:r>
            <w:r w:rsidRPr="007A6D83">
              <w:rPr>
                <w:rFonts w:cs="Calibri"/>
                <w:color w:val="000000"/>
                <w:sz w:val="22"/>
              </w:rPr>
              <w:t>'</w:t>
            </w:r>
            <w:r w:rsidRPr="007A6D83">
              <w:rPr>
                <w:sz w:val="22"/>
              </w:rPr>
              <w:t>528.40</w:t>
            </w:r>
          </w:p>
        </w:tc>
        <w:tc>
          <w:tcPr>
            <w:tcW w:w="1389" w:type="dxa"/>
          </w:tcPr>
          <w:p w14:paraId="29C44734" w14:textId="02C34FCC"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w:t>
            </w:r>
          </w:p>
        </w:tc>
        <w:tc>
          <w:tcPr>
            <w:tcW w:w="1389" w:type="dxa"/>
          </w:tcPr>
          <w:p w14:paraId="5BCF306B" w14:textId="19D900FB"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w:t>
            </w:r>
            <w:r w:rsidRPr="007A6D83">
              <w:rPr>
                <w:rFonts w:cs="Calibri"/>
                <w:color w:val="000000"/>
                <w:sz w:val="22"/>
              </w:rPr>
              <w:t>'</w:t>
            </w:r>
            <w:r w:rsidRPr="007A6D83">
              <w:rPr>
                <w:sz w:val="22"/>
              </w:rPr>
              <w:t>528.40</w:t>
            </w:r>
          </w:p>
        </w:tc>
        <w:tc>
          <w:tcPr>
            <w:tcW w:w="1389" w:type="dxa"/>
          </w:tcPr>
          <w:p w14:paraId="40F3CE96" w14:textId="5AA4C773"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0.1</w:t>
            </w:r>
          </w:p>
        </w:tc>
        <w:tc>
          <w:tcPr>
            <w:tcW w:w="1389" w:type="dxa"/>
          </w:tcPr>
          <w:p w14:paraId="47DCA760" w14:textId="7E84670F" w:rsidR="009D0AC8" w:rsidRPr="007A6D83"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sz w:val="22"/>
              </w:rPr>
            </w:pPr>
            <w:r w:rsidRPr="007A6D83">
              <w:rPr>
                <w:sz w:val="22"/>
              </w:rPr>
              <w:t>17</w:t>
            </w:r>
            <w:r w:rsidRPr="007A6D83">
              <w:rPr>
                <w:rFonts w:cs="Calibri"/>
                <w:color w:val="000000"/>
                <w:sz w:val="22"/>
              </w:rPr>
              <w:t>'</w:t>
            </w:r>
            <w:r w:rsidRPr="007A6D83">
              <w:rPr>
                <w:sz w:val="22"/>
              </w:rPr>
              <w:t>528.40</w:t>
            </w:r>
          </w:p>
        </w:tc>
      </w:tr>
      <w:tr w:rsidR="009D0AC8" w14:paraId="37CE9FBE" w14:textId="770DFA5E" w:rsidTr="00AE4F8D">
        <w:tc>
          <w:tcPr>
            <w:tcW w:w="5530" w:type="dxa"/>
            <w:shd w:val="clear" w:color="auto" w:fill="92CDDC" w:themeFill="accent5" w:themeFillTint="99"/>
            <w:vAlign w:val="bottom"/>
          </w:tcPr>
          <w:p w14:paraId="529F2446" w14:textId="77777777"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22"/>
              </w:rPr>
            </w:pPr>
            <w:r w:rsidRPr="00196A5E">
              <w:rPr>
                <w:rFonts w:cs="Calibri"/>
                <w:b/>
                <w:bCs/>
                <w:color w:val="000000"/>
                <w:sz w:val="22"/>
              </w:rPr>
              <w:t xml:space="preserve">Total </w:t>
            </w:r>
          </w:p>
        </w:tc>
        <w:tc>
          <w:tcPr>
            <w:tcW w:w="1390" w:type="dxa"/>
            <w:shd w:val="clear" w:color="auto" w:fill="92CDDC" w:themeFill="accent5" w:themeFillTint="99"/>
            <w:vAlign w:val="bottom"/>
          </w:tcPr>
          <w:p w14:paraId="3E3F75C2" w14:textId="77777777"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cs="Calibri"/>
                <w:b/>
                <w:bCs/>
                <w:color w:val="000000"/>
                <w:sz w:val="22"/>
              </w:rPr>
            </w:pPr>
            <w:r w:rsidRPr="00196A5E">
              <w:rPr>
                <w:rFonts w:cs="Calibri"/>
                <w:b/>
                <w:bCs/>
                <w:color w:val="000000"/>
                <w:sz w:val="22"/>
              </w:rPr>
              <w:t>1.15</w:t>
            </w:r>
          </w:p>
        </w:tc>
        <w:tc>
          <w:tcPr>
            <w:tcW w:w="1512" w:type="dxa"/>
            <w:shd w:val="clear" w:color="auto" w:fill="92CDDC" w:themeFill="accent5" w:themeFillTint="99"/>
          </w:tcPr>
          <w:p w14:paraId="239575A2" w14:textId="77777777"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theme="minorHAnsi"/>
                <w:b/>
                <w:bCs/>
                <w:sz w:val="22"/>
                <w:lang w:val="en-US"/>
              </w:rPr>
            </w:pPr>
            <w:r w:rsidRPr="00196A5E">
              <w:rPr>
                <w:b/>
                <w:bCs/>
                <w:sz w:val="22"/>
              </w:rPr>
              <w:t>201</w:t>
            </w:r>
            <w:r w:rsidRPr="00196A5E">
              <w:rPr>
                <w:rFonts w:cs="Calibri"/>
                <w:b/>
                <w:bCs/>
                <w:color w:val="000000"/>
                <w:sz w:val="22"/>
              </w:rPr>
              <w:t>'</w:t>
            </w:r>
            <w:r w:rsidRPr="00196A5E">
              <w:rPr>
                <w:b/>
                <w:bCs/>
                <w:sz w:val="22"/>
              </w:rPr>
              <w:t>576.60</w:t>
            </w:r>
          </w:p>
        </w:tc>
        <w:tc>
          <w:tcPr>
            <w:tcW w:w="1389" w:type="dxa"/>
            <w:shd w:val="clear" w:color="auto" w:fill="92CDDC" w:themeFill="accent5" w:themeFillTint="99"/>
            <w:vAlign w:val="bottom"/>
          </w:tcPr>
          <w:p w14:paraId="2E4ACD53" w14:textId="350755AF"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rFonts w:cs="Calibri"/>
                <w:b/>
                <w:bCs/>
                <w:color w:val="000000"/>
                <w:sz w:val="22"/>
              </w:rPr>
              <w:t>1.15</w:t>
            </w:r>
          </w:p>
        </w:tc>
        <w:tc>
          <w:tcPr>
            <w:tcW w:w="1389" w:type="dxa"/>
            <w:shd w:val="clear" w:color="auto" w:fill="92CDDC" w:themeFill="accent5" w:themeFillTint="99"/>
          </w:tcPr>
          <w:p w14:paraId="1A6BA080" w14:textId="756EE367"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b/>
                <w:bCs/>
                <w:sz w:val="22"/>
              </w:rPr>
              <w:t>201</w:t>
            </w:r>
            <w:r w:rsidRPr="00196A5E">
              <w:rPr>
                <w:rFonts w:cs="Calibri"/>
                <w:b/>
                <w:bCs/>
                <w:color w:val="000000"/>
                <w:sz w:val="22"/>
              </w:rPr>
              <w:t>'</w:t>
            </w:r>
            <w:r w:rsidRPr="00196A5E">
              <w:rPr>
                <w:b/>
                <w:bCs/>
                <w:sz w:val="22"/>
              </w:rPr>
              <w:t>576.60</w:t>
            </w:r>
          </w:p>
        </w:tc>
        <w:tc>
          <w:tcPr>
            <w:tcW w:w="1389" w:type="dxa"/>
            <w:shd w:val="clear" w:color="auto" w:fill="92CDDC" w:themeFill="accent5" w:themeFillTint="99"/>
            <w:vAlign w:val="bottom"/>
          </w:tcPr>
          <w:p w14:paraId="62D3541D" w14:textId="387293F3"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rFonts w:cs="Calibri"/>
                <w:b/>
                <w:bCs/>
                <w:color w:val="000000"/>
                <w:sz w:val="22"/>
              </w:rPr>
              <w:t>1.15</w:t>
            </w:r>
          </w:p>
        </w:tc>
        <w:tc>
          <w:tcPr>
            <w:tcW w:w="1389" w:type="dxa"/>
            <w:shd w:val="clear" w:color="auto" w:fill="92CDDC" w:themeFill="accent5" w:themeFillTint="99"/>
          </w:tcPr>
          <w:p w14:paraId="6E4AE8F3" w14:textId="1EA2A187" w:rsidR="009D0AC8" w:rsidRPr="00196A5E" w:rsidRDefault="009D0AC8" w:rsidP="009D0AC8">
            <w:pPr>
              <w:tabs>
                <w:tab w:val="clear" w:pos="567"/>
                <w:tab w:val="clear" w:pos="1134"/>
                <w:tab w:val="clear" w:pos="1701"/>
                <w:tab w:val="clear" w:pos="2268"/>
                <w:tab w:val="clear" w:pos="2835"/>
              </w:tabs>
              <w:overflowPunct/>
              <w:autoSpaceDE/>
              <w:autoSpaceDN/>
              <w:adjustRightInd/>
              <w:spacing w:before="0"/>
              <w:jc w:val="right"/>
              <w:textAlignment w:val="auto"/>
              <w:rPr>
                <w:b/>
                <w:bCs/>
                <w:sz w:val="22"/>
              </w:rPr>
            </w:pPr>
            <w:r w:rsidRPr="00196A5E">
              <w:rPr>
                <w:b/>
                <w:bCs/>
                <w:sz w:val="22"/>
              </w:rPr>
              <w:t>201</w:t>
            </w:r>
            <w:r w:rsidRPr="00196A5E">
              <w:rPr>
                <w:rFonts w:cs="Calibri"/>
                <w:b/>
                <w:bCs/>
                <w:color w:val="000000"/>
                <w:sz w:val="22"/>
              </w:rPr>
              <w:t>'</w:t>
            </w:r>
            <w:r w:rsidRPr="00196A5E">
              <w:rPr>
                <w:b/>
                <w:bCs/>
                <w:sz w:val="22"/>
              </w:rPr>
              <w:t>576.60</w:t>
            </w:r>
          </w:p>
        </w:tc>
      </w:tr>
    </w:tbl>
    <w:p w14:paraId="257674B4" w14:textId="00C18214" w:rsidR="00A514A4" w:rsidRPr="005C72EB" w:rsidRDefault="000D27CF" w:rsidP="005C72EB">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bCs/>
          <w:sz w:val="26"/>
          <w:szCs w:val="26"/>
          <w:lang w:val="es-ES"/>
        </w:rPr>
      </w:pPr>
      <w:r w:rsidRPr="005C72EB">
        <w:rPr>
          <w:rFonts w:asciiTheme="minorHAnsi" w:hAnsiTheme="minorHAnsi" w:cstheme="minorHAnsi"/>
          <w:bCs/>
          <w:sz w:val="26"/>
          <w:szCs w:val="26"/>
          <w:lang w:val="en-US"/>
        </w:rPr>
        <w:t>___________________</w:t>
      </w:r>
    </w:p>
    <w:sectPr w:rsidR="00A514A4" w:rsidRPr="005C72EB" w:rsidSect="00AC6E07">
      <w:headerReference w:type="default" r:id="rId29"/>
      <w:footerReference w:type="default" r:id="rId30"/>
      <w:headerReference w:type="first" r:id="rId31"/>
      <w:footerReference w:type="first" r:id="rId32"/>
      <w:pgSz w:w="16834" w:h="11907" w:orient="landscape"/>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5B8F" w14:textId="77777777" w:rsidR="00AC6E07" w:rsidRDefault="00AC6E07">
      <w:r>
        <w:separator/>
      </w:r>
    </w:p>
  </w:endnote>
  <w:endnote w:type="continuationSeparator" w:id="0">
    <w:p w14:paraId="22518C01" w14:textId="77777777" w:rsidR="00AC6E07" w:rsidRDefault="00AC6E07">
      <w:r>
        <w:continuationSeparator/>
      </w:r>
    </w:p>
  </w:endnote>
  <w:endnote w:type="continuationNotice" w:id="1">
    <w:p w14:paraId="7422ABBC" w14:textId="77777777" w:rsidR="00AC6E07" w:rsidRDefault="00AC6E0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42AF0E59" w:rsidR="00EE49E8" w:rsidRDefault="00EE49E8" w:rsidP="00EE49E8">
          <w:pPr>
            <w:pStyle w:val="Header"/>
            <w:jc w:val="left"/>
            <w:rPr>
              <w:noProof/>
            </w:rPr>
          </w:pPr>
        </w:p>
      </w:tc>
      <w:tc>
        <w:tcPr>
          <w:tcW w:w="8261" w:type="dxa"/>
        </w:tcPr>
        <w:p w14:paraId="2D49E76E" w14:textId="723F70C5" w:rsidR="00EE49E8" w:rsidRPr="00E06FD5" w:rsidRDefault="00EE49E8" w:rsidP="005C4D47">
          <w:pPr>
            <w:pStyle w:val="Header"/>
            <w:tabs>
              <w:tab w:val="left" w:pos="6589"/>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BE5510">
            <w:rPr>
              <w:bCs/>
            </w:rPr>
            <w:t>63</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C53F69"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709EDAE6" w:rsidR="00EE49E8" w:rsidRPr="00E06FD5" w:rsidRDefault="00EE49E8" w:rsidP="005C4D47">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BE5510">
            <w:rPr>
              <w:bCs/>
            </w:rPr>
            <w:t>63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6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813"/>
    </w:tblGrid>
    <w:tr w:rsidR="005C4D47" w:rsidRPr="00784011" w14:paraId="2C77EE96" w14:textId="77777777">
      <w:trPr>
        <w:jc w:val="center"/>
      </w:trPr>
      <w:tc>
        <w:tcPr>
          <w:tcW w:w="1803" w:type="dxa"/>
          <w:vAlign w:val="center"/>
        </w:tcPr>
        <w:p w14:paraId="58025747" w14:textId="77777777" w:rsidR="005C4D47" w:rsidRDefault="005C4D47" w:rsidP="005C4D47">
          <w:pPr>
            <w:pStyle w:val="Header"/>
            <w:jc w:val="left"/>
            <w:rPr>
              <w:noProof/>
            </w:rPr>
          </w:pPr>
        </w:p>
      </w:tc>
      <w:tc>
        <w:tcPr>
          <w:tcW w:w="10813" w:type="dxa"/>
        </w:tcPr>
        <w:p w14:paraId="6CDB19C1" w14:textId="2FCD9BCC" w:rsidR="005C4D47" w:rsidRPr="00E06FD5" w:rsidRDefault="005C4D47" w:rsidP="005C4D47">
          <w:pPr>
            <w:pStyle w:val="Header"/>
            <w:tabs>
              <w:tab w:val="left" w:pos="8857"/>
              <w:tab w:val="right" w:pos="10275"/>
              <w:tab w:val="right" w:pos="10417"/>
            </w:tabs>
            <w:jc w:val="left"/>
            <w:rPr>
              <w:rFonts w:ascii="Arial" w:hAnsi="Arial" w:cs="Arial"/>
              <w:b/>
              <w:bCs/>
              <w:szCs w:val="18"/>
            </w:rPr>
          </w:pPr>
          <w:r>
            <w:rPr>
              <w:bCs/>
            </w:rPr>
            <w:tab/>
          </w:r>
          <w:r w:rsidRPr="00623AE3">
            <w:rPr>
              <w:bCs/>
            </w:rPr>
            <w:t>C</w:t>
          </w:r>
          <w:r>
            <w:rPr>
              <w:bCs/>
            </w:rPr>
            <w:t>24</w:t>
          </w:r>
          <w:r w:rsidRPr="00623AE3">
            <w:rPr>
              <w:bCs/>
            </w:rPr>
            <w:t>/</w:t>
          </w:r>
          <w:r w:rsidR="00BE5510">
            <w:rPr>
              <w:bCs/>
            </w:rPr>
            <w:t>63</w:t>
          </w:r>
          <w:r w:rsidRPr="00623AE3">
            <w:rPr>
              <w:bCs/>
            </w:rPr>
            <w:t>-E</w:t>
          </w:r>
          <w:r>
            <w:rPr>
              <w:bCs/>
            </w:rPr>
            <w:tab/>
          </w:r>
          <w:r>
            <w:fldChar w:fldCharType="begin"/>
          </w:r>
          <w:r>
            <w:instrText>PAGE</w:instrText>
          </w:r>
          <w:r>
            <w:fldChar w:fldCharType="separate"/>
          </w:r>
          <w:r>
            <w:t>1</w:t>
          </w:r>
          <w:r>
            <w:rPr>
              <w:noProof/>
            </w:rPr>
            <w:fldChar w:fldCharType="end"/>
          </w:r>
        </w:p>
      </w:tc>
    </w:tr>
  </w:tbl>
  <w:p w14:paraId="7188267F" w14:textId="77777777" w:rsidR="005C4D47" w:rsidRPr="00DB1936" w:rsidRDefault="005C4D47"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6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813"/>
    </w:tblGrid>
    <w:tr w:rsidR="005C4D47" w:rsidRPr="00784011" w14:paraId="3D73B688" w14:textId="77777777" w:rsidTr="005C4D47">
      <w:trPr>
        <w:jc w:val="center"/>
      </w:trPr>
      <w:tc>
        <w:tcPr>
          <w:tcW w:w="1803" w:type="dxa"/>
          <w:vAlign w:val="center"/>
        </w:tcPr>
        <w:p w14:paraId="26235A8F" w14:textId="77777777" w:rsidR="005C4D47" w:rsidRDefault="005C4D47" w:rsidP="005C4D47">
          <w:pPr>
            <w:pStyle w:val="Header"/>
            <w:jc w:val="left"/>
            <w:rPr>
              <w:noProof/>
            </w:rPr>
          </w:pPr>
        </w:p>
      </w:tc>
      <w:tc>
        <w:tcPr>
          <w:tcW w:w="10813" w:type="dxa"/>
        </w:tcPr>
        <w:p w14:paraId="3555F3B8" w14:textId="59850DDF" w:rsidR="005C4D47" w:rsidRPr="00E06FD5" w:rsidRDefault="005C4D47" w:rsidP="005C4D47">
          <w:pPr>
            <w:pStyle w:val="Header"/>
            <w:tabs>
              <w:tab w:val="left" w:pos="8857"/>
              <w:tab w:val="right" w:pos="10275"/>
              <w:tab w:val="right" w:pos="10417"/>
            </w:tabs>
            <w:jc w:val="left"/>
            <w:rPr>
              <w:rFonts w:ascii="Arial" w:hAnsi="Arial" w:cs="Arial"/>
              <w:b/>
              <w:bCs/>
              <w:szCs w:val="18"/>
            </w:rPr>
          </w:pPr>
          <w:r>
            <w:rPr>
              <w:bCs/>
            </w:rPr>
            <w:tab/>
          </w:r>
          <w:r w:rsidRPr="00623AE3">
            <w:rPr>
              <w:bCs/>
            </w:rPr>
            <w:t>C</w:t>
          </w:r>
          <w:r>
            <w:rPr>
              <w:bCs/>
            </w:rPr>
            <w:t>24</w:t>
          </w:r>
          <w:r w:rsidRPr="00623AE3">
            <w:rPr>
              <w:bCs/>
            </w:rPr>
            <w:t>/</w:t>
          </w:r>
          <w:r w:rsidR="00BE5510">
            <w:rPr>
              <w:bCs/>
            </w:rPr>
            <w:t>63</w:t>
          </w:r>
          <w:r w:rsidRPr="00623AE3">
            <w:rPr>
              <w:bCs/>
            </w:rPr>
            <w:t>-E</w:t>
          </w:r>
          <w:r>
            <w:rPr>
              <w:bCs/>
            </w:rPr>
            <w:tab/>
          </w:r>
          <w:r>
            <w:fldChar w:fldCharType="begin"/>
          </w:r>
          <w:r>
            <w:instrText>PAGE</w:instrText>
          </w:r>
          <w:r>
            <w:fldChar w:fldCharType="separate"/>
          </w:r>
          <w:r>
            <w:t>1</w:t>
          </w:r>
          <w:r>
            <w:rPr>
              <w:noProof/>
            </w:rPr>
            <w:fldChar w:fldCharType="end"/>
          </w:r>
        </w:p>
      </w:tc>
    </w:tr>
  </w:tbl>
  <w:p w14:paraId="2A460936" w14:textId="77777777" w:rsidR="005C4D47" w:rsidRPr="00623AE3" w:rsidRDefault="005C4D47"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4869" w14:textId="77777777" w:rsidR="00AC6E07" w:rsidRDefault="00AC6E07">
      <w:r>
        <w:t>____________________</w:t>
      </w:r>
    </w:p>
  </w:footnote>
  <w:footnote w:type="continuationSeparator" w:id="0">
    <w:p w14:paraId="0AE6390D" w14:textId="77777777" w:rsidR="00AC6E07" w:rsidRDefault="00AC6E07">
      <w:r>
        <w:continuationSeparator/>
      </w:r>
    </w:p>
  </w:footnote>
  <w:footnote w:type="continuationNotice" w:id="1">
    <w:p w14:paraId="281C59A2" w14:textId="77777777" w:rsidR="00AC6E07" w:rsidRDefault="00AC6E0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40423983">
                <wp:extent cx="2369820" cy="558297"/>
                <wp:effectExtent l="0" t="0" r="0" b="0"/>
                <wp:docPr id="2044483549"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07E3"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6CB8" w14:textId="77777777" w:rsidR="005C4D47" w:rsidRDefault="005C4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21AB" w14:textId="60D6224A" w:rsidR="00F21838" w:rsidRDefault="00F21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35F9B"/>
    <w:multiLevelType w:val="hybridMultilevel"/>
    <w:tmpl w:val="AA0404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40026F"/>
    <w:multiLevelType w:val="hybridMultilevel"/>
    <w:tmpl w:val="259E7D7C"/>
    <w:lvl w:ilvl="0" w:tplc="FFFFFFFF">
      <w:start w:val="1"/>
      <w:numFmt w:val="bullet"/>
      <w:lvlText w:val="-"/>
      <w:lvlJc w:val="left"/>
      <w:pPr>
        <w:ind w:left="1080" w:hanging="360"/>
      </w:pPr>
      <w:rPr>
        <w:rFonts w:ascii="Times New Roman" w:hAnsi="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91C5C"/>
    <w:multiLevelType w:val="hybridMultilevel"/>
    <w:tmpl w:val="5B006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9357D"/>
    <w:multiLevelType w:val="multilevel"/>
    <w:tmpl w:val="08090025"/>
    <w:lvl w:ilvl="0">
      <w:start w:val="1"/>
      <w:numFmt w:val="decimal"/>
      <w:pStyle w:val="Heading1"/>
      <w:lvlText w:val="%1"/>
      <w:lvlJc w:val="left"/>
      <w:pPr>
        <w:ind w:left="432" w:hanging="432"/>
      </w:pPr>
      <w:rPr>
        <w:rFonts w:hint="default"/>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28375A2"/>
    <w:multiLevelType w:val="hybridMultilevel"/>
    <w:tmpl w:val="3FD89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356778203">
    <w:abstractNumId w:val="6"/>
  </w:num>
  <w:num w:numId="3" w16cid:durableId="1290091641">
    <w:abstractNumId w:val="7"/>
  </w:num>
  <w:num w:numId="4" w16cid:durableId="1318999446">
    <w:abstractNumId w:val="5"/>
  </w:num>
  <w:num w:numId="5" w16cid:durableId="363287886">
    <w:abstractNumId w:val="1"/>
  </w:num>
  <w:num w:numId="6" w16cid:durableId="1852379796">
    <w:abstractNumId w:val="2"/>
  </w:num>
  <w:num w:numId="7" w16cid:durableId="905842146">
    <w:abstractNumId w:val="3"/>
  </w:num>
  <w:num w:numId="8" w16cid:durableId="1292587547">
    <w:abstractNumId w:val="4"/>
  </w:num>
  <w:num w:numId="9" w16cid:durableId="2254525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1274814">
    <w:abstractNumId w:val="6"/>
  </w:num>
  <w:num w:numId="11" w16cid:durableId="2133162753">
    <w:abstractNumId w:val="6"/>
  </w:num>
  <w:num w:numId="12" w16cid:durableId="1674063153">
    <w:abstractNumId w:val="6"/>
  </w:num>
  <w:num w:numId="13" w16cid:durableId="2071951994">
    <w:abstractNumId w:val="6"/>
  </w:num>
  <w:num w:numId="14" w16cid:durableId="1421022636">
    <w:abstractNumId w:val="6"/>
  </w:num>
  <w:num w:numId="15" w16cid:durableId="862472857">
    <w:abstractNumId w:val="6"/>
  </w:num>
  <w:num w:numId="16" w16cid:durableId="919827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405A"/>
    <w:rsid w:val="000126AF"/>
    <w:rsid w:val="000210D4"/>
    <w:rsid w:val="000279A5"/>
    <w:rsid w:val="00030CEE"/>
    <w:rsid w:val="00031DB7"/>
    <w:rsid w:val="00042A73"/>
    <w:rsid w:val="00042C2E"/>
    <w:rsid w:val="0004698E"/>
    <w:rsid w:val="00063016"/>
    <w:rsid w:val="00066795"/>
    <w:rsid w:val="00076AF6"/>
    <w:rsid w:val="00080BE8"/>
    <w:rsid w:val="0008312E"/>
    <w:rsid w:val="0008469F"/>
    <w:rsid w:val="00085CF2"/>
    <w:rsid w:val="00087AAB"/>
    <w:rsid w:val="000B1705"/>
    <w:rsid w:val="000B7B8D"/>
    <w:rsid w:val="000D12F6"/>
    <w:rsid w:val="000D27CF"/>
    <w:rsid w:val="000D66E3"/>
    <w:rsid w:val="000D75B2"/>
    <w:rsid w:val="000E1FC6"/>
    <w:rsid w:val="001121F5"/>
    <w:rsid w:val="001125C3"/>
    <w:rsid w:val="001238BB"/>
    <w:rsid w:val="00131AA4"/>
    <w:rsid w:val="00131CA4"/>
    <w:rsid w:val="00136082"/>
    <w:rsid w:val="001400DC"/>
    <w:rsid w:val="00140CE1"/>
    <w:rsid w:val="00145151"/>
    <w:rsid w:val="00152D1A"/>
    <w:rsid w:val="00162A00"/>
    <w:rsid w:val="0017539C"/>
    <w:rsid w:val="00175AC2"/>
    <w:rsid w:val="0017609F"/>
    <w:rsid w:val="00182EF1"/>
    <w:rsid w:val="00196A5E"/>
    <w:rsid w:val="001A235D"/>
    <w:rsid w:val="001A2F38"/>
    <w:rsid w:val="001A67D4"/>
    <w:rsid w:val="001A7D1D"/>
    <w:rsid w:val="001B0143"/>
    <w:rsid w:val="001B08D2"/>
    <w:rsid w:val="001B18D9"/>
    <w:rsid w:val="001B51DD"/>
    <w:rsid w:val="001B6737"/>
    <w:rsid w:val="001C03AE"/>
    <w:rsid w:val="001C2C5A"/>
    <w:rsid w:val="001C628E"/>
    <w:rsid w:val="001C696A"/>
    <w:rsid w:val="001D10BB"/>
    <w:rsid w:val="001D2D20"/>
    <w:rsid w:val="001D49B3"/>
    <w:rsid w:val="001E0F7B"/>
    <w:rsid w:val="001E7411"/>
    <w:rsid w:val="001F16F2"/>
    <w:rsid w:val="001F6485"/>
    <w:rsid w:val="00205E22"/>
    <w:rsid w:val="00210650"/>
    <w:rsid w:val="002119FD"/>
    <w:rsid w:val="002130E0"/>
    <w:rsid w:val="00213826"/>
    <w:rsid w:val="00224419"/>
    <w:rsid w:val="00227C7D"/>
    <w:rsid w:val="00227D6A"/>
    <w:rsid w:val="002316F6"/>
    <w:rsid w:val="00236C4C"/>
    <w:rsid w:val="00242265"/>
    <w:rsid w:val="00246FC8"/>
    <w:rsid w:val="0025182C"/>
    <w:rsid w:val="00257CD8"/>
    <w:rsid w:val="00264425"/>
    <w:rsid w:val="00265875"/>
    <w:rsid w:val="00265AC7"/>
    <w:rsid w:val="0027303B"/>
    <w:rsid w:val="00280122"/>
    <w:rsid w:val="00280526"/>
    <w:rsid w:val="0028109B"/>
    <w:rsid w:val="00281DAF"/>
    <w:rsid w:val="00284733"/>
    <w:rsid w:val="00284B5F"/>
    <w:rsid w:val="00290BBA"/>
    <w:rsid w:val="002A2188"/>
    <w:rsid w:val="002A49F5"/>
    <w:rsid w:val="002A7403"/>
    <w:rsid w:val="002B1F58"/>
    <w:rsid w:val="002C1C7A"/>
    <w:rsid w:val="002C54E2"/>
    <w:rsid w:val="002C668E"/>
    <w:rsid w:val="002D2B48"/>
    <w:rsid w:val="002D42FB"/>
    <w:rsid w:val="002F0C59"/>
    <w:rsid w:val="002F7AF6"/>
    <w:rsid w:val="003014BF"/>
    <w:rsid w:val="0030160F"/>
    <w:rsid w:val="00303DFD"/>
    <w:rsid w:val="0030586A"/>
    <w:rsid w:val="003076B9"/>
    <w:rsid w:val="00320223"/>
    <w:rsid w:val="00321187"/>
    <w:rsid w:val="00322D0D"/>
    <w:rsid w:val="00332A7B"/>
    <w:rsid w:val="003508E1"/>
    <w:rsid w:val="003564DC"/>
    <w:rsid w:val="00361465"/>
    <w:rsid w:val="00365F6B"/>
    <w:rsid w:val="003750BC"/>
    <w:rsid w:val="003877F5"/>
    <w:rsid w:val="00391488"/>
    <w:rsid w:val="003942D4"/>
    <w:rsid w:val="00395042"/>
    <w:rsid w:val="003958A8"/>
    <w:rsid w:val="00397E15"/>
    <w:rsid w:val="003B12C3"/>
    <w:rsid w:val="003B3C9C"/>
    <w:rsid w:val="003B4631"/>
    <w:rsid w:val="003B6176"/>
    <w:rsid w:val="003C0D34"/>
    <w:rsid w:val="003C2533"/>
    <w:rsid w:val="003D5A7F"/>
    <w:rsid w:val="003E0605"/>
    <w:rsid w:val="003E3067"/>
    <w:rsid w:val="003E3AC0"/>
    <w:rsid w:val="003E77C9"/>
    <w:rsid w:val="003F76D1"/>
    <w:rsid w:val="004016E2"/>
    <w:rsid w:val="0040435A"/>
    <w:rsid w:val="004122D5"/>
    <w:rsid w:val="00416839"/>
    <w:rsid w:val="00416A24"/>
    <w:rsid w:val="0042294F"/>
    <w:rsid w:val="00424554"/>
    <w:rsid w:val="00431D9E"/>
    <w:rsid w:val="00433CE8"/>
    <w:rsid w:val="00434A5C"/>
    <w:rsid w:val="00444AD7"/>
    <w:rsid w:val="00446E60"/>
    <w:rsid w:val="004544D9"/>
    <w:rsid w:val="00455038"/>
    <w:rsid w:val="00464538"/>
    <w:rsid w:val="00466EA4"/>
    <w:rsid w:val="0047033A"/>
    <w:rsid w:val="00472BAD"/>
    <w:rsid w:val="0047345A"/>
    <w:rsid w:val="00473978"/>
    <w:rsid w:val="00483D33"/>
    <w:rsid w:val="00484009"/>
    <w:rsid w:val="004851E3"/>
    <w:rsid w:val="00490E72"/>
    <w:rsid w:val="00491157"/>
    <w:rsid w:val="004921C8"/>
    <w:rsid w:val="0049259C"/>
    <w:rsid w:val="00495B0B"/>
    <w:rsid w:val="004966FF"/>
    <w:rsid w:val="004A0ECF"/>
    <w:rsid w:val="004A1B8B"/>
    <w:rsid w:val="004B3E1A"/>
    <w:rsid w:val="004B5608"/>
    <w:rsid w:val="004C2BF5"/>
    <w:rsid w:val="004C4C8C"/>
    <w:rsid w:val="004D1851"/>
    <w:rsid w:val="004D599D"/>
    <w:rsid w:val="004D650C"/>
    <w:rsid w:val="004E11CE"/>
    <w:rsid w:val="004E17B3"/>
    <w:rsid w:val="004E2EA5"/>
    <w:rsid w:val="004E3AEB"/>
    <w:rsid w:val="004E7E25"/>
    <w:rsid w:val="004E7FDA"/>
    <w:rsid w:val="004F029E"/>
    <w:rsid w:val="0050223C"/>
    <w:rsid w:val="00504166"/>
    <w:rsid w:val="0050672A"/>
    <w:rsid w:val="00507523"/>
    <w:rsid w:val="00511564"/>
    <w:rsid w:val="00514010"/>
    <w:rsid w:val="0052348A"/>
    <w:rsid w:val="00524248"/>
    <w:rsid w:val="005243FF"/>
    <w:rsid w:val="00524B32"/>
    <w:rsid w:val="005272F1"/>
    <w:rsid w:val="005317A4"/>
    <w:rsid w:val="00531A89"/>
    <w:rsid w:val="00531C49"/>
    <w:rsid w:val="005336C4"/>
    <w:rsid w:val="00536905"/>
    <w:rsid w:val="0055202F"/>
    <w:rsid w:val="00564FBC"/>
    <w:rsid w:val="005800BC"/>
    <w:rsid w:val="005801B2"/>
    <w:rsid w:val="00582442"/>
    <w:rsid w:val="005876C2"/>
    <w:rsid w:val="005929D7"/>
    <w:rsid w:val="005A2CE0"/>
    <w:rsid w:val="005A410A"/>
    <w:rsid w:val="005C0BA1"/>
    <w:rsid w:val="005C2BCD"/>
    <w:rsid w:val="005C359B"/>
    <w:rsid w:val="005C4714"/>
    <w:rsid w:val="005C4D47"/>
    <w:rsid w:val="005C72EB"/>
    <w:rsid w:val="005D2AA2"/>
    <w:rsid w:val="005D677B"/>
    <w:rsid w:val="005D6F3F"/>
    <w:rsid w:val="005E6DDE"/>
    <w:rsid w:val="005F3269"/>
    <w:rsid w:val="005F52AA"/>
    <w:rsid w:val="005F6D46"/>
    <w:rsid w:val="005F7301"/>
    <w:rsid w:val="005F7374"/>
    <w:rsid w:val="00613CAE"/>
    <w:rsid w:val="00617C3E"/>
    <w:rsid w:val="006214D0"/>
    <w:rsid w:val="00623AE3"/>
    <w:rsid w:val="00631989"/>
    <w:rsid w:val="006377B1"/>
    <w:rsid w:val="00640FBD"/>
    <w:rsid w:val="00644540"/>
    <w:rsid w:val="0064737F"/>
    <w:rsid w:val="006478AB"/>
    <w:rsid w:val="00651144"/>
    <w:rsid w:val="006535F1"/>
    <w:rsid w:val="0065557D"/>
    <w:rsid w:val="00657EE1"/>
    <w:rsid w:val="00660D50"/>
    <w:rsid w:val="00662984"/>
    <w:rsid w:val="00667F24"/>
    <w:rsid w:val="006707A6"/>
    <w:rsid w:val="006716BB"/>
    <w:rsid w:val="006850BE"/>
    <w:rsid w:val="00693A86"/>
    <w:rsid w:val="006950AC"/>
    <w:rsid w:val="006A0F46"/>
    <w:rsid w:val="006B15B3"/>
    <w:rsid w:val="006B1859"/>
    <w:rsid w:val="006B4929"/>
    <w:rsid w:val="006B6680"/>
    <w:rsid w:val="006B6DCC"/>
    <w:rsid w:val="006C23EF"/>
    <w:rsid w:val="006D2355"/>
    <w:rsid w:val="006D4F27"/>
    <w:rsid w:val="006E5241"/>
    <w:rsid w:val="006F26F3"/>
    <w:rsid w:val="00702DEF"/>
    <w:rsid w:val="00704933"/>
    <w:rsid w:val="00706861"/>
    <w:rsid w:val="00710734"/>
    <w:rsid w:val="00721332"/>
    <w:rsid w:val="00725DB7"/>
    <w:rsid w:val="007326E7"/>
    <w:rsid w:val="007370CA"/>
    <w:rsid w:val="007426E7"/>
    <w:rsid w:val="007429D1"/>
    <w:rsid w:val="0075051B"/>
    <w:rsid w:val="0078470B"/>
    <w:rsid w:val="007860D5"/>
    <w:rsid w:val="007868AA"/>
    <w:rsid w:val="00793188"/>
    <w:rsid w:val="00794D34"/>
    <w:rsid w:val="007A0244"/>
    <w:rsid w:val="007A3300"/>
    <w:rsid w:val="007B066C"/>
    <w:rsid w:val="007B1FB9"/>
    <w:rsid w:val="007B51C1"/>
    <w:rsid w:val="007B7CDC"/>
    <w:rsid w:val="007C1A6B"/>
    <w:rsid w:val="007C3E1E"/>
    <w:rsid w:val="007C5917"/>
    <w:rsid w:val="007D072B"/>
    <w:rsid w:val="007D1EFB"/>
    <w:rsid w:val="007E2E9B"/>
    <w:rsid w:val="007E77F2"/>
    <w:rsid w:val="007F5B4F"/>
    <w:rsid w:val="008124AD"/>
    <w:rsid w:val="00813E5E"/>
    <w:rsid w:val="00816A46"/>
    <w:rsid w:val="008238F0"/>
    <w:rsid w:val="0082536E"/>
    <w:rsid w:val="00825FB8"/>
    <w:rsid w:val="00833E4E"/>
    <w:rsid w:val="0083581B"/>
    <w:rsid w:val="00835A71"/>
    <w:rsid w:val="0083752F"/>
    <w:rsid w:val="008561CE"/>
    <w:rsid w:val="008628A3"/>
    <w:rsid w:val="0086367A"/>
    <w:rsid w:val="00863874"/>
    <w:rsid w:val="00864AFF"/>
    <w:rsid w:val="00865925"/>
    <w:rsid w:val="008853C8"/>
    <w:rsid w:val="008941C7"/>
    <w:rsid w:val="00895BDA"/>
    <w:rsid w:val="008A20DD"/>
    <w:rsid w:val="008B4A6A"/>
    <w:rsid w:val="008B5CD4"/>
    <w:rsid w:val="008C0E1D"/>
    <w:rsid w:val="008C13E6"/>
    <w:rsid w:val="008C2D09"/>
    <w:rsid w:val="008C5A35"/>
    <w:rsid w:val="008C5E48"/>
    <w:rsid w:val="008C7E27"/>
    <w:rsid w:val="008D198E"/>
    <w:rsid w:val="008D46DB"/>
    <w:rsid w:val="008E00EE"/>
    <w:rsid w:val="008E257F"/>
    <w:rsid w:val="008E2942"/>
    <w:rsid w:val="008F05D1"/>
    <w:rsid w:val="008F0CE8"/>
    <w:rsid w:val="008F7448"/>
    <w:rsid w:val="008F7A1A"/>
    <w:rsid w:val="0090147A"/>
    <w:rsid w:val="00910C92"/>
    <w:rsid w:val="00911C71"/>
    <w:rsid w:val="009160C6"/>
    <w:rsid w:val="009173EF"/>
    <w:rsid w:val="0092760D"/>
    <w:rsid w:val="009316AD"/>
    <w:rsid w:val="00932906"/>
    <w:rsid w:val="009418DF"/>
    <w:rsid w:val="00957AEA"/>
    <w:rsid w:val="00957EFB"/>
    <w:rsid w:val="00961B0B"/>
    <w:rsid w:val="00962D33"/>
    <w:rsid w:val="0096689A"/>
    <w:rsid w:val="00971483"/>
    <w:rsid w:val="00977AAA"/>
    <w:rsid w:val="00981CAD"/>
    <w:rsid w:val="00993A49"/>
    <w:rsid w:val="009A0A9F"/>
    <w:rsid w:val="009A2017"/>
    <w:rsid w:val="009A6060"/>
    <w:rsid w:val="009B38C3"/>
    <w:rsid w:val="009B3C51"/>
    <w:rsid w:val="009B7E9D"/>
    <w:rsid w:val="009C3AB1"/>
    <w:rsid w:val="009C4018"/>
    <w:rsid w:val="009C6D00"/>
    <w:rsid w:val="009D0AC8"/>
    <w:rsid w:val="009E17BD"/>
    <w:rsid w:val="009E485A"/>
    <w:rsid w:val="00A04CEC"/>
    <w:rsid w:val="00A05A5E"/>
    <w:rsid w:val="00A11A09"/>
    <w:rsid w:val="00A14161"/>
    <w:rsid w:val="00A22F82"/>
    <w:rsid w:val="00A251ED"/>
    <w:rsid w:val="00A27D31"/>
    <w:rsid w:val="00A27F92"/>
    <w:rsid w:val="00A32257"/>
    <w:rsid w:val="00A32B47"/>
    <w:rsid w:val="00A34EF6"/>
    <w:rsid w:val="00A36D20"/>
    <w:rsid w:val="00A514A4"/>
    <w:rsid w:val="00A51EE2"/>
    <w:rsid w:val="00A55622"/>
    <w:rsid w:val="00A626A1"/>
    <w:rsid w:val="00A65C95"/>
    <w:rsid w:val="00A814F1"/>
    <w:rsid w:val="00A8319F"/>
    <w:rsid w:val="00A83502"/>
    <w:rsid w:val="00A83890"/>
    <w:rsid w:val="00A83D1D"/>
    <w:rsid w:val="00A84C30"/>
    <w:rsid w:val="00AA3B4D"/>
    <w:rsid w:val="00AB1B29"/>
    <w:rsid w:val="00AB2F48"/>
    <w:rsid w:val="00AB63C7"/>
    <w:rsid w:val="00AC22F7"/>
    <w:rsid w:val="00AC6E07"/>
    <w:rsid w:val="00AD15B3"/>
    <w:rsid w:val="00AD3606"/>
    <w:rsid w:val="00AD4A3D"/>
    <w:rsid w:val="00AE4EFA"/>
    <w:rsid w:val="00AE4F8D"/>
    <w:rsid w:val="00AF0247"/>
    <w:rsid w:val="00AF4A7C"/>
    <w:rsid w:val="00AF6905"/>
    <w:rsid w:val="00AF6E49"/>
    <w:rsid w:val="00B01F40"/>
    <w:rsid w:val="00B04A67"/>
    <w:rsid w:val="00B0583C"/>
    <w:rsid w:val="00B15F61"/>
    <w:rsid w:val="00B20F50"/>
    <w:rsid w:val="00B248E3"/>
    <w:rsid w:val="00B25A8B"/>
    <w:rsid w:val="00B2696A"/>
    <w:rsid w:val="00B26A17"/>
    <w:rsid w:val="00B27C8E"/>
    <w:rsid w:val="00B341C3"/>
    <w:rsid w:val="00B40A81"/>
    <w:rsid w:val="00B4391D"/>
    <w:rsid w:val="00B44910"/>
    <w:rsid w:val="00B51120"/>
    <w:rsid w:val="00B51255"/>
    <w:rsid w:val="00B66AF8"/>
    <w:rsid w:val="00B707C3"/>
    <w:rsid w:val="00B72267"/>
    <w:rsid w:val="00B72D30"/>
    <w:rsid w:val="00B73847"/>
    <w:rsid w:val="00B75F99"/>
    <w:rsid w:val="00B76EB6"/>
    <w:rsid w:val="00B7737B"/>
    <w:rsid w:val="00B77D0F"/>
    <w:rsid w:val="00B82099"/>
    <w:rsid w:val="00B824C8"/>
    <w:rsid w:val="00B84B9D"/>
    <w:rsid w:val="00B87A2F"/>
    <w:rsid w:val="00BA047E"/>
    <w:rsid w:val="00BA0763"/>
    <w:rsid w:val="00BA3E1F"/>
    <w:rsid w:val="00BB4E2C"/>
    <w:rsid w:val="00BC0CF8"/>
    <w:rsid w:val="00BC18D2"/>
    <w:rsid w:val="00BC251A"/>
    <w:rsid w:val="00BC2C8E"/>
    <w:rsid w:val="00BD032B"/>
    <w:rsid w:val="00BD74AD"/>
    <w:rsid w:val="00BE2640"/>
    <w:rsid w:val="00BE335D"/>
    <w:rsid w:val="00BE52B3"/>
    <w:rsid w:val="00BE53FD"/>
    <w:rsid w:val="00BE5510"/>
    <w:rsid w:val="00C01189"/>
    <w:rsid w:val="00C059EE"/>
    <w:rsid w:val="00C06B1B"/>
    <w:rsid w:val="00C12D88"/>
    <w:rsid w:val="00C21886"/>
    <w:rsid w:val="00C27154"/>
    <w:rsid w:val="00C311F1"/>
    <w:rsid w:val="00C374DE"/>
    <w:rsid w:val="00C47AD4"/>
    <w:rsid w:val="00C52D81"/>
    <w:rsid w:val="00C53F69"/>
    <w:rsid w:val="00C55198"/>
    <w:rsid w:val="00C5609E"/>
    <w:rsid w:val="00C60822"/>
    <w:rsid w:val="00C64747"/>
    <w:rsid w:val="00C70A70"/>
    <w:rsid w:val="00C71974"/>
    <w:rsid w:val="00C7530E"/>
    <w:rsid w:val="00C974F5"/>
    <w:rsid w:val="00CA120A"/>
    <w:rsid w:val="00CA6393"/>
    <w:rsid w:val="00CA6E18"/>
    <w:rsid w:val="00CB18FF"/>
    <w:rsid w:val="00CD0C08"/>
    <w:rsid w:val="00CE03FB"/>
    <w:rsid w:val="00CE1537"/>
    <w:rsid w:val="00CE433C"/>
    <w:rsid w:val="00CF0161"/>
    <w:rsid w:val="00CF33F3"/>
    <w:rsid w:val="00D0400B"/>
    <w:rsid w:val="00D06183"/>
    <w:rsid w:val="00D22C42"/>
    <w:rsid w:val="00D2372F"/>
    <w:rsid w:val="00D246C1"/>
    <w:rsid w:val="00D26DEF"/>
    <w:rsid w:val="00D35052"/>
    <w:rsid w:val="00D36116"/>
    <w:rsid w:val="00D42A82"/>
    <w:rsid w:val="00D46BCC"/>
    <w:rsid w:val="00D52995"/>
    <w:rsid w:val="00D65041"/>
    <w:rsid w:val="00D66601"/>
    <w:rsid w:val="00D72497"/>
    <w:rsid w:val="00D72C18"/>
    <w:rsid w:val="00D808D5"/>
    <w:rsid w:val="00D84BA2"/>
    <w:rsid w:val="00D8684C"/>
    <w:rsid w:val="00D94027"/>
    <w:rsid w:val="00DB1936"/>
    <w:rsid w:val="00DB30C8"/>
    <w:rsid w:val="00DB384B"/>
    <w:rsid w:val="00DD122C"/>
    <w:rsid w:val="00DE0BFA"/>
    <w:rsid w:val="00DE697F"/>
    <w:rsid w:val="00DF0189"/>
    <w:rsid w:val="00DF2420"/>
    <w:rsid w:val="00DF654E"/>
    <w:rsid w:val="00E01EC1"/>
    <w:rsid w:val="00E06FD5"/>
    <w:rsid w:val="00E10E80"/>
    <w:rsid w:val="00E124F0"/>
    <w:rsid w:val="00E179E8"/>
    <w:rsid w:val="00E227F3"/>
    <w:rsid w:val="00E23618"/>
    <w:rsid w:val="00E44358"/>
    <w:rsid w:val="00E51E21"/>
    <w:rsid w:val="00E545C6"/>
    <w:rsid w:val="00E56C55"/>
    <w:rsid w:val="00E60F04"/>
    <w:rsid w:val="00E64EF6"/>
    <w:rsid w:val="00E65B24"/>
    <w:rsid w:val="00E67223"/>
    <w:rsid w:val="00E71E65"/>
    <w:rsid w:val="00E73BB1"/>
    <w:rsid w:val="00E74F50"/>
    <w:rsid w:val="00E77FFA"/>
    <w:rsid w:val="00E854E4"/>
    <w:rsid w:val="00E86DBF"/>
    <w:rsid w:val="00E874A0"/>
    <w:rsid w:val="00E92805"/>
    <w:rsid w:val="00E939CA"/>
    <w:rsid w:val="00EB0D6F"/>
    <w:rsid w:val="00EB2232"/>
    <w:rsid w:val="00EB2E99"/>
    <w:rsid w:val="00EB57D6"/>
    <w:rsid w:val="00EC5337"/>
    <w:rsid w:val="00EC7DC2"/>
    <w:rsid w:val="00EE3A5F"/>
    <w:rsid w:val="00EE49E8"/>
    <w:rsid w:val="00EF0B4D"/>
    <w:rsid w:val="00EF165E"/>
    <w:rsid w:val="00F0059D"/>
    <w:rsid w:val="00F046A7"/>
    <w:rsid w:val="00F06165"/>
    <w:rsid w:val="00F12FD9"/>
    <w:rsid w:val="00F16BAB"/>
    <w:rsid w:val="00F2150A"/>
    <w:rsid w:val="00F21838"/>
    <w:rsid w:val="00F231D8"/>
    <w:rsid w:val="00F353D4"/>
    <w:rsid w:val="00F4374E"/>
    <w:rsid w:val="00F43B75"/>
    <w:rsid w:val="00F44C00"/>
    <w:rsid w:val="00F4550C"/>
    <w:rsid w:val="00F45D2C"/>
    <w:rsid w:val="00F46C5F"/>
    <w:rsid w:val="00F47044"/>
    <w:rsid w:val="00F52BF1"/>
    <w:rsid w:val="00F56580"/>
    <w:rsid w:val="00F573D7"/>
    <w:rsid w:val="00F6263A"/>
    <w:rsid w:val="00F62D05"/>
    <w:rsid w:val="00F632C0"/>
    <w:rsid w:val="00F731E2"/>
    <w:rsid w:val="00F74710"/>
    <w:rsid w:val="00F76252"/>
    <w:rsid w:val="00F77F57"/>
    <w:rsid w:val="00F93081"/>
    <w:rsid w:val="00F94A63"/>
    <w:rsid w:val="00FA1C28"/>
    <w:rsid w:val="00FB1083"/>
    <w:rsid w:val="00FB1279"/>
    <w:rsid w:val="00FB6766"/>
    <w:rsid w:val="00FB6B76"/>
    <w:rsid w:val="00FB7596"/>
    <w:rsid w:val="00FC12D3"/>
    <w:rsid w:val="00FC4EE0"/>
    <w:rsid w:val="00FD2A66"/>
    <w:rsid w:val="00FD5EAD"/>
    <w:rsid w:val="00FE0166"/>
    <w:rsid w:val="00FE1050"/>
    <w:rsid w:val="00FE222E"/>
    <w:rsid w:val="00FE3ED4"/>
    <w:rsid w:val="00FE4077"/>
    <w:rsid w:val="00FE4761"/>
    <w:rsid w:val="00FE500D"/>
    <w:rsid w:val="00FE77D2"/>
    <w:rsid w:val="00FF1595"/>
    <w:rsid w:val="00FF486E"/>
    <w:rsid w:val="00FF5B68"/>
    <w:rsid w:val="02D4DCE2"/>
    <w:rsid w:val="247958D0"/>
    <w:rsid w:val="36C78DE6"/>
    <w:rsid w:val="390E38D4"/>
    <w:rsid w:val="3EAA054B"/>
    <w:rsid w:val="471269AB"/>
    <w:rsid w:val="4AAF1449"/>
    <w:rsid w:val="57B5816E"/>
    <w:rsid w:val="59E0E65A"/>
    <w:rsid w:val="7DC8C7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7D21268F-B523-45FA-851F-F98BDF5F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DB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numPr>
        <w:numId w:val="2"/>
      </w:numPr>
      <w:spacing w:before="480"/>
      <w:outlineLvl w:val="0"/>
    </w:pPr>
    <w:rPr>
      <w:b/>
      <w:sz w:val="28"/>
    </w:rPr>
  </w:style>
  <w:style w:type="paragraph" w:styleId="Heading2">
    <w:name w:val="heading 2"/>
    <w:basedOn w:val="Heading1"/>
    <w:next w:val="Normal"/>
    <w:link w:val="Heading2Char"/>
    <w:qFormat/>
    <w:rsid w:val="00813E5E"/>
    <w:pPr>
      <w:numPr>
        <w:ilvl w:val="1"/>
      </w:numPr>
      <w:spacing w:before="320"/>
      <w:outlineLvl w:val="1"/>
    </w:pPr>
    <w:rPr>
      <w:sz w:val="24"/>
    </w:rPr>
  </w:style>
  <w:style w:type="paragraph" w:styleId="Heading3">
    <w:name w:val="heading 3"/>
    <w:basedOn w:val="Heading1"/>
    <w:next w:val="Normal"/>
    <w:link w:val="Heading3Char"/>
    <w:qFormat/>
    <w:rsid w:val="00813E5E"/>
    <w:pPr>
      <w:numPr>
        <w:ilvl w:val="2"/>
      </w:numPr>
      <w:spacing w:before="200"/>
      <w:outlineLvl w:val="2"/>
    </w:pPr>
    <w:rPr>
      <w:sz w:val="24"/>
    </w:rPr>
  </w:style>
  <w:style w:type="paragraph" w:styleId="Heading4">
    <w:name w:val="heading 4"/>
    <w:basedOn w:val="Heading3"/>
    <w:next w:val="Normal"/>
    <w:qFormat/>
    <w:rsid w:val="00813E5E"/>
    <w:pPr>
      <w:numPr>
        <w:ilvl w:val="3"/>
      </w:numPr>
      <w:outlineLvl w:val="3"/>
    </w:pPr>
  </w:style>
  <w:style w:type="paragraph" w:styleId="Heading5">
    <w:name w:val="heading 5"/>
    <w:basedOn w:val="Heading4"/>
    <w:next w:val="Normal"/>
    <w:qFormat/>
    <w:rsid w:val="00813E5E"/>
    <w:pPr>
      <w:numPr>
        <w:ilvl w:val="4"/>
      </w:numPr>
      <w:outlineLvl w:val="4"/>
    </w:pPr>
  </w:style>
  <w:style w:type="paragraph" w:styleId="Heading6">
    <w:name w:val="heading 6"/>
    <w:basedOn w:val="Heading4"/>
    <w:next w:val="Normal"/>
    <w:qFormat/>
    <w:rsid w:val="00813E5E"/>
    <w:pPr>
      <w:numPr>
        <w:ilvl w:val="5"/>
      </w:numPr>
      <w:outlineLvl w:val="5"/>
    </w:pPr>
  </w:style>
  <w:style w:type="paragraph" w:styleId="Heading7">
    <w:name w:val="heading 7"/>
    <w:basedOn w:val="Heading4"/>
    <w:next w:val="Normal"/>
    <w:qFormat/>
    <w:rsid w:val="00813E5E"/>
    <w:pPr>
      <w:numPr>
        <w:ilvl w:val="6"/>
      </w:numPr>
      <w:outlineLvl w:val="6"/>
    </w:pPr>
  </w:style>
  <w:style w:type="paragraph" w:styleId="Heading8">
    <w:name w:val="heading 8"/>
    <w:basedOn w:val="Heading4"/>
    <w:next w:val="Normal"/>
    <w:qFormat/>
    <w:rsid w:val="00813E5E"/>
    <w:pPr>
      <w:numPr>
        <w:ilvl w:val="7"/>
      </w:numPr>
      <w:outlineLvl w:val="7"/>
    </w:pPr>
  </w:style>
  <w:style w:type="paragraph" w:styleId="Heading9">
    <w:name w:val="heading 9"/>
    <w:basedOn w:val="Heading4"/>
    <w:next w:val="Normal"/>
    <w:qFormat/>
    <w:rsid w:val="00813E5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qFormat/>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213826"/>
    <w:rPr>
      <w:color w:val="605E5C"/>
      <w:shd w:val="clear" w:color="auto" w:fill="E1DFDD"/>
    </w:rPr>
  </w:style>
  <w:style w:type="paragraph" w:styleId="ListParagraph">
    <w:name w:val="List Paragraph"/>
    <w:basedOn w:val="Normal"/>
    <w:uiPriority w:val="34"/>
    <w:qFormat/>
    <w:rsid w:val="00D2372F"/>
    <w:pPr>
      <w:ind w:left="720"/>
      <w:contextualSpacing/>
    </w:pPr>
  </w:style>
  <w:style w:type="paragraph" w:customStyle="1" w:styleId="Reasons">
    <w:name w:val="Reasons"/>
    <w:basedOn w:val="Normal"/>
    <w:rsid w:val="00131CA4"/>
    <w:pPr>
      <w:tabs>
        <w:tab w:val="clear" w:pos="567"/>
        <w:tab w:val="clear" w:pos="1701"/>
        <w:tab w:val="clear" w:pos="2268"/>
        <w:tab w:val="clear" w:pos="2835"/>
        <w:tab w:val="left" w:pos="1588"/>
        <w:tab w:val="left" w:pos="1985"/>
      </w:tabs>
    </w:pPr>
    <w:rPr>
      <w:rFonts w:ascii="Times New Roman" w:hAnsi="Times New Roman"/>
    </w:rPr>
  </w:style>
  <w:style w:type="character" w:customStyle="1" w:styleId="Heading2Char">
    <w:name w:val="Heading 2 Char"/>
    <w:basedOn w:val="DefaultParagraphFont"/>
    <w:link w:val="Heading2"/>
    <w:rsid w:val="00196A5E"/>
    <w:rPr>
      <w:rFonts w:ascii="Calibri" w:hAnsi="Calibri"/>
      <w:b/>
      <w:sz w:val="24"/>
      <w:lang w:val="en-GB" w:eastAsia="en-US"/>
    </w:rPr>
  </w:style>
  <w:style w:type="character" w:customStyle="1" w:styleId="Heading3Char">
    <w:name w:val="Heading 3 Char"/>
    <w:basedOn w:val="DefaultParagraphFont"/>
    <w:link w:val="Heading3"/>
    <w:rsid w:val="00196A5E"/>
    <w:rPr>
      <w:rFonts w:ascii="Calibri" w:hAnsi="Calibri"/>
      <w:b/>
      <w:sz w:val="24"/>
      <w:lang w:val="en-GB" w:eastAsia="en-US"/>
    </w:rPr>
  </w:style>
  <w:style w:type="character" w:styleId="CommentReference">
    <w:name w:val="annotation reference"/>
    <w:basedOn w:val="DefaultParagraphFont"/>
    <w:semiHidden/>
    <w:unhideWhenUsed/>
    <w:rsid w:val="008941C7"/>
    <w:rPr>
      <w:sz w:val="16"/>
      <w:szCs w:val="16"/>
    </w:rPr>
  </w:style>
  <w:style w:type="paragraph" w:styleId="CommentText">
    <w:name w:val="annotation text"/>
    <w:basedOn w:val="Normal"/>
    <w:link w:val="CommentTextChar"/>
    <w:unhideWhenUsed/>
    <w:rsid w:val="008941C7"/>
    <w:rPr>
      <w:sz w:val="20"/>
    </w:rPr>
  </w:style>
  <w:style w:type="character" w:customStyle="1" w:styleId="CommentTextChar">
    <w:name w:val="Comment Text Char"/>
    <w:basedOn w:val="DefaultParagraphFont"/>
    <w:link w:val="CommentText"/>
    <w:rsid w:val="008941C7"/>
    <w:rPr>
      <w:rFonts w:ascii="Calibri" w:hAnsi="Calibri"/>
      <w:lang w:val="en-GB" w:eastAsia="en-US"/>
    </w:rPr>
  </w:style>
  <w:style w:type="paragraph" w:styleId="CommentSubject">
    <w:name w:val="annotation subject"/>
    <w:basedOn w:val="CommentText"/>
    <w:next w:val="CommentText"/>
    <w:link w:val="CommentSubjectChar"/>
    <w:semiHidden/>
    <w:unhideWhenUsed/>
    <w:rsid w:val="008941C7"/>
    <w:rPr>
      <w:b/>
      <w:bCs/>
    </w:rPr>
  </w:style>
  <w:style w:type="character" w:customStyle="1" w:styleId="CommentSubjectChar">
    <w:name w:val="Comment Subject Char"/>
    <w:basedOn w:val="CommentTextChar"/>
    <w:link w:val="CommentSubject"/>
    <w:semiHidden/>
    <w:rsid w:val="008941C7"/>
    <w:rPr>
      <w:rFonts w:ascii="Calibri" w:hAnsi="Calibri"/>
      <w:b/>
      <w:bCs/>
      <w:lang w:val="en-GB" w:eastAsia="en-US"/>
    </w:rPr>
  </w:style>
  <w:style w:type="paragraph" w:styleId="Revision">
    <w:name w:val="Revision"/>
    <w:hidden/>
    <w:uiPriority w:val="99"/>
    <w:semiHidden/>
    <w:rsid w:val="007C1A6B"/>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19/en" TargetMode="External"/><Relationship Id="rId18" Type="http://schemas.openxmlformats.org/officeDocument/2006/relationships/hyperlink" Target="https://www.itu.int/md/S24-CL-C-0019/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S24-CWGFHR17-C-0024/en" TargetMode="External"/><Relationship Id="rId17" Type="http://schemas.openxmlformats.org/officeDocument/2006/relationships/hyperlink" Target="https://www.itu.int/md/S24-CL-C-0013/en" TargetMode="External"/><Relationship Id="rId25" Type="http://schemas.openxmlformats.org/officeDocument/2006/relationships/hyperlink" Target="https://www.itu.int/md/R00-CA-CIR-0270/e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4-CWGFHR17-C-0024/en" TargetMode="External"/><Relationship Id="rId20" Type="http://schemas.openxmlformats.org/officeDocument/2006/relationships/hyperlink" Target="https://www.itu.int/md/S24-CL-INF-0002/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RC23-C-0460/en" TargetMode="External"/><Relationship Id="rId24" Type="http://schemas.openxmlformats.org/officeDocument/2006/relationships/image" Target="media/image4.e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tu.int/md/S24-CWGFHR17-C-0012/en" TargetMode="Externa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4-CL-INF-0002/e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3-WRC23-C-0460/en" TargetMode="External"/><Relationship Id="rId22" Type="http://schemas.openxmlformats.org/officeDocument/2006/relationships/image" Target="media/image2.emf"/><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7273-22C8-4F72-ADCA-6120F39B46EE}">
  <ds:schemaRefs>
    <ds:schemaRef ds:uri="http://schemas.microsoft.com/sharepoint/v3/contenttype/forms"/>
  </ds:schemaRefs>
</ds:datastoreItem>
</file>

<file path=customXml/itemProps2.xml><?xml version="1.0" encoding="utf-8"?>
<ds:datastoreItem xmlns:ds="http://schemas.openxmlformats.org/officeDocument/2006/customXml" ds:itemID="{3FA90652-B4BB-4F5D-86C0-8D1C3F6ED371}">
  <ds:schemaRefs>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98b04e1e-0540-4930-9623-702d547a0a33"/>
    <ds:schemaRef ds:uri="085b46e1-7f22-4e81-9ba5-912dc5a5fd9a"/>
    <ds:schemaRef ds:uri="http://purl.org/dc/te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016A61F4-CB4B-4C93-9858-83AC2C92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2161</Words>
  <Characters>12324</Characters>
  <Application>Microsoft Office Word</Application>
  <DocSecurity>0</DocSecurity>
  <Lines>102</Lines>
  <Paragraphs>28</Paragraphs>
  <ScaleCrop>false</ScaleCrop>
  <Manager>General Secretariat - Pool</Manager>
  <Company>International Telecommunication Union (ITU)</Company>
  <LinksUpToDate>false</LinksUpToDate>
  <CharactersWithSpaces>14457</CharactersWithSpaces>
  <SharedDoc>false</SharedDoc>
  <HLinks>
    <vt:vector size="72" baseType="variant">
      <vt:variant>
        <vt:i4>1572934</vt:i4>
      </vt:variant>
      <vt:variant>
        <vt:i4>30</vt:i4>
      </vt:variant>
      <vt:variant>
        <vt:i4>0</vt:i4>
      </vt:variant>
      <vt:variant>
        <vt:i4>5</vt:i4>
      </vt:variant>
      <vt:variant>
        <vt:lpwstr>https://www.itu.int/md/R00-CA-CIR-0270/en</vt:lpwstr>
      </vt:variant>
      <vt:variant>
        <vt:lpwstr/>
      </vt:variant>
      <vt:variant>
        <vt:i4>1704016</vt:i4>
      </vt:variant>
      <vt:variant>
        <vt:i4>27</vt:i4>
      </vt:variant>
      <vt:variant>
        <vt:i4>0</vt:i4>
      </vt:variant>
      <vt:variant>
        <vt:i4>5</vt:i4>
      </vt:variant>
      <vt:variant>
        <vt:lpwstr>https://www.itu.int/md/S24-CL-INF-0002/en</vt:lpwstr>
      </vt:variant>
      <vt:variant>
        <vt:lpwstr/>
      </vt:variant>
      <vt:variant>
        <vt:i4>1704016</vt:i4>
      </vt:variant>
      <vt:variant>
        <vt:i4>24</vt:i4>
      </vt:variant>
      <vt:variant>
        <vt:i4>0</vt:i4>
      </vt:variant>
      <vt:variant>
        <vt:i4>5</vt:i4>
      </vt:variant>
      <vt:variant>
        <vt:lpwstr>https://www.itu.int/md/S24-CL-INF-0002/en</vt:lpwstr>
      </vt:variant>
      <vt:variant>
        <vt:lpwstr/>
      </vt:variant>
      <vt:variant>
        <vt:i4>8323133</vt:i4>
      </vt:variant>
      <vt:variant>
        <vt:i4>21</vt:i4>
      </vt:variant>
      <vt:variant>
        <vt:i4>0</vt:i4>
      </vt:variant>
      <vt:variant>
        <vt:i4>5</vt:i4>
      </vt:variant>
      <vt:variant>
        <vt:lpwstr>https://www.itu.int/md/S24-CL-C-0019/en</vt:lpwstr>
      </vt:variant>
      <vt:variant>
        <vt:lpwstr/>
      </vt:variant>
      <vt:variant>
        <vt:i4>7667773</vt:i4>
      </vt:variant>
      <vt:variant>
        <vt:i4>18</vt:i4>
      </vt:variant>
      <vt:variant>
        <vt:i4>0</vt:i4>
      </vt:variant>
      <vt:variant>
        <vt:i4>5</vt:i4>
      </vt:variant>
      <vt:variant>
        <vt:lpwstr>https://www.itu.int/md/S24-CL-C-0013/en</vt:lpwstr>
      </vt:variant>
      <vt:variant>
        <vt:lpwstr/>
      </vt:variant>
      <vt:variant>
        <vt:i4>4980742</vt:i4>
      </vt:variant>
      <vt:variant>
        <vt:i4>15</vt:i4>
      </vt:variant>
      <vt:variant>
        <vt:i4>0</vt:i4>
      </vt:variant>
      <vt:variant>
        <vt:i4>5</vt:i4>
      </vt:variant>
      <vt:variant>
        <vt:lpwstr>https://www.itu.int/md/S24-CWGFHR17-C-0024/en</vt:lpwstr>
      </vt:variant>
      <vt:variant>
        <vt:lpwstr/>
      </vt:variant>
      <vt:variant>
        <vt:i4>4849669</vt:i4>
      </vt:variant>
      <vt:variant>
        <vt:i4>12</vt:i4>
      </vt:variant>
      <vt:variant>
        <vt:i4>0</vt:i4>
      </vt:variant>
      <vt:variant>
        <vt:i4>5</vt:i4>
      </vt:variant>
      <vt:variant>
        <vt:lpwstr>https://www.itu.int/md/S24-CWGFHR17-C-0012/en</vt:lpwstr>
      </vt:variant>
      <vt:variant>
        <vt:lpwstr/>
      </vt:variant>
      <vt:variant>
        <vt:i4>7667773</vt:i4>
      </vt:variant>
      <vt:variant>
        <vt:i4>9</vt:i4>
      </vt:variant>
      <vt:variant>
        <vt:i4>0</vt:i4>
      </vt:variant>
      <vt:variant>
        <vt:i4>5</vt:i4>
      </vt:variant>
      <vt:variant>
        <vt:lpwstr>https://www.itu.int/md/R23-WRC23-C-0460/en</vt:lpwstr>
      </vt:variant>
      <vt:variant>
        <vt:lpwstr/>
      </vt:variant>
      <vt:variant>
        <vt:i4>8323133</vt:i4>
      </vt:variant>
      <vt:variant>
        <vt:i4>6</vt:i4>
      </vt:variant>
      <vt:variant>
        <vt:i4>0</vt:i4>
      </vt:variant>
      <vt:variant>
        <vt:i4>5</vt:i4>
      </vt:variant>
      <vt:variant>
        <vt:lpwstr>https://www.itu.int/md/S24-CL-C-0019/en</vt:lpwstr>
      </vt:variant>
      <vt:variant>
        <vt:lpwstr/>
      </vt:variant>
      <vt:variant>
        <vt:i4>4980742</vt:i4>
      </vt:variant>
      <vt:variant>
        <vt:i4>3</vt:i4>
      </vt:variant>
      <vt:variant>
        <vt:i4>0</vt:i4>
      </vt:variant>
      <vt:variant>
        <vt:i4>5</vt:i4>
      </vt:variant>
      <vt:variant>
        <vt:lpwstr>https://www.itu.int/md/S24-CWGFHR17-C-0024/en</vt:lpwstr>
      </vt:variant>
      <vt:variant>
        <vt:lpwstr/>
      </vt:variant>
      <vt:variant>
        <vt:i4>7667773</vt:i4>
      </vt:variant>
      <vt:variant>
        <vt:i4>0</vt:i4>
      </vt:variant>
      <vt:variant>
        <vt:i4>0</vt:i4>
      </vt:variant>
      <vt:variant>
        <vt:i4>5</vt:i4>
      </vt:variant>
      <vt:variant>
        <vt:lpwstr>https://www.itu.int/md/R23-WRC23-C-0460/en</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budgetary implications of addressing the WRC-23 decisions</dc:title>
  <dc:subject>Council 2024</dc:subject>
  <dc:creator>author</dc:creator>
  <cp:keywords>C2024, C24, Council-24</cp:keywords>
  <dc:description/>
  <cp:lastModifiedBy>Brouard, Ricarda</cp:lastModifiedBy>
  <cp:revision>2</cp:revision>
  <cp:lastPrinted>2000-07-18T22:30:00Z</cp:lastPrinted>
  <dcterms:created xsi:type="dcterms:W3CDTF">2024-04-09T18:20:00Z</dcterms:created>
  <dcterms:modified xsi:type="dcterms:W3CDTF">2024-04-09T18:20:00Z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