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85EC5" w14:paraId="2592CC74" w14:textId="77777777" w:rsidTr="00D72F49">
        <w:trPr>
          <w:cantSplit/>
          <w:trHeight w:val="23"/>
        </w:trPr>
        <w:tc>
          <w:tcPr>
            <w:tcW w:w="3969" w:type="dxa"/>
            <w:vMerge w:val="restart"/>
            <w:tcMar>
              <w:left w:w="0" w:type="dxa"/>
            </w:tcMar>
          </w:tcPr>
          <w:p w14:paraId="27E56DEB" w14:textId="4C921666" w:rsidR="00D72F49" w:rsidRPr="00885EC5" w:rsidRDefault="00D72F49" w:rsidP="00A96696">
            <w:pPr>
              <w:tabs>
                <w:tab w:val="left" w:pos="851"/>
              </w:tabs>
              <w:spacing w:before="0"/>
              <w:rPr>
                <w:b/>
              </w:rPr>
            </w:pPr>
            <w:r w:rsidRPr="00885EC5">
              <w:rPr>
                <w:b/>
              </w:rPr>
              <w:t>Point de l</w:t>
            </w:r>
            <w:r w:rsidR="00885EC5">
              <w:rPr>
                <w:b/>
              </w:rPr>
              <w:t>'</w:t>
            </w:r>
            <w:r w:rsidRPr="00885EC5">
              <w:rPr>
                <w:b/>
              </w:rPr>
              <w:t>ordre du jour:</w:t>
            </w:r>
            <w:r w:rsidR="00776E2A" w:rsidRPr="00885EC5">
              <w:rPr>
                <w:b/>
              </w:rPr>
              <w:t xml:space="preserve"> ADM 1</w:t>
            </w:r>
          </w:p>
        </w:tc>
        <w:tc>
          <w:tcPr>
            <w:tcW w:w="5245" w:type="dxa"/>
          </w:tcPr>
          <w:p w14:paraId="27B6A98A" w14:textId="7A50B26C" w:rsidR="00D72F49" w:rsidRPr="00885EC5" w:rsidRDefault="00D72F49" w:rsidP="00A96696">
            <w:pPr>
              <w:tabs>
                <w:tab w:val="left" w:pos="851"/>
              </w:tabs>
              <w:spacing w:before="0"/>
              <w:jc w:val="right"/>
              <w:rPr>
                <w:b/>
              </w:rPr>
            </w:pPr>
            <w:r w:rsidRPr="00885EC5">
              <w:rPr>
                <w:b/>
              </w:rPr>
              <w:t>Document C2</w:t>
            </w:r>
            <w:r w:rsidR="0073275D" w:rsidRPr="00885EC5">
              <w:rPr>
                <w:b/>
              </w:rPr>
              <w:t>4</w:t>
            </w:r>
            <w:r w:rsidRPr="00885EC5">
              <w:rPr>
                <w:b/>
              </w:rPr>
              <w:t>/</w:t>
            </w:r>
            <w:r w:rsidR="00776E2A" w:rsidRPr="00885EC5">
              <w:rPr>
                <w:b/>
              </w:rPr>
              <w:t>63</w:t>
            </w:r>
            <w:r w:rsidRPr="00885EC5">
              <w:rPr>
                <w:b/>
              </w:rPr>
              <w:t>-F</w:t>
            </w:r>
          </w:p>
        </w:tc>
      </w:tr>
      <w:tr w:rsidR="00D72F49" w:rsidRPr="00885EC5" w14:paraId="41096C77" w14:textId="77777777" w:rsidTr="00D72F49">
        <w:trPr>
          <w:cantSplit/>
        </w:trPr>
        <w:tc>
          <w:tcPr>
            <w:tcW w:w="3969" w:type="dxa"/>
            <w:vMerge/>
          </w:tcPr>
          <w:p w14:paraId="0BBA5643" w14:textId="77777777" w:rsidR="00D72F49" w:rsidRPr="00885EC5" w:rsidRDefault="00D72F49" w:rsidP="00A96696">
            <w:pPr>
              <w:tabs>
                <w:tab w:val="left" w:pos="851"/>
              </w:tabs>
              <w:rPr>
                <w:b/>
              </w:rPr>
            </w:pPr>
          </w:p>
        </w:tc>
        <w:tc>
          <w:tcPr>
            <w:tcW w:w="5245" w:type="dxa"/>
          </w:tcPr>
          <w:p w14:paraId="068BECD5" w14:textId="7E01BF4F" w:rsidR="00D72F49" w:rsidRPr="00885EC5" w:rsidRDefault="00776E2A" w:rsidP="00A96696">
            <w:pPr>
              <w:tabs>
                <w:tab w:val="left" w:pos="851"/>
              </w:tabs>
              <w:spacing w:before="0"/>
              <w:jc w:val="right"/>
              <w:rPr>
                <w:b/>
              </w:rPr>
            </w:pPr>
            <w:r w:rsidRPr="00885EC5">
              <w:rPr>
                <w:b/>
              </w:rPr>
              <w:t>9 avril</w:t>
            </w:r>
            <w:r w:rsidR="00D72F49" w:rsidRPr="00885EC5">
              <w:rPr>
                <w:b/>
              </w:rPr>
              <w:t xml:space="preserve"> 202</w:t>
            </w:r>
            <w:r w:rsidR="0073275D" w:rsidRPr="00885EC5">
              <w:rPr>
                <w:b/>
              </w:rPr>
              <w:t>4</w:t>
            </w:r>
          </w:p>
        </w:tc>
      </w:tr>
      <w:tr w:rsidR="00D72F49" w:rsidRPr="00885EC5" w14:paraId="17E5B988" w14:textId="77777777" w:rsidTr="00D72F49">
        <w:trPr>
          <w:cantSplit/>
          <w:trHeight w:val="23"/>
        </w:trPr>
        <w:tc>
          <w:tcPr>
            <w:tcW w:w="3969" w:type="dxa"/>
            <w:vMerge/>
          </w:tcPr>
          <w:p w14:paraId="2192D6D7" w14:textId="77777777" w:rsidR="00D72F49" w:rsidRPr="00885EC5" w:rsidRDefault="00D72F49" w:rsidP="00A96696">
            <w:pPr>
              <w:tabs>
                <w:tab w:val="left" w:pos="851"/>
              </w:tabs>
              <w:rPr>
                <w:b/>
              </w:rPr>
            </w:pPr>
          </w:p>
        </w:tc>
        <w:tc>
          <w:tcPr>
            <w:tcW w:w="5245" w:type="dxa"/>
          </w:tcPr>
          <w:p w14:paraId="1948C622" w14:textId="77777777" w:rsidR="00D72F49" w:rsidRPr="00885EC5" w:rsidRDefault="00D72F49" w:rsidP="00A96696">
            <w:pPr>
              <w:tabs>
                <w:tab w:val="left" w:pos="851"/>
              </w:tabs>
              <w:spacing w:before="0"/>
              <w:jc w:val="right"/>
              <w:rPr>
                <w:b/>
              </w:rPr>
            </w:pPr>
            <w:r w:rsidRPr="00885EC5">
              <w:rPr>
                <w:b/>
              </w:rPr>
              <w:t>Original: anglais</w:t>
            </w:r>
          </w:p>
        </w:tc>
      </w:tr>
      <w:tr w:rsidR="00D72F49" w:rsidRPr="00885EC5" w14:paraId="53623BEE" w14:textId="77777777" w:rsidTr="00D72F49">
        <w:trPr>
          <w:cantSplit/>
          <w:trHeight w:val="23"/>
        </w:trPr>
        <w:tc>
          <w:tcPr>
            <w:tcW w:w="3969" w:type="dxa"/>
          </w:tcPr>
          <w:p w14:paraId="630B4C34" w14:textId="77777777" w:rsidR="00D72F49" w:rsidRPr="00885EC5" w:rsidRDefault="00D72F49" w:rsidP="00A96696">
            <w:pPr>
              <w:tabs>
                <w:tab w:val="left" w:pos="851"/>
              </w:tabs>
              <w:rPr>
                <w:b/>
              </w:rPr>
            </w:pPr>
          </w:p>
        </w:tc>
        <w:tc>
          <w:tcPr>
            <w:tcW w:w="5245" w:type="dxa"/>
          </w:tcPr>
          <w:p w14:paraId="437750C4" w14:textId="77777777" w:rsidR="00D72F49" w:rsidRPr="00885EC5" w:rsidRDefault="00D72F49" w:rsidP="00A96696">
            <w:pPr>
              <w:tabs>
                <w:tab w:val="left" w:pos="851"/>
              </w:tabs>
              <w:spacing w:before="0"/>
              <w:jc w:val="right"/>
              <w:rPr>
                <w:b/>
              </w:rPr>
            </w:pPr>
          </w:p>
        </w:tc>
      </w:tr>
      <w:tr w:rsidR="00D72F49" w:rsidRPr="00885EC5" w14:paraId="31FFA2A5" w14:textId="77777777" w:rsidTr="00D72F49">
        <w:trPr>
          <w:cantSplit/>
        </w:trPr>
        <w:tc>
          <w:tcPr>
            <w:tcW w:w="9214" w:type="dxa"/>
            <w:gridSpan w:val="2"/>
            <w:tcMar>
              <w:left w:w="0" w:type="dxa"/>
            </w:tcMar>
          </w:tcPr>
          <w:p w14:paraId="7AA1F34C" w14:textId="3E7729BE" w:rsidR="00D72F49" w:rsidRPr="00885EC5" w:rsidRDefault="00D72F49" w:rsidP="00A96696">
            <w:pPr>
              <w:pStyle w:val="Source"/>
              <w:spacing w:before="240"/>
              <w:jc w:val="left"/>
              <w:rPr>
                <w:sz w:val="34"/>
                <w:szCs w:val="34"/>
              </w:rPr>
            </w:pPr>
            <w:r w:rsidRPr="00885EC5">
              <w:rPr>
                <w:rFonts w:cstheme="minorHAnsi"/>
                <w:color w:val="000000"/>
                <w:sz w:val="34"/>
                <w:szCs w:val="34"/>
              </w:rPr>
              <w:t xml:space="preserve">Rapport </w:t>
            </w:r>
            <w:r w:rsidR="00E95647" w:rsidRPr="00885EC5">
              <w:rPr>
                <w:rFonts w:cstheme="minorHAnsi"/>
                <w:color w:val="000000"/>
                <w:sz w:val="34"/>
                <w:szCs w:val="34"/>
              </w:rPr>
              <w:t xml:space="preserve">de la </w:t>
            </w:r>
            <w:r w:rsidRPr="00885EC5">
              <w:rPr>
                <w:rFonts w:cstheme="minorHAnsi"/>
                <w:color w:val="000000"/>
                <w:sz w:val="34"/>
                <w:szCs w:val="34"/>
              </w:rPr>
              <w:t>Secrétaire général</w:t>
            </w:r>
            <w:r w:rsidR="00E95647" w:rsidRPr="00885EC5">
              <w:rPr>
                <w:rFonts w:cstheme="minorHAnsi"/>
                <w:color w:val="000000"/>
                <w:sz w:val="34"/>
                <w:szCs w:val="34"/>
              </w:rPr>
              <w:t>e</w:t>
            </w:r>
          </w:p>
        </w:tc>
      </w:tr>
      <w:tr w:rsidR="00D72F49" w:rsidRPr="00885EC5" w14:paraId="65E7E3D8" w14:textId="77777777" w:rsidTr="00D72F49">
        <w:trPr>
          <w:cantSplit/>
        </w:trPr>
        <w:tc>
          <w:tcPr>
            <w:tcW w:w="9214" w:type="dxa"/>
            <w:gridSpan w:val="2"/>
            <w:tcMar>
              <w:left w:w="0" w:type="dxa"/>
            </w:tcMar>
          </w:tcPr>
          <w:p w14:paraId="370F6D7B" w14:textId="52C035F0" w:rsidR="00D72F49" w:rsidRPr="00885EC5" w:rsidRDefault="00776E2A" w:rsidP="00A96696">
            <w:pPr>
              <w:pStyle w:val="Subtitle"/>
              <w:framePr w:hSpace="0" w:wrap="auto" w:hAnchor="text" w:xAlign="left" w:yAlign="inline"/>
              <w:rPr>
                <w:lang w:val="fr-FR"/>
              </w:rPr>
            </w:pPr>
            <w:r w:rsidRPr="00885EC5">
              <w:rPr>
                <w:lang w:val="fr-FR"/>
              </w:rPr>
              <w:t>INCIDENCES BUDGÉTAIRES ANNUELLES DE LA SUITE DONNÉE AUX DÉCISIONS DE LA CMR-23</w:t>
            </w:r>
          </w:p>
        </w:tc>
      </w:tr>
      <w:tr w:rsidR="00D72F49" w:rsidRPr="00885EC5"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885EC5" w:rsidRDefault="00F37FE5" w:rsidP="00A96696">
            <w:pPr>
              <w:spacing w:before="160"/>
              <w:rPr>
                <w:b/>
                <w:bCs/>
                <w:sz w:val="26"/>
                <w:szCs w:val="26"/>
              </w:rPr>
            </w:pPr>
            <w:r w:rsidRPr="00885EC5">
              <w:rPr>
                <w:b/>
                <w:bCs/>
                <w:sz w:val="26"/>
                <w:szCs w:val="26"/>
              </w:rPr>
              <w:t>Objet</w:t>
            </w:r>
          </w:p>
          <w:p w14:paraId="55F6A12A" w14:textId="2F334C2D" w:rsidR="00776E2A" w:rsidRPr="00885EC5" w:rsidRDefault="00776E2A" w:rsidP="00A96696">
            <w:r w:rsidRPr="00885EC5">
              <w:t xml:space="preserve">Dans son Rapport (Document </w:t>
            </w:r>
            <w:hyperlink r:id="rId6" w:history="1">
              <w:r w:rsidRPr="00885EC5">
                <w:rPr>
                  <w:rStyle w:val="Hyperlink"/>
                </w:rPr>
                <w:t>460(Ré</w:t>
              </w:r>
              <w:r w:rsidRPr="00885EC5">
                <w:rPr>
                  <w:rStyle w:val="Hyperlink"/>
                </w:rPr>
                <w:t>v</w:t>
              </w:r>
              <w:r w:rsidRPr="00885EC5">
                <w:rPr>
                  <w:rStyle w:val="Hyperlink"/>
                </w:rPr>
                <w:t>.1)</w:t>
              </w:r>
            </w:hyperlink>
            <w:r w:rsidRPr="00885EC5">
              <w:t>), la Commission de contrôle budgétaire de la CMR</w:t>
            </w:r>
            <w:r w:rsidRPr="00885EC5">
              <w:noBreakHyphen/>
              <w:t>23 a recensé les décisions de la Conférence, y compris les nouvelles activités et études techniques et les nouveaux logiciels à développer, qui nécessitent des ressources financières supplémentaires pour être mises en œuvre. Les coûts estimés pour la réalisation de ces nouveaux travaux sont de l</w:t>
            </w:r>
            <w:r w:rsidR="00885EC5">
              <w:t>'</w:t>
            </w:r>
            <w:r w:rsidRPr="00885EC5">
              <w:t>ordre de 12,5 millions CHF en dépenses uniques et récurrentes. La CMR-23 a prié la Secrétaire générale de porter cette question à l</w:t>
            </w:r>
            <w:r w:rsidR="00885EC5">
              <w:t>'</w:t>
            </w:r>
            <w:r w:rsidRPr="00885EC5">
              <w:t>attention de la session de 2024 du Conseil, afin d</w:t>
            </w:r>
            <w:r w:rsidR="00885EC5">
              <w:t>'</w:t>
            </w:r>
            <w:r w:rsidRPr="00885EC5">
              <w:t>examiner la méthode la plus efficace pour financer ces activités, celles-ci devant être menées à bien avant la Conférence mondiale des radiocommunications qui se tiendra en 2027 (CMR-27).</w:t>
            </w:r>
          </w:p>
          <w:p w14:paraId="7191AE88" w14:textId="7B882B60" w:rsidR="00776E2A" w:rsidRPr="00885EC5" w:rsidRDefault="00776E2A" w:rsidP="00A96696">
            <w:r w:rsidRPr="00885EC5">
              <w:t>Lors de sa réunion tenue en janvier 2024, le Groupe de travail du Conseil sur les ressources financières et les ressources humaines (GTC-FHR) a examiné cette question et a conclu que la demande serait présentée au Conseil à sa session de 2024. On trouvera dans le présent document les renseignements additionnels demandés à la réunion du GTC-FHR (voir les </w:t>
            </w:r>
            <w:r w:rsidRPr="00885EC5">
              <w:rPr>
                <w:rFonts w:ascii="Abadi" w:hAnsi="Abadi"/>
              </w:rPr>
              <w:t>§ </w:t>
            </w:r>
            <w:r w:rsidRPr="00885EC5">
              <w:t xml:space="preserve">20.4 à 20.5 du Document </w:t>
            </w:r>
            <w:hyperlink r:id="rId7" w:history="1">
              <w:r w:rsidRPr="00885EC5">
                <w:rPr>
                  <w:rStyle w:val="Hyperlink"/>
                </w:rPr>
                <w:t>CWG-FHR-17/</w:t>
              </w:r>
              <w:r w:rsidRPr="00885EC5">
                <w:rPr>
                  <w:rStyle w:val="Hyperlink"/>
                </w:rPr>
                <w:t>2</w:t>
              </w:r>
              <w:r w:rsidRPr="00885EC5">
                <w:rPr>
                  <w:rStyle w:val="Hyperlink"/>
                </w:rPr>
                <w:t>4</w:t>
              </w:r>
            </w:hyperlink>
            <w:r w:rsidRPr="00885EC5">
              <w:t>).</w:t>
            </w:r>
          </w:p>
          <w:p w14:paraId="0B950982" w14:textId="77777777" w:rsidR="00D72F49" w:rsidRPr="00885EC5" w:rsidRDefault="00D72F49" w:rsidP="00A96696">
            <w:pPr>
              <w:spacing w:before="160"/>
              <w:rPr>
                <w:b/>
                <w:bCs/>
                <w:sz w:val="26"/>
                <w:szCs w:val="26"/>
              </w:rPr>
            </w:pPr>
            <w:r w:rsidRPr="00885EC5">
              <w:rPr>
                <w:b/>
                <w:bCs/>
                <w:sz w:val="26"/>
                <w:szCs w:val="26"/>
              </w:rPr>
              <w:t>Suite à donner par le Conseil</w:t>
            </w:r>
          </w:p>
          <w:p w14:paraId="6F9A6B88" w14:textId="563EE8DA" w:rsidR="00D72F49" w:rsidRPr="00885EC5" w:rsidRDefault="00776E2A" w:rsidP="00A96696">
            <w:r w:rsidRPr="00885EC5">
              <w:t>Le Conseil est invité à prendre note du présent document.</w:t>
            </w:r>
          </w:p>
          <w:p w14:paraId="121C402A" w14:textId="4FDE1FF1" w:rsidR="00D72F49" w:rsidRPr="00885EC5" w:rsidRDefault="00D72F49" w:rsidP="00A96696">
            <w:pPr>
              <w:spacing w:before="160"/>
              <w:rPr>
                <w:b/>
                <w:bCs/>
                <w:sz w:val="26"/>
                <w:szCs w:val="26"/>
              </w:rPr>
            </w:pPr>
            <w:r w:rsidRPr="00885EC5">
              <w:rPr>
                <w:b/>
                <w:bCs/>
                <w:sz w:val="26"/>
                <w:szCs w:val="26"/>
              </w:rPr>
              <w:t xml:space="preserve">Lien(s) pertinent(s) avec le </w:t>
            </w:r>
            <w:r w:rsidR="00F37FE5" w:rsidRPr="00885EC5">
              <w:rPr>
                <w:b/>
                <w:bCs/>
                <w:sz w:val="26"/>
                <w:szCs w:val="26"/>
              </w:rPr>
              <w:t>p</w:t>
            </w:r>
            <w:r w:rsidRPr="00885EC5">
              <w:rPr>
                <w:b/>
                <w:bCs/>
                <w:sz w:val="26"/>
                <w:szCs w:val="26"/>
              </w:rPr>
              <w:t>lan stratégique</w:t>
            </w:r>
          </w:p>
          <w:p w14:paraId="60D63331" w14:textId="77763D09" w:rsidR="00D72F49" w:rsidRPr="00885EC5" w:rsidRDefault="00776E2A" w:rsidP="00A96696">
            <w:r w:rsidRPr="00885EC5">
              <w:t>Les résultats de la CMR sont en lien avec les deux objectifs stratégiques de l</w:t>
            </w:r>
            <w:r w:rsidR="00885EC5">
              <w:t>'</w:t>
            </w:r>
            <w:r w:rsidRPr="00885EC5">
              <w:t>Union.</w:t>
            </w:r>
          </w:p>
          <w:p w14:paraId="11FAADC9" w14:textId="60004001" w:rsidR="00E95647" w:rsidRPr="00885EC5" w:rsidRDefault="00D72F49" w:rsidP="00A96696">
            <w:pPr>
              <w:spacing w:before="160"/>
              <w:rPr>
                <w:b/>
                <w:bCs/>
                <w:sz w:val="26"/>
                <w:szCs w:val="26"/>
              </w:rPr>
            </w:pPr>
            <w:r w:rsidRPr="00885EC5">
              <w:rPr>
                <w:b/>
                <w:bCs/>
                <w:sz w:val="26"/>
                <w:szCs w:val="26"/>
              </w:rPr>
              <w:t>Incidences financières</w:t>
            </w:r>
          </w:p>
          <w:p w14:paraId="1476D7E3" w14:textId="4D1227F0" w:rsidR="00D72F49" w:rsidRPr="00885EC5" w:rsidRDefault="00776E2A" w:rsidP="00A96696">
            <w:pPr>
              <w:spacing w:before="160"/>
              <w:rPr>
                <w:sz w:val="26"/>
                <w:szCs w:val="26"/>
              </w:rPr>
            </w:pPr>
            <w:r w:rsidRPr="00885EC5">
              <w:rPr>
                <w:szCs w:val="24"/>
              </w:rPr>
              <w:t xml:space="preserve">Les incidences financières des décisions de la CMR-23 sont estimées à 12,5 millions CHF pour la période 2024-2027. Les incidences budgétaires annuelles sont données ici et la proposition de financement figure dans le Document </w:t>
            </w:r>
            <w:hyperlink r:id="rId8" w:history="1">
              <w:r w:rsidRPr="00885EC5">
                <w:rPr>
                  <w:rStyle w:val="Hyperlink"/>
                </w:rPr>
                <w:t>C24</w:t>
              </w:r>
              <w:r w:rsidRPr="00885EC5">
                <w:rPr>
                  <w:rStyle w:val="Hyperlink"/>
                </w:rPr>
                <w:t>/</w:t>
              </w:r>
              <w:r w:rsidRPr="00885EC5">
                <w:rPr>
                  <w:rStyle w:val="Hyperlink"/>
                </w:rPr>
                <w:t>19</w:t>
              </w:r>
            </w:hyperlink>
            <w:r w:rsidRPr="00885EC5">
              <w:t>.</w:t>
            </w:r>
          </w:p>
          <w:p w14:paraId="2E44E753" w14:textId="77777777" w:rsidR="00D72F49" w:rsidRPr="00885EC5" w:rsidRDefault="00D72F49" w:rsidP="00A96696">
            <w:pPr>
              <w:spacing w:before="160"/>
              <w:rPr>
                <w:caps/>
                <w:sz w:val="22"/>
              </w:rPr>
            </w:pPr>
            <w:r w:rsidRPr="00885EC5">
              <w:rPr>
                <w:sz w:val="22"/>
              </w:rPr>
              <w:t>__________________</w:t>
            </w:r>
          </w:p>
          <w:p w14:paraId="246B160C" w14:textId="7F51C6C5" w:rsidR="00D72F49" w:rsidRPr="00885EC5" w:rsidRDefault="00D72F49" w:rsidP="00A96696">
            <w:pPr>
              <w:keepNext/>
              <w:spacing w:before="160"/>
              <w:rPr>
                <w:b/>
                <w:bCs/>
                <w:sz w:val="26"/>
                <w:szCs w:val="26"/>
              </w:rPr>
            </w:pPr>
            <w:r w:rsidRPr="00885EC5">
              <w:rPr>
                <w:b/>
                <w:bCs/>
                <w:sz w:val="26"/>
                <w:szCs w:val="26"/>
              </w:rPr>
              <w:t>Références</w:t>
            </w:r>
          </w:p>
          <w:p w14:paraId="3B399B5C" w14:textId="3516FCBF" w:rsidR="00D72F49" w:rsidRPr="00885EC5" w:rsidRDefault="00776E2A" w:rsidP="00A96696">
            <w:pPr>
              <w:spacing w:after="160"/>
            </w:pPr>
            <w:bookmarkStart w:id="0" w:name="lt_pId025"/>
            <w:r w:rsidRPr="00885EC5">
              <w:rPr>
                <w:i/>
                <w:iCs/>
                <w:szCs w:val="24"/>
              </w:rPr>
              <w:t xml:space="preserve">Document </w:t>
            </w:r>
            <w:hyperlink r:id="rId9" w:history="1">
              <w:r w:rsidR="00A96696" w:rsidRPr="00885EC5">
                <w:rPr>
                  <w:rStyle w:val="Hyperlink"/>
                  <w:i/>
                  <w:iCs/>
                  <w:szCs w:val="24"/>
                </w:rPr>
                <w:t>460(Rév.1)</w:t>
              </w:r>
            </w:hyperlink>
            <w:r w:rsidR="00A96696" w:rsidRPr="00885EC5">
              <w:rPr>
                <w:i/>
                <w:iCs/>
                <w:szCs w:val="24"/>
              </w:rPr>
              <w:t xml:space="preserve"> de la CMR-23</w:t>
            </w:r>
            <w:r w:rsidR="0086261C" w:rsidRPr="00885EC5">
              <w:rPr>
                <w:szCs w:val="24"/>
              </w:rPr>
              <w:t>;</w:t>
            </w:r>
            <w:r w:rsidRPr="00885EC5">
              <w:rPr>
                <w:szCs w:val="24"/>
              </w:rPr>
              <w:t xml:space="preserve"> </w:t>
            </w:r>
            <w:r w:rsidRPr="00885EC5">
              <w:rPr>
                <w:i/>
                <w:iCs/>
                <w:szCs w:val="24"/>
              </w:rPr>
              <w:t xml:space="preserve">Document </w:t>
            </w:r>
            <w:hyperlink r:id="rId10" w:history="1">
              <w:r w:rsidRPr="00885EC5">
                <w:rPr>
                  <w:rStyle w:val="Hyperlink"/>
                  <w:i/>
                  <w:iCs/>
                  <w:szCs w:val="24"/>
                </w:rPr>
                <w:t>CW</w:t>
              </w:r>
              <w:r w:rsidRPr="00885EC5">
                <w:rPr>
                  <w:rStyle w:val="Hyperlink"/>
                  <w:i/>
                  <w:iCs/>
                  <w:szCs w:val="24"/>
                </w:rPr>
                <w:t>G</w:t>
              </w:r>
              <w:r w:rsidRPr="00885EC5">
                <w:rPr>
                  <w:rStyle w:val="Hyperlink"/>
                  <w:i/>
                  <w:iCs/>
                  <w:szCs w:val="24"/>
                </w:rPr>
                <w:t>-FHR-17/12</w:t>
              </w:r>
            </w:hyperlink>
            <w:r w:rsidRPr="00885EC5">
              <w:rPr>
                <w:szCs w:val="24"/>
              </w:rPr>
              <w:t xml:space="preserve">; </w:t>
            </w:r>
            <w:r w:rsidRPr="00885EC5">
              <w:rPr>
                <w:i/>
                <w:iCs/>
                <w:szCs w:val="24"/>
              </w:rPr>
              <w:t xml:space="preserve">Document </w:t>
            </w:r>
            <w:hyperlink r:id="rId11" w:history="1">
              <w:r w:rsidRPr="00885EC5">
                <w:rPr>
                  <w:rStyle w:val="Hyperlink"/>
                  <w:i/>
                  <w:iCs/>
                  <w:szCs w:val="24"/>
                </w:rPr>
                <w:t>CWG-FHR</w:t>
              </w:r>
              <w:r w:rsidRPr="00885EC5">
                <w:rPr>
                  <w:rStyle w:val="Hyperlink"/>
                  <w:i/>
                  <w:iCs/>
                  <w:szCs w:val="24"/>
                </w:rPr>
                <w:t>-</w:t>
              </w:r>
              <w:r w:rsidRPr="00885EC5">
                <w:rPr>
                  <w:rStyle w:val="Hyperlink"/>
                  <w:i/>
                  <w:iCs/>
                  <w:szCs w:val="24"/>
                </w:rPr>
                <w:t>17/24</w:t>
              </w:r>
            </w:hyperlink>
            <w:r w:rsidRPr="00885EC5">
              <w:rPr>
                <w:szCs w:val="24"/>
              </w:rPr>
              <w:t xml:space="preserve">; </w:t>
            </w:r>
            <w:r w:rsidRPr="00885EC5">
              <w:rPr>
                <w:i/>
                <w:iCs/>
                <w:szCs w:val="24"/>
              </w:rPr>
              <w:t xml:space="preserve">Documents </w:t>
            </w:r>
            <w:hyperlink r:id="rId12" w:history="1">
              <w:r w:rsidRPr="00885EC5">
                <w:rPr>
                  <w:rStyle w:val="Hyperlink"/>
                  <w:i/>
                  <w:iCs/>
                  <w:szCs w:val="24"/>
                </w:rPr>
                <w:t>C24</w:t>
              </w:r>
              <w:r w:rsidRPr="00885EC5">
                <w:rPr>
                  <w:rStyle w:val="Hyperlink"/>
                  <w:i/>
                  <w:iCs/>
                  <w:szCs w:val="24"/>
                </w:rPr>
                <w:t>/</w:t>
              </w:r>
              <w:r w:rsidRPr="00885EC5">
                <w:rPr>
                  <w:rStyle w:val="Hyperlink"/>
                  <w:i/>
                  <w:iCs/>
                  <w:szCs w:val="24"/>
                </w:rPr>
                <w:t>13</w:t>
              </w:r>
            </w:hyperlink>
            <w:r w:rsidRPr="00885EC5">
              <w:rPr>
                <w:i/>
                <w:iCs/>
                <w:szCs w:val="24"/>
              </w:rPr>
              <w:t xml:space="preserve">, </w:t>
            </w:r>
            <w:hyperlink r:id="rId13" w:history="1">
              <w:r w:rsidRPr="00885EC5">
                <w:rPr>
                  <w:rStyle w:val="Hyperlink"/>
                  <w:i/>
                  <w:iCs/>
                  <w:szCs w:val="24"/>
                </w:rPr>
                <w:t>C</w:t>
              </w:r>
              <w:r w:rsidRPr="00885EC5">
                <w:rPr>
                  <w:rStyle w:val="Hyperlink"/>
                  <w:i/>
                  <w:iCs/>
                  <w:szCs w:val="24"/>
                </w:rPr>
                <w:t>2</w:t>
              </w:r>
              <w:r w:rsidRPr="00885EC5">
                <w:rPr>
                  <w:rStyle w:val="Hyperlink"/>
                  <w:i/>
                  <w:iCs/>
                  <w:szCs w:val="24"/>
                </w:rPr>
                <w:t>4/19</w:t>
              </w:r>
            </w:hyperlink>
            <w:r w:rsidRPr="00885EC5">
              <w:rPr>
                <w:i/>
                <w:iCs/>
                <w:szCs w:val="24"/>
              </w:rPr>
              <w:t xml:space="preserve"> et </w:t>
            </w:r>
            <w:hyperlink r:id="rId14" w:history="1">
              <w:r w:rsidRPr="00885EC5">
                <w:rPr>
                  <w:rStyle w:val="Hyperlink"/>
                  <w:i/>
                  <w:iCs/>
                  <w:szCs w:val="24"/>
                </w:rPr>
                <w:t>C24</w:t>
              </w:r>
              <w:r w:rsidRPr="00885EC5">
                <w:rPr>
                  <w:rStyle w:val="Hyperlink"/>
                  <w:i/>
                  <w:iCs/>
                  <w:szCs w:val="24"/>
                </w:rPr>
                <w:t>/</w:t>
              </w:r>
              <w:r w:rsidRPr="00885EC5">
                <w:rPr>
                  <w:rStyle w:val="Hyperlink"/>
                  <w:i/>
                  <w:iCs/>
                  <w:szCs w:val="24"/>
                </w:rPr>
                <w:t>INF/2</w:t>
              </w:r>
            </w:hyperlink>
            <w:bookmarkEnd w:id="0"/>
            <w:r w:rsidRPr="00885EC5">
              <w:rPr>
                <w:i/>
                <w:iCs/>
                <w:szCs w:val="24"/>
              </w:rPr>
              <w:t xml:space="preserve"> du Conseil</w:t>
            </w:r>
          </w:p>
        </w:tc>
      </w:tr>
    </w:tbl>
    <w:p w14:paraId="3B7150AC" w14:textId="7F135C93" w:rsidR="00A51849" w:rsidRPr="00885EC5" w:rsidRDefault="00776E2A" w:rsidP="00A96696">
      <w:pPr>
        <w:pStyle w:val="Heading1"/>
      </w:pPr>
      <w:r w:rsidRPr="00885EC5">
        <w:lastRenderedPageBreak/>
        <w:t>1</w:t>
      </w:r>
      <w:r w:rsidRPr="00885EC5">
        <w:tab/>
        <w:t>Introduction</w:t>
      </w:r>
    </w:p>
    <w:p w14:paraId="24D35DE1" w14:textId="2E8E8E12" w:rsidR="00776E2A" w:rsidRPr="00885EC5" w:rsidRDefault="00776E2A" w:rsidP="00A96696">
      <w:r w:rsidRPr="00885EC5">
        <w:t>La Conférence mondiale des radiocommunications, qui s</w:t>
      </w:r>
      <w:r w:rsidR="00885EC5">
        <w:t>'</w:t>
      </w:r>
      <w:r w:rsidRPr="00885EC5">
        <w:t>est tenue à Dubaï (Émirats arabes unis) du 20 novembre au 15 décembre 2023, a adopté plusieurs décisions concernant de nouvelles activités et études, ainsi que des améliorations à apporter aux systèmes et aux infrastructures existants, afin de permettre au Bureau des radiocommunications de répondre rapidement aux demandes des membres et de traiter des questions d</w:t>
      </w:r>
      <w:r w:rsidR="00885EC5">
        <w:t>'</w:t>
      </w:r>
      <w:r w:rsidRPr="00885EC5">
        <w:t>ordre stratégique qui nécessiteront l</w:t>
      </w:r>
      <w:r w:rsidR="00885EC5">
        <w:t>'</w:t>
      </w:r>
      <w:r w:rsidRPr="00885EC5">
        <w:t>attention de la CMR-27. La CMR-23 a défini ces activités comme étant des domaines prioritaires pour l</w:t>
      </w:r>
      <w:r w:rsidR="00885EC5">
        <w:t>'</w:t>
      </w:r>
      <w:r w:rsidRPr="00885EC5">
        <w:t>UIT-R, et le Bureau des radiocommunications est chargé de mettre en œuvre ces activités et de faire rapport à la prochaine Conférence (CMR-27).</w:t>
      </w:r>
    </w:p>
    <w:p w14:paraId="55344FF3" w14:textId="4FB863C3" w:rsidR="00415577" w:rsidRPr="00885EC5" w:rsidRDefault="00415577" w:rsidP="00A96696">
      <w:pPr>
        <w:pStyle w:val="Heading1"/>
      </w:pPr>
      <w:r w:rsidRPr="00885EC5">
        <w:t>2</w:t>
      </w:r>
      <w:r w:rsidRPr="00885EC5">
        <w:tab/>
        <w:t>Incidences financières des décisions ou des Résolutions de la Conférence (CMR</w:t>
      </w:r>
      <w:r w:rsidRPr="00885EC5">
        <w:noBreakHyphen/>
        <w:t>23)</w:t>
      </w:r>
    </w:p>
    <w:p w14:paraId="264FC538" w14:textId="7CB17BE4" w:rsidR="00415577" w:rsidRPr="00885EC5" w:rsidRDefault="00415577" w:rsidP="00A96696">
      <w:r w:rsidRPr="00885EC5">
        <w:t>Sur la base des résultats de la Conférence, la Commission de contrôle budgétaire a estimé que les incidences financières des décisions de la CMR-23 s</w:t>
      </w:r>
      <w:r w:rsidR="00885EC5">
        <w:t>'</w:t>
      </w:r>
      <w:r w:rsidRPr="00885EC5">
        <w:t xml:space="preserve">élèvent à </w:t>
      </w:r>
      <w:r w:rsidRPr="00885EC5">
        <w:rPr>
          <w:spacing w:val="-2"/>
        </w:rPr>
        <w:t xml:space="preserve">12,5 millions CHF (voir le Document </w:t>
      </w:r>
      <w:hyperlink r:id="rId15" w:history="1">
        <w:r w:rsidRPr="00885EC5">
          <w:rPr>
            <w:rStyle w:val="Hyperlink"/>
            <w:spacing w:val="-2"/>
          </w:rPr>
          <w:t>C24/I</w:t>
        </w:r>
        <w:r w:rsidRPr="00885EC5">
          <w:rPr>
            <w:rStyle w:val="Hyperlink"/>
            <w:spacing w:val="-2"/>
          </w:rPr>
          <w:t>N</w:t>
        </w:r>
        <w:r w:rsidRPr="00885EC5">
          <w:rPr>
            <w:rStyle w:val="Hyperlink"/>
            <w:spacing w:val="-2"/>
          </w:rPr>
          <w:t>F/2</w:t>
        </w:r>
      </w:hyperlink>
      <w:r w:rsidRPr="00885EC5">
        <w:rPr>
          <w:spacing w:val="-2"/>
        </w:rPr>
        <w:t>).</w:t>
      </w:r>
      <w:r w:rsidRPr="00885EC5">
        <w:t xml:space="preserve"> À toutes fins utiles, on trouvera dans la présente section les renseignements fournis dans le Rapport de la Commission de contrôle budgétaire de la CMR</w:t>
      </w:r>
      <w:r w:rsidRPr="00885EC5">
        <w:noBreakHyphen/>
        <w:t>23. Le Tableau 1 donne le récapitulatif global des coûts estimés pour chacun des principaux domaines de compétence, comme suit:</w:t>
      </w:r>
    </w:p>
    <w:p w14:paraId="4902EA59" w14:textId="2E84C49F" w:rsidR="00415577" w:rsidRPr="00885EC5" w:rsidRDefault="00415577" w:rsidP="00A96696">
      <w:pPr>
        <w:pStyle w:val="enumlev1"/>
      </w:pPr>
      <w:r w:rsidRPr="00885EC5">
        <w:t>•</w:t>
      </w:r>
      <w:r w:rsidRPr="00885EC5">
        <w:tab/>
      </w:r>
      <w:r w:rsidR="00116036" w:rsidRPr="00885EC5">
        <w:t>C</w:t>
      </w:r>
      <w:r w:rsidRPr="00885EC5">
        <w:t>ommission d</w:t>
      </w:r>
      <w:r w:rsidR="00885EC5">
        <w:t>'</w:t>
      </w:r>
      <w:r w:rsidRPr="00885EC5">
        <w:t>études: incidences financières relatives aux travaux préparatoires en vue des Conférences mondiales des radiocommunications de 2027 et 2031</w:t>
      </w:r>
      <w:r w:rsidR="00116036" w:rsidRPr="00885EC5">
        <w:t>.</w:t>
      </w:r>
    </w:p>
    <w:p w14:paraId="0FE52AFB" w14:textId="5D5ABA1F" w:rsidR="00415577" w:rsidRPr="00885EC5" w:rsidRDefault="00415577" w:rsidP="00A96696">
      <w:pPr>
        <w:pStyle w:val="enumlev1"/>
      </w:pPr>
      <w:r w:rsidRPr="00885EC5">
        <w:t>•</w:t>
      </w:r>
      <w:r w:rsidRPr="00885EC5">
        <w:tab/>
      </w:r>
      <w:r w:rsidR="00116036" w:rsidRPr="00885EC5">
        <w:t>S</w:t>
      </w:r>
      <w:r w:rsidRPr="00885EC5">
        <w:t>ervices de Terre: incidences financières relatives aux modifications du Règlement des radiocommunications concernant les services de Terre</w:t>
      </w:r>
      <w:r w:rsidR="00116036" w:rsidRPr="00885EC5">
        <w:t>.</w:t>
      </w:r>
    </w:p>
    <w:p w14:paraId="6FD82088" w14:textId="1B577021" w:rsidR="00415577" w:rsidRPr="00885EC5" w:rsidRDefault="00415577" w:rsidP="00A96696">
      <w:pPr>
        <w:pStyle w:val="enumlev1"/>
      </w:pPr>
      <w:r w:rsidRPr="00885EC5">
        <w:t>•</w:t>
      </w:r>
      <w:r w:rsidRPr="00885EC5">
        <w:tab/>
      </w:r>
      <w:r w:rsidR="00116036" w:rsidRPr="00885EC5">
        <w:t>S</w:t>
      </w:r>
      <w:r w:rsidRPr="00885EC5">
        <w:t>ervices spatiaux: incidences financières relatives aux modifications du Règlement des radiocommunications concernant les services spatiaux.</w:t>
      </w:r>
    </w:p>
    <w:p w14:paraId="29494686" w14:textId="77777777" w:rsidR="00415577" w:rsidRPr="00885EC5" w:rsidRDefault="00415577" w:rsidP="00A96696">
      <w:pPr>
        <w:pStyle w:val="TableNo"/>
        <w:rPr>
          <w:b/>
          <w:bCs/>
        </w:rPr>
      </w:pPr>
      <w:r w:rsidRPr="00885EC5">
        <w:rPr>
          <w:b/>
          <w:bCs/>
        </w:rPr>
        <w:t>TableAU 1</w:t>
      </w:r>
    </w:p>
    <w:p w14:paraId="7B234271" w14:textId="628D1833" w:rsidR="00415577" w:rsidRPr="00885EC5" w:rsidRDefault="0023651B" w:rsidP="00A96696">
      <w:pPr>
        <w:pStyle w:val="Tabletitle"/>
      </w:pPr>
      <w:r w:rsidRPr="00885EC5">
        <w:t>Incidences financières pour la période 2024-2027</w:t>
      </w:r>
    </w:p>
    <w:p w14:paraId="12B8D8FF" w14:textId="77777777" w:rsidR="00415577" w:rsidRPr="00885EC5" w:rsidRDefault="00415577" w:rsidP="00A96696">
      <w:pPr>
        <w:pStyle w:val="Figure"/>
        <w:rPr>
          <w:b/>
          <w:bCs/>
        </w:rPr>
      </w:pPr>
      <w:r w:rsidRPr="00885EC5">
        <w:drawing>
          <wp:inline distT="0" distB="0" distL="0" distR="0" wp14:anchorId="5869707F" wp14:editId="1490CE3D">
            <wp:extent cx="5760085" cy="1112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1112696"/>
                    </a:xfrm>
                    <a:prstGeom prst="rect">
                      <a:avLst/>
                    </a:prstGeom>
                    <a:noFill/>
                    <a:ln>
                      <a:noFill/>
                    </a:ln>
                  </pic:spPr>
                </pic:pic>
              </a:graphicData>
            </a:graphic>
          </wp:inline>
        </w:drawing>
      </w:r>
    </w:p>
    <w:p w14:paraId="627F82FE" w14:textId="778B99FF" w:rsidR="00415577" w:rsidRPr="00885EC5" w:rsidRDefault="00415577" w:rsidP="00A96696">
      <w:pPr>
        <w:pStyle w:val="Heading2"/>
      </w:pPr>
      <w:r w:rsidRPr="00885EC5">
        <w:t>2.1</w:t>
      </w:r>
      <w:r w:rsidRPr="00885EC5">
        <w:tab/>
        <w:t>Incidences financières des travaux préparatoires en vue de la CMR-27 ainsi que des services de Terre et des services spatiaux</w:t>
      </w:r>
    </w:p>
    <w:p w14:paraId="419FC22C" w14:textId="2DF45486" w:rsidR="00415577" w:rsidRPr="00885EC5" w:rsidRDefault="00415577" w:rsidP="00A96696">
      <w:r w:rsidRPr="00885EC5">
        <w:t>La Commission de contrôle budgétaire a identifié les coûts des décisions de la CMR-23 pour ce qui est des ressources nécessaires aux travaux préparatoires en vue de la CMR-27, qui sont principalement supportés par le Département des Commissions d</w:t>
      </w:r>
      <w:r w:rsidR="00885EC5">
        <w:t>'</w:t>
      </w:r>
      <w:r w:rsidRPr="00885EC5">
        <w:t>études du BR, les coûts de mises à jour des systèmes logiciels du BR utilisés pour la notification et le traitement des demandes d</w:t>
      </w:r>
      <w:r w:rsidR="00885EC5">
        <w:t>'</w:t>
      </w:r>
      <w:r w:rsidRPr="00885EC5">
        <w:t xml:space="preserve">assignations de fréquence concernant les services de Terre ou </w:t>
      </w:r>
      <w:r w:rsidRPr="00885EC5">
        <w:lastRenderedPageBreak/>
        <w:t>les services spatiaux, ainsi que les coûts relatifs au personnel supplémentaire nécessaire pour traiter une charge de travail plus importante dans des domaines donnés. Les Tableaux</w:t>
      </w:r>
      <w:r w:rsidR="00A15080" w:rsidRPr="00885EC5">
        <w:t> </w:t>
      </w:r>
      <w:r w:rsidRPr="00885EC5">
        <w:t>2-1, 2-2 et 2-3 décrivent en détail les incidences financières des décisions de la</w:t>
      </w:r>
      <w:r w:rsidR="00A15080" w:rsidRPr="00885EC5">
        <w:t> </w:t>
      </w:r>
      <w:r w:rsidRPr="00885EC5">
        <w:t>CMR-23 s</w:t>
      </w:r>
      <w:r w:rsidR="00885EC5">
        <w:t>'</w:t>
      </w:r>
      <w:r w:rsidRPr="00885EC5">
        <w:t>agissant à la fois des coûts uniques et des coûts annuels récurrents.</w:t>
      </w:r>
    </w:p>
    <w:p w14:paraId="49959411" w14:textId="77777777" w:rsidR="00A15080" w:rsidRPr="00885EC5" w:rsidRDefault="00A15080" w:rsidP="00A96696">
      <w:pPr>
        <w:pStyle w:val="TableNo"/>
        <w:rPr>
          <w:b/>
          <w:bCs/>
        </w:rPr>
      </w:pPr>
      <w:r w:rsidRPr="00885EC5">
        <w:rPr>
          <w:b/>
          <w:bCs/>
        </w:rPr>
        <w:t>TableAU 2-1</w:t>
      </w:r>
    </w:p>
    <w:p w14:paraId="0A5E2B84" w14:textId="11CBE58D" w:rsidR="00A15080" w:rsidRPr="00885EC5" w:rsidRDefault="0023651B" w:rsidP="00116036">
      <w:pPr>
        <w:pStyle w:val="Tabletitle"/>
      </w:pPr>
      <w:r w:rsidRPr="00885EC5">
        <w:t>Coûts additionnels des travaux préparatoires en vue de la CMR-27</w:t>
      </w:r>
    </w:p>
    <w:p w14:paraId="262D71FA" w14:textId="58F7E6AD" w:rsidR="00A15080" w:rsidRPr="00885EC5" w:rsidRDefault="00A15080" w:rsidP="00A96696">
      <w:pPr>
        <w:pStyle w:val="Figure"/>
      </w:pPr>
      <w:r w:rsidRPr="00885EC5">
        <w:drawing>
          <wp:inline distT="0" distB="0" distL="0" distR="0" wp14:anchorId="6C27DBAF" wp14:editId="5606ABC1">
            <wp:extent cx="5760085" cy="2159635"/>
            <wp:effectExtent l="0" t="0" r="0" b="0"/>
            <wp:docPr id="1448641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2159635"/>
                    </a:xfrm>
                    <a:prstGeom prst="rect">
                      <a:avLst/>
                    </a:prstGeom>
                    <a:noFill/>
                    <a:ln>
                      <a:noFill/>
                    </a:ln>
                  </pic:spPr>
                </pic:pic>
              </a:graphicData>
            </a:graphic>
          </wp:inline>
        </w:drawing>
      </w:r>
    </w:p>
    <w:p w14:paraId="604C473A" w14:textId="77777777" w:rsidR="00A15080" w:rsidRPr="00885EC5" w:rsidRDefault="00A15080" w:rsidP="00A96696">
      <w:pPr>
        <w:pStyle w:val="TableNo"/>
        <w:rPr>
          <w:b/>
          <w:bCs/>
        </w:rPr>
      </w:pPr>
      <w:r w:rsidRPr="00885EC5">
        <w:rPr>
          <w:b/>
          <w:bCs/>
        </w:rPr>
        <w:t>TableAU 2-2</w:t>
      </w:r>
      <w:bookmarkStart w:id="1" w:name="_Hlk163206056"/>
    </w:p>
    <w:p w14:paraId="69555EE6" w14:textId="793A2D08" w:rsidR="00A15080" w:rsidRPr="00885EC5" w:rsidRDefault="0023651B" w:rsidP="00A96696">
      <w:pPr>
        <w:pStyle w:val="Tabletitle"/>
      </w:pPr>
      <w:r w:rsidRPr="00885EC5">
        <w:t>Coûts additionnels de l</w:t>
      </w:r>
      <w:r w:rsidR="00885EC5">
        <w:t>'</w:t>
      </w:r>
      <w:r w:rsidRPr="00885EC5">
        <w:t>élaboration de logiciels pour les services de Terre</w:t>
      </w:r>
      <w:bookmarkEnd w:id="1"/>
    </w:p>
    <w:p w14:paraId="0B268DCD" w14:textId="599976D9" w:rsidR="00A15080" w:rsidRPr="00885EC5" w:rsidRDefault="00A15080" w:rsidP="00A96696">
      <w:pPr>
        <w:pStyle w:val="Figure"/>
      </w:pPr>
      <w:r w:rsidRPr="00885EC5">
        <w:drawing>
          <wp:inline distT="0" distB="0" distL="0" distR="0" wp14:anchorId="611AA8B1" wp14:editId="56C6897B">
            <wp:extent cx="5760085" cy="16833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1683386"/>
                    </a:xfrm>
                    <a:prstGeom prst="rect">
                      <a:avLst/>
                    </a:prstGeom>
                    <a:noFill/>
                    <a:ln>
                      <a:noFill/>
                    </a:ln>
                  </pic:spPr>
                </pic:pic>
              </a:graphicData>
            </a:graphic>
          </wp:inline>
        </w:drawing>
      </w:r>
    </w:p>
    <w:p w14:paraId="6F715159" w14:textId="73C655E4" w:rsidR="00A15080" w:rsidRPr="00885EC5" w:rsidRDefault="00A15080" w:rsidP="00A96696">
      <w:r w:rsidRPr="00885EC5">
        <w:br w:type="page"/>
      </w:r>
    </w:p>
    <w:p w14:paraId="40B76231" w14:textId="77777777" w:rsidR="00A15080" w:rsidRPr="00885EC5" w:rsidRDefault="00A15080" w:rsidP="00A96696">
      <w:pPr>
        <w:pStyle w:val="TableNo"/>
        <w:rPr>
          <w:b/>
          <w:bCs/>
        </w:rPr>
      </w:pPr>
      <w:r w:rsidRPr="00885EC5">
        <w:rPr>
          <w:b/>
          <w:bCs/>
        </w:rPr>
        <w:lastRenderedPageBreak/>
        <w:t>Tableau 2-3</w:t>
      </w:r>
    </w:p>
    <w:p w14:paraId="563ED082" w14:textId="40447966" w:rsidR="00A15080" w:rsidRPr="00885EC5" w:rsidRDefault="0023651B" w:rsidP="00A96696">
      <w:pPr>
        <w:pStyle w:val="Tabletitle"/>
      </w:pPr>
      <w:r w:rsidRPr="00885EC5">
        <w:t>Coûts additionnels de l</w:t>
      </w:r>
      <w:r w:rsidR="00885EC5">
        <w:t>'</w:t>
      </w:r>
      <w:r w:rsidRPr="00885EC5">
        <w:t>élaboration de logiciels pour les services spatiaux</w:t>
      </w:r>
    </w:p>
    <w:p w14:paraId="1ADA02AB" w14:textId="73E48A6C" w:rsidR="00A15080" w:rsidRPr="00885EC5" w:rsidRDefault="00A15080" w:rsidP="00A96696">
      <w:pPr>
        <w:pStyle w:val="Figure"/>
      </w:pPr>
      <w:r w:rsidRPr="00885EC5">
        <w:drawing>
          <wp:inline distT="0" distB="0" distL="0" distR="0" wp14:anchorId="7D1B9697" wp14:editId="28EBA9F9">
            <wp:extent cx="5760085" cy="5349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5349875"/>
                    </a:xfrm>
                    <a:prstGeom prst="rect">
                      <a:avLst/>
                    </a:prstGeom>
                    <a:noFill/>
                    <a:ln>
                      <a:noFill/>
                    </a:ln>
                  </pic:spPr>
                </pic:pic>
              </a:graphicData>
            </a:graphic>
          </wp:inline>
        </w:drawing>
      </w:r>
    </w:p>
    <w:p w14:paraId="219F50B1" w14:textId="74CF5B1D" w:rsidR="00A15080" w:rsidRPr="00885EC5" w:rsidRDefault="00A15080" w:rsidP="00A96696">
      <w:pPr>
        <w:pStyle w:val="Heading1"/>
      </w:pPr>
      <w:r w:rsidRPr="00885EC5">
        <w:t>3</w:t>
      </w:r>
      <w:r w:rsidRPr="00885EC5">
        <w:tab/>
        <w:t>Incidences budgétaires pour 2024 des décisions de la CMR-23</w:t>
      </w:r>
    </w:p>
    <w:p w14:paraId="51E7668A" w14:textId="1F068B9C" w:rsidR="00A15080" w:rsidRPr="00885EC5" w:rsidRDefault="00A15080" w:rsidP="00A96696">
      <w:pPr>
        <w:pStyle w:val="Heading2"/>
      </w:pPr>
      <w:r w:rsidRPr="00885EC5">
        <w:t>3.1</w:t>
      </w:r>
      <w:r w:rsidRPr="00885EC5">
        <w:tab/>
        <w:t>Incidences budgétaires pour 2024 des travaux préparatoires en vue de la CMR-27</w:t>
      </w:r>
    </w:p>
    <w:p w14:paraId="7B84433B" w14:textId="604EEC76" w:rsidR="00E25207" w:rsidRPr="00885EC5" w:rsidRDefault="00A15080" w:rsidP="00A96696">
      <w:r w:rsidRPr="00885EC5">
        <w:t xml:space="preserve">Les travaux préparatoires en vue de la CMR-27 sont lancés par chaque </w:t>
      </w:r>
      <w:r w:rsidR="00E25207" w:rsidRPr="00885EC5">
        <w:t>C</w:t>
      </w:r>
      <w:r w:rsidRPr="00885EC5">
        <w:t>ommission d</w:t>
      </w:r>
      <w:r w:rsidR="00885EC5">
        <w:t>'</w:t>
      </w:r>
      <w:r w:rsidRPr="00885EC5">
        <w:t>études de l</w:t>
      </w:r>
      <w:r w:rsidR="00885EC5">
        <w:t>'</w:t>
      </w:r>
      <w:r w:rsidRPr="00885EC5">
        <w:t>UIT-R et les groupes de travail qui leur sont associés, conformément aux résultats et aux décisions de la première session de la Réunion de préparation à la Conférence en vue de la CMR-27 tenue à Dubaï (Émirats arabes unis) les 18 et 19 décembre 2023, qui figurent dans le Document </w:t>
      </w:r>
      <w:hyperlink r:id="rId20" w:history="1">
        <w:r w:rsidRPr="00885EC5">
          <w:rPr>
            <w:rStyle w:val="Hyperlink"/>
          </w:rPr>
          <w:t>CA</w:t>
        </w:r>
        <w:r w:rsidRPr="00885EC5">
          <w:rPr>
            <w:rStyle w:val="Hyperlink"/>
          </w:rPr>
          <w:t>-</w:t>
        </w:r>
        <w:r w:rsidRPr="00885EC5">
          <w:rPr>
            <w:rStyle w:val="Hyperlink"/>
          </w:rPr>
          <w:t>270</w:t>
        </w:r>
      </w:hyperlink>
      <w:r w:rsidRPr="00885EC5">
        <w:t>. La Commission de contrôle budgétaire a constaté que certains points de l</w:t>
      </w:r>
      <w:r w:rsidR="00885EC5">
        <w:t>'</w:t>
      </w:r>
      <w:r w:rsidRPr="00885EC5">
        <w:t>ordre du jour de la CMR-27 appelleront la tenue d</w:t>
      </w:r>
      <w:r w:rsidR="00885EC5">
        <w:t>'</w:t>
      </w:r>
      <w:r w:rsidRPr="00885EC5">
        <w:t>un plus grand nombre de réunions et la production d</w:t>
      </w:r>
      <w:r w:rsidR="00885EC5">
        <w:t>'</w:t>
      </w:r>
      <w:r w:rsidRPr="00885EC5">
        <w:t xml:space="preserve">une documentation plus importante que ce qui est prévu actuellement. </w:t>
      </w:r>
      <w:r w:rsidR="00E25207" w:rsidRPr="00885EC5">
        <w:br w:type="page"/>
      </w:r>
    </w:p>
    <w:p w14:paraId="4C9612F1" w14:textId="3347A21B" w:rsidR="00A15080" w:rsidRPr="00885EC5" w:rsidRDefault="00A15080" w:rsidP="00A96696">
      <w:r w:rsidRPr="00885EC5">
        <w:lastRenderedPageBreak/>
        <w:t xml:space="preserve">Toutefois, ces coûts ne seraient pas supportés en 2024 car les </w:t>
      </w:r>
      <w:r w:rsidR="00E25207" w:rsidRPr="00885EC5">
        <w:t>C</w:t>
      </w:r>
      <w:r w:rsidRPr="00885EC5">
        <w:t>ommissions d</w:t>
      </w:r>
      <w:r w:rsidR="00885EC5">
        <w:t>'</w:t>
      </w:r>
      <w:r w:rsidRPr="00885EC5">
        <w:t>études de l</w:t>
      </w:r>
      <w:r w:rsidR="00885EC5">
        <w:t>'</w:t>
      </w:r>
      <w:r w:rsidRPr="00885EC5">
        <w:t>UIT-R et les groupes de travail qui leur sont associés entament tout juste le processus préparatoire et la structuration de leurs programmes de travail et des études à mener. Pour cette raison, aucun des coûts associés aux travaux préparatoires en vue de la CMR-27 ne sera supporté en 2024.</w:t>
      </w:r>
    </w:p>
    <w:p w14:paraId="59269071" w14:textId="3746BA6C" w:rsidR="00A15080" w:rsidRPr="00885EC5" w:rsidRDefault="00A15080" w:rsidP="00A96696">
      <w:pPr>
        <w:pStyle w:val="Heading2"/>
      </w:pPr>
      <w:r w:rsidRPr="00885EC5">
        <w:t>3.2</w:t>
      </w:r>
      <w:r w:rsidRPr="00885EC5">
        <w:tab/>
        <w:t>Incidences budgétaires pour 2024 des décisions de la CMR-23 concernant les services de Terre et les services spatiaux</w:t>
      </w:r>
    </w:p>
    <w:p w14:paraId="2F6A9861" w14:textId="0A997A03" w:rsidR="00A15080" w:rsidRPr="00885EC5" w:rsidRDefault="00A15080" w:rsidP="00A96696">
      <w:r w:rsidRPr="00885EC5">
        <w:t>L</w:t>
      </w:r>
      <w:r w:rsidR="00885EC5">
        <w:t>'</w:t>
      </w:r>
      <w:r w:rsidRPr="00885EC5">
        <w:t>élaboration de nouveaux logiciels nécessaires à la mise en œuvre des décisions de la CMR</w:t>
      </w:r>
      <w:r w:rsidRPr="00885EC5">
        <w:noBreakHyphen/>
        <w:t>23 concernant les services de Terre et les services spatiaux supposerait un coût unique pour le BR. Le budget correspondant est nécessaire en 2024, afin que ces travaux puissent être menés avant l</w:t>
      </w:r>
      <w:r w:rsidR="00885EC5">
        <w:t>'</w:t>
      </w:r>
      <w:r w:rsidRPr="00885EC5">
        <w:t>entrée en vigueur au 1er janvier 2025 du Règlement des radiocommunications (édition 2024). Le Tableau 3-1 montre les coûts que représente pour le BR en 2024 la mise en œuvre des décisions de la Conférence concernant les services de Terre et les services spatiaux.</w:t>
      </w:r>
    </w:p>
    <w:p w14:paraId="7AE2E602" w14:textId="77777777" w:rsidR="00A15080" w:rsidRPr="00885EC5" w:rsidRDefault="00A15080" w:rsidP="00A96696">
      <w:pPr>
        <w:pStyle w:val="TableNo"/>
        <w:rPr>
          <w:b/>
          <w:bCs/>
        </w:rPr>
      </w:pPr>
      <w:r w:rsidRPr="00885EC5">
        <w:rPr>
          <w:b/>
          <w:bCs/>
        </w:rPr>
        <w:t>TABLEAU 3-1</w:t>
      </w:r>
    </w:p>
    <w:p w14:paraId="6D9EC9D8" w14:textId="0A624FC1" w:rsidR="00A15080" w:rsidRPr="00885EC5" w:rsidRDefault="0023651B" w:rsidP="00A96696">
      <w:pPr>
        <w:pStyle w:val="Tabletitle"/>
        <w:rPr>
          <w:rFonts w:asciiTheme="minorHAnsi" w:hAnsiTheme="minorHAnsi" w:cstheme="minorHAnsi"/>
          <w:sz w:val="26"/>
          <w:szCs w:val="26"/>
        </w:rPr>
      </w:pPr>
      <w:r w:rsidRPr="00885EC5">
        <w:t>Budget 2024 nécessaire à l</w:t>
      </w:r>
      <w:r w:rsidR="00885EC5">
        <w:t>'</w:t>
      </w:r>
      <w:r w:rsidRPr="00885EC5">
        <w:t xml:space="preserve">élaboration de logiciels pour </w:t>
      </w:r>
      <w:r w:rsidR="00E25207" w:rsidRPr="00885EC5">
        <w:br/>
      </w:r>
      <w:r w:rsidRPr="00885EC5">
        <w:t>les services de terre et les services spatiaux</w:t>
      </w:r>
    </w:p>
    <w:tbl>
      <w:tblPr>
        <w:tblW w:w="8724" w:type="dxa"/>
        <w:tblInd w:w="-5" w:type="dxa"/>
        <w:tblLook w:val="04A0" w:firstRow="1" w:lastRow="0" w:firstColumn="1" w:lastColumn="0" w:noHBand="0" w:noVBand="1"/>
      </w:tblPr>
      <w:tblGrid>
        <w:gridCol w:w="7224"/>
        <w:gridCol w:w="1500"/>
      </w:tblGrid>
      <w:tr w:rsidR="00A15080" w:rsidRPr="00885EC5" w14:paraId="2DCD4DDB" w14:textId="77777777" w:rsidTr="00EC5A74">
        <w:trPr>
          <w:trHeight w:val="300"/>
        </w:trPr>
        <w:tc>
          <w:tcPr>
            <w:tcW w:w="7224" w:type="dxa"/>
            <w:tcBorders>
              <w:top w:val="nil"/>
              <w:left w:val="nil"/>
              <w:bottom w:val="nil"/>
              <w:right w:val="nil"/>
            </w:tcBorders>
            <w:shd w:val="clear" w:color="auto" w:fill="auto"/>
            <w:noWrap/>
            <w:vAlign w:val="bottom"/>
            <w:hideMark/>
          </w:tcPr>
          <w:p w14:paraId="7FB24BB1" w14:textId="77777777" w:rsidR="00A15080" w:rsidRPr="00885EC5" w:rsidRDefault="00A15080" w:rsidP="00A96696">
            <w:pPr>
              <w:rPr>
                <w:rFonts w:ascii="Times New Roman" w:hAnsi="Times New Roman"/>
                <w:b/>
                <w:szCs w:val="24"/>
                <w:lang w:eastAsia="en-GB"/>
              </w:rPr>
            </w:pPr>
          </w:p>
        </w:tc>
        <w:tc>
          <w:tcPr>
            <w:tcW w:w="1500" w:type="dxa"/>
            <w:tcBorders>
              <w:top w:val="nil"/>
              <w:left w:val="nil"/>
              <w:bottom w:val="nil"/>
              <w:right w:val="nil"/>
            </w:tcBorders>
            <w:shd w:val="clear" w:color="auto" w:fill="auto"/>
            <w:noWrap/>
            <w:vAlign w:val="bottom"/>
            <w:hideMark/>
          </w:tcPr>
          <w:p w14:paraId="760EB89D" w14:textId="77777777" w:rsidR="00A15080" w:rsidRPr="00885EC5" w:rsidRDefault="00A15080" w:rsidP="00A96696">
            <w:pPr>
              <w:rPr>
                <w:rFonts w:ascii="Times New Roman" w:hAnsi="Times New Roman"/>
                <w:b/>
                <w:sz w:val="20"/>
                <w:lang w:eastAsia="en-GB"/>
              </w:rPr>
            </w:pPr>
          </w:p>
        </w:tc>
      </w:tr>
      <w:tr w:rsidR="00A15080" w:rsidRPr="00885EC5" w14:paraId="79FC7AA3" w14:textId="77777777" w:rsidTr="00EC5A74">
        <w:trPr>
          <w:trHeight w:val="300"/>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3096E9" w14:textId="77777777" w:rsidR="00A15080" w:rsidRPr="00885EC5" w:rsidRDefault="00A15080" w:rsidP="00A96696">
            <w:pPr>
              <w:pStyle w:val="Tablehead"/>
              <w:rPr>
                <w:lang w:eastAsia="en-GB"/>
              </w:rPr>
            </w:pPr>
            <w:r w:rsidRPr="00885EC5">
              <w:rPr>
                <w:lang w:eastAsia="en-GB"/>
              </w:rPr>
              <w:t>CMR-23/Actes finals – Référence et description</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3B1A4601" w14:textId="77777777" w:rsidR="00A15080" w:rsidRPr="00885EC5" w:rsidRDefault="00A15080" w:rsidP="00A96696">
            <w:pPr>
              <w:pStyle w:val="Tabletext"/>
              <w:jc w:val="center"/>
              <w:rPr>
                <w:b/>
                <w:bCs/>
                <w:lang w:eastAsia="en-GB"/>
              </w:rPr>
            </w:pPr>
            <w:r w:rsidRPr="00885EC5">
              <w:rPr>
                <w:b/>
                <w:bCs/>
                <w:lang w:eastAsia="en-GB"/>
              </w:rPr>
              <w:t>CHF</w:t>
            </w:r>
          </w:p>
        </w:tc>
      </w:tr>
      <w:tr w:rsidR="00A15080" w:rsidRPr="00885EC5" w14:paraId="38D8218E" w14:textId="77777777" w:rsidTr="00CD3BB9">
        <w:trPr>
          <w:trHeight w:val="300"/>
        </w:trPr>
        <w:tc>
          <w:tcPr>
            <w:tcW w:w="8724" w:type="dxa"/>
            <w:gridSpan w:val="2"/>
            <w:tcBorders>
              <w:top w:val="nil"/>
              <w:left w:val="single" w:sz="8" w:space="0" w:color="auto"/>
              <w:bottom w:val="single" w:sz="4" w:space="0" w:color="auto"/>
              <w:right w:val="single" w:sz="8" w:space="0" w:color="auto"/>
            </w:tcBorders>
            <w:shd w:val="clear" w:color="auto" w:fill="FBD4B4" w:themeFill="accent6" w:themeFillTint="66"/>
            <w:vAlign w:val="center"/>
            <w:hideMark/>
          </w:tcPr>
          <w:p w14:paraId="65F9BD18" w14:textId="77777777" w:rsidR="00A15080" w:rsidRPr="00885EC5" w:rsidRDefault="00A15080" w:rsidP="00A96696">
            <w:pPr>
              <w:pStyle w:val="Tabletext"/>
              <w:jc w:val="center"/>
              <w:rPr>
                <w:b/>
                <w:bCs/>
                <w:lang w:eastAsia="en-GB"/>
              </w:rPr>
            </w:pPr>
            <w:r w:rsidRPr="00885EC5">
              <w:rPr>
                <w:b/>
                <w:bCs/>
                <w:lang w:eastAsia="en-GB"/>
              </w:rPr>
              <w:t>Élaboration de logiciels pour les services de radiocommunication de Terre</w:t>
            </w:r>
          </w:p>
        </w:tc>
      </w:tr>
      <w:tr w:rsidR="00A15080" w:rsidRPr="00885EC5" w14:paraId="3AA38D9D" w14:textId="77777777" w:rsidTr="00441846">
        <w:trPr>
          <w:trHeight w:val="63"/>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568C0446" w14:textId="77777777" w:rsidR="00A15080" w:rsidRPr="00885EC5" w:rsidRDefault="00A15080" w:rsidP="00FC4CE3">
            <w:pPr>
              <w:pStyle w:val="Tabletext"/>
              <w:rPr>
                <w:lang w:eastAsia="en-GB"/>
              </w:rPr>
            </w:pPr>
            <w:r w:rsidRPr="00885EC5">
              <w:rPr>
                <w:lang w:eastAsia="en-GB"/>
              </w:rPr>
              <w:t>Nouvelles conditions et nouveaux calculs de limites de puissance surfacique pour les stations HIBS</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548CDA67" w14:textId="77777777" w:rsidR="00A15080" w:rsidRPr="00885EC5" w:rsidRDefault="00A15080" w:rsidP="00FC4CE3">
            <w:pPr>
              <w:pStyle w:val="Tabletext"/>
              <w:jc w:val="center"/>
              <w:rPr>
                <w:lang w:eastAsia="en-GB"/>
              </w:rPr>
            </w:pPr>
            <w:r w:rsidRPr="00885EC5">
              <w:rPr>
                <w:lang w:eastAsia="en-GB"/>
              </w:rPr>
              <w:t>175 284,00</w:t>
            </w:r>
          </w:p>
        </w:tc>
      </w:tr>
      <w:tr w:rsidR="00A15080" w:rsidRPr="00885EC5" w14:paraId="0B18F592" w14:textId="77777777" w:rsidTr="00441846">
        <w:trPr>
          <w:trHeight w:val="284"/>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2F7CA4F7" w14:textId="53569CEA" w:rsidR="00A15080" w:rsidRPr="00885EC5" w:rsidRDefault="00A15080" w:rsidP="00FC4CE3">
            <w:pPr>
              <w:pStyle w:val="Tabletext"/>
              <w:rPr>
                <w:lang w:eastAsia="en-GB"/>
              </w:rPr>
            </w:pPr>
            <w:r w:rsidRPr="00885EC5">
              <w:rPr>
                <w:lang w:eastAsia="en-GB"/>
              </w:rPr>
              <w:t>Calcul de la limite de puissance surfacique des IMT avec la directivité de l</w:t>
            </w:r>
            <w:r w:rsidR="00885EC5">
              <w:rPr>
                <w:lang w:eastAsia="en-GB"/>
              </w:rPr>
              <w:t>'</w:t>
            </w:r>
            <w:r w:rsidRPr="00885EC5">
              <w:rPr>
                <w:lang w:eastAsia="en-GB"/>
              </w:rPr>
              <w:t xml:space="preserve">antenne associée au titre du numéro </w:t>
            </w:r>
            <w:r w:rsidRPr="00533605">
              <w:rPr>
                <w:b/>
                <w:bCs/>
                <w:lang w:eastAsia="en-GB"/>
              </w:rPr>
              <w:t>5.441B</w:t>
            </w:r>
            <w:r w:rsidRPr="00885EC5">
              <w:rPr>
                <w:i/>
                <w:iCs/>
                <w:vertAlign w:val="superscript"/>
                <w:lang w:eastAsia="en-GB"/>
              </w:rPr>
              <w:t>Note 1</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5BD164E8" w14:textId="77777777" w:rsidR="00A15080" w:rsidRPr="00885EC5" w:rsidRDefault="00A15080" w:rsidP="00FC4CE3">
            <w:pPr>
              <w:pStyle w:val="Tabletext"/>
              <w:jc w:val="center"/>
              <w:rPr>
                <w:lang w:eastAsia="en-GB"/>
              </w:rPr>
            </w:pPr>
            <w:r w:rsidRPr="00885EC5">
              <w:rPr>
                <w:lang w:eastAsia="en-GB"/>
              </w:rPr>
              <w:t>52 585,00</w:t>
            </w:r>
          </w:p>
        </w:tc>
      </w:tr>
      <w:tr w:rsidR="00A15080" w:rsidRPr="00885EC5" w14:paraId="26159789"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57919AFC" w14:textId="77777777" w:rsidR="00A15080" w:rsidRPr="00885EC5" w:rsidRDefault="00A15080" w:rsidP="00FC4CE3">
            <w:pPr>
              <w:pStyle w:val="Tabletext"/>
              <w:rPr>
                <w:vertAlign w:val="superscript"/>
                <w:lang w:eastAsia="en-GB"/>
              </w:rPr>
            </w:pPr>
            <w:r w:rsidRPr="00885EC5">
              <w:rPr>
                <w:lang w:eastAsia="en-GB"/>
              </w:rPr>
              <w:t>Nouveau gabarit spectral IMT pour la bande de fréquences des 6 GHz</w:t>
            </w:r>
            <w:r w:rsidRPr="00885EC5">
              <w:rPr>
                <w:i/>
                <w:iCs/>
                <w:vertAlign w:val="superscript"/>
                <w:lang w:eastAsia="en-GB"/>
              </w:rPr>
              <w:t>Note 2</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07F39130" w14:textId="77777777" w:rsidR="00A15080" w:rsidRPr="00885EC5" w:rsidRDefault="00A15080" w:rsidP="00FC4CE3">
            <w:pPr>
              <w:pStyle w:val="Tabletext"/>
              <w:jc w:val="center"/>
              <w:rPr>
                <w:lang w:eastAsia="en-GB"/>
              </w:rPr>
            </w:pPr>
            <w:r w:rsidRPr="00885EC5">
              <w:rPr>
                <w:lang w:eastAsia="en-GB"/>
              </w:rPr>
              <w:t>70 144,00</w:t>
            </w:r>
          </w:p>
        </w:tc>
      </w:tr>
      <w:tr w:rsidR="00A15080" w:rsidRPr="00885EC5" w14:paraId="21D16461" w14:textId="77777777" w:rsidTr="00441846">
        <w:trPr>
          <w:trHeight w:val="63"/>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256325FB" w14:textId="77777777" w:rsidR="00A15080" w:rsidRPr="00885EC5" w:rsidRDefault="00A15080" w:rsidP="00FC4CE3">
            <w:pPr>
              <w:pStyle w:val="Tabletext"/>
              <w:rPr>
                <w:lang w:eastAsia="en-GB"/>
              </w:rPr>
            </w:pPr>
            <w:r w:rsidRPr="00885EC5">
              <w:rPr>
                <w:lang w:eastAsia="en-GB"/>
              </w:rPr>
              <w:t>Nouvelle limite de puissance surfacique du SMA(OR) pour la protection des services existants dans la bande de fréquences des 22 GHz</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67B4E566" w14:textId="77777777" w:rsidR="00A15080" w:rsidRPr="00885EC5" w:rsidRDefault="00A15080" w:rsidP="00FC4CE3">
            <w:pPr>
              <w:pStyle w:val="Tabletext"/>
              <w:jc w:val="center"/>
              <w:rPr>
                <w:lang w:eastAsia="en-GB"/>
              </w:rPr>
            </w:pPr>
            <w:r w:rsidRPr="00885EC5">
              <w:rPr>
                <w:lang w:eastAsia="en-GB"/>
              </w:rPr>
              <w:t>52 585,00</w:t>
            </w:r>
          </w:p>
        </w:tc>
      </w:tr>
      <w:tr w:rsidR="00A15080" w:rsidRPr="00885EC5" w14:paraId="4022B3C2"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04AD69" w14:textId="77777777" w:rsidR="00A15080" w:rsidRPr="00885EC5" w:rsidRDefault="00A15080" w:rsidP="00FC4CE3">
            <w:pPr>
              <w:pStyle w:val="Tabletext"/>
              <w:rPr>
                <w:b/>
                <w:bCs/>
                <w:lang w:eastAsia="en-GB"/>
              </w:rPr>
            </w:pPr>
            <w:r w:rsidRPr="00885EC5">
              <w:rPr>
                <w:b/>
                <w:bCs/>
                <w:lang w:eastAsia="en-GB"/>
              </w:rPr>
              <w:t>Total</w:t>
            </w:r>
          </w:p>
        </w:tc>
        <w:tc>
          <w:tcPr>
            <w:tcW w:w="150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7D7C9F" w14:textId="77777777" w:rsidR="00A15080" w:rsidRPr="00885EC5" w:rsidRDefault="00A15080" w:rsidP="00FC4CE3">
            <w:pPr>
              <w:pStyle w:val="Tabletext"/>
              <w:jc w:val="center"/>
              <w:rPr>
                <w:b/>
                <w:bCs/>
                <w:lang w:eastAsia="en-GB"/>
              </w:rPr>
            </w:pPr>
            <w:r w:rsidRPr="00885EC5">
              <w:rPr>
                <w:b/>
                <w:bCs/>
                <w:lang w:eastAsia="en-GB"/>
              </w:rPr>
              <w:t>350 568,00</w:t>
            </w:r>
          </w:p>
        </w:tc>
      </w:tr>
      <w:tr w:rsidR="00A15080" w:rsidRPr="00885EC5" w14:paraId="3690B551" w14:textId="77777777" w:rsidTr="00EC5A74">
        <w:trPr>
          <w:trHeight w:val="300"/>
        </w:trPr>
        <w:tc>
          <w:tcPr>
            <w:tcW w:w="87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56E4B5" w14:textId="4FF30DB5" w:rsidR="00A15080" w:rsidRPr="00885EC5" w:rsidRDefault="00A15080" w:rsidP="00A96696">
            <w:pPr>
              <w:pStyle w:val="Tabletext"/>
              <w:jc w:val="center"/>
              <w:rPr>
                <w:b/>
                <w:bCs/>
                <w:lang w:eastAsia="en-GB"/>
              </w:rPr>
            </w:pPr>
            <w:r w:rsidRPr="00885EC5">
              <w:rPr>
                <w:b/>
                <w:bCs/>
                <w:lang w:eastAsia="en-GB"/>
              </w:rPr>
              <w:t>Élaboration de logiciels pour les services spatiaux de radiocommunication</w:t>
            </w:r>
          </w:p>
        </w:tc>
      </w:tr>
      <w:tr w:rsidR="00A15080" w:rsidRPr="00885EC5" w14:paraId="6F527DDF" w14:textId="77777777" w:rsidTr="00CD3BB9">
        <w:trPr>
          <w:trHeight w:val="65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6888BBCA" w14:textId="5C2A1920" w:rsidR="00A15080" w:rsidRPr="00885EC5" w:rsidRDefault="00A15080" w:rsidP="00FC4CE3">
            <w:pPr>
              <w:pStyle w:val="Tabletext"/>
              <w:rPr>
                <w:lang w:eastAsia="en-GB"/>
              </w:rPr>
            </w:pPr>
            <w:r w:rsidRPr="00885EC5">
              <w:rPr>
                <w:lang w:eastAsia="en-GB"/>
              </w:rPr>
              <w:t>Rés</w:t>
            </w:r>
            <w:r w:rsidR="00EC5A74" w:rsidRPr="00885EC5">
              <w:rPr>
                <w:lang w:eastAsia="en-GB"/>
              </w:rPr>
              <w:t>olution</w:t>
            </w:r>
            <w:r w:rsidRPr="00885EC5">
              <w:rPr>
                <w:lang w:eastAsia="en-GB"/>
              </w:rPr>
              <w:t xml:space="preserve"> </w:t>
            </w:r>
            <w:r w:rsidRPr="00885EC5">
              <w:rPr>
                <w:b/>
                <w:bCs/>
                <w:lang w:eastAsia="en-GB"/>
              </w:rPr>
              <w:t>406 (CMR-23)</w:t>
            </w:r>
            <w:r w:rsidRPr="00885EC5">
              <w:rPr>
                <w:lang w:eastAsia="en-GB"/>
              </w:rPr>
              <w:t>: SMA(R) dans la bande de fréquences 117,975</w:t>
            </w:r>
            <w:r w:rsidR="00EC5A74" w:rsidRPr="00885EC5">
              <w:rPr>
                <w:lang w:eastAsia="en-GB"/>
              </w:rPr>
              <w:noBreakHyphen/>
            </w:r>
            <w:r w:rsidRPr="00885EC5">
              <w:rPr>
                <w:lang w:eastAsia="en-GB"/>
              </w:rPr>
              <w:t>137 MHz</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60992CA4" w14:textId="77777777" w:rsidR="00A15080" w:rsidRPr="00885EC5" w:rsidRDefault="00A15080" w:rsidP="00FC4CE3">
            <w:pPr>
              <w:pStyle w:val="Tabletext"/>
              <w:jc w:val="center"/>
              <w:rPr>
                <w:lang w:eastAsia="en-GB"/>
              </w:rPr>
            </w:pPr>
            <w:r w:rsidRPr="00885EC5">
              <w:rPr>
                <w:lang w:eastAsia="en-GB"/>
              </w:rPr>
              <w:t>43 821,00</w:t>
            </w:r>
          </w:p>
        </w:tc>
      </w:tr>
      <w:tr w:rsidR="00A15080" w:rsidRPr="00885EC5" w14:paraId="50BA49EA" w14:textId="77777777" w:rsidTr="00441846">
        <w:trPr>
          <w:trHeight w:val="63"/>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4AB3BC3D" w14:textId="2EEA9A80"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678 (CMR-23)</w:t>
            </w:r>
            <w:r w:rsidR="00A15080" w:rsidRPr="00885EC5">
              <w:rPr>
                <w:lang w:eastAsia="en-GB"/>
              </w:rPr>
              <w:t>: Service de recherche spatiale dans la bande de fréquences 14,8-15,35 GHz</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6C493D1C" w14:textId="77777777" w:rsidR="00A15080" w:rsidRPr="00885EC5" w:rsidRDefault="00A15080" w:rsidP="00FC4CE3">
            <w:pPr>
              <w:pStyle w:val="Tabletext"/>
              <w:jc w:val="center"/>
              <w:rPr>
                <w:lang w:eastAsia="en-GB"/>
              </w:rPr>
            </w:pPr>
            <w:r w:rsidRPr="00885EC5">
              <w:rPr>
                <w:lang w:eastAsia="en-GB"/>
              </w:rPr>
              <w:t>78 877,80</w:t>
            </w:r>
          </w:p>
        </w:tc>
      </w:tr>
      <w:tr w:rsidR="00A15080" w:rsidRPr="00885EC5" w14:paraId="2D6BD903"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15B281D5" w14:textId="5E49BFCF"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121 (CMR-23)</w:t>
            </w:r>
            <w:r w:rsidR="00A15080" w:rsidRPr="00885EC5">
              <w:rPr>
                <w:lang w:eastAsia="en-GB"/>
              </w:rPr>
              <w:t>: Stations ESIM relevant de l</w:t>
            </w:r>
            <w:r w:rsidR="00885EC5">
              <w:rPr>
                <w:lang w:eastAsia="en-GB"/>
              </w:rPr>
              <w:t>'</w:t>
            </w:r>
            <w:r w:rsidR="00A15080" w:rsidRPr="00885EC5">
              <w:rPr>
                <w:lang w:eastAsia="en-GB"/>
              </w:rPr>
              <w:t xml:space="preserve">Appendice </w:t>
            </w:r>
            <w:r w:rsidR="00A15080" w:rsidRPr="00885EC5">
              <w:rPr>
                <w:b/>
                <w:bCs/>
                <w:lang w:eastAsia="en-GB"/>
              </w:rPr>
              <w:t>30B</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7C2B8A76" w14:textId="77777777" w:rsidR="00A15080" w:rsidRPr="00885EC5" w:rsidRDefault="00A15080" w:rsidP="00FC4CE3">
            <w:pPr>
              <w:pStyle w:val="Tabletext"/>
              <w:jc w:val="center"/>
              <w:rPr>
                <w:lang w:eastAsia="en-GB"/>
              </w:rPr>
            </w:pPr>
            <w:r w:rsidRPr="00885EC5">
              <w:rPr>
                <w:lang w:eastAsia="en-GB"/>
              </w:rPr>
              <w:t>438 210,00</w:t>
            </w:r>
          </w:p>
        </w:tc>
      </w:tr>
      <w:tr w:rsidR="00A15080" w:rsidRPr="00885EC5" w14:paraId="6A540055"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1D712394" w14:textId="04E1BAF4"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123 (CMR-23)</w:t>
            </w:r>
            <w:r w:rsidR="00A15080" w:rsidRPr="00885EC5">
              <w:rPr>
                <w:lang w:eastAsia="en-GB"/>
              </w:rPr>
              <w:t>: Stations ESIM non OSG</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186EB64A" w14:textId="77777777" w:rsidR="00A15080" w:rsidRPr="00885EC5" w:rsidRDefault="00A15080" w:rsidP="00FC4CE3">
            <w:pPr>
              <w:pStyle w:val="Tabletext"/>
              <w:jc w:val="center"/>
              <w:rPr>
                <w:lang w:eastAsia="en-GB"/>
              </w:rPr>
            </w:pPr>
            <w:r w:rsidRPr="00885EC5">
              <w:rPr>
                <w:lang w:eastAsia="en-GB"/>
              </w:rPr>
              <w:t>350 568,00</w:t>
            </w:r>
          </w:p>
        </w:tc>
      </w:tr>
      <w:tr w:rsidR="00A15080" w:rsidRPr="00885EC5" w14:paraId="6A90E648" w14:textId="77777777" w:rsidTr="00CD3BB9">
        <w:trPr>
          <w:trHeight w:val="59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339DB9B6" w14:textId="0D7F4FDE"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679 (CMR-23)</w:t>
            </w:r>
            <w:r w:rsidR="00A15080" w:rsidRPr="00885EC5">
              <w:rPr>
                <w:lang w:eastAsia="en-GB"/>
              </w:rPr>
              <w:t>: Liaisons inter-satellites (protection des services spatiaux et de Terre)</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44EA461F" w14:textId="77777777" w:rsidR="00A15080" w:rsidRPr="00885EC5" w:rsidRDefault="00A15080" w:rsidP="00FC4CE3">
            <w:pPr>
              <w:pStyle w:val="Tabletext"/>
              <w:jc w:val="center"/>
              <w:rPr>
                <w:lang w:eastAsia="en-GB"/>
              </w:rPr>
            </w:pPr>
            <w:r w:rsidRPr="00885EC5">
              <w:rPr>
                <w:lang w:eastAsia="en-GB"/>
              </w:rPr>
              <w:t>350 568,00</w:t>
            </w:r>
          </w:p>
        </w:tc>
      </w:tr>
      <w:tr w:rsidR="00E25207" w:rsidRPr="00885EC5" w14:paraId="3E4399CA"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vAlign w:val="center"/>
          </w:tcPr>
          <w:p w14:paraId="15FE6EA7" w14:textId="34065AAD" w:rsidR="00E25207" w:rsidRPr="00885EC5" w:rsidRDefault="00E25207" w:rsidP="00E25207">
            <w:pPr>
              <w:pStyle w:val="Tablehead"/>
              <w:rPr>
                <w:lang w:eastAsia="en-GB"/>
              </w:rPr>
            </w:pPr>
            <w:r w:rsidRPr="00885EC5">
              <w:rPr>
                <w:lang w:eastAsia="en-GB"/>
              </w:rPr>
              <w:lastRenderedPageBreak/>
              <w:t>CMR-23/Actes finals – Référence et description</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CE7A8CD" w14:textId="72D163EE" w:rsidR="00E25207" w:rsidRPr="00885EC5" w:rsidRDefault="00E25207" w:rsidP="00E25207">
            <w:pPr>
              <w:pStyle w:val="Tablehead"/>
              <w:rPr>
                <w:lang w:eastAsia="en-GB"/>
              </w:rPr>
            </w:pPr>
            <w:r w:rsidRPr="00885EC5">
              <w:rPr>
                <w:lang w:eastAsia="en-GB"/>
              </w:rPr>
              <w:t>CHF</w:t>
            </w:r>
          </w:p>
        </w:tc>
      </w:tr>
      <w:tr w:rsidR="00E25207" w:rsidRPr="00885EC5" w14:paraId="7FEDD290" w14:textId="77777777" w:rsidTr="00CD3BB9">
        <w:trPr>
          <w:trHeight w:val="300"/>
        </w:trPr>
        <w:tc>
          <w:tcPr>
            <w:tcW w:w="87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A998E1D" w14:textId="39F4AF55" w:rsidR="00E25207" w:rsidRPr="00885EC5" w:rsidRDefault="00E25207" w:rsidP="00E25207">
            <w:pPr>
              <w:pStyle w:val="Tablehead"/>
              <w:rPr>
                <w:lang w:eastAsia="en-GB"/>
              </w:rPr>
            </w:pPr>
            <w:r w:rsidRPr="00885EC5">
              <w:rPr>
                <w:bCs/>
                <w:lang w:eastAsia="en-GB"/>
              </w:rPr>
              <w:t>Élaboration de logiciels pour les services spatiaux de radiocommunication</w:t>
            </w:r>
          </w:p>
        </w:tc>
      </w:tr>
      <w:tr w:rsidR="00A15080" w:rsidRPr="00885EC5" w14:paraId="1C8BAAA9"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53DF3BE3" w14:textId="5538B828"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8 (CMR-23)</w:t>
            </w:r>
            <w:r w:rsidR="00A15080" w:rsidRPr="00885EC5">
              <w:rPr>
                <w:lang w:eastAsia="en-GB"/>
              </w:rPr>
              <w:t>: Tolérances pour certaines caractéristiques orbitales des stations spatiales non OSG</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3609443D" w14:textId="77777777" w:rsidR="00A15080" w:rsidRPr="00885EC5" w:rsidRDefault="00A15080" w:rsidP="00FC4CE3">
            <w:pPr>
              <w:pStyle w:val="Tabletext"/>
              <w:jc w:val="center"/>
              <w:rPr>
                <w:lang w:eastAsia="en-GB"/>
              </w:rPr>
            </w:pPr>
            <w:r w:rsidRPr="00885EC5">
              <w:rPr>
                <w:lang w:eastAsia="en-GB"/>
              </w:rPr>
              <w:t>262 926,00</w:t>
            </w:r>
          </w:p>
        </w:tc>
      </w:tr>
      <w:tr w:rsidR="00A15080" w:rsidRPr="00885EC5" w14:paraId="7AC101BA"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351EC859" w14:textId="7C9CD647"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C (CMR-23): Protection des réseaux OSG du SMS dans les bandes des 7/8 GHz et des 20/30 GHz</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78F8C596" w14:textId="77777777" w:rsidR="00A15080" w:rsidRPr="00885EC5" w:rsidRDefault="00A15080" w:rsidP="00FC4CE3">
            <w:pPr>
              <w:pStyle w:val="Tabletext"/>
              <w:jc w:val="center"/>
              <w:rPr>
                <w:lang w:eastAsia="en-GB"/>
              </w:rPr>
            </w:pPr>
            <w:r w:rsidRPr="00885EC5">
              <w:rPr>
                <w:lang w:eastAsia="en-GB"/>
              </w:rPr>
              <w:t>43 821,00</w:t>
            </w:r>
          </w:p>
        </w:tc>
      </w:tr>
      <w:tr w:rsidR="00A15080" w:rsidRPr="00885EC5" w14:paraId="2EB58EC3"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596C2EAF" w14:textId="1D0201CC"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D2 (CMR-23): Paramètres de l</w:t>
            </w:r>
            <w:r w:rsidR="00885EC5">
              <w:rPr>
                <w:lang w:eastAsia="en-GB"/>
              </w:rPr>
              <w:t>'</w:t>
            </w:r>
            <w:r w:rsidRPr="00885EC5">
              <w:rPr>
                <w:lang w:eastAsia="en-GB"/>
              </w:rPr>
              <w:t>Appendice</w:t>
            </w:r>
            <w:r w:rsidR="00EC5A74" w:rsidRPr="00885EC5">
              <w:rPr>
                <w:lang w:eastAsia="en-GB"/>
              </w:rPr>
              <w:t> </w:t>
            </w:r>
            <w:r w:rsidRPr="00885EC5">
              <w:rPr>
                <w:b/>
                <w:bCs/>
                <w:lang w:eastAsia="en-GB"/>
              </w:rPr>
              <w:t>4</w:t>
            </w:r>
            <w:r w:rsidRPr="00885EC5">
              <w:rPr>
                <w:lang w:eastAsia="en-GB"/>
              </w:rPr>
              <w:t xml:space="preserve"> pour les mises à jour de la Recommandation UIT-R S.1503</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2647E1FE" w14:textId="77777777" w:rsidR="00A15080" w:rsidRPr="00885EC5" w:rsidRDefault="00A15080" w:rsidP="00FC4CE3">
            <w:pPr>
              <w:pStyle w:val="Tabletext"/>
              <w:jc w:val="center"/>
              <w:rPr>
                <w:lang w:eastAsia="en-GB"/>
              </w:rPr>
            </w:pPr>
            <w:r w:rsidRPr="00885EC5">
              <w:rPr>
                <w:lang w:eastAsia="en-GB"/>
              </w:rPr>
              <w:t>35 056,80</w:t>
            </w:r>
          </w:p>
        </w:tc>
      </w:tr>
      <w:tr w:rsidR="00A15080" w:rsidRPr="00885EC5" w14:paraId="134D5545" w14:textId="77777777" w:rsidTr="00FC4CE3">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06329F3E" w14:textId="67A27811"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D3 (CMR-23): Rappels du BR concernant la mise en service et la remise en service</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5F13BD2D" w14:textId="77777777" w:rsidR="00A15080" w:rsidRPr="00885EC5" w:rsidRDefault="00A15080" w:rsidP="00FC4CE3">
            <w:pPr>
              <w:pStyle w:val="Tabletext"/>
              <w:jc w:val="center"/>
              <w:rPr>
                <w:lang w:eastAsia="en-GB"/>
              </w:rPr>
            </w:pPr>
            <w:r w:rsidRPr="00885EC5">
              <w:rPr>
                <w:lang w:eastAsia="en-GB"/>
              </w:rPr>
              <w:t>43 821,00</w:t>
            </w:r>
          </w:p>
        </w:tc>
      </w:tr>
      <w:tr w:rsidR="00A15080" w:rsidRPr="00885EC5" w14:paraId="0010F7E2"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18CCFD74" w14:textId="138F9E81"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 xml:space="preserve">ordre du jour, Question K (CMR-23): Modification de la Pièce jointe à la Résolution </w:t>
            </w:r>
            <w:r w:rsidRPr="00885EC5">
              <w:rPr>
                <w:b/>
                <w:bCs/>
                <w:lang w:eastAsia="en-GB"/>
              </w:rPr>
              <w:t>553</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0B240643" w14:textId="77777777" w:rsidR="00A15080" w:rsidRPr="00885EC5" w:rsidRDefault="00A15080" w:rsidP="00FC4CE3">
            <w:pPr>
              <w:pStyle w:val="Tabletext"/>
              <w:jc w:val="center"/>
              <w:rPr>
                <w:lang w:eastAsia="en-GB"/>
              </w:rPr>
            </w:pPr>
            <w:r w:rsidRPr="00885EC5">
              <w:rPr>
                <w:lang w:eastAsia="en-GB"/>
              </w:rPr>
              <w:t>26 292,60</w:t>
            </w:r>
          </w:p>
        </w:tc>
      </w:tr>
      <w:tr w:rsidR="00A15080" w:rsidRPr="00885EC5" w14:paraId="4AFE9CF7"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26024DC7" w14:textId="4623B14F" w:rsidR="00A15080" w:rsidRPr="00885EC5" w:rsidRDefault="00A15080" w:rsidP="00FC4CE3">
            <w:pPr>
              <w:pStyle w:val="Tabletext"/>
              <w:rPr>
                <w:lang w:eastAsia="en-GB"/>
              </w:rPr>
            </w:pPr>
            <w:r w:rsidRPr="00885EC5">
              <w:rPr>
                <w:lang w:eastAsia="en-GB"/>
              </w:rPr>
              <w:t>Point 9.1 de l</w:t>
            </w:r>
            <w:r w:rsidR="00885EC5">
              <w:rPr>
                <w:lang w:eastAsia="en-GB"/>
              </w:rPr>
              <w:t>'</w:t>
            </w:r>
            <w:r w:rsidRPr="00885EC5">
              <w:rPr>
                <w:lang w:eastAsia="en-GB"/>
              </w:rPr>
              <w:t>ordre du jour (CMR-23): Modification de l</w:t>
            </w:r>
            <w:r w:rsidR="00885EC5">
              <w:rPr>
                <w:lang w:eastAsia="en-GB"/>
              </w:rPr>
              <w:t>'</w:t>
            </w:r>
            <w:r w:rsidRPr="00885EC5">
              <w:rPr>
                <w:lang w:eastAsia="en-GB"/>
              </w:rPr>
              <w:t xml:space="preserve">Article </w:t>
            </w:r>
            <w:r w:rsidRPr="00885EC5">
              <w:rPr>
                <w:b/>
                <w:bCs/>
                <w:lang w:eastAsia="en-GB"/>
              </w:rPr>
              <w:t>21</w:t>
            </w:r>
            <w:r w:rsidRPr="00885EC5">
              <w:rPr>
                <w:lang w:eastAsia="en-GB"/>
              </w:rPr>
              <w:t xml:space="preserve"> du RR</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416E995F" w14:textId="77777777" w:rsidR="00A15080" w:rsidRPr="00885EC5" w:rsidRDefault="00A15080" w:rsidP="00FC4CE3">
            <w:pPr>
              <w:pStyle w:val="Tabletext"/>
              <w:jc w:val="center"/>
              <w:rPr>
                <w:lang w:eastAsia="en-GB"/>
              </w:rPr>
            </w:pPr>
            <w:r w:rsidRPr="00885EC5">
              <w:rPr>
                <w:lang w:eastAsia="en-GB"/>
              </w:rPr>
              <w:t>26 292,60</w:t>
            </w:r>
          </w:p>
        </w:tc>
      </w:tr>
      <w:tr w:rsidR="00A15080" w:rsidRPr="00885EC5" w14:paraId="3CF6BD6D"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24D88633" w14:textId="1A33EE8E" w:rsidR="00A15080" w:rsidRPr="00885EC5" w:rsidRDefault="00A15080" w:rsidP="00FC4CE3">
            <w:pPr>
              <w:pStyle w:val="Tabletext"/>
              <w:rPr>
                <w:lang w:eastAsia="en-GB"/>
              </w:rPr>
            </w:pPr>
            <w:r w:rsidRPr="00885EC5">
              <w:rPr>
                <w:lang w:eastAsia="en-GB"/>
              </w:rPr>
              <w:t>Point 9.1 de l</w:t>
            </w:r>
            <w:r w:rsidR="00885EC5">
              <w:rPr>
                <w:lang w:eastAsia="en-GB"/>
              </w:rPr>
              <w:t>'</w:t>
            </w:r>
            <w:r w:rsidRPr="00885EC5">
              <w:rPr>
                <w:lang w:eastAsia="en-GB"/>
              </w:rPr>
              <w:t>ordre du jour, Question d) (CMR-23): Protection du SETS (passive) dans la bande de fréquences 36-37 GHz</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21A11D88" w14:textId="77777777" w:rsidR="00A15080" w:rsidRPr="00885EC5" w:rsidRDefault="00A15080" w:rsidP="00FC4CE3">
            <w:pPr>
              <w:pStyle w:val="Tabletext"/>
              <w:jc w:val="center"/>
              <w:rPr>
                <w:lang w:eastAsia="en-GB"/>
              </w:rPr>
            </w:pPr>
            <w:r w:rsidRPr="00885EC5">
              <w:rPr>
                <w:lang w:eastAsia="en-GB"/>
              </w:rPr>
              <w:t>87 642,00</w:t>
            </w:r>
          </w:p>
        </w:tc>
      </w:tr>
      <w:tr w:rsidR="00A15080" w:rsidRPr="00885EC5" w14:paraId="581CC661"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60CDE253" w14:textId="03A2C42E" w:rsidR="00A15080" w:rsidRPr="00885EC5" w:rsidRDefault="00A15080" w:rsidP="00FC4CE3">
            <w:pPr>
              <w:pStyle w:val="Tabletext"/>
              <w:rPr>
                <w:lang w:eastAsia="en-GB"/>
              </w:rPr>
            </w:pPr>
            <w:r w:rsidRPr="00885EC5">
              <w:rPr>
                <w:lang w:eastAsia="en-GB"/>
              </w:rPr>
              <w:t>Point 9.3 de l</w:t>
            </w:r>
            <w:r w:rsidR="00885EC5">
              <w:rPr>
                <w:lang w:eastAsia="en-GB"/>
              </w:rPr>
              <w:t>'</w:t>
            </w:r>
            <w:r w:rsidRPr="00885EC5">
              <w:rPr>
                <w:lang w:eastAsia="en-GB"/>
              </w:rPr>
              <w:t>ordre du jour (CMR-23): Modification de l</w:t>
            </w:r>
            <w:r w:rsidR="00885EC5">
              <w:rPr>
                <w:lang w:eastAsia="en-GB"/>
              </w:rPr>
              <w:t>'</w:t>
            </w:r>
            <w:r w:rsidRPr="00885EC5">
              <w:rPr>
                <w:lang w:eastAsia="en-GB"/>
              </w:rPr>
              <w:t>Article 6 et de l</w:t>
            </w:r>
            <w:r w:rsidR="00885EC5">
              <w:rPr>
                <w:lang w:eastAsia="en-GB"/>
              </w:rPr>
              <w:t>'</w:t>
            </w:r>
            <w:r w:rsidRPr="00885EC5">
              <w:rPr>
                <w:lang w:eastAsia="en-GB"/>
              </w:rPr>
              <w:t>Article</w:t>
            </w:r>
            <w:r w:rsidR="00EC5A74" w:rsidRPr="00885EC5">
              <w:rPr>
                <w:lang w:eastAsia="en-GB"/>
              </w:rPr>
              <w:t> </w:t>
            </w:r>
            <w:r w:rsidRPr="00885EC5">
              <w:rPr>
                <w:lang w:eastAsia="en-GB"/>
              </w:rPr>
              <w:t>8 de l</w:t>
            </w:r>
            <w:r w:rsidR="00885EC5">
              <w:rPr>
                <w:lang w:eastAsia="en-GB"/>
              </w:rPr>
              <w:t>'</w:t>
            </w:r>
            <w:r w:rsidRPr="00885EC5">
              <w:rPr>
                <w:lang w:eastAsia="en-GB"/>
              </w:rPr>
              <w:t xml:space="preserve">Appendice </w:t>
            </w:r>
            <w:r w:rsidRPr="00885EC5">
              <w:rPr>
                <w:b/>
                <w:bCs/>
                <w:lang w:eastAsia="en-GB"/>
              </w:rPr>
              <w:t>30B</w:t>
            </w:r>
            <w:r w:rsidRPr="00885EC5">
              <w:rPr>
                <w:lang w:eastAsia="en-GB"/>
              </w:rPr>
              <w:t xml:space="preserve"> et des procès-verbaux des séances plénières</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5570814A" w14:textId="77777777" w:rsidR="00A15080" w:rsidRPr="00885EC5" w:rsidRDefault="00A15080" w:rsidP="00FC4CE3">
            <w:pPr>
              <w:pStyle w:val="Tabletext"/>
              <w:jc w:val="center"/>
              <w:rPr>
                <w:lang w:eastAsia="en-GB"/>
              </w:rPr>
            </w:pPr>
            <w:r w:rsidRPr="00885EC5">
              <w:rPr>
                <w:lang w:eastAsia="en-GB"/>
              </w:rPr>
              <w:t>17 528,40</w:t>
            </w:r>
          </w:p>
        </w:tc>
      </w:tr>
      <w:tr w:rsidR="00A15080" w:rsidRPr="00885EC5" w14:paraId="07BA1459"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62F3508D" w14:textId="217F5367"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E (CMR-23): Modification de l</w:t>
            </w:r>
            <w:r w:rsidR="00885EC5">
              <w:rPr>
                <w:lang w:eastAsia="en-GB"/>
              </w:rPr>
              <w:t>'</w:t>
            </w:r>
            <w:r w:rsidRPr="00885EC5">
              <w:rPr>
                <w:lang w:eastAsia="en-GB"/>
              </w:rPr>
              <w:t>Article 7 et de l</w:t>
            </w:r>
            <w:r w:rsidR="00885EC5">
              <w:rPr>
                <w:lang w:eastAsia="en-GB"/>
              </w:rPr>
              <w:t>'</w:t>
            </w:r>
            <w:r w:rsidRPr="00885EC5">
              <w:rPr>
                <w:lang w:eastAsia="en-GB"/>
              </w:rPr>
              <w:t>Article 10 de l</w:t>
            </w:r>
            <w:r w:rsidR="00885EC5">
              <w:rPr>
                <w:lang w:eastAsia="en-GB"/>
              </w:rPr>
              <w:t>'</w:t>
            </w:r>
            <w:r w:rsidRPr="00885EC5">
              <w:rPr>
                <w:lang w:eastAsia="en-GB"/>
              </w:rPr>
              <w:t xml:space="preserve">Appendice </w:t>
            </w:r>
            <w:r w:rsidRPr="00885EC5">
              <w:rPr>
                <w:b/>
                <w:bCs/>
                <w:lang w:eastAsia="en-GB"/>
              </w:rPr>
              <w:t>30B</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2B661ED8" w14:textId="77777777" w:rsidR="00A15080" w:rsidRPr="00885EC5" w:rsidRDefault="00A15080" w:rsidP="00FC4CE3">
            <w:pPr>
              <w:pStyle w:val="Tabletext"/>
              <w:jc w:val="center"/>
              <w:rPr>
                <w:lang w:eastAsia="en-GB"/>
              </w:rPr>
            </w:pPr>
            <w:r w:rsidRPr="00885EC5">
              <w:rPr>
                <w:lang w:eastAsia="en-GB"/>
              </w:rPr>
              <w:t>175 284,00</w:t>
            </w:r>
          </w:p>
        </w:tc>
      </w:tr>
      <w:tr w:rsidR="00A15080" w:rsidRPr="00885EC5" w14:paraId="5CF4E02C"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08AB3F93" w14:textId="4B6ACA8F"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F (CMR-23): Modification de l</w:t>
            </w:r>
            <w:r w:rsidR="00885EC5">
              <w:rPr>
                <w:lang w:eastAsia="en-GB"/>
              </w:rPr>
              <w:t>'</w:t>
            </w:r>
            <w:r w:rsidRPr="00885EC5">
              <w:rPr>
                <w:lang w:eastAsia="en-GB"/>
              </w:rPr>
              <w:t>Article 4 de l</w:t>
            </w:r>
            <w:r w:rsidR="00885EC5">
              <w:rPr>
                <w:lang w:eastAsia="en-GB"/>
              </w:rPr>
              <w:t>'</w:t>
            </w:r>
            <w:r w:rsidRPr="00885EC5">
              <w:rPr>
                <w:lang w:eastAsia="en-GB"/>
              </w:rPr>
              <w:t>Appendice</w:t>
            </w:r>
            <w:r w:rsidR="00EC5A74" w:rsidRPr="00885EC5">
              <w:rPr>
                <w:lang w:eastAsia="en-GB"/>
              </w:rPr>
              <w:t> </w:t>
            </w:r>
            <w:r w:rsidRPr="00885EC5">
              <w:rPr>
                <w:b/>
                <w:bCs/>
                <w:lang w:eastAsia="en-GB"/>
              </w:rPr>
              <w:t>30A</w:t>
            </w:r>
            <w:r w:rsidRPr="00885EC5">
              <w:rPr>
                <w:lang w:eastAsia="en-GB"/>
              </w:rPr>
              <w:t xml:space="preserve"> et de l</w:t>
            </w:r>
            <w:r w:rsidR="00885EC5">
              <w:rPr>
                <w:lang w:eastAsia="en-GB"/>
              </w:rPr>
              <w:t>'</w:t>
            </w:r>
            <w:r w:rsidRPr="00885EC5">
              <w:rPr>
                <w:lang w:eastAsia="en-GB"/>
              </w:rPr>
              <w:t>Article 6 de l</w:t>
            </w:r>
            <w:r w:rsidR="00885EC5">
              <w:rPr>
                <w:lang w:eastAsia="en-GB"/>
              </w:rPr>
              <w:t>'</w:t>
            </w:r>
            <w:r w:rsidRPr="00885EC5">
              <w:rPr>
                <w:lang w:eastAsia="en-GB"/>
              </w:rPr>
              <w:t xml:space="preserve">Appendice </w:t>
            </w:r>
            <w:r w:rsidRPr="00885EC5">
              <w:rPr>
                <w:b/>
                <w:bCs/>
                <w:lang w:eastAsia="en-GB"/>
              </w:rPr>
              <w:t>30B</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2CB2A872" w14:textId="77777777" w:rsidR="00A15080" w:rsidRPr="00885EC5" w:rsidRDefault="00A15080" w:rsidP="00FC4CE3">
            <w:pPr>
              <w:pStyle w:val="Tabletext"/>
              <w:jc w:val="center"/>
              <w:rPr>
                <w:lang w:eastAsia="en-GB"/>
              </w:rPr>
            </w:pPr>
            <w:r w:rsidRPr="00885EC5">
              <w:rPr>
                <w:lang w:eastAsia="en-GB"/>
              </w:rPr>
              <w:t>175 284,00</w:t>
            </w:r>
          </w:p>
        </w:tc>
      </w:tr>
      <w:tr w:rsidR="00A15080" w:rsidRPr="00885EC5" w14:paraId="66E3596A"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3948F21E" w14:textId="2F4FBE8E" w:rsidR="00A15080" w:rsidRPr="00885EC5" w:rsidRDefault="00A15080" w:rsidP="00FC4CE3">
            <w:pPr>
              <w:pStyle w:val="Tabletext"/>
              <w:rPr>
                <w:lang w:eastAsia="en-GB"/>
              </w:rPr>
            </w:pPr>
            <w:r w:rsidRPr="00885EC5">
              <w:rPr>
                <w:lang w:eastAsia="en-GB"/>
              </w:rPr>
              <w:t>Point 7 de l</w:t>
            </w:r>
            <w:r w:rsidR="00885EC5">
              <w:rPr>
                <w:lang w:eastAsia="en-GB"/>
              </w:rPr>
              <w:t>'</w:t>
            </w:r>
            <w:r w:rsidRPr="00885EC5">
              <w:rPr>
                <w:lang w:eastAsia="en-GB"/>
              </w:rPr>
              <w:t>ordre du jour, Question G (CMR-23): Modification du logiciel de validation des limites d</w:t>
            </w:r>
            <w:r w:rsidR="00885EC5">
              <w:rPr>
                <w:lang w:eastAsia="en-GB"/>
              </w:rPr>
              <w:t>'</w:t>
            </w:r>
            <w:r w:rsidRPr="00885EC5">
              <w:rPr>
                <w:lang w:eastAsia="en-GB"/>
              </w:rPr>
              <w:t xml:space="preserve">epfd de la Résolution </w:t>
            </w:r>
            <w:r w:rsidRPr="00885EC5">
              <w:rPr>
                <w:b/>
                <w:bCs/>
                <w:lang w:eastAsia="en-GB"/>
              </w:rPr>
              <w:t>770</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3E7D4596" w14:textId="77777777" w:rsidR="00A15080" w:rsidRPr="00885EC5" w:rsidRDefault="00A15080" w:rsidP="00FC4CE3">
            <w:pPr>
              <w:pStyle w:val="Tabletext"/>
              <w:jc w:val="center"/>
              <w:rPr>
                <w:lang w:eastAsia="en-GB"/>
              </w:rPr>
            </w:pPr>
            <w:r w:rsidRPr="00885EC5">
              <w:rPr>
                <w:lang w:eastAsia="en-GB"/>
              </w:rPr>
              <w:t>175 284,00</w:t>
            </w:r>
          </w:p>
        </w:tc>
      </w:tr>
      <w:tr w:rsidR="00A15080" w:rsidRPr="00885EC5" w14:paraId="7471CE04"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3AEA341D" w14:textId="4E1A7478"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126 (CMR-23)</w:t>
            </w:r>
            <w:r w:rsidR="00A15080" w:rsidRPr="00885EC5">
              <w:rPr>
                <w:lang w:eastAsia="en-GB"/>
              </w:rPr>
              <w:t>: Mesures temporaires dans l</w:t>
            </w:r>
            <w:r w:rsidR="00885EC5">
              <w:rPr>
                <w:lang w:eastAsia="en-GB"/>
              </w:rPr>
              <w:t>'</w:t>
            </w:r>
            <w:r w:rsidR="00A15080" w:rsidRPr="00885EC5">
              <w:rPr>
                <w:lang w:eastAsia="en-GB"/>
              </w:rPr>
              <w:t xml:space="preserve">Appendice </w:t>
            </w:r>
            <w:r w:rsidR="00A15080" w:rsidRPr="00885EC5">
              <w:rPr>
                <w:b/>
                <w:bCs/>
                <w:lang w:eastAsia="en-GB"/>
              </w:rPr>
              <w:t>30B</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45DE18FF" w14:textId="77777777" w:rsidR="00A15080" w:rsidRPr="00885EC5" w:rsidRDefault="00A15080" w:rsidP="00FC4CE3">
            <w:pPr>
              <w:pStyle w:val="Tabletext"/>
              <w:jc w:val="center"/>
              <w:rPr>
                <w:lang w:eastAsia="en-GB"/>
              </w:rPr>
            </w:pPr>
            <w:r w:rsidRPr="00885EC5">
              <w:rPr>
                <w:lang w:eastAsia="en-GB"/>
              </w:rPr>
              <w:t>87 642,00</w:t>
            </w:r>
          </w:p>
        </w:tc>
      </w:tr>
      <w:tr w:rsidR="00A15080" w:rsidRPr="00885EC5" w14:paraId="69A2A4FC" w14:textId="77777777" w:rsidTr="00CD3BB9">
        <w:trPr>
          <w:trHeight w:val="59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4CF9786C" w14:textId="41F60FA8"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676</w:t>
            </w:r>
            <w:r w:rsidR="00A15080" w:rsidRPr="00885EC5">
              <w:rPr>
                <w:lang w:eastAsia="en-GB"/>
              </w:rPr>
              <w:t xml:space="preserve"> et point 9.2 de l</w:t>
            </w:r>
            <w:r w:rsidR="00885EC5">
              <w:rPr>
                <w:lang w:eastAsia="en-GB"/>
              </w:rPr>
              <w:t>'</w:t>
            </w:r>
            <w:r w:rsidR="00A15080" w:rsidRPr="00885EC5">
              <w:rPr>
                <w:lang w:eastAsia="en-GB"/>
              </w:rPr>
              <w:t xml:space="preserve">ordre du jour </w:t>
            </w:r>
            <w:r w:rsidR="00A15080" w:rsidRPr="00885EC5">
              <w:rPr>
                <w:b/>
                <w:bCs/>
                <w:lang w:eastAsia="en-GB"/>
              </w:rPr>
              <w:t>(CMR-23)</w:t>
            </w:r>
            <w:r w:rsidR="00A15080" w:rsidRPr="00885EC5">
              <w:rPr>
                <w:lang w:eastAsia="en-GB"/>
              </w:rPr>
              <w:t>: Modification du numéro</w:t>
            </w:r>
            <w:r w:rsidRPr="00885EC5">
              <w:rPr>
                <w:lang w:eastAsia="en-GB"/>
              </w:rPr>
              <w:t> </w:t>
            </w:r>
            <w:r w:rsidR="00A15080" w:rsidRPr="00533605">
              <w:rPr>
                <w:b/>
                <w:bCs/>
                <w:lang w:eastAsia="en-GB"/>
              </w:rPr>
              <w:t>9.52.1</w:t>
            </w:r>
            <w:r w:rsidR="00A15080" w:rsidRPr="00885EC5">
              <w:rPr>
                <w:lang w:eastAsia="en-GB"/>
              </w:rPr>
              <w:t xml:space="preserve"> (brouillages inacceptables) et de l</w:t>
            </w:r>
            <w:r w:rsidR="00885EC5">
              <w:rPr>
                <w:lang w:eastAsia="en-GB"/>
              </w:rPr>
              <w:t>'</w:t>
            </w:r>
            <w:r w:rsidR="00A15080" w:rsidRPr="00885EC5">
              <w:rPr>
                <w:lang w:eastAsia="en-GB"/>
              </w:rPr>
              <w:t>Article 21 du RR, et amélioration du traitement par le BR</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198DA293" w14:textId="77777777" w:rsidR="00A15080" w:rsidRPr="00885EC5" w:rsidRDefault="00A15080" w:rsidP="00FC4CE3">
            <w:pPr>
              <w:pStyle w:val="Tabletext"/>
              <w:jc w:val="center"/>
              <w:rPr>
                <w:lang w:eastAsia="en-GB"/>
              </w:rPr>
            </w:pPr>
            <w:r w:rsidRPr="00885EC5">
              <w:rPr>
                <w:lang w:eastAsia="en-GB"/>
              </w:rPr>
              <w:t>87 642,00</w:t>
            </w:r>
          </w:p>
        </w:tc>
      </w:tr>
      <w:tr w:rsidR="00A15080" w:rsidRPr="00885EC5" w14:paraId="71344796"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1FA0519B" w14:textId="34F5B492"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677 (CMR-23)</w:t>
            </w:r>
            <w:r w:rsidR="00A15080" w:rsidRPr="00885EC5">
              <w:rPr>
                <w:lang w:eastAsia="en-GB"/>
              </w:rPr>
              <w:t>: Sondeurs radar spatioportés du SETS (active)</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64677D06" w14:textId="77777777" w:rsidR="00A15080" w:rsidRPr="00885EC5" w:rsidRDefault="00A15080" w:rsidP="00FC4CE3">
            <w:pPr>
              <w:pStyle w:val="Tabletext"/>
              <w:jc w:val="center"/>
              <w:rPr>
                <w:lang w:eastAsia="en-GB"/>
              </w:rPr>
            </w:pPr>
            <w:r w:rsidRPr="00885EC5">
              <w:rPr>
                <w:lang w:eastAsia="en-GB"/>
              </w:rPr>
              <w:t>148 991,40</w:t>
            </w:r>
          </w:p>
        </w:tc>
      </w:tr>
      <w:tr w:rsidR="00A15080" w:rsidRPr="00885EC5" w14:paraId="1902833F"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7DAB41B8" w14:textId="3F866470" w:rsidR="00A15080" w:rsidRPr="00885EC5" w:rsidRDefault="00A15080" w:rsidP="00FC4CE3">
            <w:pPr>
              <w:pStyle w:val="Tabletext"/>
              <w:rPr>
                <w:lang w:eastAsia="en-GB"/>
              </w:rPr>
            </w:pPr>
            <w:r w:rsidRPr="00885EC5">
              <w:rPr>
                <w:lang w:eastAsia="en-GB"/>
              </w:rPr>
              <w:t>Point 1.19 de l</w:t>
            </w:r>
            <w:r w:rsidR="00885EC5">
              <w:rPr>
                <w:lang w:eastAsia="en-GB"/>
              </w:rPr>
              <w:t>'</w:t>
            </w:r>
            <w:r w:rsidRPr="00885EC5">
              <w:rPr>
                <w:lang w:eastAsia="en-GB"/>
              </w:rPr>
              <w:t>ordre du jour (CMR-23): SFS (espace vers Terre) dans la bande de fréquences 17,3-17,7 GHz en Région 2</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2E053657" w14:textId="77777777" w:rsidR="00A15080" w:rsidRPr="00885EC5" w:rsidRDefault="00A15080" w:rsidP="00FC4CE3">
            <w:pPr>
              <w:pStyle w:val="Tabletext"/>
              <w:jc w:val="center"/>
              <w:rPr>
                <w:lang w:eastAsia="en-GB"/>
              </w:rPr>
            </w:pPr>
            <w:r w:rsidRPr="00885EC5">
              <w:rPr>
                <w:lang w:eastAsia="en-GB"/>
              </w:rPr>
              <w:t>148 991,40</w:t>
            </w:r>
          </w:p>
        </w:tc>
      </w:tr>
      <w:tr w:rsidR="00A15080" w:rsidRPr="00885EC5" w14:paraId="207857B2"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auto"/>
            <w:hideMark/>
          </w:tcPr>
          <w:p w14:paraId="1071C0FC" w14:textId="262265F1" w:rsidR="00A15080" w:rsidRPr="00885EC5" w:rsidRDefault="00EC5A74" w:rsidP="00FC4CE3">
            <w:pPr>
              <w:pStyle w:val="Tabletext"/>
              <w:rPr>
                <w:lang w:eastAsia="en-GB"/>
              </w:rPr>
            </w:pPr>
            <w:r w:rsidRPr="00885EC5">
              <w:rPr>
                <w:lang w:eastAsia="en-GB"/>
              </w:rPr>
              <w:t>Résolution</w:t>
            </w:r>
            <w:r w:rsidR="00A15080" w:rsidRPr="00885EC5">
              <w:rPr>
                <w:lang w:eastAsia="en-GB"/>
              </w:rPr>
              <w:t xml:space="preserve"> </w:t>
            </w:r>
            <w:r w:rsidR="00A15080" w:rsidRPr="00885EC5">
              <w:rPr>
                <w:b/>
                <w:bCs/>
                <w:lang w:eastAsia="en-GB"/>
              </w:rPr>
              <w:t>35 (Rév.CMR-23)</w:t>
            </w:r>
            <w:r w:rsidR="00A15080" w:rsidRPr="00885EC5">
              <w:rPr>
                <w:lang w:eastAsia="en-GB"/>
              </w:rPr>
              <w:t>: Procédure à suivre après les étapes pour la mise en service des systèmes non OSG</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770546C1" w14:textId="77777777" w:rsidR="00A15080" w:rsidRPr="00885EC5" w:rsidRDefault="00A15080" w:rsidP="00FC4CE3">
            <w:pPr>
              <w:pStyle w:val="Tabletext"/>
              <w:jc w:val="center"/>
              <w:rPr>
                <w:lang w:eastAsia="en-GB"/>
              </w:rPr>
            </w:pPr>
            <w:r w:rsidRPr="00885EC5">
              <w:rPr>
                <w:lang w:eastAsia="en-GB"/>
              </w:rPr>
              <w:t>175 284,00</w:t>
            </w:r>
          </w:p>
        </w:tc>
      </w:tr>
      <w:tr w:rsidR="00A15080" w:rsidRPr="00885EC5" w14:paraId="486A5016"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3C90BA0" w14:textId="79D48B5D" w:rsidR="00A15080" w:rsidRPr="00885EC5" w:rsidRDefault="00A15080" w:rsidP="00FC4CE3">
            <w:pPr>
              <w:pStyle w:val="Tabletext"/>
              <w:rPr>
                <w:b/>
                <w:bCs/>
                <w:lang w:eastAsia="en-GB"/>
              </w:rPr>
            </w:pPr>
            <w:r w:rsidRPr="00885EC5">
              <w:rPr>
                <w:b/>
                <w:bCs/>
                <w:lang w:eastAsia="en-GB"/>
              </w:rPr>
              <w:t>Total</w:t>
            </w:r>
          </w:p>
        </w:tc>
        <w:tc>
          <w:tcPr>
            <w:tcW w:w="15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2CFC94D" w14:textId="77777777" w:rsidR="00A15080" w:rsidRPr="00885EC5" w:rsidRDefault="00A15080" w:rsidP="00FC4CE3">
            <w:pPr>
              <w:pStyle w:val="Tabletext"/>
              <w:jc w:val="center"/>
              <w:rPr>
                <w:b/>
                <w:bCs/>
                <w:lang w:eastAsia="en-GB"/>
              </w:rPr>
            </w:pPr>
            <w:r w:rsidRPr="00885EC5">
              <w:rPr>
                <w:b/>
                <w:bCs/>
                <w:lang w:eastAsia="en-GB"/>
              </w:rPr>
              <w:t>2 979 828,00</w:t>
            </w:r>
          </w:p>
        </w:tc>
      </w:tr>
      <w:tr w:rsidR="00A15080" w:rsidRPr="00885EC5" w14:paraId="453464C0" w14:textId="77777777" w:rsidTr="00CD3BB9">
        <w:trPr>
          <w:trHeight w:val="300"/>
        </w:trPr>
        <w:tc>
          <w:tcPr>
            <w:tcW w:w="722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18F2FEA" w14:textId="14AADC5D" w:rsidR="00A15080" w:rsidRPr="00885EC5" w:rsidRDefault="00A15080" w:rsidP="00FC4CE3">
            <w:pPr>
              <w:pStyle w:val="Tabletext"/>
              <w:rPr>
                <w:b/>
                <w:bCs/>
                <w:lang w:eastAsia="en-GB"/>
              </w:rPr>
            </w:pPr>
            <w:r w:rsidRPr="00885EC5">
              <w:rPr>
                <w:b/>
                <w:bCs/>
                <w:lang w:eastAsia="en-GB"/>
              </w:rPr>
              <w:t>Total général</w:t>
            </w:r>
          </w:p>
        </w:tc>
        <w:tc>
          <w:tcPr>
            <w:tcW w:w="15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2DE844" w14:textId="77777777" w:rsidR="00A15080" w:rsidRPr="00885EC5" w:rsidRDefault="00A15080" w:rsidP="00FC4CE3">
            <w:pPr>
              <w:pStyle w:val="Tabletext"/>
              <w:jc w:val="center"/>
              <w:rPr>
                <w:b/>
                <w:bCs/>
                <w:lang w:eastAsia="en-GB"/>
              </w:rPr>
            </w:pPr>
            <w:r w:rsidRPr="00885EC5">
              <w:rPr>
                <w:b/>
                <w:bCs/>
                <w:lang w:eastAsia="en-GB"/>
              </w:rPr>
              <w:t>3 330 396,00</w:t>
            </w:r>
          </w:p>
        </w:tc>
      </w:tr>
    </w:tbl>
    <w:p w14:paraId="7A244B79" w14:textId="30658F42" w:rsidR="00EC5A74" w:rsidRPr="00885EC5" w:rsidRDefault="00EC5A74" w:rsidP="0086261C">
      <w:pPr>
        <w:pStyle w:val="Note"/>
      </w:pPr>
      <w:r w:rsidRPr="00885EC5">
        <w:rPr>
          <w:i/>
          <w:iCs/>
        </w:rPr>
        <w:t>Note 1</w:t>
      </w:r>
      <w:r w:rsidRPr="00885EC5">
        <w:t>: la nécessité d</w:t>
      </w:r>
      <w:r w:rsidR="00885EC5">
        <w:t>'</w:t>
      </w:r>
      <w:r w:rsidRPr="00885EC5">
        <w:t>élaborer ce logiciel a été identifiée lors de la CMR-23, à l</w:t>
      </w:r>
      <w:r w:rsidR="00885EC5">
        <w:t>'</w:t>
      </w:r>
      <w:r w:rsidRPr="00885EC5">
        <w:t>occasion de laquelle l</w:t>
      </w:r>
      <w:r w:rsidR="00885EC5">
        <w:t>'</w:t>
      </w:r>
      <w:r w:rsidRPr="00885EC5">
        <w:t>assouplissement éventuel de la limite de puissance surfacique énoncée au numéro </w:t>
      </w:r>
      <w:r w:rsidRPr="00885EC5">
        <w:rPr>
          <w:b/>
          <w:bCs/>
        </w:rPr>
        <w:t>5.441B</w:t>
      </w:r>
      <w:r w:rsidRPr="00885EC5">
        <w:t xml:space="preserve"> a été examinée. Étant donné que la CMR-23 a décidé de maintenir la limite de puissance surfacique adoptée par la CMR-19 et que la notification d</w:t>
      </w:r>
      <w:r w:rsidR="00885EC5">
        <w:t>'</w:t>
      </w:r>
      <w:r w:rsidRPr="00885EC5">
        <w:t>un diagramme d</w:t>
      </w:r>
      <w:r w:rsidR="00885EC5">
        <w:t>'</w:t>
      </w:r>
      <w:r w:rsidRPr="00885EC5">
        <w:t>antenne pour les IMT détaillé n</w:t>
      </w:r>
      <w:r w:rsidR="00885EC5">
        <w:t>'</w:t>
      </w:r>
      <w:r w:rsidRPr="00885EC5">
        <w:t>est pas prévue dans l</w:t>
      </w:r>
      <w:r w:rsidR="00885EC5">
        <w:t>'</w:t>
      </w:r>
      <w:r w:rsidRPr="00885EC5">
        <w:t xml:space="preserve">Appendice </w:t>
      </w:r>
      <w:r w:rsidRPr="00885EC5">
        <w:rPr>
          <w:b/>
          <w:bCs/>
        </w:rPr>
        <w:t>4</w:t>
      </w:r>
      <w:r w:rsidRPr="00885EC5">
        <w:t xml:space="preserve"> du RR, il n</w:t>
      </w:r>
      <w:r w:rsidR="00885EC5">
        <w:t>'</w:t>
      </w:r>
      <w:r w:rsidRPr="00885EC5">
        <w:t>est plus nécessaire d</w:t>
      </w:r>
      <w:r w:rsidR="00885EC5">
        <w:t>'</w:t>
      </w:r>
      <w:r w:rsidRPr="00885EC5">
        <w:t xml:space="preserve">élaborer ce logiciel, lequel peut être supprimé du Tableau 3-1. </w:t>
      </w:r>
    </w:p>
    <w:p w14:paraId="5279307F" w14:textId="190C9CE7" w:rsidR="00A15080" w:rsidRPr="00885EC5" w:rsidRDefault="00EC5A74" w:rsidP="0086261C">
      <w:pPr>
        <w:pStyle w:val="Note"/>
      </w:pPr>
      <w:r w:rsidRPr="00885EC5">
        <w:rPr>
          <w:i/>
          <w:iCs/>
        </w:rPr>
        <w:lastRenderedPageBreak/>
        <w:t>Note 2</w:t>
      </w:r>
      <w:r w:rsidRPr="00885EC5">
        <w:t xml:space="preserve">: au cours des discussions qui ont eu lieu lors des réunions de certains groupes régionaux après la CMR-23 et le GCR-24, il a été déterminé que la conformité au gabarit spectral pour les IMT défini pour la bande des 6 GHz dans la Résolution </w:t>
      </w:r>
      <w:r w:rsidRPr="00885EC5">
        <w:rPr>
          <w:b/>
          <w:bCs/>
        </w:rPr>
        <w:t>220 (CMR-23)</w:t>
      </w:r>
      <w:r w:rsidRPr="00885EC5">
        <w:t xml:space="preserve"> devrait être vérifiée au niveau national et notifiée au BR au moyen de l</w:t>
      </w:r>
      <w:r w:rsidR="00885EC5">
        <w:t>'</w:t>
      </w:r>
      <w:r w:rsidRPr="00885EC5">
        <w:t>engagement correspondant communiqué par l</w:t>
      </w:r>
      <w:r w:rsidR="00885EC5">
        <w:t>'</w:t>
      </w:r>
      <w:r w:rsidRPr="00885EC5">
        <w:t>administration notificatrice. Par conséquent, il n</w:t>
      </w:r>
      <w:r w:rsidR="00885EC5">
        <w:t>'</w:t>
      </w:r>
      <w:r w:rsidRPr="00885EC5">
        <w:t>est plus nécessaire d</w:t>
      </w:r>
      <w:r w:rsidR="00885EC5">
        <w:t>'</w:t>
      </w:r>
      <w:r w:rsidRPr="00885EC5">
        <w:t>élaborer ce logiciel, lequel peut être supprimé du Tableau 3-1.</w:t>
      </w:r>
    </w:p>
    <w:p w14:paraId="286E2446" w14:textId="5B84DA55" w:rsidR="00EC5A74" w:rsidRPr="00885EC5" w:rsidRDefault="00EC5A74" w:rsidP="00A96696">
      <w:pPr>
        <w:pStyle w:val="Heading1"/>
      </w:pPr>
      <w:r w:rsidRPr="00885EC5">
        <w:t>4</w:t>
      </w:r>
      <w:r w:rsidRPr="00885EC5">
        <w:tab/>
        <w:t>Incidences budgétaires des décisions de la CMR-23 pour la période</w:t>
      </w:r>
      <w:r w:rsidR="005E3C07" w:rsidRPr="00885EC5">
        <w:t> </w:t>
      </w:r>
      <w:r w:rsidRPr="00885EC5">
        <w:t>2025</w:t>
      </w:r>
      <w:r w:rsidR="005E3C07" w:rsidRPr="00885EC5">
        <w:noBreakHyphen/>
      </w:r>
      <w:r w:rsidRPr="00885EC5">
        <w:t>2027</w:t>
      </w:r>
    </w:p>
    <w:p w14:paraId="34C60C32" w14:textId="506DF712" w:rsidR="00EC5A74" w:rsidRPr="00885EC5" w:rsidRDefault="00EC5A74" w:rsidP="00A96696">
      <w:pPr>
        <w:pStyle w:val="Heading2"/>
      </w:pPr>
      <w:r w:rsidRPr="00885EC5">
        <w:t>4.1</w:t>
      </w:r>
      <w:r w:rsidRPr="00885EC5">
        <w:tab/>
        <w:t>Incidences budgétaires des travaux préparatoires en vue de la CMR-27 pour la période 2025-2027</w:t>
      </w:r>
    </w:p>
    <w:p w14:paraId="25AC5312" w14:textId="78E9F756" w:rsidR="00EC5A74" w:rsidRPr="00885EC5" w:rsidRDefault="00EC5A74" w:rsidP="00A96696">
      <w:r w:rsidRPr="00885EC5">
        <w:t>Sachant que l</w:t>
      </w:r>
      <w:r w:rsidR="00885EC5">
        <w:t>'</w:t>
      </w:r>
      <w:r w:rsidRPr="00885EC5">
        <w:t>échéance pour l</w:t>
      </w:r>
      <w:r w:rsidR="00885EC5">
        <w:t>'</w:t>
      </w:r>
      <w:r w:rsidRPr="00885EC5">
        <w:t>élaboration du projet de texte du Rapport de la RPC-27 est fixée à fin 2026, la tenue des réunions additionnelles et la production des documents supplémentaires sont censées avoir lieu en 2025 et 2026. La charge de travail supplémentaire pour le secrétariat du BR se maintiendrait donc tout au long de cette période. Le Tableau 4-1 donne les coûts additionnels relatifs aux travaux préparatoires en vue de la CMR-27 pour la période 2025-2027.</w:t>
      </w:r>
    </w:p>
    <w:p w14:paraId="5081B068" w14:textId="77777777" w:rsidR="00EC5A74" w:rsidRPr="00885EC5" w:rsidRDefault="00EC5A74" w:rsidP="00A96696">
      <w:pPr>
        <w:pStyle w:val="TableNo"/>
        <w:rPr>
          <w:b/>
          <w:bCs/>
        </w:rPr>
      </w:pPr>
      <w:r w:rsidRPr="00885EC5">
        <w:rPr>
          <w:b/>
          <w:bCs/>
        </w:rPr>
        <w:t>TABLEAU 4-1</w:t>
      </w:r>
    </w:p>
    <w:p w14:paraId="1A5965EB" w14:textId="26B08BB7" w:rsidR="00EC5A74" w:rsidRPr="00885EC5" w:rsidRDefault="0023651B" w:rsidP="00A96696">
      <w:pPr>
        <w:pStyle w:val="Tabletitle"/>
      </w:pPr>
      <w:r w:rsidRPr="00885EC5">
        <w:t xml:space="preserve">Coûts additionnels relatifs aux travaux préparatoires en vue de la CMR-27 </w:t>
      </w:r>
      <w:r w:rsidRPr="00885EC5">
        <w:br/>
        <w:t>pour la période 2025-2027</w:t>
      </w:r>
    </w:p>
    <w:tbl>
      <w:tblPr>
        <w:tblStyle w:val="TableGrid"/>
        <w:tblW w:w="0" w:type="auto"/>
        <w:tblLook w:val="04A0" w:firstRow="1" w:lastRow="0" w:firstColumn="1" w:lastColumn="0" w:noHBand="0" w:noVBand="1"/>
      </w:tblPr>
      <w:tblGrid>
        <w:gridCol w:w="5245"/>
        <w:gridCol w:w="1251"/>
        <w:gridCol w:w="1329"/>
        <w:gridCol w:w="1241"/>
      </w:tblGrid>
      <w:tr w:rsidR="00EC5A74" w:rsidRPr="00885EC5" w14:paraId="23F4EC07" w14:textId="77777777" w:rsidTr="00CD3BB9">
        <w:trPr>
          <w:trHeight w:val="117"/>
        </w:trPr>
        <w:tc>
          <w:tcPr>
            <w:tcW w:w="5245" w:type="dxa"/>
            <w:tcBorders>
              <w:top w:val="nil"/>
              <w:left w:val="nil"/>
              <w:bottom w:val="single" w:sz="4" w:space="0" w:color="auto"/>
              <w:right w:val="single" w:sz="4" w:space="0" w:color="auto"/>
            </w:tcBorders>
            <w:shd w:val="clear" w:color="auto" w:fill="auto"/>
          </w:tcPr>
          <w:p w14:paraId="2354C288" w14:textId="77777777" w:rsidR="00EC5A74" w:rsidRPr="00885EC5" w:rsidRDefault="00EC5A74" w:rsidP="00A96696">
            <w:pPr>
              <w:pStyle w:val="Tablehead"/>
              <w:jc w:val="left"/>
            </w:pPr>
          </w:p>
        </w:tc>
        <w:tc>
          <w:tcPr>
            <w:tcW w:w="1251" w:type="dxa"/>
            <w:tcBorders>
              <w:left w:val="single" w:sz="4" w:space="0" w:color="auto"/>
            </w:tcBorders>
            <w:shd w:val="clear" w:color="auto" w:fill="C2D69B" w:themeFill="accent3" w:themeFillTint="99"/>
          </w:tcPr>
          <w:p w14:paraId="05B7A2D1" w14:textId="77777777" w:rsidR="00EC5A74" w:rsidRPr="00885EC5" w:rsidRDefault="00EC5A74" w:rsidP="00A96696">
            <w:pPr>
              <w:pStyle w:val="Tablehead"/>
              <w:rPr>
                <w:rFonts w:asciiTheme="minorHAnsi" w:hAnsiTheme="minorHAnsi" w:cstheme="minorHAnsi"/>
              </w:rPr>
            </w:pPr>
            <w:r w:rsidRPr="00885EC5">
              <w:t>2025</w:t>
            </w:r>
          </w:p>
        </w:tc>
        <w:tc>
          <w:tcPr>
            <w:tcW w:w="1329" w:type="dxa"/>
            <w:shd w:val="clear" w:color="auto" w:fill="C2D69B" w:themeFill="accent3" w:themeFillTint="99"/>
          </w:tcPr>
          <w:p w14:paraId="70EDE35F" w14:textId="77777777" w:rsidR="00EC5A74" w:rsidRPr="00885EC5" w:rsidRDefault="00EC5A74" w:rsidP="00A96696">
            <w:pPr>
              <w:pStyle w:val="Tablehead"/>
              <w:rPr>
                <w:rFonts w:asciiTheme="minorHAnsi" w:hAnsiTheme="minorHAnsi" w:cstheme="minorHAnsi"/>
              </w:rPr>
            </w:pPr>
            <w:r w:rsidRPr="00885EC5">
              <w:rPr>
                <w:rFonts w:asciiTheme="minorHAnsi" w:hAnsiTheme="minorHAnsi" w:cstheme="minorHAnsi"/>
              </w:rPr>
              <w:t>2026</w:t>
            </w:r>
          </w:p>
        </w:tc>
        <w:tc>
          <w:tcPr>
            <w:tcW w:w="1241" w:type="dxa"/>
            <w:shd w:val="clear" w:color="auto" w:fill="C2D69B" w:themeFill="accent3" w:themeFillTint="99"/>
          </w:tcPr>
          <w:p w14:paraId="71389D3C" w14:textId="77777777" w:rsidR="00EC5A74" w:rsidRPr="00885EC5" w:rsidRDefault="00EC5A74" w:rsidP="00A96696">
            <w:pPr>
              <w:pStyle w:val="Tablehead"/>
              <w:rPr>
                <w:rFonts w:asciiTheme="minorHAnsi" w:hAnsiTheme="minorHAnsi" w:cstheme="minorHAnsi"/>
              </w:rPr>
            </w:pPr>
            <w:r w:rsidRPr="00885EC5">
              <w:rPr>
                <w:rFonts w:asciiTheme="minorHAnsi" w:hAnsiTheme="minorHAnsi" w:cstheme="minorHAnsi"/>
              </w:rPr>
              <w:t>2027</w:t>
            </w:r>
          </w:p>
        </w:tc>
      </w:tr>
      <w:tr w:rsidR="00EC5A74" w:rsidRPr="00885EC5" w14:paraId="112A310F" w14:textId="77777777" w:rsidTr="00A91354">
        <w:tc>
          <w:tcPr>
            <w:tcW w:w="5245" w:type="dxa"/>
            <w:tcBorders>
              <w:top w:val="single" w:sz="4" w:space="0" w:color="auto"/>
            </w:tcBorders>
            <w:shd w:val="clear" w:color="auto" w:fill="C2D69B" w:themeFill="accent3" w:themeFillTint="99"/>
          </w:tcPr>
          <w:p w14:paraId="060F8B4F" w14:textId="77777777" w:rsidR="00EC5A74" w:rsidRPr="00885EC5" w:rsidRDefault="00EC5A74" w:rsidP="00A96696">
            <w:pPr>
              <w:pStyle w:val="Tablehead"/>
              <w:jc w:val="left"/>
              <w:rPr>
                <w:rFonts w:asciiTheme="minorHAnsi" w:hAnsiTheme="minorHAnsi" w:cstheme="minorHAnsi"/>
                <w:sz w:val="26"/>
                <w:szCs w:val="26"/>
              </w:rPr>
            </w:pPr>
            <w:r w:rsidRPr="00885EC5">
              <w:t>Référence CMR-23/Actes finals et description</w:t>
            </w:r>
          </w:p>
        </w:tc>
        <w:tc>
          <w:tcPr>
            <w:tcW w:w="1251" w:type="dxa"/>
            <w:shd w:val="clear" w:color="auto" w:fill="C2D69B" w:themeFill="accent3" w:themeFillTint="99"/>
          </w:tcPr>
          <w:p w14:paraId="1D60031C" w14:textId="77777777" w:rsidR="00EC5A74" w:rsidRPr="00885EC5" w:rsidRDefault="00EC5A74" w:rsidP="00A96696">
            <w:pPr>
              <w:pStyle w:val="Tablehead"/>
              <w:rPr>
                <w:rFonts w:asciiTheme="minorHAnsi" w:hAnsiTheme="minorHAnsi" w:cstheme="minorHAnsi"/>
              </w:rPr>
            </w:pPr>
            <w:r w:rsidRPr="00885EC5">
              <w:rPr>
                <w:rFonts w:asciiTheme="minorHAnsi" w:hAnsiTheme="minorHAnsi" w:cstheme="minorHAnsi"/>
              </w:rPr>
              <w:t>CHF</w:t>
            </w:r>
          </w:p>
        </w:tc>
        <w:tc>
          <w:tcPr>
            <w:tcW w:w="1329" w:type="dxa"/>
            <w:shd w:val="clear" w:color="auto" w:fill="C2D69B" w:themeFill="accent3" w:themeFillTint="99"/>
          </w:tcPr>
          <w:p w14:paraId="0763FF80" w14:textId="77777777" w:rsidR="00EC5A74" w:rsidRPr="00885EC5" w:rsidRDefault="00EC5A74" w:rsidP="00A96696">
            <w:pPr>
              <w:pStyle w:val="Tablehead"/>
              <w:rPr>
                <w:rFonts w:asciiTheme="minorHAnsi" w:hAnsiTheme="minorHAnsi" w:cstheme="minorHAnsi"/>
              </w:rPr>
            </w:pPr>
            <w:r w:rsidRPr="00885EC5">
              <w:rPr>
                <w:rFonts w:asciiTheme="minorHAnsi" w:hAnsiTheme="minorHAnsi" w:cstheme="minorHAnsi"/>
              </w:rPr>
              <w:t>CHF</w:t>
            </w:r>
          </w:p>
        </w:tc>
        <w:tc>
          <w:tcPr>
            <w:tcW w:w="1241" w:type="dxa"/>
            <w:shd w:val="clear" w:color="auto" w:fill="C2D69B" w:themeFill="accent3" w:themeFillTint="99"/>
          </w:tcPr>
          <w:p w14:paraId="224D7910" w14:textId="77777777" w:rsidR="00EC5A74" w:rsidRPr="00885EC5" w:rsidRDefault="00EC5A74" w:rsidP="00A96696">
            <w:pPr>
              <w:pStyle w:val="Tablehead"/>
              <w:rPr>
                <w:rFonts w:asciiTheme="minorHAnsi" w:hAnsiTheme="minorHAnsi" w:cstheme="minorHAnsi"/>
              </w:rPr>
            </w:pPr>
            <w:r w:rsidRPr="00885EC5">
              <w:rPr>
                <w:rFonts w:asciiTheme="minorHAnsi" w:hAnsiTheme="minorHAnsi" w:cstheme="minorHAnsi"/>
              </w:rPr>
              <w:t>CHF</w:t>
            </w:r>
          </w:p>
        </w:tc>
      </w:tr>
      <w:tr w:rsidR="00EC5A74" w:rsidRPr="00885EC5" w14:paraId="5D6ECC19" w14:textId="77777777" w:rsidTr="00CD3BB9">
        <w:tc>
          <w:tcPr>
            <w:tcW w:w="5245" w:type="dxa"/>
          </w:tcPr>
          <w:p w14:paraId="1AA8C28D" w14:textId="77E04588" w:rsidR="00EC5A74" w:rsidRPr="00885EC5" w:rsidRDefault="00EC5A74" w:rsidP="00CD3BB9">
            <w:pPr>
              <w:pStyle w:val="Tabletext"/>
            </w:pPr>
            <w:r w:rsidRPr="00885EC5">
              <w:t>Ordre du jour de la CMR-27 – Certains sujets nécessitent un temps de réunion supplémentaire du/des groupe(s) concerné(s) pour que les travaux puissent aboutir pendant la période d</w:t>
            </w:r>
            <w:r w:rsidR="00885EC5">
              <w:t>'</w:t>
            </w:r>
            <w:r w:rsidRPr="00885EC5">
              <w:t>études. Parmi les autres sujets techniques, de nouveaux domaines d</w:t>
            </w:r>
            <w:r w:rsidR="00885EC5">
              <w:t>'</w:t>
            </w:r>
            <w:r w:rsidRPr="00885EC5">
              <w:t>étude comme la météorologie spatiale, les communications sur la Lune et les liaisons inter</w:t>
            </w:r>
            <w:r w:rsidR="00CD3BB9" w:rsidRPr="00885EC5">
              <w:noBreakHyphen/>
            </w:r>
            <w:r w:rsidRPr="00885EC5">
              <w:t>satellites donneraient lieu à des activités supplémentaires</w:t>
            </w:r>
            <w:r w:rsidRPr="00885EC5">
              <w:rPr>
                <w:i/>
                <w:iCs/>
                <w:vertAlign w:val="superscript"/>
              </w:rPr>
              <w:t>Note 3</w:t>
            </w:r>
            <w:r w:rsidRPr="00885EC5">
              <w:rPr>
                <w:i/>
                <w:iCs/>
              </w:rPr>
              <w:t>.</w:t>
            </w:r>
          </w:p>
        </w:tc>
        <w:tc>
          <w:tcPr>
            <w:tcW w:w="1251" w:type="dxa"/>
          </w:tcPr>
          <w:p w14:paraId="573C543E" w14:textId="77777777" w:rsidR="00EC5A74" w:rsidRPr="00885EC5" w:rsidRDefault="00EC5A74" w:rsidP="00CD3BB9">
            <w:pPr>
              <w:pStyle w:val="Tabletext"/>
              <w:jc w:val="center"/>
            </w:pPr>
            <w:r w:rsidRPr="00885EC5">
              <w:t>41 500</w:t>
            </w:r>
          </w:p>
        </w:tc>
        <w:tc>
          <w:tcPr>
            <w:tcW w:w="1329" w:type="dxa"/>
          </w:tcPr>
          <w:p w14:paraId="4078B121" w14:textId="77777777" w:rsidR="00EC5A74" w:rsidRPr="00885EC5" w:rsidRDefault="00EC5A74" w:rsidP="00CD3BB9">
            <w:pPr>
              <w:pStyle w:val="Tabletext"/>
              <w:jc w:val="center"/>
            </w:pPr>
            <w:r w:rsidRPr="00885EC5">
              <w:t>41 500</w:t>
            </w:r>
          </w:p>
        </w:tc>
        <w:tc>
          <w:tcPr>
            <w:tcW w:w="1241" w:type="dxa"/>
          </w:tcPr>
          <w:p w14:paraId="71301A53" w14:textId="77777777" w:rsidR="00EC5A74" w:rsidRPr="00885EC5" w:rsidRDefault="00EC5A74" w:rsidP="00CD3BB9">
            <w:pPr>
              <w:pStyle w:val="Tabletext"/>
              <w:jc w:val="center"/>
            </w:pPr>
          </w:p>
        </w:tc>
      </w:tr>
      <w:tr w:rsidR="00EC5A74" w:rsidRPr="00885EC5" w14:paraId="2B433A8F" w14:textId="77777777" w:rsidTr="00CD3BB9">
        <w:tc>
          <w:tcPr>
            <w:tcW w:w="5245" w:type="dxa"/>
          </w:tcPr>
          <w:p w14:paraId="7E98D549" w14:textId="1B89F6F3" w:rsidR="00EC5A74" w:rsidRPr="00885EC5" w:rsidRDefault="00EC5A74" w:rsidP="00CD3BB9">
            <w:pPr>
              <w:pStyle w:val="Tabletext"/>
            </w:pPr>
            <w:r w:rsidRPr="00885EC5">
              <w:t>Des documents supplémentaires seraient également nécessaires, par exemple plus de Traductions et de traitement de texte</w:t>
            </w:r>
            <w:r w:rsidRPr="00885EC5">
              <w:rPr>
                <w:i/>
                <w:iCs/>
                <w:vertAlign w:val="superscript"/>
              </w:rPr>
              <w:t>Note 4</w:t>
            </w:r>
            <w:r w:rsidRPr="00885EC5">
              <w:rPr>
                <w:i/>
                <w:iCs/>
              </w:rPr>
              <w:t>.</w:t>
            </w:r>
          </w:p>
        </w:tc>
        <w:tc>
          <w:tcPr>
            <w:tcW w:w="1251" w:type="dxa"/>
          </w:tcPr>
          <w:p w14:paraId="483B5B8A" w14:textId="77777777" w:rsidR="00EC5A74" w:rsidRPr="00885EC5" w:rsidRDefault="00EC5A74" w:rsidP="00CD3BB9">
            <w:pPr>
              <w:pStyle w:val="Tabletext"/>
              <w:jc w:val="center"/>
            </w:pPr>
            <w:r w:rsidRPr="00885EC5">
              <w:t>255 950</w:t>
            </w:r>
          </w:p>
        </w:tc>
        <w:tc>
          <w:tcPr>
            <w:tcW w:w="1329" w:type="dxa"/>
          </w:tcPr>
          <w:p w14:paraId="28338717" w14:textId="77777777" w:rsidR="00EC5A74" w:rsidRPr="00885EC5" w:rsidRDefault="00EC5A74" w:rsidP="00CD3BB9">
            <w:pPr>
              <w:pStyle w:val="Tabletext"/>
              <w:jc w:val="center"/>
            </w:pPr>
            <w:r w:rsidRPr="00885EC5">
              <w:t>255 950</w:t>
            </w:r>
          </w:p>
        </w:tc>
        <w:tc>
          <w:tcPr>
            <w:tcW w:w="1241" w:type="dxa"/>
          </w:tcPr>
          <w:p w14:paraId="5BD23B8B" w14:textId="77777777" w:rsidR="00EC5A74" w:rsidRPr="00885EC5" w:rsidRDefault="00EC5A74" w:rsidP="00CD3BB9">
            <w:pPr>
              <w:pStyle w:val="Tabletext"/>
              <w:jc w:val="center"/>
            </w:pPr>
          </w:p>
        </w:tc>
      </w:tr>
      <w:tr w:rsidR="00EC5A74" w:rsidRPr="00885EC5" w14:paraId="46473322" w14:textId="77777777" w:rsidTr="00CD3BB9">
        <w:tc>
          <w:tcPr>
            <w:tcW w:w="5245" w:type="dxa"/>
          </w:tcPr>
          <w:p w14:paraId="4D2A4B7A" w14:textId="77777777" w:rsidR="00EC5A74" w:rsidRPr="00885EC5" w:rsidRDefault="00EC5A74" w:rsidP="00CD3BB9">
            <w:pPr>
              <w:pStyle w:val="Tabletext"/>
            </w:pPr>
            <w:r w:rsidRPr="00885EC5">
              <w:t>Le secrétariat du BR aurait besoin de ressources pour faire face à la charge de travail supplémentaire (équivalent à un temps plein de grade G6 et à un temps plein de grade P3).</w:t>
            </w:r>
          </w:p>
        </w:tc>
        <w:tc>
          <w:tcPr>
            <w:tcW w:w="1251" w:type="dxa"/>
          </w:tcPr>
          <w:p w14:paraId="6A9E64C1" w14:textId="77777777" w:rsidR="00EC5A74" w:rsidRPr="00885EC5" w:rsidRDefault="00EC5A74" w:rsidP="00CD3BB9">
            <w:pPr>
              <w:pStyle w:val="Tabletext"/>
              <w:jc w:val="center"/>
            </w:pPr>
            <w:r w:rsidRPr="00885EC5">
              <w:t>326 340</w:t>
            </w:r>
          </w:p>
        </w:tc>
        <w:tc>
          <w:tcPr>
            <w:tcW w:w="1329" w:type="dxa"/>
          </w:tcPr>
          <w:p w14:paraId="598C2D5C" w14:textId="77777777" w:rsidR="00EC5A74" w:rsidRPr="00885EC5" w:rsidRDefault="00EC5A74" w:rsidP="00CD3BB9">
            <w:pPr>
              <w:pStyle w:val="Tabletext"/>
              <w:jc w:val="center"/>
            </w:pPr>
            <w:r w:rsidRPr="00885EC5">
              <w:t>326 340</w:t>
            </w:r>
          </w:p>
        </w:tc>
        <w:tc>
          <w:tcPr>
            <w:tcW w:w="1241" w:type="dxa"/>
          </w:tcPr>
          <w:p w14:paraId="71B4F5D0" w14:textId="77777777" w:rsidR="00EC5A74" w:rsidRPr="00885EC5" w:rsidRDefault="00EC5A74" w:rsidP="00CD3BB9">
            <w:pPr>
              <w:pStyle w:val="Tabletext"/>
              <w:jc w:val="center"/>
            </w:pPr>
            <w:r w:rsidRPr="00885EC5">
              <w:t>326 340</w:t>
            </w:r>
          </w:p>
        </w:tc>
      </w:tr>
      <w:tr w:rsidR="00EC5A74" w:rsidRPr="00885EC5" w14:paraId="6D4C8D81" w14:textId="77777777" w:rsidTr="00CD3BB9">
        <w:tc>
          <w:tcPr>
            <w:tcW w:w="5245" w:type="dxa"/>
            <w:shd w:val="clear" w:color="auto" w:fill="C2D69B" w:themeFill="accent3" w:themeFillTint="99"/>
          </w:tcPr>
          <w:p w14:paraId="348181E2" w14:textId="77777777" w:rsidR="00EC5A74" w:rsidRPr="00885EC5" w:rsidRDefault="00EC5A74" w:rsidP="00CD3BB9">
            <w:pPr>
              <w:pStyle w:val="Tabletext"/>
              <w:rPr>
                <w:b/>
                <w:bCs/>
              </w:rPr>
            </w:pPr>
            <w:r w:rsidRPr="00885EC5">
              <w:rPr>
                <w:b/>
                <w:bCs/>
              </w:rPr>
              <w:t>Total</w:t>
            </w:r>
          </w:p>
        </w:tc>
        <w:tc>
          <w:tcPr>
            <w:tcW w:w="1251" w:type="dxa"/>
            <w:shd w:val="clear" w:color="auto" w:fill="C2D69B" w:themeFill="accent3" w:themeFillTint="99"/>
          </w:tcPr>
          <w:p w14:paraId="67608F78" w14:textId="77777777" w:rsidR="00EC5A74" w:rsidRPr="00885EC5" w:rsidRDefault="00EC5A74" w:rsidP="00CD3BB9">
            <w:pPr>
              <w:pStyle w:val="Tabletext"/>
              <w:jc w:val="center"/>
              <w:rPr>
                <w:b/>
                <w:bCs/>
              </w:rPr>
            </w:pPr>
            <w:r w:rsidRPr="00885EC5">
              <w:rPr>
                <w:b/>
                <w:bCs/>
              </w:rPr>
              <w:t>623 790</w:t>
            </w:r>
          </w:p>
        </w:tc>
        <w:tc>
          <w:tcPr>
            <w:tcW w:w="1329" w:type="dxa"/>
            <w:shd w:val="clear" w:color="auto" w:fill="C2D69B" w:themeFill="accent3" w:themeFillTint="99"/>
          </w:tcPr>
          <w:p w14:paraId="7E6CDCA9" w14:textId="77777777" w:rsidR="00EC5A74" w:rsidRPr="00885EC5" w:rsidRDefault="00EC5A74" w:rsidP="00CD3BB9">
            <w:pPr>
              <w:pStyle w:val="Tabletext"/>
              <w:jc w:val="center"/>
              <w:rPr>
                <w:b/>
                <w:bCs/>
              </w:rPr>
            </w:pPr>
            <w:r w:rsidRPr="00885EC5">
              <w:rPr>
                <w:b/>
                <w:bCs/>
              </w:rPr>
              <w:t>623 790</w:t>
            </w:r>
          </w:p>
        </w:tc>
        <w:tc>
          <w:tcPr>
            <w:tcW w:w="1241" w:type="dxa"/>
            <w:shd w:val="clear" w:color="auto" w:fill="C2D69B" w:themeFill="accent3" w:themeFillTint="99"/>
          </w:tcPr>
          <w:p w14:paraId="315A3914" w14:textId="77777777" w:rsidR="00EC5A74" w:rsidRPr="00885EC5" w:rsidRDefault="00EC5A74" w:rsidP="00CD3BB9">
            <w:pPr>
              <w:pStyle w:val="Tabletext"/>
              <w:jc w:val="center"/>
              <w:rPr>
                <w:b/>
                <w:bCs/>
              </w:rPr>
            </w:pPr>
            <w:r w:rsidRPr="00885EC5">
              <w:rPr>
                <w:b/>
                <w:bCs/>
              </w:rPr>
              <w:t>326 340</w:t>
            </w:r>
          </w:p>
        </w:tc>
      </w:tr>
    </w:tbl>
    <w:p w14:paraId="1B5E1195" w14:textId="3302CEEF" w:rsidR="00EC5A74" w:rsidRPr="00885EC5" w:rsidRDefault="00EC5A74" w:rsidP="00A96696">
      <w:pPr>
        <w:pStyle w:val="Note"/>
      </w:pPr>
      <w:r w:rsidRPr="00885EC5">
        <w:rPr>
          <w:i/>
          <w:iCs/>
        </w:rPr>
        <w:lastRenderedPageBreak/>
        <w:t>Note 3</w:t>
      </w:r>
      <w:r w:rsidRPr="00885EC5">
        <w:t>: la plupart de ces sujets auront une incidence sur la charge de travail de la CE</w:t>
      </w:r>
      <w:r w:rsidR="0023651B" w:rsidRPr="00885EC5">
        <w:t> </w:t>
      </w:r>
      <w:r w:rsidRPr="00885EC5">
        <w:t>4 (Services par satellite), tandis que d</w:t>
      </w:r>
      <w:r w:rsidR="00885EC5">
        <w:t>'</w:t>
      </w:r>
      <w:r w:rsidRPr="00885EC5">
        <w:t>autres sujets pourront être confiés à la CE 5 (Services de Terre), à la CE 7 (Services scientifiques) et/ou à la CE 1 (Gestion du spectre).</w:t>
      </w:r>
    </w:p>
    <w:p w14:paraId="490E6724" w14:textId="0DC8A6E4" w:rsidR="00EC5A74" w:rsidRPr="00885EC5" w:rsidRDefault="00EC5A74" w:rsidP="00A96696">
      <w:pPr>
        <w:pStyle w:val="Note"/>
      </w:pPr>
      <w:r w:rsidRPr="00885EC5">
        <w:rPr>
          <w:i/>
          <w:iCs/>
        </w:rPr>
        <w:t>Note 4</w:t>
      </w:r>
      <w:r w:rsidRPr="00885EC5">
        <w:t>: compte tenu de ce qui précède, nous estimons donc nécessaire de prévoir environ 30 jours de réunion supplémentaires pour les groupes de travail (avec participation à distance et diffusion sur le web) et environ 3 jours de réunion supplémentaire pour les commissions d</w:t>
      </w:r>
      <w:r w:rsidR="00885EC5">
        <w:t>'</w:t>
      </w:r>
      <w:r w:rsidRPr="00885EC5">
        <w:t>études (avec sous-titrage, interprétation, traduction d</w:t>
      </w:r>
      <w:r w:rsidR="00885EC5">
        <w:t>'</w:t>
      </w:r>
      <w:r w:rsidRPr="00885EC5">
        <w:t>environ 500 pages de textes, participation à distance et diffusion sur le web). Tous les éléments ci-dessus reposent sur l</w:t>
      </w:r>
      <w:r w:rsidR="00885EC5">
        <w:t>'</w:t>
      </w:r>
      <w:r w:rsidRPr="00885EC5">
        <w:t>hypothèse selon laquelle les réunions des groupes de travail se tiennent au siège de</w:t>
      </w:r>
      <w:r w:rsidR="0023651B" w:rsidRPr="00885EC5">
        <w:t> </w:t>
      </w:r>
      <w:r w:rsidRPr="00885EC5">
        <w:t>l</w:t>
      </w:r>
      <w:r w:rsidR="00885EC5">
        <w:t>'</w:t>
      </w:r>
      <w:r w:rsidRPr="00885EC5">
        <w:t>UIT.</w:t>
      </w:r>
    </w:p>
    <w:p w14:paraId="392138BF" w14:textId="77777777" w:rsidR="0023651B" w:rsidRPr="00885EC5" w:rsidRDefault="0023651B" w:rsidP="00A96696">
      <w:pPr>
        <w:pStyle w:val="Heading2"/>
      </w:pPr>
      <w:r w:rsidRPr="00885EC5">
        <w:t>4.2</w:t>
      </w:r>
      <w:r w:rsidRPr="00885EC5">
        <w:tab/>
        <w:t>Incidences budgétaires récurrentes concernant les services de Terre</w:t>
      </w:r>
    </w:p>
    <w:p w14:paraId="4A8ABD38" w14:textId="3E14AA8E" w:rsidR="0023651B" w:rsidRPr="00885EC5" w:rsidRDefault="0023651B" w:rsidP="00A96696">
      <w:r w:rsidRPr="00885EC5">
        <w:t>La Commission de contrôle budgétaire de la CMR-23 n</w:t>
      </w:r>
      <w:r w:rsidR="00885EC5">
        <w:t>'</w:t>
      </w:r>
      <w:r w:rsidRPr="00885EC5">
        <w:t>a recensé aucune incidence financière récurrente, que ce soit pour le traitement des soumissions relatives aux services de Terre ou pour la mise à jour des logiciels pour les services de Terre.</w:t>
      </w:r>
    </w:p>
    <w:p w14:paraId="4789F246" w14:textId="77777777" w:rsidR="0023651B" w:rsidRPr="00885EC5" w:rsidRDefault="0023651B" w:rsidP="00A96696">
      <w:pPr>
        <w:pStyle w:val="Heading2"/>
      </w:pPr>
      <w:r w:rsidRPr="00885EC5">
        <w:t>4.3</w:t>
      </w:r>
      <w:r w:rsidRPr="00885EC5">
        <w:tab/>
        <w:t>Incidences budgétaires récurrentes concernant les services spatiaux</w:t>
      </w:r>
    </w:p>
    <w:p w14:paraId="66C75B65" w14:textId="788EFB97" w:rsidR="0023651B" w:rsidRPr="00885EC5" w:rsidRDefault="0023651B" w:rsidP="00A96696">
      <w:r w:rsidRPr="00885EC5">
        <w:t>La Commission de contrôle budgétaire de la CMR-23 a en revanche recensé des incidences financières récurrentes à la fois pour le traitement des soumissions relatives aux services spatiaux et pour la mise à jour des logiciels pour les services spatiaux. Ces coûts sont présentés ci-après dans les Tableaux 4-2 et 4-3 respectivement.</w:t>
      </w:r>
    </w:p>
    <w:p w14:paraId="61A8BB36" w14:textId="77777777" w:rsidR="0023651B" w:rsidRPr="00885EC5" w:rsidRDefault="0023651B" w:rsidP="00A96696"/>
    <w:p w14:paraId="11FD3197" w14:textId="0E189F6C" w:rsidR="002E6791" w:rsidRPr="00885EC5" w:rsidRDefault="002E6791" w:rsidP="00A96696">
      <w:pPr>
        <w:sectPr w:rsidR="002E6791" w:rsidRPr="00885EC5" w:rsidSect="00D72F49">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pPr>
    </w:p>
    <w:p w14:paraId="789EC6D7" w14:textId="77777777" w:rsidR="0023651B" w:rsidRPr="00885EC5" w:rsidRDefault="0023651B" w:rsidP="00A96696">
      <w:pPr>
        <w:pStyle w:val="TableNo"/>
        <w:spacing w:before="240"/>
        <w:rPr>
          <w:b/>
          <w:bCs/>
        </w:rPr>
      </w:pPr>
      <w:r w:rsidRPr="00885EC5">
        <w:rPr>
          <w:b/>
          <w:bCs/>
        </w:rPr>
        <w:lastRenderedPageBreak/>
        <w:t>TABLEAU 4-2</w:t>
      </w:r>
    </w:p>
    <w:p w14:paraId="30FE9EB4" w14:textId="5BE39931" w:rsidR="0023651B" w:rsidRPr="00885EC5" w:rsidRDefault="0023651B" w:rsidP="00A96696">
      <w:pPr>
        <w:pStyle w:val="Tabletitle"/>
      </w:pPr>
      <w:r w:rsidRPr="00885EC5">
        <w:rPr>
          <w:rFonts w:eastAsia="Verdana"/>
        </w:rPr>
        <w:t>Incidences budgétaires récurrentes pour le traitement des soumissions relatives aux services spatiaux</w:t>
      </w:r>
      <w:r w:rsidRPr="00885EC5">
        <w:t xml:space="preserve"> (2025-2027)</w:t>
      </w:r>
    </w:p>
    <w:tbl>
      <w:tblPr>
        <w:tblStyle w:val="TableGrid"/>
        <w:tblW w:w="0" w:type="auto"/>
        <w:tblLook w:val="04A0" w:firstRow="1" w:lastRow="0" w:firstColumn="1" w:lastColumn="0" w:noHBand="0" w:noVBand="1"/>
      </w:tblPr>
      <w:tblGrid>
        <w:gridCol w:w="5519"/>
        <w:gridCol w:w="1389"/>
        <w:gridCol w:w="1532"/>
        <w:gridCol w:w="1387"/>
        <w:gridCol w:w="1387"/>
        <w:gridCol w:w="1387"/>
        <w:gridCol w:w="1387"/>
      </w:tblGrid>
      <w:tr w:rsidR="0023651B" w:rsidRPr="00885EC5" w14:paraId="30674EF7" w14:textId="77777777" w:rsidTr="005C5157">
        <w:trPr>
          <w:tblHeader/>
        </w:trPr>
        <w:tc>
          <w:tcPr>
            <w:tcW w:w="5519" w:type="dxa"/>
            <w:tcBorders>
              <w:top w:val="nil"/>
              <w:left w:val="nil"/>
              <w:bottom w:val="single" w:sz="4" w:space="0" w:color="auto"/>
              <w:right w:val="single" w:sz="4" w:space="0" w:color="auto"/>
            </w:tcBorders>
            <w:shd w:val="clear" w:color="auto" w:fill="auto"/>
          </w:tcPr>
          <w:p w14:paraId="331B3808" w14:textId="77777777" w:rsidR="0023651B" w:rsidRPr="00885EC5" w:rsidRDefault="0023651B" w:rsidP="00A96696">
            <w:pPr>
              <w:pStyle w:val="Tablehead"/>
              <w:rPr>
                <w:sz w:val="20"/>
                <w:szCs w:val="20"/>
              </w:rPr>
            </w:pPr>
          </w:p>
        </w:tc>
        <w:tc>
          <w:tcPr>
            <w:tcW w:w="2921" w:type="dxa"/>
            <w:gridSpan w:val="2"/>
            <w:tcBorders>
              <w:left w:val="single" w:sz="4" w:space="0" w:color="auto"/>
            </w:tcBorders>
            <w:shd w:val="clear" w:color="auto" w:fill="92CDDC" w:themeFill="accent5" w:themeFillTint="99"/>
          </w:tcPr>
          <w:p w14:paraId="3641602D" w14:textId="77777777" w:rsidR="0023651B" w:rsidRPr="00885EC5" w:rsidRDefault="0023651B" w:rsidP="00A96696">
            <w:pPr>
              <w:pStyle w:val="Tablehead"/>
              <w:rPr>
                <w:rFonts w:asciiTheme="minorHAnsi" w:hAnsiTheme="minorHAnsi" w:cstheme="minorHAnsi"/>
                <w:sz w:val="20"/>
                <w:szCs w:val="20"/>
              </w:rPr>
            </w:pPr>
            <w:r w:rsidRPr="00885EC5">
              <w:rPr>
                <w:sz w:val="20"/>
                <w:szCs w:val="20"/>
              </w:rPr>
              <w:t>2025</w:t>
            </w:r>
          </w:p>
        </w:tc>
        <w:tc>
          <w:tcPr>
            <w:tcW w:w="2774" w:type="dxa"/>
            <w:gridSpan w:val="2"/>
            <w:shd w:val="clear" w:color="auto" w:fill="92CDDC" w:themeFill="accent5" w:themeFillTint="99"/>
          </w:tcPr>
          <w:p w14:paraId="05136CF4" w14:textId="77777777" w:rsidR="0023651B" w:rsidRPr="00885EC5" w:rsidRDefault="0023651B" w:rsidP="00A96696">
            <w:pPr>
              <w:pStyle w:val="Tablehead"/>
              <w:rPr>
                <w:rFonts w:asciiTheme="minorHAnsi" w:hAnsiTheme="minorHAnsi" w:cstheme="minorHAnsi"/>
                <w:sz w:val="20"/>
                <w:szCs w:val="20"/>
              </w:rPr>
            </w:pPr>
            <w:r w:rsidRPr="00885EC5">
              <w:rPr>
                <w:rFonts w:asciiTheme="minorHAnsi" w:hAnsiTheme="minorHAnsi" w:cstheme="minorHAnsi"/>
                <w:sz w:val="20"/>
                <w:szCs w:val="20"/>
              </w:rPr>
              <w:t>2026</w:t>
            </w:r>
          </w:p>
        </w:tc>
        <w:tc>
          <w:tcPr>
            <w:tcW w:w="2774" w:type="dxa"/>
            <w:gridSpan w:val="2"/>
            <w:shd w:val="clear" w:color="auto" w:fill="92CDDC" w:themeFill="accent5" w:themeFillTint="99"/>
          </w:tcPr>
          <w:p w14:paraId="55476E82" w14:textId="77777777" w:rsidR="0023651B" w:rsidRPr="00885EC5" w:rsidRDefault="0023651B" w:rsidP="00A96696">
            <w:pPr>
              <w:pStyle w:val="Tablehead"/>
              <w:rPr>
                <w:rFonts w:asciiTheme="minorHAnsi" w:hAnsiTheme="minorHAnsi" w:cstheme="minorHAnsi"/>
                <w:sz w:val="20"/>
                <w:szCs w:val="20"/>
              </w:rPr>
            </w:pPr>
            <w:r w:rsidRPr="00885EC5">
              <w:rPr>
                <w:rFonts w:asciiTheme="minorHAnsi" w:hAnsiTheme="minorHAnsi" w:cstheme="minorHAnsi"/>
                <w:sz w:val="20"/>
                <w:szCs w:val="20"/>
              </w:rPr>
              <w:t>2027</w:t>
            </w:r>
          </w:p>
        </w:tc>
      </w:tr>
      <w:tr w:rsidR="0023651B" w:rsidRPr="00885EC5" w14:paraId="211EFF9B" w14:textId="77777777" w:rsidTr="00FE3279">
        <w:trPr>
          <w:trHeight w:val="275"/>
          <w:tblHeader/>
        </w:trPr>
        <w:tc>
          <w:tcPr>
            <w:tcW w:w="5519" w:type="dxa"/>
            <w:tcBorders>
              <w:top w:val="single" w:sz="4" w:space="0" w:color="auto"/>
            </w:tcBorders>
            <w:shd w:val="clear" w:color="auto" w:fill="92CDDC" w:themeFill="accent5" w:themeFillTint="99"/>
          </w:tcPr>
          <w:p w14:paraId="064D1620" w14:textId="77777777" w:rsidR="0023651B" w:rsidRPr="00885EC5" w:rsidRDefault="0023651B" w:rsidP="0086261C">
            <w:pPr>
              <w:pStyle w:val="Tablehead"/>
              <w:rPr>
                <w:rFonts w:asciiTheme="minorHAnsi" w:hAnsiTheme="minorHAnsi" w:cstheme="minorHAnsi"/>
                <w:sz w:val="20"/>
                <w:szCs w:val="20"/>
              </w:rPr>
            </w:pPr>
            <w:r w:rsidRPr="00885EC5">
              <w:rPr>
                <w:sz w:val="20"/>
                <w:szCs w:val="20"/>
              </w:rPr>
              <w:t>Référence CMR-23/Actes finals et description</w:t>
            </w:r>
          </w:p>
        </w:tc>
        <w:tc>
          <w:tcPr>
            <w:tcW w:w="1389" w:type="dxa"/>
            <w:shd w:val="clear" w:color="auto" w:fill="92CDDC" w:themeFill="accent5" w:themeFillTint="99"/>
          </w:tcPr>
          <w:p w14:paraId="56568C89" w14:textId="77777777" w:rsidR="0023651B" w:rsidRPr="00885EC5" w:rsidRDefault="0023651B" w:rsidP="0086261C">
            <w:pPr>
              <w:pStyle w:val="Tablehead"/>
              <w:rPr>
                <w:rFonts w:asciiTheme="minorHAnsi" w:hAnsiTheme="minorHAnsi" w:cstheme="minorHAnsi"/>
                <w:sz w:val="20"/>
                <w:szCs w:val="20"/>
              </w:rPr>
            </w:pPr>
            <w:r w:rsidRPr="00885EC5">
              <w:rPr>
                <w:sz w:val="20"/>
                <w:szCs w:val="20"/>
              </w:rPr>
              <w:t>Équivalent temps plein de grade P3</w:t>
            </w:r>
          </w:p>
        </w:tc>
        <w:tc>
          <w:tcPr>
            <w:tcW w:w="1532" w:type="dxa"/>
            <w:shd w:val="clear" w:color="auto" w:fill="92CDDC" w:themeFill="accent5" w:themeFillTint="99"/>
          </w:tcPr>
          <w:p w14:paraId="515A457A" w14:textId="5AF6BF07" w:rsidR="0023651B" w:rsidRPr="00885EC5" w:rsidRDefault="0023651B" w:rsidP="0086261C">
            <w:pPr>
              <w:pStyle w:val="Tablehead"/>
              <w:rPr>
                <w:rFonts w:asciiTheme="minorHAnsi" w:hAnsiTheme="minorHAnsi" w:cstheme="minorHAnsi"/>
                <w:sz w:val="20"/>
                <w:szCs w:val="20"/>
              </w:rPr>
            </w:pPr>
            <w:r w:rsidRPr="00885EC5">
              <w:rPr>
                <w:rFonts w:asciiTheme="minorHAnsi" w:hAnsiTheme="minorHAnsi" w:cstheme="minorHAnsi"/>
                <w:sz w:val="20"/>
                <w:szCs w:val="20"/>
              </w:rPr>
              <w:t>CHF</w:t>
            </w:r>
          </w:p>
        </w:tc>
        <w:tc>
          <w:tcPr>
            <w:tcW w:w="1387" w:type="dxa"/>
            <w:shd w:val="clear" w:color="auto" w:fill="92CDDC" w:themeFill="accent5" w:themeFillTint="99"/>
          </w:tcPr>
          <w:p w14:paraId="0F282DC5" w14:textId="77777777" w:rsidR="0023651B" w:rsidRPr="00885EC5" w:rsidRDefault="0023651B" w:rsidP="0086261C">
            <w:pPr>
              <w:pStyle w:val="Tablehead"/>
              <w:rPr>
                <w:rFonts w:asciiTheme="minorHAnsi" w:hAnsiTheme="minorHAnsi" w:cstheme="minorHAnsi"/>
                <w:sz w:val="20"/>
                <w:szCs w:val="20"/>
              </w:rPr>
            </w:pPr>
            <w:r w:rsidRPr="00885EC5">
              <w:rPr>
                <w:sz w:val="20"/>
                <w:szCs w:val="20"/>
              </w:rPr>
              <w:t>Équivalent temps plein de grade P3</w:t>
            </w:r>
          </w:p>
        </w:tc>
        <w:tc>
          <w:tcPr>
            <w:tcW w:w="1387" w:type="dxa"/>
            <w:shd w:val="clear" w:color="auto" w:fill="92CDDC" w:themeFill="accent5" w:themeFillTint="99"/>
          </w:tcPr>
          <w:p w14:paraId="137086E2" w14:textId="48028286" w:rsidR="0023651B" w:rsidRPr="00885EC5" w:rsidRDefault="0023651B" w:rsidP="0086261C">
            <w:pPr>
              <w:pStyle w:val="Tablehead"/>
              <w:rPr>
                <w:rFonts w:asciiTheme="minorHAnsi" w:hAnsiTheme="minorHAnsi" w:cstheme="minorHAnsi"/>
                <w:sz w:val="20"/>
                <w:szCs w:val="20"/>
              </w:rPr>
            </w:pPr>
            <w:r w:rsidRPr="00885EC5">
              <w:rPr>
                <w:rFonts w:asciiTheme="minorHAnsi" w:hAnsiTheme="minorHAnsi" w:cstheme="minorHAnsi"/>
                <w:sz w:val="20"/>
                <w:szCs w:val="20"/>
              </w:rPr>
              <w:t>CHF</w:t>
            </w:r>
          </w:p>
        </w:tc>
        <w:tc>
          <w:tcPr>
            <w:tcW w:w="1387" w:type="dxa"/>
            <w:shd w:val="clear" w:color="auto" w:fill="92CDDC" w:themeFill="accent5" w:themeFillTint="99"/>
          </w:tcPr>
          <w:p w14:paraId="5EF334F0" w14:textId="5DECA805" w:rsidR="0023651B" w:rsidRPr="00885EC5" w:rsidRDefault="0023651B" w:rsidP="0086261C">
            <w:pPr>
              <w:pStyle w:val="Tablehead"/>
              <w:rPr>
                <w:rFonts w:asciiTheme="minorHAnsi" w:hAnsiTheme="minorHAnsi" w:cstheme="minorHAnsi"/>
                <w:sz w:val="20"/>
                <w:szCs w:val="20"/>
              </w:rPr>
            </w:pPr>
            <w:r w:rsidRPr="00885EC5">
              <w:rPr>
                <w:sz w:val="20"/>
                <w:szCs w:val="20"/>
              </w:rPr>
              <w:t>Équivalent temps plein de grade P3</w:t>
            </w:r>
          </w:p>
        </w:tc>
        <w:tc>
          <w:tcPr>
            <w:tcW w:w="1387" w:type="dxa"/>
            <w:shd w:val="clear" w:color="auto" w:fill="92CDDC" w:themeFill="accent5" w:themeFillTint="99"/>
          </w:tcPr>
          <w:p w14:paraId="3342B4CE" w14:textId="470B4902" w:rsidR="0023651B" w:rsidRPr="00885EC5" w:rsidRDefault="0023651B" w:rsidP="0086261C">
            <w:pPr>
              <w:pStyle w:val="Tablehead"/>
              <w:rPr>
                <w:rFonts w:asciiTheme="minorHAnsi" w:hAnsiTheme="minorHAnsi" w:cstheme="minorHAnsi"/>
                <w:sz w:val="20"/>
                <w:szCs w:val="20"/>
              </w:rPr>
            </w:pPr>
            <w:r w:rsidRPr="00885EC5">
              <w:rPr>
                <w:rFonts w:asciiTheme="minorHAnsi" w:hAnsiTheme="minorHAnsi" w:cstheme="minorHAnsi"/>
                <w:sz w:val="20"/>
                <w:szCs w:val="20"/>
              </w:rPr>
              <w:t>CHF</w:t>
            </w:r>
          </w:p>
        </w:tc>
      </w:tr>
      <w:tr w:rsidR="0023651B" w:rsidRPr="00885EC5" w14:paraId="01267BAC" w14:textId="77777777" w:rsidTr="00CD3BB9">
        <w:tc>
          <w:tcPr>
            <w:tcW w:w="5519" w:type="dxa"/>
          </w:tcPr>
          <w:p w14:paraId="3D409CB3" w14:textId="08BDE74B" w:rsidR="0023651B" w:rsidRPr="00885EC5" w:rsidRDefault="0023651B" w:rsidP="00CD3BB9">
            <w:pPr>
              <w:pStyle w:val="Tabletext"/>
              <w:rPr>
                <w:rFonts w:asciiTheme="minorHAnsi" w:hAnsiTheme="minorHAnsi" w:cstheme="minorHAnsi"/>
                <w:sz w:val="20"/>
                <w:szCs w:val="20"/>
              </w:rPr>
            </w:pPr>
            <w:r w:rsidRPr="00885EC5">
              <w:rPr>
                <w:sz w:val="20"/>
                <w:szCs w:val="20"/>
              </w:rPr>
              <w:t xml:space="preserve">Résolution </w:t>
            </w:r>
            <w:r w:rsidRPr="00885EC5">
              <w:rPr>
                <w:b/>
                <w:bCs/>
                <w:sz w:val="20"/>
                <w:szCs w:val="20"/>
              </w:rPr>
              <w:t>121 (CMR-23)</w:t>
            </w:r>
            <w:r w:rsidRPr="00885EC5">
              <w:rPr>
                <w:sz w:val="20"/>
                <w:szCs w:val="20"/>
              </w:rPr>
              <w:t>: Stations ESIM relevant de l</w:t>
            </w:r>
            <w:r w:rsidR="00885EC5">
              <w:rPr>
                <w:sz w:val="20"/>
                <w:szCs w:val="20"/>
              </w:rPr>
              <w:t>'</w:t>
            </w:r>
            <w:r w:rsidRPr="00885EC5">
              <w:rPr>
                <w:sz w:val="20"/>
                <w:szCs w:val="20"/>
              </w:rPr>
              <w:t>Appendice</w:t>
            </w:r>
            <w:r w:rsidR="005C5157" w:rsidRPr="00885EC5">
              <w:rPr>
                <w:sz w:val="20"/>
                <w:szCs w:val="20"/>
              </w:rPr>
              <w:t> </w:t>
            </w:r>
            <w:r w:rsidRPr="00885EC5">
              <w:rPr>
                <w:b/>
                <w:bCs/>
                <w:sz w:val="20"/>
                <w:szCs w:val="20"/>
              </w:rPr>
              <w:t>30B</w:t>
            </w:r>
          </w:p>
        </w:tc>
        <w:tc>
          <w:tcPr>
            <w:tcW w:w="1389" w:type="dxa"/>
          </w:tcPr>
          <w:p w14:paraId="72C84C20"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3</w:t>
            </w:r>
          </w:p>
        </w:tc>
        <w:tc>
          <w:tcPr>
            <w:tcW w:w="1532" w:type="dxa"/>
          </w:tcPr>
          <w:p w14:paraId="091D644F"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525 852,00</w:t>
            </w:r>
          </w:p>
        </w:tc>
        <w:tc>
          <w:tcPr>
            <w:tcW w:w="1387" w:type="dxa"/>
          </w:tcPr>
          <w:p w14:paraId="479DE7C4" w14:textId="77777777" w:rsidR="0023651B" w:rsidRPr="00885EC5" w:rsidRDefault="0023651B" w:rsidP="00A96696">
            <w:pPr>
              <w:pStyle w:val="Tabletext"/>
              <w:jc w:val="right"/>
              <w:rPr>
                <w:sz w:val="20"/>
                <w:szCs w:val="20"/>
              </w:rPr>
            </w:pPr>
            <w:r w:rsidRPr="00885EC5">
              <w:rPr>
                <w:sz w:val="20"/>
                <w:szCs w:val="20"/>
              </w:rPr>
              <w:t>3</w:t>
            </w:r>
          </w:p>
        </w:tc>
        <w:tc>
          <w:tcPr>
            <w:tcW w:w="1387" w:type="dxa"/>
          </w:tcPr>
          <w:p w14:paraId="0FD12578" w14:textId="77777777" w:rsidR="0023651B" w:rsidRPr="00885EC5" w:rsidRDefault="0023651B" w:rsidP="00A96696">
            <w:pPr>
              <w:pStyle w:val="Tabletext"/>
              <w:jc w:val="right"/>
              <w:rPr>
                <w:sz w:val="20"/>
                <w:szCs w:val="20"/>
              </w:rPr>
            </w:pPr>
            <w:r w:rsidRPr="00885EC5">
              <w:rPr>
                <w:sz w:val="20"/>
                <w:szCs w:val="20"/>
              </w:rPr>
              <w:t>525 852,00</w:t>
            </w:r>
          </w:p>
        </w:tc>
        <w:tc>
          <w:tcPr>
            <w:tcW w:w="1387" w:type="dxa"/>
          </w:tcPr>
          <w:p w14:paraId="65972935" w14:textId="77777777" w:rsidR="0023651B" w:rsidRPr="00885EC5" w:rsidRDefault="0023651B" w:rsidP="00A96696">
            <w:pPr>
              <w:pStyle w:val="Tabletext"/>
              <w:jc w:val="right"/>
              <w:rPr>
                <w:sz w:val="20"/>
                <w:szCs w:val="20"/>
              </w:rPr>
            </w:pPr>
            <w:r w:rsidRPr="00885EC5">
              <w:rPr>
                <w:sz w:val="20"/>
                <w:szCs w:val="20"/>
              </w:rPr>
              <w:t>3</w:t>
            </w:r>
          </w:p>
        </w:tc>
        <w:tc>
          <w:tcPr>
            <w:tcW w:w="1387" w:type="dxa"/>
          </w:tcPr>
          <w:p w14:paraId="7314D46E" w14:textId="77777777" w:rsidR="0023651B" w:rsidRPr="00885EC5" w:rsidRDefault="0023651B" w:rsidP="00A96696">
            <w:pPr>
              <w:pStyle w:val="Tabletext"/>
              <w:jc w:val="right"/>
              <w:rPr>
                <w:sz w:val="20"/>
                <w:szCs w:val="20"/>
              </w:rPr>
            </w:pPr>
            <w:r w:rsidRPr="00885EC5">
              <w:rPr>
                <w:sz w:val="20"/>
                <w:szCs w:val="20"/>
              </w:rPr>
              <w:t>525 852,00</w:t>
            </w:r>
          </w:p>
        </w:tc>
      </w:tr>
      <w:tr w:rsidR="0023651B" w:rsidRPr="00885EC5" w14:paraId="22697C73" w14:textId="77777777" w:rsidTr="00CD3BB9">
        <w:tc>
          <w:tcPr>
            <w:tcW w:w="5519" w:type="dxa"/>
          </w:tcPr>
          <w:p w14:paraId="3C6324C4" w14:textId="4E839534" w:rsidR="0023651B" w:rsidRPr="00885EC5" w:rsidRDefault="0023651B" w:rsidP="00CD3BB9">
            <w:pPr>
              <w:pStyle w:val="Tabletext"/>
              <w:rPr>
                <w:rFonts w:asciiTheme="minorHAnsi" w:hAnsiTheme="minorHAnsi" w:cstheme="minorHAnsi"/>
                <w:sz w:val="20"/>
                <w:szCs w:val="20"/>
              </w:rPr>
            </w:pPr>
            <w:r w:rsidRPr="00885EC5">
              <w:rPr>
                <w:sz w:val="20"/>
                <w:szCs w:val="20"/>
              </w:rPr>
              <w:t xml:space="preserve">Résolution </w:t>
            </w:r>
            <w:r w:rsidRPr="00885EC5">
              <w:rPr>
                <w:b/>
                <w:bCs/>
                <w:sz w:val="20"/>
                <w:szCs w:val="20"/>
              </w:rPr>
              <w:t>123 (CMR-23)</w:t>
            </w:r>
            <w:r w:rsidRPr="00885EC5">
              <w:rPr>
                <w:sz w:val="20"/>
                <w:szCs w:val="20"/>
              </w:rPr>
              <w:t>: Stations ESIM non OSG</w:t>
            </w:r>
          </w:p>
        </w:tc>
        <w:tc>
          <w:tcPr>
            <w:tcW w:w="1389" w:type="dxa"/>
          </w:tcPr>
          <w:p w14:paraId="42863E48"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2</w:t>
            </w:r>
          </w:p>
        </w:tc>
        <w:tc>
          <w:tcPr>
            <w:tcW w:w="1532" w:type="dxa"/>
          </w:tcPr>
          <w:p w14:paraId="3310359C"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350 568,00</w:t>
            </w:r>
          </w:p>
        </w:tc>
        <w:tc>
          <w:tcPr>
            <w:tcW w:w="1387" w:type="dxa"/>
          </w:tcPr>
          <w:p w14:paraId="0FE57944" w14:textId="77777777" w:rsidR="0023651B" w:rsidRPr="00885EC5" w:rsidRDefault="0023651B" w:rsidP="00A96696">
            <w:pPr>
              <w:pStyle w:val="Tabletext"/>
              <w:jc w:val="right"/>
              <w:rPr>
                <w:sz w:val="20"/>
                <w:szCs w:val="20"/>
              </w:rPr>
            </w:pPr>
            <w:r w:rsidRPr="00885EC5">
              <w:rPr>
                <w:sz w:val="20"/>
                <w:szCs w:val="20"/>
              </w:rPr>
              <w:t>2</w:t>
            </w:r>
          </w:p>
        </w:tc>
        <w:tc>
          <w:tcPr>
            <w:tcW w:w="1387" w:type="dxa"/>
          </w:tcPr>
          <w:p w14:paraId="7169E624" w14:textId="77777777" w:rsidR="0023651B" w:rsidRPr="00885EC5" w:rsidRDefault="0023651B" w:rsidP="00A96696">
            <w:pPr>
              <w:pStyle w:val="Tabletext"/>
              <w:jc w:val="right"/>
              <w:rPr>
                <w:sz w:val="20"/>
                <w:szCs w:val="20"/>
              </w:rPr>
            </w:pPr>
            <w:r w:rsidRPr="00885EC5">
              <w:rPr>
                <w:sz w:val="20"/>
                <w:szCs w:val="20"/>
              </w:rPr>
              <w:t>350 568,00</w:t>
            </w:r>
          </w:p>
        </w:tc>
        <w:tc>
          <w:tcPr>
            <w:tcW w:w="1387" w:type="dxa"/>
          </w:tcPr>
          <w:p w14:paraId="06AED503" w14:textId="77777777" w:rsidR="0023651B" w:rsidRPr="00885EC5" w:rsidRDefault="0023651B" w:rsidP="00A96696">
            <w:pPr>
              <w:pStyle w:val="Tabletext"/>
              <w:jc w:val="right"/>
              <w:rPr>
                <w:sz w:val="20"/>
                <w:szCs w:val="20"/>
              </w:rPr>
            </w:pPr>
            <w:r w:rsidRPr="00885EC5">
              <w:rPr>
                <w:sz w:val="20"/>
                <w:szCs w:val="20"/>
              </w:rPr>
              <w:t>2</w:t>
            </w:r>
          </w:p>
        </w:tc>
        <w:tc>
          <w:tcPr>
            <w:tcW w:w="1387" w:type="dxa"/>
          </w:tcPr>
          <w:p w14:paraId="7C2E9726" w14:textId="77777777" w:rsidR="0023651B" w:rsidRPr="00885EC5" w:rsidRDefault="0023651B" w:rsidP="00A96696">
            <w:pPr>
              <w:pStyle w:val="Tabletext"/>
              <w:jc w:val="right"/>
              <w:rPr>
                <w:sz w:val="20"/>
                <w:szCs w:val="20"/>
              </w:rPr>
            </w:pPr>
            <w:r w:rsidRPr="00885EC5">
              <w:rPr>
                <w:sz w:val="20"/>
                <w:szCs w:val="20"/>
              </w:rPr>
              <w:t>350 568,00</w:t>
            </w:r>
          </w:p>
        </w:tc>
      </w:tr>
      <w:tr w:rsidR="0023651B" w:rsidRPr="00885EC5" w14:paraId="73051B48" w14:textId="77777777" w:rsidTr="00CD3BB9">
        <w:tc>
          <w:tcPr>
            <w:tcW w:w="5519" w:type="dxa"/>
          </w:tcPr>
          <w:p w14:paraId="43D81421" w14:textId="795F70F0" w:rsidR="0023651B" w:rsidRPr="00885EC5" w:rsidRDefault="0023651B" w:rsidP="00CD3BB9">
            <w:pPr>
              <w:pStyle w:val="Tabletext"/>
              <w:rPr>
                <w:rFonts w:asciiTheme="minorHAnsi" w:hAnsiTheme="minorHAnsi" w:cstheme="minorHAnsi"/>
                <w:sz w:val="20"/>
                <w:szCs w:val="20"/>
              </w:rPr>
            </w:pPr>
            <w:r w:rsidRPr="00885EC5">
              <w:rPr>
                <w:sz w:val="20"/>
                <w:szCs w:val="20"/>
              </w:rPr>
              <w:t xml:space="preserve">Résolution </w:t>
            </w:r>
            <w:r w:rsidRPr="00885EC5">
              <w:rPr>
                <w:b/>
                <w:bCs/>
                <w:sz w:val="20"/>
                <w:szCs w:val="20"/>
              </w:rPr>
              <w:t>679 (CMR-23)</w:t>
            </w:r>
            <w:r w:rsidRPr="00885EC5">
              <w:rPr>
                <w:sz w:val="20"/>
                <w:szCs w:val="20"/>
              </w:rPr>
              <w:t>: Liaisons inter-satellites (protection des services spatiaux et de Terre)</w:t>
            </w:r>
          </w:p>
        </w:tc>
        <w:tc>
          <w:tcPr>
            <w:tcW w:w="1389" w:type="dxa"/>
          </w:tcPr>
          <w:p w14:paraId="53891359"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1</w:t>
            </w:r>
          </w:p>
        </w:tc>
        <w:tc>
          <w:tcPr>
            <w:tcW w:w="1532" w:type="dxa"/>
          </w:tcPr>
          <w:p w14:paraId="4CB8239C"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175 284,00</w:t>
            </w:r>
          </w:p>
        </w:tc>
        <w:tc>
          <w:tcPr>
            <w:tcW w:w="1387" w:type="dxa"/>
          </w:tcPr>
          <w:p w14:paraId="4F3AEF30" w14:textId="77777777" w:rsidR="0023651B" w:rsidRPr="00885EC5" w:rsidRDefault="0023651B" w:rsidP="00A96696">
            <w:pPr>
              <w:pStyle w:val="Tabletext"/>
              <w:jc w:val="right"/>
              <w:rPr>
                <w:sz w:val="20"/>
                <w:szCs w:val="20"/>
              </w:rPr>
            </w:pPr>
            <w:r w:rsidRPr="00885EC5">
              <w:rPr>
                <w:sz w:val="20"/>
                <w:szCs w:val="20"/>
              </w:rPr>
              <w:t>1</w:t>
            </w:r>
          </w:p>
        </w:tc>
        <w:tc>
          <w:tcPr>
            <w:tcW w:w="1387" w:type="dxa"/>
          </w:tcPr>
          <w:p w14:paraId="22F6E446" w14:textId="77777777" w:rsidR="0023651B" w:rsidRPr="00885EC5" w:rsidRDefault="0023651B" w:rsidP="00A96696">
            <w:pPr>
              <w:pStyle w:val="Tabletext"/>
              <w:jc w:val="right"/>
              <w:rPr>
                <w:sz w:val="20"/>
                <w:szCs w:val="20"/>
              </w:rPr>
            </w:pPr>
            <w:r w:rsidRPr="00885EC5">
              <w:rPr>
                <w:sz w:val="20"/>
                <w:szCs w:val="20"/>
              </w:rPr>
              <w:t>175 284,00</w:t>
            </w:r>
          </w:p>
        </w:tc>
        <w:tc>
          <w:tcPr>
            <w:tcW w:w="1387" w:type="dxa"/>
          </w:tcPr>
          <w:p w14:paraId="74A0111E" w14:textId="77777777" w:rsidR="0023651B" w:rsidRPr="00885EC5" w:rsidRDefault="0023651B" w:rsidP="00A96696">
            <w:pPr>
              <w:pStyle w:val="Tabletext"/>
              <w:jc w:val="right"/>
              <w:rPr>
                <w:sz w:val="20"/>
                <w:szCs w:val="20"/>
              </w:rPr>
            </w:pPr>
            <w:r w:rsidRPr="00885EC5">
              <w:rPr>
                <w:sz w:val="20"/>
                <w:szCs w:val="20"/>
              </w:rPr>
              <w:t>1</w:t>
            </w:r>
          </w:p>
        </w:tc>
        <w:tc>
          <w:tcPr>
            <w:tcW w:w="1387" w:type="dxa"/>
          </w:tcPr>
          <w:p w14:paraId="3BBD94E0" w14:textId="77777777" w:rsidR="0023651B" w:rsidRPr="00885EC5" w:rsidRDefault="0023651B" w:rsidP="00A96696">
            <w:pPr>
              <w:pStyle w:val="Tabletext"/>
              <w:jc w:val="right"/>
              <w:rPr>
                <w:sz w:val="20"/>
                <w:szCs w:val="20"/>
              </w:rPr>
            </w:pPr>
            <w:r w:rsidRPr="00885EC5">
              <w:rPr>
                <w:sz w:val="20"/>
                <w:szCs w:val="20"/>
              </w:rPr>
              <w:t>175 284,00</w:t>
            </w:r>
          </w:p>
        </w:tc>
      </w:tr>
      <w:tr w:rsidR="0023651B" w:rsidRPr="00885EC5" w14:paraId="66BEF7A9" w14:textId="77777777" w:rsidTr="00CD3BB9">
        <w:tc>
          <w:tcPr>
            <w:tcW w:w="5519" w:type="dxa"/>
          </w:tcPr>
          <w:p w14:paraId="25F4850E" w14:textId="0E54855D" w:rsidR="0023651B" w:rsidRPr="00885EC5" w:rsidRDefault="0023651B" w:rsidP="00CD3BB9">
            <w:pPr>
              <w:pStyle w:val="Tabletext"/>
              <w:rPr>
                <w:rFonts w:asciiTheme="minorHAnsi" w:hAnsiTheme="minorHAnsi" w:cstheme="minorHAnsi"/>
                <w:sz w:val="20"/>
                <w:szCs w:val="20"/>
              </w:rPr>
            </w:pPr>
            <w:r w:rsidRPr="00885EC5">
              <w:rPr>
                <w:sz w:val="20"/>
                <w:szCs w:val="20"/>
              </w:rPr>
              <w:t xml:space="preserve">Résolution </w:t>
            </w:r>
            <w:r w:rsidRPr="00885EC5">
              <w:rPr>
                <w:b/>
                <w:bCs/>
                <w:sz w:val="20"/>
                <w:szCs w:val="20"/>
              </w:rPr>
              <w:t>8 (CMR-23)</w:t>
            </w:r>
            <w:r w:rsidRPr="00885EC5">
              <w:rPr>
                <w:sz w:val="20"/>
                <w:szCs w:val="20"/>
              </w:rPr>
              <w:t>: Tolérances pour certaines caractéristiques orbitales des stations spatiales non OSG</w:t>
            </w:r>
          </w:p>
        </w:tc>
        <w:tc>
          <w:tcPr>
            <w:tcW w:w="1389" w:type="dxa"/>
          </w:tcPr>
          <w:p w14:paraId="30A13324"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1</w:t>
            </w:r>
          </w:p>
        </w:tc>
        <w:tc>
          <w:tcPr>
            <w:tcW w:w="1532" w:type="dxa"/>
          </w:tcPr>
          <w:p w14:paraId="3333C9BD"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175 284,00</w:t>
            </w:r>
          </w:p>
        </w:tc>
        <w:tc>
          <w:tcPr>
            <w:tcW w:w="1387" w:type="dxa"/>
          </w:tcPr>
          <w:p w14:paraId="64CF3372" w14:textId="77777777" w:rsidR="0023651B" w:rsidRPr="00885EC5" w:rsidRDefault="0023651B" w:rsidP="00A96696">
            <w:pPr>
              <w:pStyle w:val="Tabletext"/>
              <w:jc w:val="right"/>
              <w:rPr>
                <w:sz w:val="20"/>
                <w:szCs w:val="20"/>
              </w:rPr>
            </w:pPr>
            <w:r w:rsidRPr="00885EC5">
              <w:rPr>
                <w:sz w:val="20"/>
                <w:szCs w:val="20"/>
              </w:rPr>
              <w:t>1</w:t>
            </w:r>
          </w:p>
        </w:tc>
        <w:tc>
          <w:tcPr>
            <w:tcW w:w="1387" w:type="dxa"/>
          </w:tcPr>
          <w:p w14:paraId="7BF589CE" w14:textId="77777777" w:rsidR="0023651B" w:rsidRPr="00885EC5" w:rsidRDefault="0023651B" w:rsidP="00A96696">
            <w:pPr>
              <w:pStyle w:val="Tabletext"/>
              <w:jc w:val="right"/>
              <w:rPr>
                <w:sz w:val="20"/>
                <w:szCs w:val="20"/>
              </w:rPr>
            </w:pPr>
            <w:r w:rsidRPr="00885EC5">
              <w:rPr>
                <w:sz w:val="20"/>
                <w:szCs w:val="20"/>
              </w:rPr>
              <w:t>175 284,00</w:t>
            </w:r>
          </w:p>
        </w:tc>
        <w:tc>
          <w:tcPr>
            <w:tcW w:w="1387" w:type="dxa"/>
          </w:tcPr>
          <w:p w14:paraId="15B4AB89" w14:textId="77777777" w:rsidR="0023651B" w:rsidRPr="00885EC5" w:rsidRDefault="0023651B" w:rsidP="00A96696">
            <w:pPr>
              <w:pStyle w:val="Tabletext"/>
              <w:jc w:val="right"/>
              <w:rPr>
                <w:sz w:val="20"/>
                <w:szCs w:val="20"/>
              </w:rPr>
            </w:pPr>
            <w:r w:rsidRPr="00885EC5">
              <w:rPr>
                <w:sz w:val="20"/>
                <w:szCs w:val="20"/>
              </w:rPr>
              <w:t>1</w:t>
            </w:r>
          </w:p>
        </w:tc>
        <w:tc>
          <w:tcPr>
            <w:tcW w:w="1387" w:type="dxa"/>
          </w:tcPr>
          <w:p w14:paraId="4F255872" w14:textId="77777777" w:rsidR="0023651B" w:rsidRPr="00885EC5" w:rsidRDefault="0023651B" w:rsidP="00A96696">
            <w:pPr>
              <w:pStyle w:val="Tabletext"/>
              <w:jc w:val="right"/>
              <w:rPr>
                <w:sz w:val="20"/>
                <w:szCs w:val="20"/>
              </w:rPr>
            </w:pPr>
            <w:r w:rsidRPr="00885EC5">
              <w:rPr>
                <w:sz w:val="20"/>
                <w:szCs w:val="20"/>
              </w:rPr>
              <w:t>175 284,00</w:t>
            </w:r>
          </w:p>
        </w:tc>
      </w:tr>
      <w:tr w:rsidR="0023651B" w:rsidRPr="00885EC5" w14:paraId="41E3426F" w14:textId="77777777" w:rsidTr="00CD3BB9">
        <w:tc>
          <w:tcPr>
            <w:tcW w:w="5519" w:type="dxa"/>
          </w:tcPr>
          <w:p w14:paraId="472FFDF6" w14:textId="7113143F" w:rsidR="0023651B" w:rsidRPr="00885EC5" w:rsidRDefault="0023651B" w:rsidP="00CD3BB9">
            <w:pPr>
              <w:pStyle w:val="Tabletext"/>
              <w:rPr>
                <w:rFonts w:asciiTheme="minorHAnsi" w:hAnsiTheme="minorHAnsi" w:cstheme="minorHAnsi"/>
                <w:sz w:val="20"/>
                <w:szCs w:val="20"/>
              </w:rPr>
            </w:pPr>
            <w:r w:rsidRPr="00885EC5">
              <w:rPr>
                <w:sz w:val="20"/>
                <w:szCs w:val="20"/>
              </w:rPr>
              <w:t>Point 7 de l</w:t>
            </w:r>
            <w:r w:rsidR="00885EC5">
              <w:rPr>
                <w:sz w:val="20"/>
                <w:szCs w:val="20"/>
              </w:rPr>
              <w:t>'</w:t>
            </w:r>
            <w:r w:rsidRPr="00885EC5">
              <w:rPr>
                <w:sz w:val="20"/>
                <w:szCs w:val="20"/>
              </w:rPr>
              <w:t>ordre du jour, Question E (CMR-23): Modification de l</w:t>
            </w:r>
            <w:r w:rsidR="00885EC5">
              <w:rPr>
                <w:sz w:val="20"/>
                <w:szCs w:val="20"/>
              </w:rPr>
              <w:t>'</w:t>
            </w:r>
            <w:r w:rsidRPr="00885EC5">
              <w:rPr>
                <w:sz w:val="20"/>
                <w:szCs w:val="20"/>
              </w:rPr>
              <w:t>Article 7 et de l</w:t>
            </w:r>
            <w:r w:rsidR="00885EC5">
              <w:rPr>
                <w:sz w:val="20"/>
                <w:szCs w:val="20"/>
              </w:rPr>
              <w:t>'</w:t>
            </w:r>
            <w:r w:rsidRPr="00885EC5">
              <w:rPr>
                <w:sz w:val="20"/>
                <w:szCs w:val="20"/>
              </w:rPr>
              <w:t>Article 10 de l</w:t>
            </w:r>
            <w:r w:rsidR="00885EC5">
              <w:rPr>
                <w:sz w:val="20"/>
                <w:szCs w:val="20"/>
              </w:rPr>
              <w:t>'</w:t>
            </w:r>
            <w:r w:rsidRPr="00885EC5">
              <w:rPr>
                <w:sz w:val="20"/>
                <w:szCs w:val="20"/>
              </w:rPr>
              <w:t>Appendice </w:t>
            </w:r>
            <w:r w:rsidRPr="00885EC5">
              <w:rPr>
                <w:b/>
                <w:bCs/>
                <w:sz w:val="20"/>
                <w:szCs w:val="20"/>
              </w:rPr>
              <w:t>30B</w:t>
            </w:r>
          </w:p>
        </w:tc>
        <w:tc>
          <w:tcPr>
            <w:tcW w:w="1389" w:type="dxa"/>
          </w:tcPr>
          <w:p w14:paraId="172EB1F8"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0,35</w:t>
            </w:r>
          </w:p>
        </w:tc>
        <w:tc>
          <w:tcPr>
            <w:tcW w:w="1532" w:type="dxa"/>
          </w:tcPr>
          <w:p w14:paraId="756E2446"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61 349,40</w:t>
            </w:r>
          </w:p>
        </w:tc>
        <w:tc>
          <w:tcPr>
            <w:tcW w:w="1387" w:type="dxa"/>
          </w:tcPr>
          <w:p w14:paraId="1D727F94" w14:textId="77777777" w:rsidR="0023651B" w:rsidRPr="00885EC5" w:rsidRDefault="0023651B" w:rsidP="00A96696">
            <w:pPr>
              <w:pStyle w:val="Tabletext"/>
              <w:jc w:val="right"/>
              <w:rPr>
                <w:sz w:val="20"/>
                <w:szCs w:val="20"/>
              </w:rPr>
            </w:pPr>
            <w:r w:rsidRPr="00885EC5">
              <w:rPr>
                <w:sz w:val="20"/>
                <w:szCs w:val="20"/>
              </w:rPr>
              <w:t>0,35</w:t>
            </w:r>
          </w:p>
        </w:tc>
        <w:tc>
          <w:tcPr>
            <w:tcW w:w="1387" w:type="dxa"/>
          </w:tcPr>
          <w:p w14:paraId="4C9504D7" w14:textId="77777777" w:rsidR="0023651B" w:rsidRPr="00885EC5" w:rsidRDefault="0023651B" w:rsidP="00A96696">
            <w:pPr>
              <w:pStyle w:val="Tabletext"/>
              <w:jc w:val="right"/>
              <w:rPr>
                <w:sz w:val="20"/>
                <w:szCs w:val="20"/>
              </w:rPr>
            </w:pPr>
            <w:r w:rsidRPr="00885EC5">
              <w:rPr>
                <w:sz w:val="20"/>
                <w:szCs w:val="20"/>
              </w:rPr>
              <w:t>61 349,40</w:t>
            </w:r>
          </w:p>
        </w:tc>
        <w:tc>
          <w:tcPr>
            <w:tcW w:w="1387" w:type="dxa"/>
          </w:tcPr>
          <w:p w14:paraId="0BE78F2A" w14:textId="77777777" w:rsidR="0023651B" w:rsidRPr="00885EC5" w:rsidRDefault="0023651B" w:rsidP="00A96696">
            <w:pPr>
              <w:pStyle w:val="Tabletext"/>
              <w:jc w:val="right"/>
              <w:rPr>
                <w:sz w:val="20"/>
                <w:szCs w:val="20"/>
              </w:rPr>
            </w:pPr>
            <w:r w:rsidRPr="00885EC5">
              <w:rPr>
                <w:sz w:val="20"/>
                <w:szCs w:val="20"/>
              </w:rPr>
              <w:t>0,35</w:t>
            </w:r>
          </w:p>
        </w:tc>
        <w:tc>
          <w:tcPr>
            <w:tcW w:w="1387" w:type="dxa"/>
          </w:tcPr>
          <w:p w14:paraId="4D6BF6AE" w14:textId="77777777" w:rsidR="0023651B" w:rsidRPr="00885EC5" w:rsidRDefault="0023651B" w:rsidP="00A96696">
            <w:pPr>
              <w:pStyle w:val="Tabletext"/>
              <w:jc w:val="right"/>
              <w:rPr>
                <w:sz w:val="20"/>
                <w:szCs w:val="20"/>
              </w:rPr>
            </w:pPr>
            <w:r w:rsidRPr="00885EC5">
              <w:rPr>
                <w:sz w:val="20"/>
                <w:szCs w:val="20"/>
              </w:rPr>
              <w:t>61 349,40</w:t>
            </w:r>
          </w:p>
        </w:tc>
      </w:tr>
      <w:tr w:rsidR="0023651B" w:rsidRPr="00885EC5" w14:paraId="5E19B4D9" w14:textId="77777777" w:rsidTr="00CD3BB9">
        <w:tc>
          <w:tcPr>
            <w:tcW w:w="5519" w:type="dxa"/>
          </w:tcPr>
          <w:p w14:paraId="46787244" w14:textId="223C7634" w:rsidR="0023651B" w:rsidRPr="00885EC5" w:rsidRDefault="0023651B" w:rsidP="00CD3BB9">
            <w:pPr>
              <w:pStyle w:val="Tabletext"/>
              <w:rPr>
                <w:rFonts w:asciiTheme="minorHAnsi" w:hAnsiTheme="minorHAnsi" w:cstheme="minorHAnsi"/>
                <w:sz w:val="20"/>
                <w:szCs w:val="20"/>
              </w:rPr>
            </w:pPr>
            <w:r w:rsidRPr="00885EC5">
              <w:rPr>
                <w:sz w:val="20"/>
                <w:szCs w:val="20"/>
              </w:rPr>
              <w:t>Point 7 de l</w:t>
            </w:r>
            <w:r w:rsidR="00885EC5">
              <w:rPr>
                <w:sz w:val="20"/>
                <w:szCs w:val="20"/>
              </w:rPr>
              <w:t>'</w:t>
            </w:r>
            <w:r w:rsidRPr="00885EC5">
              <w:rPr>
                <w:sz w:val="20"/>
                <w:szCs w:val="20"/>
              </w:rPr>
              <w:t>ordre du jour, Question F (CMR-23): Modification de l</w:t>
            </w:r>
            <w:r w:rsidR="00885EC5">
              <w:rPr>
                <w:sz w:val="20"/>
                <w:szCs w:val="20"/>
              </w:rPr>
              <w:t>'</w:t>
            </w:r>
            <w:r w:rsidRPr="00885EC5">
              <w:rPr>
                <w:sz w:val="20"/>
                <w:szCs w:val="20"/>
              </w:rPr>
              <w:t>Article</w:t>
            </w:r>
            <w:r w:rsidR="002E6791" w:rsidRPr="00885EC5">
              <w:rPr>
                <w:sz w:val="20"/>
                <w:szCs w:val="20"/>
              </w:rPr>
              <w:t> </w:t>
            </w:r>
            <w:r w:rsidRPr="00885EC5">
              <w:rPr>
                <w:sz w:val="20"/>
                <w:szCs w:val="20"/>
              </w:rPr>
              <w:t>4 de l</w:t>
            </w:r>
            <w:r w:rsidR="00885EC5">
              <w:rPr>
                <w:sz w:val="20"/>
                <w:szCs w:val="20"/>
              </w:rPr>
              <w:t>'</w:t>
            </w:r>
            <w:r w:rsidRPr="00885EC5">
              <w:rPr>
                <w:sz w:val="20"/>
                <w:szCs w:val="20"/>
              </w:rPr>
              <w:t xml:space="preserve">Appendice </w:t>
            </w:r>
            <w:r w:rsidRPr="00885EC5">
              <w:rPr>
                <w:b/>
                <w:bCs/>
                <w:sz w:val="20"/>
                <w:szCs w:val="20"/>
              </w:rPr>
              <w:t>30A</w:t>
            </w:r>
            <w:r w:rsidRPr="00885EC5">
              <w:rPr>
                <w:sz w:val="20"/>
                <w:szCs w:val="20"/>
              </w:rPr>
              <w:t xml:space="preserve"> et de l</w:t>
            </w:r>
            <w:r w:rsidR="00885EC5">
              <w:rPr>
                <w:sz w:val="20"/>
                <w:szCs w:val="20"/>
              </w:rPr>
              <w:t>'</w:t>
            </w:r>
            <w:r w:rsidRPr="00885EC5">
              <w:rPr>
                <w:sz w:val="20"/>
                <w:szCs w:val="20"/>
              </w:rPr>
              <w:t>Article 6 de l</w:t>
            </w:r>
            <w:r w:rsidR="00885EC5">
              <w:rPr>
                <w:sz w:val="20"/>
                <w:szCs w:val="20"/>
              </w:rPr>
              <w:t>'</w:t>
            </w:r>
            <w:r w:rsidRPr="00885EC5">
              <w:rPr>
                <w:sz w:val="20"/>
                <w:szCs w:val="20"/>
              </w:rPr>
              <w:t xml:space="preserve">Appendice </w:t>
            </w:r>
            <w:r w:rsidRPr="00885EC5">
              <w:rPr>
                <w:b/>
                <w:bCs/>
                <w:sz w:val="20"/>
                <w:szCs w:val="20"/>
              </w:rPr>
              <w:t>30B</w:t>
            </w:r>
          </w:p>
        </w:tc>
        <w:tc>
          <w:tcPr>
            <w:tcW w:w="1389" w:type="dxa"/>
          </w:tcPr>
          <w:p w14:paraId="15C481A8"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0,35</w:t>
            </w:r>
          </w:p>
        </w:tc>
        <w:tc>
          <w:tcPr>
            <w:tcW w:w="1532" w:type="dxa"/>
          </w:tcPr>
          <w:p w14:paraId="2EAED38A"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61 349,40</w:t>
            </w:r>
          </w:p>
        </w:tc>
        <w:tc>
          <w:tcPr>
            <w:tcW w:w="1387" w:type="dxa"/>
          </w:tcPr>
          <w:p w14:paraId="03F60FE1" w14:textId="77777777" w:rsidR="0023651B" w:rsidRPr="00885EC5" w:rsidRDefault="0023651B" w:rsidP="00A96696">
            <w:pPr>
              <w:pStyle w:val="Tabletext"/>
              <w:jc w:val="right"/>
              <w:rPr>
                <w:sz w:val="20"/>
                <w:szCs w:val="20"/>
              </w:rPr>
            </w:pPr>
            <w:r w:rsidRPr="00885EC5">
              <w:rPr>
                <w:sz w:val="20"/>
                <w:szCs w:val="20"/>
              </w:rPr>
              <w:t>0,35</w:t>
            </w:r>
          </w:p>
        </w:tc>
        <w:tc>
          <w:tcPr>
            <w:tcW w:w="1387" w:type="dxa"/>
          </w:tcPr>
          <w:p w14:paraId="11CBEDCD" w14:textId="77777777" w:rsidR="0023651B" w:rsidRPr="00885EC5" w:rsidRDefault="0023651B" w:rsidP="00A96696">
            <w:pPr>
              <w:pStyle w:val="Tabletext"/>
              <w:jc w:val="right"/>
              <w:rPr>
                <w:sz w:val="20"/>
                <w:szCs w:val="20"/>
              </w:rPr>
            </w:pPr>
            <w:r w:rsidRPr="00885EC5">
              <w:rPr>
                <w:sz w:val="20"/>
                <w:szCs w:val="20"/>
              </w:rPr>
              <w:t>61 349,40</w:t>
            </w:r>
          </w:p>
        </w:tc>
        <w:tc>
          <w:tcPr>
            <w:tcW w:w="1387" w:type="dxa"/>
          </w:tcPr>
          <w:p w14:paraId="576E9AC0" w14:textId="77777777" w:rsidR="0023651B" w:rsidRPr="00885EC5" w:rsidRDefault="0023651B" w:rsidP="00A96696">
            <w:pPr>
              <w:pStyle w:val="Tabletext"/>
              <w:jc w:val="right"/>
              <w:rPr>
                <w:sz w:val="20"/>
                <w:szCs w:val="20"/>
              </w:rPr>
            </w:pPr>
            <w:r w:rsidRPr="00885EC5">
              <w:rPr>
                <w:sz w:val="20"/>
                <w:szCs w:val="20"/>
              </w:rPr>
              <w:t>0,35</w:t>
            </w:r>
          </w:p>
        </w:tc>
        <w:tc>
          <w:tcPr>
            <w:tcW w:w="1387" w:type="dxa"/>
          </w:tcPr>
          <w:p w14:paraId="4933AA51" w14:textId="77777777" w:rsidR="0023651B" w:rsidRPr="00885EC5" w:rsidRDefault="0023651B" w:rsidP="00A96696">
            <w:pPr>
              <w:pStyle w:val="Tabletext"/>
              <w:jc w:val="right"/>
              <w:rPr>
                <w:sz w:val="20"/>
                <w:szCs w:val="20"/>
              </w:rPr>
            </w:pPr>
            <w:r w:rsidRPr="00885EC5">
              <w:rPr>
                <w:sz w:val="20"/>
                <w:szCs w:val="20"/>
              </w:rPr>
              <w:t>61 349,40</w:t>
            </w:r>
          </w:p>
        </w:tc>
      </w:tr>
      <w:tr w:rsidR="0023651B" w:rsidRPr="00885EC5" w14:paraId="55D0A84B" w14:textId="77777777" w:rsidTr="00CD3BB9">
        <w:tc>
          <w:tcPr>
            <w:tcW w:w="5519" w:type="dxa"/>
          </w:tcPr>
          <w:p w14:paraId="1B3BD75B" w14:textId="0CB19E7C" w:rsidR="0023651B" w:rsidRPr="00885EC5" w:rsidRDefault="0023651B" w:rsidP="00CD3BB9">
            <w:pPr>
              <w:pStyle w:val="Tabletext"/>
              <w:rPr>
                <w:sz w:val="20"/>
                <w:szCs w:val="20"/>
              </w:rPr>
            </w:pPr>
            <w:r w:rsidRPr="00885EC5">
              <w:rPr>
                <w:sz w:val="20"/>
                <w:szCs w:val="20"/>
              </w:rPr>
              <w:t>Point 7 de l</w:t>
            </w:r>
            <w:r w:rsidR="00885EC5">
              <w:rPr>
                <w:sz w:val="20"/>
                <w:szCs w:val="20"/>
              </w:rPr>
              <w:t>'</w:t>
            </w:r>
            <w:r w:rsidRPr="00885EC5">
              <w:rPr>
                <w:sz w:val="20"/>
                <w:szCs w:val="20"/>
              </w:rPr>
              <w:t xml:space="preserve">ordre du jour, Question H (CMR-23): Modification des Appendices </w:t>
            </w:r>
            <w:r w:rsidRPr="00885EC5">
              <w:rPr>
                <w:b/>
                <w:bCs/>
                <w:sz w:val="20"/>
                <w:szCs w:val="20"/>
              </w:rPr>
              <w:t>30</w:t>
            </w:r>
            <w:r w:rsidRPr="00885EC5">
              <w:rPr>
                <w:sz w:val="20"/>
                <w:szCs w:val="20"/>
              </w:rPr>
              <w:t xml:space="preserve">, </w:t>
            </w:r>
            <w:r w:rsidRPr="00885EC5">
              <w:rPr>
                <w:b/>
                <w:bCs/>
                <w:sz w:val="20"/>
                <w:szCs w:val="20"/>
              </w:rPr>
              <w:t>30A</w:t>
            </w:r>
            <w:r w:rsidRPr="00885EC5">
              <w:rPr>
                <w:sz w:val="20"/>
                <w:szCs w:val="20"/>
              </w:rPr>
              <w:t xml:space="preserve"> et </w:t>
            </w:r>
            <w:r w:rsidRPr="00885EC5">
              <w:rPr>
                <w:b/>
                <w:bCs/>
                <w:sz w:val="20"/>
                <w:szCs w:val="20"/>
              </w:rPr>
              <w:t>30B</w:t>
            </w:r>
            <w:r w:rsidRPr="00885EC5">
              <w:rPr>
                <w:sz w:val="20"/>
                <w:szCs w:val="20"/>
              </w:rPr>
              <w:t xml:space="preserve"> (Méthode H1C)</w:t>
            </w:r>
          </w:p>
        </w:tc>
        <w:tc>
          <w:tcPr>
            <w:tcW w:w="1389" w:type="dxa"/>
          </w:tcPr>
          <w:p w14:paraId="61C16E76" w14:textId="77777777" w:rsidR="0023651B" w:rsidRPr="00885EC5" w:rsidRDefault="0023651B" w:rsidP="00A96696">
            <w:pPr>
              <w:pStyle w:val="Tabletext"/>
              <w:jc w:val="right"/>
              <w:rPr>
                <w:sz w:val="20"/>
                <w:szCs w:val="20"/>
              </w:rPr>
            </w:pPr>
            <w:r w:rsidRPr="00885EC5">
              <w:rPr>
                <w:sz w:val="20"/>
                <w:szCs w:val="20"/>
              </w:rPr>
              <w:t>0,25</w:t>
            </w:r>
          </w:p>
        </w:tc>
        <w:tc>
          <w:tcPr>
            <w:tcW w:w="1532" w:type="dxa"/>
          </w:tcPr>
          <w:p w14:paraId="54B78BBE"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43 821,00</w:t>
            </w:r>
          </w:p>
        </w:tc>
        <w:tc>
          <w:tcPr>
            <w:tcW w:w="1387" w:type="dxa"/>
          </w:tcPr>
          <w:p w14:paraId="2078E0ED"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5859A2F6" w14:textId="77777777" w:rsidR="0023651B" w:rsidRPr="00885EC5" w:rsidRDefault="0023651B" w:rsidP="00A96696">
            <w:pPr>
              <w:pStyle w:val="Tabletext"/>
              <w:jc w:val="right"/>
              <w:rPr>
                <w:sz w:val="20"/>
                <w:szCs w:val="20"/>
              </w:rPr>
            </w:pPr>
            <w:r w:rsidRPr="00885EC5">
              <w:rPr>
                <w:sz w:val="20"/>
                <w:szCs w:val="20"/>
              </w:rPr>
              <w:t>43 821,00</w:t>
            </w:r>
          </w:p>
        </w:tc>
        <w:tc>
          <w:tcPr>
            <w:tcW w:w="1387" w:type="dxa"/>
          </w:tcPr>
          <w:p w14:paraId="01CDA06C"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488FF5AC" w14:textId="77777777" w:rsidR="0023651B" w:rsidRPr="00885EC5" w:rsidRDefault="0023651B" w:rsidP="00A96696">
            <w:pPr>
              <w:pStyle w:val="Tabletext"/>
              <w:jc w:val="right"/>
              <w:rPr>
                <w:sz w:val="20"/>
                <w:szCs w:val="20"/>
              </w:rPr>
            </w:pPr>
            <w:r w:rsidRPr="00885EC5">
              <w:rPr>
                <w:sz w:val="20"/>
                <w:szCs w:val="20"/>
              </w:rPr>
              <w:t>43 821,00</w:t>
            </w:r>
          </w:p>
        </w:tc>
      </w:tr>
      <w:tr w:rsidR="0023651B" w:rsidRPr="00885EC5" w14:paraId="6EC7FC15" w14:textId="77777777" w:rsidTr="00CD3BB9">
        <w:tc>
          <w:tcPr>
            <w:tcW w:w="5519" w:type="dxa"/>
          </w:tcPr>
          <w:p w14:paraId="40D529CD" w14:textId="16CD2AE5" w:rsidR="0023651B" w:rsidRPr="00885EC5" w:rsidRDefault="0023651B" w:rsidP="00CD3BB9">
            <w:pPr>
              <w:pStyle w:val="Tabletext"/>
              <w:rPr>
                <w:sz w:val="20"/>
                <w:szCs w:val="20"/>
              </w:rPr>
            </w:pPr>
            <w:r w:rsidRPr="00885EC5">
              <w:rPr>
                <w:sz w:val="20"/>
                <w:szCs w:val="20"/>
              </w:rPr>
              <w:t xml:space="preserve">Résolution </w:t>
            </w:r>
            <w:r w:rsidRPr="00885EC5">
              <w:rPr>
                <w:b/>
                <w:bCs/>
                <w:sz w:val="20"/>
                <w:szCs w:val="20"/>
              </w:rPr>
              <w:t>126 (CMR-23)</w:t>
            </w:r>
            <w:r w:rsidRPr="00885EC5">
              <w:rPr>
                <w:sz w:val="20"/>
                <w:szCs w:val="20"/>
              </w:rPr>
              <w:t>: Mesures temporaires dans l</w:t>
            </w:r>
            <w:r w:rsidR="00885EC5">
              <w:rPr>
                <w:sz w:val="20"/>
                <w:szCs w:val="20"/>
              </w:rPr>
              <w:t>'</w:t>
            </w:r>
            <w:r w:rsidRPr="00885EC5">
              <w:rPr>
                <w:sz w:val="20"/>
                <w:szCs w:val="20"/>
              </w:rPr>
              <w:t xml:space="preserve">Appendice </w:t>
            </w:r>
            <w:r w:rsidRPr="00885EC5">
              <w:rPr>
                <w:b/>
                <w:bCs/>
                <w:sz w:val="20"/>
                <w:szCs w:val="20"/>
              </w:rPr>
              <w:t>30B</w:t>
            </w:r>
          </w:p>
        </w:tc>
        <w:tc>
          <w:tcPr>
            <w:tcW w:w="1389" w:type="dxa"/>
          </w:tcPr>
          <w:p w14:paraId="4CB16E2C" w14:textId="77777777" w:rsidR="0023651B" w:rsidRPr="00885EC5" w:rsidRDefault="0023651B" w:rsidP="00A96696">
            <w:pPr>
              <w:pStyle w:val="Tabletext"/>
              <w:jc w:val="right"/>
              <w:rPr>
                <w:sz w:val="20"/>
                <w:szCs w:val="20"/>
              </w:rPr>
            </w:pPr>
            <w:r w:rsidRPr="00885EC5">
              <w:rPr>
                <w:sz w:val="20"/>
                <w:szCs w:val="20"/>
              </w:rPr>
              <w:t>0,15</w:t>
            </w:r>
          </w:p>
        </w:tc>
        <w:tc>
          <w:tcPr>
            <w:tcW w:w="1532" w:type="dxa"/>
          </w:tcPr>
          <w:p w14:paraId="4DDC5983"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26 292,60</w:t>
            </w:r>
          </w:p>
        </w:tc>
        <w:tc>
          <w:tcPr>
            <w:tcW w:w="1387" w:type="dxa"/>
          </w:tcPr>
          <w:p w14:paraId="1962D407" w14:textId="77777777" w:rsidR="0023651B" w:rsidRPr="00885EC5" w:rsidRDefault="0023651B" w:rsidP="00A96696">
            <w:pPr>
              <w:pStyle w:val="Tabletext"/>
              <w:jc w:val="right"/>
              <w:rPr>
                <w:sz w:val="20"/>
                <w:szCs w:val="20"/>
              </w:rPr>
            </w:pPr>
            <w:r w:rsidRPr="00885EC5">
              <w:rPr>
                <w:sz w:val="20"/>
                <w:szCs w:val="20"/>
              </w:rPr>
              <w:t>0,15</w:t>
            </w:r>
          </w:p>
        </w:tc>
        <w:tc>
          <w:tcPr>
            <w:tcW w:w="1387" w:type="dxa"/>
          </w:tcPr>
          <w:p w14:paraId="7F6CD76C" w14:textId="77777777" w:rsidR="0023651B" w:rsidRPr="00885EC5" w:rsidRDefault="0023651B" w:rsidP="00A96696">
            <w:pPr>
              <w:pStyle w:val="Tabletext"/>
              <w:jc w:val="right"/>
              <w:rPr>
                <w:sz w:val="20"/>
                <w:szCs w:val="20"/>
              </w:rPr>
            </w:pPr>
            <w:r w:rsidRPr="00885EC5">
              <w:rPr>
                <w:sz w:val="20"/>
                <w:szCs w:val="20"/>
              </w:rPr>
              <w:t>26 292,60</w:t>
            </w:r>
          </w:p>
        </w:tc>
        <w:tc>
          <w:tcPr>
            <w:tcW w:w="1387" w:type="dxa"/>
          </w:tcPr>
          <w:p w14:paraId="0D9143FF" w14:textId="77777777" w:rsidR="0023651B" w:rsidRPr="00885EC5" w:rsidRDefault="0023651B" w:rsidP="00A96696">
            <w:pPr>
              <w:pStyle w:val="Tabletext"/>
              <w:jc w:val="right"/>
              <w:rPr>
                <w:sz w:val="20"/>
                <w:szCs w:val="20"/>
              </w:rPr>
            </w:pPr>
            <w:r w:rsidRPr="00885EC5">
              <w:rPr>
                <w:sz w:val="20"/>
                <w:szCs w:val="20"/>
              </w:rPr>
              <w:t>0,15</w:t>
            </w:r>
          </w:p>
        </w:tc>
        <w:tc>
          <w:tcPr>
            <w:tcW w:w="1387" w:type="dxa"/>
          </w:tcPr>
          <w:p w14:paraId="18EA478F" w14:textId="77777777" w:rsidR="0023651B" w:rsidRPr="00885EC5" w:rsidRDefault="0023651B" w:rsidP="00A96696">
            <w:pPr>
              <w:pStyle w:val="Tabletext"/>
              <w:jc w:val="right"/>
              <w:rPr>
                <w:sz w:val="20"/>
                <w:szCs w:val="20"/>
              </w:rPr>
            </w:pPr>
            <w:r w:rsidRPr="00885EC5">
              <w:rPr>
                <w:sz w:val="20"/>
                <w:szCs w:val="20"/>
              </w:rPr>
              <w:t>26 292,60</w:t>
            </w:r>
          </w:p>
        </w:tc>
      </w:tr>
      <w:tr w:rsidR="0023651B" w:rsidRPr="00885EC5" w14:paraId="1A55779E" w14:textId="77777777" w:rsidTr="00CD3BB9">
        <w:tc>
          <w:tcPr>
            <w:tcW w:w="5519" w:type="dxa"/>
          </w:tcPr>
          <w:p w14:paraId="091EA83E" w14:textId="2DB69F98" w:rsidR="0023651B" w:rsidRPr="00885EC5" w:rsidRDefault="0023651B" w:rsidP="00CD3BB9">
            <w:pPr>
              <w:pStyle w:val="Tabletext"/>
              <w:rPr>
                <w:sz w:val="20"/>
                <w:szCs w:val="20"/>
              </w:rPr>
            </w:pPr>
            <w:r w:rsidRPr="00885EC5">
              <w:rPr>
                <w:sz w:val="20"/>
                <w:szCs w:val="20"/>
              </w:rPr>
              <w:t xml:space="preserve">Résolution </w:t>
            </w:r>
            <w:r w:rsidRPr="00885EC5">
              <w:rPr>
                <w:b/>
                <w:bCs/>
                <w:sz w:val="20"/>
                <w:szCs w:val="20"/>
              </w:rPr>
              <w:t>76 (Rév.CMR-23)</w:t>
            </w:r>
            <w:r w:rsidRPr="00885EC5">
              <w:rPr>
                <w:sz w:val="20"/>
                <w:szCs w:val="20"/>
              </w:rPr>
              <w:t>: Logiciel sur les brouillages cumulatifs de l</w:t>
            </w:r>
            <w:r w:rsidR="00885EC5">
              <w:rPr>
                <w:sz w:val="20"/>
                <w:szCs w:val="20"/>
              </w:rPr>
              <w:t>'</w:t>
            </w:r>
            <w:r w:rsidRPr="00885EC5">
              <w:rPr>
                <w:sz w:val="20"/>
                <w:szCs w:val="20"/>
              </w:rPr>
              <w:t>epfd</w:t>
            </w:r>
          </w:p>
        </w:tc>
        <w:tc>
          <w:tcPr>
            <w:tcW w:w="1389" w:type="dxa"/>
          </w:tcPr>
          <w:p w14:paraId="78291AAD" w14:textId="77777777" w:rsidR="0023651B" w:rsidRPr="00885EC5" w:rsidRDefault="0023651B" w:rsidP="00A96696">
            <w:pPr>
              <w:pStyle w:val="Tabletext"/>
              <w:jc w:val="right"/>
              <w:rPr>
                <w:sz w:val="20"/>
                <w:szCs w:val="20"/>
              </w:rPr>
            </w:pPr>
            <w:r w:rsidRPr="00885EC5">
              <w:rPr>
                <w:sz w:val="20"/>
                <w:szCs w:val="20"/>
              </w:rPr>
              <w:t>0,25</w:t>
            </w:r>
          </w:p>
        </w:tc>
        <w:tc>
          <w:tcPr>
            <w:tcW w:w="1532" w:type="dxa"/>
          </w:tcPr>
          <w:p w14:paraId="5BF15BFA"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43 821,00</w:t>
            </w:r>
          </w:p>
        </w:tc>
        <w:tc>
          <w:tcPr>
            <w:tcW w:w="1387" w:type="dxa"/>
          </w:tcPr>
          <w:p w14:paraId="55626CD9"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3BF6914E" w14:textId="77777777" w:rsidR="0023651B" w:rsidRPr="00885EC5" w:rsidRDefault="0023651B" w:rsidP="00A96696">
            <w:pPr>
              <w:pStyle w:val="Tabletext"/>
              <w:jc w:val="right"/>
              <w:rPr>
                <w:sz w:val="20"/>
                <w:szCs w:val="20"/>
              </w:rPr>
            </w:pPr>
            <w:r w:rsidRPr="00885EC5">
              <w:rPr>
                <w:sz w:val="20"/>
                <w:szCs w:val="20"/>
              </w:rPr>
              <w:t>43 821,00</w:t>
            </w:r>
          </w:p>
        </w:tc>
        <w:tc>
          <w:tcPr>
            <w:tcW w:w="1387" w:type="dxa"/>
          </w:tcPr>
          <w:p w14:paraId="7D313A52"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64974596" w14:textId="77777777" w:rsidR="0023651B" w:rsidRPr="00885EC5" w:rsidRDefault="0023651B" w:rsidP="00A96696">
            <w:pPr>
              <w:pStyle w:val="Tabletext"/>
              <w:jc w:val="right"/>
              <w:rPr>
                <w:sz w:val="20"/>
                <w:szCs w:val="20"/>
              </w:rPr>
            </w:pPr>
            <w:r w:rsidRPr="00885EC5">
              <w:rPr>
                <w:sz w:val="20"/>
                <w:szCs w:val="20"/>
              </w:rPr>
              <w:t>43 821,00</w:t>
            </w:r>
          </w:p>
        </w:tc>
      </w:tr>
      <w:tr w:rsidR="0023651B" w:rsidRPr="00885EC5" w14:paraId="495A1D6C" w14:textId="77777777" w:rsidTr="00CD3BB9">
        <w:tc>
          <w:tcPr>
            <w:tcW w:w="5519" w:type="dxa"/>
          </w:tcPr>
          <w:p w14:paraId="5BDA9FFE" w14:textId="502B0904" w:rsidR="0023651B" w:rsidRPr="00885EC5" w:rsidRDefault="0023651B" w:rsidP="00CD3BB9">
            <w:pPr>
              <w:pStyle w:val="Tabletext"/>
              <w:rPr>
                <w:sz w:val="20"/>
                <w:szCs w:val="20"/>
              </w:rPr>
            </w:pPr>
            <w:r w:rsidRPr="00885EC5">
              <w:rPr>
                <w:sz w:val="20"/>
                <w:szCs w:val="20"/>
              </w:rPr>
              <w:t xml:space="preserve">Résolution </w:t>
            </w:r>
            <w:r w:rsidRPr="00885EC5">
              <w:rPr>
                <w:b/>
                <w:bCs/>
                <w:sz w:val="20"/>
                <w:szCs w:val="20"/>
              </w:rPr>
              <w:t>676</w:t>
            </w:r>
            <w:r w:rsidRPr="00885EC5">
              <w:rPr>
                <w:sz w:val="20"/>
                <w:szCs w:val="20"/>
              </w:rPr>
              <w:t xml:space="preserve"> et point 9.2 de l</w:t>
            </w:r>
            <w:r w:rsidR="00885EC5">
              <w:rPr>
                <w:sz w:val="20"/>
                <w:szCs w:val="20"/>
              </w:rPr>
              <w:t>'</w:t>
            </w:r>
            <w:r w:rsidRPr="00885EC5">
              <w:rPr>
                <w:sz w:val="20"/>
                <w:szCs w:val="20"/>
              </w:rPr>
              <w:t xml:space="preserve">ordre du jour (CMR-23): Modification du numéro </w:t>
            </w:r>
            <w:r w:rsidRPr="00885EC5">
              <w:rPr>
                <w:b/>
                <w:bCs/>
                <w:sz w:val="20"/>
                <w:szCs w:val="20"/>
              </w:rPr>
              <w:t>9.52.1</w:t>
            </w:r>
            <w:r w:rsidRPr="00885EC5">
              <w:rPr>
                <w:sz w:val="20"/>
                <w:szCs w:val="20"/>
              </w:rPr>
              <w:t xml:space="preserve"> (brouillages inacceptables) et de l</w:t>
            </w:r>
            <w:r w:rsidR="00885EC5">
              <w:rPr>
                <w:sz w:val="20"/>
                <w:szCs w:val="20"/>
              </w:rPr>
              <w:t>'</w:t>
            </w:r>
            <w:r w:rsidRPr="00885EC5">
              <w:rPr>
                <w:sz w:val="20"/>
                <w:szCs w:val="20"/>
              </w:rPr>
              <w:t>Article</w:t>
            </w:r>
            <w:r w:rsidR="002E6791" w:rsidRPr="00885EC5">
              <w:rPr>
                <w:sz w:val="20"/>
                <w:szCs w:val="20"/>
              </w:rPr>
              <w:t> </w:t>
            </w:r>
            <w:r w:rsidRPr="00885EC5">
              <w:rPr>
                <w:b/>
                <w:bCs/>
                <w:sz w:val="20"/>
                <w:szCs w:val="20"/>
              </w:rPr>
              <w:t>21</w:t>
            </w:r>
            <w:r w:rsidRPr="00885EC5">
              <w:rPr>
                <w:sz w:val="20"/>
                <w:szCs w:val="20"/>
              </w:rPr>
              <w:t xml:space="preserve"> du RR, et amélioration du traitement par le BR</w:t>
            </w:r>
          </w:p>
        </w:tc>
        <w:tc>
          <w:tcPr>
            <w:tcW w:w="1389" w:type="dxa"/>
          </w:tcPr>
          <w:p w14:paraId="6D38CAEE" w14:textId="77777777" w:rsidR="0023651B" w:rsidRPr="00885EC5" w:rsidRDefault="0023651B" w:rsidP="00A96696">
            <w:pPr>
              <w:pStyle w:val="Tabletext"/>
              <w:jc w:val="right"/>
              <w:rPr>
                <w:sz w:val="20"/>
                <w:szCs w:val="20"/>
              </w:rPr>
            </w:pPr>
            <w:r w:rsidRPr="00885EC5">
              <w:rPr>
                <w:sz w:val="20"/>
                <w:szCs w:val="20"/>
              </w:rPr>
              <w:t>0,5</w:t>
            </w:r>
          </w:p>
        </w:tc>
        <w:tc>
          <w:tcPr>
            <w:tcW w:w="1532" w:type="dxa"/>
          </w:tcPr>
          <w:p w14:paraId="36CE0FBC"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87 642,00</w:t>
            </w:r>
          </w:p>
        </w:tc>
        <w:tc>
          <w:tcPr>
            <w:tcW w:w="1387" w:type="dxa"/>
          </w:tcPr>
          <w:p w14:paraId="1A3E8221" w14:textId="77777777" w:rsidR="0023651B" w:rsidRPr="00885EC5" w:rsidRDefault="0023651B" w:rsidP="00A96696">
            <w:pPr>
              <w:pStyle w:val="Tabletext"/>
              <w:jc w:val="right"/>
              <w:rPr>
                <w:sz w:val="20"/>
                <w:szCs w:val="20"/>
              </w:rPr>
            </w:pPr>
            <w:r w:rsidRPr="00885EC5">
              <w:rPr>
                <w:sz w:val="20"/>
                <w:szCs w:val="20"/>
              </w:rPr>
              <w:t>0,5</w:t>
            </w:r>
          </w:p>
        </w:tc>
        <w:tc>
          <w:tcPr>
            <w:tcW w:w="1387" w:type="dxa"/>
          </w:tcPr>
          <w:p w14:paraId="6B12F5DE" w14:textId="77777777" w:rsidR="0023651B" w:rsidRPr="00885EC5" w:rsidRDefault="0023651B" w:rsidP="00A96696">
            <w:pPr>
              <w:pStyle w:val="Tabletext"/>
              <w:jc w:val="right"/>
              <w:rPr>
                <w:sz w:val="20"/>
                <w:szCs w:val="20"/>
              </w:rPr>
            </w:pPr>
            <w:r w:rsidRPr="00885EC5">
              <w:rPr>
                <w:sz w:val="20"/>
                <w:szCs w:val="20"/>
              </w:rPr>
              <w:t>87 642,00</w:t>
            </w:r>
          </w:p>
        </w:tc>
        <w:tc>
          <w:tcPr>
            <w:tcW w:w="1387" w:type="dxa"/>
          </w:tcPr>
          <w:p w14:paraId="516F233C" w14:textId="77777777" w:rsidR="0023651B" w:rsidRPr="00885EC5" w:rsidRDefault="0023651B" w:rsidP="00A96696">
            <w:pPr>
              <w:pStyle w:val="Tabletext"/>
              <w:jc w:val="right"/>
              <w:rPr>
                <w:sz w:val="20"/>
                <w:szCs w:val="20"/>
              </w:rPr>
            </w:pPr>
            <w:r w:rsidRPr="00885EC5">
              <w:rPr>
                <w:sz w:val="20"/>
                <w:szCs w:val="20"/>
              </w:rPr>
              <w:t>0,5</w:t>
            </w:r>
          </w:p>
        </w:tc>
        <w:tc>
          <w:tcPr>
            <w:tcW w:w="1387" w:type="dxa"/>
          </w:tcPr>
          <w:p w14:paraId="2FA789B1" w14:textId="77777777" w:rsidR="0023651B" w:rsidRPr="00885EC5" w:rsidRDefault="0023651B" w:rsidP="00A96696">
            <w:pPr>
              <w:pStyle w:val="Tabletext"/>
              <w:jc w:val="right"/>
              <w:rPr>
                <w:sz w:val="20"/>
                <w:szCs w:val="20"/>
              </w:rPr>
            </w:pPr>
            <w:r w:rsidRPr="00885EC5">
              <w:rPr>
                <w:sz w:val="20"/>
                <w:szCs w:val="20"/>
              </w:rPr>
              <w:t>87 642,00</w:t>
            </w:r>
          </w:p>
        </w:tc>
      </w:tr>
      <w:tr w:rsidR="0023651B" w:rsidRPr="00885EC5" w14:paraId="17360AE4" w14:textId="77777777" w:rsidTr="00CD3BB9">
        <w:tc>
          <w:tcPr>
            <w:tcW w:w="5519" w:type="dxa"/>
          </w:tcPr>
          <w:p w14:paraId="21279513" w14:textId="0846205F" w:rsidR="0023651B" w:rsidRPr="00885EC5" w:rsidRDefault="0023651B" w:rsidP="00CD3BB9">
            <w:pPr>
              <w:pStyle w:val="Tabletext"/>
              <w:rPr>
                <w:sz w:val="20"/>
                <w:szCs w:val="20"/>
              </w:rPr>
            </w:pPr>
            <w:r w:rsidRPr="00885EC5">
              <w:rPr>
                <w:sz w:val="20"/>
                <w:szCs w:val="20"/>
              </w:rPr>
              <w:lastRenderedPageBreak/>
              <w:t xml:space="preserve">Résolution </w:t>
            </w:r>
            <w:r w:rsidRPr="00885EC5">
              <w:rPr>
                <w:b/>
                <w:bCs/>
                <w:sz w:val="20"/>
                <w:szCs w:val="20"/>
              </w:rPr>
              <w:t>677 (CMR-23)</w:t>
            </w:r>
            <w:r w:rsidRPr="00885EC5">
              <w:rPr>
                <w:sz w:val="20"/>
                <w:szCs w:val="20"/>
              </w:rPr>
              <w:t>: Sondeurs radar spatioportés du SETS (active)</w:t>
            </w:r>
          </w:p>
        </w:tc>
        <w:tc>
          <w:tcPr>
            <w:tcW w:w="1389" w:type="dxa"/>
          </w:tcPr>
          <w:p w14:paraId="068EAF68" w14:textId="77777777" w:rsidR="0023651B" w:rsidRPr="00885EC5" w:rsidRDefault="0023651B" w:rsidP="00A96696">
            <w:pPr>
              <w:pStyle w:val="Tabletext"/>
              <w:jc w:val="right"/>
              <w:rPr>
                <w:sz w:val="20"/>
                <w:szCs w:val="20"/>
              </w:rPr>
            </w:pPr>
            <w:r w:rsidRPr="00885EC5">
              <w:rPr>
                <w:sz w:val="20"/>
                <w:szCs w:val="20"/>
              </w:rPr>
              <w:t>0,05</w:t>
            </w:r>
          </w:p>
        </w:tc>
        <w:tc>
          <w:tcPr>
            <w:tcW w:w="1532" w:type="dxa"/>
          </w:tcPr>
          <w:p w14:paraId="2AEBD06C"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8 764,20</w:t>
            </w:r>
          </w:p>
        </w:tc>
        <w:tc>
          <w:tcPr>
            <w:tcW w:w="1387" w:type="dxa"/>
          </w:tcPr>
          <w:p w14:paraId="33A77615" w14:textId="77777777" w:rsidR="0023651B" w:rsidRPr="00885EC5" w:rsidRDefault="0023651B" w:rsidP="00A96696">
            <w:pPr>
              <w:pStyle w:val="Tabletext"/>
              <w:jc w:val="right"/>
              <w:rPr>
                <w:sz w:val="20"/>
                <w:szCs w:val="20"/>
              </w:rPr>
            </w:pPr>
            <w:r w:rsidRPr="00885EC5">
              <w:rPr>
                <w:sz w:val="20"/>
                <w:szCs w:val="20"/>
              </w:rPr>
              <w:t>0,05</w:t>
            </w:r>
          </w:p>
        </w:tc>
        <w:tc>
          <w:tcPr>
            <w:tcW w:w="1387" w:type="dxa"/>
          </w:tcPr>
          <w:p w14:paraId="3A69DBF8" w14:textId="77777777" w:rsidR="0023651B" w:rsidRPr="00885EC5" w:rsidRDefault="0023651B" w:rsidP="00A96696">
            <w:pPr>
              <w:pStyle w:val="Tabletext"/>
              <w:jc w:val="right"/>
              <w:rPr>
                <w:sz w:val="20"/>
                <w:szCs w:val="20"/>
              </w:rPr>
            </w:pPr>
            <w:r w:rsidRPr="00885EC5">
              <w:rPr>
                <w:sz w:val="20"/>
                <w:szCs w:val="20"/>
              </w:rPr>
              <w:t>8 764,20</w:t>
            </w:r>
          </w:p>
        </w:tc>
        <w:tc>
          <w:tcPr>
            <w:tcW w:w="1387" w:type="dxa"/>
          </w:tcPr>
          <w:p w14:paraId="0A2898DB" w14:textId="77777777" w:rsidR="0023651B" w:rsidRPr="00885EC5" w:rsidRDefault="0023651B" w:rsidP="00A96696">
            <w:pPr>
              <w:pStyle w:val="Tabletext"/>
              <w:jc w:val="right"/>
              <w:rPr>
                <w:sz w:val="20"/>
                <w:szCs w:val="20"/>
              </w:rPr>
            </w:pPr>
            <w:r w:rsidRPr="00885EC5">
              <w:rPr>
                <w:sz w:val="20"/>
                <w:szCs w:val="20"/>
              </w:rPr>
              <w:t>0,05</w:t>
            </w:r>
          </w:p>
        </w:tc>
        <w:tc>
          <w:tcPr>
            <w:tcW w:w="1387" w:type="dxa"/>
          </w:tcPr>
          <w:p w14:paraId="527CC247" w14:textId="77777777" w:rsidR="0023651B" w:rsidRPr="00885EC5" w:rsidRDefault="0023651B" w:rsidP="00A96696">
            <w:pPr>
              <w:pStyle w:val="Tabletext"/>
              <w:jc w:val="right"/>
              <w:rPr>
                <w:sz w:val="20"/>
                <w:szCs w:val="20"/>
              </w:rPr>
            </w:pPr>
            <w:r w:rsidRPr="00885EC5">
              <w:rPr>
                <w:sz w:val="20"/>
                <w:szCs w:val="20"/>
              </w:rPr>
              <w:t>8 764,20</w:t>
            </w:r>
          </w:p>
        </w:tc>
      </w:tr>
      <w:tr w:rsidR="0023651B" w:rsidRPr="00885EC5" w14:paraId="3A80E35A" w14:textId="77777777" w:rsidTr="00CD3BB9">
        <w:tc>
          <w:tcPr>
            <w:tcW w:w="5519" w:type="dxa"/>
          </w:tcPr>
          <w:p w14:paraId="0F4C924A" w14:textId="5E75D028" w:rsidR="0023651B" w:rsidRPr="00885EC5" w:rsidRDefault="0023651B" w:rsidP="00CD3BB9">
            <w:pPr>
              <w:pStyle w:val="Tabletext"/>
              <w:rPr>
                <w:sz w:val="20"/>
                <w:szCs w:val="20"/>
              </w:rPr>
            </w:pPr>
            <w:r w:rsidRPr="00885EC5">
              <w:rPr>
                <w:sz w:val="20"/>
                <w:szCs w:val="20"/>
              </w:rPr>
              <w:t>Point 1.19 de l</w:t>
            </w:r>
            <w:r w:rsidR="00885EC5">
              <w:rPr>
                <w:sz w:val="20"/>
                <w:szCs w:val="20"/>
              </w:rPr>
              <w:t>'</w:t>
            </w:r>
            <w:r w:rsidRPr="00885EC5">
              <w:rPr>
                <w:sz w:val="20"/>
                <w:szCs w:val="20"/>
              </w:rPr>
              <w:t>ordre du jour (CMR-23): SFS (espace vers Terre) dans la bande de fréquences 17,3-17,7 GHz en Région 2</w:t>
            </w:r>
          </w:p>
        </w:tc>
        <w:tc>
          <w:tcPr>
            <w:tcW w:w="1389" w:type="dxa"/>
          </w:tcPr>
          <w:p w14:paraId="0794E2F9" w14:textId="77777777" w:rsidR="0023651B" w:rsidRPr="00885EC5" w:rsidRDefault="0023651B" w:rsidP="00A96696">
            <w:pPr>
              <w:pStyle w:val="Tabletext"/>
              <w:jc w:val="right"/>
              <w:rPr>
                <w:sz w:val="20"/>
                <w:szCs w:val="20"/>
              </w:rPr>
            </w:pPr>
            <w:r w:rsidRPr="00885EC5">
              <w:rPr>
                <w:sz w:val="20"/>
                <w:szCs w:val="20"/>
              </w:rPr>
              <w:t>0,125</w:t>
            </w:r>
          </w:p>
        </w:tc>
        <w:tc>
          <w:tcPr>
            <w:tcW w:w="1532" w:type="dxa"/>
          </w:tcPr>
          <w:p w14:paraId="75D425DF"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21 910,50</w:t>
            </w:r>
          </w:p>
        </w:tc>
        <w:tc>
          <w:tcPr>
            <w:tcW w:w="1387" w:type="dxa"/>
          </w:tcPr>
          <w:p w14:paraId="66BDDDC9" w14:textId="77777777" w:rsidR="0023651B" w:rsidRPr="00885EC5" w:rsidRDefault="0023651B" w:rsidP="00A96696">
            <w:pPr>
              <w:pStyle w:val="Tabletext"/>
              <w:jc w:val="right"/>
              <w:rPr>
                <w:sz w:val="20"/>
                <w:szCs w:val="20"/>
              </w:rPr>
            </w:pPr>
            <w:r w:rsidRPr="00885EC5">
              <w:rPr>
                <w:sz w:val="20"/>
                <w:szCs w:val="20"/>
              </w:rPr>
              <w:t>0,125</w:t>
            </w:r>
          </w:p>
        </w:tc>
        <w:tc>
          <w:tcPr>
            <w:tcW w:w="1387" w:type="dxa"/>
          </w:tcPr>
          <w:p w14:paraId="1CF258F0" w14:textId="77777777" w:rsidR="0023651B" w:rsidRPr="00885EC5" w:rsidRDefault="0023651B" w:rsidP="00A96696">
            <w:pPr>
              <w:pStyle w:val="Tabletext"/>
              <w:jc w:val="right"/>
              <w:rPr>
                <w:sz w:val="20"/>
                <w:szCs w:val="20"/>
              </w:rPr>
            </w:pPr>
            <w:r w:rsidRPr="00885EC5">
              <w:rPr>
                <w:sz w:val="20"/>
                <w:szCs w:val="20"/>
              </w:rPr>
              <w:t>21 910,50</w:t>
            </w:r>
          </w:p>
        </w:tc>
        <w:tc>
          <w:tcPr>
            <w:tcW w:w="1387" w:type="dxa"/>
          </w:tcPr>
          <w:p w14:paraId="184ABEC4" w14:textId="77777777" w:rsidR="0023651B" w:rsidRPr="00885EC5" w:rsidRDefault="0023651B" w:rsidP="00A96696">
            <w:pPr>
              <w:pStyle w:val="Tabletext"/>
              <w:jc w:val="right"/>
              <w:rPr>
                <w:sz w:val="20"/>
                <w:szCs w:val="20"/>
              </w:rPr>
            </w:pPr>
            <w:r w:rsidRPr="00885EC5">
              <w:rPr>
                <w:sz w:val="20"/>
                <w:szCs w:val="20"/>
              </w:rPr>
              <w:t>0,125</w:t>
            </w:r>
          </w:p>
        </w:tc>
        <w:tc>
          <w:tcPr>
            <w:tcW w:w="1387" w:type="dxa"/>
          </w:tcPr>
          <w:p w14:paraId="068514F0" w14:textId="77777777" w:rsidR="0023651B" w:rsidRPr="00885EC5" w:rsidRDefault="0023651B" w:rsidP="00A96696">
            <w:pPr>
              <w:pStyle w:val="Tabletext"/>
              <w:jc w:val="right"/>
              <w:rPr>
                <w:sz w:val="20"/>
                <w:szCs w:val="20"/>
              </w:rPr>
            </w:pPr>
            <w:r w:rsidRPr="00885EC5">
              <w:rPr>
                <w:sz w:val="20"/>
                <w:szCs w:val="20"/>
              </w:rPr>
              <w:t>21 910,50</w:t>
            </w:r>
          </w:p>
        </w:tc>
      </w:tr>
      <w:tr w:rsidR="0023651B" w:rsidRPr="00885EC5" w14:paraId="387A51FA" w14:textId="77777777" w:rsidTr="00CD3BB9">
        <w:tc>
          <w:tcPr>
            <w:tcW w:w="5519" w:type="dxa"/>
          </w:tcPr>
          <w:p w14:paraId="7D9EB4F4" w14:textId="0C48413F" w:rsidR="0023651B" w:rsidRPr="00885EC5" w:rsidRDefault="0023651B" w:rsidP="00CD3BB9">
            <w:pPr>
              <w:pStyle w:val="Tabletext"/>
              <w:rPr>
                <w:sz w:val="20"/>
                <w:szCs w:val="20"/>
              </w:rPr>
            </w:pPr>
            <w:r w:rsidRPr="00885EC5">
              <w:rPr>
                <w:sz w:val="20"/>
                <w:szCs w:val="20"/>
              </w:rPr>
              <w:t xml:space="preserve">Résolution </w:t>
            </w:r>
            <w:r w:rsidRPr="00885EC5">
              <w:rPr>
                <w:b/>
                <w:bCs/>
                <w:sz w:val="20"/>
                <w:szCs w:val="20"/>
              </w:rPr>
              <w:t>35 (Rév.CMR-23)</w:t>
            </w:r>
            <w:r w:rsidRPr="00885EC5">
              <w:rPr>
                <w:sz w:val="20"/>
                <w:szCs w:val="20"/>
              </w:rPr>
              <w:t>: Procédure à suivre après les étapes pour la mise en service des systèmes non OSG</w:t>
            </w:r>
          </w:p>
        </w:tc>
        <w:tc>
          <w:tcPr>
            <w:tcW w:w="1389" w:type="dxa"/>
          </w:tcPr>
          <w:p w14:paraId="4C90FCDC" w14:textId="77777777" w:rsidR="0023651B" w:rsidRPr="00885EC5" w:rsidRDefault="0023651B" w:rsidP="00A96696">
            <w:pPr>
              <w:pStyle w:val="Tabletext"/>
              <w:jc w:val="right"/>
              <w:rPr>
                <w:sz w:val="20"/>
                <w:szCs w:val="20"/>
              </w:rPr>
            </w:pPr>
            <w:r w:rsidRPr="00885EC5">
              <w:rPr>
                <w:sz w:val="20"/>
                <w:szCs w:val="20"/>
              </w:rPr>
              <w:t>0,25</w:t>
            </w:r>
          </w:p>
        </w:tc>
        <w:tc>
          <w:tcPr>
            <w:tcW w:w="1532" w:type="dxa"/>
          </w:tcPr>
          <w:p w14:paraId="71416673" w14:textId="77777777" w:rsidR="0023651B" w:rsidRPr="00885EC5" w:rsidRDefault="0023651B" w:rsidP="00A96696">
            <w:pPr>
              <w:pStyle w:val="Tabletext"/>
              <w:jc w:val="right"/>
              <w:rPr>
                <w:rFonts w:asciiTheme="minorHAnsi" w:hAnsiTheme="minorHAnsi" w:cstheme="minorHAnsi"/>
                <w:b/>
                <w:sz w:val="20"/>
                <w:szCs w:val="20"/>
              </w:rPr>
            </w:pPr>
            <w:r w:rsidRPr="00885EC5">
              <w:rPr>
                <w:sz w:val="20"/>
                <w:szCs w:val="20"/>
              </w:rPr>
              <w:t>43 821,00</w:t>
            </w:r>
          </w:p>
        </w:tc>
        <w:tc>
          <w:tcPr>
            <w:tcW w:w="1387" w:type="dxa"/>
          </w:tcPr>
          <w:p w14:paraId="75044482"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3FC51D72" w14:textId="77777777" w:rsidR="0023651B" w:rsidRPr="00885EC5" w:rsidRDefault="0023651B" w:rsidP="00A96696">
            <w:pPr>
              <w:pStyle w:val="Tabletext"/>
              <w:jc w:val="right"/>
              <w:rPr>
                <w:sz w:val="20"/>
                <w:szCs w:val="20"/>
              </w:rPr>
            </w:pPr>
            <w:r w:rsidRPr="00885EC5">
              <w:rPr>
                <w:sz w:val="20"/>
                <w:szCs w:val="20"/>
              </w:rPr>
              <w:t>43 821,00</w:t>
            </w:r>
          </w:p>
        </w:tc>
        <w:tc>
          <w:tcPr>
            <w:tcW w:w="1387" w:type="dxa"/>
          </w:tcPr>
          <w:p w14:paraId="08077FC0" w14:textId="77777777" w:rsidR="0023651B" w:rsidRPr="00885EC5" w:rsidRDefault="0023651B" w:rsidP="00A96696">
            <w:pPr>
              <w:pStyle w:val="Tabletext"/>
              <w:jc w:val="right"/>
              <w:rPr>
                <w:sz w:val="20"/>
                <w:szCs w:val="20"/>
              </w:rPr>
            </w:pPr>
            <w:r w:rsidRPr="00885EC5">
              <w:rPr>
                <w:sz w:val="20"/>
                <w:szCs w:val="20"/>
              </w:rPr>
              <w:t>0,25</w:t>
            </w:r>
          </w:p>
        </w:tc>
        <w:tc>
          <w:tcPr>
            <w:tcW w:w="1387" w:type="dxa"/>
          </w:tcPr>
          <w:p w14:paraId="22BC9A5B" w14:textId="77777777" w:rsidR="0023651B" w:rsidRPr="00885EC5" w:rsidRDefault="0023651B" w:rsidP="00A96696">
            <w:pPr>
              <w:pStyle w:val="Tabletext"/>
              <w:jc w:val="right"/>
              <w:rPr>
                <w:sz w:val="20"/>
                <w:szCs w:val="20"/>
              </w:rPr>
            </w:pPr>
            <w:r w:rsidRPr="00885EC5">
              <w:rPr>
                <w:sz w:val="20"/>
                <w:szCs w:val="20"/>
              </w:rPr>
              <w:t>43 821,00</w:t>
            </w:r>
          </w:p>
        </w:tc>
      </w:tr>
      <w:tr w:rsidR="0023651B" w:rsidRPr="00885EC5" w14:paraId="6C801542" w14:textId="77777777" w:rsidTr="0023651B">
        <w:tc>
          <w:tcPr>
            <w:tcW w:w="5519" w:type="dxa"/>
            <w:shd w:val="clear" w:color="auto" w:fill="92CDDC" w:themeFill="accent5" w:themeFillTint="99"/>
            <w:vAlign w:val="bottom"/>
          </w:tcPr>
          <w:p w14:paraId="47A7B125" w14:textId="77777777" w:rsidR="0023651B" w:rsidRPr="00885EC5" w:rsidRDefault="0023651B" w:rsidP="00A96696">
            <w:pPr>
              <w:pStyle w:val="Tabletext"/>
              <w:rPr>
                <w:b/>
                <w:bCs/>
                <w:sz w:val="20"/>
                <w:szCs w:val="20"/>
              </w:rPr>
            </w:pPr>
            <w:r w:rsidRPr="00885EC5">
              <w:rPr>
                <w:b/>
                <w:bCs/>
                <w:sz w:val="20"/>
                <w:szCs w:val="20"/>
              </w:rPr>
              <w:t xml:space="preserve">Total </w:t>
            </w:r>
          </w:p>
        </w:tc>
        <w:tc>
          <w:tcPr>
            <w:tcW w:w="1389" w:type="dxa"/>
            <w:shd w:val="clear" w:color="auto" w:fill="92CDDC" w:themeFill="accent5" w:themeFillTint="99"/>
          </w:tcPr>
          <w:p w14:paraId="0743C3AB" w14:textId="77777777" w:rsidR="0023651B" w:rsidRPr="00885EC5" w:rsidRDefault="0023651B" w:rsidP="00A96696">
            <w:pPr>
              <w:pStyle w:val="Tabletext"/>
              <w:jc w:val="right"/>
              <w:rPr>
                <w:b/>
                <w:bCs/>
                <w:sz w:val="20"/>
                <w:szCs w:val="20"/>
              </w:rPr>
            </w:pPr>
            <w:r w:rsidRPr="00885EC5">
              <w:rPr>
                <w:b/>
                <w:bCs/>
                <w:sz w:val="20"/>
                <w:szCs w:val="20"/>
              </w:rPr>
              <w:t>9,275</w:t>
            </w:r>
          </w:p>
        </w:tc>
        <w:tc>
          <w:tcPr>
            <w:tcW w:w="1532" w:type="dxa"/>
            <w:shd w:val="clear" w:color="auto" w:fill="92CDDC" w:themeFill="accent5" w:themeFillTint="99"/>
          </w:tcPr>
          <w:p w14:paraId="4DB627D3" w14:textId="77777777" w:rsidR="0023651B" w:rsidRPr="00885EC5" w:rsidRDefault="0023651B" w:rsidP="00A96696">
            <w:pPr>
              <w:pStyle w:val="Tabletext"/>
              <w:jc w:val="right"/>
              <w:rPr>
                <w:rFonts w:asciiTheme="minorHAnsi" w:hAnsiTheme="minorHAnsi" w:cstheme="minorHAnsi"/>
                <w:b/>
                <w:bCs/>
                <w:sz w:val="20"/>
                <w:szCs w:val="20"/>
              </w:rPr>
            </w:pPr>
            <w:r w:rsidRPr="00885EC5">
              <w:rPr>
                <w:b/>
                <w:bCs/>
                <w:sz w:val="20"/>
                <w:szCs w:val="20"/>
              </w:rPr>
              <w:t>1 625 759,10</w:t>
            </w:r>
          </w:p>
        </w:tc>
        <w:tc>
          <w:tcPr>
            <w:tcW w:w="1387" w:type="dxa"/>
            <w:shd w:val="clear" w:color="auto" w:fill="92CDDC" w:themeFill="accent5" w:themeFillTint="99"/>
          </w:tcPr>
          <w:p w14:paraId="6022A60A" w14:textId="77777777" w:rsidR="0023651B" w:rsidRPr="00885EC5" w:rsidRDefault="0023651B" w:rsidP="00A96696">
            <w:pPr>
              <w:pStyle w:val="Tabletext"/>
              <w:jc w:val="right"/>
              <w:rPr>
                <w:b/>
                <w:bCs/>
                <w:sz w:val="20"/>
                <w:szCs w:val="20"/>
              </w:rPr>
            </w:pPr>
            <w:r w:rsidRPr="00885EC5">
              <w:rPr>
                <w:b/>
                <w:bCs/>
                <w:sz w:val="20"/>
                <w:szCs w:val="20"/>
              </w:rPr>
              <w:t>9,275</w:t>
            </w:r>
          </w:p>
        </w:tc>
        <w:tc>
          <w:tcPr>
            <w:tcW w:w="1387" w:type="dxa"/>
            <w:shd w:val="clear" w:color="auto" w:fill="92CDDC" w:themeFill="accent5" w:themeFillTint="99"/>
          </w:tcPr>
          <w:p w14:paraId="2C48A60D" w14:textId="77777777" w:rsidR="0023651B" w:rsidRPr="00885EC5" w:rsidRDefault="0023651B" w:rsidP="00A96696">
            <w:pPr>
              <w:pStyle w:val="Tabletext"/>
              <w:jc w:val="right"/>
              <w:rPr>
                <w:b/>
                <w:bCs/>
                <w:sz w:val="20"/>
                <w:szCs w:val="20"/>
              </w:rPr>
            </w:pPr>
            <w:r w:rsidRPr="00885EC5">
              <w:rPr>
                <w:b/>
                <w:bCs/>
                <w:sz w:val="20"/>
                <w:szCs w:val="20"/>
              </w:rPr>
              <w:t>1 625 759,10</w:t>
            </w:r>
          </w:p>
        </w:tc>
        <w:tc>
          <w:tcPr>
            <w:tcW w:w="1387" w:type="dxa"/>
            <w:shd w:val="clear" w:color="auto" w:fill="92CDDC" w:themeFill="accent5" w:themeFillTint="99"/>
          </w:tcPr>
          <w:p w14:paraId="7A170115" w14:textId="77777777" w:rsidR="0023651B" w:rsidRPr="00885EC5" w:rsidRDefault="0023651B" w:rsidP="00A96696">
            <w:pPr>
              <w:pStyle w:val="Tabletext"/>
              <w:jc w:val="right"/>
              <w:rPr>
                <w:b/>
                <w:bCs/>
                <w:sz w:val="20"/>
                <w:szCs w:val="20"/>
              </w:rPr>
            </w:pPr>
            <w:r w:rsidRPr="00885EC5">
              <w:rPr>
                <w:b/>
                <w:bCs/>
                <w:sz w:val="20"/>
                <w:szCs w:val="20"/>
              </w:rPr>
              <w:t>9,275</w:t>
            </w:r>
          </w:p>
        </w:tc>
        <w:tc>
          <w:tcPr>
            <w:tcW w:w="1387" w:type="dxa"/>
            <w:shd w:val="clear" w:color="auto" w:fill="92CDDC" w:themeFill="accent5" w:themeFillTint="99"/>
          </w:tcPr>
          <w:p w14:paraId="5F9183F4" w14:textId="77777777" w:rsidR="0023651B" w:rsidRPr="00885EC5" w:rsidRDefault="0023651B" w:rsidP="00A96696">
            <w:pPr>
              <w:pStyle w:val="Tabletext"/>
              <w:jc w:val="right"/>
              <w:rPr>
                <w:b/>
                <w:bCs/>
                <w:sz w:val="20"/>
                <w:szCs w:val="20"/>
              </w:rPr>
            </w:pPr>
            <w:r w:rsidRPr="00885EC5">
              <w:rPr>
                <w:b/>
                <w:bCs/>
                <w:sz w:val="20"/>
                <w:szCs w:val="20"/>
              </w:rPr>
              <w:t>1 625 759,10</w:t>
            </w:r>
          </w:p>
        </w:tc>
      </w:tr>
    </w:tbl>
    <w:p w14:paraId="08BC7B38" w14:textId="5AC2F22F" w:rsidR="0023651B" w:rsidRPr="00885EC5" w:rsidRDefault="0023651B" w:rsidP="00A96696">
      <w:r w:rsidRPr="00885EC5">
        <w:br w:type="page"/>
      </w:r>
    </w:p>
    <w:p w14:paraId="3FF55491" w14:textId="77777777" w:rsidR="0023651B" w:rsidRPr="00885EC5" w:rsidRDefault="0023651B" w:rsidP="00A96696">
      <w:pPr>
        <w:pStyle w:val="TableNo"/>
        <w:spacing w:before="120"/>
        <w:rPr>
          <w:b/>
          <w:bCs/>
        </w:rPr>
      </w:pPr>
      <w:r w:rsidRPr="00885EC5">
        <w:rPr>
          <w:b/>
          <w:bCs/>
        </w:rPr>
        <w:lastRenderedPageBreak/>
        <w:t>TABLEAU 4-3</w:t>
      </w:r>
    </w:p>
    <w:p w14:paraId="41CFB8BC" w14:textId="437022D6" w:rsidR="0023651B" w:rsidRPr="00885EC5" w:rsidRDefault="0023651B" w:rsidP="00A96696">
      <w:pPr>
        <w:pStyle w:val="Tabletitle"/>
        <w:rPr>
          <w:rFonts w:eastAsia="Verdana"/>
        </w:rPr>
      </w:pPr>
      <w:r w:rsidRPr="00885EC5">
        <w:rPr>
          <w:rFonts w:eastAsia="Verdana"/>
        </w:rPr>
        <w:t>Incidences budgétaires récurrentes pour la mise à jour des logiciels pour les services spatiaux (2025-2027)</w:t>
      </w:r>
    </w:p>
    <w:tbl>
      <w:tblPr>
        <w:tblStyle w:val="TableGrid"/>
        <w:tblW w:w="0" w:type="auto"/>
        <w:tblLook w:val="04A0" w:firstRow="1" w:lastRow="0" w:firstColumn="1" w:lastColumn="0" w:noHBand="0" w:noVBand="1"/>
      </w:tblPr>
      <w:tblGrid>
        <w:gridCol w:w="5530"/>
        <w:gridCol w:w="1390"/>
        <w:gridCol w:w="1512"/>
        <w:gridCol w:w="1389"/>
        <w:gridCol w:w="1389"/>
        <w:gridCol w:w="1389"/>
        <w:gridCol w:w="1389"/>
      </w:tblGrid>
      <w:tr w:rsidR="0023651B" w:rsidRPr="00885EC5" w14:paraId="2A84F5B8" w14:textId="77777777" w:rsidTr="00A91354">
        <w:tc>
          <w:tcPr>
            <w:tcW w:w="5530" w:type="dxa"/>
            <w:tcBorders>
              <w:top w:val="nil"/>
              <w:left w:val="nil"/>
              <w:bottom w:val="single" w:sz="4" w:space="0" w:color="auto"/>
              <w:right w:val="single" w:sz="4" w:space="0" w:color="auto"/>
            </w:tcBorders>
            <w:shd w:val="clear" w:color="auto" w:fill="auto"/>
          </w:tcPr>
          <w:p w14:paraId="5CB8EE4F" w14:textId="77777777" w:rsidR="0023651B" w:rsidRPr="00885EC5" w:rsidRDefault="0023651B" w:rsidP="00A96696">
            <w:pPr>
              <w:pStyle w:val="Tablehead"/>
              <w:rPr>
                <w:sz w:val="20"/>
                <w:szCs w:val="20"/>
              </w:rPr>
            </w:pPr>
          </w:p>
        </w:tc>
        <w:tc>
          <w:tcPr>
            <w:tcW w:w="2902" w:type="dxa"/>
            <w:gridSpan w:val="2"/>
            <w:tcBorders>
              <w:left w:val="single" w:sz="4" w:space="0" w:color="auto"/>
            </w:tcBorders>
            <w:shd w:val="clear" w:color="auto" w:fill="92CDDC" w:themeFill="accent5" w:themeFillTint="99"/>
          </w:tcPr>
          <w:p w14:paraId="3D9B4795" w14:textId="77777777" w:rsidR="0023651B" w:rsidRPr="00885EC5" w:rsidRDefault="0023651B" w:rsidP="00A96696">
            <w:pPr>
              <w:pStyle w:val="Tablehead"/>
              <w:rPr>
                <w:sz w:val="20"/>
                <w:szCs w:val="20"/>
              </w:rPr>
            </w:pPr>
            <w:r w:rsidRPr="00885EC5">
              <w:rPr>
                <w:sz w:val="20"/>
                <w:szCs w:val="20"/>
              </w:rPr>
              <w:t>2025</w:t>
            </w:r>
          </w:p>
        </w:tc>
        <w:tc>
          <w:tcPr>
            <w:tcW w:w="2778" w:type="dxa"/>
            <w:gridSpan w:val="2"/>
            <w:shd w:val="clear" w:color="auto" w:fill="92CDDC" w:themeFill="accent5" w:themeFillTint="99"/>
          </w:tcPr>
          <w:p w14:paraId="0915F4C7" w14:textId="77777777" w:rsidR="0023651B" w:rsidRPr="00885EC5" w:rsidRDefault="0023651B" w:rsidP="00A96696">
            <w:pPr>
              <w:pStyle w:val="Tablehead"/>
              <w:rPr>
                <w:sz w:val="20"/>
                <w:szCs w:val="20"/>
              </w:rPr>
            </w:pPr>
            <w:r w:rsidRPr="00885EC5">
              <w:rPr>
                <w:sz w:val="20"/>
                <w:szCs w:val="20"/>
              </w:rPr>
              <w:t>2026</w:t>
            </w:r>
          </w:p>
        </w:tc>
        <w:tc>
          <w:tcPr>
            <w:tcW w:w="2778" w:type="dxa"/>
            <w:gridSpan w:val="2"/>
            <w:shd w:val="clear" w:color="auto" w:fill="92CDDC" w:themeFill="accent5" w:themeFillTint="99"/>
          </w:tcPr>
          <w:p w14:paraId="2A5C1B02" w14:textId="77777777" w:rsidR="0023651B" w:rsidRPr="00885EC5" w:rsidRDefault="0023651B" w:rsidP="00A96696">
            <w:pPr>
              <w:pStyle w:val="Tablehead"/>
              <w:rPr>
                <w:sz w:val="20"/>
                <w:szCs w:val="20"/>
              </w:rPr>
            </w:pPr>
            <w:r w:rsidRPr="00885EC5">
              <w:rPr>
                <w:sz w:val="20"/>
                <w:szCs w:val="20"/>
              </w:rPr>
              <w:t>2027</w:t>
            </w:r>
          </w:p>
        </w:tc>
      </w:tr>
      <w:tr w:rsidR="0023651B" w:rsidRPr="00885EC5" w14:paraId="79FE585C" w14:textId="77777777" w:rsidTr="00FE3279">
        <w:tc>
          <w:tcPr>
            <w:tcW w:w="5530" w:type="dxa"/>
            <w:tcBorders>
              <w:top w:val="single" w:sz="4" w:space="0" w:color="auto"/>
            </w:tcBorders>
            <w:shd w:val="clear" w:color="auto" w:fill="92CDDC" w:themeFill="accent5" w:themeFillTint="99"/>
          </w:tcPr>
          <w:p w14:paraId="49D34D17" w14:textId="77777777" w:rsidR="0023651B" w:rsidRPr="00885EC5" w:rsidRDefault="0023651B" w:rsidP="00FE3279">
            <w:pPr>
              <w:pStyle w:val="Tablehead"/>
              <w:rPr>
                <w:sz w:val="20"/>
                <w:szCs w:val="20"/>
              </w:rPr>
            </w:pPr>
            <w:r w:rsidRPr="00885EC5">
              <w:rPr>
                <w:sz w:val="20"/>
                <w:szCs w:val="20"/>
              </w:rPr>
              <w:t>Référence CMR-23/Actes finals et description</w:t>
            </w:r>
          </w:p>
        </w:tc>
        <w:tc>
          <w:tcPr>
            <w:tcW w:w="1390" w:type="dxa"/>
            <w:shd w:val="clear" w:color="auto" w:fill="92CDDC" w:themeFill="accent5" w:themeFillTint="99"/>
          </w:tcPr>
          <w:p w14:paraId="4A413C81" w14:textId="77777777" w:rsidR="0023651B" w:rsidRPr="00885EC5" w:rsidRDefault="0023651B" w:rsidP="00FE3279">
            <w:pPr>
              <w:pStyle w:val="Tablehead"/>
              <w:rPr>
                <w:sz w:val="20"/>
                <w:szCs w:val="20"/>
              </w:rPr>
            </w:pPr>
            <w:r w:rsidRPr="00885EC5">
              <w:rPr>
                <w:sz w:val="20"/>
                <w:szCs w:val="20"/>
              </w:rPr>
              <w:t>Équivalent temps plein de grade P3</w:t>
            </w:r>
          </w:p>
        </w:tc>
        <w:tc>
          <w:tcPr>
            <w:tcW w:w="1512" w:type="dxa"/>
            <w:shd w:val="clear" w:color="auto" w:fill="92CDDC" w:themeFill="accent5" w:themeFillTint="99"/>
          </w:tcPr>
          <w:p w14:paraId="43BAEFD6" w14:textId="77777777" w:rsidR="0023651B" w:rsidRPr="00885EC5" w:rsidRDefault="0023651B" w:rsidP="00FE3279">
            <w:pPr>
              <w:pStyle w:val="Tablehead"/>
              <w:rPr>
                <w:sz w:val="20"/>
                <w:szCs w:val="20"/>
              </w:rPr>
            </w:pPr>
            <w:r w:rsidRPr="00885EC5">
              <w:rPr>
                <w:sz w:val="20"/>
                <w:szCs w:val="20"/>
              </w:rPr>
              <w:t>CHF</w:t>
            </w:r>
          </w:p>
        </w:tc>
        <w:tc>
          <w:tcPr>
            <w:tcW w:w="1389" w:type="dxa"/>
            <w:shd w:val="clear" w:color="auto" w:fill="92CDDC" w:themeFill="accent5" w:themeFillTint="99"/>
          </w:tcPr>
          <w:p w14:paraId="758FCFD0" w14:textId="77777777" w:rsidR="0023651B" w:rsidRPr="00885EC5" w:rsidRDefault="0023651B" w:rsidP="00FE3279">
            <w:pPr>
              <w:pStyle w:val="Tablehead"/>
              <w:rPr>
                <w:sz w:val="20"/>
                <w:szCs w:val="20"/>
              </w:rPr>
            </w:pPr>
            <w:r w:rsidRPr="00885EC5">
              <w:rPr>
                <w:sz w:val="20"/>
                <w:szCs w:val="20"/>
              </w:rPr>
              <w:t>Équivalent temps plein de grade P3</w:t>
            </w:r>
          </w:p>
        </w:tc>
        <w:tc>
          <w:tcPr>
            <w:tcW w:w="1389" w:type="dxa"/>
            <w:shd w:val="clear" w:color="auto" w:fill="92CDDC" w:themeFill="accent5" w:themeFillTint="99"/>
          </w:tcPr>
          <w:p w14:paraId="29244E0F" w14:textId="77777777" w:rsidR="0023651B" w:rsidRPr="00885EC5" w:rsidRDefault="0023651B" w:rsidP="00FE3279">
            <w:pPr>
              <w:pStyle w:val="Tablehead"/>
              <w:rPr>
                <w:sz w:val="20"/>
                <w:szCs w:val="20"/>
              </w:rPr>
            </w:pPr>
            <w:r w:rsidRPr="00885EC5">
              <w:rPr>
                <w:sz w:val="20"/>
                <w:szCs w:val="20"/>
              </w:rPr>
              <w:t>CHF</w:t>
            </w:r>
          </w:p>
        </w:tc>
        <w:tc>
          <w:tcPr>
            <w:tcW w:w="1389" w:type="dxa"/>
            <w:shd w:val="clear" w:color="auto" w:fill="92CDDC" w:themeFill="accent5" w:themeFillTint="99"/>
          </w:tcPr>
          <w:p w14:paraId="70D353B6" w14:textId="77777777" w:rsidR="0023651B" w:rsidRPr="00885EC5" w:rsidRDefault="0023651B" w:rsidP="00FE3279">
            <w:pPr>
              <w:pStyle w:val="Tablehead"/>
              <w:rPr>
                <w:sz w:val="20"/>
                <w:szCs w:val="20"/>
              </w:rPr>
            </w:pPr>
            <w:r w:rsidRPr="00885EC5">
              <w:rPr>
                <w:sz w:val="20"/>
                <w:szCs w:val="20"/>
              </w:rPr>
              <w:t>Équivalent temps plein de grade P3</w:t>
            </w:r>
          </w:p>
        </w:tc>
        <w:tc>
          <w:tcPr>
            <w:tcW w:w="1389" w:type="dxa"/>
            <w:shd w:val="clear" w:color="auto" w:fill="92CDDC" w:themeFill="accent5" w:themeFillTint="99"/>
          </w:tcPr>
          <w:p w14:paraId="763F6B25" w14:textId="77777777" w:rsidR="0023651B" w:rsidRPr="00885EC5" w:rsidRDefault="0023651B" w:rsidP="00FE3279">
            <w:pPr>
              <w:pStyle w:val="Tablehead"/>
              <w:rPr>
                <w:sz w:val="20"/>
                <w:szCs w:val="20"/>
              </w:rPr>
            </w:pPr>
            <w:r w:rsidRPr="00885EC5">
              <w:rPr>
                <w:sz w:val="20"/>
                <w:szCs w:val="20"/>
              </w:rPr>
              <w:t>CHF</w:t>
            </w:r>
          </w:p>
        </w:tc>
      </w:tr>
      <w:tr w:rsidR="0023651B" w:rsidRPr="00885EC5" w14:paraId="6CFD7499" w14:textId="77777777" w:rsidTr="00FE3279">
        <w:tc>
          <w:tcPr>
            <w:tcW w:w="5530" w:type="dxa"/>
          </w:tcPr>
          <w:p w14:paraId="2D90AD3F" w14:textId="128C90C1"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121 (CMR-23)</w:t>
            </w:r>
            <w:r w:rsidRPr="00885EC5">
              <w:rPr>
                <w:sz w:val="20"/>
                <w:szCs w:val="20"/>
              </w:rPr>
              <w:t>: Stations ESIM relevant de l</w:t>
            </w:r>
            <w:r w:rsidR="00885EC5">
              <w:rPr>
                <w:sz w:val="20"/>
                <w:szCs w:val="20"/>
              </w:rPr>
              <w:t>'</w:t>
            </w:r>
            <w:r w:rsidRPr="00885EC5">
              <w:rPr>
                <w:sz w:val="20"/>
                <w:szCs w:val="20"/>
              </w:rPr>
              <w:t>Appendice</w:t>
            </w:r>
            <w:r w:rsidR="00A45CCE" w:rsidRPr="00885EC5">
              <w:rPr>
                <w:sz w:val="20"/>
                <w:szCs w:val="20"/>
              </w:rPr>
              <w:t> </w:t>
            </w:r>
            <w:r w:rsidRPr="00885EC5">
              <w:rPr>
                <w:b/>
                <w:bCs/>
                <w:sz w:val="20"/>
                <w:szCs w:val="20"/>
              </w:rPr>
              <w:t>30B</w:t>
            </w:r>
          </w:p>
        </w:tc>
        <w:tc>
          <w:tcPr>
            <w:tcW w:w="1390" w:type="dxa"/>
          </w:tcPr>
          <w:p w14:paraId="22530C0D" w14:textId="77777777" w:rsidR="0023651B" w:rsidRPr="00885EC5" w:rsidRDefault="0023651B" w:rsidP="00FE3279">
            <w:pPr>
              <w:pStyle w:val="Tabletext"/>
              <w:jc w:val="right"/>
              <w:rPr>
                <w:sz w:val="20"/>
                <w:szCs w:val="20"/>
              </w:rPr>
            </w:pPr>
            <w:r w:rsidRPr="00885EC5">
              <w:rPr>
                <w:sz w:val="20"/>
                <w:szCs w:val="20"/>
              </w:rPr>
              <w:t>0,25</w:t>
            </w:r>
          </w:p>
        </w:tc>
        <w:tc>
          <w:tcPr>
            <w:tcW w:w="1512" w:type="dxa"/>
          </w:tcPr>
          <w:p w14:paraId="6702111B" w14:textId="77777777" w:rsidR="0023651B" w:rsidRPr="00885EC5" w:rsidRDefault="0023651B" w:rsidP="00FE3279">
            <w:pPr>
              <w:pStyle w:val="Tabletext"/>
              <w:jc w:val="right"/>
              <w:rPr>
                <w:sz w:val="20"/>
                <w:szCs w:val="20"/>
              </w:rPr>
            </w:pPr>
            <w:r w:rsidRPr="00885EC5">
              <w:rPr>
                <w:sz w:val="20"/>
                <w:szCs w:val="20"/>
              </w:rPr>
              <w:t>43 821,00</w:t>
            </w:r>
          </w:p>
        </w:tc>
        <w:tc>
          <w:tcPr>
            <w:tcW w:w="1389" w:type="dxa"/>
          </w:tcPr>
          <w:p w14:paraId="55573676" w14:textId="77777777" w:rsidR="0023651B" w:rsidRPr="00885EC5" w:rsidRDefault="0023651B" w:rsidP="00FE3279">
            <w:pPr>
              <w:pStyle w:val="Tabletext"/>
              <w:jc w:val="right"/>
              <w:rPr>
                <w:sz w:val="20"/>
                <w:szCs w:val="20"/>
              </w:rPr>
            </w:pPr>
            <w:r w:rsidRPr="00885EC5">
              <w:rPr>
                <w:sz w:val="20"/>
                <w:szCs w:val="20"/>
              </w:rPr>
              <w:t>0,25</w:t>
            </w:r>
          </w:p>
        </w:tc>
        <w:tc>
          <w:tcPr>
            <w:tcW w:w="1389" w:type="dxa"/>
          </w:tcPr>
          <w:p w14:paraId="0DD13E2A" w14:textId="77777777" w:rsidR="0023651B" w:rsidRPr="00885EC5" w:rsidRDefault="0023651B" w:rsidP="00FE3279">
            <w:pPr>
              <w:pStyle w:val="Tabletext"/>
              <w:jc w:val="right"/>
              <w:rPr>
                <w:sz w:val="20"/>
                <w:szCs w:val="20"/>
              </w:rPr>
            </w:pPr>
            <w:r w:rsidRPr="00885EC5">
              <w:rPr>
                <w:sz w:val="20"/>
                <w:szCs w:val="20"/>
              </w:rPr>
              <w:t>43 821,00</w:t>
            </w:r>
          </w:p>
        </w:tc>
        <w:tc>
          <w:tcPr>
            <w:tcW w:w="1389" w:type="dxa"/>
          </w:tcPr>
          <w:p w14:paraId="2F4A76F3" w14:textId="77777777" w:rsidR="0023651B" w:rsidRPr="00885EC5" w:rsidRDefault="0023651B" w:rsidP="00FE3279">
            <w:pPr>
              <w:pStyle w:val="Tabletext"/>
              <w:jc w:val="right"/>
              <w:rPr>
                <w:sz w:val="20"/>
                <w:szCs w:val="20"/>
              </w:rPr>
            </w:pPr>
            <w:r w:rsidRPr="00885EC5">
              <w:rPr>
                <w:sz w:val="20"/>
                <w:szCs w:val="20"/>
              </w:rPr>
              <w:t>0,25</w:t>
            </w:r>
          </w:p>
        </w:tc>
        <w:tc>
          <w:tcPr>
            <w:tcW w:w="1389" w:type="dxa"/>
          </w:tcPr>
          <w:p w14:paraId="56C209C3" w14:textId="77777777" w:rsidR="0023651B" w:rsidRPr="00885EC5" w:rsidRDefault="0023651B" w:rsidP="00FE3279">
            <w:pPr>
              <w:pStyle w:val="Tabletext"/>
              <w:jc w:val="right"/>
              <w:rPr>
                <w:sz w:val="20"/>
                <w:szCs w:val="20"/>
              </w:rPr>
            </w:pPr>
            <w:r w:rsidRPr="00885EC5">
              <w:rPr>
                <w:sz w:val="20"/>
                <w:szCs w:val="20"/>
              </w:rPr>
              <w:t>43 821,00</w:t>
            </w:r>
          </w:p>
        </w:tc>
      </w:tr>
      <w:tr w:rsidR="0023651B" w:rsidRPr="00885EC5" w14:paraId="04EA36F8" w14:textId="77777777" w:rsidTr="00FE3279">
        <w:tc>
          <w:tcPr>
            <w:tcW w:w="5530" w:type="dxa"/>
          </w:tcPr>
          <w:p w14:paraId="526F0DF6" w14:textId="62B81238"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123 (CMR-23)</w:t>
            </w:r>
            <w:r w:rsidRPr="00885EC5">
              <w:rPr>
                <w:sz w:val="20"/>
                <w:szCs w:val="20"/>
              </w:rPr>
              <w:t>: Stations ESIM non OSG</w:t>
            </w:r>
          </w:p>
        </w:tc>
        <w:tc>
          <w:tcPr>
            <w:tcW w:w="1390" w:type="dxa"/>
          </w:tcPr>
          <w:p w14:paraId="0977844A" w14:textId="77777777" w:rsidR="0023651B" w:rsidRPr="00885EC5" w:rsidRDefault="0023651B" w:rsidP="00FE3279">
            <w:pPr>
              <w:pStyle w:val="Tabletext"/>
              <w:jc w:val="right"/>
              <w:rPr>
                <w:sz w:val="20"/>
                <w:szCs w:val="20"/>
              </w:rPr>
            </w:pPr>
            <w:r w:rsidRPr="00885EC5">
              <w:rPr>
                <w:sz w:val="20"/>
                <w:szCs w:val="20"/>
              </w:rPr>
              <w:t>0,2</w:t>
            </w:r>
          </w:p>
        </w:tc>
        <w:tc>
          <w:tcPr>
            <w:tcW w:w="1512" w:type="dxa"/>
          </w:tcPr>
          <w:p w14:paraId="491AD044" w14:textId="77777777" w:rsidR="0023651B" w:rsidRPr="00885EC5" w:rsidRDefault="0023651B" w:rsidP="00FE3279">
            <w:pPr>
              <w:pStyle w:val="Tabletext"/>
              <w:jc w:val="right"/>
              <w:rPr>
                <w:sz w:val="20"/>
                <w:szCs w:val="20"/>
              </w:rPr>
            </w:pPr>
            <w:r w:rsidRPr="00885EC5">
              <w:rPr>
                <w:sz w:val="20"/>
                <w:szCs w:val="20"/>
              </w:rPr>
              <w:t>35 056,80</w:t>
            </w:r>
          </w:p>
        </w:tc>
        <w:tc>
          <w:tcPr>
            <w:tcW w:w="1389" w:type="dxa"/>
          </w:tcPr>
          <w:p w14:paraId="24B4A230" w14:textId="77777777" w:rsidR="0023651B" w:rsidRPr="00885EC5" w:rsidRDefault="0023651B" w:rsidP="00FE3279">
            <w:pPr>
              <w:pStyle w:val="Tabletext"/>
              <w:jc w:val="right"/>
              <w:rPr>
                <w:sz w:val="20"/>
                <w:szCs w:val="20"/>
              </w:rPr>
            </w:pPr>
            <w:r w:rsidRPr="00885EC5">
              <w:rPr>
                <w:sz w:val="20"/>
                <w:szCs w:val="20"/>
              </w:rPr>
              <w:t>0,2</w:t>
            </w:r>
          </w:p>
        </w:tc>
        <w:tc>
          <w:tcPr>
            <w:tcW w:w="1389" w:type="dxa"/>
          </w:tcPr>
          <w:p w14:paraId="40BECAFA" w14:textId="77777777" w:rsidR="0023651B" w:rsidRPr="00885EC5" w:rsidRDefault="0023651B" w:rsidP="00FE3279">
            <w:pPr>
              <w:pStyle w:val="Tabletext"/>
              <w:jc w:val="right"/>
              <w:rPr>
                <w:sz w:val="20"/>
                <w:szCs w:val="20"/>
              </w:rPr>
            </w:pPr>
            <w:r w:rsidRPr="00885EC5">
              <w:rPr>
                <w:sz w:val="20"/>
                <w:szCs w:val="20"/>
              </w:rPr>
              <w:t>35 056,80</w:t>
            </w:r>
          </w:p>
        </w:tc>
        <w:tc>
          <w:tcPr>
            <w:tcW w:w="1389" w:type="dxa"/>
          </w:tcPr>
          <w:p w14:paraId="727DB3DB" w14:textId="77777777" w:rsidR="0023651B" w:rsidRPr="00885EC5" w:rsidRDefault="0023651B" w:rsidP="00FE3279">
            <w:pPr>
              <w:pStyle w:val="Tabletext"/>
              <w:jc w:val="right"/>
              <w:rPr>
                <w:sz w:val="20"/>
                <w:szCs w:val="20"/>
              </w:rPr>
            </w:pPr>
            <w:r w:rsidRPr="00885EC5">
              <w:rPr>
                <w:sz w:val="20"/>
                <w:szCs w:val="20"/>
              </w:rPr>
              <w:t>0,2</w:t>
            </w:r>
          </w:p>
        </w:tc>
        <w:tc>
          <w:tcPr>
            <w:tcW w:w="1389" w:type="dxa"/>
          </w:tcPr>
          <w:p w14:paraId="5B69CCFF" w14:textId="77777777" w:rsidR="0023651B" w:rsidRPr="00885EC5" w:rsidRDefault="0023651B" w:rsidP="00FE3279">
            <w:pPr>
              <w:pStyle w:val="Tabletext"/>
              <w:jc w:val="right"/>
              <w:rPr>
                <w:sz w:val="20"/>
                <w:szCs w:val="20"/>
              </w:rPr>
            </w:pPr>
            <w:r w:rsidRPr="00885EC5">
              <w:rPr>
                <w:sz w:val="20"/>
                <w:szCs w:val="20"/>
              </w:rPr>
              <w:t>35 056,80</w:t>
            </w:r>
          </w:p>
        </w:tc>
      </w:tr>
      <w:tr w:rsidR="0023651B" w:rsidRPr="00885EC5" w14:paraId="2A0F58D9" w14:textId="77777777" w:rsidTr="00FE3279">
        <w:tc>
          <w:tcPr>
            <w:tcW w:w="5530" w:type="dxa"/>
          </w:tcPr>
          <w:p w14:paraId="284B83E3" w14:textId="702E34F7"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679 (CMR-23)</w:t>
            </w:r>
            <w:r w:rsidRPr="00885EC5">
              <w:rPr>
                <w:sz w:val="20"/>
                <w:szCs w:val="20"/>
              </w:rPr>
              <w:t>: Liaisons inter-satellites (protection des services spatiaux et de Terre)</w:t>
            </w:r>
          </w:p>
        </w:tc>
        <w:tc>
          <w:tcPr>
            <w:tcW w:w="1390" w:type="dxa"/>
          </w:tcPr>
          <w:p w14:paraId="740F735A" w14:textId="77777777" w:rsidR="0023651B" w:rsidRPr="00885EC5" w:rsidRDefault="0023651B" w:rsidP="00FE3279">
            <w:pPr>
              <w:pStyle w:val="Tabletext"/>
              <w:jc w:val="right"/>
              <w:rPr>
                <w:sz w:val="20"/>
                <w:szCs w:val="20"/>
              </w:rPr>
            </w:pPr>
            <w:r w:rsidRPr="00885EC5">
              <w:rPr>
                <w:sz w:val="20"/>
                <w:szCs w:val="20"/>
              </w:rPr>
              <w:t>0,2</w:t>
            </w:r>
          </w:p>
        </w:tc>
        <w:tc>
          <w:tcPr>
            <w:tcW w:w="1512" w:type="dxa"/>
          </w:tcPr>
          <w:p w14:paraId="0FC94660" w14:textId="77777777" w:rsidR="0023651B" w:rsidRPr="00885EC5" w:rsidRDefault="0023651B" w:rsidP="00FE3279">
            <w:pPr>
              <w:pStyle w:val="Tabletext"/>
              <w:jc w:val="right"/>
              <w:rPr>
                <w:sz w:val="20"/>
                <w:szCs w:val="20"/>
              </w:rPr>
            </w:pPr>
            <w:r w:rsidRPr="00885EC5">
              <w:rPr>
                <w:sz w:val="20"/>
                <w:szCs w:val="20"/>
              </w:rPr>
              <w:t>35 056,80</w:t>
            </w:r>
          </w:p>
        </w:tc>
        <w:tc>
          <w:tcPr>
            <w:tcW w:w="1389" w:type="dxa"/>
          </w:tcPr>
          <w:p w14:paraId="379D7BF6" w14:textId="77777777" w:rsidR="0023651B" w:rsidRPr="00885EC5" w:rsidRDefault="0023651B" w:rsidP="00FE3279">
            <w:pPr>
              <w:pStyle w:val="Tabletext"/>
              <w:jc w:val="right"/>
              <w:rPr>
                <w:sz w:val="20"/>
                <w:szCs w:val="20"/>
              </w:rPr>
            </w:pPr>
            <w:r w:rsidRPr="00885EC5">
              <w:rPr>
                <w:sz w:val="20"/>
                <w:szCs w:val="20"/>
              </w:rPr>
              <w:t>0,2</w:t>
            </w:r>
          </w:p>
        </w:tc>
        <w:tc>
          <w:tcPr>
            <w:tcW w:w="1389" w:type="dxa"/>
          </w:tcPr>
          <w:p w14:paraId="2FA950DA" w14:textId="77777777" w:rsidR="0023651B" w:rsidRPr="00885EC5" w:rsidRDefault="0023651B" w:rsidP="00FE3279">
            <w:pPr>
              <w:pStyle w:val="Tabletext"/>
              <w:jc w:val="right"/>
              <w:rPr>
                <w:sz w:val="20"/>
                <w:szCs w:val="20"/>
              </w:rPr>
            </w:pPr>
            <w:r w:rsidRPr="00885EC5">
              <w:rPr>
                <w:sz w:val="20"/>
                <w:szCs w:val="20"/>
              </w:rPr>
              <w:t>35 056,80</w:t>
            </w:r>
          </w:p>
        </w:tc>
        <w:tc>
          <w:tcPr>
            <w:tcW w:w="1389" w:type="dxa"/>
          </w:tcPr>
          <w:p w14:paraId="0D8F95C9" w14:textId="77777777" w:rsidR="0023651B" w:rsidRPr="00885EC5" w:rsidRDefault="0023651B" w:rsidP="00FE3279">
            <w:pPr>
              <w:pStyle w:val="Tabletext"/>
              <w:jc w:val="right"/>
              <w:rPr>
                <w:sz w:val="20"/>
                <w:szCs w:val="20"/>
              </w:rPr>
            </w:pPr>
            <w:r w:rsidRPr="00885EC5">
              <w:rPr>
                <w:sz w:val="20"/>
                <w:szCs w:val="20"/>
              </w:rPr>
              <w:t>0,2</w:t>
            </w:r>
          </w:p>
        </w:tc>
        <w:tc>
          <w:tcPr>
            <w:tcW w:w="1389" w:type="dxa"/>
          </w:tcPr>
          <w:p w14:paraId="58720AA6" w14:textId="77777777" w:rsidR="0023651B" w:rsidRPr="00885EC5" w:rsidRDefault="0023651B" w:rsidP="00FE3279">
            <w:pPr>
              <w:pStyle w:val="Tabletext"/>
              <w:jc w:val="right"/>
              <w:rPr>
                <w:sz w:val="20"/>
                <w:szCs w:val="20"/>
              </w:rPr>
            </w:pPr>
            <w:r w:rsidRPr="00885EC5">
              <w:rPr>
                <w:sz w:val="20"/>
                <w:szCs w:val="20"/>
              </w:rPr>
              <w:t>35 056,80</w:t>
            </w:r>
          </w:p>
        </w:tc>
      </w:tr>
      <w:tr w:rsidR="0023651B" w:rsidRPr="00885EC5" w14:paraId="2B587097" w14:textId="77777777" w:rsidTr="00FE3279">
        <w:tc>
          <w:tcPr>
            <w:tcW w:w="5530" w:type="dxa"/>
          </w:tcPr>
          <w:p w14:paraId="29D04ECE" w14:textId="64CC1554"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8 (CMR-23)</w:t>
            </w:r>
            <w:r w:rsidRPr="00885EC5">
              <w:rPr>
                <w:sz w:val="20"/>
                <w:szCs w:val="20"/>
              </w:rPr>
              <w:t>: Tolérances pour certaines caractéristiques orbitales des stations spatiales non OSG</w:t>
            </w:r>
          </w:p>
        </w:tc>
        <w:tc>
          <w:tcPr>
            <w:tcW w:w="1390" w:type="dxa"/>
          </w:tcPr>
          <w:p w14:paraId="376C03BC" w14:textId="77777777" w:rsidR="0023651B" w:rsidRPr="00885EC5" w:rsidRDefault="0023651B" w:rsidP="00FE3279">
            <w:pPr>
              <w:pStyle w:val="Tabletext"/>
              <w:jc w:val="right"/>
              <w:rPr>
                <w:sz w:val="20"/>
                <w:szCs w:val="20"/>
              </w:rPr>
            </w:pPr>
            <w:r w:rsidRPr="00885EC5">
              <w:rPr>
                <w:sz w:val="20"/>
                <w:szCs w:val="20"/>
              </w:rPr>
              <w:t>0,15</w:t>
            </w:r>
          </w:p>
        </w:tc>
        <w:tc>
          <w:tcPr>
            <w:tcW w:w="1512" w:type="dxa"/>
          </w:tcPr>
          <w:p w14:paraId="45D82767" w14:textId="77777777" w:rsidR="0023651B" w:rsidRPr="00885EC5" w:rsidRDefault="0023651B" w:rsidP="00FE3279">
            <w:pPr>
              <w:pStyle w:val="Tabletext"/>
              <w:jc w:val="right"/>
              <w:rPr>
                <w:sz w:val="20"/>
                <w:szCs w:val="20"/>
              </w:rPr>
            </w:pPr>
            <w:r w:rsidRPr="00885EC5">
              <w:rPr>
                <w:sz w:val="20"/>
                <w:szCs w:val="20"/>
              </w:rPr>
              <w:t>26 292,60</w:t>
            </w:r>
          </w:p>
        </w:tc>
        <w:tc>
          <w:tcPr>
            <w:tcW w:w="1389" w:type="dxa"/>
          </w:tcPr>
          <w:p w14:paraId="106C67AC" w14:textId="77777777" w:rsidR="0023651B" w:rsidRPr="00885EC5" w:rsidRDefault="0023651B" w:rsidP="00FE3279">
            <w:pPr>
              <w:pStyle w:val="Tabletext"/>
              <w:jc w:val="right"/>
              <w:rPr>
                <w:sz w:val="20"/>
                <w:szCs w:val="20"/>
              </w:rPr>
            </w:pPr>
            <w:r w:rsidRPr="00885EC5">
              <w:rPr>
                <w:sz w:val="20"/>
                <w:szCs w:val="20"/>
              </w:rPr>
              <w:t>0,15</w:t>
            </w:r>
          </w:p>
        </w:tc>
        <w:tc>
          <w:tcPr>
            <w:tcW w:w="1389" w:type="dxa"/>
          </w:tcPr>
          <w:p w14:paraId="29D1EF60" w14:textId="77777777" w:rsidR="0023651B" w:rsidRPr="00885EC5" w:rsidRDefault="0023651B" w:rsidP="00FE3279">
            <w:pPr>
              <w:pStyle w:val="Tabletext"/>
              <w:jc w:val="right"/>
              <w:rPr>
                <w:sz w:val="20"/>
                <w:szCs w:val="20"/>
              </w:rPr>
            </w:pPr>
            <w:r w:rsidRPr="00885EC5">
              <w:rPr>
                <w:sz w:val="20"/>
                <w:szCs w:val="20"/>
              </w:rPr>
              <w:t>26 292,60</w:t>
            </w:r>
          </w:p>
        </w:tc>
        <w:tc>
          <w:tcPr>
            <w:tcW w:w="1389" w:type="dxa"/>
          </w:tcPr>
          <w:p w14:paraId="75D9110F" w14:textId="77777777" w:rsidR="0023651B" w:rsidRPr="00885EC5" w:rsidRDefault="0023651B" w:rsidP="00FE3279">
            <w:pPr>
              <w:pStyle w:val="Tabletext"/>
              <w:jc w:val="right"/>
              <w:rPr>
                <w:sz w:val="20"/>
                <w:szCs w:val="20"/>
              </w:rPr>
            </w:pPr>
            <w:r w:rsidRPr="00885EC5">
              <w:rPr>
                <w:sz w:val="20"/>
                <w:szCs w:val="20"/>
              </w:rPr>
              <w:t>0,15</w:t>
            </w:r>
          </w:p>
        </w:tc>
        <w:tc>
          <w:tcPr>
            <w:tcW w:w="1389" w:type="dxa"/>
          </w:tcPr>
          <w:p w14:paraId="23706ED4" w14:textId="77777777" w:rsidR="0023651B" w:rsidRPr="00885EC5" w:rsidRDefault="0023651B" w:rsidP="00FE3279">
            <w:pPr>
              <w:pStyle w:val="Tabletext"/>
              <w:jc w:val="right"/>
              <w:rPr>
                <w:sz w:val="20"/>
                <w:szCs w:val="20"/>
              </w:rPr>
            </w:pPr>
            <w:r w:rsidRPr="00885EC5">
              <w:rPr>
                <w:sz w:val="20"/>
                <w:szCs w:val="20"/>
              </w:rPr>
              <w:t>26 292,60</w:t>
            </w:r>
          </w:p>
        </w:tc>
      </w:tr>
      <w:tr w:rsidR="0023651B" w:rsidRPr="00885EC5" w14:paraId="6C3FF6E9" w14:textId="77777777" w:rsidTr="00FE3279">
        <w:tc>
          <w:tcPr>
            <w:tcW w:w="5530" w:type="dxa"/>
          </w:tcPr>
          <w:p w14:paraId="7AE425D2" w14:textId="578E5319"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676</w:t>
            </w:r>
            <w:r w:rsidRPr="00885EC5">
              <w:rPr>
                <w:sz w:val="20"/>
                <w:szCs w:val="20"/>
              </w:rPr>
              <w:t xml:space="preserve"> et point 9.2 de l</w:t>
            </w:r>
            <w:r w:rsidR="00885EC5">
              <w:rPr>
                <w:sz w:val="20"/>
                <w:szCs w:val="20"/>
              </w:rPr>
              <w:t>'</w:t>
            </w:r>
            <w:r w:rsidRPr="00885EC5">
              <w:rPr>
                <w:sz w:val="20"/>
                <w:szCs w:val="20"/>
              </w:rPr>
              <w:t xml:space="preserve">ordre du jour (CMR-23): Modification du numéro </w:t>
            </w:r>
            <w:r w:rsidRPr="00885EC5">
              <w:rPr>
                <w:b/>
                <w:bCs/>
                <w:sz w:val="20"/>
                <w:szCs w:val="20"/>
              </w:rPr>
              <w:t>9.52.1</w:t>
            </w:r>
            <w:r w:rsidRPr="00885EC5">
              <w:rPr>
                <w:sz w:val="20"/>
                <w:szCs w:val="20"/>
              </w:rPr>
              <w:t xml:space="preserve"> (brouillages inacceptables) et de l</w:t>
            </w:r>
            <w:r w:rsidR="00885EC5">
              <w:rPr>
                <w:sz w:val="20"/>
                <w:szCs w:val="20"/>
              </w:rPr>
              <w:t>'</w:t>
            </w:r>
            <w:r w:rsidRPr="00885EC5">
              <w:rPr>
                <w:sz w:val="20"/>
                <w:szCs w:val="20"/>
              </w:rPr>
              <w:t>Article</w:t>
            </w:r>
            <w:r w:rsidR="005C5157" w:rsidRPr="00885EC5">
              <w:rPr>
                <w:sz w:val="20"/>
                <w:szCs w:val="20"/>
              </w:rPr>
              <w:t> </w:t>
            </w:r>
            <w:r w:rsidRPr="00885EC5">
              <w:rPr>
                <w:b/>
                <w:bCs/>
                <w:sz w:val="20"/>
                <w:szCs w:val="20"/>
              </w:rPr>
              <w:t>21</w:t>
            </w:r>
            <w:r w:rsidRPr="00885EC5">
              <w:rPr>
                <w:sz w:val="20"/>
                <w:szCs w:val="20"/>
              </w:rPr>
              <w:t xml:space="preserve"> du RR, et amélioration du traitement par le BR</w:t>
            </w:r>
          </w:p>
        </w:tc>
        <w:tc>
          <w:tcPr>
            <w:tcW w:w="1390" w:type="dxa"/>
          </w:tcPr>
          <w:p w14:paraId="1D8BE8BF" w14:textId="77777777" w:rsidR="0023651B" w:rsidRPr="00885EC5" w:rsidRDefault="0023651B" w:rsidP="00FE3279">
            <w:pPr>
              <w:pStyle w:val="Tabletext"/>
              <w:jc w:val="right"/>
              <w:rPr>
                <w:sz w:val="20"/>
                <w:szCs w:val="20"/>
              </w:rPr>
            </w:pPr>
            <w:r w:rsidRPr="00885EC5">
              <w:rPr>
                <w:sz w:val="20"/>
                <w:szCs w:val="20"/>
              </w:rPr>
              <w:t>0,05</w:t>
            </w:r>
          </w:p>
        </w:tc>
        <w:tc>
          <w:tcPr>
            <w:tcW w:w="1512" w:type="dxa"/>
          </w:tcPr>
          <w:p w14:paraId="1B6C99D1" w14:textId="77777777" w:rsidR="0023651B" w:rsidRPr="00885EC5" w:rsidRDefault="0023651B" w:rsidP="00FE3279">
            <w:pPr>
              <w:pStyle w:val="Tabletext"/>
              <w:jc w:val="right"/>
              <w:rPr>
                <w:sz w:val="20"/>
                <w:szCs w:val="20"/>
              </w:rPr>
            </w:pPr>
            <w:r w:rsidRPr="00885EC5">
              <w:rPr>
                <w:sz w:val="20"/>
                <w:szCs w:val="20"/>
              </w:rPr>
              <w:t>8 764,20</w:t>
            </w:r>
          </w:p>
        </w:tc>
        <w:tc>
          <w:tcPr>
            <w:tcW w:w="1389" w:type="dxa"/>
          </w:tcPr>
          <w:p w14:paraId="3055A3C5" w14:textId="77777777" w:rsidR="0023651B" w:rsidRPr="00885EC5" w:rsidRDefault="0023651B" w:rsidP="00FE3279">
            <w:pPr>
              <w:pStyle w:val="Tabletext"/>
              <w:jc w:val="right"/>
              <w:rPr>
                <w:sz w:val="20"/>
                <w:szCs w:val="20"/>
              </w:rPr>
            </w:pPr>
            <w:r w:rsidRPr="00885EC5">
              <w:rPr>
                <w:sz w:val="20"/>
                <w:szCs w:val="20"/>
              </w:rPr>
              <w:t>0,05</w:t>
            </w:r>
          </w:p>
        </w:tc>
        <w:tc>
          <w:tcPr>
            <w:tcW w:w="1389" w:type="dxa"/>
          </w:tcPr>
          <w:p w14:paraId="607882EC" w14:textId="77777777" w:rsidR="0023651B" w:rsidRPr="00885EC5" w:rsidRDefault="0023651B" w:rsidP="00FE3279">
            <w:pPr>
              <w:pStyle w:val="Tabletext"/>
              <w:jc w:val="right"/>
              <w:rPr>
                <w:sz w:val="20"/>
                <w:szCs w:val="20"/>
              </w:rPr>
            </w:pPr>
            <w:r w:rsidRPr="00885EC5">
              <w:rPr>
                <w:sz w:val="20"/>
                <w:szCs w:val="20"/>
              </w:rPr>
              <w:t>8 764,20</w:t>
            </w:r>
          </w:p>
        </w:tc>
        <w:tc>
          <w:tcPr>
            <w:tcW w:w="1389" w:type="dxa"/>
          </w:tcPr>
          <w:p w14:paraId="0A438715" w14:textId="77777777" w:rsidR="0023651B" w:rsidRPr="00885EC5" w:rsidRDefault="0023651B" w:rsidP="00FE3279">
            <w:pPr>
              <w:pStyle w:val="Tabletext"/>
              <w:jc w:val="right"/>
              <w:rPr>
                <w:sz w:val="20"/>
                <w:szCs w:val="20"/>
              </w:rPr>
            </w:pPr>
            <w:r w:rsidRPr="00885EC5">
              <w:rPr>
                <w:sz w:val="20"/>
                <w:szCs w:val="20"/>
              </w:rPr>
              <w:t>0,05</w:t>
            </w:r>
          </w:p>
        </w:tc>
        <w:tc>
          <w:tcPr>
            <w:tcW w:w="1389" w:type="dxa"/>
          </w:tcPr>
          <w:p w14:paraId="5BA1E0F5" w14:textId="77777777" w:rsidR="0023651B" w:rsidRPr="00885EC5" w:rsidRDefault="0023651B" w:rsidP="00FE3279">
            <w:pPr>
              <w:pStyle w:val="Tabletext"/>
              <w:jc w:val="right"/>
              <w:rPr>
                <w:sz w:val="20"/>
                <w:szCs w:val="20"/>
              </w:rPr>
            </w:pPr>
            <w:r w:rsidRPr="00885EC5">
              <w:rPr>
                <w:sz w:val="20"/>
                <w:szCs w:val="20"/>
              </w:rPr>
              <w:t>8 764,20</w:t>
            </w:r>
          </w:p>
        </w:tc>
      </w:tr>
      <w:tr w:rsidR="0023651B" w:rsidRPr="00885EC5" w14:paraId="516F3507" w14:textId="77777777" w:rsidTr="00FE3279">
        <w:tc>
          <w:tcPr>
            <w:tcW w:w="5530" w:type="dxa"/>
          </w:tcPr>
          <w:p w14:paraId="6CF035AA" w14:textId="326B5A40"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677 (CMR-23)</w:t>
            </w:r>
            <w:r w:rsidRPr="00885EC5">
              <w:rPr>
                <w:sz w:val="20"/>
                <w:szCs w:val="20"/>
              </w:rPr>
              <w:t>: Sondeurs radar spatioportés du SETS (active)</w:t>
            </w:r>
          </w:p>
        </w:tc>
        <w:tc>
          <w:tcPr>
            <w:tcW w:w="1390" w:type="dxa"/>
          </w:tcPr>
          <w:p w14:paraId="56479FAF" w14:textId="77777777" w:rsidR="0023651B" w:rsidRPr="00885EC5" w:rsidRDefault="0023651B" w:rsidP="00FE3279">
            <w:pPr>
              <w:pStyle w:val="Tabletext"/>
              <w:jc w:val="right"/>
              <w:rPr>
                <w:sz w:val="20"/>
                <w:szCs w:val="20"/>
              </w:rPr>
            </w:pPr>
            <w:r w:rsidRPr="00885EC5">
              <w:rPr>
                <w:sz w:val="20"/>
                <w:szCs w:val="20"/>
              </w:rPr>
              <w:t>0,1</w:t>
            </w:r>
          </w:p>
        </w:tc>
        <w:tc>
          <w:tcPr>
            <w:tcW w:w="1512" w:type="dxa"/>
          </w:tcPr>
          <w:p w14:paraId="14C5F031"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089C45B2"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6E2A727C"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6D77016B"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097E682D" w14:textId="77777777" w:rsidR="0023651B" w:rsidRPr="00885EC5" w:rsidRDefault="0023651B" w:rsidP="00FE3279">
            <w:pPr>
              <w:pStyle w:val="Tabletext"/>
              <w:jc w:val="right"/>
              <w:rPr>
                <w:sz w:val="20"/>
                <w:szCs w:val="20"/>
              </w:rPr>
            </w:pPr>
            <w:r w:rsidRPr="00885EC5">
              <w:rPr>
                <w:sz w:val="20"/>
                <w:szCs w:val="20"/>
              </w:rPr>
              <w:t>17 528,40</w:t>
            </w:r>
          </w:p>
        </w:tc>
      </w:tr>
      <w:tr w:rsidR="0023651B" w:rsidRPr="00885EC5" w14:paraId="0DE9B711" w14:textId="77777777" w:rsidTr="00FE3279">
        <w:tc>
          <w:tcPr>
            <w:tcW w:w="5530" w:type="dxa"/>
          </w:tcPr>
          <w:p w14:paraId="32522D9A" w14:textId="2831D6DD" w:rsidR="0023651B" w:rsidRPr="00885EC5" w:rsidRDefault="0023651B" w:rsidP="00FE3279">
            <w:pPr>
              <w:pStyle w:val="Tabletext"/>
              <w:rPr>
                <w:sz w:val="20"/>
                <w:szCs w:val="20"/>
              </w:rPr>
            </w:pPr>
            <w:r w:rsidRPr="00885EC5">
              <w:rPr>
                <w:sz w:val="20"/>
                <w:szCs w:val="20"/>
              </w:rPr>
              <w:t>Point 1.19 de l</w:t>
            </w:r>
            <w:r w:rsidR="00885EC5">
              <w:rPr>
                <w:sz w:val="20"/>
                <w:szCs w:val="20"/>
              </w:rPr>
              <w:t>'</w:t>
            </w:r>
            <w:r w:rsidRPr="00885EC5">
              <w:rPr>
                <w:sz w:val="20"/>
                <w:szCs w:val="20"/>
              </w:rPr>
              <w:t>ordre du jour (CMR-23): SFS (espace vers Terre) dans la bande de fréquences 17,3-17,7 GHz en Région 2</w:t>
            </w:r>
          </w:p>
        </w:tc>
        <w:tc>
          <w:tcPr>
            <w:tcW w:w="1390" w:type="dxa"/>
          </w:tcPr>
          <w:p w14:paraId="15AC418B" w14:textId="77777777" w:rsidR="0023651B" w:rsidRPr="00885EC5" w:rsidRDefault="0023651B" w:rsidP="00FE3279">
            <w:pPr>
              <w:pStyle w:val="Tabletext"/>
              <w:jc w:val="right"/>
              <w:rPr>
                <w:sz w:val="20"/>
                <w:szCs w:val="20"/>
              </w:rPr>
            </w:pPr>
            <w:r w:rsidRPr="00885EC5">
              <w:rPr>
                <w:sz w:val="20"/>
                <w:szCs w:val="20"/>
              </w:rPr>
              <w:t>0,1</w:t>
            </w:r>
          </w:p>
        </w:tc>
        <w:tc>
          <w:tcPr>
            <w:tcW w:w="1512" w:type="dxa"/>
          </w:tcPr>
          <w:p w14:paraId="0C5B27BF"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20109159"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36A4B755"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681A13F7"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4B7CCDA3" w14:textId="77777777" w:rsidR="0023651B" w:rsidRPr="00885EC5" w:rsidRDefault="0023651B" w:rsidP="00FE3279">
            <w:pPr>
              <w:pStyle w:val="Tabletext"/>
              <w:jc w:val="right"/>
              <w:rPr>
                <w:sz w:val="20"/>
                <w:szCs w:val="20"/>
              </w:rPr>
            </w:pPr>
            <w:r w:rsidRPr="00885EC5">
              <w:rPr>
                <w:sz w:val="20"/>
                <w:szCs w:val="20"/>
              </w:rPr>
              <w:t>17 528,40</w:t>
            </w:r>
          </w:p>
        </w:tc>
      </w:tr>
      <w:tr w:rsidR="0023651B" w:rsidRPr="00885EC5" w14:paraId="736AA57D" w14:textId="77777777" w:rsidTr="00FE3279">
        <w:tc>
          <w:tcPr>
            <w:tcW w:w="5530" w:type="dxa"/>
          </w:tcPr>
          <w:p w14:paraId="5A20BA47" w14:textId="7D8C593C" w:rsidR="0023651B" w:rsidRPr="00885EC5" w:rsidRDefault="0023651B" w:rsidP="00FE3279">
            <w:pPr>
              <w:pStyle w:val="Tabletext"/>
              <w:rPr>
                <w:sz w:val="20"/>
                <w:szCs w:val="20"/>
              </w:rPr>
            </w:pPr>
            <w:r w:rsidRPr="00885EC5">
              <w:rPr>
                <w:sz w:val="20"/>
                <w:szCs w:val="20"/>
              </w:rPr>
              <w:t xml:space="preserve">Résolution </w:t>
            </w:r>
            <w:r w:rsidRPr="00885EC5">
              <w:rPr>
                <w:b/>
                <w:bCs/>
                <w:sz w:val="20"/>
                <w:szCs w:val="20"/>
              </w:rPr>
              <w:t>35 (Rév.CMR-23)</w:t>
            </w:r>
            <w:r w:rsidRPr="00885EC5">
              <w:rPr>
                <w:sz w:val="20"/>
                <w:szCs w:val="20"/>
              </w:rPr>
              <w:t>: Procédure à suivre après les étapes pour la mise en service des systèmes non OSG</w:t>
            </w:r>
          </w:p>
        </w:tc>
        <w:tc>
          <w:tcPr>
            <w:tcW w:w="1390" w:type="dxa"/>
          </w:tcPr>
          <w:p w14:paraId="34970AFD" w14:textId="77777777" w:rsidR="0023651B" w:rsidRPr="00885EC5" w:rsidRDefault="0023651B" w:rsidP="00FE3279">
            <w:pPr>
              <w:pStyle w:val="Tabletext"/>
              <w:jc w:val="right"/>
              <w:rPr>
                <w:sz w:val="20"/>
                <w:szCs w:val="20"/>
              </w:rPr>
            </w:pPr>
            <w:r w:rsidRPr="00885EC5">
              <w:rPr>
                <w:sz w:val="20"/>
                <w:szCs w:val="20"/>
              </w:rPr>
              <w:t>0,1</w:t>
            </w:r>
          </w:p>
        </w:tc>
        <w:tc>
          <w:tcPr>
            <w:tcW w:w="1512" w:type="dxa"/>
          </w:tcPr>
          <w:p w14:paraId="218D538B"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45CAC7D9"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0F61AD32" w14:textId="77777777" w:rsidR="0023651B" w:rsidRPr="00885EC5" w:rsidRDefault="0023651B" w:rsidP="00FE3279">
            <w:pPr>
              <w:pStyle w:val="Tabletext"/>
              <w:jc w:val="right"/>
              <w:rPr>
                <w:sz w:val="20"/>
                <w:szCs w:val="20"/>
              </w:rPr>
            </w:pPr>
            <w:r w:rsidRPr="00885EC5">
              <w:rPr>
                <w:sz w:val="20"/>
                <w:szCs w:val="20"/>
              </w:rPr>
              <w:t>17 528,40</w:t>
            </w:r>
          </w:p>
        </w:tc>
        <w:tc>
          <w:tcPr>
            <w:tcW w:w="1389" w:type="dxa"/>
          </w:tcPr>
          <w:p w14:paraId="313E1714" w14:textId="77777777" w:rsidR="0023651B" w:rsidRPr="00885EC5" w:rsidRDefault="0023651B" w:rsidP="00FE3279">
            <w:pPr>
              <w:pStyle w:val="Tabletext"/>
              <w:jc w:val="right"/>
              <w:rPr>
                <w:sz w:val="20"/>
                <w:szCs w:val="20"/>
              </w:rPr>
            </w:pPr>
            <w:r w:rsidRPr="00885EC5">
              <w:rPr>
                <w:sz w:val="20"/>
                <w:szCs w:val="20"/>
              </w:rPr>
              <w:t>0,1</w:t>
            </w:r>
          </w:p>
        </w:tc>
        <w:tc>
          <w:tcPr>
            <w:tcW w:w="1389" w:type="dxa"/>
          </w:tcPr>
          <w:p w14:paraId="360831C8" w14:textId="77777777" w:rsidR="0023651B" w:rsidRPr="00885EC5" w:rsidRDefault="0023651B" w:rsidP="00FE3279">
            <w:pPr>
              <w:pStyle w:val="Tabletext"/>
              <w:jc w:val="right"/>
              <w:rPr>
                <w:sz w:val="20"/>
                <w:szCs w:val="20"/>
              </w:rPr>
            </w:pPr>
            <w:r w:rsidRPr="00885EC5">
              <w:rPr>
                <w:sz w:val="20"/>
                <w:szCs w:val="20"/>
              </w:rPr>
              <w:t>17 528,40</w:t>
            </w:r>
          </w:p>
        </w:tc>
      </w:tr>
      <w:tr w:rsidR="0023651B" w:rsidRPr="00885EC5" w14:paraId="62048B6E" w14:textId="77777777" w:rsidTr="00FE3279">
        <w:tc>
          <w:tcPr>
            <w:tcW w:w="5530" w:type="dxa"/>
            <w:shd w:val="clear" w:color="auto" w:fill="92CDDC" w:themeFill="accent5" w:themeFillTint="99"/>
          </w:tcPr>
          <w:p w14:paraId="5D5B9276" w14:textId="094DAA0C" w:rsidR="0023651B" w:rsidRPr="00885EC5" w:rsidRDefault="0023651B" w:rsidP="00FE3279">
            <w:pPr>
              <w:pStyle w:val="Tabletext"/>
              <w:rPr>
                <w:sz w:val="20"/>
                <w:szCs w:val="20"/>
              </w:rPr>
            </w:pPr>
            <w:r w:rsidRPr="00885EC5">
              <w:rPr>
                <w:b/>
                <w:sz w:val="20"/>
                <w:szCs w:val="20"/>
              </w:rPr>
              <w:t>Total</w:t>
            </w:r>
          </w:p>
        </w:tc>
        <w:tc>
          <w:tcPr>
            <w:tcW w:w="1390" w:type="dxa"/>
            <w:shd w:val="clear" w:color="auto" w:fill="92CDDC" w:themeFill="accent5" w:themeFillTint="99"/>
          </w:tcPr>
          <w:p w14:paraId="1D0EA1FE" w14:textId="77777777" w:rsidR="0023651B" w:rsidRPr="00885EC5" w:rsidRDefault="0023651B" w:rsidP="00FE3279">
            <w:pPr>
              <w:pStyle w:val="Tabletext"/>
              <w:jc w:val="right"/>
              <w:rPr>
                <w:sz w:val="20"/>
                <w:szCs w:val="20"/>
              </w:rPr>
            </w:pPr>
            <w:r w:rsidRPr="00885EC5">
              <w:rPr>
                <w:b/>
                <w:sz w:val="20"/>
                <w:szCs w:val="20"/>
              </w:rPr>
              <w:t>1,15</w:t>
            </w:r>
          </w:p>
        </w:tc>
        <w:tc>
          <w:tcPr>
            <w:tcW w:w="1512" w:type="dxa"/>
            <w:shd w:val="clear" w:color="auto" w:fill="92CDDC" w:themeFill="accent5" w:themeFillTint="99"/>
          </w:tcPr>
          <w:p w14:paraId="5569610B" w14:textId="77777777" w:rsidR="0023651B" w:rsidRPr="00885EC5" w:rsidRDefault="0023651B" w:rsidP="00FE3279">
            <w:pPr>
              <w:pStyle w:val="Tabletext"/>
              <w:jc w:val="right"/>
              <w:rPr>
                <w:sz w:val="20"/>
                <w:szCs w:val="20"/>
              </w:rPr>
            </w:pPr>
            <w:r w:rsidRPr="00885EC5">
              <w:rPr>
                <w:b/>
                <w:sz w:val="20"/>
                <w:szCs w:val="20"/>
              </w:rPr>
              <w:t>201 576,60</w:t>
            </w:r>
          </w:p>
        </w:tc>
        <w:tc>
          <w:tcPr>
            <w:tcW w:w="1389" w:type="dxa"/>
            <w:shd w:val="clear" w:color="auto" w:fill="92CDDC" w:themeFill="accent5" w:themeFillTint="99"/>
          </w:tcPr>
          <w:p w14:paraId="46BCBFAF" w14:textId="77777777" w:rsidR="0023651B" w:rsidRPr="00885EC5" w:rsidRDefault="0023651B" w:rsidP="00FE3279">
            <w:pPr>
              <w:pStyle w:val="Tabletext"/>
              <w:jc w:val="right"/>
              <w:rPr>
                <w:sz w:val="20"/>
                <w:szCs w:val="20"/>
              </w:rPr>
            </w:pPr>
            <w:r w:rsidRPr="00885EC5">
              <w:rPr>
                <w:b/>
                <w:sz w:val="20"/>
                <w:szCs w:val="20"/>
              </w:rPr>
              <w:t>1,15</w:t>
            </w:r>
          </w:p>
        </w:tc>
        <w:tc>
          <w:tcPr>
            <w:tcW w:w="1389" w:type="dxa"/>
            <w:shd w:val="clear" w:color="auto" w:fill="92CDDC" w:themeFill="accent5" w:themeFillTint="99"/>
          </w:tcPr>
          <w:p w14:paraId="52126A80" w14:textId="77777777" w:rsidR="0023651B" w:rsidRPr="00885EC5" w:rsidRDefault="0023651B" w:rsidP="00FE3279">
            <w:pPr>
              <w:pStyle w:val="Tabletext"/>
              <w:jc w:val="right"/>
              <w:rPr>
                <w:sz w:val="20"/>
                <w:szCs w:val="20"/>
              </w:rPr>
            </w:pPr>
            <w:r w:rsidRPr="00885EC5">
              <w:rPr>
                <w:b/>
                <w:sz w:val="20"/>
                <w:szCs w:val="20"/>
              </w:rPr>
              <w:t>201 576,60</w:t>
            </w:r>
          </w:p>
        </w:tc>
        <w:tc>
          <w:tcPr>
            <w:tcW w:w="1389" w:type="dxa"/>
            <w:shd w:val="clear" w:color="auto" w:fill="92CDDC" w:themeFill="accent5" w:themeFillTint="99"/>
          </w:tcPr>
          <w:p w14:paraId="278C86BF" w14:textId="77777777" w:rsidR="0023651B" w:rsidRPr="00885EC5" w:rsidRDefault="0023651B" w:rsidP="00FE3279">
            <w:pPr>
              <w:pStyle w:val="Tabletext"/>
              <w:jc w:val="right"/>
              <w:rPr>
                <w:sz w:val="20"/>
                <w:szCs w:val="20"/>
              </w:rPr>
            </w:pPr>
            <w:r w:rsidRPr="00885EC5">
              <w:rPr>
                <w:b/>
                <w:sz w:val="20"/>
                <w:szCs w:val="20"/>
              </w:rPr>
              <w:t>1,15</w:t>
            </w:r>
          </w:p>
        </w:tc>
        <w:tc>
          <w:tcPr>
            <w:tcW w:w="1389" w:type="dxa"/>
            <w:shd w:val="clear" w:color="auto" w:fill="92CDDC" w:themeFill="accent5" w:themeFillTint="99"/>
          </w:tcPr>
          <w:p w14:paraId="551A037C" w14:textId="77777777" w:rsidR="0023651B" w:rsidRPr="00885EC5" w:rsidRDefault="0023651B" w:rsidP="00FE3279">
            <w:pPr>
              <w:pStyle w:val="Tabletext"/>
              <w:jc w:val="right"/>
              <w:rPr>
                <w:sz w:val="20"/>
                <w:szCs w:val="20"/>
              </w:rPr>
            </w:pPr>
            <w:r w:rsidRPr="00885EC5">
              <w:rPr>
                <w:b/>
                <w:sz w:val="20"/>
                <w:szCs w:val="20"/>
              </w:rPr>
              <w:t>201 576,60</w:t>
            </w:r>
          </w:p>
        </w:tc>
      </w:tr>
    </w:tbl>
    <w:p w14:paraId="05309BCC" w14:textId="4BF3C5BC" w:rsidR="00897553" w:rsidRPr="00885EC5" w:rsidRDefault="006A11AE" w:rsidP="00FE3279">
      <w:pPr>
        <w:spacing w:before="240"/>
        <w:jc w:val="center"/>
      </w:pPr>
      <w:r w:rsidRPr="00885EC5">
        <w:t>______________</w:t>
      </w:r>
    </w:p>
    <w:sectPr w:rsidR="00897553" w:rsidRPr="00885EC5" w:rsidSect="0023651B">
      <w:footerReference w:type="default" r:id="rId27"/>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27CF6E69" w:rsidR="00732045" w:rsidRPr="00A96696" w:rsidRDefault="005E3C07">
    <w:pPr>
      <w:pStyle w:val="Footer"/>
      <w:rPr>
        <w:lang w:val="en-GB"/>
      </w:rPr>
    </w:pPr>
    <w:r>
      <w:fldChar w:fldCharType="begin"/>
    </w:r>
    <w:r w:rsidRPr="00A96696">
      <w:rPr>
        <w:lang w:val="en-GB"/>
      </w:rPr>
      <w:instrText xml:space="preserve"> FILENAME \p \* MERGEFORMAT </w:instrText>
    </w:r>
    <w:r>
      <w:fldChar w:fldCharType="separate"/>
    </w:r>
    <w:r w:rsidRPr="00A96696">
      <w:rPr>
        <w:lang w:val="en-GB"/>
      </w:rPr>
      <w:t>P:\FRA\gDoc\SG\C24\24-00549F.docx</w:t>
    </w:r>
    <w:r>
      <w:fldChar w:fldCharType="end"/>
    </w:r>
    <w:r w:rsidR="00732045" w:rsidRPr="00A96696">
      <w:rPr>
        <w:lang w:val="en-GB"/>
      </w:rPr>
      <w:tab/>
    </w:r>
    <w:r w:rsidR="002F1B76">
      <w:fldChar w:fldCharType="begin"/>
    </w:r>
    <w:r w:rsidR="00732045">
      <w:instrText xml:space="preserve"> savedate \@ dd.MM.yy </w:instrText>
    </w:r>
    <w:r w:rsidR="002F1B76">
      <w:fldChar w:fldCharType="separate"/>
    </w:r>
    <w:r w:rsidR="00A96696">
      <w:t>02.05.24</w:t>
    </w:r>
    <w:r w:rsidR="002F1B76">
      <w:fldChar w:fldCharType="end"/>
    </w:r>
    <w:r w:rsidR="00732045" w:rsidRPr="00A96696">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19B4446" w:rsidR="00A51849" w:rsidRDefault="00A51849" w:rsidP="00A51849">
          <w:pPr>
            <w:pStyle w:val="Header"/>
            <w:jc w:val="left"/>
            <w:rPr>
              <w:noProof/>
            </w:rPr>
          </w:pPr>
        </w:p>
      </w:tc>
      <w:tc>
        <w:tcPr>
          <w:tcW w:w="8261" w:type="dxa"/>
        </w:tcPr>
        <w:p w14:paraId="0DB0A3C6" w14:textId="6778DF2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76E2A">
            <w:rPr>
              <w:bCs/>
            </w:rPr>
            <w:t>63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2C731D31"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533605"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6E13CA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76E2A">
            <w:rPr>
              <w:bCs/>
            </w:rPr>
            <w:t>63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B0193C3" w:rsidR="00732045" w:rsidRPr="00A51849" w:rsidRDefault="00732045"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231"/>
    </w:tblGrid>
    <w:tr w:rsidR="002E6791" w:rsidRPr="00784011" w14:paraId="4A43AC3F" w14:textId="77777777" w:rsidTr="002E6791">
      <w:trPr>
        <w:jc w:val="center"/>
      </w:trPr>
      <w:tc>
        <w:tcPr>
          <w:tcW w:w="1803" w:type="dxa"/>
          <w:vAlign w:val="center"/>
        </w:tcPr>
        <w:p w14:paraId="4CC18094" w14:textId="77777777" w:rsidR="002E6791" w:rsidRDefault="002E6791" w:rsidP="00A51849">
          <w:pPr>
            <w:pStyle w:val="Header"/>
            <w:jc w:val="left"/>
            <w:rPr>
              <w:noProof/>
            </w:rPr>
          </w:pPr>
        </w:p>
      </w:tc>
      <w:tc>
        <w:tcPr>
          <w:tcW w:w="12231" w:type="dxa"/>
        </w:tcPr>
        <w:p w14:paraId="366E8DD3" w14:textId="5D0D96E7" w:rsidR="002E6791" w:rsidRPr="00E06FD5" w:rsidRDefault="002E6791" w:rsidP="00A51849">
          <w:pPr>
            <w:pStyle w:val="Header"/>
            <w:tabs>
              <w:tab w:val="left" w:pos="7070"/>
              <w:tab w:val="right" w:pos="8505"/>
              <w:tab w:val="right" w:pos="9639"/>
            </w:tabs>
            <w:jc w:val="left"/>
            <w:rPr>
              <w:rFonts w:ascii="Arial" w:hAnsi="Arial" w:cs="Arial"/>
              <w:b/>
              <w:bCs/>
              <w:szCs w:val="18"/>
            </w:rPr>
          </w:pPr>
          <w:r>
            <w:rPr>
              <w:bCs/>
            </w:rPr>
            <w:tab/>
          </w:r>
          <w:r>
            <w:rPr>
              <w:bCs/>
            </w:rPr>
            <w:tab/>
          </w:r>
          <w:r>
            <w:rPr>
              <w:bCs/>
            </w:rPr>
            <w:tab/>
          </w:r>
          <w:r w:rsidRPr="00623AE3">
            <w:rPr>
              <w:bCs/>
            </w:rPr>
            <w:t>C</w:t>
          </w:r>
          <w:r>
            <w:rPr>
              <w:bCs/>
            </w:rPr>
            <w:t>24</w:t>
          </w:r>
          <w:r w:rsidRPr="00623AE3">
            <w:rPr>
              <w:bCs/>
            </w:rPr>
            <w:t>/</w:t>
          </w:r>
          <w:r>
            <w:rPr>
              <w:bCs/>
            </w:rPr>
            <w:t>63</w:t>
          </w:r>
          <w:r w:rsidRPr="00623AE3">
            <w:rPr>
              <w:bCs/>
            </w:rPr>
            <w:t>-</w:t>
          </w:r>
          <w:r>
            <w:rPr>
              <w:bCs/>
            </w:rPr>
            <w:t>F</w:t>
          </w:r>
          <w:r>
            <w:rPr>
              <w:bCs/>
            </w:rPr>
            <w:tab/>
          </w:r>
          <w:r>
            <w:rPr>
              <w:bCs/>
            </w:rPr>
            <w:tab/>
          </w:r>
          <w:r>
            <w:rPr>
              <w:bCs/>
            </w:rPr>
            <w:tab/>
          </w:r>
          <w:r>
            <w:fldChar w:fldCharType="begin"/>
          </w:r>
          <w:r>
            <w:instrText>PAGE</w:instrText>
          </w:r>
          <w:r>
            <w:fldChar w:fldCharType="separate"/>
          </w:r>
          <w:r>
            <w:t>1</w:t>
          </w:r>
          <w:r>
            <w:rPr>
              <w:noProof/>
            </w:rPr>
            <w:fldChar w:fldCharType="end"/>
          </w:r>
        </w:p>
      </w:tc>
    </w:tr>
  </w:tbl>
  <w:p w14:paraId="2133C980" w14:textId="77777777" w:rsidR="002E6791" w:rsidRPr="00A51849" w:rsidRDefault="002E6791"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72451"/>
      <w:docPartObj>
        <w:docPartGallery w:val="Page Numbers (Top of Page)"/>
        <w:docPartUnique/>
      </w:docPartObj>
    </w:sdtPr>
    <w:sdtEndPr>
      <w:rPr>
        <w:noProof/>
      </w:rPr>
    </w:sdtEndPr>
    <w:sdtContent>
      <w:p w14:paraId="7EB64A1D" w14:textId="07F60180"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16036"/>
    <w:rsid w:val="0012275B"/>
    <w:rsid w:val="001247A8"/>
    <w:rsid w:val="001378C0"/>
    <w:rsid w:val="0018694A"/>
    <w:rsid w:val="001A3287"/>
    <w:rsid w:val="001A6508"/>
    <w:rsid w:val="001D4C31"/>
    <w:rsid w:val="001E4D21"/>
    <w:rsid w:val="00207CD1"/>
    <w:rsid w:val="00226657"/>
    <w:rsid w:val="0023651B"/>
    <w:rsid w:val="002477A2"/>
    <w:rsid w:val="00263A51"/>
    <w:rsid w:val="00267E02"/>
    <w:rsid w:val="002A5D44"/>
    <w:rsid w:val="002E0BC4"/>
    <w:rsid w:val="002E6791"/>
    <w:rsid w:val="002F1B76"/>
    <w:rsid w:val="0033568E"/>
    <w:rsid w:val="00355FF5"/>
    <w:rsid w:val="00361350"/>
    <w:rsid w:val="003C3FAE"/>
    <w:rsid w:val="004038CB"/>
    <w:rsid w:val="0040546F"/>
    <w:rsid w:val="00415577"/>
    <w:rsid w:val="0042404A"/>
    <w:rsid w:val="00441846"/>
    <w:rsid w:val="0044618F"/>
    <w:rsid w:val="0046769A"/>
    <w:rsid w:val="00475FB3"/>
    <w:rsid w:val="004C37A9"/>
    <w:rsid w:val="004D1D50"/>
    <w:rsid w:val="004F259E"/>
    <w:rsid w:val="00511F1D"/>
    <w:rsid w:val="00520F36"/>
    <w:rsid w:val="00533605"/>
    <w:rsid w:val="00534E13"/>
    <w:rsid w:val="00540615"/>
    <w:rsid w:val="00540A6D"/>
    <w:rsid w:val="00566679"/>
    <w:rsid w:val="00571EEA"/>
    <w:rsid w:val="00575417"/>
    <w:rsid w:val="005768E1"/>
    <w:rsid w:val="005B1938"/>
    <w:rsid w:val="005C3890"/>
    <w:rsid w:val="005C5157"/>
    <w:rsid w:val="005E3C07"/>
    <w:rsid w:val="005F7BFE"/>
    <w:rsid w:val="00600017"/>
    <w:rsid w:val="006235CA"/>
    <w:rsid w:val="006643AB"/>
    <w:rsid w:val="006A11AE"/>
    <w:rsid w:val="006F0A53"/>
    <w:rsid w:val="007210CD"/>
    <w:rsid w:val="00732045"/>
    <w:rsid w:val="0073275D"/>
    <w:rsid w:val="007369DB"/>
    <w:rsid w:val="00761043"/>
    <w:rsid w:val="00776E2A"/>
    <w:rsid w:val="007956C2"/>
    <w:rsid w:val="007A187E"/>
    <w:rsid w:val="007B27CA"/>
    <w:rsid w:val="007C72C2"/>
    <w:rsid w:val="007D4436"/>
    <w:rsid w:val="007F257A"/>
    <w:rsid w:val="007F3665"/>
    <w:rsid w:val="00800037"/>
    <w:rsid w:val="0082299A"/>
    <w:rsid w:val="0083391C"/>
    <w:rsid w:val="00861D73"/>
    <w:rsid w:val="0086261C"/>
    <w:rsid w:val="00885EC5"/>
    <w:rsid w:val="00897553"/>
    <w:rsid w:val="008A4E87"/>
    <w:rsid w:val="008D76E6"/>
    <w:rsid w:val="0092392D"/>
    <w:rsid w:val="0093234A"/>
    <w:rsid w:val="00956A78"/>
    <w:rsid w:val="0097363B"/>
    <w:rsid w:val="00973F53"/>
    <w:rsid w:val="009A6BAA"/>
    <w:rsid w:val="009C307F"/>
    <w:rsid w:val="009C353C"/>
    <w:rsid w:val="00A15080"/>
    <w:rsid w:val="00A2113E"/>
    <w:rsid w:val="00A23A51"/>
    <w:rsid w:val="00A24607"/>
    <w:rsid w:val="00A25CD3"/>
    <w:rsid w:val="00A45CCE"/>
    <w:rsid w:val="00A51849"/>
    <w:rsid w:val="00A709FE"/>
    <w:rsid w:val="00A73C60"/>
    <w:rsid w:val="00A82767"/>
    <w:rsid w:val="00A96696"/>
    <w:rsid w:val="00AA332F"/>
    <w:rsid w:val="00AA7BBB"/>
    <w:rsid w:val="00AB64A8"/>
    <w:rsid w:val="00AC0266"/>
    <w:rsid w:val="00AD24EC"/>
    <w:rsid w:val="00B309F9"/>
    <w:rsid w:val="00B32B60"/>
    <w:rsid w:val="00B61619"/>
    <w:rsid w:val="00B74CD1"/>
    <w:rsid w:val="00BB4545"/>
    <w:rsid w:val="00BD5873"/>
    <w:rsid w:val="00BF4B60"/>
    <w:rsid w:val="00C04BE3"/>
    <w:rsid w:val="00C25D29"/>
    <w:rsid w:val="00C27A7C"/>
    <w:rsid w:val="00C42437"/>
    <w:rsid w:val="00CA08ED"/>
    <w:rsid w:val="00CD3BB9"/>
    <w:rsid w:val="00CF183B"/>
    <w:rsid w:val="00D375CD"/>
    <w:rsid w:val="00D553A2"/>
    <w:rsid w:val="00D72F49"/>
    <w:rsid w:val="00D774D3"/>
    <w:rsid w:val="00D904E8"/>
    <w:rsid w:val="00DA08C3"/>
    <w:rsid w:val="00DB5A3E"/>
    <w:rsid w:val="00DC22AA"/>
    <w:rsid w:val="00DF74DD"/>
    <w:rsid w:val="00E25207"/>
    <w:rsid w:val="00E25AD0"/>
    <w:rsid w:val="00E4428F"/>
    <w:rsid w:val="00E93668"/>
    <w:rsid w:val="00E95647"/>
    <w:rsid w:val="00EB6350"/>
    <w:rsid w:val="00EC5A74"/>
    <w:rsid w:val="00F15B57"/>
    <w:rsid w:val="00F35EF4"/>
    <w:rsid w:val="00F37FE5"/>
    <w:rsid w:val="00F427DB"/>
    <w:rsid w:val="00FA5EB1"/>
    <w:rsid w:val="00FA7439"/>
    <w:rsid w:val="00FC4CE3"/>
    <w:rsid w:val="00FC4EC0"/>
    <w:rsid w:val="00FE327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76E2A"/>
    <w:rPr>
      <w:color w:val="605E5C"/>
      <w:shd w:val="clear" w:color="auto" w:fill="E1DFDD"/>
    </w:rPr>
  </w:style>
  <w:style w:type="character" w:styleId="CommentReference">
    <w:name w:val="annotation reference"/>
    <w:basedOn w:val="DefaultParagraphFont"/>
    <w:semiHidden/>
    <w:unhideWhenUsed/>
    <w:rsid w:val="00A96696"/>
    <w:rPr>
      <w:sz w:val="16"/>
      <w:szCs w:val="16"/>
    </w:rPr>
  </w:style>
  <w:style w:type="paragraph" w:styleId="CommentText">
    <w:name w:val="annotation text"/>
    <w:basedOn w:val="Normal"/>
    <w:link w:val="CommentTextChar"/>
    <w:unhideWhenUsed/>
    <w:rsid w:val="00A96696"/>
    <w:rPr>
      <w:sz w:val="20"/>
    </w:rPr>
  </w:style>
  <w:style w:type="character" w:customStyle="1" w:styleId="CommentTextChar">
    <w:name w:val="Comment Text Char"/>
    <w:basedOn w:val="DefaultParagraphFont"/>
    <w:link w:val="CommentText"/>
    <w:rsid w:val="00A96696"/>
    <w:rPr>
      <w:rFonts w:ascii="Calibri" w:hAnsi="Calibri"/>
      <w:lang w:val="fr-FR" w:eastAsia="en-US"/>
    </w:rPr>
  </w:style>
  <w:style w:type="paragraph" w:styleId="CommentSubject">
    <w:name w:val="annotation subject"/>
    <w:basedOn w:val="CommentText"/>
    <w:next w:val="CommentText"/>
    <w:link w:val="CommentSubjectChar"/>
    <w:semiHidden/>
    <w:unhideWhenUsed/>
    <w:rsid w:val="00A96696"/>
    <w:rPr>
      <w:b/>
      <w:bCs/>
    </w:rPr>
  </w:style>
  <w:style w:type="character" w:customStyle="1" w:styleId="CommentSubjectChar">
    <w:name w:val="Comment Subject Char"/>
    <w:basedOn w:val="CommentTextChar"/>
    <w:link w:val="CommentSubject"/>
    <w:semiHidden/>
    <w:rsid w:val="00A9669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9/fr" TargetMode="External"/><Relationship Id="rId13" Type="http://schemas.openxmlformats.org/officeDocument/2006/relationships/hyperlink" Target="https://www.itu.int/md/S24-CL-C-0019/fr" TargetMode="External"/><Relationship Id="rId18" Type="http://schemas.openxmlformats.org/officeDocument/2006/relationships/image" Target="media/image3.e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md/S24-CWGFHR17-C-0024/fr" TargetMode="External"/><Relationship Id="rId12" Type="http://schemas.openxmlformats.org/officeDocument/2006/relationships/hyperlink" Target="https://www.itu.int/md/S24-CL-C-0013/fr" TargetMode="Externa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hyperlink" Target="https://www.itu.int/md/R00-CA-CIR-0270/f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R23-WRC23-C-0460/fr" TargetMode="External"/><Relationship Id="rId11" Type="http://schemas.openxmlformats.org/officeDocument/2006/relationships/hyperlink" Target="https://www.itu.int/md/S24-CWGFHR17-C-0024/fr"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4-CL-INF-0002/fr"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itu.int/md/S24-CWGFHR17-C-0012/fr" TargetMode="External"/><Relationship Id="rId19"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hyperlink" Target="https://www.itu.int/md/R23-WRC23-C-0460/fr" TargetMode="External"/><Relationship Id="rId14" Type="http://schemas.openxmlformats.org/officeDocument/2006/relationships/hyperlink" Target="https://www.itu.int/md/S24-CL-INF-0002/fr" TargetMode="External"/><Relationship Id="rId22" Type="http://schemas.openxmlformats.org/officeDocument/2006/relationships/header" Target="header2.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11</Pages>
  <Words>2876</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18828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11</cp:revision>
  <cp:lastPrinted>2000-07-18T08:55:00Z</cp:lastPrinted>
  <dcterms:created xsi:type="dcterms:W3CDTF">2024-05-02T08:55:00Z</dcterms:created>
  <dcterms:modified xsi:type="dcterms:W3CDTF">2024-05-02T13:19:00Z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