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813E5E" w14:paraId="16C8DD02" w14:textId="77777777" w:rsidTr="00C538FC">
        <w:trPr>
          <w:cantSplit/>
          <w:trHeight w:val="23"/>
        </w:trPr>
        <w:tc>
          <w:tcPr>
            <w:tcW w:w="3969" w:type="dxa"/>
            <w:vMerge w:val="restart"/>
            <w:tcMar>
              <w:left w:w="0" w:type="dxa"/>
            </w:tcMar>
          </w:tcPr>
          <w:p w14:paraId="380780FF" w14:textId="5DB4E3BA" w:rsidR="00FE57F6" w:rsidRPr="00E85629" w:rsidRDefault="00E0738F" w:rsidP="00C538FC">
            <w:pPr>
              <w:tabs>
                <w:tab w:val="left" w:pos="851"/>
              </w:tabs>
              <w:spacing w:before="0" w:line="240" w:lineRule="atLeast"/>
              <w:rPr>
                <w:b/>
              </w:rPr>
            </w:pPr>
            <w:bookmarkStart w:id="0" w:name="_Hlk133421839"/>
            <w:r w:rsidRPr="005456B9">
              <w:rPr>
                <w:b/>
                <w:bCs/>
                <w:lang w:val="es-ES"/>
              </w:rPr>
              <w:t>Punto del orden del día: ADM 1</w:t>
            </w:r>
          </w:p>
        </w:tc>
        <w:tc>
          <w:tcPr>
            <w:tcW w:w="5245" w:type="dxa"/>
          </w:tcPr>
          <w:p w14:paraId="12EC8577" w14:textId="69CAD9B0" w:rsidR="00FE57F6" w:rsidRPr="00E85629" w:rsidRDefault="00FE57F6" w:rsidP="00C538FC">
            <w:pPr>
              <w:tabs>
                <w:tab w:val="left" w:pos="851"/>
              </w:tabs>
              <w:spacing w:before="0" w:line="240" w:lineRule="atLeast"/>
              <w:jc w:val="right"/>
              <w:rPr>
                <w:b/>
              </w:rPr>
            </w:pPr>
            <w:r>
              <w:rPr>
                <w:b/>
              </w:rPr>
              <w:t>Document</w:t>
            </w:r>
            <w:r w:rsidR="00F24B71">
              <w:rPr>
                <w:b/>
              </w:rPr>
              <w:t>o</w:t>
            </w:r>
            <w:r>
              <w:rPr>
                <w:b/>
              </w:rPr>
              <w:t xml:space="preserve"> </w:t>
            </w:r>
            <w:r w:rsidR="00E0738F" w:rsidRPr="005456B9">
              <w:rPr>
                <w:b/>
                <w:bCs/>
                <w:lang w:val="es-ES"/>
              </w:rPr>
              <w:t>C24/63-S</w:t>
            </w:r>
          </w:p>
        </w:tc>
      </w:tr>
      <w:tr w:rsidR="00FE57F6" w:rsidRPr="00813E5E" w14:paraId="2F7BAD0F" w14:textId="77777777" w:rsidTr="00C538FC">
        <w:trPr>
          <w:cantSplit/>
        </w:trPr>
        <w:tc>
          <w:tcPr>
            <w:tcW w:w="3969" w:type="dxa"/>
            <w:vMerge/>
          </w:tcPr>
          <w:p w14:paraId="32D340BD" w14:textId="77777777" w:rsidR="00FE57F6" w:rsidRPr="00813E5E" w:rsidRDefault="00FE57F6" w:rsidP="00C538FC">
            <w:pPr>
              <w:tabs>
                <w:tab w:val="left" w:pos="851"/>
              </w:tabs>
              <w:spacing w:line="240" w:lineRule="atLeast"/>
              <w:rPr>
                <w:b/>
              </w:rPr>
            </w:pPr>
          </w:p>
        </w:tc>
        <w:tc>
          <w:tcPr>
            <w:tcW w:w="5245" w:type="dxa"/>
          </w:tcPr>
          <w:p w14:paraId="6D67502D" w14:textId="768688F0" w:rsidR="00FE57F6" w:rsidRPr="00E85629" w:rsidRDefault="00E0738F" w:rsidP="00C538FC">
            <w:pPr>
              <w:tabs>
                <w:tab w:val="left" w:pos="851"/>
              </w:tabs>
              <w:spacing w:before="0"/>
              <w:jc w:val="right"/>
              <w:rPr>
                <w:b/>
              </w:rPr>
            </w:pPr>
            <w:r w:rsidRPr="005456B9">
              <w:rPr>
                <w:b/>
                <w:bCs/>
                <w:lang w:val="es-ES"/>
              </w:rPr>
              <w:t>9 de abril de 2024</w:t>
            </w:r>
          </w:p>
        </w:tc>
      </w:tr>
      <w:tr w:rsidR="00FE57F6" w:rsidRPr="00F24B71" w14:paraId="14ED61B8" w14:textId="77777777" w:rsidTr="00C538FC">
        <w:trPr>
          <w:cantSplit/>
          <w:trHeight w:val="23"/>
        </w:trPr>
        <w:tc>
          <w:tcPr>
            <w:tcW w:w="3969" w:type="dxa"/>
            <w:vMerge/>
          </w:tcPr>
          <w:p w14:paraId="36AAE2B4" w14:textId="77777777" w:rsidR="00FE57F6" w:rsidRPr="00813E5E" w:rsidRDefault="00FE57F6" w:rsidP="00C538FC">
            <w:pPr>
              <w:tabs>
                <w:tab w:val="left" w:pos="851"/>
              </w:tabs>
              <w:spacing w:line="240" w:lineRule="atLeast"/>
              <w:rPr>
                <w:b/>
              </w:rPr>
            </w:pPr>
          </w:p>
        </w:tc>
        <w:tc>
          <w:tcPr>
            <w:tcW w:w="5245" w:type="dxa"/>
          </w:tcPr>
          <w:p w14:paraId="54C7ED74" w14:textId="77777777" w:rsidR="00FE57F6" w:rsidRPr="00F24B71" w:rsidRDefault="00F24B71" w:rsidP="00C538FC">
            <w:pPr>
              <w:tabs>
                <w:tab w:val="left" w:pos="851"/>
              </w:tabs>
              <w:spacing w:before="0" w:line="240" w:lineRule="atLeast"/>
              <w:jc w:val="right"/>
              <w:rPr>
                <w:b/>
                <w:bCs/>
              </w:rPr>
            </w:pPr>
            <w:r w:rsidRPr="00F24B71">
              <w:rPr>
                <w:rFonts w:cstheme="minorHAnsi"/>
                <w:b/>
                <w:bCs/>
                <w:lang w:val="fr-CH"/>
              </w:rPr>
              <w:t>Original: inglés</w:t>
            </w:r>
          </w:p>
        </w:tc>
      </w:tr>
      <w:tr w:rsidR="00FE57F6" w:rsidRPr="00813E5E" w14:paraId="28C23F0D" w14:textId="77777777" w:rsidTr="00C538FC">
        <w:trPr>
          <w:cantSplit/>
          <w:trHeight w:val="23"/>
        </w:trPr>
        <w:tc>
          <w:tcPr>
            <w:tcW w:w="3969" w:type="dxa"/>
          </w:tcPr>
          <w:p w14:paraId="71CA9CDE" w14:textId="77777777" w:rsidR="00FE57F6" w:rsidRPr="00813E5E" w:rsidRDefault="00FE57F6" w:rsidP="00C538FC">
            <w:pPr>
              <w:tabs>
                <w:tab w:val="left" w:pos="851"/>
              </w:tabs>
              <w:spacing w:line="240" w:lineRule="atLeast"/>
              <w:rPr>
                <w:b/>
              </w:rPr>
            </w:pPr>
          </w:p>
        </w:tc>
        <w:tc>
          <w:tcPr>
            <w:tcW w:w="5245" w:type="dxa"/>
          </w:tcPr>
          <w:p w14:paraId="04F0E65D" w14:textId="77777777" w:rsidR="00FE57F6" w:rsidRDefault="00FE57F6" w:rsidP="00C538FC">
            <w:pPr>
              <w:tabs>
                <w:tab w:val="left" w:pos="851"/>
              </w:tabs>
              <w:spacing w:before="0" w:line="240" w:lineRule="atLeast"/>
              <w:jc w:val="right"/>
              <w:rPr>
                <w:b/>
              </w:rPr>
            </w:pPr>
          </w:p>
        </w:tc>
      </w:tr>
      <w:tr w:rsidR="00FE57F6" w:rsidRPr="00FE57F6" w14:paraId="0744CD5D" w14:textId="77777777" w:rsidTr="00C538FC">
        <w:trPr>
          <w:cantSplit/>
        </w:trPr>
        <w:tc>
          <w:tcPr>
            <w:tcW w:w="9214" w:type="dxa"/>
            <w:gridSpan w:val="2"/>
            <w:tcMar>
              <w:left w:w="0" w:type="dxa"/>
            </w:tcMar>
          </w:tcPr>
          <w:p w14:paraId="3EF99137" w14:textId="77777777" w:rsidR="00FE57F6" w:rsidRPr="004B5D49" w:rsidRDefault="00F24B71" w:rsidP="00C538FC">
            <w:pPr>
              <w:pStyle w:val="Source"/>
              <w:jc w:val="left"/>
              <w:rPr>
                <w:sz w:val="34"/>
                <w:szCs w:val="34"/>
                <w:lang w:val="es-ES"/>
              </w:rPr>
            </w:pPr>
            <w:r w:rsidRPr="00C538FC">
              <w:rPr>
                <w:rFonts w:cstheme="minorHAnsi"/>
                <w:sz w:val="34"/>
                <w:szCs w:val="34"/>
              </w:rPr>
              <w:t>Informe de</w:t>
            </w:r>
            <w:r w:rsidR="004B5D49">
              <w:rPr>
                <w:rFonts w:cstheme="minorHAnsi"/>
                <w:sz w:val="34"/>
                <w:szCs w:val="34"/>
              </w:rPr>
              <w:t xml:space="preserve"> </w:t>
            </w:r>
            <w:r w:rsidRPr="00C538FC">
              <w:rPr>
                <w:rFonts w:cstheme="minorHAnsi"/>
                <w:sz w:val="34"/>
                <w:szCs w:val="34"/>
              </w:rPr>
              <w:t>l</w:t>
            </w:r>
            <w:r w:rsidR="004B5D49">
              <w:rPr>
                <w:rFonts w:cstheme="minorHAnsi"/>
                <w:sz w:val="34"/>
                <w:szCs w:val="34"/>
              </w:rPr>
              <w:t>a</w:t>
            </w:r>
            <w:r w:rsidRPr="00C538FC">
              <w:rPr>
                <w:rFonts w:cstheme="minorHAnsi"/>
                <w:sz w:val="34"/>
                <w:szCs w:val="34"/>
              </w:rPr>
              <w:t xml:space="preserve"> Secretari</w:t>
            </w:r>
            <w:r w:rsidR="004B5D49">
              <w:rPr>
                <w:rFonts w:cstheme="minorHAnsi"/>
                <w:sz w:val="34"/>
                <w:szCs w:val="34"/>
              </w:rPr>
              <w:t>a</w:t>
            </w:r>
            <w:r w:rsidRPr="00C538FC">
              <w:rPr>
                <w:rFonts w:cstheme="minorHAnsi"/>
                <w:sz w:val="34"/>
                <w:szCs w:val="34"/>
              </w:rPr>
              <w:t xml:space="preserve"> General</w:t>
            </w:r>
          </w:p>
        </w:tc>
      </w:tr>
      <w:tr w:rsidR="00FE57F6" w:rsidRPr="00813E5E" w14:paraId="5E2B474A" w14:textId="77777777" w:rsidTr="00C538FC">
        <w:trPr>
          <w:cantSplit/>
        </w:trPr>
        <w:tc>
          <w:tcPr>
            <w:tcW w:w="9214" w:type="dxa"/>
            <w:gridSpan w:val="2"/>
            <w:tcMar>
              <w:left w:w="0" w:type="dxa"/>
            </w:tcMar>
          </w:tcPr>
          <w:p w14:paraId="75872F37" w14:textId="20EF1008" w:rsidR="00FE57F6" w:rsidRPr="00E0738F" w:rsidRDefault="00E0738F" w:rsidP="00C538FC">
            <w:pPr>
              <w:pStyle w:val="Subtitle"/>
              <w:framePr w:hSpace="0" w:wrap="auto" w:hAnchor="text" w:xAlign="left" w:yAlign="inline"/>
              <w:rPr>
                <w:lang w:val="es-ES"/>
              </w:rPr>
            </w:pPr>
            <w:r w:rsidRPr="005456B9">
              <w:rPr>
                <w:lang w:val="es-ES"/>
              </w:rPr>
              <w:t>REPERCUSIONES PRESUPUESTARIAS ANUALES DE LA APLICACIÓN DE LAS DECISIONES DE LAS CMR-23</w:t>
            </w:r>
          </w:p>
        </w:tc>
      </w:tr>
      <w:tr w:rsidR="00FE57F6" w:rsidRPr="00813E5E" w14:paraId="4DC483B4" w14:textId="77777777" w:rsidTr="00C538FC">
        <w:trPr>
          <w:cantSplit/>
        </w:trPr>
        <w:tc>
          <w:tcPr>
            <w:tcW w:w="9214" w:type="dxa"/>
            <w:gridSpan w:val="2"/>
            <w:tcBorders>
              <w:top w:val="single" w:sz="4" w:space="0" w:color="auto"/>
              <w:bottom w:val="single" w:sz="4" w:space="0" w:color="auto"/>
            </w:tcBorders>
            <w:tcMar>
              <w:left w:w="0" w:type="dxa"/>
            </w:tcMar>
          </w:tcPr>
          <w:p w14:paraId="3D5ADAE4" w14:textId="742A45F2" w:rsidR="00FE57F6" w:rsidRPr="00F24B71" w:rsidRDefault="00F24B71" w:rsidP="00C538FC">
            <w:pPr>
              <w:spacing w:before="160"/>
              <w:rPr>
                <w:b/>
                <w:bCs/>
                <w:sz w:val="26"/>
                <w:szCs w:val="26"/>
                <w:lang w:val="es-ES"/>
              </w:rPr>
            </w:pPr>
            <w:r w:rsidRPr="00F24B71">
              <w:rPr>
                <w:b/>
                <w:bCs/>
                <w:sz w:val="26"/>
                <w:szCs w:val="26"/>
                <w:lang w:val="es-ES"/>
              </w:rPr>
              <w:t>Objeto</w:t>
            </w:r>
          </w:p>
          <w:p w14:paraId="03BC33A7" w14:textId="4ACB02F5" w:rsidR="00E0738F" w:rsidRPr="005456B9" w:rsidRDefault="00E0738F" w:rsidP="001277CF">
            <w:pPr>
              <w:rPr>
                <w:lang w:val="es-ES"/>
              </w:rPr>
            </w:pPr>
            <w:r w:rsidRPr="005456B9">
              <w:rPr>
                <w:lang w:val="es-ES"/>
              </w:rPr>
              <w:t>En el Informe de la Comisión de Control del Presupuesto (</w:t>
            </w:r>
            <w:hyperlink r:id="rId7" w:history="1">
              <w:r w:rsidRPr="005456B9">
                <w:rPr>
                  <w:rStyle w:val="Hyperlink"/>
                  <w:lang w:val="es-ES"/>
                </w:rPr>
                <w:t>Doc. 46</w:t>
              </w:r>
              <w:r w:rsidRPr="005456B9">
                <w:rPr>
                  <w:rStyle w:val="Hyperlink"/>
                  <w:lang w:val="es-ES"/>
                </w:rPr>
                <w:t>0</w:t>
              </w:r>
              <w:r w:rsidRPr="005456B9">
                <w:rPr>
                  <w:rStyle w:val="Hyperlink"/>
                  <w:lang w:val="es-ES"/>
                </w:rPr>
                <w:t>(Rev.1</w:t>
              </w:r>
            </w:hyperlink>
            <w:r w:rsidRPr="005456B9">
              <w:rPr>
                <w:rStyle w:val="Hyperlink"/>
                <w:lang w:val="es-ES"/>
              </w:rPr>
              <w:t>)</w:t>
            </w:r>
            <w:r w:rsidRPr="005456B9">
              <w:rPr>
                <w:lang w:val="es-ES"/>
              </w:rPr>
              <w:t>) de la CMR-23, se identificaron las decisiones de la conferencia, en particular áreas de trabajo adicionales, estudios técnicos y desarrollos de programas, que requerían recursos financieros adicionales para poder aplicarse. La ejecución de estas nuevas actividades tiene un coste estimado de 12,5 millones de francos suizos, teniendo en cuenta los costes tanto puntuales como recurrentes. La CMR-23 pidió al Secretario General que sometiera este extremo a la atención de la reunión del Consejo de 2024, para discutir acerca del método más efectivo para financiar las citadas actividades, dado que deben concluirse antes de la Conferencia Mundial de Radiocomunicaciones programada en 2027 (CMR-27).</w:t>
            </w:r>
          </w:p>
          <w:p w14:paraId="618C4414" w14:textId="7A635D9F" w:rsidR="00FE57F6" w:rsidRPr="00F24B71" w:rsidRDefault="00E0738F" w:rsidP="00414A82">
            <w:pPr>
              <w:rPr>
                <w:lang w:val="es-ES"/>
              </w:rPr>
            </w:pPr>
            <w:r w:rsidRPr="005456B9">
              <w:rPr>
                <w:lang w:val="es-ES"/>
              </w:rPr>
              <w:t>La reunión del Grupo de Trabajo del Consejo sobre Recursos Humanos y Financieros (GTC</w:t>
            </w:r>
            <w:r w:rsidR="006232B0">
              <w:rPr>
                <w:lang w:val="es-ES"/>
              </w:rPr>
              <w:noBreakHyphen/>
            </w:r>
            <w:r w:rsidRPr="005456B9">
              <w:rPr>
                <w:lang w:val="es-ES"/>
              </w:rPr>
              <w:t xml:space="preserve">RHF), que tuvo lugar en enero de 2024, examinó esta cuestión y llegó a la conclusión de que la solicitud debía someterse a la reunión del Consejo-24. En este documento se facilita información adicional solicitada durante esa reunión del GTC-RHF (véanse los §§20.4-20.5 del Documento </w:t>
            </w:r>
            <w:hyperlink r:id="rId8" w:history="1">
              <w:r w:rsidRPr="005456B9">
                <w:rPr>
                  <w:rStyle w:val="Hyperlink"/>
                  <w:lang w:val="es-ES"/>
                </w:rPr>
                <w:t>CWG-FHR</w:t>
              </w:r>
              <w:r w:rsidRPr="005456B9">
                <w:rPr>
                  <w:rStyle w:val="Hyperlink"/>
                  <w:lang w:val="es-ES"/>
                </w:rPr>
                <w:t>-</w:t>
              </w:r>
              <w:r w:rsidRPr="005456B9">
                <w:rPr>
                  <w:rStyle w:val="Hyperlink"/>
                  <w:lang w:val="es-ES"/>
                </w:rPr>
                <w:t>17/24</w:t>
              </w:r>
            </w:hyperlink>
            <w:r w:rsidRPr="005456B9">
              <w:rPr>
                <w:lang w:val="es-ES"/>
              </w:rPr>
              <w:t>).</w:t>
            </w:r>
          </w:p>
          <w:p w14:paraId="5D1C98A4" w14:textId="77777777" w:rsidR="00FE57F6" w:rsidRPr="00F24B71" w:rsidRDefault="00F24B71" w:rsidP="00C538FC">
            <w:pPr>
              <w:spacing w:before="160"/>
              <w:rPr>
                <w:b/>
                <w:bCs/>
                <w:sz w:val="26"/>
                <w:szCs w:val="26"/>
                <w:lang w:val="es-ES"/>
              </w:rPr>
            </w:pPr>
            <w:r w:rsidRPr="00F24B71">
              <w:rPr>
                <w:b/>
                <w:bCs/>
                <w:sz w:val="26"/>
                <w:szCs w:val="26"/>
                <w:lang w:val="es-ES"/>
              </w:rPr>
              <w:t xml:space="preserve">Acción solicitada </w:t>
            </w:r>
            <w:r w:rsidR="00677A97">
              <w:rPr>
                <w:b/>
                <w:bCs/>
                <w:sz w:val="26"/>
                <w:szCs w:val="26"/>
                <w:lang w:val="es-ES"/>
              </w:rPr>
              <w:t>al</w:t>
            </w:r>
            <w:r w:rsidRPr="00F24B71">
              <w:rPr>
                <w:b/>
                <w:bCs/>
                <w:sz w:val="26"/>
                <w:szCs w:val="26"/>
                <w:lang w:val="es-ES"/>
              </w:rPr>
              <w:t xml:space="preserve"> Consejo</w:t>
            </w:r>
          </w:p>
          <w:p w14:paraId="2D18C291" w14:textId="1211B458" w:rsidR="00FE57F6" w:rsidRPr="00F24B71" w:rsidRDefault="00E0738F" w:rsidP="00C538FC">
            <w:pPr>
              <w:rPr>
                <w:lang w:val="es-ES"/>
              </w:rPr>
            </w:pPr>
            <w:r w:rsidRPr="005456B9">
              <w:rPr>
                <w:lang w:val="es-ES"/>
              </w:rPr>
              <w:t>Se invita al Consejo a tomar nota del presente documento.</w:t>
            </w:r>
          </w:p>
          <w:p w14:paraId="29ECF93D" w14:textId="77777777" w:rsidR="00FE57F6" w:rsidRPr="00F24B71" w:rsidRDefault="00F24B71" w:rsidP="00C538FC">
            <w:pPr>
              <w:spacing w:before="160"/>
              <w:rPr>
                <w:b/>
                <w:bCs/>
                <w:sz w:val="26"/>
                <w:szCs w:val="26"/>
                <w:lang w:val="es-ES"/>
              </w:rPr>
            </w:pPr>
            <w:r w:rsidRPr="00F24B71">
              <w:rPr>
                <w:b/>
                <w:bCs/>
                <w:sz w:val="26"/>
                <w:szCs w:val="26"/>
                <w:lang w:val="es-ES"/>
              </w:rPr>
              <w:t>Vínculos pertinentes con el Plan Estratégico</w:t>
            </w:r>
          </w:p>
          <w:p w14:paraId="0322545C" w14:textId="2A6098AA" w:rsidR="00FE57F6" w:rsidRPr="00F24B71" w:rsidRDefault="00E0738F" w:rsidP="00C538FC">
            <w:pPr>
              <w:rPr>
                <w:lang w:val="es-ES"/>
              </w:rPr>
            </w:pPr>
            <w:r w:rsidRPr="005456B9">
              <w:rPr>
                <w:lang w:val="es-ES"/>
              </w:rPr>
              <w:t>Los resultados de la CMR guardan relación con los dos objetivos estratégicos de la Unión.</w:t>
            </w:r>
          </w:p>
          <w:p w14:paraId="570AED91" w14:textId="0BBC491A" w:rsidR="00FE57F6" w:rsidRDefault="00F24B71" w:rsidP="00C538FC">
            <w:pPr>
              <w:spacing w:before="160"/>
              <w:rPr>
                <w:b/>
                <w:bCs/>
                <w:sz w:val="26"/>
                <w:szCs w:val="26"/>
              </w:rPr>
            </w:pPr>
            <w:r w:rsidRPr="00F24B71">
              <w:rPr>
                <w:b/>
                <w:bCs/>
                <w:sz w:val="26"/>
                <w:szCs w:val="26"/>
              </w:rPr>
              <w:t>Repercusiones financieras</w:t>
            </w:r>
          </w:p>
          <w:p w14:paraId="535EE31B" w14:textId="180645FD" w:rsidR="00E0738F" w:rsidRDefault="00E0738F" w:rsidP="004C7105">
            <w:pPr>
              <w:rPr>
                <w:b/>
                <w:bCs/>
                <w:sz w:val="26"/>
                <w:szCs w:val="26"/>
              </w:rPr>
            </w:pPr>
            <w:r w:rsidRPr="005456B9">
              <w:rPr>
                <w:lang w:val="es-ES"/>
              </w:rPr>
              <w:t xml:space="preserve">Se estima que las consecuencias financieras de las decisiones de la CMR-23 son de 12,5 millones de CHF durante el periodo 2024-2027. Las repercusiones presupuestarias anuales están contenidas en la presente, y la financiación se propone en el Documento </w:t>
            </w:r>
            <w:hyperlink r:id="rId9">
              <w:r w:rsidRPr="005456B9">
                <w:rPr>
                  <w:rStyle w:val="Hyperlink"/>
                  <w:lang w:val="es-ES"/>
                </w:rPr>
                <w:t>C2</w:t>
              </w:r>
              <w:r w:rsidRPr="005456B9">
                <w:rPr>
                  <w:rStyle w:val="Hyperlink"/>
                  <w:lang w:val="es-ES"/>
                </w:rPr>
                <w:t>4</w:t>
              </w:r>
              <w:r w:rsidRPr="005456B9">
                <w:rPr>
                  <w:rStyle w:val="Hyperlink"/>
                  <w:lang w:val="es-ES"/>
                </w:rPr>
                <w:t>/19</w:t>
              </w:r>
            </w:hyperlink>
            <w:r w:rsidRPr="005456B9">
              <w:rPr>
                <w:lang w:val="es-ES"/>
              </w:rPr>
              <w:t>.</w:t>
            </w:r>
          </w:p>
          <w:p w14:paraId="5948AA98" w14:textId="77777777" w:rsidR="00FE57F6" w:rsidRPr="00813E5E" w:rsidRDefault="00FE57F6" w:rsidP="00C538FC">
            <w:pPr>
              <w:spacing w:before="160"/>
              <w:rPr>
                <w:caps/>
                <w:sz w:val="22"/>
              </w:rPr>
            </w:pPr>
            <w:r w:rsidRPr="00813E5E">
              <w:rPr>
                <w:sz w:val="22"/>
              </w:rPr>
              <w:t>____________</w:t>
            </w:r>
            <w:r>
              <w:rPr>
                <w:sz w:val="22"/>
              </w:rPr>
              <w:t>______</w:t>
            </w:r>
          </w:p>
          <w:p w14:paraId="1F48B465" w14:textId="77777777" w:rsidR="00E0738F" w:rsidRDefault="00E0738F" w:rsidP="00C538FC">
            <w:pPr>
              <w:spacing w:before="160"/>
              <w:rPr>
                <w:b/>
                <w:bCs/>
                <w:sz w:val="26"/>
                <w:szCs w:val="26"/>
              </w:rPr>
            </w:pPr>
          </w:p>
          <w:p w14:paraId="150AFB31" w14:textId="57241BBB" w:rsidR="00E0738F" w:rsidRDefault="00F24B71" w:rsidP="00C538FC">
            <w:pPr>
              <w:spacing w:before="160"/>
              <w:rPr>
                <w:b/>
                <w:bCs/>
                <w:sz w:val="26"/>
                <w:szCs w:val="26"/>
              </w:rPr>
            </w:pPr>
            <w:r w:rsidRPr="00F24B71">
              <w:rPr>
                <w:b/>
                <w:bCs/>
                <w:sz w:val="26"/>
                <w:szCs w:val="26"/>
              </w:rPr>
              <w:lastRenderedPageBreak/>
              <w:t>Referencia</w:t>
            </w:r>
            <w:r w:rsidR="00E0738F">
              <w:rPr>
                <w:b/>
                <w:bCs/>
                <w:sz w:val="26"/>
                <w:szCs w:val="26"/>
              </w:rPr>
              <w:t>s</w:t>
            </w:r>
          </w:p>
          <w:p w14:paraId="58339413" w14:textId="6D3D73CE" w:rsidR="00FE57F6" w:rsidRPr="00226A90" w:rsidRDefault="00E0738F" w:rsidP="00226A90">
            <w:pPr>
              <w:spacing w:before="160"/>
              <w:rPr>
                <w:b/>
                <w:bCs/>
                <w:i/>
                <w:iCs/>
                <w:sz w:val="26"/>
                <w:szCs w:val="26"/>
              </w:rPr>
            </w:pPr>
            <w:hyperlink r:id="rId10" w:history="1">
              <w:r w:rsidRPr="00EB1F68">
                <w:rPr>
                  <w:rStyle w:val="Hyperlink"/>
                  <w:i/>
                  <w:iCs/>
                </w:rPr>
                <w:t>Doc. 460(R</w:t>
              </w:r>
              <w:r w:rsidRPr="00EB1F68">
                <w:rPr>
                  <w:rStyle w:val="Hyperlink"/>
                  <w:i/>
                  <w:iCs/>
                </w:rPr>
                <w:t>e</w:t>
              </w:r>
              <w:r w:rsidRPr="00EB1F68">
                <w:rPr>
                  <w:rStyle w:val="Hyperlink"/>
                  <w:i/>
                  <w:iCs/>
                </w:rPr>
                <w:t xml:space="preserve">v.1) </w:t>
              </w:r>
              <w:r w:rsidRPr="00EB1F68">
                <w:rPr>
                  <w:i/>
                  <w:iCs/>
                  <w:lang w:val="es-ES"/>
                </w:rPr>
                <w:t>de la CMR,</w:t>
              </w:r>
              <w:r w:rsidRPr="00EB1F68">
                <w:rPr>
                  <w:rStyle w:val="Hyperlink"/>
                  <w:i/>
                  <w:iCs/>
                </w:rPr>
                <w:t xml:space="preserve"> CWG-</w:t>
              </w:r>
              <w:r w:rsidRPr="00EB1F68">
                <w:rPr>
                  <w:rStyle w:val="Hyperlink"/>
                  <w:i/>
                  <w:iCs/>
                </w:rPr>
                <w:t>F</w:t>
              </w:r>
              <w:r w:rsidRPr="00EB1F68">
                <w:rPr>
                  <w:rStyle w:val="Hyperlink"/>
                  <w:i/>
                  <w:iCs/>
                </w:rPr>
                <w:t>HR-17/</w:t>
              </w:r>
              <w:proofErr w:type="gramStart"/>
              <w:r w:rsidRPr="00EB1F68">
                <w:rPr>
                  <w:rStyle w:val="Hyperlink"/>
                  <w:i/>
                  <w:iCs/>
                </w:rPr>
                <w:t>12</w:t>
              </w:r>
              <w:r w:rsidRPr="00EB1F68">
                <w:rPr>
                  <w:i/>
                  <w:iCs/>
                  <w:lang w:val="es-ES"/>
                </w:rPr>
                <w:t>,</w:t>
              </w:r>
              <w:r w:rsidRPr="00EB1F68">
                <w:rPr>
                  <w:rStyle w:val="Hyperlink"/>
                  <w:i/>
                  <w:iCs/>
                </w:rPr>
                <w:t>CWGFHR</w:t>
              </w:r>
              <w:proofErr w:type="gramEnd"/>
              <w:r w:rsidRPr="00EB1F68">
                <w:rPr>
                  <w:rStyle w:val="Hyperlink"/>
                  <w:i/>
                  <w:iCs/>
                </w:rPr>
                <w:t>17-24</w:t>
              </w:r>
              <w:r w:rsidRPr="00EB1F68">
                <w:rPr>
                  <w:i/>
                  <w:iCs/>
                  <w:lang w:val="es-ES"/>
                </w:rPr>
                <w:t>,</w:t>
              </w:r>
              <w:r w:rsidRPr="00EB1F68">
                <w:rPr>
                  <w:rStyle w:val="Hyperlink"/>
                  <w:i/>
                  <w:iCs/>
                </w:rPr>
                <w:t xml:space="preserve"> </w:t>
              </w:r>
              <w:r w:rsidRPr="00EB1F68">
                <w:rPr>
                  <w:i/>
                  <w:iCs/>
                  <w:lang w:val="es-ES"/>
                </w:rPr>
                <w:t xml:space="preserve">Documentos del Consejo </w:t>
              </w:r>
              <w:r w:rsidRPr="00EB1F68">
                <w:rPr>
                  <w:rStyle w:val="Hyperlink"/>
                  <w:i/>
                  <w:iCs/>
                </w:rPr>
                <w:t>C24/</w:t>
              </w:r>
              <w:r w:rsidRPr="00EB1F68">
                <w:rPr>
                  <w:rStyle w:val="Hyperlink"/>
                  <w:i/>
                  <w:iCs/>
                </w:rPr>
                <w:t>1</w:t>
              </w:r>
              <w:r w:rsidRPr="00EB1F68">
                <w:rPr>
                  <w:rStyle w:val="Hyperlink"/>
                  <w:i/>
                  <w:iCs/>
                </w:rPr>
                <w:t>3</w:t>
              </w:r>
              <w:r w:rsidRPr="00EB1F68">
                <w:rPr>
                  <w:i/>
                  <w:iCs/>
                  <w:lang w:val="es-ES"/>
                </w:rPr>
                <w:t>,</w:t>
              </w:r>
              <w:r w:rsidRPr="00EB1F68">
                <w:rPr>
                  <w:rStyle w:val="Hyperlink"/>
                  <w:i/>
                  <w:iCs/>
                </w:rPr>
                <w:t xml:space="preserve"> C24/19</w:t>
              </w:r>
              <w:r w:rsidRPr="00EB1F68">
                <w:rPr>
                  <w:i/>
                  <w:iCs/>
                  <w:lang w:val="es-ES"/>
                </w:rPr>
                <w:t xml:space="preserve">, </w:t>
              </w:r>
              <w:r w:rsidRPr="00EB1F68">
                <w:rPr>
                  <w:rStyle w:val="Hyperlink"/>
                  <w:i/>
                  <w:iCs/>
                </w:rPr>
                <w:t>C24/INF/2</w:t>
              </w:r>
            </w:hyperlink>
          </w:p>
        </w:tc>
      </w:tr>
      <w:bookmarkEnd w:id="0"/>
    </w:tbl>
    <w:p w14:paraId="06FD7253" w14:textId="77777777" w:rsidR="00093EEB" w:rsidRDefault="00093EEB"/>
    <w:p w14:paraId="44179D23" w14:textId="77777777" w:rsidR="001559F5" w:rsidRDefault="001559F5">
      <w:pPr>
        <w:tabs>
          <w:tab w:val="clear" w:pos="567"/>
          <w:tab w:val="clear" w:pos="1134"/>
          <w:tab w:val="clear" w:pos="1701"/>
          <w:tab w:val="clear" w:pos="2268"/>
          <w:tab w:val="clear" w:pos="2835"/>
        </w:tabs>
        <w:overflowPunct/>
        <w:autoSpaceDE/>
        <w:autoSpaceDN/>
        <w:adjustRightInd/>
        <w:spacing w:before="0"/>
        <w:textAlignment w:val="auto"/>
      </w:pPr>
      <w:r>
        <w:br w:type="page"/>
      </w:r>
    </w:p>
    <w:p w14:paraId="20408DAA" w14:textId="32816778" w:rsidR="00E0738F" w:rsidRPr="005456B9" w:rsidRDefault="00EB1F68" w:rsidP="00E0738F">
      <w:pPr>
        <w:pStyle w:val="Heading1"/>
        <w:rPr>
          <w:lang w:val="es-ES"/>
        </w:rPr>
      </w:pPr>
      <w:r>
        <w:rPr>
          <w:bCs/>
          <w:lang w:val="es-ES"/>
        </w:rPr>
        <w:lastRenderedPageBreak/>
        <w:t>1</w:t>
      </w:r>
      <w:r>
        <w:rPr>
          <w:bCs/>
          <w:lang w:val="es-ES"/>
        </w:rPr>
        <w:tab/>
      </w:r>
      <w:r w:rsidR="00E0738F" w:rsidRPr="005456B9">
        <w:rPr>
          <w:bCs/>
          <w:lang w:val="es-ES"/>
        </w:rPr>
        <w:t>Introducción</w:t>
      </w:r>
    </w:p>
    <w:p w14:paraId="67876D93" w14:textId="77777777" w:rsidR="00E0738F" w:rsidRDefault="00E0738F" w:rsidP="00EB1F68">
      <w:pPr>
        <w:rPr>
          <w:lang w:val="es-ES"/>
        </w:rPr>
      </w:pPr>
      <w:r w:rsidRPr="005456B9">
        <w:rPr>
          <w:lang w:val="es-ES"/>
        </w:rPr>
        <w:t>La Conferencia Mundial de Radiocomunicaciones, celebrada en Dubái (Emiratos Árabes Unidos) del 20 de noviembre al 15 de diciembre de 2023, adoptó algunas decisiones sobre nuevas actividades, estudios y mejora de los sistemas e infraestructuras existentes para que la Oficina de Radiocomunicaciones pudiera responder de manera oportuna a las demandas de los Miembros y abordar también cuestiones estratégicas que requerirán la atención de la CMR-27. La CMR-23 identificó estas actividades como áreas prioritarias para el UIT-R, y la Oficina de Radiocomunicaciones tiene el mandato de implementar estas actividades e informar a la próxima Conferencia (CMR-27).</w:t>
      </w:r>
    </w:p>
    <w:p w14:paraId="518390CB" w14:textId="446FAA37" w:rsidR="00E0738F" w:rsidRDefault="00EB1F68" w:rsidP="00E0738F">
      <w:pPr>
        <w:pStyle w:val="Heading1"/>
        <w:rPr>
          <w:lang w:val="es-ES"/>
        </w:rPr>
      </w:pPr>
      <w:r>
        <w:rPr>
          <w:bCs/>
          <w:lang w:val="es-ES"/>
        </w:rPr>
        <w:t>2</w:t>
      </w:r>
      <w:r>
        <w:rPr>
          <w:bCs/>
          <w:lang w:val="es-ES"/>
        </w:rPr>
        <w:tab/>
      </w:r>
      <w:r w:rsidR="00E0738F" w:rsidRPr="005456B9">
        <w:rPr>
          <w:bCs/>
          <w:lang w:val="es-ES"/>
        </w:rPr>
        <w:t>Consecuencias financieras de las Decisiones o Resoluciones de la Conferencia (CMR-23)</w:t>
      </w:r>
    </w:p>
    <w:p w14:paraId="3F56A745" w14:textId="7ED3C5A3" w:rsidR="00E0738F" w:rsidRPr="005456B9" w:rsidRDefault="00E0738F" w:rsidP="00EB1F68">
      <w:pPr>
        <w:rPr>
          <w:lang w:val="es-ES"/>
        </w:rPr>
      </w:pPr>
      <w:r w:rsidRPr="005456B9">
        <w:rPr>
          <w:lang w:val="es-ES"/>
        </w:rPr>
        <w:t>Sobre la base de los resultados de la Conferencia, la Comisión de Control del Presupuesto estimó que las repercusiones financieras de las decisiones de la CMR-23 se cifraban en 12,5</w:t>
      </w:r>
      <w:r w:rsidR="00EB1F68">
        <w:rPr>
          <w:lang w:val="es-ES"/>
        </w:rPr>
        <w:t> </w:t>
      </w:r>
      <w:r w:rsidRPr="005456B9">
        <w:rPr>
          <w:lang w:val="es-ES"/>
        </w:rPr>
        <w:t xml:space="preserve">millones de CHF (véase </w:t>
      </w:r>
      <w:hyperlink r:id="rId11" w:history="1">
        <w:r w:rsidRPr="005456B9">
          <w:rPr>
            <w:rStyle w:val="Hyperlink"/>
            <w:spacing w:val="-2"/>
            <w:lang w:val="es-ES"/>
          </w:rPr>
          <w:t>C24/IN</w:t>
        </w:r>
        <w:r w:rsidRPr="005456B9">
          <w:rPr>
            <w:rStyle w:val="Hyperlink"/>
            <w:spacing w:val="-2"/>
            <w:lang w:val="es-ES"/>
          </w:rPr>
          <w:t>F</w:t>
        </w:r>
        <w:r w:rsidRPr="005456B9">
          <w:rPr>
            <w:rStyle w:val="Hyperlink"/>
            <w:spacing w:val="-2"/>
            <w:lang w:val="es-ES"/>
          </w:rPr>
          <w:t>/2</w:t>
        </w:r>
      </w:hyperlink>
      <w:r w:rsidRPr="005456B9">
        <w:rPr>
          <w:lang w:val="es-ES"/>
        </w:rPr>
        <w:t>). Por motivos prácticos, en esta sección se presenta la información proporcionada en el Informe de la Comisión de Control del Presupuesto de la CMR-23. En el Cuadro 1 se expone un resumen general de las estimaciones en cada una de las principales esferas de responsabilidad, a saber:</w:t>
      </w:r>
    </w:p>
    <w:p w14:paraId="2F135BD8" w14:textId="45BEFA4E" w:rsidR="00E0738F" w:rsidRPr="00EB1F68" w:rsidRDefault="00EB1F68" w:rsidP="00EB1F68">
      <w:pPr>
        <w:pStyle w:val="enumlev1"/>
      </w:pPr>
      <w:r>
        <w:sym w:font="Symbol" w:char="F0B7"/>
      </w:r>
      <w:r>
        <w:tab/>
      </w:r>
      <w:r w:rsidR="00E0738F" w:rsidRPr="00EB1F68">
        <w:t>Comisión de Estudio - repercusiones financieras relacionadas con los preparativos de las Conferencias Mundiales de Radiocomunicaciones de 2027 y 2031</w:t>
      </w:r>
      <w:r>
        <w:t>.</w:t>
      </w:r>
    </w:p>
    <w:p w14:paraId="14B74776" w14:textId="4A954E3D" w:rsidR="00E0738F" w:rsidRPr="005456B9" w:rsidRDefault="00EB1F68" w:rsidP="00EB1F68">
      <w:pPr>
        <w:pStyle w:val="enumlev1"/>
        <w:rPr>
          <w:bCs/>
          <w:lang w:val="es-ES"/>
        </w:rPr>
      </w:pPr>
      <w:r>
        <w:sym w:font="Symbol" w:char="F0B7"/>
      </w:r>
      <w:r>
        <w:tab/>
      </w:r>
      <w:r w:rsidR="00E0738F" w:rsidRPr="00EB1F68">
        <w:t>Terrenal - repercusiones financieras relacionadas con las actualizaciones del Reglamento de Radiocomunicaciones relativas a los servicios terrenales</w:t>
      </w:r>
      <w:r>
        <w:t>.</w:t>
      </w:r>
    </w:p>
    <w:p w14:paraId="563D331D" w14:textId="5CE75413" w:rsidR="00E0738F" w:rsidRPr="005456B9" w:rsidRDefault="00EB1F68" w:rsidP="00EB1F68">
      <w:pPr>
        <w:pStyle w:val="enumlev1"/>
        <w:rPr>
          <w:bCs/>
          <w:lang w:val="es-ES"/>
        </w:rPr>
      </w:pPr>
      <w:r>
        <w:sym w:font="Symbol" w:char="F0B7"/>
      </w:r>
      <w:r>
        <w:tab/>
      </w:r>
      <w:r w:rsidR="00E0738F" w:rsidRPr="00EB1F68">
        <w:t>Espacial - repercusiones financieras relacionadas con las actualizaciones del Reglamento de Radiocomunicaciones relativas a los servicios espaciales</w:t>
      </w:r>
      <w:r>
        <w:t>.</w:t>
      </w:r>
    </w:p>
    <w:p w14:paraId="04DEB0B0" w14:textId="77777777" w:rsidR="00E0738F" w:rsidRPr="005456B9" w:rsidRDefault="00E0738F" w:rsidP="00E0738F">
      <w:pPr>
        <w:rPr>
          <w:lang w:val="es-ES"/>
        </w:rPr>
      </w:pPr>
    </w:p>
    <w:p w14:paraId="6E2CF88C" w14:textId="77777777" w:rsidR="00E0738F" w:rsidRPr="005456B9" w:rsidRDefault="00E0738F" w:rsidP="00E0738F">
      <w:pPr>
        <w:pStyle w:val="TableNo"/>
        <w:spacing w:before="0" w:after="0"/>
        <w:rPr>
          <w:b/>
          <w:bCs/>
          <w:lang w:val="es-ES"/>
        </w:rPr>
      </w:pPr>
      <w:r w:rsidRPr="005456B9">
        <w:rPr>
          <w:b/>
          <w:bCs/>
          <w:lang w:val="es-ES"/>
        </w:rPr>
        <w:t>Cuadro 1</w:t>
      </w:r>
    </w:p>
    <w:p w14:paraId="4E47FDEE" w14:textId="77777777" w:rsidR="00E0738F" w:rsidRPr="00EB1F68" w:rsidRDefault="00E0738F" w:rsidP="00EB1F68">
      <w:pPr>
        <w:pStyle w:val="Tabletitle"/>
      </w:pPr>
      <w:r w:rsidRPr="00EB1F68">
        <w:t>REPERCUSIONES FINANCIERAS PARA 2024-2027</w:t>
      </w:r>
    </w:p>
    <w:tbl>
      <w:tblPr>
        <w:tblW w:w="5000" w:type="pct"/>
        <w:tblCellMar>
          <w:left w:w="70" w:type="dxa"/>
          <w:right w:w="70" w:type="dxa"/>
        </w:tblCellMar>
        <w:tblLook w:val="04A0" w:firstRow="1" w:lastRow="0" w:firstColumn="1" w:lastColumn="0" w:noHBand="0" w:noVBand="1"/>
      </w:tblPr>
      <w:tblGrid>
        <w:gridCol w:w="5473"/>
        <w:gridCol w:w="146"/>
        <w:gridCol w:w="1065"/>
        <w:gridCol w:w="1219"/>
        <w:gridCol w:w="1168"/>
      </w:tblGrid>
      <w:tr w:rsidR="00D45093" w:rsidRPr="00DF2617" w14:paraId="24501F03" w14:textId="77777777" w:rsidTr="0076578C">
        <w:trPr>
          <w:trHeight w:val="172"/>
        </w:trPr>
        <w:tc>
          <w:tcPr>
            <w:tcW w:w="3018" w:type="pct"/>
            <w:tcBorders>
              <w:bottom w:val="single" w:sz="4" w:space="0" w:color="auto"/>
            </w:tcBorders>
            <w:shd w:val="clear" w:color="auto" w:fill="auto"/>
            <w:noWrap/>
            <w:vAlign w:val="center"/>
          </w:tcPr>
          <w:p w14:paraId="57D20304" w14:textId="77777777" w:rsidR="00D45093" w:rsidRPr="00DF2617" w:rsidRDefault="00D45093" w:rsidP="0076578C">
            <w:pPr>
              <w:pStyle w:val="Tablehead"/>
              <w:rPr>
                <w:lang w:val="es-ES" w:eastAsia="es-ES"/>
              </w:rPr>
            </w:pPr>
          </w:p>
        </w:tc>
        <w:tc>
          <w:tcPr>
            <w:tcW w:w="76" w:type="pct"/>
            <w:tcBorders>
              <w:left w:val="nil"/>
              <w:bottom w:val="nil"/>
            </w:tcBorders>
            <w:shd w:val="clear" w:color="auto" w:fill="auto"/>
            <w:noWrap/>
            <w:vAlign w:val="bottom"/>
          </w:tcPr>
          <w:p w14:paraId="2ECA8B7E" w14:textId="77777777" w:rsidR="00D45093" w:rsidRPr="00DF2617" w:rsidRDefault="00D45093" w:rsidP="0076578C">
            <w:pPr>
              <w:tabs>
                <w:tab w:val="clear" w:pos="1134"/>
                <w:tab w:val="clear" w:pos="2268"/>
              </w:tabs>
              <w:overflowPunct/>
              <w:autoSpaceDE/>
              <w:autoSpaceDN/>
              <w:adjustRightInd/>
              <w:spacing w:before="0"/>
              <w:jc w:val="center"/>
              <w:textAlignment w:val="auto"/>
              <w:rPr>
                <w:rFonts w:cs="Calibri"/>
                <w:b/>
                <w:bCs/>
                <w:color w:val="000000"/>
                <w:szCs w:val="24"/>
                <w:lang w:val="es-ES" w:eastAsia="es-ES"/>
              </w:rPr>
            </w:pPr>
          </w:p>
        </w:tc>
        <w:tc>
          <w:tcPr>
            <w:tcW w:w="1906" w:type="pct"/>
            <w:gridSpan w:val="3"/>
            <w:tcBorders>
              <w:bottom w:val="single" w:sz="4" w:space="0" w:color="auto"/>
            </w:tcBorders>
            <w:shd w:val="clear" w:color="auto" w:fill="auto"/>
            <w:vAlign w:val="center"/>
          </w:tcPr>
          <w:p w14:paraId="2B562EDA" w14:textId="77777777" w:rsidR="00D45093" w:rsidRPr="00CF773E" w:rsidRDefault="00D45093" w:rsidP="0076578C">
            <w:pPr>
              <w:pStyle w:val="Tablehead"/>
              <w:rPr>
                <w:b w:val="0"/>
                <w:i/>
                <w:iCs/>
                <w:color w:val="000000"/>
                <w:szCs w:val="24"/>
                <w:lang w:val="es-ES" w:eastAsia="es-ES"/>
              </w:rPr>
            </w:pPr>
            <w:r w:rsidRPr="00CF773E">
              <w:rPr>
                <w:b w:val="0"/>
                <w:i/>
                <w:iCs/>
                <w:color w:val="000000"/>
                <w:szCs w:val="24"/>
                <w:lang w:val="es-ES" w:eastAsia="es-ES"/>
              </w:rPr>
              <w:t>en CHF</w:t>
            </w:r>
          </w:p>
        </w:tc>
      </w:tr>
      <w:tr w:rsidR="00D45093" w:rsidRPr="00DF2617" w14:paraId="6EFF423A" w14:textId="77777777" w:rsidTr="0076578C">
        <w:trPr>
          <w:trHeight w:val="475"/>
        </w:trPr>
        <w:tc>
          <w:tcPr>
            <w:tcW w:w="3018" w:type="pct"/>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30C28A4F" w14:textId="77777777" w:rsidR="00D45093" w:rsidRPr="00DF2617" w:rsidRDefault="00D45093" w:rsidP="0076578C">
            <w:pPr>
              <w:pStyle w:val="Tablehead"/>
              <w:rPr>
                <w:lang w:val="es-ES" w:eastAsia="es-ES"/>
              </w:rPr>
            </w:pPr>
            <w:r w:rsidRPr="00DF2617">
              <w:rPr>
                <w:lang w:val="es-ES" w:eastAsia="es-ES"/>
              </w:rPr>
              <w:t>Esfera de responsabilidad</w:t>
            </w:r>
          </w:p>
        </w:tc>
        <w:tc>
          <w:tcPr>
            <w:tcW w:w="76" w:type="pct"/>
            <w:tcBorders>
              <w:top w:val="nil"/>
              <w:left w:val="nil"/>
              <w:bottom w:val="nil"/>
              <w:right w:val="nil"/>
            </w:tcBorders>
            <w:shd w:val="clear" w:color="auto" w:fill="auto"/>
            <w:noWrap/>
            <w:vAlign w:val="bottom"/>
            <w:hideMark/>
          </w:tcPr>
          <w:p w14:paraId="3240D8D5" w14:textId="77777777" w:rsidR="00D45093" w:rsidRPr="00DF2617" w:rsidRDefault="00D45093" w:rsidP="0076578C">
            <w:pPr>
              <w:tabs>
                <w:tab w:val="clear" w:pos="1134"/>
                <w:tab w:val="clear" w:pos="2268"/>
              </w:tabs>
              <w:overflowPunct/>
              <w:autoSpaceDE/>
              <w:autoSpaceDN/>
              <w:adjustRightInd/>
              <w:spacing w:before="0"/>
              <w:jc w:val="center"/>
              <w:textAlignment w:val="auto"/>
              <w:rPr>
                <w:rFonts w:cs="Calibri"/>
                <w:b/>
                <w:bCs/>
                <w:color w:val="000000"/>
                <w:szCs w:val="24"/>
                <w:lang w:val="es-ES" w:eastAsia="es-ES"/>
              </w:rPr>
            </w:pPr>
          </w:p>
        </w:tc>
        <w:tc>
          <w:tcPr>
            <w:tcW w:w="588" w:type="pct"/>
            <w:tcBorders>
              <w:top w:val="single" w:sz="4" w:space="0" w:color="auto"/>
              <w:left w:val="single" w:sz="4" w:space="0" w:color="auto"/>
              <w:bottom w:val="single" w:sz="4" w:space="0" w:color="auto"/>
              <w:right w:val="single" w:sz="4" w:space="0" w:color="auto"/>
            </w:tcBorders>
            <w:shd w:val="clear" w:color="000000" w:fill="8497B0"/>
            <w:vAlign w:val="center"/>
            <w:hideMark/>
          </w:tcPr>
          <w:p w14:paraId="7CCB3EF0" w14:textId="77777777" w:rsidR="00D45093" w:rsidRPr="00DF2617" w:rsidRDefault="00D45093" w:rsidP="0076578C">
            <w:pPr>
              <w:pStyle w:val="Tablehead"/>
              <w:rPr>
                <w:rFonts w:cs="Calibri"/>
                <w:b w:val="0"/>
                <w:bCs/>
                <w:color w:val="000000"/>
                <w:szCs w:val="24"/>
                <w:lang w:val="es-ES" w:eastAsia="es-ES"/>
              </w:rPr>
            </w:pPr>
            <w:r w:rsidRPr="002B26C8">
              <w:rPr>
                <w:lang w:val="es-ES" w:eastAsia="es-ES"/>
              </w:rPr>
              <w:t>Gastos</w:t>
            </w:r>
            <w:r w:rsidRPr="00CF773E">
              <w:rPr>
                <w:lang w:val="es-ES" w:eastAsia="es-ES"/>
              </w:rPr>
              <w:t xml:space="preserve"> puntuales</w:t>
            </w:r>
          </w:p>
        </w:tc>
        <w:tc>
          <w:tcPr>
            <w:tcW w:w="673" w:type="pct"/>
            <w:tcBorders>
              <w:top w:val="single" w:sz="4" w:space="0" w:color="auto"/>
              <w:left w:val="nil"/>
              <w:bottom w:val="single" w:sz="4" w:space="0" w:color="auto"/>
              <w:right w:val="single" w:sz="4" w:space="0" w:color="auto"/>
            </w:tcBorders>
            <w:shd w:val="clear" w:color="000000" w:fill="8EA9DB"/>
            <w:vAlign w:val="center"/>
            <w:hideMark/>
          </w:tcPr>
          <w:p w14:paraId="1C3A7C0B" w14:textId="77777777" w:rsidR="00D45093" w:rsidRPr="00DF2617" w:rsidRDefault="00D45093" w:rsidP="0076578C">
            <w:pPr>
              <w:pStyle w:val="Tablehead"/>
              <w:rPr>
                <w:rFonts w:cs="Calibri"/>
                <w:b w:val="0"/>
                <w:bCs/>
                <w:color w:val="000000"/>
                <w:szCs w:val="24"/>
                <w:lang w:val="es-ES" w:eastAsia="es-ES"/>
              </w:rPr>
            </w:pPr>
            <w:r w:rsidRPr="00CF773E">
              <w:rPr>
                <w:lang w:val="es-ES" w:eastAsia="es-ES"/>
              </w:rPr>
              <w:t xml:space="preserve">Gastos </w:t>
            </w:r>
            <w:r w:rsidRPr="002B26C8">
              <w:rPr>
                <w:lang w:val="es-ES" w:eastAsia="es-ES"/>
              </w:rPr>
              <w:t>anuales</w:t>
            </w:r>
            <w:r w:rsidRPr="00CF773E">
              <w:rPr>
                <w:lang w:val="es-ES" w:eastAsia="es-ES"/>
              </w:rPr>
              <w:t xml:space="preserve"> recurrentes</w:t>
            </w:r>
          </w:p>
        </w:tc>
        <w:tc>
          <w:tcPr>
            <w:tcW w:w="645" w:type="pct"/>
            <w:tcBorders>
              <w:top w:val="single" w:sz="4" w:space="0" w:color="auto"/>
              <w:left w:val="nil"/>
              <w:bottom w:val="single" w:sz="4" w:space="0" w:color="auto"/>
              <w:right w:val="single" w:sz="4" w:space="0" w:color="auto"/>
            </w:tcBorders>
            <w:shd w:val="clear" w:color="000000" w:fill="9BC2E6"/>
            <w:vAlign w:val="center"/>
            <w:hideMark/>
          </w:tcPr>
          <w:p w14:paraId="0AB57968" w14:textId="77777777" w:rsidR="00D45093" w:rsidRPr="00CF773E" w:rsidRDefault="00D45093" w:rsidP="0076578C">
            <w:pPr>
              <w:pStyle w:val="Tablehead"/>
              <w:rPr>
                <w:lang w:val="es-ES" w:eastAsia="es-ES"/>
              </w:rPr>
            </w:pPr>
            <w:r w:rsidRPr="00CF773E">
              <w:rPr>
                <w:lang w:val="es-ES" w:eastAsia="es-ES"/>
              </w:rPr>
              <w:t xml:space="preserve">Total </w:t>
            </w:r>
            <w:r w:rsidRPr="00CF773E">
              <w:rPr>
                <w:lang w:val="es-ES" w:eastAsia="es-ES"/>
              </w:rPr>
              <w:br/>
              <w:t>2024-2027</w:t>
            </w:r>
          </w:p>
        </w:tc>
      </w:tr>
      <w:tr w:rsidR="00D45093" w:rsidRPr="00DF2617" w14:paraId="34193B7E" w14:textId="77777777" w:rsidTr="0076578C">
        <w:trPr>
          <w:trHeight w:val="310"/>
        </w:trPr>
        <w:tc>
          <w:tcPr>
            <w:tcW w:w="3018" w:type="pct"/>
            <w:tcBorders>
              <w:top w:val="nil"/>
              <w:left w:val="single" w:sz="4" w:space="0" w:color="auto"/>
              <w:bottom w:val="single" w:sz="4" w:space="0" w:color="auto"/>
              <w:right w:val="single" w:sz="4" w:space="0" w:color="auto"/>
            </w:tcBorders>
            <w:shd w:val="clear" w:color="000000" w:fill="E2EFDA"/>
            <w:vAlign w:val="bottom"/>
            <w:hideMark/>
          </w:tcPr>
          <w:p w14:paraId="519C94CB" w14:textId="77777777" w:rsidR="00D45093" w:rsidRPr="00DF2617" w:rsidRDefault="00D45093" w:rsidP="0076578C">
            <w:pPr>
              <w:pStyle w:val="Tabletext"/>
              <w:rPr>
                <w:lang w:val="es-ES" w:eastAsia="es-ES"/>
              </w:rPr>
            </w:pPr>
            <w:r w:rsidRPr="00DF2617">
              <w:rPr>
                <w:lang w:val="es-ES" w:eastAsia="es-ES"/>
              </w:rPr>
              <w:t>Comisiones de Estudio</w:t>
            </w:r>
          </w:p>
        </w:tc>
        <w:tc>
          <w:tcPr>
            <w:tcW w:w="76" w:type="pct"/>
            <w:tcBorders>
              <w:top w:val="nil"/>
              <w:left w:val="nil"/>
              <w:bottom w:val="nil"/>
              <w:right w:val="nil"/>
            </w:tcBorders>
            <w:shd w:val="clear" w:color="auto" w:fill="auto"/>
            <w:noWrap/>
            <w:vAlign w:val="bottom"/>
            <w:hideMark/>
          </w:tcPr>
          <w:p w14:paraId="7F0514F8" w14:textId="77777777" w:rsidR="00D45093" w:rsidRPr="00DF2617" w:rsidRDefault="00D45093" w:rsidP="0076578C">
            <w:pPr>
              <w:tabs>
                <w:tab w:val="clear" w:pos="1134"/>
                <w:tab w:val="clear" w:pos="2268"/>
              </w:tabs>
              <w:overflowPunct/>
              <w:autoSpaceDE/>
              <w:autoSpaceDN/>
              <w:adjustRightInd/>
              <w:spacing w:before="0"/>
              <w:textAlignment w:val="auto"/>
              <w:rPr>
                <w:rFonts w:cs="Calibri"/>
                <w:color w:val="000000"/>
                <w:szCs w:val="24"/>
                <w:lang w:val="es-ES" w:eastAsia="es-ES"/>
              </w:rPr>
            </w:pPr>
          </w:p>
        </w:tc>
        <w:tc>
          <w:tcPr>
            <w:tcW w:w="588" w:type="pct"/>
            <w:tcBorders>
              <w:top w:val="nil"/>
              <w:left w:val="single" w:sz="4" w:space="0" w:color="auto"/>
              <w:bottom w:val="single" w:sz="4" w:space="0" w:color="auto"/>
              <w:right w:val="single" w:sz="4" w:space="0" w:color="auto"/>
            </w:tcBorders>
            <w:shd w:val="clear" w:color="000000" w:fill="D6DCE4"/>
            <w:noWrap/>
            <w:vAlign w:val="bottom"/>
            <w:hideMark/>
          </w:tcPr>
          <w:p w14:paraId="01027D83" w14:textId="7DE85F7B" w:rsidR="00D45093" w:rsidRPr="002B26C8" w:rsidRDefault="00D45093" w:rsidP="00B2676A">
            <w:pPr>
              <w:pStyle w:val="Tabletext"/>
              <w:jc w:val="center"/>
              <w:rPr>
                <w:lang w:val="es-ES" w:eastAsia="es-ES"/>
              </w:rPr>
            </w:pPr>
            <w:r w:rsidRPr="002B26C8">
              <w:rPr>
                <w:lang w:val="es-ES" w:eastAsia="es-ES"/>
              </w:rPr>
              <w:t>594</w:t>
            </w:r>
            <w:r w:rsidR="00BE41AA">
              <w:rPr>
                <w:lang w:val="es-ES"/>
              </w:rPr>
              <w:t> </w:t>
            </w:r>
            <w:r w:rsidRPr="002B26C8">
              <w:rPr>
                <w:lang w:val="es-ES" w:eastAsia="es-ES"/>
              </w:rPr>
              <w:t>900</w:t>
            </w:r>
          </w:p>
        </w:tc>
        <w:tc>
          <w:tcPr>
            <w:tcW w:w="673" w:type="pct"/>
            <w:tcBorders>
              <w:top w:val="nil"/>
              <w:left w:val="nil"/>
              <w:bottom w:val="single" w:sz="4" w:space="0" w:color="auto"/>
              <w:right w:val="nil"/>
            </w:tcBorders>
            <w:shd w:val="clear" w:color="000000" w:fill="D9E1F2"/>
            <w:noWrap/>
            <w:vAlign w:val="bottom"/>
            <w:hideMark/>
          </w:tcPr>
          <w:p w14:paraId="5795B12D" w14:textId="5055D879" w:rsidR="00D45093" w:rsidRPr="002B26C8" w:rsidRDefault="00D45093" w:rsidP="00B2676A">
            <w:pPr>
              <w:pStyle w:val="Tabletext"/>
              <w:jc w:val="center"/>
              <w:rPr>
                <w:lang w:val="es-ES" w:eastAsia="es-ES"/>
              </w:rPr>
            </w:pPr>
            <w:r w:rsidRPr="002B26C8">
              <w:rPr>
                <w:lang w:val="es-ES" w:eastAsia="es-ES"/>
              </w:rPr>
              <w:t>326</w:t>
            </w:r>
            <w:r w:rsidR="00BE41AA">
              <w:rPr>
                <w:lang w:val="es-ES"/>
              </w:rPr>
              <w:t> </w:t>
            </w:r>
            <w:r w:rsidRPr="002B26C8">
              <w:rPr>
                <w:lang w:val="es-ES" w:eastAsia="es-ES"/>
              </w:rPr>
              <w:t>340</w:t>
            </w:r>
          </w:p>
        </w:tc>
        <w:tc>
          <w:tcPr>
            <w:tcW w:w="645" w:type="pct"/>
            <w:tcBorders>
              <w:top w:val="nil"/>
              <w:left w:val="single" w:sz="4" w:space="0" w:color="auto"/>
              <w:bottom w:val="single" w:sz="4" w:space="0" w:color="auto"/>
              <w:right w:val="single" w:sz="4" w:space="0" w:color="auto"/>
            </w:tcBorders>
            <w:shd w:val="clear" w:color="000000" w:fill="DDEBF7"/>
            <w:noWrap/>
            <w:vAlign w:val="bottom"/>
            <w:hideMark/>
          </w:tcPr>
          <w:p w14:paraId="24BAFA18" w14:textId="25748FB7" w:rsidR="00D45093" w:rsidRPr="002B26C8" w:rsidRDefault="00D45093" w:rsidP="00B2676A">
            <w:pPr>
              <w:pStyle w:val="Tabletext"/>
              <w:jc w:val="center"/>
              <w:rPr>
                <w:lang w:val="es-ES" w:eastAsia="es-ES"/>
              </w:rPr>
            </w:pPr>
            <w:r w:rsidRPr="002B26C8">
              <w:rPr>
                <w:lang w:val="es-ES" w:eastAsia="es-ES"/>
              </w:rPr>
              <w:t>1</w:t>
            </w:r>
            <w:r w:rsidR="00BE41AA">
              <w:rPr>
                <w:lang w:val="es-ES"/>
              </w:rPr>
              <w:t> </w:t>
            </w:r>
            <w:r w:rsidRPr="002B26C8">
              <w:rPr>
                <w:lang w:val="es-ES" w:eastAsia="es-ES"/>
              </w:rPr>
              <w:t>900</w:t>
            </w:r>
            <w:r w:rsidR="00BE41AA">
              <w:rPr>
                <w:lang w:val="es-ES"/>
              </w:rPr>
              <w:t> </w:t>
            </w:r>
            <w:r w:rsidRPr="002B26C8">
              <w:rPr>
                <w:lang w:val="es-ES" w:eastAsia="es-ES"/>
              </w:rPr>
              <w:t>260</w:t>
            </w:r>
          </w:p>
        </w:tc>
      </w:tr>
      <w:tr w:rsidR="00D45093" w:rsidRPr="00DF2617" w14:paraId="2F7B1799" w14:textId="77777777" w:rsidTr="0076578C">
        <w:trPr>
          <w:trHeight w:val="310"/>
        </w:trPr>
        <w:tc>
          <w:tcPr>
            <w:tcW w:w="3018" w:type="pct"/>
            <w:tcBorders>
              <w:top w:val="nil"/>
              <w:left w:val="single" w:sz="4" w:space="0" w:color="auto"/>
              <w:bottom w:val="single" w:sz="4" w:space="0" w:color="auto"/>
              <w:right w:val="single" w:sz="4" w:space="0" w:color="auto"/>
            </w:tcBorders>
            <w:shd w:val="clear" w:color="000000" w:fill="E2EFDA"/>
            <w:vAlign w:val="bottom"/>
            <w:hideMark/>
          </w:tcPr>
          <w:p w14:paraId="470C2345" w14:textId="77777777" w:rsidR="00D45093" w:rsidRPr="002B26C8" w:rsidRDefault="00D45093" w:rsidP="0076578C">
            <w:pPr>
              <w:pStyle w:val="Tabletext"/>
              <w:rPr>
                <w:lang w:val="es-ES" w:eastAsia="es-ES"/>
              </w:rPr>
            </w:pPr>
            <w:r w:rsidRPr="002B26C8">
              <w:rPr>
                <w:lang w:val="es-ES" w:eastAsia="es-ES"/>
              </w:rPr>
              <w:t>Servicios terrenales</w:t>
            </w:r>
          </w:p>
        </w:tc>
        <w:tc>
          <w:tcPr>
            <w:tcW w:w="76" w:type="pct"/>
            <w:tcBorders>
              <w:top w:val="nil"/>
              <w:left w:val="nil"/>
              <w:bottom w:val="nil"/>
              <w:right w:val="nil"/>
            </w:tcBorders>
            <w:shd w:val="clear" w:color="auto" w:fill="auto"/>
            <w:noWrap/>
            <w:vAlign w:val="bottom"/>
            <w:hideMark/>
          </w:tcPr>
          <w:p w14:paraId="37B1E762" w14:textId="77777777" w:rsidR="00D45093" w:rsidRPr="00DF2617" w:rsidRDefault="00D45093" w:rsidP="0076578C">
            <w:pPr>
              <w:tabs>
                <w:tab w:val="clear" w:pos="1134"/>
                <w:tab w:val="clear" w:pos="2268"/>
              </w:tabs>
              <w:overflowPunct/>
              <w:autoSpaceDE/>
              <w:autoSpaceDN/>
              <w:adjustRightInd/>
              <w:spacing w:before="0"/>
              <w:textAlignment w:val="auto"/>
              <w:rPr>
                <w:rFonts w:cs="Calibri"/>
                <w:color w:val="000000"/>
                <w:szCs w:val="24"/>
                <w:lang w:val="es-ES" w:eastAsia="es-ES"/>
              </w:rPr>
            </w:pPr>
          </w:p>
        </w:tc>
        <w:tc>
          <w:tcPr>
            <w:tcW w:w="588" w:type="pct"/>
            <w:tcBorders>
              <w:top w:val="nil"/>
              <w:left w:val="single" w:sz="4" w:space="0" w:color="auto"/>
              <w:bottom w:val="single" w:sz="4" w:space="0" w:color="auto"/>
              <w:right w:val="single" w:sz="4" w:space="0" w:color="auto"/>
            </w:tcBorders>
            <w:shd w:val="clear" w:color="000000" w:fill="D6DCE4"/>
            <w:noWrap/>
            <w:vAlign w:val="bottom"/>
            <w:hideMark/>
          </w:tcPr>
          <w:p w14:paraId="3F0661DC" w14:textId="6A3E6650" w:rsidR="00D45093" w:rsidRPr="002B26C8" w:rsidRDefault="00D45093" w:rsidP="00B2676A">
            <w:pPr>
              <w:pStyle w:val="Tabletext"/>
              <w:jc w:val="center"/>
              <w:rPr>
                <w:lang w:val="es-ES" w:eastAsia="es-ES"/>
              </w:rPr>
            </w:pPr>
            <w:r w:rsidRPr="002B26C8">
              <w:rPr>
                <w:lang w:val="es-ES" w:eastAsia="es-ES"/>
              </w:rPr>
              <w:t>350</w:t>
            </w:r>
            <w:r w:rsidR="00BE41AA">
              <w:rPr>
                <w:lang w:val="es-ES"/>
              </w:rPr>
              <w:t> </w:t>
            </w:r>
            <w:r w:rsidRPr="002B26C8">
              <w:rPr>
                <w:lang w:val="es-ES" w:eastAsia="es-ES"/>
              </w:rPr>
              <w:t>568</w:t>
            </w:r>
          </w:p>
        </w:tc>
        <w:tc>
          <w:tcPr>
            <w:tcW w:w="673" w:type="pct"/>
            <w:tcBorders>
              <w:top w:val="nil"/>
              <w:left w:val="nil"/>
              <w:bottom w:val="single" w:sz="4" w:space="0" w:color="auto"/>
              <w:right w:val="nil"/>
            </w:tcBorders>
            <w:shd w:val="clear" w:color="000000" w:fill="D9E1F2"/>
            <w:noWrap/>
            <w:vAlign w:val="bottom"/>
            <w:hideMark/>
          </w:tcPr>
          <w:p w14:paraId="72E504CB" w14:textId="77777777" w:rsidR="00D45093" w:rsidRPr="002B26C8" w:rsidRDefault="00D45093" w:rsidP="00B2676A">
            <w:pPr>
              <w:pStyle w:val="Tabletext"/>
              <w:jc w:val="center"/>
              <w:rPr>
                <w:lang w:val="es-ES" w:eastAsia="es-ES"/>
              </w:rPr>
            </w:pPr>
            <w:r w:rsidRPr="002B26C8">
              <w:rPr>
                <w:lang w:val="es-ES" w:eastAsia="es-ES"/>
              </w:rPr>
              <w:t>0</w:t>
            </w:r>
          </w:p>
        </w:tc>
        <w:tc>
          <w:tcPr>
            <w:tcW w:w="645" w:type="pct"/>
            <w:tcBorders>
              <w:top w:val="nil"/>
              <w:left w:val="single" w:sz="4" w:space="0" w:color="auto"/>
              <w:bottom w:val="single" w:sz="4" w:space="0" w:color="auto"/>
              <w:right w:val="single" w:sz="4" w:space="0" w:color="auto"/>
            </w:tcBorders>
            <w:shd w:val="clear" w:color="000000" w:fill="DDEBF7"/>
            <w:noWrap/>
            <w:vAlign w:val="bottom"/>
            <w:hideMark/>
          </w:tcPr>
          <w:p w14:paraId="56F5D1B6" w14:textId="155088DA" w:rsidR="00D45093" w:rsidRPr="002B26C8" w:rsidRDefault="00D45093" w:rsidP="00B2676A">
            <w:pPr>
              <w:pStyle w:val="Tabletext"/>
              <w:jc w:val="center"/>
              <w:rPr>
                <w:lang w:val="es-ES" w:eastAsia="es-ES"/>
              </w:rPr>
            </w:pPr>
            <w:r w:rsidRPr="002B26C8">
              <w:rPr>
                <w:lang w:val="es-ES" w:eastAsia="es-ES"/>
              </w:rPr>
              <w:t>350</w:t>
            </w:r>
            <w:r w:rsidR="00BE41AA">
              <w:rPr>
                <w:lang w:val="es-ES"/>
              </w:rPr>
              <w:t> </w:t>
            </w:r>
            <w:r w:rsidRPr="002B26C8">
              <w:rPr>
                <w:lang w:val="es-ES" w:eastAsia="es-ES"/>
              </w:rPr>
              <w:t>568</w:t>
            </w:r>
          </w:p>
        </w:tc>
      </w:tr>
      <w:tr w:rsidR="00D45093" w:rsidRPr="00DF2617" w14:paraId="0629F21C" w14:textId="77777777" w:rsidTr="0076578C">
        <w:trPr>
          <w:trHeight w:val="310"/>
        </w:trPr>
        <w:tc>
          <w:tcPr>
            <w:tcW w:w="3018" w:type="pct"/>
            <w:tcBorders>
              <w:top w:val="nil"/>
              <w:left w:val="single" w:sz="4" w:space="0" w:color="auto"/>
              <w:bottom w:val="single" w:sz="4" w:space="0" w:color="auto"/>
              <w:right w:val="single" w:sz="4" w:space="0" w:color="auto"/>
            </w:tcBorders>
            <w:shd w:val="clear" w:color="000000" w:fill="E2EFDA"/>
            <w:vAlign w:val="bottom"/>
            <w:hideMark/>
          </w:tcPr>
          <w:p w14:paraId="20451250" w14:textId="77777777" w:rsidR="00D45093" w:rsidRPr="002B26C8" w:rsidRDefault="00D45093" w:rsidP="0076578C">
            <w:pPr>
              <w:pStyle w:val="Tabletext"/>
              <w:rPr>
                <w:lang w:val="es-ES" w:eastAsia="es-ES"/>
              </w:rPr>
            </w:pPr>
            <w:r w:rsidRPr="002B26C8">
              <w:rPr>
                <w:lang w:val="es-ES" w:eastAsia="es-ES"/>
              </w:rPr>
              <w:t>Servicios espaciales</w:t>
            </w:r>
          </w:p>
        </w:tc>
        <w:tc>
          <w:tcPr>
            <w:tcW w:w="76" w:type="pct"/>
            <w:tcBorders>
              <w:top w:val="nil"/>
              <w:left w:val="nil"/>
              <w:bottom w:val="nil"/>
              <w:right w:val="nil"/>
            </w:tcBorders>
            <w:shd w:val="clear" w:color="auto" w:fill="auto"/>
            <w:noWrap/>
            <w:vAlign w:val="bottom"/>
            <w:hideMark/>
          </w:tcPr>
          <w:p w14:paraId="14DC56B7" w14:textId="77777777" w:rsidR="00D45093" w:rsidRPr="00DF2617" w:rsidRDefault="00D45093" w:rsidP="0076578C">
            <w:pPr>
              <w:tabs>
                <w:tab w:val="clear" w:pos="1134"/>
                <w:tab w:val="clear" w:pos="2268"/>
              </w:tabs>
              <w:overflowPunct/>
              <w:autoSpaceDE/>
              <w:autoSpaceDN/>
              <w:adjustRightInd/>
              <w:spacing w:before="0"/>
              <w:textAlignment w:val="auto"/>
              <w:rPr>
                <w:rFonts w:cs="Calibri"/>
                <w:color w:val="000000"/>
                <w:szCs w:val="24"/>
                <w:lang w:val="es-ES" w:eastAsia="es-ES"/>
              </w:rPr>
            </w:pPr>
          </w:p>
        </w:tc>
        <w:tc>
          <w:tcPr>
            <w:tcW w:w="588" w:type="pct"/>
            <w:tcBorders>
              <w:top w:val="nil"/>
              <w:left w:val="single" w:sz="4" w:space="0" w:color="auto"/>
              <w:bottom w:val="single" w:sz="4" w:space="0" w:color="auto"/>
              <w:right w:val="single" w:sz="4" w:space="0" w:color="auto"/>
            </w:tcBorders>
            <w:shd w:val="clear" w:color="000000" w:fill="D6DCE4"/>
            <w:noWrap/>
            <w:vAlign w:val="bottom"/>
            <w:hideMark/>
          </w:tcPr>
          <w:p w14:paraId="63F7612D" w14:textId="411D09A4" w:rsidR="00D45093" w:rsidRPr="002B26C8" w:rsidRDefault="00D45093" w:rsidP="00B2676A">
            <w:pPr>
              <w:pStyle w:val="Tabletext"/>
              <w:jc w:val="center"/>
              <w:rPr>
                <w:lang w:val="es-ES" w:eastAsia="es-ES"/>
              </w:rPr>
            </w:pPr>
            <w:r w:rsidRPr="002B26C8">
              <w:rPr>
                <w:lang w:val="es-ES" w:eastAsia="es-ES"/>
              </w:rPr>
              <w:t>2</w:t>
            </w:r>
            <w:r w:rsidR="00BE41AA">
              <w:rPr>
                <w:lang w:val="es-ES"/>
              </w:rPr>
              <w:t> </w:t>
            </w:r>
            <w:r w:rsidRPr="002B26C8">
              <w:rPr>
                <w:lang w:val="es-ES" w:eastAsia="es-ES"/>
              </w:rPr>
              <w:t>979</w:t>
            </w:r>
            <w:r w:rsidR="00BE41AA">
              <w:rPr>
                <w:lang w:val="es-ES"/>
              </w:rPr>
              <w:t> </w:t>
            </w:r>
            <w:r w:rsidRPr="002B26C8">
              <w:rPr>
                <w:lang w:val="es-ES" w:eastAsia="es-ES"/>
              </w:rPr>
              <w:t>828</w:t>
            </w:r>
          </w:p>
        </w:tc>
        <w:tc>
          <w:tcPr>
            <w:tcW w:w="673" w:type="pct"/>
            <w:tcBorders>
              <w:top w:val="nil"/>
              <w:left w:val="nil"/>
              <w:bottom w:val="single" w:sz="4" w:space="0" w:color="auto"/>
              <w:right w:val="nil"/>
            </w:tcBorders>
            <w:shd w:val="clear" w:color="000000" w:fill="D9E1F2"/>
            <w:noWrap/>
            <w:vAlign w:val="bottom"/>
            <w:hideMark/>
          </w:tcPr>
          <w:p w14:paraId="2457EC1E" w14:textId="3113244D" w:rsidR="00D45093" w:rsidRPr="002B26C8" w:rsidRDefault="00D45093" w:rsidP="00B2676A">
            <w:pPr>
              <w:pStyle w:val="Tabletext"/>
              <w:jc w:val="center"/>
              <w:rPr>
                <w:lang w:val="es-ES" w:eastAsia="es-ES"/>
              </w:rPr>
            </w:pPr>
            <w:r w:rsidRPr="002B26C8">
              <w:rPr>
                <w:lang w:val="es-ES" w:eastAsia="es-ES"/>
              </w:rPr>
              <w:t>1</w:t>
            </w:r>
            <w:r w:rsidR="00BE41AA">
              <w:rPr>
                <w:lang w:val="es-ES"/>
              </w:rPr>
              <w:t> </w:t>
            </w:r>
            <w:r w:rsidRPr="002B26C8">
              <w:rPr>
                <w:lang w:val="es-ES" w:eastAsia="es-ES"/>
              </w:rPr>
              <w:t>827</w:t>
            </w:r>
            <w:r w:rsidR="00BE41AA">
              <w:rPr>
                <w:lang w:val="es-ES"/>
              </w:rPr>
              <w:t> </w:t>
            </w:r>
            <w:r w:rsidRPr="002B26C8">
              <w:rPr>
                <w:lang w:val="es-ES" w:eastAsia="es-ES"/>
              </w:rPr>
              <w:t>336</w:t>
            </w:r>
          </w:p>
        </w:tc>
        <w:tc>
          <w:tcPr>
            <w:tcW w:w="645" w:type="pct"/>
            <w:tcBorders>
              <w:top w:val="nil"/>
              <w:left w:val="single" w:sz="4" w:space="0" w:color="auto"/>
              <w:bottom w:val="single" w:sz="4" w:space="0" w:color="auto"/>
              <w:right w:val="single" w:sz="4" w:space="0" w:color="auto"/>
            </w:tcBorders>
            <w:shd w:val="clear" w:color="000000" w:fill="DDEBF7"/>
            <w:noWrap/>
            <w:vAlign w:val="bottom"/>
            <w:hideMark/>
          </w:tcPr>
          <w:p w14:paraId="5C09FC89" w14:textId="51BE4BC3" w:rsidR="00D45093" w:rsidRPr="002B26C8" w:rsidRDefault="00D45093" w:rsidP="00B2676A">
            <w:pPr>
              <w:pStyle w:val="Tabletext"/>
              <w:jc w:val="center"/>
              <w:rPr>
                <w:lang w:val="es-ES" w:eastAsia="es-ES"/>
              </w:rPr>
            </w:pPr>
            <w:r w:rsidRPr="002B26C8">
              <w:rPr>
                <w:lang w:val="es-ES" w:eastAsia="es-ES"/>
              </w:rPr>
              <w:t>10</w:t>
            </w:r>
            <w:r w:rsidR="00BE41AA">
              <w:rPr>
                <w:lang w:val="es-ES"/>
              </w:rPr>
              <w:t> </w:t>
            </w:r>
            <w:r w:rsidRPr="002B26C8">
              <w:rPr>
                <w:lang w:val="es-ES" w:eastAsia="es-ES"/>
              </w:rPr>
              <w:t>289</w:t>
            </w:r>
            <w:r w:rsidR="00BE41AA">
              <w:rPr>
                <w:lang w:val="es-ES"/>
              </w:rPr>
              <w:t> </w:t>
            </w:r>
            <w:r w:rsidRPr="002B26C8">
              <w:rPr>
                <w:lang w:val="es-ES" w:eastAsia="es-ES"/>
              </w:rPr>
              <w:t>171</w:t>
            </w:r>
          </w:p>
        </w:tc>
      </w:tr>
      <w:tr w:rsidR="00D45093" w:rsidRPr="00DF2617" w14:paraId="71E305BF" w14:textId="77777777" w:rsidTr="0076578C">
        <w:trPr>
          <w:trHeight w:val="310"/>
        </w:trPr>
        <w:tc>
          <w:tcPr>
            <w:tcW w:w="3018" w:type="pct"/>
            <w:tcBorders>
              <w:top w:val="nil"/>
              <w:left w:val="nil"/>
              <w:bottom w:val="nil"/>
              <w:right w:val="nil"/>
            </w:tcBorders>
            <w:shd w:val="clear" w:color="auto" w:fill="auto"/>
            <w:noWrap/>
            <w:vAlign w:val="bottom"/>
            <w:hideMark/>
          </w:tcPr>
          <w:p w14:paraId="1239C396" w14:textId="77777777" w:rsidR="00D45093" w:rsidRPr="00DF2617" w:rsidRDefault="00D45093" w:rsidP="0076578C">
            <w:pPr>
              <w:tabs>
                <w:tab w:val="clear" w:pos="1134"/>
                <w:tab w:val="clear" w:pos="2268"/>
              </w:tabs>
              <w:overflowPunct/>
              <w:autoSpaceDE/>
              <w:autoSpaceDN/>
              <w:adjustRightInd/>
              <w:spacing w:before="0"/>
              <w:jc w:val="right"/>
              <w:textAlignment w:val="auto"/>
              <w:rPr>
                <w:rFonts w:cs="Calibri"/>
                <w:color w:val="000000"/>
                <w:szCs w:val="24"/>
                <w:lang w:val="es-ES" w:eastAsia="es-ES"/>
              </w:rPr>
            </w:pPr>
          </w:p>
        </w:tc>
        <w:tc>
          <w:tcPr>
            <w:tcW w:w="76" w:type="pct"/>
            <w:tcBorders>
              <w:top w:val="nil"/>
              <w:left w:val="nil"/>
              <w:bottom w:val="nil"/>
              <w:right w:val="nil"/>
            </w:tcBorders>
            <w:shd w:val="clear" w:color="auto" w:fill="auto"/>
            <w:noWrap/>
            <w:vAlign w:val="bottom"/>
            <w:hideMark/>
          </w:tcPr>
          <w:p w14:paraId="4D1119CC" w14:textId="77777777" w:rsidR="00D45093" w:rsidRPr="00DF2617" w:rsidRDefault="00D45093" w:rsidP="0076578C">
            <w:pPr>
              <w:tabs>
                <w:tab w:val="clear" w:pos="1134"/>
                <w:tab w:val="clear" w:pos="2268"/>
              </w:tabs>
              <w:overflowPunct/>
              <w:autoSpaceDE/>
              <w:autoSpaceDN/>
              <w:adjustRightInd/>
              <w:spacing w:before="0"/>
              <w:textAlignment w:val="auto"/>
              <w:rPr>
                <w:sz w:val="20"/>
                <w:lang w:val="es-ES" w:eastAsia="es-ES"/>
              </w:rPr>
            </w:pPr>
          </w:p>
        </w:tc>
        <w:tc>
          <w:tcPr>
            <w:tcW w:w="588" w:type="pct"/>
            <w:tcBorders>
              <w:top w:val="nil"/>
              <w:left w:val="nil"/>
              <w:bottom w:val="nil"/>
              <w:right w:val="nil"/>
            </w:tcBorders>
            <w:shd w:val="clear" w:color="auto" w:fill="auto"/>
            <w:noWrap/>
            <w:vAlign w:val="bottom"/>
            <w:hideMark/>
          </w:tcPr>
          <w:p w14:paraId="24178BD1" w14:textId="77777777" w:rsidR="00D45093" w:rsidRPr="00DF2617" w:rsidRDefault="00D45093" w:rsidP="00B2676A">
            <w:pPr>
              <w:tabs>
                <w:tab w:val="clear" w:pos="1134"/>
                <w:tab w:val="clear" w:pos="2268"/>
              </w:tabs>
              <w:overflowPunct/>
              <w:autoSpaceDE/>
              <w:autoSpaceDN/>
              <w:adjustRightInd/>
              <w:spacing w:before="0"/>
              <w:jc w:val="center"/>
              <w:textAlignment w:val="auto"/>
              <w:rPr>
                <w:sz w:val="20"/>
                <w:lang w:val="es-ES" w:eastAsia="es-ES"/>
              </w:rPr>
            </w:pPr>
          </w:p>
        </w:tc>
        <w:tc>
          <w:tcPr>
            <w:tcW w:w="673" w:type="pct"/>
            <w:tcBorders>
              <w:top w:val="nil"/>
              <w:left w:val="nil"/>
              <w:bottom w:val="nil"/>
              <w:right w:val="nil"/>
            </w:tcBorders>
            <w:shd w:val="clear" w:color="auto" w:fill="auto"/>
            <w:noWrap/>
            <w:vAlign w:val="bottom"/>
            <w:hideMark/>
          </w:tcPr>
          <w:p w14:paraId="365B8933" w14:textId="77777777" w:rsidR="00D45093" w:rsidRPr="00DF2617" w:rsidRDefault="00D45093" w:rsidP="00B2676A">
            <w:pPr>
              <w:tabs>
                <w:tab w:val="clear" w:pos="1134"/>
                <w:tab w:val="clear" w:pos="2268"/>
              </w:tabs>
              <w:overflowPunct/>
              <w:autoSpaceDE/>
              <w:autoSpaceDN/>
              <w:adjustRightInd/>
              <w:spacing w:before="0"/>
              <w:jc w:val="center"/>
              <w:textAlignment w:val="auto"/>
              <w:rPr>
                <w:sz w:val="20"/>
                <w:lang w:val="es-ES" w:eastAsia="es-ES"/>
              </w:rPr>
            </w:pPr>
          </w:p>
        </w:tc>
        <w:tc>
          <w:tcPr>
            <w:tcW w:w="645" w:type="pct"/>
            <w:tcBorders>
              <w:top w:val="nil"/>
              <w:left w:val="nil"/>
              <w:bottom w:val="nil"/>
              <w:right w:val="nil"/>
            </w:tcBorders>
            <w:shd w:val="clear" w:color="auto" w:fill="auto"/>
            <w:noWrap/>
            <w:vAlign w:val="bottom"/>
            <w:hideMark/>
          </w:tcPr>
          <w:p w14:paraId="70AB2CCF" w14:textId="77777777" w:rsidR="00D45093" w:rsidRPr="00DF2617" w:rsidRDefault="00D45093" w:rsidP="00B2676A">
            <w:pPr>
              <w:tabs>
                <w:tab w:val="clear" w:pos="1134"/>
                <w:tab w:val="clear" w:pos="2268"/>
              </w:tabs>
              <w:overflowPunct/>
              <w:autoSpaceDE/>
              <w:autoSpaceDN/>
              <w:adjustRightInd/>
              <w:spacing w:before="0"/>
              <w:jc w:val="center"/>
              <w:textAlignment w:val="auto"/>
              <w:rPr>
                <w:sz w:val="20"/>
                <w:lang w:val="es-ES" w:eastAsia="es-ES"/>
              </w:rPr>
            </w:pPr>
          </w:p>
        </w:tc>
      </w:tr>
      <w:tr w:rsidR="00D45093" w:rsidRPr="00DF2617" w14:paraId="3C5F7E8A" w14:textId="77777777" w:rsidTr="0076578C">
        <w:trPr>
          <w:trHeight w:val="310"/>
        </w:trPr>
        <w:tc>
          <w:tcPr>
            <w:tcW w:w="3018" w:type="pct"/>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2D6056AA" w14:textId="77777777" w:rsidR="00D45093" w:rsidRPr="00DF2617" w:rsidRDefault="00D45093" w:rsidP="0076578C">
            <w:pPr>
              <w:pStyle w:val="Tabletext"/>
              <w:rPr>
                <w:rFonts w:cs="Calibri"/>
                <w:b/>
                <w:bCs/>
                <w:color w:val="000000"/>
                <w:szCs w:val="24"/>
                <w:lang w:val="es-ES" w:eastAsia="es-ES"/>
              </w:rPr>
            </w:pPr>
            <w:r w:rsidRPr="002B26C8">
              <w:rPr>
                <w:b/>
                <w:bCs/>
                <w:lang w:val="es-ES" w:eastAsia="es-ES"/>
              </w:rPr>
              <w:t>Tota</w:t>
            </w:r>
            <w:r w:rsidRPr="002B26C8">
              <w:rPr>
                <w:lang w:val="es-ES" w:eastAsia="es-ES"/>
              </w:rPr>
              <w:t>l</w:t>
            </w:r>
          </w:p>
        </w:tc>
        <w:tc>
          <w:tcPr>
            <w:tcW w:w="76" w:type="pct"/>
            <w:tcBorders>
              <w:top w:val="nil"/>
              <w:left w:val="nil"/>
              <w:bottom w:val="nil"/>
              <w:right w:val="nil"/>
            </w:tcBorders>
            <w:shd w:val="clear" w:color="auto" w:fill="auto"/>
            <w:noWrap/>
            <w:vAlign w:val="bottom"/>
            <w:hideMark/>
          </w:tcPr>
          <w:p w14:paraId="63E98F59" w14:textId="77777777" w:rsidR="00D45093" w:rsidRPr="00DF2617" w:rsidRDefault="00D45093" w:rsidP="0076578C">
            <w:pPr>
              <w:tabs>
                <w:tab w:val="clear" w:pos="1134"/>
                <w:tab w:val="clear" w:pos="2268"/>
              </w:tabs>
              <w:overflowPunct/>
              <w:autoSpaceDE/>
              <w:autoSpaceDN/>
              <w:adjustRightInd/>
              <w:spacing w:before="0"/>
              <w:textAlignment w:val="auto"/>
              <w:rPr>
                <w:rFonts w:cs="Calibri"/>
                <w:b/>
                <w:bCs/>
                <w:color w:val="000000"/>
                <w:szCs w:val="24"/>
                <w:lang w:val="es-ES" w:eastAsia="es-ES"/>
              </w:rPr>
            </w:pPr>
          </w:p>
        </w:tc>
        <w:tc>
          <w:tcPr>
            <w:tcW w:w="588" w:type="pct"/>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122D3023" w14:textId="31F335D0" w:rsidR="00D45093" w:rsidRPr="002B26C8" w:rsidRDefault="00D45093" w:rsidP="00B2676A">
            <w:pPr>
              <w:pStyle w:val="Tabletext"/>
              <w:jc w:val="center"/>
              <w:rPr>
                <w:lang w:val="es-ES" w:eastAsia="es-ES"/>
              </w:rPr>
            </w:pPr>
            <w:r w:rsidRPr="002B26C8">
              <w:rPr>
                <w:lang w:val="es-ES" w:eastAsia="es-ES"/>
              </w:rPr>
              <w:t>3</w:t>
            </w:r>
            <w:r w:rsidR="00BE41AA">
              <w:rPr>
                <w:lang w:val="es-ES"/>
              </w:rPr>
              <w:t> </w:t>
            </w:r>
            <w:r w:rsidRPr="002B26C8">
              <w:rPr>
                <w:lang w:val="es-ES" w:eastAsia="es-ES"/>
              </w:rPr>
              <w:t>925</w:t>
            </w:r>
            <w:r w:rsidR="00BE41AA">
              <w:rPr>
                <w:lang w:val="es-ES"/>
              </w:rPr>
              <w:t> </w:t>
            </w:r>
            <w:r w:rsidRPr="002B26C8">
              <w:rPr>
                <w:lang w:val="es-ES" w:eastAsia="es-ES"/>
              </w:rPr>
              <w:t>296</w:t>
            </w:r>
          </w:p>
        </w:tc>
        <w:tc>
          <w:tcPr>
            <w:tcW w:w="673" w:type="pct"/>
            <w:tcBorders>
              <w:top w:val="single" w:sz="4" w:space="0" w:color="auto"/>
              <w:left w:val="nil"/>
              <w:bottom w:val="single" w:sz="4" w:space="0" w:color="auto"/>
              <w:right w:val="nil"/>
            </w:tcBorders>
            <w:shd w:val="clear" w:color="000000" w:fill="D9E1F2"/>
            <w:noWrap/>
            <w:vAlign w:val="bottom"/>
            <w:hideMark/>
          </w:tcPr>
          <w:p w14:paraId="6A9C6A48" w14:textId="0BAA0CCC" w:rsidR="00D45093" w:rsidRPr="002B26C8" w:rsidRDefault="00D45093" w:rsidP="00B2676A">
            <w:pPr>
              <w:pStyle w:val="Tabletext"/>
              <w:jc w:val="center"/>
              <w:rPr>
                <w:lang w:val="es-ES" w:eastAsia="es-ES"/>
              </w:rPr>
            </w:pPr>
            <w:r w:rsidRPr="002B26C8">
              <w:rPr>
                <w:lang w:val="es-ES" w:eastAsia="es-ES"/>
              </w:rPr>
              <w:t>2</w:t>
            </w:r>
            <w:r w:rsidR="00BE41AA">
              <w:rPr>
                <w:lang w:val="es-ES"/>
              </w:rPr>
              <w:t> </w:t>
            </w:r>
            <w:r w:rsidRPr="002B26C8">
              <w:rPr>
                <w:lang w:val="es-ES" w:eastAsia="es-ES"/>
              </w:rPr>
              <w:t>153</w:t>
            </w:r>
            <w:r w:rsidR="00BE41AA">
              <w:rPr>
                <w:lang w:val="es-ES"/>
              </w:rPr>
              <w:t> </w:t>
            </w:r>
            <w:r w:rsidRPr="002B26C8">
              <w:rPr>
                <w:lang w:val="es-ES" w:eastAsia="es-ES"/>
              </w:rPr>
              <w:t>676</w:t>
            </w:r>
          </w:p>
        </w:tc>
        <w:tc>
          <w:tcPr>
            <w:tcW w:w="645" w:type="pct"/>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0DA63582" w14:textId="43D0A124" w:rsidR="00D45093" w:rsidRPr="002B26C8" w:rsidRDefault="00D45093" w:rsidP="00B2676A">
            <w:pPr>
              <w:pStyle w:val="Tabletext"/>
              <w:jc w:val="center"/>
              <w:rPr>
                <w:b/>
                <w:bCs/>
                <w:lang w:val="es-ES" w:eastAsia="es-ES"/>
              </w:rPr>
            </w:pPr>
            <w:r w:rsidRPr="002B26C8">
              <w:rPr>
                <w:b/>
                <w:bCs/>
                <w:lang w:val="es-ES" w:eastAsia="es-ES"/>
              </w:rPr>
              <w:t>12</w:t>
            </w:r>
            <w:r w:rsidR="00BE41AA">
              <w:rPr>
                <w:lang w:val="es-ES"/>
              </w:rPr>
              <w:t> </w:t>
            </w:r>
            <w:r w:rsidRPr="002B26C8">
              <w:rPr>
                <w:b/>
                <w:bCs/>
                <w:lang w:val="es-ES" w:eastAsia="es-ES"/>
              </w:rPr>
              <w:t>539</w:t>
            </w:r>
            <w:r w:rsidR="00BE41AA">
              <w:rPr>
                <w:lang w:val="es-ES"/>
              </w:rPr>
              <w:t> </w:t>
            </w:r>
            <w:r w:rsidRPr="002B26C8">
              <w:rPr>
                <w:b/>
                <w:bCs/>
                <w:lang w:val="es-ES" w:eastAsia="es-ES"/>
              </w:rPr>
              <w:t>999</w:t>
            </w:r>
          </w:p>
        </w:tc>
      </w:tr>
    </w:tbl>
    <w:p w14:paraId="6EE02B9F" w14:textId="241F3E6D" w:rsidR="00E0738F" w:rsidRPr="005456B9" w:rsidRDefault="00E0738F" w:rsidP="00E0738F">
      <w:pPr>
        <w:rPr>
          <w:bCs/>
          <w:lang w:val="es-ES"/>
        </w:rPr>
      </w:pPr>
    </w:p>
    <w:p w14:paraId="28F660E8" w14:textId="56C37E39" w:rsidR="00E0738F" w:rsidRDefault="00EB1F68" w:rsidP="00E0738F">
      <w:pPr>
        <w:pStyle w:val="Heading2"/>
        <w:rPr>
          <w:lang w:val="es-ES"/>
        </w:rPr>
      </w:pPr>
      <w:r>
        <w:rPr>
          <w:bCs/>
          <w:lang w:val="es-ES"/>
        </w:rPr>
        <w:lastRenderedPageBreak/>
        <w:t>2.1</w:t>
      </w:r>
      <w:r>
        <w:rPr>
          <w:bCs/>
          <w:lang w:val="es-ES"/>
        </w:rPr>
        <w:tab/>
      </w:r>
      <w:r w:rsidR="00E0738F" w:rsidRPr="005456B9">
        <w:rPr>
          <w:bCs/>
          <w:lang w:val="es-ES"/>
        </w:rPr>
        <w:t>Repercusiones financieras de los preparativos de la CMR-27 y los servicios terrenales y espaciales</w:t>
      </w:r>
    </w:p>
    <w:p w14:paraId="0EF07EB9" w14:textId="77777777" w:rsidR="00E0738F" w:rsidRPr="005456B9" w:rsidRDefault="00E0738F" w:rsidP="00BE41AA">
      <w:pPr>
        <w:rPr>
          <w:lang w:val="es-ES"/>
        </w:rPr>
      </w:pPr>
      <w:r w:rsidRPr="005456B9">
        <w:rPr>
          <w:lang w:val="es-ES"/>
        </w:rPr>
        <w:t>La Comisión de Control del Presupuesto identificó los costes de las decisiones de la CMR-23 respecto de los recursos necesarios para preparar la CMR-27, que correrá principalmente a cargo del Departamento de Comisiones de Estudio de la BR, los costes de actualización de los sistemas informáticos de la BR utilizados para presentar y tramitar solicitudes de asignaciones de frecuencias en los servicios terrenales o espaciales, y los costes del personal adicional necesario para atender mayores cargas de trabajo en las esferas identificadas. En los Cuadros 2-1, 2-2 y 2-3 se proporciona información detallada sobre las repercusiones financieras de la CMR-23 respecto de los costes extraordinarios y los costes anuales recurrentes.</w:t>
      </w:r>
    </w:p>
    <w:p w14:paraId="3B3A3BE6" w14:textId="7338C89C" w:rsidR="00E0738F" w:rsidRDefault="00E0738F" w:rsidP="00E0738F">
      <w:pPr>
        <w:pStyle w:val="TableNo"/>
        <w:spacing w:after="0"/>
        <w:rPr>
          <w:lang w:val="es-ES"/>
        </w:rPr>
      </w:pPr>
      <w:r w:rsidRPr="00BE41AA">
        <w:rPr>
          <w:lang w:val="es-ES"/>
        </w:rPr>
        <w:t>Cuadro 2-1</w:t>
      </w:r>
    </w:p>
    <w:p w14:paraId="4418C557" w14:textId="797AA430" w:rsidR="00E0738F" w:rsidRPr="005456B9" w:rsidRDefault="00BE41AA" w:rsidP="000571DC">
      <w:pPr>
        <w:pStyle w:val="Tabletitle"/>
        <w:rPr>
          <w:lang w:val="es-ES"/>
        </w:rPr>
      </w:pPr>
      <w:r>
        <w:rPr>
          <w:lang w:val="es-ES"/>
        </w:rPr>
        <w:br/>
      </w:r>
      <w:r w:rsidR="00E0738F" w:rsidRPr="005456B9">
        <w:rPr>
          <w:lang w:val="es-ES"/>
        </w:rPr>
        <w:t>COSTES ADICIONALES DE LOS PREPARATIVOS DE LA CMR-27</w:t>
      </w:r>
    </w:p>
    <w:tbl>
      <w:tblPr>
        <w:tblW w:w="5079" w:type="pct"/>
        <w:tblCellMar>
          <w:left w:w="70" w:type="dxa"/>
          <w:right w:w="70" w:type="dxa"/>
        </w:tblCellMar>
        <w:tblLook w:val="04A0" w:firstRow="1" w:lastRow="0" w:firstColumn="1" w:lastColumn="0" w:noHBand="0" w:noVBand="1"/>
      </w:tblPr>
      <w:tblGrid>
        <w:gridCol w:w="5021"/>
        <w:gridCol w:w="116"/>
        <w:gridCol w:w="32"/>
        <w:gridCol w:w="114"/>
        <w:gridCol w:w="1550"/>
        <w:gridCol w:w="1200"/>
        <w:gridCol w:w="1181"/>
      </w:tblGrid>
      <w:tr w:rsidR="00B2676A" w:rsidRPr="00DF2617" w14:paraId="4C887C61" w14:textId="77777777" w:rsidTr="00B2676A">
        <w:trPr>
          <w:trHeight w:val="63"/>
        </w:trPr>
        <w:tc>
          <w:tcPr>
            <w:tcW w:w="2725" w:type="pct"/>
            <w:tcBorders>
              <w:bottom w:val="single" w:sz="4" w:space="0" w:color="auto"/>
            </w:tcBorders>
            <w:shd w:val="clear" w:color="auto" w:fill="auto"/>
            <w:noWrap/>
            <w:vAlign w:val="center"/>
          </w:tcPr>
          <w:p w14:paraId="41A88DCD" w14:textId="77777777" w:rsidR="00B2676A" w:rsidRPr="00DF2617" w:rsidRDefault="00B2676A" w:rsidP="0076578C">
            <w:pPr>
              <w:pStyle w:val="Tablehead"/>
              <w:rPr>
                <w:lang w:val="es-ES" w:eastAsia="es-ES"/>
              </w:rPr>
            </w:pPr>
          </w:p>
        </w:tc>
        <w:tc>
          <w:tcPr>
            <w:tcW w:w="80" w:type="pct"/>
            <w:gridSpan w:val="2"/>
            <w:tcBorders>
              <w:left w:val="nil"/>
              <w:bottom w:val="nil"/>
            </w:tcBorders>
            <w:shd w:val="clear" w:color="auto" w:fill="auto"/>
            <w:noWrap/>
            <w:vAlign w:val="bottom"/>
          </w:tcPr>
          <w:p w14:paraId="7A54DC04" w14:textId="77777777" w:rsidR="00B2676A" w:rsidRPr="00DF2617" w:rsidRDefault="00B2676A" w:rsidP="0076578C">
            <w:pPr>
              <w:tabs>
                <w:tab w:val="clear" w:pos="1134"/>
                <w:tab w:val="clear" w:pos="2268"/>
              </w:tabs>
              <w:overflowPunct/>
              <w:autoSpaceDE/>
              <w:autoSpaceDN/>
              <w:adjustRightInd/>
              <w:spacing w:before="0"/>
              <w:jc w:val="center"/>
              <w:textAlignment w:val="auto"/>
              <w:rPr>
                <w:rFonts w:cs="Calibri"/>
                <w:b/>
                <w:bCs/>
                <w:color w:val="000000"/>
                <w:szCs w:val="24"/>
                <w:lang w:val="es-ES" w:eastAsia="es-ES"/>
              </w:rPr>
            </w:pPr>
          </w:p>
        </w:tc>
        <w:tc>
          <w:tcPr>
            <w:tcW w:w="2196" w:type="pct"/>
            <w:gridSpan w:val="4"/>
            <w:tcBorders>
              <w:bottom w:val="single" w:sz="4" w:space="0" w:color="auto"/>
            </w:tcBorders>
            <w:shd w:val="clear" w:color="auto" w:fill="auto"/>
            <w:vAlign w:val="center"/>
          </w:tcPr>
          <w:p w14:paraId="248990E6" w14:textId="77777777" w:rsidR="00B2676A" w:rsidRPr="00CF773E" w:rsidRDefault="00B2676A" w:rsidP="0076578C">
            <w:pPr>
              <w:pStyle w:val="Tablehead"/>
              <w:rPr>
                <w:b w:val="0"/>
                <w:i/>
                <w:iCs/>
                <w:color w:val="000000"/>
                <w:szCs w:val="24"/>
                <w:lang w:val="es-ES" w:eastAsia="es-ES"/>
              </w:rPr>
            </w:pPr>
            <w:r w:rsidRPr="00CF773E">
              <w:rPr>
                <w:b w:val="0"/>
                <w:i/>
                <w:iCs/>
                <w:color w:val="000000"/>
                <w:szCs w:val="24"/>
                <w:lang w:val="es-ES" w:eastAsia="es-ES"/>
              </w:rPr>
              <w:t>en CHF</w:t>
            </w:r>
          </w:p>
        </w:tc>
      </w:tr>
      <w:tr w:rsidR="00B2676A" w:rsidRPr="001843BD" w14:paraId="7BBDEEAD" w14:textId="77777777" w:rsidTr="00B2676A">
        <w:trPr>
          <w:trHeight w:val="453"/>
        </w:trPr>
        <w:tc>
          <w:tcPr>
            <w:tcW w:w="2788" w:type="pct"/>
            <w:gridSpan w:val="2"/>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2B187140" w14:textId="77777777" w:rsidR="00B2676A" w:rsidRPr="002B26C8" w:rsidRDefault="00B2676A" w:rsidP="0076578C">
            <w:pPr>
              <w:pStyle w:val="Tablehead"/>
              <w:rPr>
                <w:lang w:val="es-ES" w:eastAsia="es-ES"/>
              </w:rPr>
            </w:pPr>
            <w:r w:rsidRPr="002B26C8">
              <w:rPr>
                <w:lang w:val="es-ES" w:eastAsia="es-ES"/>
              </w:rPr>
              <w:t>Descripción</w:t>
            </w:r>
          </w:p>
        </w:tc>
        <w:tc>
          <w:tcPr>
            <w:tcW w:w="79" w:type="pct"/>
            <w:gridSpan w:val="2"/>
            <w:tcBorders>
              <w:top w:val="nil"/>
              <w:left w:val="nil"/>
              <w:bottom w:val="nil"/>
              <w:right w:val="nil"/>
            </w:tcBorders>
            <w:shd w:val="clear" w:color="auto" w:fill="auto"/>
            <w:noWrap/>
            <w:vAlign w:val="bottom"/>
            <w:hideMark/>
          </w:tcPr>
          <w:p w14:paraId="63BD802F" w14:textId="77777777" w:rsidR="00B2676A" w:rsidRPr="002B26C8" w:rsidRDefault="00B2676A" w:rsidP="0076578C">
            <w:pPr>
              <w:pStyle w:val="Tablehead"/>
              <w:rPr>
                <w:lang w:val="es-ES" w:eastAsia="es-ES"/>
              </w:rPr>
            </w:pPr>
          </w:p>
        </w:tc>
        <w:tc>
          <w:tcPr>
            <w:tcW w:w="841" w:type="pct"/>
            <w:tcBorders>
              <w:top w:val="single" w:sz="4" w:space="0" w:color="auto"/>
              <w:left w:val="single" w:sz="4" w:space="0" w:color="auto"/>
              <w:bottom w:val="single" w:sz="4" w:space="0" w:color="auto"/>
              <w:right w:val="single" w:sz="4" w:space="0" w:color="auto"/>
            </w:tcBorders>
            <w:shd w:val="clear" w:color="000000" w:fill="8497B0"/>
            <w:vAlign w:val="center"/>
            <w:hideMark/>
          </w:tcPr>
          <w:p w14:paraId="77EB8667" w14:textId="118F1E9F" w:rsidR="00B2676A" w:rsidRPr="002B26C8" w:rsidRDefault="00B2676A" w:rsidP="0076578C">
            <w:pPr>
              <w:pStyle w:val="Tablehead"/>
              <w:rPr>
                <w:lang w:val="es-ES" w:eastAsia="es-ES"/>
              </w:rPr>
            </w:pPr>
            <w:r>
              <w:rPr>
                <w:lang w:val="es-ES"/>
              </w:rPr>
              <w:t>Costes extraordinarios</w:t>
            </w:r>
          </w:p>
        </w:tc>
        <w:tc>
          <w:tcPr>
            <w:tcW w:w="651" w:type="pct"/>
            <w:tcBorders>
              <w:top w:val="single" w:sz="4" w:space="0" w:color="auto"/>
              <w:left w:val="nil"/>
              <w:bottom w:val="single" w:sz="4" w:space="0" w:color="auto"/>
              <w:right w:val="single" w:sz="4" w:space="0" w:color="auto"/>
            </w:tcBorders>
            <w:shd w:val="clear" w:color="000000" w:fill="8EA9DB"/>
            <w:vAlign w:val="center"/>
            <w:hideMark/>
          </w:tcPr>
          <w:p w14:paraId="21901CE0" w14:textId="0E1B38CD" w:rsidR="00B2676A" w:rsidRPr="002B26C8" w:rsidRDefault="00B2676A" w:rsidP="0076578C">
            <w:pPr>
              <w:pStyle w:val="Tablehead"/>
              <w:rPr>
                <w:lang w:val="es-ES" w:eastAsia="es-ES"/>
              </w:rPr>
            </w:pPr>
            <w:r>
              <w:rPr>
                <w:lang w:val="es-ES"/>
              </w:rPr>
              <w:t>Costes anuales recurrentes</w:t>
            </w:r>
          </w:p>
        </w:tc>
        <w:tc>
          <w:tcPr>
            <w:tcW w:w="641" w:type="pct"/>
            <w:tcBorders>
              <w:top w:val="single" w:sz="4" w:space="0" w:color="auto"/>
              <w:left w:val="nil"/>
              <w:bottom w:val="single" w:sz="4" w:space="0" w:color="auto"/>
              <w:right w:val="single" w:sz="4" w:space="0" w:color="auto"/>
            </w:tcBorders>
            <w:shd w:val="clear" w:color="000000" w:fill="9BC2E6"/>
            <w:vAlign w:val="center"/>
            <w:hideMark/>
          </w:tcPr>
          <w:p w14:paraId="30B06FCE" w14:textId="77777777" w:rsidR="00B2676A" w:rsidRPr="002B26C8" w:rsidRDefault="00B2676A" w:rsidP="0076578C">
            <w:pPr>
              <w:pStyle w:val="Tablehead"/>
              <w:rPr>
                <w:lang w:val="es-ES" w:eastAsia="es-ES"/>
              </w:rPr>
            </w:pPr>
            <w:r w:rsidRPr="002B26C8">
              <w:rPr>
                <w:lang w:val="es-ES" w:eastAsia="es-ES"/>
              </w:rPr>
              <w:t>Total</w:t>
            </w:r>
            <w:r>
              <w:rPr>
                <w:lang w:val="es-ES" w:eastAsia="es-ES"/>
              </w:rPr>
              <w:t xml:space="preserve"> </w:t>
            </w:r>
            <w:r>
              <w:rPr>
                <w:lang w:val="es-ES" w:eastAsia="es-ES"/>
              </w:rPr>
              <w:br/>
              <w:t>2024</w:t>
            </w:r>
            <w:r w:rsidRPr="002B26C8">
              <w:rPr>
                <w:lang w:val="es-ES" w:eastAsia="es-ES"/>
              </w:rPr>
              <w:t>-2027</w:t>
            </w:r>
          </w:p>
        </w:tc>
      </w:tr>
      <w:tr w:rsidR="00B2676A" w:rsidRPr="001843BD" w14:paraId="0E04F79C" w14:textId="77777777" w:rsidTr="00B2676A">
        <w:trPr>
          <w:trHeight w:val="1700"/>
        </w:trPr>
        <w:tc>
          <w:tcPr>
            <w:tcW w:w="2788" w:type="pct"/>
            <w:gridSpan w:val="2"/>
            <w:tcBorders>
              <w:top w:val="nil"/>
              <w:left w:val="single" w:sz="4" w:space="0" w:color="auto"/>
              <w:bottom w:val="single" w:sz="4" w:space="0" w:color="auto"/>
              <w:right w:val="single" w:sz="4" w:space="0" w:color="auto"/>
            </w:tcBorders>
            <w:shd w:val="clear" w:color="000000" w:fill="E2EFDA"/>
            <w:vAlign w:val="center"/>
            <w:hideMark/>
          </w:tcPr>
          <w:p w14:paraId="407A4F92" w14:textId="245DF784" w:rsidR="00B2676A" w:rsidRPr="002B26C8" w:rsidRDefault="00B2676A" w:rsidP="0076578C">
            <w:pPr>
              <w:pStyle w:val="Tabletext"/>
              <w:rPr>
                <w:lang w:val="es-ES" w:eastAsia="es-ES"/>
              </w:rPr>
            </w:pPr>
            <w:r>
              <w:rPr>
                <w:lang w:val="es-ES"/>
              </w:rPr>
              <w:t>Orden del día de la CMR-27 – Algunos temas requieren que los grupos correspondientes dediquen tiempo adicional a las reuniones para poder examinarse al completo en el periodo de estudios. Entre otros temas técnicos, nuevas áreas de estudio como el clima espacial, las comunicaciones en la luna y los enlaces entre satélites darían lugar a actividades adicionales.</w:t>
            </w:r>
          </w:p>
        </w:tc>
        <w:tc>
          <w:tcPr>
            <w:tcW w:w="79" w:type="pct"/>
            <w:gridSpan w:val="2"/>
            <w:tcBorders>
              <w:top w:val="nil"/>
              <w:left w:val="nil"/>
              <w:bottom w:val="nil"/>
              <w:right w:val="nil"/>
            </w:tcBorders>
            <w:shd w:val="clear" w:color="auto" w:fill="auto"/>
            <w:noWrap/>
            <w:vAlign w:val="bottom"/>
            <w:hideMark/>
          </w:tcPr>
          <w:p w14:paraId="2F4B5D18" w14:textId="77777777" w:rsidR="00B2676A" w:rsidRPr="001843BD" w:rsidRDefault="00B2676A" w:rsidP="0076578C">
            <w:pPr>
              <w:tabs>
                <w:tab w:val="clear" w:pos="1134"/>
                <w:tab w:val="clear" w:pos="2268"/>
              </w:tabs>
              <w:overflowPunct/>
              <w:autoSpaceDE/>
              <w:autoSpaceDN/>
              <w:adjustRightInd/>
              <w:spacing w:before="0"/>
              <w:textAlignment w:val="auto"/>
              <w:rPr>
                <w:rFonts w:cs="Calibri"/>
                <w:color w:val="000000"/>
                <w:szCs w:val="24"/>
                <w:lang w:val="es-ES" w:eastAsia="es-ES"/>
              </w:rPr>
            </w:pPr>
          </w:p>
        </w:tc>
        <w:tc>
          <w:tcPr>
            <w:tcW w:w="841" w:type="pct"/>
            <w:tcBorders>
              <w:top w:val="nil"/>
              <w:left w:val="single" w:sz="4" w:space="0" w:color="auto"/>
              <w:bottom w:val="single" w:sz="4" w:space="0" w:color="auto"/>
              <w:right w:val="single" w:sz="4" w:space="0" w:color="auto"/>
            </w:tcBorders>
            <w:shd w:val="clear" w:color="000000" w:fill="D6DCE4"/>
            <w:noWrap/>
            <w:vAlign w:val="bottom"/>
            <w:hideMark/>
          </w:tcPr>
          <w:p w14:paraId="793F3F60" w14:textId="0EFB9803" w:rsidR="00B2676A" w:rsidRPr="002B26C8" w:rsidRDefault="00B2676A" w:rsidP="0076578C">
            <w:pPr>
              <w:pStyle w:val="Tabletext"/>
              <w:jc w:val="right"/>
              <w:rPr>
                <w:lang w:val="es-ES" w:eastAsia="es-ES"/>
              </w:rPr>
            </w:pPr>
            <w:r w:rsidRPr="002B26C8">
              <w:rPr>
                <w:lang w:val="es-ES" w:eastAsia="es-ES"/>
              </w:rPr>
              <w:t>83</w:t>
            </w:r>
            <w:r w:rsidR="00BE41AA">
              <w:rPr>
                <w:lang w:val="es-ES"/>
              </w:rPr>
              <w:t> </w:t>
            </w:r>
            <w:r w:rsidRPr="002B26C8">
              <w:rPr>
                <w:lang w:val="es-ES" w:eastAsia="es-ES"/>
              </w:rPr>
              <w:t>000</w:t>
            </w:r>
          </w:p>
        </w:tc>
        <w:tc>
          <w:tcPr>
            <w:tcW w:w="651" w:type="pct"/>
            <w:tcBorders>
              <w:top w:val="nil"/>
              <w:left w:val="nil"/>
              <w:bottom w:val="single" w:sz="4" w:space="0" w:color="auto"/>
              <w:right w:val="nil"/>
            </w:tcBorders>
            <w:shd w:val="clear" w:color="000000" w:fill="D9E1F2"/>
            <w:noWrap/>
            <w:vAlign w:val="bottom"/>
            <w:hideMark/>
          </w:tcPr>
          <w:p w14:paraId="0A6F4807" w14:textId="77777777" w:rsidR="00B2676A" w:rsidRPr="002B26C8" w:rsidRDefault="00B2676A" w:rsidP="0076578C">
            <w:pPr>
              <w:pStyle w:val="Tabletext"/>
              <w:jc w:val="right"/>
              <w:rPr>
                <w:lang w:val="es-ES" w:eastAsia="es-ES"/>
              </w:rPr>
            </w:pPr>
            <w:r w:rsidRPr="002B26C8">
              <w:rPr>
                <w:lang w:val="es-ES" w:eastAsia="es-ES"/>
              </w:rPr>
              <w:t> </w:t>
            </w:r>
          </w:p>
        </w:tc>
        <w:tc>
          <w:tcPr>
            <w:tcW w:w="641" w:type="pct"/>
            <w:tcBorders>
              <w:top w:val="nil"/>
              <w:left w:val="single" w:sz="4" w:space="0" w:color="auto"/>
              <w:bottom w:val="single" w:sz="4" w:space="0" w:color="auto"/>
              <w:right w:val="single" w:sz="4" w:space="0" w:color="auto"/>
            </w:tcBorders>
            <w:shd w:val="clear" w:color="000000" w:fill="DDEBF7"/>
            <w:noWrap/>
            <w:vAlign w:val="bottom"/>
            <w:hideMark/>
          </w:tcPr>
          <w:p w14:paraId="6A2AFBA6" w14:textId="4E159B82" w:rsidR="00B2676A" w:rsidRPr="002B26C8" w:rsidRDefault="00B2676A" w:rsidP="0076578C">
            <w:pPr>
              <w:pStyle w:val="Tabletext"/>
              <w:jc w:val="right"/>
              <w:rPr>
                <w:lang w:val="es-ES" w:eastAsia="es-ES"/>
              </w:rPr>
            </w:pPr>
            <w:r w:rsidRPr="002B26C8">
              <w:rPr>
                <w:lang w:val="es-ES" w:eastAsia="es-ES"/>
              </w:rPr>
              <w:t>83</w:t>
            </w:r>
            <w:r w:rsidR="00BE41AA">
              <w:rPr>
                <w:lang w:val="es-ES"/>
              </w:rPr>
              <w:t> </w:t>
            </w:r>
            <w:r w:rsidRPr="002B26C8">
              <w:rPr>
                <w:lang w:val="es-ES" w:eastAsia="es-ES"/>
              </w:rPr>
              <w:t>000</w:t>
            </w:r>
          </w:p>
        </w:tc>
      </w:tr>
      <w:tr w:rsidR="00B2676A" w:rsidRPr="001843BD" w14:paraId="75325B12" w14:textId="77777777" w:rsidTr="00B2676A">
        <w:trPr>
          <w:trHeight w:val="760"/>
        </w:trPr>
        <w:tc>
          <w:tcPr>
            <w:tcW w:w="2788" w:type="pct"/>
            <w:gridSpan w:val="2"/>
            <w:tcBorders>
              <w:top w:val="nil"/>
              <w:left w:val="single" w:sz="4" w:space="0" w:color="auto"/>
              <w:bottom w:val="single" w:sz="4" w:space="0" w:color="auto"/>
              <w:right w:val="single" w:sz="4" w:space="0" w:color="auto"/>
            </w:tcBorders>
            <w:shd w:val="clear" w:color="000000" w:fill="E2EFDA"/>
            <w:vAlign w:val="center"/>
            <w:hideMark/>
          </w:tcPr>
          <w:p w14:paraId="6F9BC927" w14:textId="7B5099D4" w:rsidR="00B2676A" w:rsidRPr="002B26C8" w:rsidRDefault="00B2676A" w:rsidP="0076578C">
            <w:pPr>
              <w:pStyle w:val="Tabletext"/>
              <w:rPr>
                <w:lang w:val="es-ES" w:eastAsia="es-ES"/>
              </w:rPr>
            </w:pPr>
            <w:r>
              <w:rPr>
                <w:lang w:val="es-ES"/>
              </w:rPr>
              <w:t>También se requeriría documentación adicional, por ejemplo, el aumento de las actividades de traducción y procesamiento de texto.</w:t>
            </w:r>
          </w:p>
        </w:tc>
        <w:tc>
          <w:tcPr>
            <w:tcW w:w="79" w:type="pct"/>
            <w:gridSpan w:val="2"/>
            <w:tcBorders>
              <w:top w:val="nil"/>
              <w:left w:val="nil"/>
              <w:bottom w:val="nil"/>
              <w:right w:val="nil"/>
            </w:tcBorders>
            <w:shd w:val="clear" w:color="auto" w:fill="auto"/>
            <w:noWrap/>
            <w:vAlign w:val="bottom"/>
            <w:hideMark/>
          </w:tcPr>
          <w:p w14:paraId="4680C0D3" w14:textId="77777777" w:rsidR="00B2676A" w:rsidRPr="001843BD" w:rsidRDefault="00B2676A" w:rsidP="0076578C">
            <w:pPr>
              <w:tabs>
                <w:tab w:val="clear" w:pos="1134"/>
                <w:tab w:val="clear" w:pos="2268"/>
              </w:tabs>
              <w:overflowPunct/>
              <w:autoSpaceDE/>
              <w:autoSpaceDN/>
              <w:adjustRightInd/>
              <w:spacing w:before="0"/>
              <w:textAlignment w:val="auto"/>
              <w:rPr>
                <w:rFonts w:cs="Calibri"/>
                <w:color w:val="000000"/>
                <w:szCs w:val="24"/>
                <w:lang w:val="es-ES" w:eastAsia="es-ES"/>
              </w:rPr>
            </w:pPr>
          </w:p>
        </w:tc>
        <w:tc>
          <w:tcPr>
            <w:tcW w:w="841" w:type="pct"/>
            <w:tcBorders>
              <w:top w:val="nil"/>
              <w:left w:val="single" w:sz="4" w:space="0" w:color="auto"/>
              <w:bottom w:val="single" w:sz="4" w:space="0" w:color="auto"/>
              <w:right w:val="single" w:sz="4" w:space="0" w:color="auto"/>
            </w:tcBorders>
            <w:shd w:val="clear" w:color="000000" w:fill="D6DCE4"/>
            <w:noWrap/>
            <w:vAlign w:val="bottom"/>
            <w:hideMark/>
          </w:tcPr>
          <w:p w14:paraId="5472289B" w14:textId="4B78478F" w:rsidR="00B2676A" w:rsidRPr="002B26C8" w:rsidRDefault="00B2676A" w:rsidP="0076578C">
            <w:pPr>
              <w:pStyle w:val="Tabletext"/>
              <w:jc w:val="right"/>
              <w:rPr>
                <w:lang w:val="es-ES" w:eastAsia="es-ES"/>
              </w:rPr>
            </w:pPr>
            <w:r w:rsidRPr="002B26C8">
              <w:rPr>
                <w:lang w:val="es-ES" w:eastAsia="es-ES"/>
              </w:rPr>
              <w:t>511</w:t>
            </w:r>
            <w:r w:rsidR="00BE41AA">
              <w:rPr>
                <w:lang w:val="es-ES"/>
              </w:rPr>
              <w:t> </w:t>
            </w:r>
            <w:r w:rsidRPr="002B26C8">
              <w:rPr>
                <w:lang w:val="es-ES" w:eastAsia="es-ES"/>
              </w:rPr>
              <w:t>900</w:t>
            </w:r>
          </w:p>
        </w:tc>
        <w:tc>
          <w:tcPr>
            <w:tcW w:w="651" w:type="pct"/>
            <w:tcBorders>
              <w:top w:val="nil"/>
              <w:left w:val="nil"/>
              <w:bottom w:val="single" w:sz="4" w:space="0" w:color="auto"/>
              <w:right w:val="nil"/>
            </w:tcBorders>
            <w:shd w:val="clear" w:color="000000" w:fill="D9E1F2"/>
            <w:noWrap/>
            <w:vAlign w:val="bottom"/>
            <w:hideMark/>
          </w:tcPr>
          <w:p w14:paraId="3A8CA6DD" w14:textId="77777777" w:rsidR="00B2676A" w:rsidRPr="002B26C8" w:rsidRDefault="00B2676A" w:rsidP="0076578C">
            <w:pPr>
              <w:pStyle w:val="Tabletext"/>
              <w:jc w:val="right"/>
              <w:rPr>
                <w:lang w:val="es-ES" w:eastAsia="es-ES"/>
              </w:rPr>
            </w:pPr>
            <w:r w:rsidRPr="002B26C8">
              <w:rPr>
                <w:lang w:val="es-ES" w:eastAsia="es-ES"/>
              </w:rPr>
              <w:t> </w:t>
            </w:r>
          </w:p>
        </w:tc>
        <w:tc>
          <w:tcPr>
            <w:tcW w:w="641" w:type="pct"/>
            <w:tcBorders>
              <w:top w:val="nil"/>
              <w:left w:val="single" w:sz="4" w:space="0" w:color="auto"/>
              <w:bottom w:val="single" w:sz="4" w:space="0" w:color="auto"/>
              <w:right w:val="single" w:sz="4" w:space="0" w:color="auto"/>
            </w:tcBorders>
            <w:shd w:val="clear" w:color="000000" w:fill="DDEBF7"/>
            <w:noWrap/>
            <w:vAlign w:val="bottom"/>
            <w:hideMark/>
          </w:tcPr>
          <w:p w14:paraId="40EA3CFC" w14:textId="2BF41947" w:rsidR="00B2676A" w:rsidRPr="002B26C8" w:rsidRDefault="00B2676A" w:rsidP="0076578C">
            <w:pPr>
              <w:pStyle w:val="Tabletext"/>
              <w:jc w:val="right"/>
              <w:rPr>
                <w:lang w:val="es-ES" w:eastAsia="es-ES"/>
              </w:rPr>
            </w:pPr>
            <w:r w:rsidRPr="002B26C8">
              <w:rPr>
                <w:lang w:val="es-ES" w:eastAsia="es-ES"/>
              </w:rPr>
              <w:t>511</w:t>
            </w:r>
            <w:r w:rsidR="00BE41AA">
              <w:rPr>
                <w:lang w:val="es-ES"/>
              </w:rPr>
              <w:t> </w:t>
            </w:r>
            <w:r w:rsidRPr="002B26C8">
              <w:rPr>
                <w:lang w:val="es-ES" w:eastAsia="es-ES"/>
              </w:rPr>
              <w:t>900</w:t>
            </w:r>
          </w:p>
        </w:tc>
      </w:tr>
      <w:tr w:rsidR="00B2676A" w:rsidRPr="001843BD" w14:paraId="69F43CC7" w14:textId="77777777" w:rsidTr="00B2676A">
        <w:trPr>
          <w:trHeight w:val="340"/>
        </w:trPr>
        <w:tc>
          <w:tcPr>
            <w:tcW w:w="2788" w:type="pct"/>
            <w:gridSpan w:val="2"/>
            <w:tcBorders>
              <w:top w:val="nil"/>
              <w:left w:val="single" w:sz="4" w:space="0" w:color="auto"/>
              <w:bottom w:val="single" w:sz="4" w:space="0" w:color="auto"/>
              <w:right w:val="single" w:sz="4" w:space="0" w:color="auto"/>
            </w:tcBorders>
            <w:shd w:val="clear" w:color="000000" w:fill="E2EFDA"/>
            <w:vAlign w:val="bottom"/>
            <w:hideMark/>
          </w:tcPr>
          <w:p w14:paraId="27DCC557" w14:textId="6FE16CA3" w:rsidR="00B2676A" w:rsidRPr="002B26C8" w:rsidRDefault="00B2676A" w:rsidP="0076578C">
            <w:pPr>
              <w:pStyle w:val="Tabletext"/>
              <w:rPr>
                <w:lang w:val="es-ES" w:eastAsia="es-ES"/>
              </w:rPr>
            </w:pPr>
            <w:r>
              <w:rPr>
                <w:lang w:val="es-ES"/>
              </w:rPr>
              <w:t>La Secretaría de la BR necesitaría recursos para dar soporte a la carga de trabajo adicional.</w:t>
            </w:r>
          </w:p>
        </w:tc>
        <w:tc>
          <w:tcPr>
            <w:tcW w:w="79" w:type="pct"/>
            <w:gridSpan w:val="2"/>
            <w:tcBorders>
              <w:top w:val="nil"/>
              <w:left w:val="nil"/>
              <w:bottom w:val="nil"/>
              <w:right w:val="nil"/>
            </w:tcBorders>
            <w:shd w:val="clear" w:color="auto" w:fill="auto"/>
            <w:noWrap/>
            <w:vAlign w:val="bottom"/>
            <w:hideMark/>
          </w:tcPr>
          <w:p w14:paraId="5B8B6190" w14:textId="77777777" w:rsidR="00B2676A" w:rsidRPr="001843BD" w:rsidRDefault="00B2676A" w:rsidP="0076578C">
            <w:pPr>
              <w:tabs>
                <w:tab w:val="clear" w:pos="1134"/>
                <w:tab w:val="clear" w:pos="2268"/>
              </w:tabs>
              <w:overflowPunct/>
              <w:autoSpaceDE/>
              <w:autoSpaceDN/>
              <w:adjustRightInd/>
              <w:spacing w:before="0"/>
              <w:textAlignment w:val="auto"/>
              <w:rPr>
                <w:rFonts w:cs="Calibri"/>
                <w:color w:val="000000"/>
                <w:szCs w:val="24"/>
                <w:lang w:val="es-ES" w:eastAsia="es-ES"/>
              </w:rPr>
            </w:pPr>
          </w:p>
        </w:tc>
        <w:tc>
          <w:tcPr>
            <w:tcW w:w="841" w:type="pct"/>
            <w:tcBorders>
              <w:top w:val="nil"/>
              <w:left w:val="single" w:sz="4" w:space="0" w:color="auto"/>
              <w:bottom w:val="single" w:sz="4" w:space="0" w:color="auto"/>
              <w:right w:val="single" w:sz="4" w:space="0" w:color="auto"/>
            </w:tcBorders>
            <w:shd w:val="clear" w:color="000000" w:fill="D6DCE4"/>
            <w:noWrap/>
            <w:vAlign w:val="bottom"/>
            <w:hideMark/>
          </w:tcPr>
          <w:p w14:paraId="0D2AABAE" w14:textId="77777777" w:rsidR="00B2676A" w:rsidRPr="002B26C8" w:rsidRDefault="00B2676A" w:rsidP="0076578C">
            <w:pPr>
              <w:pStyle w:val="Tabletext"/>
              <w:jc w:val="right"/>
              <w:rPr>
                <w:lang w:val="es-ES" w:eastAsia="es-ES"/>
              </w:rPr>
            </w:pPr>
            <w:r w:rsidRPr="002B26C8">
              <w:rPr>
                <w:lang w:val="es-ES" w:eastAsia="es-ES"/>
              </w:rPr>
              <w:t> </w:t>
            </w:r>
          </w:p>
        </w:tc>
        <w:tc>
          <w:tcPr>
            <w:tcW w:w="651" w:type="pct"/>
            <w:tcBorders>
              <w:top w:val="nil"/>
              <w:left w:val="nil"/>
              <w:bottom w:val="single" w:sz="4" w:space="0" w:color="auto"/>
              <w:right w:val="nil"/>
            </w:tcBorders>
            <w:shd w:val="clear" w:color="000000" w:fill="D9E1F2"/>
            <w:noWrap/>
            <w:vAlign w:val="bottom"/>
            <w:hideMark/>
          </w:tcPr>
          <w:p w14:paraId="3908E7EF" w14:textId="18DAE6EA" w:rsidR="00B2676A" w:rsidRPr="002B26C8" w:rsidRDefault="00B2676A" w:rsidP="0076578C">
            <w:pPr>
              <w:pStyle w:val="Tabletext"/>
              <w:jc w:val="right"/>
              <w:rPr>
                <w:lang w:val="es-ES" w:eastAsia="es-ES"/>
              </w:rPr>
            </w:pPr>
            <w:r w:rsidRPr="002B26C8">
              <w:rPr>
                <w:lang w:val="es-ES" w:eastAsia="es-ES"/>
              </w:rPr>
              <w:t>326</w:t>
            </w:r>
            <w:r w:rsidR="00BE41AA">
              <w:rPr>
                <w:lang w:val="es-ES"/>
              </w:rPr>
              <w:t> </w:t>
            </w:r>
            <w:r w:rsidRPr="002B26C8">
              <w:rPr>
                <w:lang w:val="es-ES" w:eastAsia="es-ES"/>
              </w:rPr>
              <w:t>340</w:t>
            </w:r>
          </w:p>
        </w:tc>
        <w:tc>
          <w:tcPr>
            <w:tcW w:w="641" w:type="pct"/>
            <w:tcBorders>
              <w:top w:val="nil"/>
              <w:left w:val="single" w:sz="4" w:space="0" w:color="auto"/>
              <w:bottom w:val="single" w:sz="4" w:space="0" w:color="auto"/>
              <w:right w:val="single" w:sz="4" w:space="0" w:color="auto"/>
            </w:tcBorders>
            <w:shd w:val="clear" w:color="000000" w:fill="DDEBF7"/>
            <w:noWrap/>
            <w:vAlign w:val="bottom"/>
            <w:hideMark/>
          </w:tcPr>
          <w:p w14:paraId="25B69EBB" w14:textId="4C42FCF7" w:rsidR="00B2676A" w:rsidRPr="002B26C8" w:rsidRDefault="00B2676A" w:rsidP="0076578C">
            <w:pPr>
              <w:pStyle w:val="Tabletext"/>
              <w:jc w:val="right"/>
              <w:rPr>
                <w:lang w:val="es-ES" w:eastAsia="es-ES"/>
              </w:rPr>
            </w:pPr>
            <w:r w:rsidRPr="002B26C8">
              <w:rPr>
                <w:lang w:val="es-ES" w:eastAsia="es-ES"/>
              </w:rPr>
              <w:t>1</w:t>
            </w:r>
            <w:r w:rsidR="00BE41AA">
              <w:rPr>
                <w:lang w:val="es-ES"/>
              </w:rPr>
              <w:t> </w:t>
            </w:r>
            <w:r w:rsidRPr="002B26C8">
              <w:rPr>
                <w:lang w:val="es-ES" w:eastAsia="es-ES"/>
              </w:rPr>
              <w:t>305</w:t>
            </w:r>
            <w:r w:rsidR="00BE41AA">
              <w:rPr>
                <w:lang w:val="es-ES"/>
              </w:rPr>
              <w:t> </w:t>
            </w:r>
            <w:r w:rsidRPr="002B26C8">
              <w:rPr>
                <w:lang w:val="es-ES" w:eastAsia="es-ES"/>
              </w:rPr>
              <w:t>360</w:t>
            </w:r>
          </w:p>
        </w:tc>
      </w:tr>
      <w:tr w:rsidR="00B2676A" w:rsidRPr="001843BD" w14:paraId="538585FE" w14:textId="77777777" w:rsidTr="00B2676A">
        <w:trPr>
          <w:trHeight w:val="310"/>
        </w:trPr>
        <w:tc>
          <w:tcPr>
            <w:tcW w:w="2788" w:type="pct"/>
            <w:gridSpan w:val="2"/>
            <w:tcBorders>
              <w:top w:val="nil"/>
              <w:left w:val="nil"/>
              <w:bottom w:val="nil"/>
              <w:right w:val="nil"/>
            </w:tcBorders>
            <w:shd w:val="clear" w:color="auto" w:fill="auto"/>
            <w:noWrap/>
            <w:vAlign w:val="bottom"/>
            <w:hideMark/>
          </w:tcPr>
          <w:p w14:paraId="59CC9E1F" w14:textId="77777777" w:rsidR="00B2676A" w:rsidRPr="001843BD" w:rsidRDefault="00B2676A" w:rsidP="0076578C">
            <w:pPr>
              <w:tabs>
                <w:tab w:val="clear" w:pos="1134"/>
                <w:tab w:val="clear" w:pos="2268"/>
              </w:tabs>
              <w:overflowPunct/>
              <w:autoSpaceDE/>
              <w:autoSpaceDN/>
              <w:adjustRightInd/>
              <w:spacing w:before="0"/>
              <w:jc w:val="right"/>
              <w:textAlignment w:val="auto"/>
              <w:rPr>
                <w:rFonts w:cs="Calibri"/>
                <w:color w:val="000000"/>
                <w:szCs w:val="24"/>
                <w:lang w:val="es-ES" w:eastAsia="es-ES"/>
              </w:rPr>
            </w:pPr>
          </w:p>
        </w:tc>
        <w:tc>
          <w:tcPr>
            <w:tcW w:w="79" w:type="pct"/>
            <w:gridSpan w:val="2"/>
            <w:tcBorders>
              <w:top w:val="nil"/>
              <w:left w:val="nil"/>
              <w:bottom w:val="nil"/>
              <w:right w:val="nil"/>
            </w:tcBorders>
            <w:shd w:val="clear" w:color="auto" w:fill="auto"/>
            <w:noWrap/>
            <w:vAlign w:val="bottom"/>
            <w:hideMark/>
          </w:tcPr>
          <w:p w14:paraId="19DAE075" w14:textId="77777777" w:rsidR="00B2676A" w:rsidRPr="001843BD" w:rsidRDefault="00B2676A" w:rsidP="0076578C">
            <w:pPr>
              <w:tabs>
                <w:tab w:val="clear" w:pos="1134"/>
                <w:tab w:val="clear" w:pos="2268"/>
              </w:tabs>
              <w:overflowPunct/>
              <w:autoSpaceDE/>
              <w:autoSpaceDN/>
              <w:adjustRightInd/>
              <w:spacing w:before="0"/>
              <w:textAlignment w:val="auto"/>
              <w:rPr>
                <w:sz w:val="20"/>
                <w:lang w:val="es-ES" w:eastAsia="es-ES"/>
              </w:rPr>
            </w:pPr>
          </w:p>
        </w:tc>
        <w:tc>
          <w:tcPr>
            <w:tcW w:w="841" w:type="pct"/>
            <w:tcBorders>
              <w:top w:val="nil"/>
              <w:left w:val="nil"/>
              <w:bottom w:val="nil"/>
              <w:right w:val="nil"/>
            </w:tcBorders>
            <w:shd w:val="clear" w:color="auto" w:fill="auto"/>
            <w:noWrap/>
            <w:vAlign w:val="bottom"/>
            <w:hideMark/>
          </w:tcPr>
          <w:p w14:paraId="7CE1B022" w14:textId="77777777" w:rsidR="00B2676A" w:rsidRPr="001843BD" w:rsidRDefault="00B2676A" w:rsidP="0076578C">
            <w:pPr>
              <w:pStyle w:val="Tabletext"/>
              <w:jc w:val="right"/>
              <w:rPr>
                <w:lang w:val="es-ES" w:eastAsia="es-ES"/>
              </w:rPr>
            </w:pPr>
          </w:p>
        </w:tc>
        <w:tc>
          <w:tcPr>
            <w:tcW w:w="651" w:type="pct"/>
            <w:tcBorders>
              <w:top w:val="nil"/>
              <w:left w:val="nil"/>
              <w:bottom w:val="nil"/>
              <w:right w:val="nil"/>
            </w:tcBorders>
            <w:shd w:val="clear" w:color="auto" w:fill="auto"/>
            <w:noWrap/>
            <w:vAlign w:val="bottom"/>
            <w:hideMark/>
          </w:tcPr>
          <w:p w14:paraId="792EFB10" w14:textId="77777777" w:rsidR="00B2676A" w:rsidRPr="001843BD" w:rsidRDefault="00B2676A" w:rsidP="0076578C">
            <w:pPr>
              <w:pStyle w:val="Tabletext"/>
              <w:jc w:val="right"/>
              <w:rPr>
                <w:lang w:val="es-ES" w:eastAsia="es-ES"/>
              </w:rPr>
            </w:pPr>
          </w:p>
        </w:tc>
        <w:tc>
          <w:tcPr>
            <w:tcW w:w="641" w:type="pct"/>
            <w:tcBorders>
              <w:top w:val="nil"/>
              <w:left w:val="nil"/>
              <w:bottom w:val="nil"/>
              <w:right w:val="nil"/>
            </w:tcBorders>
            <w:shd w:val="clear" w:color="auto" w:fill="auto"/>
            <w:noWrap/>
            <w:vAlign w:val="bottom"/>
            <w:hideMark/>
          </w:tcPr>
          <w:p w14:paraId="1A62989D" w14:textId="77777777" w:rsidR="00B2676A" w:rsidRPr="001843BD" w:rsidRDefault="00B2676A" w:rsidP="0076578C">
            <w:pPr>
              <w:pStyle w:val="Tabletext"/>
              <w:jc w:val="right"/>
              <w:rPr>
                <w:lang w:val="es-ES" w:eastAsia="es-ES"/>
              </w:rPr>
            </w:pPr>
          </w:p>
        </w:tc>
      </w:tr>
      <w:tr w:rsidR="00B2676A" w:rsidRPr="002B26C8" w14:paraId="2407CF33" w14:textId="77777777" w:rsidTr="00B2676A">
        <w:trPr>
          <w:trHeight w:val="310"/>
        </w:trPr>
        <w:tc>
          <w:tcPr>
            <w:tcW w:w="2788" w:type="pct"/>
            <w:gridSpan w:val="2"/>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44723BA3" w14:textId="77777777" w:rsidR="00B2676A" w:rsidRPr="002B26C8" w:rsidRDefault="00B2676A" w:rsidP="0076578C">
            <w:pPr>
              <w:pStyle w:val="Tabletext"/>
              <w:rPr>
                <w:rFonts w:cs="Calibri"/>
                <w:b/>
                <w:bCs/>
                <w:color w:val="000000"/>
                <w:szCs w:val="24"/>
                <w:lang w:val="es-ES" w:eastAsia="es-ES"/>
              </w:rPr>
            </w:pPr>
            <w:r w:rsidRPr="002B26C8">
              <w:rPr>
                <w:b/>
                <w:bCs/>
                <w:lang w:val="es-ES" w:eastAsia="es-ES"/>
              </w:rPr>
              <w:t>Total</w:t>
            </w:r>
          </w:p>
        </w:tc>
        <w:tc>
          <w:tcPr>
            <w:tcW w:w="79" w:type="pct"/>
            <w:gridSpan w:val="2"/>
            <w:tcBorders>
              <w:top w:val="nil"/>
              <w:left w:val="nil"/>
              <w:bottom w:val="nil"/>
              <w:right w:val="nil"/>
            </w:tcBorders>
            <w:shd w:val="clear" w:color="auto" w:fill="auto"/>
            <w:noWrap/>
            <w:vAlign w:val="bottom"/>
            <w:hideMark/>
          </w:tcPr>
          <w:p w14:paraId="6D66B84D" w14:textId="77777777" w:rsidR="00B2676A" w:rsidRPr="001843BD" w:rsidRDefault="00B2676A" w:rsidP="0076578C">
            <w:pPr>
              <w:tabs>
                <w:tab w:val="clear" w:pos="1134"/>
                <w:tab w:val="clear" w:pos="2268"/>
              </w:tabs>
              <w:overflowPunct/>
              <w:autoSpaceDE/>
              <w:autoSpaceDN/>
              <w:adjustRightInd/>
              <w:spacing w:before="0"/>
              <w:textAlignment w:val="auto"/>
              <w:rPr>
                <w:rFonts w:cs="Calibri"/>
                <w:b/>
                <w:bCs/>
                <w:color w:val="000000"/>
                <w:szCs w:val="24"/>
                <w:lang w:val="es-ES" w:eastAsia="es-ES"/>
              </w:rPr>
            </w:pPr>
          </w:p>
        </w:tc>
        <w:tc>
          <w:tcPr>
            <w:tcW w:w="841" w:type="pct"/>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18B944E1" w14:textId="11BEFB2E" w:rsidR="00B2676A" w:rsidRPr="002B26C8" w:rsidRDefault="00B2676A" w:rsidP="0076578C">
            <w:pPr>
              <w:pStyle w:val="Tabletext"/>
              <w:jc w:val="right"/>
              <w:rPr>
                <w:lang w:val="es-ES" w:eastAsia="es-ES"/>
              </w:rPr>
            </w:pPr>
            <w:r w:rsidRPr="002B26C8">
              <w:rPr>
                <w:lang w:val="es-ES" w:eastAsia="es-ES"/>
              </w:rPr>
              <w:t>594</w:t>
            </w:r>
            <w:r w:rsidR="00BE41AA">
              <w:rPr>
                <w:lang w:val="es-ES"/>
              </w:rPr>
              <w:t> </w:t>
            </w:r>
            <w:r w:rsidRPr="002B26C8">
              <w:rPr>
                <w:lang w:val="es-ES" w:eastAsia="es-ES"/>
              </w:rPr>
              <w:t>900</w:t>
            </w:r>
          </w:p>
        </w:tc>
        <w:tc>
          <w:tcPr>
            <w:tcW w:w="651" w:type="pct"/>
            <w:tcBorders>
              <w:top w:val="single" w:sz="4" w:space="0" w:color="auto"/>
              <w:left w:val="nil"/>
              <w:bottom w:val="single" w:sz="4" w:space="0" w:color="auto"/>
              <w:right w:val="nil"/>
            </w:tcBorders>
            <w:shd w:val="clear" w:color="000000" w:fill="D9E1F2"/>
            <w:noWrap/>
            <w:vAlign w:val="bottom"/>
            <w:hideMark/>
          </w:tcPr>
          <w:p w14:paraId="16943C97" w14:textId="10F82097" w:rsidR="00B2676A" w:rsidRPr="002B26C8" w:rsidRDefault="00B2676A" w:rsidP="0076578C">
            <w:pPr>
              <w:pStyle w:val="Tabletext"/>
              <w:jc w:val="right"/>
              <w:rPr>
                <w:lang w:val="es-ES" w:eastAsia="es-ES"/>
              </w:rPr>
            </w:pPr>
            <w:r w:rsidRPr="002B26C8">
              <w:rPr>
                <w:lang w:val="es-ES" w:eastAsia="es-ES"/>
              </w:rPr>
              <w:t>326</w:t>
            </w:r>
            <w:r w:rsidR="00BE41AA">
              <w:rPr>
                <w:lang w:val="es-ES"/>
              </w:rPr>
              <w:t> </w:t>
            </w:r>
            <w:r w:rsidRPr="002B26C8">
              <w:rPr>
                <w:lang w:val="es-ES" w:eastAsia="es-ES"/>
              </w:rPr>
              <w:t>340</w:t>
            </w:r>
          </w:p>
        </w:tc>
        <w:tc>
          <w:tcPr>
            <w:tcW w:w="641" w:type="pct"/>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4FE51FF5" w14:textId="02898CFD" w:rsidR="00B2676A" w:rsidRPr="002B26C8" w:rsidRDefault="00B2676A" w:rsidP="0076578C">
            <w:pPr>
              <w:pStyle w:val="Tabletext"/>
              <w:jc w:val="right"/>
              <w:rPr>
                <w:b/>
                <w:bCs/>
                <w:lang w:val="es-ES" w:eastAsia="es-ES"/>
              </w:rPr>
            </w:pPr>
            <w:r w:rsidRPr="002B26C8">
              <w:rPr>
                <w:b/>
                <w:bCs/>
                <w:lang w:val="es-ES" w:eastAsia="es-ES"/>
              </w:rPr>
              <w:t>1</w:t>
            </w:r>
            <w:r w:rsidR="00BE41AA">
              <w:rPr>
                <w:lang w:val="es-ES"/>
              </w:rPr>
              <w:t> </w:t>
            </w:r>
            <w:r w:rsidRPr="002B26C8">
              <w:rPr>
                <w:b/>
                <w:bCs/>
                <w:lang w:val="es-ES" w:eastAsia="es-ES"/>
              </w:rPr>
              <w:t>900</w:t>
            </w:r>
            <w:r w:rsidR="00BE41AA">
              <w:rPr>
                <w:lang w:val="es-ES"/>
              </w:rPr>
              <w:t> </w:t>
            </w:r>
            <w:r w:rsidRPr="002B26C8">
              <w:rPr>
                <w:b/>
                <w:bCs/>
                <w:lang w:val="es-ES" w:eastAsia="es-ES"/>
              </w:rPr>
              <w:t>260</w:t>
            </w:r>
          </w:p>
        </w:tc>
      </w:tr>
    </w:tbl>
    <w:p w14:paraId="29937E56" w14:textId="0FD0702A" w:rsidR="00B2676A" w:rsidRDefault="00B2676A" w:rsidP="00E0738F">
      <w:pPr>
        <w:rPr>
          <w:b/>
          <w:lang w:val="es-ES"/>
        </w:rPr>
      </w:pPr>
    </w:p>
    <w:p w14:paraId="4A6BBA33" w14:textId="77777777" w:rsidR="00B2676A" w:rsidRDefault="00B2676A">
      <w:pPr>
        <w:tabs>
          <w:tab w:val="clear" w:pos="567"/>
          <w:tab w:val="clear" w:pos="1134"/>
          <w:tab w:val="clear" w:pos="1701"/>
          <w:tab w:val="clear" w:pos="2268"/>
          <w:tab w:val="clear" w:pos="2835"/>
        </w:tabs>
        <w:overflowPunct/>
        <w:autoSpaceDE/>
        <w:autoSpaceDN/>
        <w:adjustRightInd/>
        <w:spacing w:before="0"/>
        <w:textAlignment w:val="auto"/>
        <w:rPr>
          <w:b/>
          <w:lang w:val="es-ES"/>
        </w:rPr>
      </w:pPr>
      <w:r>
        <w:rPr>
          <w:b/>
          <w:lang w:val="es-ES"/>
        </w:rPr>
        <w:br w:type="page"/>
      </w:r>
    </w:p>
    <w:p w14:paraId="1A626C4E" w14:textId="33AB49C4" w:rsidR="00E0738F" w:rsidRDefault="00E0738F" w:rsidP="00E0738F">
      <w:pPr>
        <w:pStyle w:val="TableNo"/>
        <w:spacing w:after="0"/>
        <w:rPr>
          <w:lang w:val="es-ES"/>
        </w:rPr>
      </w:pPr>
      <w:r w:rsidRPr="00012013">
        <w:rPr>
          <w:lang w:val="es-ES"/>
        </w:rPr>
        <w:lastRenderedPageBreak/>
        <w:t>Cuadro 2-2</w:t>
      </w:r>
      <w:bookmarkStart w:id="1" w:name="_Hlk163206056"/>
    </w:p>
    <w:p w14:paraId="0A013A9B" w14:textId="04E84A10" w:rsidR="00E0738F" w:rsidRPr="00B2676A" w:rsidRDefault="00012013" w:rsidP="00012013">
      <w:pPr>
        <w:pStyle w:val="Tabletitle"/>
        <w:rPr>
          <w:bCs/>
          <w:lang w:val="es-ES"/>
        </w:rPr>
      </w:pPr>
      <w:r>
        <w:rPr>
          <w:lang w:val="es-ES"/>
        </w:rPr>
        <w:br/>
      </w:r>
      <w:r w:rsidR="00E0738F" w:rsidRPr="005456B9">
        <w:rPr>
          <w:bCs/>
          <w:lang w:val="es-ES"/>
        </w:rPr>
        <w:t>COSTES ADICIONALES DEL DESARROLLO DE PROGRAMAS DE LOS SERVICIOS TERRENALES</w:t>
      </w:r>
      <w:bookmarkEnd w:id="1"/>
    </w:p>
    <w:tbl>
      <w:tblPr>
        <w:tblW w:w="5391" w:type="pct"/>
        <w:tblCellMar>
          <w:left w:w="70" w:type="dxa"/>
          <w:right w:w="70" w:type="dxa"/>
        </w:tblCellMar>
        <w:tblLook w:val="04A0" w:firstRow="1" w:lastRow="0" w:firstColumn="1" w:lastColumn="0" w:noHBand="0" w:noVBand="1"/>
      </w:tblPr>
      <w:tblGrid>
        <w:gridCol w:w="5564"/>
        <w:gridCol w:w="132"/>
        <w:gridCol w:w="28"/>
        <w:gridCol w:w="118"/>
        <w:gridCol w:w="1549"/>
        <w:gridCol w:w="1200"/>
        <w:gridCol w:w="1189"/>
      </w:tblGrid>
      <w:tr w:rsidR="00B2676A" w:rsidRPr="00DF2617" w14:paraId="4EBF832B" w14:textId="77777777" w:rsidTr="00BE41AA">
        <w:trPr>
          <w:trHeight w:val="172"/>
        </w:trPr>
        <w:tc>
          <w:tcPr>
            <w:tcW w:w="2845" w:type="pct"/>
            <w:tcBorders>
              <w:bottom w:val="single" w:sz="4" w:space="0" w:color="auto"/>
            </w:tcBorders>
            <w:shd w:val="clear" w:color="auto" w:fill="auto"/>
            <w:noWrap/>
            <w:vAlign w:val="center"/>
          </w:tcPr>
          <w:p w14:paraId="428847DA" w14:textId="77777777" w:rsidR="00B2676A" w:rsidRPr="00DF2617" w:rsidRDefault="00B2676A" w:rsidP="0076578C">
            <w:pPr>
              <w:pStyle w:val="Tablehead"/>
              <w:keepLines/>
              <w:rPr>
                <w:lang w:val="es-ES" w:eastAsia="es-ES"/>
              </w:rPr>
            </w:pPr>
          </w:p>
        </w:tc>
        <w:tc>
          <w:tcPr>
            <w:tcW w:w="81" w:type="pct"/>
            <w:gridSpan w:val="2"/>
            <w:tcBorders>
              <w:left w:val="nil"/>
              <w:bottom w:val="nil"/>
            </w:tcBorders>
            <w:shd w:val="clear" w:color="auto" w:fill="auto"/>
            <w:noWrap/>
            <w:vAlign w:val="bottom"/>
          </w:tcPr>
          <w:p w14:paraId="0139422D" w14:textId="77777777" w:rsidR="00B2676A" w:rsidRPr="00DF2617" w:rsidRDefault="00B2676A" w:rsidP="0076578C">
            <w:pPr>
              <w:keepNext/>
              <w:keepLines/>
              <w:tabs>
                <w:tab w:val="clear" w:pos="1134"/>
                <w:tab w:val="clear" w:pos="2268"/>
              </w:tabs>
              <w:overflowPunct/>
              <w:autoSpaceDE/>
              <w:autoSpaceDN/>
              <w:adjustRightInd/>
              <w:spacing w:before="0"/>
              <w:jc w:val="center"/>
              <w:textAlignment w:val="auto"/>
              <w:rPr>
                <w:rFonts w:cs="Calibri"/>
                <w:b/>
                <w:bCs/>
                <w:color w:val="000000"/>
                <w:szCs w:val="24"/>
                <w:lang w:val="es-ES" w:eastAsia="es-ES"/>
              </w:rPr>
            </w:pPr>
          </w:p>
        </w:tc>
        <w:tc>
          <w:tcPr>
            <w:tcW w:w="2074" w:type="pct"/>
            <w:gridSpan w:val="4"/>
            <w:tcBorders>
              <w:bottom w:val="single" w:sz="4" w:space="0" w:color="auto"/>
            </w:tcBorders>
            <w:shd w:val="clear" w:color="auto" w:fill="auto"/>
            <w:vAlign w:val="center"/>
          </w:tcPr>
          <w:p w14:paraId="0CAC72DF" w14:textId="77777777" w:rsidR="00B2676A" w:rsidRPr="00CF773E" w:rsidRDefault="00B2676A" w:rsidP="0076578C">
            <w:pPr>
              <w:pStyle w:val="Tablehead"/>
              <w:keepLines/>
              <w:rPr>
                <w:b w:val="0"/>
                <w:i/>
                <w:iCs/>
                <w:color w:val="000000"/>
                <w:szCs w:val="24"/>
                <w:lang w:val="es-ES" w:eastAsia="es-ES"/>
              </w:rPr>
            </w:pPr>
            <w:r w:rsidRPr="00CF773E">
              <w:rPr>
                <w:b w:val="0"/>
                <w:i/>
                <w:iCs/>
                <w:color w:val="000000"/>
                <w:szCs w:val="24"/>
                <w:lang w:val="es-ES" w:eastAsia="es-ES"/>
              </w:rPr>
              <w:t>en CHF</w:t>
            </w:r>
          </w:p>
        </w:tc>
      </w:tr>
      <w:tr w:rsidR="00B2676A" w:rsidRPr="00415F30" w14:paraId="4A3E2B4F" w14:textId="77777777" w:rsidTr="00BE41AA">
        <w:trPr>
          <w:trHeight w:val="620"/>
        </w:trPr>
        <w:tc>
          <w:tcPr>
            <w:tcW w:w="2912" w:type="pct"/>
            <w:gridSpan w:val="2"/>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2417E9C5" w14:textId="77777777" w:rsidR="00B2676A" w:rsidRPr="00415F30" w:rsidRDefault="00B2676A" w:rsidP="0076578C">
            <w:pPr>
              <w:pStyle w:val="Tablehead"/>
              <w:keepLines/>
              <w:rPr>
                <w:rFonts w:cs="Calibri"/>
                <w:b w:val="0"/>
                <w:bCs/>
                <w:color w:val="000000"/>
                <w:szCs w:val="24"/>
                <w:lang w:val="es-ES" w:eastAsia="es-ES"/>
              </w:rPr>
            </w:pPr>
            <w:r w:rsidRPr="00CF773E">
              <w:rPr>
                <w:lang w:val="es-ES" w:eastAsia="es-ES"/>
              </w:rPr>
              <w:t>Descripción</w:t>
            </w:r>
          </w:p>
        </w:tc>
        <w:tc>
          <w:tcPr>
            <w:tcW w:w="75" w:type="pct"/>
            <w:gridSpan w:val="2"/>
            <w:tcBorders>
              <w:top w:val="nil"/>
              <w:left w:val="nil"/>
              <w:bottom w:val="nil"/>
              <w:right w:val="nil"/>
            </w:tcBorders>
            <w:shd w:val="clear" w:color="auto" w:fill="auto"/>
            <w:noWrap/>
            <w:vAlign w:val="bottom"/>
            <w:hideMark/>
          </w:tcPr>
          <w:p w14:paraId="446FDDF8" w14:textId="77777777" w:rsidR="00B2676A" w:rsidRPr="00415F30" w:rsidRDefault="00B2676A" w:rsidP="0076578C">
            <w:pPr>
              <w:keepNext/>
              <w:keepLines/>
              <w:tabs>
                <w:tab w:val="clear" w:pos="1134"/>
                <w:tab w:val="clear" w:pos="2268"/>
              </w:tabs>
              <w:overflowPunct/>
              <w:autoSpaceDE/>
              <w:autoSpaceDN/>
              <w:adjustRightInd/>
              <w:spacing w:before="0"/>
              <w:jc w:val="center"/>
              <w:textAlignment w:val="auto"/>
              <w:rPr>
                <w:rFonts w:cs="Calibri"/>
                <w:b/>
                <w:bCs/>
                <w:color w:val="000000"/>
                <w:szCs w:val="24"/>
                <w:lang w:val="es-ES" w:eastAsia="es-ES"/>
              </w:rPr>
            </w:pPr>
          </w:p>
        </w:tc>
        <w:tc>
          <w:tcPr>
            <w:tcW w:w="792" w:type="pct"/>
            <w:tcBorders>
              <w:top w:val="single" w:sz="4" w:space="0" w:color="auto"/>
              <w:left w:val="single" w:sz="4" w:space="0" w:color="auto"/>
              <w:bottom w:val="single" w:sz="4" w:space="0" w:color="auto"/>
              <w:right w:val="single" w:sz="4" w:space="0" w:color="auto"/>
            </w:tcBorders>
            <w:shd w:val="clear" w:color="000000" w:fill="8497B0"/>
            <w:vAlign w:val="center"/>
            <w:hideMark/>
          </w:tcPr>
          <w:p w14:paraId="12A33DCD" w14:textId="745A630C" w:rsidR="00B2676A" w:rsidRPr="00415F30" w:rsidRDefault="00B2676A" w:rsidP="0076578C">
            <w:pPr>
              <w:pStyle w:val="Tablehead"/>
              <w:keepLines/>
              <w:rPr>
                <w:rFonts w:cs="Calibri"/>
                <w:b w:val="0"/>
                <w:bCs/>
                <w:color w:val="000000"/>
                <w:szCs w:val="24"/>
                <w:lang w:val="es-ES" w:eastAsia="es-ES"/>
              </w:rPr>
            </w:pPr>
            <w:r>
              <w:rPr>
                <w:lang w:val="es-ES"/>
              </w:rPr>
              <w:t>Costes extraordinarios</w:t>
            </w:r>
          </w:p>
        </w:tc>
        <w:tc>
          <w:tcPr>
            <w:tcW w:w="613" w:type="pct"/>
            <w:tcBorders>
              <w:top w:val="single" w:sz="4" w:space="0" w:color="auto"/>
              <w:left w:val="nil"/>
              <w:bottom w:val="single" w:sz="4" w:space="0" w:color="auto"/>
              <w:right w:val="single" w:sz="4" w:space="0" w:color="auto"/>
            </w:tcBorders>
            <w:shd w:val="clear" w:color="000000" w:fill="8EA9DB"/>
            <w:vAlign w:val="center"/>
            <w:hideMark/>
          </w:tcPr>
          <w:p w14:paraId="1B86989F" w14:textId="171C12C5" w:rsidR="00B2676A" w:rsidRPr="00415F30" w:rsidRDefault="00B2676A" w:rsidP="0076578C">
            <w:pPr>
              <w:pStyle w:val="Tablehead"/>
              <w:keepLines/>
              <w:rPr>
                <w:rFonts w:cs="Calibri"/>
                <w:b w:val="0"/>
                <w:bCs/>
                <w:color w:val="000000"/>
                <w:szCs w:val="24"/>
                <w:lang w:val="es-ES" w:eastAsia="es-ES"/>
              </w:rPr>
            </w:pPr>
            <w:r>
              <w:rPr>
                <w:lang w:val="es-ES"/>
              </w:rPr>
              <w:t>Costes anuales recurrentes</w:t>
            </w:r>
          </w:p>
        </w:tc>
        <w:tc>
          <w:tcPr>
            <w:tcW w:w="608" w:type="pct"/>
            <w:tcBorders>
              <w:top w:val="single" w:sz="4" w:space="0" w:color="auto"/>
              <w:left w:val="nil"/>
              <w:bottom w:val="single" w:sz="4" w:space="0" w:color="auto"/>
              <w:right w:val="single" w:sz="4" w:space="0" w:color="auto"/>
            </w:tcBorders>
            <w:shd w:val="clear" w:color="000000" w:fill="9BC2E6"/>
            <w:vAlign w:val="center"/>
            <w:hideMark/>
          </w:tcPr>
          <w:p w14:paraId="1599D99D" w14:textId="77777777" w:rsidR="00B2676A" w:rsidRPr="00415F30" w:rsidRDefault="00B2676A" w:rsidP="0076578C">
            <w:pPr>
              <w:pStyle w:val="Tablehead"/>
              <w:keepLines/>
              <w:rPr>
                <w:rFonts w:cs="Calibri"/>
                <w:b w:val="0"/>
                <w:bCs/>
                <w:color w:val="000000"/>
                <w:szCs w:val="24"/>
                <w:lang w:val="es-ES" w:eastAsia="es-ES"/>
              </w:rPr>
            </w:pPr>
            <w:r w:rsidRPr="00CF773E">
              <w:rPr>
                <w:lang w:val="es-ES" w:eastAsia="es-ES"/>
              </w:rPr>
              <w:t>Total</w:t>
            </w:r>
            <w:r>
              <w:rPr>
                <w:lang w:val="es-ES" w:eastAsia="es-ES"/>
              </w:rPr>
              <w:t xml:space="preserve"> </w:t>
            </w:r>
            <w:r>
              <w:rPr>
                <w:lang w:val="es-ES" w:eastAsia="es-ES"/>
              </w:rPr>
              <w:br/>
              <w:t>2024</w:t>
            </w:r>
            <w:r w:rsidRPr="00CF773E">
              <w:rPr>
                <w:lang w:val="es-ES" w:eastAsia="es-ES"/>
              </w:rPr>
              <w:t>-2027</w:t>
            </w:r>
          </w:p>
        </w:tc>
      </w:tr>
      <w:tr w:rsidR="00B2676A" w:rsidRPr="00415F30" w14:paraId="2AA43516" w14:textId="77777777" w:rsidTr="00BE41AA">
        <w:trPr>
          <w:trHeight w:val="310"/>
        </w:trPr>
        <w:tc>
          <w:tcPr>
            <w:tcW w:w="2912" w:type="pct"/>
            <w:gridSpan w:val="2"/>
            <w:tcBorders>
              <w:top w:val="nil"/>
              <w:left w:val="single" w:sz="4" w:space="0" w:color="auto"/>
              <w:bottom w:val="single" w:sz="4" w:space="0" w:color="auto"/>
              <w:right w:val="single" w:sz="4" w:space="0" w:color="auto"/>
            </w:tcBorders>
            <w:shd w:val="clear" w:color="000000" w:fill="E2EFDA"/>
            <w:vAlign w:val="bottom"/>
            <w:hideMark/>
          </w:tcPr>
          <w:p w14:paraId="4E105648" w14:textId="77777777" w:rsidR="00B2676A" w:rsidRPr="00CF773E" w:rsidRDefault="00B2676A" w:rsidP="0076578C">
            <w:pPr>
              <w:pStyle w:val="Tabletext"/>
              <w:keepNext/>
              <w:keepLines/>
              <w:rPr>
                <w:lang w:val="es-ES" w:eastAsia="es-ES"/>
              </w:rPr>
            </w:pPr>
            <w:r w:rsidRPr="00CF773E">
              <w:rPr>
                <w:lang w:val="es-ES" w:eastAsia="es-ES"/>
              </w:rPr>
              <w:t>Nuevas condiciones y cálculo de límites de dfp para las HIBS</w:t>
            </w:r>
          </w:p>
        </w:tc>
        <w:tc>
          <w:tcPr>
            <w:tcW w:w="75" w:type="pct"/>
            <w:gridSpan w:val="2"/>
            <w:tcBorders>
              <w:top w:val="nil"/>
              <w:left w:val="nil"/>
              <w:bottom w:val="nil"/>
              <w:right w:val="nil"/>
            </w:tcBorders>
            <w:shd w:val="clear" w:color="auto" w:fill="auto"/>
            <w:noWrap/>
            <w:vAlign w:val="bottom"/>
            <w:hideMark/>
          </w:tcPr>
          <w:p w14:paraId="63CAE72A" w14:textId="77777777" w:rsidR="00B2676A" w:rsidRPr="00415F30" w:rsidRDefault="00B2676A" w:rsidP="0076578C">
            <w:pPr>
              <w:keepNext/>
              <w:keepLines/>
              <w:tabs>
                <w:tab w:val="clear" w:pos="1134"/>
                <w:tab w:val="clear" w:pos="2268"/>
              </w:tabs>
              <w:overflowPunct/>
              <w:autoSpaceDE/>
              <w:autoSpaceDN/>
              <w:adjustRightInd/>
              <w:spacing w:before="0"/>
              <w:textAlignment w:val="auto"/>
              <w:rPr>
                <w:rFonts w:cs="Calibri"/>
                <w:color w:val="000000"/>
                <w:szCs w:val="24"/>
                <w:lang w:val="es-ES" w:eastAsia="es-ES"/>
              </w:rPr>
            </w:pPr>
          </w:p>
        </w:tc>
        <w:tc>
          <w:tcPr>
            <w:tcW w:w="792" w:type="pct"/>
            <w:tcBorders>
              <w:top w:val="nil"/>
              <w:left w:val="single" w:sz="4" w:space="0" w:color="auto"/>
              <w:bottom w:val="single" w:sz="4" w:space="0" w:color="auto"/>
              <w:right w:val="single" w:sz="4" w:space="0" w:color="auto"/>
            </w:tcBorders>
            <w:shd w:val="clear" w:color="000000" w:fill="D6DCE4"/>
            <w:noWrap/>
            <w:vAlign w:val="bottom"/>
            <w:hideMark/>
          </w:tcPr>
          <w:p w14:paraId="7A131C62" w14:textId="6EB52A3F" w:rsidR="00B2676A" w:rsidRPr="00CF773E" w:rsidRDefault="00B2676A" w:rsidP="00B82F91">
            <w:pPr>
              <w:pStyle w:val="Tabletext"/>
              <w:keepNext/>
              <w:keepLines/>
              <w:jc w:val="center"/>
              <w:rPr>
                <w:lang w:val="es-ES" w:eastAsia="es-ES"/>
              </w:rPr>
            </w:pPr>
            <w:r w:rsidRPr="00CF773E">
              <w:rPr>
                <w:lang w:val="es-ES" w:eastAsia="es-ES"/>
              </w:rPr>
              <w:t>175</w:t>
            </w:r>
            <w:r w:rsidR="00BE41AA">
              <w:rPr>
                <w:lang w:val="es-ES"/>
              </w:rPr>
              <w:t> </w:t>
            </w:r>
            <w:r w:rsidRPr="00CF773E">
              <w:rPr>
                <w:lang w:val="es-ES" w:eastAsia="es-ES"/>
              </w:rPr>
              <w:t>284</w:t>
            </w:r>
          </w:p>
        </w:tc>
        <w:tc>
          <w:tcPr>
            <w:tcW w:w="613" w:type="pct"/>
            <w:tcBorders>
              <w:top w:val="nil"/>
              <w:left w:val="nil"/>
              <w:bottom w:val="single" w:sz="4" w:space="0" w:color="auto"/>
              <w:right w:val="single" w:sz="4" w:space="0" w:color="auto"/>
            </w:tcBorders>
            <w:shd w:val="clear" w:color="000000" w:fill="D9E1F2"/>
            <w:noWrap/>
            <w:vAlign w:val="bottom"/>
            <w:hideMark/>
          </w:tcPr>
          <w:p w14:paraId="4A34CB8B" w14:textId="7236A973" w:rsidR="00B2676A" w:rsidRPr="00CF773E" w:rsidRDefault="00B2676A" w:rsidP="00B82F91">
            <w:pPr>
              <w:pStyle w:val="Tabletext"/>
              <w:keepNext/>
              <w:keepLines/>
              <w:jc w:val="center"/>
              <w:rPr>
                <w:lang w:val="es-ES" w:eastAsia="es-ES"/>
              </w:rPr>
            </w:pPr>
          </w:p>
        </w:tc>
        <w:tc>
          <w:tcPr>
            <w:tcW w:w="608" w:type="pct"/>
            <w:tcBorders>
              <w:top w:val="nil"/>
              <w:left w:val="nil"/>
              <w:bottom w:val="single" w:sz="4" w:space="0" w:color="auto"/>
              <w:right w:val="single" w:sz="4" w:space="0" w:color="auto"/>
            </w:tcBorders>
            <w:shd w:val="clear" w:color="000000" w:fill="DDEBF7"/>
            <w:noWrap/>
            <w:vAlign w:val="bottom"/>
            <w:hideMark/>
          </w:tcPr>
          <w:p w14:paraId="66717BB8" w14:textId="219B896B" w:rsidR="00B2676A" w:rsidRPr="00CF773E" w:rsidRDefault="00B2676A" w:rsidP="00B82F91">
            <w:pPr>
              <w:pStyle w:val="Tabletext"/>
              <w:keepNext/>
              <w:keepLines/>
              <w:jc w:val="center"/>
              <w:rPr>
                <w:lang w:val="es-ES" w:eastAsia="es-ES"/>
              </w:rPr>
            </w:pPr>
            <w:r w:rsidRPr="00CF773E">
              <w:rPr>
                <w:lang w:val="es-ES" w:eastAsia="es-ES"/>
              </w:rPr>
              <w:t>175</w:t>
            </w:r>
            <w:r w:rsidR="00BE41AA">
              <w:rPr>
                <w:lang w:val="es-ES"/>
              </w:rPr>
              <w:t> </w:t>
            </w:r>
            <w:r w:rsidRPr="00CF773E">
              <w:rPr>
                <w:lang w:val="es-ES" w:eastAsia="es-ES"/>
              </w:rPr>
              <w:t>284</w:t>
            </w:r>
          </w:p>
        </w:tc>
      </w:tr>
      <w:tr w:rsidR="00B2676A" w:rsidRPr="00415F30" w14:paraId="7EBD60C5" w14:textId="77777777" w:rsidTr="00BE41AA">
        <w:trPr>
          <w:trHeight w:val="340"/>
        </w:trPr>
        <w:tc>
          <w:tcPr>
            <w:tcW w:w="2912" w:type="pct"/>
            <w:gridSpan w:val="2"/>
            <w:tcBorders>
              <w:top w:val="nil"/>
              <w:left w:val="single" w:sz="4" w:space="0" w:color="auto"/>
              <w:bottom w:val="single" w:sz="4" w:space="0" w:color="auto"/>
              <w:right w:val="single" w:sz="4" w:space="0" w:color="auto"/>
            </w:tcBorders>
            <w:shd w:val="clear" w:color="000000" w:fill="E2EFDA"/>
            <w:vAlign w:val="bottom"/>
            <w:hideMark/>
          </w:tcPr>
          <w:p w14:paraId="78954E67" w14:textId="77777777" w:rsidR="00B2676A" w:rsidRPr="00CF773E" w:rsidRDefault="00B2676A" w:rsidP="0076578C">
            <w:pPr>
              <w:pStyle w:val="Tabletext"/>
              <w:keepNext/>
              <w:keepLines/>
              <w:rPr>
                <w:lang w:val="es-ES" w:eastAsia="es-ES"/>
              </w:rPr>
            </w:pPr>
            <w:r w:rsidRPr="00CF773E">
              <w:rPr>
                <w:lang w:val="es-ES" w:eastAsia="es-ES"/>
              </w:rPr>
              <w:t xml:space="preserve">Cálculo del límite de dfp de las IMT con directividad de antena asociada en virtud del número </w:t>
            </w:r>
            <w:r w:rsidRPr="00CF773E">
              <w:rPr>
                <w:b/>
                <w:bCs/>
                <w:lang w:val="es-ES" w:eastAsia="es-ES"/>
              </w:rPr>
              <w:t>5.441B</w:t>
            </w:r>
          </w:p>
        </w:tc>
        <w:tc>
          <w:tcPr>
            <w:tcW w:w="75" w:type="pct"/>
            <w:gridSpan w:val="2"/>
            <w:tcBorders>
              <w:top w:val="nil"/>
              <w:left w:val="nil"/>
              <w:bottom w:val="nil"/>
              <w:right w:val="nil"/>
            </w:tcBorders>
            <w:shd w:val="clear" w:color="auto" w:fill="auto"/>
            <w:noWrap/>
            <w:vAlign w:val="bottom"/>
            <w:hideMark/>
          </w:tcPr>
          <w:p w14:paraId="12EDB537" w14:textId="77777777" w:rsidR="00B2676A" w:rsidRPr="00415F30" w:rsidRDefault="00B2676A" w:rsidP="0076578C">
            <w:pPr>
              <w:keepNext/>
              <w:keepLines/>
              <w:tabs>
                <w:tab w:val="clear" w:pos="1134"/>
                <w:tab w:val="clear" w:pos="2268"/>
              </w:tabs>
              <w:overflowPunct/>
              <w:autoSpaceDE/>
              <w:autoSpaceDN/>
              <w:adjustRightInd/>
              <w:spacing w:before="0"/>
              <w:textAlignment w:val="auto"/>
              <w:rPr>
                <w:color w:val="000000"/>
                <w:szCs w:val="24"/>
                <w:lang w:val="es-ES" w:eastAsia="es-ES"/>
              </w:rPr>
            </w:pPr>
          </w:p>
        </w:tc>
        <w:tc>
          <w:tcPr>
            <w:tcW w:w="792" w:type="pct"/>
            <w:tcBorders>
              <w:top w:val="nil"/>
              <w:left w:val="single" w:sz="4" w:space="0" w:color="auto"/>
              <w:bottom w:val="single" w:sz="4" w:space="0" w:color="auto"/>
              <w:right w:val="single" w:sz="4" w:space="0" w:color="auto"/>
            </w:tcBorders>
            <w:shd w:val="clear" w:color="000000" w:fill="D6DCE4"/>
            <w:noWrap/>
            <w:vAlign w:val="bottom"/>
            <w:hideMark/>
          </w:tcPr>
          <w:p w14:paraId="444DB2C2" w14:textId="498807BD" w:rsidR="00B2676A" w:rsidRPr="00CF773E" w:rsidRDefault="00B2676A" w:rsidP="00B82F91">
            <w:pPr>
              <w:pStyle w:val="Tabletext"/>
              <w:keepNext/>
              <w:keepLines/>
              <w:jc w:val="center"/>
              <w:rPr>
                <w:lang w:val="es-ES" w:eastAsia="es-ES"/>
              </w:rPr>
            </w:pPr>
            <w:r w:rsidRPr="00CF773E">
              <w:rPr>
                <w:lang w:val="es-ES" w:eastAsia="es-ES"/>
              </w:rPr>
              <w:t>52</w:t>
            </w:r>
            <w:r w:rsidR="00BE41AA">
              <w:rPr>
                <w:lang w:val="es-ES"/>
              </w:rPr>
              <w:t> </w:t>
            </w:r>
            <w:r w:rsidRPr="00CF773E">
              <w:rPr>
                <w:lang w:val="es-ES" w:eastAsia="es-ES"/>
              </w:rPr>
              <w:t>585</w:t>
            </w:r>
          </w:p>
        </w:tc>
        <w:tc>
          <w:tcPr>
            <w:tcW w:w="613" w:type="pct"/>
            <w:tcBorders>
              <w:top w:val="nil"/>
              <w:left w:val="nil"/>
              <w:bottom w:val="single" w:sz="4" w:space="0" w:color="auto"/>
              <w:right w:val="single" w:sz="4" w:space="0" w:color="auto"/>
            </w:tcBorders>
            <w:shd w:val="clear" w:color="000000" w:fill="D9E1F2"/>
            <w:noWrap/>
            <w:vAlign w:val="bottom"/>
            <w:hideMark/>
          </w:tcPr>
          <w:p w14:paraId="73CF83A8" w14:textId="360F8E8C" w:rsidR="00B2676A" w:rsidRPr="00CF773E" w:rsidRDefault="00B2676A" w:rsidP="00B82F91">
            <w:pPr>
              <w:pStyle w:val="Tabletext"/>
              <w:keepNext/>
              <w:keepLines/>
              <w:jc w:val="center"/>
              <w:rPr>
                <w:lang w:val="es-ES" w:eastAsia="es-ES"/>
              </w:rPr>
            </w:pPr>
          </w:p>
        </w:tc>
        <w:tc>
          <w:tcPr>
            <w:tcW w:w="608" w:type="pct"/>
            <w:tcBorders>
              <w:top w:val="nil"/>
              <w:left w:val="nil"/>
              <w:bottom w:val="single" w:sz="4" w:space="0" w:color="auto"/>
              <w:right w:val="single" w:sz="4" w:space="0" w:color="auto"/>
            </w:tcBorders>
            <w:shd w:val="clear" w:color="000000" w:fill="DDEBF7"/>
            <w:noWrap/>
            <w:vAlign w:val="bottom"/>
            <w:hideMark/>
          </w:tcPr>
          <w:p w14:paraId="7AFAB34C" w14:textId="047C8C97" w:rsidR="00B2676A" w:rsidRPr="00CF773E" w:rsidRDefault="00B2676A" w:rsidP="00B82F91">
            <w:pPr>
              <w:pStyle w:val="Tabletext"/>
              <w:keepNext/>
              <w:keepLines/>
              <w:jc w:val="center"/>
              <w:rPr>
                <w:lang w:val="es-ES" w:eastAsia="es-ES"/>
              </w:rPr>
            </w:pPr>
            <w:r w:rsidRPr="00CF773E">
              <w:rPr>
                <w:lang w:val="es-ES" w:eastAsia="es-ES"/>
              </w:rPr>
              <w:t>52</w:t>
            </w:r>
            <w:r w:rsidR="00BE41AA">
              <w:rPr>
                <w:lang w:val="es-ES"/>
              </w:rPr>
              <w:t> </w:t>
            </w:r>
            <w:r w:rsidRPr="00CF773E">
              <w:rPr>
                <w:lang w:val="es-ES" w:eastAsia="es-ES"/>
              </w:rPr>
              <w:t>585</w:t>
            </w:r>
          </w:p>
        </w:tc>
      </w:tr>
      <w:tr w:rsidR="00B2676A" w:rsidRPr="00415F30" w14:paraId="1355FC24" w14:textId="77777777" w:rsidTr="00BE41AA">
        <w:trPr>
          <w:trHeight w:val="310"/>
        </w:trPr>
        <w:tc>
          <w:tcPr>
            <w:tcW w:w="2912" w:type="pct"/>
            <w:gridSpan w:val="2"/>
            <w:tcBorders>
              <w:top w:val="nil"/>
              <w:left w:val="single" w:sz="4" w:space="0" w:color="auto"/>
              <w:bottom w:val="single" w:sz="4" w:space="0" w:color="auto"/>
              <w:right w:val="single" w:sz="4" w:space="0" w:color="auto"/>
            </w:tcBorders>
            <w:shd w:val="clear" w:color="000000" w:fill="E2EFDA"/>
            <w:noWrap/>
            <w:vAlign w:val="bottom"/>
            <w:hideMark/>
          </w:tcPr>
          <w:p w14:paraId="423650A4" w14:textId="370A185D" w:rsidR="00B2676A" w:rsidRPr="00B2676A" w:rsidRDefault="00B2676A" w:rsidP="0076578C">
            <w:pPr>
              <w:pStyle w:val="Tabletext"/>
              <w:keepNext/>
              <w:keepLines/>
              <w:rPr>
                <w:lang w:val="es-ES" w:eastAsia="es-ES"/>
              </w:rPr>
            </w:pPr>
            <w:r w:rsidRPr="0000318E">
              <w:rPr>
                <w:lang w:val="es-ES"/>
              </w:rPr>
              <w:t>Nueva máscara de espectro de las IMT para la banda de 6 GHz</w:t>
            </w:r>
          </w:p>
        </w:tc>
        <w:tc>
          <w:tcPr>
            <w:tcW w:w="75" w:type="pct"/>
            <w:gridSpan w:val="2"/>
            <w:tcBorders>
              <w:top w:val="nil"/>
              <w:left w:val="nil"/>
              <w:bottom w:val="nil"/>
              <w:right w:val="nil"/>
            </w:tcBorders>
            <w:shd w:val="clear" w:color="auto" w:fill="auto"/>
            <w:noWrap/>
            <w:vAlign w:val="bottom"/>
            <w:hideMark/>
          </w:tcPr>
          <w:p w14:paraId="38C06CC9" w14:textId="77777777" w:rsidR="00B2676A" w:rsidRPr="00B2676A" w:rsidRDefault="00B2676A" w:rsidP="0076578C">
            <w:pPr>
              <w:keepNext/>
              <w:keepLines/>
              <w:tabs>
                <w:tab w:val="clear" w:pos="1134"/>
                <w:tab w:val="clear" w:pos="2268"/>
              </w:tabs>
              <w:overflowPunct/>
              <w:autoSpaceDE/>
              <w:autoSpaceDN/>
              <w:adjustRightInd/>
              <w:spacing w:before="0"/>
              <w:textAlignment w:val="auto"/>
              <w:rPr>
                <w:color w:val="000000"/>
                <w:szCs w:val="24"/>
                <w:lang w:val="es-ES" w:eastAsia="es-ES"/>
              </w:rPr>
            </w:pPr>
          </w:p>
        </w:tc>
        <w:tc>
          <w:tcPr>
            <w:tcW w:w="792" w:type="pct"/>
            <w:tcBorders>
              <w:top w:val="nil"/>
              <w:left w:val="single" w:sz="4" w:space="0" w:color="auto"/>
              <w:bottom w:val="single" w:sz="4" w:space="0" w:color="auto"/>
              <w:right w:val="single" w:sz="4" w:space="0" w:color="auto"/>
            </w:tcBorders>
            <w:shd w:val="clear" w:color="000000" w:fill="D6DCE4"/>
            <w:noWrap/>
            <w:vAlign w:val="bottom"/>
            <w:hideMark/>
          </w:tcPr>
          <w:p w14:paraId="491A2041" w14:textId="79C04235" w:rsidR="00B2676A" w:rsidRPr="00CF773E" w:rsidRDefault="00B2676A" w:rsidP="00B82F91">
            <w:pPr>
              <w:pStyle w:val="Tabletext"/>
              <w:keepNext/>
              <w:keepLines/>
              <w:jc w:val="center"/>
              <w:rPr>
                <w:lang w:val="es-ES" w:eastAsia="es-ES"/>
              </w:rPr>
            </w:pPr>
            <w:r w:rsidRPr="00CF773E">
              <w:rPr>
                <w:lang w:val="es-ES" w:eastAsia="es-ES"/>
              </w:rPr>
              <w:t>70</w:t>
            </w:r>
            <w:r w:rsidR="00BE41AA">
              <w:rPr>
                <w:lang w:val="es-ES"/>
              </w:rPr>
              <w:t> </w:t>
            </w:r>
            <w:r w:rsidRPr="00CF773E">
              <w:rPr>
                <w:lang w:val="es-ES" w:eastAsia="es-ES"/>
              </w:rPr>
              <w:t>114</w:t>
            </w:r>
          </w:p>
        </w:tc>
        <w:tc>
          <w:tcPr>
            <w:tcW w:w="613" w:type="pct"/>
            <w:tcBorders>
              <w:top w:val="nil"/>
              <w:left w:val="nil"/>
              <w:bottom w:val="single" w:sz="4" w:space="0" w:color="auto"/>
              <w:right w:val="single" w:sz="4" w:space="0" w:color="auto"/>
            </w:tcBorders>
            <w:shd w:val="clear" w:color="000000" w:fill="D9E1F2"/>
            <w:noWrap/>
            <w:vAlign w:val="bottom"/>
            <w:hideMark/>
          </w:tcPr>
          <w:p w14:paraId="0A543129" w14:textId="0DDC6EBF" w:rsidR="00B2676A" w:rsidRPr="00CF773E" w:rsidRDefault="00B2676A" w:rsidP="00B82F91">
            <w:pPr>
              <w:pStyle w:val="Tabletext"/>
              <w:keepNext/>
              <w:keepLines/>
              <w:jc w:val="center"/>
              <w:rPr>
                <w:lang w:val="es-ES" w:eastAsia="es-ES"/>
              </w:rPr>
            </w:pPr>
          </w:p>
        </w:tc>
        <w:tc>
          <w:tcPr>
            <w:tcW w:w="608" w:type="pct"/>
            <w:tcBorders>
              <w:top w:val="nil"/>
              <w:left w:val="nil"/>
              <w:bottom w:val="single" w:sz="4" w:space="0" w:color="auto"/>
              <w:right w:val="single" w:sz="4" w:space="0" w:color="auto"/>
            </w:tcBorders>
            <w:shd w:val="clear" w:color="000000" w:fill="DDEBF7"/>
            <w:noWrap/>
            <w:vAlign w:val="bottom"/>
            <w:hideMark/>
          </w:tcPr>
          <w:p w14:paraId="5AEEB9AD" w14:textId="233BE0D1" w:rsidR="00B2676A" w:rsidRPr="00CF773E" w:rsidRDefault="00B2676A" w:rsidP="00B82F91">
            <w:pPr>
              <w:pStyle w:val="Tabletext"/>
              <w:keepNext/>
              <w:keepLines/>
              <w:jc w:val="center"/>
              <w:rPr>
                <w:lang w:val="es-ES" w:eastAsia="es-ES"/>
              </w:rPr>
            </w:pPr>
            <w:r w:rsidRPr="00CF773E">
              <w:rPr>
                <w:lang w:val="es-ES" w:eastAsia="es-ES"/>
              </w:rPr>
              <w:t>70</w:t>
            </w:r>
            <w:r w:rsidR="00BE41AA">
              <w:rPr>
                <w:lang w:val="es-ES"/>
              </w:rPr>
              <w:t> </w:t>
            </w:r>
            <w:r w:rsidRPr="00CF773E">
              <w:rPr>
                <w:lang w:val="es-ES" w:eastAsia="es-ES"/>
              </w:rPr>
              <w:t>114</w:t>
            </w:r>
          </w:p>
        </w:tc>
      </w:tr>
      <w:tr w:rsidR="00B2676A" w:rsidRPr="00415F30" w14:paraId="50A41D5C" w14:textId="77777777" w:rsidTr="00BE41AA">
        <w:trPr>
          <w:trHeight w:val="340"/>
        </w:trPr>
        <w:tc>
          <w:tcPr>
            <w:tcW w:w="2912" w:type="pct"/>
            <w:gridSpan w:val="2"/>
            <w:tcBorders>
              <w:top w:val="nil"/>
              <w:left w:val="single" w:sz="4" w:space="0" w:color="auto"/>
              <w:bottom w:val="single" w:sz="4" w:space="0" w:color="auto"/>
              <w:right w:val="single" w:sz="4" w:space="0" w:color="auto"/>
            </w:tcBorders>
            <w:shd w:val="clear" w:color="000000" w:fill="E2EFDA"/>
            <w:vAlign w:val="bottom"/>
            <w:hideMark/>
          </w:tcPr>
          <w:p w14:paraId="64B69FD5" w14:textId="77777777" w:rsidR="00B2676A" w:rsidRPr="00CF773E" w:rsidRDefault="00B2676A" w:rsidP="0076578C">
            <w:pPr>
              <w:pStyle w:val="Tabletext"/>
              <w:keepNext/>
              <w:keepLines/>
              <w:rPr>
                <w:lang w:val="es-ES" w:eastAsia="es-ES"/>
              </w:rPr>
            </w:pPr>
            <w:r w:rsidRPr="00CF773E">
              <w:rPr>
                <w:lang w:val="es-ES" w:eastAsia="es-ES"/>
              </w:rPr>
              <w:t>Nuevo límite de dfp para el SMA(OR) para la protección de los servicios existentes en la banda de 22 GHz</w:t>
            </w:r>
          </w:p>
        </w:tc>
        <w:tc>
          <w:tcPr>
            <w:tcW w:w="75" w:type="pct"/>
            <w:gridSpan w:val="2"/>
            <w:tcBorders>
              <w:top w:val="nil"/>
              <w:left w:val="nil"/>
              <w:bottom w:val="nil"/>
              <w:right w:val="nil"/>
            </w:tcBorders>
            <w:shd w:val="clear" w:color="auto" w:fill="auto"/>
            <w:noWrap/>
            <w:vAlign w:val="bottom"/>
            <w:hideMark/>
          </w:tcPr>
          <w:p w14:paraId="4D1E9568" w14:textId="77777777" w:rsidR="00B2676A" w:rsidRPr="00415F30" w:rsidRDefault="00B2676A" w:rsidP="0076578C">
            <w:pPr>
              <w:keepNext/>
              <w:keepLines/>
              <w:tabs>
                <w:tab w:val="clear" w:pos="1134"/>
                <w:tab w:val="clear" w:pos="2268"/>
              </w:tabs>
              <w:overflowPunct/>
              <w:autoSpaceDE/>
              <w:autoSpaceDN/>
              <w:adjustRightInd/>
              <w:spacing w:before="0"/>
              <w:textAlignment w:val="auto"/>
              <w:rPr>
                <w:color w:val="000000"/>
                <w:szCs w:val="24"/>
                <w:lang w:val="es-ES" w:eastAsia="es-ES"/>
              </w:rPr>
            </w:pPr>
          </w:p>
        </w:tc>
        <w:tc>
          <w:tcPr>
            <w:tcW w:w="792" w:type="pct"/>
            <w:tcBorders>
              <w:top w:val="nil"/>
              <w:left w:val="single" w:sz="4" w:space="0" w:color="auto"/>
              <w:bottom w:val="single" w:sz="4" w:space="0" w:color="auto"/>
              <w:right w:val="single" w:sz="4" w:space="0" w:color="auto"/>
            </w:tcBorders>
            <w:shd w:val="clear" w:color="000000" w:fill="D6DCE4"/>
            <w:noWrap/>
            <w:vAlign w:val="bottom"/>
            <w:hideMark/>
          </w:tcPr>
          <w:p w14:paraId="29568742" w14:textId="55A65F50" w:rsidR="00B2676A" w:rsidRPr="00CF773E" w:rsidRDefault="00B2676A" w:rsidP="00B82F91">
            <w:pPr>
              <w:pStyle w:val="Tabletext"/>
              <w:keepNext/>
              <w:keepLines/>
              <w:jc w:val="center"/>
              <w:rPr>
                <w:lang w:val="es-ES" w:eastAsia="es-ES"/>
              </w:rPr>
            </w:pPr>
            <w:r w:rsidRPr="00CF773E">
              <w:rPr>
                <w:lang w:val="es-ES" w:eastAsia="es-ES"/>
              </w:rPr>
              <w:t>52</w:t>
            </w:r>
            <w:r w:rsidR="00BE41AA">
              <w:rPr>
                <w:lang w:val="es-ES"/>
              </w:rPr>
              <w:t> </w:t>
            </w:r>
            <w:r w:rsidRPr="00CF773E">
              <w:rPr>
                <w:lang w:val="es-ES" w:eastAsia="es-ES"/>
              </w:rPr>
              <w:t>585</w:t>
            </w:r>
          </w:p>
        </w:tc>
        <w:tc>
          <w:tcPr>
            <w:tcW w:w="613" w:type="pct"/>
            <w:tcBorders>
              <w:top w:val="nil"/>
              <w:left w:val="nil"/>
              <w:bottom w:val="single" w:sz="4" w:space="0" w:color="auto"/>
              <w:right w:val="single" w:sz="4" w:space="0" w:color="auto"/>
            </w:tcBorders>
            <w:shd w:val="clear" w:color="000000" w:fill="D9E1F2"/>
            <w:noWrap/>
            <w:vAlign w:val="bottom"/>
            <w:hideMark/>
          </w:tcPr>
          <w:p w14:paraId="778FA599" w14:textId="5C915FB7" w:rsidR="00B2676A" w:rsidRPr="00CF773E" w:rsidRDefault="00B2676A" w:rsidP="00B82F91">
            <w:pPr>
              <w:pStyle w:val="Tabletext"/>
              <w:keepNext/>
              <w:keepLines/>
              <w:jc w:val="center"/>
              <w:rPr>
                <w:lang w:val="es-ES" w:eastAsia="es-ES"/>
              </w:rPr>
            </w:pPr>
          </w:p>
        </w:tc>
        <w:tc>
          <w:tcPr>
            <w:tcW w:w="608" w:type="pct"/>
            <w:tcBorders>
              <w:top w:val="nil"/>
              <w:left w:val="nil"/>
              <w:bottom w:val="single" w:sz="4" w:space="0" w:color="auto"/>
              <w:right w:val="single" w:sz="4" w:space="0" w:color="auto"/>
            </w:tcBorders>
            <w:shd w:val="clear" w:color="000000" w:fill="DDEBF7"/>
            <w:noWrap/>
            <w:vAlign w:val="bottom"/>
            <w:hideMark/>
          </w:tcPr>
          <w:p w14:paraId="5CD0C861" w14:textId="3A414581" w:rsidR="00B2676A" w:rsidRPr="00CF773E" w:rsidRDefault="00B2676A" w:rsidP="00B82F91">
            <w:pPr>
              <w:pStyle w:val="Tabletext"/>
              <w:keepNext/>
              <w:keepLines/>
              <w:jc w:val="center"/>
              <w:rPr>
                <w:lang w:val="es-ES" w:eastAsia="es-ES"/>
              </w:rPr>
            </w:pPr>
            <w:r w:rsidRPr="00CF773E">
              <w:rPr>
                <w:lang w:val="es-ES" w:eastAsia="es-ES"/>
              </w:rPr>
              <w:t>52</w:t>
            </w:r>
            <w:r w:rsidR="00BE41AA">
              <w:rPr>
                <w:lang w:val="es-ES"/>
              </w:rPr>
              <w:t> </w:t>
            </w:r>
            <w:r w:rsidRPr="00CF773E">
              <w:rPr>
                <w:lang w:val="es-ES" w:eastAsia="es-ES"/>
              </w:rPr>
              <w:t>585</w:t>
            </w:r>
          </w:p>
        </w:tc>
      </w:tr>
      <w:tr w:rsidR="00B2676A" w:rsidRPr="00415F30" w14:paraId="560382E3" w14:textId="77777777" w:rsidTr="00BE41AA">
        <w:trPr>
          <w:trHeight w:val="310"/>
        </w:trPr>
        <w:tc>
          <w:tcPr>
            <w:tcW w:w="2912" w:type="pct"/>
            <w:gridSpan w:val="2"/>
            <w:tcBorders>
              <w:top w:val="nil"/>
              <w:left w:val="nil"/>
              <w:bottom w:val="nil"/>
              <w:right w:val="nil"/>
            </w:tcBorders>
            <w:shd w:val="clear" w:color="auto" w:fill="auto"/>
            <w:noWrap/>
            <w:vAlign w:val="bottom"/>
            <w:hideMark/>
          </w:tcPr>
          <w:p w14:paraId="43073062" w14:textId="77777777" w:rsidR="00B2676A" w:rsidRPr="00415F30" w:rsidRDefault="00B2676A" w:rsidP="0076578C">
            <w:pPr>
              <w:keepNext/>
              <w:keepLines/>
              <w:tabs>
                <w:tab w:val="clear" w:pos="1134"/>
                <w:tab w:val="clear" w:pos="2268"/>
              </w:tabs>
              <w:overflowPunct/>
              <w:autoSpaceDE/>
              <w:autoSpaceDN/>
              <w:adjustRightInd/>
              <w:spacing w:before="0"/>
              <w:jc w:val="right"/>
              <w:textAlignment w:val="auto"/>
              <w:rPr>
                <w:rFonts w:cs="Calibri"/>
                <w:color w:val="000000"/>
                <w:szCs w:val="24"/>
                <w:lang w:val="es-ES" w:eastAsia="es-ES"/>
              </w:rPr>
            </w:pPr>
          </w:p>
        </w:tc>
        <w:tc>
          <w:tcPr>
            <w:tcW w:w="75" w:type="pct"/>
            <w:gridSpan w:val="2"/>
            <w:tcBorders>
              <w:top w:val="nil"/>
              <w:left w:val="nil"/>
              <w:bottom w:val="nil"/>
              <w:right w:val="nil"/>
            </w:tcBorders>
            <w:shd w:val="clear" w:color="auto" w:fill="auto"/>
            <w:noWrap/>
            <w:vAlign w:val="bottom"/>
            <w:hideMark/>
          </w:tcPr>
          <w:p w14:paraId="05D7F0E7" w14:textId="77777777" w:rsidR="00B2676A" w:rsidRPr="00415F30" w:rsidRDefault="00B2676A" w:rsidP="0076578C">
            <w:pPr>
              <w:keepNext/>
              <w:keepLines/>
              <w:tabs>
                <w:tab w:val="clear" w:pos="1134"/>
                <w:tab w:val="clear" w:pos="2268"/>
              </w:tabs>
              <w:overflowPunct/>
              <w:autoSpaceDE/>
              <w:autoSpaceDN/>
              <w:adjustRightInd/>
              <w:spacing w:before="0"/>
              <w:textAlignment w:val="auto"/>
              <w:rPr>
                <w:sz w:val="20"/>
                <w:lang w:val="es-ES" w:eastAsia="es-ES"/>
              </w:rPr>
            </w:pPr>
          </w:p>
        </w:tc>
        <w:tc>
          <w:tcPr>
            <w:tcW w:w="792" w:type="pct"/>
            <w:tcBorders>
              <w:top w:val="nil"/>
              <w:left w:val="nil"/>
              <w:bottom w:val="nil"/>
              <w:right w:val="nil"/>
            </w:tcBorders>
            <w:shd w:val="clear" w:color="auto" w:fill="auto"/>
            <w:noWrap/>
            <w:vAlign w:val="bottom"/>
            <w:hideMark/>
          </w:tcPr>
          <w:p w14:paraId="48418477" w14:textId="77777777" w:rsidR="00B2676A" w:rsidRPr="00415F30" w:rsidRDefault="00B2676A" w:rsidP="00B82F91">
            <w:pPr>
              <w:pStyle w:val="Tabletext"/>
              <w:keepNext/>
              <w:keepLines/>
              <w:jc w:val="center"/>
              <w:rPr>
                <w:lang w:val="es-ES" w:eastAsia="es-ES"/>
              </w:rPr>
            </w:pPr>
          </w:p>
        </w:tc>
        <w:tc>
          <w:tcPr>
            <w:tcW w:w="613" w:type="pct"/>
            <w:tcBorders>
              <w:top w:val="nil"/>
              <w:left w:val="nil"/>
              <w:bottom w:val="nil"/>
              <w:right w:val="nil"/>
            </w:tcBorders>
            <w:shd w:val="clear" w:color="auto" w:fill="auto"/>
            <w:noWrap/>
            <w:vAlign w:val="bottom"/>
            <w:hideMark/>
          </w:tcPr>
          <w:p w14:paraId="1483AC10" w14:textId="77777777" w:rsidR="00B2676A" w:rsidRPr="00415F30" w:rsidRDefault="00B2676A" w:rsidP="00B82F91">
            <w:pPr>
              <w:pStyle w:val="Tabletext"/>
              <w:keepNext/>
              <w:keepLines/>
              <w:jc w:val="center"/>
              <w:rPr>
                <w:lang w:val="es-ES" w:eastAsia="es-ES"/>
              </w:rPr>
            </w:pPr>
          </w:p>
        </w:tc>
        <w:tc>
          <w:tcPr>
            <w:tcW w:w="608" w:type="pct"/>
            <w:tcBorders>
              <w:top w:val="nil"/>
              <w:left w:val="nil"/>
              <w:bottom w:val="nil"/>
              <w:right w:val="nil"/>
            </w:tcBorders>
            <w:shd w:val="clear" w:color="auto" w:fill="auto"/>
            <w:noWrap/>
            <w:vAlign w:val="bottom"/>
            <w:hideMark/>
          </w:tcPr>
          <w:p w14:paraId="1A6CABB2" w14:textId="77777777" w:rsidR="00B2676A" w:rsidRPr="00415F30" w:rsidRDefault="00B2676A" w:rsidP="00B82F91">
            <w:pPr>
              <w:pStyle w:val="Tabletext"/>
              <w:keepNext/>
              <w:keepLines/>
              <w:jc w:val="center"/>
              <w:rPr>
                <w:lang w:val="es-ES" w:eastAsia="es-ES"/>
              </w:rPr>
            </w:pPr>
          </w:p>
        </w:tc>
      </w:tr>
      <w:tr w:rsidR="00B2676A" w:rsidRPr="00CF773E" w14:paraId="31393A7C" w14:textId="77777777" w:rsidTr="00BE41AA">
        <w:trPr>
          <w:trHeight w:val="310"/>
        </w:trPr>
        <w:tc>
          <w:tcPr>
            <w:tcW w:w="2912" w:type="pct"/>
            <w:gridSpan w:val="2"/>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5FC11348" w14:textId="77777777" w:rsidR="00B2676A" w:rsidRPr="00CF773E" w:rsidRDefault="00B2676A" w:rsidP="0076578C">
            <w:pPr>
              <w:pStyle w:val="Tabletext"/>
              <w:keepNext/>
              <w:keepLines/>
              <w:rPr>
                <w:rFonts w:cs="Calibri"/>
                <w:b/>
                <w:bCs/>
                <w:color w:val="000000"/>
                <w:szCs w:val="24"/>
                <w:lang w:val="es-ES" w:eastAsia="es-ES"/>
              </w:rPr>
            </w:pPr>
            <w:r w:rsidRPr="00CF773E">
              <w:rPr>
                <w:b/>
                <w:bCs/>
                <w:lang w:val="es-ES" w:eastAsia="es-ES"/>
              </w:rPr>
              <w:t>Total</w:t>
            </w:r>
          </w:p>
        </w:tc>
        <w:tc>
          <w:tcPr>
            <w:tcW w:w="75" w:type="pct"/>
            <w:gridSpan w:val="2"/>
            <w:tcBorders>
              <w:top w:val="nil"/>
              <w:left w:val="nil"/>
              <w:bottom w:val="nil"/>
              <w:right w:val="nil"/>
            </w:tcBorders>
            <w:shd w:val="clear" w:color="auto" w:fill="auto"/>
            <w:noWrap/>
            <w:vAlign w:val="bottom"/>
            <w:hideMark/>
          </w:tcPr>
          <w:p w14:paraId="0D0DA2AD" w14:textId="77777777" w:rsidR="00B2676A" w:rsidRPr="00415F30" w:rsidRDefault="00B2676A" w:rsidP="0076578C">
            <w:pPr>
              <w:keepNext/>
              <w:keepLines/>
              <w:tabs>
                <w:tab w:val="clear" w:pos="1134"/>
                <w:tab w:val="clear" w:pos="2268"/>
              </w:tabs>
              <w:overflowPunct/>
              <w:autoSpaceDE/>
              <w:autoSpaceDN/>
              <w:adjustRightInd/>
              <w:spacing w:before="0"/>
              <w:textAlignment w:val="auto"/>
              <w:rPr>
                <w:rFonts w:cs="Calibri"/>
                <w:b/>
                <w:bCs/>
                <w:color w:val="000000"/>
                <w:szCs w:val="24"/>
                <w:lang w:val="es-ES" w:eastAsia="es-ES"/>
              </w:rPr>
            </w:pPr>
          </w:p>
        </w:tc>
        <w:tc>
          <w:tcPr>
            <w:tcW w:w="792" w:type="pct"/>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5F268171" w14:textId="16F0ADC6" w:rsidR="00B2676A" w:rsidRPr="00CF773E" w:rsidRDefault="00B2676A" w:rsidP="00B82F91">
            <w:pPr>
              <w:pStyle w:val="Tabletext"/>
              <w:keepNext/>
              <w:keepLines/>
              <w:jc w:val="center"/>
              <w:rPr>
                <w:lang w:val="es-ES" w:eastAsia="es-ES"/>
              </w:rPr>
            </w:pPr>
            <w:r w:rsidRPr="00CF773E">
              <w:rPr>
                <w:lang w:val="es-ES" w:eastAsia="es-ES"/>
              </w:rPr>
              <w:t>350</w:t>
            </w:r>
            <w:r w:rsidR="00BE41AA">
              <w:rPr>
                <w:lang w:val="es-ES"/>
              </w:rPr>
              <w:t> </w:t>
            </w:r>
            <w:r w:rsidRPr="00CF773E">
              <w:rPr>
                <w:lang w:val="es-ES" w:eastAsia="es-ES"/>
              </w:rPr>
              <w:t>568</w:t>
            </w:r>
          </w:p>
        </w:tc>
        <w:tc>
          <w:tcPr>
            <w:tcW w:w="613" w:type="pct"/>
            <w:tcBorders>
              <w:top w:val="single" w:sz="4" w:space="0" w:color="auto"/>
              <w:left w:val="nil"/>
              <w:bottom w:val="single" w:sz="4" w:space="0" w:color="auto"/>
              <w:right w:val="nil"/>
            </w:tcBorders>
            <w:shd w:val="clear" w:color="000000" w:fill="D9E1F2"/>
            <w:noWrap/>
            <w:vAlign w:val="bottom"/>
            <w:hideMark/>
          </w:tcPr>
          <w:p w14:paraId="6340A789" w14:textId="77777777" w:rsidR="00B2676A" w:rsidRPr="00CF773E" w:rsidRDefault="00B2676A" w:rsidP="00B82F91">
            <w:pPr>
              <w:pStyle w:val="Tabletext"/>
              <w:keepNext/>
              <w:keepLines/>
              <w:jc w:val="center"/>
              <w:rPr>
                <w:lang w:val="es-ES" w:eastAsia="es-ES"/>
              </w:rPr>
            </w:pPr>
            <w:r w:rsidRPr="00CF773E">
              <w:rPr>
                <w:lang w:val="es-ES" w:eastAsia="es-ES"/>
              </w:rPr>
              <w:t>0</w:t>
            </w:r>
          </w:p>
        </w:tc>
        <w:tc>
          <w:tcPr>
            <w:tcW w:w="608" w:type="pct"/>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42682AA8" w14:textId="0CD536B8" w:rsidR="00B2676A" w:rsidRPr="00CF773E" w:rsidRDefault="00B2676A" w:rsidP="00B82F91">
            <w:pPr>
              <w:pStyle w:val="Tabletext"/>
              <w:keepNext/>
              <w:keepLines/>
              <w:jc w:val="center"/>
              <w:rPr>
                <w:b/>
                <w:bCs/>
                <w:lang w:val="es-ES" w:eastAsia="es-ES"/>
              </w:rPr>
            </w:pPr>
            <w:r w:rsidRPr="00CF773E">
              <w:rPr>
                <w:b/>
                <w:bCs/>
                <w:lang w:val="es-ES" w:eastAsia="es-ES"/>
              </w:rPr>
              <w:t>350</w:t>
            </w:r>
            <w:r w:rsidR="00BE41AA">
              <w:rPr>
                <w:lang w:val="es-ES"/>
              </w:rPr>
              <w:t> </w:t>
            </w:r>
            <w:r w:rsidRPr="00CF773E">
              <w:rPr>
                <w:b/>
                <w:bCs/>
                <w:lang w:val="es-ES" w:eastAsia="es-ES"/>
              </w:rPr>
              <w:t>568</w:t>
            </w:r>
          </w:p>
        </w:tc>
      </w:tr>
    </w:tbl>
    <w:p w14:paraId="1E54B4A6" w14:textId="19A5E154" w:rsidR="00E0738F" w:rsidRDefault="00E0738F" w:rsidP="00E0738F">
      <w:pPr>
        <w:tabs>
          <w:tab w:val="clear" w:pos="567"/>
          <w:tab w:val="clear" w:pos="1134"/>
          <w:tab w:val="clear" w:pos="1701"/>
          <w:tab w:val="clear" w:pos="2268"/>
          <w:tab w:val="clear" w:pos="2835"/>
        </w:tabs>
        <w:overflowPunct/>
        <w:autoSpaceDE/>
        <w:autoSpaceDN/>
        <w:adjustRightInd/>
        <w:spacing w:before="0"/>
        <w:textAlignment w:val="auto"/>
        <w:rPr>
          <w:lang w:val="es-ES"/>
        </w:rPr>
      </w:pPr>
    </w:p>
    <w:p w14:paraId="32A2F862" w14:textId="77777777" w:rsidR="00E0738F" w:rsidRPr="005456B9" w:rsidRDefault="00E0738F" w:rsidP="00E0738F">
      <w:pPr>
        <w:tabs>
          <w:tab w:val="clear" w:pos="567"/>
          <w:tab w:val="clear" w:pos="1134"/>
          <w:tab w:val="clear" w:pos="1701"/>
          <w:tab w:val="clear" w:pos="2268"/>
          <w:tab w:val="clear" w:pos="2835"/>
        </w:tabs>
        <w:overflowPunct/>
        <w:autoSpaceDE/>
        <w:autoSpaceDN/>
        <w:adjustRightInd/>
        <w:spacing w:before="0"/>
        <w:textAlignment w:val="auto"/>
        <w:rPr>
          <w:caps/>
          <w:lang w:val="es-ES"/>
        </w:rPr>
      </w:pPr>
      <w:r w:rsidRPr="005456B9">
        <w:rPr>
          <w:lang w:val="es-ES"/>
        </w:rPr>
        <w:br w:type="page"/>
      </w:r>
    </w:p>
    <w:p w14:paraId="311F844B" w14:textId="708B42BC" w:rsidR="00E0738F" w:rsidRDefault="00E0738F" w:rsidP="00E0738F">
      <w:pPr>
        <w:pStyle w:val="TableNo"/>
        <w:spacing w:after="0"/>
        <w:rPr>
          <w:lang w:val="es-ES"/>
        </w:rPr>
      </w:pPr>
      <w:r w:rsidRPr="005976FC">
        <w:rPr>
          <w:lang w:val="es-ES"/>
        </w:rPr>
        <w:lastRenderedPageBreak/>
        <w:t>Cuadro 2-3</w:t>
      </w:r>
    </w:p>
    <w:p w14:paraId="21231008" w14:textId="09A858E3" w:rsidR="00E0738F" w:rsidRPr="005456B9" w:rsidRDefault="005976FC" w:rsidP="005976FC">
      <w:pPr>
        <w:pStyle w:val="Tabletitle"/>
        <w:rPr>
          <w:b w:val="0"/>
          <w:bCs/>
          <w:lang w:val="es-ES"/>
        </w:rPr>
      </w:pPr>
      <w:r>
        <w:rPr>
          <w:lang w:val="es-ES"/>
        </w:rPr>
        <w:br/>
      </w:r>
      <w:r w:rsidR="00E0738F" w:rsidRPr="005456B9">
        <w:rPr>
          <w:bCs/>
          <w:lang w:val="es-ES"/>
        </w:rPr>
        <w:t>COSTES ADICIONALES DEL DESARROLLO DE PROGRAMAS DE LOS SERVICIOS ESPACIALES</w:t>
      </w:r>
    </w:p>
    <w:tbl>
      <w:tblPr>
        <w:tblW w:w="5008" w:type="pct"/>
        <w:tblLayout w:type="fixed"/>
        <w:tblCellMar>
          <w:left w:w="70" w:type="dxa"/>
          <w:right w:w="70" w:type="dxa"/>
        </w:tblCellMar>
        <w:tblLook w:val="04A0" w:firstRow="1" w:lastRow="0" w:firstColumn="1" w:lastColumn="0" w:noHBand="0" w:noVBand="1"/>
      </w:tblPr>
      <w:tblGrid>
        <w:gridCol w:w="4891"/>
        <w:gridCol w:w="153"/>
        <w:gridCol w:w="8"/>
        <w:gridCol w:w="152"/>
        <w:gridCol w:w="1550"/>
        <w:gridCol w:w="1199"/>
        <w:gridCol w:w="1118"/>
        <w:gridCol w:w="15"/>
      </w:tblGrid>
      <w:tr w:rsidR="00B2676A" w:rsidRPr="00DF2617" w14:paraId="38667098" w14:textId="77777777" w:rsidTr="00BE41AA">
        <w:trPr>
          <w:gridAfter w:val="1"/>
          <w:wAfter w:w="8" w:type="pct"/>
          <w:trHeight w:val="172"/>
        </w:trPr>
        <w:tc>
          <w:tcPr>
            <w:tcW w:w="2692" w:type="pct"/>
            <w:tcBorders>
              <w:bottom w:val="single" w:sz="4" w:space="0" w:color="auto"/>
            </w:tcBorders>
            <w:shd w:val="clear" w:color="auto" w:fill="auto"/>
            <w:noWrap/>
            <w:vAlign w:val="center"/>
          </w:tcPr>
          <w:p w14:paraId="79574879" w14:textId="77777777" w:rsidR="00B2676A" w:rsidRPr="00DF2617" w:rsidRDefault="00B2676A" w:rsidP="0076578C">
            <w:pPr>
              <w:pStyle w:val="Tablehead"/>
              <w:rPr>
                <w:lang w:val="es-ES" w:eastAsia="es-ES"/>
              </w:rPr>
            </w:pPr>
          </w:p>
        </w:tc>
        <w:tc>
          <w:tcPr>
            <w:tcW w:w="88" w:type="pct"/>
            <w:gridSpan w:val="2"/>
            <w:tcBorders>
              <w:left w:val="nil"/>
              <w:bottom w:val="nil"/>
            </w:tcBorders>
            <w:shd w:val="clear" w:color="auto" w:fill="auto"/>
            <w:noWrap/>
            <w:vAlign w:val="bottom"/>
          </w:tcPr>
          <w:p w14:paraId="248449B6" w14:textId="77777777" w:rsidR="00B2676A" w:rsidRPr="00DF2617" w:rsidRDefault="00B2676A" w:rsidP="0076578C">
            <w:pPr>
              <w:tabs>
                <w:tab w:val="clear" w:pos="1134"/>
                <w:tab w:val="clear" w:pos="2268"/>
              </w:tabs>
              <w:overflowPunct/>
              <w:autoSpaceDE/>
              <w:autoSpaceDN/>
              <w:adjustRightInd/>
              <w:spacing w:before="0"/>
              <w:jc w:val="center"/>
              <w:textAlignment w:val="auto"/>
              <w:rPr>
                <w:rFonts w:cs="Calibri"/>
                <w:b/>
                <w:bCs/>
                <w:color w:val="000000"/>
                <w:szCs w:val="24"/>
                <w:lang w:val="es-ES" w:eastAsia="es-ES"/>
              </w:rPr>
            </w:pPr>
          </w:p>
        </w:tc>
        <w:tc>
          <w:tcPr>
            <w:tcW w:w="2212" w:type="pct"/>
            <w:gridSpan w:val="4"/>
            <w:tcBorders>
              <w:bottom w:val="single" w:sz="4" w:space="0" w:color="auto"/>
            </w:tcBorders>
            <w:shd w:val="clear" w:color="auto" w:fill="auto"/>
            <w:vAlign w:val="center"/>
          </w:tcPr>
          <w:p w14:paraId="020C996C" w14:textId="77777777" w:rsidR="00B2676A" w:rsidRPr="00CF773E" w:rsidRDefault="00B2676A" w:rsidP="0076578C">
            <w:pPr>
              <w:pStyle w:val="Tablehead"/>
              <w:rPr>
                <w:b w:val="0"/>
                <w:i/>
                <w:iCs/>
                <w:color w:val="000000"/>
                <w:szCs w:val="24"/>
                <w:lang w:val="es-ES" w:eastAsia="es-ES"/>
              </w:rPr>
            </w:pPr>
            <w:r w:rsidRPr="00CF773E">
              <w:rPr>
                <w:b w:val="0"/>
                <w:i/>
                <w:iCs/>
                <w:color w:val="000000"/>
                <w:szCs w:val="24"/>
                <w:lang w:val="es-ES" w:eastAsia="es-ES"/>
              </w:rPr>
              <w:t>en CHF</w:t>
            </w:r>
          </w:p>
        </w:tc>
      </w:tr>
      <w:tr w:rsidR="00B2676A" w:rsidRPr="00415F30" w14:paraId="6ED8707F" w14:textId="77777777" w:rsidTr="00BE41AA">
        <w:trPr>
          <w:trHeight w:val="930"/>
        </w:trPr>
        <w:tc>
          <w:tcPr>
            <w:tcW w:w="2776" w:type="pct"/>
            <w:gridSpan w:val="2"/>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4CFA3F14" w14:textId="77777777" w:rsidR="00B2676A" w:rsidRPr="00415F30" w:rsidRDefault="00B2676A" w:rsidP="0076578C">
            <w:pPr>
              <w:pStyle w:val="Tablehead"/>
              <w:rPr>
                <w:rFonts w:cs="Calibri"/>
                <w:b w:val="0"/>
                <w:bCs/>
                <w:color w:val="000000"/>
                <w:szCs w:val="24"/>
                <w:lang w:val="es-ES" w:eastAsia="es-ES"/>
              </w:rPr>
            </w:pPr>
            <w:r w:rsidRPr="00CF773E">
              <w:rPr>
                <w:lang w:val="es-ES" w:eastAsia="es-ES"/>
              </w:rPr>
              <w:t>Descripción</w:t>
            </w:r>
          </w:p>
        </w:tc>
        <w:tc>
          <w:tcPr>
            <w:tcW w:w="88" w:type="pct"/>
            <w:gridSpan w:val="2"/>
            <w:tcBorders>
              <w:top w:val="nil"/>
              <w:left w:val="nil"/>
              <w:bottom w:val="nil"/>
              <w:right w:val="nil"/>
            </w:tcBorders>
            <w:shd w:val="clear" w:color="auto" w:fill="auto"/>
            <w:noWrap/>
            <w:vAlign w:val="bottom"/>
            <w:hideMark/>
          </w:tcPr>
          <w:p w14:paraId="3752B42A" w14:textId="77777777" w:rsidR="00B2676A" w:rsidRPr="00415F30" w:rsidRDefault="00B2676A" w:rsidP="0076578C">
            <w:pPr>
              <w:tabs>
                <w:tab w:val="clear" w:pos="1134"/>
                <w:tab w:val="clear" w:pos="2268"/>
              </w:tabs>
              <w:overflowPunct/>
              <w:autoSpaceDE/>
              <w:autoSpaceDN/>
              <w:adjustRightInd/>
              <w:spacing w:before="0"/>
              <w:jc w:val="center"/>
              <w:textAlignment w:val="auto"/>
              <w:rPr>
                <w:rFonts w:cs="Calibri"/>
                <w:b/>
                <w:bCs/>
                <w:color w:val="000000"/>
                <w:szCs w:val="24"/>
                <w:lang w:val="es-ES" w:eastAsia="es-ES"/>
              </w:rPr>
            </w:pPr>
          </w:p>
        </w:tc>
        <w:tc>
          <w:tcPr>
            <w:tcW w:w="853" w:type="pct"/>
            <w:tcBorders>
              <w:top w:val="single" w:sz="4" w:space="0" w:color="auto"/>
              <w:left w:val="single" w:sz="4" w:space="0" w:color="auto"/>
              <w:bottom w:val="single" w:sz="4" w:space="0" w:color="auto"/>
              <w:right w:val="single" w:sz="4" w:space="0" w:color="auto"/>
            </w:tcBorders>
            <w:shd w:val="clear" w:color="000000" w:fill="8497B0"/>
            <w:vAlign w:val="center"/>
            <w:hideMark/>
          </w:tcPr>
          <w:p w14:paraId="7AD67730" w14:textId="7795ACA1" w:rsidR="00B2676A" w:rsidRPr="00CF773E" w:rsidRDefault="00B357FC" w:rsidP="0076578C">
            <w:pPr>
              <w:pStyle w:val="Tablehead"/>
              <w:rPr>
                <w:lang w:val="es-ES" w:eastAsia="es-ES"/>
              </w:rPr>
            </w:pPr>
            <w:r>
              <w:rPr>
                <w:lang w:val="es-ES"/>
              </w:rPr>
              <w:t>Costes extraordinarios</w:t>
            </w:r>
          </w:p>
        </w:tc>
        <w:tc>
          <w:tcPr>
            <w:tcW w:w="660" w:type="pct"/>
            <w:tcBorders>
              <w:top w:val="single" w:sz="4" w:space="0" w:color="auto"/>
              <w:left w:val="nil"/>
              <w:bottom w:val="single" w:sz="4" w:space="0" w:color="auto"/>
              <w:right w:val="single" w:sz="4" w:space="0" w:color="auto"/>
            </w:tcBorders>
            <w:shd w:val="clear" w:color="000000" w:fill="8EA9DB"/>
            <w:vAlign w:val="center"/>
            <w:hideMark/>
          </w:tcPr>
          <w:p w14:paraId="10A754AA" w14:textId="164ADEBF" w:rsidR="00B2676A" w:rsidRPr="00CF773E" w:rsidRDefault="00B357FC" w:rsidP="0076578C">
            <w:pPr>
              <w:pStyle w:val="Tablehead"/>
              <w:rPr>
                <w:lang w:val="es-ES" w:eastAsia="es-ES"/>
              </w:rPr>
            </w:pPr>
            <w:r>
              <w:rPr>
                <w:lang w:val="es-ES"/>
              </w:rPr>
              <w:t>Costes anuales recurrentes</w:t>
            </w:r>
          </w:p>
        </w:tc>
        <w:tc>
          <w:tcPr>
            <w:tcW w:w="623" w:type="pct"/>
            <w:gridSpan w:val="2"/>
            <w:tcBorders>
              <w:top w:val="single" w:sz="4" w:space="0" w:color="auto"/>
              <w:left w:val="nil"/>
              <w:bottom w:val="single" w:sz="4" w:space="0" w:color="auto"/>
              <w:right w:val="single" w:sz="4" w:space="0" w:color="auto"/>
            </w:tcBorders>
            <w:shd w:val="clear" w:color="000000" w:fill="9BC2E6"/>
            <w:vAlign w:val="center"/>
            <w:hideMark/>
          </w:tcPr>
          <w:p w14:paraId="7E67CAB5" w14:textId="77777777" w:rsidR="00B2676A" w:rsidRPr="00CF773E" w:rsidRDefault="00B2676A" w:rsidP="0076578C">
            <w:pPr>
              <w:pStyle w:val="Tablehead"/>
              <w:rPr>
                <w:lang w:val="es-ES" w:eastAsia="es-ES"/>
              </w:rPr>
            </w:pPr>
            <w:r w:rsidRPr="00CF773E">
              <w:rPr>
                <w:lang w:val="es-ES" w:eastAsia="es-ES"/>
              </w:rPr>
              <w:t>Total</w:t>
            </w:r>
            <w:r>
              <w:rPr>
                <w:lang w:val="es-ES" w:eastAsia="es-ES"/>
              </w:rPr>
              <w:br/>
            </w:r>
            <w:r w:rsidRPr="00CF773E">
              <w:rPr>
                <w:lang w:val="es-ES" w:eastAsia="es-ES"/>
              </w:rPr>
              <w:t>2024-2027</w:t>
            </w:r>
          </w:p>
        </w:tc>
      </w:tr>
      <w:tr w:rsidR="00B2676A" w:rsidRPr="00415F30" w14:paraId="53A0CADE" w14:textId="77777777" w:rsidTr="00BE41AA">
        <w:trPr>
          <w:trHeight w:val="340"/>
        </w:trPr>
        <w:tc>
          <w:tcPr>
            <w:tcW w:w="2776" w:type="pct"/>
            <w:gridSpan w:val="2"/>
            <w:tcBorders>
              <w:top w:val="nil"/>
              <w:left w:val="single" w:sz="4" w:space="0" w:color="auto"/>
              <w:bottom w:val="single" w:sz="4" w:space="0" w:color="auto"/>
              <w:right w:val="single" w:sz="4" w:space="0" w:color="auto"/>
            </w:tcBorders>
            <w:shd w:val="clear" w:color="000000" w:fill="E2EFDA"/>
            <w:vAlign w:val="bottom"/>
            <w:hideMark/>
          </w:tcPr>
          <w:p w14:paraId="0060A3F6" w14:textId="77777777" w:rsidR="00B2676A" w:rsidRPr="00EC5F7C" w:rsidRDefault="00B2676A" w:rsidP="0076578C">
            <w:pPr>
              <w:pStyle w:val="Tabletext"/>
              <w:rPr>
                <w:lang w:val="es-ES" w:eastAsia="es-ES"/>
              </w:rPr>
            </w:pPr>
            <w:r w:rsidRPr="00EC5F7C">
              <w:rPr>
                <w:lang w:val="es-ES" w:eastAsia="es-ES"/>
              </w:rPr>
              <w:t>SMA(R) en la banda 117.975-137 MHz</w:t>
            </w:r>
          </w:p>
        </w:tc>
        <w:tc>
          <w:tcPr>
            <w:tcW w:w="88" w:type="pct"/>
            <w:gridSpan w:val="2"/>
            <w:tcBorders>
              <w:top w:val="nil"/>
              <w:left w:val="nil"/>
              <w:bottom w:val="nil"/>
              <w:right w:val="nil"/>
            </w:tcBorders>
            <w:shd w:val="clear" w:color="auto" w:fill="auto"/>
            <w:noWrap/>
            <w:vAlign w:val="bottom"/>
            <w:hideMark/>
          </w:tcPr>
          <w:p w14:paraId="167ED688" w14:textId="77777777" w:rsidR="00B2676A" w:rsidRPr="00415F30" w:rsidRDefault="00B2676A" w:rsidP="0076578C">
            <w:pPr>
              <w:tabs>
                <w:tab w:val="clear" w:pos="1134"/>
                <w:tab w:val="clear" w:pos="2268"/>
              </w:tabs>
              <w:overflowPunct/>
              <w:autoSpaceDE/>
              <w:autoSpaceDN/>
              <w:adjustRightInd/>
              <w:spacing w:before="0"/>
              <w:textAlignment w:val="auto"/>
              <w:rPr>
                <w:rFonts w:cs="Calibri"/>
                <w:color w:val="000000"/>
                <w:szCs w:val="24"/>
                <w:lang w:val="es-ES" w:eastAsia="es-ES"/>
              </w:rPr>
            </w:pPr>
          </w:p>
        </w:tc>
        <w:tc>
          <w:tcPr>
            <w:tcW w:w="853" w:type="pct"/>
            <w:tcBorders>
              <w:top w:val="nil"/>
              <w:left w:val="single" w:sz="4" w:space="0" w:color="auto"/>
              <w:bottom w:val="single" w:sz="4" w:space="0" w:color="auto"/>
              <w:right w:val="single" w:sz="4" w:space="0" w:color="auto"/>
            </w:tcBorders>
            <w:shd w:val="clear" w:color="000000" w:fill="D6DCE4"/>
            <w:noWrap/>
            <w:vAlign w:val="bottom"/>
            <w:hideMark/>
          </w:tcPr>
          <w:p w14:paraId="1AF8E1CC" w14:textId="13479C25" w:rsidR="00B2676A" w:rsidRPr="00EC5F7C" w:rsidRDefault="00B2676A" w:rsidP="0091318C">
            <w:pPr>
              <w:pStyle w:val="Tabletext"/>
              <w:jc w:val="center"/>
              <w:rPr>
                <w:lang w:val="es-ES" w:eastAsia="es-ES"/>
              </w:rPr>
            </w:pPr>
            <w:r w:rsidRPr="00EC5F7C">
              <w:rPr>
                <w:lang w:val="es-ES" w:eastAsia="es-ES"/>
              </w:rPr>
              <w:t>430</w:t>
            </w:r>
            <w:r w:rsidR="0091318C">
              <w:rPr>
                <w:lang w:val="es-ES" w:eastAsia="es-ES"/>
              </w:rPr>
              <w:t> </w:t>
            </w:r>
            <w:r w:rsidRPr="00EC5F7C">
              <w:rPr>
                <w:lang w:val="es-ES" w:eastAsia="es-ES"/>
              </w:rPr>
              <w:t>821</w:t>
            </w:r>
          </w:p>
        </w:tc>
        <w:tc>
          <w:tcPr>
            <w:tcW w:w="660" w:type="pct"/>
            <w:tcBorders>
              <w:top w:val="nil"/>
              <w:left w:val="nil"/>
              <w:bottom w:val="single" w:sz="4" w:space="0" w:color="auto"/>
              <w:right w:val="nil"/>
            </w:tcBorders>
            <w:shd w:val="clear" w:color="000000" w:fill="D9E1F2"/>
            <w:noWrap/>
            <w:vAlign w:val="bottom"/>
            <w:hideMark/>
          </w:tcPr>
          <w:p w14:paraId="58FB0E67" w14:textId="1EF89D0D" w:rsidR="00B2676A" w:rsidRPr="00EC5F7C" w:rsidRDefault="00B2676A" w:rsidP="0091318C">
            <w:pPr>
              <w:pStyle w:val="Tabletext"/>
              <w:jc w:val="center"/>
              <w:rPr>
                <w:lang w:val="es-ES" w:eastAsia="es-ES"/>
              </w:rPr>
            </w:pPr>
          </w:p>
        </w:tc>
        <w:tc>
          <w:tcPr>
            <w:tcW w:w="623" w:type="pct"/>
            <w:gridSpan w:val="2"/>
            <w:tcBorders>
              <w:top w:val="nil"/>
              <w:left w:val="single" w:sz="4" w:space="0" w:color="auto"/>
              <w:bottom w:val="single" w:sz="4" w:space="0" w:color="auto"/>
              <w:right w:val="single" w:sz="4" w:space="0" w:color="auto"/>
            </w:tcBorders>
            <w:shd w:val="clear" w:color="000000" w:fill="DDEBF7"/>
            <w:noWrap/>
            <w:vAlign w:val="bottom"/>
            <w:hideMark/>
          </w:tcPr>
          <w:p w14:paraId="326479C8" w14:textId="7F4216C5" w:rsidR="00B2676A" w:rsidRPr="00EC5F7C" w:rsidRDefault="00B2676A" w:rsidP="0091318C">
            <w:pPr>
              <w:pStyle w:val="Tabletext"/>
              <w:jc w:val="center"/>
              <w:rPr>
                <w:lang w:val="es-ES" w:eastAsia="es-ES"/>
              </w:rPr>
            </w:pPr>
            <w:r w:rsidRPr="00EC5F7C">
              <w:rPr>
                <w:lang w:val="es-ES" w:eastAsia="es-ES"/>
              </w:rPr>
              <w:t>43</w:t>
            </w:r>
            <w:r w:rsidR="007F4E62">
              <w:rPr>
                <w:lang w:val="es-ES" w:eastAsia="es-ES"/>
              </w:rPr>
              <w:t> </w:t>
            </w:r>
            <w:r w:rsidRPr="00EC5F7C">
              <w:rPr>
                <w:lang w:val="es-ES" w:eastAsia="es-ES"/>
              </w:rPr>
              <w:t>821</w:t>
            </w:r>
          </w:p>
        </w:tc>
      </w:tr>
      <w:tr w:rsidR="00B2676A" w:rsidRPr="00415F30" w14:paraId="743E7A98" w14:textId="77777777" w:rsidTr="00BE41AA">
        <w:trPr>
          <w:trHeight w:val="340"/>
        </w:trPr>
        <w:tc>
          <w:tcPr>
            <w:tcW w:w="2776" w:type="pct"/>
            <w:gridSpan w:val="2"/>
            <w:tcBorders>
              <w:top w:val="nil"/>
              <w:left w:val="single" w:sz="4" w:space="0" w:color="auto"/>
              <w:bottom w:val="single" w:sz="4" w:space="0" w:color="auto"/>
              <w:right w:val="single" w:sz="4" w:space="0" w:color="auto"/>
            </w:tcBorders>
            <w:shd w:val="clear" w:color="000000" w:fill="E2EFDA"/>
            <w:vAlign w:val="bottom"/>
            <w:hideMark/>
          </w:tcPr>
          <w:p w14:paraId="5A937EFD" w14:textId="77777777" w:rsidR="00B2676A" w:rsidRPr="00EC5F7C" w:rsidRDefault="00B2676A" w:rsidP="0076578C">
            <w:pPr>
              <w:pStyle w:val="Tabletext"/>
              <w:rPr>
                <w:lang w:val="es-ES" w:eastAsia="es-ES"/>
              </w:rPr>
            </w:pPr>
            <w:r w:rsidRPr="00EC5F7C">
              <w:rPr>
                <w:lang w:val="es-ES" w:eastAsia="es-ES"/>
              </w:rPr>
              <w:t>Servicio de investigación especial en la banda de frecuencias 14.8-15.35 GHz</w:t>
            </w:r>
          </w:p>
        </w:tc>
        <w:tc>
          <w:tcPr>
            <w:tcW w:w="88" w:type="pct"/>
            <w:gridSpan w:val="2"/>
            <w:tcBorders>
              <w:top w:val="nil"/>
              <w:left w:val="nil"/>
              <w:bottom w:val="nil"/>
              <w:right w:val="nil"/>
            </w:tcBorders>
            <w:shd w:val="clear" w:color="auto" w:fill="auto"/>
            <w:noWrap/>
            <w:vAlign w:val="bottom"/>
            <w:hideMark/>
          </w:tcPr>
          <w:p w14:paraId="677B8FAB" w14:textId="77777777" w:rsidR="00B2676A" w:rsidRPr="00415F30" w:rsidRDefault="00B2676A" w:rsidP="0076578C">
            <w:pPr>
              <w:tabs>
                <w:tab w:val="clear" w:pos="1134"/>
                <w:tab w:val="clear" w:pos="2268"/>
              </w:tabs>
              <w:overflowPunct/>
              <w:autoSpaceDE/>
              <w:autoSpaceDN/>
              <w:adjustRightInd/>
              <w:spacing w:before="0"/>
              <w:textAlignment w:val="auto"/>
              <w:rPr>
                <w:rFonts w:cs="Calibri"/>
                <w:color w:val="000000"/>
                <w:szCs w:val="24"/>
                <w:lang w:val="es-ES" w:eastAsia="es-ES"/>
              </w:rPr>
            </w:pPr>
          </w:p>
        </w:tc>
        <w:tc>
          <w:tcPr>
            <w:tcW w:w="853" w:type="pct"/>
            <w:tcBorders>
              <w:top w:val="nil"/>
              <w:left w:val="single" w:sz="4" w:space="0" w:color="auto"/>
              <w:bottom w:val="single" w:sz="4" w:space="0" w:color="auto"/>
              <w:right w:val="single" w:sz="4" w:space="0" w:color="auto"/>
            </w:tcBorders>
            <w:shd w:val="clear" w:color="000000" w:fill="D6DCE4"/>
            <w:noWrap/>
            <w:vAlign w:val="bottom"/>
            <w:hideMark/>
          </w:tcPr>
          <w:p w14:paraId="0A437235" w14:textId="0DE26E98" w:rsidR="00B2676A" w:rsidRPr="00EC5F7C" w:rsidRDefault="00B2676A" w:rsidP="0091318C">
            <w:pPr>
              <w:pStyle w:val="Tabletext"/>
              <w:jc w:val="center"/>
              <w:rPr>
                <w:lang w:val="es-ES" w:eastAsia="es-ES"/>
              </w:rPr>
            </w:pPr>
            <w:r w:rsidRPr="00EC5F7C">
              <w:rPr>
                <w:lang w:val="es-ES" w:eastAsia="es-ES"/>
              </w:rPr>
              <w:t>78</w:t>
            </w:r>
            <w:r w:rsidR="0091318C">
              <w:rPr>
                <w:lang w:val="es-ES" w:eastAsia="es-ES"/>
              </w:rPr>
              <w:t> </w:t>
            </w:r>
            <w:r w:rsidRPr="00EC5F7C">
              <w:rPr>
                <w:lang w:val="es-ES" w:eastAsia="es-ES"/>
              </w:rPr>
              <w:t>878</w:t>
            </w:r>
          </w:p>
        </w:tc>
        <w:tc>
          <w:tcPr>
            <w:tcW w:w="660" w:type="pct"/>
            <w:tcBorders>
              <w:top w:val="nil"/>
              <w:left w:val="nil"/>
              <w:bottom w:val="single" w:sz="4" w:space="0" w:color="auto"/>
              <w:right w:val="nil"/>
            </w:tcBorders>
            <w:shd w:val="clear" w:color="000000" w:fill="D9E1F2"/>
            <w:noWrap/>
            <w:vAlign w:val="bottom"/>
            <w:hideMark/>
          </w:tcPr>
          <w:p w14:paraId="588121FC" w14:textId="42ADC0A9" w:rsidR="00B2676A" w:rsidRPr="00EC5F7C" w:rsidRDefault="00B2676A" w:rsidP="0091318C">
            <w:pPr>
              <w:pStyle w:val="Tabletext"/>
              <w:jc w:val="center"/>
              <w:rPr>
                <w:lang w:val="es-ES" w:eastAsia="es-ES"/>
              </w:rPr>
            </w:pPr>
          </w:p>
        </w:tc>
        <w:tc>
          <w:tcPr>
            <w:tcW w:w="623" w:type="pct"/>
            <w:gridSpan w:val="2"/>
            <w:tcBorders>
              <w:top w:val="nil"/>
              <w:left w:val="single" w:sz="4" w:space="0" w:color="auto"/>
              <w:bottom w:val="single" w:sz="4" w:space="0" w:color="auto"/>
              <w:right w:val="single" w:sz="4" w:space="0" w:color="auto"/>
            </w:tcBorders>
            <w:shd w:val="clear" w:color="000000" w:fill="DDEBF7"/>
            <w:noWrap/>
            <w:vAlign w:val="bottom"/>
            <w:hideMark/>
          </w:tcPr>
          <w:p w14:paraId="6D01AC5E" w14:textId="6AB7F4A6" w:rsidR="00B2676A" w:rsidRPr="00EC5F7C" w:rsidRDefault="00B2676A" w:rsidP="0091318C">
            <w:pPr>
              <w:pStyle w:val="Tabletext"/>
              <w:jc w:val="center"/>
              <w:rPr>
                <w:lang w:val="es-ES" w:eastAsia="es-ES"/>
              </w:rPr>
            </w:pPr>
            <w:r w:rsidRPr="00EC5F7C">
              <w:rPr>
                <w:lang w:val="es-ES" w:eastAsia="es-ES"/>
              </w:rPr>
              <w:t>78</w:t>
            </w:r>
            <w:r w:rsidR="007F4E62">
              <w:rPr>
                <w:lang w:val="es-ES" w:eastAsia="es-ES"/>
              </w:rPr>
              <w:t> </w:t>
            </w:r>
            <w:r w:rsidRPr="00EC5F7C">
              <w:rPr>
                <w:lang w:val="es-ES" w:eastAsia="es-ES"/>
              </w:rPr>
              <w:t>878</w:t>
            </w:r>
          </w:p>
        </w:tc>
      </w:tr>
      <w:tr w:rsidR="00B2676A" w:rsidRPr="00415F30" w14:paraId="4C55DF41" w14:textId="77777777" w:rsidTr="00BE41AA">
        <w:trPr>
          <w:trHeight w:val="340"/>
        </w:trPr>
        <w:tc>
          <w:tcPr>
            <w:tcW w:w="2776" w:type="pct"/>
            <w:gridSpan w:val="2"/>
            <w:tcBorders>
              <w:top w:val="nil"/>
              <w:left w:val="single" w:sz="4" w:space="0" w:color="auto"/>
              <w:bottom w:val="single" w:sz="4" w:space="0" w:color="auto"/>
              <w:right w:val="single" w:sz="4" w:space="0" w:color="auto"/>
            </w:tcBorders>
            <w:shd w:val="clear" w:color="000000" w:fill="E2EFDA"/>
            <w:vAlign w:val="bottom"/>
            <w:hideMark/>
          </w:tcPr>
          <w:p w14:paraId="1BF22184" w14:textId="77777777" w:rsidR="00B2676A" w:rsidRPr="00EC5F7C" w:rsidRDefault="00B2676A" w:rsidP="0076578C">
            <w:pPr>
              <w:pStyle w:val="Tabletext"/>
              <w:rPr>
                <w:lang w:val="es-ES" w:eastAsia="es-ES"/>
              </w:rPr>
            </w:pPr>
            <w:r w:rsidRPr="00EC5F7C">
              <w:rPr>
                <w:lang w:val="es-ES" w:eastAsia="es-ES"/>
              </w:rPr>
              <w:t xml:space="preserve">ETEM AP30B </w:t>
            </w:r>
          </w:p>
        </w:tc>
        <w:tc>
          <w:tcPr>
            <w:tcW w:w="88" w:type="pct"/>
            <w:gridSpan w:val="2"/>
            <w:tcBorders>
              <w:top w:val="nil"/>
              <w:left w:val="nil"/>
              <w:bottom w:val="nil"/>
              <w:right w:val="nil"/>
            </w:tcBorders>
            <w:shd w:val="clear" w:color="auto" w:fill="auto"/>
            <w:noWrap/>
            <w:vAlign w:val="bottom"/>
            <w:hideMark/>
          </w:tcPr>
          <w:p w14:paraId="32FC8804" w14:textId="77777777" w:rsidR="00B2676A" w:rsidRPr="00415F30" w:rsidRDefault="00B2676A" w:rsidP="0076578C">
            <w:pPr>
              <w:tabs>
                <w:tab w:val="clear" w:pos="1134"/>
                <w:tab w:val="clear" w:pos="2268"/>
              </w:tabs>
              <w:overflowPunct/>
              <w:autoSpaceDE/>
              <w:autoSpaceDN/>
              <w:adjustRightInd/>
              <w:spacing w:before="0"/>
              <w:textAlignment w:val="auto"/>
              <w:rPr>
                <w:rFonts w:cs="Calibri"/>
                <w:color w:val="000000"/>
                <w:szCs w:val="24"/>
                <w:lang w:val="es-ES" w:eastAsia="es-ES"/>
              </w:rPr>
            </w:pPr>
          </w:p>
        </w:tc>
        <w:tc>
          <w:tcPr>
            <w:tcW w:w="853" w:type="pct"/>
            <w:tcBorders>
              <w:top w:val="nil"/>
              <w:left w:val="single" w:sz="4" w:space="0" w:color="auto"/>
              <w:bottom w:val="single" w:sz="4" w:space="0" w:color="auto"/>
              <w:right w:val="single" w:sz="4" w:space="0" w:color="auto"/>
            </w:tcBorders>
            <w:shd w:val="clear" w:color="000000" w:fill="D6DCE4"/>
            <w:noWrap/>
            <w:vAlign w:val="bottom"/>
            <w:hideMark/>
          </w:tcPr>
          <w:p w14:paraId="1CFACABC" w14:textId="613056CC" w:rsidR="00B2676A" w:rsidRPr="00EC5F7C" w:rsidRDefault="00B2676A" w:rsidP="0091318C">
            <w:pPr>
              <w:pStyle w:val="Tabletext"/>
              <w:jc w:val="center"/>
              <w:rPr>
                <w:lang w:val="es-ES" w:eastAsia="es-ES"/>
              </w:rPr>
            </w:pPr>
            <w:r w:rsidRPr="00EC5F7C">
              <w:rPr>
                <w:lang w:val="es-ES" w:eastAsia="es-ES"/>
              </w:rPr>
              <w:t>438</w:t>
            </w:r>
            <w:r w:rsidR="0091318C">
              <w:rPr>
                <w:lang w:val="es-ES" w:eastAsia="es-ES"/>
              </w:rPr>
              <w:t> </w:t>
            </w:r>
            <w:r w:rsidRPr="00EC5F7C">
              <w:rPr>
                <w:lang w:val="es-ES" w:eastAsia="es-ES"/>
              </w:rPr>
              <w:t>210</w:t>
            </w:r>
          </w:p>
        </w:tc>
        <w:tc>
          <w:tcPr>
            <w:tcW w:w="660" w:type="pct"/>
            <w:tcBorders>
              <w:top w:val="nil"/>
              <w:left w:val="nil"/>
              <w:bottom w:val="single" w:sz="4" w:space="0" w:color="auto"/>
              <w:right w:val="nil"/>
            </w:tcBorders>
            <w:shd w:val="clear" w:color="000000" w:fill="D9E1F2"/>
            <w:noWrap/>
            <w:vAlign w:val="bottom"/>
            <w:hideMark/>
          </w:tcPr>
          <w:p w14:paraId="5C405A7F" w14:textId="065A07EF" w:rsidR="00B2676A" w:rsidRPr="00EC5F7C" w:rsidRDefault="00B2676A" w:rsidP="0091318C">
            <w:pPr>
              <w:pStyle w:val="Tabletext"/>
              <w:jc w:val="center"/>
              <w:rPr>
                <w:lang w:val="es-ES" w:eastAsia="es-ES"/>
              </w:rPr>
            </w:pPr>
            <w:r w:rsidRPr="00EC5F7C">
              <w:rPr>
                <w:lang w:val="es-ES" w:eastAsia="es-ES"/>
              </w:rPr>
              <w:t>569</w:t>
            </w:r>
            <w:r w:rsidR="007F4E62">
              <w:rPr>
                <w:lang w:val="es-ES" w:eastAsia="es-ES"/>
              </w:rPr>
              <w:t> </w:t>
            </w:r>
            <w:r w:rsidRPr="00EC5F7C">
              <w:rPr>
                <w:lang w:val="es-ES" w:eastAsia="es-ES"/>
              </w:rPr>
              <w:t>673</w:t>
            </w:r>
          </w:p>
        </w:tc>
        <w:tc>
          <w:tcPr>
            <w:tcW w:w="623" w:type="pct"/>
            <w:gridSpan w:val="2"/>
            <w:tcBorders>
              <w:top w:val="nil"/>
              <w:left w:val="single" w:sz="4" w:space="0" w:color="auto"/>
              <w:bottom w:val="single" w:sz="4" w:space="0" w:color="auto"/>
              <w:right w:val="single" w:sz="4" w:space="0" w:color="auto"/>
            </w:tcBorders>
            <w:shd w:val="clear" w:color="000000" w:fill="DDEBF7"/>
            <w:noWrap/>
            <w:vAlign w:val="bottom"/>
            <w:hideMark/>
          </w:tcPr>
          <w:p w14:paraId="2BDCAFED" w14:textId="10F04F82" w:rsidR="00B2676A" w:rsidRPr="00EC5F7C" w:rsidRDefault="00B2676A" w:rsidP="0091318C">
            <w:pPr>
              <w:pStyle w:val="Tabletext"/>
              <w:jc w:val="center"/>
              <w:rPr>
                <w:lang w:val="es-ES" w:eastAsia="es-ES"/>
              </w:rPr>
            </w:pPr>
            <w:r w:rsidRPr="00EC5F7C">
              <w:rPr>
                <w:lang w:val="es-ES" w:eastAsia="es-ES"/>
              </w:rPr>
              <w:t>2</w:t>
            </w:r>
            <w:r w:rsidR="007F4E62">
              <w:rPr>
                <w:lang w:val="es-ES" w:eastAsia="es-ES"/>
              </w:rPr>
              <w:t> </w:t>
            </w:r>
            <w:r w:rsidRPr="00EC5F7C">
              <w:rPr>
                <w:lang w:val="es-ES" w:eastAsia="es-ES"/>
              </w:rPr>
              <w:t>716</w:t>
            </w:r>
            <w:r w:rsidR="007F4E62">
              <w:rPr>
                <w:lang w:val="es-ES" w:eastAsia="es-ES"/>
              </w:rPr>
              <w:t> </w:t>
            </w:r>
            <w:r w:rsidRPr="00EC5F7C">
              <w:rPr>
                <w:lang w:val="es-ES" w:eastAsia="es-ES"/>
              </w:rPr>
              <w:t>902</w:t>
            </w:r>
          </w:p>
        </w:tc>
      </w:tr>
      <w:tr w:rsidR="00B2676A" w:rsidRPr="00415F30" w14:paraId="6CFBE387" w14:textId="77777777" w:rsidTr="00BE41AA">
        <w:trPr>
          <w:trHeight w:val="340"/>
        </w:trPr>
        <w:tc>
          <w:tcPr>
            <w:tcW w:w="2776" w:type="pct"/>
            <w:gridSpan w:val="2"/>
            <w:tcBorders>
              <w:top w:val="nil"/>
              <w:left w:val="single" w:sz="4" w:space="0" w:color="auto"/>
              <w:bottom w:val="single" w:sz="4" w:space="0" w:color="auto"/>
              <w:right w:val="single" w:sz="4" w:space="0" w:color="auto"/>
            </w:tcBorders>
            <w:shd w:val="clear" w:color="000000" w:fill="E2EFDA"/>
            <w:vAlign w:val="bottom"/>
            <w:hideMark/>
          </w:tcPr>
          <w:p w14:paraId="15629762" w14:textId="77777777" w:rsidR="00B2676A" w:rsidRPr="00EC5F7C" w:rsidRDefault="00B2676A" w:rsidP="0076578C">
            <w:pPr>
              <w:pStyle w:val="Tabletext"/>
              <w:rPr>
                <w:lang w:val="es-ES" w:eastAsia="es-ES"/>
              </w:rPr>
            </w:pPr>
            <w:r w:rsidRPr="00EC5F7C">
              <w:rPr>
                <w:lang w:val="es-ES" w:eastAsia="es-ES"/>
              </w:rPr>
              <w:t>ETEM no OSG</w:t>
            </w:r>
          </w:p>
        </w:tc>
        <w:tc>
          <w:tcPr>
            <w:tcW w:w="88" w:type="pct"/>
            <w:gridSpan w:val="2"/>
            <w:tcBorders>
              <w:top w:val="nil"/>
              <w:left w:val="nil"/>
              <w:bottom w:val="nil"/>
              <w:right w:val="nil"/>
            </w:tcBorders>
            <w:shd w:val="clear" w:color="auto" w:fill="auto"/>
            <w:noWrap/>
            <w:vAlign w:val="bottom"/>
            <w:hideMark/>
          </w:tcPr>
          <w:p w14:paraId="02564B1E" w14:textId="77777777" w:rsidR="00B2676A" w:rsidRPr="00415F30" w:rsidRDefault="00B2676A" w:rsidP="0076578C">
            <w:pPr>
              <w:tabs>
                <w:tab w:val="clear" w:pos="1134"/>
                <w:tab w:val="clear" w:pos="2268"/>
              </w:tabs>
              <w:overflowPunct/>
              <w:autoSpaceDE/>
              <w:autoSpaceDN/>
              <w:adjustRightInd/>
              <w:spacing w:before="0"/>
              <w:textAlignment w:val="auto"/>
              <w:rPr>
                <w:rFonts w:cs="Calibri"/>
                <w:color w:val="000000"/>
                <w:szCs w:val="24"/>
                <w:lang w:val="es-ES" w:eastAsia="es-ES"/>
              </w:rPr>
            </w:pPr>
          </w:p>
        </w:tc>
        <w:tc>
          <w:tcPr>
            <w:tcW w:w="853" w:type="pct"/>
            <w:tcBorders>
              <w:top w:val="nil"/>
              <w:left w:val="single" w:sz="4" w:space="0" w:color="auto"/>
              <w:bottom w:val="single" w:sz="4" w:space="0" w:color="auto"/>
              <w:right w:val="single" w:sz="4" w:space="0" w:color="auto"/>
            </w:tcBorders>
            <w:shd w:val="clear" w:color="000000" w:fill="D6DCE4"/>
            <w:noWrap/>
            <w:vAlign w:val="bottom"/>
            <w:hideMark/>
          </w:tcPr>
          <w:p w14:paraId="438C806F" w14:textId="16CE83FC" w:rsidR="00B2676A" w:rsidRPr="00EC5F7C" w:rsidRDefault="00B2676A" w:rsidP="0091318C">
            <w:pPr>
              <w:pStyle w:val="Tabletext"/>
              <w:jc w:val="center"/>
              <w:rPr>
                <w:lang w:val="es-ES" w:eastAsia="es-ES"/>
              </w:rPr>
            </w:pPr>
            <w:r w:rsidRPr="00EC5F7C">
              <w:rPr>
                <w:lang w:val="es-ES" w:eastAsia="es-ES"/>
              </w:rPr>
              <w:t>350</w:t>
            </w:r>
            <w:r w:rsidR="0091318C">
              <w:rPr>
                <w:lang w:val="es-ES" w:eastAsia="es-ES"/>
              </w:rPr>
              <w:t> </w:t>
            </w:r>
            <w:r w:rsidRPr="00EC5F7C">
              <w:rPr>
                <w:lang w:val="es-ES" w:eastAsia="es-ES"/>
              </w:rPr>
              <w:t>568</w:t>
            </w:r>
          </w:p>
        </w:tc>
        <w:tc>
          <w:tcPr>
            <w:tcW w:w="660" w:type="pct"/>
            <w:tcBorders>
              <w:top w:val="nil"/>
              <w:left w:val="nil"/>
              <w:bottom w:val="single" w:sz="4" w:space="0" w:color="auto"/>
              <w:right w:val="nil"/>
            </w:tcBorders>
            <w:shd w:val="clear" w:color="000000" w:fill="D9E1F2"/>
            <w:noWrap/>
            <w:vAlign w:val="bottom"/>
            <w:hideMark/>
          </w:tcPr>
          <w:p w14:paraId="0028078F" w14:textId="5CE2C65E" w:rsidR="00B2676A" w:rsidRPr="00EC5F7C" w:rsidRDefault="00B2676A" w:rsidP="0091318C">
            <w:pPr>
              <w:pStyle w:val="Tabletext"/>
              <w:jc w:val="center"/>
              <w:rPr>
                <w:lang w:val="es-ES" w:eastAsia="es-ES"/>
              </w:rPr>
            </w:pPr>
            <w:r w:rsidRPr="00EC5F7C">
              <w:rPr>
                <w:lang w:val="es-ES" w:eastAsia="es-ES"/>
              </w:rPr>
              <w:t>385</w:t>
            </w:r>
            <w:r w:rsidR="007F4E62">
              <w:rPr>
                <w:lang w:val="es-ES" w:eastAsia="es-ES"/>
              </w:rPr>
              <w:t> </w:t>
            </w:r>
            <w:r w:rsidRPr="00EC5F7C">
              <w:rPr>
                <w:lang w:val="es-ES" w:eastAsia="es-ES"/>
              </w:rPr>
              <w:t>625</w:t>
            </w:r>
          </w:p>
        </w:tc>
        <w:tc>
          <w:tcPr>
            <w:tcW w:w="623" w:type="pct"/>
            <w:gridSpan w:val="2"/>
            <w:tcBorders>
              <w:top w:val="nil"/>
              <w:left w:val="single" w:sz="4" w:space="0" w:color="auto"/>
              <w:bottom w:val="single" w:sz="4" w:space="0" w:color="auto"/>
              <w:right w:val="single" w:sz="4" w:space="0" w:color="auto"/>
            </w:tcBorders>
            <w:shd w:val="clear" w:color="000000" w:fill="DDEBF7"/>
            <w:noWrap/>
            <w:vAlign w:val="bottom"/>
            <w:hideMark/>
          </w:tcPr>
          <w:p w14:paraId="1AB6AC47" w14:textId="326A7204" w:rsidR="00B2676A" w:rsidRPr="00EC5F7C" w:rsidRDefault="00B2676A" w:rsidP="0091318C">
            <w:pPr>
              <w:pStyle w:val="Tabletext"/>
              <w:jc w:val="center"/>
              <w:rPr>
                <w:lang w:val="es-ES" w:eastAsia="es-ES"/>
              </w:rPr>
            </w:pPr>
            <w:r w:rsidRPr="00EC5F7C">
              <w:rPr>
                <w:lang w:val="es-ES" w:eastAsia="es-ES"/>
              </w:rPr>
              <w:t>1</w:t>
            </w:r>
            <w:r w:rsidR="007F4E62">
              <w:rPr>
                <w:lang w:val="es-ES" w:eastAsia="es-ES"/>
              </w:rPr>
              <w:t> </w:t>
            </w:r>
            <w:r w:rsidRPr="00EC5F7C">
              <w:rPr>
                <w:lang w:val="es-ES" w:eastAsia="es-ES"/>
              </w:rPr>
              <w:t>893</w:t>
            </w:r>
            <w:r w:rsidR="007F4E62">
              <w:rPr>
                <w:lang w:val="es-ES" w:eastAsia="es-ES"/>
              </w:rPr>
              <w:t> </w:t>
            </w:r>
            <w:r w:rsidRPr="00EC5F7C">
              <w:rPr>
                <w:lang w:val="es-ES" w:eastAsia="es-ES"/>
              </w:rPr>
              <w:t>067</w:t>
            </w:r>
          </w:p>
        </w:tc>
      </w:tr>
      <w:tr w:rsidR="00B2676A" w:rsidRPr="00415F30" w14:paraId="52D5A0E8" w14:textId="77777777" w:rsidTr="00BE41AA">
        <w:trPr>
          <w:trHeight w:val="340"/>
        </w:trPr>
        <w:tc>
          <w:tcPr>
            <w:tcW w:w="2776" w:type="pct"/>
            <w:gridSpan w:val="2"/>
            <w:tcBorders>
              <w:top w:val="nil"/>
              <w:left w:val="single" w:sz="4" w:space="0" w:color="auto"/>
              <w:bottom w:val="single" w:sz="4" w:space="0" w:color="auto"/>
              <w:right w:val="single" w:sz="4" w:space="0" w:color="auto"/>
            </w:tcBorders>
            <w:shd w:val="clear" w:color="000000" w:fill="E2EFDA"/>
            <w:vAlign w:val="bottom"/>
            <w:hideMark/>
          </w:tcPr>
          <w:p w14:paraId="1654A210" w14:textId="77777777" w:rsidR="00B2676A" w:rsidRPr="00EC5F7C" w:rsidRDefault="00B2676A" w:rsidP="0076578C">
            <w:pPr>
              <w:pStyle w:val="Tabletext"/>
              <w:rPr>
                <w:lang w:val="es-ES" w:eastAsia="es-ES"/>
              </w:rPr>
            </w:pPr>
            <w:r w:rsidRPr="00EC5F7C">
              <w:rPr>
                <w:lang w:val="es-ES" w:eastAsia="es-ES"/>
              </w:rPr>
              <w:t>Enlaces entre satélites: Protección se servicios espaciales y terrenales</w:t>
            </w:r>
          </w:p>
        </w:tc>
        <w:tc>
          <w:tcPr>
            <w:tcW w:w="88" w:type="pct"/>
            <w:gridSpan w:val="2"/>
            <w:tcBorders>
              <w:top w:val="nil"/>
              <w:left w:val="nil"/>
              <w:bottom w:val="nil"/>
              <w:right w:val="nil"/>
            </w:tcBorders>
            <w:shd w:val="clear" w:color="auto" w:fill="auto"/>
            <w:noWrap/>
            <w:vAlign w:val="bottom"/>
            <w:hideMark/>
          </w:tcPr>
          <w:p w14:paraId="47DA0891" w14:textId="77777777" w:rsidR="00B2676A" w:rsidRPr="00415F30" w:rsidRDefault="00B2676A" w:rsidP="0076578C">
            <w:pPr>
              <w:tabs>
                <w:tab w:val="clear" w:pos="1134"/>
                <w:tab w:val="clear" w:pos="2268"/>
              </w:tabs>
              <w:overflowPunct/>
              <w:autoSpaceDE/>
              <w:autoSpaceDN/>
              <w:adjustRightInd/>
              <w:spacing w:before="0"/>
              <w:textAlignment w:val="auto"/>
              <w:rPr>
                <w:rFonts w:cs="Calibri"/>
                <w:color w:val="000000"/>
                <w:szCs w:val="24"/>
                <w:lang w:val="es-ES" w:eastAsia="es-ES"/>
              </w:rPr>
            </w:pPr>
          </w:p>
        </w:tc>
        <w:tc>
          <w:tcPr>
            <w:tcW w:w="853" w:type="pct"/>
            <w:tcBorders>
              <w:top w:val="nil"/>
              <w:left w:val="single" w:sz="4" w:space="0" w:color="auto"/>
              <w:bottom w:val="single" w:sz="4" w:space="0" w:color="auto"/>
              <w:right w:val="single" w:sz="4" w:space="0" w:color="auto"/>
            </w:tcBorders>
            <w:shd w:val="clear" w:color="000000" w:fill="D6DCE4"/>
            <w:noWrap/>
            <w:vAlign w:val="bottom"/>
            <w:hideMark/>
          </w:tcPr>
          <w:p w14:paraId="12878AD4" w14:textId="157B92C5" w:rsidR="00B2676A" w:rsidRPr="00EC5F7C" w:rsidRDefault="00B2676A" w:rsidP="0091318C">
            <w:pPr>
              <w:pStyle w:val="Tabletext"/>
              <w:jc w:val="center"/>
              <w:rPr>
                <w:lang w:val="es-ES" w:eastAsia="es-ES"/>
              </w:rPr>
            </w:pPr>
            <w:r w:rsidRPr="00EC5F7C">
              <w:rPr>
                <w:lang w:val="es-ES" w:eastAsia="es-ES"/>
              </w:rPr>
              <w:t>350</w:t>
            </w:r>
            <w:r w:rsidR="0091318C">
              <w:rPr>
                <w:lang w:val="es-ES" w:eastAsia="es-ES"/>
              </w:rPr>
              <w:t> </w:t>
            </w:r>
            <w:r w:rsidRPr="00EC5F7C">
              <w:rPr>
                <w:lang w:val="es-ES" w:eastAsia="es-ES"/>
              </w:rPr>
              <w:t>568</w:t>
            </w:r>
          </w:p>
        </w:tc>
        <w:tc>
          <w:tcPr>
            <w:tcW w:w="660" w:type="pct"/>
            <w:tcBorders>
              <w:top w:val="nil"/>
              <w:left w:val="nil"/>
              <w:bottom w:val="single" w:sz="4" w:space="0" w:color="auto"/>
              <w:right w:val="nil"/>
            </w:tcBorders>
            <w:shd w:val="clear" w:color="000000" w:fill="D9E1F2"/>
            <w:noWrap/>
            <w:vAlign w:val="bottom"/>
            <w:hideMark/>
          </w:tcPr>
          <w:p w14:paraId="74E5ACEC" w14:textId="0857BD16" w:rsidR="00B2676A" w:rsidRPr="00EC5F7C" w:rsidRDefault="00B2676A" w:rsidP="0091318C">
            <w:pPr>
              <w:pStyle w:val="Tabletext"/>
              <w:jc w:val="center"/>
              <w:rPr>
                <w:lang w:val="es-ES" w:eastAsia="es-ES"/>
              </w:rPr>
            </w:pPr>
            <w:r w:rsidRPr="00EC5F7C">
              <w:rPr>
                <w:lang w:val="es-ES" w:eastAsia="es-ES"/>
              </w:rPr>
              <w:t>210</w:t>
            </w:r>
            <w:r w:rsidR="007F4E62">
              <w:rPr>
                <w:lang w:val="es-ES" w:eastAsia="es-ES"/>
              </w:rPr>
              <w:t> </w:t>
            </w:r>
            <w:r w:rsidRPr="00EC5F7C">
              <w:rPr>
                <w:lang w:val="es-ES" w:eastAsia="es-ES"/>
              </w:rPr>
              <w:t>341</w:t>
            </w:r>
          </w:p>
        </w:tc>
        <w:tc>
          <w:tcPr>
            <w:tcW w:w="623" w:type="pct"/>
            <w:gridSpan w:val="2"/>
            <w:tcBorders>
              <w:top w:val="nil"/>
              <w:left w:val="single" w:sz="4" w:space="0" w:color="auto"/>
              <w:bottom w:val="single" w:sz="4" w:space="0" w:color="auto"/>
              <w:right w:val="single" w:sz="4" w:space="0" w:color="auto"/>
            </w:tcBorders>
            <w:shd w:val="clear" w:color="000000" w:fill="DDEBF7"/>
            <w:noWrap/>
            <w:vAlign w:val="bottom"/>
            <w:hideMark/>
          </w:tcPr>
          <w:p w14:paraId="2A27C5A2" w14:textId="543051C0" w:rsidR="00B2676A" w:rsidRPr="00EC5F7C" w:rsidRDefault="00B2676A" w:rsidP="0091318C">
            <w:pPr>
              <w:pStyle w:val="Tabletext"/>
              <w:jc w:val="center"/>
              <w:rPr>
                <w:lang w:val="es-ES" w:eastAsia="es-ES"/>
              </w:rPr>
            </w:pPr>
            <w:r w:rsidRPr="00EC5F7C">
              <w:rPr>
                <w:lang w:val="es-ES" w:eastAsia="es-ES"/>
              </w:rPr>
              <w:t>1</w:t>
            </w:r>
            <w:r w:rsidR="007F4E62">
              <w:rPr>
                <w:lang w:val="es-ES" w:eastAsia="es-ES"/>
              </w:rPr>
              <w:t> </w:t>
            </w:r>
            <w:r w:rsidRPr="00EC5F7C">
              <w:rPr>
                <w:lang w:val="es-ES" w:eastAsia="es-ES"/>
              </w:rPr>
              <w:t>191</w:t>
            </w:r>
            <w:r w:rsidR="007F4E62">
              <w:rPr>
                <w:lang w:val="es-ES" w:eastAsia="es-ES"/>
              </w:rPr>
              <w:t> </w:t>
            </w:r>
            <w:r w:rsidRPr="00EC5F7C">
              <w:rPr>
                <w:lang w:val="es-ES" w:eastAsia="es-ES"/>
              </w:rPr>
              <w:t>931</w:t>
            </w:r>
          </w:p>
        </w:tc>
      </w:tr>
      <w:tr w:rsidR="00B2676A" w:rsidRPr="00415F30" w14:paraId="0DDE0FF0" w14:textId="77777777" w:rsidTr="00BE41AA">
        <w:trPr>
          <w:trHeight w:val="340"/>
        </w:trPr>
        <w:tc>
          <w:tcPr>
            <w:tcW w:w="2776" w:type="pct"/>
            <w:gridSpan w:val="2"/>
            <w:tcBorders>
              <w:top w:val="nil"/>
              <w:left w:val="single" w:sz="4" w:space="0" w:color="auto"/>
              <w:bottom w:val="single" w:sz="4" w:space="0" w:color="auto"/>
              <w:right w:val="single" w:sz="4" w:space="0" w:color="auto"/>
            </w:tcBorders>
            <w:shd w:val="clear" w:color="000000" w:fill="E2EFDA"/>
            <w:vAlign w:val="bottom"/>
            <w:hideMark/>
          </w:tcPr>
          <w:p w14:paraId="688AC1F1" w14:textId="77777777" w:rsidR="00B2676A" w:rsidRPr="00EC5F7C" w:rsidRDefault="00B2676A" w:rsidP="0076578C">
            <w:pPr>
              <w:pStyle w:val="Tabletext"/>
              <w:rPr>
                <w:lang w:val="es-ES" w:eastAsia="es-ES"/>
              </w:rPr>
            </w:pPr>
            <w:r w:rsidRPr="00EC5F7C">
              <w:rPr>
                <w:lang w:val="es-ES" w:eastAsia="es-ES"/>
              </w:rPr>
              <w:t>Tolerancias para determinadas características orbitales de los sistemas no OSG</w:t>
            </w:r>
          </w:p>
        </w:tc>
        <w:tc>
          <w:tcPr>
            <w:tcW w:w="88" w:type="pct"/>
            <w:gridSpan w:val="2"/>
            <w:tcBorders>
              <w:top w:val="nil"/>
              <w:left w:val="nil"/>
              <w:bottom w:val="nil"/>
              <w:right w:val="nil"/>
            </w:tcBorders>
            <w:shd w:val="clear" w:color="auto" w:fill="auto"/>
            <w:noWrap/>
            <w:vAlign w:val="bottom"/>
            <w:hideMark/>
          </w:tcPr>
          <w:p w14:paraId="2E3F1657" w14:textId="77777777" w:rsidR="00B2676A" w:rsidRPr="00415F30" w:rsidRDefault="00B2676A" w:rsidP="0076578C">
            <w:pPr>
              <w:tabs>
                <w:tab w:val="clear" w:pos="1134"/>
                <w:tab w:val="clear" w:pos="2268"/>
              </w:tabs>
              <w:overflowPunct/>
              <w:autoSpaceDE/>
              <w:autoSpaceDN/>
              <w:adjustRightInd/>
              <w:spacing w:before="0"/>
              <w:textAlignment w:val="auto"/>
              <w:rPr>
                <w:rFonts w:cs="Calibri"/>
                <w:color w:val="000000"/>
                <w:szCs w:val="24"/>
                <w:lang w:val="es-ES" w:eastAsia="es-ES"/>
              </w:rPr>
            </w:pPr>
          </w:p>
        </w:tc>
        <w:tc>
          <w:tcPr>
            <w:tcW w:w="853" w:type="pct"/>
            <w:tcBorders>
              <w:top w:val="nil"/>
              <w:left w:val="single" w:sz="4" w:space="0" w:color="auto"/>
              <w:bottom w:val="single" w:sz="4" w:space="0" w:color="auto"/>
              <w:right w:val="single" w:sz="4" w:space="0" w:color="auto"/>
            </w:tcBorders>
            <w:shd w:val="clear" w:color="000000" w:fill="D6DCE4"/>
            <w:noWrap/>
            <w:vAlign w:val="bottom"/>
            <w:hideMark/>
          </w:tcPr>
          <w:p w14:paraId="4548CEA3" w14:textId="45124A03" w:rsidR="00B2676A" w:rsidRPr="00EC5F7C" w:rsidRDefault="00B2676A" w:rsidP="0091318C">
            <w:pPr>
              <w:pStyle w:val="Tabletext"/>
              <w:jc w:val="center"/>
              <w:rPr>
                <w:lang w:val="es-ES" w:eastAsia="es-ES"/>
              </w:rPr>
            </w:pPr>
            <w:r w:rsidRPr="00EC5F7C">
              <w:rPr>
                <w:lang w:val="es-ES" w:eastAsia="es-ES"/>
              </w:rPr>
              <w:t>262</w:t>
            </w:r>
            <w:r w:rsidR="0091318C">
              <w:rPr>
                <w:lang w:val="es-ES" w:eastAsia="es-ES"/>
              </w:rPr>
              <w:t> </w:t>
            </w:r>
            <w:r w:rsidRPr="00EC5F7C">
              <w:rPr>
                <w:lang w:val="es-ES" w:eastAsia="es-ES"/>
              </w:rPr>
              <w:t>926</w:t>
            </w:r>
          </w:p>
        </w:tc>
        <w:tc>
          <w:tcPr>
            <w:tcW w:w="660" w:type="pct"/>
            <w:tcBorders>
              <w:top w:val="nil"/>
              <w:left w:val="nil"/>
              <w:bottom w:val="single" w:sz="4" w:space="0" w:color="auto"/>
              <w:right w:val="nil"/>
            </w:tcBorders>
            <w:shd w:val="clear" w:color="000000" w:fill="D9E1F2"/>
            <w:noWrap/>
            <w:vAlign w:val="bottom"/>
            <w:hideMark/>
          </w:tcPr>
          <w:p w14:paraId="152C248D" w14:textId="24D07C4C" w:rsidR="00B2676A" w:rsidRPr="00EC5F7C" w:rsidRDefault="00B2676A" w:rsidP="0091318C">
            <w:pPr>
              <w:pStyle w:val="Tabletext"/>
              <w:jc w:val="center"/>
              <w:rPr>
                <w:lang w:val="es-ES" w:eastAsia="es-ES"/>
              </w:rPr>
            </w:pPr>
            <w:r w:rsidRPr="00EC5F7C">
              <w:rPr>
                <w:lang w:val="es-ES" w:eastAsia="es-ES"/>
              </w:rPr>
              <w:t>201</w:t>
            </w:r>
            <w:r w:rsidR="007F4E62">
              <w:rPr>
                <w:lang w:val="es-ES" w:eastAsia="es-ES"/>
              </w:rPr>
              <w:t> </w:t>
            </w:r>
            <w:r w:rsidRPr="00EC5F7C">
              <w:rPr>
                <w:lang w:val="es-ES" w:eastAsia="es-ES"/>
              </w:rPr>
              <w:t>577</w:t>
            </w:r>
          </w:p>
        </w:tc>
        <w:tc>
          <w:tcPr>
            <w:tcW w:w="623" w:type="pct"/>
            <w:gridSpan w:val="2"/>
            <w:tcBorders>
              <w:top w:val="nil"/>
              <w:left w:val="single" w:sz="4" w:space="0" w:color="auto"/>
              <w:bottom w:val="single" w:sz="4" w:space="0" w:color="auto"/>
              <w:right w:val="single" w:sz="4" w:space="0" w:color="auto"/>
            </w:tcBorders>
            <w:shd w:val="clear" w:color="000000" w:fill="DDEBF7"/>
            <w:noWrap/>
            <w:vAlign w:val="bottom"/>
            <w:hideMark/>
          </w:tcPr>
          <w:p w14:paraId="5982E6D3" w14:textId="690CD3CD" w:rsidR="00B2676A" w:rsidRPr="00EC5F7C" w:rsidRDefault="00B2676A" w:rsidP="0091318C">
            <w:pPr>
              <w:pStyle w:val="Tabletext"/>
              <w:jc w:val="center"/>
              <w:rPr>
                <w:lang w:val="es-ES" w:eastAsia="es-ES"/>
              </w:rPr>
            </w:pPr>
            <w:r w:rsidRPr="00EC5F7C">
              <w:rPr>
                <w:lang w:val="es-ES" w:eastAsia="es-ES"/>
              </w:rPr>
              <w:t>1</w:t>
            </w:r>
            <w:r w:rsidR="007F4E62">
              <w:rPr>
                <w:lang w:val="es-ES" w:eastAsia="es-ES"/>
              </w:rPr>
              <w:t> </w:t>
            </w:r>
            <w:r w:rsidRPr="00EC5F7C">
              <w:rPr>
                <w:lang w:val="es-ES" w:eastAsia="es-ES"/>
              </w:rPr>
              <w:t>069</w:t>
            </w:r>
            <w:r w:rsidR="007F4E62">
              <w:rPr>
                <w:lang w:val="es-ES" w:eastAsia="es-ES"/>
              </w:rPr>
              <w:t> </w:t>
            </w:r>
            <w:r w:rsidRPr="00EC5F7C">
              <w:rPr>
                <w:lang w:val="es-ES" w:eastAsia="es-ES"/>
              </w:rPr>
              <w:t>232</w:t>
            </w:r>
          </w:p>
        </w:tc>
      </w:tr>
      <w:tr w:rsidR="00B2676A" w:rsidRPr="00415F30" w14:paraId="47777DE2" w14:textId="77777777" w:rsidTr="00BE41AA">
        <w:trPr>
          <w:trHeight w:val="340"/>
        </w:trPr>
        <w:tc>
          <w:tcPr>
            <w:tcW w:w="2776" w:type="pct"/>
            <w:gridSpan w:val="2"/>
            <w:tcBorders>
              <w:top w:val="nil"/>
              <w:left w:val="single" w:sz="4" w:space="0" w:color="auto"/>
              <w:bottom w:val="single" w:sz="4" w:space="0" w:color="auto"/>
              <w:right w:val="single" w:sz="4" w:space="0" w:color="auto"/>
            </w:tcBorders>
            <w:shd w:val="clear" w:color="000000" w:fill="E2EFDA"/>
            <w:vAlign w:val="center"/>
            <w:hideMark/>
          </w:tcPr>
          <w:p w14:paraId="1B161127" w14:textId="77777777" w:rsidR="00B2676A" w:rsidRPr="00EC5F7C" w:rsidRDefault="00B2676A" w:rsidP="0076578C">
            <w:pPr>
              <w:pStyle w:val="Tabletext"/>
              <w:rPr>
                <w:lang w:val="es-ES" w:eastAsia="es-ES"/>
              </w:rPr>
            </w:pPr>
            <w:r w:rsidRPr="00EC5F7C">
              <w:rPr>
                <w:lang w:val="es-ES" w:eastAsia="es-ES"/>
              </w:rPr>
              <w:t xml:space="preserve">Protección del SMS OSG en las bandas de 7/8 GHz y 20/30 GHz </w:t>
            </w:r>
          </w:p>
        </w:tc>
        <w:tc>
          <w:tcPr>
            <w:tcW w:w="88" w:type="pct"/>
            <w:gridSpan w:val="2"/>
            <w:tcBorders>
              <w:top w:val="nil"/>
              <w:left w:val="nil"/>
              <w:bottom w:val="nil"/>
              <w:right w:val="nil"/>
            </w:tcBorders>
            <w:shd w:val="clear" w:color="auto" w:fill="auto"/>
            <w:noWrap/>
            <w:vAlign w:val="bottom"/>
            <w:hideMark/>
          </w:tcPr>
          <w:p w14:paraId="389CCA07" w14:textId="77777777" w:rsidR="00B2676A" w:rsidRPr="00415F30" w:rsidRDefault="00B2676A" w:rsidP="0076578C">
            <w:pPr>
              <w:tabs>
                <w:tab w:val="clear" w:pos="1134"/>
                <w:tab w:val="clear" w:pos="2268"/>
              </w:tabs>
              <w:overflowPunct/>
              <w:autoSpaceDE/>
              <w:autoSpaceDN/>
              <w:adjustRightInd/>
              <w:spacing w:before="0"/>
              <w:textAlignment w:val="auto"/>
              <w:rPr>
                <w:rFonts w:cs="Calibri"/>
                <w:color w:val="000000"/>
                <w:szCs w:val="24"/>
                <w:lang w:val="es-ES" w:eastAsia="es-ES"/>
              </w:rPr>
            </w:pPr>
          </w:p>
        </w:tc>
        <w:tc>
          <w:tcPr>
            <w:tcW w:w="853" w:type="pct"/>
            <w:tcBorders>
              <w:top w:val="nil"/>
              <w:left w:val="single" w:sz="4" w:space="0" w:color="auto"/>
              <w:bottom w:val="single" w:sz="4" w:space="0" w:color="auto"/>
              <w:right w:val="single" w:sz="4" w:space="0" w:color="auto"/>
            </w:tcBorders>
            <w:shd w:val="clear" w:color="000000" w:fill="D6DCE4"/>
            <w:noWrap/>
            <w:vAlign w:val="bottom"/>
            <w:hideMark/>
          </w:tcPr>
          <w:p w14:paraId="71FF459B" w14:textId="5AFD6A1D" w:rsidR="00B2676A" w:rsidRPr="00EC5F7C" w:rsidRDefault="00B2676A" w:rsidP="0091318C">
            <w:pPr>
              <w:pStyle w:val="Tabletext"/>
              <w:jc w:val="center"/>
              <w:rPr>
                <w:lang w:val="es-ES" w:eastAsia="es-ES"/>
              </w:rPr>
            </w:pPr>
            <w:r w:rsidRPr="00EC5F7C">
              <w:rPr>
                <w:lang w:val="es-ES" w:eastAsia="es-ES"/>
              </w:rPr>
              <w:t>43</w:t>
            </w:r>
            <w:r w:rsidR="0091318C">
              <w:rPr>
                <w:lang w:val="es-ES" w:eastAsia="es-ES"/>
              </w:rPr>
              <w:t> </w:t>
            </w:r>
            <w:r w:rsidRPr="00EC5F7C">
              <w:rPr>
                <w:lang w:val="es-ES" w:eastAsia="es-ES"/>
              </w:rPr>
              <w:t>821</w:t>
            </w:r>
          </w:p>
        </w:tc>
        <w:tc>
          <w:tcPr>
            <w:tcW w:w="660" w:type="pct"/>
            <w:tcBorders>
              <w:top w:val="nil"/>
              <w:left w:val="nil"/>
              <w:bottom w:val="single" w:sz="4" w:space="0" w:color="auto"/>
              <w:right w:val="nil"/>
            </w:tcBorders>
            <w:shd w:val="clear" w:color="000000" w:fill="D9E1F2"/>
            <w:noWrap/>
            <w:vAlign w:val="bottom"/>
            <w:hideMark/>
          </w:tcPr>
          <w:p w14:paraId="691E4E0E" w14:textId="1EC4E212" w:rsidR="00B2676A" w:rsidRPr="00EC5F7C" w:rsidRDefault="00B2676A" w:rsidP="0091318C">
            <w:pPr>
              <w:pStyle w:val="Tabletext"/>
              <w:jc w:val="center"/>
              <w:rPr>
                <w:lang w:val="es-ES" w:eastAsia="es-ES"/>
              </w:rPr>
            </w:pPr>
          </w:p>
        </w:tc>
        <w:tc>
          <w:tcPr>
            <w:tcW w:w="623" w:type="pct"/>
            <w:gridSpan w:val="2"/>
            <w:tcBorders>
              <w:top w:val="nil"/>
              <w:left w:val="single" w:sz="4" w:space="0" w:color="auto"/>
              <w:bottom w:val="single" w:sz="4" w:space="0" w:color="auto"/>
              <w:right w:val="single" w:sz="4" w:space="0" w:color="auto"/>
            </w:tcBorders>
            <w:shd w:val="clear" w:color="000000" w:fill="DDEBF7"/>
            <w:noWrap/>
            <w:vAlign w:val="bottom"/>
            <w:hideMark/>
          </w:tcPr>
          <w:p w14:paraId="4AA56DF0" w14:textId="54C45D74" w:rsidR="00B2676A" w:rsidRPr="00EC5F7C" w:rsidRDefault="00B2676A" w:rsidP="0091318C">
            <w:pPr>
              <w:pStyle w:val="Tabletext"/>
              <w:jc w:val="center"/>
              <w:rPr>
                <w:lang w:val="es-ES" w:eastAsia="es-ES"/>
              </w:rPr>
            </w:pPr>
            <w:r w:rsidRPr="00EC5F7C">
              <w:rPr>
                <w:lang w:val="es-ES" w:eastAsia="es-ES"/>
              </w:rPr>
              <w:t>43</w:t>
            </w:r>
            <w:r w:rsidR="007F4E62">
              <w:rPr>
                <w:lang w:val="es-ES" w:eastAsia="es-ES"/>
              </w:rPr>
              <w:t> </w:t>
            </w:r>
            <w:r w:rsidRPr="00EC5F7C">
              <w:rPr>
                <w:lang w:val="es-ES" w:eastAsia="es-ES"/>
              </w:rPr>
              <w:t>821</w:t>
            </w:r>
          </w:p>
        </w:tc>
      </w:tr>
      <w:tr w:rsidR="00B2676A" w:rsidRPr="00415F30" w14:paraId="4079380C" w14:textId="77777777" w:rsidTr="00BE41AA">
        <w:trPr>
          <w:trHeight w:val="340"/>
        </w:trPr>
        <w:tc>
          <w:tcPr>
            <w:tcW w:w="2776" w:type="pct"/>
            <w:gridSpan w:val="2"/>
            <w:tcBorders>
              <w:top w:val="nil"/>
              <w:left w:val="single" w:sz="4" w:space="0" w:color="auto"/>
              <w:bottom w:val="single" w:sz="4" w:space="0" w:color="auto"/>
              <w:right w:val="single" w:sz="4" w:space="0" w:color="auto"/>
            </w:tcBorders>
            <w:shd w:val="clear" w:color="000000" w:fill="E2EFDA"/>
            <w:vAlign w:val="bottom"/>
            <w:hideMark/>
          </w:tcPr>
          <w:p w14:paraId="4E251DF1" w14:textId="77777777" w:rsidR="00B2676A" w:rsidRPr="00EC5F7C" w:rsidRDefault="00B2676A" w:rsidP="0076578C">
            <w:pPr>
              <w:pStyle w:val="Tabletext"/>
              <w:rPr>
                <w:lang w:val="es-ES" w:eastAsia="es-ES"/>
              </w:rPr>
            </w:pPr>
            <w:r w:rsidRPr="00EC5F7C">
              <w:rPr>
                <w:lang w:val="es-ES" w:eastAsia="es-ES"/>
              </w:rPr>
              <w:t>Parámetros del AP4 del RR para la actualización de la Rec. UIT-R S.1503</w:t>
            </w:r>
          </w:p>
        </w:tc>
        <w:tc>
          <w:tcPr>
            <w:tcW w:w="88" w:type="pct"/>
            <w:gridSpan w:val="2"/>
            <w:tcBorders>
              <w:top w:val="nil"/>
              <w:left w:val="nil"/>
              <w:bottom w:val="nil"/>
              <w:right w:val="nil"/>
            </w:tcBorders>
            <w:shd w:val="clear" w:color="auto" w:fill="auto"/>
            <w:noWrap/>
            <w:vAlign w:val="bottom"/>
            <w:hideMark/>
          </w:tcPr>
          <w:p w14:paraId="00FA9466" w14:textId="77777777" w:rsidR="00B2676A" w:rsidRPr="00415F30" w:rsidRDefault="00B2676A" w:rsidP="0076578C">
            <w:pPr>
              <w:tabs>
                <w:tab w:val="clear" w:pos="1134"/>
                <w:tab w:val="clear" w:pos="2268"/>
              </w:tabs>
              <w:overflowPunct/>
              <w:autoSpaceDE/>
              <w:autoSpaceDN/>
              <w:adjustRightInd/>
              <w:spacing w:before="0"/>
              <w:textAlignment w:val="auto"/>
              <w:rPr>
                <w:rFonts w:cs="Calibri"/>
                <w:color w:val="000000"/>
                <w:szCs w:val="24"/>
                <w:lang w:val="es-ES" w:eastAsia="es-ES"/>
              </w:rPr>
            </w:pPr>
          </w:p>
        </w:tc>
        <w:tc>
          <w:tcPr>
            <w:tcW w:w="853" w:type="pct"/>
            <w:tcBorders>
              <w:top w:val="nil"/>
              <w:left w:val="single" w:sz="4" w:space="0" w:color="auto"/>
              <w:bottom w:val="single" w:sz="4" w:space="0" w:color="auto"/>
              <w:right w:val="single" w:sz="4" w:space="0" w:color="auto"/>
            </w:tcBorders>
            <w:shd w:val="clear" w:color="000000" w:fill="D6DCE4"/>
            <w:noWrap/>
            <w:vAlign w:val="bottom"/>
            <w:hideMark/>
          </w:tcPr>
          <w:p w14:paraId="281BCB79" w14:textId="1DE382D3" w:rsidR="00B2676A" w:rsidRPr="00EC5F7C" w:rsidRDefault="00B2676A" w:rsidP="0091318C">
            <w:pPr>
              <w:pStyle w:val="Tabletext"/>
              <w:jc w:val="center"/>
              <w:rPr>
                <w:lang w:val="es-ES" w:eastAsia="es-ES"/>
              </w:rPr>
            </w:pPr>
            <w:r w:rsidRPr="00EC5F7C">
              <w:rPr>
                <w:lang w:val="es-ES" w:eastAsia="es-ES"/>
              </w:rPr>
              <w:t>35</w:t>
            </w:r>
            <w:r w:rsidR="0091318C">
              <w:rPr>
                <w:lang w:val="es-ES" w:eastAsia="es-ES"/>
              </w:rPr>
              <w:t> </w:t>
            </w:r>
            <w:r w:rsidRPr="00EC5F7C">
              <w:rPr>
                <w:lang w:val="es-ES" w:eastAsia="es-ES"/>
              </w:rPr>
              <w:t>057</w:t>
            </w:r>
          </w:p>
        </w:tc>
        <w:tc>
          <w:tcPr>
            <w:tcW w:w="660" w:type="pct"/>
            <w:tcBorders>
              <w:top w:val="nil"/>
              <w:left w:val="nil"/>
              <w:bottom w:val="single" w:sz="4" w:space="0" w:color="auto"/>
              <w:right w:val="nil"/>
            </w:tcBorders>
            <w:shd w:val="clear" w:color="000000" w:fill="D9E1F2"/>
            <w:noWrap/>
            <w:vAlign w:val="bottom"/>
            <w:hideMark/>
          </w:tcPr>
          <w:p w14:paraId="4D59A032" w14:textId="02219BBE" w:rsidR="00B2676A" w:rsidRPr="00EC5F7C" w:rsidRDefault="00B2676A" w:rsidP="0091318C">
            <w:pPr>
              <w:pStyle w:val="Tabletext"/>
              <w:jc w:val="center"/>
              <w:rPr>
                <w:lang w:val="es-ES" w:eastAsia="es-ES"/>
              </w:rPr>
            </w:pPr>
          </w:p>
        </w:tc>
        <w:tc>
          <w:tcPr>
            <w:tcW w:w="623" w:type="pct"/>
            <w:gridSpan w:val="2"/>
            <w:tcBorders>
              <w:top w:val="nil"/>
              <w:left w:val="single" w:sz="4" w:space="0" w:color="auto"/>
              <w:bottom w:val="single" w:sz="4" w:space="0" w:color="auto"/>
              <w:right w:val="single" w:sz="4" w:space="0" w:color="auto"/>
            </w:tcBorders>
            <w:shd w:val="clear" w:color="000000" w:fill="DDEBF7"/>
            <w:noWrap/>
            <w:vAlign w:val="bottom"/>
            <w:hideMark/>
          </w:tcPr>
          <w:p w14:paraId="02638F33" w14:textId="5CDF962E" w:rsidR="00B2676A" w:rsidRPr="00EC5F7C" w:rsidRDefault="00B2676A" w:rsidP="0091318C">
            <w:pPr>
              <w:pStyle w:val="Tabletext"/>
              <w:jc w:val="center"/>
              <w:rPr>
                <w:lang w:val="es-ES" w:eastAsia="es-ES"/>
              </w:rPr>
            </w:pPr>
            <w:r w:rsidRPr="00EC5F7C">
              <w:rPr>
                <w:lang w:val="es-ES" w:eastAsia="es-ES"/>
              </w:rPr>
              <w:t>35</w:t>
            </w:r>
            <w:r w:rsidR="007F4E62">
              <w:rPr>
                <w:lang w:val="es-ES" w:eastAsia="es-ES"/>
              </w:rPr>
              <w:t> </w:t>
            </w:r>
            <w:r w:rsidRPr="00EC5F7C">
              <w:rPr>
                <w:lang w:val="es-ES" w:eastAsia="es-ES"/>
              </w:rPr>
              <w:t>057</w:t>
            </w:r>
          </w:p>
        </w:tc>
      </w:tr>
      <w:tr w:rsidR="00B2676A" w:rsidRPr="00415F30" w14:paraId="193F1681" w14:textId="77777777" w:rsidTr="00BE41AA">
        <w:trPr>
          <w:trHeight w:val="310"/>
        </w:trPr>
        <w:tc>
          <w:tcPr>
            <w:tcW w:w="2776" w:type="pct"/>
            <w:gridSpan w:val="2"/>
            <w:tcBorders>
              <w:top w:val="nil"/>
              <w:left w:val="single" w:sz="4" w:space="0" w:color="auto"/>
              <w:bottom w:val="single" w:sz="4" w:space="0" w:color="auto"/>
              <w:right w:val="single" w:sz="4" w:space="0" w:color="auto"/>
            </w:tcBorders>
            <w:shd w:val="clear" w:color="000000" w:fill="E2EFDA"/>
            <w:vAlign w:val="bottom"/>
            <w:hideMark/>
          </w:tcPr>
          <w:p w14:paraId="0567F7C3" w14:textId="77777777" w:rsidR="00B2676A" w:rsidRPr="00EC5F7C" w:rsidRDefault="00B2676A" w:rsidP="0076578C">
            <w:pPr>
              <w:pStyle w:val="Tabletext"/>
              <w:rPr>
                <w:lang w:val="es-ES" w:eastAsia="es-ES"/>
              </w:rPr>
            </w:pPr>
            <w:r w:rsidRPr="00EC5F7C">
              <w:rPr>
                <w:lang w:val="es-ES" w:eastAsia="es-ES"/>
              </w:rPr>
              <w:t>Recordatorios de puesta en servicio y reanudación del servicio</w:t>
            </w:r>
          </w:p>
        </w:tc>
        <w:tc>
          <w:tcPr>
            <w:tcW w:w="88" w:type="pct"/>
            <w:gridSpan w:val="2"/>
            <w:tcBorders>
              <w:top w:val="nil"/>
              <w:left w:val="nil"/>
              <w:bottom w:val="nil"/>
              <w:right w:val="nil"/>
            </w:tcBorders>
            <w:shd w:val="clear" w:color="auto" w:fill="auto"/>
            <w:noWrap/>
            <w:vAlign w:val="bottom"/>
            <w:hideMark/>
          </w:tcPr>
          <w:p w14:paraId="00989E54" w14:textId="77777777" w:rsidR="00B2676A" w:rsidRPr="00415F30" w:rsidRDefault="00B2676A" w:rsidP="0076578C">
            <w:pPr>
              <w:tabs>
                <w:tab w:val="clear" w:pos="1134"/>
                <w:tab w:val="clear" w:pos="2268"/>
              </w:tabs>
              <w:overflowPunct/>
              <w:autoSpaceDE/>
              <w:autoSpaceDN/>
              <w:adjustRightInd/>
              <w:spacing w:before="0"/>
              <w:textAlignment w:val="auto"/>
              <w:rPr>
                <w:rFonts w:cs="Calibri"/>
                <w:color w:val="000000"/>
                <w:szCs w:val="24"/>
                <w:lang w:val="es-ES" w:eastAsia="es-ES"/>
              </w:rPr>
            </w:pPr>
          </w:p>
        </w:tc>
        <w:tc>
          <w:tcPr>
            <w:tcW w:w="853" w:type="pct"/>
            <w:tcBorders>
              <w:top w:val="nil"/>
              <w:left w:val="single" w:sz="4" w:space="0" w:color="auto"/>
              <w:bottom w:val="single" w:sz="4" w:space="0" w:color="auto"/>
              <w:right w:val="single" w:sz="4" w:space="0" w:color="auto"/>
            </w:tcBorders>
            <w:shd w:val="clear" w:color="000000" w:fill="D6DCE4"/>
            <w:noWrap/>
            <w:vAlign w:val="bottom"/>
            <w:hideMark/>
          </w:tcPr>
          <w:p w14:paraId="79FEAF9D" w14:textId="7A9C6389" w:rsidR="00B2676A" w:rsidRPr="00EC5F7C" w:rsidRDefault="00B2676A" w:rsidP="0091318C">
            <w:pPr>
              <w:pStyle w:val="Tabletext"/>
              <w:jc w:val="center"/>
              <w:rPr>
                <w:lang w:val="es-ES" w:eastAsia="es-ES"/>
              </w:rPr>
            </w:pPr>
            <w:r w:rsidRPr="00EC5F7C">
              <w:rPr>
                <w:lang w:val="es-ES" w:eastAsia="es-ES"/>
              </w:rPr>
              <w:t>43</w:t>
            </w:r>
            <w:r w:rsidR="0091318C">
              <w:rPr>
                <w:lang w:val="es-ES" w:eastAsia="es-ES"/>
              </w:rPr>
              <w:t> </w:t>
            </w:r>
            <w:r w:rsidRPr="00EC5F7C">
              <w:rPr>
                <w:lang w:val="es-ES" w:eastAsia="es-ES"/>
              </w:rPr>
              <w:t>821</w:t>
            </w:r>
          </w:p>
        </w:tc>
        <w:tc>
          <w:tcPr>
            <w:tcW w:w="660" w:type="pct"/>
            <w:tcBorders>
              <w:top w:val="nil"/>
              <w:left w:val="nil"/>
              <w:bottom w:val="single" w:sz="4" w:space="0" w:color="auto"/>
              <w:right w:val="nil"/>
            </w:tcBorders>
            <w:shd w:val="clear" w:color="000000" w:fill="D9E1F2"/>
            <w:noWrap/>
            <w:vAlign w:val="bottom"/>
            <w:hideMark/>
          </w:tcPr>
          <w:p w14:paraId="3AA41598" w14:textId="5E607B46" w:rsidR="00B2676A" w:rsidRPr="00EC5F7C" w:rsidRDefault="00B2676A" w:rsidP="0091318C">
            <w:pPr>
              <w:pStyle w:val="Tabletext"/>
              <w:jc w:val="center"/>
              <w:rPr>
                <w:lang w:val="es-ES" w:eastAsia="es-ES"/>
              </w:rPr>
            </w:pPr>
          </w:p>
        </w:tc>
        <w:tc>
          <w:tcPr>
            <w:tcW w:w="623" w:type="pct"/>
            <w:gridSpan w:val="2"/>
            <w:tcBorders>
              <w:top w:val="nil"/>
              <w:left w:val="single" w:sz="4" w:space="0" w:color="auto"/>
              <w:bottom w:val="single" w:sz="4" w:space="0" w:color="auto"/>
              <w:right w:val="single" w:sz="4" w:space="0" w:color="auto"/>
            </w:tcBorders>
            <w:shd w:val="clear" w:color="000000" w:fill="DDEBF7"/>
            <w:noWrap/>
            <w:vAlign w:val="bottom"/>
            <w:hideMark/>
          </w:tcPr>
          <w:p w14:paraId="43DD3B77" w14:textId="49732060" w:rsidR="00B2676A" w:rsidRPr="00EC5F7C" w:rsidRDefault="00B2676A" w:rsidP="0091318C">
            <w:pPr>
              <w:pStyle w:val="Tabletext"/>
              <w:jc w:val="center"/>
              <w:rPr>
                <w:lang w:val="es-ES" w:eastAsia="es-ES"/>
              </w:rPr>
            </w:pPr>
            <w:r w:rsidRPr="00EC5F7C">
              <w:rPr>
                <w:lang w:val="es-ES" w:eastAsia="es-ES"/>
              </w:rPr>
              <w:t>43</w:t>
            </w:r>
            <w:r w:rsidR="007F4E62">
              <w:rPr>
                <w:lang w:val="es-ES" w:eastAsia="es-ES"/>
              </w:rPr>
              <w:t> </w:t>
            </w:r>
            <w:r w:rsidRPr="00EC5F7C">
              <w:rPr>
                <w:lang w:val="es-ES" w:eastAsia="es-ES"/>
              </w:rPr>
              <w:t>821</w:t>
            </w:r>
          </w:p>
        </w:tc>
      </w:tr>
      <w:tr w:rsidR="00B2676A" w:rsidRPr="00415F30" w14:paraId="539B8838" w14:textId="77777777" w:rsidTr="00BE41AA">
        <w:trPr>
          <w:trHeight w:val="310"/>
        </w:trPr>
        <w:tc>
          <w:tcPr>
            <w:tcW w:w="2776" w:type="pct"/>
            <w:gridSpan w:val="2"/>
            <w:tcBorders>
              <w:top w:val="nil"/>
              <w:left w:val="single" w:sz="4" w:space="0" w:color="auto"/>
              <w:bottom w:val="single" w:sz="4" w:space="0" w:color="auto"/>
              <w:right w:val="single" w:sz="4" w:space="0" w:color="auto"/>
            </w:tcBorders>
            <w:shd w:val="clear" w:color="000000" w:fill="E2EFDA"/>
            <w:vAlign w:val="bottom"/>
            <w:hideMark/>
          </w:tcPr>
          <w:p w14:paraId="244F1746" w14:textId="66D2B457" w:rsidR="00B2676A" w:rsidRPr="00EC5F7C" w:rsidRDefault="00B2676A" w:rsidP="0076578C">
            <w:pPr>
              <w:pStyle w:val="Tabletext"/>
              <w:rPr>
                <w:lang w:val="es-ES" w:eastAsia="es-ES"/>
              </w:rPr>
            </w:pPr>
            <w:r>
              <w:rPr>
                <w:bCs/>
                <w:lang w:val="es-ES"/>
              </w:rPr>
              <w:t>C</w:t>
            </w:r>
            <w:r w:rsidRPr="0000318E">
              <w:rPr>
                <w:bCs/>
                <w:lang w:val="es-ES"/>
              </w:rPr>
              <w:t xml:space="preserve">ambios en el </w:t>
            </w:r>
            <w:r w:rsidRPr="00EC5F7C">
              <w:rPr>
                <w:lang w:val="es-ES" w:eastAsia="es-ES"/>
              </w:rPr>
              <w:t>Adjunto a la Resolución 553</w:t>
            </w:r>
          </w:p>
        </w:tc>
        <w:tc>
          <w:tcPr>
            <w:tcW w:w="88" w:type="pct"/>
            <w:gridSpan w:val="2"/>
            <w:tcBorders>
              <w:top w:val="nil"/>
              <w:left w:val="nil"/>
              <w:bottom w:val="nil"/>
              <w:right w:val="nil"/>
            </w:tcBorders>
            <w:shd w:val="clear" w:color="auto" w:fill="auto"/>
            <w:noWrap/>
            <w:vAlign w:val="bottom"/>
            <w:hideMark/>
          </w:tcPr>
          <w:p w14:paraId="093CAC0E" w14:textId="77777777" w:rsidR="00B2676A" w:rsidRPr="00415F30" w:rsidRDefault="00B2676A" w:rsidP="0076578C">
            <w:pPr>
              <w:tabs>
                <w:tab w:val="clear" w:pos="1134"/>
                <w:tab w:val="clear" w:pos="2268"/>
              </w:tabs>
              <w:overflowPunct/>
              <w:autoSpaceDE/>
              <w:autoSpaceDN/>
              <w:adjustRightInd/>
              <w:spacing w:before="0"/>
              <w:textAlignment w:val="auto"/>
              <w:rPr>
                <w:rFonts w:cs="Calibri"/>
                <w:color w:val="000000"/>
                <w:szCs w:val="24"/>
                <w:lang w:val="es-ES" w:eastAsia="es-ES"/>
              </w:rPr>
            </w:pPr>
          </w:p>
        </w:tc>
        <w:tc>
          <w:tcPr>
            <w:tcW w:w="853" w:type="pct"/>
            <w:tcBorders>
              <w:top w:val="nil"/>
              <w:left w:val="single" w:sz="4" w:space="0" w:color="auto"/>
              <w:bottom w:val="single" w:sz="4" w:space="0" w:color="auto"/>
              <w:right w:val="single" w:sz="4" w:space="0" w:color="auto"/>
            </w:tcBorders>
            <w:shd w:val="clear" w:color="000000" w:fill="D6DCE4"/>
            <w:noWrap/>
            <w:vAlign w:val="bottom"/>
            <w:hideMark/>
          </w:tcPr>
          <w:p w14:paraId="77A13D78" w14:textId="08815A3E" w:rsidR="00B2676A" w:rsidRPr="00EC5F7C" w:rsidRDefault="00B2676A" w:rsidP="0091318C">
            <w:pPr>
              <w:pStyle w:val="Tabletext"/>
              <w:jc w:val="center"/>
              <w:rPr>
                <w:lang w:val="es-ES" w:eastAsia="es-ES"/>
              </w:rPr>
            </w:pPr>
            <w:r w:rsidRPr="00EC5F7C">
              <w:rPr>
                <w:lang w:val="es-ES" w:eastAsia="es-ES"/>
              </w:rPr>
              <w:t>26</w:t>
            </w:r>
            <w:r w:rsidR="0091318C">
              <w:rPr>
                <w:lang w:val="es-ES" w:eastAsia="es-ES"/>
              </w:rPr>
              <w:t> </w:t>
            </w:r>
            <w:r w:rsidRPr="00EC5F7C">
              <w:rPr>
                <w:lang w:val="es-ES" w:eastAsia="es-ES"/>
              </w:rPr>
              <w:t>293</w:t>
            </w:r>
          </w:p>
        </w:tc>
        <w:tc>
          <w:tcPr>
            <w:tcW w:w="660" w:type="pct"/>
            <w:tcBorders>
              <w:top w:val="nil"/>
              <w:left w:val="nil"/>
              <w:bottom w:val="single" w:sz="4" w:space="0" w:color="auto"/>
              <w:right w:val="nil"/>
            </w:tcBorders>
            <w:shd w:val="clear" w:color="000000" w:fill="D9E1F2"/>
            <w:noWrap/>
            <w:vAlign w:val="bottom"/>
            <w:hideMark/>
          </w:tcPr>
          <w:p w14:paraId="7FC0211F" w14:textId="36660F90" w:rsidR="00B2676A" w:rsidRPr="00EC5F7C" w:rsidRDefault="00B2676A" w:rsidP="0091318C">
            <w:pPr>
              <w:pStyle w:val="Tabletext"/>
              <w:jc w:val="center"/>
              <w:rPr>
                <w:lang w:val="es-ES" w:eastAsia="es-ES"/>
              </w:rPr>
            </w:pPr>
          </w:p>
        </w:tc>
        <w:tc>
          <w:tcPr>
            <w:tcW w:w="623" w:type="pct"/>
            <w:gridSpan w:val="2"/>
            <w:tcBorders>
              <w:top w:val="nil"/>
              <w:left w:val="single" w:sz="4" w:space="0" w:color="auto"/>
              <w:bottom w:val="single" w:sz="4" w:space="0" w:color="auto"/>
              <w:right w:val="single" w:sz="4" w:space="0" w:color="auto"/>
            </w:tcBorders>
            <w:shd w:val="clear" w:color="000000" w:fill="DDEBF7"/>
            <w:noWrap/>
            <w:vAlign w:val="bottom"/>
            <w:hideMark/>
          </w:tcPr>
          <w:p w14:paraId="08C39E46" w14:textId="06E28236" w:rsidR="00B2676A" w:rsidRPr="00EC5F7C" w:rsidRDefault="00B2676A" w:rsidP="0091318C">
            <w:pPr>
              <w:pStyle w:val="Tabletext"/>
              <w:jc w:val="center"/>
              <w:rPr>
                <w:lang w:val="es-ES" w:eastAsia="es-ES"/>
              </w:rPr>
            </w:pPr>
            <w:r w:rsidRPr="00EC5F7C">
              <w:rPr>
                <w:lang w:val="es-ES" w:eastAsia="es-ES"/>
              </w:rPr>
              <w:t>26</w:t>
            </w:r>
            <w:r w:rsidR="007F4E62">
              <w:rPr>
                <w:lang w:val="es-ES" w:eastAsia="es-ES"/>
              </w:rPr>
              <w:t> </w:t>
            </w:r>
            <w:r w:rsidRPr="00EC5F7C">
              <w:rPr>
                <w:lang w:val="es-ES" w:eastAsia="es-ES"/>
              </w:rPr>
              <w:t>293</w:t>
            </w:r>
          </w:p>
        </w:tc>
      </w:tr>
      <w:tr w:rsidR="00B2676A" w:rsidRPr="00415F30" w14:paraId="4B4626C7" w14:textId="77777777" w:rsidTr="00BE41AA">
        <w:trPr>
          <w:trHeight w:val="310"/>
        </w:trPr>
        <w:tc>
          <w:tcPr>
            <w:tcW w:w="2776" w:type="pct"/>
            <w:gridSpan w:val="2"/>
            <w:tcBorders>
              <w:top w:val="nil"/>
              <w:left w:val="single" w:sz="4" w:space="0" w:color="auto"/>
              <w:bottom w:val="single" w:sz="4" w:space="0" w:color="auto"/>
              <w:right w:val="single" w:sz="4" w:space="0" w:color="auto"/>
            </w:tcBorders>
            <w:shd w:val="clear" w:color="000000" w:fill="E2EFDA"/>
            <w:vAlign w:val="bottom"/>
            <w:hideMark/>
          </w:tcPr>
          <w:p w14:paraId="10C5AD4E" w14:textId="659133AF" w:rsidR="00B2676A" w:rsidRPr="00EC5F7C" w:rsidRDefault="00B2676A" w:rsidP="0076578C">
            <w:pPr>
              <w:pStyle w:val="Tabletext"/>
              <w:rPr>
                <w:lang w:val="es-ES" w:eastAsia="es-ES"/>
              </w:rPr>
            </w:pPr>
            <w:r>
              <w:rPr>
                <w:bCs/>
                <w:lang w:val="es-ES"/>
              </w:rPr>
              <w:t>C</w:t>
            </w:r>
            <w:r w:rsidRPr="0000318E">
              <w:rPr>
                <w:bCs/>
                <w:lang w:val="es-ES"/>
              </w:rPr>
              <w:t xml:space="preserve">ambios en el </w:t>
            </w:r>
            <w:r w:rsidRPr="00EC5F7C">
              <w:rPr>
                <w:lang w:val="es-ES" w:eastAsia="es-ES"/>
              </w:rPr>
              <w:t>Artículo 21 del RR</w:t>
            </w:r>
          </w:p>
        </w:tc>
        <w:tc>
          <w:tcPr>
            <w:tcW w:w="88" w:type="pct"/>
            <w:gridSpan w:val="2"/>
            <w:tcBorders>
              <w:top w:val="nil"/>
              <w:left w:val="nil"/>
              <w:bottom w:val="nil"/>
              <w:right w:val="nil"/>
            </w:tcBorders>
            <w:shd w:val="clear" w:color="auto" w:fill="auto"/>
            <w:noWrap/>
            <w:vAlign w:val="bottom"/>
            <w:hideMark/>
          </w:tcPr>
          <w:p w14:paraId="0A963E77" w14:textId="77777777" w:rsidR="00B2676A" w:rsidRPr="00415F30" w:rsidRDefault="00B2676A" w:rsidP="0076578C">
            <w:pPr>
              <w:tabs>
                <w:tab w:val="clear" w:pos="1134"/>
                <w:tab w:val="clear" w:pos="2268"/>
              </w:tabs>
              <w:overflowPunct/>
              <w:autoSpaceDE/>
              <w:autoSpaceDN/>
              <w:adjustRightInd/>
              <w:spacing w:before="0"/>
              <w:textAlignment w:val="auto"/>
              <w:rPr>
                <w:rFonts w:cs="Calibri"/>
                <w:color w:val="000000"/>
                <w:szCs w:val="24"/>
                <w:lang w:val="es-ES" w:eastAsia="es-ES"/>
              </w:rPr>
            </w:pPr>
          </w:p>
        </w:tc>
        <w:tc>
          <w:tcPr>
            <w:tcW w:w="853" w:type="pct"/>
            <w:tcBorders>
              <w:top w:val="nil"/>
              <w:left w:val="single" w:sz="4" w:space="0" w:color="auto"/>
              <w:bottom w:val="single" w:sz="4" w:space="0" w:color="auto"/>
              <w:right w:val="single" w:sz="4" w:space="0" w:color="auto"/>
            </w:tcBorders>
            <w:shd w:val="clear" w:color="000000" w:fill="D6DCE4"/>
            <w:noWrap/>
            <w:vAlign w:val="bottom"/>
            <w:hideMark/>
          </w:tcPr>
          <w:p w14:paraId="40E70664" w14:textId="77440F52" w:rsidR="00B2676A" w:rsidRPr="00EC5F7C" w:rsidRDefault="00B2676A" w:rsidP="0091318C">
            <w:pPr>
              <w:pStyle w:val="Tabletext"/>
              <w:jc w:val="center"/>
              <w:rPr>
                <w:lang w:val="es-ES" w:eastAsia="es-ES"/>
              </w:rPr>
            </w:pPr>
            <w:r w:rsidRPr="0091318C">
              <w:t>26</w:t>
            </w:r>
            <w:r w:rsidR="0091318C">
              <w:t> </w:t>
            </w:r>
            <w:r w:rsidRPr="0091318C">
              <w:t>293</w:t>
            </w:r>
          </w:p>
        </w:tc>
        <w:tc>
          <w:tcPr>
            <w:tcW w:w="660" w:type="pct"/>
            <w:tcBorders>
              <w:top w:val="nil"/>
              <w:left w:val="nil"/>
              <w:bottom w:val="single" w:sz="4" w:space="0" w:color="auto"/>
              <w:right w:val="nil"/>
            </w:tcBorders>
            <w:shd w:val="clear" w:color="000000" w:fill="D9E1F2"/>
            <w:noWrap/>
            <w:vAlign w:val="bottom"/>
            <w:hideMark/>
          </w:tcPr>
          <w:p w14:paraId="79ECF5C7" w14:textId="046FDDB5" w:rsidR="00B2676A" w:rsidRPr="00EC5F7C" w:rsidRDefault="00B2676A" w:rsidP="0091318C">
            <w:pPr>
              <w:pStyle w:val="Tabletext"/>
              <w:jc w:val="center"/>
              <w:rPr>
                <w:lang w:val="es-ES" w:eastAsia="es-ES"/>
              </w:rPr>
            </w:pPr>
          </w:p>
        </w:tc>
        <w:tc>
          <w:tcPr>
            <w:tcW w:w="623" w:type="pct"/>
            <w:gridSpan w:val="2"/>
            <w:tcBorders>
              <w:top w:val="nil"/>
              <w:left w:val="single" w:sz="4" w:space="0" w:color="auto"/>
              <w:bottom w:val="single" w:sz="4" w:space="0" w:color="auto"/>
              <w:right w:val="single" w:sz="4" w:space="0" w:color="auto"/>
            </w:tcBorders>
            <w:shd w:val="clear" w:color="000000" w:fill="DDEBF7"/>
            <w:noWrap/>
            <w:vAlign w:val="bottom"/>
            <w:hideMark/>
          </w:tcPr>
          <w:p w14:paraId="129DD020" w14:textId="27643D76" w:rsidR="00B2676A" w:rsidRPr="00EC5F7C" w:rsidRDefault="00B2676A" w:rsidP="0091318C">
            <w:pPr>
              <w:pStyle w:val="Tabletext"/>
              <w:jc w:val="center"/>
              <w:rPr>
                <w:lang w:val="es-ES" w:eastAsia="es-ES"/>
              </w:rPr>
            </w:pPr>
            <w:r w:rsidRPr="00EC5F7C">
              <w:rPr>
                <w:lang w:val="es-ES" w:eastAsia="es-ES"/>
              </w:rPr>
              <w:t>26</w:t>
            </w:r>
            <w:r w:rsidR="007F4E62">
              <w:rPr>
                <w:lang w:val="es-ES" w:eastAsia="es-ES"/>
              </w:rPr>
              <w:t> </w:t>
            </w:r>
            <w:r w:rsidRPr="00EC5F7C">
              <w:rPr>
                <w:lang w:val="es-ES" w:eastAsia="es-ES"/>
              </w:rPr>
              <w:t>293</w:t>
            </w:r>
          </w:p>
        </w:tc>
      </w:tr>
      <w:tr w:rsidR="00B2676A" w:rsidRPr="00415F30" w14:paraId="700ED297" w14:textId="77777777" w:rsidTr="00BE41AA">
        <w:trPr>
          <w:trHeight w:val="310"/>
        </w:trPr>
        <w:tc>
          <w:tcPr>
            <w:tcW w:w="2776" w:type="pct"/>
            <w:gridSpan w:val="2"/>
            <w:tcBorders>
              <w:top w:val="nil"/>
              <w:left w:val="single" w:sz="4" w:space="0" w:color="auto"/>
              <w:bottom w:val="single" w:sz="4" w:space="0" w:color="auto"/>
              <w:right w:val="single" w:sz="4" w:space="0" w:color="auto"/>
            </w:tcBorders>
            <w:shd w:val="clear" w:color="000000" w:fill="E2EFDA"/>
            <w:vAlign w:val="bottom"/>
            <w:hideMark/>
          </w:tcPr>
          <w:p w14:paraId="5D4A8140" w14:textId="77777777" w:rsidR="00B2676A" w:rsidRPr="00EC5F7C" w:rsidRDefault="00B2676A" w:rsidP="0076578C">
            <w:pPr>
              <w:pStyle w:val="Tabletext"/>
              <w:rPr>
                <w:lang w:val="es-ES" w:eastAsia="es-ES"/>
              </w:rPr>
            </w:pPr>
            <w:r w:rsidRPr="00EC5F7C">
              <w:rPr>
                <w:lang w:val="es-ES" w:eastAsia="es-ES"/>
              </w:rPr>
              <w:t>Protección del SETS (pasivo) en la banda 36-37 GHz</w:t>
            </w:r>
          </w:p>
        </w:tc>
        <w:tc>
          <w:tcPr>
            <w:tcW w:w="88" w:type="pct"/>
            <w:gridSpan w:val="2"/>
            <w:tcBorders>
              <w:top w:val="nil"/>
              <w:left w:val="nil"/>
              <w:bottom w:val="nil"/>
              <w:right w:val="nil"/>
            </w:tcBorders>
            <w:shd w:val="clear" w:color="auto" w:fill="auto"/>
            <w:noWrap/>
            <w:vAlign w:val="bottom"/>
            <w:hideMark/>
          </w:tcPr>
          <w:p w14:paraId="0E4D4FBE" w14:textId="77777777" w:rsidR="00B2676A" w:rsidRPr="00415F30" w:rsidRDefault="00B2676A" w:rsidP="0076578C">
            <w:pPr>
              <w:tabs>
                <w:tab w:val="clear" w:pos="1134"/>
                <w:tab w:val="clear" w:pos="2268"/>
              </w:tabs>
              <w:overflowPunct/>
              <w:autoSpaceDE/>
              <w:autoSpaceDN/>
              <w:adjustRightInd/>
              <w:spacing w:before="0"/>
              <w:textAlignment w:val="auto"/>
              <w:rPr>
                <w:rFonts w:cs="Calibri"/>
                <w:color w:val="000000"/>
                <w:szCs w:val="24"/>
                <w:lang w:val="es-ES" w:eastAsia="es-ES"/>
              </w:rPr>
            </w:pPr>
          </w:p>
        </w:tc>
        <w:tc>
          <w:tcPr>
            <w:tcW w:w="853" w:type="pct"/>
            <w:tcBorders>
              <w:top w:val="nil"/>
              <w:left w:val="single" w:sz="4" w:space="0" w:color="auto"/>
              <w:bottom w:val="single" w:sz="4" w:space="0" w:color="auto"/>
              <w:right w:val="single" w:sz="4" w:space="0" w:color="auto"/>
            </w:tcBorders>
            <w:shd w:val="clear" w:color="000000" w:fill="D6DCE4"/>
            <w:noWrap/>
            <w:vAlign w:val="bottom"/>
            <w:hideMark/>
          </w:tcPr>
          <w:p w14:paraId="46F8D72F" w14:textId="4684E792" w:rsidR="00B2676A" w:rsidRPr="00EC5F7C" w:rsidRDefault="00B2676A" w:rsidP="0091318C">
            <w:pPr>
              <w:pStyle w:val="Tabletext"/>
              <w:jc w:val="center"/>
              <w:rPr>
                <w:lang w:val="es-ES" w:eastAsia="es-ES"/>
              </w:rPr>
            </w:pPr>
            <w:r w:rsidRPr="00EC5F7C">
              <w:rPr>
                <w:lang w:val="es-ES" w:eastAsia="es-ES"/>
              </w:rPr>
              <w:t>87</w:t>
            </w:r>
            <w:r w:rsidR="0091318C">
              <w:rPr>
                <w:lang w:val="es-ES" w:eastAsia="es-ES"/>
              </w:rPr>
              <w:t> </w:t>
            </w:r>
            <w:r w:rsidRPr="00EC5F7C">
              <w:rPr>
                <w:lang w:val="es-ES" w:eastAsia="es-ES"/>
              </w:rPr>
              <w:t>642</w:t>
            </w:r>
          </w:p>
        </w:tc>
        <w:tc>
          <w:tcPr>
            <w:tcW w:w="660" w:type="pct"/>
            <w:tcBorders>
              <w:top w:val="nil"/>
              <w:left w:val="nil"/>
              <w:bottom w:val="single" w:sz="4" w:space="0" w:color="auto"/>
              <w:right w:val="nil"/>
            </w:tcBorders>
            <w:shd w:val="clear" w:color="000000" w:fill="D9E1F2"/>
            <w:noWrap/>
            <w:vAlign w:val="bottom"/>
            <w:hideMark/>
          </w:tcPr>
          <w:p w14:paraId="5363F187" w14:textId="52992CCA" w:rsidR="00B2676A" w:rsidRPr="00EC5F7C" w:rsidRDefault="00B2676A" w:rsidP="0091318C">
            <w:pPr>
              <w:pStyle w:val="Tabletext"/>
              <w:jc w:val="center"/>
              <w:rPr>
                <w:lang w:val="es-ES" w:eastAsia="es-ES"/>
              </w:rPr>
            </w:pPr>
          </w:p>
        </w:tc>
        <w:tc>
          <w:tcPr>
            <w:tcW w:w="623" w:type="pct"/>
            <w:gridSpan w:val="2"/>
            <w:tcBorders>
              <w:top w:val="nil"/>
              <w:left w:val="single" w:sz="4" w:space="0" w:color="auto"/>
              <w:bottom w:val="single" w:sz="4" w:space="0" w:color="auto"/>
              <w:right w:val="single" w:sz="4" w:space="0" w:color="auto"/>
            </w:tcBorders>
            <w:shd w:val="clear" w:color="000000" w:fill="DDEBF7"/>
            <w:noWrap/>
            <w:vAlign w:val="bottom"/>
            <w:hideMark/>
          </w:tcPr>
          <w:p w14:paraId="3C359E83" w14:textId="6D7D11D2" w:rsidR="00B2676A" w:rsidRPr="00EC5F7C" w:rsidRDefault="00B2676A" w:rsidP="0091318C">
            <w:pPr>
              <w:pStyle w:val="Tabletext"/>
              <w:jc w:val="center"/>
              <w:rPr>
                <w:lang w:val="es-ES" w:eastAsia="es-ES"/>
              </w:rPr>
            </w:pPr>
            <w:r w:rsidRPr="00EC5F7C">
              <w:rPr>
                <w:lang w:val="es-ES" w:eastAsia="es-ES"/>
              </w:rPr>
              <w:t>87</w:t>
            </w:r>
            <w:r w:rsidR="007F4E62">
              <w:rPr>
                <w:lang w:val="es-ES" w:eastAsia="es-ES"/>
              </w:rPr>
              <w:t> </w:t>
            </w:r>
            <w:r w:rsidRPr="00EC5F7C">
              <w:rPr>
                <w:lang w:val="es-ES" w:eastAsia="es-ES"/>
              </w:rPr>
              <w:t>642</w:t>
            </w:r>
          </w:p>
        </w:tc>
      </w:tr>
      <w:tr w:rsidR="00B2676A" w:rsidRPr="00415F30" w14:paraId="4889CD68" w14:textId="77777777" w:rsidTr="00BE41AA">
        <w:trPr>
          <w:trHeight w:val="340"/>
        </w:trPr>
        <w:tc>
          <w:tcPr>
            <w:tcW w:w="2776" w:type="pct"/>
            <w:gridSpan w:val="2"/>
            <w:tcBorders>
              <w:top w:val="nil"/>
              <w:left w:val="single" w:sz="4" w:space="0" w:color="auto"/>
              <w:bottom w:val="single" w:sz="4" w:space="0" w:color="auto"/>
              <w:right w:val="single" w:sz="4" w:space="0" w:color="auto"/>
            </w:tcBorders>
            <w:shd w:val="clear" w:color="000000" w:fill="E2EFDA"/>
            <w:vAlign w:val="bottom"/>
            <w:hideMark/>
          </w:tcPr>
          <w:p w14:paraId="03B1E43E" w14:textId="7E9B4CDF" w:rsidR="00B2676A" w:rsidRPr="00EC5F7C" w:rsidRDefault="0091318C" w:rsidP="0076578C">
            <w:pPr>
              <w:pStyle w:val="Tabletext"/>
              <w:rPr>
                <w:lang w:val="es-ES" w:eastAsia="es-ES"/>
              </w:rPr>
            </w:pPr>
            <w:r>
              <w:rPr>
                <w:bCs/>
                <w:lang w:val="es-ES"/>
              </w:rPr>
              <w:t>C</w:t>
            </w:r>
            <w:r w:rsidRPr="0000318E">
              <w:rPr>
                <w:bCs/>
                <w:lang w:val="es-ES"/>
              </w:rPr>
              <w:t xml:space="preserve">ambios en el </w:t>
            </w:r>
            <w:r w:rsidR="00B2676A" w:rsidRPr="00EC5F7C">
              <w:rPr>
                <w:lang w:val="es-ES" w:eastAsia="es-ES"/>
              </w:rPr>
              <w:t>Artículo 6 y Artículo 8 del AP30B, actas plenarias</w:t>
            </w:r>
          </w:p>
        </w:tc>
        <w:tc>
          <w:tcPr>
            <w:tcW w:w="88" w:type="pct"/>
            <w:gridSpan w:val="2"/>
            <w:tcBorders>
              <w:top w:val="nil"/>
              <w:left w:val="nil"/>
              <w:bottom w:val="nil"/>
              <w:right w:val="nil"/>
            </w:tcBorders>
            <w:shd w:val="clear" w:color="auto" w:fill="auto"/>
            <w:noWrap/>
            <w:vAlign w:val="bottom"/>
            <w:hideMark/>
          </w:tcPr>
          <w:p w14:paraId="5A8DDBE3" w14:textId="77777777" w:rsidR="00B2676A" w:rsidRPr="00415F30" w:rsidRDefault="00B2676A" w:rsidP="0076578C">
            <w:pPr>
              <w:tabs>
                <w:tab w:val="clear" w:pos="1134"/>
                <w:tab w:val="clear" w:pos="2268"/>
              </w:tabs>
              <w:overflowPunct/>
              <w:autoSpaceDE/>
              <w:autoSpaceDN/>
              <w:adjustRightInd/>
              <w:spacing w:before="0"/>
              <w:textAlignment w:val="auto"/>
              <w:rPr>
                <w:rFonts w:cs="Calibri"/>
                <w:color w:val="000000"/>
                <w:szCs w:val="24"/>
                <w:lang w:val="es-ES" w:eastAsia="es-ES"/>
              </w:rPr>
            </w:pPr>
          </w:p>
        </w:tc>
        <w:tc>
          <w:tcPr>
            <w:tcW w:w="853" w:type="pct"/>
            <w:tcBorders>
              <w:top w:val="nil"/>
              <w:left w:val="single" w:sz="4" w:space="0" w:color="auto"/>
              <w:bottom w:val="single" w:sz="4" w:space="0" w:color="auto"/>
              <w:right w:val="single" w:sz="4" w:space="0" w:color="auto"/>
            </w:tcBorders>
            <w:shd w:val="clear" w:color="000000" w:fill="D6DCE4"/>
            <w:noWrap/>
            <w:vAlign w:val="bottom"/>
            <w:hideMark/>
          </w:tcPr>
          <w:p w14:paraId="0F398A9B" w14:textId="3ADC4AE4" w:rsidR="00B2676A" w:rsidRPr="00EC5F7C" w:rsidRDefault="00B2676A" w:rsidP="0091318C">
            <w:pPr>
              <w:pStyle w:val="Tabletext"/>
              <w:jc w:val="center"/>
              <w:rPr>
                <w:lang w:val="es-ES" w:eastAsia="es-ES"/>
              </w:rPr>
            </w:pPr>
            <w:r w:rsidRPr="00EC5F7C">
              <w:rPr>
                <w:lang w:val="es-ES" w:eastAsia="es-ES"/>
              </w:rPr>
              <w:t>17</w:t>
            </w:r>
            <w:r w:rsidR="007F4E62">
              <w:rPr>
                <w:lang w:val="es-ES" w:eastAsia="es-ES"/>
              </w:rPr>
              <w:t> </w:t>
            </w:r>
            <w:r w:rsidRPr="00EC5F7C">
              <w:rPr>
                <w:lang w:val="es-ES" w:eastAsia="es-ES"/>
              </w:rPr>
              <w:t>528</w:t>
            </w:r>
          </w:p>
        </w:tc>
        <w:tc>
          <w:tcPr>
            <w:tcW w:w="660" w:type="pct"/>
            <w:tcBorders>
              <w:top w:val="nil"/>
              <w:left w:val="nil"/>
              <w:bottom w:val="single" w:sz="4" w:space="0" w:color="auto"/>
              <w:right w:val="nil"/>
            </w:tcBorders>
            <w:shd w:val="clear" w:color="000000" w:fill="D9E1F2"/>
            <w:noWrap/>
            <w:vAlign w:val="bottom"/>
            <w:hideMark/>
          </w:tcPr>
          <w:p w14:paraId="2D870871" w14:textId="59581886" w:rsidR="00B2676A" w:rsidRPr="00EC5F7C" w:rsidRDefault="00B2676A" w:rsidP="0091318C">
            <w:pPr>
              <w:pStyle w:val="Tabletext"/>
              <w:jc w:val="center"/>
              <w:rPr>
                <w:lang w:val="es-ES" w:eastAsia="es-ES"/>
              </w:rPr>
            </w:pPr>
          </w:p>
        </w:tc>
        <w:tc>
          <w:tcPr>
            <w:tcW w:w="623" w:type="pct"/>
            <w:gridSpan w:val="2"/>
            <w:tcBorders>
              <w:top w:val="nil"/>
              <w:left w:val="single" w:sz="4" w:space="0" w:color="auto"/>
              <w:bottom w:val="single" w:sz="4" w:space="0" w:color="auto"/>
              <w:right w:val="single" w:sz="4" w:space="0" w:color="auto"/>
            </w:tcBorders>
            <w:shd w:val="clear" w:color="000000" w:fill="DDEBF7"/>
            <w:noWrap/>
            <w:vAlign w:val="bottom"/>
            <w:hideMark/>
          </w:tcPr>
          <w:p w14:paraId="305BB05E" w14:textId="106C1DCC" w:rsidR="00B2676A" w:rsidRPr="00EC5F7C" w:rsidRDefault="00B2676A" w:rsidP="0091318C">
            <w:pPr>
              <w:pStyle w:val="Tabletext"/>
              <w:jc w:val="center"/>
              <w:rPr>
                <w:lang w:val="es-ES" w:eastAsia="es-ES"/>
              </w:rPr>
            </w:pPr>
            <w:r w:rsidRPr="00EC5F7C">
              <w:rPr>
                <w:lang w:val="es-ES" w:eastAsia="es-ES"/>
              </w:rPr>
              <w:t>17</w:t>
            </w:r>
            <w:r w:rsidR="007F4E62">
              <w:rPr>
                <w:lang w:val="es-ES" w:eastAsia="es-ES"/>
              </w:rPr>
              <w:t> </w:t>
            </w:r>
            <w:r w:rsidRPr="00EC5F7C">
              <w:rPr>
                <w:lang w:val="es-ES" w:eastAsia="es-ES"/>
              </w:rPr>
              <w:t>528</w:t>
            </w:r>
          </w:p>
        </w:tc>
      </w:tr>
      <w:tr w:rsidR="00B2676A" w:rsidRPr="00415F30" w14:paraId="059E51A7" w14:textId="77777777" w:rsidTr="00BE41AA">
        <w:trPr>
          <w:trHeight w:val="310"/>
        </w:trPr>
        <w:tc>
          <w:tcPr>
            <w:tcW w:w="2776" w:type="pct"/>
            <w:gridSpan w:val="2"/>
            <w:tcBorders>
              <w:top w:val="nil"/>
              <w:left w:val="single" w:sz="4" w:space="0" w:color="auto"/>
              <w:bottom w:val="single" w:sz="4" w:space="0" w:color="auto"/>
              <w:right w:val="single" w:sz="4" w:space="0" w:color="auto"/>
            </w:tcBorders>
            <w:shd w:val="clear" w:color="000000" w:fill="E2EFDA"/>
            <w:vAlign w:val="bottom"/>
            <w:hideMark/>
          </w:tcPr>
          <w:p w14:paraId="6999DEA7" w14:textId="22C49062" w:rsidR="00B2676A" w:rsidRPr="00EC5F7C" w:rsidRDefault="0091318C" w:rsidP="0076578C">
            <w:pPr>
              <w:pStyle w:val="Tabletext"/>
              <w:rPr>
                <w:lang w:val="es-ES" w:eastAsia="es-ES"/>
              </w:rPr>
            </w:pPr>
            <w:r>
              <w:rPr>
                <w:bCs/>
                <w:lang w:val="es-ES"/>
              </w:rPr>
              <w:t>C</w:t>
            </w:r>
            <w:r w:rsidRPr="0000318E">
              <w:rPr>
                <w:bCs/>
                <w:lang w:val="es-ES"/>
              </w:rPr>
              <w:t xml:space="preserve">ambios en el </w:t>
            </w:r>
            <w:r w:rsidR="00B2676A" w:rsidRPr="00EC5F7C">
              <w:rPr>
                <w:lang w:val="es-ES" w:eastAsia="es-ES"/>
              </w:rPr>
              <w:t>Artículo 7 y Artículo 10 del AP30B</w:t>
            </w:r>
          </w:p>
        </w:tc>
        <w:tc>
          <w:tcPr>
            <w:tcW w:w="88" w:type="pct"/>
            <w:gridSpan w:val="2"/>
            <w:tcBorders>
              <w:top w:val="nil"/>
              <w:left w:val="nil"/>
              <w:bottom w:val="nil"/>
              <w:right w:val="nil"/>
            </w:tcBorders>
            <w:shd w:val="clear" w:color="auto" w:fill="auto"/>
            <w:noWrap/>
            <w:vAlign w:val="bottom"/>
            <w:hideMark/>
          </w:tcPr>
          <w:p w14:paraId="4EFF9EA2" w14:textId="77777777" w:rsidR="00B2676A" w:rsidRPr="00415F30" w:rsidRDefault="00B2676A" w:rsidP="0076578C">
            <w:pPr>
              <w:tabs>
                <w:tab w:val="clear" w:pos="1134"/>
                <w:tab w:val="clear" w:pos="2268"/>
              </w:tabs>
              <w:overflowPunct/>
              <w:autoSpaceDE/>
              <w:autoSpaceDN/>
              <w:adjustRightInd/>
              <w:spacing w:before="0"/>
              <w:textAlignment w:val="auto"/>
              <w:rPr>
                <w:rFonts w:cs="Calibri"/>
                <w:color w:val="000000"/>
                <w:szCs w:val="24"/>
                <w:lang w:val="es-ES" w:eastAsia="es-ES"/>
              </w:rPr>
            </w:pPr>
          </w:p>
        </w:tc>
        <w:tc>
          <w:tcPr>
            <w:tcW w:w="853" w:type="pct"/>
            <w:tcBorders>
              <w:top w:val="nil"/>
              <w:left w:val="single" w:sz="4" w:space="0" w:color="auto"/>
              <w:bottom w:val="single" w:sz="4" w:space="0" w:color="auto"/>
              <w:right w:val="single" w:sz="4" w:space="0" w:color="auto"/>
            </w:tcBorders>
            <w:shd w:val="clear" w:color="000000" w:fill="D6DCE4"/>
            <w:noWrap/>
            <w:vAlign w:val="bottom"/>
            <w:hideMark/>
          </w:tcPr>
          <w:p w14:paraId="3F759141" w14:textId="02E43CE5" w:rsidR="00B2676A" w:rsidRPr="00EC5F7C" w:rsidRDefault="00B2676A" w:rsidP="0091318C">
            <w:pPr>
              <w:pStyle w:val="Tabletext"/>
              <w:jc w:val="center"/>
              <w:rPr>
                <w:lang w:val="es-ES" w:eastAsia="es-ES"/>
              </w:rPr>
            </w:pPr>
            <w:r w:rsidRPr="00EC5F7C">
              <w:rPr>
                <w:lang w:val="es-ES" w:eastAsia="es-ES"/>
              </w:rPr>
              <w:t>175</w:t>
            </w:r>
            <w:r w:rsidR="007F4E62">
              <w:rPr>
                <w:lang w:val="es-ES" w:eastAsia="es-ES"/>
              </w:rPr>
              <w:t> </w:t>
            </w:r>
            <w:r w:rsidRPr="00EC5F7C">
              <w:rPr>
                <w:lang w:val="es-ES" w:eastAsia="es-ES"/>
              </w:rPr>
              <w:t>284</w:t>
            </w:r>
          </w:p>
        </w:tc>
        <w:tc>
          <w:tcPr>
            <w:tcW w:w="660" w:type="pct"/>
            <w:tcBorders>
              <w:top w:val="nil"/>
              <w:left w:val="nil"/>
              <w:bottom w:val="single" w:sz="4" w:space="0" w:color="auto"/>
              <w:right w:val="nil"/>
            </w:tcBorders>
            <w:shd w:val="clear" w:color="000000" w:fill="D9E1F2"/>
            <w:noWrap/>
            <w:vAlign w:val="bottom"/>
            <w:hideMark/>
          </w:tcPr>
          <w:p w14:paraId="1C5253BD" w14:textId="6158F7FB" w:rsidR="00B2676A" w:rsidRPr="00EC5F7C" w:rsidRDefault="00B2676A" w:rsidP="0091318C">
            <w:pPr>
              <w:pStyle w:val="Tabletext"/>
              <w:jc w:val="center"/>
              <w:rPr>
                <w:lang w:val="es-ES" w:eastAsia="es-ES"/>
              </w:rPr>
            </w:pPr>
            <w:r w:rsidRPr="00EC5F7C">
              <w:rPr>
                <w:lang w:val="es-ES" w:eastAsia="es-ES"/>
              </w:rPr>
              <w:t>61</w:t>
            </w:r>
            <w:r w:rsidR="007F4E62">
              <w:rPr>
                <w:lang w:val="es-ES" w:eastAsia="es-ES"/>
              </w:rPr>
              <w:t> </w:t>
            </w:r>
            <w:r w:rsidRPr="00EC5F7C">
              <w:rPr>
                <w:lang w:val="es-ES" w:eastAsia="es-ES"/>
              </w:rPr>
              <w:t>349</w:t>
            </w:r>
          </w:p>
        </w:tc>
        <w:tc>
          <w:tcPr>
            <w:tcW w:w="623" w:type="pct"/>
            <w:gridSpan w:val="2"/>
            <w:tcBorders>
              <w:top w:val="nil"/>
              <w:left w:val="single" w:sz="4" w:space="0" w:color="auto"/>
              <w:bottom w:val="single" w:sz="4" w:space="0" w:color="auto"/>
              <w:right w:val="single" w:sz="4" w:space="0" w:color="auto"/>
            </w:tcBorders>
            <w:shd w:val="clear" w:color="000000" w:fill="DDEBF7"/>
            <w:noWrap/>
            <w:vAlign w:val="bottom"/>
            <w:hideMark/>
          </w:tcPr>
          <w:p w14:paraId="1D634D6F" w14:textId="42C37B5E" w:rsidR="00B2676A" w:rsidRPr="00EC5F7C" w:rsidRDefault="00B2676A" w:rsidP="0091318C">
            <w:pPr>
              <w:pStyle w:val="Tabletext"/>
              <w:jc w:val="center"/>
              <w:rPr>
                <w:lang w:val="es-ES" w:eastAsia="es-ES"/>
              </w:rPr>
            </w:pPr>
            <w:r w:rsidRPr="00EC5F7C">
              <w:rPr>
                <w:lang w:val="es-ES" w:eastAsia="es-ES"/>
              </w:rPr>
              <w:t>420</w:t>
            </w:r>
            <w:r w:rsidR="007F4E62">
              <w:rPr>
                <w:lang w:val="es-ES" w:eastAsia="es-ES"/>
              </w:rPr>
              <w:t> </w:t>
            </w:r>
            <w:r w:rsidRPr="00EC5F7C">
              <w:rPr>
                <w:lang w:val="es-ES" w:eastAsia="es-ES"/>
              </w:rPr>
              <w:t>682</w:t>
            </w:r>
          </w:p>
        </w:tc>
      </w:tr>
      <w:tr w:rsidR="00B2676A" w:rsidRPr="00415F30" w14:paraId="69E4D022" w14:textId="77777777" w:rsidTr="00BE41AA">
        <w:trPr>
          <w:trHeight w:val="310"/>
        </w:trPr>
        <w:tc>
          <w:tcPr>
            <w:tcW w:w="2776" w:type="pct"/>
            <w:gridSpan w:val="2"/>
            <w:tcBorders>
              <w:top w:val="nil"/>
              <w:left w:val="single" w:sz="4" w:space="0" w:color="auto"/>
              <w:bottom w:val="single" w:sz="4" w:space="0" w:color="auto"/>
              <w:right w:val="single" w:sz="4" w:space="0" w:color="auto"/>
            </w:tcBorders>
            <w:shd w:val="clear" w:color="000000" w:fill="E2EFDA"/>
            <w:vAlign w:val="bottom"/>
            <w:hideMark/>
          </w:tcPr>
          <w:p w14:paraId="25AF1B3B" w14:textId="62A9D1C9" w:rsidR="00B2676A" w:rsidRPr="00EC5F7C" w:rsidRDefault="0091318C" w:rsidP="0076578C">
            <w:pPr>
              <w:pStyle w:val="Tabletext"/>
              <w:rPr>
                <w:lang w:val="es-ES" w:eastAsia="es-ES"/>
              </w:rPr>
            </w:pPr>
            <w:r>
              <w:rPr>
                <w:bCs/>
                <w:lang w:val="es-ES"/>
              </w:rPr>
              <w:t>C</w:t>
            </w:r>
            <w:r w:rsidRPr="0000318E">
              <w:rPr>
                <w:bCs/>
                <w:lang w:val="es-ES"/>
              </w:rPr>
              <w:t xml:space="preserve">ambios en el </w:t>
            </w:r>
            <w:r w:rsidR="00B2676A" w:rsidRPr="00EC5F7C">
              <w:rPr>
                <w:lang w:val="es-ES" w:eastAsia="es-ES"/>
              </w:rPr>
              <w:t>Artículo 4 del AP30A y del Artículo 6 del AP30B</w:t>
            </w:r>
          </w:p>
        </w:tc>
        <w:tc>
          <w:tcPr>
            <w:tcW w:w="88" w:type="pct"/>
            <w:gridSpan w:val="2"/>
            <w:tcBorders>
              <w:top w:val="nil"/>
              <w:left w:val="nil"/>
              <w:bottom w:val="nil"/>
              <w:right w:val="nil"/>
            </w:tcBorders>
            <w:shd w:val="clear" w:color="auto" w:fill="auto"/>
            <w:noWrap/>
            <w:vAlign w:val="bottom"/>
            <w:hideMark/>
          </w:tcPr>
          <w:p w14:paraId="49B47CAD" w14:textId="77777777" w:rsidR="00B2676A" w:rsidRPr="00EC5F7C" w:rsidRDefault="00B2676A" w:rsidP="0076578C">
            <w:pPr>
              <w:pStyle w:val="Tabletext"/>
              <w:rPr>
                <w:lang w:val="es-ES" w:eastAsia="es-ES"/>
              </w:rPr>
            </w:pPr>
          </w:p>
        </w:tc>
        <w:tc>
          <w:tcPr>
            <w:tcW w:w="853" w:type="pct"/>
            <w:tcBorders>
              <w:top w:val="nil"/>
              <w:left w:val="single" w:sz="4" w:space="0" w:color="auto"/>
              <w:bottom w:val="single" w:sz="4" w:space="0" w:color="auto"/>
              <w:right w:val="single" w:sz="4" w:space="0" w:color="auto"/>
            </w:tcBorders>
            <w:shd w:val="clear" w:color="000000" w:fill="D6DCE4"/>
            <w:noWrap/>
            <w:vAlign w:val="bottom"/>
            <w:hideMark/>
          </w:tcPr>
          <w:p w14:paraId="2C1FD550" w14:textId="003AD753" w:rsidR="00B2676A" w:rsidRPr="00EC5F7C" w:rsidRDefault="00B2676A" w:rsidP="0091318C">
            <w:pPr>
              <w:pStyle w:val="Tabletext"/>
              <w:jc w:val="center"/>
              <w:rPr>
                <w:lang w:val="es-ES" w:eastAsia="es-ES"/>
              </w:rPr>
            </w:pPr>
            <w:r w:rsidRPr="00EC5F7C">
              <w:rPr>
                <w:lang w:val="es-ES" w:eastAsia="es-ES"/>
              </w:rPr>
              <w:t>175</w:t>
            </w:r>
            <w:r w:rsidR="007F4E62">
              <w:rPr>
                <w:lang w:val="es-ES" w:eastAsia="es-ES"/>
              </w:rPr>
              <w:t> </w:t>
            </w:r>
            <w:r w:rsidRPr="00EC5F7C">
              <w:rPr>
                <w:lang w:val="es-ES" w:eastAsia="es-ES"/>
              </w:rPr>
              <w:t>284</w:t>
            </w:r>
          </w:p>
        </w:tc>
        <w:tc>
          <w:tcPr>
            <w:tcW w:w="660" w:type="pct"/>
            <w:tcBorders>
              <w:top w:val="nil"/>
              <w:left w:val="nil"/>
              <w:bottom w:val="single" w:sz="4" w:space="0" w:color="auto"/>
              <w:right w:val="nil"/>
            </w:tcBorders>
            <w:shd w:val="clear" w:color="000000" w:fill="D9E1F2"/>
            <w:noWrap/>
            <w:vAlign w:val="bottom"/>
            <w:hideMark/>
          </w:tcPr>
          <w:p w14:paraId="5C471715" w14:textId="6269C905" w:rsidR="00B2676A" w:rsidRPr="00EC5F7C" w:rsidRDefault="00B2676A" w:rsidP="0091318C">
            <w:pPr>
              <w:pStyle w:val="Tabletext"/>
              <w:jc w:val="center"/>
              <w:rPr>
                <w:lang w:val="es-ES" w:eastAsia="es-ES"/>
              </w:rPr>
            </w:pPr>
            <w:r w:rsidRPr="00EC5F7C">
              <w:rPr>
                <w:lang w:val="es-ES" w:eastAsia="es-ES"/>
              </w:rPr>
              <w:t>61</w:t>
            </w:r>
            <w:r w:rsidR="007F4E62">
              <w:rPr>
                <w:lang w:val="es-ES" w:eastAsia="es-ES"/>
              </w:rPr>
              <w:t> </w:t>
            </w:r>
            <w:r w:rsidRPr="00EC5F7C">
              <w:rPr>
                <w:lang w:val="es-ES" w:eastAsia="es-ES"/>
              </w:rPr>
              <w:t>349</w:t>
            </w:r>
          </w:p>
        </w:tc>
        <w:tc>
          <w:tcPr>
            <w:tcW w:w="623" w:type="pct"/>
            <w:gridSpan w:val="2"/>
            <w:tcBorders>
              <w:top w:val="nil"/>
              <w:left w:val="single" w:sz="4" w:space="0" w:color="auto"/>
              <w:bottom w:val="single" w:sz="4" w:space="0" w:color="auto"/>
              <w:right w:val="single" w:sz="4" w:space="0" w:color="auto"/>
            </w:tcBorders>
            <w:shd w:val="clear" w:color="000000" w:fill="DDEBF7"/>
            <w:noWrap/>
            <w:vAlign w:val="bottom"/>
            <w:hideMark/>
          </w:tcPr>
          <w:p w14:paraId="2E4D633C" w14:textId="7461715B" w:rsidR="00B2676A" w:rsidRPr="00EC5F7C" w:rsidRDefault="00B2676A" w:rsidP="0091318C">
            <w:pPr>
              <w:pStyle w:val="Tabletext"/>
              <w:jc w:val="center"/>
              <w:rPr>
                <w:lang w:val="es-ES" w:eastAsia="es-ES"/>
              </w:rPr>
            </w:pPr>
            <w:r w:rsidRPr="00EC5F7C">
              <w:rPr>
                <w:lang w:val="es-ES" w:eastAsia="es-ES"/>
              </w:rPr>
              <w:t>420</w:t>
            </w:r>
            <w:r w:rsidR="007F4E62">
              <w:rPr>
                <w:lang w:val="es-ES" w:eastAsia="es-ES"/>
              </w:rPr>
              <w:t> </w:t>
            </w:r>
            <w:r w:rsidRPr="00EC5F7C">
              <w:rPr>
                <w:lang w:val="es-ES" w:eastAsia="es-ES"/>
              </w:rPr>
              <w:t>682</w:t>
            </w:r>
          </w:p>
        </w:tc>
      </w:tr>
      <w:tr w:rsidR="00B2676A" w:rsidRPr="00415F30" w14:paraId="475DA941" w14:textId="77777777" w:rsidTr="00BE41AA">
        <w:trPr>
          <w:trHeight w:val="310"/>
        </w:trPr>
        <w:tc>
          <w:tcPr>
            <w:tcW w:w="2776" w:type="pct"/>
            <w:gridSpan w:val="2"/>
            <w:tcBorders>
              <w:top w:val="nil"/>
              <w:left w:val="single" w:sz="4" w:space="0" w:color="auto"/>
              <w:bottom w:val="single" w:sz="4" w:space="0" w:color="auto"/>
              <w:right w:val="single" w:sz="4" w:space="0" w:color="auto"/>
            </w:tcBorders>
            <w:shd w:val="clear" w:color="000000" w:fill="E2EFDA"/>
            <w:vAlign w:val="bottom"/>
            <w:hideMark/>
          </w:tcPr>
          <w:p w14:paraId="0A11924E" w14:textId="21F3C6CF" w:rsidR="00B2676A" w:rsidRPr="00EC5F7C" w:rsidRDefault="0091318C" w:rsidP="0076578C">
            <w:pPr>
              <w:pStyle w:val="Tabletext"/>
              <w:rPr>
                <w:lang w:val="es-ES" w:eastAsia="es-ES"/>
              </w:rPr>
            </w:pPr>
            <w:r>
              <w:rPr>
                <w:bCs/>
                <w:lang w:val="es-ES"/>
              </w:rPr>
              <w:t>C</w:t>
            </w:r>
            <w:r w:rsidRPr="0000318E">
              <w:rPr>
                <w:bCs/>
                <w:lang w:val="es-ES"/>
              </w:rPr>
              <w:t xml:space="preserve">ambios en el </w:t>
            </w:r>
            <w:r w:rsidR="00B2676A" w:rsidRPr="0091318C">
              <w:rPr>
                <w:i/>
                <w:iCs/>
                <w:lang w:val="es-ES" w:eastAsia="es-ES"/>
              </w:rPr>
              <w:t>software</w:t>
            </w:r>
            <w:r w:rsidR="00B2676A" w:rsidRPr="00EC5F7C">
              <w:rPr>
                <w:lang w:val="es-ES" w:eastAsia="es-ES"/>
              </w:rPr>
              <w:t xml:space="preserve"> de validación de la dfpe de la Resolución 770</w:t>
            </w:r>
          </w:p>
        </w:tc>
        <w:tc>
          <w:tcPr>
            <w:tcW w:w="88" w:type="pct"/>
            <w:gridSpan w:val="2"/>
            <w:tcBorders>
              <w:top w:val="nil"/>
              <w:left w:val="nil"/>
              <w:bottom w:val="nil"/>
              <w:right w:val="nil"/>
            </w:tcBorders>
            <w:shd w:val="clear" w:color="auto" w:fill="auto"/>
            <w:noWrap/>
            <w:vAlign w:val="bottom"/>
            <w:hideMark/>
          </w:tcPr>
          <w:p w14:paraId="5F2667AA" w14:textId="77777777" w:rsidR="00B2676A" w:rsidRPr="00EC5F7C" w:rsidRDefault="00B2676A" w:rsidP="0076578C">
            <w:pPr>
              <w:pStyle w:val="Tabletext"/>
              <w:rPr>
                <w:lang w:val="es-ES" w:eastAsia="es-ES"/>
              </w:rPr>
            </w:pPr>
          </w:p>
        </w:tc>
        <w:tc>
          <w:tcPr>
            <w:tcW w:w="853" w:type="pct"/>
            <w:tcBorders>
              <w:top w:val="nil"/>
              <w:left w:val="single" w:sz="4" w:space="0" w:color="auto"/>
              <w:bottom w:val="single" w:sz="4" w:space="0" w:color="auto"/>
              <w:right w:val="single" w:sz="4" w:space="0" w:color="auto"/>
            </w:tcBorders>
            <w:shd w:val="clear" w:color="000000" w:fill="D6DCE4"/>
            <w:noWrap/>
            <w:vAlign w:val="bottom"/>
            <w:hideMark/>
          </w:tcPr>
          <w:p w14:paraId="5F63E0D6" w14:textId="35BF63AE" w:rsidR="00B2676A" w:rsidRPr="00EC5F7C" w:rsidRDefault="00B2676A" w:rsidP="0091318C">
            <w:pPr>
              <w:pStyle w:val="Tabletext"/>
              <w:jc w:val="center"/>
              <w:rPr>
                <w:lang w:val="es-ES" w:eastAsia="es-ES"/>
              </w:rPr>
            </w:pPr>
            <w:r w:rsidRPr="00EC5F7C">
              <w:rPr>
                <w:lang w:val="es-ES" w:eastAsia="es-ES"/>
              </w:rPr>
              <w:t>175</w:t>
            </w:r>
            <w:r w:rsidR="007F4E62">
              <w:rPr>
                <w:lang w:val="es-ES" w:eastAsia="es-ES"/>
              </w:rPr>
              <w:t> </w:t>
            </w:r>
            <w:r w:rsidRPr="00EC5F7C">
              <w:rPr>
                <w:lang w:val="es-ES" w:eastAsia="es-ES"/>
              </w:rPr>
              <w:t>284</w:t>
            </w:r>
          </w:p>
        </w:tc>
        <w:tc>
          <w:tcPr>
            <w:tcW w:w="660" w:type="pct"/>
            <w:tcBorders>
              <w:top w:val="nil"/>
              <w:left w:val="nil"/>
              <w:bottom w:val="single" w:sz="4" w:space="0" w:color="auto"/>
              <w:right w:val="nil"/>
            </w:tcBorders>
            <w:shd w:val="clear" w:color="000000" w:fill="D9E1F2"/>
            <w:noWrap/>
            <w:vAlign w:val="bottom"/>
            <w:hideMark/>
          </w:tcPr>
          <w:p w14:paraId="15B56A28" w14:textId="23B1B009" w:rsidR="00B2676A" w:rsidRPr="00EC5F7C" w:rsidRDefault="00B2676A" w:rsidP="0091318C">
            <w:pPr>
              <w:pStyle w:val="Tabletext"/>
              <w:jc w:val="center"/>
              <w:rPr>
                <w:lang w:val="es-ES" w:eastAsia="es-ES"/>
              </w:rPr>
            </w:pPr>
          </w:p>
        </w:tc>
        <w:tc>
          <w:tcPr>
            <w:tcW w:w="623" w:type="pct"/>
            <w:gridSpan w:val="2"/>
            <w:tcBorders>
              <w:top w:val="nil"/>
              <w:left w:val="single" w:sz="4" w:space="0" w:color="auto"/>
              <w:bottom w:val="single" w:sz="4" w:space="0" w:color="auto"/>
              <w:right w:val="single" w:sz="4" w:space="0" w:color="auto"/>
            </w:tcBorders>
            <w:shd w:val="clear" w:color="000000" w:fill="DDEBF7"/>
            <w:noWrap/>
            <w:vAlign w:val="bottom"/>
            <w:hideMark/>
          </w:tcPr>
          <w:p w14:paraId="6BB63009" w14:textId="086EC5E2" w:rsidR="00B2676A" w:rsidRPr="00EC5F7C" w:rsidRDefault="00B2676A" w:rsidP="0091318C">
            <w:pPr>
              <w:pStyle w:val="Tabletext"/>
              <w:jc w:val="center"/>
              <w:rPr>
                <w:lang w:val="es-ES" w:eastAsia="es-ES"/>
              </w:rPr>
            </w:pPr>
            <w:r w:rsidRPr="00EC5F7C">
              <w:rPr>
                <w:lang w:val="es-ES" w:eastAsia="es-ES"/>
              </w:rPr>
              <w:t>175</w:t>
            </w:r>
            <w:r w:rsidR="007F4E62">
              <w:rPr>
                <w:lang w:val="es-ES" w:eastAsia="es-ES"/>
              </w:rPr>
              <w:t> </w:t>
            </w:r>
            <w:r w:rsidRPr="00EC5F7C">
              <w:rPr>
                <w:lang w:val="es-ES" w:eastAsia="es-ES"/>
              </w:rPr>
              <w:t>284</w:t>
            </w:r>
          </w:p>
        </w:tc>
      </w:tr>
      <w:tr w:rsidR="00B2676A" w:rsidRPr="00415F30" w14:paraId="7B16858C" w14:textId="77777777" w:rsidTr="00BE41AA">
        <w:trPr>
          <w:trHeight w:val="310"/>
        </w:trPr>
        <w:tc>
          <w:tcPr>
            <w:tcW w:w="2776" w:type="pct"/>
            <w:gridSpan w:val="2"/>
            <w:tcBorders>
              <w:top w:val="nil"/>
              <w:left w:val="single" w:sz="4" w:space="0" w:color="auto"/>
              <w:bottom w:val="single" w:sz="4" w:space="0" w:color="auto"/>
              <w:right w:val="single" w:sz="4" w:space="0" w:color="auto"/>
            </w:tcBorders>
            <w:shd w:val="clear" w:color="000000" w:fill="E2EFDA"/>
            <w:vAlign w:val="bottom"/>
            <w:hideMark/>
          </w:tcPr>
          <w:p w14:paraId="6F32F050" w14:textId="561A87EB" w:rsidR="00B2676A" w:rsidRPr="00EC5F7C" w:rsidRDefault="0091318C" w:rsidP="0076578C">
            <w:pPr>
              <w:pStyle w:val="Tabletext"/>
              <w:rPr>
                <w:lang w:val="es-ES" w:eastAsia="es-ES"/>
              </w:rPr>
            </w:pPr>
            <w:r>
              <w:rPr>
                <w:bCs/>
                <w:lang w:val="es-ES"/>
              </w:rPr>
              <w:t>C</w:t>
            </w:r>
            <w:r w:rsidRPr="0000318E">
              <w:rPr>
                <w:bCs/>
                <w:lang w:val="es-ES"/>
              </w:rPr>
              <w:t xml:space="preserve">ambios en el </w:t>
            </w:r>
            <w:r w:rsidR="00B2676A" w:rsidRPr="00EC5F7C">
              <w:rPr>
                <w:lang w:val="es-ES" w:eastAsia="es-ES"/>
              </w:rPr>
              <w:t>AP30, AP30A, AP30B (Método H1C)</w:t>
            </w:r>
          </w:p>
        </w:tc>
        <w:tc>
          <w:tcPr>
            <w:tcW w:w="88" w:type="pct"/>
            <w:gridSpan w:val="2"/>
            <w:tcBorders>
              <w:top w:val="nil"/>
              <w:left w:val="nil"/>
              <w:bottom w:val="nil"/>
              <w:right w:val="nil"/>
            </w:tcBorders>
            <w:shd w:val="clear" w:color="auto" w:fill="auto"/>
            <w:noWrap/>
            <w:vAlign w:val="bottom"/>
            <w:hideMark/>
          </w:tcPr>
          <w:p w14:paraId="103A14C4" w14:textId="77777777" w:rsidR="00B2676A" w:rsidRPr="00EC5F7C" w:rsidRDefault="00B2676A" w:rsidP="0076578C">
            <w:pPr>
              <w:pStyle w:val="Tabletext"/>
              <w:rPr>
                <w:lang w:val="es-ES" w:eastAsia="es-ES"/>
              </w:rPr>
            </w:pPr>
          </w:p>
        </w:tc>
        <w:tc>
          <w:tcPr>
            <w:tcW w:w="853" w:type="pct"/>
            <w:tcBorders>
              <w:top w:val="nil"/>
              <w:left w:val="single" w:sz="4" w:space="0" w:color="auto"/>
              <w:bottom w:val="single" w:sz="4" w:space="0" w:color="auto"/>
              <w:right w:val="single" w:sz="4" w:space="0" w:color="auto"/>
            </w:tcBorders>
            <w:shd w:val="clear" w:color="000000" w:fill="D6DCE4"/>
            <w:noWrap/>
            <w:vAlign w:val="bottom"/>
            <w:hideMark/>
          </w:tcPr>
          <w:p w14:paraId="1F3B65AB" w14:textId="72BB1D90" w:rsidR="00B2676A" w:rsidRPr="00EC5F7C" w:rsidRDefault="00B2676A" w:rsidP="0091318C">
            <w:pPr>
              <w:pStyle w:val="Tabletext"/>
              <w:jc w:val="center"/>
              <w:rPr>
                <w:lang w:val="es-ES" w:eastAsia="es-ES"/>
              </w:rPr>
            </w:pPr>
          </w:p>
        </w:tc>
        <w:tc>
          <w:tcPr>
            <w:tcW w:w="660" w:type="pct"/>
            <w:tcBorders>
              <w:top w:val="nil"/>
              <w:left w:val="nil"/>
              <w:bottom w:val="single" w:sz="4" w:space="0" w:color="auto"/>
              <w:right w:val="nil"/>
            </w:tcBorders>
            <w:shd w:val="clear" w:color="000000" w:fill="D9E1F2"/>
            <w:noWrap/>
            <w:vAlign w:val="bottom"/>
            <w:hideMark/>
          </w:tcPr>
          <w:p w14:paraId="44B80905" w14:textId="4B570CA6" w:rsidR="00B2676A" w:rsidRPr="00EC5F7C" w:rsidRDefault="00B2676A" w:rsidP="0091318C">
            <w:pPr>
              <w:pStyle w:val="Tabletext"/>
              <w:jc w:val="center"/>
              <w:rPr>
                <w:lang w:val="es-ES" w:eastAsia="es-ES"/>
              </w:rPr>
            </w:pPr>
            <w:r w:rsidRPr="00EC5F7C">
              <w:rPr>
                <w:lang w:val="es-ES" w:eastAsia="es-ES"/>
              </w:rPr>
              <w:t>43</w:t>
            </w:r>
            <w:r w:rsidR="007F4E62">
              <w:rPr>
                <w:lang w:val="es-ES" w:eastAsia="es-ES"/>
              </w:rPr>
              <w:t> </w:t>
            </w:r>
            <w:r w:rsidRPr="00EC5F7C">
              <w:rPr>
                <w:lang w:val="es-ES" w:eastAsia="es-ES"/>
              </w:rPr>
              <w:t>821</w:t>
            </w:r>
          </w:p>
        </w:tc>
        <w:tc>
          <w:tcPr>
            <w:tcW w:w="623" w:type="pct"/>
            <w:gridSpan w:val="2"/>
            <w:tcBorders>
              <w:top w:val="nil"/>
              <w:left w:val="single" w:sz="4" w:space="0" w:color="auto"/>
              <w:bottom w:val="single" w:sz="4" w:space="0" w:color="auto"/>
              <w:right w:val="single" w:sz="4" w:space="0" w:color="auto"/>
            </w:tcBorders>
            <w:shd w:val="clear" w:color="000000" w:fill="DDEBF7"/>
            <w:noWrap/>
            <w:vAlign w:val="bottom"/>
            <w:hideMark/>
          </w:tcPr>
          <w:p w14:paraId="633ECB9F" w14:textId="46117888" w:rsidR="00B2676A" w:rsidRPr="00EC5F7C" w:rsidRDefault="00B2676A" w:rsidP="0091318C">
            <w:pPr>
              <w:pStyle w:val="Tabletext"/>
              <w:jc w:val="center"/>
              <w:rPr>
                <w:lang w:val="es-ES" w:eastAsia="es-ES"/>
              </w:rPr>
            </w:pPr>
            <w:r w:rsidRPr="00EC5F7C">
              <w:rPr>
                <w:lang w:val="es-ES" w:eastAsia="es-ES"/>
              </w:rPr>
              <w:t>175</w:t>
            </w:r>
            <w:r w:rsidR="007F4E62">
              <w:rPr>
                <w:lang w:val="es-ES" w:eastAsia="es-ES"/>
              </w:rPr>
              <w:t> </w:t>
            </w:r>
            <w:r w:rsidRPr="00EC5F7C">
              <w:rPr>
                <w:lang w:val="es-ES" w:eastAsia="es-ES"/>
              </w:rPr>
              <w:t>284</w:t>
            </w:r>
          </w:p>
        </w:tc>
      </w:tr>
      <w:tr w:rsidR="00B2676A" w:rsidRPr="00415F30" w14:paraId="31540663" w14:textId="77777777" w:rsidTr="00BE41AA">
        <w:trPr>
          <w:trHeight w:val="340"/>
        </w:trPr>
        <w:tc>
          <w:tcPr>
            <w:tcW w:w="2776" w:type="pct"/>
            <w:gridSpan w:val="2"/>
            <w:tcBorders>
              <w:top w:val="nil"/>
              <w:left w:val="single" w:sz="4" w:space="0" w:color="auto"/>
              <w:bottom w:val="single" w:sz="4" w:space="0" w:color="auto"/>
              <w:right w:val="single" w:sz="4" w:space="0" w:color="auto"/>
            </w:tcBorders>
            <w:shd w:val="clear" w:color="000000" w:fill="E2EFDA"/>
            <w:vAlign w:val="bottom"/>
            <w:hideMark/>
          </w:tcPr>
          <w:p w14:paraId="2A0E568E" w14:textId="61AD069C" w:rsidR="00B2676A" w:rsidRPr="00EC5F7C" w:rsidRDefault="00B2676A" w:rsidP="0076578C">
            <w:pPr>
              <w:pStyle w:val="Tabletext"/>
              <w:rPr>
                <w:lang w:val="es-ES" w:eastAsia="es-ES"/>
              </w:rPr>
            </w:pPr>
            <w:r w:rsidRPr="00EC5F7C">
              <w:rPr>
                <w:lang w:val="es-ES" w:eastAsia="es-ES"/>
              </w:rPr>
              <w:t xml:space="preserve">Resolución [A7(I)-Método I2]: medidas </w:t>
            </w:r>
            <w:r w:rsidR="0091318C">
              <w:rPr>
                <w:lang w:val="es-ES" w:eastAsia="es-ES"/>
              </w:rPr>
              <w:t>tempora</w:t>
            </w:r>
            <w:r w:rsidRPr="00EC5F7C">
              <w:rPr>
                <w:lang w:val="es-ES" w:eastAsia="es-ES"/>
              </w:rPr>
              <w:t>les del AP30B</w:t>
            </w:r>
          </w:p>
        </w:tc>
        <w:tc>
          <w:tcPr>
            <w:tcW w:w="88" w:type="pct"/>
            <w:gridSpan w:val="2"/>
            <w:tcBorders>
              <w:top w:val="nil"/>
              <w:left w:val="nil"/>
              <w:bottom w:val="nil"/>
              <w:right w:val="nil"/>
            </w:tcBorders>
            <w:shd w:val="clear" w:color="auto" w:fill="auto"/>
            <w:noWrap/>
            <w:vAlign w:val="bottom"/>
            <w:hideMark/>
          </w:tcPr>
          <w:p w14:paraId="031B4175" w14:textId="77777777" w:rsidR="00B2676A" w:rsidRPr="00EC5F7C" w:rsidRDefault="00B2676A" w:rsidP="0076578C">
            <w:pPr>
              <w:pStyle w:val="Tabletext"/>
              <w:rPr>
                <w:lang w:val="es-ES" w:eastAsia="es-ES"/>
              </w:rPr>
            </w:pPr>
          </w:p>
        </w:tc>
        <w:tc>
          <w:tcPr>
            <w:tcW w:w="853" w:type="pct"/>
            <w:tcBorders>
              <w:top w:val="nil"/>
              <w:left w:val="single" w:sz="4" w:space="0" w:color="auto"/>
              <w:bottom w:val="single" w:sz="4" w:space="0" w:color="auto"/>
              <w:right w:val="single" w:sz="4" w:space="0" w:color="auto"/>
            </w:tcBorders>
            <w:shd w:val="clear" w:color="000000" w:fill="D6DCE4"/>
            <w:noWrap/>
            <w:vAlign w:val="bottom"/>
            <w:hideMark/>
          </w:tcPr>
          <w:p w14:paraId="47AADE00" w14:textId="1A35A9FC" w:rsidR="00B2676A" w:rsidRPr="00EC5F7C" w:rsidRDefault="00B2676A" w:rsidP="0091318C">
            <w:pPr>
              <w:pStyle w:val="Tabletext"/>
              <w:jc w:val="center"/>
              <w:rPr>
                <w:lang w:val="es-ES" w:eastAsia="es-ES"/>
              </w:rPr>
            </w:pPr>
            <w:r w:rsidRPr="00EC5F7C">
              <w:rPr>
                <w:lang w:val="es-ES" w:eastAsia="es-ES"/>
              </w:rPr>
              <w:t>87</w:t>
            </w:r>
            <w:r w:rsidR="007F4E62">
              <w:rPr>
                <w:lang w:val="es-ES" w:eastAsia="es-ES"/>
              </w:rPr>
              <w:t> </w:t>
            </w:r>
            <w:r w:rsidRPr="00EC5F7C">
              <w:rPr>
                <w:lang w:val="es-ES" w:eastAsia="es-ES"/>
              </w:rPr>
              <w:t>642</w:t>
            </w:r>
          </w:p>
        </w:tc>
        <w:tc>
          <w:tcPr>
            <w:tcW w:w="660" w:type="pct"/>
            <w:tcBorders>
              <w:top w:val="nil"/>
              <w:left w:val="nil"/>
              <w:bottom w:val="single" w:sz="4" w:space="0" w:color="auto"/>
              <w:right w:val="nil"/>
            </w:tcBorders>
            <w:shd w:val="clear" w:color="000000" w:fill="D9E1F2"/>
            <w:noWrap/>
            <w:vAlign w:val="bottom"/>
            <w:hideMark/>
          </w:tcPr>
          <w:p w14:paraId="01137E32" w14:textId="32BCD82B" w:rsidR="00B2676A" w:rsidRPr="00EC5F7C" w:rsidRDefault="00B2676A" w:rsidP="0091318C">
            <w:pPr>
              <w:pStyle w:val="Tabletext"/>
              <w:jc w:val="center"/>
              <w:rPr>
                <w:lang w:val="es-ES" w:eastAsia="es-ES"/>
              </w:rPr>
            </w:pPr>
            <w:r w:rsidRPr="00EC5F7C">
              <w:rPr>
                <w:lang w:val="es-ES" w:eastAsia="es-ES"/>
              </w:rPr>
              <w:t>26</w:t>
            </w:r>
            <w:r w:rsidR="007F4E62">
              <w:rPr>
                <w:lang w:val="es-ES" w:eastAsia="es-ES"/>
              </w:rPr>
              <w:t> </w:t>
            </w:r>
            <w:r w:rsidRPr="00EC5F7C">
              <w:rPr>
                <w:lang w:val="es-ES" w:eastAsia="es-ES"/>
              </w:rPr>
              <w:t>293</w:t>
            </w:r>
          </w:p>
        </w:tc>
        <w:tc>
          <w:tcPr>
            <w:tcW w:w="623" w:type="pct"/>
            <w:gridSpan w:val="2"/>
            <w:tcBorders>
              <w:top w:val="nil"/>
              <w:left w:val="single" w:sz="4" w:space="0" w:color="auto"/>
              <w:bottom w:val="single" w:sz="4" w:space="0" w:color="auto"/>
              <w:right w:val="single" w:sz="4" w:space="0" w:color="auto"/>
            </w:tcBorders>
            <w:shd w:val="clear" w:color="000000" w:fill="DDEBF7"/>
            <w:noWrap/>
            <w:vAlign w:val="bottom"/>
            <w:hideMark/>
          </w:tcPr>
          <w:p w14:paraId="63DD06A0" w14:textId="5795B9E9" w:rsidR="00B2676A" w:rsidRPr="00EC5F7C" w:rsidRDefault="00B2676A" w:rsidP="0091318C">
            <w:pPr>
              <w:pStyle w:val="Tabletext"/>
              <w:jc w:val="center"/>
              <w:rPr>
                <w:lang w:val="es-ES" w:eastAsia="es-ES"/>
              </w:rPr>
            </w:pPr>
            <w:r w:rsidRPr="00EC5F7C">
              <w:rPr>
                <w:lang w:val="es-ES" w:eastAsia="es-ES"/>
              </w:rPr>
              <w:t>192</w:t>
            </w:r>
            <w:r w:rsidR="007F4E62">
              <w:rPr>
                <w:lang w:val="es-ES" w:eastAsia="es-ES"/>
              </w:rPr>
              <w:t> </w:t>
            </w:r>
            <w:r w:rsidRPr="00EC5F7C">
              <w:rPr>
                <w:lang w:val="es-ES" w:eastAsia="es-ES"/>
              </w:rPr>
              <w:t>812</w:t>
            </w:r>
          </w:p>
        </w:tc>
      </w:tr>
      <w:tr w:rsidR="00B2676A" w:rsidRPr="00415F30" w14:paraId="3E257F5E" w14:textId="77777777" w:rsidTr="00BE41AA">
        <w:trPr>
          <w:trHeight w:val="340"/>
        </w:trPr>
        <w:tc>
          <w:tcPr>
            <w:tcW w:w="2776" w:type="pct"/>
            <w:gridSpan w:val="2"/>
            <w:tcBorders>
              <w:top w:val="nil"/>
              <w:left w:val="single" w:sz="4" w:space="0" w:color="auto"/>
              <w:bottom w:val="single" w:sz="4" w:space="0" w:color="auto"/>
              <w:right w:val="single" w:sz="4" w:space="0" w:color="auto"/>
            </w:tcBorders>
            <w:shd w:val="clear" w:color="000000" w:fill="E2EFDA"/>
            <w:vAlign w:val="bottom"/>
            <w:hideMark/>
          </w:tcPr>
          <w:p w14:paraId="7F85D63C" w14:textId="3A0F4ADA" w:rsidR="00B2676A" w:rsidRPr="00EC5F7C" w:rsidRDefault="0091318C" w:rsidP="0076578C">
            <w:pPr>
              <w:pStyle w:val="Tabletext"/>
              <w:rPr>
                <w:lang w:val="es-ES" w:eastAsia="es-ES"/>
              </w:rPr>
            </w:pPr>
            <w:r>
              <w:rPr>
                <w:bCs/>
                <w:lang w:val="es-ES"/>
              </w:rPr>
              <w:t>C</w:t>
            </w:r>
            <w:r w:rsidRPr="0000318E">
              <w:rPr>
                <w:bCs/>
                <w:lang w:val="es-ES"/>
              </w:rPr>
              <w:t xml:space="preserve">ambios en </w:t>
            </w:r>
            <w:r w:rsidR="00B2676A" w:rsidRPr="00EC5F7C">
              <w:rPr>
                <w:lang w:val="es-ES" w:eastAsia="es-ES"/>
              </w:rPr>
              <w:t xml:space="preserve">la Resolución 76, </w:t>
            </w:r>
            <w:r w:rsidR="00B2676A" w:rsidRPr="007F4E62">
              <w:rPr>
                <w:i/>
                <w:iCs/>
                <w:lang w:val="es-ES" w:eastAsia="es-ES"/>
              </w:rPr>
              <w:t>softwar</w:t>
            </w:r>
            <w:r w:rsidR="00B2676A" w:rsidRPr="00EC5F7C">
              <w:rPr>
                <w:lang w:val="es-ES" w:eastAsia="es-ES"/>
              </w:rPr>
              <w:t>e dfpe interferente combinada</w:t>
            </w:r>
          </w:p>
        </w:tc>
        <w:tc>
          <w:tcPr>
            <w:tcW w:w="88" w:type="pct"/>
            <w:gridSpan w:val="2"/>
            <w:tcBorders>
              <w:top w:val="nil"/>
              <w:left w:val="nil"/>
              <w:bottom w:val="nil"/>
              <w:right w:val="nil"/>
            </w:tcBorders>
            <w:shd w:val="clear" w:color="auto" w:fill="auto"/>
            <w:noWrap/>
            <w:vAlign w:val="bottom"/>
            <w:hideMark/>
          </w:tcPr>
          <w:p w14:paraId="4C78A692" w14:textId="77777777" w:rsidR="00B2676A" w:rsidRPr="00EC5F7C" w:rsidRDefault="00B2676A" w:rsidP="0076578C">
            <w:pPr>
              <w:pStyle w:val="Tabletext"/>
              <w:rPr>
                <w:lang w:val="es-ES" w:eastAsia="es-ES"/>
              </w:rPr>
            </w:pPr>
          </w:p>
        </w:tc>
        <w:tc>
          <w:tcPr>
            <w:tcW w:w="853" w:type="pct"/>
            <w:tcBorders>
              <w:top w:val="nil"/>
              <w:left w:val="single" w:sz="4" w:space="0" w:color="auto"/>
              <w:bottom w:val="single" w:sz="4" w:space="0" w:color="auto"/>
              <w:right w:val="single" w:sz="4" w:space="0" w:color="auto"/>
            </w:tcBorders>
            <w:shd w:val="clear" w:color="000000" w:fill="D6DCE4"/>
            <w:noWrap/>
            <w:vAlign w:val="bottom"/>
            <w:hideMark/>
          </w:tcPr>
          <w:p w14:paraId="4B9B02BC" w14:textId="0F6A046B" w:rsidR="00B2676A" w:rsidRPr="00EC5F7C" w:rsidRDefault="00B2676A" w:rsidP="0091318C">
            <w:pPr>
              <w:pStyle w:val="Tabletext"/>
              <w:jc w:val="center"/>
              <w:rPr>
                <w:lang w:val="es-ES" w:eastAsia="es-ES"/>
              </w:rPr>
            </w:pPr>
          </w:p>
        </w:tc>
        <w:tc>
          <w:tcPr>
            <w:tcW w:w="660" w:type="pct"/>
            <w:tcBorders>
              <w:top w:val="nil"/>
              <w:left w:val="nil"/>
              <w:bottom w:val="single" w:sz="4" w:space="0" w:color="auto"/>
              <w:right w:val="nil"/>
            </w:tcBorders>
            <w:shd w:val="clear" w:color="000000" w:fill="D9E1F2"/>
            <w:noWrap/>
            <w:vAlign w:val="bottom"/>
            <w:hideMark/>
          </w:tcPr>
          <w:p w14:paraId="14C4BC05" w14:textId="338E0AC1" w:rsidR="00B2676A" w:rsidRPr="00EC5F7C" w:rsidRDefault="00B2676A" w:rsidP="0091318C">
            <w:pPr>
              <w:pStyle w:val="Tabletext"/>
              <w:jc w:val="center"/>
              <w:rPr>
                <w:lang w:val="es-ES" w:eastAsia="es-ES"/>
              </w:rPr>
            </w:pPr>
            <w:r w:rsidRPr="00EC5F7C">
              <w:rPr>
                <w:lang w:val="es-ES" w:eastAsia="es-ES"/>
              </w:rPr>
              <w:t>43</w:t>
            </w:r>
            <w:r w:rsidR="007F4E62">
              <w:rPr>
                <w:lang w:val="es-ES" w:eastAsia="es-ES"/>
              </w:rPr>
              <w:t> </w:t>
            </w:r>
            <w:r w:rsidRPr="00EC5F7C">
              <w:rPr>
                <w:lang w:val="es-ES" w:eastAsia="es-ES"/>
              </w:rPr>
              <w:t>821</w:t>
            </w:r>
          </w:p>
        </w:tc>
        <w:tc>
          <w:tcPr>
            <w:tcW w:w="623" w:type="pct"/>
            <w:gridSpan w:val="2"/>
            <w:tcBorders>
              <w:top w:val="nil"/>
              <w:left w:val="single" w:sz="4" w:space="0" w:color="auto"/>
              <w:bottom w:val="single" w:sz="4" w:space="0" w:color="auto"/>
              <w:right w:val="single" w:sz="4" w:space="0" w:color="auto"/>
            </w:tcBorders>
            <w:shd w:val="clear" w:color="000000" w:fill="DDEBF7"/>
            <w:noWrap/>
            <w:vAlign w:val="bottom"/>
            <w:hideMark/>
          </w:tcPr>
          <w:p w14:paraId="5A6DB780" w14:textId="67A67C5D" w:rsidR="00B2676A" w:rsidRPr="00EC5F7C" w:rsidRDefault="00B2676A" w:rsidP="0091318C">
            <w:pPr>
              <w:pStyle w:val="Tabletext"/>
              <w:jc w:val="center"/>
              <w:rPr>
                <w:lang w:val="es-ES" w:eastAsia="es-ES"/>
              </w:rPr>
            </w:pPr>
            <w:r w:rsidRPr="00EC5F7C">
              <w:rPr>
                <w:lang w:val="es-ES" w:eastAsia="es-ES"/>
              </w:rPr>
              <w:t>175</w:t>
            </w:r>
            <w:r w:rsidR="007F4E62">
              <w:rPr>
                <w:lang w:val="es-ES" w:eastAsia="es-ES"/>
              </w:rPr>
              <w:t> </w:t>
            </w:r>
            <w:r w:rsidRPr="00EC5F7C">
              <w:rPr>
                <w:lang w:val="es-ES" w:eastAsia="es-ES"/>
              </w:rPr>
              <w:t>284</w:t>
            </w:r>
          </w:p>
        </w:tc>
      </w:tr>
      <w:tr w:rsidR="00B2676A" w:rsidRPr="00415F30" w14:paraId="4D1ACF05" w14:textId="77777777" w:rsidTr="00BE41AA">
        <w:trPr>
          <w:trHeight w:val="340"/>
        </w:trPr>
        <w:tc>
          <w:tcPr>
            <w:tcW w:w="2776" w:type="pct"/>
            <w:gridSpan w:val="2"/>
            <w:tcBorders>
              <w:top w:val="nil"/>
              <w:left w:val="single" w:sz="4" w:space="0" w:color="auto"/>
              <w:bottom w:val="nil"/>
              <w:right w:val="single" w:sz="4" w:space="0" w:color="auto"/>
            </w:tcBorders>
            <w:shd w:val="clear" w:color="000000" w:fill="E2EFDA"/>
            <w:vAlign w:val="bottom"/>
            <w:hideMark/>
          </w:tcPr>
          <w:p w14:paraId="3F941922" w14:textId="51CA9803" w:rsidR="00B2676A" w:rsidRPr="00EC5F7C" w:rsidRDefault="0091318C" w:rsidP="0076578C">
            <w:pPr>
              <w:pStyle w:val="Tabletext"/>
              <w:rPr>
                <w:lang w:val="es-ES" w:eastAsia="es-ES"/>
              </w:rPr>
            </w:pPr>
            <w:r>
              <w:rPr>
                <w:bCs/>
                <w:lang w:val="es-ES"/>
              </w:rPr>
              <w:lastRenderedPageBreak/>
              <w:t>C</w:t>
            </w:r>
            <w:r w:rsidRPr="0000318E">
              <w:rPr>
                <w:bCs/>
                <w:lang w:val="es-ES"/>
              </w:rPr>
              <w:t xml:space="preserve">ambios en el </w:t>
            </w:r>
            <w:r w:rsidR="00B2676A" w:rsidRPr="00EC5F7C">
              <w:rPr>
                <w:lang w:val="es-ES" w:eastAsia="es-ES"/>
              </w:rPr>
              <w:t xml:space="preserve">9.52.1 (interferencia inaceptable), RR21, y mejora del procesamiento por la BR. </w:t>
            </w:r>
          </w:p>
        </w:tc>
        <w:tc>
          <w:tcPr>
            <w:tcW w:w="88" w:type="pct"/>
            <w:gridSpan w:val="2"/>
            <w:tcBorders>
              <w:top w:val="nil"/>
              <w:left w:val="nil"/>
              <w:bottom w:val="nil"/>
              <w:right w:val="nil"/>
            </w:tcBorders>
            <w:shd w:val="clear" w:color="auto" w:fill="auto"/>
            <w:noWrap/>
            <w:vAlign w:val="bottom"/>
            <w:hideMark/>
          </w:tcPr>
          <w:p w14:paraId="2F94FAFB" w14:textId="77777777" w:rsidR="00B2676A" w:rsidRPr="00EC5F7C" w:rsidRDefault="00B2676A" w:rsidP="0076578C">
            <w:pPr>
              <w:pStyle w:val="Tabletext"/>
              <w:rPr>
                <w:lang w:val="es-ES" w:eastAsia="es-ES"/>
              </w:rPr>
            </w:pPr>
          </w:p>
        </w:tc>
        <w:tc>
          <w:tcPr>
            <w:tcW w:w="853" w:type="pct"/>
            <w:tcBorders>
              <w:top w:val="nil"/>
              <w:left w:val="single" w:sz="4" w:space="0" w:color="auto"/>
              <w:bottom w:val="nil"/>
              <w:right w:val="single" w:sz="4" w:space="0" w:color="auto"/>
            </w:tcBorders>
            <w:shd w:val="clear" w:color="000000" w:fill="D6DCE4"/>
            <w:noWrap/>
            <w:vAlign w:val="bottom"/>
            <w:hideMark/>
          </w:tcPr>
          <w:p w14:paraId="016D298F" w14:textId="46633C47" w:rsidR="00B2676A" w:rsidRPr="00EC5F7C" w:rsidRDefault="00B2676A" w:rsidP="0091318C">
            <w:pPr>
              <w:pStyle w:val="Tabletext"/>
              <w:jc w:val="center"/>
              <w:rPr>
                <w:lang w:val="es-ES" w:eastAsia="es-ES"/>
              </w:rPr>
            </w:pPr>
            <w:r w:rsidRPr="00EC5F7C">
              <w:rPr>
                <w:lang w:val="es-ES" w:eastAsia="es-ES"/>
              </w:rPr>
              <w:t>87</w:t>
            </w:r>
            <w:r w:rsidR="007F4E62">
              <w:rPr>
                <w:lang w:val="es-ES" w:eastAsia="es-ES"/>
              </w:rPr>
              <w:t> </w:t>
            </w:r>
            <w:r w:rsidRPr="00EC5F7C">
              <w:rPr>
                <w:lang w:val="es-ES" w:eastAsia="es-ES"/>
              </w:rPr>
              <w:t>642</w:t>
            </w:r>
          </w:p>
        </w:tc>
        <w:tc>
          <w:tcPr>
            <w:tcW w:w="660" w:type="pct"/>
            <w:tcBorders>
              <w:top w:val="nil"/>
              <w:left w:val="nil"/>
              <w:bottom w:val="nil"/>
              <w:right w:val="nil"/>
            </w:tcBorders>
            <w:shd w:val="clear" w:color="000000" w:fill="D9E1F2"/>
            <w:noWrap/>
            <w:vAlign w:val="bottom"/>
            <w:hideMark/>
          </w:tcPr>
          <w:p w14:paraId="53DFF32B" w14:textId="70A2DA98" w:rsidR="00B2676A" w:rsidRPr="00EC5F7C" w:rsidRDefault="00B2676A" w:rsidP="0091318C">
            <w:pPr>
              <w:pStyle w:val="Tabletext"/>
              <w:jc w:val="center"/>
              <w:rPr>
                <w:lang w:val="es-ES" w:eastAsia="es-ES"/>
              </w:rPr>
            </w:pPr>
            <w:r w:rsidRPr="00EC5F7C">
              <w:rPr>
                <w:lang w:val="es-ES" w:eastAsia="es-ES"/>
              </w:rPr>
              <w:t>96</w:t>
            </w:r>
            <w:r w:rsidR="007F4E62">
              <w:rPr>
                <w:lang w:val="es-ES" w:eastAsia="es-ES"/>
              </w:rPr>
              <w:t> </w:t>
            </w:r>
            <w:r w:rsidRPr="00EC5F7C">
              <w:rPr>
                <w:lang w:val="es-ES" w:eastAsia="es-ES"/>
              </w:rPr>
              <w:t>406</w:t>
            </w:r>
          </w:p>
        </w:tc>
        <w:tc>
          <w:tcPr>
            <w:tcW w:w="623" w:type="pct"/>
            <w:gridSpan w:val="2"/>
            <w:tcBorders>
              <w:top w:val="nil"/>
              <w:left w:val="single" w:sz="4" w:space="0" w:color="auto"/>
              <w:bottom w:val="single" w:sz="4" w:space="0" w:color="auto"/>
              <w:right w:val="single" w:sz="4" w:space="0" w:color="auto"/>
            </w:tcBorders>
            <w:shd w:val="clear" w:color="000000" w:fill="DDEBF7"/>
            <w:noWrap/>
            <w:vAlign w:val="bottom"/>
            <w:hideMark/>
          </w:tcPr>
          <w:p w14:paraId="51809682" w14:textId="3FFE6A02" w:rsidR="00B2676A" w:rsidRPr="00EC5F7C" w:rsidRDefault="00B2676A" w:rsidP="0091318C">
            <w:pPr>
              <w:pStyle w:val="Tabletext"/>
              <w:jc w:val="center"/>
              <w:rPr>
                <w:lang w:val="es-ES" w:eastAsia="es-ES"/>
              </w:rPr>
            </w:pPr>
            <w:r w:rsidRPr="00EC5F7C">
              <w:rPr>
                <w:lang w:val="es-ES" w:eastAsia="es-ES"/>
              </w:rPr>
              <w:t>473</w:t>
            </w:r>
            <w:r w:rsidR="007F4E62">
              <w:rPr>
                <w:lang w:val="es-ES" w:eastAsia="es-ES"/>
              </w:rPr>
              <w:t> </w:t>
            </w:r>
            <w:r w:rsidRPr="00EC5F7C">
              <w:rPr>
                <w:lang w:val="es-ES" w:eastAsia="es-ES"/>
              </w:rPr>
              <w:t>267</w:t>
            </w:r>
          </w:p>
        </w:tc>
      </w:tr>
      <w:tr w:rsidR="00B2676A" w:rsidRPr="00415F30" w14:paraId="3C63EC91" w14:textId="77777777" w:rsidTr="00BE41AA">
        <w:trPr>
          <w:trHeight w:val="340"/>
        </w:trPr>
        <w:tc>
          <w:tcPr>
            <w:tcW w:w="2776" w:type="pct"/>
            <w:gridSpan w:val="2"/>
            <w:tcBorders>
              <w:top w:val="single" w:sz="4" w:space="0" w:color="auto"/>
              <w:left w:val="single" w:sz="4" w:space="0" w:color="auto"/>
              <w:bottom w:val="nil"/>
              <w:right w:val="single" w:sz="4" w:space="0" w:color="auto"/>
            </w:tcBorders>
            <w:shd w:val="clear" w:color="000000" w:fill="E2EFDA"/>
            <w:vAlign w:val="bottom"/>
            <w:hideMark/>
          </w:tcPr>
          <w:p w14:paraId="1884CBD5" w14:textId="77777777" w:rsidR="00B2676A" w:rsidRPr="00EC5F7C" w:rsidRDefault="00B2676A" w:rsidP="0076578C">
            <w:pPr>
              <w:pStyle w:val="Tabletext"/>
              <w:rPr>
                <w:lang w:val="es-ES" w:eastAsia="es-ES"/>
              </w:rPr>
            </w:pPr>
            <w:r w:rsidRPr="00EC5F7C">
              <w:rPr>
                <w:lang w:val="es-ES" w:eastAsia="es-ES"/>
              </w:rPr>
              <w:t>EESS (activo) para sonda radar espacial</w:t>
            </w:r>
          </w:p>
        </w:tc>
        <w:tc>
          <w:tcPr>
            <w:tcW w:w="88" w:type="pct"/>
            <w:gridSpan w:val="2"/>
            <w:tcBorders>
              <w:top w:val="nil"/>
              <w:left w:val="nil"/>
              <w:bottom w:val="nil"/>
              <w:right w:val="nil"/>
            </w:tcBorders>
            <w:shd w:val="clear" w:color="auto" w:fill="auto"/>
            <w:noWrap/>
            <w:vAlign w:val="bottom"/>
            <w:hideMark/>
          </w:tcPr>
          <w:p w14:paraId="398C7C20" w14:textId="77777777" w:rsidR="00B2676A" w:rsidRPr="00EC5F7C" w:rsidRDefault="00B2676A" w:rsidP="0076578C">
            <w:pPr>
              <w:pStyle w:val="Tabletext"/>
              <w:rPr>
                <w:lang w:val="es-ES" w:eastAsia="es-ES"/>
              </w:rPr>
            </w:pPr>
          </w:p>
        </w:tc>
        <w:tc>
          <w:tcPr>
            <w:tcW w:w="853" w:type="pct"/>
            <w:tcBorders>
              <w:top w:val="single" w:sz="4" w:space="0" w:color="auto"/>
              <w:left w:val="single" w:sz="4" w:space="0" w:color="auto"/>
              <w:bottom w:val="nil"/>
              <w:right w:val="single" w:sz="4" w:space="0" w:color="auto"/>
            </w:tcBorders>
            <w:shd w:val="clear" w:color="000000" w:fill="D6DCE4"/>
            <w:noWrap/>
            <w:vAlign w:val="bottom"/>
            <w:hideMark/>
          </w:tcPr>
          <w:p w14:paraId="5D82B7FB" w14:textId="3B1E15C4" w:rsidR="00B2676A" w:rsidRPr="00EC5F7C" w:rsidRDefault="00B2676A" w:rsidP="0091318C">
            <w:pPr>
              <w:pStyle w:val="Tabletext"/>
              <w:jc w:val="center"/>
              <w:rPr>
                <w:lang w:val="es-ES" w:eastAsia="es-ES"/>
              </w:rPr>
            </w:pPr>
            <w:r w:rsidRPr="00EC5F7C">
              <w:rPr>
                <w:lang w:val="es-ES" w:eastAsia="es-ES"/>
              </w:rPr>
              <w:t>148</w:t>
            </w:r>
            <w:r w:rsidR="007F4E62">
              <w:rPr>
                <w:lang w:val="es-ES" w:eastAsia="es-ES"/>
              </w:rPr>
              <w:t> </w:t>
            </w:r>
            <w:r w:rsidRPr="00EC5F7C">
              <w:rPr>
                <w:lang w:val="es-ES" w:eastAsia="es-ES"/>
              </w:rPr>
              <w:t>991</w:t>
            </w:r>
          </w:p>
        </w:tc>
        <w:tc>
          <w:tcPr>
            <w:tcW w:w="660" w:type="pct"/>
            <w:tcBorders>
              <w:top w:val="single" w:sz="4" w:space="0" w:color="auto"/>
              <w:left w:val="nil"/>
              <w:bottom w:val="nil"/>
              <w:right w:val="nil"/>
            </w:tcBorders>
            <w:shd w:val="clear" w:color="000000" w:fill="D9E1F2"/>
            <w:noWrap/>
            <w:vAlign w:val="bottom"/>
            <w:hideMark/>
          </w:tcPr>
          <w:p w14:paraId="7AD908A6" w14:textId="14EBD336" w:rsidR="00B2676A" w:rsidRPr="00EC5F7C" w:rsidRDefault="00B2676A" w:rsidP="0091318C">
            <w:pPr>
              <w:pStyle w:val="Tabletext"/>
              <w:jc w:val="center"/>
              <w:rPr>
                <w:lang w:val="es-ES" w:eastAsia="es-ES"/>
              </w:rPr>
            </w:pPr>
            <w:r w:rsidRPr="00EC5F7C">
              <w:rPr>
                <w:lang w:val="es-ES" w:eastAsia="es-ES"/>
              </w:rPr>
              <w:t>26</w:t>
            </w:r>
            <w:r w:rsidR="007F4E62">
              <w:rPr>
                <w:lang w:val="es-ES" w:eastAsia="es-ES"/>
              </w:rPr>
              <w:t> </w:t>
            </w:r>
            <w:r w:rsidRPr="00EC5F7C">
              <w:rPr>
                <w:lang w:val="es-ES" w:eastAsia="es-ES"/>
              </w:rPr>
              <w:t>293</w:t>
            </w:r>
          </w:p>
        </w:tc>
        <w:tc>
          <w:tcPr>
            <w:tcW w:w="623" w:type="pct"/>
            <w:gridSpan w:val="2"/>
            <w:tcBorders>
              <w:top w:val="nil"/>
              <w:left w:val="single" w:sz="4" w:space="0" w:color="auto"/>
              <w:bottom w:val="single" w:sz="4" w:space="0" w:color="auto"/>
              <w:right w:val="single" w:sz="4" w:space="0" w:color="auto"/>
            </w:tcBorders>
            <w:shd w:val="clear" w:color="000000" w:fill="DDEBF7"/>
            <w:noWrap/>
            <w:vAlign w:val="bottom"/>
            <w:hideMark/>
          </w:tcPr>
          <w:p w14:paraId="732DBACB" w14:textId="0C1A8E25" w:rsidR="00B2676A" w:rsidRPr="00EC5F7C" w:rsidRDefault="00B2676A" w:rsidP="0091318C">
            <w:pPr>
              <w:pStyle w:val="Tabletext"/>
              <w:jc w:val="center"/>
              <w:rPr>
                <w:lang w:val="es-ES" w:eastAsia="es-ES"/>
              </w:rPr>
            </w:pPr>
            <w:r w:rsidRPr="00EC5F7C">
              <w:rPr>
                <w:lang w:val="es-ES" w:eastAsia="es-ES"/>
              </w:rPr>
              <w:t>254</w:t>
            </w:r>
            <w:r w:rsidR="007F4E62">
              <w:rPr>
                <w:lang w:val="es-ES" w:eastAsia="es-ES"/>
              </w:rPr>
              <w:t> </w:t>
            </w:r>
            <w:r w:rsidRPr="00EC5F7C">
              <w:rPr>
                <w:lang w:val="es-ES" w:eastAsia="es-ES"/>
              </w:rPr>
              <w:t>162</w:t>
            </w:r>
          </w:p>
        </w:tc>
      </w:tr>
      <w:tr w:rsidR="00B2676A" w:rsidRPr="00415F30" w14:paraId="20C3640D" w14:textId="77777777" w:rsidTr="00BE41AA">
        <w:trPr>
          <w:trHeight w:val="340"/>
        </w:trPr>
        <w:tc>
          <w:tcPr>
            <w:tcW w:w="2776" w:type="pct"/>
            <w:gridSpan w:val="2"/>
            <w:tcBorders>
              <w:top w:val="single" w:sz="4" w:space="0" w:color="auto"/>
              <w:left w:val="single" w:sz="4" w:space="0" w:color="auto"/>
              <w:bottom w:val="nil"/>
              <w:right w:val="single" w:sz="4" w:space="0" w:color="auto"/>
            </w:tcBorders>
            <w:shd w:val="clear" w:color="000000" w:fill="E2EFDA"/>
            <w:vAlign w:val="bottom"/>
            <w:hideMark/>
          </w:tcPr>
          <w:p w14:paraId="60774307" w14:textId="77777777" w:rsidR="00B2676A" w:rsidRPr="00EC5F7C" w:rsidRDefault="00B2676A" w:rsidP="0076578C">
            <w:pPr>
              <w:pStyle w:val="Tabletext"/>
              <w:rPr>
                <w:lang w:val="es-ES" w:eastAsia="es-ES"/>
              </w:rPr>
            </w:pPr>
            <w:r w:rsidRPr="00EC5F7C">
              <w:rPr>
                <w:lang w:val="es-ES" w:eastAsia="es-ES"/>
              </w:rPr>
              <w:t>SFS (espacio-Tierra) en la banda 17,3-17,7 GHz en la Región 2</w:t>
            </w:r>
          </w:p>
        </w:tc>
        <w:tc>
          <w:tcPr>
            <w:tcW w:w="88" w:type="pct"/>
            <w:gridSpan w:val="2"/>
            <w:tcBorders>
              <w:top w:val="nil"/>
              <w:left w:val="nil"/>
              <w:bottom w:val="nil"/>
              <w:right w:val="nil"/>
            </w:tcBorders>
            <w:shd w:val="clear" w:color="auto" w:fill="auto"/>
            <w:noWrap/>
            <w:vAlign w:val="bottom"/>
            <w:hideMark/>
          </w:tcPr>
          <w:p w14:paraId="5A5340E7" w14:textId="77777777" w:rsidR="00B2676A" w:rsidRPr="00EC5F7C" w:rsidRDefault="00B2676A" w:rsidP="0076578C">
            <w:pPr>
              <w:pStyle w:val="Tabletext"/>
              <w:rPr>
                <w:lang w:val="es-ES" w:eastAsia="es-ES"/>
              </w:rPr>
            </w:pPr>
          </w:p>
        </w:tc>
        <w:tc>
          <w:tcPr>
            <w:tcW w:w="853" w:type="pct"/>
            <w:tcBorders>
              <w:top w:val="single" w:sz="4" w:space="0" w:color="auto"/>
              <w:left w:val="single" w:sz="4" w:space="0" w:color="auto"/>
              <w:bottom w:val="nil"/>
              <w:right w:val="single" w:sz="4" w:space="0" w:color="auto"/>
            </w:tcBorders>
            <w:shd w:val="clear" w:color="000000" w:fill="D6DCE4"/>
            <w:noWrap/>
            <w:vAlign w:val="bottom"/>
            <w:hideMark/>
          </w:tcPr>
          <w:p w14:paraId="46EDC432" w14:textId="77CC2C9B" w:rsidR="00B2676A" w:rsidRPr="00EC5F7C" w:rsidRDefault="00B2676A" w:rsidP="007F4E62">
            <w:pPr>
              <w:pStyle w:val="Tabletext"/>
              <w:jc w:val="center"/>
              <w:rPr>
                <w:lang w:val="es-ES" w:eastAsia="es-ES"/>
              </w:rPr>
            </w:pPr>
            <w:r w:rsidRPr="00EC5F7C">
              <w:rPr>
                <w:lang w:val="es-ES" w:eastAsia="es-ES"/>
              </w:rPr>
              <w:t>148</w:t>
            </w:r>
            <w:r w:rsidR="007F4E62">
              <w:rPr>
                <w:lang w:val="es-ES" w:eastAsia="es-ES"/>
              </w:rPr>
              <w:t> </w:t>
            </w:r>
            <w:r w:rsidRPr="00EC5F7C">
              <w:rPr>
                <w:lang w:val="es-ES" w:eastAsia="es-ES"/>
              </w:rPr>
              <w:t>991</w:t>
            </w:r>
          </w:p>
        </w:tc>
        <w:tc>
          <w:tcPr>
            <w:tcW w:w="660" w:type="pct"/>
            <w:tcBorders>
              <w:top w:val="single" w:sz="4" w:space="0" w:color="auto"/>
              <w:left w:val="nil"/>
              <w:bottom w:val="nil"/>
              <w:right w:val="nil"/>
            </w:tcBorders>
            <w:shd w:val="clear" w:color="000000" w:fill="D9E1F2"/>
            <w:noWrap/>
            <w:vAlign w:val="bottom"/>
            <w:hideMark/>
          </w:tcPr>
          <w:p w14:paraId="2A8C89AF" w14:textId="233D7C71" w:rsidR="00B2676A" w:rsidRPr="00EC5F7C" w:rsidRDefault="00B2676A" w:rsidP="007F4E62">
            <w:pPr>
              <w:pStyle w:val="Tabletext"/>
              <w:jc w:val="center"/>
              <w:rPr>
                <w:lang w:val="es-ES" w:eastAsia="es-ES"/>
              </w:rPr>
            </w:pPr>
            <w:r w:rsidRPr="00EC5F7C">
              <w:rPr>
                <w:lang w:val="es-ES" w:eastAsia="es-ES"/>
              </w:rPr>
              <w:t>39</w:t>
            </w:r>
            <w:r w:rsidR="00995AF6">
              <w:rPr>
                <w:lang w:val="es-ES" w:eastAsia="es-ES"/>
              </w:rPr>
              <w:t> </w:t>
            </w:r>
            <w:r w:rsidRPr="00EC5F7C">
              <w:rPr>
                <w:lang w:val="es-ES" w:eastAsia="es-ES"/>
              </w:rPr>
              <w:t>439</w:t>
            </w:r>
          </w:p>
        </w:tc>
        <w:tc>
          <w:tcPr>
            <w:tcW w:w="623" w:type="pct"/>
            <w:gridSpan w:val="2"/>
            <w:tcBorders>
              <w:top w:val="nil"/>
              <w:left w:val="single" w:sz="4" w:space="0" w:color="auto"/>
              <w:bottom w:val="single" w:sz="4" w:space="0" w:color="auto"/>
              <w:right w:val="single" w:sz="4" w:space="0" w:color="auto"/>
            </w:tcBorders>
            <w:shd w:val="clear" w:color="000000" w:fill="DDEBF7"/>
            <w:noWrap/>
            <w:vAlign w:val="bottom"/>
            <w:hideMark/>
          </w:tcPr>
          <w:p w14:paraId="6C8AB80B" w14:textId="73D0C884" w:rsidR="00B2676A" w:rsidRPr="00EC5F7C" w:rsidRDefault="00B2676A" w:rsidP="007F4E62">
            <w:pPr>
              <w:pStyle w:val="Tabletext"/>
              <w:jc w:val="center"/>
              <w:rPr>
                <w:lang w:val="es-ES" w:eastAsia="es-ES"/>
              </w:rPr>
            </w:pPr>
            <w:r w:rsidRPr="00EC5F7C">
              <w:rPr>
                <w:lang w:val="es-ES" w:eastAsia="es-ES"/>
              </w:rPr>
              <w:t>306</w:t>
            </w:r>
            <w:r w:rsidR="00995AF6">
              <w:rPr>
                <w:lang w:val="es-ES" w:eastAsia="es-ES"/>
              </w:rPr>
              <w:t> </w:t>
            </w:r>
            <w:r w:rsidRPr="00EC5F7C">
              <w:rPr>
                <w:lang w:val="es-ES" w:eastAsia="es-ES"/>
              </w:rPr>
              <w:t>747</w:t>
            </w:r>
          </w:p>
        </w:tc>
      </w:tr>
      <w:tr w:rsidR="00B2676A" w:rsidRPr="00415F30" w14:paraId="6DE9376F" w14:textId="77777777" w:rsidTr="00BE41AA">
        <w:trPr>
          <w:trHeight w:val="310"/>
        </w:trPr>
        <w:tc>
          <w:tcPr>
            <w:tcW w:w="2776" w:type="pct"/>
            <w:gridSpan w:val="2"/>
            <w:tcBorders>
              <w:top w:val="single" w:sz="4" w:space="0" w:color="auto"/>
              <w:left w:val="single" w:sz="4" w:space="0" w:color="auto"/>
              <w:bottom w:val="single" w:sz="4" w:space="0" w:color="auto"/>
              <w:right w:val="single" w:sz="4" w:space="0" w:color="auto"/>
            </w:tcBorders>
            <w:shd w:val="clear" w:color="000000" w:fill="E2EFDA"/>
            <w:vAlign w:val="bottom"/>
            <w:hideMark/>
          </w:tcPr>
          <w:p w14:paraId="02E2097D" w14:textId="7DD9E09F" w:rsidR="00B2676A" w:rsidRPr="00EC5F7C" w:rsidRDefault="00B2676A" w:rsidP="0076578C">
            <w:pPr>
              <w:pStyle w:val="Tabletext"/>
              <w:rPr>
                <w:lang w:val="es-ES" w:eastAsia="es-ES"/>
              </w:rPr>
            </w:pPr>
            <w:r w:rsidRPr="00EC5F7C">
              <w:rPr>
                <w:lang w:val="es-ES" w:eastAsia="es-ES"/>
              </w:rPr>
              <w:t>Procedimiento de puesta en servicio de sistemas no OSG después de cada objetivo intermedio (Resolución</w:t>
            </w:r>
            <w:r w:rsidR="007F4E62">
              <w:rPr>
                <w:lang w:val="es-ES" w:eastAsia="es-ES"/>
              </w:rPr>
              <w:t> </w:t>
            </w:r>
            <w:r w:rsidRPr="00EC5F7C">
              <w:rPr>
                <w:lang w:val="es-ES" w:eastAsia="es-ES"/>
              </w:rPr>
              <w:t>35 R</w:t>
            </w:r>
            <w:r w:rsidR="0091318C">
              <w:rPr>
                <w:lang w:val="es-ES" w:eastAsia="es-ES"/>
              </w:rPr>
              <w:t>ev</w:t>
            </w:r>
            <w:r w:rsidRPr="00EC5F7C">
              <w:rPr>
                <w:lang w:val="es-ES" w:eastAsia="es-ES"/>
              </w:rPr>
              <w:t>. CMR-23)</w:t>
            </w:r>
          </w:p>
        </w:tc>
        <w:tc>
          <w:tcPr>
            <w:tcW w:w="88" w:type="pct"/>
            <w:gridSpan w:val="2"/>
            <w:tcBorders>
              <w:top w:val="nil"/>
              <w:left w:val="nil"/>
              <w:bottom w:val="nil"/>
              <w:right w:val="nil"/>
            </w:tcBorders>
            <w:shd w:val="clear" w:color="auto" w:fill="auto"/>
            <w:noWrap/>
            <w:vAlign w:val="bottom"/>
            <w:hideMark/>
          </w:tcPr>
          <w:p w14:paraId="3492ADD1" w14:textId="77777777" w:rsidR="00B2676A" w:rsidRPr="00EC5F7C" w:rsidRDefault="00B2676A" w:rsidP="0076578C">
            <w:pPr>
              <w:pStyle w:val="Tabletext"/>
              <w:rPr>
                <w:lang w:val="es-ES" w:eastAsia="es-ES"/>
              </w:rPr>
            </w:pPr>
          </w:p>
        </w:tc>
        <w:tc>
          <w:tcPr>
            <w:tcW w:w="853" w:type="pct"/>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7A23079C" w14:textId="589D8632" w:rsidR="00B2676A" w:rsidRPr="00EC5F7C" w:rsidRDefault="00B2676A" w:rsidP="007F4E62">
            <w:pPr>
              <w:pStyle w:val="Tabletext"/>
              <w:jc w:val="center"/>
              <w:rPr>
                <w:lang w:val="es-ES" w:eastAsia="es-ES"/>
              </w:rPr>
            </w:pPr>
            <w:r w:rsidRPr="00EC5F7C">
              <w:rPr>
                <w:lang w:val="es-ES" w:eastAsia="es-ES"/>
              </w:rPr>
              <w:t>175</w:t>
            </w:r>
            <w:r w:rsidR="00995AF6">
              <w:rPr>
                <w:lang w:val="es-ES" w:eastAsia="es-ES"/>
              </w:rPr>
              <w:t> </w:t>
            </w:r>
            <w:r w:rsidRPr="00EC5F7C">
              <w:rPr>
                <w:lang w:val="es-ES" w:eastAsia="es-ES"/>
              </w:rPr>
              <w:t>284</w:t>
            </w:r>
          </w:p>
        </w:tc>
        <w:tc>
          <w:tcPr>
            <w:tcW w:w="660" w:type="pct"/>
            <w:tcBorders>
              <w:top w:val="single" w:sz="4" w:space="0" w:color="auto"/>
              <w:left w:val="nil"/>
              <w:bottom w:val="single" w:sz="4" w:space="0" w:color="auto"/>
              <w:right w:val="nil"/>
            </w:tcBorders>
            <w:shd w:val="clear" w:color="000000" w:fill="D9E1F2"/>
            <w:noWrap/>
            <w:vAlign w:val="bottom"/>
            <w:hideMark/>
          </w:tcPr>
          <w:p w14:paraId="2CE7F6F7" w14:textId="1C3B178F" w:rsidR="00B2676A" w:rsidRPr="00EC5F7C" w:rsidRDefault="00B2676A" w:rsidP="007F4E62">
            <w:pPr>
              <w:pStyle w:val="Tabletext"/>
              <w:jc w:val="center"/>
              <w:rPr>
                <w:lang w:val="es-ES" w:eastAsia="es-ES"/>
              </w:rPr>
            </w:pPr>
            <w:r w:rsidRPr="00EC5F7C">
              <w:rPr>
                <w:lang w:val="es-ES" w:eastAsia="es-ES"/>
              </w:rPr>
              <w:t>61</w:t>
            </w:r>
            <w:r w:rsidR="00995AF6">
              <w:rPr>
                <w:lang w:val="es-ES" w:eastAsia="es-ES"/>
              </w:rPr>
              <w:t> </w:t>
            </w:r>
            <w:r w:rsidRPr="00EC5F7C">
              <w:rPr>
                <w:lang w:val="es-ES" w:eastAsia="es-ES"/>
              </w:rPr>
              <w:t>349</w:t>
            </w:r>
          </w:p>
        </w:tc>
        <w:tc>
          <w:tcPr>
            <w:tcW w:w="623" w:type="pct"/>
            <w:gridSpan w:val="2"/>
            <w:tcBorders>
              <w:top w:val="nil"/>
              <w:left w:val="single" w:sz="4" w:space="0" w:color="auto"/>
              <w:bottom w:val="single" w:sz="4" w:space="0" w:color="auto"/>
              <w:right w:val="single" w:sz="4" w:space="0" w:color="auto"/>
            </w:tcBorders>
            <w:shd w:val="clear" w:color="000000" w:fill="DDEBF7"/>
            <w:noWrap/>
            <w:vAlign w:val="bottom"/>
            <w:hideMark/>
          </w:tcPr>
          <w:p w14:paraId="59FA2EFB" w14:textId="7DB1B1C5" w:rsidR="00B2676A" w:rsidRPr="00EC5F7C" w:rsidRDefault="00B2676A" w:rsidP="007F4E62">
            <w:pPr>
              <w:pStyle w:val="Tabletext"/>
              <w:jc w:val="center"/>
              <w:rPr>
                <w:lang w:val="es-ES" w:eastAsia="es-ES"/>
              </w:rPr>
            </w:pPr>
            <w:r w:rsidRPr="00EC5F7C">
              <w:rPr>
                <w:lang w:val="es-ES" w:eastAsia="es-ES"/>
              </w:rPr>
              <w:t>420</w:t>
            </w:r>
            <w:r w:rsidR="00995AF6">
              <w:rPr>
                <w:lang w:val="es-ES" w:eastAsia="es-ES"/>
              </w:rPr>
              <w:t> </w:t>
            </w:r>
            <w:r w:rsidRPr="00EC5F7C">
              <w:rPr>
                <w:lang w:val="es-ES" w:eastAsia="es-ES"/>
              </w:rPr>
              <w:t>682</w:t>
            </w:r>
          </w:p>
        </w:tc>
      </w:tr>
      <w:tr w:rsidR="00B2676A" w:rsidRPr="00415F30" w14:paraId="63307AAB" w14:textId="77777777" w:rsidTr="00BE41AA">
        <w:trPr>
          <w:trHeight w:val="310"/>
        </w:trPr>
        <w:tc>
          <w:tcPr>
            <w:tcW w:w="2776" w:type="pct"/>
            <w:gridSpan w:val="2"/>
            <w:tcBorders>
              <w:top w:val="nil"/>
              <w:left w:val="nil"/>
              <w:bottom w:val="nil"/>
              <w:right w:val="nil"/>
            </w:tcBorders>
            <w:shd w:val="clear" w:color="auto" w:fill="auto"/>
            <w:noWrap/>
            <w:vAlign w:val="bottom"/>
            <w:hideMark/>
          </w:tcPr>
          <w:p w14:paraId="27009EE1" w14:textId="77777777" w:rsidR="00B2676A" w:rsidRPr="00EC5F7C" w:rsidRDefault="00B2676A" w:rsidP="0076578C">
            <w:pPr>
              <w:pStyle w:val="Tabletext"/>
              <w:rPr>
                <w:lang w:val="es-ES" w:eastAsia="es-ES"/>
              </w:rPr>
            </w:pPr>
          </w:p>
        </w:tc>
        <w:tc>
          <w:tcPr>
            <w:tcW w:w="88" w:type="pct"/>
            <w:gridSpan w:val="2"/>
            <w:tcBorders>
              <w:top w:val="nil"/>
              <w:left w:val="nil"/>
              <w:bottom w:val="nil"/>
              <w:right w:val="nil"/>
            </w:tcBorders>
            <w:shd w:val="clear" w:color="auto" w:fill="auto"/>
            <w:noWrap/>
            <w:vAlign w:val="bottom"/>
            <w:hideMark/>
          </w:tcPr>
          <w:p w14:paraId="5DDBD376" w14:textId="77777777" w:rsidR="00B2676A" w:rsidRPr="00415F30" w:rsidRDefault="00B2676A" w:rsidP="0076578C">
            <w:pPr>
              <w:pStyle w:val="Tabletext"/>
              <w:rPr>
                <w:lang w:val="es-ES" w:eastAsia="es-ES"/>
              </w:rPr>
            </w:pPr>
          </w:p>
        </w:tc>
        <w:tc>
          <w:tcPr>
            <w:tcW w:w="853" w:type="pct"/>
            <w:tcBorders>
              <w:top w:val="nil"/>
              <w:left w:val="nil"/>
              <w:bottom w:val="nil"/>
              <w:right w:val="nil"/>
            </w:tcBorders>
            <w:shd w:val="clear" w:color="auto" w:fill="auto"/>
            <w:noWrap/>
            <w:vAlign w:val="bottom"/>
            <w:hideMark/>
          </w:tcPr>
          <w:p w14:paraId="554C38C6" w14:textId="77777777" w:rsidR="00B2676A" w:rsidRPr="00415F30" w:rsidRDefault="00B2676A" w:rsidP="007F4E62">
            <w:pPr>
              <w:pStyle w:val="Tabletext"/>
              <w:jc w:val="center"/>
              <w:rPr>
                <w:lang w:val="es-ES" w:eastAsia="es-ES"/>
              </w:rPr>
            </w:pPr>
          </w:p>
        </w:tc>
        <w:tc>
          <w:tcPr>
            <w:tcW w:w="660" w:type="pct"/>
            <w:tcBorders>
              <w:top w:val="nil"/>
              <w:left w:val="nil"/>
              <w:bottom w:val="nil"/>
              <w:right w:val="nil"/>
            </w:tcBorders>
            <w:shd w:val="clear" w:color="auto" w:fill="auto"/>
            <w:noWrap/>
            <w:vAlign w:val="bottom"/>
            <w:hideMark/>
          </w:tcPr>
          <w:p w14:paraId="682AD4C6" w14:textId="77777777" w:rsidR="00B2676A" w:rsidRPr="00415F30" w:rsidRDefault="00B2676A" w:rsidP="007F4E62">
            <w:pPr>
              <w:pStyle w:val="Tabletext"/>
              <w:jc w:val="center"/>
              <w:rPr>
                <w:lang w:val="es-ES" w:eastAsia="es-ES"/>
              </w:rPr>
            </w:pPr>
          </w:p>
        </w:tc>
        <w:tc>
          <w:tcPr>
            <w:tcW w:w="623" w:type="pct"/>
            <w:gridSpan w:val="2"/>
            <w:tcBorders>
              <w:top w:val="nil"/>
              <w:left w:val="nil"/>
              <w:bottom w:val="nil"/>
              <w:right w:val="nil"/>
            </w:tcBorders>
            <w:shd w:val="clear" w:color="auto" w:fill="auto"/>
            <w:noWrap/>
            <w:vAlign w:val="bottom"/>
            <w:hideMark/>
          </w:tcPr>
          <w:p w14:paraId="4E31AFC2" w14:textId="77777777" w:rsidR="00B2676A" w:rsidRPr="00415F30" w:rsidRDefault="00B2676A" w:rsidP="007F4E62">
            <w:pPr>
              <w:pStyle w:val="Tabletext"/>
              <w:jc w:val="center"/>
              <w:rPr>
                <w:lang w:val="es-ES" w:eastAsia="es-ES"/>
              </w:rPr>
            </w:pPr>
          </w:p>
        </w:tc>
      </w:tr>
      <w:tr w:rsidR="00B2676A" w:rsidRPr="00415F30" w14:paraId="250FBD95" w14:textId="77777777" w:rsidTr="00BE41AA">
        <w:trPr>
          <w:trHeight w:val="310"/>
        </w:trPr>
        <w:tc>
          <w:tcPr>
            <w:tcW w:w="2776" w:type="pct"/>
            <w:gridSpan w:val="2"/>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55DEE01D" w14:textId="77777777" w:rsidR="00B2676A" w:rsidRPr="00EC5F7C" w:rsidRDefault="00B2676A" w:rsidP="0076578C">
            <w:pPr>
              <w:pStyle w:val="Tabletext"/>
              <w:rPr>
                <w:b/>
                <w:bCs/>
                <w:lang w:val="es-ES" w:eastAsia="es-ES"/>
              </w:rPr>
            </w:pPr>
            <w:r w:rsidRPr="00EC5F7C">
              <w:rPr>
                <w:b/>
                <w:bCs/>
                <w:lang w:val="es-ES" w:eastAsia="es-ES"/>
              </w:rPr>
              <w:t>Total</w:t>
            </w:r>
          </w:p>
        </w:tc>
        <w:tc>
          <w:tcPr>
            <w:tcW w:w="88" w:type="pct"/>
            <w:gridSpan w:val="2"/>
            <w:tcBorders>
              <w:top w:val="nil"/>
              <w:left w:val="nil"/>
              <w:bottom w:val="nil"/>
              <w:right w:val="nil"/>
            </w:tcBorders>
            <w:shd w:val="clear" w:color="auto" w:fill="auto"/>
            <w:noWrap/>
            <w:vAlign w:val="bottom"/>
            <w:hideMark/>
          </w:tcPr>
          <w:p w14:paraId="6248AB40" w14:textId="77777777" w:rsidR="00B2676A" w:rsidRPr="00EC5F7C" w:rsidRDefault="00B2676A" w:rsidP="0076578C">
            <w:pPr>
              <w:pStyle w:val="Tabletext"/>
              <w:rPr>
                <w:lang w:val="es-ES" w:eastAsia="es-ES"/>
              </w:rPr>
            </w:pPr>
          </w:p>
        </w:tc>
        <w:tc>
          <w:tcPr>
            <w:tcW w:w="853" w:type="pct"/>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18DE939D" w14:textId="22F3BE07" w:rsidR="00B2676A" w:rsidRPr="00EC5F7C" w:rsidRDefault="00B2676A" w:rsidP="007F4E62">
            <w:pPr>
              <w:pStyle w:val="Tabletext"/>
              <w:jc w:val="center"/>
              <w:rPr>
                <w:lang w:val="es-ES" w:eastAsia="es-ES"/>
              </w:rPr>
            </w:pPr>
            <w:r w:rsidRPr="00EC5F7C">
              <w:rPr>
                <w:lang w:val="es-ES" w:eastAsia="es-ES"/>
              </w:rPr>
              <w:t>2</w:t>
            </w:r>
            <w:r w:rsidR="00995AF6">
              <w:rPr>
                <w:lang w:val="es-ES" w:eastAsia="es-ES"/>
              </w:rPr>
              <w:t> </w:t>
            </w:r>
            <w:r w:rsidRPr="00EC5F7C">
              <w:rPr>
                <w:lang w:val="es-ES" w:eastAsia="es-ES"/>
              </w:rPr>
              <w:t>979</w:t>
            </w:r>
            <w:r w:rsidR="00995AF6">
              <w:rPr>
                <w:lang w:val="es-ES" w:eastAsia="es-ES"/>
              </w:rPr>
              <w:t> </w:t>
            </w:r>
            <w:r w:rsidRPr="00EC5F7C">
              <w:rPr>
                <w:lang w:val="es-ES" w:eastAsia="es-ES"/>
              </w:rPr>
              <w:t>828</w:t>
            </w:r>
          </w:p>
        </w:tc>
        <w:tc>
          <w:tcPr>
            <w:tcW w:w="660" w:type="pct"/>
            <w:tcBorders>
              <w:top w:val="single" w:sz="4" w:space="0" w:color="auto"/>
              <w:left w:val="nil"/>
              <w:bottom w:val="single" w:sz="4" w:space="0" w:color="auto"/>
              <w:right w:val="nil"/>
            </w:tcBorders>
            <w:shd w:val="clear" w:color="000000" w:fill="D9E1F2"/>
            <w:noWrap/>
            <w:vAlign w:val="bottom"/>
            <w:hideMark/>
          </w:tcPr>
          <w:p w14:paraId="2DD1ADF3" w14:textId="6881E2AE" w:rsidR="00B2676A" w:rsidRPr="00EC5F7C" w:rsidRDefault="00B2676A" w:rsidP="007F4E62">
            <w:pPr>
              <w:pStyle w:val="Tabletext"/>
              <w:jc w:val="center"/>
              <w:rPr>
                <w:lang w:val="es-ES" w:eastAsia="es-ES"/>
              </w:rPr>
            </w:pPr>
            <w:r w:rsidRPr="00EC5F7C">
              <w:rPr>
                <w:lang w:val="es-ES" w:eastAsia="es-ES"/>
              </w:rPr>
              <w:t>1</w:t>
            </w:r>
            <w:r w:rsidR="00995AF6">
              <w:rPr>
                <w:lang w:val="es-ES" w:eastAsia="es-ES"/>
              </w:rPr>
              <w:t> </w:t>
            </w:r>
            <w:r w:rsidRPr="00EC5F7C">
              <w:rPr>
                <w:lang w:val="es-ES" w:eastAsia="es-ES"/>
              </w:rPr>
              <w:t>827</w:t>
            </w:r>
            <w:r w:rsidR="00995AF6">
              <w:rPr>
                <w:lang w:val="es-ES" w:eastAsia="es-ES"/>
              </w:rPr>
              <w:t> </w:t>
            </w:r>
            <w:r w:rsidRPr="00EC5F7C">
              <w:rPr>
                <w:lang w:val="es-ES" w:eastAsia="es-ES"/>
              </w:rPr>
              <w:t>336</w:t>
            </w:r>
          </w:p>
        </w:tc>
        <w:tc>
          <w:tcPr>
            <w:tcW w:w="623" w:type="pct"/>
            <w:gridSpan w:val="2"/>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600B1ACB" w14:textId="15CDFD3C" w:rsidR="00B2676A" w:rsidRPr="00EC5F7C" w:rsidRDefault="00B2676A" w:rsidP="007F4E62">
            <w:pPr>
              <w:pStyle w:val="Tabletext"/>
              <w:jc w:val="center"/>
              <w:rPr>
                <w:b/>
                <w:bCs/>
                <w:lang w:val="es-ES" w:eastAsia="es-ES"/>
              </w:rPr>
            </w:pPr>
            <w:r w:rsidRPr="00EC5F7C">
              <w:rPr>
                <w:b/>
                <w:bCs/>
                <w:lang w:val="es-ES" w:eastAsia="es-ES"/>
              </w:rPr>
              <w:t>10</w:t>
            </w:r>
            <w:r w:rsidR="00995AF6">
              <w:rPr>
                <w:b/>
                <w:bCs/>
                <w:lang w:val="es-ES" w:eastAsia="es-ES"/>
              </w:rPr>
              <w:t> </w:t>
            </w:r>
            <w:r w:rsidRPr="00EC5F7C">
              <w:rPr>
                <w:b/>
                <w:bCs/>
                <w:lang w:val="es-ES" w:eastAsia="es-ES"/>
              </w:rPr>
              <w:t>289</w:t>
            </w:r>
            <w:r w:rsidR="00995AF6">
              <w:rPr>
                <w:b/>
                <w:bCs/>
                <w:lang w:val="es-ES" w:eastAsia="es-ES"/>
              </w:rPr>
              <w:t> </w:t>
            </w:r>
            <w:r w:rsidRPr="00EC5F7C">
              <w:rPr>
                <w:b/>
                <w:bCs/>
                <w:lang w:val="es-ES" w:eastAsia="es-ES"/>
              </w:rPr>
              <w:t>171</w:t>
            </w:r>
          </w:p>
        </w:tc>
      </w:tr>
      <w:tr w:rsidR="00B2676A" w:rsidRPr="00415F30" w14:paraId="6EEFE23F" w14:textId="77777777" w:rsidTr="00BE41AA">
        <w:trPr>
          <w:trHeight w:val="310"/>
        </w:trPr>
        <w:tc>
          <w:tcPr>
            <w:tcW w:w="2776" w:type="pct"/>
            <w:gridSpan w:val="2"/>
            <w:tcBorders>
              <w:top w:val="nil"/>
              <w:left w:val="nil"/>
              <w:bottom w:val="nil"/>
              <w:right w:val="nil"/>
            </w:tcBorders>
            <w:shd w:val="clear" w:color="auto" w:fill="auto"/>
            <w:noWrap/>
            <w:vAlign w:val="bottom"/>
            <w:hideMark/>
          </w:tcPr>
          <w:p w14:paraId="67E8BCD1" w14:textId="77777777" w:rsidR="00B2676A" w:rsidRPr="00415F30" w:rsidRDefault="00B2676A" w:rsidP="0076578C">
            <w:pPr>
              <w:tabs>
                <w:tab w:val="clear" w:pos="1134"/>
                <w:tab w:val="clear" w:pos="2268"/>
              </w:tabs>
              <w:overflowPunct/>
              <w:autoSpaceDE/>
              <w:autoSpaceDN/>
              <w:adjustRightInd/>
              <w:spacing w:before="0"/>
              <w:jc w:val="right"/>
              <w:textAlignment w:val="auto"/>
              <w:rPr>
                <w:rFonts w:cs="Calibri"/>
                <w:b/>
                <w:bCs/>
                <w:color w:val="000000"/>
                <w:szCs w:val="24"/>
                <w:lang w:val="es-ES" w:eastAsia="es-ES"/>
              </w:rPr>
            </w:pPr>
          </w:p>
        </w:tc>
        <w:tc>
          <w:tcPr>
            <w:tcW w:w="88" w:type="pct"/>
            <w:gridSpan w:val="2"/>
            <w:tcBorders>
              <w:top w:val="nil"/>
              <w:left w:val="nil"/>
              <w:bottom w:val="nil"/>
              <w:right w:val="nil"/>
            </w:tcBorders>
            <w:shd w:val="clear" w:color="auto" w:fill="auto"/>
            <w:noWrap/>
            <w:vAlign w:val="bottom"/>
            <w:hideMark/>
          </w:tcPr>
          <w:p w14:paraId="66A086E6" w14:textId="77777777" w:rsidR="00B2676A" w:rsidRPr="00415F30" w:rsidRDefault="00B2676A" w:rsidP="0076578C">
            <w:pPr>
              <w:tabs>
                <w:tab w:val="clear" w:pos="1134"/>
                <w:tab w:val="clear" w:pos="2268"/>
              </w:tabs>
              <w:overflowPunct/>
              <w:autoSpaceDE/>
              <w:autoSpaceDN/>
              <w:adjustRightInd/>
              <w:spacing w:before="0"/>
              <w:textAlignment w:val="auto"/>
              <w:rPr>
                <w:sz w:val="20"/>
                <w:lang w:val="es-ES" w:eastAsia="es-ES"/>
              </w:rPr>
            </w:pPr>
          </w:p>
        </w:tc>
        <w:tc>
          <w:tcPr>
            <w:tcW w:w="853" w:type="pct"/>
            <w:tcBorders>
              <w:top w:val="nil"/>
              <w:left w:val="nil"/>
              <w:bottom w:val="nil"/>
              <w:right w:val="nil"/>
            </w:tcBorders>
            <w:shd w:val="clear" w:color="auto" w:fill="auto"/>
            <w:noWrap/>
            <w:vAlign w:val="bottom"/>
            <w:hideMark/>
          </w:tcPr>
          <w:p w14:paraId="376411C1" w14:textId="77777777" w:rsidR="00B2676A" w:rsidRPr="00415F30" w:rsidRDefault="00B2676A" w:rsidP="007F4E62">
            <w:pPr>
              <w:tabs>
                <w:tab w:val="clear" w:pos="1134"/>
                <w:tab w:val="clear" w:pos="2268"/>
              </w:tabs>
              <w:overflowPunct/>
              <w:autoSpaceDE/>
              <w:autoSpaceDN/>
              <w:adjustRightInd/>
              <w:spacing w:before="0"/>
              <w:jc w:val="center"/>
              <w:textAlignment w:val="auto"/>
              <w:rPr>
                <w:sz w:val="20"/>
                <w:lang w:val="es-ES" w:eastAsia="es-ES"/>
              </w:rPr>
            </w:pPr>
          </w:p>
        </w:tc>
        <w:tc>
          <w:tcPr>
            <w:tcW w:w="660" w:type="pct"/>
            <w:tcBorders>
              <w:top w:val="nil"/>
              <w:left w:val="nil"/>
              <w:bottom w:val="nil"/>
              <w:right w:val="nil"/>
            </w:tcBorders>
            <w:shd w:val="clear" w:color="auto" w:fill="auto"/>
            <w:noWrap/>
            <w:vAlign w:val="bottom"/>
            <w:hideMark/>
          </w:tcPr>
          <w:p w14:paraId="1509D7AE" w14:textId="77777777" w:rsidR="00B2676A" w:rsidRPr="00415F30" w:rsidRDefault="00B2676A" w:rsidP="007F4E62">
            <w:pPr>
              <w:tabs>
                <w:tab w:val="clear" w:pos="1134"/>
                <w:tab w:val="clear" w:pos="2268"/>
              </w:tabs>
              <w:overflowPunct/>
              <w:autoSpaceDE/>
              <w:autoSpaceDN/>
              <w:adjustRightInd/>
              <w:spacing w:before="0"/>
              <w:jc w:val="center"/>
              <w:textAlignment w:val="auto"/>
              <w:rPr>
                <w:sz w:val="20"/>
                <w:lang w:val="es-ES" w:eastAsia="es-ES"/>
              </w:rPr>
            </w:pPr>
          </w:p>
        </w:tc>
        <w:tc>
          <w:tcPr>
            <w:tcW w:w="623" w:type="pct"/>
            <w:gridSpan w:val="2"/>
            <w:tcBorders>
              <w:top w:val="nil"/>
              <w:left w:val="nil"/>
              <w:bottom w:val="nil"/>
              <w:right w:val="nil"/>
            </w:tcBorders>
            <w:shd w:val="clear" w:color="auto" w:fill="auto"/>
            <w:noWrap/>
            <w:vAlign w:val="bottom"/>
            <w:hideMark/>
          </w:tcPr>
          <w:p w14:paraId="35A3FB63" w14:textId="77777777" w:rsidR="00B2676A" w:rsidRPr="00415F30" w:rsidRDefault="00B2676A" w:rsidP="007F4E62">
            <w:pPr>
              <w:tabs>
                <w:tab w:val="clear" w:pos="1134"/>
                <w:tab w:val="clear" w:pos="2268"/>
              </w:tabs>
              <w:overflowPunct/>
              <w:autoSpaceDE/>
              <w:autoSpaceDN/>
              <w:adjustRightInd/>
              <w:spacing w:before="0"/>
              <w:jc w:val="center"/>
              <w:textAlignment w:val="auto"/>
              <w:rPr>
                <w:sz w:val="20"/>
                <w:lang w:val="es-ES" w:eastAsia="es-ES"/>
              </w:rPr>
            </w:pPr>
          </w:p>
        </w:tc>
      </w:tr>
      <w:tr w:rsidR="00B2676A" w:rsidRPr="00415F30" w14:paraId="1A019997" w14:textId="77777777" w:rsidTr="00BE41AA">
        <w:trPr>
          <w:gridAfter w:val="1"/>
          <w:wAfter w:w="8" w:type="pct"/>
          <w:trHeight w:val="660"/>
        </w:trPr>
        <w:tc>
          <w:tcPr>
            <w:tcW w:w="4992" w:type="pct"/>
            <w:gridSpan w:val="7"/>
            <w:tcBorders>
              <w:top w:val="nil"/>
              <w:left w:val="nil"/>
              <w:bottom w:val="nil"/>
              <w:right w:val="nil"/>
            </w:tcBorders>
            <w:shd w:val="clear" w:color="auto" w:fill="auto"/>
            <w:vAlign w:val="bottom"/>
            <w:hideMark/>
          </w:tcPr>
          <w:p w14:paraId="03C79090" w14:textId="02C371FD" w:rsidR="00B2676A" w:rsidRPr="002B26C8" w:rsidRDefault="0091318C" w:rsidP="0076578C">
            <w:pPr>
              <w:pStyle w:val="Note"/>
              <w:rPr>
                <w:lang w:val="es-ES"/>
              </w:rPr>
            </w:pPr>
            <w:r>
              <w:rPr>
                <w:lang w:val="es-ES"/>
              </w:rPr>
              <w:t xml:space="preserve">Nota para la Res. 76: el </w:t>
            </w:r>
            <w:r>
              <w:rPr>
                <w:lang w:val="es-ES"/>
              </w:rPr>
              <w:t>"</w:t>
            </w:r>
            <w:r>
              <w:rPr>
                <w:lang w:val="es-ES"/>
              </w:rPr>
              <w:t>encarga 4</w:t>
            </w:r>
            <w:r>
              <w:rPr>
                <w:lang w:val="es-ES"/>
              </w:rPr>
              <w:t>"</w:t>
            </w:r>
            <w:r>
              <w:rPr>
                <w:lang w:val="es-ES"/>
              </w:rPr>
              <w:t xml:space="preserve"> puede implicar que el Consejo tenga que examinar la posibilidad de obtener financiación adicional (para el programa de simulación de dfpe agregada) pero en este momento no puede proporcionarse una estimación.</w:t>
            </w:r>
          </w:p>
        </w:tc>
      </w:tr>
    </w:tbl>
    <w:p w14:paraId="01606D26" w14:textId="77777777" w:rsidR="00E0738F" w:rsidRDefault="00E0738F" w:rsidP="00E0738F">
      <w:pPr>
        <w:spacing w:before="0"/>
        <w:rPr>
          <w:lang w:val="es-ES"/>
        </w:rPr>
      </w:pPr>
    </w:p>
    <w:p w14:paraId="6B4804B9" w14:textId="581DC31A" w:rsidR="00E0738F" w:rsidRPr="005456B9" w:rsidRDefault="000571DC" w:rsidP="00E0738F">
      <w:pPr>
        <w:pStyle w:val="Heading1"/>
        <w:rPr>
          <w:lang w:val="es-ES"/>
        </w:rPr>
      </w:pPr>
      <w:bookmarkStart w:id="2" w:name="_Hlk163251339"/>
      <w:r>
        <w:rPr>
          <w:bCs/>
          <w:lang w:val="es-ES"/>
        </w:rPr>
        <w:t>3</w:t>
      </w:r>
      <w:r>
        <w:rPr>
          <w:bCs/>
          <w:lang w:val="es-ES"/>
        </w:rPr>
        <w:tab/>
      </w:r>
      <w:r w:rsidR="00E0738F" w:rsidRPr="005456B9">
        <w:rPr>
          <w:bCs/>
          <w:lang w:val="es-ES"/>
        </w:rPr>
        <w:t>Repercusiones presupuestarias en 2024 de las decisiones de la CMR-23</w:t>
      </w:r>
    </w:p>
    <w:bookmarkEnd w:id="2"/>
    <w:p w14:paraId="44EA16B5" w14:textId="3EB489B8" w:rsidR="00E0738F" w:rsidRPr="005456B9" w:rsidRDefault="000571DC" w:rsidP="00E0738F">
      <w:pPr>
        <w:pStyle w:val="Heading2"/>
        <w:rPr>
          <w:lang w:val="es-ES"/>
        </w:rPr>
      </w:pPr>
      <w:r>
        <w:rPr>
          <w:bCs/>
          <w:lang w:val="es-ES"/>
        </w:rPr>
        <w:t>3.1</w:t>
      </w:r>
      <w:r>
        <w:rPr>
          <w:bCs/>
          <w:lang w:val="es-ES"/>
        </w:rPr>
        <w:tab/>
      </w:r>
      <w:r w:rsidR="00E0738F" w:rsidRPr="005456B9">
        <w:rPr>
          <w:bCs/>
          <w:lang w:val="es-ES"/>
        </w:rPr>
        <w:t>Repercusiones presupuestarias en 2024 de los preparativos de la CMR-27</w:t>
      </w:r>
    </w:p>
    <w:p w14:paraId="6375F98A" w14:textId="14BBC556" w:rsidR="00E0738F" w:rsidRPr="005456B9" w:rsidRDefault="00E0738F" w:rsidP="000571DC">
      <w:pPr>
        <w:rPr>
          <w:lang w:val="es-ES"/>
        </w:rPr>
      </w:pPr>
      <w:r w:rsidRPr="005456B9">
        <w:rPr>
          <w:lang w:val="es-ES"/>
        </w:rPr>
        <w:t xml:space="preserve">El proceso de preparación de la CMR-27 está siendo iniciado por cada Comisión de Estudio del UIT-R y sus Grupos de Trabajo asociados, de conformidad con los resultados y decisiones de la primera Reunión Preparatoria de la Conferencia para la CMR-27, que se celebró en Dubái (Emiratos Árabes Unidos), los días 18 y 19 de diciembre de 2023, indicados en </w:t>
      </w:r>
      <w:hyperlink r:id="rId12" w:history="1">
        <w:r w:rsidRPr="005456B9">
          <w:rPr>
            <w:rStyle w:val="Hyperlink"/>
            <w:lang w:val="es-ES"/>
          </w:rPr>
          <w:t>CA-</w:t>
        </w:r>
        <w:r w:rsidRPr="005456B9">
          <w:rPr>
            <w:rStyle w:val="Hyperlink"/>
            <w:lang w:val="es-ES"/>
          </w:rPr>
          <w:t>2</w:t>
        </w:r>
        <w:r w:rsidRPr="005456B9">
          <w:rPr>
            <w:rStyle w:val="Hyperlink"/>
            <w:lang w:val="es-ES"/>
          </w:rPr>
          <w:t>70</w:t>
        </w:r>
      </w:hyperlink>
      <w:r w:rsidRPr="005456B9">
        <w:rPr>
          <w:lang w:val="es-ES"/>
        </w:rPr>
        <w:t>. La Comisión de Control del Presupuesto identificó que algunos de los temas del orden del día de la CMR-27 requerirían la celebración de más reuniones y la producción de más documentación de lo previsto actualmente. Estos costes, sin embargo, no se asumirían en 2024 porque las Comisiones de Estudio del UIT-R y sus Grupos de Trabajo asociados acaban de comenzar el proceso de preparación y de estructurar sus programas de trabajo y los estudios que se llevarán a cabo. Por este motivo, no se incurrirá en 2024 en ninguno de los costes asociados a los preparativos de la CMR-27.</w:t>
      </w:r>
    </w:p>
    <w:p w14:paraId="6ACDEC5F" w14:textId="4212D04B" w:rsidR="00E0738F" w:rsidRPr="005456B9" w:rsidRDefault="000571DC" w:rsidP="00E0738F">
      <w:pPr>
        <w:pStyle w:val="Heading2"/>
        <w:rPr>
          <w:rFonts w:eastAsia="Verdana"/>
          <w:lang w:val="es-ES"/>
        </w:rPr>
      </w:pPr>
      <w:r>
        <w:rPr>
          <w:bCs/>
          <w:lang w:val="es-ES"/>
        </w:rPr>
        <w:t>3.2</w:t>
      </w:r>
      <w:r>
        <w:rPr>
          <w:bCs/>
          <w:lang w:val="es-ES"/>
        </w:rPr>
        <w:tab/>
      </w:r>
      <w:r w:rsidR="00E0738F" w:rsidRPr="005456B9">
        <w:rPr>
          <w:bCs/>
          <w:lang w:val="es-ES"/>
        </w:rPr>
        <w:t>Repercusiones presupuestarias en 2024 de las decisiones de la CMR-23 relacionadas con los servicios espaciales y terrenales</w:t>
      </w:r>
    </w:p>
    <w:p w14:paraId="75977988" w14:textId="77777777" w:rsidR="00E0738F" w:rsidRPr="005456B9" w:rsidRDefault="00E0738F" w:rsidP="000571DC">
      <w:pPr>
        <w:rPr>
          <w:rFonts w:asciiTheme="minorHAnsi" w:hAnsiTheme="minorHAnsi" w:cstheme="minorHAnsi"/>
          <w:bCs/>
          <w:sz w:val="26"/>
          <w:szCs w:val="26"/>
          <w:lang w:val="es-ES"/>
        </w:rPr>
      </w:pPr>
      <w:r w:rsidRPr="005456B9">
        <w:rPr>
          <w:lang w:val="es-ES"/>
        </w:rPr>
        <w:t>Los nuevos desarrollos de programas necesarios para aplicar las decisiones de la CMR-23 para los servicios espaciales y terrenales implicarán costes extraordinarios para la BR. El presupuesto para estos desarrollos se necesita en 2024 de manera que este trabajo se pueda llevar a cabo antes de que el Reglamento de Radiocomunicaciones (en su versión de 2024) entre en vigor el 1 de enero de 2025. En el Cuadro 3-1 se muestran los costes en que la BR incurrirá para aplicar las decisiones de la Conferencia en relación con los servicios espaciales y terrenales.</w:t>
      </w:r>
    </w:p>
    <w:p w14:paraId="5A26EDD5" w14:textId="4401FC87" w:rsidR="00E0738F" w:rsidRPr="00012013" w:rsidRDefault="00E0738F" w:rsidP="00FA4306">
      <w:pPr>
        <w:pStyle w:val="TableNo"/>
        <w:spacing w:after="0"/>
        <w:rPr>
          <w:lang w:val="es-ES"/>
        </w:rPr>
      </w:pPr>
      <w:r w:rsidRPr="00012013">
        <w:rPr>
          <w:lang w:val="es-ES"/>
        </w:rPr>
        <w:lastRenderedPageBreak/>
        <w:t>CUADRO 3-1</w:t>
      </w:r>
    </w:p>
    <w:p w14:paraId="227EDF0B" w14:textId="41721C81" w:rsidR="00E0738F" w:rsidRPr="005456B9" w:rsidRDefault="00FA4306" w:rsidP="00FA4306">
      <w:pPr>
        <w:pStyle w:val="Tabletitle"/>
        <w:rPr>
          <w:rFonts w:asciiTheme="minorHAnsi" w:hAnsiTheme="minorHAnsi" w:cstheme="minorHAnsi"/>
          <w:sz w:val="26"/>
          <w:szCs w:val="26"/>
          <w:lang w:val="es-ES"/>
        </w:rPr>
      </w:pPr>
      <w:r>
        <w:rPr>
          <w:lang w:val="es-ES"/>
        </w:rPr>
        <w:br/>
      </w:r>
      <w:r w:rsidR="00E0738F" w:rsidRPr="005456B9">
        <w:rPr>
          <w:lang w:val="es-ES"/>
        </w:rPr>
        <w:t>PRESUPUESTO NECESARIO EN 2024 PARA EL DESARROLLO DE PROGRAMAS RELATIVOS A LOS SERVICIOS ESPACIALES Y TERRENALES</w:t>
      </w:r>
    </w:p>
    <w:tbl>
      <w:tblPr>
        <w:tblW w:w="8724" w:type="dxa"/>
        <w:tblInd w:w="-5" w:type="dxa"/>
        <w:tblLayout w:type="fixed"/>
        <w:tblLook w:val="04A0" w:firstRow="1" w:lastRow="0" w:firstColumn="1" w:lastColumn="0" w:noHBand="0" w:noVBand="1"/>
      </w:tblPr>
      <w:tblGrid>
        <w:gridCol w:w="7224"/>
        <w:gridCol w:w="1500"/>
      </w:tblGrid>
      <w:tr w:rsidR="00E0738F" w:rsidRPr="00A4553D" w14:paraId="0CB2C4EE" w14:textId="77777777" w:rsidTr="0076578C">
        <w:trPr>
          <w:trHeight w:val="300"/>
        </w:trPr>
        <w:tc>
          <w:tcPr>
            <w:tcW w:w="7220" w:type="dxa"/>
            <w:tcBorders>
              <w:top w:val="nil"/>
              <w:left w:val="nil"/>
              <w:bottom w:val="nil"/>
              <w:right w:val="nil"/>
            </w:tcBorders>
            <w:shd w:val="clear" w:color="auto" w:fill="auto"/>
            <w:noWrap/>
            <w:vAlign w:val="bottom"/>
            <w:hideMark/>
          </w:tcPr>
          <w:p w14:paraId="783F7A97" w14:textId="77777777" w:rsidR="00E0738F" w:rsidRPr="005456B9" w:rsidRDefault="00E0738F" w:rsidP="0076578C">
            <w:pPr>
              <w:rPr>
                <w:rFonts w:ascii="Times New Roman" w:hAnsi="Times New Roman"/>
                <w:b/>
                <w:szCs w:val="24"/>
                <w:lang w:val="es-ES" w:eastAsia="en-GB"/>
              </w:rPr>
            </w:pPr>
          </w:p>
        </w:tc>
        <w:tc>
          <w:tcPr>
            <w:tcW w:w="1499" w:type="dxa"/>
            <w:tcBorders>
              <w:top w:val="nil"/>
              <w:left w:val="nil"/>
              <w:bottom w:val="nil"/>
              <w:right w:val="nil"/>
            </w:tcBorders>
            <w:shd w:val="clear" w:color="auto" w:fill="auto"/>
            <w:noWrap/>
            <w:vAlign w:val="bottom"/>
            <w:hideMark/>
          </w:tcPr>
          <w:p w14:paraId="364EEBA4" w14:textId="77777777" w:rsidR="00E0738F" w:rsidRPr="005456B9" w:rsidRDefault="00E0738F" w:rsidP="0076578C">
            <w:pPr>
              <w:rPr>
                <w:rFonts w:ascii="Times New Roman" w:hAnsi="Times New Roman"/>
                <w:b/>
                <w:sz w:val="20"/>
                <w:lang w:val="es-ES" w:eastAsia="en-GB"/>
              </w:rPr>
            </w:pPr>
          </w:p>
        </w:tc>
      </w:tr>
      <w:tr w:rsidR="00E0738F" w:rsidRPr="005456B9" w14:paraId="7BC07D69" w14:textId="77777777" w:rsidTr="0076578C">
        <w:trPr>
          <w:trHeight w:val="300"/>
        </w:trPr>
        <w:tc>
          <w:tcPr>
            <w:tcW w:w="72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139837A" w14:textId="77777777" w:rsidR="00E0738F" w:rsidRPr="005456B9" w:rsidRDefault="00E0738F" w:rsidP="00B82F91">
            <w:pPr>
              <w:pStyle w:val="Tablehead"/>
              <w:rPr>
                <w:rFonts w:cs="Calibri"/>
                <w:color w:val="000000"/>
                <w:sz w:val="28"/>
                <w:szCs w:val="28"/>
                <w:lang w:val="es-ES"/>
              </w:rPr>
            </w:pPr>
            <w:r w:rsidRPr="005456B9">
              <w:rPr>
                <w:lang w:val="es-ES"/>
              </w:rPr>
              <w:t>Referencia y descripción de las actas finales de la CMR-23</w:t>
            </w:r>
          </w:p>
        </w:tc>
        <w:tc>
          <w:tcPr>
            <w:tcW w:w="1499" w:type="dxa"/>
            <w:tcBorders>
              <w:top w:val="single" w:sz="8" w:space="0" w:color="auto"/>
              <w:left w:val="nil"/>
              <w:bottom w:val="single" w:sz="8" w:space="0" w:color="auto"/>
              <w:right w:val="single" w:sz="8" w:space="0" w:color="auto"/>
            </w:tcBorders>
            <w:shd w:val="clear" w:color="auto" w:fill="auto"/>
            <w:vAlign w:val="center"/>
            <w:hideMark/>
          </w:tcPr>
          <w:p w14:paraId="5675AED1" w14:textId="77777777" w:rsidR="00E0738F" w:rsidRPr="005456B9" w:rsidRDefault="00E0738F" w:rsidP="00B82F91">
            <w:pPr>
              <w:pStyle w:val="Tablehead"/>
              <w:rPr>
                <w:rFonts w:cs="Calibri"/>
                <w:color w:val="000000"/>
                <w:lang w:val="es-ES"/>
              </w:rPr>
            </w:pPr>
            <w:r w:rsidRPr="005456B9">
              <w:rPr>
                <w:lang w:val="es-ES"/>
              </w:rPr>
              <w:t>CHF</w:t>
            </w:r>
          </w:p>
        </w:tc>
      </w:tr>
      <w:tr w:rsidR="00E0738F" w:rsidRPr="00A4553D" w14:paraId="40C9A57F" w14:textId="77777777" w:rsidTr="0076578C">
        <w:trPr>
          <w:trHeight w:val="300"/>
        </w:trPr>
        <w:tc>
          <w:tcPr>
            <w:tcW w:w="8719" w:type="dxa"/>
            <w:gridSpan w:val="2"/>
            <w:tcBorders>
              <w:top w:val="nil"/>
              <w:left w:val="single" w:sz="8" w:space="0" w:color="auto"/>
              <w:bottom w:val="single" w:sz="8" w:space="0" w:color="auto"/>
              <w:right w:val="single" w:sz="8" w:space="0" w:color="auto"/>
            </w:tcBorders>
            <w:shd w:val="clear" w:color="auto" w:fill="FBD4B4" w:themeFill="accent6" w:themeFillTint="66"/>
            <w:vAlign w:val="center"/>
            <w:hideMark/>
          </w:tcPr>
          <w:p w14:paraId="22981E28" w14:textId="77777777" w:rsidR="00E0738F" w:rsidRPr="005456B9" w:rsidRDefault="00E0738F" w:rsidP="00B82F91">
            <w:pPr>
              <w:pStyle w:val="Tablehead"/>
              <w:rPr>
                <w:rFonts w:cs="Calibri"/>
                <w:color w:val="000000"/>
                <w:lang w:val="es-ES"/>
              </w:rPr>
            </w:pPr>
            <w:r w:rsidRPr="005456B9">
              <w:rPr>
                <w:lang w:val="es-ES"/>
              </w:rPr>
              <w:t>Desarrollo de programas para los servicios de radiocomunicaciones terrenales</w:t>
            </w:r>
          </w:p>
        </w:tc>
      </w:tr>
      <w:tr w:rsidR="00E0738F" w:rsidRPr="005456B9" w14:paraId="4C2D2823" w14:textId="77777777" w:rsidTr="0076578C">
        <w:trPr>
          <w:trHeight w:val="300"/>
        </w:trPr>
        <w:tc>
          <w:tcPr>
            <w:tcW w:w="7220" w:type="dxa"/>
            <w:tcBorders>
              <w:top w:val="nil"/>
              <w:left w:val="single" w:sz="8" w:space="0" w:color="auto"/>
              <w:bottom w:val="single" w:sz="8" w:space="0" w:color="auto"/>
              <w:right w:val="single" w:sz="8" w:space="0" w:color="auto"/>
            </w:tcBorders>
            <w:shd w:val="clear" w:color="auto" w:fill="auto"/>
            <w:vAlign w:val="center"/>
            <w:hideMark/>
          </w:tcPr>
          <w:p w14:paraId="12DEBF1F" w14:textId="77777777" w:rsidR="00E0738F" w:rsidRPr="005456B9" w:rsidRDefault="00E0738F" w:rsidP="00B82F91">
            <w:pPr>
              <w:pStyle w:val="Tabletext"/>
              <w:rPr>
                <w:rFonts w:cs="Calibri"/>
                <w:color w:val="000000"/>
                <w:lang w:val="es-ES"/>
              </w:rPr>
            </w:pPr>
            <w:r w:rsidRPr="005456B9">
              <w:rPr>
                <w:lang w:val="es-ES"/>
              </w:rPr>
              <w:t>Nuevas condiciones y cálculos del límite de dfp para HIBS</w:t>
            </w:r>
          </w:p>
        </w:tc>
        <w:tc>
          <w:tcPr>
            <w:tcW w:w="1499" w:type="dxa"/>
            <w:tcBorders>
              <w:top w:val="nil"/>
              <w:left w:val="nil"/>
              <w:bottom w:val="single" w:sz="8" w:space="0" w:color="auto"/>
              <w:right w:val="single" w:sz="8" w:space="0" w:color="auto"/>
            </w:tcBorders>
            <w:shd w:val="clear" w:color="auto" w:fill="auto"/>
            <w:vAlign w:val="center"/>
            <w:hideMark/>
          </w:tcPr>
          <w:p w14:paraId="0656D4C4" w14:textId="22CB5E30" w:rsidR="00E0738F" w:rsidRPr="005456B9" w:rsidRDefault="00E0738F" w:rsidP="00B82F91">
            <w:pPr>
              <w:pStyle w:val="Tabletext"/>
              <w:rPr>
                <w:rFonts w:cs="Calibri"/>
                <w:color w:val="000000"/>
                <w:lang w:val="es-ES"/>
              </w:rPr>
            </w:pPr>
            <w:r w:rsidRPr="005456B9">
              <w:rPr>
                <w:lang w:val="es-ES"/>
              </w:rPr>
              <w:t>175</w:t>
            </w:r>
            <w:r w:rsidR="00995AF6">
              <w:rPr>
                <w:lang w:val="es-ES"/>
              </w:rPr>
              <w:t> </w:t>
            </w:r>
            <w:r w:rsidRPr="005456B9">
              <w:rPr>
                <w:lang w:val="es-ES"/>
              </w:rPr>
              <w:t>284,00</w:t>
            </w:r>
          </w:p>
        </w:tc>
      </w:tr>
      <w:tr w:rsidR="00E0738F" w:rsidRPr="005456B9" w14:paraId="66A59C64" w14:textId="77777777" w:rsidTr="0076578C">
        <w:trPr>
          <w:trHeight w:val="590"/>
        </w:trPr>
        <w:tc>
          <w:tcPr>
            <w:tcW w:w="7220" w:type="dxa"/>
            <w:tcBorders>
              <w:top w:val="nil"/>
              <w:left w:val="single" w:sz="8" w:space="0" w:color="auto"/>
              <w:bottom w:val="single" w:sz="8" w:space="0" w:color="auto"/>
              <w:right w:val="single" w:sz="8" w:space="0" w:color="auto"/>
            </w:tcBorders>
            <w:shd w:val="clear" w:color="auto" w:fill="auto"/>
            <w:vAlign w:val="center"/>
            <w:hideMark/>
          </w:tcPr>
          <w:p w14:paraId="7B69A4BF" w14:textId="77777777" w:rsidR="00E0738F" w:rsidRPr="005456B9" w:rsidRDefault="00E0738F" w:rsidP="00B82F91">
            <w:pPr>
              <w:pStyle w:val="Tabletext"/>
              <w:rPr>
                <w:rFonts w:cs="Calibri"/>
                <w:color w:val="000000"/>
                <w:vertAlign w:val="superscript"/>
                <w:lang w:val="es-ES"/>
              </w:rPr>
            </w:pPr>
            <w:r w:rsidRPr="005456B9">
              <w:rPr>
                <w:lang w:val="es-ES"/>
              </w:rPr>
              <w:t>Cálculo del límite de dfp para las IMT con la directividad de la antena asociada en virtud del número 5.441B</w:t>
            </w:r>
            <w:r w:rsidRPr="005456B9">
              <w:rPr>
                <w:i/>
                <w:iCs/>
                <w:vertAlign w:val="superscript"/>
                <w:lang w:val="es-ES"/>
              </w:rPr>
              <w:t>Nota 1</w:t>
            </w:r>
          </w:p>
        </w:tc>
        <w:tc>
          <w:tcPr>
            <w:tcW w:w="1499" w:type="dxa"/>
            <w:tcBorders>
              <w:top w:val="nil"/>
              <w:left w:val="nil"/>
              <w:bottom w:val="single" w:sz="8" w:space="0" w:color="auto"/>
              <w:right w:val="single" w:sz="8" w:space="0" w:color="auto"/>
            </w:tcBorders>
            <w:shd w:val="clear" w:color="auto" w:fill="auto"/>
            <w:vAlign w:val="center"/>
            <w:hideMark/>
          </w:tcPr>
          <w:p w14:paraId="1EE23205" w14:textId="7D3D85B6" w:rsidR="00E0738F" w:rsidRPr="005456B9" w:rsidRDefault="00E0738F" w:rsidP="00B82F91">
            <w:pPr>
              <w:pStyle w:val="Tabletext"/>
              <w:rPr>
                <w:rFonts w:cs="Calibri"/>
                <w:color w:val="000000"/>
                <w:lang w:val="es-ES"/>
              </w:rPr>
            </w:pPr>
            <w:r w:rsidRPr="005456B9">
              <w:rPr>
                <w:lang w:val="es-ES"/>
              </w:rPr>
              <w:t>52</w:t>
            </w:r>
            <w:r w:rsidR="00995AF6">
              <w:rPr>
                <w:lang w:val="es-ES"/>
              </w:rPr>
              <w:t> </w:t>
            </w:r>
            <w:r w:rsidRPr="005456B9">
              <w:rPr>
                <w:lang w:val="es-ES"/>
              </w:rPr>
              <w:t>585,00</w:t>
            </w:r>
          </w:p>
        </w:tc>
      </w:tr>
      <w:tr w:rsidR="00E0738F" w:rsidRPr="005456B9" w14:paraId="3B8923B5" w14:textId="77777777" w:rsidTr="0076578C">
        <w:trPr>
          <w:trHeight w:val="300"/>
        </w:trPr>
        <w:tc>
          <w:tcPr>
            <w:tcW w:w="7220" w:type="dxa"/>
            <w:tcBorders>
              <w:top w:val="nil"/>
              <w:left w:val="single" w:sz="8" w:space="0" w:color="auto"/>
              <w:bottom w:val="single" w:sz="8" w:space="0" w:color="auto"/>
              <w:right w:val="single" w:sz="8" w:space="0" w:color="auto"/>
            </w:tcBorders>
            <w:shd w:val="clear" w:color="auto" w:fill="auto"/>
            <w:vAlign w:val="center"/>
            <w:hideMark/>
          </w:tcPr>
          <w:p w14:paraId="7A6D9977" w14:textId="77777777" w:rsidR="00E0738F" w:rsidRPr="005456B9" w:rsidRDefault="00E0738F" w:rsidP="00B82F91">
            <w:pPr>
              <w:pStyle w:val="Tabletext"/>
              <w:rPr>
                <w:rFonts w:cs="Calibri"/>
                <w:color w:val="000000"/>
                <w:vertAlign w:val="superscript"/>
                <w:lang w:val="es-ES"/>
              </w:rPr>
            </w:pPr>
            <w:r w:rsidRPr="005456B9">
              <w:rPr>
                <w:lang w:val="es-ES"/>
              </w:rPr>
              <w:t>Nueva máscara de espectro de las IMT para la banda de 6 GHz</w:t>
            </w:r>
            <w:r w:rsidRPr="005456B9">
              <w:rPr>
                <w:vertAlign w:val="superscript"/>
                <w:lang w:val="es-ES"/>
              </w:rPr>
              <w:t>Nota 2</w:t>
            </w:r>
          </w:p>
        </w:tc>
        <w:tc>
          <w:tcPr>
            <w:tcW w:w="1499" w:type="dxa"/>
            <w:tcBorders>
              <w:top w:val="nil"/>
              <w:left w:val="nil"/>
              <w:bottom w:val="single" w:sz="8" w:space="0" w:color="auto"/>
              <w:right w:val="single" w:sz="8" w:space="0" w:color="auto"/>
            </w:tcBorders>
            <w:shd w:val="clear" w:color="auto" w:fill="auto"/>
            <w:vAlign w:val="center"/>
            <w:hideMark/>
          </w:tcPr>
          <w:p w14:paraId="59A57512" w14:textId="6DC2805D" w:rsidR="00E0738F" w:rsidRPr="005456B9" w:rsidRDefault="00E0738F" w:rsidP="00B82F91">
            <w:pPr>
              <w:pStyle w:val="Tabletext"/>
              <w:rPr>
                <w:rFonts w:cs="Calibri"/>
                <w:color w:val="000000"/>
                <w:lang w:val="es-ES"/>
              </w:rPr>
            </w:pPr>
            <w:r w:rsidRPr="005456B9">
              <w:rPr>
                <w:lang w:val="es-ES"/>
              </w:rPr>
              <w:t>70</w:t>
            </w:r>
            <w:r w:rsidR="00995AF6">
              <w:rPr>
                <w:lang w:val="es-ES"/>
              </w:rPr>
              <w:t> </w:t>
            </w:r>
            <w:r w:rsidRPr="005456B9">
              <w:rPr>
                <w:lang w:val="es-ES"/>
              </w:rPr>
              <w:t>144,00</w:t>
            </w:r>
          </w:p>
        </w:tc>
      </w:tr>
      <w:tr w:rsidR="00E0738F" w:rsidRPr="005456B9" w14:paraId="7C16A2EA" w14:textId="77777777" w:rsidTr="0076578C">
        <w:trPr>
          <w:trHeight w:val="842"/>
        </w:trPr>
        <w:tc>
          <w:tcPr>
            <w:tcW w:w="7220" w:type="dxa"/>
            <w:tcBorders>
              <w:top w:val="nil"/>
              <w:left w:val="single" w:sz="8" w:space="0" w:color="auto"/>
              <w:bottom w:val="single" w:sz="8" w:space="0" w:color="auto"/>
              <w:right w:val="single" w:sz="8" w:space="0" w:color="auto"/>
            </w:tcBorders>
            <w:shd w:val="clear" w:color="auto" w:fill="auto"/>
            <w:vAlign w:val="center"/>
            <w:hideMark/>
          </w:tcPr>
          <w:p w14:paraId="172BAD60" w14:textId="77777777" w:rsidR="00E0738F" w:rsidRPr="005456B9" w:rsidRDefault="00E0738F" w:rsidP="00B82F91">
            <w:pPr>
              <w:pStyle w:val="Tabletext"/>
              <w:rPr>
                <w:rFonts w:cs="Calibri"/>
                <w:color w:val="000000"/>
                <w:lang w:val="es-ES"/>
              </w:rPr>
            </w:pPr>
            <w:r w:rsidRPr="005456B9">
              <w:rPr>
                <w:lang w:val="es-ES"/>
              </w:rPr>
              <w:t>Nuevo límite SMA(OR) para la protección de los servicios existentes en la banda de 22 GHz</w:t>
            </w:r>
          </w:p>
        </w:tc>
        <w:tc>
          <w:tcPr>
            <w:tcW w:w="1499" w:type="dxa"/>
            <w:tcBorders>
              <w:top w:val="nil"/>
              <w:left w:val="nil"/>
              <w:bottom w:val="single" w:sz="8" w:space="0" w:color="auto"/>
              <w:right w:val="single" w:sz="8" w:space="0" w:color="auto"/>
            </w:tcBorders>
            <w:shd w:val="clear" w:color="auto" w:fill="auto"/>
            <w:vAlign w:val="center"/>
            <w:hideMark/>
          </w:tcPr>
          <w:p w14:paraId="01A6EE75" w14:textId="35D7DAD5" w:rsidR="00E0738F" w:rsidRPr="005456B9" w:rsidRDefault="00E0738F" w:rsidP="00B82F91">
            <w:pPr>
              <w:pStyle w:val="Tabletext"/>
              <w:rPr>
                <w:rFonts w:cs="Calibri"/>
                <w:color w:val="000000"/>
                <w:lang w:val="es-ES"/>
              </w:rPr>
            </w:pPr>
            <w:r w:rsidRPr="005456B9">
              <w:rPr>
                <w:lang w:val="es-ES"/>
              </w:rPr>
              <w:t>52</w:t>
            </w:r>
            <w:r w:rsidR="00995AF6">
              <w:rPr>
                <w:lang w:val="es-ES"/>
              </w:rPr>
              <w:t> </w:t>
            </w:r>
            <w:r w:rsidRPr="005456B9">
              <w:rPr>
                <w:lang w:val="es-ES"/>
              </w:rPr>
              <w:t>585,00</w:t>
            </w:r>
          </w:p>
        </w:tc>
      </w:tr>
      <w:tr w:rsidR="00E0738F" w:rsidRPr="005456B9" w14:paraId="5E5E60B3" w14:textId="77777777" w:rsidTr="0076578C">
        <w:trPr>
          <w:trHeight w:val="300"/>
        </w:trPr>
        <w:tc>
          <w:tcPr>
            <w:tcW w:w="7220" w:type="dxa"/>
            <w:tcBorders>
              <w:top w:val="nil"/>
              <w:left w:val="single" w:sz="8" w:space="0" w:color="auto"/>
              <w:bottom w:val="single" w:sz="8" w:space="0" w:color="auto"/>
              <w:right w:val="single" w:sz="8" w:space="0" w:color="auto"/>
            </w:tcBorders>
            <w:shd w:val="clear" w:color="auto" w:fill="FBD4B4" w:themeFill="accent6" w:themeFillTint="66"/>
            <w:vAlign w:val="center"/>
            <w:hideMark/>
          </w:tcPr>
          <w:p w14:paraId="0B74F5DB" w14:textId="77777777" w:rsidR="00E0738F" w:rsidRPr="005456B9" w:rsidRDefault="00E0738F" w:rsidP="00B82F91">
            <w:pPr>
              <w:pStyle w:val="Tabletext"/>
              <w:rPr>
                <w:rFonts w:cs="Calibri"/>
                <w:b/>
                <w:bCs/>
                <w:color w:val="000000"/>
                <w:lang w:val="es-ES"/>
              </w:rPr>
            </w:pPr>
            <w:r w:rsidRPr="005456B9">
              <w:rPr>
                <w:b/>
                <w:bCs/>
                <w:lang w:val="es-ES"/>
              </w:rPr>
              <w:t>Total</w:t>
            </w:r>
            <w:r w:rsidRPr="005456B9">
              <w:rPr>
                <w:lang w:val="es-ES"/>
              </w:rPr>
              <w:t xml:space="preserve"> </w:t>
            </w:r>
          </w:p>
        </w:tc>
        <w:tc>
          <w:tcPr>
            <w:tcW w:w="1499" w:type="dxa"/>
            <w:tcBorders>
              <w:top w:val="nil"/>
              <w:left w:val="nil"/>
              <w:bottom w:val="single" w:sz="8" w:space="0" w:color="auto"/>
              <w:right w:val="single" w:sz="8" w:space="0" w:color="auto"/>
            </w:tcBorders>
            <w:shd w:val="clear" w:color="auto" w:fill="FBD4B4" w:themeFill="accent6" w:themeFillTint="66"/>
            <w:vAlign w:val="center"/>
            <w:hideMark/>
          </w:tcPr>
          <w:p w14:paraId="2108818A" w14:textId="35858DEB" w:rsidR="00E0738F" w:rsidRPr="005456B9" w:rsidRDefault="00E0738F" w:rsidP="00B82F91">
            <w:pPr>
              <w:pStyle w:val="Tabletext"/>
              <w:rPr>
                <w:rFonts w:cs="Calibri"/>
                <w:b/>
                <w:bCs/>
                <w:color w:val="000000"/>
                <w:lang w:val="es-ES"/>
              </w:rPr>
            </w:pPr>
            <w:r w:rsidRPr="005456B9">
              <w:rPr>
                <w:b/>
                <w:bCs/>
                <w:lang w:val="es-ES"/>
              </w:rPr>
              <w:t>350</w:t>
            </w:r>
            <w:r w:rsidR="00BE41AA">
              <w:rPr>
                <w:lang w:val="es-ES"/>
              </w:rPr>
              <w:t> </w:t>
            </w:r>
            <w:r w:rsidRPr="005456B9">
              <w:rPr>
                <w:b/>
                <w:bCs/>
                <w:lang w:val="es-ES"/>
              </w:rPr>
              <w:t>568,00</w:t>
            </w:r>
          </w:p>
        </w:tc>
      </w:tr>
      <w:tr w:rsidR="00E0738F" w:rsidRPr="00A4553D" w14:paraId="4397159C" w14:textId="77777777" w:rsidTr="0076578C">
        <w:trPr>
          <w:trHeight w:val="300"/>
        </w:trPr>
        <w:tc>
          <w:tcPr>
            <w:tcW w:w="871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65B09D80" w14:textId="77777777" w:rsidR="00E0738F" w:rsidRPr="005456B9" w:rsidRDefault="00E0738F" w:rsidP="00B82F91">
            <w:pPr>
              <w:pStyle w:val="Tablehead"/>
              <w:rPr>
                <w:rFonts w:cs="Calibri"/>
                <w:color w:val="000000"/>
                <w:lang w:val="es-ES"/>
              </w:rPr>
            </w:pPr>
            <w:r w:rsidRPr="005456B9">
              <w:rPr>
                <w:lang w:val="es-ES"/>
              </w:rPr>
              <w:t>Desarrollo de programas para los servicios de radiocomunicaciones espaciales</w:t>
            </w:r>
          </w:p>
        </w:tc>
      </w:tr>
      <w:tr w:rsidR="00E0738F" w:rsidRPr="005456B9" w14:paraId="485F65DB" w14:textId="77777777" w:rsidTr="0076578C">
        <w:trPr>
          <w:trHeight w:val="650"/>
        </w:trPr>
        <w:tc>
          <w:tcPr>
            <w:tcW w:w="722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1624E0E9" w14:textId="77777777" w:rsidR="00E0738F" w:rsidRPr="005456B9" w:rsidRDefault="00E0738F" w:rsidP="00B82F91">
            <w:pPr>
              <w:pStyle w:val="Tabletext"/>
              <w:rPr>
                <w:rFonts w:cs="Calibri"/>
                <w:color w:val="000000"/>
                <w:lang w:val="es-ES"/>
              </w:rPr>
            </w:pPr>
            <w:r w:rsidRPr="005456B9">
              <w:rPr>
                <w:lang w:val="es-ES"/>
              </w:rPr>
              <w:t>Res. 406 (CMR-23): servicio SMA(R) en la banda de 117,975-137 MHz</w:t>
            </w:r>
          </w:p>
        </w:tc>
        <w:tc>
          <w:tcPr>
            <w:tcW w:w="1499" w:type="dxa"/>
            <w:tcBorders>
              <w:top w:val="single" w:sz="4" w:space="0" w:color="auto"/>
              <w:left w:val="nil"/>
              <w:bottom w:val="single" w:sz="8" w:space="0" w:color="auto"/>
              <w:right w:val="single" w:sz="8" w:space="0" w:color="auto"/>
            </w:tcBorders>
            <w:shd w:val="clear" w:color="auto" w:fill="auto"/>
            <w:vAlign w:val="center"/>
            <w:hideMark/>
          </w:tcPr>
          <w:p w14:paraId="1FD4F8F4" w14:textId="67E9122D" w:rsidR="00E0738F" w:rsidRPr="005456B9" w:rsidRDefault="00E0738F" w:rsidP="00B82F91">
            <w:pPr>
              <w:pStyle w:val="Tabletext"/>
              <w:rPr>
                <w:rFonts w:cs="Calibri"/>
                <w:color w:val="000000"/>
                <w:lang w:val="es-ES"/>
              </w:rPr>
            </w:pPr>
            <w:r w:rsidRPr="005456B9">
              <w:rPr>
                <w:lang w:val="es-ES"/>
              </w:rPr>
              <w:t>43</w:t>
            </w:r>
            <w:r w:rsidR="00995AF6">
              <w:rPr>
                <w:lang w:val="es-ES"/>
              </w:rPr>
              <w:t> </w:t>
            </w:r>
            <w:r w:rsidRPr="005456B9">
              <w:rPr>
                <w:lang w:val="es-ES"/>
              </w:rPr>
              <w:t>821,00</w:t>
            </w:r>
          </w:p>
        </w:tc>
      </w:tr>
      <w:tr w:rsidR="00E0738F" w:rsidRPr="005456B9" w14:paraId="417C328C" w14:textId="77777777" w:rsidTr="0076578C">
        <w:trPr>
          <w:trHeight w:val="800"/>
        </w:trPr>
        <w:tc>
          <w:tcPr>
            <w:tcW w:w="7220" w:type="dxa"/>
            <w:tcBorders>
              <w:top w:val="nil"/>
              <w:left w:val="single" w:sz="8" w:space="0" w:color="auto"/>
              <w:bottom w:val="single" w:sz="8" w:space="0" w:color="auto"/>
              <w:right w:val="single" w:sz="8" w:space="0" w:color="auto"/>
            </w:tcBorders>
            <w:shd w:val="clear" w:color="auto" w:fill="auto"/>
            <w:vAlign w:val="center"/>
            <w:hideMark/>
          </w:tcPr>
          <w:p w14:paraId="0ED36BC3" w14:textId="77777777" w:rsidR="00E0738F" w:rsidRPr="005456B9" w:rsidRDefault="00E0738F" w:rsidP="00B82F91">
            <w:pPr>
              <w:pStyle w:val="Tabletext"/>
              <w:rPr>
                <w:rFonts w:cs="Calibri"/>
                <w:color w:val="000000"/>
                <w:lang w:val="es-ES"/>
              </w:rPr>
            </w:pPr>
            <w:r w:rsidRPr="005456B9">
              <w:rPr>
                <w:lang w:val="es-ES"/>
              </w:rPr>
              <w:t>Res. 678 (CMR-23): Servicio de investigación espacial en la banda de frecuencias 14,8-15,35 GHz</w:t>
            </w:r>
          </w:p>
        </w:tc>
        <w:tc>
          <w:tcPr>
            <w:tcW w:w="1499" w:type="dxa"/>
            <w:tcBorders>
              <w:top w:val="nil"/>
              <w:left w:val="nil"/>
              <w:bottom w:val="single" w:sz="8" w:space="0" w:color="auto"/>
              <w:right w:val="single" w:sz="8" w:space="0" w:color="auto"/>
            </w:tcBorders>
            <w:shd w:val="clear" w:color="auto" w:fill="auto"/>
            <w:vAlign w:val="center"/>
            <w:hideMark/>
          </w:tcPr>
          <w:p w14:paraId="5FD9CC37" w14:textId="7588FDDE" w:rsidR="00E0738F" w:rsidRPr="005456B9" w:rsidRDefault="00E0738F" w:rsidP="00B82F91">
            <w:pPr>
              <w:pStyle w:val="Tabletext"/>
              <w:rPr>
                <w:rFonts w:cs="Calibri"/>
                <w:color w:val="000000"/>
                <w:lang w:val="es-ES"/>
              </w:rPr>
            </w:pPr>
            <w:r w:rsidRPr="005456B9">
              <w:rPr>
                <w:lang w:val="es-ES"/>
              </w:rPr>
              <w:t>78</w:t>
            </w:r>
            <w:r w:rsidR="00995AF6">
              <w:rPr>
                <w:lang w:val="es-ES"/>
              </w:rPr>
              <w:t> </w:t>
            </w:r>
            <w:r w:rsidRPr="005456B9">
              <w:rPr>
                <w:lang w:val="es-ES"/>
              </w:rPr>
              <w:t>877,80</w:t>
            </w:r>
          </w:p>
        </w:tc>
      </w:tr>
      <w:tr w:rsidR="00E0738F" w:rsidRPr="005456B9" w14:paraId="7C1AFB40" w14:textId="77777777" w:rsidTr="0076578C">
        <w:trPr>
          <w:trHeight w:val="300"/>
        </w:trPr>
        <w:tc>
          <w:tcPr>
            <w:tcW w:w="7220" w:type="dxa"/>
            <w:tcBorders>
              <w:top w:val="nil"/>
              <w:left w:val="single" w:sz="8" w:space="0" w:color="auto"/>
              <w:bottom w:val="single" w:sz="8" w:space="0" w:color="auto"/>
              <w:right w:val="single" w:sz="8" w:space="0" w:color="auto"/>
            </w:tcBorders>
            <w:shd w:val="clear" w:color="auto" w:fill="auto"/>
            <w:vAlign w:val="center"/>
            <w:hideMark/>
          </w:tcPr>
          <w:p w14:paraId="54ABF329" w14:textId="77777777" w:rsidR="00E0738F" w:rsidRPr="005456B9" w:rsidRDefault="00E0738F" w:rsidP="00B82F91">
            <w:pPr>
              <w:pStyle w:val="Tabletext"/>
              <w:rPr>
                <w:rFonts w:cs="Calibri"/>
                <w:color w:val="000000"/>
                <w:lang w:val="es-ES"/>
              </w:rPr>
            </w:pPr>
            <w:r w:rsidRPr="005456B9">
              <w:rPr>
                <w:lang w:val="es-ES"/>
              </w:rPr>
              <w:t>Res. 121 (CMR-23): ETEM del AP30B</w:t>
            </w:r>
          </w:p>
        </w:tc>
        <w:tc>
          <w:tcPr>
            <w:tcW w:w="1499" w:type="dxa"/>
            <w:tcBorders>
              <w:top w:val="nil"/>
              <w:left w:val="nil"/>
              <w:bottom w:val="single" w:sz="8" w:space="0" w:color="auto"/>
              <w:right w:val="single" w:sz="8" w:space="0" w:color="auto"/>
            </w:tcBorders>
            <w:shd w:val="clear" w:color="auto" w:fill="auto"/>
            <w:vAlign w:val="center"/>
            <w:hideMark/>
          </w:tcPr>
          <w:p w14:paraId="639C3E9D" w14:textId="045279A4" w:rsidR="00E0738F" w:rsidRPr="005456B9" w:rsidRDefault="00E0738F" w:rsidP="00B82F91">
            <w:pPr>
              <w:pStyle w:val="Tabletext"/>
              <w:rPr>
                <w:rFonts w:cs="Calibri"/>
                <w:color w:val="000000"/>
                <w:lang w:val="es-ES"/>
              </w:rPr>
            </w:pPr>
            <w:r w:rsidRPr="005456B9">
              <w:rPr>
                <w:lang w:val="es-ES"/>
              </w:rPr>
              <w:t>438</w:t>
            </w:r>
            <w:r w:rsidR="00995AF6">
              <w:rPr>
                <w:lang w:val="es-ES"/>
              </w:rPr>
              <w:t> </w:t>
            </w:r>
            <w:r w:rsidRPr="005456B9">
              <w:rPr>
                <w:lang w:val="es-ES"/>
              </w:rPr>
              <w:t>210,00</w:t>
            </w:r>
          </w:p>
        </w:tc>
      </w:tr>
      <w:tr w:rsidR="00E0738F" w:rsidRPr="005456B9" w14:paraId="12CDB4DF" w14:textId="77777777" w:rsidTr="0076578C">
        <w:trPr>
          <w:trHeight w:val="300"/>
        </w:trPr>
        <w:tc>
          <w:tcPr>
            <w:tcW w:w="7220" w:type="dxa"/>
            <w:tcBorders>
              <w:top w:val="nil"/>
              <w:left w:val="single" w:sz="8" w:space="0" w:color="auto"/>
              <w:bottom w:val="single" w:sz="8" w:space="0" w:color="auto"/>
              <w:right w:val="single" w:sz="8" w:space="0" w:color="auto"/>
            </w:tcBorders>
            <w:shd w:val="clear" w:color="auto" w:fill="auto"/>
            <w:vAlign w:val="center"/>
            <w:hideMark/>
          </w:tcPr>
          <w:p w14:paraId="3225CDDF" w14:textId="77777777" w:rsidR="00E0738F" w:rsidRPr="005456B9" w:rsidRDefault="00E0738F" w:rsidP="00B82F91">
            <w:pPr>
              <w:pStyle w:val="Tabletext"/>
              <w:rPr>
                <w:rFonts w:cs="Calibri"/>
                <w:color w:val="000000"/>
                <w:lang w:val="es-ES"/>
              </w:rPr>
            </w:pPr>
            <w:r w:rsidRPr="005456B9">
              <w:rPr>
                <w:lang w:val="es-ES"/>
              </w:rPr>
              <w:t>Res. 123 (CMR-23): ETEM no OSG</w:t>
            </w:r>
          </w:p>
        </w:tc>
        <w:tc>
          <w:tcPr>
            <w:tcW w:w="1499" w:type="dxa"/>
            <w:tcBorders>
              <w:top w:val="nil"/>
              <w:left w:val="nil"/>
              <w:bottom w:val="single" w:sz="8" w:space="0" w:color="auto"/>
              <w:right w:val="single" w:sz="8" w:space="0" w:color="auto"/>
            </w:tcBorders>
            <w:shd w:val="clear" w:color="auto" w:fill="auto"/>
            <w:vAlign w:val="center"/>
            <w:hideMark/>
          </w:tcPr>
          <w:p w14:paraId="6F57B528" w14:textId="0E2E62CA" w:rsidR="00E0738F" w:rsidRPr="005456B9" w:rsidRDefault="00E0738F" w:rsidP="00B82F91">
            <w:pPr>
              <w:pStyle w:val="Tabletext"/>
              <w:rPr>
                <w:rFonts w:cs="Calibri"/>
                <w:color w:val="000000"/>
                <w:lang w:val="es-ES"/>
              </w:rPr>
            </w:pPr>
            <w:r w:rsidRPr="005456B9">
              <w:rPr>
                <w:lang w:val="es-ES"/>
              </w:rPr>
              <w:t>350</w:t>
            </w:r>
            <w:r w:rsidR="00995AF6">
              <w:rPr>
                <w:lang w:val="es-ES"/>
              </w:rPr>
              <w:t> </w:t>
            </w:r>
            <w:r w:rsidRPr="005456B9">
              <w:rPr>
                <w:lang w:val="es-ES"/>
              </w:rPr>
              <w:t>568,00</w:t>
            </w:r>
          </w:p>
        </w:tc>
      </w:tr>
      <w:tr w:rsidR="00E0738F" w:rsidRPr="005456B9" w14:paraId="484440CD" w14:textId="77777777" w:rsidTr="0076578C">
        <w:trPr>
          <w:trHeight w:val="590"/>
        </w:trPr>
        <w:tc>
          <w:tcPr>
            <w:tcW w:w="7220" w:type="dxa"/>
            <w:tcBorders>
              <w:top w:val="nil"/>
              <w:left w:val="single" w:sz="8" w:space="0" w:color="auto"/>
              <w:bottom w:val="single" w:sz="8" w:space="0" w:color="auto"/>
              <w:right w:val="single" w:sz="8" w:space="0" w:color="auto"/>
            </w:tcBorders>
            <w:shd w:val="clear" w:color="auto" w:fill="auto"/>
            <w:vAlign w:val="center"/>
            <w:hideMark/>
          </w:tcPr>
          <w:p w14:paraId="78A093DE" w14:textId="77777777" w:rsidR="00E0738F" w:rsidRPr="005456B9" w:rsidRDefault="00E0738F" w:rsidP="00B82F91">
            <w:pPr>
              <w:pStyle w:val="Tabletext"/>
              <w:rPr>
                <w:rFonts w:cs="Calibri"/>
                <w:color w:val="000000"/>
                <w:lang w:val="es-ES"/>
              </w:rPr>
            </w:pPr>
            <w:r w:rsidRPr="005456B9">
              <w:rPr>
                <w:lang w:val="es-ES"/>
              </w:rPr>
              <w:t>Res. 679 (CMR-23): enlaces entre satélites: protección de los servicios espaciales y terrenales</w:t>
            </w:r>
          </w:p>
        </w:tc>
        <w:tc>
          <w:tcPr>
            <w:tcW w:w="1499" w:type="dxa"/>
            <w:tcBorders>
              <w:top w:val="nil"/>
              <w:left w:val="nil"/>
              <w:bottom w:val="single" w:sz="8" w:space="0" w:color="auto"/>
              <w:right w:val="single" w:sz="8" w:space="0" w:color="auto"/>
            </w:tcBorders>
            <w:shd w:val="clear" w:color="auto" w:fill="auto"/>
            <w:vAlign w:val="center"/>
            <w:hideMark/>
          </w:tcPr>
          <w:p w14:paraId="4355A914" w14:textId="594214E3" w:rsidR="00E0738F" w:rsidRPr="005456B9" w:rsidRDefault="00E0738F" w:rsidP="00B82F91">
            <w:pPr>
              <w:pStyle w:val="Tabletext"/>
              <w:rPr>
                <w:rFonts w:cs="Calibri"/>
                <w:color w:val="000000"/>
                <w:lang w:val="es-ES"/>
              </w:rPr>
            </w:pPr>
            <w:r w:rsidRPr="005456B9">
              <w:rPr>
                <w:lang w:val="es-ES"/>
              </w:rPr>
              <w:t>350</w:t>
            </w:r>
            <w:r w:rsidR="00995AF6">
              <w:rPr>
                <w:lang w:val="es-ES"/>
              </w:rPr>
              <w:t> </w:t>
            </w:r>
            <w:r w:rsidRPr="005456B9">
              <w:rPr>
                <w:lang w:val="es-ES"/>
              </w:rPr>
              <w:t>568,00</w:t>
            </w:r>
          </w:p>
        </w:tc>
      </w:tr>
      <w:tr w:rsidR="00E0738F" w:rsidRPr="005456B9" w14:paraId="7B03D180" w14:textId="77777777" w:rsidTr="0076578C">
        <w:trPr>
          <w:trHeight w:val="300"/>
        </w:trPr>
        <w:tc>
          <w:tcPr>
            <w:tcW w:w="7220" w:type="dxa"/>
            <w:tcBorders>
              <w:top w:val="nil"/>
              <w:left w:val="single" w:sz="8" w:space="0" w:color="auto"/>
              <w:bottom w:val="single" w:sz="8" w:space="0" w:color="auto"/>
              <w:right w:val="single" w:sz="8" w:space="0" w:color="auto"/>
            </w:tcBorders>
            <w:shd w:val="clear" w:color="auto" w:fill="auto"/>
            <w:vAlign w:val="center"/>
            <w:hideMark/>
          </w:tcPr>
          <w:p w14:paraId="7D76DED2" w14:textId="77777777" w:rsidR="00E0738F" w:rsidRPr="005456B9" w:rsidRDefault="00E0738F" w:rsidP="00B82F91">
            <w:pPr>
              <w:pStyle w:val="Tabletext"/>
              <w:rPr>
                <w:rFonts w:cs="Calibri"/>
                <w:color w:val="000000"/>
                <w:lang w:val="es-ES"/>
              </w:rPr>
            </w:pPr>
            <w:r w:rsidRPr="005456B9">
              <w:rPr>
                <w:lang w:val="es-ES"/>
              </w:rPr>
              <w:t>Res. 8 (CMR-23): tolerancias de determinadas características orbitales no OSG</w:t>
            </w:r>
          </w:p>
        </w:tc>
        <w:tc>
          <w:tcPr>
            <w:tcW w:w="1499" w:type="dxa"/>
            <w:tcBorders>
              <w:top w:val="nil"/>
              <w:left w:val="nil"/>
              <w:bottom w:val="single" w:sz="8" w:space="0" w:color="auto"/>
              <w:right w:val="single" w:sz="8" w:space="0" w:color="auto"/>
            </w:tcBorders>
            <w:shd w:val="clear" w:color="auto" w:fill="auto"/>
            <w:vAlign w:val="center"/>
            <w:hideMark/>
          </w:tcPr>
          <w:p w14:paraId="544F2323" w14:textId="3A14D7DF" w:rsidR="00E0738F" w:rsidRPr="005456B9" w:rsidRDefault="00E0738F" w:rsidP="00B82F91">
            <w:pPr>
              <w:pStyle w:val="Tabletext"/>
              <w:rPr>
                <w:rFonts w:cs="Calibri"/>
                <w:color w:val="000000"/>
                <w:lang w:val="es-ES"/>
              </w:rPr>
            </w:pPr>
            <w:r w:rsidRPr="005456B9">
              <w:rPr>
                <w:lang w:val="es-ES"/>
              </w:rPr>
              <w:t>262</w:t>
            </w:r>
            <w:r w:rsidR="00995AF6">
              <w:rPr>
                <w:lang w:val="es-ES"/>
              </w:rPr>
              <w:t> </w:t>
            </w:r>
            <w:r w:rsidRPr="005456B9">
              <w:rPr>
                <w:lang w:val="es-ES"/>
              </w:rPr>
              <w:t>926,00</w:t>
            </w:r>
          </w:p>
        </w:tc>
      </w:tr>
      <w:tr w:rsidR="00E0738F" w:rsidRPr="005456B9" w14:paraId="47315EA5" w14:textId="77777777" w:rsidTr="0076578C">
        <w:trPr>
          <w:trHeight w:val="300"/>
        </w:trPr>
        <w:tc>
          <w:tcPr>
            <w:tcW w:w="7220" w:type="dxa"/>
            <w:tcBorders>
              <w:top w:val="nil"/>
              <w:left w:val="single" w:sz="8" w:space="0" w:color="auto"/>
              <w:bottom w:val="single" w:sz="8" w:space="0" w:color="auto"/>
              <w:right w:val="single" w:sz="8" w:space="0" w:color="auto"/>
            </w:tcBorders>
            <w:shd w:val="clear" w:color="auto" w:fill="auto"/>
            <w:vAlign w:val="center"/>
            <w:hideMark/>
          </w:tcPr>
          <w:p w14:paraId="5C8908E5" w14:textId="77777777" w:rsidR="00E0738F" w:rsidRPr="005456B9" w:rsidRDefault="00E0738F" w:rsidP="00B82F91">
            <w:pPr>
              <w:pStyle w:val="Tabletext"/>
              <w:rPr>
                <w:rFonts w:cs="Calibri"/>
                <w:color w:val="000000"/>
                <w:lang w:val="es-ES"/>
              </w:rPr>
            </w:pPr>
            <w:r w:rsidRPr="005456B9">
              <w:rPr>
                <w:lang w:val="es-ES"/>
              </w:rPr>
              <w:t>Punto 7C del orden del día (CMR-23): protección del SMS OSG en las bandas 7/8 GHz y 20/30 GHz</w:t>
            </w:r>
          </w:p>
        </w:tc>
        <w:tc>
          <w:tcPr>
            <w:tcW w:w="1499" w:type="dxa"/>
            <w:tcBorders>
              <w:top w:val="nil"/>
              <w:left w:val="nil"/>
              <w:bottom w:val="single" w:sz="8" w:space="0" w:color="auto"/>
              <w:right w:val="single" w:sz="8" w:space="0" w:color="auto"/>
            </w:tcBorders>
            <w:shd w:val="clear" w:color="auto" w:fill="auto"/>
            <w:vAlign w:val="center"/>
            <w:hideMark/>
          </w:tcPr>
          <w:p w14:paraId="10271A87" w14:textId="3C96DD9D" w:rsidR="00E0738F" w:rsidRPr="005456B9" w:rsidRDefault="00E0738F" w:rsidP="00B82F91">
            <w:pPr>
              <w:pStyle w:val="Tabletext"/>
              <w:rPr>
                <w:rFonts w:cs="Calibri"/>
                <w:color w:val="000000"/>
                <w:lang w:val="es-ES"/>
              </w:rPr>
            </w:pPr>
            <w:r w:rsidRPr="005456B9">
              <w:rPr>
                <w:lang w:val="es-ES"/>
              </w:rPr>
              <w:t>43</w:t>
            </w:r>
            <w:r w:rsidR="00995AF6">
              <w:rPr>
                <w:lang w:val="es-ES"/>
              </w:rPr>
              <w:t> </w:t>
            </w:r>
            <w:r w:rsidRPr="005456B9">
              <w:rPr>
                <w:lang w:val="es-ES"/>
              </w:rPr>
              <w:t>821,00</w:t>
            </w:r>
          </w:p>
        </w:tc>
      </w:tr>
      <w:tr w:rsidR="00E0738F" w:rsidRPr="005456B9" w14:paraId="44B73121" w14:textId="77777777" w:rsidTr="0076578C">
        <w:trPr>
          <w:trHeight w:val="300"/>
        </w:trPr>
        <w:tc>
          <w:tcPr>
            <w:tcW w:w="7220" w:type="dxa"/>
            <w:tcBorders>
              <w:top w:val="nil"/>
              <w:left w:val="single" w:sz="8" w:space="0" w:color="auto"/>
              <w:bottom w:val="single" w:sz="4" w:space="0" w:color="auto"/>
              <w:right w:val="single" w:sz="8" w:space="0" w:color="auto"/>
            </w:tcBorders>
            <w:shd w:val="clear" w:color="auto" w:fill="auto"/>
            <w:vAlign w:val="center"/>
            <w:hideMark/>
          </w:tcPr>
          <w:p w14:paraId="4C08C339" w14:textId="77777777" w:rsidR="00E0738F" w:rsidRPr="005456B9" w:rsidRDefault="00E0738F" w:rsidP="00B82F91">
            <w:pPr>
              <w:pStyle w:val="Tabletext"/>
              <w:rPr>
                <w:rFonts w:cs="Calibri"/>
                <w:color w:val="000000"/>
                <w:lang w:val="es-ES"/>
              </w:rPr>
            </w:pPr>
            <w:r w:rsidRPr="005456B9">
              <w:rPr>
                <w:lang w:val="es-ES"/>
              </w:rPr>
              <w:t>Punto 7D2 del orden del día (CMR-23): parámetros del AP4 del RR para las actualizaciones de la Rec. UIT-R S.1503</w:t>
            </w:r>
          </w:p>
        </w:tc>
        <w:tc>
          <w:tcPr>
            <w:tcW w:w="1499" w:type="dxa"/>
            <w:tcBorders>
              <w:top w:val="nil"/>
              <w:left w:val="nil"/>
              <w:bottom w:val="single" w:sz="4" w:space="0" w:color="auto"/>
              <w:right w:val="single" w:sz="8" w:space="0" w:color="auto"/>
            </w:tcBorders>
            <w:shd w:val="clear" w:color="auto" w:fill="auto"/>
            <w:vAlign w:val="center"/>
            <w:hideMark/>
          </w:tcPr>
          <w:p w14:paraId="07362F09" w14:textId="32815C39" w:rsidR="00E0738F" w:rsidRPr="005456B9" w:rsidRDefault="00E0738F" w:rsidP="00B82F91">
            <w:pPr>
              <w:pStyle w:val="Tabletext"/>
              <w:rPr>
                <w:rFonts w:cs="Calibri"/>
                <w:color w:val="000000"/>
                <w:lang w:val="es-ES"/>
              </w:rPr>
            </w:pPr>
            <w:r w:rsidRPr="005456B9">
              <w:rPr>
                <w:lang w:val="es-ES"/>
              </w:rPr>
              <w:t>35</w:t>
            </w:r>
            <w:r w:rsidR="00995AF6">
              <w:rPr>
                <w:lang w:val="es-ES"/>
              </w:rPr>
              <w:t> </w:t>
            </w:r>
            <w:r w:rsidRPr="005456B9">
              <w:rPr>
                <w:lang w:val="es-ES"/>
              </w:rPr>
              <w:t>056,80</w:t>
            </w:r>
          </w:p>
        </w:tc>
      </w:tr>
      <w:tr w:rsidR="00E0738F" w:rsidRPr="005456B9" w14:paraId="5A23C15F" w14:textId="77777777" w:rsidTr="0076578C">
        <w:trPr>
          <w:trHeight w:val="300"/>
        </w:trPr>
        <w:tc>
          <w:tcPr>
            <w:tcW w:w="7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4960E" w14:textId="77777777" w:rsidR="00E0738F" w:rsidRPr="005456B9" w:rsidRDefault="00E0738F" w:rsidP="00B82F91">
            <w:pPr>
              <w:pStyle w:val="Tabletext"/>
              <w:rPr>
                <w:rFonts w:cs="Calibri"/>
                <w:color w:val="000000"/>
                <w:lang w:val="es-ES"/>
              </w:rPr>
            </w:pPr>
            <w:r w:rsidRPr="005456B9">
              <w:rPr>
                <w:lang w:val="es-ES"/>
              </w:rPr>
              <w:t>Punto 7D3 del orden del día (CMR-23): recordatorios BIU y BBIU</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D7379" w14:textId="69C6C458" w:rsidR="00E0738F" w:rsidRPr="005456B9" w:rsidRDefault="00E0738F" w:rsidP="00B82F91">
            <w:pPr>
              <w:pStyle w:val="Tabletext"/>
              <w:rPr>
                <w:rFonts w:cs="Calibri"/>
                <w:color w:val="000000"/>
                <w:lang w:val="es-ES"/>
              </w:rPr>
            </w:pPr>
            <w:r w:rsidRPr="005456B9">
              <w:rPr>
                <w:lang w:val="es-ES"/>
              </w:rPr>
              <w:t>43</w:t>
            </w:r>
            <w:r w:rsidR="00995AF6">
              <w:rPr>
                <w:lang w:val="es-ES"/>
              </w:rPr>
              <w:t> </w:t>
            </w:r>
            <w:r w:rsidRPr="005456B9">
              <w:rPr>
                <w:lang w:val="es-ES"/>
              </w:rPr>
              <w:t>821,00</w:t>
            </w:r>
          </w:p>
        </w:tc>
      </w:tr>
      <w:tr w:rsidR="00E0738F" w:rsidRPr="005456B9" w14:paraId="688975BB" w14:textId="77777777" w:rsidTr="0076578C">
        <w:trPr>
          <w:trHeight w:val="300"/>
        </w:trPr>
        <w:tc>
          <w:tcPr>
            <w:tcW w:w="722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28BE403D" w14:textId="32ADCBB4" w:rsidR="00E0738F" w:rsidRPr="005456B9" w:rsidRDefault="00E0738F" w:rsidP="00B82F91">
            <w:pPr>
              <w:pStyle w:val="Tabletext"/>
              <w:rPr>
                <w:rFonts w:cs="Calibri"/>
                <w:color w:val="000000"/>
                <w:lang w:val="es-ES"/>
              </w:rPr>
            </w:pPr>
            <w:r w:rsidRPr="005456B9">
              <w:rPr>
                <w:lang w:val="es-ES"/>
              </w:rPr>
              <w:t>Punto 7K del orden del día (CMR-23): cambios en el Adjunto a la Res.</w:t>
            </w:r>
            <w:r w:rsidR="00D45093">
              <w:rPr>
                <w:lang w:val="es-ES"/>
              </w:rPr>
              <w:t> </w:t>
            </w:r>
            <w:r w:rsidRPr="005456B9">
              <w:rPr>
                <w:lang w:val="es-ES"/>
              </w:rPr>
              <w:t>553</w:t>
            </w:r>
          </w:p>
        </w:tc>
        <w:tc>
          <w:tcPr>
            <w:tcW w:w="1499" w:type="dxa"/>
            <w:tcBorders>
              <w:top w:val="single" w:sz="4" w:space="0" w:color="auto"/>
              <w:left w:val="nil"/>
              <w:bottom w:val="single" w:sz="8" w:space="0" w:color="auto"/>
              <w:right w:val="single" w:sz="8" w:space="0" w:color="auto"/>
            </w:tcBorders>
            <w:shd w:val="clear" w:color="auto" w:fill="auto"/>
            <w:vAlign w:val="center"/>
            <w:hideMark/>
          </w:tcPr>
          <w:p w14:paraId="25B33F20" w14:textId="5CD9F068" w:rsidR="00E0738F" w:rsidRPr="005456B9" w:rsidRDefault="00E0738F" w:rsidP="00B82F91">
            <w:pPr>
              <w:pStyle w:val="Tabletext"/>
              <w:rPr>
                <w:rFonts w:cs="Calibri"/>
                <w:color w:val="000000"/>
                <w:lang w:val="es-ES"/>
              </w:rPr>
            </w:pPr>
            <w:r w:rsidRPr="005456B9">
              <w:rPr>
                <w:lang w:val="es-ES"/>
              </w:rPr>
              <w:t>26</w:t>
            </w:r>
            <w:r w:rsidR="00995AF6">
              <w:rPr>
                <w:lang w:val="es-ES"/>
              </w:rPr>
              <w:t> </w:t>
            </w:r>
            <w:r w:rsidRPr="005456B9">
              <w:rPr>
                <w:lang w:val="es-ES"/>
              </w:rPr>
              <w:t>292,60</w:t>
            </w:r>
          </w:p>
        </w:tc>
      </w:tr>
      <w:tr w:rsidR="00E0738F" w:rsidRPr="005456B9" w14:paraId="29088B4F" w14:textId="77777777" w:rsidTr="0076578C">
        <w:trPr>
          <w:trHeight w:val="300"/>
        </w:trPr>
        <w:tc>
          <w:tcPr>
            <w:tcW w:w="7220" w:type="dxa"/>
            <w:tcBorders>
              <w:top w:val="nil"/>
              <w:left w:val="single" w:sz="8" w:space="0" w:color="auto"/>
              <w:bottom w:val="single" w:sz="8" w:space="0" w:color="auto"/>
              <w:right w:val="single" w:sz="8" w:space="0" w:color="auto"/>
            </w:tcBorders>
            <w:shd w:val="clear" w:color="auto" w:fill="auto"/>
            <w:vAlign w:val="center"/>
            <w:hideMark/>
          </w:tcPr>
          <w:p w14:paraId="7C766F3B" w14:textId="77777777" w:rsidR="00E0738F" w:rsidRPr="005456B9" w:rsidRDefault="00E0738F" w:rsidP="00B82F91">
            <w:pPr>
              <w:pStyle w:val="Tabletext"/>
              <w:rPr>
                <w:rFonts w:cs="Calibri"/>
                <w:color w:val="000000"/>
                <w:lang w:val="es-ES"/>
              </w:rPr>
            </w:pPr>
            <w:r w:rsidRPr="005456B9">
              <w:rPr>
                <w:lang w:val="es-ES"/>
              </w:rPr>
              <w:t>Punto 9.1 del orden del día (CMR-23): cambios al artículo 21 del RR</w:t>
            </w:r>
          </w:p>
        </w:tc>
        <w:tc>
          <w:tcPr>
            <w:tcW w:w="1499" w:type="dxa"/>
            <w:tcBorders>
              <w:top w:val="nil"/>
              <w:left w:val="nil"/>
              <w:bottom w:val="single" w:sz="8" w:space="0" w:color="auto"/>
              <w:right w:val="single" w:sz="8" w:space="0" w:color="auto"/>
            </w:tcBorders>
            <w:shd w:val="clear" w:color="auto" w:fill="auto"/>
            <w:vAlign w:val="center"/>
            <w:hideMark/>
          </w:tcPr>
          <w:p w14:paraId="669624A4" w14:textId="0D7F2310" w:rsidR="00E0738F" w:rsidRPr="005456B9" w:rsidRDefault="00E0738F" w:rsidP="00B82F91">
            <w:pPr>
              <w:pStyle w:val="Tabletext"/>
              <w:rPr>
                <w:rFonts w:cs="Calibri"/>
                <w:color w:val="000000"/>
                <w:lang w:val="es-ES"/>
              </w:rPr>
            </w:pPr>
            <w:r w:rsidRPr="005456B9">
              <w:rPr>
                <w:lang w:val="es-ES"/>
              </w:rPr>
              <w:t>26</w:t>
            </w:r>
            <w:r w:rsidR="00995AF6">
              <w:rPr>
                <w:lang w:val="es-ES"/>
              </w:rPr>
              <w:t> </w:t>
            </w:r>
            <w:r w:rsidRPr="005456B9">
              <w:rPr>
                <w:lang w:val="es-ES"/>
              </w:rPr>
              <w:t>292,60</w:t>
            </w:r>
          </w:p>
        </w:tc>
      </w:tr>
      <w:tr w:rsidR="00E0738F" w:rsidRPr="005456B9" w14:paraId="2AFDB575" w14:textId="77777777" w:rsidTr="0076578C">
        <w:trPr>
          <w:trHeight w:val="300"/>
        </w:trPr>
        <w:tc>
          <w:tcPr>
            <w:tcW w:w="7220" w:type="dxa"/>
            <w:tcBorders>
              <w:top w:val="nil"/>
              <w:left w:val="single" w:sz="8" w:space="0" w:color="auto"/>
              <w:bottom w:val="single" w:sz="8" w:space="0" w:color="auto"/>
              <w:right w:val="single" w:sz="8" w:space="0" w:color="auto"/>
            </w:tcBorders>
            <w:shd w:val="clear" w:color="auto" w:fill="auto"/>
            <w:vAlign w:val="center"/>
            <w:hideMark/>
          </w:tcPr>
          <w:p w14:paraId="47D52679" w14:textId="77777777" w:rsidR="00E0738F" w:rsidRPr="005456B9" w:rsidRDefault="00E0738F" w:rsidP="00B82F91">
            <w:pPr>
              <w:pStyle w:val="Tabletext"/>
              <w:rPr>
                <w:rFonts w:cs="Calibri"/>
                <w:color w:val="000000"/>
                <w:lang w:val="es-ES"/>
              </w:rPr>
            </w:pPr>
            <w:r w:rsidRPr="005456B9">
              <w:rPr>
                <w:lang w:val="es-ES"/>
              </w:rPr>
              <w:t>Punto 9.1.d del orden del día (CMR-23): protección del SETS (pasivo) en la banda de 36-37 GHz</w:t>
            </w:r>
          </w:p>
        </w:tc>
        <w:tc>
          <w:tcPr>
            <w:tcW w:w="1499" w:type="dxa"/>
            <w:tcBorders>
              <w:top w:val="nil"/>
              <w:left w:val="nil"/>
              <w:bottom w:val="single" w:sz="8" w:space="0" w:color="auto"/>
              <w:right w:val="single" w:sz="8" w:space="0" w:color="auto"/>
            </w:tcBorders>
            <w:shd w:val="clear" w:color="auto" w:fill="auto"/>
            <w:vAlign w:val="center"/>
            <w:hideMark/>
          </w:tcPr>
          <w:p w14:paraId="5731C274" w14:textId="3FA01C4E" w:rsidR="00E0738F" w:rsidRPr="005456B9" w:rsidRDefault="00E0738F" w:rsidP="00B82F91">
            <w:pPr>
              <w:pStyle w:val="Tabletext"/>
              <w:rPr>
                <w:rFonts w:cs="Calibri"/>
                <w:color w:val="000000"/>
                <w:lang w:val="es-ES"/>
              </w:rPr>
            </w:pPr>
            <w:r w:rsidRPr="005456B9">
              <w:rPr>
                <w:lang w:val="es-ES"/>
              </w:rPr>
              <w:t>87</w:t>
            </w:r>
            <w:r w:rsidR="00995AF6">
              <w:rPr>
                <w:lang w:val="es-ES"/>
              </w:rPr>
              <w:t> </w:t>
            </w:r>
            <w:r w:rsidRPr="005456B9">
              <w:rPr>
                <w:lang w:val="es-ES"/>
              </w:rPr>
              <w:t>642,00</w:t>
            </w:r>
          </w:p>
        </w:tc>
      </w:tr>
      <w:tr w:rsidR="00E0738F" w:rsidRPr="005456B9" w14:paraId="0E18B016" w14:textId="77777777" w:rsidTr="0076578C">
        <w:trPr>
          <w:trHeight w:val="300"/>
        </w:trPr>
        <w:tc>
          <w:tcPr>
            <w:tcW w:w="7220" w:type="dxa"/>
            <w:tcBorders>
              <w:top w:val="nil"/>
              <w:left w:val="single" w:sz="8" w:space="0" w:color="auto"/>
              <w:bottom w:val="single" w:sz="8" w:space="0" w:color="auto"/>
              <w:right w:val="single" w:sz="8" w:space="0" w:color="auto"/>
            </w:tcBorders>
            <w:shd w:val="clear" w:color="auto" w:fill="auto"/>
            <w:vAlign w:val="center"/>
            <w:hideMark/>
          </w:tcPr>
          <w:p w14:paraId="622710C2" w14:textId="77777777" w:rsidR="00E0738F" w:rsidRPr="005456B9" w:rsidRDefault="00E0738F" w:rsidP="00B82F91">
            <w:pPr>
              <w:pStyle w:val="Tabletext"/>
              <w:rPr>
                <w:rFonts w:cs="Calibri"/>
                <w:color w:val="000000"/>
                <w:lang w:val="es-ES"/>
              </w:rPr>
            </w:pPr>
            <w:r w:rsidRPr="005456B9">
              <w:rPr>
                <w:lang w:val="es-ES"/>
              </w:rPr>
              <w:t>Punto 9.3 del orden del día (CMR-23): cambios en el AP30B, arts. 6 y 8, actas de la plenaria</w:t>
            </w:r>
          </w:p>
        </w:tc>
        <w:tc>
          <w:tcPr>
            <w:tcW w:w="1499" w:type="dxa"/>
            <w:tcBorders>
              <w:top w:val="nil"/>
              <w:left w:val="nil"/>
              <w:bottom w:val="single" w:sz="8" w:space="0" w:color="auto"/>
              <w:right w:val="single" w:sz="8" w:space="0" w:color="auto"/>
            </w:tcBorders>
            <w:shd w:val="clear" w:color="auto" w:fill="auto"/>
            <w:vAlign w:val="center"/>
            <w:hideMark/>
          </w:tcPr>
          <w:p w14:paraId="0FBAD8B7" w14:textId="2574072B" w:rsidR="00E0738F" w:rsidRPr="005456B9" w:rsidRDefault="00E0738F" w:rsidP="00B82F91">
            <w:pPr>
              <w:pStyle w:val="Tabletext"/>
              <w:rPr>
                <w:rFonts w:cs="Calibri"/>
                <w:color w:val="000000"/>
                <w:lang w:val="es-ES"/>
              </w:rPr>
            </w:pPr>
            <w:r w:rsidRPr="005456B9">
              <w:rPr>
                <w:lang w:val="es-ES"/>
              </w:rPr>
              <w:t>17</w:t>
            </w:r>
            <w:r w:rsidR="00995AF6">
              <w:rPr>
                <w:lang w:val="es-ES"/>
              </w:rPr>
              <w:t> </w:t>
            </w:r>
            <w:r w:rsidRPr="005456B9">
              <w:rPr>
                <w:lang w:val="es-ES"/>
              </w:rPr>
              <w:t>528,40</w:t>
            </w:r>
          </w:p>
        </w:tc>
      </w:tr>
      <w:tr w:rsidR="00E0738F" w:rsidRPr="005456B9" w14:paraId="344B7CAD" w14:textId="77777777" w:rsidTr="0076578C">
        <w:trPr>
          <w:trHeight w:val="300"/>
        </w:trPr>
        <w:tc>
          <w:tcPr>
            <w:tcW w:w="7220" w:type="dxa"/>
            <w:tcBorders>
              <w:top w:val="nil"/>
              <w:left w:val="single" w:sz="8" w:space="0" w:color="auto"/>
              <w:bottom w:val="single" w:sz="8" w:space="0" w:color="auto"/>
              <w:right w:val="single" w:sz="8" w:space="0" w:color="auto"/>
            </w:tcBorders>
            <w:shd w:val="clear" w:color="auto" w:fill="auto"/>
            <w:vAlign w:val="center"/>
            <w:hideMark/>
          </w:tcPr>
          <w:p w14:paraId="6427FA08" w14:textId="77777777" w:rsidR="00E0738F" w:rsidRPr="005456B9" w:rsidRDefault="00E0738F" w:rsidP="00B82F91">
            <w:pPr>
              <w:pStyle w:val="Tabletext"/>
              <w:rPr>
                <w:rFonts w:cs="Calibri"/>
                <w:color w:val="000000"/>
                <w:lang w:val="es-ES"/>
              </w:rPr>
            </w:pPr>
            <w:r w:rsidRPr="005456B9">
              <w:rPr>
                <w:lang w:val="es-ES"/>
              </w:rPr>
              <w:t>Punto 7E del orden del día (CMR-23): cambios en el AP30B, arts. 7 y 10</w:t>
            </w:r>
          </w:p>
        </w:tc>
        <w:tc>
          <w:tcPr>
            <w:tcW w:w="1499" w:type="dxa"/>
            <w:tcBorders>
              <w:top w:val="nil"/>
              <w:left w:val="nil"/>
              <w:bottom w:val="single" w:sz="8" w:space="0" w:color="auto"/>
              <w:right w:val="single" w:sz="8" w:space="0" w:color="auto"/>
            </w:tcBorders>
            <w:shd w:val="clear" w:color="auto" w:fill="auto"/>
            <w:vAlign w:val="center"/>
            <w:hideMark/>
          </w:tcPr>
          <w:p w14:paraId="6CAFEE07" w14:textId="147C6D19" w:rsidR="00E0738F" w:rsidRPr="005456B9" w:rsidRDefault="00E0738F" w:rsidP="00B82F91">
            <w:pPr>
              <w:pStyle w:val="Tabletext"/>
              <w:rPr>
                <w:rFonts w:cs="Calibri"/>
                <w:color w:val="000000"/>
                <w:lang w:val="es-ES"/>
              </w:rPr>
            </w:pPr>
            <w:r w:rsidRPr="005456B9">
              <w:rPr>
                <w:lang w:val="es-ES"/>
              </w:rPr>
              <w:t>175</w:t>
            </w:r>
            <w:r w:rsidR="00995AF6">
              <w:rPr>
                <w:lang w:val="es-ES"/>
              </w:rPr>
              <w:t> </w:t>
            </w:r>
            <w:r w:rsidRPr="005456B9">
              <w:rPr>
                <w:lang w:val="es-ES"/>
              </w:rPr>
              <w:t>284,00</w:t>
            </w:r>
          </w:p>
        </w:tc>
      </w:tr>
      <w:tr w:rsidR="00E0738F" w:rsidRPr="005456B9" w14:paraId="62A074B0" w14:textId="77777777" w:rsidTr="0076578C">
        <w:trPr>
          <w:trHeight w:val="300"/>
        </w:trPr>
        <w:tc>
          <w:tcPr>
            <w:tcW w:w="7220" w:type="dxa"/>
            <w:tcBorders>
              <w:top w:val="nil"/>
              <w:left w:val="single" w:sz="8" w:space="0" w:color="auto"/>
              <w:bottom w:val="single" w:sz="8" w:space="0" w:color="auto"/>
              <w:right w:val="single" w:sz="8" w:space="0" w:color="auto"/>
            </w:tcBorders>
            <w:shd w:val="clear" w:color="auto" w:fill="auto"/>
            <w:vAlign w:val="center"/>
            <w:hideMark/>
          </w:tcPr>
          <w:p w14:paraId="4EFAD5AF" w14:textId="77777777" w:rsidR="00E0738F" w:rsidRPr="005456B9" w:rsidRDefault="00E0738F" w:rsidP="00B82F91">
            <w:pPr>
              <w:pStyle w:val="Tabletext"/>
              <w:rPr>
                <w:rFonts w:cs="Calibri"/>
                <w:color w:val="000000"/>
                <w:lang w:val="es-ES"/>
              </w:rPr>
            </w:pPr>
            <w:r w:rsidRPr="005456B9">
              <w:rPr>
                <w:lang w:val="es-ES"/>
              </w:rPr>
              <w:lastRenderedPageBreak/>
              <w:t>Punto 7F del orden del día (CMR-23): cambios en el AP30A, art. 4, y AP30B, art. 6</w:t>
            </w:r>
          </w:p>
        </w:tc>
        <w:tc>
          <w:tcPr>
            <w:tcW w:w="1499" w:type="dxa"/>
            <w:tcBorders>
              <w:top w:val="nil"/>
              <w:left w:val="nil"/>
              <w:bottom w:val="single" w:sz="8" w:space="0" w:color="auto"/>
              <w:right w:val="single" w:sz="8" w:space="0" w:color="auto"/>
            </w:tcBorders>
            <w:shd w:val="clear" w:color="auto" w:fill="auto"/>
            <w:vAlign w:val="center"/>
            <w:hideMark/>
          </w:tcPr>
          <w:p w14:paraId="07E47671" w14:textId="2A0392A7" w:rsidR="00E0738F" w:rsidRPr="005456B9" w:rsidRDefault="00E0738F" w:rsidP="00B82F91">
            <w:pPr>
              <w:pStyle w:val="Tabletext"/>
              <w:rPr>
                <w:rFonts w:cs="Calibri"/>
                <w:color w:val="000000"/>
                <w:lang w:val="es-ES"/>
              </w:rPr>
            </w:pPr>
            <w:r w:rsidRPr="005456B9">
              <w:rPr>
                <w:lang w:val="es-ES"/>
              </w:rPr>
              <w:t>175</w:t>
            </w:r>
            <w:r w:rsidR="00995AF6">
              <w:rPr>
                <w:lang w:val="es-ES"/>
              </w:rPr>
              <w:t> </w:t>
            </w:r>
            <w:r w:rsidRPr="005456B9">
              <w:rPr>
                <w:lang w:val="es-ES"/>
              </w:rPr>
              <w:t>284,00</w:t>
            </w:r>
          </w:p>
        </w:tc>
      </w:tr>
      <w:tr w:rsidR="00E0738F" w:rsidRPr="005456B9" w14:paraId="61E4B633" w14:textId="77777777" w:rsidTr="0076578C">
        <w:trPr>
          <w:trHeight w:val="300"/>
        </w:trPr>
        <w:tc>
          <w:tcPr>
            <w:tcW w:w="7220" w:type="dxa"/>
            <w:tcBorders>
              <w:top w:val="nil"/>
              <w:left w:val="single" w:sz="8" w:space="0" w:color="auto"/>
              <w:bottom w:val="single" w:sz="8" w:space="0" w:color="auto"/>
              <w:right w:val="single" w:sz="8" w:space="0" w:color="auto"/>
            </w:tcBorders>
            <w:shd w:val="clear" w:color="auto" w:fill="auto"/>
            <w:vAlign w:val="center"/>
            <w:hideMark/>
          </w:tcPr>
          <w:p w14:paraId="40A96126" w14:textId="77777777" w:rsidR="00E0738F" w:rsidRPr="005456B9" w:rsidRDefault="00E0738F" w:rsidP="00B82F91">
            <w:pPr>
              <w:pStyle w:val="Tabletext"/>
              <w:rPr>
                <w:rFonts w:cs="Calibri"/>
                <w:color w:val="000000"/>
                <w:lang w:val="es-ES"/>
              </w:rPr>
            </w:pPr>
            <w:r w:rsidRPr="005456B9">
              <w:rPr>
                <w:lang w:val="es-ES"/>
              </w:rPr>
              <w:t xml:space="preserve">Punto 7G del orden del día (CMR-23): cambio en la Res. 770, </w:t>
            </w:r>
            <w:r w:rsidRPr="00D45093">
              <w:rPr>
                <w:i/>
                <w:iCs/>
                <w:lang w:val="es-ES"/>
              </w:rPr>
              <w:t>software</w:t>
            </w:r>
            <w:r w:rsidRPr="005456B9">
              <w:rPr>
                <w:lang w:val="es-ES"/>
              </w:rPr>
              <w:t xml:space="preserve"> de validación de DFPE</w:t>
            </w:r>
          </w:p>
        </w:tc>
        <w:tc>
          <w:tcPr>
            <w:tcW w:w="1499" w:type="dxa"/>
            <w:tcBorders>
              <w:top w:val="nil"/>
              <w:left w:val="nil"/>
              <w:bottom w:val="single" w:sz="8" w:space="0" w:color="auto"/>
              <w:right w:val="single" w:sz="8" w:space="0" w:color="auto"/>
            </w:tcBorders>
            <w:shd w:val="clear" w:color="auto" w:fill="auto"/>
            <w:vAlign w:val="center"/>
            <w:hideMark/>
          </w:tcPr>
          <w:p w14:paraId="3D00C725" w14:textId="21A6B256" w:rsidR="00E0738F" w:rsidRPr="005456B9" w:rsidRDefault="00E0738F" w:rsidP="00B82F91">
            <w:pPr>
              <w:pStyle w:val="Tabletext"/>
              <w:rPr>
                <w:rFonts w:cs="Calibri"/>
                <w:color w:val="000000"/>
                <w:lang w:val="es-ES"/>
              </w:rPr>
            </w:pPr>
            <w:r w:rsidRPr="005456B9">
              <w:rPr>
                <w:lang w:val="es-ES"/>
              </w:rPr>
              <w:t>175</w:t>
            </w:r>
            <w:r w:rsidR="00995AF6">
              <w:rPr>
                <w:lang w:val="es-ES"/>
              </w:rPr>
              <w:t> </w:t>
            </w:r>
            <w:r w:rsidRPr="005456B9">
              <w:rPr>
                <w:lang w:val="es-ES"/>
              </w:rPr>
              <w:t>284,00</w:t>
            </w:r>
          </w:p>
        </w:tc>
      </w:tr>
      <w:tr w:rsidR="00E0738F" w:rsidRPr="005456B9" w14:paraId="1941AD07" w14:textId="77777777" w:rsidTr="0076578C">
        <w:trPr>
          <w:trHeight w:val="300"/>
        </w:trPr>
        <w:tc>
          <w:tcPr>
            <w:tcW w:w="7220" w:type="dxa"/>
            <w:tcBorders>
              <w:top w:val="nil"/>
              <w:left w:val="single" w:sz="8" w:space="0" w:color="auto"/>
              <w:bottom w:val="single" w:sz="8" w:space="0" w:color="auto"/>
              <w:right w:val="single" w:sz="8" w:space="0" w:color="auto"/>
            </w:tcBorders>
            <w:shd w:val="clear" w:color="auto" w:fill="auto"/>
            <w:vAlign w:val="center"/>
            <w:hideMark/>
          </w:tcPr>
          <w:p w14:paraId="1E2EA19D" w14:textId="77777777" w:rsidR="00E0738F" w:rsidRPr="005456B9" w:rsidRDefault="00E0738F" w:rsidP="00B82F91">
            <w:pPr>
              <w:pStyle w:val="Tabletext"/>
              <w:rPr>
                <w:rFonts w:cs="Calibri"/>
                <w:color w:val="000000"/>
                <w:lang w:val="es-ES"/>
              </w:rPr>
            </w:pPr>
            <w:r w:rsidRPr="005456B9">
              <w:rPr>
                <w:lang w:val="es-ES"/>
              </w:rPr>
              <w:t>Res. 126 (CMR-23): Medidas temporales en AP30B</w:t>
            </w:r>
          </w:p>
        </w:tc>
        <w:tc>
          <w:tcPr>
            <w:tcW w:w="1499" w:type="dxa"/>
            <w:tcBorders>
              <w:top w:val="nil"/>
              <w:left w:val="nil"/>
              <w:bottom w:val="single" w:sz="8" w:space="0" w:color="auto"/>
              <w:right w:val="single" w:sz="8" w:space="0" w:color="auto"/>
            </w:tcBorders>
            <w:shd w:val="clear" w:color="auto" w:fill="auto"/>
            <w:vAlign w:val="center"/>
            <w:hideMark/>
          </w:tcPr>
          <w:p w14:paraId="7DFACAC4" w14:textId="0D708896" w:rsidR="00E0738F" w:rsidRPr="005456B9" w:rsidRDefault="00E0738F" w:rsidP="00B82F91">
            <w:pPr>
              <w:pStyle w:val="Tabletext"/>
              <w:rPr>
                <w:rFonts w:cs="Calibri"/>
                <w:color w:val="000000"/>
                <w:lang w:val="es-ES"/>
              </w:rPr>
            </w:pPr>
            <w:r w:rsidRPr="005456B9">
              <w:rPr>
                <w:lang w:val="es-ES"/>
              </w:rPr>
              <w:t>87</w:t>
            </w:r>
            <w:r w:rsidR="00995AF6">
              <w:rPr>
                <w:lang w:val="es-ES"/>
              </w:rPr>
              <w:t> </w:t>
            </w:r>
            <w:r w:rsidRPr="005456B9">
              <w:rPr>
                <w:lang w:val="es-ES"/>
              </w:rPr>
              <w:t>642,00</w:t>
            </w:r>
          </w:p>
        </w:tc>
      </w:tr>
      <w:tr w:rsidR="00E0738F" w:rsidRPr="005456B9" w14:paraId="6978755E" w14:textId="77777777" w:rsidTr="0076578C">
        <w:trPr>
          <w:trHeight w:val="590"/>
        </w:trPr>
        <w:tc>
          <w:tcPr>
            <w:tcW w:w="7220" w:type="dxa"/>
            <w:tcBorders>
              <w:top w:val="nil"/>
              <w:left w:val="single" w:sz="8" w:space="0" w:color="auto"/>
              <w:bottom w:val="single" w:sz="8" w:space="0" w:color="auto"/>
              <w:right w:val="single" w:sz="8" w:space="0" w:color="auto"/>
            </w:tcBorders>
            <w:shd w:val="clear" w:color="auto" w:fill="auto"/>
            <w:vAlign w:val="center"/>
            <w:hideMark/>
          </w:tcPr>
          <w:p w14:paraId="0797A7B5" w14:textId="77777777" w:rsidR="00E0738F" w:rsidRPr="005456B9" w:rsidRDefault="00E0738F" w:rsidP="00B82F91">
            <w:pPr>
              <w:pStyle w:val="Tabletext"/>
              <w:rPr>
                <w:rFonts w:cs="Calibri"/>
                <w:color w:val="000000"/>
                <w:lang w:val="es-ES"/>
              </w:rPr>
            </w:pPr>
            <w:r w:rsidRPr="005456B9">
              <w:rPr>
                <w:lang w:val="es-ES"/>
              </w:rPr>
              <w:t>Res. 676 + punto 9.2 del orden del día (CMR-23): Cambios en 9.52.1 (interferencia inaceptable), RR21, y mejoras de la tramitación de la BR</w:t>
            </w:r>
          </w:p>
        </w:tc>
        <w:tc>
          <w:tcPr>
            <w:tcW w:w="1499" w:type="dxa"/>
            <w:tcBorders>
              <w:top w:val="nil"/>
              <w:left w:val="nil"/>
              <w:bottom w:val="single" w:sz="8" w:space="0" w:color="auto"/>
              <w:right w:val="single" w:sz="8" w:space="0" w:color="auto"/>
            </w:tcBorders>
            <w:shd w:val="clear" w:color="auto" w:fill="auto"/>
            <w:vAlign w:val="center"/>
            <w:hideMark/>
          </w:tcPr>
          <w:p w14:paraId="60098D24" w14:textId="482DEAFE" w:rsidR="00E0738F" w:rsidRPr="005456B9" w:rsidRDefault="00E0738F" w:rsidP="00B82F91">
            <w:pPr>
              <w:pStyle w:val="Tabletext"/>
              <w:rPr>
                <w:rFonts w:cs="Calibri"/>
                <w:color w:val="000000"/>
                <w:lang w:val="es-ES"/>
              </w:rPr>
            </w:pPr>
            <w:r w:rsidRPr="005456B9">
              <w:rPr>
                <w:lang w:val="es-ES"/>
              </w:rPr>
              <w:t>87</w:t>
            </w:r>
            <w:r w:rsidR="00995AF6">
              <w:rPr>
                <w:lang w:val="es-ES"/>
              </w:rPr>
              <w:t> </w:t>
            </w:r>
            <w:r w:rsidRPr="005456B9">
              <w:rPr>
                <w:lang w:val="es-ES"/>
              </w:rPr>
              <w:t>642,00</w:t>
            </w:r>
          </w:p>
        </w:tc>
      </w:tr>
      <w:tr w:rsidR="00E0738F" w:rsidRPr="005456B9" w14:paraId="6DC5844B" w14:textId="77777777" w:rsidTr="0076578C">
        <w:trPr>
          <w:trHeight w:val="300"/>
        </w:trPr>
        <w:tc>
          <w:tcPr>
            <w:tcW w:w="7220" w:type="dxa"/>
            <w:tcBorders>
              <w:top w:val="nil"/>
              <w:left w:val="single" w:sz="8" w:space="0" w:color="auto"/>
              <w:bottom w:val="single" w:sz="8" w:space="0" w:color="auto"/>
              <w:right w:val="single" w:sz="8" w:space="0" w:color="auto"/>
            </w:tcBorders>
            <w:shd w:val="clear" w:color="auto" w:fill="auto"/>
            <w:vAlign w:val="center"/>
            <w:hideMark/>
          </w:tcPr>
          <w:p w14:paraId="4D3B8871" w14:textId="77777777" w:rsidR="00E0738F" w:rsidRPr="005456B9" w:rsidRDefault="00E0738F" w:rsidP="00B82F91">
            <w:pPr>
              <w:pStyle w:val="Tabletext"/>
              <w:rPr>
                <w:rFonts w:cs="Calibri"/>
                <w:color w:val="000000"/>
                <w:lang w:val="es-ES"/>
              </w:rPr>
            </w:pPr>
            <w:r w:rsidRPr="005456B9">
              <w:rPr>
                <w:lang w:val="es-ES"/>
              </w:rPr>
              <w:t>Res. 677 (CMR-23): SETS (activo) para sondas de radar a bordo de vehículos espaciales</w:t>
            </w:r>
          </w:p>
        </w:tc>
        <w:tc>
          <w:tcPr>
            <w:tcW w:w="1499" w:type="dxa"/>
            <w:tcBorders>
              <w:top w:val="nil"/>
              <w:left w:val="nil"/>
              <w:bottom w:val="single" w:sz="8" w:space="0" w:color="auto"/>
              <w:right w:val="single" w:sz="8" w:space="0" w:color="auto"/>
            </w:tcBorders>
            <w:shd w:val="clear" w:color="auto" w:fill="auto"/>
            <w:vAlign w:val="center"/>
            <w:hideMark/>
          </w:tcPr>
          <w:p w14:paraId="7FEE2319" w14:textId="31FB7324" w:rsidR="00E0738F" w:rsidRPr="005456B9" w:rsidRDefault="00E0738F" w:rsidP="00B82F91">
            <w:pPr>
              <w:pStyle w:val="Tabletext"/>
              <w:rPr>
                <w:rFonts w:cs="Calibri"/>
                <w:color w:val="000000"/>
                <w:lang w:val="es-ES"/>
              </w:rPr>
            </w:pPr>
            <w:r w:rsidRPr="00995AF6">
              <w:t>148</w:t>
            </w:r>
            <w:r w:rsidR="00995AF6">
              <w:t> </w:t>
            </w:r>
            <w:r w:rsidRPr="00995AF6">
              <w:t>991</w:t>
            </w:r>
            <w:r w:rsidRPr="005456B9">
              <w:rPr>
                <w:lang w:val="es-ES"/>
              </w:rPr>
              <w:t>,40</w:t>
            </w:r>
          </w:p>
        </w:tc>
      </w:tr>
      <w:tr w:rsidR="00E0738F" w:rsidRPr="005456B9" w14:paraId="6EEADC98" w14:textId="77777777" w:rsidTr="0076578C">
        <w:trPr>
          <w:trHeight w:val="300"/>
        </w:trPr>
        <w:tc>
          <w:tcPr>
            <w:tcW w:w="7220" w:type="dxa"/>
            <w:tcBorders>
              <w:top w:val="nil"/>
              <w:left w:val="single" w:sz="8" w:space="0" w:color="auto"/>
              <w:bottom w:val="single" w:sz="8" w:space="0" w:color="auto"/>
              <w:right w:val="single" w:sz="8" w:space="0" w:color="auto"/>
            </w:tcBorders>
            <w:shd w:val="clear" w:color="auto" w:fill="auto"/>
            <w:vAlign w:val="center"/>
            <w:hideMark/>
          </w:tcPr>
          <w:p w14:paraId="4D712828" w14:textId="77777777" w:rsidR="00E0738F" w:rsidRPr="005456B9" w:rsidRDefault="00E0738F" w:rsidP="00B82F91">
            <w:pPr>
              <w:pStyle w:val="Tabletext"/>
              <w:rPr>
                <w:rFonts w:cs="Calibri"/>
                <w:color w:val="000000"/>
                <w:lang w:val="es-ES"/>
              </w:rPr>
            </w:pPr>
            <w:r w:rsidRPr="005456B9">
              <w:rPr>
                <w:lang w:val="es-ES"/>
              </w:rPr>
              <w:t>Punto 1.19 del orden del día (CMR-23): SFS (espacio-Tierra) en la banda de 17,3-17,7 GHz en la Región 2</w:t>
            </w:r>
          </w:p>
        </w:tc>
        <w:tc>
          <w:tcPr>
            <w:tcW w:w="1499" w:type="dxa"/>
            <w:tcBorders>
              <w:top w:val="nil"/>
              <w:left w:val="nil"/>
              <w:bottom w:val="single" w:sz="8" w:space="0" w:color="auto"/>
              <w:right w:val="single" w:sz="8" w:space="0" w:color="auto"/>
            </w:tcBorders>
            <w:shd w:val="clear" w:color="auto" w:fill="auto"/>
            <w:vAlign w:val="center"/>
            <w:hideMark/>
          </w:tcPr>
          <w:p w14:paraId="091E6A90" w14:textId="53CC2BE4" w:rsidR="00E0738F" w:rsidRPr="005456B9" w:rsidRDefault="00E0738F" w:rsidP="00B82F91">
            <w:pPr>
              <w:pStyle w:val="Tabletext"/>
              <w:rPr>
                <w:rFonts w:cs="Calibri"/>
                <w:color w:val="000000"/>
                <w:lang w:val="es-ES"/>
              </w:rPr>
            </w:pPr>
            <w:r w:rsidRPr="005456B9">
              <w:rPr>
                <w:lang w:val="es-ES"/>
              </w:rPr>
              <w:t>148</w:t>
            </w:r>
            <w:r w:rsidR="00995AF6">
              <w:rPr>
                <w:lang w:val="es-ES"/>
              </w:rPr>
              <w:t> </w:t>
            </w:r>
            <w:r w:rsidRPr="005456B9">
              <w:rPr>
                <w:lang w:val="es-ES"/>
              </w:rPr>
              <w:t>991,40</w:t>
            </w:r>
          </w:p>
        </w:tc>
      </w:tr>
      <w:tr w:rsidR="00E0738F" w:rsidRPr="005456B9" w14:paraId="73BC7F4F" w14:textId="77777777" w:rsidTr="0076578C">
        <w:trPr>
          <w:trHeight w:val="300"/>
        </w:trPr>
        <w:tc>
          <w:tcPr>
            <w:tcW w:w="7220" w:type="dxa"/>
            <w:tcBorders>
              <w:top w:val="nil"/>
              <w:left w:val="single" w:sz="8" w:space="0" w:color="auto"/>
              <w:bottom w:val="single" w:sz="8" w:space="0" w:color="auto"/>
              <w:right w:val="single" w:sz="8" w:space="0" w:color="auto"/>
            </w:tcBorders>
            <w:shd w:val="clear" w:color="auto" w:fill="auto"/>
            <w:vAlign w:val="center"/>
            <w:hideMark/>
          </w:tcPr>
          <w:p w14:paraId="431D9B98" w14:textId="77777777" w:rsidR="00E0738F" w:rsidRPr="005456B9" w:rsidRDefault="00E0738F" w:rsidP="00B82F91">
            <w:pPr>
              <w:pStyle w:val="Tabletext"/>
              <w:rPr>
                <w:rFonts w:cs="Calibri"/>
                <w:color w:val="000000"/>
                <w:lang w:val="es-ES"/>
              </w:rPr>
            </w:pPr>
            <w:r w:rsidRPr="005456B9">
              <w:rPr>
                <w:lang w:val="es-ES"/>
              </w:rPr>
              <w:t>Res. 35 (Rev. CMR-23): procedimiento de comunicación posterior a cada objetivo intermedio de la puesta en servicio de sistemas no OSG</w:t>
            </w:r>
          </w:p>
        </w:tc>
        <w:tc>
          <w:tcPr>
            <w:tcW w:w="1499" w:type="dxa"/>
            <w:tcBorders>
              <w:top w:val="nil"/>
              <w:left w:val="nil"/>
              <w:bottom w:val="single" w:sz="8" w:space="0" w:color="auto"/>
              <w:right w:val="single" w:sz="8" w:space="0" w:color="auto"/>
            </w:tcBorders>
            <w:shd w:val="clear" w:color="auto" w:fill="auto"/>
            <w:vAlign w:val="center"/>
            <w:hideMark/>
          </w:tcPr>
          <w:p w14:paraId="61E6F11B" w14:textId="10CBB536" w:rsidR="00E0738F" w:rsidRPr="005456B9" w:rsidRDefault="00E0738F" w:rsidP="00B82F91">
            <w:pPr>
              <w:pStyle w:val="Tabletext"/>
              <w:rPr>
                <w:rFonts w:cs="Calibri"/>
                <w:color w:val="000000"/>
                <w:lang w:val="es-ES"/>
              </w:rPr>
            </w:pPr>
            <w:r w:rsidRPr="005456B9">
              <w:rPr>
                <w:lang w:val="es-ES"/>
              </w:rPr>
              <w:t>175</w:t>
            </w:r>
            <w:r w:rsidR="00995AF6">
              <w:rPr>
                <w:lang w:val="es-ES"/>
              </w:rPr>
              <w:t> </w:t>
            </w:r>
            <w:r w:rsidRPr="005456B9">
              <w:rPr>
                <w:lang w:val="es-ES"/>
              </w:rPr>
              <w:t>284,00</w:t>
            </w:r>
          </w:p>
        </w:tc>
      </w:tr>
      <w:tr w:rsidR="00E0738F" w:rsidRPr="005456B9" w14:paraId="46A2FAFB" w14:textId="77777777" w:rsidTr="0076578C">
        <w:trPr>
          <w:trHeight w:val="300"/>
        </w:trPr>
        <w:tc>
          <w:tcPr>
            <w:tcW w:w="7220" w:type="dxa"/>
            <w:tcBorders>
              <w:top w:val="nil"/>
              <w:left w:val="single" w:sz="8" w:space="0" w:color="auto"/>
              <w:bottom w:val="single" w:sz="8" w:space="0" w:color="auto"/>
              <w:right w:val="single" w:sz="8" w:space="0" w:color="auto"/>
            </w:tcBorders>
            <w:shd w:val="clear" w:color="auto" w:fill="B6DDE8" w:themeFill="accent5" w:themeFillTint="66"/>
            <w:vAlign w:val="center"/>
            <w:hideMark/>
          </w:tcPr>
          <w:p w14:paraId="216CE61F" w14:textId="77777777" w:rsidR="00E0738F" w:rsidRPr="005456B9" w:rsidRDefault="00E0738F" w:rsidP="00B82F91">
            <w:pPr>
              <w:pStyle w:val="Tabletext"/>
              <w:rPr>
                <w:rFonts w:cs="Calibri"/>
                <w:b/>
                <w:bCs/>
                <w:color w:val="000000"/>
                <w:lang w:val="es-ES"/>
              </w:rPr>
            </w:pPr>
            <w:r w:rsidRPr="005456B9">
              <w:rPr>
                <w:b/>
                <w:bCs/>
                <w:lang w:val="es-ES"/>
              </w:rPr>
              <w:t>Total</w:t>
            </w:r>
            <w:r w:rsidRPr="005456B9">
              <w:rPr>
                <w:lang w:val="es-ES"/>
              </w:rPr>
              <w:t xml:space="preserve"> </w:t>
            </w:r>
          </w:p>
        </w:tc>
        <w:tc>
          <w:tcPr>
            <w:tcW w:w="1499" w:type="dxa"/>
            <w:tcBorders>
              <w:top w:val="nil"/>
              <w:left w:val="nil"/>
              <w:bottom w:val="single" w:sz="8" w:space="0" w:color="auto"/>
              <w:right w:val="single" w:sz="8" w:space="0" w:color="auto"/>
            </w:tcBorders>
            <w:shd w:val="clear" w:color="auto" w:fill="B6DDE8" w:themeFill="accent5" w:themeFillTint="66"/>
            <w:vAlign w:val="center"/>
            <w:hideMark/>
          </w:tcPr>
          <w:p w14:paraId="69C506CE" w14:textId="6911F74B" w:rsidR="00E0738F" w:rsidRPr="005456B9" w:rsidRDefault="00E0738F" w:rsidP="00B82F91">
            <w:pPr>
              <w:pStyle w:val="Tabletext"/>
              <w:rPr>
                <w:rFonts w:cs="Calibri"/>
                <w:b/>
                <w:bCs/>
                <w:color w:val="000000"/>
                <w:lang w:val="es-ES"/>
              </w:rPr>
            </w:pPr>
            <w:r w:rsidRPr="005456B9">
              <w:rPr>
                <w:b/>
                <w:bCs/>
                <w:lang w:val="es-ES"/>
              </w:rPr>
              <w:t>2</w:t>
            </w:r>
            <w:r w:rsidR="00995AF6">
              <w:rPr>
                <w:b/>
                <w:bCs/>
                <w:lang w:val="es-ES"/>
              </w:rPr>
              <w:t> </w:t>
            </w:r>
            <w:r w:rsidRPr="005456B9">
              <w:rPr>
                <w:b/>
                <w:bCs/>
                <w:lang w:val="es-ES"/>
              </w:rPr>
              <w:t>979</w:t>
            </w:r>
            <w:r w:rsidR="00995AF6">
              <w:rPr>
                <w:b/>
                <w:bCs/>
                <w:lang w:val="es-ES"/>
              </w:rPr>
              <w:t> </w:t>
            </w:r>
            <w:r w:rsidRPr="005456B9">
              <w:rPr>
                <w:b/>
                <w:bCs/>
                <w:lang w:val="es-ES"/>
              </w:rPr>
              <w:t>828,00</w:t>
            </w:r>
          </w:p>
        </w:tc>
      </w:tr>
      <w:tr w:rsidR="00E0738F" w:rsidRPr="005456B9" w14:paraId="35F2CBEE" w14:textId="77777777" w:rsidTr="0076578C">
        <w:trPr>
          <w:trHeight w:val="300"/>
        </w:trPr>
        <w:tc>
          <w:tcPr>
            <w:tcW w:w="7220" w:type="dxa"/>
            <w:tcBorders>
              <w:top w:val="nil"/>
              <w:left w:val="single" w:sz="8" w:space="0" w:color="auto"/>
              <w:bottom w:val="single" w:sz="8" w:space="0" w:color="auto"/>
              <w:right w:val="single" w:sz="8" w:space="0" w:color="auto"/>
            </w:tcBorders>
            <w:shd w:val="clear" w:color="auto" w:fill="E5B8B7" w:themeFill="accent2" w:themeFillTint="66"/>
            <w:vAlign w:val="center"/>
            <w:hideMark/>
          </w:tcPr>
          <w:p w14:paraId="75834978" w14:textId="77777777" w:rsidR="00E0738F" w:rsidRPr="005456B9" w:rsidRDefault="00E0738F" w:rsidP="00B82F91">
            <w:pPr>
              <w:pStyle w:val="Tabletext"/>
              <w:rPr>
                <w:rFonts w:cs="Calibri"/>
                <w:b/>
                <w:bCs/>
                <w:color w:val="000000"/>
                <w:lang w:val="es-ES"/>
              </w:rPr>
            </w:pPr>
            <w:r w:rsidRPr="005456B9">
              <w:rPr>
                <w:b/>
                <w:bCs/>
                <w:lang w:val="es-ES"/>
              </w:rPr>
              <w:t>Total</w:t>
            </w:r>
            <w:r w:rsidRPr="005456B9">
              <w:rPr>
                <w:lang w:val="es-ES"/>
              </w:rPr>
              <w:t xml:space="preserve"> </w:t>
            </w:r>
          </w:p>
        </w:tc>
        <w:tc>
          <w:tcPr>
            <w:tcW w:w="1499" w:type="dxa"/>
            <w:tcBorders>
              <w:top w:val="nil"/>
              <w:left w:val="nil"/>
              <w:bottom w:val="single" w:sz="8" w:space="0" w:color="auto"/>
              <w:right w:val="single" w:sz="8" w:space="0" w:color="auto"/>
            </w:tcBorders>
            <w:shd w:val="clear" w:color="auto" w:fill="E5B8B7" w:themeFill="accent2" w:themeFillTint="66"/>
            <w:vAlign w:val="center"/>
            <w:hideMark/>
          </w:tcPr>
          <w:p w14:paraId="48A67C13" w14:textId="6D3279AD" w:rsidR="00E0738F" w:rsidRPr="005456B9" w:rsidRDefault="00E0738F" w:rsidP="00B82F91">
            <w:pPr>
              <w:pStyle w:val="Tabletext"/>
              <w:rPr>
                <w:rFonts w:cs="Calibri"/>
                <w:b/>
                <w:bCs/>
                <w:color w:val="000000"/>
                <w:lang w:val="es-ES"/>
              </w:rPr>
            </w:pPr>
            <w:r w:rsidRPr="005456B9">
              <w:rPr>
                <w:b/>
                <w:bCs/>
                <w:lang w:val="es-ES"/>
              </w:rPr>
              <w:t>3</w:t>
            </w:r>
            <w:r w:rsidR="00995AF6">
              <w:rPr>
                <w:b/>
                <w:bCs/>
                <w:lang w:val="es-ES"/>
              </w:rPr>
              <w:t> </w:t>
            </w:r>
            <w:r w:rsidRPr="005456B9">
              <w:rPr>
                <w:b/>
                <w:bCs/>
                <w:lang w:val="es-ES"/>
              </w:rPr>
              <w:t>330</w:t>
            </w:r>
            <w:r w:rsidR="00995AF6">
              <w:rPr>
                <w:b/>
                <w:bCs/>
                <w:lang w:val="es-ES"/>
              </w:rPr>
              <w:t> </w:t>
            </w:r>
            <w:r w:rsidRPr="005456B9">
              <w:rPr>
                <w:b/>
                <w:bCs/>
                <w:lang w:val="es-ES"/>
              </w:rPr>
              <w:t>396,00</w:t>
            </w:r>
          </w:p>
        </w:tc>
      </w:tr>
    </w:tbl>
    <w:p w14:paraId="3E8639EF" w14:textId="77777777" w:rsidR="00E0738F" w:rsidRPr="005456B9" w:rsidRDefault="00E0738F" w:rsidP="00E0738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sz w:val="26"/>
          <w:szCs w:val="26"/>
          <w:lang w:val="es-ES"/>
        </w:rPr>
      </w:pPr>
    </w:p>
    <w:p w14:paraId="3E6962D0" w14:textId="299E0557" w:rsidR="00E0738F" w:rsidRDefault="00E0738F" w:rsidP="00012013">
      <w:pPr>
        <w:pStyle w:val="Note"/>
        <w:rPr>
          <w:lang w:val="es-ES"/>
        </w:rPr>
      </w:pPr>
      <w:r w:rsidRPr="00012013">
        <w:rPr>
          <w:lang w:val="es-ES"/>
        </w:rPr>
        <w:t>Nota 1</w:t>
      </w:r>
      <w:r w:rsidRPr="005456B9">
        <w:rPr>
          <w:lang w:val="es-ES"/>
        </w:rPr>
        <w:t xml:space="preserve">: La necesidad de desarrollar este programa se identificó en la CMR-23, cuando se había examinado una posible ampliación del límite de dfp en el número </w:t>
      </w:r>
      <w:r w:rsidRPr="005456B9">
        <w:rPr>
          <w:b/>
          <w:bCs/>
          <w:lang w:val="es-ES"/>
        </w:rPr>
        <w:t>5.441B.</w:t>
      </w:r>
      <w:r w:rsidRPr="005456B9">
        <w:rPr>
          <w:lang w:val="es-ES"/>
        </w:rPr>
        <w:t xml:space="preserve"> Dado que la CMR</w:t>
      </w:r>
      <w:r w:rsidR="00FA4306">
        <w:rPr>
          <w:lang w:val="es-ES"/>
        </w:rPr>
        <w:noBreakHyphen/>
      </w:r>
      <w:r w:rsidRPr="005456B9">
        <w:rPr>
          <w:lang w:val="es-ES"/>
        </w:rPr>
        <w:t xml:space="preserve">23 decidió retener el límite de dfp aprobado por la CMR-19 y la notificación de un diagrama de antena detallado de IMT no se especificó en el Apéndice </w:t>
      </w:r>
      <w:r w:rsidRPr="005456B9">
        <w:rPr>
          <w:b/>
          <w:bCs/>
          <w:lang w:val="es-ES"/>
        </w:rPr>
        <w:t>4</w:t>
      </w:r>
      <w:r w:rsidRPr="005456B9">
        <w:rPr>
          <w:lang w:val="es-ES"/>
        </w:rPr>
        <w:t xml:space="preserve"> del RR, ya no se requiere desarrollar este programa y puede suprimirse del Cuadro 3-1.</w:t>
      </w:r>
    </w:p>
    <w:p w14:paraId="6C0088FF" w14:textId="77777777" w:rsidR="00E0738F" w:rsidRPr="005456B9" w:rsidRDefault="00E0738F" w:rsidP="00012013">
      <w:pPr>
        <w:pStyle w:val="Note"/>
        <w:rPr>
          <w:rFonts w:asciiTheme="minorHAnsi" w:hAnsiTheme="minorHAnsi" w:cstheme="minorHAnsi"/>
          <w:bCs/>
          <w:sz w:val="26"/>
          <w:szCs w:val="26"/>
          <w:lang w:val="es-ES"/>
        </w:rPr>
      </w:pPr>
      <w:r w:rsidRPr="00012013">
        <w:rPr>
          <w:lang w:val="es-ES"/>
        </w:rPr>
        <w:t>Nota 2:</w:t>
      </w:r>
      <w:r w:rsidRPr="00012013">
        <w:rPr>
          <w:i/>
          <w:iCs/>
          <w:lang w:val="es-ES"/>
        </w:rPr>
        <w:t xml:space="preserve"> </w:t>
      </w:r>
      <w:r w:rsidRPr="00012013">
        <w:rPr>
          <w:lang w:val="es-ES"/>
        </w:rPr>
        <w:t>Durante los debates celebrados en el marco de las reuniones de algunos Grupos Regionales tras la CMR-23 y el GAR-24, se ha determinado que la conformidad con la máscara de espectro IMT para la banda de 6 GHz establecida en la Resolución 220 (CMR-23) debe ser comprobada a nivel nacional y comunicada a la BR mediante el compromiso pertinente de la administración notificante. Por consiguiente, ya no se requiere desarrollar este programa y puede retirarse del Cuadro 3-1.</w:t>
      </w:r>
    </w:p>
    <w:p w14:paraId="6B948AC2" w14:textId="59B010FA" w:rsidR="00E0738F" w:rsidRPr="005456B9" w:rsidRDefault="00FA4306" w:rsidP="00E0738F">
      <w:pPr>
        <w:pStyle w:val="Heading1"/>
        <w:rPr>
          <w:lang w:val="es-ES"/>
        </w:rPr>
      </w:pPr>
      <w:r>
        <w:rPr>
          <w:bCs/>
          <w:lang w:val="es-ES"/>
        </w:rPr>
        <w:t>4</w:t>
      </w:r>
      <w:r>
        <w:rPr>
          <w:bCs/>
          <w:lang w:val="es-ES"/>
        </w:rPr>
        <w:tab/>
      </w:r>
      <w:r w:rsidR="00E0738F" w:rsidRPr="005456B9">
        <w:rPr>
          <w:bCs/>
          <w:lang w:val="es-ES"/>
        </w:rPr>
        <w:t>Repercusiones presupuestarias de las Decisiones de la CMR-23 para 2025-2027</w:t>
      </w:r>
    </w:p>
    <w:p w14:paraId="3C9C1283" w14:textId="363C94E0" w:rsidR="00E0738F" w:rsidRPr="005456B9" w:rsidRDefault="00FA4306" w:rsidP="00E0738F">
      <w:pPr>
        <w:pStyle w:val="Heading2"/>
        <w:rPr>
          <w:lang w:val="es-ES"/>
        </w:rPr>
      </w:pPr>
      <w:r>
        <w:rPr>
          <w:bCs/>
          <w:lang w:val="es-ES"/>
        </w:rPr>
        <w:t>4.1</w:t>
      </w:r>
      <w:r>
        <w:rPr>
          <w:bCs/>
          <w:lang w:val="es-ES"/>
        </w:rPr>
        <w:tab/>
      </w:r>
      <w:r w:rsidR="00E0738F" w:rsidRPr="005456B9">
        <w:rPr>
          <w:bCs/>
          <w:lang w:val="es-ES"/>
        </w:rPr>
        <w:t>Repercusiones presupuestarias del Proceso Preparatorio de la CMR-27 para 2025</w:t>
      </w:r>
      <w:r w:rsidR="00D45093">
        <w:t> </w:t>
      </w:r>
      <w:r w:rsidR="00D45093">
        <w:t>–</w:t>
      </w:r>
      <w:r w:rsidR="00D45093">
        <w:t> </w:t>
      </w:r>
      <w:r w:rsidR="00E0738F" w:rsidRPr="005456B9">
        <w:rPr>
          <w:bCs/>
          <w:lang w:val="es-ES"/>
        </w:rPr>
        <w:t>2027</w:t>
      </w:r>
    </w:p>
    <w:p w14:paraId="4A7F03EE" w14:textId="77777777" w:rsidR="00E0738F" w:rsidRPr="005456B9" w:rsidRDefault="00E0738F" w:rsidP="00012013">
      <w:pPr>
        <w:rPr>
          <w:lang w:val="es-ES"/>
        </w:rPr>
      </w:pPr>
      <w:r w:rsidRPr="005456B9">
        <w:rPr>
          <w:lang w:val="es-ES"/>
        </w:rPr>
        <w:t>Teniendo en cuenta que el proyecto de texto del Informe de la RPC27 tendrá que estar listo para finales de 2026 aproximadamente, se espera que las reuniones adicionales y la documentación tengan lugar en 2025 y 2026. La carga de trabajo adicional para la Secretaría de la BR seguirá durante todo el periodo. En el Cuadro 4-1 se presentan los costes adicionales del proceso preparatorio de la CMR-27 en 2025-2027.</w:t>
      </w:r>
    </w:p>
    <w:p w14:paraId="05C6A139" w14:textId="77777777" w:rsidR="00E0738F" w:rsidRPr="005456B9" w:rsidRDefault="00E0738F" w:rsidP="00E0738F">
      <w:pPr>
        <w:tabs>
          <w:tab w:val="clear" w:pos="567"/>
          <w:tab w:val="clear" w:pos="1134"/>
          <w:tab w:val="clear" w:pos="1701"/>
          <w:tab w:val="clear" w:pos="2268"/>
          <w:tab w:val="clear" w:pos="2835"/>
        </w:tabs>
        <w:overflowPunct/>
        <w:autoSpaceDE/>
        <w:autoSpaceDN/>
        <w:adjustRightInd/>
        <w:spacing w:before="0"/>
        <w:textAlignment w:val="auto"/>
        <w:rPr>
          <w:lang w:val="es-ES"/>
        </w:rPr>
      </w:pPr>
      <w:r w:rsidRPr="005456B9">
        <w:rPr>
          <w:lang w:val="es-ES"/>
        </w:rPr>
        <w:br w:type="page"/>
      </w:r>
    </w:p>
    <w:p w14:paraId="3023C06E" w14:textId="3A2CC4FF" w:rsidR="00E0738F" w:rsidRPr="00012013" w:rsidRDefault="00E0738F" w:rsidP="00012013">
      <w:pPr>
        <w:pStyle w:val="TableNo"/>
      </w:pPr>
      <w:r w:rsidRPr="00012013">
        <w:lastRenderedPageBreak/>
        <w:t>CUADRO 4-1</w:t>
      </w:r>
    </w:p>
    <w:p w14:paraId="3D662C20" w14:textId="0630B625" w:rsidR="00E0738F" w:rsidRPr="005456B9" w:rsidRDefault="00FA4306" w:rsidP="00FA4306">
      <w:pPr>
        <w:pStyle w:val="Tabletitle"/>
        <w:rPr>
          <w:lang w:val="es-ES"/>
        </w:rPr>
      </w:pPr>
      <w:r>
        <w:rPr>
          <w:lang w:val="es-ES"/>
        </w:rPr>
        <w:br/>
      </w:r>
      <w:r w:rsidR="00E0738F" w:rsidRPr="005456B9">
        <w:rPr>
          <w:lang w:val="es-ES"/>
        </w:rPr>
        <w:t>COSTES ADICIONALES DEL PROCESO PREPARATORIO DE LA CMR-27 PARA 2025-2027</w:t>
      </w:r>
    </w:p>
    <w:tbl>
      <w:tblPr>
        <w:tblStyle w:val="TableGrid"/>
        <w:tblW w:w="0" w:type="auto"/>
        <w:tblLayout w:type="fixed"/>
        <w:tblLook w:val="04A0" w:firstRow="1" w:lastRow="0" w:firstColumn="1" w:lastColumn="0" w:noHBand="0" w:noVBand="1"/>
      </w:tblPr>
      <w:tblGrid>
        <w:gridCol w:w="5245"/>
        <w:gridCol w:w="1251"/>
        <w:gridCol w:w="1329"/>
        <w:gridCol w:w="1241"/>
      </w:tblGrid>
      <w:tr w:rsidR="00E0738F" w:rsidRPr="005456B9" w14:paraId="786B68E1" w14:textId="77777777" w:rsidTr="0076578C">
        <w:tc>
          <w:tcPr>
            <w:tcW w:w="5245" w:type="dxa"/>
            <w:tcBorders>
              <w:top w:val="nil"/>
              <w:left w:val="nil"/>
              <w:bottom w:val="single" w:sz="4" w:space="0" w:color="auto"/>
              <w:right w:val="single" w:sz="4" w:space="0" w:color="auto"/>
            </w:tcBorders>
            <w:shd w:val="clear" w:color="auto" w:fill="auto"/>
          </w:tcPr>
          <w:p w14:paraId="13B789B7" w14:textId="77777777" w:rsidR="00E0738F" w:rsidRPr="005456B9" w:rsidRDefault="00E0738F" w:rsidP="0076578C">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lang w:val="es-ES"/>
              </w:rPr>
            </w:pPr>
          </w:p>
        </w:tc>
        <w:tc>
          <w:tcPr>
            <w:tcW w:w="1251" w:type="dxa"/>
            <w:tcBorders>
              <w:left w:val="single" w:sz="4" w:space="0" w:color="auto"/>
            </w:tcBorders>
            <w:shd w:val="clear" w:color="auto" w:fill="C2D69B" w:themeFill="accent3" w:themeFillTint="99"/>
          </w:tcPr>
          <w:p w14:paraId="032AECE7" w14:textId="77777777" w:rsidR="00E0738F" w:rsidRPr="005456B9" w:rsidRDefault="00E0738F" w:rsidP="00A024E4">
            <w:pPr>
              <w:pStyle w:val="Tablehead"/>
              <w:rPr>
                <w:rFonts w:asciiTheme="minorHAnsi" w:hAnsiTheme="minorHAnsi" w:cstheme="minorHAnsi"/>
                <w:lang w:val="es-ES"/>
              </w:rPr>
            </w:pPr>
            <w:r w:rsidRPr="005456B9">
              <w:rPr>
                <w:lang w:val="es-ES"/>
              </w:rPr>
              <w:t>2025</w:t>
            </w:r>
          </w:p>
        </w:tc>
        <w:tc>
          <w:tcPr>
            <w:tcW w:w="1329" w:type="dxa"/>
            <w:shd w:val="clear" w:color="auto" w:fill="C2D69B" w:themeFill="accent3" w:themeFillTint="99"/>
          </w:tcPr>
          <w:p w14:paraId="20CF0EF8" w14:textId="77777777" w:rsidR="00E0738F" w:rsidRPr="005456B9" w:rsidRDefault="00E0738F" w:rsidP="00A024E4">
            <w:pPr>
              <w:pStyle w:val="Tablehead"/>
              <w:rPr>
                <w:rFonts w:asciiTheme="minorHAnsi" w:hAnsiTheme="minorHAnsi" w:cstheme="minorHAnsi"/>
                <w:lang w:val="es-ES"/>
              </w:rPr>
            </w:pPr>
            <w:r w:rsidRPr="005456B9">
              <w:rPr>
                <w:lang w:val="es-ES"/>
              </w:rPr>
              <w:t>2026</w:t>
            </w:r>
          </w:p>
        </w:tc>
        <w:tc>
          <w:tcPr>
            <w:tcW w:w="1241" w:type="dxa"/>
            <w:shd w:val="clear" w:color="auto" w:fill="C2D69B" w:themeFill="accent3" w:themeFillTint="99"/>
          </w:tcPr>
          <w:p w14:paraId="427E0AA6" w14:textId="77777777" w:rsidR="00E0738F" w:rsidRPr="005456B9" w:rsidRDefault="00E0738F" w:rsidP="00A024E4">
            <w:pPr>
              <w:pStyle w:val="Tablehead"/>
              <w:rPr>
                <w:rFonts w:asciiTheme="minorHAnsi" w:hAnsiTheme="minorHAnsi" w:cstheme="minorHAnsi"/>
                <w:lang w:val="es-ES"/>
              </w:rPr>
            </w:pPr>
            <w:r w:rsidRPr="005456B9">
              <w:rPr>
                <w:lang w:val="es-ES"/>
              </w:rPr>
              <w:t>2027</w:t>
            </w:r>
          </w:p>
        </w:tc>
      </w:tr>
      <w:tr w:rsidR="00E0738F" w:rsidRPr="005456B9" w14:paraId="4A79DD6E" w14:textId="77777777" w:rsidTr="0076578C">
        <w:tc>
          <w:tcPr>
            <w:tcW w:w="5245" w:type="dxa"/>
            <w:tcBorders>
              <w:top w:val="single" w:sz="4" w:space="0" w:color="auto"/>
            </w:tcBorders>
            <w:shd w:val="clear" w:color="auto" w:fill="C2D69B" w:themeFill="accent3" w:themeFillTint="99"/>
          </w:tcPr>
          <w:p w14:paraId="4BA37321" w14:textId="77777777" w:rsidR="00E0738F" w:rsidRPr="005456B9" w:rsidRDefault="00E0738F" w:rsidP="00A024E4">
            <w:pPr>
              <w:pStyle w:val="Tablehead"/>
              <w:rPr>
                <w:rFonts w:asciiTheme="minorHAnsi" w:hAnsiTheme="minorHAnsi" w:cstheme="minorHAnsi"/>
                <w:sz w:val="26"/>
                <w:szCs w:val="26"/>
                <w:lang w:val="es-ES"/>
              </w:rPr>
            </w:pPr>
            <w:r w:rsidRPr="005456B9">
              <w:rPr>
                <w:lang w:val="es-ES"/>
              </w:rPr>
              <w:t>Referencia y descripción de las actas finales de la CMR-23</w:t>
            </w:r>
          </w:p>
        </w:tc>
        <w:tc>
          <w:tcPr>
            <w:tcW w:w="1251" w:type="dxa"/>
            <w:shd w:val="clear" w:color="auto" w:fill="C2D69B" w:themeFill="accent3" w:themeFillTint="99"/>
          </w:tcPr>
          <w:p w14:paraId="58848856" w14:textId="77777777" w:rsidR="00E0738F" w:rsidRPr="005456B9" w:rsidRDefault="00E0738F" w:rsidP="00A024E4">
            <w:pPr>
              <w:pStyle w:val="Tablehead"/>
              <w:rPr>
                <w:rFonts w:asciiTheme="minorHAnsi" w:hAnsiTheme="minorHAnsi" w:cstheme="minorHAnsi"/>
                <w:lang w:val="es-ES"/>
              </w:rPr>
            </w:pPr>
            <w:r w:rsidRPr="005456B9">
              <w:rPr>
                <w:lang w:val="es-ES"/>
              </w:rPr>
              <w:t>CHF</w:t>
            </w:r>
          </w:p>
        </w:tc>
        <w:tc>
          <w:tcPr>
            <w:tcW w:w="1329" w:type="dxa"/>
            <w:shd w:val="clear" w:color="auto" w:fill="C2D69B" w:themeFill="accent3" w:themeFillTint="99"/>
          </w:tcPr>
          <w:p w14:paraId="6F6F32CA" w14:textId="77777777" w:rsidR="00E0738F" w:rsidRPr="005456B9" w:rsidRDefault="00E0738F" w:rsidP="00A024E4">
            <w:pPr>
              <w:pStyle w:val="Tablehead"/>
              <w:rPr>
                <w:rFonts w:asciiTheme="minorHAnsi" w:hAnsiTheme="minorHAnsi" w:cstheme="minorHAnsi"/>
                <w:lang w:val="es-ES"/>
              </w:rPr>
            </w:pPr>
            <w:r w:rsidRPr="005456B9">
              <w:rPr>
                <w:lang w:val="es-ES"/>
              </w:rPr>
              <w:t>CHF</w:t>
            </w:r>
          </w:p>
        </w:tc>
        <w:tc>
          <w:tcPr>
            <w:tcW w:w="1241" w:type="dxa"/>
            <w:shd w:val="clear" w:color="auto" w:fill="C2D69B" w:themeFill="accent3" w:themeFillTint="99"/>
          </w:tcPr>
          <w:p w14:paraId="17FC70A3" w14:textId="77777777" w:rsidR="00E0738F" w:rsidRPr="005456B9" w:rsidRDefault="00E0738F" w:rsidP="00A024E4">
            <w:pPr>
              <w:pStyle w:val="Tablehead"/>
              <w:rPr>
                <w:rFonts w:asciiTheme="minorHAnsi" w:hAnsiTheme="minorHAnsi" w:cstheme="minorHAnsi"/>
                <w:lang w:val="es-ES"/>
              </w:rPr>
            </w:pPr>
            <w:r w:rsidRPr="005456B9">
              <w:rPr>
                <w:lang w:val="es-ES"/>
              </w:rPr>
              <w:t>CHF</w:t>
            </w:r>
          </w:p>
        </w:tc>
      </w:tr>
      <w:tr w:rsidR="00E0738F" w:rsidRPr="005456B9" w14:paraId="229A930A" w14:textId="77777777" w:rsidTr="0076578C">
        <w:tc>
          <w:tcPr>
            <w:tcW w:w="5245" w:type="dxa"/>
            <w:vAlign w:val="bottom"/>
          </w:tcPr>
          <w:p w14:paraId="403091FD" w14:textId="634D6E24" w:rsidR="00E0738F" w:rsidRPr="005456B9" w:rsidRDefault="00E0738F" w:rsidP="00A024E4">
            <w:pPr>
              <w:pStyle w:val="Tabletext"/>
              <w:rPr>
                <w:rFonts w:asciiTheme="minorHAnsi" w:hAnsiTheme="minorHAnsi" w:cstheme="minorHAnsi"/>
                <w:b/>
                <w:sz w:val="26"/>
                <w:szCs w:val="26"/>
                <w:lang w:val="es-ES"/>
              </w:rPr>
            </w:pPr>
            <w:r w:rsidRPr="005456B9">
              <w:rPr>
                <w:lang w:val="es-ES"/>
              </w:rPr>
              <w:t>Puntos del orden del día de la CMR-27 que requieren reuniones adicionales de los grupos implicados que deben celebrarse completamente en el ciclo de estudios.</w:t>
            </w:r>
            <w:r>
              <w:rPr>
                <w:lang w:val="es-ES"/>
              </w:rPr>
              <w:t xml:space="preserve"> </w:t>
            </w:r>
            <w:r w:rsidRPr="005456B9">
              <w:rPr>
                <w:lang w:val="es-ES"/>
              </w:rPr>
              <w:t>Entre otros temas técnicos, las nuevas áreas de estudio como el clima espacial, las comunicaciones en la luna y los enlaces entre satélites, resultarían en actividades adicionales</w:t>
            </w:r>
            <w:r w:rsidRPr="005456B9">
              <w:rPr>
                <w:vertAlign w:val="superscript"/>
                <w:lang w:val="es-ES"/>
              </w:rPr>
              <w:t>Nota 3</w:t>
            </w:r>
          </w:p>
        </w:tc>
        <w:tc>
          <w:tcPr>
            <w:tcW w:w="1251" w:type="dxa"/>
          </w:tcPr>
          <w:p w14:paraId="225D6643" w14:textId="05E3E3A5" w:rsidR="00E0738F" w:rsidRPr="005456B9" w:rsidRDefault="00E0738F" w:rsidP="00A024E4">
            <w:pPr>
              <w:pStyle w:val="Tabletext"/>
              <w:jc w:val="center"/>
              <w:rPr>
                <w:rFonts w:asciiTheme="minorHAnsi" w:hAnsiTheme="minorHAnsi" w:cstheme="minorHAnsi"/>
                <w:bCs/>
                <w:lang w:val="es-ES"/>
              </w:rPr>
            </w:pPr>
            <w:r w:rsidRPr="005456B9">
              <w:rPr>
                <w:lang w:val="es-ES"/>
              </w:rPr>
              <w:t>41</w:t>
            </w:r>
            <w:r w:rsidR="00995AF6">
              <w:rPr>
                <w:lang w:val="es-ES"/>
              </w:rPr>
              <w:t> </w:t>
            </w:r>
            <w:r w:rsidRPr="005456B9">
              <w:rPr>
                <w:lang w:val="es-ES"/>
              </w:rPr>
              <w:t>500</w:t>
            </w:r>
          </w:p>
        </w:tc>
        <w:tc>
          <w:tcPr>
            <w:tcW w:w="1329" w:type="dxa"/>
          </w:tcPr>
          <w:p w14:paraId="7428D986" w14:textId="4416AFA2" w:rsidR="00E0738F" w:rsidRPr="005456B9" w:rsidRDefault="00E0738F" w:rsidP="00A024E4">
            <w:pPr>
              <w:pStyle w:val="Tabletext"/>
              <w:jc w:val="center"/>
              <w:rPr>
                <w:lang w:val="es-ES"/>
              </w:rPr>
            </w:pPr>
            <w:r w:rsidRPr="005456B9">
              <w:rPr>
                <w:lang w:val="es-ES"/>
              </w:rPr>
              <w:t>41</w:t>
            </w:r>
            <w:r w:rsidR="00995AF6">
              <w:rPr>
                <w:lang w:val="es-ES"/>
              </w:rPr>
              <w:t> </w:t>
            </w:r>
            <w:r w:rsidRPr="005456B9">
              <w:rPr>
                <w:lang w:val="es-ES"/>
              </w:rPr>
              <w:t>500</w:t>
            </w:r>
          </w:p>
        </w:tc>
        <w:tc>
          <w:tcPr>
            <w:tcW w:w="1241" w:type="dxa"/>
          </w:tcPr>
          <w:p w14:paraId="5E2DEAEE" w14:textId="77777777" w:rsidR="00E0738F" w:rsidRPr="005456B9" w:rsidRDefault="00E0738F" w:rsidP="00A024E4">
            <w:pPr>
              <w:pStyle w:val="Tabletext"/>
              <w:jc w:val="center"/>
              <w:rPr>
                <w:lang w:val="es-ES"/>
              </w:rPr>
            </w:pPr>
          </w:p>
        </w:tc>
      </w:tr>
      <w:tr w:rsidR="00E0738F" w:rsidRPr="005456B9" w14:paraId="4A494462" w14:textId="77777777" w:rsidTr="0076578C">
        <w:tc>
          <w:tcPr>
            <w:tcW w:w="5245" w:type="dxa"/>
            <w:vAlign w:val="bottom"/>
          </w:tcPr>
          <w:p w14:paraId="1F07B3A9" w14:textId="08B67BD6" w:rsidR="00E0738F" w:rsidRPr="005456B9" w:rsidRDefault="00E0738F" w:rsidP="00A024E4">
            <w:pPr>
              <w:pStyle w:val="Tabletext"/>
              <w:rPr>
                <w:rFonts w:asciiTheme="minorHAnsi" w:hAnsiTheme="minorHAnsi" w:cstheme="minorHAnsi"/>
                <w:b/>
                <w:sz w:val="26"/>
                <w:szCs w:val="26"/>
                <w:lang w:val="es-ES"/>
              </w:rPr>
            </w:pPr>
            <w:r w:rsidRPr="005456B9">
              <w:rPr>
                <w:lang w:val="es-ES"/>
              </w:rPr>
              <w:t>También se requerirá documentación adicional, por ejemplo, el aumento de las capacidades de traducción y procesamiento de texto</w:t>
            </w:r>
            <w:r w:rsidRPr="005456B9">
              <w:rPr>
                <w:vertAlign w:val="superscript"/>
                <w:lang w:val="es-ES"/>
              </w:rPr>
              <w:t>Nota 4</w:t>
            </w:r>
          </w:p>
        </w:tc>
        <w:tc>
          <w:tcPr>
            <w:tcW w:w="1251" w:type="dxa"/>
          </w:tcPr>
          <w:p w14:paraId="058429BF" w14:textId="42352A27" w:rsidR="00E0738F" w:rsidRPr="005456B9" w:rsidRDefault="00E0738F" w:rsidP="00A024E4">
            <w:pPr>
              <w:pStyle w:val="Tabletext"/>
              <w:jc w:val="center"/>
              <w:rPr>
                <w:rFonts w:asciiTheme="minorHAnsi" w:hAnsiTheme="minorHAnsi" w:cstheme="minorHAnsi"/>
                <w:bCs/>
                <w:lang w:val="es-ES"/>
              </w:rPr>
            </w:pPr>
            <w:r w:rsidRPr="005456B9">
              <w:rPr>
                <w:lang w:val="es-ES"/>
              </w:rPr>
              <w:t>255</w:t>
            </w:r>
            <w:r w:rsidR="00995AF6">
              <w:rPr>
                <w:lang w:val="es-ES"/>
              </w:rPr>
              <w:t> </w:t>
            </w:r>
            <w:r w:rsidRPr="005456B9">
              <w:rPr>
                <w:lang w:val="es-ES"/>
              </w:rPr>
              <w:t>950</w:t>
            </w:r>
          </w:p>
        </w:tc>
        <w:tc>
          <w:tcPr>
            <w:tcW w:w="1329" w:type="dxa"/>
          </w:tcPr>
          <w:p w14:paraId="3A424593" w14:textId="474076B4" w:rsidR="00E0738F" w:rsidRPr="005456B9" w:rsidRDefault="00E0738F" w:rsidP="00A024E4">
            <w:pPr>
              <w:pStyle w:val="Tabletext"/>
              <w:jc w:val="center"/>
              <w:rPr>
                <w:lang w:val="es-ES"/>
              </w:rPr>
            </w:pPr>
            <w:r w:rsidRPr="005456B9">
              <w:rPr>
                <w:lang w:val="es-ES"/>
              </w:rPr>
              <w:t>255</w:t>
            </w:r>
            <w:r w:rsidR="00995AF6">
              <w:rPr>
                <w:lang w:val="es-ES"/>
              </w:rPr>
              <w:t> </w:t>
            </w:r>
            <w:r w:rsidRPr="005456B9">
              <w:rPr>
                <w:lang w:val="es-ES"/>
              </w:rPr>
              <w:t>950</w:t>
            </w:r>
          </w:p>
        </w:tc>
        <w:tc>
          <w:tcPr>
            <w:tcW w:w="1241" w:type="dxa"/>
          </w:tcPr>
          <w:p w14:paraId="1B73F34B" w14:textId="77777777" w:rsidR="00E0738F" w:rsidRPr="005456B9" w:rsidRDefault="00E0738F" w:rsidP="00A024E4">
            <w:pPr>
              <w:pStyle w:val="Tabletext"/>
              <w:jc w:val="center"/>
              <w:rPr>
                <w:lang w:val="es-ES"/>
              </w:rPr>
            </w:pPr>
          </w:p>
        </w:tc>
      </w:tr>
      <w:tr w:rsidR="00E0738F" w:rsidRPr="005456B9" w14:paraId="68DD663E" w14:textId="77777777" w:rsidTr="0076578C">
        <w:tc>
          <w:tcPr>
            <w:tcW w:w="5245" w:type="dxa"/>
            <w:vAlign w:val="bottom"/>
          </w:tcPr>
          <w:p w14:paraId="77D15005" w14:textId="5BB96CB9" w:rsidR="00E0738F" w:rsidRPr="005456B9" w:rsidRDefault="00E0738F" w:rsidP="00A024E4">
            <w:pPr>
              <w:pStyle w:val="Tabletext"/>
              <w:rPr>
                <w:rFonts w:asciiTheme="minorHAnsi" w:hAnsiTheme="minorHAnsi" w:cstheme="minorHAnsi"/>
                <w:bCs/>
                <w:lang w:val="es-ES"/>
              </w:rPr>
            </w:pPr>
            <w:r w:rsidRPr="005456B9">
              <w:rPr>
                <w:lang w:val="es-ES"/>
              </w:rPr>
              <w:t>La Secretaría de la BR necesitaría recursos adicionales para dar soporte a la carga de trabajo adicional (personal equivalente a 1 G6 y 1 P3)</w:t>
            </w:r>
          </w:p>
        </w:tc>
        <w:tc>
          <w:tcPr>
            <w:tcW w:w="1251" w:type="dxa"/>
          </w:tcPr>
          <w:p w14:paraId="33F7C9A7" w14:textId="73C25FCD" w:rsidR="00E0738F" w:rsidRPr="005456B9" w:rsidRDefault="00E0738F" w:rsidP="00A024E4">
            <w:pPr>
              <w:pStyle w:val="Tabletext"/>
              <w:jc w:val="center"/>
              <w:rPr>
                <w:rFonts w:asciiTheme="minorHAnsi" w:hAnsiTheme="minorHAnsi" w:cstheme="minorHAnsi"/>
                <w:bCs/>
                <w:lang w:val="es-ES"/>
              </w:rPr>
            </w:pPr>
            <w:r w:rsidRPr="005456B9">
              <w:rPr>
                <w:lang w:val="es-ES"/>
              </w:rPr>
              <w:t>326</w:t>
            </w:r>
            <w:r w:rsidR="00995AF6">
              <w:rPr>
                <w:lang w:val="es-ES"/>
              </w:rPr>
              <w:t> </w:t>
            </w:r>
            <w:r w:rsidRPr="005456B9">
              <w:rPr>
                <w:lang w:val="es-ES"/>
              </w:rPr>
              <w:t>340</w:t>
            </w:r>
          </w:p>
        </w:tc>
        <w:tc>
          <w:tcPr>
            <w:tcW w:w="1329" w:type="dxa"/>
          </w:tcPr>
          <w:p w14:paraId="43FFCCA2" w14:textId="3C5A4AB2" w:rsidR="00E0738F" w:rsidRPr="005456B9" w:rsidRDefault="00E0738F" w:rsidP="00A024E4">
            <w:pPr>
              <w:pStyle w:val="Tabletext"/>
              <w:jc w:val="center"/>
              <w:rPr>
                <w:lang w:val="es-ES"/>
              </w:rPr>
            </w:pPr>
            <w:r w:rsidRPr="005456B9">
              <w:rPr>
                <w:lang w:val="es-ES"/>
              </w:rPr>
              <w:t>326</w:t>
            </w:r>
            <w:r w:rsidR="00995AF6">
              <w:rPr>
                <w:lang w:val="es-ES"/>
              </w:rPr>
              <w:t> </w:t>
            </w:r>
            <w:r w:rsidRPr="005456B9">
              <w:rPr>
                <w:lang w:val="es-ES"/>
              </w:rPr>
              <w:t>340</w:t>
            </w:r>
          </w:p>
        </w:tc>
        <w:tc>
          <w:tcPr>
            <w:tcW w:w="1241" w:type="dxa"/>
          </w:tcPr>
          <w:p w14:paraId="475A28D6" w14:textId="1736AD6E" w:rsidR="00E0738F" w:rsidRPr="005456B9" w:rsidRDefault="00E0738F" w:rsidP="00A024E4">
            <w:pPr>
              <w:pStyle w:val="Tabletext"/>
              <w:jc w:val="center"/>
              <w:rPr>
                <w:lang w:val="es-ES"/>
              </w:rPr>
            </w:pPr>
            <w:r w:rsidRPr="005456B9">
              <w:rPr>
                <w:lang w:val="es-ES"/>
              </w:rPr>
              <w:t>326</w:t>
            </w:r>
            <w:r w:rsidR="00995AF6">
              <w:rPr>
                <w:lang w:val="es-ES"/>
              </w:rPr>
              <w:t> </w:t>
            </w:r>
            <w:r w:rsidRPr="005456B9">
              <w:rPr>
                <w:lang w:val="es-ES"/>
              </w:rPr>
              <w:t>340</w:t>
            </w:r>
          </w:p>
        </w:tc>
      </w:tr>
      <w:tr w:rsidR="00E0738F" w:rsidRPr="005456B9" w14:paraId="206CDC9A" w14:textId="77777777" w:rsidTr="0076578C">
        <w:tc>
          <w:tcPr>
            <w:tcW w:w="5245" w:type="dxa"/>
            <w:shd w:val="clear" w:color="auto" w:fill="C2D69B" w:themeFill="accent3" w:themeFillTint="99"/>
            <w:vAlign w:val="bottom"/>
          </w:tcPr>
          <w:p w14:paraId="10A843D3" w14:textId="77777777" w:rsidR="00E0738F" w:rsidRPr="005456B9" w:rsidRDefault="00E0738F" w:rsidP="00A024E4">
            <w:pPr>
              <w:pStyle w:val="Tabletext"/>
              <w:rPr>
                <w:rFonts w:cs="Calibri"/>
                <w:b/>
                <w:bCs/>
                <w:color w:val="000000"/>
                <w:lang w:val="es-ES"/>
              </w:rPr>
            </w:pPr>
            <w:r w:rsidRPr="005456B9">
              <w:rPr>
                <w:b/>
                <w:bCs/>
                <w:lang w:val="es-ES"/>
              </w:rPr>
              <w:t>Total</w:t>
            </w:r>
            <w:r w:rsidRPr="005456B9">
              <w:rPr>
                <w:lang w:val="es-ES"/>
              </w:rPr>
              <w:t xml:space="preserve"> </w:t>
            </w:r>
          </w:p>
        </w:tc>
        <w:tc>
          <w:tcPr>
            <w:tcW w:w="1251" w:type="dxa"/>
            <w:shd w:val="clear" w:color="auto" w:fill="C2D69B" w:themeFill="accent3" w:themeFillTint="99"/>
          </w:tcPr>
          <w:p w14:paraId="223EAD54" w14:textId="7618EE2E" w:rsidR="00E0738F" w:rsidRPr="005456B9" w:rsidRDefault="00E0738F" w:rsidP="00A024E4">
            <w:pPr>
              <w:pStyle w:val="Tabletext"/>
              <w:rPr>
                <w:rFonts w:asciiTheme="minorHAnsi" w:hAnsiTheme="minorHAnsi" w:cstheme="minorHAnsi"/>
                <w:b/>
                <w:bCs/>
                <w:lang w:val="es-ES"/>
              </w:rPr>
            </w:pPr>
            <w:r w:rsidRPr="005456B9">
              <w:rPr>
                <w:b/>
                <w:bCs/>
                <w:lang w:val="es-ES"/>
              </w:rPr>
              <w:t>623</w:t>
            </w:r>
            <w:r w:rsidR="00995AF6">
              <w:rPr>
                <w:b/>
                <w:bCs/>
                <w:lang w:val="es-ES"/>
              </w:rPr>
              <w:t> </w:t>
            </w:r>
            <w:r w:rsidRPr="005456B9">
              <w:rPr>
                <w:b/>
                <w:bCs/>
                <w:lang w:val="es-ES"/>
              </w:rPr>
              <w:t>790</w:t>
            </w:r>
          </w:p>
        </w:tc>
        <w:tc>
          <w:tcPr>
            <w:tcW w:w="1329" w:type="dxa"/>
            <w:shd w:val="clear" w:color="auto" w:fill="C2D69B" w:themeFill="accent3" w:themeFillTint="99"/>
          </w:tcPr>
          <w:p w14:paraId="598C216B" w14:textId="19DDC57F" w:rsidR="00E0738F" w:rsidRPr="005456B9" w:rsidRDefault="00E0738F" w:rsidP="00A024E4">
            <w:pPr>
              <w:pStyle w:val="Tabletext"/>
              <w:rPr>
                <w:b/>
                <w:bCs/>
                <w:lang w:val="es-ES"/>
              </w:rPr>
            </w:pPr>
            <w:r w:rsidRPr="005456B9">
              <w:rPr>
                <w:b/>
                <w:bCs/>
                <w:lang w:val="es-ES"/>
              </w:rPr>
              <w:t>623</w:t>
            </w:r>
            <w:r w:rsidR="00995AF6">
              <w:rPr>
                <w:b/>
                <w:bCs/>
                <w:lang w:val="es-ES"/>
              </w:rPr>
              <w:t> </w:t>
            </w:r>
            <w:r w:rsidRPr="005456B9">
              <w:rPr>
                <w:b/>
                <w:bCs/>
                <w:lang w:val="es-ES"/>
              </w:rPr>
              <w:t>790</w:t>
            </w:r>
          </w:p>
        </w:tc>
        <w:tc>
          <w:tcPr>
            <w:tcW w:w="1241" w:type="dxa"/>
            <w:shd w:val="clear" w:color="auto" w:fill="C2D69B" w:themeFill="accent3" w:themeFillTint="99"/>
          </w:tcPr>
          <w:p w14:paraId="6FEADEA9" w14:textId="32D533FD" w:rsidR="00E0738F" w:rsidRPr="005456B9" w:rsidRDefault="00E0738F" w:rsidP="00A024E4">
            <w:pPr>
              <w:pStyle w:val="Tabletext"/>
              <w:rPr>
                <w:b/>
                <w:bCs/>
                <w:lang w:val="es-ES"/>
              </w:rPr>
            </w:pPr>
            <w:r w:rsidRPr="005456B9">
              <w:rPr>
                <w:b/>
                <w:bCs/>
                <w:lang w:val="es-ES"/>
              </w:rPr>
              <w:t>326</w:t>
            </w:r>
            <w:r w:rsidR="00995AF6">
              <w:rPr>
                <w:b/>
                <w:bCs/>
                <w:lang w:val="es-ES"/>
              </w:rPr>
              <w:t> </w:t>
            </w:r>
            <w:r w:rsidRPr="005456B9">
              <w:rPr>
                <w:b/>
                <w:bCs/>
                <w:lang w:val="es-ES"/>
              </w:rPr>
              <w:t>340</w:t>
            </w:r>
          </w:p>
        </w:tc>
      </w:tr>
    </w:tbl>
    <w:p w14:paraId="0B57C64E" w14:textId="6E7D9D9A" w:rsidR="00E0738F" w:rsidRPr="005456B9" w:rsidRDefault="00E0738F" w:rsidP="00012013">
      <w:pPr>
        <w:pStyle w:val="Note"/>
        <w:rPr>
          <w:lang w:val="es-ES"/>
        </w:rPr>
      </w:pPr>
      <w:r w:rsidRPr="00012013">
        <w:rPr>
          <w:lang w:val="es-ES"/>
        </w:rPr>
        <w:t>Nota 3</w:t>
      </w:r>
      <w:r w:rsidRPr="005456B9">
        <w:rPr>
          <w:i/>
          <w:lang w:val="es-ES"/>
        </w:rPr>
        <w:t>:</w:t>
      </w:r>
      <w:r w:rsidRPr="005456B9">
        <w:rPr>
          <w:lang w:val="es-ES"/>
        </w:rPr>
        <w:t xml:space="preserve"> La mayoría de estos temas afectarán a la carga de trabajo de la CE 4 (servicios de satélite). Sin embargo, habrá otros que podrán asignarse a la CE 5 (servicios terrenales), la CE</w:t>
      </w:r>
      <w:r w:rsidR="00A024E4">
        <w:rPr>
          <w:lang w:val="es-ES"/>
        </w:rPr>
        <w:t> </w:t>
      </w:r>
      <w:r w:rsidRPr="005456B9">
        <w:rPr>
          <w:lang w:val="es-ES"/>
        </w:rPr>
        <w:t>7 (servicios científicos) y/o la CE 1 (gestión del espectro).</w:t>
      </w:r>
    </w:p>
    <w:p w14:paraId="415F6751" w14:textId="77777777" w:rsidR="00E0738F" w:rsidRPr="005456B9" w:rsidRDefault="00E0738F" w:rsidP="00012013">
      <w:pPr>
        <w:pStyle w:val="Note"/>
        <w:rPr>
          <w:lang w:val="es-ES"/>
        </w:rPr>
      </w:pPr>
      <w:r w:rsidRPr="005456B9">
        <w:rPr>
          <w:lang w:val="es-ES"/>
        </w:rPr>
        <w:t>Nota 4: Sobre la base de lo anterior, estimamos que se necesitarían en torno a 30 días adicionales para reuniones de los Grupos de Trabajo (incluida la participación a distancia y los servicios de transmisión web) y unos 3 días adicionales para reuniones de las Comisiones de Estudio (incluidos los servicios de subtitulación, interpretación, traducciones de texto de unas 500 páginas, la participación a distancia y los servicios de transmisión web). Todo lo anterior parte del supuesto de que las reuniones de los Grupos de Trabajo se celebran en la sede de la UIT.</w:t>
      </w:r>
    </w:p>
    <w:p w14:paraId="040B651F" w14:textId="65DA1B24" w:rsidR="00E0738F" w:rsidRPr="005456B9" w:rsidRDefault="00A024E4" w:rsidP="00E0738F">
      <w:pPr>
        <w:pStyle w:val="Heading2"/>
        <w:rPr>
          <w:rFonts w:eastAsia="Verdana"/>
          <w:lang w:val="es-ES"/>
        </w:rPr>
      </w:pPr>
      <w:r>
        <w:rPr>
          <w:bCs/>
          <w:lang w:val="es-ES"/>
        </w:rPr>
        <w:t>4.2</w:t>
      </w:r>
      <w:r>
        <w:rPr>
          <w:bCs/>
          <w:lang w:val="es-ES"/>
        </w:rPr>
        <w:tab/>
      </w:r>
      <w:r w:rsidR="00E0738F" w:rsidRPr="005456B9">
        <w:rPr>
          <w:bCs/>
          <w:lang w:val="es-ES"/>
        </w:rPr>
        <w:t>Repercusiones presupuestarias recurrentes para los servicios terrenales</w:t>
      </w:r>
    </w:p>
    <w:p w14:paraId="44330FCF" w14:textId="77777777" w:rsidR="00E0738F" w:rsidRPr="005456B9" w:rsidRDefault="00E0738F" w:rsidP="005976FC">
      <w:pPr>
        <w:rPr>
          <w:rFonts w:eastAsia="Verdana"/>
          <w:lang w:val="es-ES"/>
        </w:rPr>
      </w:pPr>
      <w:r w:rsidRPr="005456B9">
        <w:rPr>
          <w:lang w:val="es-ES"/>
        </w:rPr>
        <w:t>La Comisión de Control del Presupuesto de la CMR-23 no identificó repercusiones financieras recurrentes para la tramitación de las notificaciones de servicios terrenales ni para el mantenimiento de los programas relacionados con los servicios terrenales.</w:t>
      </w:r>
    </w:p>
    <w:p w14:paraId="75F23EDB" w14:textId="36E89F33" w:rsidR="00E0738F" w:rsidRDefault="00A024E4" w:rsidP="00E0738F">
      <w:pPr>
        <w:pStyle w:val="Heading2"/>
        <w:rPr>
          <w:lang w:val="es-ES"/>
        </w:rPr>
      </w:pPr>
      <w:r>
        <w:rPr>
          <w:bCs/>
          <w:lang w:val="es-ES"/>
        </w:rPr>
        <w:t>4.3</w:t>
      </w:r>
      <w:r>
        <w:rPr>
          <w:bCs/>
          <w:lang w:val="es-ES"/>
        </w:rPr>
        <w:tab/>
      </w:r>
      <w:r w:rsidR="00E0738F" w:rsidRPr="005456B9">
        <w:rPr>
          <w:bCs/>
          <w:lang w:val="es-ES"/>
        </w:rPr>
        <w:t>Repercusiones presupuestarias recurrentes para los servicios espaciales</w:t>
      </w:r>
    </w:p>
    <w:p w14:paraId="69623C69" w14:textId="77777777" w:rsidR="00E0738F" w:rsidRDefault="00E0738F" w:rsidP="005976FC">
      <w:pPr>
        <w:rPr>
          <w:lang w:val="es-ES"/>
        </w:rPr>
      </w:pPr>
      <w:r w:rsidRPr="005456B9">
        <w:rPr>
          <w:lang w:val="es-ES"/>
        </w:rPr>
        <w:t>Sin embargo, la Comisión de Control del Presupuesto de la CMR-23 identificó repercusiones financieras recurrentes tanto para la tramitación de las notificaciones de servicios espaciales como para el mantenimiento de los programas relacionados con los servicios espaciales. Estos costes se muestran a continuación en los Cuadros 4-2 y 4-3, respectivamente.</w:t>
      </w:r>
    </w:p>
    <w:p w14:paraId="78B474DD" w14:textId="77777777" w:rsidR="00E0738F" w:rsidRPr="005456B9" w:rsidRDefault="00E0738F" w:rsidP="00E0738F">
      <w:pPr>
        <w:rPr>
          <w:rFonts w:eastAsia="Verdana"/>
          <w:lang w:val="es-ES"/>
        </w:rPr>
      </w:pPr>
    </w:p>
    <w:p w14:paraId="3DF431A1" w14:textId="77777777" w:rsidR="00E0738F" w:rsidRPr="005456B9" w:rsidRDefault="00E0738F" w:rsidP="00E0738F">
      <w:pPr>
        <w:rPr>
          <w:rFonts w:eastAsia="Verdana"/>
          <w:lang w:val="es-ES"/>
        </w:rPr>
        <w:sectPr w:rsidR="00E0738F" w:rsidRPr="005456B9" w:rsidSect="00AC6E07">
          <w:footerReference w:type="default" r:id="rId13"/>
          <w:headerReference w:type="first" r:id="rId14"/>
          <w:footerReference w:type="first" r:id="rId15"/>
          <w:pgSz w:w="11907" w:h="16834"/>
          <w:pgMar w:top="1418" w:right="1418" w:bottom="1418" w:left="1418" w:header="720" w:footer="720" w:gutter="0"/>
          <w:paperSrc w:first="286" w:other="286"/>
          <w:cols w:space="720"/>
          <w:titlePg/>
          <w:docGrid w:linePitch="326"/>
        </w:sectPr>
      </w:pPr>
    </w:p>
    <w:p w14:paraId="775F83C8" w14:textId="678BE0A5" w:rsidR="00A024E4" w:rsidRPr="00012013" w:rsidRDefault="00E0738F" w:rsidP="00A024E4">
      <w:pPr>
        <w:pStyle w:val="TableNo"/>
        <w:rPr>
          <w:lang w:val="es-ES"/>
        </w:rPr>
      </w:pPr>
      <w:r w:rsidRPr="00012013">
        <w:rPr>
          <w:lang w:val="es-ES"/>
        </w:rPr>
        <w:lastRenderedPageBreak/>
        <w:t xml:space="preserve">CUADRO 4-2 </w:t>
      </w:r>
    </w:p>
    <w:p w14:paraId="5C20C454" w14:textId="3ECA51D4" w:rsidR="00E0738F" w:rsidRPr="005456B9" w:rsidRDefault="00A024E4" w:rsidP="00A024E4">
      <w:pPr>
        <w:pStyle w:val="Tabletitle"/>
        <w:rPr>
          <w:lang w:val="es-ES"/>
        </w:rPr>
      </w:pPr>
      <w:r>
        <w:rPr>
          <w:lang w:val="es-ES"/>
        </w:rPr>
        <w:br/>
      </w:r>
      <w:r w:rsidR="00E0738F" w:rsidRPr="005456B9">
        <w:rPr>
          <w:lang w:val="es-ES"/>
        </w:rPr>
        <w:t xml:space="preserve">Repercusiones presupuestarias recurrentes para la tramitación de notificaciones de servicios espaciales (2025-2027) </w:t>
      </w:r>
    </w:p>
    <w:tbl>
      <w:tblPr>
        <w:tblStyle w:val="TableGrid"/>
        <w:tblW w:w="0" w:type="auto"/>
        <w:tblLayout w:type="fixed"/>
        <w:tblLook w:val="04A0" w:firstRow="1" w:lastRow="0" w:firstColumn="1" w:lastColumn="0" w:noHBand="0" w:noVBand="1"/>
      </w:tblPr>
      <w:tblGrid>
        <w:gridCol w:w="5519"/>
        <w:gridCol w:w="1427"/>
        <w:gridCol w:w="1494"/>
        <w:gridCol w:w="1387"/>
        <w:gridCol w:w="1387"/>
        <w:gridCol w:w="1387"/>
        <w:gridCol w:w="1387"/>
      </w:tblGrid>
      <w:tr w:rsidR="00E0738F" w:rsidRPr="005456B9" w14:paraId="277D035A" w14:textId="77777777" w:rsidTr="0076578C">
        <w:tc>
          <w:tcPr>
            <w:tcW w:w="5519" w:type="dxa"/>
            <w:tcBorders>
              <w:top w:val="nil"/>
              <w:left w:val="nil"/>
              <w:bottom w:val="single" w:sz="4" w:space="0" w:color="auto"/>
              <w:right w:val="single" w:sz="4" w:space="0" w:color="auto"/>
            </w:tcBorders>
            <w:shd w:val="clear" w:color="auto" w:fill="auto"/>
          </w:tcPr>
          <w:p w14:paraId="7018B85C" w14:textId="77777777" w:rsidR="00E0738F" w:rsidRPr="005456B9" w:rsidRDefault="00E0738F" w:rsidP="0076578C">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lang w:val="es-ES"/>
              </w:rPr>
            </w:pPr>
          </w:p>
        </w:tc>
        <w:tc>
          <w:tcPr>
            <w:tcW w:w="2921" w:type="dxa"/>
            <w:gridSpan w:val="2"/>
            <w:tcBorders>
              <w:left w:val="single" w:sz="4" w:space="0" w:color="auto"/>
            </w:tcBorders>
            <w:shd w:val="clear" w:color="auto" w:fill="92CDDC" w:themeFill="accent5" w:themeFillTint="99"/>
          </w:tcPr>
          <w:p w14:paraId="7F658632" w14:textId="77777777" w:rsidR="00E0738F" w:rsidRPr="005456B9" w:rsidRDefault="00E0738F" w:rsidP="00673890">
            <w:pPr>
              <w:pStyle w:val="Tablehead"/>
              <w:rPr>
                <w:rFonts w:asciiTheme="minorHAnsi" w:hAnsiTheme="minorHAnsi" w:cstheme="minorHAnsi"/>
                <w:lang w:val="es-ES"/>
              </w:rPr>
            </w:pPr>
            <w:r w:rsidRPr="005456B9">
              <w:rPr>
                <w:lang w:val="es-ES"/>
              </w:rPr>
              <w:t>2025</w:t>
            </w:r>
          </w:p>
        </w:tc>
        <w:tc>
          <w:tcPr>
            <w:tcW w:w="2774" w:type="dxa"/>
            <w:gridSpan w:val="2"/>
            <w:shd w:val="clear" w:color="auto" w:fill="92CDDC" w:themeFill="accent5" w:themeFillTint="99"/>
          </w:tcPr>
          <w:p w14:paraId="74DA3834" w14:textId="77777777" w:rsidR="00E0738F" w:rsidRPr="005456B9" w:rsidRDefault="00E0738F" w:rsidP="00673890">
            <w:pPr>
              <w:pStyle w:val="Tablehead"/>
              <w:rPr>
                <w:rFonts w:asciiTheme="minorHAnsi" w:hAnsiTheme="minorHAnsi" w:cstheme="minorHAnsi"/>
                <w:lang w:val="es-ES"/>
              </w:rPr>
            </w:pPr>
            <w:r w:rsidRPr="005456B9">
              <w:rPr>
                <w:lang w:val="es-ES"/>
              </w:rPr>
              <w:t>2026</w:t>
            </w:r>
          </w:p>
        </w:tc>
        <w:tc>
          <w:tcPr>
            <w:tcW w:w="2774" w:type="dxa"/>
            <w:gridSpan w:val="2"/>
            <w:shd w:val="clear" w:color="auto" w:fill="92CDDC" w:themeFill="accent5" w:themeFillTint="99"/>
          </w:tcPr>
          <w:p w14:paraId="72AB0F75" w14:textId="77777777" w:rsidR="00E0738F" w:rsidRPr="005456B9" w:rsidRDefault="00E0738F" w:rsidP="00673890">
            <w:pPr>
              <w:pStyle w:val="Tablehead"/>
              <w:rPr>
                <w:rFonts w:asciiTheme="minorHAnsi" w:hAnsiTheme="minorHAnsi" w:cstheme="minorHAnsi"/>
                <w:lang w:val="es-ES"/>
              </w:rPr>
            </w:pPr>
            <w:r w:rsidRPr="005456B9">
              <w:rPr>
                <w:lang w:val="es-ES"/>
              </w:rPr>
              <w:t>2027</w:t>
            </w:r>
          </w:p>
        </w:tc>
      </w:tr>
      <w:tr w:rsidR="00E0738F" w:rsidRPr="005456B9" w14:paraId="1B349C0C" w14:textId="77777777" w:rsidTr="00A511C0">
        <w:tc>
          <w:tcPr>
            <w:tcW w:w="5519" w:type="dxa"/>
            <w:tcBorders>
              <w:top w:val="single" w:sz="4" w:space="0" w:color="auto"/>
            </w:tcBorders>
            <w:shd w:val="clear" w:color="auto" w:fill="92CDDC" w:themeFill="accent5" w:themeFillTint="99"/>
          </w:tcPr>
          <w:p w14:paraId="01F65350" w14:textId="77777777" w:rsidR="00E0738F" w:rsidRPr="005456B9" w:rsidRDefault="00E0738F" w:rsidP="00673890">
            <w:pPr>
              <w:pStyle w:val="Tablehead"/>
              <w:rPr>
                <w:rFonts w:asciiTheme="minorHAnsi" w:hAnsiTheme="minorHAnsi" w:cstheme="minorHAnsi"/>
                <w:sz w:val="26"/>
                <w:szCs w:val="26"/>
                <w:lang w:val="es-ES"/>
              </w:rPr>
            </w:pPr>
            <w:r w:rsidRPr="005456B9">
              <w:rPr>
                <w:lang w:val="es-ES"/>
              </w:rPr>
              <w:t>Referencia y descripción de las actas finales de la CMR-23</w:t>
            </w:r>
          </w:p>
        </w:tc>
        <w:tc>
          <w:tcPr>
            <w:tcW w:w="1427" w:type="dxa"/>
            <w:shd w:val="clear" w:color="auto" w:fill="92CDDC" w:themeFill="accent5" w:themeFillTint="99"/>
            <w:vAlign w:val="bottom"/>
          </w:tcPr>
          <w:p w14:paraId="61E6DFB4" w14:textId="77777777" w:rsidR="00E0738F" w:rsidRPr="005456B9" w:rsidRDefault="00E0738F" w:rsidP="00673890">
            <w:pPr>
              <w:pStyle w:val="Tablehead"/>
              <w:rPr>
                <w:rFonts w:asciiTheme="minorHAnsi" w:hAnsiTheme="minorHAnsi" w:cstheme="minorHAnsi"/>
                <w:sz w:val="26"/>
                <w:szCs w:val="26"/>
                <w:lang w:val="es-ES"/>
              </w:rPr>
            </w:pPr>
            <w:r w:rsidRPr="005456B9">
              <w:rPr>
                <w:lang w:val="es-ES"/>
              </w:rPr>
              <w:t xml:space="preserve">Equivalente de personal con grado P3 </w:t>
            </w:r>
          </w:p>
        </w:tc>
        <w:tc>
          <w:tcPr>
            <w:tcW w:w="1494" w:type="dxa"/>
            <w:shd w:val="clear" w:color="auto" w:fill="92CDDC" w:themeFill="accent5" w:themeFillTint="99"/>
          </w:tcPr>
          <w:p w14:paraId="7120ECB5" w14:textId="77777777" w:rsidR="00E0738F" w:rsidRPr="005456B9" w:rsidRDefault="00E0738F" w:rsidP="00673890">
            <w:pPr>
              <w:pStyle w:val="Tablehead"/>
              <w:rPr>
                <w:rFonts w:asciiTheme="minorHAnsi" w:hAnsiTheme="minorHAnsi" w:cstheme="minorHAnsi"/>
                <w:lang w:val="es-ES"/>
              </w:rPr>
            </w:pPr>
            <w:r w:rsidRPr="005456B9">
              <w:rPr>
                <w:lang w:val="es-ES"/>
              </w:rPr>
              <w:t xml:space="preserve">CHF </w:t>
            </w:r>
          </w:p>
        </w:tc>
        <w:tc>
          <w:tcPr>
            <w:tcW w:w="1387" w:type="dxa"/>
            <w:shd w:val="clear" w:color="auto" w:fill="92CDDC" w:themeFill="accent5" w:themeFillTint="99"/>
            <w:vAlign w:val="bottom"/>
          </w:tcPr>
          <w:p w14:paraId="1725D750" w14:textId="77777777" w:rsidR="00E0738F" w:rsidRPr="005456B9" w:rsidRDefault="00E0738F" w:rsidP="00673890">
            <w:pPr>
              <w:pStyle w:val="Tablehead"/>
              <w:rPr>
                <w:rFonts w:asciiTheme="minorHAnsi" w:hAnsiTheme="minorHAnsi" w:cstheme="minorHAnsi"/>
                <w:lang w:val="es-ES"/>
              </w:rPr>
            </w:pPr>
            <w:r w:rsidRPr="005456B9">
              <w:rPr>
                <w:lang w:val="es-ES"/>
              </w:rPr>
              <w:t xml:space="preserve">Equivalente de personal con grado P3 </w:t>
            </w:r>
          </w:p>
        </w:tc>
        <w:tc>
          <w:tcPr>
            <w:tcW w:w="1387" w:type="dxa"/>
            <w:shd w:val="clear" w:color="auto" w:fill="92CDDC" w:themeFill="accent5" w:themeFillTint="99"/>
          </w:tcPr>
          <w:p w14:paraId="21C1DFC5" w14:textId="77777777" w:rsidR="00E0738F" w:rsidRPr="005456B9" w:rsidRDefault="00E0738F" w:rsidP="00673890">
            <w:pPr>
              <w:pStyle w:val="Tablehead"/>
              <w:rPr>
                <w:rFonts w:asciiTheme="minorHAnsi" w:hAnsiTheme="minorHAnsi" w:cstheme="minorHAnsi"/>
                <w:lang w:val="es-ES"/>
              </w:rPr>
            </w:pPr>
            <w:r w:rsidRPr="005456B9">
              <w:rPr>
                <w:lang w:val="es-ES"/>
              </w:rPr>
              <w:t xml:space="preserve">CHF </w:t>
            </w:r>
          </w:p>
        </w:tc>
        <w:tc>
          <w:tcPr>
            <w:tcW w:w="1387" w:type="dxa"/>
            <w:shd w:val="clear" w:color="auto" w:fill="92CDDC" w:themeFill="accent5" w:themeFillTint="99"/>
            <w:vAlign w:val="bottom"/>
          </w:tcPr>
          <w:p w14:paraId="25B25BE3" w14:textId="77777777" w:rsidR="00E0738F" w:rsidRPr="005456B9" w:rsidRDefault="00E0738F" w:rsidP="00673890">
            <w:pPr>
              <w:pStyle w:val="Tablehead"/>
              <w:rPr>
                <w:rFonts w:asciiTheme="minorHAnsi" w:hAnsiTheme="minorHAnsi" w:cstheme="minorHAnsi"/>
                <w:lang w:val="es-ES"/>
              </w:rPr>
            </w:pPr>
            <w:r w:rsidRPr="005456B9">
              <w:rPr>
                <w:lang w:val="es-ES"/>
              </w:rPr>
              <w:t xml:space="preserve">Equivalente de personal con grado P3 </w:t>
            </w:r>
          </w:p>
        </w:tc>
        <w:tc>
          <w:tcPr>
            <w:tcW w:w="1387" w:type="dxa"/>
            <w:shd w:val="clear" w:color="auto" w:fill="92CDDC" w:themeFill="accent5" w:themeFillTint="99"/>
          </w:tcPr>
          <w:p w14:paraId="467BECB4" w14:textId="77777777" w:rsidR="00E0738F" w:rsidRPr="005456B9" w:rsidRDefault="00E0738F" w:rsidP="00673890">
            <w:pPr>
              <w:pStyle w:val="Tablehead"/>
              <w:rPr>
                <w:rFonts w:asciiTheme="minorHAnsi" w:hAnsiTheme="minorHAnsi" w:cstheme="minorHAnsi"/>
                <w:lang w:val="es-ES"/>
              </w:rPr>
            </w:pPr>
            <w:r w:rsidRPr="005456B9">
              <w:rPr>
                <w:lang w:val="es-ES"/>
              </w:rPr>
              <w:t xml:space="preserve">CHF </w:t>
            </w:r>
          </w:p>
        </w:tc>
      </w:tr>
      <w:tr w:rsidR="00E0738F" w:rsidRPr="005456B9" w14:paraId="0E622A42" w14:textId="77777777" w:rsidTr="00A511C0">
        <w:tc>
          <w:tcPr>
            <w:tcW w:w="5519" w:type="dxa"/>
            <w:vAlign w:val="bottom"/>
          </w:tcPr>
          <w:p w14:paraId="4C5325FE" w14:textId="77777777" w:rsidR="00E0738F" w:rsidRPr="005456B9" w:rsidRDefault="00E0738F" w:rsidP="00673890">
            <w:pPr>
              <w:pStyle w:val="Tabletext"/>
              <w:rPr>
                <w:rFonts w:asciiTheme="minorHAnsi" w:hAnsiTheme="minorHAnsi" w:cstheme="minorHAnsi"/>
                <w:b/>
                <w:sz w:val="26"/>
                <w:szCs w:val="26"/>
                <w:lang w:val="es-ES"/>
              </w:rPr>
            </w:pPr>
            <w:r w:rsidRPr="005456B9">
              <w:rPr>
                <w:lang w:val="es-ES"/>
              </w:rPr>
              <w:t>Res. 121 (CMR-23): ETEM del AP30B</w:t>
            </w:r>
          </w:p>
        </w:tc>
        <w:tc>
          <w:tcPr>
            <w:tcW w:w="1427" w:type="dxa"/>
          </w:tcPr>
          <w:p w14:paraId="2CE54C81" w14:textId="77777777" w:rsidR="00E0738F" w:rsidRPr="005456B9" w:rsidRDefault="00E0738F" w:rsidP="00673890">
            <w:pPr>
              <w:pStyle w:val="Tabletext"/>
              <w:jc w:val="center"/>
              <w:rPr>
                <w:rFonts w:asciiTheme="minorHAnsi" w:hAnsiTheme="minorHAnsi" w:cstheme="minorHAnsi"/>
                <w:b/>
                <w:lang w:val="es-ES"/>
              </w:rPr>
            </w:pPr>
            <w:r w:rsidRPr="005456B9">
              <w:rPr>
                <w:lang w:val="es-ES"/>
              </w:rPr>
              <w:t>3</w:t>
            </w:r>
          </w:p>
        </w:tc>
        <w:tc>
          <w:tcPr>
            <w:tcW w:w="1494" w:type="dxa"/>
          </w:tcPr>
          <w:p w14:paraId="73B4B26C" w14:textId="618485D6" w:rsidR="00E0738F" w:rsidRPr="005456B9" w:rsidRDefault="00E0738F" w:rsidP="00673890">
            <w:pPr>
              <w:pStyle w:val="Tabletext"/>
              <w:jc w:val="center"/>
              <w:rPr>
                <w:rFonts w:asciiTheme="minorHAnsi" w:hAnsiTheme="minorHAnsi" w:cstheme="minorHAnsi"/>
                <w:b/>
                <w:lang w:val="es-ES"/>
              </w:rPr>
            </w:pPr>
            <w:r w:rsidRPr="005456B9">
              <w:rPr>
                <w:lang w:val="es-ES"/>
              </w:rPr>
              <w:t>525</w:t>
            </w:r>
            <w:r w:rsidR="00995AF6">
              <w:rPr>
                <w:lang w:val="es-ES"/>
              </w:rPr>
              <w:t> </w:t>
            </w:r>
            <w:r w:rsidRPr="005456B9">
              <w:rPr>
                <w:lang w:val="es-ES"/>
              </w:rPr>
              <w:t>852,00</w:t>
            </w:r>
          </w:p>
        </w:tc>
        <w:tc>
          <w:tcPr>
            <w:tcW w:w="1387" w:type="dxa"/>
          </w:tcPr>
          <w:p w14:paraId="762DD6F6" w14:textId="77777777" w:rsidR="00E0738F" w:rsidRPr="005456B9" w:rsidRDefault="00E0738F" w:rsidP="00673890">
            <w:pPr>
              <w:pStyle w:val="Tabletext"/>
              <w:jc w:val="center"/>
              <w:rPr>
                <w:lang w:val="es-ES"/>
              </w:rPr>
            </w:pPr>
            <w:r w:rsidRPr="005456B9">
              <w:rPr>
                <w:lang w:val="es-ES"/>
              </w:rPr>
              <w:t>3</w:t>
            </w:r>
          </w:p>
        </w:tc>
        <w:tc>
          <w:tcPr>
            <w:tcW w:w="1387" w:type="dxa"/>
          </w:tcPr>
          <w:p w14:paraId="579C93C7" w14:textId="53EB7033" w:rsidR="00E0738F" w:rsidRPr="005456B9" w:rsidRDefault="00E0738F" w:rsidP="00673890">
            <w:pPr>
              <w:pStyle w:val="Tabletext"/>
              <w:jc w:val="center"/>
              <w:rPr>
                <w:lang w:val="es-ES"/>
              </w:rPr>
            </w:pPr>
            <w:r w:rsidRPr="005456B9">
              <w:rPr>
                <w:lang w:val="es-ES"/>
              </w:rPr>
              <w:t>525</w:t>
            </w:r>
            <w:r w:rsidR="00995AF6">
              <w:rPr>
                <w:lang w:val="es-ES"/>
              </w:rPr>
              <w:t> </w:t>
            </w:r>
            <w:r w:rsidRPr="005456B9">
              <w:rPr>
                <w:lang w:val="es-ES"/>
              </w:rPr>
              <w:t>852,00</w:t>
            </w:r>
          </w:p>
        </w:tc>
        <w:tc>
          <w:tcPr>
            <w:tcW w:w="1387" w:type="dxa"/>
          </w:tcPr>
          <w:p w14:paraId="2CDE0F3D" w14:textId="77777777" w:rsidR="00E0738F" w:rsidRPr="005456B9" w:rsidRDefault="00E0738F" w:rsidP="00673890">
            <w:pPr>
              <w:pStyle w:val="Tabletext"/>
              <w:jc w:val="center"/>
              <w:rPr>
                <w:lang w:val="es-ES"/>
              </w:rPr>
            </w:pPr>
            <w:r w:rsidRPr="005456B9">
              <w:rPr>
                <w:lang w:val="es-ES"/>
              </w:rPr>
              <w:t>3</w:t>
            </w:r>
          </w:p>
        </w:tc>
        <w:tc>
          <w:tcPr>
            <w:tcW w:w="1387" w:type="dxa"/>
          </w:tcPr>
          <w:p w14:paraId="5DFB57BF" w14:textId="5537C286" w:rsidR="00E0738F" w:rsidRPr="005456B9" w:rsidRDefault="00E0738F" w:rsidP="00673890">
            <w:pPr>
              <w:pStyle w:val="Tabletext"/>
              <w:jc w:val="center"/>
              <w:rPr>
                <w:lang w:val="es-ES"/>
              </w:rPr>
            </w:pPr>
            <w:r w:rsidRPr="005456B9">
              <w:rPr>
                <w:lang w:val="es-ES"/>
              </w:rPr>
              <w:t>525</w:t>
            </w:r>
            <w:r w:rsidR="00995AF6">
              <w:rPr>
                <w:lang w:val="es-ES"/>
              </w:rPr>
              <w:t> </w:t>
            </w:r>
            <w:r w:rsidRPr="005456B9">
              <w:rPr>
                <w:lang w:val="es-ES"/>
              </w:rPr>
              <w:t>852,00</w:t>
            </w:r>
          </w:p>
        </w:tc>
      </w:tr>
      <w:tr w:rsidR="00E0738F" w:rsidRPr="005456B9" w14:paraId="46F0A5AA" w14:textId="77777777" w:rsidTr="00A511C0">
        <w:tc>
          <w:tcPr>
            <w:tcW w:w="5519" w:type="dxa"/>
            <w:vAlign w:val="bottom"/>
          </w:tcPr>
          <w:p w14:paraId="66FBE0B8" w14:textId="77777777" w:rsidR="00E0738F" w:rsidRPr="005456B9" w:rsidRDefault="00E0738F" w:rsidP="00673890">
            <w:pPr>
              <w:pStyle w:val="Tabletext"/>
              <w:rPr>
                <w:rFonts w:asciiTheme="minorHAnsi" w:hAnsiTheme="minorHAnsi" w:cstheme="minorHAnsi"/>
                <w:b/>
                <w:sz w:val="26"/>
                <w:szCs w:val="26"/>
                <w:lang w:val="es-ES"/>
              </w:rPr>
            </w:pPr>
            <w:r w:rsidRPr="005456B9">
              <w:rPr>
                <w:lang w:val="es-ES"/>
              </w:rPr>
              <w:t>Res. 123 (CMR-23): ETEM no OSG</w:t>
            </w:r>
          </w:p>
        </w:tc>
        <w:tc>
          <w:tcPr>
            <w:tcW w:w="1427" w:type="dxa"/>
          </w:tcPr>
          <w:p w14:paraId="67E8DC44" w14:textId="77777777" w:rsidR="00E0738F" w:rsidRPr="005456B9" w:rsidRDefault="00E0738F" w:rsidP="00673890">
            <w:pPr>
              <w:pStyle w:val="Tabletext"/>
              <w:jc w:val="center"/>
              <w:rPr>
                <w:rFonts w:asciiTheme="minorHAnsi" w:hAnsiTheme="minorHAnsi" w:cstheme="minorHAnsi"/>
                <w:b/>
                <w:lang w:val="es-ES"/>
              </w:rPr>
            </w:pPr>
            <w:r w:rsidRPr="005456B9">
              <w:rPr>
                <w:lang w:val="es-ES"/>
              </w:rPr>
              <w:t>2</w:t>
            </w:r>
          </w:p>
        </w:tc>
        <w:tc>
          <w:tcPr>
            <w:tcW w:w="1494" w:type="dxa"/>
          </w:tcPr>
          <w:p w14:paraId="6B570C58" w14:textId="7B1A1A9D" w:rsidR="00E0738F" w:rsidRPr="005456B9" w:rsidRDefault="00E0738F" w:rsidP="00673890">
            <w:pPr>
              <w:pStyle w:val="Tabletext"/>
              <w:jc w:val="center"/>
              <w:rPr>
                <w:rFonts w:asciiTheme="minorHAnsi" w:hAnsiTheme="minorHAnsi" w:cstheme="minorHAnsi"/>
                <w:b/>
                <w:lang w:val="es-ES"/>
              </w:rPr>
            </w:pPr>
            <w:r w:rsidRPr="005456B9">
              <w:rPr>
                <w:lang w:val="es-ES"/>
              </w:rPr>
              <w:t>350</w:t>
            </w:r>
            <w:r w:rsidR="00995AF6">
              <w:rPr>
                <w:lang w:val="es-ES"/>
              </w:rPr>
              <w:t> </w:t>
            </w:r>
            <w:r w:rsidRPr="005456B9">
              <w:rPr>
                <w:lang w:val="es-ES"/>
              </w:rPr>
              <w:t>568,00</w:t>
            </w:r>
          </w:p>
        </w:tc>
        <w:tc>
          <w:tcPr>
            <w:tcW w:w="1387" w:type="dxa"/>
          </w:tcPr>
          <w:p w14:paraId="05817E8A" w14:textId="77777777" w:rsidR="00E0738F" w:rsidRPr="005456B9" w:rsidRDefault="00E0738F" w:rsidP="00673890">
            <w:pPr>
              <w:pStyle w:val="Tabletext"/>
              <w:jc w:val="center"/>
              <w:rPr>
                <w:lang w:val="es-ES"/>
              </w:rPr>
            </w:pPr>
            <w:r w:rsidRPr="005456B9">
              <w:rPr>
                <w:lang w:val="es-ES"/>
              </w:rPr>
              <w:t>2</w:t>
            </w:r>
          </w:p>
        </w:tc>
        <w:tc>
          <w:tcPr>
            <w:tcW w:w="1387" w:type="dxa"/>
          </w:tcPr>
          <w:p w14:paraId="53E01D44" w14:textId="4529F706" w:rsidR="00E0738F" w:rsidRPr="005456B9" w:rsidRDefault="00E0738F" w:rsidP="00673890">
            <w:pPr>
              <w:pStyle w:val="Tabletext"/>
              <w:jc w:val="center"/>
              <w:rPr>
                <w:lang w:val="es-ES"/>
              </w:rPr>
            </w:pPr>
            <w:r w:rsidRPr="005456B9">
              <w:rPr>
                <w:lang w:val="es-ES"/>
              </w:rPr>
              <w:t>350</w:t>
            </w:r>
            <w:r w:rsidR="00995AF6">
              <w:rPr>
                <w:lang w:val="es-ES"/>
              </w:rPr>
              <w:t> </w:t>
            </w:r>
            <w:r w:rsidRPr="005456B9">
              <w:rPr>
                <w:lang w:val="es-ES"/>
              </w:rPr>
              <w:t>568,00</w:t>
            </w:r>
          </w:p>
        </w:tc>
        <w:tc>
          <w:tcPr>
            <w:tcW w:w="1387" w:type="dxa"/>
          </w:tcPr>
          <w:p w14:paraId="57CFAF31" w14:textId="77777777" w:rsidR="00E0738F" w:rsidRPr="005456B9" w:rsidRDefault="00E0738F" w:rsidP="00673890">
            <w:pPr>
              <w:pStyle w:val="Tabletext"/>
              <w:jc w:val="center"/>
              <w:rPr>
                <w:lang w:val="es-ES"/>
              </w:rPr>
            </w:pPr>
            <w:r w:rsidRPr="005456B9">
              <w:rPr>
                <w:lang w:val="es-ES"/>
              </w:rPr>
              <w:t>2</w:t>
            </w:r>
          </w:p>
        </w:tc>
        <w:tc>
          <w:tcPr>
            <w:tcW w:w="1387" w:type="dxa"/>
          </w:tcPr>
          <w:p w14:paraId="5580BD72" w14:textId="2AA32588" w:rsidR="00E0738F" w:rsidRPr="005456B9" w:rsidRDefault="00E0738F" w:rsidP="00673890">
            <w:pPr>
              <w:pStyle w:val="Tabletext"/>
              <w:jc w:val="center"/>
              <w:rPr>
                <w:lang w:val="es-ES"/>
              </w:rPr>
            </w:pPr>
            <w:r w:rsidRPr="005456B9">
              <w:rPr>
                <w:lang w:val="es-ES"/>
              </w:rPr>
              <w:t>350</w:t>
            </w:r>
            <w:r w:rsidR="00995AF6">
              <w:rPr>
                <w:lang w:val="es-ES"/>
              </w:rPr>
              <w:t> </w:t>
            </w:r>
            <w:r w:rsidRPr="005456B9">
              <w:rPr>
                <w:lang w:val="es-ES"/>
              </w:rPr>
              <w:t>568,00</w:t>
            </w:r>
          </w:p>
        </w:tc>
      </w:tr>
      <w:tr w:rsidR="00E0738F" w:rsidRPr="005456B9" w14:paraId="625F0B1D" w14:textId="77777777" w:rsidTr="00A511C0">
        <w:tc>
          <w:tcPr>
            <w:tcW w:w="5519" w:type="dxa"/>
            <w:vAlign w:val="bottom"/>
          </w:tcPr>
          <w:p w14:paraId="19105023" w14:textId="77777777" w:rsidR="00E0738F" w:rsidRPr="005456B9" w:rsidRDefault="00E0738F" w:rsidP="00673890">
            <w:pPr>
              <w:pStyle w:val="Tabletext"/>
              <w:rPr>
                <w:rFonts w:asciiTheme="minorHAnsi" w:hAnsiTheme="minorHAnsi" w:cstheme="minorHAnsi"/>
                <w:b/>
                <w:sz w:val="26"/>
                <w:szCs w:val="26"/>
                <w:lang w:val="es-ES"/>
              </w:rPr>
            </w:pPr>
            <w:r w:rsidRPr="005456B9">
              <w:rPr>
                <w:lang w:val="es-ES"/>
              </w:rPr>
              <w:t>Res. 679 (CMR-23): enlaces entre satélites: protección de los servicios espaciales y terrenales</w:t>
            </w:r>
          </w:p>
        </w:tc>
        <w:tc>
          <w:tcPr>
            <w:tcW w:w="1427" w:type="dxa"/>
          </w:tcPr>
          <w:p w14:paraId="21DF1F57" w14:textId="77777777" w:rsidR="00E0738F" w:rsidRPr="005456B9" w:rsidRDefault="00E0738F" w:rsidP="00673890">
            <w:pPr>
              <w:pStyle w:val="Tabletext"/>
              <w:jc w:val="center"/>
              <w:rPr>
                <w:rFonts w:asciiTheme="minorHAnsi" w:hAnsiTheme="minorHAnsi" w:cstheme="minorHAnsi"/>
                <w:b/>
                <w:lang w:val="es-ES"/>
              </w:rPr>
            </w:pPr>
            <w:r w:rsidRPr="005456B9">
              <w:rPr>
                <w:lang w:val="es-ES"/>
              </w:rPr>
              <w:t>1</w:t>
            </w:r>
          </w:p>
        </w:tc>
        <w:tc>
          <w:tcPr>
            <w:tcW w:w="1494" w:type="dxa"/>
          </w:tcPr>
          <w:p w14:paraId="07C2112B" w14:textId="37B63815" w:rsidR="00E0738F" w:rsidRPr="005456B9" w:rsidRDefault="00E0738F" w:rsidP="00673890">
            <w:pPr>
              <w:pStyle w:val="Tabletext"/>
              <w:jc w:val="center"/>
              <w:rPr>
                <w:rFonts w:asciiTheme="minorHAnsi" w:hAnsiTheme="minorHAnsi" w:cstheme="minorHAnsi"/>
                <w:b/>
                <w:lang w:val="es-ES"/>
              </w:rPr>
            </w:pPr>
            <w:r w:rsidRPr="005456B9">
              <w:rPr>
                <w:lang w:val="es-ES"/>
              </w:rPr>
              <w:t>175</w:t>
            </w:r>
            <w:r w:rsidR="00995AF6">
              <w:rPr>
                <w:lang w:val="es-ES"/>
              </w:rPr>
              <w:t> </w:t>
            </w:r>
            <w:r w:rsidRPr="005456B9">
              <w:rPr>
                <w:lang w:val="es-ES"/>
              </w:rPr>
              <w:t>284,00</w:t>
            </w:r>
          </w:p>
        </w:tc>
        <w:tc>
          <w:tcPr>
            <w:tcW w:w="1387" w:type="dxa"/>
          </w:tcPr>
          <w:p w14:paraId="3B1959D1" w14:textId="77777777" w:rsidR="00E0738F" w:rsidRPr="005456B9" w:rsidRDefault="00E0738F" w:rsidP="00673890">
            <w:pPr>
              <w:pStyle w:val="Tabletext"/>
              <w:jc w:val="center"/>
              <w:rPr>
                <w:lang w:val="es-ES"/>
              </w:rPr>
            </w:pPr>
            <w:r w:rsidRPr="005456B9">
              <w:rPr>
                <w:lang w:val="es-ES"/>
              </w:rPr>
              <w:t>1</w:t>
            </w:r>
          </w:p>
        </w:tc>
        <w:tc>
          <w:tcPr>
            <w:tcW w:w="1387" w:type="dxa"/>
          </w:tcPr>
          <w:p w14:paraId="56976D6F" w14:textId="0A7B9045" w:rsidR="00E0738F" w:rsidRPr="005456B9" w:rsidRDefault="00E0738F" w:rsidP="00673890">
            <w:pPr>
              <w:pStyle w:val="Tabletext"/>
              <w:jc w:val="center"/>
              <w:rPr>
                <w:lang w:val="es-ES"/>
              </w:rPr>
            </w:pPr>
            <w:r w:rsidRPr="005456B9">
              <w:rPr>
                <w:lang w:val="es-ES"/>
              </w:rPr>
              <w:t>175</w:t>
            </w:r>
            <w:r w:rsidR="00995AF6">
              <w:rPr>
                <w:lang w:val="es-ES"/>
              </w:rPr>
              <w:t> </w:t>
            </w:r>
            <w:r w:rsidRPr="005456B9">
              <w:rPr>
                <w:lang w:val="es-ES"/>
              </w:rPr>
              <w:t>284,00</w:t>
            </w:r>
          </w:p>
        </w:tc>
        <w:tc>
          <w:tcPr>
            <w:tcW w:w="1387" w:type="dxa"/>
          </w:tcPr>
          <w:p w14:paraId="0A4E123F" w14:textId="77777777" w:rsidR="00E0738F" w:rsidRPr="005456B9" w:rsidRDefault="00E0738F" w:rsidP="00673890">
            <w:pPr>
              <w:pStyle w:val="Tabletext"/>
              <w:jc w:val="center"/>
              <w:rPr>
                <w:lang w:val="es-ES"/>
              </w:rPr>
            </w:pPr>
            <w:r w:rsidRPr="005456B9">
              <w:rPr>
                <w:lang w:val="es-ES"/>
              </w:rPr>
              <w:t>1</w:t>
            </w:r>
          </w:p>
        </w:tc>
        <w:tc>
          <w:tcPr>
            <w:tcW w:w="1387" w:type="dxa"/>
          </w:tcPr>
          <w:p w14:paraId="701EA2F9" w14:textId="6C06220C" w:rsidR="00E0738F" w:rsidRPr="005456B9" w:rsidRDefault="00E0738F" w:rsidP="00673890">
            <w:pPr>
              <w:pStyle w:val="Tabletext"/>
              <w:jc w:val="center"/>
              <w:rPr>
                <w:lang w:val="es-ES"/>
              </w:rPr>
            </w:pPr>
            <w:r w:rsidRPr="005456B9">
              <w:rPr>
                <w:lang w:val="es-ES"/>
              </w:rPr>
              <w:t>175</w:t>
            </w:r>
            <w:r w:rsidR="00995AF6">
              <w:rPr>
                <w:lang w:val="es-ES"/>
              </w:rPr>
              <w:t> </w:t>
            </w:r>
            <w:r w:rsidRPr="005456B9">
              <w:rPr>
                <w:lang w:val="es-ES"/>
              </w:rPr>
              <w:t>284,00</w:t>
            </w:r>
          </w:p>
        </w:tc>
      </w:tr>
      <w:tr w:rsidR="00E0738F" w:rsidRPr="005456B9" w14:paraId="79CA277B" w14:textId="77777777" w:rsidTr="00A511C0">
        <w:tc>
          <w:tcPr>
            <w:tcW w:w="5519" w:type="dxa"/>
            <w:vAlign w:val="bottom"/>
          </w:tcPr>
          <w:p w14:paraId="733A3DA9" w14:textId="77777777" w:rsidR="00E0738F" w:rsidRPr="005456B9" w:rsidRDefault="00E0738F" w:rsidP="00673890">
            <w:pPr>
              <w:pStyle w:val="Tabletext"/>
              <w:rPr>
                <w:rFonts w:asciiTheme="minorHAnsi" w:hAnsiTheme="minorHAnsi" w:cstheme="minorHAnsi"/>
                <w:b/>
                <w:sz w:val="26"/>
                <w:szCs w:val="26"/>
                <w:lang w:val="es-ES"/>
              </w:rPr>
            </w:pPr>
            <w:r w:rsidRPr="005456B9">
              <w:rPr>
                <w:lang w:val="es-ES"/>
              </w:rPr>
              <w:t>Res. 8 (CMR-23): tolerancias de determinadas características orbitales no OSG</w:t>
            </w:r>
          </w:p>
        </w:tc>
        <w:tc>
          <w:tcPr>
            <w:tcW w:w="1427" w:type="dxa"/>
          </w:tcPr>
          <w:p w14:paraId="1C5C6C57" w14:textId="77777777" w:rsidR="00E0738F" w:rsidRPr="005456B9" w:rsidRDefault="00E0738F" w:rsidP="00673890">
            <w:pPr>
              <w:pStyle w:val="Tabletext"/>
              <w:jc w:val="center"/>
              <w:rPr>
                <w:rFonts w:asciiTheme="minorHAnsi" w:hAnsiTheme="minorHAnsi" w:cstheme="minorHAnsi"/>
                <w:b/>
                <w:lang w:val="es-ES"/>
              </w:rPr>
            </w:pPr>
            <w:r w:rsidRPr="005456B9">
              <w:rPr>
                <w:lang w:val="es-ES"/>
              </w:rPr>
              <w:t>1</w:t>
            </w:r>
          </w:p>
        </w:tc>
        <w:tc>
          <w:tcPr>
            <w:tcW w:w="1494" w:type="dxa"/>
          </w:tcPr>
          <w:p w14:paraId="20B50778" w14:textId="59D12F31" w:rsidR="00E0738F" w:rsidRPr="005456B9" w:rsidRDefault="00E0738F" w:rsidP="00673890">
            <w:pPr>
              <w:pStyle w:val="Tabletext"/>
              <w:jc w:val="center"/>
              <w:rPr>
                <w:rFonts w:asciiTheme="minorHAnsi" w:hAnsiTheme="minorHAnsi" w:cstheme="minorHAnsi"/>
                <w:b/>
                <w:lang w:val="es-ES"/>
              </w:rPr>
            </w:pPr>
            <w:r w:rsidRPr="005456B9">
              <w:rPr>
                <w:lang w:val="es-ES"/>
              </w:rPr>
              <w:t>175</w:t>
            </w:r>
            <w:r w:rsidR="00995AF6">
              <w:rPr>
                <w:lang w:val="es-ES"/>
              </w:rPr>
              <w:t> </w:t>
            </w:r>
            <w:r w:rsidRPr="005456B9">
              <w:rPr>
                <w:lang w:val="es-ES"/>
              </w:rPr>
              <w:t>284,00</w:t>
            </w:r>
          </w:p>
        </w:tc>
        <w:tc>
          <w:tcPr>
            <w:tcW w:w="1387" w:type="dxa"/>
          </w:tcPr>
          <w:p w14:paraId="5BEC5378" w14:textId="77777777" w:rsidR="00E0738F" w:rsidRPr="005456B9" w:rsidRDefault="00E0738F" w:rsidP="00673890">
            <w:pPr>
              <w:pStyle w:val="Tabletext"/>
              <w:jc w:val="center"/>
              <w:rPr>
                <w:lang w:val="es-ES"/>
              </w:rPr>
            </w:pPr>
            <w:r w:rsidRPr="005456B9">
              <w:rPr>
                <w:lang w:val="es-ES"/>
              </w:rPr>
              <w:t>1</w:t>
            </w:r>
          </w:p>
        </w:tc>
        <w:tc>
          <w:tcPr>
            <w:tcW w:w="1387" w:type="dxa"/>
          </w:tcPr>
          <w:p w14:paraId="144B0A5F" w14:textId="42DA51F6" w:rsidR="00E0738F" w:rsidRPr="005456B9" w:rsidRDefault="00E0738F" w:rsidP="00673890">
            <w:pPr>
              <w:pStyle w:val="Tabletext"/>
              <w:jc w:val="center"/>
              <w:rPr>
                <w:lang w:val="es-ES"/>
              </w:rPr>
            </w:pPr>
            <w:r w:rsidRPr="005456B9">
              <w:rPr>
                <w:lang w:val="es-ES"/>
              </w:rPr>
              <w:t>175</w:t>
            </w:r>
            <w:r w:rsidR="00995AF6">
              <w:rPr>
                <w:lang w:val="es-ES"/>
              </w:rPr>
              <w:t> </w:t>
            </w:r>
            <w:r w:rsidRPr="005456B9">
              <w:rPr>
                <w:lang w:val="es-ES"/>
              </w:rPr>
              <w:t>284,00</w:t>
            </w:r>
          </w:p>
        </w:tc>
        <w:tc>
          <w:tcPr>
            <w:tcW w:w="1387" w:type="dxa"/>
          </w:tcPr>
          <w:p w14:paraId="1DD9A7F2" w14:textId="77777777" w:rsidR="00E0738F" w:rsidRPr="005456B9" w:rsidRDefault="00E0738F" w:rsidP="00673890">
            <w:pPr>
              <w:pStyle w:val="Tabletext"/>
              <w:jc w:val="center"/>
              <w:rPr>
                <w:lang w:val="es-ES"/>
              </w:rPr>
            </w:pPr>
            <w:r w:rsidRPr="005456B9">
              <w:rPr>
                <w:lang w:val="es-ES"/>
              </w:rPr>
              <w:t>1</w:t>
            </w:r>
          </w:p>
        </w:tc>
        <w:tc>
          <w:tcPr>
            <w:tcW w:w="1387" w:type="dxa"/>
          </w:tcPr>
          <w:p w14:paraId="420CA2B1" w14:textId="57115B81" w:rsidR="00E0738F" w:rsidRPr="005456B9" w:rsidRDefault="00E0738F" w:rsidP="00673890">
            <w:pPr>
              <w:pStyle w:val="Tabletext"/>
              <w:jc w:val="center"/>
              <w:rPr>
                <w:lang w:val="es-ES"/>
              </w:rPr>
            </w:pPr>
            <w:r w:rsidRPr="005456B9">
              <w:rPr>
                <w:lang w:val="es-ES"/>
              </w:rPr>
              <w:t>175</w:t>
            </w:r>
            <w:r w:rsidR="00995AF6">
              <w:rPr>
                <w:lang w:val="es-ES"/>
              </w:rPr>
              <w:t> </w:t>
            </w:r>
            <w:r w:rsidRPr="005456B9">
              <w:rPr>
                <w:lang w:val="es-ES"/>
              </w:rPr>
              <w:t>284,00</w:t>
            </w:r>
          </w:p>
        </w:tc>
      </w:tr>
      <w:tr w:rsidR="00E0738F" w:rsidRPr="005456B9" w14:paraId="0284F190" w14:textId="77777777" w:rsidTr="00A511C0">
        <w:tc>
          <w:tcPr>
            <w:tcW w:w="5519" w:type="dxa"/>
            <w:vAlign w:val="bottom"/>
          </w:tcPr>
          <w:p w14:paraId="5B5988F3" w14:textId="77777777" w:rsidR="00E0738F" w:rsidRPr="005456B9" w:rsidRDefault="00E0738F" w:rsidP="00673890">
            <w:pPr>
              <w:pStyle w:val="Tabletext"/>
              <w:rPr>
                <w:rFonts w:asciiTheme="minorHAnsi" w:hAnsiTheme="minorHAnsi" w:cstheme="minorHAnsi"/>
                <w:b/>
                <w:sz w:val="26"/>
                <w:szCs w:val="26"/>
                <w:lang w:val="es-ES"/>
              </w:rPr>
            </w:pPr>
            <w:r w:rsidRPr="005456B9">
              <w:rPr>
                <w:lang w:val="es-ES"/>
              </w:rPr>
              <w:t>Punto 7E del orden del día (CMR-23): cambios en el AP30B, arts. 7 y 10</w:t>
            </w:r>
          </w:p>
        </w:tc>
        <w:tc>
          <w:tcPr>
            <w:tcW w:w="1427" w:type="dxa"/>
          </w:tcPr>
          <w:p w14:paraId="14E7C871" w14:textId="77777777" w:rsidR="00E0738F" w:rsidRPr="005456B9" w:rsidRDefault="00E0738F" w:rsidP="00673890">
            <w:pPr>
              <w:pStyle w:val="Tabletext"/>
              <w:jc w:val="center"/>
              <w:rPr>
                <w:rFonts w:asciiTheme="minorHAnsi" w:hAnsiTheme="minorHAnsi" w:cstheme="minorHAnsi"/>
                <w:b/>
                <w:lang w:val="es-ES"/>
              </w:rPr>
            </w:pPr>
            <w:r w:rsidRPr="005456B9">
              <w:rPr>
                <w:lang w:val="es-ES"/>
              </w:rPr>
              <w:t>0,35</w:t>
            </w:r>
          </w:p>
        </w:tc>
        <w:tc>
          <w:tcPr>
            <w:tcW w:w="1494" w:type="dxa"/>
          </w:tcPr>
          <w:p w14:paraId="1B015BB0" w14:textId="788C63E8" w:rsidR="00E0738F" w:rsidRPr="005456B9" w:rsidRDefault="00E0738F" w:rsidP="00673890">
            <w:pPr>
              <w:pStyle w:val="Tabletext"/>
              <w:jc w:val="center"/>
              <w:rPr>
                <w:rFonts w:asciiTheme="minorHAnsi" w:hAnsiTheme="minorHAnsi" w:cstheme="minorHAnsi"/>
                <w:b/>
                <w:lang w:val="es-ES"/>
              </w:rPr>
            </w:pPr>
            <w:r w:rsidRPr="005456B9">
              <w:rPr>
                <w:lang w:val="es-ES"/>
              </w:rPr>
              <w:t>61</w:t>
            </w:r>
            <w:r w:rsidR="00995AF6">
              <w:rPr>
                <w:lang w:val="es-ES"/>
              </w:rPr>
              <w:t> </w:t>
            </w:r>
            <w:r w:rsidRPr="005456B9">
              <w:rPr>
                <w:lang w:val="es-ES"/>
              </w:rPr>
              <w:t>349,40</w:t>
            </w:r>
          </w:p>
        </w:tc>
        <w:tc>
          <w:tcPr>
            <w:tcW w:w="1387" w:type="dxa"/>
          </w:tcPr>
          <w:p w14:paraId="1E27311A" w14:textId="77777777" w:rsidR="00E0738F" w:rsidRPr="005456B9" w:rsidRDefault="00E0738F" w:rsidP="00673890">
            <w:pPr>
              <w:pStyle w:val="Tabletext"/>
              <w:jc w:val="center"/>
              <w:rPr>
                <w:lang w:val="es-ES"/>
              </w:rPr>
            </w:pPr>
            <w:r w:rsidRPr="005456B9">
              <w:rPr>
                <w:lang w:val="es-ES"/>
              </w:rPr>
              <w:t>0,35</w:t>
            </w:r>
          </w:p>
        </w:tc>
        <w:tc>
          <w:tcPr>
            <w:tcW w:w="1387" w:type="dxa"/>
          </w:tcPr>
          <w:p w14:paraId="609374D5" w14:textId="768DA20B" w:rsidR="00E0738F" w:rsidRPr="005456B9" w:rsidRDefault="00E0738F" w:rsidP="00673890">
            <w:pPr>
              <w:pStyle w:val="Tabletext"/>
              <w:jc w:val="center"/>
              <w:rPr>
                <w:lang w:val="es-ES"/>
              </w:rPr>
            </w:pPr>
            <w:r w:rsidRPr="005456B9">
              <w:rPr>
                <w:lang w:val="es-ES"/>
              </w:rPr>
              <w:t>61</w:t>
            </w:r>
            <w:r w:rsidR="00995AF6">
              <w:rPr>
                <w:lang w:val="es-ES"/>
              </w:rPr>
              <w:t> </w:t>
            </w:r>
            <w:r w:rsidRPr="005456B9">
              <w:rPr>
                <w:lang w:val="es-ES"/>
              </w:rPr>
              <w:t>349,40</w:t>
            </w:r>
          </w:p>
        </w:tc>
        <w:tc>
          <w:tcPr>
            <w:tcW w:w="1387" w:type="dxa"/>
          </w:tcPr>
          <w:p w14:paraId="13F5E6AC" w14:textId="77777777" w:rsidR="00E0738F" w:rsidRPr="005456B9" w:rsidRDefault="00E0738F" w:rsidP="00673890">
            <w:pPr>
              <w:pStyle w:val="Tabletext"/>
              <w:jc w:val="center"/>
              <w:rPr>
                <w:lang w:val="es-ES"/>
              </w:rPr>
            </w:pPr>
            <w:r w:rsidRPr="005456B9">
              <w:rPr>
                <w:lang w:val="es-ES"/>
              </w:rPr>
              <w:t>0,35</w:t>
            </w:r>
          </w:p>
        </w:tc>
        <w:tc>
          <w:tcPr>
            <w:tcW w:w="1387" w:type="dxa"/>
          </w:tcPr>
          <w:p w14:paraId="5B9F1F69" w14:textId="513674A3" w:rsidR="00E0738F" w:rsidRPr="005456B9" w:rsidRDefault="00E0738F" w:rsidP="00673890">
            <w:pPr>
              <w:pStyle w:val="Tabletext"/>
              <w:jc w:val="center"/>
              <w:rPr>
                <w:lang w:val="es-ES"/>
              </w:rPr>
            </w:pPr>
            <w:r w:rsidRPr="005456B9">
              <w:rPr>
                <w:lang w:val="es-ES"/>
              </w:rPr>
              <w:t>61</w:t>
            </w:r>
            <w:r w:rsidR="00995AF6">
              <w:rPr>
                <w:lang w:val="es-ES"/>
              </w:rPr>
              <w:t> </w:t>
            </w:r>
            <w:r w:rsidRPr="005456B9">
              <w:rPr>
                <w:lang w:val="es-ES"/>
              </w:rPr>
              <w:t>349,40</w:t>
            </w:r>
          </w:p>
        </w:tc>
      </w:tr>
      <w:tr w:rsidR="00E0738F" w:rsidRPr="005456B9" w14:paraId="1E915C3F" w14:textId="77777777" w:rsidTr="00A511C0">
        <w:tc>
          <w:tcPr>
            <w:tcW w:w="5519" w:type="dxa"/>
            <w:vAlign w:val="bottom"/>
          </w:tcPr>
          <w:p w14:paraId="4133E2CD" w14:textId="77777777" w:rsidR="00E0738F" w:rsidRPr="005456B9" w:rsidRDefault="00E0738F" w:rsidP="00673890">
            <w:pPr>
              <w:pStyle w:val="Tabletext"/>
              <w:rPr>
                <w:rFonts w:asciiTheme="minorHAnsi" w:hAnsiTheme="minorHAnsi" w:cstheme="minorHAnsi"/>
                <w:b/>
                <w:sz w:val="26"/>
                <w:szCs w:val="26"/>
                <w:lang w:val="es-ES"/>
              </w:rPr>
            </w:pPr>
            <w:r w:rsidRPr="005456B9">
              <w:rPr>
                <w:lang w:val="es-ES"/>
              </w:rPr>
              <w:t>Punto 7F del orden del día (CMR-23): cambios en el AP30A, art. 4, y AP30B, art. 6</w:t>
            </w:r>
          </w:p>
        </w:tc>
        <w:tc>
          <w:tcPr>
            <w:tcW w:w="1427" w:type="dxa"/>
          </w:tcPr>
          <w:p w14:paraId="7E90A2DF" w14:textId="77777777" w:rsidR="00E0738F" w:rsidRPr="005456B9" w:rsidRDefault="00E0738F" w:rsidP="00673890">
            <w:pPr>
              <w:pStyle w:val="Tabletext"/>
              <w:jc w:val="center"/>
              <w:rPr>
                <w:rFonts w:asciiTheme="minorHAnsi" w:hAnsiTheme="minorHAnsi" w:cstheme="minorHAnsi"/>
                <w:b/>
                <w:lang w:val="es-ES"/>
              </w:rPr>
            </w:pPr>
            <w:r w:rsidRPr="005456B9">
              <w:rPr>
                <w:lang w:val="es-ES"/>
              </w:rPr>
              <w:t>0,35</w:t>
            </w:r>
          </w:p>
        </w:tc>
        <w:tc>
          <w:tcPr>
            <w:tcW w:w="1494" w:type="dxa"/>
          </w:tcPr>
          <w:p w14:paraId="0DC53209" w14:textId="3C666469" w:rsidR="00E0738F" w:rsidRPr="005456B9" w:rsidRDefault="00E0738F" w:rsidP="00673890">
            <w:pPr>
              <w:pStyle w:val="Tabletext"/>
              <w:jc w:val="center"/>
              <w:rPr>
                <w:rFonts w:asciiTheme="minorHAnsi" w:hAnsiTheme="minorHAnsi" w:cstheme="minorHAnsi"/>
                <w:b/>
                <w:lang w:val="es-ES"/>
              </w:rPr>
            </w:pPr>
            <w:r w:rsidRPr="005456B9">
              <w:rPr>
                <w:lang w:val="es-ES"/>
              </w:rPr>
              <w:t>61</w:t>
            </w:r>
            <w:r w:rsidR="00995AF6">
              <w:rPr>
                <w:lang w:val="es-ES"/>
              </w:rPr>
              <w:t> </w:t>
            </w:r>
            <w:r w:rsidRPr="005456B9">
              <w:rPr>
                <w:lang w:val="es-ES"/>
              </w:rPr>
              <w:t>349,40</w:t>
            </w:r>
          </w:p>
        </w:tc>
        <w:tc>
          <w:tcPr>
            <w:tcW w:w="1387" w:type="dxa"/>
          </w:tcPr>
          <w:p w14:paraId="611D41D5" w14:textId="77777777" w:rsidR="00E0738F" w:rsidRPr="005456B9" w:rsidRDefault="00E0738F" w:rsidP="00673890">
            <w:pPr>
              <w:pStyle w:val="Tabletext"/>
              <w:jc w:val="center"/>
              <w:rPr>
                <w:lang w:val="es-ES"/>
              </w:rPr>
            </w:pPr>
            <w:r w:rsidRPr="005456B9">
              <w:rPr>
                <w:lang w:val="es-ES"/>
              </w:rPr>
              <w:t>0,35</w:t>
            </w:r>
          </w:p>
        </w:tc>
        <w:tc>
          <w:tcPr>
            <w:tcW w:w="1387" w:type="dxa"/>
          </w:tcPr>
          <w:p w14:paraId="3A737BEB" w14:textId="21266746" w:rsidR="00E0738F" w:rsidRPr="005456B9" w:rsidRDefault="00E0738F" w:rsidP="00673890">
            <w:pPr>
              <w:pStyle w:val="Tabletext"/>
              <w:jc w:val="center"/>
              <w:rPr>
                <w:lang w:val="es-ES"/>
              </w:rPr>
            </w:pPr>
            <w:r w:rsidRPr="005456B9">
              <w:rPr>
                <w:lang w:val="es-ES"/>
              </w:rPr>
              <w:t>61</w:t>
            </w:r>
            <w:r w:rsidR="00995AF6">
              <w:rPr>
                <w:lang w:val="es-ES"/>
              </w:rPr>
              <w:t> </w:t>
            </w:r>
            <w:r w:rsidRPr="005456B9">
              <w:rPr>
                <w:lang w:val="es-ES"/>
              </w:rPr>
              <w:t>349,40</w:t>
            </w:r>
          </w:p>
        </w:tc>
        <w:tc>
          <w:tcPr>
            <w:tcW w:w="1387" w:type="dxa"/>
          </w:tcPr>
          <w:p w14:paraId="7B65C3A7" w14:textId="77777777" w:rsidR="00E0738F" w:rsidRPr="005456B9" w:rsidRDefault="00E0738F" w:rsidP="00673890">
            <w:pPr>
              <w:pStyle w:val="Tabletext"/>
              <w:jc w:val="center"/>
              <w:rPr>
                <w:lang w:val="es-ES"/>
              </w:rPr>
            </w:pPr>
            <w:r w:rsidRPr="005456B9">
              <w:rPr>
                <w:lang w:val="es-ES"/>
              </w:rPr>
              <w:t>0,35</w:t>
            </w:r>
          </w:p>
        </w:tc>
        <w:tc>
          <w:tcPr>
            <w:tcW w:w="1387" w:type="dxa"/>
          </w:tcPr>
          <w:p w14:paraId="0A0FE358" w14:textId="02DF3164" w:rsidR="00E0738F" w:rsidRPr="005456B9" w:rsidRDefault="00E0738F" w:rsidP="00673890">
            <w:pPr>
              <w:pStyle w:val="Tabletext"/>
              <w:jc w:val="center"/>
              <w:rPr>
                <w:lang w:val="es-ES"/>
              </w:rPr>
            </w:pPr>
            <w:r w:rsidRPr="005456B9">
              <w:rPr>
                <w:lang w:val="es-ES"/>
              </w:rPr>
              <w:t>61</w:t>
            </w:r>
            <w:r w:rsidR="00995AF6">
              <w:rPr>
                <w:lang w:val="es-ES"/>
              </w:rPr>
              <w:t> </w:t>
            </w:r>
            <w:r w:rsidRPr="005456B9">
              <w:rPr>
                <w:lang w:val="es-ES"/>
              </w:rPr>
              <w:t>349,40</w:t>
            </w:r>
          </w:p>
        </w:tc>
      </w:tr>
      <w:tr w:rsidR="00E0738F" w:rsidRPr="005456B9" w14:paraId="541C6144" w14:textId="77777777" w:rsidTr="00A511C0">
        <w:tc>
          <w:tcPr>
            <w:tcW w:w="5519" w:type="dxa"/>
            <w:vAlign w:val="bottom"/>
          </w:tcPr>
          <w:p w14:paraId="498C95FB" w14:textId="77777777" w:rsidR="00E0738F" w:rsidRPr="005456B9" w:rsidRDefault="00E0738F" w:rsidP="00673890">
            <w:pPr>
              <w:pStyle w:val="Tabletext"/>
              <w:rPr>
                <w:rFonts w:cs="Calibri"/>
                <w:color w:val="000000"/>
                <w:lang w:val="es-ES"/>
              </w:rPr>
            </w:pPr>
            <w:r w:rsidRPr="005456B9">
              <w:rPr>
                <w:lang w:val="es-ES"/>
              </w:rPr>
              <w:t>Punto 7H del orden del día (CMR-23): cambios en AP30, AP30A, AP30B (Método H1C)</w:t>
            </w:r>
          </w:p>
        </w:tc>
        <w:tc>
          <w:tcPr>
            <w:tcW w:w="1427" w:type="dxa"/>
          </w:tcPr>
          <w:p w14:paraId="3162A7C2" w14:textId="77777777" w:rsidR="00E0738F" w:rsidRPr="005456B9" w:rsidRDefault="00E0738F" w:rsidP="00673890">
            <w:pPr>
              <w:pStyle w:val="Tabletext"/>
              <w:jc w:val="center"/>
              <w:rPr>
                <w:rFonts w:cs="Calibri"/>
                <w:color w:val="000000"/>
                <w:lang w:val="es-ES"/>
              </w:rPr>
            </w:pPr>
            <w:r w:rsidRPr="005456B9">
              <w:rPr>
                <w:lang w:val="es-ES"/>
              </w:rPr>
              <w:t>0,25</w:t>
            </w:r>
          </w:p>
        </w:tc>
        <w:tc>
          <w:tcPr>
            <w:tcW w:w="1494" w:type="dxa"/>
          </w:tcPr>
          <w:p w14:paraId="30CA94B2" w14:textId="520DE42D" w:rsidR="00E0738F" w:rsidRPr="005456B9" w:rsidRDefault="00E0738F" w:rsidP="00673890">
            <w:pPr>
              <w:pStyle w:val="Tabletext"/>
              <w:jc w:val="center"/>
              <w:rPr>
                <w:rFonts w:asciiTheme="minorHAnsi" w:hAnsiTheme="minorHAnsi" w:cstheme="minorHAnsi"/>
                <w:b/>
                <w:lang w:val="es-ES"/>
              </w:rPr>
            </w:pPr>
            <w:r w:rsidRPr="005456B9">
              <w:rPr>
                <w:lang w:val="es-ES"/>
              </w:rPr>
              <w:t>43</w:t>
            </w:r>
            <w:r w:rsidR="00995AF6">
              <w:rPr>
                <w:lang w:val="es-ES"/>
              </w:rPr>
              <w:t> </w:t>
            </w:r>
            <w:r w:rsidRPr="005456B9">
              <w:rPr>
                <w:lang w:val="es-ES"/>
              </w:rPr>
              <w:t>821,00</w:t>
            </w:r>
          </w:p>
        </w:tc>
        <w:tc>
          <w:tcPr>
            <w:tcW w:w="1387" w:type="dxa"/>
          </w:tcPr>
          <w:p w14:paraId="66B7349F" w14:textId="77777777" w:rsidR="00E0738F" w:rsidRPr="005456B9" w:rsidRDefault="00E0738F" w:rsidP="00673890">
            <w:pPr>
              <w:pStyle w:val="Tabletext"/>
              <w:jc w:val="center"/>
              <w:rPr>
                <w:lang w:val="es-ES"/>
              </w:rPr>
            </w:pPr>
            <w:r w:rsidRPr="005456B9">
              <w:rPr>
                <w:lang w:val="es-ES"/>
              </w:rPr>
              <w:t>0,25</w:t>
            </w:r>
          </w:p>
        </w:tc>
        <w:tc>
          <w:tcPr>
            <w:tcW w:w="1387" w:type="dxa"/>
          </w:tcPr>
          <w:p w14:paraId="1D6AAE4D" w14:textId="22015603" w:rsidR="00E0738F" w:rsidRPr="005456B9" w:rsidRDefault="00E0738F" w:rsidP="00673890">
            <w:pPr>
              <w:pStyle w:val="Tabletext"/>
              <w:jc w:val="center"/>
              <w:rPr>
                <w:lang w:val="es-ES"/>
              </w:rPr>
            </w:pPr>
            <w:r w:rsidRPr="005456B9">
              <w:rPr>
                <w:lang w:val="es-ES"/>
              </w:rPr>
              <w:t>43</w:t>
            </w:r>
            <w:r w:rsidR="00995AF6">
              <w:rPr>
                <w:lang w:val="es-ES"/>
              </w:rPr>
              <w:t> </w:t>
            </w:r>
            <w:r w:rsidRPr="005456B9">
              <w:rPr>
                <w:lang w:val="es-ES"/>
              </w:rPr>
              <w:t>821,00</w:t>
            </w:r>
          </w:p>
        </w:tc>
        <w:tc>
          <w:tcPr>
            <w:tcW w:w="1387" w:type="dxa"/>
          </w:tcPr>
          <w:p w14:paraId="20AD8116" w14:textId="77777777" w:rsidR="00E0738F" w:rsidRPr="005456B9" w:rsidRDefault="00E0738F" w:rsidP="00673890">
            <w:pPr>
              <w:pStyle w:val="Tabletext"/>
              <w:jc w:val="center"/>
              <w:rPr>
                <w:lang w:val="es-ES"/>
              </w:rPr>
            </w:pPr>
            <w:r w:rsidRPr="005456B9">
              <w:rPr>
                <w:lang w:val="es-ES"/>
              </w:rPr>
              <w:t>0,25</w:t>
            </w:r>
          </w:p>
        </w:tc>
        <w:tc>
          <w:tcPr>
            <w:tcW w:w="1387" w:type="dxa"/>
          </w:tcPr>
          <w:p w14:paraId="3B3DFCEA" w14:textId="297EC6EA" w:rsidR="00E0738F" w:rsidRPr="005456B9" w:rsidRDefault="00E0738F" w:rsidP="00673890">
            <w:pPr>
              <w:pStyle w:val="Tabletext"/>
              <w:jc w:val="center"/>
              <w:rPr>
                <w:lang w:val="es-ES"/>
              </w:rPr>
            </w:pPr>
            <w:r w:rsidRPr="005456B9">
              <w:rPr>
                <w:lang w:val="es-ES"/>
              </w:rPr>
              <w:t>43</w:t>
            </w:r>
            <w:r w:rsidR="00995AF6">
              <w:rPr>
                <w:lang w:val="es-ES"/>
              </w:rPr>
              <w:t> </w:t>
            </w:r>
            <w:r w:rsidRPr="005456B9">
              <w:rPr>
                <w:lang w:val="es-ES"/>
              </w:rPr>
              <w:t>821,00</w:t>
            </w:r>
          </w:p>
        </w:tc>
      </w:tr>
      <w:tr w:rsidR="00E0738F" w:rsidRPr="005456B9" w14:paraId="08271520" w14:textId="77777777" w:rsidTr="00A511C0">
        <w:tc>
          <w:tcPr>
            <w:tcW w:w="5519" w:type="dxa"/>
            <w:vAlign w:val="bottom"/>
          </w:tcPr>
          <w:p w14:paraId="5FCC59C0" w14:textId="77777777" w:rsidR="00E0738F" w:rsidRPr="005456B9" w:rsidRDefault="00E0738F" w:rsidP="00673890">
            <w:pPr>
              <w:pStyle w:val="Tabletext"/>
              <w:rPr>
                <w:rFonts w:cs="Calibri"/>
                <w:color w:val="000000"/>
                <w:lang w:val="es-ES"/>
              </w:rPr>
            </w:pPr>
            <w:r w:rsidRPr="005456B9">
              <w:rPr>
                <w:lang w:val="es-ES"/>
              </w:rPr>
              <w:t>Res. 126 (CMR-23): Medidas temporales en AP30B</w:t>
            </w:r>
          </w:p>
        </w:tc>
        <w:tc>
          <w:tcPr>
            <w:tcW w:w="1427" w:type="dxa"/>
          </w:tcPr>
          <w:p w14:paraId="3D9BF1BE" w14:textId="77777777" w:rsidR="00E0738F" w:rsidRPr="005456B9" w:rsidRDefault="00E0738F" w:rsidP="00673890">
            <w:pPr>
              <w:pStyle w:val="Tabletext"/>
              <w:jc w:val="center"/>
              <w:rPr>
                <w:rFonts w:cs="Calibri"/>
                <w:color w:val="000000"/>
                <w:lang w:val="es-ES"/>
              </w:rPr>
            </w:pPr>
            <w:r w:rsidRPr="005456B9">
              <w:rPr>
                <w:lang w:val="es-ES"/>
              </w:rPr>
              <w:t>0,15</w:t>
            </w:r>
          </w:p>
        </w:tc>
        <w:tc>
          <w:tcPr>
            <w:tcW w:w="1494" w:type="dxa"/>
          </w:tcPr>
          <w:p w14:paraId="2295DB72" w14:textId="257C8DE9" w:rsidR="00E0738F" w:rsidRPr="005456B9" w:rsidRDefault="00E0738F" w:rsidP="00673890">
            <w:pPr>
              <w:pStyle w:val="Tabletext"/>
              <w:jc w:val="center"/>
              <w:rPr>
                <w:rFonts w:asciiTheme="minorHAnsi" w:hAnsiTheme="minorHAnsi" w:cstheme="minorHAnsi"/>
                <w:b/>
                <w:lang w:val="es-ES"/>
              </w:rPr>
            </w:pPr>
            <w:r w:rsidRPr="005456B9">
              <w:rPr>
                <w:lang w:val="es-ES"/>
              </w:rPr>
              <w:t>26</w:t>
            </w:r>
            <w:r w:rsidR="00995AF6">
              <w:rPr>
                <w:lang w:val="es-ES"/>
              </w:rPr>
              <w:t> </w:t>
            </w:r>
            <w:r w:rsidRPr="005456B9">
              <w:rPr>
                <w:lang w:val="es-ES"/>
              </w:rPr>
              <w:t>292,60</w:t>
            </w:r>
          </w:p>
        </w:tc>
        <w:tc>
          <w:tcPr>
            <w:tcW w:w="1387" w:type="dxa"/>
          </w:tcPr>
          <w:p w14:paraId="6A105A96" w14:textId="77777777" w:rsidR="00E0738F" w:rsidRPr="005456B9" w:rsidRDefault="00E0738F" w:rsidP="00673890">
            <w:pPr>
              <w:pStyle w:val="Tabletext"/>
              <w:jc w:val="center"/>
              <w:rPr>
                <w:lang w:val="es-ES"/>
              </w:rPr>
            </w:pPr>
            <w:r w:rsidRPr="005456B9">
              <w:rPr>
                <w:lang w:val="es-ES"/>
              </w:rPr>
              <w:t>0,15</w:t>
            </w:r>
          </w:p>
        </w:tc>
        <w:tc>
          <w:tcPr>
            <w:tcW w:w="1387" w:type="dxa"/>
          </w:tcPr>
          <w:p w14:paraId="107012D9" w14:textId="3C0F40BC" w:rsidR="00E0738F" w:rsidRPr="005456B9" w:rsidRDefault="00E0738F" w:rsidP="00673890">
            <w:pPr>
              <w:pStyle w:val="Tabletext"/>
              <w:jc w:val="center"/>
              <w:rPr>
                <w:lang w:val="es-ES"/>
              </w:rPr>
            </w:pPr>
            <w:r w:rsidRPr="005456B9">
              <w:rPr>
                <w:lang w:val="es-ES"/>
              </w:rPr>
              <w:t>26</w:t>
            </w:r>
            <w:r w:rsidR="00995AF6">
              <w:rPr>
                <w:lang w:val="es-ES"/>
              </w:rPr>
              <w:t> </w:t>
            </w:r>
            <w:r w:rsidRPr="005456B9">
              <w:rPr>
                <w:lang w:val="es-ES"/>
              </w:rPr>
              <w:t>292,60</w:t>
            </w:r>
          </w:p>
        </w:tc>
        <w:tc>
          <w:tcPr>
            <w:tcW w:w="1387" w:type="dxa"/>
          </w:tcPr>
          <w:p w14:paraId="368FC6F4" w14:textId="77777777" w:rsidR="00E0738F" w:rsidRPr="005456B9" w:rsidRDefault="00E0738F" w:rsidP="00673890">
            <w:pPr>
              <w:pStyle w:val="Tabletext"/>
              <w:jc w:val="center"/>
              <w:rPr>
                <w:lang w:val="es-ES"/>
              </w:rPr>
            </w:pPr>
            <w:r w:rsidRPr="005456B9">
              <w:rPr>
                <w:lang w:val="es-ES"/>
              </w:rPr>
              <w:t>0,15</w:t>
            </w:r>
          </w:p>
        </w:tc>
        <w:tc>
          <w:tcPr>
            <w:tcW w:w="1387" w:type="dxa"/>
          </w:tcPr>
          <w:p w14:paraId="44D05A5A" w14:textId="7D0365C7" w:rsidR="00E0738F" w:rsidRPr="005456B9" w:rsidRDefault="00E0738F" w:rsidP="00673890">
            <w:pPr>
              <w:pStyle w:val="Tabletext"/>
              <w:jc w:val="center"/>
              <w:rPr>
                <w:lang w:val="es-ES"/>
              </w:rPr>
            </w:pPr>
            <w:r w:rsidRPr="005456B9">
              <w:rPr>
                <w:lang w:val="es-ES"/>
              </w:rPr>
              <w:t>26</w:t>
            </w:r>
            <w:r w:rsidR="00995AF6">
              <w:rPr>
                <w:lang w:val="es-ES"/>
              </w:rPr>
              <w:t> </w:t>
            </w:r>
            <w:r w:rsidRPr="005456B9">
              <w:rPr>
                <w:lang w:val="es-ES"/>
              </w:rPr>
              <w:t>292,60</w:t>
            </w:r>
          </w:p>
        </w:tc>
      </w:tr>
      <w:tr w:rsidR="00E0738F" w:rsidRPr="005456B9" w14:paraId="096288A0" w14:textId="77777777" w:rsidTr="00A511C0">
        <w:tc>
          <w:tcPr>
            <w:tcW w:w="5519" w:type="dxa"/>
            <w:vAlign w:val="bottom"/>
          </w:tcPr>
          <w:p w14:paraId="5E622BB7" w14:textId="77777777" w:rsidR="00E0738F" w:rsidRPr="005456B9" w:rsidRDefault="00E0738F" w:rsidP="00673890">
            <w:pPr>
              <w:pStyle w:val="Tabletext"/>
              <w:rPr>
                <w:rFonts w:cs="Calibri"/>
                <w:color w:val="000000"/>
                <w:lang w:val="es-ES"/>
              </w:rPr>
            </w:pPr>
            <w:r w:rsidRPr="005456B9">
              <w:rPr>
                <w:lang w:val="es-ES"/>
              </w:rPr>
              <w:t xml:space="preserve">Res. 76 (Rev. CMR-23): programa de interferencia agregada de dpfe </w:t>
            </w:r>
          </w:p>
        </w:tc>
        <w:tc>
          <w:tcPr>
            <w:tcW w:w="1427" w:type="dxa"/>
          </w:tcPr>
          <w:p w14:paraId="7733E312" w14:textId="77777777" w:rsidR="00E0738F" w:rsidRPr="005456B9" w:rsidRDefault="00E0738F" w:rsidP="00673890">
            <w:pPr>
              <w:pStyle w:val="Tabletext"/>
              <w:jc w:val="center"/>
              <w:rPr>
                <w:rFonts w:cs="Calibri"/>
                <w:color w:val="000000"/>
                <w:lang w:val="es-ES"/>
              </w:rPr>
            </w:pPr>
            <w:r w:rsidRPr="005456B9">
              <w:rPr>
                <w:lang w:val="es-ES"/>
              </w:rPr>
              <w:t>0,25</w:t>
            </w:r>
          </w:p>
        </w:tc>
        <w:tc>
          <w:tcPr>
            <w:tcW w:w="1494" w:type="dxa"/>
          </w:tcPr>
          <w:p w14:paraId="1C9B1058" w14:textId="26C06361" w:rsidR="00E0738F" w:rsidRPr="005456B9" w:rsidRDefault="00E0738F" w:rsidP="00673890">
            <w:pPr>
              <w:pStyle w:val="Tabletext"/>
              <w:jc w:val="center"/>
              <w:rPr>
                <w:rFonts w:asciiTheme="minorHAnsi" w:hAnsiTheme="minorHAnsi" w:cstheme="minorHAnsi"/>
                <w:b/>
                <w:lang w:val="es-ES"/>
              </w:rPr>
            </w:pPr>
            <w:r w:rsidRPr="005456B9">
              <w:rPr>
                <w:lang w:val="es-ES"/>
              </w:rPr>
              <w:t>43</w:t>
            </w:r>
            <w:r w:rsidR="00995AF6">
              <w:rPr>
                <w:lang w:val="es-ES"/>
              </w:rPr>
              <w:t> </w:t>
            </w:r>
            <w:r w:rsidRPr="005456B9">
              <w:rPr>
                <w:lang w:val="es-ES"/>
              </w:rPr>
              <w:t>821,00</w:t>
            </w:r>
          </w:p>
        </w:tc>
        <w:tc>
          <w:tcPr>
            <w:tcW w:w="1387" w:type="dxa"/>
          </w:tcPr>
          <w:p w14:paraId="03CEBB8A" w14:textId="77777777" w:rsidR="00E0738F" w:rsidRPr="005456B9" w:rsidRDefault="00E0738F" w:rsidP="00673890">
            <w:pPr>
              <w:pStyle w:val="Tabletext"/>
              <w:jc w:val="center"/>
              <w:rPr>
                <w:lang w:val="es-ES"/>
              </w:rPr>
            </w:pPr>
            <w:r w:rsidRPr="005456B9">
              <w:rPr>
                <w:lang w:val="es-ES"/>
              </w:rPr>
              <w:t>0,25</w:t>
            </w:r>
          </w:p>
        </w:tc>
        <w:tc>
          <w:tcPr>
            <w:tcW w:w="1387" w:type="dxa"/>
          </w:tcPr>
          <w:p w14:paraId="2CFD601F" w14:textId="3BDF89D3" w:rsidR="00E0738F" w:rsidRPr="005456B9" w:rsidRDefault="00E0738F" w:rsidP="00673890">
            <w:pPr>
              <w:pStyle w:val="Tabletext"/>
              <w:jc w:val="center"/>
              <w:rPr>
                <w:lang w:val="es-ES"/>
              </w:rPr>
            </w:pPr>
            <w:r w:rsidRPr="005456B9">
              <w:rPr>
                <w:lang w:val="es-ES"/>
              </w:rPr>
              <w:t>43</w:t>
            </w:r>
            <w:r w:rsidR="00995AF6">
              <w:rPr>
                <w:lang w:val="es-ES"/>
              </w:rPr>
              <w:t> </w:t>
            </w:r>
            <w:r w:rsidRPr="005456B9">
              <w:rPr>
                <w:lang w:val="es-ES"/>
              </w:rPr>
              <w:t>821,00</w:t>
            </w:r>
          </w:p>
        </w:tc>
        <w:tc>
          <w:tcPr>
            <w:tcW w:w="1387" w:type="dxa"/>
          </w:tcPr>
          <w:p w14:paraId="0F5D4794" w14:textId="77777777" w:rsidR="00E0738F" w:rsidRPr="005456B9" w:rsidRDefault="00E0738F" w:rsidP="00673890">
            <w:pPr>
              <w:pStyle w:val="Tabletext"/>
              <w:jc w:val="center"/>
              <w:rPr>
                <w:lang w:val="es-ES"/>
              </w:rPr>
            </w:pPr>
            <w:r w:rsidRPr="005456B9">
              <w:rPr>
                <w:lang w:val="es-ES"/>
              </w:rPr>
              <w:t>0,25</w:t>
            </w:r>
          </w:p>
        </w:tc>
        <w:tc>
          <w:tcPr>
            <w:tcW w:w="1387" w:type="dxa"/>
          </w:tcPr>
          <w:p w14:paraId="088FA2BB" w14:textId="5AF85B28" w:rsidR="00E0738F" w:rsidRPr="005456B9" w:rsidRDefault="00E0738F" w:rsidP="00673890">
            <w:pPr>
              <w:pStyle w:val="Tabletext"/>
              <w:jc w:val="center"/>
              <w:rPr>
                <w:lang w:val="es-ES"/>
              </w:rPr>
            </w:pPr>
            <w:r w:rsidRPr="005456B9">
              <w:rPr>
                <w:lang w:val="es-ES"/>
              </w:rPr>
              <w:t>43</w:t>
            </w:r>
            <w:r w:rsidR="00995AF6">
              <w:rPr>
                <w:lang w:val="es-ES"/>
              </w:rPr>
              <w:t> </w:t>
            </w:r>
            <w:r w:rsidRPr="005456B9">
              <w:rPr>
                <w:lang w:val="es-ES"/>
              </w:rPr>
              <w:t>821,00</w:t>
            </w:r>
          </w:p>
        </w:tc>
      </w:tr>
      <w:tr w:rsidR="00E0738F" w:rsidRPr="005456B9" w14:paraId="43A9CE92" w14:textId="77777777" w:rsidTr="00A511C0">
        <w:tc>
          <w:tcPr>
            <w:tcW w:w="5519" w:type="dxa"/>
            <w:vAlign w:val="bottom"/>
          </w:tcPr>
          <w:p w14:paraId="24200771" w14:textId="77777777" w:rsidR="00E0738F" w:rsidRPr="005456B9" w:rsidRDefault="00E0738F" w:rsidP="00673890">
            <w:pPr>
              <w:pStyle w:val="Tabletext"/>
              <w:rPr>
                <w:rFonts w:cs="Calibri"/>
                <w:color w:val="000000"/>
                <w:lang w:val="es-ES"/>
              </w:rPr>
            </w:pPr>
            <w:r w:rsidRPr="005456B9">
              <w:rPr>
                <w:lang w:val="es-ES"/>
              </w:rPr>
              <w:lastRenderedPageBreak/>
              <w:t>Res. 676 + punto 9.2 del orden del día (CMR-23): Cambios en 9.52.1 (interferencia inaceptable), RR21, y mejoras de la tramitación de la BR</w:t>
            </w:r>
          </w:p>
        </w:tc>
        <w:tc>
          <w:tcPr>
            <w:tcW w:w="1427" w:type="dxa"/>
          </w:tcPr>
          <w:p w14:paraId="7BCA3F0E" w14:textId="77777777" w:rsidR="00E0738F" w:rsidRPr="005456B9" w:rsidRDefault="00E0738F" w:rsidP="00A511C0">
            <w:pPr>
              <w:pStyle w:val="Tabletext"/>
              <w:jc w:val="center"/>
              <w:rPr>
                <w:rFonts w:cs="Calibri"/>
                <w:color w:val="000000"/>
                <w:lang w:val="es-ES"/>
              </w:rPr>
            </w:pPr>
            <w:r w:rsidRPr="005456B9">
              <w:rPr>
                <w:lang w:val="es-ES"/>
              </w:rPr>
              <w:t>0,5</w:t>
            </w:r>
          </w:p>
        </w:tc>
        <w:tc>
          <w:tcPr>
            <w:tcW w:w="1494" w:type="dxa"/>
          </w:tcPr>
          <w:p w14:paraId="18E20775" w14:textId="38A1630F" w:rsidR="00E0738F" w:rsidRPr="005456B9" w:rsidRDefault="00E0738F" w:rsidP="00A511C0">
            <w:pPr>
              <w:pStyle w:val="Tabletext"/>
              <w:jc w:val="center"/>
              <w:rPr>
                <w:rFonts w:asciiTheme="minorHAnsi" w:hAnsiTheme="minorHAnsi" w:cstheme="minorHAnsi"/>
                <w:b/>
                <w:lang w:val="es-ES"/>
              </w:rPr>
            </w:pPr>
            <w:r w:rsidRPr="005456B9">
              <w:rPr>
                <w:lang w:val="es-ES"/>
              </w:rPr>
              <w:t>87</w:t>
            </w:r>
            <w:r w:rsidR="00995AF6">
              <w:rPr>
                <w:lang w:val="es-ES"/>
              </w:rPr>
              <w:t> </w:t>
            </w:r>
            <w:r w:rsidRPr="005456B9">
              <w:rPr>
                <w:lang w:val="es-ES"/>
              </w:rPr>
              <w:t>642,</w:t>
            </w:r>
            <w:r w:rsidR="00673890">
              <w:rPr>
                <w:lang w:val="es-ES"/>
              </w:rPr>
              <w:t>0</w:t>
            </w:r>
            <w:r w:rsidRPr="005456B9">
              <w:rPr>
                <w:lang w:val="es-ES"/>
              </w:rPr>
              <w:t>0</w:t>
            </w:r>
          </w:p>
        </w:tc>
        <w:tc>
          <w:tcPr>
            <w:tcW w:w="1387" w:type="dxa"/>
          </w:tcPr>
          <w:p w14:paraId="3244C149" w14:textId="77777777" w:rsidR="00E0738F" w:rsidRPr="005456B9" w:rsidRDefault="00E0738F" w:rsidP="00A511C0">
            <w:pPr>
              <w:pStyle w:val="Tabletext"/>
              <w:jc w:val="center"/>
              <w:rPr>
                <w:lang w:val="es-ES"/>
              </w:rPr>
            </w:pPr>
            <w:r w:rsidRPr="005456B9">
              <w:rPr>
                <w:lang w:val="es-ES"/>
              </w:rPr>
              <w:t>0,5</w:t>
            </w:r>
          </w:p>
        </w:tc>
        <w:tc>
          <w:tcPr>
            <w:tcW w:w="1387" w:type="dxa"/>
          </w:tcPr>
          <w:p w14:paraId="12B7E6B0" w14:textId="2896075B" w:rsidR="00E0738F" w:rsidRPr="005456B9" w:rsidRDefault="00E0738F" w:rsidP="00A511C0">
            <w:pPr>
              <w:pStyle w:val="Tabletext"/>
              <w:jc w:val="center"/>
              <w:rPr>
                <w:lang w:val="es-ES"/>
              </w:rPr>
            </w:pPr>
            <w:r w:rsidRPr="005456B9">
              <w:rPr>
                <w:lang w:val="es-ES"/>
              </w:rPr>
              <w:t>87</w:t>
            </w:r>
            <w:r w:rsidR="00995AF6">
              <w:rPr>
                <w:lang w:val="es-ES"/>
              </w:rPr>
              <w:t> </w:t>
            </w:r>
            <w:r w:rsidRPr="005456B9">
              <w:rPr>
                <w:lang w:val="es-ES"/>
              </w:rPr>
              <w:t>642,00</w:t>
            </w:r>
          </w:p>
        </w:tc>
        <w:tc>
          <w:tcPr>
            <w:tcW w:w="1387" w:type="dxa"/>
          </w:tcPr>
          <w:p w14:paraId="3419A742" w14:textId="77777777" w:rsidR="00E0738F" w:rsidRPr="005456B9" w:rsidRDefault="00E0738F" w:rsidP="00A511C0">
            <w:pPr>
              <w:pStyle w:val="Tabletext"/>
              <w:jc w:val="center"/>
              <w:rPr>
                <w:lang w:val="es-ES"/>
              </w:rPr>
            </w:pPr>
            <w:r w:rsidRPr="005456B9">
              <w:rPr>
                <w:lang w:val="es-ES"/>
              </w:rPr>
              <w:t>0,5</w:t>
            </w:r>
          </w:p>
        </w:tc>
        <w:tc>
          <w:tcPr>
            <w:tcW w:w="1387" w:type="dxa"/>
          </w:tcPr>
          <w:p w14:paraId="57326717" w14:textId="3A750804" w:rsidR="00E0738F" w:rsidRPr="005456B9" w:rsidRDefault="00E0738F" w:rsidP="00A511C0">
            <w:pPr>
              <w:pStyle w:val="Tabletext"/>
              <w:jc w:val="center"/>
              <w:rPr>
                <w:lang w:val="es-ES"/>
              </w:rPr>
            </w:pPr>
            <w:r w:rsidRPr="005456B9">
              <w:rPr>
                <w:lang w:val="es-ES"/>
              </w:rPr>
              <w:t>87</w:t>
            </w:r>
            <w:r w:rsidR="00995AF6">
              <w:rPr>
                <w:lang w:val="es-ES"/>
              </w:rPr>
              <w:t> </w:t>
            </w:r>
            <w:r w:rsidRPr="005456B9">
              <w:rPr>
                <w:lang w:val="es-ES"/>
              </w:rPr>
              <w:t>642,00</w:t>
            </w:r>
          </w:p>
        </w:tc>
      </w:tr>
      <w:tr w:rsidR="00E0738F" w:rsidRPr="005456B9" w14:paraId="1DF33BCB" w14:textId="77777777" w:rsidTr="00A511C0">
        <w:tc>
          <w:tcPr>
            <w:tcW w:w="5519" w:type="dxa"/>
            <w:vAlign w:val="bottom"/>
          </w:tcPr>
          <w:p w14:paraId="6466A27C" w14:textId="77777777" w:rsidR="00E0738F" w:rsidRPr="005456B9" w:rsidRDefault="00E0738F" w:rsidP="00673890">
            <w:pPr>
              <w:pStyle w:val="Tabletext"/>
              <w:rPr>
                <w:rFonts w:cs="Calibri"/>
                <w:color w:val="000000"/>
                <w:lang w:val="es-ES"/>
              </w:rPr>
            </w:pPr>
            <w:r w:rsidRPr="005456B9">
              <w:rPr>
                <w:lang w:val="es-ES"/>
              </w:rPr>
              <w:t>Res. 677 (CMR-23): SETS (activo) para sondas de radar a bordo de vehículos espaciales</w:t>
            </w:r>
          </w:p>
        </w:tc>
        <w:tc>
          <w:tcPr>
            <w:tcW w:w="1427" w:type="dxa"/>
          </w:tcPr>
          <w:p w14:paraId="50745B05" w14:textId="77777777" w:rsidR="00E0738F" w:rsidRPr="005456B9" w:rsidRDefault="00E0738F" w:rsidP="00A511C0">
            <w:pPr>
              <w:pStyle w:val="Tabletext"/>
              <w:jc w:val="center"/>
              <w:rPr>
                <w:rFonts w:cs="Calibri"/>
                <w:color w:val="000000"/>
                <w:lang w:val="es-ES"/>
              </w:rPr>
            </w:pPr>
            <w:r w:rsidRPr="005456B9">
              <w:rPr>
                <w:lang w:val="es-ES"/>
              </w:rPr>
              <w:t>0,05</w:t>
            </w:r>
          </w:p>
        </w:tc>
        <w:tc>
          <w:tcPr>
            <w:tcW w:w="1494" w:type="dxa"/>
          </w:tcPr>
          <w:p w14:paraId="1AD49ED8" w14:textId="2F882412" w:rsidR="00E0738F" w:rsidRPr="005456B9" w:rsidRDefault="00E0738F" w:rsidP="00A511C0">
            <w:pPr>
              <w:pStyle w:val="Tabletext"/>
              <w:jc w:val="center"/>
              <w:rPr>
                <w:rFonts w:asciiTheme="minorHAnsi" w:hAnsiTheme="minorHAnsi" w:cstheme="minorHAnsi"/>
                <w:b/>
                <w:lang w:val="es-ES"/>
              </w:rPr>
            </w:pPr>
            <w:r w:rsidRPr="005456B9">
              <w:rPr>
                <w:lang w:val="es-ES"/>
              </w:rPr>
              <w:t>8</w:t>
            </w:r>
            <w:r w:rsidR="00995AF6">
              <w:rPr>
                <w:lang w:val="es-ES"/>
              </w:rPr>
              <w:t> </w:t>
            </w:r>
            <w:r w:rsidRPr="005456B9">
              <w:rPr>
                <w:lang w:val="es-ES"/>
              </w:rPr>
              <w:t>764,20</w:t>
            </w:r>
          </w:p>
        </w:tc>
        <w:tc>
          <w:tcPr>
            <w:tcW w:w="1387" w:type="dxa"/>
          </w:tcPr>
          <w:p w14:paraId="69DE77A4" w14:textId="77777777" w:rsidR="00E0738F" w:rsidRPr="005456B9" w:rsidRDefault="00E0738F" w:rsidP="00A511C0">
            <w:pPr>
              <w:pStyle w:val="Tabletext"/>
              <w:jc w:val="center"/>
              <w:rPr>
                <w:lang w:val="es-ES"/>
              </w:rPr>
            </w:pPr>
            <w:r w:rsidRPr="005456B9">
              <w:rPr>
                <w:lang w:val="es-ES"/>
              </w:rPr>
              <w:t>0,05</w:t>
            </w:r>
          </w:p>
        </w:tc>
        <w:tc>
          <w:tcPr>
            <w:tcW w:w="1387" w:type="dxa"/>
          </w:tcPr>
          <w:p w14:paraId="16A0D11B" w14:textId="6D27303F" w:rsidR="00E0738F" w:rsidRPr="005456B9" w:rsidRDefault="00E0738F" w:rsidP="00A511C0">
            <w:pPr>
              <w:pStyle w:val="Tabletext"/>
              <w:jc w:val="center"/>
              <w:rPr>
                <w:lang w:val="es-ES"/>
              </w:rPr>
            </w:pPr>
            <w:r w:rsidRPr="005456B9">
              <w:rPr>
                <w:lang w:val="es-ES"/>
              </w:rPr>
              <w:t>8</w:t>
            </w:r>
            <w:r w:rsidR="00995AF6">
              <w:rPr>
                <w:lang w:val="es-ES"/>
              </w:rPr>
              <w:t> </w:t>
            </w:r>
            <w:r w:rsidRPr="005456B9">
              <w:rPr>
                <w:lang w:val="es-ES"/>
              </w:rPr>
              <w:t>764,20</w:t>
            </w:r>
          </w:p>
        </w:tc>
        <w:tc>
          <w:tcPr>
            <w:tcW w:w="1387" w:type="dxa"/>
          </w:tcPr>
          <w:p w14:paraId="3282BC52" w14:textId="77777777" w:rsidR="00E0738F" w:rsidRPr="005456B9" w:rsidRDefault="00E0738F" w:rsidP="00A511C0">
            <w:pPr>
              <w:pStyle w:val="Tabletext"/>
              <w:jc w:val="center"/>
              <w:rPr>
                <w:lang w:val="es-ES"/>
              </w:rPr>
            </w:pPr>
            <w:r w:rsidRPr="005456B9">
              <w:rPr>
                <w:lang w:val="es-ES"/>
              </w:rPr>
              <w:t>0,05</w:t>
            </w:r>
          </w:p>
        </w:tc>
        <w:tc>
          <w:tcPr>
            <w:tcW w:w="1387" w:type="dxa"/>
          </w:tcPr>
          <w:p w14:paraId="5C7F6284" w14:textId="378B740A" w:rsidR="00E0738F" w:rsidRPr="005456B9" w:rsidRDefault="00E0738F" w:rsidP="00A511C0">
            <w:pPr>
              <w:pStyle w:val="Tabletext"/>
              <w:jc w:val="center"/>
              <w:rPr>
                <w:lang w:val="es-ES"/>
              </w:rPr>
            </w:pPr>
            <w:r w:rsidRPr="005456B9">
              <w:rPr>
                <w:lang w:val="es-ES"/>
              </w:rPr>
              <w:t>8</w:t>
            </w:r>
            <w:r w:rsidR="00995AF6">
              <w:rPr>
                <w:lang w:val="es-ES"/>
              </w:rPr>
              <w:t> </w:t>
            </w:r>
            <w:r w:rsidRPr="005456B9">
              <w:rPr>
                <w:lang w:val="es-ES"/>
              </w:rPr>
              <w:t>764,20</w:t>
            </w:r>
          </w:p>
        </w:tc>
      </w:tr>
      <w:tr w:rsidR="00E0738F" w:rsidRPr="005456B9" w14:paraId="5645CE06" w14:textId="77777777" w:rsidTr="00A511C0">
        <w:tc>
          <w:tcPr>
            <w:tcW w:w="5519" w:type="dxa"/>
            <w:vAlign w:val="bottom"/>
          </w:tcPr>
          <w:p w14:paraId="1749AC6C" w14:textId="6E63CAC2" w:rsidR="00E0738F" w:rsidRPr="005456B9" w:rsidRDefault="00E0738F" w:rsidP="00673890">
            <w:pPr>
              <w:pStyle w:val="Tabletext"/>
              <w:rPr>
                <w:rFonts w:cs="Calibri"/>
                <w:color w:val="000000"/>
                <w:lang w:val="es-ES"/>
              </w:rPr>
            </w:pPr>
            <w:r w:rsidRPr="005456B9">
              <w:rPr>
                <w:lang w:val="es-ES"/>
              </w:rPr>
              <w:t>Punto 1.19 del orden del día (CMR-23): SFS (espacio</w:t>
            </w:r>
            <w:r w:rsidR="00A024E4">
              <w:rPr>
                <w:lang w:val="es-ES"/>
              </w:rPr>
              <w:noBreakHyphen/>
            </w:r>
            <w:r w:rsidRPr="005456B9">
              <w:rPr>
                <w:lang w:val="es-ES"/>
              </w:rPr>
              <w:t>Tierra) en la banda de 17,3-17,7 GHz en la Región 2</w:t>
            </w:r>
          </w:p>
        </w:tc>
        <w:tc>
          <w:tcPr>
            <w:tcW w:w="1427" w:type="dxa"/>
          </w:tcPr>
          <w:p w14:paraId="00685E44" w14:textId="77777777" w:rsidR="00E0738F" w:rsidRPr="005456B9" w:rsidRDefault="00E0738F" w:rsidP="00A511C0">
            <w:pPr>
              <w:pStyle w:val="Tabletext"/>
              <w:jc w:val="center"/>
              <w:rPr>
                <w:rFonts w:cs="Calibri"/>
                <w:color w:val="000000"/>
                <w:lang w:val="es-ES"/>
              </w:rPr>
            </w:pPr>
            <w:r w:rsidRPr="005456B9">
              <w:rPr>
                <w:lang w:val="es-ES"/>
              </w:rPr>
              <w:t>0,125</w:t>
            </w:r>
          </w:p>
        </w:tc>
        <w:tc>
          <w:tcPr>
            <w:tcW w:w="1494" w:type="dxa"/>
          </w:tcPr>
          <w:p w14:paraId="3EF4FE91" w14:textId="2C688B3F" w:rsidR="00E0738F" w:rsidRPr="005456B9" w:rsidRDefault="00E0738F" w:rsidP="00A511C0">
            <w:pPr>
              <w:pStyle w:val="Tabletext"/>
              <w:jc w:val="center"/>
              <w:rPr>
                <w:rFonts w:asciiTheme="minorHAnsi" w:hAnsiTheme="minorHAnsi" w:cstheme="minorHAnsi"/>
                <w:b/>
                <w:lang w:val="es-ES"/>
              </w:rPr>
            </w:pPr>
            <w:r w:rsidRPr="005456B9">
              <w:rPr>
                <w:lang w:val="es-ES"/>
              </w:rPr>
              <w:t>21</w:t>
            </w:r>
            <w:r w:rsidR="00995AF6">
              <w:rPr>
                <w:lang w:val="es-ES"/>
              </w:rPr>
              <w:t> </w:t>
            </w:r>
            <w:r w:rsidRPr="005456B9">
              <w:rPr>
                <w:lang w:val="es-ES"/>
              </w:rPr>
              <w:t>910,50</w:t>
            </w:r>
          </w:p>
        </w:tc>
        <w:tc>
          <w:tcPr>
            <w:tcW w:w="1387" w:type="dxa"/>
          </w:tcPr>
          <w:p w14:paraId="57D6CC6E" w14:textId="77777777" w:rsidR="00E0738F" w:rsidRPr="005456B9" w:rsidRDefault="00E0738F" w:rsidP="00A511C0">
            <w:pPr>
              <w:pStyle w:val="Tabletext"/>
              <w:jc w:val="center"/>
              <w:rPr>
                <w:lang w:val="es-ES"/>
              </w:rPr>
            </w:pPr>
            <w:r w:rsidRPr="005456B9">
              <w:rPr>
                <w:lang w:val="es-ES"/>
              </w:rPr>
              <w:t>0,125</w:t>
            </w:r>
          </w:p>
        </w:tc>
        <w:tc>
          <w:tcPr>
            <w:tcW w:w="1387" w:type="dxa"/>
          </w:tcPr>
          <w:p w14:paraId="666D7253" w14:textId="7DEFAFEB" w:rsidR="00E0738F" w:rsidRPr="005456B9" w:rsidRDefault="00E0738F" w:rsidP="00A511C0">
            <w:pPr>
              <w:pStyle w:val="Tabletext"/>
              <w:jc w:val="center"/>
              <w:rPr>
                <w:lang w:val="es-ES"/>
              </w:rPr>
            </w:pPr>
            <w:r w:rsidRPr="005456B9">
              <w:rPr>
                <w:lang w:val="es-ES"/>
              </w:rPr>
              <w:t>21</w:t>
            </w:r>
            <w:r w:rsidR="00995AF6">
              <w:rPr>
                <w:lang w:val="es-ES"/>
              </w:rPr>
              <w:t> </w:t>
            </w:r>
            <w:r w:rsidRPr="005456B9">
              <w:rPr>
                <w:lang w:val="es-ES"/>
              </w:rPr>
              <w:t>910,50</w:t>
            </w:r>
          </w:p>
        </w:tc>
        <w:tc>
          <w:tcPr>
            <w:tcW w:w="1387" w:type="dxa"/>
          </w:tcPr>
          <w:p w14:paraId="0FC7B63E" w14:textId="77777777" w:rsidR="00E0738F" w:rsidRPr="005456B9" w:rsidRDefault="00E0738F" w:rsidP="00A511C0">
            <w:pPr>
              <w:pStyle w:val="Tabletext"/>
              <w:jc w:val="center"/>
              <w:rPr>
                <w:lang w:val="es-ES"/>
              </w:rPr>
            </w:pPr>
            <w:r w:rsidRPr="005456B9">
              <w:rPr>
                <w:lang w:val="es-ES"/>
              </w:rPr>
              <w:t>0,125</w:t>
            </w:r>
          </w:p>
        </w:tc>
        <w:tc>
          <w:tcPr>
            <w:tcW w:w="1387" w:type="dxa"/>
          </w:tcPr>
          <w:p w14:paraId="7BA72510" w14:textId="099EC1E1" w:rsidR="00E0738F" w:rsidRPr="005456B9" w:rsidRDefault="00E0738F" w:rsidP="00A511C0">
            <w:pPr>
              <w:pStyle w:val="Tabletext"/>
              <w:jc w:val="center"/>
              <w:rPr>
                <w:lang w:val="es-ES"/>
              </w:rPr>
            </w:pPr>
            <w:r w:rsidRPr="005456B9">
              <w:rPr>
                <w:lang w:val="es-ES"/>
              </w:rPr>
              <w:t>21</w:t>
            </w:r>
            <w:r w:rsidR="00995AF6">
              <w:rPr>
                <w:lang w:val="es-ES"/>
              </w:rPr>
              <w:t> </w:t>
            </w:r>
            <w:r w:rsidRPr="005456B9">
              <w:rPr>
                <w:lang w:val="es-ES"/>
              </w:rPr>
              <w:t>910,50</w:t>
            </w:r>
          </w:p>
        </w:tc>
      </w:tr>
      <w:tr w:rsidR="00E0738F" w:rsidRPr="005456B9" w14:paraId="3FEB2A7E" w14:textId="77777777" w:rsidTr="00A511C0">
        <w:tc>
          <w:tcPr>
            <w:tcW w:w="5519" w:type="dxa"/>
            <w:vAlign w:val="bottom"/>
          </w:tcPr>
          <w:p w14:paraId="4EFD95B8" w14:textId="77777777" w:rsidR="00E0738F" w:rsidRPr="005456B9" w:rsidRDefault="00E0738F" w:rsidP="00673890">
            <w:pPr>
              <w:pStyle w:val="Tabletext"/>
              <w:rPr>
                <w:rFonts w:cs="Calibri"/>
                <w:color w:val="000000"/>
                <w:lang w:val="es-ES"/>
              </w:rPr>
            </w:pPr>
            <w:r w:rsidRPr="005456B9">
              <w:rPr>
                <w:lang w:val="es-ES"/>
              </w:rPr>
              <w:t>Res. 35 (Rev. CMR-23): procedimiento de comunicación posterior a cada objetivo intermedio de la puesta en servicio de sistemas no OSG</w:t>
            </w:r>
          </w:p>
        </w:tc>
        <w:tc>
          <w:tcPr>
            <w:tcW w:w="1427" w:type="dxa"/>
          </w:tcPr>
          <w:p w14:paraId="71659001" w14:textId="77777777" w:rsidR="00E0738F" w:rsidRPr="005456B9" w:rsidRDefault="00E0738F" w:rsidP="00A511C0">
            <w:pPr>
              <w:pStyle w:val="Tabletext"/>
              <w:jc w:val="center"/>
              <w:rPr>
                <w:rFonts w:cs="Calibri"/>
                <w:color w:val="000000"/>
                <w:lang w:val="es-ES"/>
              </w:rPr>
            </w:pPr>
            <w:r w:rsidRPr="005456B9">
              <w:rPr>
                <w:lang w:val="es-ES"/>
              </w:rPr>
              <w:t>0,25</w:t>
            </w:r>
          </w:p>
        </w:tc>
        <w:tc>
          <w:tcPr>
            <w:tcW w:w="1494" w:type="dxa"/>
          </w:tcPr>
          <w:p w14:paraId="6052603C" w14:textId="1E9207B1" w:rsidR="00E0738F" w:rsidRPr="005456B9" w:rsidRDefault="00E0738F" w:rsidP="00A511C0">
            <w:pPr>
              <w:pStyle w:val="Tabletext"/>
              <w:jc w:val="center"/>
              <w:rPr>
                <w:rFonts w:asciiTheme="minorHAnsi" w:hAnsiTheme="minorHAnsi" w:cstheme="minorHAnsi"/>
                <w:b/>
                <w:lang w:val="es-ES"/>
              </w:rPr>
            </w:pPr>
            <w:r w:rsidRPr="005456B9">
              <w:rPr>
                <w:lang w:val="es-ES"/>
              </w:rPr>
              <w:t>43</w:t>
            </w:r>
            <w:r w:rsidR="00995AF6">
              <w:rPr>
                <w:lang w:val="es-ES"/>
              </w:rPr>
              <w:t> </w:t>
            </w:r>
            <w:r w:rsidRPr="005456B9">
              <w:rPr>
                <w:lang w:val="es-ES"/>
              </w:rPr>
              <w:t>821,00</w:t>
            </w:r>
          </w:p>
        </w:tc>
        <w:tc>
          <w:tcPr>
            <w:tcW w:w="1387" w:type="dxa"/>
          </w:tcPr>
          <w:p w14:paraId="5342D0F6" w14:textId="77777777" w:rsidR="00E0738F" w:rsidRPr="005456B9" w:rsidRDefault="00E0738F" w:rsidP="00A511C0">
            <w:pPr>
              <w:pStyle w:val="Tabletext"/>
              <w:jc w:val="center"/>
              <w:rPr>
                <w:lang w:val="es-ES"/>
              </w:rPr>
            </w:pPr>
            <w:r w:rsidRPr="005456B9">
              <w:rPr>
                <w:lang w:val="es-ES"/>
              </w:rPr>
              <w:t>0,25</w:t>
            </w:r>
          </w:p>
        </w:tc>
        <w:tc>
          <w:tcPr>
            <w:tcW w:w="1387" w:type="dxa"/>
          </w:tcPr>
          <w:p w14:paraId="45574E2D" w14:textId="55790388" w:rsidR="00E0738F" w:rsidRPr="005456B9" w:rsidRDefault="00E0738F" w:rsidP="00A511C0">
            <w:pPr>
              <w:pStyle w:val="Tabletext"/>
              <w:jc w:val="center"/>
              <w:rPr>
                <w:lang w:val="es-ES"/>
              </w:rPr>
            </w:pPr>
            <w:r w:rsidRPr="005456B9">
              <w:rPr>
                <w:lang w:val="es-ES"/>
              </w:rPr>
              <w:t>43</w:t>
            </w:r>
            <w:r w:rsidR="00995AF6">
              <w:rPr>
                <w:lang w:val="es-ES"/>
              </w:rPr>
              <w:t> </w:t>
            </w:r>
            <w:r w:rsidRPr="005456B9">
              <w:rPr>
                <w:lang w:val="es-ES"/>
              </w:rPr>
              <w:t>821,00</w:t>
            </w:r>
          </w:p>
        </w:tc>
        <w:tc>
          <w:tcPr>
            <w:tcW w:w="1387" w:type="dxa"/>
          </w:tcPr>
          <w:p w14:paraId="415EE1E6" w14:textId="77777777" w:rsidR="00E0738F" w:rsidRPr="005456B9" w:rsidRDefault="00E0738F" w:rsidP="00A511C0">
            <w:pPr>
              <w:pStyle w:val="Tabletext"/>
              <w:jc w:val="center"/>
              <w:rPr>
                <w:lang w:val="es-ES"/>
              </w:rPr>
            </w:pPr>
            <w:r w:rsidRPr="005456B9">
              <w:rPr>
                <w:lang w:val="es-ES"/>
              </w:rPr>
              <w:t>0,25</w:t>
            </w:r>
          </w:p>
        </w:tc>
        <w:tc>
          <w:tcPr>
            <w:tcW w:w="1387" w:type="dxa"/>
          </w:tcPr>
          <w:p w14:paraId="700D0E51" w14:textId="153C0B87" w:rsidR="00E0738F" w:rsidRPr="005456B9" w:rsidRDefault="00E0738F" w:rsidP="00A511C0">
            <w:pPr>
              <w:pStyle w:val="Tabletext"/>
              <w:jc w:val="center"/>
              <w:rPr>
                <w:lang w:val="es-ES"/>
              </w:rPr>
            </w:pPr>
            <w:r w:rsidRPr="005456B9">
              <w:rPr>
                <w:lang w:val="es-ES"/>
              </w:rPr>
              <w:t>43</w:t>
            </w:r>
            <w:r w:rsidR="00995AF6">
              <w:rPr>
                <w:lang w:val="es-ES"/>
              </w:rPr>
              <w:t> </w:t>
            </w:r>
            <w:r w:rsidRPr="005456B9">
              <w:rPr>
                <w:lang w:val="es-ES"/>
              </w:rPr>
              <w:t>821,00</w:t>
            </w:r>
          </w:p>
        </w:tc>
      </w:tr>
      <w:tr w:rsidR="00E0738F" w:rsidRPr="005456B9" w14:paraId="33553484" w14:textId="77777777" w:rsidTr="00A511C0">
        <w:tc>
          <w:tcPr>
            <w:tcW w:w="5519" w:type="dxa"/>
            <w:shd w:val="clear" w:color="auto" w:fill="92CDDC" w:themeFill="accent5" w:themeFillTint="99"/>
            <w:vAlign w:val="bottom"/>
          </w:tcPr>
          <w:p w14:paraId="3BCA015C" w14:textId="77777777" w:rsidR="00E0738F" w:rsidRPr="005456B9" w:rsidRDefault="00E0738F" w:rsidP="00673890">
            <w:pPr>
              <w:pStyle w:val="Tabletext"/>
              <w:rPr>
                <w:rFonts w:cs="Calibri"/>
                <w:b/>
                <w:bCs/>
                <w:color w:val="000000"/>
                <w:lang w:val="es-ES"/>
              </w:rPr>
            </w:pPr>
            <w:r w:rsidRPr="005456B9">
              <w:rPr>
                <w:b/>
                <w:bCs/>
                <w:lang w:val="es-ES"/>
              </w:rPr>
              <w:t>Total</w:t>
            </w:r>
            <w:r w:rsidRPr="005456B9">
              <w:rPr>
                <w:lang w:val="es-ES"/>
              </w:rPr>
              <w:t xml:space="preserve"> </w:t>
            </w:r>
          </w:p>
        </w:tc>
        <w:tc>
          <w:tcPr>
            <w:tcW w:w="1427" w:type="dxa"/>
            <w:shd w:val="clear" w:color="auto" w:fill="92CDDC" w:themeFill="accent5" w:themeFillTint="99"/>
          </w:tcPr>
          <w:p w14:paraId="4FA2FB3D" w14:textId="77777777" w:rsidR="00E0738F" w:rsidRPr="005456B9" w:rsidRDefault="00E0738F" w:rsidP="00A511C0">
            <w:pPr>
              <w:pStyle w:val="Tabletext"/>
              <w:jc w:val="center"/>
              <w:rPr>
                <w:rFonts w:cs="Calibri"/>
                <w:b/>
                <w:bCs/>
                <w:color w:val="000000"/>
                <w:lang w:val="es-ES"/>
              </w:rPr>
            </w:pPr>
            <w:r w:rsidRPr="005456B9">
              <w:rPr>
                <w:b/>
                <w:bCs/>
                <w:lang w:val="es-ES"/>
              </w:rPr>
              <w:t>9,275</w:t>
            </w:r>
          </w:p>
        </w:tc>
        <w:tc>
          <w:tcPr>
            <w:tcW w:w="1494" w:type="dxa"/>
            <w:shd w:val="clear" w:color="auto" w:fill="92CDDC" w:themeFill="accent5" w:themeFillTint="99"/>
          </w:tcPr>
          <w:p w14:paraId="3A8D44AD" w14:textId="23E77495" w:rsidR="00E0738F" w:rsidRPr="005456B9" w:rsidRDefault="00E0738F" w:rsidP="00A511C0">
            <w:pPr>
              <w:pStyle w:val="Tabletext"/>
              <w:jc w:val="center"/>
              <w:rPr>
                <w:rFonts w:asciiTheme="minorHAnsi" w:hAnsiTheme="minorHAnsi" w:cstheme="minorHAnsi"/>
                <w:b/>
                <w:bCs/>
                <w:lang w:val="es-ES"/>
              </w:rPr>
            </w:pPr>
            <w:r w:rsidRPr="005456B9">
              <w:rPr>
                <w:b/>
                <w:bCs/>
                <w:lang w:val="es-ES"/>
              </w:rPr>
              <w:t>1</w:t>
            </w:r>
            <w:r w:rsidR="00995AF6">
              <w:rPr>
                <w:lang w:val="es-ES"/>
              </w:rPr>
              <w:t> </w:t>
            </w:r>
            <w:r w:rsidRPr="005456B9">
              <w:rPr>
                <w:b/>
                <w:bCs/>
                <w:lang w:val="es-ES"/>
              </w:rPr>
              <w:t>625</w:t>
            </w:r>
            <w:r w:rsidR="00995AF6">
              <w:rPr>
                <w:lang w:val="es-ES"/>
              </w:rPr>
              <w:t> </w:t>
            </w:r>
            <w:r w:rsidRPr="005456B9">
              <w:rPr>
                <w:b/>
                <w:bCs/>
                <w:lang w:val="es-ES"/>
              </w:rPr>
              <w:t>759,10</w:t>
            </w:r>
          </w:p>
        </w:tc>
        <w:tc>
          <w:tcPr>
            <w:tcW w:w="1387" w:type="dxa"/>
            <w:shd w:val="clear" w:color="auto" w:fill="92CDDC" w:themeFill="accent5" w:themeFillTint="99"/>
          </w:tcPr>
          <w:p w14:paraId="589081CE" w14:textId="77777777" w:rsidR="00E0738F" w:rsidRPr="005456B9" w:rsidRDefault="00E0738F" w:rsidP="00A511C0">
            <w:pPr>
              <w:pStyle w:val="Tabletext"/>
              <w:jc w:val="center"/>
              <w:rPr>
                <w:b/>
                <w:bCs/>
                <w:lang w:val="es-ES"/>
              </w:rPr>
            </w:pPr>
            <w:r w:rsidRPr="005456B9">
              <w:rPr>
                <w:b/>
                <w:bCs/>
                <w:lang w:val="es-ES"/>
              </w:rPr>
              <w:t>9,275</w:t>
            </w:r>
          </w:p>
        </w:tc>
        <w:tc>
          <w:tcPr>
            <w:tcW w:w="1387" w:type="dxa"/>
            <w:shd w:val="clear" w:color="auto" w:fill="92CDDC" w:themeFill="accent5" w:themeFillTint="99"/>
          </w:tcPr>
          <w:p w14:paraId="3AD09753" w14:textId="7DD454B4" w:rsidR="00E0738F" w:rsidRPr="005456B9" w:rsidRDefault="00E0738F" w:rsidP="00A511C0">
            <w:pPr>
              <w:pStyle w:val="Tabletext"/>
              <w:jc w:val="center"/>
              <w:rPr>
                <w:b/>
                <w:bCs/>
                <w:lang w:val="es-ES"/>
              </w:rPr>
            </w:pPr>
            <w:r w:rsidRPr="005456B9">
              <w:rPr>
                <w:b/>
                <w:bCs/>
                <w:lang w:val="es-ES"/>
              </w:rPr>
              <w:t>1</w:t>
            </w:r>
            <w:r w:rsidR="00995AF6">
              <w:rPr>
                <w:lang w:val="es-ES"/>
              </w:rPr>
              <w:t> </w:t>
            </w:r>
            <w:r w:rsidRPr="005456B9">
              <w:rPr>
                <w:b/>
                <w:bCs/>
                <w:lang w:val="es-ES"/>
              </w:rPr>
              <w:t>625</w:t>
            </w:r>
            <w:r w:rsidR="00995AF6">
              <w:rPr>
                <w:lang w:val="es-ES"/>
              </w:rPr>
              <w:t> </w:t>
            </w:r>
            <w:r w:rsidRPr="005456B9">
              <w:rPr>
                <w:b/>
                <w:bCs/>
                <w:lang w:val="es-ES"/>
              </w:rPr>
              <w:t>759,10</w:t>
            </w:r>
          </w:p>
        </w:tc>
        <w:tc>
          <w:tcPr>
            <w:tcW w:w="1387" w:type="dxa"/>
            <w:shd w:val="clear" w:color="auto" w:fill="92CDDC" w:themeFill="accent5" w:themeFillTint="99"/>
          </w:tcPr>
          <w:p w14:paraId="6F4A1CAC" w14:textId="77777777" w:rsidR="00E0738F" w:rsidRPr="005456B9" w:rsidRDefault="00E0738F" w:rsidP="00A511C0">
            <w:pPr>
              <w:pStyle w:val="Tabletext"/>
              <w:jc w:val="center"/>
              <w:rPr>
                <w:b/>
                <w:bCs/>
                <w:lang w:val="es-ES"/>
              </w:rPr>
            </w:pPr>
            <w:r w:rsidRPr="005456B9">
              <w:rPr>
                <w:b/>
                <w:bCs/>
                <w:lang w:val="es-ES"/>
              </w:rPr>
              <w:t>9,275</w:t>
            </w:r>
          </w:p>
        </w:tc>
        <w:tc>
          <w:tcPr>
            <w:tcW w:w="1387" w:type="dxa"/>
            <w:shd w:val="clear" w:color="auto" w:fill="92CDDC" w:themeFill="accent5" w:themeFillTint="99"/>
          </w:tcPr>
          <w:p w14:paraId="093AE44E" w14:textId="51CC9F10" w:rsidR="00E0738F" w:rsidRPr="005456B9" w:rsidRDefault="00E0738F" w:rsidP="00A511C0">
            <w:pPr>
              <w:pStyle w:val="Tabletext"/>
              <w:jc w:val="center"/>
              <w:rPr>
                <w:b/>
                <w:bCs/>
                <w:lang w:val="es-ES"/>
              </w:rPr>
            </w:pPr>
            <w:r w:rsidRPr="005456B9">
              <w:rPr>
                <w:b/>
                <w:bCs/>
                <w:lang w:val="es-ES"/>
              </w:rPr>
              <w:t>1</w:t>
            </w:r>
            <w:r w:rsidR="00995AF6">
              <w:rPr>
                <w:lang w:val="es-ES"/>
              </w:rPr>
              <w:t> </w:t>
            </w:r>
            <w:r w:rsidRPr="005456B9">
              <w:rPr>
                <w:b/>
                <w:bCs/>
                <w:lang w:val="es-ES"/>
              </w:rPr>
              <w:t>625</w:t>
            </w:r>
            <w:r w:rsidR="00995AF6">
              <w:rPr>
                <w:lang w:val="es-ES"/>
              </w:rPr>
              <w:t> </w:t>
            </w:r>
            <w:r w:rsidRPr="005456B9">
              <w:rPr>
                <w:b/>
                <w:bCs/>
                <w:lang w:val="es-ES"/>
              </w:rPr>
              <w:t>759,10</w:t>
            </w:r>
          </w:p>
        </w:tc>
      </w:tr>
    </w:tbl>
    <w:p w14:paraId="4489008D" w14:textId="7C54FE6E" w:rsidR="00A024E4" w:rsidRPr="00012013" w:rsidRDefault="00E0738F" w:rsidP="00A024E4">
      <w:pPr>
        <w:pStyle w:val="TableNo"/>
        <w:rPr>
          <w:lang w:val="es-ES"/>
        </w:rPr>
      </w:pPr>
      <w:r w:rsidRPr="00012013">
        <w:rPr>
          <w:lang w:val="es-ES"/>
        </w:rPr>
        <w:t>CUADRO 4-3</w:t>
      </w:r>
    </w:p>
    <w:p w14:paraId="4E07BBFF" w14:textId="4BFCB614" w:rsidR="00E0738F" w:rsidRPr="005456B9" w:rsidRDefault="00A511C0" w:rsidP="00673890">
      <w:pPr>
        <w:pStyle w:val="Tabletitle"/>
        <w:rPr>
          <w:lang w:val="es-ES"/>
        </w:rPr>
      </w:pPr>
      <w:r>
        <w:rPr>
          <w:lang w:val="es-ES"/>
        </w:rPr>
        <w:br/>
      </w:r>
      <w:r w:rsidR="00E0738F" w:rsidRPr="00673890">
        <w:rPr>
          <w:lang w:val="es-ES"/>
        </w:rPr>
        <w:t>Repercusiones presupuestarias recurrentes para el mantenimiento de</w:t>
      </w:r>
      <w:r w:rsidR="00012013">
        <w:rPr>
          <w:lang w:val="es-ES"/>
        </w:rPr>
        <w:t xml:space="preserve"> </w:t>
      </w:r>
      <w:r w:rsidR="00E0738F" w:rsidRPr="00673890">
        <w:rPr>
          <w:lang w:val="es-ES"/>
        </w:rPr>
        <w:t>los programas relacionados con los servicios espaciales (2025-2027)</w:t>
      </w:r>
    </w:p>
    <w:tbl>
      <w:tblPr>
        <w:tblStyle w:val="TableGrid"/>
        <w:tblW w:w="0" w:type="auto"/>
        <w:tblLayout w:type="fixed"/>
        <w:tblLook w:val="04A0" w:firstRow="1" w:lastRow="0" w:firstColumn="1" w:lastColumn="0" w:noHBand="0" w:noVBand="1"/>
      </w:tblPr>
      <w:tblGrid>
        <w:gridCol w:w="5530"/>
        <w:gridCol w:w="1390"/>
        <w:gridCol w:w="26"/>
        <w:gridCol w:w="1486"/>
        <w:gridCol w:w="1491"/>
        <w:gridCol w:w="1287"/>
        <w:gridCol w:w="1548"/>
        <w:gridCol w:w="1230"/>
      </w:tblGrid>
      <w:tr w:rsidR="00E0738F" w:rsidRPr="005456B9" w14:paraId="0512DF23" w14:textId="77777777" w:rsidTr="0076578C">
        <w:tc>
          <w:tcPr>
            <w:tcW w:w="5530" w:type="dxa"/>
            <w:tcBorders>
              <w:top w:val="nil"/>
              <w:left w:val="nil"/>
              <w:bottom w:val="single" w:sz="4" w:space="0" w:color="auto"/>
              <w:right w:val="single" w:sz="4" w:space="0" w:color="auto"/>
            </w:tcBorders>
            <w:shd w:val="clear" w:color="auto" w:fill="auto"/>
          </w:tcPr>
          <w:p w14:paraId="10B68B47" w14:textId="77777777" w:rsidR="00E0738F" w:rsidRPr="005456B9" w:rsidRDefault="00E0738F" w:rsidP="0076578C">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lang w:val="es-ES"/>
              </w:rPr>
            </w:pPr>
          </w:p>
        </w:tc>
        <w:tc>
          <w:tcPr>
            <w:tcW w:w="2902" w:type="dxa"/>
            <w:gridSpan w:val="3"/>
            <w:tcBorders>
              <w:left w:val="single" w:sz="4" w:space="0" w:color="auto"/>
            </w:tcBorders>
            <w:shd w:val="clear" w:color="auto" w:fill="92CDDC" w:themeFill="accent5" w:themeFillTint="99"/>
          </w:tcPr>
          <w:p w14:paraId="4609E0AF" w14:textId="77777777" w:rsidR="00E0738F" w:rsidRPr="005456B9" w:rsidRDefault="00E0738F" w:rsidP="00A511C0">
            <w:pPr>
              <w:pStyle w:val="Tablehead"/>
              <w:rPr>
                <w:rFonts w:asciiTheme="minorHAnsi" w:hAnsiTheme="minorHAnsi" w:cstheme="minorHAnsi"/>
                <w:lang w:val="es-ES"/>
              </w:rPr>
            </w:pPr>
            <w:r w:rsidRPr="005456B9">
              <w:rPr>
                <w:lang w:val="es-ES"/>
              </w:rPr>
              <w:t>2025</w:t>
            </w:r>
          </w:p>
        </w:tc>
        <w:tc>
          <w:tcPr>
            <w:tcW w:w="2778" w:type="dxa"/>
            <w:gridSpan w:val="2"/>
            <w:shd w:val="clear" w:color="auto" w:fill="92CDDC" w:themeFill="accent5" w:themeFillTint="99"/>
          </w:tcPr>
          <w:p w14:paraId="03FD74C4" w14:textId="77777777" w:rsidR="00E0738F" w:rsidRPr="005456B9" w:rsidRDefault="00E0738F" w:rsidP="00A511C0">
            <w:pPr>
              <w:pStyle w:val="Tablehead"/>
              <w:rPr>
                <w:rFonts w:asciiTheme="minorHAnsi" w:hAnsiTheme="minorHAnsi" w:cstheme="minorHAnsi"/>
                <w:lang w:val="es-ES"/>
              </w:rPr>
            </w:pPr>
            <w:r w:rsidRPr="005456B9">
              <w:rPr>
                <w:lang w:val="es-ES"/>
              </w:rPr>
              <w:t>2026</w:t>
            </w:r>
          </w:p>
        </w:tc>
        <w:tc>
          <w:tcPr>
            <w:tcW w:w="2778" w:type="dxa"/>
            <w:gridSpan w:val="2"/>
            <w:shd w:val="clear" w:color="auto" w:fill="92CDDC" w:themeFill="accent5" w:themeFillTint="99"/>
          </w:tcPr>
          <w:p w14:paraId="2D7538DA" w14:textId="77777777" w:rsidR="00E0738F" w:rsidRPr="005456B9" w:rsidRDefault="00E0738F" w:rsidP="00A511C0">
            <w:pPr>
              <w:pStyle w:val="Tablehead"/>
              <w:rPr>
                <w:rFonts w:asciiTheme="minorHAnsi" w:hAnsiTheme="minorHAnsi" w:cstheme="minorHAnsi"/>
                <w:lang w:val="es-ES"/>
              </w:rPr>
            </w:pPr>
            <w:r w:rsidRPr="005456B9">
              <w:rPr>
                <w:lang w:val="es-ES"/>
              </w:rPr>
              <w:t>2027</w:t>
            </w:r>
          </w:p>
        </w:tc>
      </w:tr>
      <w:tr w:rsidR="00E0738F" w:rsidRPr="005456B9" w14:paraId="22B1816D" w14:textId="77777777" w:rsidTr="00A511C0">
        <w:tc>
          <w:tcPr>
            <w:tcW w:w="5530" w:type="dxa"/>
            <w:tcBorders>
              <w:top w:val="single" w:sz="4" w:space="0" w:color="auto"/>
            </w:tcBorders>
            <w:shd w:val="clear" w:color="auto" w:fill="92CDDC" w:themeFill="accent5" w:themeFillTint="99"/>
          </w:tcPr>
          <w:p w14:paraId="4006F052" w14:textId="77777777" w:rsidR="00E0738F" w:rsidRPr="005456B9" w:rsidRDefault="00E0738F" w:rsidP="00A511C0">
            <w:pPr>
              <w:pStyle w:val="Tablehead"/>
              <w:rPr>
                <w:rFonts w:asciiTheme="minorHAnsi" w:hAnsiTheme="minorHAnsi" w:cstheme="minorHAnsi"/>
                <w:sz w:val="26"/>
                <w:szCs w:val="26"/>
                <w:lang w:val="es-ES"/>
              </w:rPr>
            </w:pPr>
            <w:r w:rsidRPr="005456B9">
              <w:rPr>
                <w:lang w:val="es-ES"/>
              </w:rPr>
              <w:t>Referencia y descripción de las actas finales de la CMR-23</w:t>
            </w:r>
          </w:p>
        </w:tc>
        <w:tc>
          <w:tcPr>
            <w:tcW w:w="1416" w:type="dxa"/>
            <w:gridSpan w:val="2"/>
            <w:shd w:val="clear" w:color="auto" w:fill="92CDDC" w:themeFill="accent5" w:themeFillTint="99"/>
            <w:vAlign w:val="bottom"/>
          </w:tcPr>
          <w:p w14:paraId="653E52E0" w14:textId="548043DD" w:rsidR="00E0738F" w:rsidRPr="005456B9" w:rsidRDefault="00E0738F" w:rsidP="00A511C0">
            <w:pPr>
              <w:pStyle w:val="Tablehead"/>
              <w:rPr>
                <w:rFonts w:asciiTheme="minorHAnsi" w:hAnsiTheme="minorHAnsi" w:cstheme="minorHAnsi"/>
                <w:sz w:val="26"/>
                <w:szCs w:val="26"/>
                <w:lang w:val="es-ES"/>
              </w:rPr>
            </w:pPr>
            <w:r w:rsidRPr="005456B9">
              <w:rPr>
                <w:lang w:val="es-ES"/>
              </w:rPr>
              <w:t>Equivalente de personal con grado P3</w:t>
            </w:r>
          </w:p>
        </w:tc>
        <w:tc>
          <w:tcPr>
            <w:tcW w:w="1486" w:type="dxa"/>
            <w:shd w:val="clear" w:color="auto" w:fill="92CDDC" w:themeFill="accent5" w:themeFillTint="99"/>
          </w:tcPr>
          <w:p w14:paraId="22FE5A75" w14:textId="77777777" w:rsidR="00E0738F" w:rsidRPr="005456B9" w:rsidRDefault="00E0738F" w:rsidP="00A511C0">
            <w:pPr>
              <w:pStyle w:val="Tablehead"/>
              <w:rPr>
                <w:rFonts w:asciiTheme="minorHAnsi" w:hAnsiTheme="minorHAnsi" w:cstheme="minorHAnsi"/>
                <w:lang w:val="es-ES"/>
              </w:rPr>
            </w:pPr>
            <w:r w:rsidRPr="005456B9">
              <w:rPr>
                <w:lang w:val="es-ES"/>
              </w:rPr>
              <w:t>CHF</w:t>
            </w:r>
          </w:p>
        </w:tc>
        <w:tc>
          <w:tcPr>
            <w:tcW w:w="1491" w:type="dxa"/>
            <w:shd w:val="clear" w:color="auto" w:fill="92CDDC" w:themeFill="accent5" w:themeFillTint="99"/>
            <w:vAlign w:val="bottom"/>
          </w:tcPr>
          <w:p w14:paraId="12E0F061" w14:textId="57B8551E" w:rsidR="00E0738F" w:rsidRPr="005456B9" w:rsidRDefault="00E0738F" w:rsidP="00A511C0">
            <w:pPr>
              <w:pStyle w:val="Tablehead"/>
              <w:rPr>
                <w:rFonts w:asciiTheme="minorHAnsi" w:hAnsiTheme="minorHAnsi" w:cstheme="minorHAnsi"/>
                <w:lang w:val="es-ES"/>
              </w:rPr>
            </w:pPr>
            <w:r w:rsidRPr="005456B9">
              <w:rPr>
                <w:lang w:val="es-ES"/>
              </w:rPr>
              <w:t>Equivalente de personal con grado P3</w:t>
            </w:r>
          </w:p>
        </w:tc>
        <w:tc>
          <w:tcPr>
            <w:tcW w:w="1287" w:type="dxa"/>
            <w:shd w:val="clear" w:color="auto" w:fill="92CDDC" w:themeFill="accent5" w:themeFillTint="99"/>
          </w:tcPr>
          <w:p w14:paraId="5A7283B7" w14:textId="77777777" w:rsidR="00E0738F" w:rsidRPr="005456B9" w:rsidRDefault="00E0738F" w:rsidP="00A511C0">
            <w:pPr>
              <w:pStyle w:val="Tablehead"/>
              <w:rPr>
                <w:rFonts w:asciiTheme="minorHAnsi" w:hAnsiTheme="minorHAnsi" w:cstheme="minorHAnsi"/>
                <w:lang w:val="es-ES"/>
              </w:rPr>
            </w:pPr>
            <w:r w:rsidRPr="005456B9">
              <w:rPr>
                <w:lang w:val="es-ES"/>
              </w:rPr>
              <w:t>CHF</w:t>
            </w:r>
          </w:p>
        </w:tc>
        <w:tc>
          <w:tcPr>
            <w:tcW w:w="1548" w:type="dxa"/>
            <w:shd w:val="clear" w:color="auto" w:fill="92CDDC" w:themeFill="accent5" w:themeFillTint="99"/>
          </w:tcPr>
          <w:p w14:paraId="7633F272" w14:textId="55A645F3" w:rsidR="00E0738F" w:rsidRPr="005456B9" w:rsidRDefault="00E0738F" w:rsidP="00A511C0">
            <w:pPr>
              <w:pStyle w:val="Tablehead"/>
              <w:rPr>
                <w:rFonts w:asciiTheme="minorHAnsi" w:hAnsiTheme="minorHAnsi" w:cstheme="minorHAnsi"/>
                <w:lang w:val="es-ES"/>
              </w:rPr>
            </w:pPr>
            <w:r w:rsidRPr="005456B9">
              <w:rPr>
                <w:lang w:val="es-ES"/>
              </w:rPr>
              <w:t>Equivalente de personal con grado P3</w:t>
            </w:r>
          </w:p>
        </w:tc>
        <w:tc>
          <w:tcPr>
            <w:tcW w:w="1230" w:type="dxa"/>
            <w:shd w:val="clear" w:color="auto" w:fill="92CDDC" w:themeFill="accent5" w:themeFillTint="99"/>
          </w:tcPr>
          <w:p w14:paraId="41E8FFFE" w14:textId="77777777" w:rsidR="00E0738F" w:rsidRPr="005456B9" w:rsidRDefault="00E0738F" w:rsidP="00A511C0">
            <w:pPr>
              <w:pStyle w:val="Tablehead"/>
              <w:rPr>
                <w:rFonts w:asciiTheme="minorHAnsi" w:hAnsiTheme="minorHAnsi" w:cstheme="minorHAnsi"/>
                <w:lang w:val="es-ES"/>
              </w:rPr>
            </w:pPr>
            <w:r w:rsidRPr="005456B9">
              <w:rPr>
                <w:lang w:val="es-ES"/>
              </w:rPr>
              <w:t>CHF</w:t>
            </w:r>
          </w:p>
        </w:tc>
      </w:tr>
      <w:tr w:rsidR="00E0738F" w:rsidRPr="005456B9" w14:paraId="483DF333" w14:textId="77777777" w:rsidTr="00A511C0">
        <w:tc>
          <w:tcPr>
            <w:tcW w:w="5530" w:type="dxa"/>
            <w:vAlign w:val="bottom"/>
          </w:tcPr>
          <w:p w14:paraId="0EBEF763" w14:textId="77777777" w:rsidR="00E0738F" w:rsidRPr="005456B9" w:rsidRDefault="00E0738F" w:rsidP="00A511C0">
            <w:pPr>
              <w:pStyle w:val="Tabletext"/>
              <w:rPr>
                <w:rFonts w:asciiTheme="minorHAnsi" w:hAnsiTheme="minorHAnsi" w:cstheme="minorHAnsi"/>
                <w:b/>
                <w:sz w:val="26"/>
                <w:szCs w:val="26"/>
                <w:lang w:val="es-ES"/>
              </w:rPr>
            </w:pPr>
            <w:r w:rsidRPr="005456B9">
              <w:rPr>
                <w:lang w:val="es-ES"/>
              </w:rPr>
              <w:t>Res. 121 (CMR-23): ETEM del AP30B</w:t>
            </w:r>
          </w:p>
        </w:tc>
        <w:tc>
          <w:tcPr>
            <w:tcW w:w="1390" w:type="dxa"/>
          </w:tcPr>
          <w:p w14:paraId="4F253AB3" w14:textId="77777777" w:rsidR="00E0738F" w:rsidRPr="005456B9" w:rsidRDefault="00E0738F" w:rsidP="00A511C0">
            <w:pPr>
              <w:pStyle w:val="Tabletext"/>
              <w:jc w:val="center"/>
              <w:rPr>
                <w:rFonts w:asciiTheme="minorHAnsi" w:hAnsiTheme="minorHAnsi" w:cstheme="minorHAnsi"/>
                <w:b/>
                <w:lang w:val="es-ES"/>
              </w:rPr>
            </w:pPr>
            <w:r w:rsidRPr="005456B9">
              <w:rPr>
                <w:lang w:val="es-ES"/>
              </w:rPr>
              <w:t>0,25</w:t>
            </w:r>
          </w:p>
        </w:tc>
        <w:tc>
          <w:tcPr>
            <w:tcW w:w="1512" w:type="dxa"/>
            <w:gridSpan w:val="2"/>
          </w:tcPr>
          <w:p w14:paraId="6249C589" w14:textId="3946C4C6" w:rsidR="00E0738F" w:rsidRPr="005456B9" w:rsidRDefault="00E0738F" w:rsidP="00A511C0">
            <w:pPr>
              <w:pStyle w:val="Tabletext"/>
              <w:jc w:val="center"/>
              <w:rPr>
                <w:rFonts w:asciiTheme="minorHAnsi" w:hAnsiTheme="minorHAnsi" w:cstheme="minorHAnsi"/>
                <w:b/>
                <w:lang w:val="es-ES"/>
              </w:rPr>
            </w:pPr>
            <w:r w:rsidRPr="005456B9">
              <w:rPr>
                <w:lang w:val="es-ES"/>
              </w:rPr>
              <w:t>43</w:t>
            </w:r>
            <w:r w:rsidR="00995AF6">
              <w:rPr>
                <w:lang w:val="es-ES"/>
              </w:rPr>
              <w:t> </w:t>
            </w:r>
            <w:r w:rsidRPr="005456B9">
              <w:rPr>
                <w:lang w:val="es-ES"/>
              </w:rPr>
              <w:t>821,00</w:t>
            </w:r>
          </w:p>
        </w:tc>
        <w:tc>
          <w:tcPr>
            <w:tcW w:w="1491" w:type="dxa"/>
          </w:tcPr>
          <w:p w14:paraId="432BF0CF" w14:textId="77777777" w:rsidR="00E0738F" w:rsidRPr="005456B9" w:rsidRDefault="00E0738F" w:rsidP="00A511C0">
            <w:pPr>
              <w:pStyle w:val="Tabletext"/>
              <w:jc w:val="center"/>
              <w:rPr>
                <w:lang w:val="es-ES"/>
              </w:rPr>
            </w:pPr>
            <w:r w:rsidRPr="005456B9">
              <w:rPr>
                <w:lang w:val="es-ES"/>
              </w:rPr>
              <w:t>0,25</w:t>
            </w:r>
          </w:p>
        </w:tc>
        <w:tc>
          <w:tcPr>
            <w:tcW w:w="1287" w:type="dxa"/>
          </w:tcPr>
          <w:p w14:paraId="07C21F74" w14:textId="38C393FF" w:rsidR="00E0738F" w:rsidRPr="005456B9" w:rsidRDefault="00E0738F" w:rsidP="00A511C0">
            <w:pPr>
              <w:pStyle w:val="Tabletext"/>
              <w:jc w:val="center"/>
              <w:rPr>
                <w:lang w:val="es-ES"/>
              </w:rPr>
            </w:pPr>
            <w:r w:rsidRPr="005456B9">
              <w:rPr>
                <w:lang w:val="es-ES"/>
              </w:rPr>
              <w:t>43</w:t>
            </w:r>
            <w:r w:rsidR="00995AF6">
              <w:rPr>
                <w:lang w:val="es-ES"/>
              </w:rPr>
              <w:t> </w:t>
            </w:r>
            <w:r w:rsidRPr="005456B9">
              <w:rPr>
                <w:lang w:val="es-ES"/>
              </w:rPr>
              <w:t>821,00</w:t>
            </w:r>
          </w:p>
        </w:tc>
        <w:tc>
          <w:tcPr>
            <w:tcW w:w="1548" w:type="dxa"/>
          </w:tcPr>
          <w:p w14:paraId="3D3D47FC" w14:textId="77777777" w:rsidR="00E0738F" w:rsidRPr="005456B9" w:rsidRDefault="00E0738F" w:rsidP="00A511C0">
            <w:pPr>
              <w:pStyle w:val="Tabletext"/>
              <w:jc w:val="center"/>
              <w:rPr>
                <w:lang w:val="es-ES"/>
              </w:rPr>
            </w:pPr>
            <w:r w:rsidRPr="005456B9">
              <w:rPr>
                <w:lang w:val="es-ES"/>
              </w:rPr>
              <w:t>0,25</w:t>
            </w:r>
          </w:p>
        </w:tc>
        <w:tc>
          <w:tcPr>
            <w:tcW w:w="1230" w:type="dxa"/>
          </w:tcPr>
          <w:p w14:paraId="72FF53C7" w14:textId="53C06B91" w:rsidR="00E0738F" w:rsidRPr="005456B9" w:rsidRDefault="00E0738F" w:rsidP="00A511C0">
            <w:pPr>
              <w:pStyle w:val="Tabletext"/>
              <w:jc w:val="center"/>
              <w:rPr>
                <w:lang w:val="es-ES"/>
              </w:rPr>
            </w:pPr>
            <w:r w:rsidRPr="005456B9">
              <w:rPr>
                <w:lang w:val="es-ES"/>
              </w:rPr>
              <w:t>43</w:t>
            </w:r>
            <w:r w:rsidR="00995AF6">
              <w:rPr>
                <w:lang w:val="es-ES"/>
              </w:rPr>
              <w:t> </w:t>
            </w:r>
            <w:r w:rsidRPr="005456B9">
              <w:rPr>
                <w:lang w:val="es-ES"/>
              </w:rPr>
              <w:t>821,00</w:t>
            </w:r>
          </w:p>
        </w:tc>
      </w:tr>
      <w:tr w:rsidR="00E0738F" w:rsidRPr="005456B9" w14:paraId="12431B34" w14:textId="77777777" w:rsidTr="00A511C0">
        <w:tc>
          <w:tcPr>
            <w:tcW w:w="5530" w:type="dxa"/>
            <w:vAlign w:val="bottom"/>
          </w:tcPr>
          <w:p w14:paraId="0BA7D9C0" w14:textId="77777777" w:rsidR="00E0738F" w:rsidRPr="005456B9" w:rsidRDefault="00E0738F" w:rsidP="00A511C0">
            <w:pPr>
              <w:pStyle w:val="Tabletext"/>
              <w:rPr>
                <w:rFonts w:asciiTheme="minorHAnsi" w:hAnsiTheme="minorHAnsi" w:cstheme="minorHAnsi"/>
                <w:b/>
                <w:sz w:val="26"/>
                <w:szCs w:val="26"/>
                <w:lang w:val="es-ES"/>
              </w:rPr>
            </w:pPr>
            <w:r w:rsidRPr="005456B9">
              <w:rPr>
                <w:lang w:val="es-ES"/>
              </w:rPr>
              <w:t>Res. 123 (CMR-23): ETEM no OSG</w:t>
            </w:r>
          </w:p>
        </w:tc>
        <w:tc>
          <w:tcPr>
            <w:tcW w:w="1390" w:type="dxa"/>
          </w:tcPr>
          <w:p w14:paraId="415955A5" w14:textId="77777777" w:rsidR="00E0738F" w:rsidRPr="005456B9" w:rsidRDefault="00E0738F" w:rsidP="00A511C0">
            <w:pPr>
              <w:pStyle w:val="Tabletext"/>
              <w:jc w:val="center"/>
              <w:rPr>
                <w:rFonts w:asciiTheme="minorHAnsi" w:hAnsiTheme="minorHAnsi" w:cstheme="minorHAnsi"/>
                <w:b/>
                <w:lang w:val="es-ES"/>
              </w:rPr>
            </w:pPr>
            <w:r w:rsidRPr="005456B9">
              <w:rPr>
                <w:lang w:val="es-ES"/>
              </w:rPr>
              <w:t>0,2</w:t>
            </w:r>
          </w:p>
        </w:tc>
        <w:tc>
          <w:tcPr>
            <w:tcW w:w="1512" w:type="dxa"/>
            <w:gridSpan w:val="2"/>
          </w:tcPr>
          <w:p w14:paraId="1B376BF1" w14:textId="3DB27FD3" w:rsidR="00E0738F" w:rsidRPr="005456B9" w:rsidRDefault="00E0738F" w:rsidP="00A511C0">
            <w:pPr>
              <w:pStyle w:val="Tabletext"/>
              <w:jc w:val="center"/>
              <w:rPr>
                <w:rFonts w:asciiTheme="minorHAnsi" w:hAnsiTheme="minorHAnsi" w:cstheme="minorHAnsi"/>
                <w:b/>
                <w:lang w:val="es-ES"/>
              </w:rPr>
            </w:pPr>
            <w:r w:rsidRPr="005456B9">
              <w:rPr>
                <w:lang w:val="es-ES"/>
              </w:rPr>
              <w:t>35</w:t>
            </w:r>
            <w:r w:rsidR="00995AF6">
              <w:rPr>
                <w:lang w:val="es-ES"/>
              </w:rPr>
              <w:t> </w:t>
            </w:r>
            <w:r w:rsidRPr="005456B9">
              <w:rPr>
                <w:lang w:val="es-ES"/>
              </w:rPr>
              <w:t>056,80</w:t>
            </w:r>
          </w:p>
        </w:tc>
        <w:tc>
          <w:tcPr>
            <w:tcW w:w="1491" w:type="dxa"/>
          </w:tcPr>
          <w:p w14:paraId="3834BD97" w14:textId="77777777" w:rsidR="00E0738F" w:rsidRPr="005456B9" w:rsidRDefault="00E0738F" w:rsidP="00A511C0">
            <w:pPr>
              <w:pStyle w:val="Tabletext"/>
              <w:jc w:val="center"/>
              <w:rPr>
                <w:lang w:val="es-ES"/>
              </w:rPr>
            </w:pPr>
            <w:r w:rsidRPr="005456B9">
              <w:rPr>
                <w:lang w:val="es-ES"/>
              </w:rPr>
              <w:t>0,2</w:t>
            </w:r>
          </w:p>
        </w:tc>
        <w:tc>
          <w:tcPr>
            <w:tcW w:w="1287" w:type="dxa"/>
          </w:tcPr>
          <w:p w14:paraId="5A5A16CE" w14:textId="3424095B" w:rsidR="00E0738F" w:rsidRPr="005456B9" w:rsidRDefault="00E0738F" w:rsidP="00A511C0">
            <w:pPr>
              <w:pStyle w:val="Tabletext"/>
              <w:jc w:val="center"/>
              <w:rPr>
                <w:lang w:val="es-ES"/>
              </w:rPr>
            </w:pPr>
            <w:r w:rsidRPr="005456B9">
              <w:rPr>
                <w:lang w:val="es-ES"/>
              </w:rPr>
              <w:t>35</w:t>
            </w:r>
            <w:r w:rsidR="00995AF6">
              <w:rPr>
                <w:lang w:val="es-ES"/>
              </w:rPr>
              <w:t> </w:t>
            </w:r>
            <w:r w:rsidRPr="005456B9">
              <w:rPr>
                <w:lang w:val="es-ES"/>
              </w:rPr>
              <w:t>056,80</w:t>
            </w:r>
          </w:p>
        </w:tc>
        <w:tc>
          <w:tcPr>
            <w:tcW w:w="1548" w:type="dxa"/>
          </w:tcPr>
          <w:p w14:paraId="4D29CB94" w14:textId="77777777" w:rsidR="00E0738F" w:rsidRPr="005456B9" w:rsidRDefault="00E0738F" w:rsidP="00A511C0">
            <w:pPr>
              <w:pStyle w:val="Tabletext"/>
              <w:jc w:val="center"/>
              <w:rPr>
                <w:lang w:val="es-ES"/>
              </w:rPr>
            </w:pPr>
            <w:r w:rsidRPr="005456B9">
              <w:rPr>
                <w:lang w:val="es-ES"/>
              </w:rPr>
              <w:t>0,2</w:t>
            </w:r>
          </w:p>
        </w:tc>
        <w:tc>
          <w:tcPr>
            <w:tcW w:w="1230" w:type="dxa"/>
          </w:tcPr>
          <w:p w14:paraId="5773D870" w14:textId="40E067ED" w:rsidR="00E0738F" w:rsidRPr="005456B9" w:rsidRDefault="00E0738F" w:rsidP="00A511C0">
            <w:pPr>
              <w:pStyle w:val="Tabletext"/>
              <w:jc w:val="center"/>
              <w:rPr>
                <w:lang w:val="es-ES"/>
              </w:rPr>
            </w:pPr>
            <w:r w:rsidRPr="005456B9">
              <w:rPr>
                <w:lang w:val="es-ES"/>
              </w:rPr>
              <w:t>35</w:t>
            </w:r>
            <w:r w:rsidR="00995AF6">
              <w:rPr>
                <w:lang w:val="es-ES"/>
              </w:rPr>
              <w:t> </w:t>
            </w:r>
            <w:r w:rsidRPr="005456B9">
              <w:rPr>
                <w:lang w:val="es-ES"/>
              </w:rPr>
              <w:t>056,80</w:t>
            </w:r>
          </w:p>
        </w:tc>
      </w:tr>
      <w:tr w:rsidR="00E0738F" w:rsidRPr="005456B9" w14:paraId="778B3BB8" w14:textId="77777777" w:rsidTr="00A511C0">
        <w:tc>
          <w:tcPr>
            <w:tcW w:w="5530" w:type="dxa"/>
            <w:vAlign w:val="bottom"/>
          </w:tcPr>
          <w:p w14:paraId="33775D8D" w14:textId="77777777" w:rsidR="00E0738F" w:rsidRPr="005456B9" w:rsidRDefault="00E0738F" w:rsidP="00A511C0">
            <w:pPr>
              <w:pStyle w:val="Tabletext"/>
              <w:rPr>
                <w:rFonts w:asciiTheme="minorHAnsi" w:hAnsiTheme="minorHAnsi" w:cstheme="minorHAnsi"/>
                <w:b/>
                <w:sz w:val="26"/>
                <w:szCs w:val="26"/>
                <w:lang w:val="es-ES"/>
              </w:rPr>
            </w:pPr>
            <w:r w:rsidRPr="005456B9">
              <w:rPr>
                <w:lang w:val="es-ES"/>
              </w:rPr>
              <w:t>Res. 679 (CMR-23): enlaces entre satélites: protección de los servicios espaciales y terrenales</w:t>
            </w:r>
          </w:p>
        </w:tc>
        <w:tc>
          <w:tcPr>
            <w:tcW w:w="1390" w:type="dxa"/>
          </w:tcPr>
          <w:p w14:paraId="054CC4E4" w14:textId="77777777" w:rsidR="00E0738F" w:rsidRPr="005456B9" w:rsidRDefault="00E0738F" w:rsidP="00A511C0">
            <w:pPr>
              <w:pStyle w:val="Tabletext"/>
              <w:jc w:val="center"/>
              <w:rPr>
                <w:rFonts w:asciiTheme="minorHAnsi" w:hAnsiTheme="minorHAnsi" w:cstheme="minorHAnsi"/>
                <w:b/>
                <w:lang w:val="es-ES"/>
              </w:rPr>
            </w:pPr>
            <w:r w:rsidRPr="005456B9">
              <w:rPr>
                <w:lang w:val="es-ES"/>
              </w:rPr>
              <w:t>0,2</w:t>
            </w:r>
          </w:p>
        </w:tc>
        <w:tc>
          <w:tcPr>
            <w:tcW w:w="1512" w:type="dxa"/>
            <w:gridSpan w:val="2"/>
          </w:tcPr>
          <w:p w14:paraId="6D2A0A0F" w14:textId="0C2897A9" w:rsidR="00E0738F" w:rsidRPr="005456B9" w:rsidRDefault="00E0738F" w:rsidP="00A511C0">
            <w:pPr>
              <w:pStyle w:val="Tabletext"/>
              <w:jc w:val="center"/>
              <w:rPr>
                <w:rFonts w:asciiTheme="minorHAnsi" w:hAnsiTheme="minorHAnsi" w:cstheme="minorHAnsi"/>
                <w:b/>
                <w:lang w:val="es-ES"/>
              </w:rPr>
            </w:pPr>
            <w:r w:rsidRPr="005456B9">
              <w:rPr>
                <w:lang w:val="es-ES"/>
              </w:rPr>
              <w:t>35</w:t>
            </w:r>
            <w:r w:rsidR="00995AF6">
              <w:rPr>
                <w:lang w:val="es-ES"/>
              </w:rPr>
              <w:t> </w:t>
            </w:r>
            <w:r w:rsidRPr="005456B9">
              <w:rPr>
                <w:lang w:val="es-ES"/>
              </w:rPr>
              <w:t>056,80</w:t>
            </w:r>
          </w:p>
        </w:tc>
        <w:tc>
          <w:tcPr>
            <w:tcW w:w="1491" w:type="dxa"/>
          </w:tcPr>
          <w:p w14:paraId="00D0DA3D" w14:textId="77777777" w:rsidR="00E0738F" w:rsidRPr="005456B9" w:rsidRDefault="00E0738F" w:rsidP="00A511C0">
            <w:pPr>
              <w:pStyle w:val="Tabletext"/>
              <w:jc w:val="center"/>
              <w:rPr>
                <w:lang w:val="es-ES"/>
              </w:rPr>
            </w:pPr>
            <w:r w:rsidRPr="005456B9">
              <w:rPr>
                <w:lang w:val="es-ES"/>
              </w:rPr>
              <w:t>0,2</w:t>
            </w:r>
          </w:p>
        </w:tc>
        <w:tc>
          <w:tcPr>
            <w:tcW w:w="1287" w:type="dxa"/>
          </w:tcPr>
          <w:p w14:paraId="67510224" w14:textId="203E133C" w:rsidR="00E0738F" w:rsidRPr="005456B9" w:rsidRDefault="00E0738F" w:rsidP="00A511C0">
            <w:pPr>
              <w:pStyle w:val="Tabletext"/>
              <w:jc w:val="center"/>
              <w:rPr>
                <w:lang w:val="es-ES"/>
              </w:rPr>
            </w:pPr>
            <w:r w:rsidRPr="005456B9">
              <w:rPr>
                <w:lang w:val="es-ES"/>
              </w:rPr>
              <w:t>35</w:t>
            </w:r>
            <w:r w:rsidR="00995AF6">
              <w:rPr>
                <w:lang w:val="es-ES"/>
              </w:rPr>
              <w:t> </w:t>
            </w:r>
            <w:r w:rsidRPr="005456B9">
              <w:rPr>
                <w:lang w:val="es-ES"/>
              </w:rPr>
              <w:t>056,80</w:t>
            </w:r>
          </w:p>
        </w:tc>
        <w:tc>
          <w:tcPr>
            <w:tcW w:w="1548" w:type="dxa"/>
          </w:tcPr>
          <w:p w14:paraId="29CC10D2" w14:textId="77777777" w:rsidR="00E0738F" w:rsidRPr="005456B9" w:rsidRDefault="00E0738F" w:rsidP="00A511C0">
            <w:pPr>
              <w:pStyle w:val="Tabletext"/>
              <w:jc w:val="center"/>
              <w:rPr>
                <w:lang w:val="es-ES"/>
              </w:rPr>
            </w:pPr>
            <w:r w:rsidRPr="005456B9">
              <w:rPr>
                <w:lang w:val="es-ES"/>
              </w:rPr>
              <w:t>0,2</w:t>
            </w:r>
          </w:p>
        </w:tc>
        <w:tc>
          <w:tcPr>
            <w:tcW w:w="1230" w:type="dxa"/>
          </w:tcPr>
          <w:p w14:paraId="14AE2341" w14:textId="1BC173E9" w:rsidR="00E0738F" w:rsidRPr="005456B9" w:rsidRDefault="00E0738F" w:rsidP="00A511C0">
            <w:pPr>
              <w:pStyle w:val="Tabletext"/>
              <w:jc w:val="center"/>
              <w:rPr>
                <w:lang w:val="es-ES"/>
              </w:rPr>
            </w:pPr>
            <w:r w:rsidRPr="005456B9">
              <w:rPr>
                <w:lang w:val="es-ES"/>
              </w:rPr>
              <w:t>35</w:t>
            </w:r>
            <w:r w:rsidR="00995AF6">
              <w:rPr>
                <w:lang w:val="es-ES"/>
              </w:rPr>
              <w:t> </w:t>
            </w:r>
            <w:r w:rsidRPr="005456B9">
              <w:rPr>
                <w:lang w:val="es-ES"/>
              </w:rPr>
              <w:t>056,80</w:t>
            </w:r>
          </w:p>
        </w:tc>
      </w:tr>
      <w:tr w:rsidR="00E0738F" w:rsidRPr="005456B9" w14:paraId="2E7491EC" w14:textId="77777777" w:rsidTr="00A511C0">
        <w:tc>
          <w:tcPr>
            <w:tcW w:w="5530" w:type="dxa"/>
            <w:vAlign w:val="bottom"/>
          </w:tcPr>
          <w:p w14:paraId="337EEA25" w14:textId="77777777" w:rsidR="00E0738F" w:rsidRPr="005456B9" w:rsidRDefault="00E0738F" w:rsidP="00A511C0">
            <w:pPr>
              <w:pStyle w:val="Tabletext"/>
              <w:rPr>
                <w:rFonts w:asciiTheme="minorHAnsi" w:hAnsiTheme="minorHAnsi" w:cstheme="minorHAnsi"/>
                <w:b/>
                <w:sz w:val="26"/>
                <w:szCs w:val="26"/>
                <w:lang w:val="es-ES"/>
              </w:rPr>
            </w:pPr>
            <w:r w:rsidRPr="005456B9">
              <w:rPr>
                <w:lang w:val="es-ES"/>
              </w:rPr>
              <w:t>Res. 8 (CMR-23): tolerancias de determinadas características orbitales no OSG</w:t>
            </w:r>
          </w:p>
        </w:tc>
        <w:tc>
          <w:tcPr>
            <w:tcW w:w="1390" w:type="dxa"/>
          </w:tcPr>
          <w:p w14:paraId="26E9614A" w14:textId="77777777" w:rsidR="00E0738F" w:rsidRPr="005456B9" w:rsidRDefault="00E0738F" w:rsidP="00A511C0">
            <w:pPr>
              <w:pStyle w:val="Tabletext"/>
              <w:jc w:val="center"/>
              <w:rPr>
                <w:rFonts w:asciiTheme="minorHAnsi" w:hAnsiTheme="minorHAnsi" w:cstheme="minorHAnsi"/>
                <w:b/>
                <w:lang w:val="es-ES"/>
              </w:rPr>
            </w:pPr>
            <w:r w:rsidRPr="005456B9">
              <w:rPr>
                <w:lang w:val="es-ES"/>
              </w:rPr>
              <w:t>0,15</w:t>
            </w:r>
          </w:p>
        </w:tc>
        <w:tc>
          <w:tcPr>
            <w:tcW w:w="1512" w:type="dxa"/>
            <w:gridSpan w:val="2"/>
          </w:tcPr>
          <w:p w14:paraId="6246112C" w14:textId="46F753CF" w:rsidR="00E0738F" w:rsidRPr="005456B9" w:rsidRDefault="00E0738F" w:rsidP="00A511C0">
            <w:pPr>
              <w:pStyle w:val="Tabletext"/>
              <w:jc w:val="center"/>
              <w:rPr>
                <w:rFonts w:asciiTheme="minorHAnsi" w:hAnsiTheme="minorHAnsi" w:cstheme="minorHAnsi"/>
                <w:b/>
                <w:lang w:val="es-ES"/>
              </w:rPr>
            </w:pPr>
            <w:r w:rsidRPr="005456B9">
              <w:rPr>
                <w:lang w:val="es-ES"/>
              </w:rPr>
              <w:t>26</w:t>
            </w:r>
            <w:r w:rsidR="00995AF6">
              <w:rPr>
                <w:lang w:val="es-ES"/>
              </w:rPr>
              <w:t> </w:t>
            </w:r>
            <w:r w:rsidRPr="005456B9">
              <w:rPr>
                <w:lang w:val="es-ES"/>
              </w:rPr>
              <w:t>292,60</w:t>
            </w:r>
          </w:p>
        </w:tc>
        <w:tc>
          <w:tcPr>
            <w:tcW w:w="1491" w:type="dxa"/>
          </w:tcPr>
          <w:p w14:paraId="350DB527" w14:textId="77777777" w:rsidR="00E0738F" w:rsidRPr="005456B9" w:rsidRDefault="00E0738F" w:rsidP="00A511C0">
            <w:pPr>
              <w:pStyle w:val="Tabletext"/>
              <w:jc w:val="center"/>
              <w:rPr>
                <w:lang w:val="es-ES"/>
              </w:rPr>
            </w:pPr>
            <w:r w:rsidRPr="005456B9">
              <w:rPr>
                <w:lang w:val="es-ES"/>
              </w:rPr>
              <w:t>0,15</w:t>
            </w:r>
          </w:p>
        </w:tc>
        <w:tc>
          <w:tcPr>
            <w:tcW w:w="1287" w:type="dxa"/>
          </w:tcPr>
          <w:p w14:paraId="69EB6FC8" w14:textId="7E24AE87" w:rsidR="00E0738F" w:rsidRPr="005456B9" w:rsidRDefault="00E0738F" w:rsidP="00A511C0">
            <w:pPr>
              <w:pStyle w:val="Tabletext"/>
              <w:jc w:val="center"/>
              <w:rPr>
                <w:lang w:val="es-ES"/>
              </w:rPr>
            </w:pPr>
            <w:r w:rsidRPr="005456B9">
              <w:rPr>
                <w:lang w:val="es-ES"/>
              </w:rPr>
              <w:t>26</w:t>
            </w:r>
            <w:r w:rsidR="00995AF6">
              <w:rPr>
                <w:lang w:val="es-ES"/>
              </w:rPr>
              <w:t> </w:t>
            </w:r>
            <w:r w:rsidRPr="005456B9">
              <w:rPr>
                <w:lang w:val="es-ES"/>
              </w:rPr>
              <w:t>292,60</w:t>
            </w:r>
          </w:p>
        </w:tc>
        <w:tc>
          <w:tcPr>
            <w:tcW w:w="1548" w:type="dxa"/>
          </w:tcPr>
          <w:p w14:paraId="082C4AF7" w14:textId="77777777" w:rsidR="00E0738F" w:rsidRPr="005456B9" w:rsidRDefault="00E0738F" w:rsidP="00A511C0">
            <w:pPr>
              <w:pStyle w:val="Tabletext"/>
              <w:jc w:val="center"/>
              <w:rPr>
                <w:lang w:val="es-ES"/>
              </w:rPr>
            </w:pPr>
            <w:r w:rsidRPr="005456B9">
              <w:rPr>
                <w:lang w:val="es-ES"/>
              </w:rPr>
              <w:t>0,15</w:t>
            </w:r>
          </w:p>
        </w:tc>
        <w:tc>
          <w:tcPr>
            <w:tcW w:w="1230" w:type="dxa"/>
          </w:tcPr>
          <w:p w14:paraId="26448A26" w14:textId="7731A135" w:rsidR="00E0738F" w:rsidRPr="005456B9" w:rsidRDefault="00E0738F" w:rsidP="00A511C0">
            <w:pPr>
              <w:pStyle w:val="Tabletext"/>
              <w:jc w:val="center"/>
              <w:rPr>
                <w:lang w:val="es-ES"/>
              </w:rPr>
            </w:pPr>
            <w:r w:rsidRPr="005456B9">
              <w:rPr>
                <w:lang w:val="es-ES"/>
              </w:rPr>
              <w:t>26</w:t>
            </w:r>
            <w:r w:rsidR="00995AF6">
              <w:rPr>
                <w:lang w:val="es-ES"/>
              </w:rPr>
              <w:t> </w:t>
            </w:r>
            <w:r w:rsidRPr="005456B9">
              <w:rPr>
                <w:lang w:val="es-ES"/>
              </w:rPr>
              <w:t>292,60</w:t>
            </w:r>
          </w:p>
        </w:tc>
      </w:tr>
      <w:tr w:rsidR="00E0738F" w:rsidRPr="005456B9" w14:paraId="3E546033" w14:textId="77777777" w:rsidTr="00A511C0">
        <w:tc>
          <w:tcPr>
            <w:tcW w:w="5530" w:type="dxa"/>
            <w:vAlign w:val="bottom"/>
          </w:tcPr>
          <w:p w14:paraId="490ED477" w14:textId="77777777" w:rsidR="00E0738F" w:rsidRPr="005456B9" w:rsidRDefault="00E0738F" w:rsidP="00A511C0">
            <w:pPr>
              <w:pStyle w:val="Tabletext"/>
              <w:rPr>
                <w:rFonts w:cs="Calibri"/>
                <w:color w:val="000000"/>
                <w:lang w:val="es-ES"/>
              </w:rPr>
            </w:pPr>
            <w:r w:rsidRPr="005456B9">
              <w:rPr>
                <w:lang w:val="es-ES"/>
              </w:rPr>
              <w:lastRenderedPageBreak/>
              <w:t>Res. 676 + punto 9.2 del orden del día (CMR-23): Cambios en 9.52.1 (interferencia inaceptable), RR21, y mejoras de la tramitación de la BR</w:t>
            </w:r>
          </w:p>
        </w:tc>
        <w:tc>
          <w:tcPr>
            <w:tcW w:w="1390" w:type="dxa"/>
          </w:tcPr>
          <w:p w14:paraId="58F9A8E1" w14:textId="77777777" w:rsidR="00E0738F" w:rsidRPr="005456B9" w:rsidRDefault="00E0738F" w:rsidP="00A511C0">
            <w:pPr>
              <w:pStyle w:val="Tabletext"/>
              <w:jc w:val="center"/>
              <w:rPr>
                <w:rFonts w:cs="Calibri"/>
                <w:color w:val="000000"/>
                <w:lang w:val="es-ES"/>
              </w:rPr>
            </w:pPr>
            <w:r w:rsidRPr="005456B9">
              <w:rPr>
                <w:lang w:val="es-ES"/>
              </w:rPr>
              <w:t>0,05</w:t>
            </w:r>
          </w:p>
        </w:tc>
        <w:tc>
          <w:tcPr>
            <w:tcW w:w="1512" w:type="dxa"/>
            <w:gridSpan w:val="2"/>
          </w:tcPr>
          <w:p w14:paraId="7CD09CCC" w14:textId="4EFFA098" w:rsidR="00E0738F" w:rsidRPr="005456B9" w:rsidRDefault="00E0738F" w:rsidP="00A511C0">
            <w:pPr>
              <w:pStyle w:val="Tabletext"/>
              <w:jc w:val="center"/>
              <w:rPr>
                <w:rFonts w:asciiTheme="minorHAnsi" w:hAnsiTheme="minorHAnsi" w:cstheme="minorHAnsi"/>
                <w:b/>
                <w:lang w:val="es-ES"/>
              </w:rPr>
            </w:pPr>
            <w:r w:rsidRPr="005456B9">
              <w:rPr>
                <w:lang w:val="es-ES"/>
              </w:rPr>
              <w:t>8</w:t>
            </w:r>
            <w:r w:rsidR="00EB3BA7">
              <w:rPr>
                <w:lang w:val="es-ES"/>
              </w:rPr>
              <w:t> </w:t>
            </w:r>
            <w:r w:rsidRPr="005456B9">
              <w:rPr>
                <w:lang w:val="es-ES"/>
              </w:rPr>
              <w:t>764,20</w:t>
            </w:r>
          </w:p>
        </w:tc>
        <w:tc>
          <w:tcPr>
            <w:tcW w:w="1491" w:type="dxa"/>
          </w:tcPr>
          <w:p w14:paraId="6A1C2EE0" w14:textId="77777777" w:rsidR="00E0738F" w:rsidRPr="005456B9" w:rsidRDefault="00E0738F" w:rsidP="00A511C0">
            <w:pPr>
              <w:pStyle w:val="Tabletext"/>
              <w:jc w:val="center"/>
              <w:rPr>
                <w:lang w:val="es-ES"/>
              </w:rPr>
            </w:pPr>
            <w:r w:rsidRPr="005456B9">
              <w:rPr>
                <w:lang w:val="es-ES"/>
              </w:rPr>
              <w:t>0,05</w:t>
            </w:r>
          </w:p>
        </w:tc>
        <w:tc>
          <w:tcPr>
            <w:tcW w:w="1287" w:type="dxa"/>
          </w:tcPr>
          <w:p w14:paraId="563F2F73" w14:textId="5C21B98E" w:rsidR="00E0738F" w:rsidRPr="005456B9" w:rsidRDefault="00E0738F" w:rsidP="00A511C0">
            <w:pPr>
              <w:pStyle w:val="Tabletext"/>
              <w:jc w:val="center"/>
              <w:rPr>
                <w:lang w:val="es-ES"/>
              </w:rPr>
            </w:pPr>
            <w:r w:rsidRPr="005456B9">
              <w:rPr>
                <w:lang w:val="es-ES"/>
              </w:rPr>
              <w:t>8</w:t>
            </w:r>
            <w:r w:rsidR="00EB3BA7">
              <w:rPr>
                <w:lang w:val="es-ES"/>
              </w:rPr>
              <w:t> </w:t>
            </w:r>
            <w:r w:rsidRPr="005456B9">
              <w:rPr>
                <w:lang w:val="es-ES"/>
              </w:rPr>
              <w:t>764,20</w:t>
            </w:r>
          </w:p>
        </w:tc>
        <w:tc>
          <w:tcPr>
            <w:tcW w:w="1548" w:type="dxa"/>
          </w:tcPr>
          <w:p w14:paraId="510C3414" w14:textId="77777777" w:rsidR="00E0738F" w:rsidRPr="005456B9" w:rsidRDefault="00E0738F" w:rsidP="00A511C0">
            <w:pPr>
              <w:pStyle w:val="Tabletext"/>
              <w:jc w:val="center"/>
              <w:rPr>
                <w:lang w:val="es-ES"/>
              </w:rPr>
            </w:pPr>
            <w:r w:rsidRPr="005456B9">
              <w:rPr>
                <w:lang w:val="es-ES"/>
              </w:rPr>
              <w:t>0,05</w:t>
            </w:r>
          </w:p>
        </w:tc>
        <w:tc>
          <w:tcPr>
            <w:tcW w:w="1230" w:type="dxa"/>
          </w:tcPr>
          <w:p w14:paraId="5C36D348" w14:textId="5972A9D0" w:rsidR="00E0738F" w:rsidRPr="005456B9" w:rsidRDefault="00E0738F" w:rsidP="00A511C0">
            <w:pPr>
              <w:pStyle w:val="Tabletext"/>
              <w:jc w:val="center"/>
              <w:rPr>
                <w:lang w:val="es-ES"/>
              </w:rPr>
            </w:pPr>
            <w:r w:rsidRPr="005456B9">
              <w:rPr>
                <w:lang w:val="es-ES"/>
              </w:rPr>
              <w:t>8</w:t>
            </w:r>
            <w:r w:rsidR="00EB3BA7">
              <w:rPr>
                <w:lang w:val="es-ES"/>
              </w:rPr>
              <w:t> </w:t>
            </w:r>
            <w:r w:rsidRPr="005456B9">
              <w:rPr>
                <w:lang w:val="es-ES"/>
              </w:rPr>
              <w:t>764,20</w:t>
            </w:r>
          </w:p>
        </w:tc>
      </w:tr>
      <w:tr w:rsidR="00E0738F" w:rsidRPr="005456B9" w14:paraId="22AE1FA8" w14:textId="77777777" w:rsidTr="00A511C0">
        <w:tc>
          <w:tcPr>
            <w:tcW w:w="5530" w:type="dxa"/>
            <w:vAlign w:val="bottom"/>
          </w:tcPr>
          <w:p w14:paraId="45FB65B6" w14:textId="77777777" w:rsidR="00E0738F" w:rsidRPr="005456B9" w:rsidRDefault="00E0738F" w:rsidP="00A511C0">
            <w:pPr>
              <w:pStyle w:val="Tabletext"/>
              <w:rPr>
                <w:rFonts w:cs="Calibri"/>
                <w:color w:val="000000"/>
                <w:lang w:val="es-ES"/>
              </w:rPr>
            </w:pPr>
            <w:r w:rsidRPr="005456B9">
              <w:rPr>
                <w:lang w:val="es-ES"/>
              </w:rPr>
              <w:t>Res. 677 (CMR-23): SETS (activo) para sondas de radar a bordo de vehículos espaciales</w:t>
            </w:r>
          </w:p>
        </w:tc>
        <w:tc>
          <w:tcPr>
            <w:tcW w:w="1390" w:type="dxa"/>
          </w:tcPr>
          <w:p w14:paraId="5879C125" w14:textId="77777777" w:rsidR="00E0738F" w:rsidRPr="005456B9" w:rsidRDefault="00E0738F" w:rsidP="00A511C0">
            <w:pPr>
              <w:pStyle w:val="Tabletext"/>
              <w:jc w:val="center"/>
              <w:rPr>
                <w:rFonts w:cs="Calibri"/>
                <w:color w:val="000000"/>
                <w:lang w:val="es-ES"/>
              </w:rPr>
            </w:pPr>
            <w:r w:rsidRPr="005456B9">
              <w:rPr>
                <w:lang w:val="es-ES"/>
              </w:rPr>
              <w:t>0,1</w:t>
            </w:r>
          </w:p>
        </w:tc>
        <w:tc>
          <w:tcPr>
            <w:tcW w:w="1512" w:type="dxa"/>
            <w:gridSpan w:val="2"/>
          </w:tcPr>
          <w:p w14:paraId="51F393F6" w14:textId="5F23007C" w:rsidR="00E0738F" w:rsidRPr="005456B9" w:rsidRDefault="00E0738F" w:rsidP="00A511C0">
            <w:pPr>
              <w:pStyle w:val="Tabletext"/>
              <w:jc w:val="center"/>
              <w:rPr>
                <w:rFonts w:asciiTheme="minorHAnsi" w:hAnsiTheme="minorHAnsi" w:cstheme="minorHAnsi"/>
                <w:b/>
                <w:lang w:val="es-ES"/>
              </w:rPr>
            </w:pPr>
            <w:r w:rsidRPr="005456B9">
              <w:rPr>
                <w:lang w:val="es-ES"/>
              </w:rPr>
              <w:t>17</w:t>
            </w:r>
            <w:r w:rsidR="00EB3BA7">
              <w:rPr>
                <w:lang w:val="es-ES"/>
              </w:rPr>
              <w:t> </w:t>
            </w:r>
            <w:r w:rsidRPr="005456B9">
              <w:rPr>
                <w:lang w:val="es-ES"/>
              </w:rPr>
              <w:t>528,40</w:t>
            </w:r>
          </w:p>
        </w:tc>
        <w:tc>
          <w:tcPr>
            <w:tcW w:w="1491" w:type="dxa"/>
          </w:tcPr>
          <w:p w14:paraId="08803750" w14:textId="77777777" w:rsidR="00E0738F" w:rsidRPr="005456B9" w:rsidRDefault="00E0738F" w:rsidP="00A511C0">
            <w:pPr>
              <w:pStyle w:val="Tabletext"/>
              <w:jc w:val="center"/>
              <w:rPr>
                <w:lang w:val="es-ES"/>
              </w:rPr>
            </w:pPr>
            <w:r w:rsidRPr="005456B9">
              <w:rPr>
                <w:lang w:val="es-ES"/>
              </w:rPr>
              <w:t>0,1</w:t>
            </w:r>
          </w:p>
        </w:tc>
        <w:tc>
          <w:tcPr>
            <w:tcW w:w="1287" w:type="dxa"/>
          </w:tcPr>
          <w:p w14:paraId="39D69D9A" w14:textId="4BDCD53C" w:rsidR="00E0738F" w:rsidRPr="005456B9" w:rsidRDefault="00E0738F" w:rsidP="00A511C0">
            <w:pPr>
              <w:pStyle w:val="Tabletext"/>
              <w:jc w:val="center"/>
              <w:rPr>
                <w:lang w:val="es-ES"/>
              </w:rPr>
            </w:pPr>
            <w:r w:rsidRPr="005456B9">
              <w:rPr>
                <w:lang w:val="es-ES"/>
              </w:rPr>
              <w:t>17</w:t>
            </w:r>
            <w:r w:rsidR="00EB3BA7">
              <w:rPr>
                <w:lang w:val="es-ES"/>
              </w:rPr>
              <w:t> </w:t>
            </w:r>
            <w:r w:rsidRPr="005456B9">
              <w:rPr>
                <w:lang w:val="es-ES"/>
              </w:rPr>
              <w:t>528,40</w:t>
            </w:r>
          </w:p>
        </w:tc>
        <w:tc>
          <w:tcPr>
            <w:tcW w:w="1548" w:type="dxa"/>
          </w:tcPr>
          <w:p w14:paraId="7968F6DB" w14:textId="77777777" w:rsidR="00E0738F" w:rsidRPr="005456B9" w:rsidRDefault="00E0738F" w:rsidP="00A511C0">
            <w:pPr>
              <w:pStyle w:val="Tabletext"/>
              <w:jc w:val="center"/>
              <w:rPr>
                <w:lang w:val="es-ES"/>
              </w:rPr>
            </w:pPr>
            <w:r w:rsidRPr="005456B9">
              <w:rPr>
                <w:lang w:val="es-ES"/>
              </w:rPr>
              <w:t>0,1</w:t>
            </w:r>
          </w:p>
        </w:tc>
        <w:tc>
          <w:tcPr>
            <w:tcW w:w="1230" w:type="dxa"/>
          </w:tcPr>
          <w:p w14:paraId="4AD32E90" w14:textId="7AF74AD9" w:rsidR="00E0738F" w:rsidRPr="005456B9" w:rsidRDefault="00E0738F" w:rsidP="00A511C0">
            <w:pPr>
              <w:pStyle w:val="Tabletext"/>
              <w:jc w:val="center"/>
              <w:rPr>
                <w:lang w:val="es-ES"/>
              </w:rPr>
            </w:pPr>
            <w:r w:rsidRPr="005456B9">
              <w:rPr>
                <w:lang w:val="es-ES"/>
              </w:rPr>
              <w:t>17</w:t>
            </w:r>
            <w:r w:rsidR="00EB3BA7">
              <w:rPr>
                <w:lang w:val="es-ES"/>
              </w:rPr>
              <w:t> </w:t>
            </w:r>
            <w:r w:rsidRPr="005456B9">
              <w:rPr>
                <w:lang w:val="es-ES"/>
              </w:rPr>
              <w:t>528,40</w:t>
            </w:r>
          </w:p>
        </w:tc>
      </w:tr>
      <w:tr w:rsidR="00E0738F" w:rsidRPr="005456B9" w14:paraId="40D98D15" w14:textId="77777777" w:rsidTr="00A511C0">
        <w:tc>
          <w:tcPr>
            <w:tcW w:w="5530" w:type="dxa"/>
            <w:vAlign w:val="bottom"/>
          </w:tcPr>
          <w:p w14:paraId="0D01459A" w14:textId="77777777" w:rsidR="00E0738F" w:rsidRPr="005456B9" w:rsidRDefault="00E0738F" w:rsidP="00A511C0">
            <w:pPr>
              <w:pStyle w:val="Tabletext"/>
              <w:rPr>
                <w:rFonts w:cs="Calibri"/>
                <w:color w:val="000000"/>
                <w:lang w:val="es-ES"/>
              </w:rPr>
            </w:pPr>
            <w:r w:rsidRPr="005456B9">
              <w:rPr>
                <w:lang w:val="es-ES"/>
              </w:rPr>
              <w:t>Punto 1.19 del orden del día (CMR-23): SFS (espacio-Tierra) en la banda de 17,3-17,7 GHz en la Región 2</w:t>
            </w:r>
          </w:p>
        </w:tc>
        <w:tc>
          <w:tcPr>
            <w:tcW w:w="1390" w:type="dxa"/>
          </w:tcPr>
          <w:p w14:paraId="04D7E90F" w14:textId="77777777" w:rsidR="00E0738F" w:rsidRPr="005456B9" w:rsidRDefault="00E0738F" w:rsidP="00A511C0">
            <w:pPr>
              <w:pStyle w:val="Tabletext"/>
              <w:jc w:val="center"/>
              <w:rPr>
                <w:rFonts w:cs="Calibri"/>
                <w:color w:val="000000"/>
                <w:lang w:val="es-ES"/>
              </w:rPr>
            </w:pPr>
            <w:r w:rsidRPr="005456B9">
              <w:rPr>
                <w:lang w:val="es-ES"/>
              </w:rPr>
              <w:t>0,1</w:t>
            </w:r>
          </w:p>
        </w:tc>
        <w:tc>
          <w:tcPr>
            <w:tcW w:w="1512" w:type="dxa"/>
            <w:gridSpan w:val="2"/>
          </w:tcPr>
          <w:p w14:paraId="6A149C32" w14:textId="2ACD3C1A" w:rsidR="00E0738F" w:rsidRPr="005456B9" w:rsidRDefault="00E0738F" w:rsidP="00A511C0">
            <w:pPr>
              <w:pStyle w:val="Tabletext"/>
              <w:jc w:val="center"/>
              <w:rPr>
                <w:rFonts w:asciiTheme="minorHAnsi" w:hAnsiTheme="minorHAnsi" w:cstheme="minorHAnsi"/>
                <w:b/>
                <w:lang w:val="es-ES"/>
              </w:rPr>
            </w:pPr>
            <w:r w:rsidRPr="005456B9">
              <w:rPr>
                <w:lang w:val="es-ES"/>
              </w:rPr>
              <w:t>17</w:t>
            </w:r>
            <w:r w:rsidR="00EB3BA7">
              <w:rPr>
                <w:lang w:val="es-ES"/>
              </w:rPr>
              <w:t> </w:t>
            </w:r>
            <w:r w:rsidRPr="005456B9">
              <w:rPr>
                <w:lang w:val="es-ES"/>
              </w:rPr>
              <w:t>528,40</w:t>
            </w:r>
          </w:p>
        </w:tc>
        <w:tc>
          <w:tcPr>
            <w:tcW w:w="1491" w:type="dxa"/>
          </w:tcPr>
          <w:p w14:paraId="33B90966" w14:textId="77777777" w:rsidR="00E0738F" w:rsidRPr="005456B9" w:rsidRDefault="00E0738F" w:rsidP="00A511C0">
            <w:pPr>
              <w:pStyle w:val="Tabletext"/>
              <w:jc w:val="center"/>
              <w:rPr>
                <w:lang w:val="es-ES"/>
              </w:rPr>
            </w:pPr>
            <w:r w:rsidRPr="005456B9">
              <w:rPr>
                <w:lang w:val="es-ES"/>
              </w:rPr>
              <w:t>0,1</w:t>
            </w:r>
          </w:p>
        </w:tc>
        <w:tc>
          <w:tcPr>
            <w:tcW w:w="1287" w:type="dxa"/>
          </w:tcPr>
          <w:p w14:paraId="5CAA62B9" w14:textId="32B9ECE0" w:rsidR="00E0738F" w:rsidRPr="005456B9" w:rsidRDefault="00E0738F" w:rsidP="00A511C0">
            <w:pPr>
              <w:pStyle w:val="Tabletext"/>
              <w:jc w:val="center"/>
              <w:rPr>
                <w:lang w:val="es-ES"/>
              </w:rPr>
            </w:pPr>
            <w:r w:rsidRPr="005456B9">
              <w:rPr>
                <w:lang w:val="es-ES"/>
              </w:rPr>
              <w:t>17</w:t>
            </w:r>
            <w:r w:rsidR="00EB3BA7">
              <w:rPr>
                <w:lang w:val="es-ES"/>
              </w:rPr>
              <w:t> </w:t>
            </w:r>
            <w:r w:rsidRPr="005456B9">
              <w:rPr>
                <w:lang w:val="es-ES"/>
              </w:rPr>
              <w:t>528,40</w:t>
            </w:r>
          </w:p>
        </w:tc>
        <w:tc>
          <w:tcPr>
            <w:tcW w:w="1548" w:type="dxa"/>
          </w:tcPr>
          <w:p w14:paraId="0F9A36CA" w14:textId="77777777" w:rsidR="00E0738F" w:rsidRPr="005456B9" w:rsidRDefault="00E0738F" w:rsidP="00A511C0">
            <w:pPr>
              <w:pStyle w:val="Tabletext"/>
              <w:jc w:val="center"/>
              <w:rPr>
                <w:lang w:val="es-ES"/>
              </w:rPr>
            </w:pPr>
            <w:r w:rsidRPr="005456B9">
              <w:rPr>
                <w:lang w:val="es-ES"/>
              </w:rPr>
              <w:t>0,1</w:t>
            </w:r>
          </w:p>
        </w:tc>
        <w:tc>
          <w:tcPr>
            <w:tcW w:w="1230" w:type="dxa"/>
          </w:tcPr>
          <w:p w14:paraId="2A34A638" w14:textId="0CDEFB86" w:rsidR="00E0738F" w:rsidRPr="005456B9" w:rsidRDefault="00E0738F" w:rsidP="00A511C0">
            <w:pPr>
              <w:pStyle w:val="Tabletext"/>
              <w:jc w:val="center"/>
              <w:rPr>
                <w:lang w:val="es-ES"/>
              </w:rPr>
            </w:pPr>
            <w:r w:rsidRPr="005456B9">
              <w:rPr>
                <w:lang w:val="es-ES"/>
              </w:rPr>
              <w:t>17</w:t>
            </w:r>
            <w:r w:rsidR="00EB3BA7">
              <w:rPr>
                <w:lang w:val="es-ES"/>
              </w:rPr>
              <w:t> </w:t>
            </w:r>
            <w:r w:rsidRPr="005456B9">
              <w:rPr>
                <w:lang w:val="es-ES"/>
              </w:rPr>
              <w:t>528,40</w:t>
            </w:r>
          </w:p>
        </w:tc>
      </w:tr>
      <w:tr w:rsidR="00E0738F" w:rsidRPr="005456B9" w14:paraId="0D82085B" w14:textId="77777777" w:rsidTr="00A511C0">
        <w:tc>
          <w:tcPr>
            <w:tcW w:w="5530" w:type="dxa"/>
            <w:vAlign w:val="bottom"/>
          </w:tcPr>
          <w:p w14:paraId="75063731" w14:textId="77777777" w:rsidR="00E0738F" w:rsidRPr="005456B9" w:rsidRDefault="00E0738F" w:rsidP="00A511C0">
            <w:pPr>
              <w:pStyle w:val="Tabletext"/>
              <w:rPr>
                <w:rFonts w:cs="Calibri"/>
                <w:color w:val="000000"/>
                <w:lang w:val="es-ES"/>
              </w:rPr>
            </w:pPr>
            <w:r w:rsidRPr="005456B9">
              <w:rPr>
                <w:lang w:val="es-ES"/>
              </w:rPr>
              <w:t>Res. 35 (Rev. CMR-23): procedimiento de comunicación posterior a cada objetivo intermedio de la puesta en servicio de sistemas no OSG</w:t>
            </w:r>
          </w:p>
        </w:tc>
        <w:tc>
          <w:tcPr>
            <w:tcW w:w="1390" w:type="dxa"/>
          </w:tcPr>
          <w:p w14:paraId="0A804778" w14:textId="77777777" w:rsidR="00E0738F" w:rsidRPr="005456B9" w:rsidRDefault="00E0738F" w:rsidP="00A511C0">
            <w:pPr>
              <w:pStyle w:val="Tabletext"/>
              <w:jc w:val="center"/>
              <w:rPr>
                <w:rFonts w:cs="Calibri"/>
                <w:color w:val="000000"/>
                <w:lang w:val="es-ES"/>
              </w:rPr>
            </w:pPr>
            <w:r w:rsidRPr="005456B9">
              <w:rPr>
                <w:lang w:val="es-ES"/>
              </w:rPr>
              <w:t>0,1</w:t>
            </w:r>
          </w:p>
        </w:tc>
        <w:tc>
          <w:tcPr>
            <w:tcW w:w="1512" w:type="dxa"/>
            <w:gridSpan w:val="2"/>
          </w:tcPr>
          <w:p w14:paraId="76427306" w14:textId="4F0E972D" w:rsidR="00E0738F" w:rsidRPr="005456B9" w:rsidRDefault="00E0738F" w:rsidP="00A511C0">
            <w:pPr>
              <w:pStyle w:val="Tabletext"/>
              <w:jc w:val="center"/>
              <w:rPr>
                <w:rFonts w:asciiTheme="minorHAnsi" w:hAnsiTheme="minorHAnsi" w:cstheme="minorHAnsi"/>
                <w:b/>
                <w:lang w:val="es-ES"/>
              </w:rPr>
            </w:pPr>
            <w:r w:rsidRPr="005456B9">
              <w:rPr>
                <w:lang w:val="es-ES"/>
              </w:rPr>
              <w:t>17</w:t>
            </w:r>
            <w:r w:rsidR="00EB3BA7">
              <w:rPr>
                <w:lang w:val="es-ES"/>
              </w:rPr>
              <w:t> </w:t>
            </w:r>
            <w:r w:rsidRPr="005456B9">
              <w:rPr>
                <w:lang w:val="es-ES"/>
              </w:rPr>
              <w:t>528,40</w:t>
            </w:r>
          </w:p>
        </w:tc>
        <w:tc>
          <w:tcPr>
            <w:tcW w:w="1491" w:type="dxa"/>
          </w:tcPr>
          <w:p w14:paraId="6E43A25D" w14:textId="77777777" w:rsidR="00E0738F" w:rsidRPr="005456B9" w:rsidRDefault="00E0738F" w:rsidP="00A511C0">
            <w:pPr>
              <w:pStyle w:val="Tabletext"/>
              <w:jc w:val="center"/>
              <w:rPr>
                <w:lang w:val="es-ES"/>
              </w:rPr>
            </w:pPr>
            <w:r w:rsidRPr="005456B9">
              <w:rPr>
                <w:lang w:val="es-ES"/>
              </w:rPr>
              <w:t>0,1</w:t>
            </w:r>
          </w:p>
        </w:tc>
        <w:tc>
          <w:tcPr>
            <w:tcW w:w="1287" w:type="dxa"/>
          </w:tcPr>
          <w:p w14:paraId="33B8CD49" w14:textId="05BA6C51" w:rsidR="00E0738F" w:rsidRPr="005456B9" w:rsidRDefault="00E0738F" w:rsidP="00A511C0">
            <w:pPr>
              <w:pStyle w:val="Tabletext"/>
              <w:jc w:val="center"/>
              <w:rPr>
                <w:lang w:val="es-ES"/>
              </w:rPr>
            </w:pPr>
            <w:r w:rsidRPr="005456B9">
              <w:rPr>
                <w:lang w:val="es-ES"/>
              </w:rPr>
              <w:t>17</w:t>
            </w:r>
            <w:r w:rsidR="00EB3BA7">
              <w:rPr>
                <w:lang w:val="es-ES"/>
              </w:rPr>
              <w:t> </w:t>
            </w:r>
            <w:r w:rsidRPr="005456B9">
              <w:rPr>
                <w:lang w:val="es-ES"/>
              </w:rPr>
              <w:t>528,40</w:t>
            </w:r>
          </w:p>
        </w:tc>
        <w:tc>
          <w:tcPr>
            <w:tcW w:w="1548" w:type="dxa"/>
          </w:tcPr>
          <w:p w14:paraId="53A83AF7" w14:textId="77777777" w:rsidR="00E0738F" w:rsidRPr="005456B9" w:rsidRDefault="00E0738F" w:rsidP="00A511C0">
            <w:pPr>
              <w:pStyle w:val="Tabletext"/>
              <w:jc w:val="center"/>
              <w:rPr>
                <w:lang w:val="es-ES"/>
              </w:rPr>
            </w:pPr>
            <w:r w:rsidRPr="005456B9">
              <w:rPr>
                <w:lang w:val="es-ES"/>
              </w:rPr>
              <w:t>0,1</w:t>
            </w:r>
          </w:p>
        </w:tc>
        <w:tc>
          <w:tcPr>
            <w:tcW w:w="1230" w:type="dxa"/>
          </w:tcPr>
          <w:p w14:paraId="77EB0093" w14:textId="54EAB5BC" w:rsidR="00E0738F" w:rsidRPr="005456B9" w:rsidRDefault="00E0738F" w:rsidP="00A511C0">
            <w:pPr>
              <w:pStyle w:val="Tabletext"/>
              <w:jc w:val="center"/>
              <w:rPr>
                <w:lang w:val="es-ES"/>
              </w:rPr>
            </w:pPr>
            <w:r w:rsidRPr="005456B9">
              <w:rPr>
                <w:lang w:val="es-ES"/>
              </w:rPr>
              <w:t>17</w:t>
            </w:r>
            <w:r w:rsidR="00EB3BA7">
              <w:rPr>
                <w:lang w:val="es-ES"/>
              </w:rPr>
              <w:t> </w:t>
            </w:r>
            <w:r w:rsidRPr="005456B9">
              <w:rPr>
                <w:lang w:val="es-ES"/>
              </w:rPr>
              <w:t>528,40</w:t>
            </w:r>
          </w:p>
        </w:tc>
      </w:tr>
      <w:tr w:rsidR="00E0738F" w:rsidRPr="005456B9" w14:paraId="5270D32D" w14:textId="77777777" w:rsidTr="00A511C0">
        <w:tc>
          <w:tcPr>
            <w:tcW w:w="5530" w:type="dxa"/>
            <w:shd w:val="clear" w:color="auto" w:fill="92CDDC" w:themeFill="accent5" w:themeFillTint="99"/>
            <w:vAlign w:val="bottom"/>
          </w:tcPr>
          <w:p w14:paraId="508755C3" w14:textId="77777777" w:rsidR="00E0738F" w:rsidRPr="005456B9" w:rsidRDefault="00E0738F" w:rsidP="00A511C0">
            <w:pPr>
              <w:pStyle w:val="Tabletext"/>
              <w:rPr>
                <w:rFonts w:cs="Calibri"/>
                <w:b/>
                <w:bCs/>
                <w:color w:val="000000"/>
                <w:lang w:val="es-ES"/>
              </w:rPr>
            </w:pPr>
            <w:r w:rsidRPr="005456B9">
              <w:rPr>
                <w:b/>
                <w:bCs/>
                <w:lang w:val="es-ES"/>
              </w:rPr>
              <w:t>Total</w:t>
            </w:r>
            <w:r w:rsidRPr="005456B9">
              <w:rPr>
                <w:lang w:val="es-ES"/>
              </w:rPr>
              <w:t xml:space="preserve"> </w:t>
            </w:r>
          </w:p>
        </w:tc>
        <w:tc>
          <w:tcPr>
            <w:tcW w:w="1390" w:type="dxa"/>
            <w:shd w:val="clear" w:color="auto" w:fill="92CDDC" w:themeFill="accent5" w:themeFillTint="99"/>
            <w:vAlign w:val="bottom"/>
          </w:tcPr>
          <w:p w14:paraId="72F1F759" w14:textId="77777777" w:rsidR="00E0738F" w:rsidRPr="005456B9" w:rsidRDefault="00E0738F" w:rsidP="00A511C0">
            <w:pPr>
              <w:pStyle w:val="Tabletext"/>
              <w:jc w:val="center"/>
              <w:rPr>
                <w:rFonts w:cs="Calibri"/>
                <w:b/>
                <w:bCs/>
                <w:color w:val="000000"/>
                <w:lang w:val="es-ES"/>
              </w:rPr>
            </w:pPr>
            <w:r w:rsidRPr="005456B9">
              <w:rPr>
                <w:b/>
                <w:bCs/>
                <w:lang w:val="es-ES"/>
              </w:rPr>
              <w:t>1,15</w:t>
            </w:r>
          </w:p>
        </w:tc>
        <w:tc>
          <w:tcPr>
            <w:tcW w:w="1512" w:type="dxa"/>
            <w:gridSpan w:val="2"/>
            <w:shd w:val="clear" w:color="auto" w:fill="92CDDC" w:themeFill="accent5" w:themeFillTint="99"/>
          </w:tcPr>
          <w:p w14:paraId="47AB058C" w14:textId="155DB5E5" w:rsidR="00E0738F" w:rsidRPr="005456B9" w:rsidRDefault="00E0738F" w:rsidP="00A511C0">
            <w:pPr>
              <w:pStyle w:val="Tabletext"/>
              <w:jc w:val="center"/>
              <w:rPr>
                <w:rFonts w:asciiTheme="minorHAnsi" w:hAnsiTheme="minorHAnsi" w:cstheme="minorHAnsi"/>
                <w:b/>
                <w:bCs/>
                <w:lang w:val="es-ES"/>
              </w:rPr>
            </w:pPr>
            <w:r w:rsidRPr="005456B9">
              <w:rPr>
                <w:b/>
                <w:bCs/>
                <w:lang w:val="es-ES"/>
              </w:rPr>
              <w:t>201</w:t>
            </w:r>
            <w:r w:rsidR="00EB3BA7">
              <w:rPr>
                <w:lang w:val="es-ES"/>
              </w:rPr>
              <w:t> </w:t>
            </w:r>
            <w:r w:rsidRPr="005456B9">
              <w:rPr>
                <w:b/>
                <w:bCs/>
                <w:lang w:val="es-ES"/>
              </w:rPr>
              <w:t>576,60</w:t>
            </w:r>
          </w:p>
        </w:tc>
        <w:tc>
          <w:tcPr>
            <w:tcW w:w="1491" w:type="dxa"/>
            <w:shd w:val="clear" w:color="auto" w:fill="92CDDC" w:themeFill="accent5" w:themeFillTint="99"/>
            <w:vAlign w:val="bottom"/>
          </w:tcPr>
          <w:p w14:paraId="07009B36" w14:textId="77777777" w:rsidR="00E0738F" w:rsidRPr="005456B9" w:rsidRDefault="00E0738F" w:rsidP="00A511C0">
            <w:pPr>
              <w:pStyle w:val="Tabletext"/>
              <w:jc w:val="center"/>
              <w:rPr>
                <w:b/>
                <w:bCs/>
                <w:lang w:val="es-ES"/>
              </w:rPr>
            </w:pPr>
            <w:r w:rsidRPr="005456B9">
              <w:rPr>
                <w:b/>
                <w:bCs/>
                <w:lang w:val="es-ES"/>
              </w:rPr>
              <w:t>1,15</w:t>
            </w:r>
          </w:p>
        </w:tc>
        <w:tc>
          <w:tcPr>
            <w:tcW w:w="1287" w:type="dxa"/>
            <w:shd w:val="clear" w:color="auto" w:fill="92CDDC" w:themeFill="accent5" w:themeFillTint="99"/>
          </w:tcPr>
          <w:p w14:paraId="3D4F27CE" w14:textId="76B37B08" w:rsidR="00E0738F" w:rsidRPr="005456B9" w:rsidRDefault="00E0738F" w:rsidP="00A511C0">
            <w:pPr>
              <w:pStyle w:val="Tabletext"/>
              <w:jc w:val="center"/>
              <w:rPr>
                <w:b/>
                <w:bCs/>
                <w:lang w:val="es-ES"/>
              </w:rPr>
            </w:pPr>
            <w:r w:rsidRPr="005456B9">
              <w:rPr>
                <w:b/>
                <w:bCs/>
                <w:lang w:val="es-ES"/>
              </w:rPr>
              <w:t>201</w:t>
            </w:r>
            <w:r w:rsidR="00EB3BA7">
              <w:rPr>
                <w:lang w:val="es-ES"/>
              </w:rPr>
              <w:t> </w:t>
            </w:r>
            <w:r w:rsidRPr="005456B9">
              <w:rPr>
                <w:b/>
                <w:bCs/>
                <w:lang w:val="es-ES"/>
              </w:rPr>
              <w:t>576,60</w:t>
            </w:r>
          </w:p>
        </w:tc>
        <w:tc>
          <w:tcPr>
            <w:tcW w:w="1548" w:type="dxa"/>
            <w:shd w:val="clear" w:color="auto" w:fill="92CDDC" w:themeFill="accent5" w:themeFillTint="99"/>
            <w:vAlign w:val="bottom"/>
          </w:tcPr>
          <w:p w14:paraId="20B6E4BA" w14:textId="77777777" w:rsidR="00E0738F" w:rsidRPr="005456B9" w:rsidRDefault="00E0738F" w:rsidP="00A511C0">
            <w:pPr>
              <w:pStyle w:val="Tabletext"/>
              <w:jc w:val="center"/>
              <w:rPr>
                <w:b/>
                <w:bCs/>
                <w:lang w:val="es-ES"/>
              </w:rPr>
            </w:pPr>
            <w:r w:rsidRPr="005456B9">
              <w:rPr>
                <w:b/>
                <w:bCs/>
                <w:lang w:val="es-ES"/>
              </w:rPr>
              <w:t>1,15</w:t>
            </w:r>
          </w:p>
        </w:tc>
        <w:tc>
          <w:tcPr>
            <w:tcW w:w="1230" w:type="dxa"/>
            <w:shd w:val="clear" w:color="auto" w:fill="92CDDC" w:themeFill="accent5" w:themeFillTint="99"/>
          </w:tcPr>
          <w:p w14:paraId="237173B6" w14:textId="01E57C2F" w:rsidR="00E0738F" w:rsidRPr="005456B9" w:rsidRDefault="00E0738F" w:rsidP="00A511C0">
            <w:pPr>
              <w:pStyle w:val="Tabletext"/>
              <w:jc w:val="center"/>
              <w:rPr>
                <w:b/>
                <w:bCs/>
                <w:lang w:val="es-ES"/>
              </w:rPr>
            </w:pPr>
            <w:r w:rsidRPr="005456B9">
              <w:rPr>
                <w:b/>
                <w:bCs/>
                <w:lang w:val="es-ES"/>
              </w:rPr>
              <w:t>201</w:t>
            </w:r>
            <w:r w:rsidR="00EB3BA7">
              <w:rPr>
                <w:lang w:val="es-ES"/>
              </w:rPr>
              <w:t> </w:t>
            </w:r>
            <w:r w:rsidRPr="005456B9">
              <w:rPr>
                <w:b/>
                <w:bCs/>
                <w:lang w:val="es-ES"/>
              </w:rPr>
              <w:t>576,60</w:t>
            </w:r>
          </w:p>
        </w:tc>
      </w:tr>
    </w:tbl>
    <w:p w14:paraId="4D6238D1" w14:textId="77777777" w:rsidR="00E0738F" w:rsidRPr="005456B9" w:rsidRDefault="00E0738F" w:rsidP="00E0738F">
      <w:pPr>
        <w:tabs>
          <w:tab w:val="clear" w:pos="567"/>
          <w:tab w:val="clear" w:pos="1134"/>
          <w:tab w:val="clear" w:pos="1701"/>
          <w:tab w:val="clear" w:pos="2268"/>
          <w:tab w:val="clear" w:pos="2835"/>
        </w:tabs>
        <w:overflowPunct/>
        <w:autoSpaceDE/>
        <w:autoSpaceDN/>
        <w:adjustRightInd/>
        <w:spacing w:before="840"/>
        <w:jc w:val="center"/>
        <w:textAlignment w:val="auto"/>
        <w:rPr>
          <w:rFonts w:asciiTheme="minorHAnsi" w:hAnsiTheme="minorHAnsi" w:cstheme="minorHAnsi"/>
          <w:bCs/>
          <w:sz w:val="26"/>
          <w:szCs w:val="26"/>
          <w:lang w:val="es-ES"/>
        </w:rPr>
      </w:pPr>
      <w:r w:rsidRPr="005456B9">
        <w:rPr>
          <w:lang w:val="es-ES"/>
        </w:rPr>
        <w:t>___________________</w:t>
      </w:r>
    </w:p>
    <w:p w14:paraId="58F43063" w14:textId="77777777" w:rsidR="00927F93" w:rsidRPr="000B0D00" w:rsidRDefault="00927F93" w:rsidP="00A511C0">
      <w:pPr>
        <w:pStyle w:val="Reasons"/>
      </w:pPr>
    </w:p>
    <w:sectPr w:rsidR="00927F93" w:rsidRPr="000B0D00" w:rsidSect="00E0738F">
      <w:footerReference w:type="default" r:id="rId16"/>
      <w:headerReference w:type="first" r:id="rId17"/>
      <w:footerReference w:type="first" r:id="rId18"/>
      <w:pgSz w:w="16834" w:h="11907" w:orient="landscape"/>
      <w:pgMar w:top="1418" w:right="1418" w:bottom="1418" w:left="1418" w:header="720" w:footer="720" w:gutter="0"/>
      <w:paperSrc w:first="286" w:other="286"/>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F0CF1" w14:textId="77777777" w:rsidR="0064481D" w:rsidRDefault="0064481D">
      <w:r>
        <w:separator/>
      </w:r>
    </w:p>
  </w:endnote>
  <w:endnote w:type="continuationSeparator" w:id="0">
    <w:p w14:paraId="0F717ED5" w14:textId="77777777" w:rsidR="0064481D" w:rsidRDefault="00644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venir Nxt2 W1G Medium">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0738F" w:rsidRPr="00784011" w14:paraId="0F3A4553" w14:textId="77777777">
      <w:trPr>
        <w:jc w:val="center"/>
      </w:trPr>
      <w:tc>
        <w:tcPr>
          <w:tcW w:w="1803" w:type="dxa"/>
          <w:vAlign w:val="center"/>
        </w:tcPr>
        <w:p w14:paraId="2FB0CAB4" w14:textId="19F9069B" w:rsidR="00E0738F" w:rsidRDefault="009E4DDA" w:rsidP="00EE49E8">
          <w:pPr>
            <w:pStyle w:val="Header"/>
            <w:jc w:val="left"/>
            <w:rPr>
              <w:noProof/>
            </w:rPr>
          </w:pPr>
          <w:r>
            <w:rPr>
              <w:noProof/>
            </w:rPr>
            <w:t>DPS #</w:t>
          </w:r>
        </w:p>
      </w:tc>
      <w:tc>
        <w:tcPr>
          <w:tcW w:w="8261" w:type="dxa"/>
        </w:tcPr>
        <w:p w14:paraId="2C5D3801" w14:textId="77777777" w:rsidR="00E0738F" w:rsidRPr="00E06FD5" w:rsidRDefault="00E0738F" w:rsidP="005C4D47">
          <w:pPr>
            <w:pStyle w:val="Header"/>
            <w:tabs>
              <w:tab w:val="left" w:pos="6589"/>
              <w:tab w:val="right" w:pos="8505"/>
              <w:tab w:val="right" w:pos="9639"/>
            </w:tabs>
            <w:jc w:val="left"/>
            <w:rPr>
              <w:rFonts w:ascii="Arial" w:hAnsi="Arial" w:cs="Arial"/>
              <w:b/>
              <w:bCs/>
              <w:szCs w:val="18"/>
            </w:rPr>
          </w:pPr>
          <w:r>
            <w:rPr>
              <w:bCs/>
            </w:rPr>
            <w:tab/>
          </w:r>
          <w:r w:rsidRPr="00623AE3">
            <w:rPr>
              <w:bCs/>
            </w:rPr>
            <w:t>C</w:t>
          </w:r>
          <w:r>
            <w:rPr>
              <w:bCs/>
            </w:rPr>
            <w:t>24</w:t>
          </w:r>
          <w:r w:rsidRPr="00623AE3">
            <w:rPr>
              <w:bCs/>
            </w:rPr>
            <w:t>/</w:t>
          </w:r>
          <w:r>
            <w:rPr>
              <w:bCs/>
            </w:rPr>
            <w:t>63-S</w:t>
          </w:r>
          <w:r>
            <w:rPr>
              <w:bCs/>
            </w:rPr>
            <w:tab/>
          </w:r>
          <w:r>
            <w:fldChar w:fldCharType="begin"/>
          </w:r>
          <w:r>
            <w:instrText>PAGE</w:instrText>
          </w:r>
          <w:r>
            <w:fldChar w:fldCharType="separate"/>
          </w:r>
          <w:r>
            <w:rPr>
              <w:noProof/>
            </w:rPr>
            <w:t>6</w:t>
          </w:r>
          <w:r>
            <w:rPr>
              <w:noProof/>
            </w:rPr>
            <w:fldChar w:fldCharType="end"/>
          </w:r>
        </w:p>
      </w:tc>
    </w:tr>
  </w:tbl>
  <w:p w14:paraId="49823527" w14:textId="77777777" w:rsidR="00E0738F" w:rsidRPr="00DB1936" w:rsidRDefault="00E0738F"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0738F" w:rsidRPr="00784011" w14:paraId="408D871E" w14:textId="77777777" w:rsidTr="00EE49E8">
      <w:trPr>
        <w:jc w:val="center"/>
      </w:trPr>
      <w:tc>
        <w:tcPr>
          <w:tcW w:w="1803" w:type="dxa"/>
          <w:vAlign w:val="center"/>
        </w:tcPr>
        <w:p w14:paraId="662364DD" w14:textId="107A31C5" w:rsidR="00E0738F" w:rsidRDefault="009E4DDA" w:rsidP="00EE49E8">
          <w:pPr>
            <w:pStyle w:val="Header"/>
            <w:jc w:val="left"/>
            <w:rPr>
              <w:noProof/>
            </w:rPr>
          </w:pPr>
          <w:r w:rsidRPr="0064481D">
            <w:rPr>
              <w:color w:val="0563C1"/>
              <w:szCs w:val="14"/>
            </w:rPr>
            <w:t>www.itu.int/council</w:t>
          </w:r>
        </w:p>
      </w:tc>
      <w:tc>
        <w:tcPr>
          <w:tcW w:w="8261" w:type="dxa"/>
        </w:tcPr>
        <w:p w14:paraId="76E16931" w14:textId="78672613" w:rsidR="00E0738F" w:rsidRPr="00E06FD5" w:rsidRDefault="00E0738F" w:rsidP="005C4D47">
          <w:pPr>
            <w:pStyle w:val="Header"/>
            <w:tabs>
              <w:tab w:val="left" w:pos="6873"/>
              <w:tab w:val="right" w:pos="8505"/>
              <w:tab w:val="right" w:pos="9639"/>
            </w:tabs>
            <w:jc w:val="left"/>
            <w:rPr>
              <w:rFonts w:ascii="Arial" w:hAnsi="Arial" w:cs="Arial"/>
              <w:b/>
              <w:bCs/>
              <w:szCs w:val="18"/>
            </w:rPr>
          </w:pPr>
          <w:r>
            <w:rPr>
              <w:bCs/>
            </w:rPr>
            <w:tab/>
          </w:r>
          <w:r w:rsidRPr="00623AE3">
            <w:rPr>
              <w:bCs/>
            </w:rPr>
            <w:t>C</w:t>
          </w:r>
          <w:r>
            <w:rPr>
              <w:bCs/>
            </w:rPr>
            <w:t>24</w:t>
          </w:r>
          <w:r w:rsidRPr="00623AE3">
            <w:rPr>
              <w:bCs/>
            </w:rPr>
            <w:t>/</w:t>
          </w:r>
          <w:r>
            <w:rPr>
              <w:bCs/>
            </w:rPr>
            <w:t>63</w:t>
          </w:r>
          <w:r w:rsidRPr="00623AE3">
            <w:rPr>
              <w:bCs/>
            </w:rPr>
            <w:t>-</w:t>
          </w:r>
          <w:r w:rsidR="009E4DDA">
            <w:rPr>
              <w:bCs/>
            </w:rPr>
            <w:t>S</w:t>
          </w:r>
          <w:r>
            <w:rPr>
              <w:bCs/>
            </w:rPr>
            <w:tab/>
          </w:r>
          <w:r>
            <w:fldChar w:fldCharType="begin"/>
          </w:r>
          <w:r>
            <w:instrText>PAGE</w:instrText>
          </w:r>
          <w:r>
            <w:fldChar w:fldCharType="separate"/>
          </w:r>
          <w:r>
            <w:rPr>
              <w:noProof/>
            </w:rPr>
            <w:t>1</w:t>
          </w:r>
          <w:r>
            <w:rPr>
              <w:noProof/>
            </w:rPr>
            <w:fldChar w:fldCharType="end"/>
          </w:r>
        </w:p>
      </w:tc>
    </w:tr>
  </w:tbl>
  <w:p w14:paraId="10856FBB" w14:textId="77777777" w:rsidR="00E0738F" w:rsidRPr="00623AE3" w:rsidRDefault="00E0738F" w:rsidP="00EE49E8">
    <w:pPr>
      <w:pStyle w:val="Header"/>
      <w:tabs>
        <w:tab w:val="left" w:pos="8080"/>
        <w:tab w:val="right" w:pos="9072"/>
      </w:tabs>
      <w:jc w:val="right"/>
      <w:rPr>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79DB5C18" w14:textId="77777777" w:rsidTr="00E31DCE">
      <w:trPr>
        <w:jc w:val="center"/>
      </w:trPr>
      <w:tc>
        <w:tcPr>
          <w:tcW w:w="1803" w:type="dxa"/>
          <w:vAlign w:val="center"/>
        </w:tcPr>
        <w:p w14:paraId="06DEECE3" w14:textId="77777777" w:rsidR="003273A4" w:rsidRDefault="003273A4" w:rsidP="003273A4">
          <w:pPr>
            <w:pStyle w:val="Header"/>
            <w:jc w:val="left"/>
            <w:rPr>
              <w:noProof/>
            </w:rPr>
          </w:pPr>
          <w:r>
            <w:rPr>
              <w:noProof/>
            </w:rPr>
            <w:t>DPS #</w:t>
          </w:r>
        </w:p>
      </w:tc>
      <w:tc>
        <w:tcPr>
          <w:tcW w:w="8261" w:type="dxa"/>
        </w:tcPr>
        <w:p w14:paraId="31328314" w14:textId="5A1082F3"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BE41AA">
            <w:rPr>
              <w:bCs/>
            </w:rPr>
            <w:t>63</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6F691002" w14:textId="77777777" w:rsidR="00760F1C" w:rsidRPr="003273A4" w:rsidRDefault="00760F1C" w:rsidP="003273A4">
    <w:pPr>
      <w:pStyle w:val="Footer"/>
      <w:rPr>
        <w:b/>
        <w:bC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4A8F164E" w14:textId="77777777" w:rsidTr="00E31DCE">
      <w:trPr>
        <w:jc w:val="center"/>
      </w:trPr>
      <w:tc>
        <w:tcPr>
          <w:tcW w:w="1803" w:type="dxa"/>
          <w:vAlign w:val="center"/>
        </w:tcPr>
        <w:p w14:paraId="00FA64BD" w14:textId="4747333A" w:rsidR="00F24B71" w:rsidRDefault="00F24B71" w:rsidP="00F24B71">
          <w:pPr>
            <w:pStyle w:val="Header"/>
            <w:jc w:val="left"/>
            <w:rPr>
              <w:noProof/>
            </w:rPr>
          </w:pPr>
          <w:r w:rsidRPr="0064481D">
            <w:rPr>
              <w:color w:val="0563C1"/>
              <w:szCs w:val="14"/>
            </w:rPr>
            <w:t>www.itu.int/council</w:t>
          </w:r>
        </w:p>
      </w:tc>
      <w:tc>
        <w:tcPr>
          <w:tcW w:w="8261" w:type="dxa"/>
        </w:tcPr>
        <w:p w14:paraId="20F74E99" w14:textId="6B47EBDB"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BE41AA">
            <w:rPr>
              <w:bCs/>
            </w:rPr>
            <w:t>63</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6E5781B1"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13CA7" w14:textId="77777777" w:rsidR="0064481D" w:rsidRDefault="0064481D">
      <w:r>
        <w:t>____________________</w:t>
      </w:r>
    </w:p>
  </w:footnote>
  <w:footnote w:type="continuationSeparator" w:id="0">
    <w:p w14:paraId="2A38DB86" w14:textId="77777777" w:rsidR="0064481D" w:rsidRDefault="00644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0738F" w:rsidRPr="00784011" w14:paraId="2583540E" w14:textId="77777777">
      <w:trPr>
        <w:trHeight w:val="1104"/>
        <w:jc w:val="center"/>
      </w:trPr>
      <w:tc>
        <w:tcPr>
          <w:tcW w:w="4390" w:type="dxa"/>
          <w:vAlign w:val="center"/>
        </w:tcPr>
        <w:p w14:paraId="1AF6A185" w14:textId="2FFF33F4" w:rsidR="00E0738F" w:rsidRPr="009621F8" w:rsidRDefault="009E4DDA" w:rsidP="00AD3606">
          <w:pPr>
            <w:pStyle w:val="Header"/>
            <w:jc w:val="left"/>
            <w:rPr>
              <w:rFonts w:ascii="Arial" w:hAnsi="Arial" w:cs="Arial"/>
              <w:b/>
              <w:bCs/>
              <w:color w:val="009CD6"/>
              <w:sz w:val="36"/>
              <w:szCs w:val="36"/>
            </w:rPr>
          </w:pPr>
          <w:r>
            <w:rPr>
              <w:noProof/>
            </w:rPr>
            <w:drawing>
              <wp:inline distT="0" distB="0" distL="0" distR="0" wp14:anchorId="6C78E33E" wp14:editId="74B2A5ED">
                <wp:extent cx="2368800" cy="558000"/>
                <wp:effectExtent l="0" t="0" r="0" b="0"/>
                <wp:docPr id="1205964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800" cy="558000"/>
                        </a:xfrm>
                        <a:prstGeom prst="rect">
                          <a:avLst/>
                        </a:prstGeom>
                        <a:noFill/>
                        <a:ln>
                          <a:noFill/>
                        </a:ln>
                      </pic:spPr>
                    </pic:pic>
                  </a:graphicData>
                </a:graphic>
              </wp:inline>
            </w:drawing>
          </w:r>
        </w:p>
      </w:tc>
      <w:tc>
        <w:tcPr>
          <w:tcW w:w="5630" w:type="dxa"/>
        </w:tcPr>
        <w:p w14:paraId="029F3C2B" w14:textId="77777777" w:rsidR="00E0738F" w:rsidRDefault="00E0738F" w:rsidP="00AD3606">
          <w:pPr>
            <w:pStyle w:val="Header"/>
            <w:jc w:val="right"/>
            <w:rPr>
              <w:rFonts w:ascii="Arial" w:hAnsi="Arial" w:cs="Arial"/>
              <w:b/>
              <w:bCs/>
              <w:color w:val="009CD6"/>
              <w:szCs w:val="18"/>
            </w:rPr>
          </w:pPr>
        </w:p>
        <w:p w14:paraId="31D3F0B9" w14:textId="77777777" w:rsidR="00E0738F" w:rsidRDefault="00E0738F" w:rsidP="00AD3606">
          <w:pPr>
            <w:pStyle w:val="Header"/>
            <w:jc w:val="right"/>
            <w:rPr>
              <w:rFonts w:ascii="Arial" w:hAnsi="Arial" w:cs="Arial"/>
              <w:b/>
              <w:bCs/>
              <w:color w:val="009CD6"/>
              <w:szCs w:val="18"/>
            </w:rPr>
          </w:pPr>
        </w:p>
        <w:p w14:paraId="2AC6BE68" w14:textId="77777777" w:rsidR="00E0738F" w:rsidRPr="00784011" w:rsidRDefault="00E0738F"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3A3C605F" w14:textId="77777777" w:rsidR="00E0738F" w:rsidRDefault="00E0738F">
    <w:pPr>
      <w:pStyle w:val="Header"/>
    </w:pPr>
    <w:r w:rsidRPr="00802C2C">
      <w:rPr>
        <w:rFonts w:ascii="Avenir Nxt2 W1G Medium" w:eastAsia="Avenir Nxt2 W1G Medium" w:hAnsi="Avenir Nxt2 W1G Medium" w:cs="Avenir Nxt2 W1G Medium"/>
        <w:noProof/>
        <w:lang w:val="es-ES" w:eastAsia="es-ES"/>
      </w:rPr>
      <mc:AlternateContent>
        <mc:Choice Requires="wps">
          <w:drawing>
            <wp:anchor distT="0" distB="0" distL="114300" distR="114300" simplePos="0" relativeHeight="251661312" behindDoc="0" locked="0" layoutInCell="1" allowOverlap="1" wp14:anchorId="7B026209" wp14:editId="2577E816">
              <wp:simplePos x="0" y="0"/>
              <wp:positionH relativeFrom="page">
                <wp:posOffset>13030</wp:posOffset>
              </wp:positionH>
              <wp:positionV relativeFrom="topMargin">
                <wp:posOffset>645160</wp:posOffset>
              </wp:positionV>
              <wp:extent cx="92075" cy="360680"/>
              <wp:effectExtent l="0" t="0" r="3175"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16D4D" id="Rectangle 1" o:spid="_x0000_s1026" style="position:absolute;margin-left:1.05pt;margin-top:50.8pt;width:7.25pt;height:28.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D6472"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B578359" wp14:editId="4756C778">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7754A"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8375A2"/>
    <w:multiLevelType w:val="hybridMultilevel"/>
    <w:tmpl w:val="361C5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115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1D"/>
    <w:rsid w:val="000007D1"/>
    <w:rsid w:val="00012013"/>
    <w:rsid w:val="000571DC"/>
    <w:rsid w:val="00093EEB"/>
    <w:rsid w:val="000B0D00"/>
    <w:rsid w:val="000B7C15"/>
    <w:rsid w:val="000D1D0F"/>
    <w:rsid w:val="000F5290"/>
    <w:rsid w:val="0010165C"/>
    <w:rsid w:val="001277CF"/>
    <w:rsid w:val="00146BFB"/>
    <w:rsid w:val="001559F5"/>
    <w:rsid w:val="001F14A2"/>
    <w:rsid w:val="00226A90"/>
    <w:rsid w:val="002801AA"/>
    <w:rsid w:val="002C4676"/>
    <w:rsid w:val="002C70B0"/>
    <w:rsid w:val="002F3CC4"/>
    <w:rsid w:val="002F7BA0"/>
    <w:rsid w:val="003273A4"/>
    <w:rsid w:val="0036778D"/>
    <w:rsid w:val="00414A82"/>
    <w:rsid w:val="00473962"/>
    <w:rsid w:val="004B5D49"/>
    <w:rsid w:val="004B7E86"/>
    <w:rsid w:val="004C7105"/>
    <w:rsid w:val="00513630"/>
    <w:rsid w:val="00560125"/>
    <w:rsid w:val="00585553"/>
    <w:rsid w:val="005976FC"/>
    <w:rsid w:val="005B34D9"/>
    <w:rsid w:val="005D0CCF"/>
    <w:rsid w:val="005F3BCB"/>
    <w:rsid w:val="005F410F"/>
    <w:rsid w:val="0060149A"/>
    <w:rsid w:val="00601924"/>
    <w:rsid w:val="006232B0"/>
    <w:rsid w:val="006447EA"/>
    <w:rsid w:val="0064481D"/>
    <w:rsid w:val="0064731F"/>
    <w:rsid w:val="0065312F"/>
    <w:rsid w:val="00664572"/>
    <w:rsid w:val="006710F6"/>
    <w:rsid w:val="00673890"/>
    <w:rsid w:val="00677A97"/>
    <w:rsid w:val="006C1B56"/>
    <w:rsid w:val="006D4761"/>
    <w:rsid w:val="00726872"/>
    <w:rsid w:val="00760F1C"/>
    <w:rsid w:val="007657F0"/>
    <w:rsid w:val="0077252D"/>
    <w:rsid w:val="007955DA"/>
    <w:rsid w:val="007E5DD3"/>
    <w:rsid w:val="007F350B"/>
    <w:rsid w:val="007F4E62"/>
    <w:rsid w:val="00820BE4"/>
    <w:rsid w:val="008451E8"/>
    <w:rsid w:val="0091318C"/>
    <w:rsid w:val="00913B9C"/>
    <w:rsid w:val="00916078"/>
    <w:rsid w:val="00927F93"/>
    <w:rsid w:val="00956E77"/>
    <w:rsid w:val="00990E71"/>
    <w:rsid w:val="00995AF6"/>
    <w:rsid w:val="009E4DDA"/>
    <w:rsid w:val="009F4811"/>
    <w:rsid w:val="00A024E4"/>
    <w:rsid w:val="00A511C0"/>
    <w:rsid w:val="00AA390C"/>
    <w:rsid w:val="00B0200A"/>
    <w:rsid w:val="00B2676A"/>
    <w:rsid w:val="00B357FC"/>
    <w:rsid w:val="00B574DB"/>
    <w:rsid w:val="00B826C2"/>
    <w:rsid w:val="00B8298E"/>
    <w:rsid w:val="00B82F91"/>
    <w:rsid w:val="00BD0723"/>
    <w:rsid w:val="00BD2518"/>
    <w:rsid w:val="00BE41AA"/>
    <w:rsid w:val="00BF1D1C"/>
    <w:rsid w:val="00C20C59"/>
    <w:rsid w:val="00C2727F"/>
    <w:rsid w:val="00C538FC"/>
    <w:rsid w:val="00C55B1F"/>
    <w:rsid w:val="00CB421D"/>
    <w:rsid w:val="00CF1A67"/>
    <w:rsid w:val="00D2750E"/>
    <w:rsid w:val="00D45093"/>
    <w:rsid w:val="00D50A36"/>
    <w:rsid w:val="00D62446"/>
    <w:rsid w:val="00DA4EA2"/>
    <w:rsid w:val="00DC3D3E"/>
    <w:rsid w:val="00DE2C90"/>
    <w:rsid w:val="00DE3B24"/>
    <w:rsid w:val="00DF2E3A"/>
    <w:rsid w:val="00E06947"/>
    <w:rsid w:val="00E0738F"/>
    <w:rsid w:val="00E34072"/>
    <w:rsid w:val="00E3592D"/>
    <w:rsid w:val="00E50D76"/>
    <w:rsid w:val="00E92DE8"/>
    <w:rsid w:val="00EB1212"/>
    <w:rsid w:val="00EB1F68"/>
    <w:rsid w:val="00EB3BA7"/>
    <w:rsid w:val="00ED65AB"/>
    <w:rsid w:val="00F12850"/>
    <w:rsid w:val="00F24B71"/>
    <w:rsid w:val="00F33BF4"/>
    <w:rsid w:val="00F7105E"/>
    <w:rsid w:val="00F75F57"/>
    <w:rsid w:val="00F82FEE"/>
    <w:rsid w:val="00FA4306"/>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11FC"/>
  <w15:docId w15:val="{19AABEA5-5120-4023-B43A-3E68776C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4-CWGFHR17-C-0024/es"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s://www.itu.int/md/R23-WRC23-C-0460/es" TargetMode="External"/><Relationship Id="rId12" Type="http://schemas.openxmlformats.org/officeDocument/2006/relationships/hyperlink" Target="https://www.itu.int/md/R00-CA-CIR-0270/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24-CL-INF-0002/e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itu.int/md/R23-WRC23-C-0460/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tu.int/md/S24-CWGFHR17-C-0024/e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302</TotalTime>
  <Pages>13</Pages>
  <Words>3376</Words>
  <Characters>17669</Characters>
  <Application>Microsoft Office Word</Application>
  <DocSecurity>0</DocSecurity>
  <Lines>147</Lines>
  <Paragraphs>42</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21003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2024 de la UIT</dc:subject>
  <dc:creator>Brouard, Ricarda</dc:creator>
  <cp:keywords>C2024, C24, Council-24</cp:keywords>
  <dc:description/>
  <cp:lastModifiedBy>Spanish</cp:lastModifiedBy>
  <cp:revision>14</cp:revision>
  <cp:lastPrinted>2006-03-24T09:51:00Z</cp:lastPrinted>
  <dcterms:created xsi:type="dcterms:W3CDTF">2024-04-23T08:50:00Z</dcterms:created>
  <dcterms:modified xsi:type="dcterms:W3CDTF">2024-04-23T14:39:00Z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