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796308" w14:paraId="16C8DD02" w14:textId="77777777" w:rsidTr="00C538FC">
        <w:trPr>
          <w:cantSplit/>
          <w:trHeight w:val="23"/>
        </w:trPr>
        <w:tc>
          <w:tcPr>
            <w:tcW w:w="3969" w:type="dxa"/>
            <w:vMerge w:val="restart"/>
            <w:tcMar>
              <w:left w:w="0" w:type="dxa"/>
            </w:tcMar>
          </w:tcPr>
          <w:p w14:paraId="380780FF" w14:textId="5D2A23F7" w:rsidR="00FE57F6" w:rsidRPr="00796308" w:rsidRDefault="00D43B85" w:rsidP="00D43B85">
            <w:pPr>
              <w:tabs>
                <w:tab w:val="left" w:pos="851"/>
              </w:tabs>
              <w:spacing w:before="0" w:line="240" w:lineRule="atLeast"/>
              <w:rPr>
                <w:b/>
              </w:rPr>
            </w:pPr>
            <w:bookmarkStart w:id="0" w:name="_Hlk133421839"/>
            <w:r w:rsidRPr="00796308">
              <w:rPr>
                <w:b/>
              </w:rPr>
              <w:t xml:space="preserve">Punto del orden del día: </w:t>
            </w:r>
            <w:r w:rsidR="00E9567E" w:rsidRPr="00796308">
              <w:rPr>
                <w:b/>
              </w:rPr>
              <w:t>PL 3</w:t>
            </w:r>
          </w:p>
        </w:tc>
        <w:tc>
          <w:tcPr>
            <w:tcW w:w="5245" w:type="dxa"/>
          </w:tcPr>
          <w:p w14:paraId="12EC8577" w14:textId="1D35D14A" w:rsidR="00FE57F6" w:rsidRPr="00796308" w:rsidRDefault="00FE57F6" w:rsidP="00C538FC">
            <w:pPr>
              <w:tabs>
                <w:tab w:val="left" w:pos="851"/>
              </w:tabs>
              <w:spacing w:before="0" w:line="240" w:lineRule="atLeast"/>
              <w:jc w:val="right"/>
              <w:rPr>
                <w:b/>
              </w:rPr>
            </w:pPr>
            <w:r w:rsidRPr="00796308">
              <w:rPr>
                <w:b/>
              </w:rPr>
              <w:t>Document</w:t>
            </w:r>
            <w:r w:rsidR="00F24B71" w:rsidRPr="00796308">
              <w:rPr>
                <w:b/>
              </w:rPr>
              <w:t>o</w:t>
            </w:r>
            <w:r w:rsidRPr="00796308">
              <w:rPr>
                <w:b/>
              </w:rPr>
              <w:t xml:space="preserve"> C2</w:t>
            </w:r>
            <w:r w:rsidR="0064481D" w:rsidRPr="00796308">
              <w:rPr>
                <w:b/>
              </w:rPr>
              <w:t>4</w:t>
            </w:r>
            <w:r w:rsidRPr="00796308">
              <w:rPr>
                <w:b/>
              </w:rPr>
              <w:t>/</w:t>
            </w:r>
            <w:r w:rsidR="00E9567E" w:rsidRPr="00796308">
              <w:rPr>
                <w:b/>
              </w:rPr>
              <w:t>65</w:t>
            </w:r>
            <w:r w:rsidRPr="00796308">
              <w:rPr>
                <w:b/>
              </w:rPr>
              <w:t>-</w:t>
            </w:r>
            <w:r w:rsidR="00F24B71" w:rsidRPr="00796308">
              <w:rPr>
                <w:b/>
              </w:rPr>
              <w:t>S</w:t>
            </w:r>
          </w:p>
        </w:tc>
      </w:tr>
      <w:tr w:rsidR="00FE57F6" w:rsidRPr="00796308" w14:paraId="2F7BAD0F" w14:textId="77777777" w:rsidTr="00C538FC">
        <w:trPr>
          <w:cantSplit/>
        </w:trPr>
        <w:tc>
          <w:tcPr>
            <w:tcW w:w="3969" w:type="dxa"/>
            <w:vMerge/>
          </w:tcPr>
          <w:p w14:paraId="32D340BD" w14:textId="77777777" w:rsidR="00FE57F6" w:rsidRPr="00796308" w:rsidRDefault="00FE57F6" w:rsidP="00C538FC">
            <w:pPr>
              <w:tabs>
                <w:tab w:val="left" w:pos="851"/>
              </w:tabs>
              <w:spacing w:line="240" w:lineRule="atLeast"/>
              <w:rPr>
                <w:b/>
              </w:rPr>
            </w:pPr>
          </w:p>
        </w:tc>
        <w:tc>
          <w:tcPr>
            <w:tcW w:w="5245" w:type="dxa"/>
          </w:tcPr>
          <w:p w14:paraId="6D67502D" w14:textId="3D68FF50" w:rsidR="00FE57F6" w:rsidRPr="00796308" w:rsidRDefault="00E9567E" w:rsidP="00C538FC">
            <w:pPr>
              <w:tabs>
                <w:tab w:val="left" w:pos="851"/>
              </w:tabs>
              <w:spacing w:before="0"/>
              <w:jc w:val="right"/>
              <w:rPr>
                <w:b/>
              </w:rPr>
            </w:pPr>
            <w:r w:rsidRPr="00796308">
              <w:rPr>
                <w:b/>
              </w:rPr>
              <w:t>5 de mayo de</w:t>
            </w:r>
            <w:r w:rsidR="00FE57F6" w:rsidRPr="00796308">
              <w:rPr>
                <w:b/>
              </w:rPr>
              <w:t xml:space="preserve"> 202</w:t>
            </w:r>
            <w:r w:rsidR="0064481D" w:rsidRPr="00796308">
              <w:rPr>
                <w:b/>
              </w:rPr>
              <w:t>4</w:t>
            </w:r>
          </w:p>
        </w:tc>
      </w:tr>
      <w:tr w:rsidR="00FE57F6" w:rsidRPr="00796308" w14:paraId="14ED61B8" w14:textId="77777777" w:rsidTr="00C538FC">
        <w:trPr>
          <w:cantSplit/>
          <w:trHeight w:val="23"/>
        </w:trPr>
        <w:tc>
          <w:tcPr>
            <w:tcW w:w="3969" w:type="dxa"/>
            <w:vMerge/>
          </w:tcPr>
          <w:p w14:paraId="36AAE2B4" w14:textId="77777777" w:rsidR="00FE57F6" w:rsidRPr="00796308" w:rsidRDefault="00FE57F6" w:rsidP="00C538FC">
            <w:pPr>
              <w:tabs>
                <w:tab w:val="left" w:pos="851"/>
              </w:tabs>
              <w:spacing w:line="240" w:lineRule="atLeast"/>
              <w:rPr>
                <w:b/>
              </w:rPr>
            </w:pPr>
          </w:p>
        </w:tc>
        <w:tc>
          <w:tcPr>
            <w:tcW w:w="5245" w:type="dxa"/>
          </w:tcPr>
          <w:p w14:paraId="54C7ED74" w14:textId="77777777" w:rsidR="00FE57F6" w:rsidRPr="00796308" w:rsidRDefault="00F24B71" w:rsidP="00C538FC">
            <w:pPr>
              <w:tabs>
                <w:tab w:val="left" w:pos="851"/>
              </w:tabs>
              <w:spacing w:before="0" w:line="240" w:lineRule="atLeast"/>
              <w:jc w:val="right"/>
              <w:rPr>
                <w:b/>
                <w:bCs/>
              </w:rPr>
            </w:pPr>
            <w:r w:rsidRPr="00796308">
              <w:rPr>
                <w:rFonts w:cstheme="minorHAnsi"/>
                <w:b/>
                <w:bCs/>
              </w:rPr>
              <w:t>Original: inglés</w:t>
            </w:r>
          </w:p>
        </w:tc>
      </w:tr>
      <w:tr w:rsidR="00FE57F6" w:rsidRPr="00796308" w14:paraId="28C23F0D" w14:textId="77777777" w:rsidTr="00C538FC">
        <w:trPr>
          <w:cantSplit/>
          <w:trHeight w:val="23"/>
        </w:trPr>
        <w:tc>
          <w:tcPr>
            <w:tcW w:w="3969" w:type="dxa"/>
          </w:tcPr>
          <w:p w14:paraId="71CA9CDE" w14:textId="77777777" w:rsidR="00FE57F6" w:rsidRPr="00796308" w:rsidRDefault="00FE57F6" w:rsidP="00C538FC">
            <w:pPr>
              <w:tabs>
                <w:tab w:val="left" w:pos="851"/>
              </w:tabs>
              <w:spacing w:line="240" w:lineRule="atLeast"/>
              <w:rPr>
                <w:b/>
              </w:rPr>
            </w:pPr>
          </w:p>
        </w:tc>
        <w:tc>
          <w:tcPr>
            <w:tcW w:w="5245" w:type="dxa"/>
          </w:tcPr>
          <w:p w14:paraId="04F0E65D" w14:textId="77777777" w:rsidR="00FE57F6" w:rsidRPr="00796308" w:rsidRDefault="00FE57F6" w:rsidP="00C538FC">
            <w:pPr>
              <w:tabs>
                <w:tab w:val="left" w:pos="851"/>
              </w:tabs>
              <w:spacing w:before="0" w:line="240" w:lineRule="atLeast"/>
              <w:jc w:val="right"/>
              <w:rPr>
                <w:b/>
              </w:rPr>
            </w:pPr>
          </w:p>
        </w:tc>
      </w:tr>
      <w:tr w:rsidR="00FE57F6" w:rsidRPr="00796308" w14:paraId="0744CD5D" w14:textId="77777777" w:rsidTr="00C538FC">
        <w:trPr>
          <w:cantSplit/>
        </w:trPr>
        <w:tc>
          <w:tcPr>
            <w:tcW w:w="9214" w:type="dxa"/>
            <w:gridSpan w:val="2"/>
            <w:tcMar>
              <w:left w:w="0" w:type="dxa"/>
            </w:tcMar>
          </w:tcPr>
          <w:p w14:paraId="3EF99137" w14:textId="77777777" w:rsidR="00FE57F6" w:rsidRPr="00796308" w:rsidRDefault="00F24B71" w:rsidP="00C538FC">
            <w:pPr>
              <w:pStyle w:val="Source"/>
              <w:jc w:val="left"/>
              <w:rPr>
                <w:sz w:val="34"/>
                <w:szCs w:val="34"/>
              </w:rPr>
            </w:pPr>
            <w:r w:rsidRPr="00796308">
              <w:rPr>
                <w:rFonts w:cstheme="minorHAnsi"/>
                <w:sz w:val="34"/>
                <w:szCs w:val="34"/>
              </w:rPr>
              <w:t>Informe de</w:t>
            </w:r>
            <w:r w:rsidR="004B5D49" w:rsidRPr="00796308">
              <w:rPr>
                <w:rFonts w:cstheme="minorHAnsi"/>
                <w:sz w:val="34"/>
                <w:szCs w:val="34"/>
              </w:rPr>
              <w:t xml:space="preserve"> </w:t>
            </w:r>
            <w:r w:rsidRPr="00796308">
              <w:rPr>
                <w:rFonts w:cstheme="minorHAnsi"/>
                <w:sz w:val="34"/>
                <w:szCs w:val="34"/>
              </w:rPr>
              <w:t>l</w:t>
            </w:r>
            <w:r w:rsidR="004B5D49" w:rsidRPr="00796308">
              <w:rPr>
                <w:rFonts w:cstheme="minorHAnsi"/>
                <w:sz w:val="34"/>
                <w:szCs w:val="34"/>
              </w:rPr>
              <w:t>a</w:t>
            </w:r>
            <w:r w:rsidRPr="00796308">
              <w:rPr>
                <w:rFonts w:cstheme="minorHAnsi"/>
                <w:sz w:val="34"/>
                <w:szCs w:val="34"/>
              </w:rPr>
              <w:t xml:space="preserve"> Secretari</w:t>
            </w:r>
            <w:r w:rsidR="004B5D49" w:rsidRPr="00796308">
              <w:rPr>
                <w:rFonts w:cstheme="minorHAnsi"/>
                <w:sz w:val="34"/>
                <w:szCs w:val="34"/>
              </w:rPr>
              <w:t>a</w:t>
            </w:r>
            <w:r w:rsidRPr="00796308">
              <w:rPr>
                <w:rFonts w:cstheme="minorHAnsi"/>
                <w:sz w:val="34"/>
                <w:szCs w:val="34"/>
              </w:rPr>
              <w:t xml:space="preserve"> General</w:t>
            </w:r>
          </w:p>
        </w:tc>
      </w:tr>
      <w:tr w:rsidR="00E9567E" w:rsidRPr="00796308" w14:paraId="5E2B474A" w14:textId="77777777" w:rsidTr="00C538FC">
        <w:trPr>
          <w:cantSplit/>
        </w:trPr>
        <w:tc>
          <w:tcPr>
            <w:tcW w:w="9214" w:type="dxa"/>
            <w:gridSpan w:val="2"/>
            <w:tcMar>
              <w:left w:w="0" w:type="dxa"/>
            </w:tcMar>
          </w:tcPr>
          <w:p w14:paraId="75872F37" w14:textId="133882FD" w:rsidR="00E9567E" w:rsidRPr="00796308" w:rsidRDefault="00E9567E" w:rsidP="00E9567E">
            <w:pPr>
              <w:pStyle w:val="Subtitle"/>
              <w:framePr w:hSpace="0" w:wrap="auto" w:hAnchor="text" w:xAlign="left" w:yAlign="inline"/>
              <w:rPr>
                <w:lang w:val="es-ES_tradnl"/>
              </w:rPr>
            </w:pPr>
            <w:r w:rsidRPr="00796308">
              <w:rPr>
                <w:lang w:val="es-ES_tradnl"/>
              </w:rPr>
              <w:t xml:space="preserve">CONCLUSIONES DE LA TERCERA REUNIÓN DEL GANT SOBRE LA UTILIZACIÓN DEL TÉRMINO </w:t>
            </w:r>
            <w:r w:rsidRPr="00796308">
              <w:rPr>
                <w:lang w:val="es-ES_tradnl"/>
              </w:rPr>
              <w:t>"</w:t>
            </w:r>
            <w:r w:rsidRPr="00796308">
              <w:rPr>
                <w:lang w:val="es-ES_tradnl"/>
              </w:rPr>
              <w:t>CHAIR</w:t>
            </w:r>
            <w:r w:rsidRPr="00796308">
              <w:rPr>
                <w:lang w:val="es-ES_tradnl"/>
              </w:rPr>
              <w:t>"</w:t>
            </w:r>
            <w:r w:rsidRPr="00796308">
              <w:rPr>
                <w:lang w:val="es-ES_tradnl"/>
              </w:rPr>
              <w:t xml:space="preserve"> EN LUGAR DE </w:t>
            </w:r>
            <w:r w:rsidRPr="00796308">
              <w:rPr>
                <w:lang w:val="es-ES_tradnl"/>
              </w:rPr>
              <w:t>"</w:t>
            </w:r>
            <w:r w:rsidRPr="00796308">
              <w:rPr>
                <w:lang w:val="es-ES_tradnl"/>
              </w:rPr>
              <w:t>CHAIRMAN</w:t>
            </w:r>
            <w:r w:rsidRPr="00796308">
              <w:rPr>
                <w:lang w:val="es-ES_tradnl"/>
              </w:rPr>
              <w:t>"</w:t>
            </w:r>
            <w:r w:rsidRPr="00796308">
              <w:rPr>
                <w:lang w:val="es-ES_tradnl"/>
              </w:rPr>
              <w:t xml:space="preserve"> EN LAS RECOMENDACIONES DEL UIT-T</w:t>
            </w:r>
          </w:p>
        </w:tc>
      </w:tr>
      <w:tr w:rsidR="00E9567E" w:rsidRPr="00796308"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77777777" w:rsidR="00E9567E" w:rsidRPr="00796308" w:rsidRDefault="00E9567E" w:rsidP="00E9567E">
            <w:pPr>
              <w:spacing w:before="160"/>
              <w:rPr>
                <w:b/>
                <w:bCs/>
                <w:sz w:val="26"/>
                <w:szCs w:val="26"/>
              </w:rPr>
            </w:pPr>
            <w:r w:rsidRPr="00796308">
              <w:rPr>
                <w:b/>
                <w:bCs/>
                <w:sz w:val="26"/>
                <w:szCs w:val="26"/>
              </w:rPr>
              <w:t>Finalidad (Objetivo)</w:t>
            </w:r>
          </w:p>
          <w:p w14:paraId="0AC6A2D5" w14:textId="1CA879F6" w:rsidR="00E9567E" w:rsidRPr="00796308" w:rsidRDefault="00E9567E" w:rsidP="00796308">
            <w:r w:rsidRPr="00796308">
              <w:t xml:space="preserve">A través del presente documento se informa al Consejo de los resultados de la tercera reunión del Grupo Asesor de Normalización de las Telecomunicaciones (GANT), celebrada del 22 al 26 de enero, y, en concreto, de su decisión de aconsejar al Director de la Oficina de Normalización de las Telecomunicaciones (TSB) que solicite instrucciones al Consejo sobre la utilización del término </w:t>
            </w:r>
            <w:r w:rsidRPr="00796308">
              <w:t>"</w:t>
            </w:r>
            <w:r w:rsidRPr="00796308">
              <w:t>chair</w:t>
            </w:r>
            <w:r w:rsidRPr="00796308">
              <w:t>"</w:t>
            </w:r>
            <w:r w:rsidRPr="00796308">
              <w:t xml:space="preserve"> en lugar de </w:t>
            </w:r>
            <w:r w:rsidRPr="00796308">
              <w:t>"</w:t>
            </w:r>
            <w:r w:rsidRPr="00796308">
              <w:t>chairman</w:t>
            </w:r>
            <w:r w:rsidRPr="00796308">
              <w:t>"</w:t>
            </w:r>
            <w:r w:rsidRPr="00796308">
              <w:t xml:space="preserve"> en la versión en inglés de las Recomendaciones UIT-T nuevas o revisadas.</w:t>
            </w:r>
          </w:p>
          <w:p w14:paraId="5D1C98A4" w14:textId="77777777" w:rsidR="00E9567E" w:rsidRPr="00796308" w:rsidRDefault="00E9567E" w:rsidP="00E9567E">
            <w:pPr>
              <w:spacing w:before="160"/>
              <w:rPr>
                <w:b/>
                <w:bCs/>
                <w:sz w:val="26"/>
                <w:szCs w:val="26"/>
              </w:rPr>
            </w:pPr>
            <w:r w:rsidRPr="00796308">
              <w:rPr>
                <w:b/>
                <w:bCs/>
                <w:sz w:val="26"/>
                <w:szCs w:val="26"/>
              </w:rPr>
              <w:t>Acción solicitada al Consejo</w:t>
            </w:r>
          </w:p>
          <w:p w14:paraId="50C61987" w14:textId="19D35A76" w:rsidR="00E9567E" w:rsidRPr="00796308" w:rsidRDefault="00E9567E" w:rsidP="00796308">
            <w:pPr>
              <w:rPr>
                <w:rFonts w:cs="Calibri"/>
                <w:szCs w:val="24"/>
                <w:lang w:eastAsia="zh-CN"/>
              </w:rPr>
            </w:pPr>
            <w:r w:rsidRPr="00796308">
              <w:rPr>
                <w:rFonts w:cs="Calibri"/>
                <w:szCs w:val="24"/>
                <w:lang w:eastAsia="zh-CN"/>
              </w:rPr>
              <w:t xml:space="preserve">Se invita al Consejo a </w:t>
            </w:r>
            <w:r w:rsidRPr="00796308">
              <w:rPr>
                <w:rFonts w:cs="Calibri"/>
                <w:b/>
                <w:bCs/>
                <w:szCs w:val="24"/>
                <w:lang w:eastAsia="zh-CN"/>
              </w:rPr>
              <w:t xml:space="preserve">dar instrucciones </w:t>
            </w:r>
            <w:r w:rsidRPr="00796308">
              <w:rPr>
                <w:rFonts w:cs="Calibri"/>
                <w:szCs w:val="24"/>
                <w:lang w:eastAsia="zh-CN"/>
              </w:rPr>
              <w:t xml:space="preserve">al Director de la TSB </w:t>
            </w:r>
            <w:r w:rsidRPr="00796308">
              <w:t xml:space="preserve">sobre la utilización del término </w:t>
            </w:r>
            <w:r w:rsidRPr="00796308">
              <w:t>"</w:t>
            </w:r>
            <w:r w:rsidRPr="00796308">
              <w:t>chair</w:t>
            </w:r>
            <w:r w:rsidRPr="00796308">
              <w:t>"</w:t>
            </w:r>
            <w:r w:rsidRPr="00796308">
              <w:t xml:space="preserve"> en lugar de </w:t>
            </w:r>
            <w:r w:rsidRPr="00796308">
              <w:t>"</w:t>
            </w:r>
            <w:r w:rsidRPr="00796308">
              <w:t>chairman</w:t>
            </w:r>
            <w:r w:rsidRPr="00796308">
              <w:t>"</w:t>
            </w:r>
            <w:r w:rsidRPr="00796308">
              <w:t xml:space="preserve"> en la versión en inglés de las Recomendaciones UIT-T nuevas o revisadas</w:t>
            </w:r>
            <w:r w:rsidRPr="00796308">
              <w:rPr>
                <w:szCs w:val="24"/>
              </w:rPr>
              <w:t>.</w:t>
            </w:r>
          </w:p>
          <w:p w14:paraId="29ECF93D" w14:textId="77777777" w:rsidR="00E9567E" w:rsidRPr="00796308" w:rsidRDefault="00E9567E" w:rsidP="00E9567E">
            <w:pPr>
              <w:spacing w:before="160"/>
              <w:rPr>
                <w:b/>
                <w:bCs/>
                <w:sz w:val="26"/>
                <w:szCs w:val="26"/>
              </w:rPr>
            </w:pPr>
            <w:r w:rsidRPr="00796308">
              <w:rPr>
                <w:b/>
                <w:bCs/>
                <w:sz w:val="26"/>
                <w:szCs w:val="26"/>
              </w:rPr>
              <w:t>Vínculos pertinentes con el Plan Estratégico</w:t>
            </w:r>
          </w:p>
          <w:p w14:paraId="4D5B98E6" w14:textId="77777777" w:rsidR="00E9567E" w:rsidRPr="00796308" w:rsidRDefault="00E9567E" w:rsidP="00E9567E">
            <w:pPr>
              <w:spacing w:before="160"/>
              <w:jc w:val="both"/>
            </w:pPr>
            <w:r w:rsidRPr="00796308">
              <w:t>N/A</w:t>
            </w:r>
          </w:p>
          <w:p w14:paraId="086B6CFB" w14:textId="0F40B320" w:rsidR="00E9567E" w:rsidRPr="00796308" w:rsidRDefault="00E9567E" w:rsidP="00E9567E">
            <w:pPr>
              <w:spacing w:before="160"/>
              <w:rPr>
                <w:b/>
                <w:bCs/>
                <w:sz w:val="26"/>
                <w:szCs w:val="26"/>
              </w:rPr>
            </w:pPr>
            <w:r w:rsidRPr="00796308">
              <w:rPr>
                <w:b/>
                <w:bCs/>
                <w:sz w:val="26"/>
                <w:szCs w:val="26"/>
              </w:rPr>
              <w:t>Repercusiones financieras</w:t>
            </w:r>
          </w:p>
          <w:p w14:paraId="35CFD5A7" w14:textId="77777777" w:rsidR="00E9567E" w:rsidRPr="00796308" w:rsidRDefault="00E9567E" w:rsidP="00E9567E">
            <w:pPr>
              <w:jc w:val="both"/>
            </w:pPr>
            <w:r w:rsidRPr="00796308">
              <w:t>Con cargo al presupuesto asignado para 2024-2025.</w:t>
            </w:r>
          </w:p>
          <w:p w14:paraId="5948AA98" w14:textId="77777777" w:rsidR="00E9567E" w:rsidRPr="00796308" w:rsidRDefault="00E9567E" w:rsidP="00E9567E">
            <w:pPr>
              <w:spacing w:before="160"/>
              <w:rPr>
                <w:caps/>
                <w:sz w:val="22"/>
              </w:rPr>
            </w:pPr>
            <w:r w:rsidRPr="00796308">
              <w:rPr>
                <w:sz w:val="22"/>
              </w:rPr>
              <w:t>__________________</w:t>
            </w:r>
          </w:p>
          <w:p w14:paraId="53C56EAC" w14:textId="3200C57E" w:rsidR="00E9567E" w:rsidRPr="00796308" w:rsidRDefault="00E9567E" w:rsidP="00E9567E">
            <w:pPr>
              <w:spacing w:before="160"/>
              <w:rPr>
                <w:b/>
                <w:bCs/>
                <w:sz w:val="26"/>
                <w:szCs w:val="26"/>
              </w:rPr>
            </w:pPr>
            <w:r w:rsidRPr="00796308">
              <w:rPr>
                <w:b/>
                <w:bCs/>
                <w:sz w:val="26"/>
                <w:szCs w:val="26"/>
              </w:rPr>
              <w:t>Referencias</w:t>
            </w:r>
          </w:p>
          <w:p w14:paraId="58339413" w14:textId="0A1B1C99" w:rsidR="00E9567E" w:rsidRPr="00796308" w:rsidRDefault="00E9567E" w:rsidP="00E9567E">
            <w:pPr>
              <w:spacing w:after="160"/>
            </w:pPr>
            <w:r w:rsidRPr="00796308">
              <w:rPr>
                <w:i/>
                <w:iCs/>
                <w:sz w:val="22"/>
                <w:szCs w:val="22"/>
              </w:rPr>
              <w:t xml:space="preserve">Informe de la tercera reunión del Grupo Asesor de Normalización de las Telecomunicaciones </w:t>
            </w:r>
            <w:r w:rsidRPr="00796308">
              <w:rPr>
                <w:i/>
                <w:iCs/>
                <w:sz w:val="22"/>
                <w:szCs w:val="22"/>
              </w:rPr>
              <w:br/>
              <w:t xml:space="preserve">(Ginebra, 22-26 de enero de 2024): </w:t>
            </w:r>
            <w:hyperlink r:id="rId6" w:history="1">
              <w:r w:rsidRPr="00796308">
                <w:rPr>
                  <w:rStyle w:val="Hyperlink"/>
                  <w:i/>
                  <w:iCs/>
                  <w:sz w:val="22"/>
                  <w:szCs w:val="22"/>
                </w:rPr>
                <w:t>Informe 4 del GANT del UIT-T</w:t>
              </w:r>
            </w:hyperlink>
            <w:r w:rsidRPr="00796308">
              <w:t xml:space="preserve">; </w:t>
            </w:r>
            <w:r w:rsidRPr="00796308">
              <w:rPr>
                <w:i/>
                <w:iCs/>
                <w:sz w:val="22"/>
                <w:szCs w:val="22"/>
              </w:rPr>
              <w:t xml:space="preserve">Decisión adoptada por el Consejo en 2023 a efectos de la derogación del Acuerdo 500 (Documento </w:t>
            </w:r>
            <w:hyperlink r:id="rId7" w:history="1">
              <w:r w:rsidRPr="00796308">
                <w:rPr>
                  <w:rStyle w:val="Hyperlink"/>
                  <w:i/>
                  <w:iCs/>
                  <w:sz w:val="22"/>
                  <w:szCs w:val="22"/>
                </w:rPr>
                <w:t>C23/112</w:t>
              </w:r>
            </w:hyperlink>
            <w:r w:rsidRPr="00796308">
              <w:rPr>
                <w:i/>
                <w:iCs/>
                <w:sz w:val="22"/>
                <w:szCs w:val="22"/>
              </w:rPr>
              <w:t>)</w:t>
            </w:r>
          </w:p>
        </w:tc>
      </w:tr>
      <w:bookmarkEnd w:id="0"/>
    </w:tbl>
    <w:p w14:paraId="06FD7253" w14:textId="77777777" w:rsidR="00093EEB" w:rsidRPr="00796308" w:rsidRDefault="00093EEB"/>
    <w:p w14:paraId="44179D23" w14:textId="77777777" w:rsidR="001559F5" w:rsidRPr="00796308" w:rsidRDefault="001559F5">
      <w:pPr>
        <w:tabs>
          <w:tab w:val="clear" w:pos="567"/>
          <w:tab w:val="clear" w:pos="1134"/>
          <w:tab w:val="clear" w:pos="1701"/>
          <w:tab w:val="clear" w:pos="2268"/>
          <w:tab w:val="clear" w:pos="2835"/>
        </w:tabs>
        <w:overflowPunct/>
        <w:autoSpaceDE/>
        <w:autoSpaceDN/>
        <w:adjustRightInd/>
        <w:spacing w:before="0"/>
        <w:textAlignment w:val="auto"/>
      </w:pPr>
      <w:r w:rsidRPr="00796308">
        <w:br w:type="page"/>
      </w:r>
    </w:p>
    <w:p w14:paraId="46AB6465" w14:textId="4F121E72" w:rsidR="00E9567E" w:rsidRPr="00796308" w:rsidRDefault="00E9567E" w:rsidP="00796308">
      <w:pPr>
        <w:pStyle w:val="Headingb"/>
      </w:pPr>
      <w:r w:rsidRPr="00796308">
        <w:rPr>
          <w:spacing w:val="-2"/>
        </w:rPr>
        <w:lastRenderedPageBreak/>
        <w:t xml:space="preserve">Extracto del informe de la tercera reunión del </w:t>
      </w:r>
      <w:r w:rsidRPr="00796308">
        <w:t xml:space="preserve">Grupo Asesor de </w:t>
      </w:r>
      <w:r w:rsidRPr="00796308">
        <w:rPr>
          <w:spacing w:val="-2"/>
        </w:rPr>
        <w:t xml:space="preserve">Normalización de las Telecomunicaciones </w:t>
      </w:r>
      <w:r w:rsidRPr="00796308">
        <w:t>(</w:t>
      </w:r>
      <w:hyperlink r:id="rId8" w:history="1">
        <w:r w:rsidRPr="00796308">
          <w:rPr>
            <w:rStyle w:val="Hyperlink"/>
          </w:rPr>
          <w:t>Informe 4 del GANT del UIT-T</w:t>
        </w:r>
      </w:hyperlink>
      <w:r w:rsidRPr="00796308">
        <w:t>)</w:t>
      </w:r>
    </w:p>
    <w:p w14:paraId="383751BB" w14:textId="77777777" w:rsidR="00E9567E" w:rsidRPr="00796308" w:rsidRDefault="00E9567E" w:rsidP="00E9567E">
      <w:pPr>
        <w:jc w:val="both"/>
        <w:rPr>
          <w:b/>
          <w:bCs/>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E9567E" w:rsidRPr="00796308" w14:paraId="1B091181" w14:textId="77777777" w:rsidTr="00171CBD">
        <w:tc>
          <w:tcPr>
            <w:tcW w:w="936" w:type="dxa"/>
          </w:tcPr>
          <w:p w14:paraId="3D474102" w14:textId="77777777" w:rsidR="00E9567E" w:rsidRPr="00796308" w:rsidRDefault="00E9567E" w:rsidP="00171CBD">
            <w:pPr>
              <w:spacing w:before="480" w:after="240"/>
            </w:pPr>
            <w:r w:rsidRPr="00796308">
              <w:t>[…]</w:t>
            </w:r>
          </w:p>
        </w:tc>
        <w:tc>
          <w:tcPr>
            <w:tcW w:w="8992" w:type="dxa"/>
            <w:tcMar>
              <w:left w:w="57" w:type="dxa"/>
              <w:right w:w="57" w:type="dxa"/>
            </w:tcMar>
          </w:tcPr>
          <w:p w14:paraId="7195CDE7" w14:textId="77777777" w:rsidR="00E9567E" w:rsidRPr="00796308" w:rsidRDefault="00E9567E" w:rsidP="00171CBD"/>
        </w:tc>
      </w:tr>
      <w:tr w:rsidR="00E9567E" w:rsidRPr="00796308" w14:paraId="71DBB693" w14:textId="77777777" w:rsidTr="00171CBD">
        <w:tc>
          <w:tcPr>
            <w:tcW w:w="936" w:type="dxa"/>
          </w:tcPr>
          <w:p w14:paraId="45F13BA2" w14:textId="77777777" w:rsidR="00E9567E" w:rsidRPr="00796308" w:rsidRDefault="00E9567E" w:rsidP="00171CBD">
            <w:r w:rsidRPr="00796308">
              <w:t>21.1.4</w:t>
            </w:r>
          </w:p>
        </w:tc>
        <w:tc>
          <w:tcPr>
            <w:tcW w:w="8992" w:type="dxa"/>
            <w:tcMar>
              <w:left w:w="57" w:type="dxa"/>
              <w:right w:w="57" w:type="dxa"/>
            </w:tcMar>
          </w:tcPr>
          <w:p w14:paraId="5289916A" w14:textId="77777777" w:rsidR="00E9567E" w:rsidRPr="00796308" w:rsidRDefault="00E9567E" w:rsidP="00171CBD">
            <w:bookmarkStart w:id="1" w:name="lt_pId281"/>
            <w:r w:rsidRPr="00796308">
              <w:t>En lo que respecta al proyecto de revisión de la Recomendación A.8 [</w:t>
            </w:r>
            <w:r w:rsidRPr="00796308">
              <w:rPr>
                <w:b/>
                <w:bCs/>
              </w:rPr>
              <w:t>RG-WM-2</w:t>
            </w:r>
            <w:r w:rsidRPr="00796308">
              <w:t>], el GANT decidió:</w:t>
            </w:r>
            <w:bookmarkEnd w:id="1"/>
          </w:p>
          <w:p w14:paraId="029C6801" w14:textId="0AD55BFF" w:rsidR="00E9567E" w:rsidRPr="00796308" w:rsidRDefault="00E9567E" w:rsidP="00796308">
            <w:pPr>
              <w:pStyle w:val="enumlev1"/>
            </w:pPr>
            <w:bookmarkStart w:id="2" w:name="lt_pId282"/>
            <w:r w:rsidRPr="00796308">
              <w:t>a)</w:t>
            </w:r>
            <w:r w:rsidRPr="00796308">
              <w:tab/>
              <w:t xml:space="preserve">aconsejar al Director de la TSB que solicite instrucciones de la próxima reunión del Consejo de la UIT sobre la utilización del término (en inglés) </w:t>
            </w:r>
            <w:r w:rsidRPr="00796308">
              <w:t>"</w:t>
            </w:r>
            <w:r w:rsidRPr="00796308">
              <w:t>chair</w:t>
            </w:r>
            <w:r w:rsidRPr="00796308">
              <w:t>"</w:t>
            </w:r>
            <w:r w:rsidRPr="00796308">
              <w:t xml:space="preserve"> en lugar de </w:t>
            </w:r>
            <w:r w:rsidRPr="00796308">
              <w:t>"</w:t>
            </w:r>
            <w:r w:rsidRPr="00796308">
              <w:t>chairman</w:t>
            </w:r>
            <w:r w:rsidRPr="00796308">
              <w:t>"</w:t>
            </w:r>
            <w:r w:rsidRPr="00796308">
              <w:t xml:space="preserve"> en las Recomendaciones nuevas o revisadas</w:t>
            </w:r>
            <w:bookmarkStart w:id="3" w:name="lt_pId283"/>
            <w:bookmarkEnd w:id="2"/>
            <w:bookmarkEnd w:id="3"/>
            <w:r w:rsidRPr="00796308">
              <w:t>;</w:t>
            </w:r>
          </w:p>
          <w:p w14:paraId="454E8F55" w14:textId="698BEEA9" w:rsidR="00E9567E" w:rsidRPr="00796308" w:rsidRDefault="00E9567E" w:rsidP="00796308">
            <w:pPr>
              <w:pStyle w:val="enumlev1"/>
            </w:pPr>
            <w:bookmarkStart w:id="4" w:name="lt_pId284"/>
            <w:r w:rsidRPr="00796308">
              <w:t>b)</w:t>
            </w:r>
            <w:r w:rsidRPr="00796308">
              <w:tab/>
              <w:t>aprobar la Recomendación </w:t>
            </w:r>
            <w:r w:rsidRPr="00796308">
              <w:rPr>
                <w:b/>
                <w:bCs/>
              </w:rPr>
              <w:t>UIT-T A.8</w:t>
            </w:r>
            <w:r w:rsidRPr="00796308">
              <w:t xml:space="preserve"> revisada </w:t>
            </w:r>
            <w:r w:rsidRPr="00796308">
              <w:t>"</w:t>
            </w:r>
            <w:r w:rsidRPr="00796308">
              <w:rPr>
                <w:i/>
                <w:iCs/>
              </w:rPr>
              <w:t>Proceso de aprobación alternativo para las Recomendaciones UIT-T nuevas y revisadas</w:t>
            </w:r>
            <w:r w:rsidRPr="00796308">
              <w:t>"</w:t>
            </w:r>
            <w:r w:rsidRPr="00796308">
              <w:t xml:space="preserve"> (</w:t>
            </w:r>
            <w:hyperlink r:id="rId9" w:history="1">
              <w:r w:rsidRPr="00796308">
                <w:rPr>
                  <w:rStyle w:val="Hyperlink"/>
                </w:rPr>
                <w:t>TD450R2</w:t>
              </w:r>
            </w:hyperlink>
            <w:r w:rsidRPr="00796308">
              <w:t>)</w:t>
            </w:r>
            <w:bookmarkStart w:id="5" w:name="lt_pId285"/>
            <w:bookmarkEnd w:id="4"/>
            <w:bookmarkEnd w:id="5"/>
            <w:r w:rsidRPr="00796308">
              <w:t>;</w:t>
            </w:r>
          </w:p>
          <w:p w14:paraId="71DD86B8" w14:textId="77777777" w:rsidR="00E9567E" w:rsidRPr="00796308" w:rsidRDefault="00E9567E" w:rsidP="00796308">
            <w:pPr>
              <w:pStyle w:val="enumlev1"/>
            </w:pPr>
            <w:bookmarkStart w:id="6" w:name="lt_pId286"/>
            <w:r w:rsidRPr="00796308">
              <w:t>c)</w:t>
            </w:r>
            <w:r w:rsidRPr="00796308">
              <w:tab/>
              <w:t xml:space="preserve">solicitar a la TSB que prepublique la Recomendación UIT-T A.8 (contenida en </w:t>
            </w:r>
            <w:hyperlink r:id="rId10" w:history="1">
              <w:r w:rsidRPr="00796308">
                <w:rPr>
                  <w:rStyle w:val="Hyperlink"/>
                </w:rPr>
                <w:t>TD450</w:t>
              </w:r>
            </w:hyperlink>
            <w:r w:rsidRPr="00796308">
              <w:t>), pero que espere las instrucciones del Consejo de la UIT antes de proceder a la publicación definitiva.</w:t>
            </w:r>
            <w:bookmarkStart w:id="7" w:name="lt_pId287"/>
            <w:bookmarkEnd w:id="6"/>
            <w:bookmarkEnd w:id="7"/>
          </w:p>
          <w:p w14:paraId="5A8645B1" w14:textId="2B2AB5EE" w:rsidR="00E9567E" w:rsidRPr="00796308" w:rsidRDefault="00E9567E" w:rsidP="00171CBD">
            <w:bookmarkStart w:id="8" w:name="lt_pId288"/>
            <w:r w:rsidRPr="00796308">
              <w:t>NOTA 1 – El Documento </w:t>
            </w:r>
            <w:hyperlink r:id="rId11" w:history="1">
              <w:r w:rsidRPr="00796308">
                <w:rPr>
                  <w:rStyle w:val="Hyperlink"/>
                </w:rPr>
                <w:t>TD450R2</w:t>
              </w:r>
            </w:hyperlink>
            <w:r w:rsidRPr="00796308">
              <w:t xml:space="preserve"> utiliza el término </w:t>
            </w:r>
            <w:r w:rsidRPr="00796308">
              <w:t>"</w:t>
            </w:r>
            <w:r w:rsidRPr="00796308">
              <w:t>chairman</w:t>
            </w:r>
            <w:r w:rsidRPr="00796308">
              <w:t>"</w:t>
            </w:r>
            <w:r w:rsidRPr="00796308">
              <w:t xml:space="preserve"> en inglés.</w:t>
            </w:r>
            <w:bookmarkEnd w:id="8"/>
          </w:p>
          <w:p w14:paraId="6C2C7316" w14:textId="77777777" w:rsidR="00E9567E" w:rsidRPr="00796308" w:rsidRDefault="00E9567E" w:rsidP="00171CBD">
            <w:bookmarkStart w:id="9" w:name="lt_pId289"/>
            <w:r w:rsidRPr="00796308">
              <w:t>NOTA 2 – La acción a) también es pertinente para otros textos propuestos para determinación en esta reunión, a saber, los proyectos de Recomendación UIT-T A.7, A.18 (antes A.JCA) y A.24.</w:t>
            </w:r>
            <w:bookmarkEnd w:id="9"/>
          </w:p>
          <w:p w14:paraId="00480064" w14:textId="785D0187" w:rsidR="00E9567E" w:rsidRPr="00796308" w:rsidRDefault="00E9567E" w:rsidP="00171CBD">
            <w:bookmarkStart w:id="10" w:name="lt_pId290"/>
            <w:r w:rsidRPr="00796308">
              <w:t xml:space="preserve">NOTA 3 – La reunión decidió sustituir, en los textos en inglés, </w:t>
            </w:r>
            <w:r w:rsidRPr="00796308">
              <w:t>"</w:t>
            </w:r>
            <w:r w:rsidRPr="00796308">
              <w:t>chair</w:t>
            </w:r>
            <w:r w:rsidRPr="00796308">
              <w:t>"</w:t>
            </w:r>
            <w:r w:rsidRPr="00796308">
              <w:t xml:space="preserve"> y </w:t>
            </w:r>
            <w:r w:rsidRPr="00796308">
              <w:t>"</w:t>
            </w:r>
            <w:r w:rsidRPr="00796308">
              <w:t>chairman</w:t>
            </w:r>
            <w:r w:rsidRPr="00796308">
              <w:t>"</w:t>
            </w:r>
            <w:r w:rsidRPr="00796308">
              <w:t xml:space="preserve"> por </w:t>
            </w:r>
            <w:r w:rsidRPr="00796308">
              <w:t>"</w:t>
            </w:r>
            <w:r w:rsidRPr="00796308">
              <w:t>chairman/chair</w:t>
            </w:r>
            <w:r w:rsidRPr="00796308">
              <w:t>"</w:t>
            </w:r>
            <w:r w:rsidRPr="00796308">
              <w:t xml:space="preserve"> en los textos de A.7, A.24 y A.18 (antes A.JCA) en consulta TAP. Las instrucciones que reciba el GANT de la próxima reunión del Consejo de la UIT se aplicarán antes de la publicación definitiva.</w:t>
            </w:r>
            <w:bookmarkEnd w:id="10"/>
          </w:p>
          <w:p w14:paraId="6543B74B" w14:textId="77777777" w:rsidR="00E9567E" w:rsidRPr="00796308" w:rsidRDefault="00E9567E" w:rsidP="00171CBD"/>
        </w:tc>
      </w:tr>
      <w:tr w:rsidR="00E9567E" w:rsidRPr="00796308" w14:paraId="1C5579DC" w14:textId="77777777" w:rsidTr="0017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Borders>
              <w:top w:val="nil"/>
              <w:left w:val="nil"/>
              <w:bottom w:val="nil"/>
              <w:right w:val="nil"/>
            </w:tcBorders>
          </w:tcPr>
          <w:p w14:paraId="14F81712" w14:textId="77777777" w:rsidR="00E9567E" w:rsidRPr="00796308" w:rsidRDefault="00E9567E" w:rsidP="00171CBD">
            <w:r w:rsidRPr="00796308">
              <w:t>21.1.5</w:t>
            </w:r>
          </w:p>
        </w:tc>
        <w:tc>
          <w:tcPr>
            <w:tcW w:w="8992" w:type="dxa"/>
            <w:tcBorders>
              <w:top w:val="nil"/>
              <w:left w:val="nil"/>
              <w:bottom w:val="nil"/>
              <w:right w:val="nil"/>
            </w:tcBorders>
          </w:tcPr>
          <w:p w14:paraId="0C99D626" w14:textId="77777777" w:rsidR="00E9567E" w:rsidRPr="00796308" w:rsidRDefault="00E9567E" w:rsidP="00171CBD">
            <w:bookmarkStart w:id="11" w:name="lt_pId293"/>
            <w:r w:rsidRPr="00796308">
              <w:t>El GANT decidió: [</w:t>
            </w:r>
            <w:r w:rsidRPr="00796308">
              <w:rPr>
                <w:b/>
                <w:bCs/>
              </w:rPr>
              <w:t>RG-WM-4</w:t>
            </w:r>
            <w:r w:rsidRPr="00796308">
              <w:t>]</w:t>
            </w:r>
            <w:bookmarkEnd w:id="11"/>
          </w:p>
          <w:p w14:paraId="04B923A9" w14:textId="77777777" w:rsidR="00E9567E" w:rsidRPr="00796308" w:rsidRDefault="00E9567E" w:rsidP="00171CBD">
            <w:pPr>
              <w:pStyle w:val="Note"/>
            </w:pPr>
            <w:bookmarkStart w:id="12" w:name="lt_pId295"/>
            <w:bookmarkStart w:id="13" w:name="lt_pId296"/>
            <w:bookmarkEnd w:id="12"/>
            <w:bookmarkEnd w:id="13"/>
            <w:r w:rsidRPr="00796308">
              <w:t>[…]</w:t>
            </w:r>
          </w:p>
          <w:p w14:paraId="4D99B22E" w14:textId="7783CD40" w:rsidR="00E9567E" w:rsidRPr="00796308" w:rsidRDefault="00E9567E" w:rsidP="00171CBD">
            <w:pPr>
              <w:tabs>
                <w:tab w:val="clear" w:pos="567"/>
              </w:tabs>
              <w:spacing w:after="120"/>
              <w:ind w:left="567" w:hanging="616"/>
            </w:pPr>
            <w:bookmarkStart w:id="14" w:name="lt_pId297"/>
            <w:r w:rsidRPr="00796308">
              <w:t>b)</w:t>
            </w:r>
            <w:r w:rsidRPr="00796308">
              <w:tab/>
              <w:t>Determinar la nueva Recomendación </w:t>
            </w:r>
            <w:r w:rsidRPr="00796308">
              <w:rPr>
                <w:b/>
                <w:bCs/>
              </w:rPr>
              <w:t>UIT-T A.24</w:t>
            </w:r>
            <w:r w:rsidRPr="00796308">
              <w:t xml:space="preserve"> </w:t>
            </w:r>
            <w:r w:rsidRPr="00796308">
              <w:t>"</w:t>
            </w:r>
            <w:r w:rsidRPr="00796308">
              <w:rPr>
                <w:i/>
                <w:iCs/>
              </w:rPr>
              <w:t>Colaboración e intercambio de información con otras organizaciones</w:t>
            </w:r>
            <w:r w:rsidRPr="00796308">
              <w:t>"</w:t>
            </w:r>
            <w:r w:rsidRPr="00796308">
              <w:t xml:space="preserve"> (</w:t>
            </w:r>
            <w:hyperlink r:id="rId12" w:history="1">
              <w:r w:rsidRPr="00796308">
                <w:rPr>
                  <w:rStyle w:val="Hyperlink"/>
                </w:rPr>
                <w:t>TD470R1</w:t>
              </w:r>
            </w:hyperlink>
            <w:r w:rsidRPr="00796308">
              <w:t>) (véase la acción a) de 21.1.4)</w:t>
            </w:r>
            <w:bookmarkEnd w:id="14"/>
            <w:r w:rsidRPr="00796308">
              <w:t>.</w:t>
            </w:r>
          </w:p>
        </w:tc>
      </w:tr>
      <w:tr w:rsidR="00E9567E" w:rsidRPr="00796308" w14:paraId="5F99CD31" w14:textId="77777777" w:rsidTr="0017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Borders>
              <w:top w:val="nil"/>
              <w:left w:val="nil"/>
              <w:bottom w:val="nil"/>
              <w:right w:val="nil"/>
            </w:tcBorders>
          </w:tcPr>
          <w:p w14:paraId="1630BD06" w14:textId="77777777" w:rsidR="00E9567E" w:rsidRPr="00796308" w:rsidRDefault="00E9567E" w:rsidP="00171CBD">
            <w:r w:rsidRPr="00796308">
              <w:t>21.1.6</w:t>
            </w:r>
          </w:p>
        </w:tc>
        <w:tc>
          <w:tcPr>
            <w:tcW w:w="8992" w:type="dxa"/>
            <w:tcBorders>
              <w:top w:val="nil"/>
              <w:left w:val="nil"/>
              <w:bottom w:val="nil"/>
              <w:right w:val="nil"/>
            </w:tcBorders>
          </w:tcPr>
          <w:p w14:paraId="66D04952" w14:textId="4FBDD258" w:rsidR="00E9567E" w:rsidRPr="00796308" w:rsidRDefault="00E9567E" w:rsidP="00171CBD">
            <w:pPr>
              <w:keepNext/>
              <w:keepLines/>
              <w:spacing w:after="120"/>
              <w:ind w:left="-49"/>
            </w:pPr>
            <w:bookmarkStart w:id="15" w:name="lt_pId301"/>
            <w:r w:rsidRPr="00796308">
              <w:t>El GANT determinó el proyecto de revisión de la Recomendación </w:t>
            </w:r>
            <w:r w:rsidRPr="00796308">
              <w:rPr>
                <w:b/>
                <w:bCs/>
              </w:rPr>
              <w:t>UIT-T A.7</w:t>
            </w:r>
            <w:r w:rsidRPr="00796308">
              <w:t xml:space="preserve"> </w:t>
            </w:r>
            <w:r w:rsidRPr="00796308">
              <w:t>"</w:t>
            </w:r>
            <w:r w:rsidRPr="00796308">
              <w:rPr>
                <w:i/>
                <w:iCs/>
              </w:rPr>
              <w:t>Grupos Temáticos: creación y procedimientos de trabajo</w:t>
            </w:r>
            <w:r w:rsidRPr="00796308">
              <w:t>"</w:t>
            </w:r>
            <w:r w:rsidRPr="00796308">
              <w:t xml:space="preserve"> (</w:t>
            </w:r>
            <w:hyperlink r:id="rId13" w:history="1">
              <w:r w:rsidRPr="00796308">
                <w:rPr>
                  <w:rStyle w:val="Hyperlink"/>
                </w:rPr>
                <w:t>TD453</w:t>
              </w:r>
            </w:hyperlink>
            <w:r w:rsidRPr="00796308">
              <w:t>) [</w:t>
            </w:r>
            <w:r w:rsidRPr="00796308">
              <w:rPr>
                <w:b/>
                <w:bCs/>
              </w:rPr>
              <w:t>RG-WM-3</w:t>
            </w:r>
            <w:r w:rsidRPr="00796308">
              <w:t>] (véase la acción a) de 21.1.4)</w:t>
            </w:r>
            <w:bookmarkEnd w:id="15"/>
            <w:r w:rsidRPr="00796308">
              <w:t>.</w:t>
            </w:r>
          </w:p>
        </w:tc>
      </w:tr>
      <w:tr w:rsidR="00E9567E" w:rsidRPr="00796308" w14:paraId="121731B3" w14:textId="77777777" w:rsidTr="0017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Borders>
              <w:top w:val="nil"/>
              <w:left w:val="nil"/>
              <w:bottom w:val="nil"/>
              <w:right w:val="nil"/>
            </w:tcBorders>
          </w:tcPr>
          <w:p w14:paraId="2A61BB0D" w14:textId="77777777" w:rsidR="00E9567E" w:rsidRPr="00796308" w:rsidRDefault="00E9567E" w:rsidP="00171CBD">
            <w:r w:rsidRPr="00796308">
              <w:t>21.1.7</w:t>
            </w:r>
          </w:p>
        </w:tc>
        <w:tc>
          <w:tcPr>
            <w:tcW w:w="8992" w:type="dxa"/>
            <w:tcBorders>
              <w:top w:val="nil"/>
              <w:left w:val="nil"/>
              <w:bottom w:val="nil"/>
              <w:right w:val="nil"/>
            </w:tcBorders>
          </w:tcPr>
          <w:p w14:paraId="0251AAEF" w14:textId="77777777" w:rsidR="00E9567E" w:rsidRPr="00796308" w:rsidRDefault="00E9567E" w:rsidP="00171CBD">
            <w:pPr>
              <w:keepNext/>
              <w:keepLines/>
              <w:ind w:left="-49"/>
              <w:rPr>
                <w:rStyle w:val="Hyperlink"/>
              </w:rPr>
            </w:pPr>
            <w:bookmarkStart w:id="16" w:name="lt_pId304"/>
            <w:r w:rsidRPr="00796308">
              <w:t xml:space="preserve">El GANT determinó el proyecto de nueva Recomendación </w:t>
            </w:r>
            <w:r w:rsidRPr="00796308">
              <w:rPr>
                <w:b/>
                <w:bCs/>
              </w:rPr>
              <w:t>UIT-T A.18</w:t>
            </w:r>
            <w:r w:rsidRPr="00796308">
              <w:t xml:space="preserve"> </w:t>
            </w:r>
            <w:r w:rsidRPr="00796308">
              <w:rPr>
                <w:b/>
                <w:bCs/>
              </w:rPr>
              <w:t>(antes A.JCA)</w:t>
            </w:r>
            <w:r w:rsidRPr="00796308">
              <w:t xml:space="preserve"> (</w:t>
            </w:r>
            <w:hyperlink r:id="rId14" w:history="1">
              <w:r w:rsidRPr="00796308">
                <w:rPr>
                  <w:rStyle w:val="Hyperlink"/>
                </w:rPr>
                <w:t>TD467R1</w:t>
              </w:r>
            </w:hyperlink>
            <w:r w:rsidRPr="00796308">
              <w:t>). [</w:t>
            </w:r>
            <w:r w:rsidRPr="00796308">
              <w:rPr>
                <w:b/>
                <w:bCs/>
              </w:rPr>
              <w:t>RG-WM-5</w:t>
            </w:r>
            <w:r w:rsidRPr="00796308">
              <w:t>] (Véase la acción a) de 21.1.4.)</w:t>
            </w:r>
            <w:bookmarkEnd w:id="16"/>
          </w:p>
        </w:tc>
      </w:tr>
      <w:tr w:rsidR="00E9567E" w:rsidRPr="00796308" w14:paraId="657D13A3" w14:textId="77777777" w:rsidTr="0017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Borders>
              <w:top w:val="nil"/>
              <w:left w:val="nil"/>
              <w:bottom w:val="nil"/>
              <w:right w:val="nil"/>
            </w:tcBorders>
          </w:tcPr>
          <w:p w14:paraId="1EDA4D37" w14:textId="77777777" w:rsidR="00E9567E" w:rsidRPr="00796308" w:rsidRDefault="00E9567E" w:rsidP="00171CBD">
            <w:pPr>
              <w:spacing w:before="240" w:after="120"/>
            </w:pPr>
            <w:r w:rsidRPr="00796308">
              <w:t>[…]</w:t>
            </w:r>
          </w:p>
        </w:tc>
        <w:tc>
          <w:tcPr>
            <w:tcW w:w="8992" w:type="dxa"/>
            <w:tcBorders>
              <w:top w:val="nil"/>
              <w:left w:val="nil"/>
              <w:bottom w:val="nil"/>
              <w:right w:val="nil"/>
            </w:tcBorders>
          </w:tcPr>
          <w:p w14:paraId="37D0EF67" w14:textId="77777777" w:rsidR="00E9567E" w:rsidRPr="00796308" w:rsidRDefault="00E9567E" w:rsidP="00171CBD">
            <w:pPr>
              <w:keepNext/>
              <w:keepLines/>
              <w:ind w:left="-49"/>
              <w:rPr>
                <w:spacing w:val="4"/>
              </w:rPr>
            </w:pPr>
          </w:p>
        </w:tc>
      </w:tr>
      <w:tr w:rsidR="00E9567E" w:rsidRPr="00796308" w14:paraId="23DB87DE" w14:textId="77777777" w:rsidTr="00171CBD">
        <w:tc>
          <w:tcPr>
            <w:tcW w:w="936" w:type="dxa"/>
          </w:tcPr>
          <w:p w14:paraId="0A675086" w14:textId="77777777" w:rsidR="00E9567E" w:rsidRPr="00796308" w:rsidRDefault="00E9567E" w:rsidP="00171CBD">
            <w:r w:rsidRPr="00796308">
              <w:t>21.1.8</w:t>
            </w:r>
          </w:p>
        </w:tc>
        <w:tc>
          <w:tcPr>
            <w:tcW w:w="8992" w:type="dxa"/>
            <w:tcMar>
              <w:left w:w="57" w:type="dxa"/>
              <w:right w:w="57" w:type="dxa"/>
            </w:tcMar>
          </w:tcPr>
          <w:p w14:paraId="3888E545" w14:textId="1A928C28" w:rsidR="00E9567E" w:rsidRPr="00796308" w:rsidRDefault="00E9567E" w:rsidP="00171CBD">
            <w:bookmarkStart w:id="17" w:name="lt_pId307"/>
            <w:r w:rsidRPr="00796308">
              <w:t xml:space="preserve">La Federación de Rusia formuló una declaración sobre la utilización del término </w:t>
            </w:r>
            <w:r w:rsidRPr="00796308">
              <w:t>"</w:t>
            </w:r>
            <w:r w:rsidRPr="00796308">
              <w:t>chairman/chair</w:t>
            </w:r>
            <w:r w:rsidRPr="00796308">
              <w:t>"</w:t>
            </w:r>
            <w:r w:rsidRPr="00796308">
              <w:t>:</w:t>
            </w:r>
            <w:bookmarkEnd w:id="17"/>
          </w:p>
          <w:p w14:paraId="76D05191" w14:textId="3A7EFC2A" w:rsidR="00E9567E" w:rsidRPr="00796308" w:rsidRDefault="00E9567E" w:rsidP="00171CBD">
            <w:pPr>
              <w:ind w:left="567"/>
              <w:rPr>
                <w:i/>
                <w:iCs/>
              </w:rPr>
            </w:pPr>
            <w:bookmarkStart w:id="18" w:name="lt_pId308"/>
            <w:r w:rsidRPr="00796308">
              <w:rPr>
                <w:i/>
                <w:iCs/>
              </w:rPr>
              <w:t xml:space="preserve">La Federación de Rusia señala a la atención del GANT la decisión de la AMNT (Resolución 1 sobre el Reglamento Interno del UIT-T) de que </w:t>
            </w:r>
            <w:r w:rsidRPr="00796308">
              <w:rPr>
                <w:i/>
                <w:iCs/>
              </w:rPr>
              <w:t>"</w:t>
            </w:r>
            <w:r w:rsidRPr="00796308">
              <w:rPr>
                <w:i/>
                <w:iCs/>
              </w:rPr>
              <w:t xml:space="preserve">en caso de </w:t>
            </w:r>
            <w:r w:rsidRPr="00796308">
              <w:rPr>
                <w:i/>
                <w:iCs/>
              </w:rPr>
              <w:lastRenderedPageBreak/>
              <w:t>incompatibilidad, la Constitución, el Convenio, el RTI y el Reglamento General de las conferencias, asambleas y reuniones de la Unión prevalecerán (por este orden) sobre la presente Resolución</w:t>
            </w:r>
            <w:r w:rsidRPr="00796308">
              <w:rPr>
                <w:i/>
                <w:iCs/>
              </w:rPr>
              <w:t>"</w:t>
            </w:r>
            <w:r w:rsidRPr="00796308">
              <w:rPr>
                <w:i/>
                <w:iCs/>
              </w:rPr>
              <w:t>.</w:t>
            </w:r>
            <w:bookmarkEnd w:id="18"/>
          </w:p>
          <w:p w14:paraId="30D62F26" w14:textId="48F7A752" w:rsidR="00E9567E" w:rsidRPr="00796308" w:rsidRDefault="00E9567E" w:rsidP="00171CBD">
            <w:pPr>
              <w:keepNext/>
              <w:keepLines/>
              <w:ind w:left="567"/>
              <w:contextualSpacing/>
              <w:rPr>
                <w:i/>
                <w:iCs/>
              </w:rPr>
            </w:pPr>
            <w:bookmarkStart w:id="19" w:name="lt_pId309"/>
            <w:r w:rsidRPr="00796308">
              <w:rPr>
                <w:i/>
                <w:iCs/>
              </w:rPr>
              <w:t>La Federación de Rusia también considera que no existe una Decisión oficial del Consejo de la UIT ni ningún otro documento vinculante para los Estados Miembros que determine que es necesario utilizar un nuevo término (</w:t>
            </w:r>
            <w:r w:rsidRPr="00796308">
              <w:rPr>
                <w:i/>
                <w:iCs/>
              </w:rPr>
              <w:t>"</w:t>
            </w:r>
            <w:r w:rsidRPr="00796308">
              <w:rPr>
                <w:i/>
                <w:iCs/>
              </w:rPr>
              <w:t>chair</w:t>
            </w:r>
            <w:r w:rsidRPr="00796308">
              <w:rPr>
                <w:i/>
                <w:iCs/>
              </w:rPr>
              <w:t>"</w:t>
            </w:r>
            <w:r w:rsidRPr="00796308">
              <w:rPr>
                <w:i/>
                <w:iCs/>
              </w:rPr>
              <w:t>) debido a la derogación del Acuerdo 500 del Consejo.</w:t>
            </w:r>
            <w:r w:rsidRPr="00796308">
              <w:t xml:space="preserve"> </w:t>
            </w:r>
            <w:r w:rsidRPr="00796308">
              <w:rPr>
                <w:i/>
                <w:iCs/>
              </w:rPr>
              <w:t>La guía de estilo en inglés de la UIT es una herramienta de apoyo y no debe considerarse como justificación para sustituir la terminología.</w:t>
            </w:r>
            <w:r w:rsidRPr="00796308">
              <w:t xml:space="preserve"> </w:t>
            </w:r>
            <w:r w:rsidRPr="00796308">
              <w:rPr>
                <w:i/>
                <w:iCs/>
              </w:rPr>
              <w:t>La Federación de Rusia no discute los aspectos de género de estos términos, pero aboga por que su aplicación en todos los documentos de la UIT, incluido el UIT-T, sea coherente con la terminología de los instrumentos fundamentales de la Unión (Convenio y Constitución – CV y CS).</w:t>
            </w:r>
            <w:r w:rsidRPr="00796308">
              <w:t xml:space="preserve"> </w:t>
            </w:r>
            <w:r w:rsidRPr="00796308">
              <w:rPr>
                <w:i/>
                <w:iCs/>
              </w:rPr>
              <w:t>Cualquier cambio en el texto del CV y la CS debe ser llevado a cabo por la Conferencia de Plenipotenciarios.</w:t>
            </w:r>
            <w:r w:rsidRPr="00796308">
              <w:t xml:space="preserve"> </w:t>
            </w:r>
            <w:r w:rsidRPr="00796308">
              <w:rPr>
                <w:i/>
                <w:iCs/>
              </w:rPr>
              <w:t>Cualquier otra decisión está en conflicto con el CV y la CS y crea un peligroso precedente de violación de los principios básicos de la Unión</w:t>
            </w:r>
            <w:bookmarkEnd w:id="19"/>
            <w:r w:rsidRPr="00796308">
              <w:rPr>
                <w:i/>
                <w:iCs/>
              </w:rPr>
              <w:t>.</w:t>
            </w:r>
          </w:p>
        </w:tc>
      </w:tr>
      <w:tr w:rsidR="00E9567E" w:rsidRPr="00796308" w14:paraId="30C7FF2F" w14:textId="77777777" w:rsidTr="00171CBD">
        <w:tc>
          <w:tcPr>
            <w:tcW w:w="936" w:type="dxa"/>
          </w:tcPr>
          <w:p w14:paraId="37F818EE" w14:textId="77777777" w:rsidR="00E9567E" w:rsidRPr="00796308" w:rsidRDefault="00E9567E" w:rsidP="00171CBD">
            <w:pPr>
              <w:spacing w:before="480" w:after="360"/>
            </w:pPr>
            <w:r w:rsidRPr="00796308">
              <w:lastRenderedPageBreak/>
              <w:t>[…]</w:t>
            </w:r>
          </w:p>
        </w:tc>
        <w:tc>
          <w:tcPr>
            <w:tcW w:w="8992" w:type="dxa"/>
            <w:tcMar>
              <w:left w:w="57" w:type="dxa"/>
              <w:right w:w="57" w:type="dxa"/>
            </w:tcMar>
          </w:tcPr>
          <w:p w14:paraId="43E12EAA" w14:textId="77777777" w:rsidR="00E9567E" w:rsidRPr="00796308" w:rsidRDefault="00E9567E" w:rsidP="00171CBD">
            <w:pPr>
              <w:keepNext/>
              <w:keepLines/>
            </w:pPr>
          </w:p>
        </w:tc>
      </w:tr>
      <w:tr w:rsidR="00E9567E" w:rsidRPr="00796308" w14:paraId="5C406767" w14:textId="77777777" w:rsidTr="00171CBD">
        <w:tc>
          <w:tcPr>
            <w:tcW w:w="936" w:type="dxa"/>
          </w:tcPr>
          <w:p w14:paraId="0395763C" w14:textId="77777777" w:rsidR="00E9567E" w:rsidRPr="00796308" w:rsidRDefault="00E9567E" w:rsidP="00171CBD">
            <w:pPr>
              <w:spacing w:before="0"/>
            </w:pPr>
            <w:r w:rsidRPr="00796308">
              <w:rPr>
                <w:b/>
                <w:bCs/>
              </w:rPr>
              <w:t>23</w:t>
            </w:r>
          </w:p>
        </w:tc>
        <w:tc>
          <w:tcPr>
            <w:tcW w:w="8992" w:type="dxa"/>
            <w:tcMar>
              <w:left w:w="57" w:type="dxa"/>
              <w:right w:w="57" w:type="dxa"/>
            </w:tcMar>
          </w:tcPr>
          <w:p w14:paraId="17E58C34" w14:textId="77777777" w:rsidR="00E9567E" w:rsidRPr="00796308" w:rsidRDefault="00E9567E" w:rsidP="00171CBD">
            <w:pPr>
              <w:keepNext/>
              <w:keepLines/>
              <w:spacing w:before="0" w:after="120"/>
            </w:pPr>
            <w:r w:rsidRPr="00796308">
              <w:rPr>
                <w:b/>
                <w:bCs/>
              </w:rPr>
              <w:t>Otros asuntos</w:t>
            </w:r>
          </w:p>
        </w:tc>
      </w:tr>
      <w:tr w:rsidR="00E9567E" w:rsidRPr="00796308" w14:paraId="27D6C91A" w14:textId="77777777" w:rsidTr="00171CBD">
        <w:tc>
          <w:tcPr>
            <w:tcW w:w="936" w:type="dxa"/>
          </w:tcPr>
          <w:p w14:paraId="2DCBC352" w14:textId="77777777" w:rsidR="00E9567E" w:rsidRPr="00796308" w:rsidRDefault="00E9567E" w:rsidP="00171CBD">
            <w:r w:rsidRPr="00796308">
              <w:t>23.1</w:t>
            </w:r>
          </w:p>
        </w:tc>
        <w:tc>
          <w:tcPr>
            <w:tcW w:w="8992" w:type="dxa"/>
            <w:tcMar>
              <w:left w:w="57" w:type="dxa"/>
              <w:right w:w="57" w:type="dxa"/>
            </w:tcMar>
          </w:tcPr>
          <w:p w14:paraId="7D10DFA7" w14:textId="35C8A8D8" w:rsidR="00E9567E" w:rsidRPr="00796308" w:rsidRDefault="00E9567E" w:rsidP="00171CBD">
            <w:bookmarkStart w:id="20" w:name="lt_pId393"/>
            <w:r w:rsidRPr="00796308">
              <w:t xml:space="preserve">La Federación de Rusia formuló una declaración para resumir todas sus inquietudes y debates formales e informales sostenidos durante esta reunión del GANT acerca de la utilización de los términos </w:t>
            </w:r>
            <w:r w:rsidRPr="00796308">
              <w:t>"</w:t>
            </w:r>
            <w:r w:rsidRPr="00796308">
              <w:t>chair/vice-chair</w:t>
            </w:r>
            <w:r w:rsidRPr="00796308">
              <w:t>"</w:t>
            </w:r>
            <w:r w:rsidRPr="00796308">
              <w:t xml:space="preserve"> en lugar de </w:t>
            </w:r>
            <w:r w:rsidRPr="00796308">
              <w:t>"</w:t>
            </w:r>
            <w:r w:rsidRPr="00796308">
              <w:t>chairman/vice</w:t>
            </w:r>
            <w:r w:rsidRPr="00796308">
              <w:noBreakHyphen/>
              <w:t>chairman</w:t>
            </w:r>
            <w:r w:rsidRPr="00796308">
              <w:t>"</w:t>
            </w:r>
            <w:r w:rsidRPr="00796308">
              <w:t xml:space="preserve"> en los siguientes términos:</w:t>
            </w:r>
            <w:bookmarkEnd w:id="20"/>
          </w:p>
          <w:p w14:paraId="0B60F2B9" w14:textId="773144B5" w:rsidR="00E9567E" w:rsidRPr="00796308" w:rsidRDefault="00E9567E" w:rsidP="00171CBD">
            <w:pPr>
              <w:ind w:left="567"/>
              <w:rPr>
                <w:i/>
                <w:iCs/>
              </w:rPr>
            </w:pPr>
            <w:bookmarkStart w:id="21" w:name="lt_pId394"/>
            <w:r w:rsidRPr="00796308">
              <w:rPr>
                <w:i/>
                <w:iCs/>
              </w:rPr>
              <w:t xml:space="preserve">La Federación de Rusia se opone a la utilización injustificada de términos no acordados </w:t>
            </w:r>
            <w:r w:rsidRPr="00796308">
              <w:rPr>
                <w:i/>
                <w:iCs/>
              </w:rPr>
              <w:t>"</w:t>
            </w:r>
            <w:r w:rsidRPr="00796308">
              <w:rPr>
                <w:i/>
                <w:iCs/>
              </w:rPr>
              <w:t>chair</w:t>
            </w:r>
            <w:r w:rsidRPr="00796308">
              <w:rPr>
                <w:i/>
                <w:iCs/>
              </w:rPr>
              <w:t>"</w:t>
            </w:r>
            <w:r w:rsidRPr="00796308">
              <w:rPr>
                <w:i/>
                <w:iCs/>
              </w:rPr>
              <w:t xml:space="preserve"> y </w:t>
            </w:r>
            <w:r w:rsidRPr="00796308">
              <w:rPr>
                <w:i/>
                <w:iCs/>
              </w:rPr>
              <w:t>"</w:t>
            </w:r>
            <w:r w:rsidRPr="00796308">
              <w:rPr>
                <w:i/>
                <w:iCs/>
              </w:rPr>
              <w:t>vice-chair</w:t>
            </w:r>
            <w:r w:rsidRPr="00796308">
              <w:rPr>
                <w:i/>
                <w:iCs/>
              </w:rPr>
              <w:t>"</w:t>
            </w:r>
            <w:r w:rsidRPr="00796308">
              <w:rPr>
                <w:i/>
                <w:iCs/>
              </w:rPr>
              <w:t xml:space="preserve"> en los documentos del UIT-T durante la reunión del Grupo Asesor de Normalización de las Telecomunicaciones (GANT) que, en nuestra opinión, no corresponden a los métodos de trabajo ni a las disposiciones del Convenio y la Constitución de la UIT.</w:t>
            </w:r>
            <w:bookmarkEnd w:id="21"/>
          </w:p>
          <w:p w14:paraId="214C49CC" w14:textId="75413BA7" w:rsidR="00E9567E" w:rsidRPr="00796308" w:rsidRDefault="00E9567E" w:rsidP="00171CBD">
            <w:pPr>
              <w:ind w:left="567"/>
              <w:rPr>
                <w:i/>
                <w:iCs/>
              </w:rPr>
            </w:pPr>
            <w:bookmarkStart w:id="22" w:name="lt_pId395"/>
            <w:r w:rsidRPr="00796308">
              <w:rPr>
                <w:i/>
                <w:iCs/>
              </w:rPr>
              <w:t xml:space="preserve">La Federación de Rusia no considera legítimo utilizar la abrogación del Acuerdo 500 del Consejo (C2000) (Documento C23/3) y el contenido conexo de los resúmenes de los debates de la séptima y última Sesión Plenaria de la reunión del Consejo de la UIT (Documento C23/112) para modificar la Guía de estilo en inglés de la UIT y sustituir posteriormente los términos </w:t>
            </w:r>
            <w:r w:rsidRPr="00796308">
              <w:rPr>
                <w:i/>
                <w:iCs/>
              </w:rPr>
              <w:t>"</w:t>
            </w:r>
            <w:r w:rsidRPr="00796308">
              <w:rPr>
                <w:i/>
                <w:iCs/>
              </w:rPr>
              <w:t>chairman/vice-chairman</w:t>
            </w:r>
            <w:r w:rsidRPr="00796308">
              <w:rPr>
                <w:i/>
                <w:iCs/>
              </w:rPr>
              <w:t>"</w:t>
            </w:r>
            <w:r w:rsidRPr="00796308">
              <w:rPr>
                <w:i/>
                <w:iCs/>
              </w:rPr>
              <w:t xml:space="preserve"> por </w:t>
            </w:r>
            <w:r w:rsidRPr="00796308">
              <w:rPr>
                <w:i/>
                <w:iCs/>
              </w:rPr>
              <w:t>"</w:t>
            </w:r>
            <w:r w:rsidRPr="00796308">
              <w:rPr>
                <w:i/>
                <w:iCs/>
              </w:rPr>
              <w:t>chair/vice-chair</w:t>
            </w:r>
            <w:r w:rsidRPr="00796308">
              <w:rPr>
                <w:i/>
                <w:iCs/>
              </w:rPr>
              <w:t>"</w:t>
            </w:r>
            <w:r w:rsidRPr="00796308">
              <w:rPr>
                <w:i/>
                <w:iCs/>
              </w:rPr>
              <w:t xml:space="preserve"> en los documentos de la UIT.</w:t>
            </w:r>
            <w:bookmarkEnd w:id="22"/>
          </w:p>
          <w:p w14:paraId="06B7DF7E" w14:textId="5CF160FB" w:rsidR="00E9567E" w:rsidRPr="00796308" w:rsidRDefault="00E9567E" w:rsidP="00171CBD">
            <w:pPr>
              <w:ind w:left="567"/>
              <w:rPr>
                <w:i/>
                <w:iCs/>
              </w:rPr>
            </w:pPr>
            <w:bookmarkStart w:id="23" w:name="lt_pId396"/>
            <w:r w:rsidRPr="00796308">
              <w:rPr>
                <w:i/>
                <w:iCs/>
              </w:rPr>
              <w:t xml:space="preserve">Los términos </w:t>
            </w:r>
            <w:r w:rsidRPr="00796308">
              <w:rPr>
                <w:i/>
                <w:iCs/>
              </w:rPr>
              <w:t>"</w:t>
            </w:r>
            <w:r w:rsidRPr="00796308">
              <w:rPr>
                <w:i/>
                <w:iCs/>
              </w:rPr>
              <w:t>chairman/chairmen</w:t>
            </w:r>
            <w:r w:rsidRPr="00796308">
              <w:rPr>
                <w:i/>
                <w:iCs/>
              </w:rPr>
              <w:t>"</w:t>
            </w:r>
            <w:r w:rsidRPr="00796308">
              <w:rPr>
                <w:i/>
                <w:iCs/>
              </w:rPr>
              <w:t xml:space="preserve"> y </w:t>
            </w:r>
            <w:r w:rsidRPr="00796308">
              <w:rPr>
                <w:i/>
                <w:iCs/>
              </w:rPr>
              <w:t>"</w:t>
            </w:r>
            <w:r w:rsidRPr="00796308">
              <w:rPr>
                <w:i/>
                <w:iCs/>
              </w:rPr>
              <w:t>vice-chairman/vice-chairmen</w:t>
            </w:r>
            <w:r w:rsidRPr="00796308">
              <w:rPr>
                <w:i/>
                <w:iCs/>
              </w:rPr>
              <w:t>"</w:t>
            </w:r>
            <w:r w:rsidRPr="00796308">
              <w:rPr>
                <w:i/>
                <w:iCs/>
              </w:rPr>
              <w:t xml:space="preserve"> se utilizan en el Artículo 3 de la Constitución de la UIT y en los Artículos 2, 4, 6, 8, 9, 10, 11A, 13, 14A, 15, 16, 17A, 20 y 31 del Convenio de la UIT, así como en las Resoluciones de las Conferencias de Plenipotenciarios.</w:t>
            </w:r>
            <w:bookmarkEnd w:id="23"/>
          </w:p>
          <w:p w14:paraId="5705AA15" w14:textId="77777777" w:rsidR="00E9567E" w:rsidRPr="00796308" w:rsidRDefault="00E9567E" w:rsidP="00171CBD">
            <w:pPr>
              <w:ind w:left="567"/>
              <w:rPr>
                <w:i/>
                <w:iCs/>
              </w:rPr>
            </w:pPr>
            <w:bookmarkStart w:id="24" w:name="lt_pId397"/>
            <w:r w:rsidRPr="00796308">
              <w:rPr>
                <w:i/>
                <w:iCs/>
              </w:rPr>
              <w:t xml:space="preserve">A este respecto, la Federación de Rusia considera que la aplicación por parte de la Secretaría de la TSB de la Guía mencionada tanto a los documentos de trabajo (DT) como a los documentos aprobados del UIT-T, así como la práctica de utilizar esta Guía como herramienta para la elaboración de documentos del UIT-T, como justificación de la legitimidad de la actualización de la terminología mencionada </w:t>
            </w:r>
            <w:r w:rsidRPr="00796308">
              <w:rPr>
                <w:i/>
                <w:iCs/>
              </w:rPr>
              <w:lastRenderedPageBreak/>
              <w:t>anteriormente, plantea una contradicción con las disposiciones de la Constitución y el Convenio de la UIT.</w:t>
            </w:r>
            <w:bookmarkEnd w:id="24"/>
          </w:p>
          <w:p w14:paraId="0F5AC225" w14:textId="25CF3639" w:rsidR="00E9567E" w:rsidRPr="00796308" w:rsidRDefault="00E9567E" w:rsidP="00171CBD">
            <w:pPr>
              <w:ind w:left="567"/>
              <w:rPr>
                <w:b/>
                <w:bCs/>
              </w:rPr>
            </w:pPr>
            <w:bookmarkStart w:id="25" w:name="lt_pId398"/>
            <w:r w:rsidRPr="00796308">
              <w:rPr>
                <w:i/>
                <w:iCs/>
              </w:rPr>
              <w:t>La Federación de Rusia reitera que cualquier cambio que no sea aceptado por todos los Estados Miembros de la UIT y sea contrario a la Constitución y al Convenio de la Unión, así como las Resoluciones de las Conferencias de Plenipotenciarios, son inaceptables, menoscaban la legitimidad de los propios documentos en los que se aplican y ponen en peligro la posibilidad de aplicarlos en las actividades de la Unión.</w:t>
            </w:r>
            <w:r w:rsidRPr="00796308">
              <w:t xml:space="preserve"> </w:t>
            </w:r>
            <w:r w:rsidRPr="00796308">
              <w:rPr>
                <w:i/>
                <w:iCs/>
              </w:rPr>
              <w:t xml:space="preserve">Todos los textos existentes y revisados deben permanecer sin cambios en lo que respecta a la utilización por escrito de los términos </w:t>
            </w:r>
            <w:r w:rsidRPr="00796308">
              <w:rPr>
                <w:i/>
                <w:iCs/>
              </w:rPr>
              <w:t>"</w:t>
            </w:r>
            <w:r w:rsidRPr="00796308">
              <w:rPr>
                <w:i/>
                <w:iCs/>
              </w:rPr>
              <w:t>chairman/vice-chairman</w:t>
            </w:r>
            <w:r w:rsidRPr="00796308">
              <w:rPr>
                <w:i/>
                <w:iCs/>
              </w:rPr>
              <w:t>"</w:t>
            </w:r>
            <w:r w:rsidRPr="00796308">
              <w:rPr>
                <w:i/>
                <w:iCs/>
              </w:rPr>
              <w:t xml:space="preserve"> de conformidad con las disposiciones de la Constitución y el Convenio de la UIT hasta que se adopte una decisión conexa en la forma establecida.</w:t>
            </w:r>
            <w:bookmarkEnd w:id="25"/>
          </w:p>
        </w:tc>
      </w:tr>
    </w:tbl>
    <w:p w14:paraId="6F32E1AD" w14:textId="77777777" w:rsidR="00796308" w:rsidRDefault="00796308" w:rsidP="00411C49">
      <w:pPr>
        <w:pStyle w:val="Reasons"/>
      </w:pPr>
    </w:p>
    <w:p w14:paraId="0E08AD93" w14:textId="77777777" w:rsidR="00796308" w:rsidRDefault="00796308">
      <w:pPr>
        <w:jc w:val="center"/>
      </w:pPr>
      <w:r>
        <w:t>______________</w:t>
      </w:r>
    </w:p>
    <w:sectPr w:rsidR="00796308" w:rsidSect="00C538FC">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AF5AE37" w:rsidR="003273A4" w:rsidRDefault="003273A4" w:rsidP="003273A4">
          <w:pPr>
            <w:pStyle w:val="Header"/>
            <w:jc w:val="left"/>
            <w:rPr>
              <w:noProof/>
            </w:rPr>
          </w:pPr>
        </w:p>
      </w:tc>
      <w:tc>
        <w:tcPr>
          <w:tcW w:w="8261" w:type="dxa"/>
        </w:tcPr>
        <w:p w14:paraId="31328314" w14:textId="4AD86709"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9567E">
            <w:rPr>
              <w:bCs/>
            </w:rPr>
            <w:t>65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235F884B"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9567E">
            <w:rPr>
              <w:bCs/>
            </w:rPr>
            <w:t>65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6"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6"/>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96308"/>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9567E"/>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link w:val="NoteChar"/>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E9567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22-TSAG-R-0004/es" TargetMode="External"/><Relationship Id="rId13" Type="http://schemas.openxmlformats.org/officeDocument/2006/relationships/hyperlink" Target="https://www.itu.int/md/T22-TSAG-240122-TD-GEN-0453/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3-CL-C-0112/es" TargetMode="External"/><Relationship Id="rId12" Type="http://schemas.openxmlformats.org/officeDocument/2006/relationships/hyperlink" Target="https://www.itu.int/md/T22-TSAG-240122-TD-GEN-0470/es"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md/T22-TSAG-R-0004/es" TargetMode="External"/><Relationship Id="rId11" Type="http://schemas.openxmlformats.org/officeDocument/2006/relationships/hyperlink" Target="https://www.itu.int/md/T22-TSAG-240122-TD-GEN-0450/e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T22-TSAG-240122-TD-GEN-0450/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T22-TSAG-240122-TD-GEN-0450/es" TargetMode="External"/><Relationship Id="rId14" Type="http://schemas.openxmlformats.org/officeDocument/2006/relationships/hyperlink" Target="https://www.itu.int/md/T22-TSAG-240122-TD-GEN-0467/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1171</Words>
  <Characters>6771</Characters>
  <Application>Microsoft Office Word</Application>
  <DocSecurity>0</DocSecurity>
  <Lines>56</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7927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3</cp:revision>
  <cp:lastPrinted>2006-03-24T09:51:00Z</cp:lastPrinted>
  <dcterms:created xsi:type="dcterms:W3CDTF">2024-05-09T09:21:00Z</dcterms:created>
  <dcterms:modified xsi:type="dcterms:W3CDTF">2024-05-09T09:28:00Z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