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D51AAA" w14:paraId="1472C28F" w14:textId="77777777" w:rsidTr="00D72F49">
        <w:trPr>
          <w:cantSplit/>
          <w:trHeight w:val="23"/>
        </w:trPr>
        <w:tc>
          <w:tcPr>
            <w:tcW w:w="3969" w:type="dxa"/>
            <w:vMerge w:val="restart"/>
            <w:tcMar>
              <w:left w:w="0" w:type="dxa"/>
            </w:tcMar>
          </w:tcPr>
          <w:p w14:paraId="35367B84" w14:textId="2B8244BC" w:rsidR="00D72F49" w:rsidRPr="00D51AAA" w:rsidRDefault="00D72F49" w:rsidP="00D72F49">
            <w:pPr>
              <w:tabs>
                <w:tab w:val="left" w:pos="851"/>
              </w:tabs>
              <w:spacing w:before="0" w:line="240" w:lineRule="atLeast"/>
              <w:rPr>
                <w:b/>
              </w:rPr>
            </w:pPr>
            <w:r w:rsidRPr="00D51AAA">
              <w:rPr>
                <w:b/>
              </w:rPr>
              <w:t>Point de l'ordre du jour:</w:t>
            </w:r>
            <w:r w:rsidR="008F697D" w:rsidRPr="00D51AAA">
              <w:rPr>
                <w:b/>
              </w:rPr>
              <w:t xml:space="preserve"> PL 2</w:t>
            </w:r>
          </w:p>
        </w:tc>
        <w:tc>
          <w:tcPr>
            <w:tcW w:w="5245" w:type="dxa"/>
          </w:tcPr>
          <w:p w14:paraId="062D5717" w14:textId="46E645E2" w:rsidR="00D72F49" w:rsidRPr="00D51AAA" w:rsidRDefault="00D72F49" w:rsidP="00D72F49">
            <w:pPr>
              <w:tabs>
                <w:tab w:val="left" w:pos="851"/>
              </w:tabs>
              <w:spacing w:before="0" w:line="240" w:lineRule="atLeast"/>
              <w:jc w:val="right"/>
              <w:rPr>
                <w:b/>
              </w:rPr>
            </w:pPr>
            <w:r w:rsidRPr="00D51AAA">
              <w:rPr>
                <w:b/>
              </w:rPr>
              <w:t>Document C2</w:t>
            </w:r>
            <w:r w:rsidR="0073275D" w:rsidRPr="00D51AAA">
              <w:rPr>
                <w:b/>
              </w:rPr>
              <w:t>4</w:t>
            </w:r>
            <w:r w:rsidRPr="00D51AAA">
              <w:rPr>
                <w:b/>
              </w:rPr>
              <w:t>/</w:t>
            </w:r>
            <w:r w:rsidR="008F697D" w:rsidRPr="00D51AAA">
              <w:rPr>
                <w:b/>
              </w:rPr>
              <w:t>67</w:t>
            </w:r>
            <w:r w:rsidRPr="00D51AAA">
              <w:rPr>
                <w:b/>
              </w:rPr>
              <w:t>-F</w:t>
            </w:r>
          </w:p>
        </w:tc>
      </w:tr>
      <w:tr w:rsidR="00D72F49" w:rsidRPr="00D51AAA" w14:paraId="1A7B9C6D" w14:textId="77777777" w:rsidTr="00D72F49">
        <w:trPr>
          <w:cantSplit/>
        </w:trPr>
        <w:tc>
          <w:tcPr>
            <w:tcW w:w="3969" w:type="dxa"/>
            <w:vMerge/>
          </w:tcPr>
          <w:p w14:paraId="119E9A14" w14:textId="77777777" w:rsidR="00D72F49" w:rsidRPr="00D51AAA" w:rsidRDefault="00D72F49" w:rsidP="00D72F49">
            <w:pPr>
              <w:tabs>
                <w:tab w:val="left" w:pos="851"/>
              </w:tabs>
              <w:spacing w:line="240" w:lineRule="atLeast"/>
              <w:rPr>
                <w:b/>
              </w:rPr>
            </w:pPr>
          </w:p>
        </w:tc>
        <w:tc>
          <w:tcPr>
            <w:tcW w:w="5245" w:type="dxa"/>
          </w:tcPr>
          <w:p w14:paraId="0C89B89A" w14:textId="15DD5836" w:rsidR="00D72F49" w:rsidRPr="00D51AAA" w:rsidRDefault="008F697D" w:rsidP="00D72F49">
            <w:pPr>
              <w:tabs>
                <w:tab w:val="left" w:pos="851"/>
              </w:tabs>
              <w:spacing w:before="0"/>
              <w:jc w:val="right"/>
              <w:rPr>
                <w:b/>
              </w:rPr>
            </w:pPr>
            <w:r w:rsidRPr="00D51AAA">
              <w:rPr>
                <w:b/>
              </w:rPr>
              <w:t>6 mai</w:t>
            </w:r>
            <w:r w:rsidR="00D72F49" w:rsidRPr="00D51AAA">
              <w:rPr>
                <w:b/>
              </w:rPr>
              <w:t xml:space="preserve"> 202</w:t>
            </w:r>
            <w:r w:rsidR="0073275D" w:rsidRPr="00D51AAA">
              <w:rPr>
                <w:b/>
              </w:rPr>
              <w:t>4</w:t>
            </w:r>
          </w:p>
        </w:tc>
      </w:tr>
      <w:tr w:rsidR="00D72F49" w:rsidRPr="00D51AAA" w14:paraId="613B3099" w14:textId="77777777" w:rsidTr="00D72F49">
        <w:trPr>
          <w:cantSplit/>
          <w:trHeight w:val="23"/>
        </w:trPr>
        <w:tc>
          <w:tcPr>
            <w:tcW w:w="3969" w:type="dxa"/>
            <w:vMerge/>
          </w:tcPr>
          <w:p w14:paraId="132CC915" w14:textId="77777777" w:rsidR="00D72F49" w:rsidRPr="00D51AAA" w:rsidRDefault="00D72F49" w:rsidP="00D72F49">
            <w:pPr>
              <w:tabs>
                <w:tab w:val="left" w:pos="851"/>
              </w:tabs>
              <w:spacing w:line="240" w:lineRule="atLeast"/>
              <w:rPr>
                <w:b/>
              </w:rPr>
            </w:pPr>
          </w:p>
        </w:tc>
        <w:tc>
          <w:tcPr>
            <w:tcW w:w="5245" w:type="dxa"/>
          </w:tcPr>
          <w:p w14:paraId="382AE90C" w14:textId="77777777" w:rsidR="00D72F49" w:rsidRPr="00D51AAA" w:rsidRDefault="00D72F49" w:rsidP="00D72F49">
            <w:pPr>
              <w:tabs>
                <w:tab w:val="left" w:pos="851"/>
              </w:tabs>
              <w:spacing w:before="0" w:line="240" w:lineRule="atLeast"/>
              <w:jc w:val="right"/>
              <w:rPr>
                <w:b/>
              </w:rPr>
            </w:pPr>
            <w:r w:rsidRPr="00D51AAA">
              <w:rPr>
                <w:b/>
              </w:rPr>
              <w:t>Original: anglais</w:t>
            </w:r>
          </w:p>
        </w:tc>
      </w:tr>
      <w:tr w:rsidR="00D72F49" w:rsidRPr="00D51AAA" w14:paraId="5B4B539D" w14:textId="77777777" w:rsidTr="00D72F49">
        <w:trPr>
          <w:cantSplit/>
          <w:trHeight w:val="23"/>
        </w:trPr>
        <w:tc>
          <w:tcPr>
            <w:tcW w:w="3969" w:type="dxa"/>
          </w:tcPr>
          <w:p w14:paraId="36C4431C" w14:textId="77777777" w:rsidR="00D72F49" w:rsidRPr="00D51AAA" w:rsidRDefault="00D72F49" w:rsidP="00D72F49">
            <w:pPr>
              <w:tabs>
                <w:tab w:val="left" w:pos="851"/>
              </w:tabs>
              <w:spacing w:line="240" w:lineRule="atLeast"/>
              <w:rPr>
                <w:b/>
              </w:rPr>
            </w:pPr>
          </w:p>
        </w:tc>
        <w:tc>
          <w:tcPr>
            <w:tcW w:w="5245" w:type="dxa"/>
          </w:tcPr>
          <w:p w14:paraId="224F67BC" w14:textId="77777777" w:rsidR="00D72F49" w:rsidRPr="00D51AAA" w:rsidRDefault="00D72F49" w:rsidP="00D72F49">
            <w:pPr>
              <w:tabs>
                <w:tab w:val="left" w:pos="851"/>
              </w:tabs>
              <w:spacing w:before="0" w:line="240" w:lineRule="atLeast"/>
              <w:jc w:val="right"/>
              <w:rPr>
                <w:b/>
              </w:rPr>
            </w:pPr>
          </w:p>
        </w:tc>
      </w:tr>
      <w:tr w:rsidR="00D72F49" w:rsidRPr="00D51AAA" w14:paraId="16553F70" w14:textId="77777777" w:rsidTr="00D72F49">
        <w:trPr>
          <w:cantSplit/>
        </w:trPr>
        <w:tc>
          <w:tcPr>
            <w:tcW w:w="9214" w:type="dxa"/>
            <w:gridSpan w:val="2"/>
            <w:tcMar>
              <w:left w:w="0" w:type="dxa"/>
            </w:tcMar>
          </w:tcPr>
          <w:p w14:paraId="73D39057" w14:textId="77777777" w:rsidR="00D72F49" w:rsidRPr="00D51AAA" w:rsidRDefault="00D72F49" w:rsidP="00D72F49">
            <w:pPr>
              <w:pStyle w:val="Source"/>
              <w:jc w:val="left"/>
              <w:rPr>
                <w:sz w:val="34"/>
                <w:szCs w:val="34"/>
              </w:rPr>
            </w:pPr>
            <w:r w:rsidRPr="00D51AAA">
              <w:rPr>
                <w:rFonts w:cstheme="minorHAnsi"/>
                <w:color w:val="000000"/>
                <w:sz w:val="34"/>
                <w:szCs w:val="34"/>
              </w:rPr>
              <w:t xml:space="preserve">Rapport </w:t>
            </w:r>
            <w:r w:rsidR="00E95647" w:rsidRPr="00D51AAA">
              <w:rPr>
                <w:rFonts w:cstheme="minorHAnsi"/>
                <w:color w:val="000000"/>
                <w:sz w:val="34"/>
                <w:szCs w:val="34"/>
              </w:rPr>
              <w:t xml:space="preserve">de la </w:t>
            </w:r>
            <w:r w:rsidRPr="00D51AAA">
              <w:rPr>
                <w:rFonts w:cstheme="minorHAnsi"/>
                <w:color w:val="000000"/>
                <w:sz w:val="34"/>
                <w:szCs w:val="34"/>
              </w:rPr>
              <w:t>Secrétaire général</w:t>
            </w:r>
            <w:r w:rsidR="00E95647" w:rsidRPr="00D51AAA">
              <w:rPr>
                <w:rFonts w:cstheme="minorHAnsi"/>
                <w:color w:val="000000"/>
                <w:sz w:val="34"/>
                <w:szCs w:val="34"/>
              </w:rPr>
              <w:t>e</w:t>
            </w:r>
          </w:p>
        </w:tc>
      </w:tr>
      <w:tr w:rsidR="00D72F49" w:rsidRPr="00D51AAA" w14:paraId="4DC829C2" w14:textId="77777777" w:rsidTr="00D72F49">
        <w:trPr>
          <w:cantSplit/>
        </w:trPr>
        <w:tc>
          <w:tcPr>
            <w:tcW w:w="9214" w:type="dxa"/>
            <w:gridSpan w:val="2"/>
            <w:tcMar>
              <w:left w:w="0" w:type="dxa"/>
            </w:tcMar>
          </w:tcPr>
          <w:p w14:paraId="5F6F5978" w14:textId="00113F0B" w:rsidR="00D72F49" w:rsidRPr="00D51AAA" w:rsidRDefault="00000FB0" w:rsidP="00D72F49">
            <w:pPr>
              <w:pStyle w:val="Subtitle"/>
              <w:framePr w:hSpace="0" w:wrap="auto" w:hAnchor="text" w:xAlign="left" w:yAlign="inline"/>
              <w:rPr>
                <w:lang w:val="fr-FR"/>
              </w:rPr>
            </w:pPr>
            <w:r w:rsidRPr="00D51AAA">
              <w:rPr>
                <w:rFonts w:cstheme="minorHAnsi"/>
                <w:lang w:val="fr-FR"/>
              </w:rPr>
              <w:t>RAPPORT SUR LA RÉSOLUTION 214 (BUCAREST, 2022) DE LA CONFÉRENCE DE PLÉNIPOTENTIAIRES – "TECHNOLOGIES D'INTELLIGENCE ARTIFICIELLE ET TÉLÉCOMMUNICATIONS/</w:t>
            </w:r>
            <w:r w:rsidRPr="00D51AAA">
              <w:rPr>
                <w:rFonts w:cstheme="minorHAnsi"/>
                <w:lang w:val="fr-FR"/>
              </w:rPr>
              <w:br/>
              <w:t xml:space="preserve">TECHNOLOGIES DE L'INFORMATION ET </w:t>
            </w:r>
            <w:r w:rsidRPr="00D51AAA">
              <w:rPr>
                <w:rFonts w:cstheme="minorHAnsi"/>
                <w:lang w:val="fr-FR"/>
              </w:rPr>
              <w:br/>
              <w:t>DE LA COMMUNICATION"</w:t>
            </w:r>
          </w:p>
        </w:tc>
      </w:tr>
      <w:tr w:rsidR="00D72F49" w:rsidRPr="00D51AAA" w14:paraId="3D6F4DE1" w14:textId="77777777" w:rsidTr="00D72F49">
        <w:trPr>
          <w:cantSplit/>
        </w:trPr>
        <w:tc>
          <w:tcPr>
            <w:tcW w:w="9214" w:type="dxa"/>
            <w:gridSpan w:val="2"/>
            <w:tcBorders>
              <w:top w:val="single" w:sz="4" w:space="0" w:color="auto"/>
              <w:bottom w:val="single" w:sz="4" w:space="0" w:color="auto"/>
            </w:tcBorders>
            <w:tcMar>
              <w:left w:w="0" w:type="dxa"/>
            </w:tcMar>
          </w:tcPr>
          <w:p w14:paraId="12F6D72A" w14:textId="77777777" w:rsidR="00D72F49" w:rsidRPr="00D51AAA" w:rsidRDefault="00F37FE5" w:rsidP="00D72F49">
            <w:pPr>
              <w:spacing w:before="160"/>
              <w:rPr>
                <w:b/>
                <w:bCs/>
                <w:sz w:val="26"/>
                <w:szCs w:val="26"/>
              </w:rPr>
            </w:pPr>
            <w:r w:rsidRPr="00D51AAA">
              <w:rPr>
                <w:b/>
                <w:bCs/>
                <w:sz w:val="26"/>
                <w:szCs w:val="26"/>
              </w:rPr>
              <w:t>Objet</w:t>
            </w:r>
          </w:p>
          <w:p w14:paraId="22A91803" w14:textId="68ED0D9C" w:rsidR="00D72F49" w:rsidRPr="00D51AAA" w:rsidRDefault="008F697D" w:rsidP="00D72F49">
            <w:r w:rsidRPr="00D51AAA">
              <w:t>Le présent document a pour objet de fournir un rapport exhaustif sur les activités menées par l'UIT dans le domaine de l'intelligence artificielle (IA), le développement rapide de cette technologie et les demandes croissantes des membres et des parties prenantes de l'Union.</w:t>
            </w:r>
          </w:p>
          <w:p w14:paraId="4C0AF5F1" w14:textId="77777777" w:rsidR="00D72F49" w:rsidRPr="00D51AAA" w:rsidRDefault="00D72F49" w:rsidP="00D72F49">
            <w:pPr>
              <w:spacing w:before="160"/>
              <w:rPr>
                <w:b/>
                <w:bCs/>
                <w:sz w:val="26"/>
                <w:szCs w:val="26"/>
              </w:rPr>
            </w:pPr>
            <w:r w:rsidRPr="00D51AAA">
              <w:rPr>
                <w:b/>
                <w:bCs/>
                <w:sz w:val="26"/>
                <w:szCs w:val="26"/>
              </w:rPr>
              <w:t>Suite à donner par le Conseil</w:t>
            </w:r>
          </w:p>
          <w:p w14:paraId="5B8A09FF" w14:textId="65DCE48F" w:rsidR="00D72F49" w:rsidRPr="00D51AAA" w:rsidRDefault="008F697D" w:rsidP="00D72F49">
            <w:r w:rsidRPr="00D51AAA">
              <w:t xml:space="preserve">Le Conseil est invité à </w:t>
            </w:r>
            <w:r w:rsidRPr="00D51AAA">
              <w:rPr>
                <w:b/>
                <w:bCs/>
              </w:rPr>
              <w:t>prendre note</w:t>
            </w:r>
            <w:r w:rsidRPr="00D51AAA">
              <w:t xml:space="preserve"> du présent document.</w:t>
            </w:r>
          </w:p>
          <w:p w14:paraId="59AE679B" w14:textId="07073467" w:rsidR="00D72F49" w:rsidRPr="00D51AAA" w:rsidRDefault="00D72F49" w:rsidP="00D72F49">
            <w:pPr>
              <w:spacing w:before="160"/>
              <w:rPr>
                <w:b/>
                <w:bCs/>
                <w:sz w:val="26"/>
                <w:szCs w:val="26"/>
              </w:rPr>
            </w:pPr>
            <w:r w:rsidRPr="00D51AAA">
              <w:rPr>
                <w:b/>
                <w:bCs/>
                <w:sz w:val="26"/>
                <w:szCs w:val="26"/>
              </w:rPr>
              <w:t xml:space="preserve">Liens pertinents avec le </w:t>
            </w:r>
            <w:r w:rsidR="00F37FE5" w:rsidRPr="00D51AAA">
              <w:rPr>
                <w:b/>
                <w:bCs/>
                <w:sz w:val="26"/>
                <w:szCs w:val="26"/>
              </w:rPr>
              <w:t>p</w:t>
            </w:r>
            <w:r w:rsidRPr="00D51AAA">
              <w:rPr>
                <w:b/>
                <w:bCs/>
                <w:sz w:val="26"/>
                <w:szCs w:val="26"/>
              </w:rPr>
              <w:t>lan stratégique</w:t>
            </w:r>
          </w:p>
          <w:p w14:paraId="12C99BB3" w14:textId="1647047C" w:rsidR="00D72F49" w:rsidRPr="00D51AAA" w:rsidRDefault="008F697D" w:rsidP="00D72F49">
            <w:r w:rsidRPr="00D51AAA">
              <w:t>Élaboration de normes internationales; élaboration de cadres politiques et de supports d'information; renforcement des capacités; plate-forme fédératrice.</w:t>
            </w:r>
          </w:p>
          <w:p w14:paraId="5B66D534" w14:textId="3D83D64C" w:rsidR="00E95647" w:rsidRPr="00D51AAA" w:rsidRDefault="00D72F49" w:rsidP="00D72F49">
            <w:pPr>
              <w:spacing w:before="160"/>
              <w:rPr>
                <w:b/>
                <w:bCs/>
                <w:sz w:val="26"/>
                <w:szCs w:val="26"/>
              </w:rPr>
            </w:pPr>
            <w:r w:rsidRPr="00D51AAA">
              <w:rPr>
                <w:b/>
                <w:bCs/>
                <w:sz w:val="26"/>
                <w:szCs w:val="26"/>
              </w:rPr>
              <w:t>Incidences financières</w:t>
            </w:r>
          </w:p>
          <w:p w14:paraId="130E080E" w14:textId="7243B32E" w:rsidR="00D72F49" w:rsidRPr="00D51AAA" w:rsidRDefault="008F697D" w:rsidP="00D72F49">
            <w:pPr>
              <w:spacing w:before="160"/>
              <w:rPr>
                <w:sz w:val="26"/>
                <w:szCs w:val="26"/>
              </w:rPr>
            </w:pPr>
            <w:r w:rsidRPr="00D51AAA">
              <w:rPr>
                <w:szCs w:val="24"/>
              </w:rPr>
              <w:t>Incidences financières susceptibles de découler de la poursuite des travaux de plus en plus nombreux de l'UIT dans le domaine de l'IA.</w:t>
            </w:r>
          </w:p>
          <w:p w14:paraId="1C57C499" w14:textId="77777777" w:rsidR="00D72F49" w:rsidRPr="00D51AAA" w:rsidRDefault="00D72F49" w:rsidP="00D72F49">
            <w:pPr>
              <w:spacing w:before="160"/>
              <w:rPr>
                <w:caps/>
                <w:sz w:val="22"/>
              </w:rPr>
            </w:pPr>
            <w:r w:rsidRPr="00D51AAA">
              <w:rPr>
                <w:sz w:val="22"/>
              </w:rPr>
              <w:t>__________________</w:t>
            </w:r>
          </w:p>
          <w:p w14:paraId="6E1DEE4E" w14:textId="77777777" w:rsidR="00D72F49" w:rsidRPr="00D51AAA" w:rsidRDefault="00D72F49" w:rsidP="00D72F49">
            <w:pPr>
              <w:spacing w:before="160"/>
              <w:rPr>
                <w:b/>
                <w:bCs/>
                <w:sz w:val="26"/>
                <w:szCs w:val="26"/>
              </w:rPr>
            </w:pPr>
            <w:r w:rsidRPr="00D51AAA">
              <w:rPr>
                <w:b/>
                <w:bCs/>
                <w:sz w:val="26"/>
                <w:szCs w:val="26"/>
              </w:rPr>
              <w:t>Références</w:t>
            </w:r>
          </w:p>
          <w:p w14:paraId="0D4C268B" w14:textId="56FD39FD" w:rsidR="00D72F49" w:rsidRPr="00D51AAA" w:rsidRDefault="00AC1477" w:rsidP="00D72F49">
            <w:pPr>
              <w:spacing w:after="160"/>
              <w:rPr>
                <w:i/>
                <w:iCs/>
              </w:rPr>
            </w:pPr>
            <w:r w:rsidRPr="00D51AAA">
              <w:rPr>
                <w:i/>
                <w:iCs/>
              </w:rPr>
              <w:t xml:space="preserve">Document </w:t>
            </w:r>
            <w:hyperlink r:id="rId6" w:history="1">
              <w:r w:rsidRPr="00D51AAA">
                <w:rPr>
                  <w:rStyle w:val="Hyperlink"/>
                  <w:i/>
                  <w:iCs/>
                </w:rPr>
                <w:t>C2</w:t>
              </w:r>
              <w:r w:rsidRPr="00D51AAA">
                <w:rPr>
                  <w:rStyle w:val="Hyperlink"/>
                  <w:i/>
                  <w:iCs/>
                </w:rPr>
                <w:t>4</w:t>
              </w:r>
              <w:r w:rsidRPr="00D51AAA">
                <w:rPr>
                  <w:rStyle w:val="Hyperlink"/>
                  <w:i/>
                  <w:iCs/>
                </w:rPr>
                <w:t>/INF/15</w:t>
              </w:r>
            </w:hyperlink>
          </w:p>
        </w:tc>
      </w:tr>
    </w:tbl>
    <w:p w14:paraId="40CA3630" w14:textId="77777777" w:rsidR="00A51849" w:rsidRPr="00D51AAA" w:rsidRDefault="00A51849">
      <w:pPr>
        <w:tabs>
          <w:tab w:val="clear" w:pos="567"/>
          <w:tab w:val="clear" w:pos="1134"/>
          <w:tab w:val="clear" w:pos="1701"/>
          <w:tab w:val="clear" w:pos="2268"/>
          <w:tab w:val="clear" w:pos="2835"/>
        </w:tabs>
        <w:overflowPunct/>
        <w:autoSpaceDE/>
        <w:autoSpaceDN/>
        <w:adjustRightInd/>
        <w:spacing w:before="0"/>
        <w:textAlignment w:val="auto"/>
      </w:pPr>
      <w:r w:rsidRPr="00D51AAA">
        <w:br w:type="page"/>
      </w:r>
    </w:p>
    <w:p w14:paraId="37496A20" w14:textId="77777777" w:rsidR="000C20A4" w:rsidRPr="00D51AAA" w:rsidRDefault="000C20A4" w:rsidP="000C20A4">
      <w:r w:rsidRPr="00D51AAA">
        <w:lastRenderedPageBreak/>
        <w:t>Depuis 2017, l'UIT est à l'avant-garde de l'intelligence artificielle (IA), l'objectif étant de faire en sorte que cette technologie accélère les progrès vers la réalisation des Objectifs de développement durable (ODD) fixés par les Nations Unies et contribue à la connectivité universelle et à la transformation numérique durable.</w:t>
      </w:r>
    </w:p>
    <w:p w14:paraId="16790BF8" w14:textId="0C8583E8" w:rsidR="000C20A4" w:rsidRPr="00D51AAA" w:rsidRDefault="000C20A4" w:rsidP="000C20A4">
      <w:r w:rsidRPr="00D51AAA">
        <w:t>L'Union met en œuvre un programme ambitieux sur l'IA, guidé par la Résolution 214 (Bucarest, 2022) de la Conférence de plénipotentiaires et renforcé par la nouvelle Résolution </w:t>
      </w:r>
      <w:hyperlink r:id="rId7" w:history="1">
        <w:r w:rsidRPr="00D51AAA">
          <w:rPr>
            <w:rStyle w:val="Hyperlink"/>
          </w:rPr>
          <w:t>A/</w:t>
        </w:r>
        <w:r w:rsidRPr="00D51AAA">
          <w:rPr>
            <w:rStyle w:val="Hyperlink"/>
          </w:rPr>
          <w:t>7</w:t>
        </w:r>
        <w:r w:rsidRPr="00D51AAA">
          <w:rPr>
            <w:rStyle w:val="Hyperlink"/>
          </w:rPr>
          <w:t>8</w:t>
        </w:r>
        <w:r w:rsidRPr="00D51AAA">
          <w:rPr>
            <w:rStyle w:val="Hyperlink"/>
          </w:rPr>
          <w:t>/L.49</w:t>
        </w:r>
      </w:hyperlink>
      <w:r w:rsidRPr="00D51AAA">
        <w:t xml:space="preserve"> de l'Assemblée générale des Nations Unies, qui fera date. Ces </w:t>
      </w:r>
      <w:r w:rsidR="00000FB0" w:rsidRPr="00D51AAA">
        <w:t>R</w:t>
      </w:r>
      <w:r w:rsidRPr="00D51AAA">
        <w:t>ésolutions sur l'IA soulignent la nécessité de développer des systèmes d'IA sûrs, sécurisés et dignes de confiance pour le développement durable.</w:t>
      </w:r>
    </w:p>
    <w:p w14:paraId="3CCCE15E" w14:textId="77777777" w:rsidR="000C20A4" w:rsidRPr="00D51AAA" w:rsidRDefault="000C20A4" w:rsidP="000C20A4">
      <w:r w:rsidRPr="00D51AAA">
        <w:t>L'UIT compte plus de 220 normes sur l'IA qui sont publiées ou en cours d'élaboration. Les travaux qu'elle mène bénéficient de l'appui de ses nombreux membres et sont renforcés à la faveur d'une collaboration avec l'Organisation internationale de normalisation (ISO) et la Commission électrotechnique internationale (CEI), ses partenaires dans le cadre de la Coopération en matière de normalisation mondiale. En outre, la coordination s'étend à d'autres organismes de normalisation et institutions des Nations Unies tels que l'Organisation mondiale de la santé (OMS), l'Organisation mondiale de la propriété intellectuelle (OMPI), l'Organisation des Nations Unies pour l'alimentation et l'agriculture (FAO), l'Organisation météorologique mondiale (OMM), le Programme des Nations Unies pour l'environnement (PNUE) et la Commission économique des Nations Unies pour l'Europe (CEE).</w:t>
      </w:r>
    </w:p>
    <w:p w14:paraId="140997C3" w14:textId="4A025749" w:rsidR="00F6387E" w:rsidRPr="00D51AAA" w:rsidRDefault="000C20A4" w:rsidP="000C20A4">
      <w:r w:rsidRPr="00D51AAA">
        <w:t xml:space="preserve">La plate-forme sur </w:t>
      </w:r>
      <w:r w:rsidR="000150A8" w:rsidRPr="00D51AAA">
        <w:t>l'</w:t>
      </w:r>
      <w:hyperlink r:id="rId8" w:history="1">
        <w:r w:rsidR="000150A8" w:rsidRPr="00D51AAA">
          <w:rPr>
            <w:rStyle w:val="Hyperlink"/>
          </w:rPr>
          <w:t xml:space="preserve">IA au service du </w:t>
        </w:r>
        <w:r w:rsidR="000150A8" w:rsidRPr="00D51AAA">
          <w:rPr>
            <w:rStyle w:val="Hyperlink"/>
          </w:rPr>
          <w:t>b</w:t>
        </w:r>
        <w:r w:rsidR="000150A8" w:rsidRPr="00D51AAA">
          <w:rPr>
            <w:rStyle w:val="Hyperlink"/>
          </w:rPr>
          <w:t>ien social</w:t>
        </w:r>
      </w:hyperlink>
      <w:r w:rsidRPr="00D51AAA">
        <w:t>, fondée par l'UIT et appuyée par</w:t>
      </w:r>
      <w:r w:rsidR="00883636" w:rsidRPr="00D51AAA">
        <w:t> </w:t>
      </w:r>
      <w:r w:rsidRPr="00D51AAA">
        <w:t>40</w:t>
      </w:r>
      <w:r w:rsidR="00025D3F" w:rsidRPr="00D51AAA">
        <w:t> </w:t>
      </w:r>
      <w:r w:rsidRPr="00D51AAA">
        <w:t>partenaires des Nations Unies, est au cœur des efforts déployés par l'Union pour mettre l'IA au service de la réalisation des ODD.</w:t>
      </w:r>
    </w:p>
    <w:p w14:paraId="4E0DFE82" w14:textId="72C1E8B7" w:rsidR="000C20A4" w:rsidRPr="00D51AAA" w:rsidRDefault="000C20A4" w:rsidP="000C20A4">
      <w:r w:rsidRPr="00D51AAA">
        <w:t>En outre, l'UIT copréside le Groupe de travail interinstitutions sur l'IA (GTI-IA) du Conseil des chefs de secrétariat des organismes des Nations Unies pour la coordination – Comité de haut niveau sur les programmes, aux côtés de l'Organisation des Nations Unies pour l'éducation, la science et la culture (UNESCO), encourageant ainsi la coordination à l'échelle du système des Nations Unies et la cohérence des politiques en matière d'IA dans le cadre de l'appui fourni aux États Membres et aux autres parties prenantes.</w:t>
      </w:r>
    </w:p>
    <w:p w14:paraId="09E9A76F" w14:textId="77777777" w:rsidR="000C20A4" w:rsidRPr="00D51AAA" w:rsidRDefault="000C20A4" w:rsidP="000C20A4">
      <w:r w:rsidRPr="00D51AAA">
        <w:t>Le programme du Colloque mondial des régulateurs de 2024 (GSR-24) prévoit des sessions dédiées aux régulateurs sur l'utilisation de l'IA et de la robotique pour produire des retombées positives.</w:t>
      </w:r>
    </w:p>
    <w:p w14:paraId="2F40D35A" w14:textId="090DD6B6" w:rsidR="00F6387E" w:rsidRPr="00D51AAA" w:rsidRDefault="000C20A4" w:rsidP="000C20A4">
      <w:r w:rsidRPr="00D51AAA">
        <w:t xml:space="preserve">Alors que la demande d'activités liées à l'IA augmente sensiblement, l'UIT adapte ses programmes pour répondre aux besoins à l'échelle mondiale. Le présent rapport vise à décrire </w:t>
      </w:r>
      <w:r w:rsidR="008E50AC" w:rsidRPr="00D51AAA">
        <w:t xml:space="preserve">en </w:t>
      </w:r>
      <w:r w:rsidRPr="00D51AAA">
        <w:t>détail le rôle joué par l'UIT pour tirer parti des avantages qu'offre l'IA tout en réduisant autant que possible les risques associés, en accompagnant ses membres, ses partenaires des Nations Unies et les autres parties prenantes de l'IA dans leurs travaux visant à assurer un avenir durable.</w:t>
      </w:r>
    </w:p>
    <w:p w14:paraId="2FCC1A2F" w14:textId="4F0FE13D" w:rsidR="000C20A4" w:rsidRPr="00D51AAA" w:rsidRDefault="000C20A4" w:rsidP="000C20A4">
      <w:pPr>
        <w:pStyle w:val="Headingb"/>
      </w:pPr>
      <w:r w:rsidRPr="00D51AAA">
        <w:lastRenderedPageBreak/>
        <w:t>Élaboration de normes sur l'IA</w:t>
      </w:r>
    </w:p>
    <w:p w14:paraId="44153C64" w14:textId="7111FFC7" w:rsidR="000C20A4" w:rsidRPr="00D51AAA" w:rsidRDefault="000C20A4" w:rsidP="00025D3F">
      <w:pPr>
        <w:keepNext/>
        <w:keepLines/>
      </w:pPr>
      <w:r w:rsidRPr="00D51AAA">
        <w:t>Dans sa quête de connectivité universelle et de transformation numérique durable, l'UIT a élaboré des normes relatives à l'utilisation de l'IA pour l'orchestration des réseaux 5G et des réseaux futurs, l'innovation multimédia, l'évaluation et l'amélioration de la qualité des services numériques et l'amélioration de l'efficacité énergétique, pour ne citer que ces exemples. Ces efforts sont renforcés par une collaboration étroite avec d'autres organismes de normalisation et des partenaires des Nations Unies, afin de soutenir l'élaboration et la publication d'une série complète de normes dans divers domaines.</w:t>
      </w:r>
    </w:p>
    <w:p w14:paraId="7DBA8E75" w14:textId="77777777" w:rsidR="000C20A4" w:rsidRPr="00D51AAA" w:rsidRDefault="000C20A4" w:rsidP="000C20A4">
      <w:r w:rsidRPr="00D51AAA">
        <w:t>Il convient notamment de citer les exemples suivants:</w:t>
      </w:r>
    </w:p>
    <w:p w14:paraId="78F81F4D" w14:textId="40093773" w:rsidR="000C20A4" w:rsidRPr="00D51AAA" w:rsidRDefault="00883636" w:rsidP="000C20A4">
      <w:pPr>
        <w:pStyle w:val="enumlev1"/>
      </w:pPr>
      <w:r w:rsidRPr="00D51AAA">
        <w:t>•</w:t>
      </w:r>
      <w:r w:rsidR="000C20A4" w:rsidRPr="00D51AAA">
        <w:tab/>
        <w:t xml:space="preserve">En partenariat avec l'OMS, l'UIT a publié </w:t>
      </w:r>
      <w:hyperlink r:id="rId9" w:history="1">
        <w:r w:rsidR="000C20A4" w:rsidRPr="00D51AAA">
          <w:rPr>
            <w:rStyle w:val="Hyperlink"/>
          </w:rPr>
          <w:t>35 spécific</w:t>
        </w:r>
        <w:r w:rsidR="000C20A4" w:rsidRPr="00D51AAA">
          <w:rPr>
            <w:rStyle w:val="Hyperlink"/>
          </w:rPr>
          <w:t>a</w:t>
        </w:r>
        <w:r w:rsidR="000C20A4" w:rsidRPr="00D51AAA">
          <w:rPr>
            <w:rStyle w:val="Hyperlink"/>
          </w:rPr>
          <w:t>tions et rapports sur l'IA dans le secteur des soins de santé</w:t>
        </w:r>
      </w:hyperlink>
      <w:r w:rsidR="000C20A4" w:rsidRPr="00D51AAA">
        <w:t xml:space="preserve"> par l'intermédiaire du Groupe spécialisé du Secteur de la normalisation de l'UIT (UIT-T) sur l'IA au service de la santé (FG-AI4H), qui traitent de questions d'ordre technique ainsi que de questions d'éthique et de gouvernance.</w:t>
      </w:r>
    </w:p>
    <w:p w14:paraId="61D5D677" w14:textId="09DC3104" w:rsidR="000C20A4" w:rsidRPr="00D51AAA" w:rsidRDefault="00883636" w:rsidP="000C20A4">
      <w:pPr>
        <w:pStyle w:val="enumlev1"/>
      </w:pPr>
      <w:r w:rsidRPr="00D51AAA">
        <w:t>•</w:t>
      </w:r>
      <w:r w:rsidR="000C20A4" w:rsidRPr="00D51AAA">
        <w:tab/>
        <w:t xml:space="preserve">La collaboration entre l'UIT et la FAO a permis de publier des </w:t>
      </w:r>
      <w:hyperlink r:id="rId10" w:history="1">
        <w:r w:rsidR="000C20A4" w:rsidRPr="00D51AAA">
          <w:rPr>
            <w:rStyle w:val="Hyperlink"/>
          </w:rPr>
          <w:t>normes su</w:t>
        </w:r>
        <w:r w:rsidR="000C20A4" w:rsidRPr="00D51AAA">
          <w:rPr>
            <w:rStyle w:val="Hyperlink"/>
          </w:rPr>
          <w:t>r</w:t>
        </w:r>
        <w:r w:rsidR="000C20A4" w:rsidRPr="00D51AAA">
          <w:rPr>
            <w:rStyle w:val="Hyperlink"/>
          </w:rPr>
          <w:t xml:space="preserve"> l'utilisation de l'IA et de l'Internet des objets (IoT) dans l'agriculture, afin de renforcer par là-même la sécurité alimentaire et la durabilité</w:t>
        </w:r>
      </w:hyperlink>
      <w:r w:rsidR="000C20A4" w:rsidRPr="00D51AAA">
        <w:t>.</w:t>
      </w:r>
    </w:p>
    <w:p w14:paraId="6391790E" w14:textId="430F4BA5" w:rsidR="000C20A4" w:rsidRPr="00D51AAA" w:rsidRDefault="00883636" w:rsidP="000C20A4">
      <w:pPr>
        <w:pStyle w:val="enumlev1"/>
      </w:pPr>
      <w:r w:rsidRPr="00D51AAA">
        <w:t>•</w:t>
      </w:r>
      <w:r w:rsidR="000C20A4" w:rsidRPr="00D51AAA">
        <w:tab/>
        <w:t xml:space="preserve">En collaboration avec l'OMM et le PNUE, l'UIT a élaboré des </w:t>
      </w:r>
      <w:hyperlink r:id="rId11" w:history="1">
        <w:r w:rsidR="000C20A4" w:rsidRPr="00D51AAA">
          <w:rPr>
            <w:rStyle w:val="Hyperlink"/>
          </w:rPr>
          <w:t>normes r</w:t>
        </w:r>
        <w:r w:rsidR="000C20A4" w:rsidRPr="00D51AAA">
          <w:rPr>
            <w:rStyle w:val="Hyperlink"/>
          </w:rPr>
          <w:t>e</w:t>
        </w:r>
        <w:r w:rsidR="000C20A4" w:rsidRPr="00D51AAA">
          <w:rPr>
            <w:rStyle w:val="Hyperlink"/>
          </w:rPr>
          <w:t>latives à l'utilisation de l'IA dans la gestion des catastrophes naturelles</w:t>
        </w:r>
      </w:hyperlink>
      <w:r w:rsidR="000C20A4" w:rsidRPr="00D51AAA">
        <w:t>.</w:t>
      </w:r>
    </w:p>
    <w:p w14:paraId="5EDE0884" w14:textId="51A960E8" w:rsidR="000C20A4" w:rsidRPr="00D51AAA" w:rsidRDefault="00883636" w:rsidP="000C20A4">
      <w:pPr>
        <w:pStyle w:val="enumlev1"/>
      </w:pPr>
      <w:r w:rsidRPr="00D51AAA">
        <w:t>•</w:t>
      </w:r>
      <w:r w:rsidR="000C20A4" w:rsidRPr="00D51AAA">
        <w:tab/>
        <w:t>Le Groupe spécialisé sur l'IA au service de la conduite autonome a élaboré un rapport intitulé "</w:t>
      </w:r>
      <w:hyperlink r:id="rId12" w:history="1">
        <w:r w:rsidR="000C20A4" w:rsidRPr="00D51AAA">
          <w:rPr>
            <w:rStyle w:val="Hyperlink"/>
          </w:rPr>
          <w:t>Protocole de données relative</w:t>
        </w:r>
        <w:r w:rsidR="000C20A4" w:rsidRPr="00D51AAA">
          <w:rPr>
            <w:rStyle w:val="Hyperlink"/>
          </w:rPr>
          <w:t>s</w:t>
        </w:r>
        <w:r w:rsidR="000C20A4" w:rsidRPr="00D51AAA">
          <w:rPr>
            <w:rStyle w:val="Hyperlink"/>
          </w:rPr>
          <w:t xml:space="preserve"> à la sécurité de la conduite automatisée</w:t>
        </w:r>
        <w:r w:rsidR="00CD26B2" w:rsidRPr="00D51AAA">
          <w:rPr>
            <w:rStyle w:val="Hyperlink"/>
          </w:rPr>
          <w:t> </w:t>
        </w:r>
        <w:r w:rsidR="000C20A4" w:rsidRPr="00D51AAA">
          <w:rPr>
            <w:rStyle w:val="Hyperlink"/>
          </w:rPr>
          <w:t>–</w:t>
        </w:r>
        <w:r w:rsidR="00CD26B2" w:rsidRPr="00D51AAA">
          <w:rPr>
            <w:rStyle w:val="Hyperlink"/>
          </w:rPr>
          <w:t> </w:t>
        </w:r>
        <w:r w:rsidR="008E50AC" w:rsidRPr="00D51AAA">
          <w:rPr>
            <w:rStyle w:val="Hyperlink"/>
          </w:rPr>
          <w:t xml:space="preserve">Aspects </w:t>
        </w:r>
        <w:r w:rsidR="000C20A4" w:rsidRPr="00D51AAA">
          <w:rPr>
            <w:rStyle w:val="Hyperlink"/>
          </w:rPr>
          <w:t>éthiques et juridiques de la surveillance continue</w:t>
        </w:r>
      </w:hyperlink>
      <w:r w:rsidR="000C20A4" w:rsidRPr="00D51AAA">
        <w:t>".</w:t>
      </w:r>
    </w:p>
    <w:p w14:paraId="06F9A884" w14:textId="79518E41" w:rsidR="000C20A4" w:rsidRPr="00D51AAA" w:rsidRDefault="000C20A4" w:rsidP="000C20A4">
      <w:r w:rsidRPr="00D51AAA">
        <w:t>La Commission d'études 13 de l'UIT-T (Réseaux futurs) tient à jour la feuille de route sur la normalisation de l'IA, y compris les normes existantes et les normes en cours d'élaboration par divers organismes de normalisation. Cette feuille de route donne un aperçu des normes de l'UIT relatives à l'IA et des textes associés élaborés par les commissions d'études de l'UIT</w:t>
      </w:r>
      <w:r w:rsidR="00CD26B2" w:rsidRPr="00D51AAA">
        <w:noBreakHyphen/>
      </w:r>
      <w:r w:rsidRPr="00D51AAA">
        <w:t>T. Pour plus d'informations, veuillez consulter la page suivante:</w:t>
      </w:r>
    </w:p>
    <w:p w14:paraId="32C28D65" w14:textId="3E5C2AAC" w:rsidR="000C20A4" w:rsidRPr="00D51AAA" w:rsidRDefault="00883636" w:rsidP="000C20A4">
      <w:pPr>
        <w:pStyle w:val="enumlev1"/>
      </w:pPr>
      <w:r w:rsidRPr="00D51AAA">
        <w:t>•</w:t>
      </w:r>
      <w:r w:rsidR="000C20A4" w:rsidRPr="00D51AAA">
        <w:tab/>
      </w:r>
      <w:hyperlink r:id="rId13" w:history="1">
        <w:r w:rsidR="000C20A4" w:rsidRPr="00D51AAA">
          <w:rPr>
            <w:rStyle w:val="Hyperlink"/>
          </w:rPr>
          <w:t>Supplém</w:t>
        </w:r>
        <w:r w:rsidR="000C20A4" w:rsidRPr="00D51AAA">
          <w:rPr>
            <w:rStyle w:val="Hyperlink"/>
          </w:rPr>
          <w:t>e</w:t>
        </w:r>
        <w:r w:rsidR="000C20A4" w:rsidRPr="00D51AAA">
          <w:rPr>
            <w:rStyle w:val="Hyperlink"/>
          </w:rPr>
          <w:t>nt 72 aux Recommandations UIT-T de la série Y.3000 – Feuille de route sur la normalisation de l'intelligence artificielle (11/22)</w:t>
        </w:r>
      </w:hyperlink>
      <w:r w:rsidR="000C20A4" w:rsidRPr="00D51AAA">
        <w:t>.</w:t>
      </w:r>
    </w:p>
    <w:p w14:paraId="3E1ACE57" w14:textId="4DCC6B24" w:rsidR="00F6387E" w:rsidRPr="00D51AAA" w:rsidRDefault="000C20A4" w:rsidP="000C20A4">
      <w:r w:rsidRPr="00D51AAA">
        <w:t>La Commission d'études 16 de l'UIT-T élabore actuellement de nouvelles normes qui serviront de cadre à l'authentification des contenus multimédias. Ce projet est également appuyé par des initiatives menées en collaboration avec l'ISO et la CEI, par exemple l'</w:t>
      </w:r>
      <w:hyperlink r:id="rId14" w:history="1">
        <w:r w:rsidRPr="00D51AAA">
          <w:rPr>
            <w:rStyle w:val="Hyperlink"/>
          </w:rPr>
          <w:t>atelier sur la technique du filigranage appliq</w:t>
        </w:r>
        <w:r w:rsidRPr="00D51AAA">
          <w:rPr>
            <w:rStyle w:val="Hyperlink"/>
          </w:rPr>
          <w:t>u</w:t>
        </w:r>
        <w:r w:rsidRPr="00D51AAA">
          <w:rPr>
            <w:rStyle w:val="Hyperlink"/>
          </w:rPr>
          <w:t>ée à l'IA et l</w:t>
        </w:r>
        <w:r w:rsidRPr="00D51AAA">
          <w:rPr>
            <w:rStyle w:val="Hyperlink"/>
          </w:rPr>
          <w:t>'</w:t>
        </w:r>
        <w:r w:rsidRPr="00D51AAA">
          <w:rPr>
            <w:rStyle w:val="Hyperlink"/>
          </w:rPr>
          <w:t>authenticité des contenus multimédias</w:t>
        </w:r>
      </w:hyperlink>
      <w:r w:rsidRPr="00D51AAA">
        <w:t>, qui se tiendra lors du Sommet mondial sur l'IA au service du bien social à Genève en mai</w:t>
      </w:r>
      <w:r w:rsidR="00025D3F" w:rsidRPr="00D51AAA">
        <w:t> </w:t>
      </w:r>
      <w:r w:rsidRPr="00D51AAA">
        <w:t>2024.</w:t>
      </w:r>
    </w:p>
    <w:p w14:paraId="4B3CF7B3" w14:textId="64F8F6A4" w:rsidR="000C20A4" w:rsidRPr="00D51AAA" w:rsidRDefault="000C20A4" w:rsidP="002B1D89">
      <w:pPr>
        <w:pStyle w:val="Headingb"/>
      </w:pPr>
      <w:r w:rsidRPr="00D51AAA">
        <w:t>Appui au déploiement de l'IA et au renforcement des capacités dans ce domaine</w:t>
      </w:r>
    </w:p>
    <w:p w14:paraId="7CF767DD" w14:textId="77777777" w:rsidR="000C20A4" w:rsidRPr="00D51AAA" w:rsidRDefault="000C20A4" w:rsidP="000C20A4">
      <w:r w:rsidRPr="00D51AAA">
        <w:t>L'UIT s'emploie à doter les pays du monde entier des connaissances et des outils nécessaires pour tirer parti de l'IA, afin de faire en sorte que les avantages qui en découlent soient accessibles sur un pied d'égalité à tous les habitants de la planète.</w:t>
      </w:r>
    </w:p>
    <w:p w14:paraId="3A588152" w14:textId="77777777" w:rsidR="000C20A4" w:rsidRPr="00D51AAA" w:rsidRDefault="000C20A4" w:rsidP="00025D3F">
      <w:pPr>
        <w:keepNext/>
        <w:keepLines/>
      </w:pPr>
      <w:r w:rsidRPr="00D51AAA">
        <w:lastRenderedPageBreak/>
        <w:t>Dans le cadre de ses travaux, que ce soit avant ou pendant le processus de normalisation, l'UIT a développé une conception commune des politiques, de la réglementation et des technologies relatives à l'IA. Dans ce contexte, l'Union a proposé, en partenariat avec l'OMS, des formations sur une utilisation éthique de l'IA dans le secteur des soins de santé, collaboré avec la FAO à l'élaboration d'un kit pratique sur l'IA au service de l'agriculture et organisé des hackathons et des formations sur le thème de l'utilisation de l'IA pour la préparation en prévision des catastrophes, en collaboration avec l'OMM et le PNUE.</w:t>
      </w:r>
    </w:p>
    <w:p w14:paraId="70660053" w14:textId="51B1DE9C" w:rsidR="000C20A4" w:rsidRPr="00D51AAA" w:rsidRDefault="000C20A4" w:rsidP="000C20A4">
      <w:r w:rsidRPr="00D51AAA">
        <w:t>Le futur cadre de préparation à l'IA et le programme "</w:t>
      </w:r>
      <w:hyperlink r:id="rId15" w:history="1">
        <w:r w:rsidRPr="00D51AAA">
          <w:rPr>
            <w:rStyle w:val="Hyperlink"/>
          </w:rPr>
          <w:t>L'IA au service du bie</w:t>
        </w:r>
        <w:r w:rsidRPr="00D51AAA">
          <w:rPr>
            <w:rStyle w:val="Hyperlink"/>
          </w:rPr>
          <w:t>n</w:t>
        </w:r>
        <w:r w:rsidRPr="00D51AAA">
          <w:rPr>
            <w:rStyle w:val="Hyperlink"/>
          </w:rPr>
          <w:t xml:space="preserve"> social – Innover pour produire des effets</w:t>
        </w:r>
      </w:hyperlink>
      <w:r w:rsidRPr="00D51AAA">
        <w:t xml:space="preserve">", qui a été lancé récemment, sont conçus pour améliorer la maîtrise de l'IA dans le monde, échanger des bonnes pratiques et favoriser l'innovation en adéquation avec les ODD. Dans le cadre du </w:t>
      </w:r>
      <w:hyperlink r:id="rId16" w:history="1">
        <w:r w:rsidRPr="00D51AAA">
          <w:rPr>
            <w:rStyle w:val="Hyperlink"/>
          </w:rPr>
          <w:t>projet G</w:t>
        </w:r>
        <w:r w:rsidRPr="00D51AAA">
          <w:rPr>
            <w:rStyle w:val="Hyperlink"/>
          </w:rPr>
          <w:t>i</w:t>
        </w:r>
        <w:r w:rsidRPr="00D51AAA">
          <w:rPr>
            <w:rStyle w:val="Hyperlink"/>
          </w:rPr>
          <w:t>ga, mis en œuvre conjointement par l'UIT et l'UNESCO</w:t>
        </w:r>
      </w:hyperlink>
      <w:r w:rsidRPr="00D51AAA">
        <w:t>, l'IA est utilisée de manière stratégique pour développer la connectivité Internet en vue de connecter les écoles du monde entier.</w:t>
      </w:r>
    </w:p>
    <w:p w14:paraId="142772AE" w14:textId="0EE396C3" w:rsidR="000C20A4" w:rsidRPr="00D51AAA" w:rsidRDefault="000C20A4" w:rsidP="000C20A4">
      <w:r w:rsidRPr="00D51AAA">
        <w:t xml:space="preserve">Les initiatives de l'Union dans le domaine de l'IA au service du bien social, notamment la </w:t>
      </w:r>
      <w:hyperlink r:id="rId17" w:history="1">
        <w:r w:rsidRPr="00D51AAA">
          <w:rPr>
            <w:rStyle w:val="Hyperlink"/>
          </w:rPr>
          <w:t>plate-forme de réseau neuronal pour la mise en correspondance intelligente</w:t>
        </w:r>
      </w:hyperlink>
      <w:r w:rsidRPr="00D51AAA">
        <w:t>, qui compte</w:t>
      </w:r>
      <w:r w:rsidR="00025D3F" w:rsidRPr="00D51AAA">
        <w:t> </w:t>
      </w:r>
      <w:r w:rsidRPr="00D51AAA">
        <w:t>27</w:t>
      </w:r>
      <w:r w:rsidR="00025D3F" w:rsidRPr="00D51AAA">
        <w:t> </w:t>
      </w:r>
      <w:r w:rsidRPr="00D51AAA">
        <w:t>000 membres de plus de 180 pays, le Cadre "AI4G Infinity", un puissant outil complet et pratique qui vise à accompagner les entreprises, les start-up, les établissements universitaires et les décideurs participant à la chaîne de valeur de l'IA, et le Programme</w:t>
      </w:r>
      <w:r w:rsidR="00025D3F" w:rsidRPr="00D51AAA">
        <w:t xml:space="preserve"> </w:t>
      </w:r>
      <w:r w:rsidRPr="00D51AAA">
        <w:t>"AI</w:t>
      </w:r>
      <w:r w:rsidR="00025D3F" w:rsidRPr="00D51AAA">
        <w:t> </w:t>
      </w:r>
      <w:r w:rsidRPr="00D51AAA">
        <w:t>Scholar", destiné aux spécialistes de l'IA, visent à renforcer les capacités dans ce domaine. L'équipe de l'initiative sur l'IA au service du bien social encadre actuellement des projets utilisant l'IA pour transformer des webinaires sur l'IA au service du bien social en cours universitaires et fournira un service de "copilote sur les normes relatives à l'IA" pour aider à l'élaboration de normes de l'UIT, afin de promouvoir l'acquisition de compétences et l'utilisation de l'IA au profit de tous.</w:t>
      </w:r>
    </w:p>
    <w:p w14:paraId="099B64A0" w14:textId="77777777" w:rsidR="00F6387E" w:rsidRPr="00D51AAA" w:rsidRDefault="000C20A4" w:rsidP="000C20A4">
      <w:r w:rsidRPr="00D51AAA">
        <w:t>L'initiative "</w:t>
      </w:r>
      <w:hyperlink r:id="rId18" w:history="1">
        <w:r w:rsidRPr="00D51AAA">
          <w:rPr>
            <w:rStyle w:val="Hyperlink"/>
          </w:rPr>
          <w:t>Alerte précoce pour tous</w:t>
        </w:r>
      </w:hyperlink>
      <w:r w:rsidRPr="00D51AAA">
        <w:t>", placée sous la direction de l'OMM, du Bureau des Nations Unies pour la prévention des catastrophes (UNDRR) et de l'UIT, vise à faire en sorte que chaque personne sur Terre soit protégée par des systèmes d'alerte avancée d'ici à 2027. L'UIT coordonne le sous-groupe sur l'IA qui recouvre plusieurs piliers, en collaboration avec des partenaires techniques tels que Google, Microsoft, Planet et le Comité international de la Croix-Rouge (CICR), entre autres.</w:t>
      </w:r>
    </w:p>
    <w:p w14:paraId="3C3085AD" w14:textId="256AB480" w:rsidR="000C20A4" w:rsidRPr="00D51AAA" w:rsidRDefault="000C20A4" w:rsidP="000C20A4">
      <w:r w:rsidRPr="00D51AAA">
        <w:t>De plus, le programme de l'UIT sur la réduction de l'écart en matière de normalisation (BSG) a contribué à ces efforts, des bourses ayant été offertes aux lauréats africains des concours de robotique et d'apprentissage automatique organisés dans le cadre de la manifestation sur l'IA au service du bien social, pour les aider à prendre part à l'édition de 2024 au Sommet mondial sur l'IA au service du bien.</w:t>
      </w:r>
    </w:p>
    <w:p w14:paraId="2C850F72" w14:textId="77777777" w:rsidR="000C20A4" w:rsidRPr="00D51AAA" w:rsidRDefault="000C20A4" w:rsidP="002B1D89">
      <w:pPr>
        <w:pStyle w:val="Headingb"/>
      </w:pPr>
      <w:r w:rsidRPr="00D51AAA">
        <w:lastRenderedPageBreak/>
        <w:t>Gouvernance, politiques et assistance réglementaire en matière d'IA</w:t>
      </w:r>
    </w:p>
    <w:p w14:paraId="496D3D72" w14:textId="77777777" w:rsidR="00F6387E" w:rsidRPr="00D51AAA" w:rsidRDefault="000C20A4" w:rsidP="00883636">
      <w:pPr>
        <w:keepNext/>
        <w:keepLines/>
      </w:pPr>
      <w:r w:rsidRPr="00D51AAA">
        <w:t xml:space="preserve">La prochaine </w:t>
      </w:r>
      <w:hyperlink r:id="rId19" w:anchor="day0" w:history="1">
        <w:r w:rsidRPr="00D51AAA">
          <w:rPr>
            <w:rStyle w:val="Hyperlink"/>
          </w:rPr>
          <w:t>journée consacrée à la gouvernance de l'IA, placée sur le thème "Des principes à la mise en œuvre"</w:t>
        </w:r>
      </w:hyperlink>
      <w:r w:rsidRPr="00D51AAA">
        <w:t xml:space="preserve"> et organisée dans le cadre du Sommet sur l'IA au service du bien social, vise à réunir des responsables gouvernementaux, des décideurs, des chercheurs et des technologues afin de mettre en commun les efforts, d'optimiser l'utilisation des travaux existants et des travaux en cours sur les cadres de gouvernance de l'IA, et de faciliter l'échange de connaissances sur les politiques, la réglementation et la mise en œuvre de l'IA entre tous les États Membres et toutes les parties prenantes de l'UIT. Cette journée devrait rassembler près de 70 ministres et chefs d'autorités chargées de la réglementation et associera des parties prenantes souvent exclues d'autres processus sur la gouvernance de l'IA, telles que les pays en développement et les membres de la société civile.</w:t>
      </w:r>
    </w:p>
    <w:p w14:paraId="34781BB8" w14:textId="77777777" w:rsidR="00F6387E" w:rsidRPr="00D51AAA" w:rsidRDefault="000C20A4" w:rsidP="000C20A4">
      <w:r w:rsidRPr="00D51AAA">
        <w:t>L'engagement de l'UIT à réduire les disparités en matière d'IA est illustré par les résultats du Forum mondial des politiques de télécommunication/TIC de 2021 et le programme du Colloque mondial des régulateurs de 2024, qui comprend un volet sur l'IA et la robotique, organisé par l'équipe de l'initiative sur l'IA au service du bien social. En septembre 2023, l'UIT a initié l'</w:t>
      </w:r>
      <w:hyperlink r:id="rId20" w:history="1">
        <w:r w:rsidRPr="00D51AAA">
          <w:rPr>
            <w:rStyle w:val="Hyperlink"/>
          </w:rPr>
          <w:t>enquête sur l'environnement de l'IA</w:t>
        </w:r>
      </w:hyperlink>
      <w:r w:rsidRPr="00D51AAA">
        <w:t xml:space="preserve"> auprès des États Membres, afin de recueillir des informations sur leurs initiatives politiques et réglementaires relatives à l'IA et sur la manière dont ces activités s'inscrivent dans le cadre des efforts déployés en faveur de la transformation numérique. Des réponses ont été reçues de 69 États Membres, dont 12 pays développés et 57 pays en développement, parmi lesquels 10 pays figurant dans la catégorie des pays les moins avancés. Les résultats de l'enquête révèlent de grandes lacunes en matière de stratégies axées sur l'IA parmi les États Membres, tout en mettant en relief une tendance notable visant à intégrer l'IA dans les efforts en faveur de la transformation numérique.</w:t>
      </w:r>
    </w:p>
    <w:p w14:paraId="0A8DBBBD" w14:textId="7EDB0C69" w:rsidR="000C20A4" w:rsidRPr="00D51AAA" w:rsidRDefault="000C20A4" w:rsidP="002B1D89">
      <w:pPr>
        <w:pStyle w:val="Headingb"/>
      </w:pPr>
      <w:r w:rsidRPr="00D51AAA">
        <w:t>Coordination à l'échelle du système des Nations Unies sur l'IA</w:t>
      </w:r>
    </w:p>
    <w:p w14:paraId="7A67EACB" w14:textId="7A6A7D35" w:rsidR="000C20A4" w:rsidRPr="00D51AAA" w:rsidRDefault="000C20A4" w:rsidP="000C20A4">
      <w:r w:rsidRPr="00D51AAA">
        <w:t>Le Groupe de travail interinstitutions sur l'IA (GTI-IA) du Conseil des chefs de secrétariat des organismes des Nations Unies pour la coordination – Comité de haut niveau sur les programmes, coprésidé par l'UIT et l'UNESCO, dirige un vaste effort de coordination entre plus de 40 entités des Nations Unies et a mis au point des initiatives d'envergure, telles que l'initiative sur les principes relatifs à une utilisation éthique de l'IA dans l'ensemble du système des Nations Unies.</w:t>
      </w:r>
    </w:p>
    <w:p w14:paraId="7BE0FCD4" w14:textId="77777777" w:rsidR="00F6387E" w:rsidRPr="00D51AAA" w:rsidRDefault="000C20A4" w:rsidP="000C20A4">
      <w:r w:rsidRPr="00D51AAA">
        <w:t xml:space="preserve">Le Comité de haut niveau sur les programmes et le Conseil des chefs de secrétariat ont approuvé un </w:t>
      </w:r>
      <w:hyperlink r:id="rId21" w:history="1">
        <w:r w:rsidRPr="00D51AAA">
          <w:rPr>
            <w:rStyle w:val="Hyperlink"/>
          </w:rPr>
          <w:t>livre blanc</w:t>
        </w:r>
      </w:hyperlink>
      <w:r w:rsidRPr="00D51AAA">
        <w:t>, élaboré par le GTI-IA, dans lequel les auteurs analysent les modèles institutionnels actuellement en vigueur à l'échelle des Nations Unies et les fonctions connexes, ainsi que les cadres normatifs internationaux existants dans le système des Nations Unies qui pourraient être appliqués ou exploités pour la gouvernance internationale de l'IA.</w:t>
      </w:r>
    </w:p>
    <w:p w14:paraId="021799C8" w14:textId="77777777" w:rsidR="00F6387E" w:rsidRPr="00D51AAA" w:rsidRDefault="000C20A4" w:rsidP="000C20A4">
      <w:r w:rsidRPr="00D51AAA">
        <w:t>Le livre blanc a recensé plus de 50 instruments qui pourraient déjà être appliqués ou étendus aux efforts déployés à l'échelle internationale en faveur de la gouvernance de l'IA.</w:t>
      </w:r>
    </w:p>
    <w:p w14:paraId="5A6E2160" w14:textId="0150569E" w:rsidR="000C20A4" w:rsidRPr="00D51AAA" w:rsidRDefault="000C20A4" w:rsidP="000C20A4">
      <w:r w:rsidRPr="00D51AAA">
        <w:t xml:space="preserve">De plus, en tirant parti des membres du Groupe GTI-IA et des partenaires des Nations Unies pour l'IA au service du bien social, l'UIT coordonne les contributions et prépare le rapport annuel sur les activités des Nations Unies relatives à l'IA, qui constitue un répertoire interactif. À l'heure actuelle, 396 projets dans le domaine de l'IA de 47 institutions sont répertoriés. Ces projets, qui couvrent l'ensemble des 17 ODD au moyen de produits </w:t>
      </w:r>
      <w:r w:rsidRPr="00D51AAA">
        <w:lastRenderedPageBreak/>
        <w:t>principalement sous forme d'outils logiciels et de rapports, portent sur des sujets tels que les droits de l'homme, l'éthique et la justice, l'environnement, l'agriculture, la santé, l'éducation, l'égalité hommes-femmes et les télécommunications, et sont mis en œuvre dans le cadre d'une collaboration avec le système des Nations Unies, les États Membres, les établissements universitaires et le secteur privé.</w:t>
      </w:r>
    </w:p>
    <w:p w14:paraId="4E034C39" w14:textId="77777777" w:rsidR="000C20A4" w:rsidRPr="00D51AAA" w:rsidRDefault="000C20A4" w:rsidP="008046FA">
      <w:pPr>
        <w:pStyle w:val="Headingb"/>
        <w:tabs>
          <w:tab w:val="clear" w:pos="567"/>
        </w:tabs>
        <w:ind w:left="0" w:firstLine="0"/>
      </w:pPr>
      <w:r w:rsidRPr="00D51AAA">
        <w:t>Organe consultatif de haut niveau sur l'IA créé à l'initiative du Secrétaire général de l'Organisation des Nations Unies</w:t>
      </w:r>
    </w:p>
    <w:p w14:paraId="6F8FF335" w14:textId="37937DE0" w:rsidR="000C20A4" w:rsidRPr="00D51AAA" w:rsidRDefault="000C20A4" w:rsidP="000C20A4">
      <w:r w:rsidRPr="00D51AAA">
        <w:t>En octobre 2023, le Secrétaire général de l'Organisation des Nations Unies (ONU) a créé un Organe consultatif de haut niveau sur l'IA composé de diverses parties prenantes et chargé d'entreprendre des analyses et de formuler des recommandations pour la gouvernance internationale de l'IA. L'Organe consultatif a publié un rapport intérimaire en décembre</w:t>
      </w:r>
      <w:r w:rsidR="002C0DC0" w:rsidRPr="00D51AAA">
        <w:t> </w:t>
      </w:r>
      <w:r w:rsidRPr="00D51AAA">
        <w:t>2023, dont une version finale est attendue plus tard cette année.</w:t>
      </w:r>
    </w:p>
    <w:p w14:paraId="0072238E" w14:textId="28E42867" w:rsidR="000C20A4" w:rsidRPr="00D51AAA" w:rsidRDefault="000C20A4" w:rsidP="000C20A4">
      <w:r w:rsidRPr="00D51AAA">
        <w:t>En mars 2024, l'UIT a accueilli des membres de l'Organe consultatif à son siège à Genève. Ces derniers ont été invités à prendre part à l'édition de 2024 du Sommet sur l'IA au service du bien social et assisteront à cette occasion à diverses sessions. Le livre blanc du Groupe</w:t>
      </w:r>
      <w:r w:rsidR="002C0DC0" w:rsidRPr="00D51AAA">
        <w:t> </w:t>
      </w:r>
      <w:r w:rsidRPr="00D51AAA">
        <w:t>GTI-IA a été soumis à l'Organe consultatif pour qu'il l'examine dans le cadre de la préparation de son rapport final et des conclusions préliminaires ont été soumises en décembre.</w:t>
      </w:r>
    </w:p>
    <w:p w14:paraId="35CAB642" w14:textId="77777777" w:rsidR="000C20A4" w:rsidRPr="00D51AAA" w:rsidRDefault="000C20A4" w:rsidP="002C0DC0">
      <w:pPr>
        <w:pStyle w:val="Headingb"/>
      </w:pPr>
      <w:r w:rsidRPr="00D51AAA">
        <w:t>Collaboration multipartite via la plate-forme sur l'IA au service du bien social</w:t>
      </w:r>
    </w:p>
    <w:p w14:paraId="091795B0" w14:textId="77777777" w:rsidR="00F6387E" w:rsidRPr="00D51AAA" w:rsidRDefault="000C20A4" w:rsidP="000C20A4">
      <w:r w:rsidRPr="00D51AAA">
        <w:t>La plate-forme sur l'IA au service du bien social est devenue un outil puissant pour encourager les partenariats public-privé, faciliter l'échange de connaissances et aider les pays en développement à parvenir à un développement durable grâce à l'application pratique de cas d'utilisation de l'IA très prometteurs.</w:t>
      </w:r>
    </w:p>
    <w:p w14:paraId="7B976455" w14:textId="77777777" w:rsidR="00F6387E" w:rsidRPr="00D51AAA" w:rsidRDefault="000C20A4" w:rsidP="000C20A4">
      <w:r w:rsidRPr="00D51AAA">
        <w:t>Conçue initialement en 2017 sous la forme d'un sommet annuel, l'initiative sur l'IA au service du bien social est désormais une plate-forme consultable "tout au long de l'année, toujours en ligne", qui accueille plus de 150 manifestations en ligne par an, en plus d'un sommet annuel à Genève. Cette évolution a non seulement permis de renforcer la visibilité de l'UIT au sein de la communauté des acteurs de l'IA et d'attirer de nouveaux membres, mais a également suscité une large couverture médiatique internationale de la part de médias d'envergure, tels que la BBC, Wired et CNN.</w:t>
      </w:r>
    </w:p>
    <w:p w14:paraId="7BD88D7A" w14:textId="68D62D5E" w:rsidR="000C20A4" w:rsidRPr="00D51AAA" w:rsidRDefault="000C20A4" w:rsidP="000C20A4">
      <w:r w:rsidRPr="00D51AAA">
        <w:t xml:space="preserve">Grâce à ses </w:t>
      </w:r>
      <w:hyperlink r:id="rId22" w:history="1">
        <w:r w:rsidRPr="00D51AAA">
          <w:rPr>
            <w:rStyle w:val="Hyperlink"/>
          </w:rPr>
          <w:t>initiatives sur l'IA au service du bien social</w:t>
        </w:r>
      </w:hyperlink>
      <w:r w:rsidRPr="00D51AAA">
        <w:t xml:space="preserve">, telles que le concours sur les </w:t>
      </w:r>
      <w:hyperlink r:id="rId23" w:history="1">
        <w:r w:rsidRPr="00D51AAA">
          <w:rPr>
            <w:rStyle w:val="Hyperlink"/>
          </w:rPr>
          <w:t>start-up</w:t>
        </w:r>
      </w:hyperlink>
      <w:r w:rsidRPr="00D51AAA">
        <w:t xml:space="preserve"> et la </w:t>
      </w:r>
      <w:hyperlink r:id="rId24" w:history="1">
        <w:r w:rsidRPr="00D51AAA">
          <w:rPr>
            <w:rStyle w:val="Hyperlink"/>
          </w:rPr>
          <w:t>robotique</w:t>
        </w:r>
      </w:hyperlink>
      <w:r w:rsidRPr="00D51AAA">
        <w:t xml:space="preserve"> dans le domaine de l'IA, les </w:t>
      </w:r>
      <w:hyperlink r:id="rId25" w:history="1">
        <w:r w:rsidRPr="00D51AAA">
          <w:rPr>
            <w:rStyle w:val="Hyperlink"/>
          </w:rPr>
          <w:t>défis en matière d'apprentissage automatique</w:t>
        </w:r>
      </w:hyperlink>
      <w:r w:rsidRPr="00D51AAA">
        <w:t xml:space="preserve"> et le </w:t>
      </w:r>
      <w:hyperlink r:id="rId26" w:history="1">
        <w:r w:rsidRPr="00D51AAA">
          <w:rPr>
            <w:rStyle w:val="Hyperlink"/>
          </w:rPr>
          <w:t>Journal de l'UIT</w:t>
        </w:r>
      </w:hyperlink>
      <w:r w:rsidRPr="00D51AAA">
        <w:t>, l'Union est en train de rassembler des connaissances et des cas d'utilisation de l'IA ayant une incidence sur les ODD. À l'avenir, ce répertoire permettra à l'UIT de constituer et d'alimenter une véritable mine de connaissances, afin de promouvoir le développement durable dans le droit fil des ODD.</w:t>
      </w:r>
    </w:p>
    <w:p w14:paraId="30A79EB0" w14:textId="77777777" w:rsidR="00F6387E" w:rsidRPr="00D51AAA" w:rsidRDefault="000C20A4" w:rsidP="000C20A4">
      <w:r w:rsidRPr="00D51AAA">
        <w:t>La nouvelle initiative "</w:t>
      </w:r>
      <w:hyperlink r:id="rId27" w:history="1">
        <w:r w:rsidRPr="00D51AAA">
          <w:rPr>
            <w:rStyle w:val="Hyperlink"/>
          </w:rPr>
          <w:t>L'IA au service du bien social pour produire des effets</w:t>
        </w:r>
      </w:hyperlink>
      <w:r w:rsidRPr="00D51AAA">
        <w:t>" jouera un rôle crucial dans la mobilisation des ressources nécessaires pour élargir les applications de l'IA à l'échelle mondiale, afin de faire en sorte que des progrès équitables soient accomplis au regard de tous les ODD, quelle que soit la région concernée.</w:t>
      </w:r>
    </w:p>
    <w:p w14:paraId="6AA12B23" w14:textId="79F11460" w:rsidR="000C20A4" w:rsidRPr="00D51AAA" w:rsidRDefault="000C20A4" w:rsidP="00883636">
      <w:pPr>
        <w:keepNext/>
        <w:keepLines/>
      </w:pPr>
      <w:r w:rsidRPr="00D51AAA">
        <w:lastRenderedPageBreak/>
        <w:t xml:space="preserve">En partenariat avec la </w:t>
      </w:r>
      <w:hyperlink r:id="rId28" w:history="1">
        <w:r w:rsidRPr="00D51AAA">
          <w:rPr>
            <w:rStyle w:val="Hyperlink"/>
          </w:rPr>
          <w:t>Coalition pour le numérique Partner2Connect</w:t>
        </w:r>
      </w:hyperlink>
      <w:r w:rsidRPr="00D51AAA">
        <w:t>, l'UIT sollicite des contributions de divers secteurs pour des projets et des engagements financiers, en mettant l'accent sur l'accès aux technologies et à la connectivité grâce à l'IA et en accélérant son adoption par le renforcement des compétences et l'inclusion numérique.</w:t>
      </w:r>
    </w:p>
    <w:p w14:paraId="4400D7FF" w14:textId="77777777" w:rsidR="000C20A4" w:rsidRPr="00D51AAA" w:rsidRDefault="000C20A4" w:rsidP="00A6268E">
      <w:pPr>
        <w:pStyle w:val="Headingb"/>
      </w:pPr>
      <w:r w:rsidRPr="00D51AAA">
        <w:t>Demande pour plus d'activités</w:t>
      </w:r>
    </w:p>
    <w:p w14:paraId="1CF10BB2" w14:textId="77777777" w:rsidR="00F6387E" w:rsidRPr="00D51AAA" w:rsidRDefault="000C20A4" w:rsidP="000C20A4">
      <w:r w:rsidRPr="00D51AAA">
        <w:t>L'UIT enregistre de plus en plus de demandes d'appui concernant les politiques et le renforcement des capacités, ainsi que son initiative sur l'IA au service du bien social, ce qui montre que son utilité est reconnue à l'échelle mondiale.</w:t>
      </w:r>
    </w:p>
    <w:p w14:paraId="36DAD8E7" w14:textId="77777777" w:rsidR="00F6387E" w:rsidRPr="00D51AAA" w:rsidRDefault="000C20A4" w:rsidP="000C20A4">
      <w:r w:rsidRPr="00D51AAA">
        <w:t>À la demande du Gouvernement indien, et pour la première fois dans le cadre de l'initiative "L'IA au service du bien social pour produire des effets", une manifestation régionale sera organisée en Inde, sur le thème "AI for Good Impact India", en marge de l'Assemblée mondiale de normalisation des télécommunications de 2024 (AMNT-24) qui se tiendra à New Delhi.</w:t>
      </w:r>
    </w:p>
    <w:p w14:paraId="3FB56952" w14:textId="665A722B" w:rsidR="000C20A4" w:rsidRPr="00D51AAA" w:rsidRDefault="000C20A4" w:rsidP="000C20A4">
      <w:r w:rsidRPr="00D51AAA">
        <w:t>Il existe une forte demande pour que des manifestations régionales similaires soient accueillies par les membres.</w:t>
      </w:r>
    </w:p>
    <w:p w14:paraId="288D9BA4" w14:textId="2D965238" w:rsidR="006A11AE" w:rsidRPr="00D51AAA" w:rsidRDefault="000C20A4" w:rsidP="000C20A4">
      <w:r w:rsidRPr="00D51AAA">
        <w:t>L'initiative de l'UIT sur l'IA au service du bien social est encore largement financée par des représentants du secteur privé. La demande croissante d'appui à l'utilisation de l'IA, comme indiqué ci-dessus (renforcement des capacités, formations et élaboration de ressources éducatives) nécessite des ressources supplémentaires. À cet égard, le Secrétariat invite les États Membres à appuyer ces travaux au moyen de contributions volontaires.</w:t>
      </w:r>
    </w:p>
    <w:p w14:paraId="0BF19886" w14:textId="77777777" w:rsidR="00897553" w:rsidRPr="00D51AAA" w:rsidRDefault="006A11AE" w:rsidP="00883636">
      <w:pPr>
        <w:spacing w:before="480"/>
        <w:jc w:val="center"/>
      </w:pPr>
      <w:r w:rsidRPr="00D51AAA">
        <w:t>______________</w:t>
      </w:r>
    </w:p>
    <w:sectPr w:rsidR="00897553" w:rsidRPr="00D51AAA" w:rsidSect="00D72F49">
      <w:headerReference w:type="even" r:id="rId29"/>
      <w:footerReference w:type="even" r:id="rId30"/>
      <w:footerReference w:type="default" r:id="rId31"/>
      <w:headerReference w:type="first" r:id="rId32"/>
      <w:footerReference w:type="first" r:id="rId33"/>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C2E0" w14:textId="77777777" w:rsidR="00DF37D6" w:rsidRDefault="00DF37D6">
      <w:r>
        <w:separator/>
      </w:r>
    </w:p>
  </w:endnote>
  <w:endnote w:type="continuationSeparator" w:id="0">
    <w:p w14:paraId="5B12D6D7" w14:textId="77777777" w:rsidR="00DF37D6" w:rsidRDefault="00DF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8663" w14:textId="4D1F6591" w:rsidR="00732045" w:rsidRDefault="00883636">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000FB0">
      <w:t>23.05.24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0257E0E" w14:textId="77777777" w:rsidTr="00E31DCE">
      <w:trPr>
        <w:jc w:val="center"/>
      </w:trPr>
      <w:tc>
        <w:tcPr>
          <w:tcW w:w="1803" w:type="dxa"/>
          <w:vAlign w:val="center"/>
        </w:tcPr>
        <w:p w14:paraId="4827C44D" w14:textId="52A5C8B0" w:rsidR="00A51849" w:rsidRDefault="00A51849" w:rsidP="00A51849">
          <w:pPr>
            <w:pStyle w:val="Header"/>
            <w:jc w:val="left"/>
            <w:rPr>
              <w:noProof/>
            </w:rPr>
          </w:pPr>
        </w:p>
      </w:tc>
      <w:tc>
        <w:tcPr>
          <w:tcW w:w="8261" w:type="dxa"/>
        </w:tcPr>
        <w:p w14:paraId="38A29471" w14:textId="0BD3EB12"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C1477">
            <w:rPr>
              <w:bCs/>
            </w:rPr>
            <w:t>67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4961B21B" w14:textId="3D10E141"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5F119D1" w14:textId="77777777" w:rsidTr="00E31DCE">
      <w:trPr>
        <w:jc w:val="center"/>
      </w:trPr>
      <w:tc>
        <w:tcPr>
          <w:tcW w:w="1803" w:type="dxa"/>
          <w:vAlign w:val="center"/>
        </w:tcPr>
        <w:p w14:paraId="0176C36A" w14:textId="77777777" w:rsidR="00A51849" w:rsidRPr="0082299A" w:rsidRDefault="00D51AAA"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4337A8C" w14:textId="6925883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AC1477">
            <w:rPr>
              <w:bCs/>
            </w:rPr>
            <w:t>67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0D781469" w14:textId="45828DA7"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F581" w14:textId="77777777" w:rsidR="00DF37D6" w:rsidRDefault="00DF37D6">
      <w:r>
        <w:t>____________________</w:t>
      </w:r>
    </w:p>
  </w:footnote>
  <w:footnote w:type="continuationSeparator" w:id="0">
    <w:p w14:paraId="4054A411" w14:textId="77777777" w:rsidR="00DF37D6" w:rsidRDefault="00DF3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68B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24D1212"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59A8A318" w14:textId="77777777" w:rsidTr="00E31DCE">
      <w:trPr>
        <w:trHeight w:val="1104"/>
        <w:jc w:val="center"/>
      </w:trPr>
      <w:tc>
        <w:tcPr>
          <w:tcW w:w="4390" w:type="dxa"/>
          <w:vAlign w:val="center"/>
        </w:tcPr>
        <w:p w14:paraId="7FE113E7"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D322763" wp14:editId="081E0046">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78C57DC6" w14:textId="77777777" w:rsidR="00A51849" w:rsidRDefault="00A51849" w:rsidP="00A51849">
          <w:pPr>
            <w:pStyle w:val="Header"/>
            <w:jc w:val="right"/>
            <w:rPr>
              <w:rFonts w:ascii="Arial" w:hAnsi="Arial" w:cs="Arial"/>
              <w:b/>
              <w:bCs/>
              <w:color w:val="009CD6"/>
              <w:szCs w:val="18"/>
            </w:rPr>
          </w:pPr>
        </w:p>
        <w:p w14:paraId="4B7714AF" w14:textId="77777777" w:rsidR="00A51849" w:rsidRDefault="00A51849" w:rsidP="00A51849">
          <w:pPr>
            <w:pStyle w:val="Header"/>
            <w:jc w:val="right"/>
            <w:rPr>
              <w:rFonts w:ascii="Arial" w:hAnsi="Arial" w:cs="Arial"/>
              <w:b/>
              <w:bCs/>
              <w:color w:val="009CD6"/>
              <w:szCs w:val="18"/>
            </w:rPr>
          </w:pPr>
        </w:p>
        <w:p w14:paraId="32614BE0"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585BDF0"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1FD21ED" wp14:editId="670B1FD1">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93E51"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00FB0"/>
    <w:rsid w:val="000150A8"/>
    <w:rsid w:val="00025D3F"/>
    <w:rsid w:val="00076A2C"/>
    <w:rsid w:val="000C20A4"/>
    <w:rsid w:val="000D0D0A"/>
    <w:rsid w:val="000D16A7"/>
    <w:rsid w:val="00103163"/>
    <w:rsid w:val="00106B19"/>
    <w:rsid w:val="001133EF"/>
    <w:rsid w:val="00115D93"/>
    <w:rsid w:val="001247A8"/>
    <w:rsid w:val="00134C6F"/>
    <w:rsid w:val="001378C0"/>
    <w:rsid w:val="0018694A"/>
    <w:rsid w:val="001A3287"/>
    <w:rsid w:val="001A6508"/>
    <w:rsid w:val="001D4C31"/>
    <w:rsid w:val="001E4D21"/>
    <w:rsid w:val="00207CD1"/>
    <w:rsid w:val="00226657"/>
    <w:rsid w:val="002477A2"/>
    <w:rsid w:val="00263A51"/>
    <w:rsid w:val="00267E02"/>
    <w:rsid w:val="002A5D44"/>
    <w:rsid w:val="002B1D89"/>
    <w:rsid w:val="002C0DC0"/>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046FA"/>
    <w:rsid w:val="0082299A"/>
    <w:rsid w:val="0083391C"/>
    <w:rsid w:val="00861D73"/>
    <w:rsid w:val="00883636"/>
    <w:rsid w:val="00897553"/>
    <w:rsid w:val="008A4E87"/>
    <w:rsid w:val="008D76E6"/>
    <w:rsid w:val="008E50AC"/>
    <w:rsid w:val="008F697D"/>
    <w:rsid w:val="0092392D"/>
    <w:rsid w:val="0093234A"/>
    <w:rsid w:val="00956A78"/>
    <w:rsid w:val="0097363B"/>
    <w:rsid w:val="00973F53"/>
    <w:rsid w:val="009A6BAA"/>
    <w:rsid w:val="009C307F"/>
    <w:rsid w:val="009C353C"/>
    <w:rsid w:val="00A2113E"/>
    <w:rsid w:val="00A23A51"/>
    <w:rsid w:val="00A24607"/>
    <w:rsid w:val="00A25CD3"/>
    <w:rsid w:val="00A51849"/>
    <w:rsid w:val="00A6268E"/>
    <w:rsid w:val="00A709FE"/>
    <w:rsid w:val="00A73C60"/>
    <w:rsid w:val="00A82767"/>
    <w:rsid w:val="00AA332F"/>
    <w:rsid w:val="00AA7BBB"/>
    <w:rsid w:val="00AB64A8"/>
    <w:rsid w:val="00AC0266"/>
    <w:rsid w:val="00AC1477"/>
    <w:rsid w:val="00AD24EC"/>
    <w:rsid w:val="00B309F9"/>
    <w:rsid w:val="00B32B60"/>
    <w:rsid w:val="00B61619"/>
    <w:rsid w:val="00BB4545"/>
    <w:rsid w:val="00BD5873"/>
    <w:rsid w:val="00BF4B60"/>
    <w:rsid w:val="00C04BE3"/>
    <w:rsid w:val="00C25D29"/>
    <w:rsid w:val="00C27A7C"/>
    <w:rsid w:val="00C42437"/>
    <w:rsid w:val="00CA08ED"/>
    <w:rsid w:val="00CD26B2"/>
    <w:rsid w:val="00CF183B"/>
    <w:rsid w:val="00D375CD"/>
    <w:rsid w:val="00D51AAA"/>
    <w:rsid w:val="00D553A2"/>
    <w:rsid w:val="00D72F49"/>
    <w:rsid w:val="00D774D3"/>
    <w:rsid w:val="00D904E8"/>
    <w:rsid w:val="00DA08C3"/>
    <w:rsid w:val="00DB5A3E"/>
    <w:rsid w:val="00DC22AA"/>
    <w:rsid w:val="00DF37D6"/>
    <w:rsid w:val="00DF74DD"/>
    <w:rsid w:val="00E25AD0"/>
    <w:rsid w:val="00E4428F"/>
    <w:rsid w:val="00E93668"/>
    <w:rsid w:val="00E95647"/>
    <w:rsid w:val="00EB6350"/>
    <w:rsid w:val="00F15B57"/>
    <w:rsid w:val="00F35EF4"/>
    <w:rsid w:val="00F37FE5"/>
    <w:rsid w:val="00F427DB"/>
    <w:rsid w:val="00F6387E"/>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DDE95"/>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AC1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T-REC-Y.Sup72-202211-I/fr" TargetMode="External"/><Relationship Id="rId18" Type="http://schemas.openxmlformats.org/officeDocument/2006/relationships/hyperlink" Target="https://www.itu.int/en/ITU-D/Emergency-Telecommunications/Pages/Early-Warnings-for-All-Initiative.aspx" TargetMode="External"/><Relationship Id="rId26" Type="http://schemas.openxmlformats.org/officeDocument/2006/relationships/hyperlink" Target="https://www.itu.int/en/journal/j-fet/Pages/default.aspx" TargetMode="External"/><Relationship Id="rId3" Type="http://schemas.openxmlformats.org/officeDocument/2006/relationships/webSettings" Target="webSettings.xml"/><Relationship Id="rId21" Type="http://schemas.openxmlformats.org/officeDocument/2006/relationships/hyperlink" Target="https://unsceb.org/united-nations-system-white-paper-ai-governance" TargetMode="External"/><Relationship Id="rId34" Type="http://schemas.openxmlformats.org/officeDocument/2006/relationships/fontTable" Target="fontTable.xml"/><Relationship Id="rId7" Type="http://schemas.openxmlformats.org/officeDocument/2006/relationships/hyperlink" Target="https://undocs.org/Home/Mobile?FinalSymbol=A%2F78%2FL.49&amp;Language=E&amp;DeviceType=Desktop&amp;LangRequested=False" TargetMode="External"/><Relationship Id="rId12" Type="http://schemas.openxmlformats.org/officeDocument/2006/relationships/hyperlink" Target="https://www.itu.int/pub/T-FG-AI4AD-2021-02/fr" TargetMode="External"/><Relationship Id="rId17" Type="http://schemas.openxmlformats.org/officeDocument/2006/relationships/hyperlink" Target="https://aiforgood.itu.int/neural-network/" TargetMode="External"/><Relationship Id="rId25" Type="http://schemas.openxmlformats.org/officeDocument/2006/relationships/hyperlink" Target="https://aiforgood.itu.int/about-ai-for-good/aiml-in-5g-challenge/"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itu.int/fr/ITU-D/Initiatives/GIGA/Pages/default.aspx" TargetMode="External"/><Relationship Id="rId20" Type="http://schemas.openxmlformats.org/officeDocument/2006/relationships/hyperlink" Target="https://aiforgood.itu.int/ai-landscape-survey/"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itu.int/md/S24-CL-INF-0015/fr" TargetMode="External"/><Relationship Id="rId11" Type="http://schemas.openxmlformats.org/officeDocument/2006/relationships/hyperlink" Target="https://www.itu.int/en/ITU-T/focusgroups/ai4ndm/Pages/default.aspx" TargetMode="External"/><Relationship Id="rId24" Type="http://schemas.openxmlformats.org/officeDocument/2006/relationships/hyperlink" Target="https://aiforgood.itu.int/robotics-for-good-youth-challenge/"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aiforgood.itu.int/innovate-for-impact/" TargetMode="External"/><Relationship Id="rId23" Type="http://schemas.openxmlformats.org/officeDocument/2006/relationships/hyperlink" Target="https://aiforgood.itu.int/about-ai-for-good/innovation-factory/" TargetMode="External"/><Relationship Id="rId28" Type="http://schemas.openxmlformats.org/officeDocument/2006/relationships/hyperlink" Target="https://www.itu.int/itu-d/sites/partner2connect/fr/" TargetMode="External"/><Relationship Id="rId10" Type="http://schemas.openxmlformats.org/officeDocument/2006/relationships/hyperlink" Target="https://www.itu.int/en/ITU-T/focusgroups/ai4a/Pages/default.aspx" TargetMode="External"/><Relationship Id="rId19" Type="http://schemas.openxmlformats.org/officeDocument/2006/relationships/hyperlink" Target="https://aiforgood.itu.int/summit24/programme/"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en/ITU-T/focusgroups/ai4h/Pages/default.aspx" TargetMode="External"/><Relationship Id="rId14" Type="http://schemas.openxmlformats.org/officeDocument/2006/relationships/hyperlink" Target="https://aiforgood.itu.int/event/detecting-deepfakes-and-generative-ai-standards-for-ai-watermarking-and-multimedia-authenticity/" TargetMode="External"/><Relationship Id="rId22" Type="http://schemas.openxmlformats.org/officeDocument/2006/relationships/hyperlink" Target="https://aiforgood.itu.int/programme-ai-for-good/" TargetMode="External"/><Relationship Id="rId27" Type="http://schemas.openxmlformats.org/officeDocument/2006/relationships/hyperlink" Target="https://aiforgood.itu.int/impact-initiative/"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aiforgood.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2872</Words>
  <Characters>17511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20343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15</cp:revision>
  <cp:lastPrinted>2000-07-18T08:55:00Z</cp:lastPrinted>
  <dcterms:created xsi:type="dcterms:W3CDTF">2024-05-23T13:57:00Z</dcterms:created>
  <dcterms:modified xsi:type="dcterms:W3CDTF">2024-05-23T15:19:00Z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