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DC2D25" w:rsidRPr="00C34460" w14:paraId="0043AC80" w14:textId="77777777">
        <w:trPr>
          <w:cantSplit/>
          <w:trHeight w:val="23"/>
        </w:trPr>
        <w:tc>
          <w:tcPr>
            <w:tcW w:w="3969" w:type="dxa"/>
            <w:vMerge w:val="restart"/>
            <w:tcMar>
              <w:left w:w="0" w:type="dxa"/>
            </w:tcMar>
          </w:tcPr>
          <w:p w14:paraId="60A806D3" w14:textId="7E357ED9" w:rsidR="00DC2D25" w:rsidRDefault="00A323F1">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roofErr w:type="spellStart"/>
            <w:r>
              <w:rPr>
                <w:b/>
              </w:rPr>
              <w:t>议项</w:t>
            </w:r>
            <w:proofErr w:type="spellEnd"/>
            <w:r>
              <w:rPr>
                <w:b/>
              </w:rPr>
              <w:t>：</w:t>
            </w:r>
            <w:r>
              <w:rPr>
                <w:b/>
              </w:rPr>
              <w:t>PL 2</w:t>
            </w:r>
          </w:p>
        </w:tc>
        <w:tc>
          <w:tcPr>
            <w:tcW w:w="5245" w:type="dxa"/>
          </w:tcPr>
          <w:p w14:paraId="291AB2A2" w14:textId="20D24853" w:rsidR="00DC2D25" w:rsidRPr="00C34460" w:rsidRDefault="000F523F">
            <w:pPr>
              <w:tabs>
                <w:tab w:val="left" w:pos="851"/>
              </w:tabs>
              <w:spacing w:before="0" w:line="240" w:lineRule="atLeast"/>
              <w:jc w:val="right"/>
              <w:rPr>
                <w:rFonts w:asciiTheme="minorHAnsi" w:hAnsiTheme="minorHAnsi" w:cstheme="minorHAnsi"/>
                <w:b/>
                <w:lang w:eastAsia="zh-CN"/>
              </w:rPr>
            </w:pPr>
            <w:proofErr w:type="spellStart"/>
            <w:r w:rsidRPr="00C34460">
              <w:rPr>
                <w:rFonts w:asciiTheme="minorHAnsi" w:hAnsiTheme="minorHAnsi" w:cstheme="minorHAnsi"/>
                <w:b/>
              </w:rPr>
              <w:t>文件</w:t>
            </w:r>
            <w:proofErr w:type="spellEnd"/>
            <w:r w:rsidR="00A323F1" w:rsidRPr="00C34460">
              <w:rPr>
                <w:rFonts w:asciiTheme="minorHAnsi" w:hAnsiTheme="minorHAnsi" w:cstheme="minorHAnsi"/>
                <w:b/>
              </w:rPr>
              <w:t>C24/69</w:t>
            </w:r>
            <w:r w:rsidRPr="00C34460">
              <w:rPr>
                <w:rFonts w:asciiTheme="minorHAnsi" w:hAnsiTheme="minorHAnsi" w:cstheme="minorHAnsi"/>
                <w:b/>
                <w:lang w:eastAsia="zh-CN"/>
              </w:rPr>
              <w:t>-C</w:t>
            </w:r>
          </w:p>
        </w:tc>
      </w:tr>
      <w:tr w:rsidR="00DC2D25" w14:paraId="789B45BA" w14:textId="77777777">
        <w:trPr>
          <w:cantSplit/>
        </w:trPr>
        <w:tc>
          <w:tcPr>
            <w:tcW w:w="3969" w:type="dxa"/>
            <w:vMerge/>
          </w:tcPr>
          <w:p w14:paraId="3F3D4E17" w14:textId="77777777" w:rsidR="00DC2D25" w:rsidRDefault="00DC2D25">
            <w:pPr>
              <w:tabs>
                <w:tab w:val="left" w:pos="851"/>
              </w:tabs>
              <w:spacing w:line="240" w:lineRule="atLeast"/>
              <w:rPr>
                <w:b/>
              </w:rPr>
            </w:pPr>
            <w:bookmarkStart w:id="6" w:name="ddate" w:colFirst="1" w:colLast="1"/>
            <w:bookmarkEnd w:id="0"/>
            <w:bookmarkEnd w:id="1"/>
          </w:p>
        </w:tc>
        <w:tc>
          <w:tcPr>
            <w:tcW w:w="5245" w:type="dxa"/>
          </w:tcPr>
          <w:p w14:paraId="2DE9ACEA" w14:textId="519FCA51" w:rsidR="00DC2D25" w:rsidRDefault="00A323F1">
            <w:pPr>
              <w:tabs>
                <w:tab w:val="left" w:pos="851"/>
              </w:tabs>
              <w:spacing w:before="0"/>
              <w:jc w:val="right"/>
              <w:rPr>
                <w:b/>
                <w:lang w:eastAsia="zh-CN"/>
              </w:rPr>
            </w:pPr>
            <w:r>
              <w:rPr>
                <w:b/>
              </w:rPr>
              <w:t>2024</w:t>
            </w:r>
            <w:r w:rsidR="000F523F">
              <w:rPr>
                <w:rFonts w:hint="eastAsia"/>
                <w:b/>
                <w:lang w:eastAsia="zh-CN"/>
              </w:rPr>
              <w:t>年</w:t>
            </w:r>
            <w:r w:rsidR="000F523F">
              <w:rPr>
                <w:rFonts w:hint="eastAsia"/>
                <w:b/>
                <w:lang w:eastAsia="zh-CN"/>
              </w:rPr>
              <w:t>5</w:t>
            </w:r>
            <w:r w:rsidR="000F523F">
              <w:rPr>
                <w:rFonts w:hint="eastAsia"/>
                <w:b/>
                <w:lang w:eastAsia="zh-CN"/>
              </w:rPr>
              <w:t>月</w:t>
            </w:r>
            <w:r w:rsidR="000F523F">
              <w:rPr>
                <w:rFonts w:hint="eastAsia"/>
                <w:b/>
                <w:lang w:eastAsia="zh-CN"/>
              </w:rPr>
              <w:t>6</w:t>
            </w:r>
            <w:r w:rsidR="000F523F">
              <w:rPr>
                <w:rFonts w:hint="eastAsia"/>
                <w:b/>
                <w:lang w:eastAsia="zh-CN"/>
              </w:rPr>
              <w:t>日</w:t>
            </w:r>
          </w:p>
        </w:tc>
      </w:tr>
      <w:tr w:rsidR="00DC2D25" w14:paraId="58A84C4A" w14:textId="77777777">
        <w:trPr>
          <w:cantSplit/>
          <w:trHeight w:val="23"/>
        </w:trPr>
        <w:tc>
          <w:tcPr>
            <w:tcW w:w="3969" w:type="dxa"/>
            <w:vMerge/>
          </w:tcPr>
          <w:p w14:paraId="77CEDDAA" w14:textId="77777777" w:rsidR="00DC2D25" w:rsidRDefault="00DC2D25">
            <w:pPr>
              <w:tabs>
                <w:tab w:val="left" w:pos="851"/>
              </w:tabs>
              <w:spacing w:line="240" w:lineRule="atLeast"/>
              <w:rPr>
                <w:b/>
              </w:rPr>
            </w:pPr>
            <w:bookmarkStart w:id="7" w:name="dorlang" w:colFirst="1" w:colLast="1"/>
            <w:bookmarkEnd w:id="6"/>
          </w:p>
        </w:tc>
        <w:tc>
          <w:tcPr>
            <w:tcW w:w="5245" w:type="dxa"/>
          </w:tcPr>
          <w:p w14:paraId="561AAE94" w14:textId="77777777" w:rsidR="00DC2D25" w:rsidRDefault="00A323F1">
            <w:pPr>
              <w:tabs>
                <w:tab w:val="left" w:pos="851"/>
              </w:tabs>
              <w:spacing w:before="0" w:line="240" w:lineRule="atLeast"/>
              <w:jc w:val="right"/>
              <w:rPr>
                <w:b/>
              </w:rPr>
            </w:pPr>
            <w:r>
              <w:rPr>
                <w:b/>
              </w:rPr>
              <w:t>原文：英文</w:t>
            </w:r>
          </w:p>
        </w:tc>
      </w:tr>
      <w:tr w:rsidR="00DC2D25" w14:paraId="12C5EF5F" w14:textId="77777777">
        <w:trPr>
          <w:cantSplit/>
          <w:trHeight w:val="23"/>
        </w:trPr>
        <w:tc>
          <w:tcPr>
            <w:tcW w:w="3969" w:type="dxa"/>
          </w:tcPr>
          <w:p w14:paraId="4B839BA2" w14:textId="77777777" w:rsidR="00DC2D25" w:rsidRDefault="00DC2D25">
            <w:pPr>
              <w:tabs>
                <w:tab w:val="left" w:pos="851"/>
              </w:tabs>
              <w:spacing w:line="240" w:lineRule="atLeast"/>
              <w:rPr>
                <w:b/>
              </w:rPr>
            </w:pPr>
          </w:p>
        </w:tc>
        <w:tc>
          <w:tcPr>
            <w:tcW w:w="5245" w:type="dxa"/>
          </w:tcPr>
          <w:p w14:paraId="12F66D25" w14:textId="77777777" w:rsidR="00DC2D25" w:rsidRDefault="00DC2D25">
            <w:pPr>
              <w:tabs>
                <w:tab w:val="left" w:pos="851"/>
              </w:tabs>
              <w:spacing w:before="0" w:line="240" w:lineRule="atLeast"/>
              <w:jc w:val="right"/>
              <w:rPr>
                <w:b/>
              </w:rPr>
            </w:pPr>
          </w:p>
        </w:tc>
      </w:tr>
      <w:tr w:rsidR="00DC2D25" w14:paraId="27000B2A" w14:textId="77777777">
        <w:trPr>
          <w:cantSplit/>
        </w:trPr>
        <w:tc>
          <w:tcPr>
            <w:tcW w:w="9214" w:type="dxa"/>
            <w:gridSpan w:val="2"/>
            <w:tcMar>
              <w:left w:w="0" w:type="dxa"/>
            </w:tcMar>
          </w:tcPr>
          <w:p w14:paraId="4E7CDB90" w14:textId="77777777" w:rsidR="00DC2D25" w:rsidRDefault="00A323F1">
            <w:pPr>
              <w:pStyle w:val="Source"/>
              <w:framePr w:hSpace="0" w:wrap="auto" w:vAnchor="margin" w:hAnchor="text" w:xAlign="left" w:yAlign="inline"/>
            </w:pPr>
            <w:bookmarkStart w:id="8" w:name="dsource" w:colFirst="0" w:colLast="0"/>
            <w:bookmarkEnd w:id="7"/>
            <w:proofErr w:type="spellStart"/>
            <w:r>
              <w:t>秘书长的报告</w:t>
            </w:r>
            <w:proofErr w:type="spellEnd"/>
          </w:p>
        </w:tc>
      </w:tr>
      <w:tr w:rsidR="00DC2D25" w14:paraId="2340750D" w14:textId="77777777">
        <w:trPr>
          <w:cantSplit/>
        </w:trPr>
        <w:tc>
          <w:tcPr>
            <w:tcW w:w="9214" w:type="dxa"/>
            <w:gridSpan w:val="2"/>
            <w:tcMar>
              <w:left w:w="0" w:type="dxa"/>
            </w:tcMar>
          </w:tcPr>
          <w:p w14:paraId="47B91AA8" w14:textId="7828EAFC" w:rsidR="00DC2D25" w:rsidRDefault="00A323F1">
            <w:pPr>
              <w:pStyle w:val="Subtitle1"/>
              <w:framePr w:hSpace="0" w:wrap="auto" w:xAlign="left" w:yAlign="inline"/>
              <w:rPr>
                <w:lang w:eastAsia="zh-CN"/>
              </w:rPr>
            </w:pPr>
            <w:bookmarkStart w:id="9" w:name="_Hlk164937547"/>
            <w:bookmarkStart w:id="10" w:name="dtitle1" w:colFirst="0" w:colLast="0"/>
            <w:bookmarkEnd w:id="8"/>
            <w:r>
              <w:rPr>
                <w:lang w:eastAsia="zh-CN"/>
              </w:rPr>
              <w:t>关于向巴勒斯坦提供援助和支持的情况报告</w:t>
            </w:r>
            <w:bookmarkEnd w:id="9"/>
          </w:p>
        </w:tc>
      </w:tr>
      <w:tr w:rsidR="00DC2D25" w14:paraId="1F564D2D" w14:textId="77777777">
        <w:trPr>
          <w:cantSplit/>
        </w:trPr>
        <w:tc>
          <w:tcPr>
            <w:tcW w:w="9214" w:type="dxa"/>
            <w:gridSpan w:val="2"/>
            <w:tcBorders>
              <w:top w:val="single" w:sz="4" w:space="0" w:color="auto"/>
              <w:bottom w:val="single" w:sz="4" w:space="0" w:color="auto"/>
            </w:tcBorders>
            <w:tcMar>
              <w:left w:w="0" w:type="dxa"/>
            </w:tcMar>
          </w:tcPr>
          <w:p w14:paraId="7AD73B47" w14:textId="5F543D1B" w:rsidR="00DC2D25" w:rsidRDefault="00A323F1">
            <w:pPr>
              <w:spacing w:before="160"/>
              <w:rPr>
                <w:b/>
                <w:bCs/>
                <w:sz w:val="26"/>
                <w:szCs w:val="26"/>
                <w:lang w:eastAsia="zh-CN"/>
              </w:rPr>
            </w:pPr>
            <w:r>
              <w:rPr>
                <w:b/>
                <w:bCs/>
                <w:sz w:val="26"/>
                <w:szCs w:val="26"/>
                <w:lang w:eastAsia="zh-CN"/>
              </w:rPr>
              <w:t>目的</w:t>
            </w:r>
          </w:p>
          <w:p w14:paraId="2E09FE8B" w14:textId="1EC541BC" w:rsidR="00DC2D25" w:rsidRDefault="000F523F" w:rsidP="00C34460">
            <w:pPr>
              <w:ind w:firstLineChars="200" w:firstLine="472"/>
              <w:jc w:val="both"/>
              <w:rPr>
                <w:lang w:eastAsia="zh-CN"/>
              </w:rPr>
            </w:pPr>
            <w:r w:rsidRPr="000F523F">
              <w:rPr>
                <w:rFonts w:hint="eastAsia"/>
                <w:spacing w:val="-2"/>
                <w:lang w:eastAsia="zh-CN"/>
              </w:rPr>
              <w:t>本文件报告了以下决议的</w:t>
            </w:r>
            <w:r w:rsidR="0038508A">
              <w:rPr>
                <w:rFonts w:hint="eastAsia"/>
                <w:spacing w:val="-2"/>
                <w:lang w:eastAsia="zh-CN"/>
              </w:rPr>
              <w:t>落实</w:t>
            </w:r>
            <w:r w:rsidRPr="000F523F">
              <w:rPr>
                <w:rFonts w:hint="eastAsia"/>
                <w:spacing w:val="-2"/>
                <w:lang w:eastAsia="zh-CN"/>
              </w:rPr>
              <w:t>情况：全权代表大会关于援助和支持巴勒斯坦重建其电信网络的第</w:t>
            </w:r>
            <w:r w:rsidRPr="000F523F">
              <w:rPr>
                <w:rFonts w:hint="eastAsia"/>
                <w:spacing w:val="-2"/>
                <w:lang w:eastAsia="zh-CN"/>
              </w:rPr>
              <w:t>125</w:t>
            </w:r>
            <w:r w:rsidRPr="000F523F">
              <w:rPr>
                <w:rFonts w:hint="eastAsia"/>
                <w:spacing w:val="-2"/>
                <w:lang w:eastAsia="zh-CN"/>
              </w:rPr>
              <w:t>号决议（</w:t>
            </w:r>
            <w:r w:rsidRPr="000F523F">
              <w:rPr>
                <w:rFonts w:hint="eastAsia"/>
                <w:spacing w:val="-2"/>
                <w:lang w:eastAsia="zh-CN"/>
              </w:rPr>
              <w:t>2022</w:t>
            </w:r>
            <w:r w:rsidRPr="000F523F">
              <w:rPr>
                <w:rFonts w:hint="eastAsia"/>
                <w:spacing w:val="-2"/>
                <w:lang w:eastAsia="zh-CN"/>
              </w:rPr>
              <w:t>年，布加勒斯特，修订版）、世界电信发展大会关于向巴勒斯坦提供</w:t>
            </w:r>
            <w:r w:rsidR="00F73C91">
              <w:rPr>
                <w:rFonts w:hint="eastAsia"/>
                <w:spacing w:val="-2"/>
                <w:lang w:eastAsia="zh-CN"/>
              </w:rPr>
              <w:t>特别</w:t>
            </w:r>
            <w:r w:rsidRPr="000F523F">
              <w:rPr>
                <w:rFonts w:hint="eastAsia"/>
                <w:spacing w:val="-2"/>
                <w:lang w:eastAsia="zh-CN"/>
              </w:rPr>
              <w:t>技术援助的第</w:t>
            </w:r>
            <w:r w:rsidRPr="000F523F">
              <w:rPr>
                <w:rFonts w:hint="eastAsia"/>
                <w:spacing w:val="-2"/>
                <w:lang w:eastAsia="zh-CN"/>
              </w:rPr>
              <w:t>18</w:t>
            </w:r>
            <w:r w:rsidRPr="000F523F">
              <w:rPr>
                <w:rFonts w:hint="eastAsia"/>
                <w:spacing w:val="-2"/>
                <w:lang w:eastAsia="zh-CN"/>
              </w:rPr>
              <w:t>号决议（</w:t>
            </w:r>
            <w:r w:rsidRPr="000F523F">
              <w:rPr>
                <w:rFonts w:hint="eastAsia"/>
                <w:spacing w:val="-2"/>
                <w:lang w:eastAsia="zh-CN"/>
              </w:rPr>
              <w:t>2022</w:t>
            </w:r>
            <w:r w:rsidRPr="000F523F">
              <w:rPr>
                <w:rFonts w:hint="eastAsia"/>
                <w:spacing w:val="-2"/>
                <w:lang w:eastAsia="zh-CN"/>
              </w:rPr>
              <w:t>年，基加利，修订版）和世界无线电通信大会关于</w:t>
            </w:r>
            <w:r w:rsidR="00614399">
              <w:rPr>
                <w:rFonts w:hint="eastAsia"/>
                <w:spacing w:val="-2"/>
                <w:lang w:eastAsia="zh-CN"/>
              </w:rPr>
              <w:t>为</w:t>
            </w:r>
            <w:r w:rsidRPr="000F523F">
              <w:rPr>
                <w:rFonts w:hint="eastAsia"/>
                <w:spacing w:val="-2"/>
                <w:lang w:eastAsia="zh-CN"/>
              </w:rPr>
              <w:t>巴勒斯坦提供援助和支持的第</w:t>
            </w:r>
            <w:r w:rsidRPr="000F523F">
              <w:rPr>
                <w:rFonts w:hint="eastAsia"/>
                <w:spacing w:val="-2"/>
                <w:lang w:eastAsia="zh-CN"/>
              </w:rPr>
              <w:t>12</w:t>
            </w:r>
            <w:r w:rsidRPr="000F523F">
              <w:rPr>
                <w:rFonts w:hint="eastAsia"/>
                <w:spacing w:val="-2"/>
                <w:lang w:eastAsia="zh-CN"/>
              </w:rPr>
              <w:t>号决议（</w:t>
            </w:r>
            <w:r w:rsidRPr="000F523F">
              <w:rPr>
                <w:rFonts w:hint="eastAsia"/>
                <w:spacing w:val="-2"/>
                <w:lang w:eastAsia="zh-CN"/>
              </w:rPr>
              <w:t>2023</w:t>
            </w:r>
            <w:r w:rsidRPr="000F523F">
              <w:rPr>
                <w:rFonts w:hint="eastAsia"/>
                <w:spacing w:val="-2"/>
                <w:lang w:eastAsia="zh-CN"/>
              </w:rPr>
              <w:t>年，迪拜，修订版）。</w:t>
            </w:r>
          </w:p>
          <w:p w14:paraId="5076D5C4" w14:textId="75F29C80" w:rsidR="00DC2D25" w:rsidRDefault="00A323F1">
            <w:pPr>
              <w:spacing w:before="160"/>
              <w:rPr>
                <w:b/>
                <w:bCs/>
                <w:sz w:val="26"/>
                <w:szCs w:val="26"/>
                <w:lang w:eastAsia="zh-CN"/>
              </w:rPr>
            </w:pPr>
            <w:r>
              <w:rPr>
                <w:b/>
                <w:bCs/>
                <w:sz w:val="26"/>
                <w:szCs w:val="26"/>
                <w:lang w:eastAsia="zh-CN"/>
              </w:rPr>
              <w:t>理事会</w:t>
            </w:r>
            <w:r w:rsidR="000F523F">
              <w:rPr>
                <w:rFonts w:hint="eastAsia"/>
                <w:b/>
                <w:bCs/>
                <w:sz w:val="26"/>
                <w:szCs w:val="26"/>
                <w:lang w:eastAsia="zh-CN"/>
              </w:rPr>
              <w:t>需</w:t>
            </w:r>
            <w:r>
              <w:rPr>
                <w:b/>
                <w:bCs/>
                <w:sz w:val="26"/>
                <w:szCs w:val="26"/>
                <w:lang w:eastAsia="zh-CN"/>
              </w:rPr>
              <w:t>采取的行动</w:t>
            </w:r>
          </w:p>
          <w:p w14:paraId="79F38DAD" w14:textId="483E53E5" w:rsidR="00DC2D25" w:rsidRDefault="00A323F1" w:rsidP="00C34460">
            <w:pPr>
              <w:ind w:firstLineChars="200" w:firstLine="480"/>
              <w:rPr>
                <w:lang w:eastAsia="zh-CN"/>
              </w:rPr>
            </w:pPr>
            <w:r>
              <w:rPr>
                <w:lang w:eastAsia="zh-CN"/>
              </w:rPr>
              <w:t>请理事会</w:t>
            </w:r>
            <w:r w:rsidR="000F523F">
              <w:rPr>
                <w:rFonts w:hint="eastAsia"/>
                <w:lang w:eastAsia="zh-CN"/>
              </w:rPr>
              <w:t>将</w:t>
            </w:r>
            <w:r>
              <w:rPr>
                <w:lang w:eastAsia="zh-CN"/>
              </w:rPr>
              <w:t>此报告</w:t>
            </w:r>
            <w:r w:rsidR="000F523F">
              <w:rPr>
                <w:rFonts w:hint="eastAsia"/>
                <w:b/>
                <w:bCs/>
                <w:lang w:eastAsia="zh-CN"/>
              </w:rPr>
              <w:t>记录在案</w:t>
            </w:r>
            <w:r>
              <w:rPr>
                <w:lang w:eastAsia="zh-CN"/>
              </w:rPr>
              <w:t>。</w:t>
            </w:r>
          </w:p>
          <w:p w14:paraId="0F8F1F03" w14:textId="63B2DAEF" w:rsidR="00DC2D25" w:rsidRDefault="00A323F1">
            <w:pPr>
              <w:spacing w:before="160"/>
              <w:rPr>
                <w:b/>
                <w:bCs/>
                <w:sz w:val="26"/>
                <w:szCs w:val="26"/>
                <w:lang w:eastAsia="zh-CN"/>
              </w:rPr>
            </w:pPr>
            <w:r>
              <w:rPr>
                <w:b/>
                <w:bCs/>
                <w:sz w:val="26"/>
                <w:szCs w:val="26"/>
                <w:lang w:eastAsia="zh-CN"/>
              </w:rPr>
              <w:t>与</w:t>
            </w:r>
            <w:r w:rsidR="000F523F">
              <w:rPr>
                <w:rFonts w:hint="eastAsia"/>
                <w:b/>
                <w:bCs/>
                <w:sz w:val="26"/>
                <w:szCs w:val="26"/>
                <w:lang w:eastAsia="zh-CN"/>
              </w:rPr>
              <w:t>《</w:t>
            </w:r>
            <w:r>
              <w:rPr>
                <w:b/>
                <w:bCs/>
                <w:sz w:val="26"/>
                <w:szCs w:val="26"/>
                <w:lang w:eastAsia="zh-CN"/>
              </w:rPr>
              <w:t>战略规划</w:t>
            </w:r>
            <w:r w:rsidR="000F523F">
              <w:rPr>
                <w:rFonts w:hint="eastAsia"/>
                <w:b/>
                <w:bCs/>
                <w:sz w:val="26"/>
                <w:szCs w:val="26"/>
                <w:lang w:eastAsia="zh-CN"/>
              </w:rPr>
              <w:t>》</w:t>
            </w:r>
            <w:r>
              <w:rPr>
                <w:b/>
                <w:bCs/>
                <w:sz w:val="26"/>
                <w:szCs w:val="26"/>
                <w:lang w:eastAsia="zh-CN"/>
              </w:rPr>
              <w:t>的</w:t>
            </w:r>
            <w:r w:rsidR="000F523F">
              <w:rPr>
                <w:rFonts w:hint="eastAsia"/>
                <w:b/>
                <w:bCs/>
                <w:sz w:val="26"/>
                <w:szCs w:val="26"/>
                <w:lang w:eastAsia="zh-CN"/>
              </w:rPr>
              <w:t>关联</w:t>
            </w:r>
          </w:p>
          <w:p w14:paraId="00A55EA1" w14:textId="3BF544E7" w:rsidR="00DC2D25" w:rsidRDefault="00A323F1" w:rsidP="00C34460">
            <w:pPr>
              <w:ind w:firstLineChars="200" w:firstLine="480"/>
              <w:rPr>
                <w:lang w:eastAsia="zh-CN"/>
              </w:rPr>
            </w:pPr>
            <w:r>
              <w:rPr>
                <w:lang w:eastAsia="zh-CN"/>
              </w:rPr>
              <w:t>提供技术援助。</w:t>
            </w:r>
          </w:p>
          <w:p w14:paraId="632C043A" w14:textId="14112DC4" w:rsidR="00DC2D25" w:rsidRDefault="00A323F1">
            <w:pPr>
              <w:spacing w:before="160"/>
              <w:rPr>
                <w:b/>
                <w:bCs/>
                <w:sz w:val="26"/>
                <w:szCs w:val="26"/>
                <w:lang w:eastAsia="zh-CN"/>
              </w:rPr>
            </w:pPr>
            <w:r>
              <w:rPr>
                <w:b/>
                <w:bCs/>
                <w:sz w:val="26"/>
                <w:szCs w:val="26"/>
                <w:lang w:eastAsia="zh-CN"/>
              </w:rPr>
              <w:t>财务影响</w:t>
            </w:r>
          </w:p>
          <w:p w14:paraId="3E96986E" w14:textId="7EFF87CD" w:rsidR="00DC2D25" w:rsidRDefault="00A323F1" w:rsidP="00C34460">
            <w:pPr>
              <w:spacing w:before="160"/>
              <w:ind w:firstLineChars="200" w:firstLine="480"/>
              <w:rPr>
                <w:szCs w:val="24"/>
                <w:lang w:eastAsia="zh-CN"/>
              </w:rPr>
            </w:pPr>
            <w:r>
              <w:rPr>
                <w:szCs w:val="24"/>
                <w:lang w:eastAsia="zh-CN"/>
              </w:rPr>
              <w:t>在</w:t>
            </w:r>
            <w:r>
              <w:rPr>
                <w:szCs w:val="24"/>
                <w:lang w:eastAsia="zh-CN"/>
              </w:rPr>
              <w:t>2024-2025</w:t>
            </w:r>
            <w:r>
              <w:rPr>
                <w:szCs w:val="24"/>
                <w:lang w:eastAsia="zh-CN"/>
              </w:rPr>
              <w:t>年划拨预算范围内。</w:t>
            </w:r>
          </w:p>
          <w:p w14:paraId="2AAB18B0" w14:textId="77777777" w:rsidR="00DC2D25" w:rsidRDefault="00A323F1">
            <w:pPr>
              <w:spacing w:before="160"/>
              <w:rPr>
                <w:caps/>
                <w:sz w:val="22"/>
                <w:lang w:eastAsia="zh-CN"/>
              </w:rPr>
            </w:pPr>
            <w:r>
              <w:rPr>
                <w:sz w:val="22"/>
                <w:lang w:eastAsia="zh-CN"/>
              </w:rPr>
              <w:t>__________________</w:t>
            </w:r>
          </w:p>
          <w:p w14:paraId="00DEE14C" w14:textId="6DEAC9B2" w:rsidR="00DC2D25" w:rsidRDefault="00D620EB">
            <w:pPr>
              <w:spacing w:before="160"/>
              <w:rPr>
                <w:b/>
                <w:bCs/>
                <w:sz w:val="26"/>
                <w:szCs w:val="26"/>
                <w:lang w:eastAsia="zh-CN"/>
              </w:rPr>
            </w:pPr>
            <w:r>
              <w:rPr>
                <w:rFonts w:hint="eastAsia"/>
                <w:b/>
                <w:bCs/>
                <w:sz w:val="26"/>
                <w:szCs w:val="26"/>
                <w:lang w:eastAsia="zh-CN"/>
              </w:rPr>
              <w:t>参考文件</w:t>
            </w:r>
          </w:p>
          <w:p w14:paraId="0175CD6C" w14:textId="4693E071" w:rsidR="00DC2D25" w:rsidRPr="00C34460" w:rsidRDefault="00C34460">
            <w:pPr>
              <w:spacing w:after="160"/>
              <w:rPr>
                <w:rFonts w:asciiTheme="minorHAnsi" w:eastAsia="STKaiti" w:hAnsiTheme="minorHAnsi" w:cstheme="minorHAnsi"/>
                <w:lang w:eastAsia="zh-CN"/>
              </w:rPr>
            </w:pPr>
            <w:hyperlink r:id="rId11" w:history="1">
              <w:r w:rsidR="00A323F1" w:rsidRPr="00C34460">
                <w:rPr>
                  <w:rStyle w:val="Hyperlink"/>
                  <w:rFonts w:asciiTheme="minorHAnsi" w:eastAsia="STKaiti" w:hAnsiTheme="minorHAnsi" w:cstheme="minorHAnsi"/>
                  <w:lang w:eastAsia="zh-CN"/>
                </w:rPr>
                <w:t>第</w:t>
              </w:r>
              <w:r w:rsidR="00A323F1" w:rsidRPr="00C34460">
                <w:rPr>
                  <w:rStyle w:val="Hyperlink"/>
                  <w:rFonts w:asciiTheme="minorHAnsi" w:eastAsia="STKaiti" w:hAnsiTheme="minorHAnsi" w:cstheme="minorHAnsi"/>
                  <w:lang w:eastAsia="zh-CN"/>
                </w:rPr>
                <w:t>99</w:t>
              </w:r>
              <w:r w:rsidR="00A323F1" w:rsidRPr="00C34460">
                <w:rPr>
                  <w:rStyle w:val="Hyperlink"/>
                  <w:rFonts w:asciiTheme="minorHAnsi" w:eastAsia="STKaiti" w:hAnsiTheme="minorHAnsi" w:cstheme="minorHAnsi"/>
                  <w:lang w:eastAsia="zh-CN"/>
                </w:rPr>
                <w:t>号决议（</w:t>
              </w:r>
              <w:r w:rsidR="00A323F1" w:rsidRPr="00C34460">
                <w:rPr>
                  <w:rStyle w:val="Hyperlink"/>
                  <w:rFonts w:asciiTheme="minorHAnsi" w:eastAsia="STKaiti" w:hAnsiTheme="minorHAnsi" w:cstheme="minorHAnsi"/>
                  <w:lang w:eastAsia="zh-CN"/>
                </w:rPr>
                <w:t>2022</w:t>
              </w:r>
              <w:r w:rsidR="00A323F1" w:rsidRPr="00C34460">
                <w:rPr>
                  <w:rStyle w:val="Hyperlink"/>
                  <w:rFonts w:asciiTheme="minorHAnsi" w:eastAsia="STKaiti" w:hAnsiTheme="minorHAnsi" w:cstheme="minorHAnsi"/>
                  <w:lang w:eastAsia="zh-CN"/>
                </w:rPr>
                <w:t>年，布加勒斯特，修订版）</w:t>
              </w:r>
            </w:hyperlink>
            <w:r w:rsidR="00D620EB" w:rsidRPr="00C34460">
              <w:rPr>
                <w:rStyle w:val="Hyperlink"/>
                <w:rFonts w:asciiTheme="minorHAnsi" w:eastAsia="STKaiti" w:hAnsiTheme="minorHAnsi" w:cstheme="minorHAnsi"/>
                <w:lang w:eastAsia="zh-CN"/>
              </w:rPr>
              <w:t>，</w:t>
            </w:r>
            <w:hyperlink r:id="rId12" w:history="1">
              <w:r w:rsidR="00A323F1" w:rsidRPr="00C34460">
                <w:rPr>
                  <w:rStyle w:val="Hyperlink"/>
                  <w:rFonts w:asciiTheme="minorHAnsi" w:eastAsia="STKaiti" w:hAnsiTheme="minorHAnsi" w:cstheme="minorHAnsi"/>
                  <w:lang w:eastAsia="zh-CN"/>
                </w:rPr>
                <w:t>第</w:t>
              </w:r>
              <w:r w:rsidR="00A323F1" w:rsidRPr="00C34460">
                <w:rPr>
                  <w:rStyle w:val="Hyperlink"/>
                  <w:rFonts w:asciiTheme="minorHAnsi" w:eastAsia="STKaiti" w:hAnsiTheme="minorHAnsi" w:cstheme="minorHAnsi"/>
                  <w:lang w:eastAsia="zh-CN"/>
                </w:rPr>
                <w:t>125</w:t>
              </w:r>
              <w:r w:rsidR="00A323F1" w:rsidRPr="00C34460">
                <w:rPr>
                  <w:rStyle w:val="Hyperlink"/>
                  <w:rFonts w:asciiTheme="minorHAnsi" w:eastAsia="STKaiti" w:hAnsiTheme="minorHAnsi" w:cstheme="minorHAnsi"/>
                  <w:lang w:eastAsia="zh-CN"/>
                </w:rPr>
                <w:t>号决议（</w:t>
              </w:r>
              <w:r w:rsidR="00A323F1" w:rsidRPr="00C34460">
                <w:rPr>
                  <w:rStyle w:val="Hyperlink"/>
                  <w:rFonts w:asciiTheme="minorHAnsi" w:eastAsia="STKaiti" w:hAnsiTheme="minorHAnsi" w:cstheme="minorHAnsi"/>
                  <w:lang w:eastAsia="zh-CN"/>
                </w:rPr>
                <w:t>2022</w:t>
              </w:r>
              <w:r w:rsidR="00A323F1" w:rsidRPr="00C34460">
                <w:rPr>
                  <w:rStyle w:val="Hyperlink"/>
                  <w:rFonts w:asciiTheme="minorHAnsi" w:eastAsia="STKaiti" w:hAnsiTheme="minorHAnsi" w:cstheme="minorHAnsi"/>
                  <w:lang w:eastAsia="zh-CN"/>
                </w:rPr>
                <w:t>年，布加勒斯特，修订版）</w:t>
              </w:r>
            </w:hyperlink>
            <w:r w:rsidR="00D620EB" w:rsidRPr="00C34460">
              <w:rPr>
                <w:rStyle w:val="Hyperlink"/>
                <w:rFonts w:asciiTheme="minorHAnsi" w:eastAsia="STKaiti" w:hAnsiTheme="minorHAnsi" w:cstheme="minorHAnsi"/>
                <w:lang w:eastAsia="zh-CN"/>
              </w:rPr>
              <w:t>，</w:t>
            </w:r>
            <w:hyperlink r:id="rId13" w:history="1">
              <w:r w:rsidR="00A323F1" w:rsidRPr="00C34460">
                <w:rPr>
                  <w:rStyle w:val="Hyperlink"/>
                  <w:rFonts w:asciiTheme="minorHAnsi" w:eastAsia="STKaiti" w:hAnsiTheme="minorHAnsi" w:cstheme="minorHAnsi"/>
                  <w:lang w:eastAsia="zh-CN"/>
                </w:rPr>
                <w:t>第</w:t>
              </w:r>
              <w:r w:rsidR="00A323F1" w:rsidRPr="00C34460">
                <w:rPr>
                  <w:rStyle w:val="Hyperlink"/>
                  <w:rFonts w:asciiTheme="minorHAnsi" w:eastAsia="STKaiti" w:hAnsiTheme="minorHAnsi" w:cstheme="minorHAnsi"/>
                  <w:lang w:eastAsia="zh-CN"/>
                </w:rPr>
                <w:t>18</w:t>
              </w:r>
              <w:r w:rsidR="00A323F1" w:rsidRPr="00C34460">
                <w:rPr>
                  <w:rStyle w:val="Hyperlink"/>
                  <w:rFonts w:asciiTheme="minorHAnsi" w:eastAsia="STKaiti" w:hAnsiTheme="minorHAnsi" w:cstheme="minorHAnsi"/>
                  <w:lang w:eastAsia="zh-CN"/>
                </w:rPr>
                <w:t>号决议（</w:t>
              </w:r>
              <w:r w:rsidR="00A323F1" w:rsidRPr="00C34460">
                <w:rPr>
                  <w:rStyle w:val="Hyperlink"/>
                  <w:rFonts w:asciiTheme="minorHAnsi" w:eastAsia="STKaiti" w:hAnsiTheme="minorHAnsi" w:cstheme="minorHAnsi"/>
                  <w:lang w:eastAsia="zh-CN"/>
                </w:rPr>
                <w:t>2022</w:t>
              </w:r>
              <w:r w:rsidR="00A323F1" w:rsidRPr="00C34460">
                <w:rPr>
                  <w:rStyle w:val="Hyperlink"/>
                  <w:rFonts w:asciiTheme="minorHAnsi" w:eastAsia="STKaiti" w:hAnsiTheme="minorHAnsi" w:cstheme="minorHAnsi"/>
                  <w:lang w:eastAsia="zh-CN"/>
                </w:rPr>
                <w:t>年，基加利，修订版）</w:t>
              </w:r>
            </w:hyperlink>
            <w:r w:rsidR="00D620EB" w:rsidRPr="00C34460">
              <w:rPr>
                <w:rStyle w:val="Hyperlink"/>
                <w:rFonts w:asciiTheme="minorHAnsi" w:eastAsia="STKaiti" w:hAnsiTheme="minorHAnsi" w:cstheme="minorHAnsi"/>
                <w:lang w:eastAsia="zh-CN"/>
              </w:rPr>
              <w:t>，</w:t>
            </w:r>
            <w:hyperlink r:id="rId14" w:history="1">
              <w:r w:rsidR="00A323F1" w:rsidRPr="00C34460">
                <w:rPr>
                  <w:rStyle w:val="Hyperlink"/>
                  <w:rFonts w:asciiTheme="minorHAnsi" w:eastAsia="STKaiti" w:hAnsiTheme="minorHAnsi" w:cstheme="minorHAnsi"/>
                  <w:lang w:eastAsia="zh-CN"/>
                </w:rPr>
                <w:t>第</w:t>
              </w:r>
              <w:r w:rsidR="00A323F1" w:rsidRPr="00C34460">
                <w:rPr>
                  <w:rStyle w:val="Hyperlink"/>
                  <w:rFonts w:asciiTheme="minorHAnsi" w:eastAsia="STKaiti" w:hAnsiTheme="minorHAnsi" w:cstheme="minorHAnsi"/>
                  <w:lang w:eastAsia="zh-CN"/>
                </w:rPr>
                <w:t>12</w:t>
              </w:r>
              <w:r w:rsidR="00A323F1" w:rsidRPr="00C34460">
                <w:rPr>
                  <w:rStyle w:val="Hyperlink"/>
                  <w:rFonts w:asciiTheme="minorHAnsi" w:eastAsia="STKaiti" w:hAnsiTheme="minorHAnsi" w:cstheme="minorHAnsi"/>
                  <w:lang w:eastAsia="zh-CN"/>
                </w:rPr>
                <w:t>号决议（</w:t>
              </w:r>
              <w:r w:rsidR="00A323F1" w:rsidRPr="00C34460">
                <w:rPr>
                  <w:rStyle w:val="Hyperlink"/>
                  <w:rFonts w:asciiTheme="minorHAnsi" w:eastAsia="STKaiti" w:hAnsiTheme="minorHAnsi" w:cstheme="minorHAnsi"/>
                  <w:lang w:eastAsia="zh-CN"/>
                </w:rPr>
                <w:t>WRC-23</w:t>
              </w:r>
              <w:r w:rsidR="00A323F1" w:rsidRPr="00C34460">
                <w:rPr>
                  <w:rStyle w:val="Hyperlink"/>
                  <w:rFonts w:asciiTheme="minorHAnsi" w:eastAsia="STKaiti" w:hAnsiTheme="minorHAnsi" w:cstheme="minorHAnsi"/>
                  <w:lang w:eastAsia="zh-CN"/>
                </w:rPr>
                <w:t>，修订版）</w:t>
              </w:r>
            </w:hyperlink>
            <w:r w:rsidR="00A323F1" w:rsidRPr="00C34460">
              <w:rPr>
                <w:rFonts w:asciiTheme="minorHAnsi" w:eastAsia="STKaiti" w:hAnsiTheme="minorHAnsi" w:cstheme="minorHAnsi"/>
                <w:lang w:eastAsia="zh-CN"/>
              </w:rPr>
              <w:t xml:space="preserve"> </w:t>
            </w:r>
          </w:p>
        </w:tc>
      </w:tr>
    </w:tbl>
    <w:p w14:paraId="4CDB8B60" w14:textId="2A4D9B15" w:rsidR="00DC2D25" w:rsidRDefault="00DC2D25">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1" w:name="_Hlk133421428"/>
      <w:bookmarkEnd w:id="2"/>
      <w:bookmarkEnd w:id="10"/>
    </w:p>
    <w:bookmarkEnd w:id="3"/>
    <w:bookmarkEnd w:id="4"/>
    <w:p w14:paraId="1D7ED322" w14:textId="77777777" w:rsidR="00DC2D25" w:rsidRDefault="00A323F1">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bookmarkEnd w:id="5"/>
    <w:bookmarkEnd w:id="11"/>
    <w:p w14:paraId="0BD3F077" w14:textId="77777777" w:rsidR="00DC2D25" w:rsidRDefault="00A323F1">
      <w:pPr>
        <w:pStyle w:val="Heading1"/>
        <w:spacing w:before="120" w:after="120"/>
        <w:rPr>
          <w:sz w:val="24"/>
          <w:szCs w:val="24"/>
          <w:lang w:eastAsia="zh-CN"/>
        </w:rPr>
      </w:pPr>
      <w:r>
        <w:rPr>
          <w:sz w:val="24"/>
          <w:szCs w:val="24"/>
          <w:lang w:eastAsia="zh-CN"/>
        </w:rPr>
        <w:lastRenderedPageBreak/>
        <w:t>背景</w:t>
      </w:r>
    </w:p>
    <w:p w14:paraId="2C72A08E" w14:textId="378E324B" w:rsidR="00DC2D25" w:rsidRDefault="00A323F1" w:rsidP="00C34460">
      <w:pPr>
        <w:ind w:firstLineChars="200" w:firstLine="480"/>
        <w:jc w:val="both"/>
        <w:rPr>
          <w:lang w:eastAsia="zh-CN"/>
        </w:rPr>
      </w:pPr>
      <w:r>
        <w:rPr>
          <w:lang w:eastAsia="zh-CN"/>
        </w:rPr>
        <w:t>本文件汇报了以下决议的落实情况：</w:t>
      </w:r>
    </w:p>
    <w:p w14:paraId="72D4DB24" w14:textId="75ED451A" w:rsidR="00DC2D25" w:rsidRDefault="00C34460" w:rsidP="00C34460">
      <w:pPr>
        <w:pStyle w:val="enumlev1"/>
        <w:rPr>
          <w:lang w:eastAsia="zh-CN"/>
        </w:rPr>
      </w:pPr>
      <w:bookmarkStart w:id="12" w:name="_Hlk166572091"/>
      <w:r>
        <w:rPr>
          <w:lang w:eastAsia="zh-CN"/>
        </w:rPr>
        <w:t>•</w:t>
      </w:r>
      <w:r>
        <w:rPr>
          <w:lang w:eastAsia="zh-CN"/>
        </w:rPr>
        <w:tab/>
      </w:r>
      <w:r w:rsidR="00A323F1">
        <w:rPr>
          <w:lang w:eastAsia="zh-CN"/>
        </w:rPr>
        <w:t>全权代表大会</w:t>
      </w:r>
      <w:bookmarkEnd w:id="12"/>
      <w:r w:rsidR="00614399" w:rsidRPr="000F523F">
        <w:rPr>
          <w:rFonts w:hint="eastAsia"/>
          <w:spacing w:val="-2"/>
          <w:lang w:eastAsia="zh-CN"/>
        </w:rPr>
        <w:t>关于援助和支持巴勒斯坦重建其电信网络的</w:t>
      </w:r>
      <w:r w:rsidR="00A323F1">
        <w:rPr>
          <w:lang w:eastAsia="zh-CN"/>
        </w:rPr>
        <w:t>第</w:t>
      </w:r>
      <w:r w:rsidR="00A323F1">
        <w:rPr>
          <w:lang w:eastAsia="zh-CN"/>
        </w:rPr>
        <w:t>125</w:t>
      </w:r>
      <w:r w:rsidR="00A323F1">
        <w:rPr>
          <w:lang w:eastAsia="zh-CN"/>
        </w:rPr>
        <w:t>号决议（</w:t>
      </w:r>
      <w:r w:rsidR="00A323F1">
        <w:rPr>
          <w:lang w:eastAsia="zh-CN"/>
        </w:rPr>
        <w:t>2022</w:t>
      </w:r>
      <w:r w:rsidR="00A323F1">
        <w:rPr>
          <w:lang w:eastAsia="zh-CN"/>
        </w:rPr>
        <w:t>年，布加勒斯特，修订版），责成秘书长就本决议的落实进展向理事会提交年度报告。</w:t>
      </w:r>
    </w:p>
    <w:p w14:paraId="43738147" w14:textId="30BC8D77" w:rsidR="00DC2D25" w:rsidRDefault="00C34460" w:rsidP="00C34460">
      <w:pPr>
        <w:pStyle w:val="enumlev1"/>
        <w:rPr>
          <w:lang w:eastAsia="zh-CN"/>
        </w:rPr>
      </w:pPr>
      <w:r>
        <w:rPr>
          <w:lang w:eastAsia="zh-CN"/>
        </w:rPr>
        <w:t>•</w:t>
      </w:r>
      <w:r>
        <w:rPr>
          <w:lang w:eastAsia="zh-CN"/>
        </w:rPr>
        <w:tab/>
      </w:r>
      <w:r w:rsidR="00614399" w:rsidRPr="000F523F">
        <w:rPr>
          <w:rFonts w:hint="eastAsia"/>
          <w:spacing w:val="-2"/>
          <w:lang w:eastAsia="zh-CN"/>
        </w:rPr>
        <w:t>世界电信发展大会关于向巴勒斯坦提供</w:t>
      </w:r>
      <w:r w:rsidR="00F73C91">
        <w:rPr>
          <w:rFonts w:hint="eastAsia"/>
          <w:spacing w:val="-2"/>
          <w:lang w:eastAsia="zh-CN"/>
        </w:rPr>
        <w:t>特别</w:t>
      </w:r>
      <w:r w:rsidR="00614399" w:rsidRPr="000F523F">
        <w:rPr>
          <w:rFonts w:hint="eastAsia"/>
          <w:spacing w:val="-2"/>
          <w:lang w:eastAsia="zh-CN"/>
        </w:rPr>
        <w:t>技术援助的第</w:t>
      </w:r>
      <w:r w:rsidR="00614399" w:rsidRPr="000F523F">
        <w:rPr>
          <w:rFonts w:hint="eastAsia"/>
          <w:spacing w:val="-2"/>
          <w:lang w:eastAsia="zh-CN"/>
        </w:rPr>
        <w:t>18</w:t>
      </w:r>
      <w:r w:rsidR="00614399" w:rsidRPr="000F523F">
        <w:rPr>
          <w:rFonts w:hint="eastAsia"/>
          <w:spacing w:val="-2"/>
          <w:lang w:eastAsia="zh-CN"/>
        </w:rPr>
        <w:t>号决议（</w:t>
      </w:r>
      <w:r w:rsidR="00614399" w:rsidRPr="000F523F">
        <w:rPr>
          <w:rFonts w:hint="eastAsia"/>
          <w:spacing w:val="-2"/>
          <w:lang w:eastAsia="zh-CN"/>
        </w:rPr>
        <w:t>2022</w:t>
      </w:r>
      <w:r w:rsidR="00614399" w:rsidRPr="000F523F">
        <w:rPr>
          <w:rFonts w:hint="eastAsia"/>
          <w:spacing w:val="-2"/>
          <w:lang w:eastAsia="zh-CN"/>
        </w:rPr>
        <w:t>年，基加利，修订版）</w:t>
      </w:r>
      <w:r w:rsidR="00614399">
        <w:rPr>
          <w:rFonts w:hint="eastAsia"/>
          <w:spacing w:val="-2"/>
          <w:lang w:eastAsia="zh-CN"/>
        </w:rPr>
        <w:t>，</w:t>
      </w:r>
      <w:r w:rsidR="00A323F1">
        <w:rPr>
          <w:lang w:eastAsia="zh-CN"/>
        </w:rPr>
        <w:t>责成电信发展局主任</w:t>
      </w:r>
      <w:r w:rsidR="00614399" w:rsidRPr="00614399">
        <w:rPr>
          <w:rFonts w:hint="eastAsia"/>
          <w:lang w:eastAsia="zh-CN"/>
        </w:rPr>
        <w:t>向国际电联理事会提交</w:t>
      </w:r>
      <w:r w:rsidR="00614399">
        <w:rPr>
          <w:lang w:eastAsia="zh-CN"/>
        </w:rPr>
        <w:t>年度报告</w:t>
      </w:r>
      <w:r w:rsidR="00614399" w:rsidRPr="00614399">
        <w:rPr>
          <w:rFonts w:hint="eastAsia"/>
          <w:lang w:eastAsia="zh-CN"/>
        </w:rPr>
        <w:t>，汇报在</w:t>
      </w:r>
      <w:r w:rsidR="00614399">
        <w:rPr>
          <w:lang w:eastAsia="zh-CN"/>
        </w:rPr>
        <w:t>落实该决议（以及类似决议）</w:t>
      </w:r>
      <w:r w:rsidR="00614399" w:rsidRPr="00614399">
        <w:rPr>
          <w:rFonts w:hint="eastAsia"/>
          <w:lang w:eastAsia="zh-CN"/>
        </w:rPr>
        <w:t>方面取得的进展，以及为解决日益增多的困难而采用的机制。</w:t>
      </w:r>
    </w:p>
    <w:p w14:paraId="2C755A27" w14:textId="4C8BE8E5" w:rsidR="00DC2D25" w:rsidRDefault="00C34460" w:rsidP="00C34460">
      <w:pPr>
        <w:pStyle w:val="enumlev1"/>
        <w:rPr>
          <w:rFonts w:eastAsia="Calibri" w:cs="Calibri"/>
          <w:szCs w:val="24"/>
          <w:lang w:eastAsia="zh-CN"/>
        </w:rPr>
      </w:pPr>
      <w:r>
        <w:rPr>
          <w:lang w:eastAsia="zh-CN"/>
        </w:rPr>
        <w:t>•</w:t>
      </w:r>
      <w:r>
        <w:rPr>
          <w:lang w:eastAsia="zh-CN"/>
        </w:rPr>
        <w:tab/>
      </w:r>
      <w:r w:rsidR="00A323F1">
        <w:rPr>
          <w:lang w:eastAsia="zh-CN"/>
        </w:rPr>
        <w:t>世界无线电通信大会关于为巴勒斯坦提供援助和支持的第</w:t>
      </w:r>
      <w:r w:rsidR="00A323F1">
        <w:rPr>
          <w:lang w:eastAsia="zh-CN"/>
        </w:rPr>
        <w:t>12</w:t>
      </w:r>
      <w:r w:rsidR="00A323F1">
        <w:rPr>
          <w:lang w:eastAsia="zh-CN"/>
        </w:rPr>
        <w:t>号决议（</w:t>
      </w:r>
      <w:r w:rsidR="00A323F1">
        <w:rPr>
          <w:lang w:eastAsia="zh-CN"/>
        </w:rPr>
        <w:t>2023</w:t>
      </w:r>
      <w:r w:rsidR="00A323F1">
        <w:rPr>
          <w:lang w:eastAsia="zh-CN"/>
        </w:rPr>
        <w:t>年，迪拜，修订版），责成秘书长就本决议的落实进展向理事会提交年度报告。</w:t>
      </w:r>
    </w:p>
    <w:p w14:paraId="7001E78B" w14:textId="652C3924" w:rsidR="00DC2D25" w:rsidRDefault="00A323F1">
      <w:pPr>
        <w:spacing w:after="120"/>
        <w:jc w:val="both"/>
        <w:rPr>
          <w:b/>
          <w:bCs/>
          <w:lang w:eastAsia="zh-CN"/>
        </w:rPr>
      </w:pPr>
      <w:r>
        <w:rPr>
          <w:b/>
          <w:bCs/>
          <w:lang w:eastAsia="zh-CN"/>
        </w:rPr>
        <w:t>国际电</w:t>
      </w:r>
      <w:proofErr w:type="gramStart"/>
      <w:r>
        <w:rPr>
          <w:b/>
          <w:bCs/>
          <w:lang w:eastAsia="zh-CN"/>
        </w:rPr>
        <w:t>联采取</w:t>
      </w:r>
      <w:proofErr w:type="gramEnd"/>
      <w:r>
        <w:rPr>
          <w:b/>
          <w:bCs/>
          <w:lang w:eastAsia="zh-CN"/>
        </w:rPr>
        <w:t>的行动</w:t>
      </w:r>
    </w:p>
    <w:p w14:paraId="3D88A491" w14:textId="1A29F758" w:rsidR="00DC2D25" w:rsidRDefault="00A323F1" w:rsidP="00C34460">
      <w:pPr>
        <w:spacing w:after="120"/>
        <w:ind w:firstLineChars="200" w:firstLine="480"/>
        <w:jc w:val="both"/>
        <w:rPr>
          <w:u w:val="single"/>
          <w:lang w:eastAsia="zh-CN"/>
        </w:rPr>
      </w:pPr>
      <w:r>
        <w:rPr>
          <w:lang w:eastAsia="zh-CN"/>
        </w:rPr>
        <w:t>国际电联在过去一年中一直致力于</w:t>
      </w:r>
      <w:r w:rsidR="00614399">
        <w:rPr>
          <w:lang w:eastAsia="zh-CN"/>
        </w:rPr>
        <w:t>落实</w:t>
      </w:r>
      <w:r>
        <w:rPr>
          <w:lang w:eastAsia="zh-CN"/>
        </w:rPr>
        <w:t>这些决议</w:t>
      </w:r>
      <w:r w:rsidR="00614399">
        <w:rPr>
          <w:rFonts w:hint="eastAsia"/>
          <w:lang w:eastAsia="zh-CN"/>
        </w:rPr>
        <w:t>，</w:t>
      </w:r>
      <w:r w:rsidR="00614399" w:rsidRPr="00614399">
        <w:rPr>
          <w:rFonts w:hint="eastAsia"/>
          <w:lang w:eastAsia="zh-CN"/>
        </w:rPr>
        <w:t>特别是解决以下问题</w:t>
      </w:r>
      <w:r>
        <w:rPr>
          <w:lang w:eastAsia="zh-CN"/>
        </w:rPr>
        <w:t>：</w:t>
      </w:r>
    </w:p>
    <w:p w14:paraId="2C33B5B8" w14:textId="6554462E" w:rsidR="00DC2D25" w:rsidRDefault="00C34460" w:rsidP="00C34460">
      <w:pPr>
        <w:pStyle w:val="enumlev1"/>
        <w:rPr>
          <w:lang w:eastAsia="zh-CN"/>
        </w:rPr>
      </w:pPr>
      <w:r w:rsidRPr="00C34460">
        <w:rPr>
          <w:rFonts w:hint="eastAsia"/>
          <w:lang w:eastAsia="zh-CN"/>
        </w:rPr>
        <w:t>1)</w:t>
      </w:r>
      <w:r w:rsidRPr="00C34460">
        <w:rPr>
          <w:lang w:eastAsia="zh-CN"/>
        </w:rPr>
        <w:tab/>
      </w:r>
      <w:r w:rsidR="00A323F1">
        <w:rPr>
          <w:u w:val="single"/>
          <w:lang w:eastAsia="zh-CN"/>
        </w:rPr>
        <w:t>与落实</w:t>
      </w:r>
      <w:r w:rsidR="00614399" w:rsidRPr="00614399">
        <w:rPr>
          <w:rFonts w:hint="eastAsia"/>
          <w:u w:val="single"/>
          <w:lang w:eastAsia="zh-CN"/>
        </w:rPr>
        <w:t>全权代表大会第</w:t>
      </w:r>
      <w:r w:rsidR="00614399" w:rsidRPr="00614399">
        <w:rPr>
          <w:rFonts w:hint="eastAsia"/>
          <w:u w:val="single"/>
          <w:lang w:eastAsia="zh-CN"/>
        </w:rPr>
        <w:t>125</w:t>
      </w:r>
      <w:r w:rsidR="00614399" w:rsidRPr="00614399">
        <w:rPr>
          <w:rFonts w:hint="eastAsia"/>
          <w:u w:val="single"/>
          <w:lang w:eastAsia="zh-CN"/>
        </w:rPr>
        <w:t>号决议</w:t>
      </w:r>
      <w:r w:rsidR="00A323F1">
        <w:rPr>
          <w:u w:val="single"/>
          <w:lang w:eastAsia="zh-CN"/>
        </w:rPr>
        <w:t>相关的举措</w:t>
      </w:r>
      <w:r w:rsidR="00614399">
        <w:rPr>
          <w:rFonts w:hint="eastAsia"/>
          <w:lang w:eastAsia="zh-CN"/>
        </w:rPr>
        <w:t>：</w:t>
      </w:r>
      <w:r w:rsidR="00A323F1">
        <w:rPr>
          <w:lang w:val="en-US" w:eastAsia="zh-CN"/>
        </w:rPr>
        <w:t>为巴勒斯坦的基础设施发展提供援助和支持</w:t>
      </w:r>
      <w:r w:rsidR="0038508A">
        <w:rPr>
          <w:rFonts w:hint="eastAsia"/>
          <w:lang w:val="en-US" w:eastAsia="zh-CN"/>
        </w:rPr>
        <w:t>。</w:t>
      </w:r>
    </w:p>
    <w:p w14:paraId="763204DA" w14:textId="5C41BFD1" w:rsidR="00DC2D25" w:rsidRDefault="00C34460" w:rsidP="00C34460">
      <w:pPr>
        <w:pStyle w:val="enumlev1"/>
        <w:rPr>
          <w:rFonts w:asciiTheme="minorHAnsi" w:hAnsiTheme="minorHAnsi" w:cstheme="minorBidi"/>
          <w:lang w:eastAsia="zh-CN"/>
        </w:rPr>
      </w:pPr>
      <w:r>
        <w:rPr>
          <w:lang w:eastAsia="zh-CN"/>
        </w:rPr>
        <w:tab/>
      </w:r>
      <w:r w:rsidR="00614399" w:rsidRPr="00614399">
        <w:rPr>
          <w:rFonts w:hint="eastAsia"/>
          <w:lang w:eastAsia="zh-CN"/>
        </w:rPr>
        <w:t>为了加强学校的连通性，并作为国际电联</w:t>
      </w:r>
      <w:r w:rsidR="00614399" w:rsidRPr="00614399">
        <w:rPr>
          <w:rFonts w:hint="eastAsia"/>
          <w:lang w:eastAsia="zh-CN"/>
        </w:rPr>
        <w:t>-</w:t>
      </w:r>
      <w:r w:rsidR="00614399">
        <w:rPr>
          <w:rFonts w:asciiTheme="minorHAnsi" w:hAnsiTheme="minorHAnsi" w:cstheme="minorBidi"/>
          <w:lang w:eastAsia="zh-CN"/>
        </w:rPr>
        <w:t>联合国</w:t>
      </w:r>
      <w:r w:rsidR="00614399" w:rsidRPr="00614399">
        <w:rPr>
          <w:rFonts w:hint="eastAsia"/>
          <w:lang w:eastAsia="zh-CN"/>
        </w:rPr>
        <w:t>儿童基金会</w:t>
      </w:r>
      <w:r w:rsidR="00614399" w:rsidRPr="00614399">
        <w:rPr>
          <w:rFonts w:hint="eastAsia"/>
          <w:lang w:eastAsia="zh-CN"/>
        </w:rPr>
        <w:t>GIGA</w:t>
      </w:r>
      <w:r w:rsidR="00614399" w:rsidRPr="00614399">
        <w:rPr>
          <w:rFonts w:hint="eastAsia"/>
          <w:lang w:eastAsia="zh-CN"/>
        </w:rPr>
        <w:t>加速计划在巴勒斯坦的一部分，与教育部</w:t>
      </w:r>
      <w:r w:rsidR="00614399">
        <w:rPr>
          <w:rFonts w:asciiTheme="minorHAnsi" w:hAnsiTheme="minorHAnsi" w:cstheme="minorBidi"/>
          <w:lang w:eastAsia="zh-CN"/>
        </w:rPr>
        <w:t>及电信和信息技术部</w:t>
      </w:r>
      <w:r w:rsidR="00614399" w:rsidRPr="00614399">
        <w:rPr>
          <w:rFonts w:hint="eastAsia"/>
          <w:lang w:eastAsia="zh-CN"/>
        </w:rPr>
        <w:t>密切协调，利用创新技术和商业模式将西岸的</w:t>
      </w:r>
      <w:r w:rsidR="00614399" w:rsidRPr="00614399">
        <w:rPr>
          <w:rFonts w:hint="eastAsia"/>
          <w:lang w:eastAsia="zh-CN"/>
        </w:rPr>
        <w:t>76</w:t>
      </w:r>
      <w:r w:rsidR="00614399" w:rsidRPr="00614399">
        <w:rPr>
          <w:rFonts w:hint="eastAsia"/>
          <w:lang w:eastAsia="zh-CN"/>
        </w:rPr>
        <w:t>所学校</w:t>
      </w:r>
      <w:r w:rsidR="00614399">
        <w:rPr>
          <w:rFonts w:asciiTheme="minorHAnsi" w:hAnsiTheme="minorHAnsi" w:cstheme="minorBidi"/>
          <w:lang w:eastAsia="zh-CN"/>
        </w:rPr>
        <w:t>与互联网相连</w:t>
      </w:r>
      <w:r w:rsidR="00F73C91">
        <w:rPr>
          <w:rFonts w:asciiTheme="minorHAnsi" w:hAnsiTheme="minorHAnsi" w:cstheme="minorBidi" w:hint="eastAsia"/>
          <w:lang w:eastAsia="zh-CN"/>
        </w:rPr>
        <w:t>，</w:t>
      </w:r>
      <w:r w:rsidR="0038508A">
        <w:rPr>
          <w:rFonts w:asciiTheme="minorHAnsi" w:hAnsiTheme="minorHAnsi" w:cstheme="minorBidi" w:hint="eastAsia"/>
          <w:lang w:eastAsia="zh-CN"/>
        </w:rPr>
        <w:t>连通</w:t>
      </w:r>
      <w:r w:rsidR="00F73C91">
        <w:rPr>
          <w:rFonts w:asciiTheme="minorHAnsi" w:hAnsiTheme="minorHAnsi" w:cstheme="minorBidi" w:hint="eastAsia"/>
          <w:lang w:eastAsia="zh-CN"/>
        </w:rPr>
        <w:t>了</w:t>
      </w:r>
      <w:r w:rsidR="00F73C91" w:rsidRPr="00F73C91">
        <w:rPr>
          <w:rFonts w:asciiTheme="minorHAnsi" w:hAnsiTheme="minorHAnsi" w:cstheme="minorBidi" w:hint="eastAsia"/>
          <w:lang w:eastAsia="zh-CN"/>
        </w:rPr>
        <w:t>这些边缘化</w:t>
      </w:r>
      <w:r w:rsidR="00F73C91">
        <w:rPr>
          <w:rFonts w:asciiTheme="minorHAnsi" w:hAnsiTheme="minorHAnsi" w:cstheme="minorBidi" w:hint="eastAsia"/>
          <w:lang w:eastAsia="zh-CN"/>
        </w:rPr>
        <w:t>的</w:t>
      </w:r>
      <w:r w:rsidR="00F73C91" w:rsidRPr="00F73C91">
        <w:rPr>
          <w:rFonts w:asciiTheme="minorHAnsi" w:hAnsiTheme="minorHAnsi" w:cstheme="minorBidi" w:hint="eastAsia"/>
          <w:lang w:eastAsia="zh-CN"/>
        </w:rPr>
        <w:t>学校</w:t>
      </w:r>
      <w:r w:rsidR="00A323F1">
        <w:rPr>
          <w:rFonts w:asciiTheme="minorHAnsi" w:hAnsiTheme="minorHAnsi" w:cstheme="minorBidi"/>
          <w:lang w:eastAsia="zh-CN"/>
        </w:rPr>
        <w:t>。</w:t>
      </w:r>
    </w:p>
    <w:p w14:paraId="74757E29" w14:textId="61A5404B" w:rsidR="00DC2D25" w:rsidRDefault="00C34460" w:rsidP="00C34460">
      <w:pPr>
        <w:pStyle w:val="enumlev1"/>
        <w:rPr>
          <w:lang w:eastAsia="zh-CN"/>
        </w:rPr>
      </w:pPr>
      <w:r>
        <w:rPr>
          <w:rFonts w:hint="eastAsia"/>
          <w:lang w:eastAsia="zh-CN"/>
        </w:rPr>
        <w:t>2</w:t>
      </w:r>
      <w:r w:rsidRPr="00C34460">
        <w:rPr>
          <w:rFonts w:hint="eastAsia"/>
          <w:lang w:eastAsia="zh-CN"/>
        </w:rPr>
        <w:t>)</w:t>
      </w:r>
      <w:r w:rsidRPr="00C34460">
        <w:rPr>
          <w:lang w:eastAsia="zh-CN"/>
        </w:rPr>
        <w:tab/>
      </w:r>
      <w:r w:rsidR="00A323F1">
        <w:rPr>
          <w:u w:val="single"/>
          <w:lang w:eastAsia="zh-CN"/>
        </w:rPr>
        <w:t>与落实</w:t>
      </w:r>
      <w:r w:rsidR="00A323F1">
        <w:rPr>
          <w:u w:val="single"/>
          <w:lang w:eastAsia="zh-CN"/>
        </w:rPr>
        <w:t>WTDC</w:t>
      </w:r>
      <w:r w:rsidR="00A323F1">
        <w:rPr>
          <w:u w:val="single"/>
          <w:lang w:eastAsia="zh-CN"/>
        </w:rPr>
        <w:t>第</w:t>
      </w:r>
      <w:r w:rsidR="00A323F1">
        <w:rPr>
          <w:u w:val="single"/>
          <w:lang w:eastAsia="zh-CN"/>
        </w:rPr>
        <w:t>18</w:t>
      </w:r>
      <w:r w:rsidR="00A323F1">
        <w:rPr>
          <w:u w:val="single"/>
          <w:lang w:eastAsia="zh-CN"/>
        </w:rPr>
        <w:t>号决议相关的举措</w:t>
      </w:r>
      <w:r w:rsidR="00F73C91">
        <w:rPr>
          <w:rFonts w:hint="eastAsia"/>
          <w:lang w:eastAsia="zh-CN"/>
        </w:rPr>
        <w:t>：</w:t>
      </w:r>
      <w:r w:rsidR="00A323F1">
        <w:rPr>
          <w:lang w:eastAsia="zh-CN"/>
        </w:rPr>
        <w:t>向巴勒斯坦提供</w:t>
      </w:r>
      <w:r w:rsidR="00F73C91">
        <w:rPr>
          <w:lang w:val="en-US" w:eastAsia="zh-CN"/>
        </w:rPr>
        <w:t>特</w:t>
      </w:r>
      <w:r w:rsidR="00F73C91">
        <w:rPr>
          <w:rFonts w:cs="Calibri"/>
          <w:szCs w:val="24"/>
          <w:lang w:eastAsia="zh-CN"/>
        </w:rPr>
        <w:t>别</w:t>
      </w:r>
      <w:r w:rsidR="00A323F1">
        <w:rPr>
          <w:lang w:eastAsia="zh-CN"/>
        </w:rPr>
        <w:t>技术援助。</w:t>
      </w:r>
    </w:p>
    <w:p w14:paraId="258CEAFC" w14:textId="6B6FE26C" w:rsidR="00DC2D25" w:rsidRDefault="00C34460" w:rsidP="00C34460">
      <w:pPr>
        <w:pStyle w:val="enumlev1"/>
        <w:rPr>
          <w:lang w:eastAsia="zh-CN"/>
        </w:rPr>
      </w:pPr>
      <w:r>
        <w:rPr>
          <w:lang w:eastAsia="zh-CN"/>
        </w:rPr>
        <w:tab/>
      </w:r>
      <w:r w:rsidR="00A323F1">
        <w:rPr>
          <w:lang w:eastAsia="zh-CN"/>
        </w:rPr>
        <w:t>为落实</w:t>
      </w:r>
      <w:r w:rsidR="00A323F1">
        <w:rPr>
          <w:lang w:eastAsia="zh-CN"/>
        </w:rPr>
        <w:t>WTDC</w:t>
      </w:r>
      <w:r w:rsidR="00A323F1">
        <w:rPr>
          <w:lang w:eastAsia="zh-CN"/>
        </w:rPr>
        <w:t>第</w:t>
      </w:r>
      <w:r w:rsidR="00A323F1">
        <w:rPr>
          <w:lang w:eastAsia="zh-CN"/>
        </w:rPr>
        <w:t>18</w:t>
      </w:r>
      <w:r w:rsidR="00A323F1">
        <w:rPr>
          <w:lang w:eastAsia="zh-CN"/>
        </w:rPr>
        <w:t>号决议，电信发展局已成功完成并实施了旨在向巴勒斯坦提供特别技术援助的多个项目和活动。这些举措包括：</w:t>
      </w:r>
    </w:p>
    <w:p w14:paraId="68DADFDC" w14:textId="4F55FC9A" w:rsidR="00DC2D25" w:rsidRPr="00C34460" w:rsidRDefault="00C34460" w:rsidP="00C34460">
      <w:pPr>
        <w:pStyle w:val="enumlev1"/>
        <w:rPr>
          <w:u w:val="single"/>
          <w:lang w:eastAsia="zh-CN"/>
        </w:rPr>
      </w:pPr>
      <w:r>
        <w:rPr>
          <w:lang w:eastAsia="zh-CN"/>
        </w:rPr>
        <w:tab/>
      </w:r>
      <w:r w:rsidR="00A323F1" w:rsidRPr="00C34460">
        <w:rPr>
          <w:u w:val="single"/>
          <w:lang w:eastAsia="zh-CN"/>
        </w:rPr>
        <w:t>有利的监管环境：</w:t>
      </w:r>
    </w:p>
    <w:p w14:paraId="5E5FA942" w14:textId="6AA2554E" w:rsidR="00DC2D25" w:rsidRDefault="00C34460" w:rsidP="00C34460">
      <w:pPr>
        <w:pStyle w:val="enumlev2"/>
        <w:rPr>
          <w:lang w:eastAsia="zh-CN"/>
        </w:rPr>
      </w:pPr>
      <w:r>
        <w:rPr>
          <w:lang w:eastAsia="zh-CN"/>
        </w:rPr>
        <w:t>•</w:t>
      </w:r>
      <w:r>
        <w:rPr>
          <w:lang w:eastAsia="zh-CN"/>
        </w:rPr>
        <w:tab/>
      </w:r>
      <w:r w:rsidR="00A323F1">
        <w:rPr>
          <w:lang w:eastAsia="zh-CN"/>
        </w:rPr>
        <w:t>分析并制定一份有关巴勒斯坦</w:t>
      </w:r>
      <w:r w:rsidR="00A323F1">
        <w:rPr>
          <w:lang w:eastAsia="zh-CN"/>
        </w:rPr>
        <w:t>ICT</w:t>
      </w:r>
      <w:r w:rsidR="00A323F1">
        <w:rPr>
          <w:lang w:eastAsia="zh-CN"/>
        </w:rPr>
        <w:t>市场的推荐报告。</w:t>
      </w:r>
    </w:p>
    <w:p w14:paraId="641C0211" w14:textId="5F7CC6FF" w:rsidR="00DC2D25" w:rsidRDefault="00C34460" w:rsidP="00C34460">
      <w:pPr>
        <w:pStyle w:val="enumlev2"/>
        <w:rPr>
          <w:szCs w:val="24"/>
          <w:lang w:eastAsia="zh-CN"/>
        </w:rPr>
      </w:pPr>
      <w:r>
        <w:rPr>
          <w:lang w:eastAsia="zh-CN"/>
        </w:rPr>
        <w:t>•</w:t>
      </w:r>
      <w:r>
        <w:rPr>
          <w:lang w:eastAsia="zh-CN"/>
        </w:rPr>
        <w:tab/>
      </w:r>
      <w:r w:rsidR="00A323F1">
        <w:rPr>
          <w:szCs w:val="24"/>
          <w:lang w:eastAsia="zh-CN"/>
        </w:rPr>
        <w:t>制定相关的成本模型，作为移动和固定业务批发和零售价格监管决策的指南。</w:t>
      </w:r>
    </w:p>
    <w:p w14:paraId="16ED1FE5" w14:textId="50EB1E2B" w:rsidR="00DC2D25" w:rsidRDefault="00C34460" w:rsidP="00C34460">
      <w:pPr>
        <w:pStyle w:val="enumlev2"/>
        <w:rPr>
          <w:lang w:eastAsia="zh-CN"/>
        </w:rPr>
      </w:pPr>
      <w:r>
        <w:rPr>
          <w:lang w:eastAsia="zh-CN"/>
        </w:rPr>
        <w:t>•</w:t>
      </w:r>
      <w:r>
        <w:rPr>
          <w:lang w:eastAsia="zh-CN"/>
        </w:rPr>
        <w:tab/>
      </w:r>
      <w:r w:rsidR="00A323F1">
        <w:rPr>
          <w:lang w:eastAsia="zh-CN"/>
        </w:rPr>
        <w:t>制定用于监管移动和固定业务批发和零售业务的价格监管框架。</w:t>
      </w:r>
    </w:p>
    <w:p w14:paraId="1AB6C033" w14:textId="66F14949" w:rsidR="00DC2D25" w:rsidRDefault="00C34460" w:rsidP="00C34460">
      <w:pPr>
        <w:pStyle w:val="enumlev2"/>
        <w:rPr>
          <w:szCs w:val="24"/>
          <w:lang w:eastAsia="zh-CN"/>
        </w:rPr>
      </w:pPr>
      <w:r>
        <w:rPr>
          <w:lang w:eastAsia="zh-CN"/>
        </w:rPr>
        <w:t>•</w:t>
      </w:r>
      <w:r>
        <w:rPr>
          <w:lang w:eastAsia="zh-CN"/>
        </w:rPr>
        <w:tab/>
      </w:r>
      <w:r w:rsidR="00A323F1">
        <w:rPr>
          <w:szCs w:val="24"/>
          <w:lang w:eastAsia="zh-CN"/>
        </w:rPr>
        <w:t>作为国际电联连通</w:t>
      </w:r>
      <w:r w:rsidR="006B53F2">
        <w:rPr>
          <w:rFonts w:hint="eastAsia"/>
          <w:szCs w:val="24"/>
          <w:lang w:eastAsia="zh-CN"/>
        </w:rPr>
        <w:t>促进</w:t>
      </w:r>
      <w:r w:rsidR="00A323F1">
        <w:rPr>
          <w:szCs w:val="24"/>
          <w:lang w:eastAsia="zh-CN"/>
        </w:rPr>
        <w:t>恢复（</w:t>
      </w:r>
      <w:r w:rsidR="00A323F1">
        <w:rPr>
          <w:szCs w:val="24"/>
          <w:lang w:eastAsia="zh-CN"/>
        </w:rPr>
        <w:t>C2R</w:t>
      </w:r>
      <w:r w:rsidR="00A323F1">
        <w:rPr>
          <w:szCs w:val="24"/>
          <w:lang w:eastAsia="zh-CN"/>
        </w:rPr>
        <w:t>）举措的一部分，</w:t>
      </w:r>
      <w:r w:rsidR="006B53F2">
        <w:rPr>
          <w:rFonts w:hint="eastAsia"/>
          <w:szCs w:val="24"/>
          <w:lang w:eastAsia="zh-CN"/>
        </w:rPr>
        <w:t>在以下领域</w:t>
      </w:r>
      <w:r w:rsidR="00A323F1">
        <w:rPr>
          <w:szCs w:val="24"/>
          <w:lang w:eastAsia="zh-CN"/>
        </w:rPr>
        <w:t>提供援助：</w:t>
      </w:r>
    </w:p>
    <w:p w14:paraId="0F487F59" w14:textId="3544FB17" w:rsidR="00DC2D25" w:rsidRDefault="00C34460" w:rsidP="00C34460">
      <w:pPr>
        <w:pStyle w:val="enumlev3"/>
        <w:rPr>
          <w:lang w:eastAsia="zh-CN"/>
        </w:rPr>
      </w:pPr>
      <w:r>
        <w:rPr>
          <w:rFonts w:hint="eastAsia"/>
          <w:lang w:eastAsia="zh-CN"/>
        </w:rPr>
        <w:t>1.</w:t>
      </w:r>
      <w:r>
        <w:rPr>
          <w:lang w:eastAsia="zh-CN"/>
        </w:rPr>
        <w:tab/>
      </w:r>
      <w:r w:rsidR="00A323F1">
        <w:rPr>
          <w:lang w:eastAsia="zh-CN"/>
        </w:rPr>
        <w:t>制定</w:t>
      </w:r>
      <w:r w:rsidR="006B53F2">
        <w:rPr>
          <w:rFonts w:hint="eastAsia"/>
          <w:lang w:eastAsia="zh-CN"/>
        </w:rPr>
        <w:t>国内编号</w:t>
      </w:r>
      <w:r w:rsidR="00A323F1">
        <w:rPr>
          <w:lang w:eastAsia="zh-CN"/>
        </w:rPr>
        <w:t>框架。</w:t>
      </w:r>
    </w:p>
    <w:p w14:paraId="0099744E" w14:textId="134D3947" w:rsidR="00DC2D25" w:rsidRDefault="00C34460" w:rsidP="00C34460">
      <w:pPr>
        <w:pStyle w:val="enumlev3"/>
        <w:rPr>
          <w:lang w:eastAsia="zh-CN"/>
        </w:rPr>
      </w:pPr>
      <w:r>
        <w:rPr>
          <w:rFonts w:hint="eastAsia"/>
          <w:lang w:eastAsia="zh-CN"/>
        </w:rPr>
        <w:t>2.</w:t>
      </w:r>
      <w:r>
        <w:rPr>
          <w:lang w:eastAsia="zh-CN"/>
        </w:rPr>
        <w:tab/>
      </w:r>
      <w:r w:rsidR="00A323F1">
        <w:rPr>
          <w:lang w:eastAsia="zh-CN"/>
        </w:rPr>
        <w:t>制定</w:t>
      </w:r>
      <w:r w:rsidR="006B53F2">
        <w:rPr>
          <w:rFonts w:hint="eastAsia"/>
          <w:lang w:eastAsia="zh-CN"/>
        </w:rPr>
        <w:t>国内编号</w:t>
      </w:r>
      <w:r w:rsidR="00A323F1">
        <w:rPr>
          <w:lang w:eastAsia="zh-CN"/>
        </w:rPr>
        <w:t>规则。</w:t>
      </w:r>
    </w:p>
    <w:p w14:paraId="3C9EBA44" w14:textId="22DFACAF" w:rsidR="00DC2D25" w:rsidRDefault="00C34460" w:rsidP="00C34460">
      <w:pPr>
        <w:pStyle w:val="enumlev1"/>
        <w:rPr>
          <w:rFonts w:asciiTheme="minorHAnsi" w:hAnsiTheme="minorHAnsi" w:cstheme="minorHAnsi"/>
          <w:u w:val="single"/>
          <w:lang w:eastAsia="zh-CN"/>
        </w:rPr>
      </w:pPr>
      <w:r w:rsidRPr="00C34460">
        <w:rPr>
          <w:lang w:eastAsia="zh-CN"/>
        </w:rPr>
        <w:tab/>
      </w:r>
      <w:r w:rsidR="00A323F1">
        <w:rPr>
          <w:rFonts w:asciiTheme="minorHAnsi" w:hAnsiTheme="minorHAnsi" w:cstheme="minorHAnsi"/>
          <w:u w:val="single"/>
          <w:lang w:eastAsia="zh-CN"/>
        </w:rPr>
        <w:t>数字基础设施：</w:t>
      </w:r>
    </w:p>
    <w:p w14:paraId="2558F4F8" w14:textId="2732C3C1" w:rsidR="00DC2D25" w:rsidRDefault="00C34460" w:rsidP="00C34460">
      <w:pPr>
        <w:pStyle w:val="enumlev1"/>
        <w:rPr>
          <w:lang w:eastAsia="zh-CN"/>
        </w:rPr>
      </w:pPr>
      <w:r>
        <w:rPr>
          <w:rFonts w:cs="Calibri"/>
          <w:szCs w:val="24"/>
          <w:lang w:eastAsia="zh-CN"/>
        </w:rPr>
        <w:tab/>
      </w:r>
      <w:r w:rsidR="00A323F1">
        <w:rPr>
          <w:rFonts w:cs="Calibri"/>
          <w:szCs w:val="24"/>
          <w:lang w:eastAsia="zh-CN"/>
        </w:rPr>
        <w:t>巴勒斯坦</w:t>
      </w:r>
      <w:r w:rsidR="00A323F1">
        <w:rPr>
          <w:lang w:eastAsia="zh-CN"/>
        </w:rPr>
        <w:t>已被选定为国际电联</w:t>
      </w:r>
      <w:r w:rsidR="00A323F1">
        <w:rPr>
          <w:lang w:eastAsia="zh-CN"/>
        </w:rPr>
        <w:t>IPv6</w:t>
      </w:r>
      <w:r w:rsidR="00A323F1">
        <w:rPr>
          <w:lang w:eastAsia="zh-CN"/>
        </w:rPr>
        <w:t>和</w:t>
      </w:r>
      <w:proofErr w:type="gramStart"/>
      <w:r w:rsidR="00A323F1">
        <w:rPr>
          <w:lang w:eastAsia="zh-CN"/>
        </w:rPr>
        <w:t>物联网</w:t>
      </w:r>
      <w:proofErr w:type="gramEnd"/>
      <w:r w:rsidR="00D71D1B">
        <w:rPr>
          <w:rFonts w:hint="eastAsia"/>
          <w:lang w:eastAsia="zh-CN"/>
        </w:rPr>
        <w:t>技术专长</w:t>
      </w:r>
      <w:r w:rsidR="00A323F1">
        <w:rPr>
          <w:lang w:eastAsia="zh-CN"/>
        </w:rPr>
        <w:t>中心项目的受益国之一。</w:t>
      </w:r>
      <w:r w:rsidR="00D71D1B" w:rsidRPr="00D71D1B">
        <w:rPr>
          <w:rFonts w:hint="eastAsia"/>
          <w:lang w:eastAsia="zh-CN"/>
        </w:rPr>
        <w:t>在</w:t>
      </w:r>
      <w:r w:rsidR="00D71D1B" w:rsidRPr="00D71D1B">
        <w:rPr>
          <w:rFonts w:hint="eastAsia"/>
          <w:lang w:eastAsia="zh-CN"/>
        </w:rPr>
        <w:t>2022</w:t>
      </w:r>
      <w:r w:rsidR="00D71D1B" w:rsidRPr="00D71D1B">
        <w:rPr>
          <w:rFonts w:hint="eastAsia"/>
          <w:lang w:eastAsia="zh-CN"/>
        </w:rPr>
        <w:t>年至</w:t>
      </w:r>
      <w:r w:rsidR="00D71D1B" w:rsidRPr="00D71D1B">
        <w:rPr>
          <w:rFonts w:hint="eastAsia"/>
          <w:lang w:eastAsia="zh-CN"/>
        </w:rPr>
        <w:t>2023</w:t>
      </w:r>
      <w:r w:rsidR="00D71D1B" w:rsidRPr="00D71D1B">
        <w:rPr>
          <w:rFonts w:hint="eastAsia"/>
          <w:lang w:eastAsia="zh-CN"/>
        </w:rPr>
        <w:t>年期间，提供</w:t>
      </w:r>
      <w:r w:rsidR="00D71D1B">
        <w:rPr>
          <w:rFonts w:hint="eastAsia"/>
          <w:lang w:eastAsia="zh-CN"/>
        </w:rPr>
        <w:t>了</w:t>
      </w:r>
      <w:r w:rsidR="00D71D1B" w:rsidRPr="00D71D1B">
        <w:rPr>
          <w:rFonts w:hint="eastAsia"/>
          <w:lang w:eastAsia="zh-CN"/>
        </w:rPr>
        <w:t>有关</w:t>
      </w:r>
      <w:r w:rsidR="00D71D1B" w:rsidRPr="00D71D1B">
        <w:rPr>
          <w:rFonts w:hint="eastAsia"/>
          <w:lang w:eastAsia="zh-CN"/>
        </w:rPr>
        <w:t>IPv6</w:t>
      </w:r>
      <w:r w:rsidR="00D71D1B" w:rsidRPr="00D71D1B">
        <w:rPr>
          <w:rFonts w:hint="eastAsia"/>
          <w:lang w:eastAsia="zh-CN"/>
        </w:rPr>
        <w:t>和</w:t>
      </w:r>
      <w:proofErr w:type="gramStart"/>
      <w:r w:rsidR="00D71D1B" w:rsidRPr="00D71D1B">
        <w:rPr>
          <w:rFonts w:hint="eastAsia"/>
          <w:lang w:eastAsia="zh-CN"/>
        </w:rPr>
        <w:t>物联网</w:t>
      </w:r>
      <w:proofErr w:type="gramEnd"/>
      <w:r w:rsidR="00D71D1B" w:rsidRPr="00D71D1B">
        <w:rPr>
          <w:rFonts w:hint="eastAsia"/>
          <w:lang w:eastAsia="zh-CN"/>
        </w:rPr>
        <w:t>的支持和指导。援助包括以下活动：</w:t>
      </w:r>
    </w:p>
    <w:p w14:paraId="598988C6" w14:textId="6BB11454" w:rsidR="00DC2D25" w:rsidRDefault="00C34460" w:rsidP="00C34460">
      <w:pPr>
        <w:pStyle w:val="enumlev2"/>
        <w:rPr>
          <w:lang w:eastAsia="zh-CN"/>
        </w:rPr>
      </w:pPr>
      <w:r>
        <w:rPr>
          <w:lang w:eastAsia="zh-CN"/>
        </w:rPr>
        <w:t>•</w:t>
      </w:r>
      <w:r>
        <w:rPr>
          <w:lang w:eastAsia="zh-CN"/>
        </w:rPr>
        <w:tab/>
      </w:r>
      <w:r w:rsidR="00A323F1">
        <w:rPr>
          <w:lang w:eastAsia="zh-CN"/>
        </w:rPr>
        <w:t>制定了国</w:t>
      </w:r>
      <w:r w:rsidR="00D71D1B">
        <w:rPr>
          <w:rFonts w:hint="eastAsia"/>
          <w:lang w:eastAsia="zh-CN"/>
        </w:rPr>
        <w:t>内</w:t>
      </w:r>
      <w:r w:rsidR="00A323F1">
        <w:rPr>
          <w:lang w:eastAsia="zh-CN"/>
        </w:rPr>
        <w:t>IPv6</w:t>
      </w:r>
      <w:r w:rsidR="00A323F1">
        <w:rPr>
          <w:lang w:eastAsia="zh-CN"/>
        </w:rPr>
        <w:t>过渡战略，同时协助成立巴勒斯坦国</w:t>
      </w:r>
      <w:r w:rsidR="00D71D1B">
        <w:rPr>
          <w:rFonts w:hint="eastAsia"/>
          <w:lang w:eastAsia="zh-CN"/>
        </w:rPr>
        <w:t>内</w:t>
      </w:r>
      <w:r w:rsidR="00A323F1">
        <w:rPr>
          <w:lang w:eastAsia="zh-CN"/>
        </w:rPr>
        <w:t>IPv6</w:t>
      </w:r>
      <w:r w:rsidR="00A323F1">
        <w:rPr>
          <w:lang w:eastAsia="zh-CN"/>
        </w:rPr>
        <w:t>任务组。</w:t>
      </w:r>
    </w:p>
    <w:p w14:paraId="0C50FB42" w14:textId="0365BFAC" w:rsidR="00DC2D25" w:rsidRDefault="00C34460" w:rsidP="00C34460">
      <w:pPr>
        <w:pStyle w:val="enumlev2"/>
        <w:rPr>
          <w:lang w:eastAsia="zh-CN"/>
        </w:rPr>
      </w:pPr>
      <w:r>
        <w:rPr>
          <w:lang w:eastAsia="zh-CN"/>
        </w:rPr>
        <w:t>•</w:t>
      </w:r>
      <w:r>
        <w:rPr>
          <w:lang w:eastAsia="zh-CN"/>
        </w:rPr>
        <w:tab/>
      </w:r>
      <w:r w:rsidR="00D71D1B" w:rsidRPr="00D71D1B">
        <w:rPr>
          <w:rFonts w:hint="eastAsia"/>
          <w:lang w:eastAsia="zh-CN"/>
        </w:rPr>
        <w:t>开展了多个以</w:t>
      </w:r>
      <w:r w:rsidR="00D71D1B" w:rsidRPr="00D71D1B">
        <w:rPr>
          <w:rFonts w:hint="eastAsia"/>
          <w:lang w:eastAsia="zh-CN"/>
        </w:rPr>
        <w:t>IPv6</w:t>
      </w:r>
      <w:r w:rsidR="00D71D1B" w:rsidRPr="00D71D1B">
        <w:rPr>
          <w:rFonts w:hint="eastAsia"/>
          <w:lang w:eastAsia="zh-CN"/>
        </w:rPr>
        <w:t>和物联网为重点的能力发展计划，培训并认证了三名以上精通</w:t>
      </w:r>
      <w:r w:rsidR="00D71D1B" w:rsidRPr="00D71D1B">
        <w:rPr>
          <w:rFonts w:hint="eastAsia"/>
          <w:lang w:eastAsia="zh-CN"/>
        </w:rPr>
        <w:t>IPv6</w:t>
      </w:r>
      <w:r w:rsidR="00D71D1B" w:rsidRPr="00D71D1B">
        <w:rPr>
          <w:rFonts w:hint="eastAsia"/>
          <w:lang w:eastAsia="zh-CN"/>
        </w:rPr>
        <w:t>和物联网技术的工作人员。</w:t>
      </w:r>
    </w:p>
    <w:p w14:paraId="16BC0625" w14:textId="3DAB6A0F" w:rsidR="00DC2D25" w:rsidRPr="00C34460" w:rsidRDefault="00C34460" w:rsidP="00C34460">
      <w:pPr>
        <w:pStyle w:val="enumlev1"/>
        <w:keepNext/>
        <w:keepLines/>
        <w:rPr>
          <w:u w:val="single"/>
          <w:lang w:eastAsia="zh-CN"/>
        </w:rPr>
      </w:pPr>
      <w:r w:rsidRPr="00C34460">
        <w:rPr>
          <w:lang w:eastAsia="zh-CN"/>
        </w:rPr>
        <w:lastRenderedPageBreak/>
        <w:tab/>
      </w:r>
      <w:r w:rsidR="00A323F1" w:rsidRPr="00C34460">
        <w:rPr>
          <w:u w:val="single"/>
          <w:lang w:eastAsia="zh-CN"/>
        </w:rPr>
        <w:t>应急通信</w:t>
      </w:r>
      <w:r>
        <w:rPr>
          <w:rFonts w:asciiTheme="minorHAnsi" w:hAnsiTheme="minorHAnsi" w:cstheme="minorHAnsi"/>
          <w:u w:val="single"/>
          <w:lang w:eastAsia="zh-CN"/>
        </w:rPr>
        <w:t>：</w:t>
      </w:r>
    </w:p>
    <w:p w14:paraId="05DBEA3F" w14:textId="198A90CD" w:rsidR="00DC2D25" w:rsidRDefault="00C34460" w:rsidP="00C34460">
      <w:pPr>
        <w:pStyle w:val="enumlev2"/>
        <w:keepNext/>
        <w:keepLines/>
        <w:rPr>
          <w:lang w:eastAsia="zh-CN"/>
        </w:rPr>
      </w:pPr>
      <w:r>
        <w:rPr>
          <w:lang w:eastAsia="zh-CN"/>
        </w:rPr>
        <w:t>•</w:t>
      </w:r>
      <w:r>
        <w:rPr>
          <w:lang w:eastAsia="zh-CN"/>
        </w:rPr>
        <w:tab/>
      </w:r>
      <w:r w:rsidR="00377163" w:rsidRPr="00377163">
        <w:rPr>
          <w:rFonts w:hint="eastAsia"/>
          <w:lang w:eastAsia="zh-CN"/>
        </w:rPr>
        <w:t>协助制定</w:t>
      </w:r>
      <w:r w:rsidR="00A323F1">
        <w:rPr>
          <w:lang w:eastAsia="zh-CN"/>
        </w:rPr>
        <w:t>2023</w:t>
      </w:r>
      <w:r w:rsidR="00A323F1">
        <w:rPr>
          <w:lang w:eastAsia="zh-CN"/>
        </w:rPr>
        <w:t>年巴勒斯坦国家应急通信计划（</w:t>
      </w:r>
      <w:r w:rsidR="00A323F1">
        <w:rPr>
          <w:lang w:eastAsia="zh-CN"/>
        </w:rPr>
        <w:t>NETP</w:t>
      </w:r>
      <w:r w:rsidR="00A323F1">
        <w:rPr>
          <w:lang w:eastAsia="zh-CN"/>
        </w:rPr>
        <w:t>）。</w:t>
      </w:r>
    </w:p>
    <w:p w14:paraId="629CDE55" w14:textId="73E1D171" w:rsidR="00DC2D25" w:rsidRDefault="00C34460" w:rsidP="00C34460">
      <w:pPr>
        <w:pStyle w:val="enumlev2"/>
        <w:rPr>
          <w:rFonts w:cstheme="minorHAnsi"/>
          <w:lang w:eastAsia="zh-CN"/>
        </w:rPr>
      </w:pPr>
      <w:r>
        <w:rPr>
          <w:lang w:eastAsia="zh-CN"/>
        </w:rPr>
        <w:t>•</w:t>
      </w:r>
      <w:r>
        <w:rPr>
          <w:lang w:eastAsia="zh-CN"/>
        </w:rPr>
        <w:tab/>
      </w:r>
      <w:r w:rsidR="00377163" w:rsidRPr="00377163">
        <w:rPr>
          <w:rFonts w:hint="eastAsia"/>
          <w:lang w:eastAsia="zh-CN"/>
        </w:rPr>
        <w:t>国际电联一直积极参与</w:t>
      </w:r>
      <w:r w:rsidR="00377163">
        <w:rPr>
          <w:lang w:eastAsia="zh-CN"/>
        </w:rPr>
        <w:t>世界</w:t>
      </w:r>
      <w:r w:rsidR="00377163" w:rsidRPr="00377163">
        <w:rPr>
          <w:rFonts w:hint="eastAsia"/>
          <w:lang w:eastAsia="zh-CN"/>
        </w:rPr>
        <w:t>粮食计划署领导的</w:t>
      </w:r>
      <w:r w:rsidR="00377163">
        <w:rPr>
          <w:lang w:eastAsia="zh-CN"/>
        </w:rPr>
        <w:t>应急通信组</w:t>
      </w:r>
      <w:r w:rsidR="00377163" w:rsidRPr="00377163">
        <w:rPr>
          <w:rFonts w:hint="eastAsia"/>
          <w:lang w:eastAsia="zh-CN"/>
        </w:rPr>
        <w:t>（</w:t>
      </w:r>
      <w:r w:rsidR="00377163" w:rsidRPr="00377163">
        <w:rPr>
          <w:rFonts w:hint="eastAsia"/>
          <w:lang w:eastAsia="zh-CN"/>
        </w:rPr>
        <w:t>ETC</w:t>
      </w:r>
      <w:r w:rsidR="00377163" w:rsidRPr="00377163">
        <w:rPr>
          <w:rFonts w:hint="eastAsia"/>
          <w:lang w:eastAsia="zh-CN"/>
        </w:rPr>
        <w:t>）</w:t>
      </w:r>
      <w:r w:rsidR="00377163">
        <w:rPr>
          <w:lang w:eastAsia="zh-CN"/>
        </w:rPr>
        <w:t>任务组</w:t>
      </w:r>
      <w:r w:rsidR="00377163" w:rsidRPr="00377163">
        <w:rPr>
          <w:rFonts w:hint="eastAsia"/>
          <w:lang w:eastAsia="zh-CN"/>
        </w:rPr>
        <w:t>的工作，在加沙持续冲突期间支持并提供与连通性有关的技术援助。</w:t>
      </w:r>
    </w:p>
    <w:p w14:paraId="444685AE" w14:textId="54F951FB" w:rsidR="00DC2D25" w:rsidRPr="00C34460" w:rsidRDefault="00C34460" w:rsidP="00C34460">
      <w:pPr>
        <w:pStyle w:val="enumlev1"/>
        <w:rPr>
          <w:u w:val="single"/>
          <w:lang w:eastAsia="zh-CN"/>
        </w:rPr>
      </w:pPr>
      <w:r>
        <w:rPr>
          <w:lang w:eastAsia="zh-CN"/>
        </w:rPr>
        <w:tab/>
      </w:r>
      <w:r w:rsidR="00A323F1" w:rsidRPr="00C34460">
        <w:rPr>
          <w:u w:val="single"/>
          <w:lang w:eastAsia="zh-CN"/>
        </w:rPr>
        <w:t>网络安全：</w:t>
      </w:r>
    </w:p>
    <w:p w14:paraId="75EAA6E0" w14:textId="17E4B650" w:rsidR="00DC2D25" w:rsidRDefault="00C34460" w:rsidP="00C34460">
      <w:pPr>
        <w:pStyle w:val="enumlev2"/>
        <w:rPr>
          <w:lang w:eastAsia="zh-CN"/>
        </w:rPr>
      </w:pPr>
      <w:r>
        <w:rPr>
          <w:lang w:eastAsia="zh-CN"/>
        </w:rPr>
        <w:t>•</w:t>
      </w:r>
      <w:r>
        <w:rPr>
          <w:lang w:eastAsia="zh-CN"/>
        </w:rPr>
        <w:tab/>
      </w:r>
      <w:r w:rsidR="00A323F1">
        <w:rPr>
          <w:lang w:eastAsia="zh-CN"/>
        </w:rPr>
        <w:t>为建立巴勒斯坦计算机事件响应组（</w:t>
      </w:r>
      <w:r w:rsidR="00A323F1">
        <w:rPr>
          <w:lang w:eastAsia="zh-CN"/>
        </w:rPr>
        <w:t>Pal CIRT</w:t>
      </w:r>
      <w:r w:rsidR="00A323F1">
        <w:rPr>
          <w:lang w:eastAsia="zh-CN"/>
        </w:rPr>
        <w:t>）提供支持。</w:t>
      </w:r>
    </w:p>
    <w:p w14:paraId="7B2286CB" w14:textId="211E754F" w:rsidR="00DC2D25" w:rsidRPr="00C34460" w:rsidRDefault="00C34460" w:rsidP="00C34460">
      <w:pPr>
        <w:pStyle w:val="enumlev1"/>
        <w:rPr>
          <w:u w:val="single"/>
          <w:lang w:eastAsia="zh-CN"/>
        </w:rPr>
      </w:pPr>
      <w:r>
        <w:rPr>
          <w:rFonts w:hint="eastAsia"/>
          <w:lang w:eastAsia="zh-CN"/>
        </w:rPr>
        <w:t>3</w:t>
      </w:r>
      <w:r w:rsidRPr="00C34460">
        <w:rPr>
          <w:rFonts w:hint="eastAsia"/>
          <w:lang w:eastAsia="zh-CN"/>
        </w:rPr>
        <w:t>)</w:t>
      </w:r>
      <w:r w:rsidRPr="00C34460">
        <w:rPr>
          <w:lang w:eastAsia="zh-CN"/>
        </w:rPr>
        <w:tab/>
      </w:r>
      <w:r w:rsidR="00A323F1" w:rsidRPr="00C34460">
        <w:rPr>
          <w:u w:val="single"/>
          <w:lang w:eastAsia="zh-CN"/>
        </w:rPr>
        <w:t>与落实</w:t>
      </w:r>
      <w:r w:rsidR="00A323F1" w:rsidRPr="00C34460">
        <w:rPr>
          <w:u w:val="single"/>
          <w:lang w:eastAsia="zh-CN"/>
        </w:rPr>
        <w:t>WRC</w:t>
      </w:r>
      <w:r w:rsidR="00A323F1" w:rsidRPr="00C34460">
        <w:rPr>
          <w:u w:val="single"/>
          <w:lang w:eastAsia="zh-CN"/>
        </w:rPr>
        <w:t>第</w:t>
      </w:r>
      <w:r w:rsidR="00A323F1" w:rsidRPr="00C34460">
        <w:rPr>
          <w:u w:val="single"/>
          <w:lang w:eastAsia="zh-CN"/>
        </w:rPr>
        <w:t>12</w:t>
      </w:r>
      <w:r w:rsidR="00A323F1" w:rsidRPr="00C34460">
        <w:rPr>
          <w:u w:val="single"/>
          <w:lang w:eastAsia="zh-CN"/>
        </w:rPr>
        <w:t>号决议相关的举措</w:t>
      </w:r>
    </w:p>
    <w:p w14:paraId="10B4E71A" w14:textId="5753A025" w:rsidR="00DC2D25" w:rsidRDefault="00A323F1" w:rsidP="00C34460">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eastAsia="zh-CN"/>
        </w:rPr>
      </w:pPr>
      <w:r>
        <w:rPr>
          <w:lang w:eastAsia="zh-CN"/>
        </w:rPr>
        <w:t>2023</w:t>
      </w:r>
      <w:r>
        <w:rPr>
          <w:lang w:eastAsia="zh-CN"/>
        </w:rPr>
        <w:t>年</w:t>
      </w:r>
      <w:r>
        <w:rPr>
          <w:lang w:eastAsia="zh-CN"/>
        </w:rPr>
        <w:t>10</w:t>
      </w:r>
      <w:r>
        <w:rPr>
          <w:lang w:eastAsia="zh-CN"/>
        </w:rPr>
        <w:t>月，根据第</w:t>
      </w:r>
      <w:r>
        <w:rPr>
          <w:lang w:eastAsia="zh-CN"/>
        </w:rPr>
        <w:t>12</w:t>
      </w:r>
      <w:r>
        <w:rPr>
          <w:lang w:eastAsia="zh-CN"/>
        </w:rPr>
        <w:t>号决议（</w:t>
      </w:r>
      <w:r>
        <w:rPr>
          <w:lang w:eastAsia="zh-CN"/>
        </w:rPr>
        <w:t>WRC-19</w:t>
      </w:r>
      <w:r>
        <w:rPr>
          <w:lang w:eastAsia="zh-CN"/>
        </w:rPr>
        <w:t>，修订版），国际电联无线电通信局与国际电联阿拉伯国家区域代表处密切协调，审查并建议</w:t>
      </w:r>
      <w:r w:rsidR="007B7D43">
        <w:rPr>
          <w:rFonts w:hint="eastAsia"/>
          <w:lang w:eastAsia="zh-CN"/>
        </w:rPr>
        <w:t>对</w:t>
      </w:r>
      <w:r>
        <w:rPr>
          <w:lang w:eastAsia="zh-CN"/>
        </w:rPr>
        <w:t>巴勒斯坦《国家频率划分和应用表》（</w:t>
      </w:r>
      <w:r>
        <w:rPr>
          <w:lang w:eastAsia="zh-CN"/>
        </w:rPr>
        <w:t>TNFAA</w:t>
      </w:r>
      <w:r>
        <w:rPr>
          <w:lang w:eastAsia="zh-CN"/>
        </w:rPr>
        <w:t>）</w:t>
      </w:r>
      <w:r w:rsidR="007B7D43">
        <w:rPr>
          <w:rFonts w:hint="eastAsia"/>
          <w:lang w:eastAsia="zh-CN"/>
        </w:rPr>
        <w:t>进行</w:t>
      </w:r>
      <w:r>
        <w:rPr>
          <w:lang w:eastAsia="zh-CN"/>
        </w:rPr>
        <w:t>修订。国际电联的审</w:t>
      </w:r>
      <w:r w:rsidR="007B7D43">
        <w:rPr>
          <w:rFonts w:hint="eastAsia"/>
          <w:lang w:eastAsia="zh-CN"/>
        </w:rPr>
        <w:t>查</w:t>
      </w:r>
      <w:r>
        <w:rPr>
          <w:lang w:eastAsia="zh-CN"/>
        </w:rPr>
        <w:t>工作包括一般性意见和解释，特别</w:t>
      </w:r>
      <w:r w:rsidR="007B7D43">
        <w:rPr>
          <w:rFonts w:hint="eastAsia"/>
          <w:lang w:eastAsia="zh-CN"/>
        </w:rPr>
        <w:t>侧重于</w:t>
      </w:r>
      <w:r>
        <w:rPr>
          <w:lang w:eastAsia="zh-CN"/>
        </w:rPr>
        <w:t>确保与国际电联</w:t>
      </w:r>
      <w:r>
        <w:rPr>
          <w:lang w:eastAsia="zh-CN"/>
        </w:rPr>
        <w:t>2020</w:t>
      </w:r>
      <w:r>
        <w:rPr>
          <w:lang w:eastAsia="zh-CN"/>
        </w:rPr>
        <w:t>年版《无线电规则》保持一致。自修订</w:t>
      </w:r>
      <w:r>
        <w:rPr>
          <w:lang w:eastAsia="zh-CN"/>
        </w:rPr>
        <w:t>TNFAA</w:t>
      </w:r>
      <w:r>
        <w:rPr>
          <w:lang w:eastAsia="zh-CN"/>
        </w:rPr>
        <w:t>以来，</w:t>
      </w:r>
      <w:r w:rsidR="007B7D43">
        <w:rPr>
          <w:lang w:eastAsia="zh-CN"/>
        </w:rPr>
        <w:t>国际电联无线电通信局</w:t>
      </w:r>
      <w:r>
        <w:rPr>
          <w:lang w:eastAsia="zh-CN"/>
        </w:rPr>
        <w:t>未收到向巴勒斯坦提供</w:t>
      </w:r>
      <w:r w:rsidR="007B7D43" w:rsidRPr="007B7D43">
        <w:rPr>
          <w:rFonts w:hint="eastAsia"/>
          <w:lang w:eastAsia="zh-CN"/>
        </w:rPr>
        <w:t>援助</w:t>
      </w:r>
      <w:r>
        <w:rPr>
          <w:lang w:eastAsia="zh-CN"/>
        </w:rPr>
        <w:t>的请求。</w:t>
      </w:r>
    </w:p>
    <w:p w14:paraId="1B4CE800" w14:textId="08989183" w:rsidR="00DC2D25" w:rsidRDefault="007B7D43" w:rsidP="00C34460">
      <w:pPr>
        <w:spacing w:after="120"/>
        <w:ind w:firstLineChars="200" w:firstLine="480"/>
        <w:jc w:val="both"/>
        <w:rPr>
          <w:lang w:eastAsia="zh-CN"/>
        </w:rPr>
      </w:pPr>
      <w:r w:rsidRPr="007B7D43">
        <w:rPr>
          <w:rFonts w:hint="eastAsia"/>
          <w:lang w:eastAsia="zh-CN"/>
        </w:rPr>
        <w:t>世界无线电通信大会（</w:t>
      </w:r>
      <w:r w:rsidRPr="007B7D43">
        <w:rPr>
          <w:rFonts w:hint="eastAsia"/>
          <w:lang w:eastAsia="zh-CN"/>
        </w:rPr>
        <w:t>2023</w:t>
      </w:r>
      <w:r w:rsidRPr="007B7D43">
        <w:rPr>
          <w:rFonts w:hint="eastAsia"/>
          <w:lang w:eastAsia="zh-CN"/>
        </w:rPr>
        <w:t>年，迪拜）批准了对第</w:t>
      </w:r>
      <w:r w:rsidRPr="007B7D43">
        <w:rPr>
          <w:rFonts w:hint="eastAsia"/>
          <w:lang w:eastAsia="zh-CN"/>
        </w:rPr>
        <w:t>12</w:t>
      </w:r>
      <w:r w:rsidRPr="007B7D43">
        <w:rPr>
          <w:rFonts w:hint="eastAsia"/>
          <w:lang w:eastAsia="zh-CN"/>
        </w:rPr>
        <w:t>号决议（</w:t>
      </w:r>
      <w:r w:rsidRPr="007B7D43">
        <w:rPr>
          <w:rFonts w:hint="eastAsia"/>
          <w:lang w:eastAsia="zh-CN"/>
        </w:rPr>
        <w:t>WRC-19</w:t>
      </w:r>
      <w:r w:rsidRPr="007B7D43">
        <w:rPr>
          <w:rFonts w:hint="eastAsia"/>
          <w:lang w:eastAsia="zh-CN"/>
        </w:rPr>
        <w:t>，修订版）的修</w:t>
      </w:r>
      <w:r>
        <w:rPr>
          <w:rFonts w:hint="eastAsia"/>
          <w:lang w:eastAsia="zh-CN"/>
        </w:rPr>
        <w:t>改</w:t>
      </w:r>
      <w:r w:rsidRPr="007B7D43">
        <w:rPr>
          <w:rFonts w:hint="eastAsia"/>
          <w:lang w:eastAsia="zh-CN"/>
        </w:rPr>
        <w:t>，做出决议</w:t>
      </w:r>
      <w:r>
        <w:rPr>
          <w:rFonts w:hint="eastAsia"/>
          <w:lang w:eastAsia="zh-CN"/>
        </w:rPr>
        <w:t>，应</w:t>
      </w:r>
      <w:r w:rsidRPr="007B7D43">
        <w:rPr>
          <w:rFonts w:hint="eastAsia"/>
          <w:lang w:eastAsia="zh-CN"/>
        </w:rPr>
        <w:t>授权巴勒斯坦</w:t>
      </w:r>
      <w:r>
        <w:rPr>
          <w:rFonts w:hint="eastAsia"/>
          <w:lang w:eastAsia="zh-CN"/>
        </w:rPr>
        <w:t>获</w:t>
      </w:r>
      <w:r w:rsidRPr="007B7D43">
        <w:rPr>
          <w:rFonts w:hint="eastAsia"/>
          <w:lang w:eastAsia="zh-CN"/>
        </w:rPr>
        <w:t>取运营</w:t>
      </w:r>
      <w:r w:rsidRPr="007B7D43">
        <w:rPr>
          <w:rFonts w:hint="eastAsia"/>
          <w:lang w:eastAsia="zh-CN"/>
        </w:rPr>
        <w:t>4G</w:t>
      </w:r>
      <w:r w:rsidRPr="007B7D43">
        <w:rPr>
          <w:rFonts w:hint="eastAsia"/>
          <w:lang w:eastAsia="zh-CN"/>
        </w:rPr>
        <w:t>和</w:t>
      </w:r>
      <w:r w:rsidRPr="007B7D43">
        <w:rPr>
          <w:rFonts w:hint="eastAsia"/>
          <w:lang w:eastAsia="zh-CN"/>
        </w:rPr>
        <w:t>5G</w:t>
      </w:r>
      <w:r w:rsidRPr="007B7D43">
        <w:rPr>
          <w:rFonts w:hint="eastAsia"/>
          <w:lang w:eastAsia="zh-CN"/>
        </w:rPr>
        <w:t>业务必不可少的微波链路频率</w:t>
      </w:r>
      <w:r>
        <w:rPr>
          <w:rFonts w:hint="eastAsia"/>
          <w:lang w:eastAsia="zh-CN"/>
        </w:rPr>
        <w:t>；</w:t>
      </w:r>
      <w:r w:rsidRPr="007B7D43">
        <w:rPr>
          <w:rFonts w:hint="eastAsia"/>
          <w:lang w:eastAsia="zh-CN"/>
        </w:rPr>
        <w:t>利用</w:t>
      </w:r>
      <w:r w:rsidRPr="007B7D43">
        <w:rPr>
          <w:rFonts w:hint="eastAsia"/>
          <w:lang w:eastAsia="zh-CN"/>
        </w:rPr>
        <w:t>IMT-2020</w:t>
      </w:r>
      <w:r w:rsidRPr="007B7D43">
        <w:rPr>
          <w:rFonts w:hint="eastAsia"/>
          <w:lang w:eastAsia="zh-CN"/>
        </w:rPr>
        <w:t>等新型现代移动电信网络所需的</w:t>
      </w:r>
      <w:r>
        <w:rPr>
          <w:rFonts w:hint="eastAsia"/>
          <w:lang w:eastAsia="zh-CN"/>
        </w:rPr>
        <w:t>附加</w:t>
      </w:r>
      <w:r w:rsidRPr="007B7D43">
        <w:rPr>
          <w:rFonts w:hint="eastAsia"/>
          <w:lang w:eastAsia="zh-CN"/>
        </w:rPr>
        <w:t>频段</w:t>
      </w:r>
      <w:r>
        <w:rPr>
          <w:rFonts w:hint="eastAsia"/>
          <w:lang w:eastAsia="zh-CN"/>
        </w:rPr>
        <w:t>；</w:t>
      </w:r>
      <w:r w:rsidRPr="007B7D43">
        <w:rPr>
          <w:rFonts w:hint="eastAsia"/>
          <w:lang w:eastAsia="zh-CN"/>
        </w:rPr>
        <w:t>紧急扩展、安装、拥有</w:t>
      </w:r>
      <w:r>
        <w:rPr>
          <w:rFonts w:hint="eastAsia"/>
          <w:lang w:eastAsia="zh-CN"/>
        </w:rPr>
        <w:t>、</w:t>
      </w:r>
      <w:r w:rsidRPr="007B7D43">
        <w:rPr>
          <w:rFonts w:hint="eastAsia"/>
          <w:lang w:eastAsia="zh-CN"/>
        </w:rPr>
        <w:t>管理和运营光纤宽带电信网络</w:t>
      </w:r>
      <w:r w:rsidR="00A770ED">
        <w:rPr>
          <w:rFonts w:hint="eastAsia"/>
          <w:lang w:eastAsia="zh-CN"/>
        </w:rPr>
        <w:t>；</w:t>
      </w:r>
      <w:r w:rsidRPr="007B7D43">
        <w:rPr>
          <w:rFonts w:hint="eastAsia"/>
          <w:lang w:eastAsia="zh-CN"/>
        </w:rPr>
        <w:t>为固定和移动电信业务获取</w:t>
      </w:r>
      <w:r w:rsidRPr="007B7D43">
        <w:rPr>
          <w:rFonts w:hint="eastAsia"/>
          <w:lang w:eastAsia="zh-CN"/>
        </w:rPr>
        <w:t>VHF</w:t>
      </w:r>
      <w:r w:rsidRPr="007B7D43">
        <w:rPr>
          <w:rFonts w:hint="eastAsia"/>
          <w:lang w:eastAsia="zh-CN"/>
        </w:rPr>
        <w:t>和</w:t>
      </w:r>
      <w:r w:rsidRPr="007B7D43">
        <w:rPr>
          <w:rFonts w:hint="eastAsia"/>
          <w:lang w:eastAsia="zh-CN"/>
        </w:rPr>
        <w:t>UHF</w:t>
      </w:r>
      <w:r w:rsidRPr="007B7D43">
        <w:rPr>
          <w:rFonts w:hint="eastAsia"/>
          <w:lang w:eastAsia="zh-CN"/>
        </w:rPr>
        <w:t>频率，</w:t>
      </w:r>
      <w:r w:rsidR="00A770ED" w:rsidRPr="007B7D43">
        <w:rPr>
          <w:rFonts w:hint="eastAsia"/>
          <w:lang w:eastAsia="zh-CN"/>
        </w:rPr>
        <w:t>以及</w:t>
      </w:r>
      <w:r w:rsidRPr="007B7D43">
        <w:rPr>
          <w:rFonts w:hint="eastAsia"/>
          <w:lang w:eastAsia="zh-CN"/>
        </w:rPr>
        <w:t>为广播业务获取调频频率。</w:t>
      </w:r>
    </w:p>
    <w:p w14:paraId="5E0218D7" w14:textId="07036990" w:rsidR="00DC2D25" w:rsidRDefault="00A323F1" w:rsidP="00C34460">
      <w:pPr>
        <w:spacing w:after="120"/>
        <w:ind w:firstLineChars="200" w:firstLine="480"/>
        <w:jc w:val="both"/>
        <w:rPr>
          <w:lang w:eastAsia="zh-CN"/>
        </w:rPr>
      </w:pPr>
      <w:r>
        <w:rPr>
          <w:lang w:eastAsia="zh-CN"/>
        </w:rPr>
        <w:t>第</w:t>
      </w:r>
      <w:r>
        <w:rPr>
          <w:lang w:eastAsia="zh-CN"/>
        </w:rPr>
        <w:t>12</w:t>
      </w:r>
      <w:r>
        <w:rPr>
          <w:lang w:eastAsia="zh-CN"/>
        </w:rPr>
        <w:t>号决议（</w:t>
      </w:r>
      <w:r>
        <w:rPr>
          <w:lang w:eastAsia="zh-CN"/>
        </w:rPr>
        <w:t>WRC-23</w:t>
      </w:r>
      <w:r>
        <w:rPr>
          <w:lang w:eastAsia="zh-CN"/>
        </w:rPr>
        <w:t>，修订版）责成秘书长就所取得的进展向理事会提交年度报告。</w:t>
      </w:r>
    </w:p>
    <w:p w14:paraId="44A3F8B4" w14:textId="31C2009F" w:rsidR="00DC2D25" w:rsidRDefault="003F37E5" w:rsidP="00C34460">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eastAsia="zh-CN"/>
        </w:rPr>
      </w:pPr>
      <w:r w:rsidRPr="003F37E5">
        <w:rPr>
          <w:rFonts w:hint="eastAsia"/>
          <w:lang w:eastAsia="zh-CN"/>
        </w:rPr>
        <w:t>为促进实现</w:t>
      </w:r>
      <w:r>
        <w:rPr>
          <w:rFonts w:hint="eastAsia"/>
          <w:lang w:eastAsia="zh-CN"/>
        </w:rPr>
        <w:t>决议</w:t>
      </w:r>
      <w:r w:rsidRPr="003F37E5">
        <w:rPr>
          <w:rFonts w:hint="eastAsia"/>
          <w:lang w:eastAsia="zh-CN"/>
        </w:rPr>
        <w:t>目标，秘书长和无线电通信局</w:t>
      </w:r>
      <w:r>
        <w:rPr>
          <w:lang w:eastAsia="zh-CN"/>
        </w:rPr>
        <w:t>主任</w:t>
      </w:r>
      <w:r w:rsidRPr="003F37E5">
        <w:rPr>
          <w:rFonts w:hint="eastAsia"/>
          <w:lang w:eastAsia="zh-CN"/>
        </w:rPr>
        <w:t>推动以色列和巴勒斯坦为</w:t>
      </w:r>
      <w:r>
        <w:rPr>
          <w:lang w:eastAsia="zh-CN"/>
        </w:rPr>
        <w:t>落实第</w:t>
      </w:r>
      <w:r>
        <w:rPr>
          <w:lang w:eastAsia="zh-CN"/>
        </w:rPr>
        <w:t>12</w:t>
      </w:r>
      <w:r>
        <w:rPr>
          <w:lang w:eastAsia="zh-CN"/>
        </w:rPr>
        <w:t>号决议</w:t>
      </w:r>
      <w:r w:rsidRPr="003F37E5">
        <w:rPr>
          <w:rFonts w:hint="eastAsia"/>
          <w:lang w:eastAsia="zh-CN"/>
        </w:rPr>
        <w:t>进行对话，特别是推</w:t>
      </w:r>
      <w:r>
        <w:rPr>
          <w:rFonts w:hint="eastAsia"/>
          <w:lang w:eastAsia="zh-CN"/>
        </w:rPr>
        <w:t>进制定</w:t>
      </w:r>
      <w:r w:rsidRPr="003F37E5">
        <w:rPr>
          <w:rFonts w:hint="eastAsia"/>
          <w:lang w:eastAsia="zh-CN"/>
        </w:rPr>
        <w:t>路线图</w:t>
      </w:r>
      <w:r>
        <w:rPr>
          <w:rFonts w:hint="eastAsia"/>
          <w:lang w:eastAsia="zh-CN"/>
        </w:rPr>
        <w:t>，帮助</w:t>
      </w:r>
      <w:r w:rsidRPr="003F37E5">
        <w:rPr>
          <w:rFonts w:hint="eastAsia"/>
          <w:lang w:eastAsia="zh-CN"/>
        </w:rPr>
        <w:t>巴勒斯坦获得更多用于</w:t>
      </w:r>
      <w:r w:rsidRPr="003F37E5">
        <w:rPr>
          <w:rFonts w:hint="eastAsia"/>
          <w:lang w:eastAsia="zh-CN"/>
        </w:rPr>
        <w:t>IMT</w:t>
      </w:r>
      <w:r w:rsidRPr="003F37E5">
        <w:rPr>
          <w:rFonts w:hint="eastAsia"/>
          <w:lang w:eastAsia="zh-CN"/>
        </w:rPr>
        <w:t>和广播的频率。</w:t>
      </w:r>
    </w:p>
    <w:p w14:paraId="0BDED4E8" w14:textId="09088DB4" w:rsidR="00DC2D25" w:rsidRDefault="00A323F1">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t>_____________</w:t>
      </w:r>
    </w:p>
    <w:sectPr w:rsidR="00DC2D25">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120E" w14:textId="77777777" w:rsidR="00DC2D25" w:rsidRDefault="00A323F1">
      <w:r>
        <w:separator/>
      </w:r>
    </w:p>
  </w:endnote>
  <w:endnote w:type="continuationSeparator" w:id="0">
    <w:p w14:paraId="46A0B7B3" w14:textId="77777777" w:rsidR="00DC2D25" w:rsidRDefault="00A323F1">
      <w:r>
        <w:continuationSeparator/>
      </w:r>
    </w:p>
  </w:endnote>
  <w:endnote w:type="continuationNotice" w:id="1">
    <w:p w14:paraId="7F2B2FAC" w14:textId="77777777" w:rsidR="00DC2D25" w:rsidRDefault="00DC2D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C2D25" w14:paraId="07402CB9" w14:textId="77777777">
      <w:trPr>
        <w:jc w:val="center"/>
      </w:trPr>
      <w:tc>
        <w:tcPr>
          <w:tcW w:w="1803" w:type="dxa"/>
          <w:vAlign w:val="center"/>
        </w:tcPr>
        <w:p w14:paraId="727FD637" w14:textId="544D255A" w:rsidR="00DC2D25" w:rsidRDefault="00DC2D25">
          <w:pPr>
            <w:pStyle w:val="Header"/>
            <w:jc w:val="left"/>
          </w:pPr>
        </w:p>
      </w:tc>
      <w:tc>
        <w:tcPr>
          <w:tcW w:w="8261" w:type="dxa"/>
        </w:tcPr>
        <w:p w14:paraId="2D49E76E" w14:textId="408BB9C8" w:rsidR="00DC2D25" w:rsidRDefault="00A323F1">
          <w:pPr>
            <w:pStyle w:val="Header"/>
            <w:tabs>
              <w:tab w:val="left" w:pos="7070"/>
              <w:tab w:val="right" w:pos="8505"/>
              <w:tab w:val="right" w:pos="9639"/>
            </w:tabs>
            <w:jc w:val="left"/>
            <w:rPr>
              <w:rFonts w:ascii="Arial" w:hAnsi="Arial" w:cs="Arial"/>
              <w:b/>
              <w:bCs/>
              <w:szCs w:val="18"/>
            </w:rPr>
          </w:pPr>
          <w:r>
            <w:rPr>
              <w:bCs/>
            </w:rPr>
            <w:tab/>
            <w:t>C24/69-</w:t>
          </w:r>
          <w:r w:rsidR="00C34460">
            <w:rPr>
              <w:rFonts w:eastAsiaTheme="minorEastAsia" w:hint="eastAsia"/>
              <w:bCs/>
              <w:lang w:eastAsia="zh-CN"/>
            </w:rPr>
            <w:t>C</w:t>
          </w:r>
          <w:r>
            <w:rPr>
              <w:bCs/>
            </w:rPr>
            <w:tab/>
          </w:r>
          <w:r>
            <w:fldChar w:fldCharType="begin"/>
          </w:r>
          <w:r>
            <w:instrText>PAGE</w:instrText>
          </w:r>
          <w:r>
            <w:fldChar w:fldCharType="separate"/>
          </w:r>
          <w:r>
            <w:t>1</w:t>
          </w:r>
          <w:r>
            <w:fldChar w:fldCharType="end"/>
          </w:r>
        </w:p>
      </w:tc>
    </w:tr>
  </w:tbl>
  <w:p w14:paraId="44006CCE" w14:textId="77777777" w:rsidR="00DC2D25" w:rsidRDefault="00DC2D25">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C2D25" w14:paraId="4F588A4C" w14:textId="77777777">
      <w:trPr>
        <w:jc w:val="center"/>
      </w:trPr>
      <w:tc>
        <w:tcPr>
          <w:tcW w:w="1803" w:type="dxa"/>
          <w:vAlign w:val="center"/>
        </w:tcPr>
        <w:p w14:paraId="4E7A2825" w14:textId="77777777" w:rsidR="00DC2D25" w:rsidRDefault="00C34460">
          <w:pPr>
            <w:pStyle w:val="Header"/>
            <w:jc w:val="left"/>
          </w:pPr>
          <w:hyperlink r:id="rId1" w:history="1">
            <w:r w:rsidR="00A323F1">
              <w:rPr>
                <w:rStyle w:val="Hyperlink"/>
                <w:szCs w:val="14"/>
                <w:u w:val="none"/>
              </w:rPr>
              <w:t>www.itu.int/council</w:t>
            </w:r>
          </w:hyperlink>
        </w:p>
      </w:tc>
      <w:tc>
        <w:tcPr>
          <w:tcW w:w="8261" w:type="dxa"/>
        </w:tcPr>
        <w:p w14:paraId="3F62E0D8" w14:textId="064126E2" w:rsidR="00DC2D25" w:rsidRDefault="00A323F1">
          <w:pPr>
            <w:pStyle w:val="Header"/>
            <w:tabs>
              <w:tab w:val="left" w:pos="7070"/>
              <w:tab w:val="right" w:pos="8505"/>
              <w:tab w:val="right" w:pos="9639"/>
            </w:tabs>
            <w:jc w:val="left"/>
            <w:rPr>
              <w:rFonts w:ascii="Arial" w:hAnsi="Arial" w:cs="Arial"/>
              <w:b/>
              <w:bCs/>
              <w:szCs w:val="18"/>
            </w:rPr>
          </w:pPr>
          <w:r>
            <w:rPr>
              <w:bCs/>
            </w:rPr>
            <w:tab/>
            <w:t>C24/69-</w:t>
          </w:r>
          <w:r w:rsidR="00C34460">
            <w:rPr>
              <w:rFonts w:eastAsiaTheme="minorEastAsia" w:hint="eastAsia"/>
              <w:bCs/>
              <w:lang w:eastAsia="zh-CN"/>
            </w:rPr>
            <w:t>C</w:t>
          </w:r>
          <w:r>
            <w:rPr>
              <w:bCs/>
            </w:rPr>
            <w:tab/>
          </w:r>
          <w:r>
            <w:fldChar w:fldCharType="begin"/>
          </w:r>
          <w:r>
            <w:instrText>PAGE</w:instrText>
          </w:r>
          <w:r>
            <w:fldChar w:fldCharType="separate"/>
          </w:r>
          <w:r>
            <w:t>1</w:t>
          </w:r>
          <w:r>
            <w:fldChar w:fldCharType="end"/>
          </w:r>
        </w:p>
      </w:tc>
    </w:tr>
  </w:tbl>
  <w:p w14:paraId="12BE588F" w14:textId="77777777" w:rsidR="00DC2D25" w:rsidRDefault="00DC2D25">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B28E" w14:textId="77777777" w:rsidR="00DC2D25" w:rsidRDefault="00A323F1">
      <w:r>
        <w:t>____________________</w:t>
      </w:r>
    </w:p>
  </w:footnote>
  <w:footnote w:type="continuationSeparator" w:id="0">
    <w:p w14:paraId="6B96BDB1" w14:textId="77777777" w:rsidR="00DC2D25" w:rsidRDefault="00A323F1">
      <w:r>
        <w:continuationSeparator/>
      </w:r>
    </w:p>
  </w:footnote>
  <w:footnote w:type="continuationNotice" w:id="1">
    <w:p w14:paraId="19FE93BD" w14:textId="77777777" w:rsidR="00DC2D25" w:rsidRDefault="00DC2D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34460" w:rsidRPr="00784011" w14:paraId="0A53E4A3" w14:textId="77777777" w:rsidTr="00CE726E">
      <w:trPr>
        <w:trHeight w:val="1104"/>
        <w:jc w:val="center"/>
      </w:trPr>
      <w:tc>
        <w:tcPr>
          <w:tcW w:w="4390" w:type="dxa"/>
          <w:vAlign w:val="center"/>
        </w:tcPr>
        <w:p w14:paraId="2C00F0AE" w14:textId="77777777" w:rsidR="00C34460" w:rsidRPr="009621F8" w:rsidRDefault="00C34460" w:rsidP="00C34460">
          <w:pPr>
            <w:pStyle w:val="Header"/>
            <w:jc w:val="left"/>
            <w:rPr>
              <w:rFonts w:ascii="Arial" w:hAnsi="Arial" w:cs="Arial"/>
              <w:b/>
              <w:bCs/>
              <w:color w:val="009CD6"/>
              <w:sz w:val="36"/>
              <w:szCs w:val="36"/>
            </w:rPr>
          </w:pPr>
          <w:bookmarkStart w:id="13" w:name="_Hlk133422111"/>
          <w:r>
            <w:rPr>
              <w:noProof/>
            </w:rPr>
            <w:drawing>
              <wp:inline distT="0" distB="0" distL="0" distR="0" wp14:anchorId="21737D87" wp14:editId="66A36228">
                <wp:extent cx="1987200" cy="558000"/>
                <wp:effectExtent l="0" t="0" r="0" b="0"/>
                <wp:docPr id="118978743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7439"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B1E170E" w14:textId="77777777" w:rsidR="00C34460" w:rsidRDefault="00C34460" w:rsidP="00C34460">
          <w:pPr>
            <w:pStyle w:val="Header"/>
            <w:jc w:val="right"/>
            <w:rPr>
              <w:rFonts w:ascii="Arial" w:hAnsi="Arial" w:cs="Arial"/>
              <w:b/>
              <w:bCs/>
              <w:color w:val="009CD6"/>
              <w:szCs w:val="18"/>
            </w:rPr>
          </w:pPr>
        </w:p>
        <w:p w14:paraId="0C6757BE" w14:textId="77777777" w:rsidR="00C34460" w:rsidRDefault="00C34460" w:rsidP="00C34460">
          <w:pPr>
            <w:pStyle w:val="Header"/>
            <w:jc w:val="right"/>
            <w:rPr>
              <w:rFonts w:ascii="Arial" w:hAnsi="Arial" w:cs="Arial"/>
              <w:b/>
              <w:bCs/>
              <w:color w:val="009CD6"/>
              <w:szCs w:val="18"/>
            </w:rPr>
          </w:pPr>
        </w:p>
        <w:p w14:paraId="739DDDD3" w14:textId="77777777" w:rsidR="00C34460" w:rsidRPr="00784011" w:rsidRDefault="00C34460" w:rsidP="00C3446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7F53BBA0" w:rsidR="00DC2D25" w:rsidRPr="00C34460" w:rsidRDefault="00C34460" w:rsidP="00C34460">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4F988A0" wp14:editId="13FB31C7">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2EE8C"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B7E34"/>
    <w:multiLevelType w:val="hybridMultilevel"/>
    <w:tmpl w:val="ABBCBE2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3102225"/>
    <w:multiLevelType w:val="hybridMultilevel"/>
    <w:tmpl w:val="37BED530"/>
    <w:lvl w:ilvl="0" w:tplc="04090005">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03A16F10"/>
    <w:multiLevelType w:val="hybridMultilevel"/>
    <w:tmpl w:val="92EC0898"/>
    <w:lvl w:ilvl="0" w:tplc="A3DC969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8F6316"/>
    <w:multiLevelType w:val="hybridMultilevel"/>
    <w:tmpl w:val="8BB06D76"/>
    <w:lvl w:ilvl="0" w:tplc="75D83C9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5B509F"/>
    <w:multiLevelType w:val="hybridMultilevel"/>
    <w:tmpl w:val="2F58C130"/>
    <w:lvl w:ilvl="0" w:tplc="0409000F">
      <w:start w:val="1"/>
      <w:numFmt w:val="decimal"/>
      <w:lvlText w:val="%1."/>
      <w:lvlJc w:val="left"/>
      <w:pPr>
        <w:ind w:left="2250" w:hanging="360"/>
      </w:pPr>
      <w:rPr>
        <w:rFonts w:hint="default"/>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6" w15:restartNumberingAfterBreak="0">
    <w:nsid w:val="41687DB4"/>
    <w:multiLevelType w:val="hybridMultilevel"/>
    <w:tmpl w:val="51244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CE120C"/>
    <w:multiLevelType w:val="hybridMultilevel"/>
    <w:tmpl w:val="EEB8B6A4"/>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5451F1B"/>
    <w:multiLevelType w:val="hybridMultilevel"/>
    <w:tmpl w:val="05362298"/>
    <w:lvl w:ilvl="0" w:tplc="08090011">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51BF4898"/>
    <w:multiLevelType w:val="hybridMultilevel"/>
    <w:tmpl w:val="F694217C"/>
    <w:lvl w:ilvl="0" w:tplc="FFFFFFFF">
      <w:start w:val="1"/>
      <w:numFmt w:val="bullet"/>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0809000F">
      <w:start w:val="1"/>
      <w:numFmt w:val="decimal"/>
      <w:lvlText w:val="%3."/>
      <w:lvlJc w:val="left"/>
      <w:pPr>
        <w:ind w:left="2610" w:hanging="360"/>
      </w:p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41C7FE5"/>
    <w:multiLevelType w:val="hybridMultilevel"/>
    <w:tmpl w:val="8062B920"/>
    <w:lvl w:ilvl="0" w:tplc="04090005">
      <w:start w:val="1"/>
      <w:numFmt w:val="bullet"/>
      <w:lvlText w:val=""/>
      <w:lvlJc w:val="left"/>
      <w:pPr>
        <w:ind w:left="292" w:hanging="360"/>
      </w:pPr>
      <w:rPr>
        <w:rFonts w:ascii="Wingdings" w:hAnsi="Wingdings" w:hint="default"/>
      </w:rPr>
    </w:lvl>
    <w:lvl w:ilvl="1" w:tplc="FFFFFFFF">
      <w:start w:val="1"/>
      <w:numFmt w:val="bullet"/>
      <w:lvlText w:val="o"/>
      <w:lvlJc w:val="left"/>
      <w:pPr>
        <w:ind w:left="1012" w:hanging="360"/>
      </w:pPr>
      <w:rPr>
        <w:rFonts w:ascii="Courier New" w:hAnsi="Courier New" w:cs="Courier New" w:hint="default"/>
      </w:rPr>
    </w:lvl>
    <w:lvl w:ilvl="2" w:tplc="FFFFFFFF">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11" w15:restartNumberingAfterBreak="0">
    <w:nsid w:val="5F7C5268"/>
    <w:multiLevelType w:val="hybridMultilevel"/>
    <w:tmpl w:val="B0204A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259E9"/>
    <w:multiLevelType w:val="hybridMultilevel"/>
    <w:tmpl w:val="112E803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CAF3B53"/>
    <w:multiLevelType w:val="hybridMultilevel"/>
    <w:tmpl w:val="5AD0368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1355366"/>
    <w:multiLevelType w:val="hybridMultilevel"/>
    <w:tmpl w:val="73E232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E349BE"/>
    <w:multiLevelType w:val="hybridMultilevel"/>
    <w:tmpl w:val="A3BA8FE8"/>
    <w:lvl w:ilvl="0" w:tplc="9B42ACE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6" w15:restartNumberingAfterBreak="0">
    <w:nsid w:val="7B0F3270"/>
    <w:multiLevelType w:val="hybridMultilevel"/>
    <w:tmpl w:val="61C8C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54798"/>
    <w:multiLevelType w:val="hybridMultilevel"/>
    <w:tmpl w:val="58B81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209078324">
    <w:abstractNumId w:val="17"/>
  </w:num>
  <w:num w:numId="3" w16cid:durableId="169376727">
    <w:abstractNumId w:val="4"/>
  </w:num>
  <w:num w:numId="4" w16cid:durableId="570895978">
    <w:abstractNumId w:val="11"/>
  </w:num>
  <w:num w:numId="5" w16cid:durableId="110561161">
    <w:abstractNumId w:val="7"/>
  </w:num>
  <w:num w:numId="6" w16cid:durableId="1581673695">
    <w:abstractNumId w:val="2"/>
  </w:num>
  <w:num w:numId="7" w16cid:durableId="69814788">
    <w:abstractNumId w:val="15"/>
  </w:num>
  <w:num w:numId="8" w16cid:durableId="20404683">
    <w:abstractNumId w:val="12"/>
  </w:num>
  <w:num w:numId="9" w16cid:durableId="1230076064">
    <w:abstractNumId w:val="13"/>
  </w:num>
  <w:num w:numId="10" w16cid:durableId="501436531">
    <w:abstractNumId w:val="5"/>
  </w:num>
  <w:num w:numId="11" w16cid:durableId="1523592743">
    <w:abstractNumId w:val="10"/>
  </w:num>
  <w:num w:numId="12" w16cid:durableId="419957980">
    <w:abstractNumId w:val="16"/>
  </w:num>
  <w:num w:numId="13" w16cid:durableId="1411153778">
    <w:abstractNumId w:val="1"/>
  </w:num>
  <w:num w:numId="14" w16cid:durableId="1045372672">
    <w:abstractNumId w:val="9"/>
  </w:num>
  <w:num w:numId="15" w16cid:durableId="640378985">
    <w:abstractNumId w:val="6"/>
  </w:num>
  <w:num w:numId="16" w16cid:durableId="2106002015">
    <w:abstractNumId w:val="8"/>
  </w:num>
  <w:num w:numId="17" w16cid:durableId="75245602">
    <w:abstractNumId w:val="3"/>
  </w:num>
  <w:num w:numId="18" w16cid:durableId="210163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25"/>
    <w:rsid w:val="000F523F"/>
    <w:rsid w:val="00377163"/>
    <w:rsid w:val="0038508A"/>
    <w:rsid w:val="003F37E5"/>
    <w:rsid w:val="00614399"/>
    <w:rsid w:val="006B53F2"/>
    <w:rsid w:val="00776FF4"/>
    <w:rsid w:val="007B7D43"/>
    <w:rsid w:val="008A1228"/>
    <w:rsid w:val="00A323F1"/>
    <w:rsid w:val="00A770ED"/>
    <w:rsid w:val="00C34460"/>
    <w:rsid w:val="00D620EB"/>
    <w:rsid w:val="00D71D1B"/>
    <w:rsid w:val="00DC2D25"/>
    <w:rsid w:val="00F73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301512A-01D6-4659-A8FE-0268C4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1,Recommendation,List Paragraph11,NUMBERED PARAGRAPH,List Paragraph 1,References,ReferencesCxSpLast,lp1,List Paragraph (numbered (a)),Use Case List Paragraph,Bullets,Numbered List Paragraph,List Paragraph nowy,Liste 1,Body"/>
    <w:basedOn w:val="Normal"/>
    <w:link w:val="ListParagraphChar"/>
    <w:uiPriority w:val="34"/>
    <w:qFormat/>
    <w:pPr>
      <w:ind w:left="720"/>
      <w:contextualSpacing/>
    </w:pPr>
  </w:style>
  <w:style w:type="paragraph" w:styleId="Revision">
    <w:name w:val="Revision"/>
    <w:hidden/>
    <w:uiPriority w:val="99"/>
    <w:semiHidden/>
    <w:rPr>
      <w:rFonts w:ascii="Calibri" w:hAnsi="Calibri"/>
      <w:sz w:val="24"/>
      <w:lang w:val="en-GB" w:eastAsia="en-US"/>
    </w:rPr>
  </w:style>
  <w:style w:type="character" w:customStyle="1" w:styleId="Heading1Char">
    <w:name w:val="Heading 1 Char"/>
    <w:basedOn w:val="DefaultParagraphFont"/>
    <w:link w:val="Heading1"/>
    <w:rPr>
      <w:rFonts w:ascii="Calibri" w:hAnsi="Calibri"/>
      <w:b/>
      <w:sz w:val="28"/>
      <w:lang w:val="en-GB" w:eastAsia="en-US"/>
    </w:rPr>
  </w:style>
  <w:style w:type="character" w:customStyle="1" w:styleId="ListParagraphChar">
    <w:name w:val="List Paragraph Char"/>
    <w:aliases w:val="List Paragraph1 Char,Recommendation Char,List Paragraph11 Char,NUMBERED PARAGRAPH Char,List Paragraph 1 Char,References Char,ReferencesCxSpLast Char,lp1 Char,List Paragraph (numbered (a)) Char,Use Case List Paragraph Char,Body Char"/>
    <w:basedOn w:val="DefaultParagraphFont"/>
    <w:link w:val="ListParagraph"/>
    <w:uiPriority w:val="34"/>
    <w:qFormat/>
    <w:locked/>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83825">
      <w:bodyDiv w:val="1"/>
      <w:marLeft w:val="0"/>
      <w:marRight w:val="0"/>
      <w:marTop w:val="0"/>
      <w:marBottom w:val="0"/>
      <w:divBdr>
        <w:top w:val="none" w:sz="0" w:space="0" w:color="auto"/>
        <w:left w:val="none" w:sz="0" w:space="0" w:color="auto"/>
        <w:bottom w:val="none" w:sz="0" w:space="0" w:color="auto"/>
        <w:right w:val="none" w:sz="0" w:space="0" w:color="auto"/>
      </w:divBdr>
      <w:divsChild>
        <w:div w:id="356976151">
          <w:marLeft w:val="0"/>
          <w:marRight w:val="0"/>
          <w:marTop w:val="0"/>
          <w:marBottom w:val="0"/>
          <w:divBdr>
            <w:top w:val="none" w:sz="0" w:space="0" w:color="auto"/>
            <w:left w:val="none" w:sz="0" w:space="0" w:color="auto"/>
            <w:bottom w:val="none" w:sz="0" w:space="0" w:color="auto"/>
            <w:right w:val="none" w:sz="0" w:space="0" w:color="auto"/>
          </w:divBdr>
        </w:div>
        <w:div w:id="1372419922">
          <w:marLeft w:val="0"/>
          <w:marRight w:val="0"/>
          <w:marTop w:val="0"/>
          <w:marBottom w:val="0"/>
          <w:divBdr>
            <w:top w:val="single" w:sz="2" w:space="0" w:color="E3E3E3"/>
            <w:left w:val="single" w:sz="2" w:space="0" w:color="E3E3E3"/>
            <w:bottom w:val="single" w:sz="2" w:space="0" w:color="E3E3E3"/>
            <w:right w:val="single" w:sz="2" w:space="0" w:color="E3E3E3"/>
          </w:divBdr>
          <w:divsChild>
            <w:div w:id="1351373308">
              <w:marLeft w:val="0"/>
              <w:marRight w:val="0"/>
              <w:marTop w:val="0"/>
              <w:marBottom w:val="0"/>
              <w:divBdr>
                <w:top w:val="single" w:sz="2" w:space="0" w:color="E3E3E3"/>
                <w:left w:val="single" w:sz="2" w:space="0" w:color="E3E3E3"/>
                <w:bottom w:val="single" w:sz="2" w:space="0" w:color="E3E3E3"/>
                <w:right w:val="single" w:sz="2" w:space="0" w:color="E3E3E3"/>
              </w:divBdr>
              <w:divsChild>
                <w:div w:id="588738506">
                  <w:marLeft w:val="0"/>
                  <w:marRight w:val="0"/>
                  <w:marTop w:val="0"/>
                  <w:marBottom w:val="0"/>
                  <w:divBdr>
                    <w:top w:val="single" w:sz="2" w:space="0" w:color="E3E3E3"/>
                    <w:left w:val="single" w:sz="2" w:space="0" w:color="E3E3E3"/>
                    <w:bottom w:val="single" w:sz="2" w:space="0" w:color="E3E3E3"/>
                    <w:right w:val="single" w:sz="2" w:space="0" w:color="E3E3E3"/>
                  </w:divBdr>
                  <w:divsChild>
                    <w:div w:id="1396316733">
                      <w:marLeft w:val="0"/>
                      <w:marRight w:val="0"/>
                      <w:marTop w:val="0"/>
                      <w:marBottom w:val="0"/>
                      <w:divBdr>
                        <w:top w:val="single" w:sz="2" w:space="0" w:color="E3E3E3"/>
                        <w:left w:val="single" w:sz="2" w:space="0" w:color="E3E3E3"/>
                        <w:bottom w:val="single" w:sz="2" w:space="0" w:color="E3E3E3"/>
                        <w:right w:val="single" w:sz="2" w:space="0" w:color="E3E3E3"/>
                      </w:divBdr>
                      <w:divsChild>
                        <w:div w:id="2097900330">
                          <w:marLeft w:val="0"/>
                          <w:marRight w:val="0"/>
                          <w:marTop w:val="0"/>
                          <w:marBottom w:val="0"/>
                          <w:divBdr>
                            <w:top w:val="single" w:sz="2" w:space="0" w:color="E3E3E3"/>
                            <w:left w:val="single" w:sz="2" w:space="0" w:color="E3E3E3"/>
                            <w:bottom w:val="single" w:sz="2" w:space="0" w:color="E3E3E3"/>
                            <w:right w:val="single" w:sz="2" w:space="0" w:color="E3E3E3"/>
                          </w:divBdr>
                          <w:divsChild>
                            <w:div w:id="1809929212">
                              <w:marLeft w:val="0"/>
                              <w:marRight w:val="0"/>
                              <w:marTop w:val="0"/>
                              <w:marBottom w:val="0"/>
                              <w:divBdr>
                                <w:top w:val="single" w:sz="2" w:space="0" w:color="E3E3E3"/>
                                <w:left w:val="single" w:sz="2" w:space="0" w:color="E3E3E3"/>
                                <w:bottom w:val="single" w:sz="2" w:space="0" w:color="E3E3E3"/>
                                <w:right w:val="single" w:sz="2" w:space="0" w:color="E3E3E3"/>
                              </w:divBdr>
                              <w:divsChild>
                                <w:div w:id="22022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355301139">
                                      <w:marLeft w:val="0"/>
                                      <w:marRight w:val="0"/>
                                      <w:marTop w:val="0"/>
                                      <w:marBottom w:val="0"/>
                                      <w:divBdr>
                                        <w:top w:val="single" w:sz="2" w:space="0" w:color="E3E3E3"/>
                                        <w:left w:val="single" w:sz="2" w:space="0" w:color="E3E3E3"/>
                                        <w:bottom w:val="single" w:sz="2" w:space="0" w:color="E3E3E3"/>
                                        <w:right w:val="single" w:sz="2" w:space="0" w:color="E3E3E3"/>
                                      </w:divBdr>
                                      <w:divsChild>
                                        <w:div w:id="934821811">
                                          <w:marLeft w:val="0"/>
                                          <w:marRight w:val="0"/>
                                          <w:marTop w:val="0"/>
                                          <w:marBottom w:val="0"/>
                                          <w:divBdr>
                                            <w:top w:val="single" w:sz="2" w:space="0" w:color="E3E3E3"/>
                                            <w:left w:val="single" w:sz="2" w:space="0" w:color="E3E3E3"/>
                                            <w:bottom w:val="single" w:sz="2" w:space="0" w:color="E3E3E3"/>
                                            <w:right w:val="single" w:sz="2" w:space="0" w:color="E3E3E3"/>
                                          </w:divBdr>
                                          <w:divsChild>
                                            <w:div w:id="306931811">
                                              <w:marLeft w:val="0"/>
                                              <w:marRight w:val="0"/>
                                              <w:marTop w:val="0"/>
                                              <w:marBottom w:val="0"/>
                                              <w:divBdr>
                                                <w:top w:val="single" w:sz="2" w:space="0" w:color="E3E3E3"/>
                                                <w:left w:val="single" w:sz="2" w:space="0" w:color="E3E3E3"/>
                                                <w:bottom w:val="single" w:sz="2" w:space="0" w:color="E3E3E3"/>
                                                <w:right w:val="single" w:sz="2" w:space="0" w:color="E3E3E3"/>
                                              </w:divBdr>
                                              <w:divsChild>
                                                <w:div w:id="1475489012">
                                                  <w:marLeft w:val="0"/>
                                                  <w:marRight w:val="0"/>
                                                  <w:marTop w:val="0"/>
                                                  <w:marBottom w:val="0"/>
                                                  <w:divBdr>
                                                    <w:top w:val="single" w:sz="2" w:space="0" w:color="E3E3E3"/>
                                                    <w:left w:val="single" w:sz="2" w:space="0" w:color="E3E3E3"/>
                                                    <w:bottom w:val="single" w:sz="2" w:space="0" w:color="E3E3E3"/>
                                                    <w:right w:val="single" w:sz="2" w:space="0" w:color="E3E3E3"/>
                                                  </w:divBdr>
                                                  <w:divsChild>
                                                    <w:div w:id="1066301154">
                                                      <w:marLeft w:val="0"/>
                                                      <w:marRight w:val="0"/>
                                                      <w:marTop w:val="0"/>
                                                      <w:marBottom w:val="0"/>
                                                      <w:divBdr>
                                                        <w:top w:val="single" w:sz="2" w:space="0" w:color="E3E3E3"/>
                                                        <w:left w:val="single" w:sz="2" w:space="0" w:color="E3E3E3"/>
                                                        <w:bottom w:val="single" w:sz="2" w:space="0" w:color="E3E3E3"/>
                                                        <w:right w:val="single" w:sz="2" w:space="0" w:color="E3E3E3"/>
                                                      </w:divBdr>
                                                      <w:divsChild>
                                                        <w:div w:id="2039429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TDC-WTD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S-CONF-ACTF-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pub/S-CONF-ACTF-20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opb/act/r-act-wrc.16-2024-pdf-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Wilson, Joanne</DisplayName>
        <AccountId>33</AccountId>
        <AccountType/>
      </UserInfo>
      <UserInfo>
        <DisplayName>Dore, Antoine</DisplayName>
        <AccountId>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ECDC3-A3B5-4222-9342-3FC60CF44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B96D826B-7047-45E2-9A34-1BA73E27D892}">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98b04e1e-0540-4930-9623-702d547a0a33"/>
    <ds:schemaRef ds:uri="http://schemas.microsoft.com/office/infopath/2007/PartnerControls"/>
    <ds:schemaRef ds:uri="http://schemas.openxmlformats.org/package/2006/metadata/core-properties"/>
    <ds:schemaRef ds:uri="085b46e1-7f22-4e81-9ba5-912dc5a5fd9a"/>
    <ds:schemaRef ds:uri="http://purl.org/dc/elements/1.1/"/>
  </ds:schemaRefs>
</ds:datastoreItem>
</file>

<file path=customXml/itemProps4.xml><?xml version="1.0" encoding="utf-8"?>
<ds:datastoreItem xmlns:ds="http://schemas.openxmlformats.org/officeDocument/2006/customXml" ds:itemID="{803537A1-CCA1-449D-9AD5-64E7D8B58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1693</Words>
  <Characters>557</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Status report on assistance and support to Palestine</vt:lpstr>
    </vt:vector>
  </TitlesOfParts>
  <Manager>General Secretariat - Pool</Manager>
  <Company>International Telecommunication Union (ITU)</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assistance and support to Palestine</dc:title>
  <dc:subject>Council 2024</dc:subject>
  <dc:creator>author</dc:creator>
  <cp:keywords>C2024, C24, Council-24</cp:keywords>
  <dc:description/>
  <cp:lastModifiedBy>Chinese</cp:lastModifiedBy>
  <cp:revision>2</cp:revision>
  <cp:lastPrinted>2000-07-18T22:30:00Z</cp:lastPrinted>
  <dcterms:created xsi:type="dcterms:W3CDTF">2024-05-15T08:40:00Z</dcterms:created>
  <dcterms:modified xsi:type="dcterms:W3CDTF">2024-05-15T08:40:00Z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