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9B72AA" w:rsidRPr="00622235" w14:paraId="1ABFA3AE" w14:textId="77777777" w:rsidTr="00E31DCE">
        <w:trPr>
          <w:cantSplit/>
          <w:trHeight w:val="23"/>
        </w:trPr>
        <w:tc>
          <w:tcPr>
            <w:tcW w:w="3969" w:type="dxa"/>
            <w:vMerge w:val="restart"/>
            <w:tcMar>
              <w:left w:w="0" w:type="dxa"/>
            </w:tcMar>
          </w:tcPr>
          <w:p w14:paraId="0D9E29A6" w14:textId="636038D2" w:rsidR="009B72AA" w:rsidRPr="00622235" w:rsidRDefault="009B72AA" w:rsidP="009B72AA">
            <w:pPr>
              <w:tabs>
                <w:tab w:val="clear" w:pos="1588"/>
                <w:tab w:val="clear" w:pos="1985"/>
                <w:tab w:val="left" w:pos="851"/>
                <w:tab w:val="center" w:pos="1930"/>
              </w:tabs>
              <w:spacing w:before="0" w:line="240" w:lineRule="atLeast"/>
              <w:rPr>
                <w:b/>
                <w:lang w:val="ru-RU"/>
              </w:rPr>
            </w:pPr>
            <w:bookmarkStart w:id="0" w:name="_Hlk133421839"/>
            <w:bookmarkStart w:id="1" w:name="dmeeting" w:colFirst="0" w:colLast="0"/>
            <w:bookmarkStart w:id="2" w:name="dnum" w:colFirst="1" w:colLast="1"/>
            <w:r w:rsidRPr="00622235">
              <w:rPr>
                <w:b/>
                <w:lang w:val="ru-RU"/>
              </w:rPr>
              <w:t>Пункт повестки дня:</w:t>
            </w:r>
            <w:r w:rsidRPr="00622235">
              <w:rPr>
                <w:rFonts w:asciiTheme="minorHAnsi" w:hAnsiTheme="minorHAnsi" w:cstheme="minorHAnsi"/>
                <w:b/>
                <w:bCs/>
                <w:szCs w:val="24"/>
                <w:lang w:val="ru-RU"/>
              </w:rPr>
              <w:t xml:space="preserve"> </w:t>
            </w:r>
            <w:r w:rsidRPr="00622235">
              <w:rPr>
                <w:rFonts w:asciiTheme="minorHAnsi" w:hAnsiTheme="minorHAnsi" w:cstheme="minorHAnsi"/>
                <w:b/>
                <w:bCs/>
                <w:szCs w:val="24"/>
                <w:lang w:val="ru-RU"/>
              </w:rPr>
              <w:t>ADM 1</w:t>
            </w:r>
          </w:p>
        </w:tc>
        <w:tc>
          <w:tcPr>
            <w:tcW w:w="5245" w:type="dxa"/>
          </w:tcPr>
          <w:p w14:paraId="07B08A8B" w14:textId="316D5218" w:rsidR="009B72AA" w:rsidRPr="00622235" w:rsidRDefault="009B72AA" w:rsidP="009B72AA">
            <w:pPr>
              <w:tabs>
                <w:tab w:val="left" w:pos="851"/>
              </w:tabs>
              <w:spacing w:before="0" w:line="240" w:lineRule="atLeast"/>
              <w:jc w:val="right"/>
              <w:rPr>
                <w:b/>
                <w:lang w:val="ru-RU"/>
              </w:rPr>
            </w:pPr>
            <w:r w:rsidRPr="00622235">
              <w:rPr>
                <w:rFonts w:asciiTheme="minorHAnsi" w:hAnsiTheme="minorHAnsi" w:cstheme="minorHAnsi"/>
                <w:b/>
                <w:bCs/>
                <w:szCs w:val="24"/>
                <w:lang w:val="ru-RU"/>
              </w:rPr>
              <w:t>Документ C 24/70-R</w:t>
            </w:r>
          </w:p>
        </w:tc>
      </w:tr>
      <w:tr w:rsidR="009B72AA" w:rsidRPr="00622235" w14:paraId="47E6C46E" w14:textId="77777777" w:rsidTr="00E31DCE">
        <w:trPr>
          <w:cantSplit/>
        </w:trPr>
        <w:tc>
          <w:tcPr>
            <w:tcW w:w="3969" w:type="dxa"/>
            <w:vMerge/>
          </w:tcPr>
          <w:p w14:paraId="44F711FE" w14:textId="77777777" w:rsidR="009B72AA" w:rsidRPr="00622235" w:rsidRDefault="009B72AA" w:rsidP="009B72AA">
            <w:pPr>
              <w:tabs>
                <w:tab w:val="left" w:pos="851"/>
              </w:tabs>
              <w:spacing w:line="240" w:lineRule="atLeast"/>
              <w:rPr>
                <w:b/>
                <w:lang w:val="ru-RU"/>
              </w:rPr>
            </w:pPr>
            <w:bookmarkStart w:id="3" w:name="ddate" w:colFirst="1" w:colLast="1"/>
            <w:bookmarkEnd w:id="1"/>
            <w:bookmarkEnd w:id="2"/>
          </w:p>
        </w:tc>
        <w:tc>
          <w:tcPr>
            <w:tcW w:w="5245" w:type="dxa"/>
          </w:tcPr>
          <w:p w14:paraId="557A1790" w14:textId="13F6C528" w:rsidR="009B72AA" w:rsidRPr="00622235" w:rsidRDefault="009B72AA" w:rsidP="009B72AA">
            <w:pPr>
              <w:tabs>
                <w:tab w:val="left" w:pos="851"/>
              </w:tabs>
              <w:spacing w:before="0"/>
              <w:jc w:val="right"/>
              <w:rPr>
                <w:b/>
                <w:lang w:val="ru-RU"/>
              </w:rPr>
            </w:pPr>
            <w:r w:rsidRPr="00622235">
              <w:rPr>
                <w:rFonts w:asciiTheme="minorHAnsi" w:hAnsiTheme="minorHAnsi" w:cstheme="minorHAnsi"/>
                <w:b/>
                <w:bCs/>
                <w:szCs w:val="24"/>
                <w:lang w:val="ru-RU"/>
              </w:rPr>
              <w:t>6 мая 2024 года</w:t>
            </w:r>
          </w:p>
        </w:tc>
      </w:tr>
      <w:bookmarkEnd w:id="3"/>
      <w:tr w:rsidR="009B72AA" w:rsidRPr="00622235" w14:paraId="5A32E4BC" w14:textId="77777777" w:rsidTr="00E31DCE">
        <w:trPr>
          <w:cantSplit/>
          <w:trHeight w:val="23"/>
        </w:trPr>
        <w:tc>
          <w:tcPr>
            <w:tcW w:w="3969" w:type="dxa"/>
            <w:vMerge/>
          </w:tcPr>
          <w:p w14:paraId="7B0A96FC" w14:textId="77777777" w:rsidR="009B72AA" w:rsidRPr="00622235" w:rsidRDefault="009B72AA" w:rsidP="009B72AA">
            <w:pPr>
              <w:tabs>
                <w:tab w:val="left" w:pos="851"/>
              </w:tabs>
              <w:spacing w:line="240" w:lineRule="atLeast"/>
              <w:rPr>
                <w:b/>
                <w:lang w:val="ru-RU"/>
              </w:rPr>
            </w:pPr>
          </w:p>
        </w:tc>
        <w:tc>
          <w:tcPr>
            <w:tcW w:w="5245" w:type="dxa"/>
          </w:tcPr>
          <w:p w14:paraId="604F3862" w14:textId="1201CC89" w:rsidR="009B72AA" w:rsidRPr="00622235" w:rsidRDefault="009B72AA" w:rsidP="009B72AA">
            <w:pPr>
              <w:tabs>
                <w:tab w:val="left" w:pos="851"/>
              </w:tabs>
              <w:spacing w:before="0" w:line="240" w:lineRule="atLeast"/>
              <w:jc w:val="right"/>
              <w:rPr>
                <w:b/>
                <w:lang w:val="ru-RU"/>
              </w:rPr>
            </w:pPr>
            <w:r w:rsidRPr="00622235">
              <w:rPr>
                <w:rFonts w:asciiTheme="minorHAnsi" w:hAnsiTheme="minorHAnsi" w:cstheme="minorHAnsi"/>
                <w:b/>
                <w:bCs/>
                <w:szCs w:val="24"/>
                <w:lang w:val="ru-RU"/>
              </w:rPr>
              <w:t>Оригинал: английский</w:t>
            </w:r>
          </w:p>
        </w:tc>
      </w:tr>
      <w:tr w:rsidR="00796BD3" w:rsidRPr="00622235" w14:paraId="068CB3CF" w14:textId="77777777" w:rsidTr="00E31DCE">
        <w:trPr>
          <w:cantSplit/>
          <w:trHeight w:val="23"/>
        </w:trPr>
        <w:tc>
          <w:tcPr>
            <w:tcW w:w="3969" w:type="dxa"/>
          </w:tcPr>
          <w:p w14:paraId="6D7DF808" w14:textId="77777777" w:rsidR="00796BD3" w:rsidRPr="00622235" w:rsidRDefault="00796BD3" w:rsidP="00E31DCE">
            <w:pPr>
              <w:tabs>
                <w:tab w:val="left" w:pos="851"/>
              </w:tabs>
              <w:spacing w:line="240" w:lineRule="atLeast"/>
              <w:rPr>
                <w:b/>
                <w:lang w:val="ru-RU"/>
              </w:rPr>
            </w:pPr>
            <w:bookmarkStart w:id="4" w:name="dorlang" w:colFirst="1" w:colLast="1"/>
          </w:p>
        </w:tc>
        <w:tc>
          <w:tcPr>
            <w:tcW w:w="5245" w:type="dxa"/>
          </w:tcPr>
          <w:p w14:paraId="14A12ECA" w14:textId="77777777" w:rsidR="00796BD3" w:rsidRPr="00622235" w:rsidRDefault="00796BD3" w:rsidP="00E31DCE">
            <w:pPr>
              <w:tabs>
                <w:tab w:val="left" w:pos="851"/>
              </w:tabs>
              <w:spacing w:before="0" w:line="240" w:lineRule="atLeast"/>
              <w:jc w:val="right"/>
              <w:rPr>
                <w:b/>
                <w:lang w:val="ru-RU"/>
              </w:rPr>
            </w:pPr>
          </w:p>
        </w:tc>
      </w:tr>
      <w:tr w:rsidR="00796BD3" w:rsidRPr="00622235" w14:paraId="07AD9065" w14:textId="77777777" w:rsidTr="00E31DCE">
        <w:trPr>
          <w:cantSplit/>
        </w:trPr>
        <w:tc>
          <w:tcPr>
            <w:tcW w:w="9214" w:type="dxa"/>
            <w:gridSpan w:val="2"/>
            <w:tcMar>
              <w:left w:w="0" w:type="dxa"/>
            </w:tcMar>
          </w:tcPr>
          <w:p w14:paraId="5EDAB70F" w14:textId="77777777" w:rsidR="00796BD3" w:rsidRPr="00622235" w:rsidRDefault="0033025A" w:rsidP="00672F8A">
            <w:pPr>
              <w:pStyle w:val="Source"/>
              <w:jc w:val="left"/>
              <w:rPr>
                <w:sz w:val="32"/>
                <w:szCs w:val="32"/>
                <w:lang w:val="ru-RU"/>
              </w:rPr>
            </w:pPr>
            <w:bookmarkStart w:id="5" w:name="dsource" w:colFirst="0" w:colLast="0"/>
            <w:bookmarkEnd w:id="4"/>
            <w:r w:rsidRPr="00622235">
              <w:rPr>
                <w:rFonts w:cstheme="minorHAnsi"/>
                <w:sz w:val="32"/>
                <w:szCs w:val="32"/>
                <w:lang w:val="ru-RU"/>
              </w:rPr>
              <w:t>Отчет Генерального секретаря</w:t>
            </w:r>
          </w:p>
        </w:tc>
      </w:tr>
      <w:tr w:rsidR="00796BD3" w:rsidRPr="00622235" w14:paraId="32811AA9" w14:textId="77777777" w:rsidTr="00E31DCE">
        <w:trPr>
          <w:cantSplit/>
        </w:trPr>
        <w:tc>
          <w:tcPr>
            <w:tcW w:w="9214" w:type="dxa"/>
            <w:gridSpan w:val="2"/>
            <w:tcMar>
              <w:left w:w="0" w:type="dxa"/>
            </w:tcMar>
          </w:tcPr>
          <w:p w14:paraId="28893348" w14:textId="6A3B0715" w:rsidR="00796BD3" w:rsidRPr="00622235" w:rsidRDefault="009B72AA" w:rsidP="00E31DCE">
            <w:pPr>
              <w:pStyle w:val="Subtitle"/>
              <w:framePr w:hSpace="0" w:wrap="auto" w:hAnchor="text" w:xAlign="left" w:yAlign="inline"/>
              <w:rPr>
                <w:sz w:val="32"/>
                <w:szCs w:val="32"/>
                <w:lang w:val="ru-RU"/>
              </w:rPr>
            </w:pPr>
            <w:bookmarkStart w:id="6" w:name="dtitle1" w:colFirst="0" w:colLast="0"/>
            <w:bookmarkEnd w:id="5"/>
            <w:r w:rsidRPr="00622235">
              <w:rPr>
                <w:rFonts w:cstheme="minorHAnsi"/>
                <w:sz w:val="32"/>
                <w:szCs w:val="32"/>
                <w:lang w:val="ru-RU"/>
              </w:rPr>
              <w:t>СТРАТЕГИЯ МСЭ В ОБЛАСТИ МОБИЛИЗАЦИИ РЕСУРСОВ</w:t>
            </w:r>
          </w:p>
        </w:tc>
      </w:tr>
      <w:tr w:rsidR="00796BD3" w:rsidRPr="00622235" w14:paraId="12146295" w14:textId="77777777" w:rsidTr="00E31DCE">
        <w:trPr>
          <w:cantSplit/>
        </w:trPr>
        <w:tc>
          <w:tcPr>
            <w:tcW w:w="9214" w:type="dxa"/>
            <w:gridSpan w:val="2"/>
            <w:tcBorders>
              <w:top w:val="single" w:sz="4" w:space="0" w:color="auto"/>
              <w:bottom w:val="single" w:sz="4" w:space="0" w:color="auto"/>
            </w:tcBorders>
            <w:tcMar>
              <w:left w:w="0" w:type="dxa"/>
            </w:tcMar>
          </w:tcPr>
          <w:p w14:paraId="1DE8A681" w14:textId="38833F9E" w:rsidR="00796BD3" w:rsidRPr="00622235" w:rsidRDefault="0033025A" w:rsidP="00E31DCE">
            <w:pPr>
              <w:spacing w:before="160"/>
              <w:rPr>
                <w:b/>
                <w:bCs/>
                <w:sz w:val="24"/>
                <w:szCs w:val="24"/>
                <w:lang w:val="ru-RU"/>
              </w:rPr>
            </w:pPr>
            <w:r w:rsidRPr="00622235">
              <w:rPr>
                <w:b/>
                <w:bCs/>
                <w:sz w:val="24"/>
                <w:szCs w:val="24"/>
                <w:lang w:val="ru-RU"/>
              </w:rPr>
              <w:t>Назначение</w:t>
            </w:r>
          </w:p>
          <w:p w14:paraId="73A208AA" w14:textId="77777777" w:rsidR="009B72AA" w:rsidRPr="00622235" w:rsidRDefault="009B72AA" w:rsidP="009B72AA">
            <w:pPr>
              <w:rPr>
                <w:rFonts w:asciiTheme="minorHAnsi" w:hAnsiTheme="minorHAnsi" w:cstheme="minorHAnsi"/>
                <w:szCs w:val="24"/>
                <w:lang w:val="ru-RU"/>
              </w:rPr>
            </w:pPr>
            <w:r w:rsidRPr="00622235">
              <w:rPr>
                <w:rFonts w:asciiTheme="minorHAnsi" w:hAnsiTheme="minorHAnsi" w:cstheme="minorHAnsi"/>
                <w:szCs w:val="24"/>
                <w:lang w:val="ru-RU"/>
              </w:rPr>
              <w:t>Полномочная конференция (Бухарест, 2022 г.) поручила Генеральному секретарю в Решении 5 (Пересм. Бухарест, 2022 г.) разработать стратегию мобилизации ресурсов в масштабах всего МСЭ и представить ее Совету МСЭ для рассмотрения и выработки руководящих указаний по ее внедрению.</w:t>
            </w:r>
          </w:p>
          <w:p w14:paraId="2A3361E3" w14:textId="3B2E5EEE" w:rsidR="009B72AA" w:rsidRPr="00622235" w:rsidRDefault="009B72AA" w:rsidP="00F632E2">
            <w:pPr>
              <w:rPr>
                <w:rFonts w:asciiTheme="minorHAnsi" w:hAnsiTheme="minorHAnsi" w:cstheme="minorHAnsi"/>
                <w:szCs w:val="24"/>
                <w:lang w:val="ru-RU"/>
              </w:rPr>
            </w:pPr>
            <w:r w:rsidRPr="00622235">
              <w:rPr>
                <w:rFonts w:asciiTheme="minorHAnsi" w:hAnsiTheme="minorHAnsi" w:cstheme="minorHAnsi"/>
                <w:szCs w:val="24"/>
                <w:lang w:val="ru-RU"/>
              </w:rPr>
              <w:t xml:space="preserve">Секретариат представил Документ </w:t>
            </w:r>
            <w:hyperlink r:id="rId7" w:history="1">
              <w:r w:rsidRPr="00622235">
                <w:rPr>
                  <w:rStyle w:val="Hyperlink"/>
                  <w:rFonts w:asciiTheme="minorHAnsi" w:hAnsiTheme="minorHAnsi" w:cstheme="minorHAnsi"/>
                  <w:szCs w:val="24"/>
                  <w:lang w:val="ru-RU"/>
                </w:rPr>
                <w:t>C23/62(Rev.1)</w:t>
              </w:r>
            </w:hyperlink>
            <w:r w:rsidRPr="00622235">
              <w:rPr>
                <w:rFonts w:asciiTheme="minorHAnsi" w:hAnsiTheme="minorHAnsi" w:cstheme="minorHAnsi"/>
                <w:szCs w:val="24"/>
                <w:lang w:val="ru-RU"/>
              </w:rPr>
              <w:t xml:space="preserve"> Совету на его сессии в июле 2023 года, который, в свою очередь, просил Рабочую группу Совета по финансовым и людским ресурсам (РГС-ФЛР) продолжить работу над этой стратегией. Секретариат подготовил Документы </w:t>
            </w:r>
            <w:hyperlink r:id="rId8" w:history="1">
              <w:r w:rsidRPr="00622235">
                <w:rPr>
                  <w:rStyle w:val="Hyperlink"/>
                  <w:rFonts w:asciiTheme="minorHAnsi" w:hAnsiTheme="minorHAnsi" w:cstheme="minorHAnsi"/>
                  <w:szCs w:val="24"/>
                  <w:lang w:val="ru-RU"/>
                </w:rPr>
                <w:t>CWG</w:t>
              </w:r>
              <w:r w:rsidR="00622235">
                <w:rPr>
                  <w:rStyle w:val="Hyperlink"/>
                  <w:rFonts w:asciiTheme="minorHAnsi" w:hAnsiTheme="minorHAnsi" w:cstheme="minorHAnsi"/>
                  <w:szCs w:val="24"/>
                </w:rPr>
                <w:noBreakHyphen/>
              </w:r>
              <w:r w:rsidRPr="00622235">
                <w:rPr>
                  <w:rStyle w:val="Hyperlink"/>
                  <w:rFonts w:asciiTheme="minorHAnsi" w:hAnsiTheme="minorHAnsi" w:cstheme="minorHAnsi"/>
                  <w:szCs w:val="24"/>
                  <w:lang w:val="ru-RU"/>
                </w:rPr>
                <w:t>FHR-16/11</w:t>
              </w:r>
            </w:hyperlink>
            <w:r w:rsidRPr="00622235">
              <w:rPr>
                <w:rFonts w:asciiTheme="minorHAnsi" w:hAnsiTheme="minorHAnsi" w:cstheme="minorHAnsi"/>
                <w:szCs w:val="24"/>
                <w:lang w:val="ru-RU"/>
              </w:rPr>
              <w:t xml:space="preserve"> и </w:t>
            </w:r>
            <w:hyperlink r:id="rId9" w:history="1">
              <w:r w:rsidRPr="00622235">
                <w:rPr>
                  <w:rStyle w:val="Hyperlink"/>
                  <w:rFonts w:asciiTheme="minorHAnsi" w:hAnsiTheme="minorHAnsi" w:cstheme="minorHAnsi"/>
                  <w:szCs w:val="24"/>
                  <w:lang w:val="ru-RU"/>
                </w:rPr>
                <w:t>CWG-FHR-17/3</w:t>
              </w:r>
            </w:hyperlink>
            <w:r w:rsidRPr="00622235">
              <w:rPr>
                <w:rFonts w:asciiTheme="minorHAnsi" w:hAnsiTheme="minorHAnsi" w:cstheme="minorHAnsi"/>
                <w:szCs w:val="24"/>
                <w:lang w:val="ru-RU"/>
              </w:rPr>
              <w:t xml:space="preserve">. В ходе собрания РГС-ФЛР в январе 2024 года была проведена сессия в формате "мозгового штурма". Результаты представлены в Документе </w:t>
            </w:r>
            <w:hyperlink r:id="rId10" w:history="1">
              <w:r w:rsidRPr="00622235">
                <w:rPr>
                  <w:rStyle w:val="Hyperlink"/>
                  <w:rFonts w:asciiTheme="minorHAnsi" w:hAnsiTheme="minorHAnsi" w:cstheme="minorHAnsi"/>
                  <w:szCs w:val="24"/>
                  <w:lang w:val="ru-RU"/>
                </w:rPr>
                <w:t>CWG</w:t>
              </w:r>
              <w:r w:rsidR="00622235">
                <w:rPr>
                  <w:rStyle w:val="Hyperlink"/>
                  <w:rFonts w:asciiTheme="minorHAnsi" w:hAnsiTheme="minorHAnsi" w:cstheme="minorHAnsi"/>
                  <w:szCs w:val="24"/>
                </w:rPr>
                <w:noBreakHyphen/>
              </w:r>
              <w:r w:rsidRPr="00622235">
                <w:rPr>
                  <w:rStyle w:val="Hyperlink"/>
                  <w:rFonts w:asciiTheme="minorHAnsi" w:hAnsiTheme="minorHAnsi" w:cstheme="minorHAnsi"/>
                  <w:szCs w:val="24"/>
                  <w:lang w:val="ru-RU"/>
                </w:rPr>
                <w:t>FHR</w:t>
              </w:r>
              <w:r w:rsidR="00622235">
                <w:rPr>
                  <w:rStyle w:val="Hyperlink"/>
                  <w:rFonts w:asciiTheme="minorHAnsi" w:hAnsiTheme="minorHAnsi" w:cstheme="minorHAnsi"/>
                  <w:szCs w:val="24"/>
                </w:rPr>
                <w:noBreakHyphen/>
              </w:r>
              <w:r w:rsidRPr="00622235">
                <w:rPr>
                  <w:rStyle w:val="Hyperlink"/>
                  <w:rFonts w:asciiTheme="minorHAnsi" w:hAnsiTheme="minorHAnsi" w:cstheme="minorHAnsi"/>
                  <w:szCs w:val="24"/>
                  <w:lang w:val="ru-RU"/>
                </w:rPr>
                <w:t>17/INF/9</w:t>
              </w:r>
            </w:hyperlink>
            <w:r w:rsidRPr="00622235">
              <w:rPr>
                <w:rFonts w:asciiTheme="minorHAnsi" w:hAnsiTheme="minorHAnsi" w:cstheme="minorHAnsi"/>
                <w:szCs w:val="24"/>
                <w:lang w:val="ru-RU"/>
              </w:rPr>
              <w:t>. Наконец, в марте 2024 года была создана работающая по переписке группа РГС-ФЛР. В настоящем документе отражены вклады, полученные в ходе этих различных консультаций.</w:t>
            </w:r>
          </w:p>
          <w:p w14:paraId="014865EE" w14:textId="103F0C52" w:rsidR="00796BD3" w:rsidRPr="00622235" w:rsidRDefault="009B72AA" w:rsidP="009B72AA">
            <w:pPr>
              <w:rPr>
                <w:lang w:val="ru-RU"/>
              </w:rPr>
            </w:pPr>
            <w:r w:rsidRPr="00622235">
              <w:rPr>
                <w:rFonts w:asciiTheme="minorHAnsi" w:hAnsiTheme="minorHAnsi" w:cstheme="minorHAnsi"/>
                <w:szCs w:val="24"/>
                <w:lang w:val="ru-RU"/>
              </w:rPr>
              <w:t>На данном этапе стратегия носит направленный характер. В ней намечены области для дальнейшего изучения и совершенствования в рамках плана трансформации МСЭ. По мере развития стратегии будут добавляться конкретные задачи и KPI для мониторинга выполнения и измерения воздействия.</w:t>
            </w:r>
          </w:p>
          <w:p w14:paraId="517AFE60" w14:textId="77777777" w:rsidR="00796BD3" w:rsidRPr="00622235" w:rsidRDefault="0033025A" w:rsidP="00E31DCE">
            <w:pPr>
              <w:spacing w:before="160"/>
              <w:rPr>
                <w:b/>
                <w:bCs/>
                <w:sz w:val="24"/>
                <w:szCs w:val="24"/>
                <w:lang w:val="ru-RU"/>
              </w:rPr>
            </w:pPr>
            <w:r w:rsidRPr="00622235">
              <w:rPr>
                <w:b/>
                <w:bCs/>
                <w:sz w:val="24"/>
                <w:szCs w:val="24"/>
                <w:lang w:val="ru-RU"/>
              </w:rPr>
              <w:t>Необходимые действия Совета</w:t>
            </w:r>
          </w:p>
          <w:p w14:paraId="767D9B70" w14:textId="32AA9A3F" w:rsidR="00796BD3" w:rsidRPr="00622235" w:rsidRDefault="009B72AA" w:rsidP="00E31DCE">
            <w:pPr>
              <w:rPr>
                <w:lang w:val="ru-RU"/>
              </w:rPr>
            </w:pPr>
            <w:r w:rsidRPr="00622235">
              <w:rPr>
                <w:rFonts w:asciiTheme="minorHAnsi" w:hAnsiTheme="minorHAnsi" w:cstheme="minorHAnsi"/>
                <w:szCs w:val="24"/>
                <w:lang w:val="ru-RU"/>
              </w:rPr>
              <w:t xml:space="preserve">Совету предлагается </w:t>
            </w:r>
            <w:r w:rsidRPr="00622235">
              <w:rPr>
                <w:rFonts w:asciiTheme="minorHAnsi" w:hAnsiTheme="minorHAnsi" w:cstheme="minorHAnsi"/>
                <w:b/>
                <w:bCs/>
                <w:szCs w:val="24"/>
                <w:lang w:val="ru-RU"/>
              </w:rPr>
              <w:t>принять к сведению</w:t>
            </w:r>
            <w:r w:rsidRPr="00622235">
              <w:rPr>
                <w:rFonts w:asciiTheme="minorHAnsi" w:hAnsiTheme="minorHAnsi" w:cstheme="minorHAnsi"/>
                <w:szCs w:val="24"/>
                <w:lang w:val="ru-RU"/>
              </w:rPr>
              <w:t xml:space="preserve"> настоящий документ.</w:t>
            </w:r>
          </w:p>
          <w:p w14:paraId="4BC118F0" w14:textId="77777777" w:rsidR="00796BD3" w:rsidRPr="00622235" w:rsidRDefault="0033025A" w:rsidP="00E31DCE">
            <w:pPr>
              <w:spacing w:before="160"/>
              <w:rPr>
                <w:b/>
                <w:bCs/>
                <w:sz w:val="24"/>
                <w:szCs w:val="24"/>
                <w:lang w:val="ru-RU"/>
              </w:rPr>
            </w:pPr>
            <w:r w:rsidRPr="00622235">
              <w:rPr>
                <w:b/>
                <w:bCs/>
                <w:sz w:val="24"/>
                <w:szCs w:val="24"/>
                <w:lang w:val="ru-RU"/>
              </w:rPr>
              <w:t>Соответствующая увязка со Стратегическим планом</w:t>
            </w:r>
          </w:p>
          <w:p w14:paraId="49E695C4" w14:textId="0D5387CB" w:rsidR="00796BD3" w:rsidRPr="00622235" w:rsidRDefault="009B72AA" w:rsidP="00E31DCE">
            <w:pPr>
              <w:rPr>
                <w:lang w:val="ru-RU"/>
              </w:rPr>
            </w:pPr>
            <w:r w:rsidRPr="00622235">
              <w:rPr>
                <w:rFonts w:asciiTheme="minorHAnsi" w:hAnsiTheme="minorHAnsi" w:cstheme="minorHAnsi"/>
                <w:szCs w:val="24"/>
                <w:lang w:val="ru-RU"/>
              </w:rPr>
              <w:t>Мобилизация ресурсов.</w:t>
            </w:r>
          </w:p>
          <w:p w14:paraId="2E0C4D3B" w14:textId="7ADFB076" w:rsidR="00796BD3" w:rsidRPr="00622235" w:rsidRDefault="0033025A" w:rsidP="00E31DCE">
            <w:pPr>
              <w:spacing w:before="160"/>
              <w:rPr>
                <w:b/>
                <w:bCs/>
                <w:sz w:val="24"/>
                <w:szCs w:val="24"/>
                <w:lang w:val="ru-RU"/>
              </w:rPr>
            </w:pPr>
            <w:r w:rsidRPr="00622235">
              <w:rPr>
                <w:b/>
                <w:bCs/>
                <w:sz w:val="24"/>
                <w:szCs w:val="24"/>
                <w:lang w:val="ru-RU"/>
              </w:rPr>
              <w:t>Финансовые последствия</w:t>
            </w:r>
          </w:p>
          <w:p w14:paraId="10D62BDC" w14:textId="77777777" w:rsidR="009B72AA" w:rsidRPr="00622235" w:rsidRDefault="009B72AA" w:rsidP="009B72AA">
            <w:pPr>
              <w:spacing w:before="160"/>
              <w:rPr>
                <w:rFonts w:asciiTheme="minorHAnsi" w:hAnsiTheme="minorHAnsi" w:cstheme="minorHAnsi"/>
                <w:szCs w:val="24"/>
                <w:lang w:val="ru-RU"/>
              </w:rPr>
            </w:pPr>
            <w:r w:rsidRPr="00622235">
              <w:rPr>
                <w:rFonts w:asciiTheme="minorHAnsi" w:hAnsiTheme="minorHAnsi" w:cstheme="minorHAnsi"/>
                <w:szCs w:val="24"/>
                <w:lang w:val="ru-RU"/>
              </w:rPr>
              <w:t>Потенциальное увеличение регулярного бюджета и внебюджетного финансирования.</w:t>
            </w:r>
          </w:p>
          <w:p w14:paraId="28FB9FC9" w14:textId="77777777" w:rsidR="00796BD3" w:rsidRPr="00622235" w:rsidRDefault="00796BD3" w:rsidP="00E31DCE">
            <w:pPr>
              <w:spacing w:before="160"/>
              <w:rPr>
                <w:caps/>
                <w:sz w:val="20"/>
                <w:szCs w:val="18"/>
                <w:lang w:val="ru-RU"/>
              </w:rPr>
            </w:pPr>
            <w:r w:rsidRPr="00622235">
              <w:rPr>
                <w:sz w:val="20"/>
                <w:szCs w:val="18"/>
                <w:lang w:val="ru-RU"/>
              </w:rPr>
              <w:t>__________________</w:t>
            </w:r>
          </w:p>
          <w:p w14:paraId="582DA335" w14:textId="77777777" w:rsidR="00796BD3" w:rsidRPr="00622235" w:rsidRDefault="0033025A" w:rsidP="00E31DCE">
            <w:pPr>
              <w:spacing w:before="160"/>
              <w:rPr>
                <w:b/>
                <w:bCs/>
                <w:sz w:val="26"/>
                <w:szCs w:val="26"/>
                <w:lang w:val="ru-RU"/>
              </w:rPr>
            </w:pPr>
            <w:r w:rsidRPr="00622235">
              <w:rPr>
                <w:b/>
                <w:bCs/>
                <w:sz w:val="24"/>
                <w:szCs w:val="24"/>
                <w:lang w:val="ru-RU"/>
              </w:rPr>
              <w:t>Справочные материалы</w:t>
            </w:r>
          </w:p>
          <w:p w14:paraId="69DB0324" w14:textId="0B3D815F" w:rsidR="00796BD3" w:rsidRPr="00622235" w:rsidRDefault="009B72AA" w:rsidP="00E31DCE">
            <w:pPr>
              <w:spacing w:after="160"/>
              <w:rPr>
                <w:lang w:val="ru-RU"/>
              </w:rPr>
            </w:pPr>
            <w:hyperlink r:id="rId11" w:history="1">
              <w:r w:rsidRPr="00622235">
                <w:rPr>
                  <w:rStyle w:val="Hyperlink"/>
                  <w:rFonts w:asciiTheme="minorHAnsi" w:hAnsiTheme="minorHAnsi" w:cstheme="minorHAnsi"/>
                  <w:i/>
                  <w:iCs/>
                  <w:szCs w:val="24"/>
                  <w:lang w:val="ru-RU"/>
                </w:rPr>
                <w:t>Решение 5</w:t>
              </w:r>
            </w:hyperlink>
            <w:r w:rsidRPr="00622235">
              <w:rPr>
                <w:rFonts w:asciiTheme="minorHAnsi" w:hAnsiTheme="minorHAnsi" w:cstheme="minorHAnsi"/>
                <w:i/>
                <w:iCs/>
                <w:szCs w:val="24"/>
                <w:lang w:val="ru-RU"/>
              </w:rPr>
              <w:t xml:space="preserve"> (Пересм. Бухарест, 2022 г.) Полномочной конференции;</w:t>
            </w:r>
            <w:r w:rsidRPr="00622235">
              <w:rPr>
                <w:rFonts w:asciiTheme="minorHAnsi" w:hAnsiTheme="minorHAnsi" w:cstheme="minorHAnsi"/>
                <w:szCs w:val="24"/>
                <w:lang w:val="ru-RU"/>
              </w:rPr>
              <w:t xml:space="preserve"> </w:t>
            </w:r>
            <w:r w:rsidRPr="00622235">
              <w:rPr>
                <w:rFonts w:asciiTheme="minorHAnsi" w:hAnsiTheme="minorHAnsi" w:cstheme="minorHAnsi"/>
                <w:i/>
                <w:iCs/>
                <w:szCs w:val="24"/>
                <w:lang w:val="ru-RU"/>
              </w:rPr>
              <w:t xml:space="preserve">Документы </w:t>
            </w:r>
            <w:hyperlink r:id="rId12" w:history="1">
              <w:r w:rsidRPr="00622235">
                <w:rPr>
                  <w:rStyle w:val="Hyperlink"/>
                  <w:rFonts w:asciiTheme="minorHAnsi" w:hAnsiTheme="minorHAnsi" w:cstheme="minorHAnsi"/>
                  <w:i/>
                  <w:iCs/>
                  <w:szCs w:val="24"/>
                  <w:lang w:val="ru-RU"/>
                </w:rPr>
                <w:t>C17/67</w:t>
              </w:r>
            </w:hyperlink>
            <w:r w:rsidRPr="00622235">
              <w:rPr>
                <w:rFonts w:asciiTheme="minorHAnsi" w:hAnsiTheme="minorHAnsi" w:cstheme="minorHAnsi"/>
                <w:i/>
                <w:iCs/>
                <w:szCs w:val="24"/>
                <w:lang w:val="ru-RU"/>
              </w:rPr>
              <w:t xml:space="preserve"> и </w:t>
            </w:r>
            <w:hyperlink r:id="rId13" w:history="1">
              <w:r w:rsidRPr="00622235">
                <w:rPr>
                  <w:rStyle w:val="Hyperlink"/>
                  <w:rFonts w:asciiTheme="minorHAnsi" w:hAnsiTheme="minorHAnsi" w:cstheme="minorHAnsi"/>
                  <w:i/>
                  <w:iCs/>
                  <w:szCs w:val="24"/>
                  <w:lang w:val="ru-RU"/>
                </w:rPr>
                <w:t>C23/INF/12</w:t>
              </w:r>
            </w:hyperlink>
            <w:r w:rsidRPr="00622235">
              <w:rPr>
                <w:rFonts w:asciiTheme="minorHAnsi" w:hAnsiTheme="minorHAnsi" w:cstheme="minorHAnsi"/>
                <w:i/>
                <w:iCs/>
                <w:szCs w:val="24"/>
                <w:lang w:val="ru-RU"/>
              </w:rPr>
              <w:t xml:space="preserve"> Совета;</w:t>
            </w:r>
            <w:r w:rsidRPr="00622235">
              <w:rPr>
                <w:rFonts w:asciiTheme="minorHAnsi" w:hAnsiTheme="minorHAnsi" w:cstheme="minorHAnsi"/>
                <w:szCs w:val="24"/>
                <w:lang w:val="ru-RU"/>
              </w:rPr>
              <w:t xml:space="preserve"> </w:t>
            </w:r>
            <w:hyperlink r:id="rId14" w:history="1">
              <w:r w:rsidRPr="00622235">
                <w:rPr>
                  <w:rStyle w:val="Hyperlink"/>
                  <w:rFonts w:asciiTheme="minorHAnsi" w:hAnsiTheme="minorHAnsi" w:cstheme="minorHAnsi"/>
                  <w:i/>
                  <w:iCs/>
                  <w:szCs w:val="24"/>
                  <w:lang w:val="ru-RU"/>
                </w:rPr>
                <w:t>Кигалийский план действий</w:t>
              </w:r>
            </w:hyperlink>
            <w:r w:rsidRPr="00622235">
              <w:rPr>
                <w:rFonts w:asciiTheme="minorHAnsi" w:hAnsiTheme="minorHAnsi" w:cstheme="minorHAnsi"/>
                <w:i/>
                <w:iCs/>
                <w:szCs w:val="24"/>
                <w:lang w:val="ru-RU"/>
              </w:rPr>
              <w:t xml:space="preserve">, Документы </w:t>
            </w:r>
            <w:hyperlink r:id="rId15" w:history="1">
              <w:r w:rsidRPr="00622235">
                <w:rPr>
                  <w:rStyle w:val="Hyperlink"/>
                  <w:rFonts w:asciiTheme="minorHAnsi" w:hAnsiTheme="minorHAnsi" w:cstheme="minorHAnsi"/>
                  <w:i/>
                  <w:iCs/>
                  <w:szCs w:val="24"/>
                  <w:lang w:val="ru-RU"/>
                </w:rPr>
                <w:t>C23/62(Rev</w:t>
              </w:r>
              <w:r w:rsidR="00622235" w:rsidRPr="00622235">
                <w:rPr>
                  <w:rStyle w:val="Hyperlink"/>
                  <w:rFonts w:asciiTheme="minorHAnsi" w:hAnsiTheme="minorHAnsi" w:cstheme="minorHAnsi"/>
                  <w:i/>
                  <w:iCs/>
                  <w:szCs w:val="24"/>
                  <w:lang w:val="ru-RU"/>
                </w:rPr>
                <w:t>.1</w:t>
              </w:r>
              <w:r w:rsidRPr="00622235">
                <w:rPr>
                  <w:rStyle w:val="Hyperlink"/>
                  <w:rFonts w:asciiTheme="minorHAnsi" w:hAnsiTheme="minorHAnsi" w:cstheme="minorHAnsi"/>
                  <w:i/>
                  <w:iCs/>
                  <w:szCs w:val="24"/>
                  <w:lang w:val="ru-RU"/>
                </w:rPr>
                <w:t>)</w:t>
              </w:r>
            </w:hyperlink>
            <w:r w:rsidRPr="00622235">
              <w:rPr>
                <w:rFonts w:asciiTheme="minorHAnsi" w:hAnsiTheme="minorHAnsi" w:cstheme="minorHAnsi"/>
                <w:i/>
                <w:iCs/>
                <w:szCs w:val="24"/>
                <w:lang w:val="ru-RU"/>
              </w:rPr>
              <w:t xml:space="preserve">, </w:t>
            </w:r>
            <w:hyperlink r:id="rId16" w:history="1">
              <w:r w:rsidRPr="00622235">
                <w:rPr>
                  <w:rStyle w:val="Hyperlink"/>
                  <w:rFonts w:asciiTheme="minorHAnsi" w:hAnsiTheme="minorHAnsi" w:cstheme="minorHAnsi"/>
                  <w:i/>
                  <w:iCs/>
                  <w:szCs w:val="24"/>
                  <w:lang w:val="ru-RU"/>
                </w:rPr>
                <w:t>CWG-FHR 16/11</w:t>
              </w:r>
            </w:hyperlink>
            <w:r w:rsidRPr="00622235">
              <w:rPr>
                <w:rFonts w:asciiTheme="minorHAnsi" w:hAnsiTheme="minorHAnsi" w:cstheme="minorHAnsi"/>
                <w:i/>
                <w:iCs/>
                <w:szCs w:val="24"/>
                <w:lang w:val="ru-RU"/>
              </w:rPr>
              <w:t xml:space="preserve">, </w:t>
            </w:r>
            <w:hyperlink r:id="rId17" w:history="1">
              <w:r w:rsidRPr="00622235">
                <w:rPr>
                  <w:rStyle w:val="Hyperlink"/>
                  <w:rFonts w:asciiTheme="minorHAnsi" w:hAnsiTheme="minorHAnsi" w:cstheme="minorHAnsi"/>
                  <w:i/>
                  <w:iCs/>
                  <w:szCs w:val="24"/>
                  <w:lang w:val="ru-RU"/>
                </w:rPr>
                <w:t>CWG-FHR 17/3</w:t>
              </w:r>
            </w:hyperlink>
            <w:r w:rsidRPr="00622235">
              <w:rPr>
                <w:rFonts w:asciiTheme="minorHAnsi" w:hAnsiTheme="minorHAnsi" w:cstheme="minorHAnsi"/>
                <w:i/>
                <w:iCs/>
                <w:szCs w:val="24"/>
                <w:lang w:val="ru-RU"/>
              </w:rPr>
              <w:t xml:space="preserve"> и </w:t>
            </w:r>
            <w:hyperlink r:id="rId18" w:history="1">
              <w:r w:rsidRPr="00622235">
                <w:rPr>
                  <w:rStyle w:val="Hyperlink"/>
                  <w:rFonts w:asciiTheme="minorHAnsi" w:hAnsiTheme="minorHAnsi" w:cstheme="minorHAnsi"/>
                  <w:i/>
                  <w:iCs/>
                  <w:szCs w:val="24"/>
                  <w:lang w:val="ru-RU"/>
                </w:rPr>
                <w:t>CWG-FHR-17/INF/9</w:t>
              </w:r>
            </w:hyperlink>
            <w:r w:rsidRPr="00622235">
              <w:rPr>
                <w:rFonts w:asciiTheme="minorHAnsi" w:hAnsiTheme="minorHAnsi" w:cstheme="minorHAnsi"/>
                <w:i/>
                <w:iCs/>
                <w:szCs w:val="24"/>
                <w:lang w:val="ru-RU"/>
              </w:rPr>
              <w:t>.</w:t>
            </w:r>
          </w:p>
        </w:tc>
      </w:tr>
      <w:bookmarkEnd w:id="0"/>
      <w:bookmarkEnd w:id="6"/>
    </w:tbl>
    <w:p w14:paraId="3316B430" w14:textId="77777777" w:rsidR="00796BD3" w:rsidRPr="00622235" w:rsidRDefault="00796BD3" w:rsidP="00796BD3">
      <w:pPr>
        <w:rPr>
          <w:lang w:val="ru-RU"/>
        </w:rPr>
      </w:pPr>
    </w:p>
    <w:p w14:paraId="090B68E9" w14:textId="77777777" w:rsidR="00165D06" w:rsidRPr="00622235" w:rsidRDefault="00165D06">
      <w:pPr>
        <w:tabs>
          <w:tab w:val="clear" w:pos="794"/>
          <w:tab w:val="clear" w:pos="1191"/>
          <w:tab w:val="clear" w:pos="1588"/>
          <w:tab w:val="clear" w:pos="1985"/>
        </w:tabs>
        <w:overflowPunct/>
        <w:autoSpaceDE/>
        <w:autoSpaceDN/>
        <w:adjustRightInd/>
        <w:spacing w:before="0"/>
        <w:textAlignment w:val="auto"/>
        <w:rPr>
          <w:lang w:val="ru-RU"/>
        </w:rPr>
      </w:pPr>
      <w:r w:rsidRPr="00622235">
        <w:rPr>
          <w:lang w:val="ru-RU"/>
        </w:rPr>
        <w:br w:type="page"/>
      </w:r>
    </w:p>
    <w:p w14:paraId="344C535D" w14:textId="7CE1C8F1" w:rsidR="009B72AA" w:rsidRPr="00622235" w:rsidRDefault="009B72AA" w:rsidP="00B508D4">
      <w:pPr>
        <w:pStyle w:val="Heading1"/>
        <w:rPr>
          <w:lang w:val="ru-RU"/>
        </w:rPr>
      </w:pPr>
      <w:r w:rsidRPr="00622235">
        <w:rPr>
          <w:lang w:val="ru-RU"/>
        </w:rPr>
        <w:lastRenderedPageBreak/>
        <w:t>1</w:t>
      </w:r>
      <w:r w:rsidRPr="00622235">
        <w:rPr>
          <w:lang w:val="ru-RU"/>
        </w:rPr>
        <w:tab/>
        <w:t>Базовая информация</w:t>
      </w:r>
    </w:p>
    <w:p w14:paraId="6F26DE30" w14:textId="77777777" w:rsidR="009B72AA" w:rsidRPr="00622235" w:rsidRDefault="009B72AA" w:rsidP="00B508D4">
      <w:pPr>
        <w:rPr>
          <w:lang w:val="ru-RU"/>
        </w:rPr>
      </w:pPr>
      <w:r w:rsidRPr="00622235">
        <w:rPr>
          <w:b/>
          <w:bCs/>
          <w:lang w:val="ru-RU"/>
        </w:rPr>
        <w:t>1.1</w:t>
      </w:r>
      <w:r w:rsidRPr="00622235">
        <w:rPr>
          <w:lang w:val="ru-RU"/>
        </w:rPr>
        <w:tab/>
        <w:t>Полномочная конференция (Бухарест, 2022 г.) (ПК-22) поручила Генеральному секретарю в Решении 5 (Пересм. Бухарест, 2022 г.) разработать стратегию мобилизации ресурсов в масштабах всего МСЭ для удовлетворения потребности в дополнительном финансировании для реализации приоритетов организации и представить ее Совету МСЭ для рассмотрения и выработки руководящих указаний по ее внедрению.</w:t>
      </w:r>
    </w:p>
    <w:p w14:paraId="4126DB9C" w14:textId="3D17C508" w:rsidR="009B72AA" w:rsidRPr="00622235" w:rsidRDefault="009B72AA" w:rsidP="00B508D4">
      <w:pPr>
        <w:rPr>
          <w:lang w:val="ru-RU"/>
        </w:rPr>
      </w:pPr>
      <w:r w:rsidRPr="00622235">
        <w:rPr>
          <w:b/>
          <w:bCs/>
          <w:lang w:val="ru-RU"/>
        </w:rPr>
        <w:t>1.2</w:t>
      </w:r>
      <w:r w:rsidRPr="00622235">
        <w:rPr>
          <w:lang w:val="ru-RU"/>
        </w:rPr>
        <w:tab/>
        <w:t>Кроме того, в Стратегическом плане МСЭ на 2024–2027 годы, утвержденном на ПК-22, отмечается:</w:t>
      </w:r>
    </w:p>
    <w:p w14:paraId="0AC3D966" w14:textId="77777777" w:rsidR="009B72AA" w:rsidRPr="00622235" w:rsidRDefault="009B72AA" w:rsidP="00B508D4">
      <w:pPr>
        <w:rPr>
          <w:lang w:val="ru-RU"/>
        </w:rPr>
      </w:pPr>
      <w:r w:rsidRPr="00622235">
        <w:rPr>
          <w:lang w:val="ru-RU"/>
        </w:rPr>
        <w:t>Ускорение усилий по мобилизации ресурсов и увеличение финансирования имеют решающее значение для достижения целей Союза и укрепления поддержки МСЭ своих членов. Вследствие этого МСЭ признает необходимость определения наиболее эффективных способов мобилизации внебюджетных ресурсов, создания потенциала мобилизации ресурсов и совершенствования существующей стратегии сбора средств при применении исходных ресурсов партнеров для дополнения этих усилий. МСЭ разработает систему долгосрочных финансовых обязательств для эффективного планирования, программирования и реализации проектов и повышения прогнозируемости потоков ресурсов.</w:t>
      </w:r>
    </w:p>
    <w:p w14:paraId="1677DCD9" w14:textId="2CBFD25C" w:rsidR="009B72AA" w:rsidRPr="00622235" w:rsidRDefault="009B72AA" w:rsidP="00B508D4">
      <w:pPr>
        <w:rPr>
          <w:lang w:val="ru-RU"/>
        </w:rPr>
      </w:pPr>
      <w:r w:rsidRPr="00622235">
        <w:rPr>
          <w:b/>
          <w:bCs/>
          <w:lang w:val="ru-RU"/>
        </w:rPr>
        <w:t>1.3</w:t>
      </w:r>
      <w:r w:rsidRPr="00622235">
        <w:rPr>
          <w:lang w:val="ru-RU"/>
        </w:rPr>
        <w:tab/>
        <w:t xml:space="preserve">Совет на своей сессии 2017 года согласовал принципы мобилизации ресурсов, с которыми можно ознакомиться по </w:t>
      </w:r>
      <w:hyperlink r:id="rId19" w:anchor="/ru" w:history="1">
        <w:r w:rsidRPr="00622235">
          <w:rPr>
            <w:rStyle w:val="Hyperlink"/>
            <w:rFonts w:asciiTheme="minorHAnsi" w:hAnsiTheme="minorHAnsi" w:cstheme="minorHAnsi"/>
            <w:szCs w:val="24"/>
            <w:lang w:val="ru-RU"/>
          </w:rPr>
          <w:t>ссылке</w:t>
        </w:r>
      </w:hyperlink>
      <w:r w:rsidRPr="00622235">
        <w:rPr>
          <w:lang w:val="ru-RU"/>
        </w:rPr>
        <w:t>. В этих принципах Совет постановил:</w:t>
      </w:r>
    </w:p>
    <w:p w14:paraId="0F602C8E" w14:textId="77777777" w:rsidR="009B72AA" w:rsidRPr="00622235" w:rsidRDefault="009B72AA" w:rsidP="00B508D4">
      <w:pPr>
        <w:rPr>
          <w:lang w:val="ru-RU"/>
        </w:rPr>
      </w:pPr>
      <w:r w:rsidRPr="00622235">
        <w:rPr>
          <w:lang w:val="ru-RU"/>
        </w:rPr>
        <w:t>Будучи основным источником доходов МСЭ, наивысшим приоритетом в плане мобилизации ресурсов обладают начисленные взносы Государств – Членов МСЭ. Эти взносы предоставляются в целях поддержки согласованного Стратегического плана и его осуществления через посредство оперативных планов с использованием регулярного бюджета МСЭ. Вследствие этого Государствам-Членам рекомендуется отдавать приоритет своим начисленным взносам в качестве основного вида их финансовой поддержки МСЭ посредством либо поддержания на прежнем уровне, либо, при возможности, увеличения этих взносов, перед тем как рассматривать возможность предоставления ресурсов для деятельности вне рамок регулярного бюджета МСЭ.</w:t>
      </w:r>
    </w:p>
    <w:p w14:paraId="7799EE24" w14:textId="77777777" w:rsidR="009B72AA" w:rsidRPr="00622235" w:rsidRDefault="009B72AA" w:rsidP="00B508D4">
      <w:pPr>
        <w:rPr>
          <w:lang w:val="ru-RU"/>
        </w:rPr>
      </w:pPr>
      <w:r w:rsidRPr="00622235">
        <w:rPr>
          <w:lang w:val="ru-RU"/>
        </w:rPr>
        <w:t>Также было решено, что секретариат будет настоятельно рекомендовать членам и другим заинтересованным сторонам по мере возможности оказывать поддержку внебюджетными и добровольными взносами для реализации приоритетов организации.</w:t>
      </w:r>
    </w:p>
    <w:p w14:paraId="6751E1DF" w14:textId="77777777" w:rsidR="009B72AA" w:rsidRPr="00622235" w:rsidRDefault="009B72AA" w:rsidP="00B508D4">
      <w:pPr>
        <w:rPr>
          <w:lang w:val="ru-RU"/>
        </w:rPr>
      </w:pPr>
      <w:r w:rsidRPr="00622235">
        <w:rPr>
          <w:b/>
          <w:bCs/>
          <w:lang w:val="ru-RU"/>
        </w:rPr>
        <w:t>1.4</w:t>
      </w:r>
      <w:r w:rsidRPr="00622235">
        <w:rPr>
          <w:lang w:val="ru-RU"/>
        </w:rPr>
        <w:tab/>
        <w:t>Во исполнение Решения 5 (Пересм. Бухарест, 2022 г.) секретариат вынес этот вопрос на обсуждение в ходе внутреннего мероприятия МСЭ по определению концепции, проходившего с ноября 2022 года по февраль 2023 года, и выездного совещания старших руководителей МСЭ в феврале 2023 года. После этих обсуждений секретариат привлек компанию Boston Consulting Group (BCG) на безвозмездной основе для поддержки МСЭ в разработке стратегии в области финансирования и мобилизации ресурсов в масштабах всего МСЭ.</w:t>
      </w:r>
    </w:p>
    <w:p w14:paraId="4B531F86" w14:textId="1CFBACF9" w:rsidR="009B72AA" w:rsidRPr="00622235" w:rsidRDefault="009B72AA" w:rsidP="00B508D4">
      <w:pPr>
        <w:rPr>
          <w:lang w:val="ru-RU"/>
        </w:rPr>
      </w:pPr>
      <w:r w:rsidRPr="00622235">
        <w:rPr>
          <w:b/>
          <w:bCs/>
          <w:lang w:val="ru-RU"/>
        </w:rPr>
        <w:t>1.5</w:t>
      </w:r>
      <w:r w:rsidRPr="00622235">
        <w:rPr>
          <w:lang w:val="ru-RU"/>
        </w:rPr>
        <w:tab/>
        <w:t>В соответствии с поручением Совета, сделанным на его сессии 2023 года, РГС-ФЛР также рассмотрела вопрос о дальнейшей разработке стратегии на своих сессиях осенью 2023</w:t>
      </w:r>
      <w:r w:rsidR="00004FAF" w:rsidRPr="00622235">
        <w:rPr>
          <w:lang w:val="ru-RU"/>
        </w:rPr>
        <w:t> </w:t>
      </w:r>
      <w:r w:rsidRPr="00622235">
        <w:rPr>
          <w:lang w:val="ru-RU"/>
        </w:rPr>
        <w:t>года и в январе 2024 года на основе вкладов, полученных в ходе упомянутой выше работы секретариата. РГС-ФЛР рассмотрела базовую информацию и варианты, представленные секретариатом, а также вклады Государств-Членов. В целях содействия дальнейшему участию Государств-Членов в разработке этой стратегии во время собрания РГС</w:t>
      </w:r>
      <w:r w:rsidR="00004FAF" w:rsidRPr="00622235">
        <w:rPr>
          <w:lang w:val="ru-RU"/>
        </w:rPr>
        <w:noBreakHyphen/>
      </w:r>
      <w:r w:rsidRPr="00622235">
        <w:rPr>
          <w:lang w:val="ru-RU"/>
        </w:rPr>
        <w:t xml:space="preserve">ФЛР в январе 2024 года было проведено неофициальное собрание в формате "мозгового штурма". Результаты представлены в Документе </w:t>
      </w:r>
      <w:hyperlink r:id="rId20" w:history="1">
        <w:r w:rsidRPr="00622235">
          <w:rPr>
            <w:rStyle w:val="Hyperlink"/>
            <w:rFonts w:asciiTheme="minorHAnsi" w:hAnsiTheme="minorHAnsi" w:cstheme="minorHAnsi"/>
            <w:szCs w:val="24"/>
            <w:lang w:val="ru-RU"/>
          </w:rPr>
          <w:t>CWG-FHR-17/INF/9</w:t>
        </w:r>
      </w:hyperlink>
      <w:r w:rsidRPr="00622235">
        <w:rPr>
          <w:lang w:val="ru-RU"/>
        </w:rPr>
        <w:t>. Для продолжения этого обсуждения в марте 2024 года была создана работающая по переписке группа по стратегии МСЭ в области мобилизации ресурсов.</w:t>
      </w:r>
    </w:p>
    <w:p w14:paraId="4EED26A7" w14:textId="25FBE777" w:rsidR="009B72AA" w:rsidRPr="00622235" w:rsidRDefault="009B72AA" w:rsidP="00B508D4">
      <w:pPr>
        <w:rPr>
          <w:lang w:val="ru-RU"/>
        </w:rPr>
      </w:pPr>
      <w:r w:rsidRPr="00622235">
        <w:rPr>
          <w:b/>
          <w:bCs/>
          <w:lang w:val="ru-RU"/>
        </w:rPr>
        <w:lastRenderedPageBreak/>
        <w:t>1.6</w:t>
      </w:r>
      <w:r w:rsidRPr="00622235">
        <w:rPr>
          <w:lang w:val="ru-RU"/>
        </w:rPr>
        <w:tab/>
        <w:t>На данном этапе стратегия в целом носит направленный характер. В ней излагаются области для дальнейшего исследования и проведения экспериментов, области, которые необходимо улучшить, и потенциал, который будет развиваться в рамках плана трансформации МСЭ. По мере развития стратегии будут добавлены дополнительные сведения, включая конкретные задачи и KPI для мониторинга реализации и измерения воздействия.</w:t>
      </w:r>
    </w:p>
    <w:p w14:paraId="7AF0BFBD" w14:textId="7C17AFCE" w:rsidR="009B72AA" w:rsidRPr="00622235" w:rsidRDefault="009B72AA" w:rsidP="00B508D4">
      <w:pPr>
        <w:pStyle w:val="Heading1"/>
        <w:rPr>
          <w:lang w:val="ru-RU"/>
        </w:rPr>
      </w:pPr>
      <w:r w:rsidRPr="00622235">
        <w:rPr>
          <w:lang w:val="ru-RU"/>
        </w:rPr>
        <w:t>2</w:t>
      </w:r>
      <w:r w:rsidRPr="00622235">
        <w:rPr>
          <w:lang w:val="ru-RU"/>
        </w:rPr>
        <w:tab/>
        <w:t>Основные результаты исследований и консультаций</w:t>
      </w:r>
    </w:p>
    <w:p w14:paraId="00F8A528" w14:textId="55591D80" w:rsidR="009B72AA" w:rsidRPr="00622235" w:rsidRDefault="009B72AA" w:rsidP="00B508D4">
      <w:pPr>
        <w:pStyle w:val="Heading2"/>
        <w:rPr>
          <w:lang w:val="ru-RU"/>
        </w:rPr>
      </w:pPr>
      <w:r w:rsidRPr="00622235">
        <w:rPr>
          <w:lang w:val="ru-RU"/>
        </w:rPr>
        <w:t>2.1</w:t>
      </w:r>
      <w:r w:rsidRPr="00622235">
        <w:rPr>
          <w:lang w:val="ru-RU"/>
        </w:rPr>
        <w:tab/>
        <w:t>Анализ финансирования МСЭ: текущая ситуация и тенденции</w:t>
      </w:r>
    </w:p>
    <w:p w14:paraId="5DE4ADCC" w14:textId="1BCAFD03" w:rsidR="009B72AA" w:rsidRPr="00622235" w:rsidRDefault="009B72AA" w:rsidP="00B508D4">
      <w:pPr>
        <w:pStyle w:val="Headingb"/>
        <w:rPr>
          <w:lang w:val="ru-RU"/>
        </w:rPr>
      </w:pPr>
      <w:r w:rsidRPr="00622235">
        <w:rPr>
          <w:lang w:val="ru-RU"/>
        </w:rPr>
        <w:t>a</w:t>
      </w:r>
      <w:r w:rsidRPr="00622235">
        <w:rPr>
          <w:lang w:val="ru-RU"/>
        </w:rPr>
        <w:tab/>
        <w:t>Доходы регулярного бюджета</w:t>
      </w:r>
    </w:p>
    <w:p w14:paraId="28EC42C7" w14:textId="18B5740C" w:rsidR="009B72AA" w:rsidRPr="00622235" w:rsidRDefault="009B72AA" w:rsidP="00B508D4">
      <w:pPr>
        <w:rPr>
          <w:lang w:val="ru-RU"/>
        </w:rPr>
      </w:pPr>
      <w:r w:rsidRPr="00622235">
        <w:rPr>
          <w:lang w:val="ru-RU"/>
        </w:rPr>
        <w:t xml:space="preserve">Доходы по линии единиц взносов Государств-Членов оставались стабильными в течение последних лет. Размер единицы взноса (318 000 швейцарских франков) не менялся с 2006 года. В 2022 году начисленные взносы Государств-Членов составили 71 процент от общих доходов МСЭ. См. </w:t>
      </w:r>
      <w:r w:rsidR="00F632E2" w:rsidRPr="00622235">
        <w:rPr>
          <w:lang w:val="ru-RU"/>
        </w:rPr>
        <w:t xml:space="preserve">таблицу </w:t>
      </w:r>
      <w:r w:rsidRPr="00622235">
        <w:rPr>
          <w:lang w:val="ru-RU"/>
        </w:rPr>
        <w:t>1, ниже.</w:t>
      </w:r>
    </w:p>
    <w:p w14:paraId="0ACA9F2B" w14:textId="5BDF093C" w:rsidR="009B72AA" w:rsidRPr="00622235" w:rsidRDefault="009B72AA" w:rsidP="00B508D4">
      <w:pPr>
        <w:rPr>
          <w:lang w:val="ru-RU"/>
        </w:rPr>
      </w:pPr>
      <w:r w:rsidRPr="00622235">
        <w:rPr>
          <w:lang w:val="ru-RU"/>
        </w:rPr>
        <w:t>Доходы от взносов Членов Секторов, включая Ассоциированных членов и Академические организации, составляют примерно 11 процентов от доходов регулярного бюджета МСЭ. Хотя</w:t>
      </w:r>
      <w:r w:rsidR="009C4D96">
        <w:t> </w:t>
      </w:r>
      <w:r w:rsidRPr="00622235">
        <w:rPr>
          <w:lang w:val="ru-RU"/>
        </w:rPr>
        <w:t>численность членского состава Секторов выросла до самого высокого за всю историю значения и в феврале 2024 года превысила 1000 организаций-членов, доходы от взносов Членов Секторов остались в основном неизменными и составили приблизительно 16,5</w:t>
      </w:r>
      <w:r w:rsidR="00004FAF" w:rsidRPr="00622235">
        <w:rPr>
          <w:lang w:val="ru-RU"/>
        </w:rPr>
        <w:t> </w:t>
      </w:r>
      <w:proofErr w:type="gramStart"/>
      <w:r w:rsidRPr="00622235">
        <w:rPr>
          <w:lang w:val="ru-RU"/>
        </w:rPr>
        <w:t>млн.</w:t>
      </w:r>
      <w:proofErr w:type="gramEnd"/>
      <w:r w:rsidR="00004FAF" w:rsidRPr="00622235">
        <w:rPr>
          <w:lang w:val="ru-RU"/>
        </w:rPr>
        <w:t> </w:t>
      </w:r>
      <w:r w:rsidRPr="00622235">
        <w:rPr>
          <w:lang w:val="ru-RU"/>
        </w:rPr>
        <w:t>швейцарских франков. Наибольший рост пришелся на категории членства с более низкой оплатой, в том числе Ассоциированных членов, Академические организации и, в последнее время, малые и средние предприятия. Некоторые отвечающие условиям международные и региональные организации также освобождены от уплаты взносов.</w:t>
      </w:r>
    </w:p>
    <w:p w14:paraId="1A48E40E" w14:textId="77777777" w:rsidR="009B72AA" w:rsidRPr="00622235" w:rsidRDefault="009B72AA" w:rsidP="00B508D4">
      <w:pPr>
        <w:rPr>
          <w:lang w:val="ru-RU"/>
        </w:rPr>
      </w:pPr>
      <w:r w:rsidRPr="00622235">
        <w:rPr>
          <w:lang w:val="ru-RU"/>
        </w:rPr>
        <w:t>В отношении обработки заявок на регистрацию спутниковых сетей применяется возмещение затрат, и в 2023 году оно составило 10,6 млн. швейцарских франков. Доходы от продаж публикаций составили 16,7 млн. швейцарских франков. Дополнительно 1,3 млн. швейцарских франков было получено в связи с распределением ресурсов нумерации и поддержкой проектов Бюро развития электросвязи (БРЭ). Доходы по линии возмещения затрат могут варьироваться в зависимости от года, что может представлять проблему при планировании бюджета. Доходы от публикаций, к примеру, растут или снижаются в соответствии с циклом выпуска публикаций морских служб. Доходы по линии возмещения затрат на обработку заявок на регистрацию спутниковых сетей могут различаться, отражая изменения в отрасли.</w:t>
      </w:r>
    </w:p>
    <w:p w14:paraId="79619FBC" w14:textId="2CF0D7E0" w:rsidR="009B72AA" w:rsidRPr="00622235" w:rsidRDefault="009B72AA" w:rsidP="00B508D4">
      <w:pPr>
        <w:rPr>
          <w:lang w:val="ru-RU"/>
        </w:rPr>
      </w:pPr>
      <w:r w:rsidRPr="00622235">
        <w:rPr>
          <w:lang w:val="ru-RU"/>
        </w:rPr>
        <w:t>На сессиях в формате "мозгового штурма" Государства-Члены отметили, что во избежание ненужной нагрузки на регулярный бюджет МСЭ следует более строго следовать п.</w:t>
      </w:r>
      <w:r w:rsidR="009C4D96">
        <w:t> </w:t>
      </w:r>
      <w:r w:rsidRPr="00622235">
        <w:rPr>
          <w:lang w:val="ru-RU"/>
        </w:rPr>
        <w:t>488</w:t>
      </w:r>
      <w:r w:rsidR="009C4D96">
        <w:t> </w:t>
      </w:r>
      <w:r w:rsidRPr="00622235">
        <w:rPr>
          <w:lang w:val="ru-RU"/>
        </w:rPr>
        <w:t>Конвенции и Решению 5 ПК (Приложение 2). Это позволит сократить затраты, тем самым уменьшая необходимость в привлечении дополнительных средств. В п. 488 Конвенции указано, что "прежде чем принимать предложения или решения, имеющие финансовые последствия, конференции Союза должны учитывать все аспекты финансовой деятельности Союза, с тем чтобы эти предложения не приводили к расходам, превышающим кредиты, которые Совет вправе разрешить". Решение 5 (Приложение 2) содержит перечень мер, направленных на повышение эффективности деятельности и сокращение расходов МСЭ.</w:t>
      </w:r>
    </w:p>
    <w:p w14:paraId="52476690" w14:textId="18367111" w:rsidR="00004FAF" w:rsidRPr="00622235" w:rsidRDefault="00004FAF">
      <w:pPr>
        <w:tabs>
          <w:tab w:val="clear" w:pos="794"/>
          <w:tab w:val="clear" w:pos="1191"/>
          <w:tab w:val="clear" w:pos="1588"/>
          <w:tab w:val="clear" w:pos="1985"/>
        </w:tabs>
        <w:overflowPunct/>
        <w:autoSpaceDE/>
        <w:autoSpaceDN/>
        <w:adjustRightInd/>
        <w:spacing w:before="0"/>
        <w:textAlignment w:val="auto"/>
        <w:rPr>
          <w:rFonts w:eastAsia="Calibri"/>
          <w:lang w:val="ru-RU"/>
        </w:rPr>
      </w:pPr>
      <w:r w:rsidRPr="00622235">
        <w:rPr>
          <w:rFonts w:eastAsia="Calibri"/>
          <w:lang w:val="ru-RU"/>
        </w:rPr>
        <w:br w:type="page"/>
      </w:r>
    </w:p>
    <w:p w14:paraId="75F08F42" w14:textId="76EB0ED6" w:rsidR="00B508D4" w:rsidRPr="00622235" w:rsidRDefault="009B72AA" w:rsidP="00B508D4">
      <w:pPr>
        <w:pStyle w:val="TableNo"/>
        <w:rPr>
          <w:lang w:val="ru-RU"/>
        </w:rPr>
      </w:pPr>
      <w:r w:rsidRPr="00622235">
        <w:rPr>
          <w:lang w:val="ru-RU"/>
        </w:rPr>
        <w:lastRenderedPageBreak/>
        <w:t>Таблица 1</w:t>
      </w:r>
    </w:p>
    <w:p w14:paraId="3139E768" w14:textId="0431BC91" w:rsidR="009B72AA" w:rsidRPr="00622235" w:rsidRDefault="009B72AA" w:rsidP="00B508D4">
      <w:pPr>
        <w:pStyle w:val="Tabletitle"/>
        <w:rPr>
          <w:lang w:val="ru-RU"/>
        </w:rPr>
      </w:pPr>
      <w:r w:rsidRPr="00622235">
        <w:rPr>
          <w:lang w:val="ru-RU"/>
        </w:rPr>
        <w:t>Доходы регулярного бюджета</w:t>
      </w:r>
    </w:p>
    <w:tbl>
      <w:tblPr>
        <w:tblW w:w="5000" w:type="pct"/>
        <w:tblLook w:val="04A0" w:firstRow="1" w:lastRow="0" w:firstColumn="1" w:lastColumn="0" w:noHBand="0" w:noVBand="1"/>
      </w:tblPr>
      <w:tblGrid>
        <w:gridCol w:w="2912"/>
        <w:gridCol w:w="1012"/>
        <w:gridCol w:w="1012"/>
        <w:gridCol w:w="1012"/>
        <w:gridCol w:w="1012"/>
        <w:gridCol w:w="956"/>
        <w:gridCol w:w="1135"/>
      </w:tblGrid>
      <w:tr w:rsidR="009B72AA" w:rsidRPr="00622235" w14:paraId="16DA4642" w14:textId="77777777" w:rsidTr="00622235">
        <w:trPr>
          <w:trHeight w:val="270"/>
        </w:trPr>
        <w:tc>
          <w:tcPr>
            <w:tcW w:w="160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6F6138" w14:textId="77777777" w:rsidR="009B72AA" w:rsidRPr="00622235" w:rsidRDefault="009B72AA" w:rsidP="00B508D4">
            <w:pPr>
              <w:pStyle w:val="Tablehead"/>
              <w:rPr>
                <w:rFonts w:eastAsia="Calibri"/>
                <w:lang w:val="ru-RU"/>
              </w:rPr>
            </w:pPr>
            <w:r w:rsidRPr="00622235">
              <w:rPr>
                <w:lang w:val="ru-RU"/>
              </w:rPr>
              <w:t>Суммы в млн. шв. фр.</w:t>
            </w:r>
          </w:p>
        </w:tc>
        <w:tc>
          <w:tcPr>
            <w:tcW w:w="559" w:type="pct"/>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6CF14C0D" w14:textId="77777777" w:rsidR="009B72AA" w:rsidRPr="00622235" w:rsidRDefault="009B72AA" w:rsidP="00B508D4">
            <w:pPr>
              <w:pStyle w:val="Tablehead"/>
              <w:rPr>
                <w:rFonts w:eastAsia="Calibri"/>
                <w:color w:val="000000" w:themeColor="text1"/>
                <w:lang w:val="ru-RU"/>
              </w:rPr>
            </w:pPr>
            <w:r w:rsidRPr="00622235">
              <w:rPr>
                <w:lang w:val="ru-RU"/>
              </w:rPr>
              <w:t>2018 г.</w:t>
            </w:r>
          </w:p>
        </w:tc>
        <w:tc>
          <w:tcPr>
            <w:tcW w:w="559" w:type="pct"/>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7FFF7D17" w14:textId="77777777" w:rsidR="009B72AA" w:rsidRPr="00622235" w:rsidRDefault="009B72AA" w:rsidP="00B508D4">
            <w:pPr>
              <w:pStyle w:val="Tablehead"/>
              <w:rPr>
                <w:rFonts w:eastAsia="Calibri"/>
                <w:color w:val="000000" w:themeColor="text1"/>
                <w:lang w:val="ru-RU"/>
              </w:rPr>
            </w:pPr>
            <w:r w:rsidRPr="00622235">
              <w:rPr>
                <w:lang w:val="ru-RU"/>
              </w:rPr>
              <w:t>2019 г.</w:t>
            </w:r>
          </w:p>
        </w:tc>
        <w:tc>
          <w:tcPr>
            <w:tcW w:w="559" w:type="pct"/>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076ECAA1" w14:textId="77777777" w:rsidR="009B72AA" w:rsidRPr="00622235" w:rsidRDefault="009B72AA" w:rsidP="00B508D4">
            <w:pPr>
              <w:pStyle w:val="Tablehead"/>
              <w:rPr>
                <w:rFonts w:eastAsia="Calibri"/>
                <w:color w:val="000000" w:themeColor="text1"/>
                <w:lang w:val="ru-RU"/>
              </w:rPr>
            </w:pPr>
            <w:r w:rsidRPr="00622235">
              <w:rPr>
                <w:lang w:val="ru-RU"/>
              </w:rPr>
              <w:t>2020 г.</w:t>
            </w:r>
          </w:p>
        </w:tc>
        <w:tc>
          <w:tcPr>
            <w:tcW w:w="559" w:type="pct"/>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40602BED" w14:textId="77777777" w:rsidR="009B72AA" w:rsidRPr="00622235" w:rsidRDefault="009B72AA" w:rsidP="00B508D4">
            <w:pPr>
              <w:pStyle w:val="Tablehead"/>
              <w:rPr>
                <w:rFonts w:eastAsia="Calibri"/>
                <w:color w:val="000000" w:themeColor="text1"/>
                <w:lang w:val="ru-RU"/>
              </w:rPr>
            </w:pPr>
            <w:r w:rsidRPr="00622235">
              <w:rPr>
                <w:lang w:val="ru-RU"/>
              </w:rPr>
              <w:t>2021 г.</w:t>
            </w:r>
          </w:p>
        </w:tc>
        <w:tc>
          <w:tcPr>
            <w:tcW w:w="528" w:type="pct"/>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4481E7BB" w14:textId="77777777" w:rsidR="009B72AA" w:rsidRPr="00622235" w:rsidRDefault="009B72AA" w:rsidP="00B508D4">
            <w:pPr>
              <w:pStyle w:val="Tablehead"/>
              <w:rPr>
                <w:rFonts w:eastAsia="Calibri"/>
                <w:color w:val="000000" w:themeColor="text1"/>
                <w:lang w:val="ru-RU"/>
              </w:rPr>
            </w:pPr>
            <w:r w:rsidRPr="00622235">
              <w:rPr>
                <w:lang w:val="ru-RU"/>
              </w:rPr>
              <w:t>2022 г.</w:t>
            </w:r>
          </w:p>
        </w:tc>
        <w:tc>
          <w:tcPr>
            <w:tcW w:w="627" w:type="pct"/>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tcPr>
          <w:p w14:paraId="46A3D975" w14:textId="77777777" w:rsidR="009B72AA" w:rsidRPr="00622235" w:rsidRDefault="009B72AA" w:rsidP="00B508D4">
            <w:pPr>
              <w:pStyle w:val="Tablehead"/>
              <w:rPr>
                <w:rFonts w:eastAsia="Calibri"/>
                <w:color w:val="000000" w:themeColor="text1"/>
                <w:lang w:val="ru-RU"/>
              </w:rPr>
            </w:pPr>
            <w:r w:rsidRPr="00622235">
              <w:rPr>
                <w:lang w:val="ru-RU"/>
              </w:rPr>
              <w:t>2023 г.</w:t>
            </w:r>
          </w:p>
        </w:tc>
      </w:tr>
      <w:tr w:rsidR="009B72AA" w:rsidRPr="00622235" w14:paraId="41C88B8A" w14:textId="77777777" w:rsidTr="00622235">
        <w:trPr>
          <w:trHeight w:val="270"/>
        </w:trPr>
        <w:tc>
          <w:tcPr>
            <w:tcW w:w="1609" w:type="pct"/>
            <w:tcBorders>
              <w:top w:val="single" w:sz="8" w:space="0" w:color="auto"/>
              <w:left w:val="single" w:sz="8" w:space="0" w:color="auto"/>
              <w:bottom w:val="single" w:sz="8" w:space="0" w:color="auto"/>
              <w:right w:val="single" w:sz="8" w:space="0" w:color="auto"/>
            </w:tcBorders>
            <w:tcMar>
              <w:left w:w="108" w:type="dxa"/>
              <w:right w:w="108" w:type="dxa"/>
            </w:tcMar>
          </w:tcPr>
          <w:p w14:paraId="4EC602E7" w14:textId="77777777" w:rsidR="009B72AA" w:rsidRPr="00622235" w:rsidRDefault="009B72AA" w:rsidP="00622235">
            <w:pPr>
              <w:pStyle w:val="Tabletext"/>
              <w:rPr>
                <w:rFonts w:eastAsia="Calibri"/>
                <w:lang w:val="ru-RU"/>
              </w:rPr>
            </w:pPr>
            <w:r w:rsidRPr="00622235">
              <w:rPr>
                <w:lang w:val="ru-RU"/>
              </w:rPr>
              <w:t>Государства-Члены</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1D6A4936" w14:textId="77777777" w:rsidR="009B72AA" w:rsidRPr="00622235" w:rsidRDefault="009B72AA" w:rsidP="00F632E2">
            <w:pPr>
              <w:pStyle w:val="Tabletext"/>
              <w:jc w:val="right"/>
              <w:rPr>
                <w:rFonts w:eastAsia="Calibri"/>
                <w:lang w:val="ru-RU"/>
              </w:rPr>
            </w:pPr>
            <w:r w:rsidRPr="00622235">
              <w:rPr>
                <w:lang w:val="ru-RU"/>
              </w:rPr>
              <w:t>108,6</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118768AC" w14:textId="77777777" w:rsidR="009B72AA" w:rsidRPr="00622235" w:rsidRDefault="009B72AA" w:rsidP="00F632E2">
            <w:pPr>
              <w:pStyle w:val="Tabletext"/>
              <w:jc w:val="right"/>
              <w:rPr>
                <w:rFonts w:eastAsia="Calibri"/>
                <w:lang w:val="ru-RU"/>
              </w:rPr>
            </w:pPr>
            <w:r w:rsidRPr="00622235">
              <w:rPr>
                <w:lang w:val="ru-RU"/>
              </w:rPr>
              <w:t>109,9</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12C74FFA" w14:textId="77777777" w:rsidR="009B72AA" w:rsidRPr="00622235" w:rsidRDefault="009B72AA" w:rsidP="00F632E2">
            <w:pPr>
              <w:pStyle w:val="Tabletext"/>
              <w:jc w:val="right"/>
              <w:rPr>
                <w:rFonts w:eastAsia="Calibri"/>
                <w:lang w:val="ru-RU"/>
              </w:rPr>
            </w:pPr>
            <w:r w:rsidRPr="00622235">
              <w:rPr>
                <w:lang w:val="ru-RU"/>
              </w:rPr>
              <w:t>109,3</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0353D3DC" w14:textId="77777777" w:rsidR="009B72AA" w:rsidRPr="00622235" w:rsidRDefault="009B72AA" w:rsidP="00F632E2">
            <w:pPr>
              <w:pStyle w:val="Tabletext"/>
              <w:jc w:val="right"/>
              <w:rPr>
                <w:rFonts w:eastAsia="Calibri"/>
                <w:lang w:val="ru-RU"/>
              </w:rPr>
            </w:pPr>
            <w:r w:rsidRPr="00622235">
              <w:rPr>
                <w:lang w:val="ru-RU"/>
              </w:rPr>
              <w:t>109,3</w:t>
            </w:r>
          </w:p>
        </w:tc>
        <w:tc>
          <w:tcPr>
            <w:tcW w:w="528" w:type="pct"/>
            <w:tcBorders>
              <w:top w:val="single" w:sz="8" w:space="0" w:color="auto"/>
              <w:left w:val="single" w:sz="8" w:space="0" w:color="auto"/>
              <w:bottom w:val="single" w:sz="8" w:space="0" w:color="auto"/>
              <w:right w:val="single" w:sz="8" w:space="0" w:color="auto"/>
            </w:tcBorders>
            <w:tcMar>
              <w:left w:w="108" w:type="dxa"/>
              <w:right w:w="108" w:type="dxa"/>
            </w:tcMar>
          </w:tcPr>
          <w:p w14:paraId="41F34E94" w14:textId="77777777" w:rsidR="009B72AA" w:rsidRPr="00622235" w:rsidRDefault="009B72AA" w:rsidP="00F632E2">
            <w:pPr>
              <w:pStyle w:val="Tabletext"/>
              <w:jc w:val="right"/>
              <w:rPr>
                <w:rFonts w:eastAsia="Calibri"/>
                <w:lang w:val="ru-RU"/>
              </w:rPr>
            </w:pPr>
            <w:r w:rsidRPr="00622235">
              <w:rPr>
                <w:lang w:val="ru-RU"/>
              </w:rPr>
              <w:t>109,2</w:t>
            </w:r>
          </w:p>
        </w:tc>
        <w:tc>
          <w:tcPr>
            <w:tcW w:w="627" w:type="pct"/>
            <w:tcBorders>
              <w:top w:val="single" w:sz="8" w:space="0" w:color="auto"/>
              <w:left w:val="single" w:sz="8" w:space="0" w:color="auto"/>
              <w:bottom w:val="single" w:sz="8" w:space="0" w:color="auto"/>
              <w:right w:val="single" w:sz="8" w:space="0" w:color="auto"/>
            </w:tcBorders>
            <w:tcMar>
              <w:left w:w="108" w:type="dxa"/>
              <w:right w:w="108" w:type="dxa"/>
            </w:tcMar>
          </w:tcPr>
          <w:p w14:paraId="2E1A4B53" w14:textId="77777777" w:rsidR="009B72AA" w:rsidRPr="00622235" w:rsidRDefault="009B72AA" w:rsidP="00F632E2">
            <w:pPr>
              <w:pStyle w:val="Tabletext"/>
              <w:jc w:val="right"/>
              <w:rPr>
                <w:rFonts w:eastAsia="Calibri"/>
                <w:lang w:val="ru-RU"/>
              </w:rPr>
            </w:pPr>
            <w:r w:rsidRPr="00622235">
              <w:rPr>
                <w:lang w:val="ru-RU"/>
              </w:rPr>
              <w:t>109,2</w:t>
            </w:r>
          </w:p>
        </w:tc>
      </w:tr>
      <w:tr w:rsidR="009B72AA" w:rsidRPr="00622235" w14:paraId="5100F09B" w14:textId="77777777" w:rsidTr="00622235">
        <w:trPr>
          <w:trHeight w:val="270"/>
        </w:trPr>
        <w:tc>
          <w:tcPr>
            <w:tcW w:w="1609" w:type="pct"/>
            <w:tcBorders>
              <w:top w:val="single" w:sz="8" w:space="0" w:color="auto"/>
              <w:left w:val="single" w:sz="8" w:space="0" w:color="auto"/>
              <w:bottom w:val="single" w:sz="8" w:space="0" w:color="auto"/>
              <w:right w:val="single" w:sz="8" w:space="0" w:color="auto"/>
            </w:tcBorders>
            <w:tcMar>
              <w:left w:w="108" w:type="dxa"/>
              <w:right w:w="108" w:type="dxa"/>
            </w:tcMar>
          </w:tcPr>
          <w:p w14:paraId="459E058C" w14:textId="77777777" w:rsidR="009B72AA" w:rsidRPr="00622235" w:rsidRDefault="009B72AA" w:rsidP="00622235">
            <w:pPr>
              <w:pStyle w:val="Tabletext"/>
              <w:rPr>
                <w:rFonts w:eastAsia="Calibri"/>
                <w:lang w:val="ru-RU"/>
              </w:rPr>
            </w:pPr>
            <w:r w:rsidRPr="00622235">
              <w:rPr>
                <w:lang w:val="ru-RU"/>
              </w:rPr>
              <w:t>Члены Секторов, Ассоциированные члены и Академические организации</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5A47B296" w14:textId="77777777" w:rsidR="009B72AA" w:rsidRPr="00622235" w:rsidRDefault="009B72AA" w:rsidP="00F632E2">
            <w:pPr>
              <w:pStyle w:val="Tabletext"/>
              <w:jc w:val="right"/>
              <w:rPr>
                <w:rFonts w:eastAsia="Calibri"/>
                <w:lang w:val="ru-RU"/>
              </w:rPr>
            </w:pPr>
            <w:r w:rsidRPr="00622235">
              <w:rPr>
                <w:lang w:val="ru-RU"/>
              </w:rPr>
              <w:t>16,3</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0B9AFF75" w14:textId="77777777" w:rsidR="009B72AA" w:rsidRPr="00622235" w:rsidRDefault="009B72AA" w:rsidP="00F632E2">
            <w:pPr>
              <w:pStyle w:val="Tabletext"/>
              <w:jc w:val="right"/>
              <w:rPr>
                <w:rFonts w:eastAsia="Calibri"/>
                <w:lang w:val="ru-RU"/>
              </w:rPr>
            </w:pPr>
            <w:r w:rsidRPr="00622235">
              <w:rPr>
                <w:lang w:val="ru-RU"/>
              </w:rPr>
              <w:t>16,6</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5446F29C" w14:textId="77777777" w:rsidR="009B72AA" w:rsidRPr="00622235" w:rsidRDefault="009B72AA" w:rsidP="00F632E2">
            <w:pPr>
              <w:pStyle w:val="Tabletext"/>
              <w:jc w:val="right"/>
              <w:rPr>
                <w:rFonts w:eastAsia="Calibri"/>
                <w:lang w:val="ru-RU"/>
              </w:rPr>
            </w:pPr>
            <w:r w:rsidRPr="00622235">
              <w:rPr>
                <w:lang w:val="ru-RU"/>
              </w:rPr>
              <w:t>16,4</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40D632F9" w14:textId="77777777" w:rsidR="009B72AA" w:rsidRPr="00622235" w:rsidRDefault="009B72AA" w:rsidP="00F632E2">
            <w:pPr>
              <w:pStyle w:val="Tabletext"/>
              <w:jc w:val="right"/>
              <w:rPr>
                <w:rFonts w:eastAsia="Calibri"/>
                <w:lang w:val="ru-RU"/>
              </w:rPr>
            </w:pPr>
            <w:r w:rsidRPr="00622235">
              <w:rPr>
                <w:lang w:val="ru-RU"/>
              </w:rPr>
              <w:t>16,3</w:t>
            </w:r>
          </w:p>
        </w:tc>
        <w:tc>
          <w:tcPr>
            <w:tcW w:w="528" w:type="pct"/>
            <w:tcBorders>
              <w:top w:val="single" w:sz="8" w:space="0" w:color="auto"/>
              <w:left w:val="single" w:sz="8" w:space="0" w:color="auto"/>
              <w:bottom w:val="single" w:sz="8" w:space="0" w:color="auto"/>
              <w:right w:val="single" w:sz="8" w:space="0" w:color="auto"/>
            </w:tcBorders>
            <w:tcMar>
              <w:left w:w="108" w:type="dxa"/>
              <w:right w:w="108" w:type="dxa"/>
            </w:tcMar>
          </w:tcPr>
          <w:p w14:paraId="746E4E4D" w14:textId="77777777" w:rsidR="009B72AA" w:rsidRPr="00622235" w:rsidRDefault="009B72AA" w:rsidP="00F632E2">
            <w:pPr>
              <w:pStyle w:val="Tabletext"/>
              <w:jc w:val="right"/>
              <w:rPr>
                <w:rFonts w:eastAsia="Calibri"/>
                <w:lang w:val="ru-RU"/>
              </w:rPr>
            </w:pPr>
            <w:r w:rsidRPr="00622235">
              <w:rPr>
                <w:lang w:val="ru-RU"/>
              </w:rPr>
              <w:t>16,4</w:t>
            </w:r>
          </w:p>
        </w:tc>
        <w:tc>
          <w:tcPr>
            <w:tcW w:w="627" w:type="pct"/>
            <w:tcBorders>
              <w:top w:val="single" w:sz="8" w:space="0" w:color="auto"/>
              <w:left w:val="single" w:sz="8" w:space="0" w:color="auto"/>
              <w:bottom w:val="single" w:sz="8" w:space="0" w:color="auto"/>
              <w:right w:val="single" w:sz="8" w:space="0" w:color="auto"/>
            </w:tcBorders>
            <w:tcMar>
              <w:left w:w="108" w:type="dxa"/>
              <w:right w:w="108" w:type="dxa"/>
            </w:tcMar>
          </w:tcPr>
          <w:p w14:paraId="1F63C172" w14:textId="77777777" w:rsidR="009B72AA" w:rsidRPr="00622235" w:rsidRDefault="009B72AA" w:rsidP="00F632E2">
            <w:pPr>
              <w:pStyle w:val="Tabletext"/>
              <w:jc w:val="right"/>
              <w:rPr>
                <w:rFonts w:eastAsia="Calibri"/>
                <w:lang w:val="ru-RU"/>
              </w:rPr>
            </w:pPr>
            <w:r w:rsidRPr="00622235">
              <w:rPr>
                <w:lang w:val="ru-RU"/>
              </w:rPr>
              <w:t>16,5</w:t>
            </w:r>
          </w:p>
        </w:tc>
      </w:tr>
      <w:tr w:rsidR="009B72AA" w:rsidRPr="00622235" w14:paraId="45BC15E8" w14:textId="77777777" w:rsidTr="00622235">
        <w:trPr>
          <w:trHeight w:val="270"/>
        </w:trPr>
        <w:tc>
          <w:tcPr>
            <w:tcW w:w="1609" w:type="pct"/>
            <w:tcBorders>
              <w:top w:val="single" w:sz="8" w:space="0" w:color="auto"/>
              <w:left w:val="single" w:sz="8" w:space="0" w:color="auto"/>
              <w:bottom w:val="single" w:sz="8" w:space="0" w:color="auto"/>
              <w:right w:val="single" w:sz="8" w:space="0" w:color="auto"/>
            </w:tcBorders>
            <w:tcMar>
              <w:left w:w="108" w:type="dxa"/>
              <w:right w:w="108" w:type="dxa"/>
            </w:tcMar>
          </w:tcPr>
          <w:p w14:paraId="2C1B3B02" w14:textId="77777777" w:rsidR="009B72AA" w:rsidRPr="00622235" w:rsidRDefault="009B72AA" w:rsidP="00622235">
            <w:pPr>
              <w:pStyle w:val="Tabletext"/>
              <w:rPr>
                <w:rFonts w:eastAsia="Calibri"/>
                <w:lang w:val="ru-RU"/>
              </w:rPr>
            </w:pPr>
            <w:r w:rsidRPr="00622235">
              <w:rPr>
                <w:lang w:val="ru-RU"/>
              </w:rPr>
              <w:t>Публикации</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2BB38741" w14:textId="77777777" w:rsidR="009B72AA" w:rsidRPr="00622235" w:rsidRDefault="009B72AA" w:rsidP="00F632E2">
            <w:pPr>
              <w:pStyle w:val="Tabletext"/>
              <w:jc w:val="right"/>
              <w:rPr>
                <w:rFonts w:eastAsia="Calibri"/>
                <w:lang w:val="ru-RU"/>
              </w:rPr>
            </w:pPr>
            <w:r w:rsidRPr="00622235">
              <w:rPr>
                <w:lang w:val="ru-RU"/>
              </w:rPr>
              <w:t>13,9</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2158A60D" w14:textId="77777777" w:rsidR="009B72AA" w:rsidRPr="00622235" w:rsidRDefault="009B72AA" w:rsidP="00F632E2">
            <w:pPr>
              <w:pStyle w:val="Tabletext"/>
              <w:jc w:val="right"/>
              <w:rPr>
                <w:rFonts w:eastAsia="Calibri"/>
                <w:lang w:val="ru-RU"/>
              </w:rPr>
            </w:pPr>
            <w:r w:rsidRPr="00622235">
              <w:rPr>
                <w:lang w:val="ru-RU"/>
              </w:rPr>
              <w:t>15,6</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60E7079A" w14:textId="77777777" w:rsidR="009B72AA" w:rsidRPr="00622235" w:rsidRDefault="009B72AA" w:rsidP="00F632E2">
            <w:pPr>
              <w:pStyle w:val="Tabletext"/>
              <w:jc w:val="right"/>
              <w:rPr>
                <w:rFonts w:eastAsia="Calibri"/>
                <w:lang w:val="ru-RU"/>
              </w:rPr>
            </w:pPr>
            <w:r w:rsidRPr="00622235">
              <w:rPr>
                <w:lang w:val="ru-RU"/>
              </w:rPr>
              <w:t>17,1</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1A1B98B5" w14:textId="77777777" w:rsidR="009B72AA" w:rsidRPr="00622235" w:rsidRDefault="009B72AA" w:rsidP="00F632E2">
            <w:pPr>
              <w:pStyle w:val="Tabletext"/>
              <w:jc w:val="right"/>
              <w:rPr>
                <w:rFonts w:eastAsia="Calibri"/>
                <w:lang w:val="ru-RU"/>
              </w:rPr>
            </w:pPr>
            <w:r w:rsidRPr="00622235">
              <w:rPr>
                <w:lang w:val="ru-RU"/>
              </w:rPr>
              <w:t>19,4</w:t>
            </w:r>
          </w:p>
        </w:tc>
        <w:tc>
          <w:tcPr>
            <w:tcW w:w="528" w:type="pct"/>
            <w:tcBorders>
              <w:top w:val="single" w:sz="8" w:space="0" w:color="auto"/>
              <w:left w:val="single" w:sz="8" w:space="0" w:color="auto"/>
              <w:bottom w:val="single" w:sz="8" w:space="0" w:color="auto"/>
              <w:right w:val="single" w:sz="8" w:space="0" w:color="auto"/>
            </w:tcBorders>
            <w:tcMar>
              <w:left w:w="108" w:type="dxa"/>
              <w:right w:w="108" w:type="dxa"/>
            </w:tcMar>
          </w:tcPr>
          <w:p w14:paraId="2FBE119A" w14:textId="77777777" w:rsidR="009B72AA" w:rsidRPr="00622235" w:rsidRDefault="009B72AA" w:rsidP="00F632E2">
            <w:pPr>
              <w:pStyle w:val="Tabletext"/>
              <w:jc w:val="right"/>
              <w:rPr>
                <w:rFonts w:eastAsia="Calibri"/>
                <w:lang w:val="ru-RU"/>
              </w:rPr>
            </w:pPr>
            <w:r w:rsidRPr="00622235">
              <w:rPr>
                <w:lang w:val="ru-RU"/>
              </w:rPr>
              <w:t>14,6</w:t>
            </w:r>
          </w:p>
        </w:tc>
        <w:tc>
          <w:tcPr>
            <w:tcW w:w="627" w:type="pct"/>
            <w:tcBorders>
              <w:top w:val="single" w:sz="8" w:space="0" w:color="auto"/>
              <w:left w:val="single" w:sz="8" w:space="0" w:color="auto"/>
              <w:bottom w:val="single" w:sz="8" w:space="0" w:color="auto"/>
              <w:right w:val="single" w:sz="8" w:space="0" w:color="auto"/>
            </w:tcBorders>
            <w:tcMar>
              <w:left w:w="108" w:type="dxa"/>
              <w:right w:w="108" w:type="dxa"/>
            </w:tcMar>
          </w:tcPr>
          <w:p w14:paraId="29B5FD1D" w14:textId="77777777" w:rsidR="009B72AA" w:rsidRPr="00622235" w:rsidRDefault="009B72AA" w:rsidP="00F632E2">
            <w:pPr>
              <w:pStyle w:val="Tabletext"/>
              <w:jc w:val="right"/>
              <w:rPr>
                <w:rFonts w:eastAsia="Calibri"/>
                <w:lang w:val="ru-RU"/>
              </w:rPr>
            </w:pPr>
            <w:r w:rsidRPr="00622235">
              <w:rPr>
                <w:lang w:val="ru-RU"/>
              </w:rPr>
              <w:t>16,7</w:t>
            </w:r>
          </w:p>
        </w:tc>
      </w:tr>
      <w:tr w:rsidR="009B72AA" w:rsidRPr="00622235" w14:paraId="2099DE73" w14:textId="77777777" w:rsidTr="00622235">
        <w:trPr>
          <w:trHeight w:val="270"/>
        </w:trPr>
        <w:tc>
          <w:tcPr>
            <w:tcW w:w="1609" w:type="pct"/>
            <w:tcBorders>
              <w:top w:val="single" w:sz="8" w:space="0" w:color="auto"/>
              <w:left w:val="single" w:sz="8" w:space="0" w:color="auto"/>
              <w:bottom w:val="single" w:sz="8" w:space="0" w:color="auto"/>
              <w:right w:val="single" w:sz="8" w:space="0" w:color="auto"/>
            </w:tcBorders>
            <w:tcMar>
              <w:left w:w="108" w:type="dxa"/>
              <w:right w:w="108" w:type="dxa"/>
            </w:tcMar>
          </w:tcPr>
          <w:p w14:paraId="5BA12CFC" w14:textId="77777777" w:rsidR="009B72AA" w:rsidRPr="00622235" w:rsidRDefault="009B72AA" w:rsidP="00622235">
            <w:pPr>
              <w:pStyle w:val="Tabletext"/>
              <w:rPr>
                <w:rFonts w:eastAsia="Calibri"/>
                <w:lang w:val="ru-RU"/>
              </w:rPr>
            </w:pPr>
            <w:r w:rsidRPr="00622235">
              <w:rPr>
                <w:lang w:val="ru-RU"/>
              </w:rPr>
              <w:t>Заявки на регистрацию спутниковых сетей</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5147B93B" w14:textId="77777777" w:rsidR="009B72AA" w:rsidRPr="00622235" w:rsidRDefault="009B72AA" w:rsidP="00F632E2">
            <w:pPr>
              <w:pStyle w:val="Tabletext"/>
              <w:jc w:val="right"/>
              <w:rPr>
                <w:rFonts w:eastAsia="Calibri"/>
                <w:lang w:val="ru-RU"/>
              </w:rPr>
            </w:pPr>
            <w:r w:rsidRPr="00622235">
              <w:rPr>
                <w:lang w:val="ru-RU"/>
              </w:rPr>
              <w:t>19,1</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4799E5AC" w14:textId="77777777" w:rsidR="009B72AA" w:rsidRPr="00622235" w:rsidRDefault="009B72AA" w:rsidP="00F632E2">
            <w:pPr>
              <w:pStyle w:val="Tabletext"/>
              <w:jc w:val="right"/>
              <w:rPr>
                <w:rFonts w:eastAsia="Calibri"/>
                <w:lang w:val="ru-RU"/>
              </w:rPr>
            </w:pPr>
            <w:r w:rsidRPr="00622235">
              <w:rPr>
                <w:lang w:val="ru-RU"/>
              </w:rPr>
              <w:t>12,1</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760CDE22" w14:textId="77777777" w:rsidR="009B72AA" w:rsidRPr="00622235" w:rsidRDefault="009B72AA" w:rsidP="00F632E2">
            <w:pPr>
              <w:pStyle w:val="Tabletext"/>
              <w:jc w:val="right"/>
              <w:rPr>
                <w:rFonts w:eastAsia="Calibri"/>
                <w:lang w:val="ru-RU"/>
              </w:rPr>
            </w:pPr>
            <w:r w:rsidRPr="00622235">
              <w:rPr>
                <w:lang w:val="ru-RU"/>
              </w:rPr>
              <w:t>13,6</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66B2B8B5" w14:textId="77777777" w:rsidR="009B72AA" w:rsidRPr="00622235" w:rsidRDefault="009B72AA" w:rsidP="00F632E2">
            <w:pPr>
              <w:pStyle w:val="Tabletext"/>
              <w:jc w:val="right"/>
              <w:rPr>
                <w:rFonts w:eastAsia="Calibri"/>
                <w:lang w:val="ru-RU"/>
              </w:rPr>
            </w:pPr>
            <w:r w:rsidRPr="00622235">
              <w:rPr>
                <w:lang w:val="ru-RU"/>
              </w:rPr>
              <w:t>11,2</w:t>
            </w:r>
          </w:p>
        </w:tc>
        <w:tc>
          <w:tcPr>
            <w:tcW w:w="528" w:type="pct"/>
            <w:tcBorders>
              <w:top w:val="single" w:sz="8" w:space="0" w:color="auto"/>
              <w:left w:val="single" w:sz="8" w:space="0" w:color="auto"/>
              <w:bottom w:val="single" w:sz="8" w:space="0" w:color="auto"/>
              <w:right w:val="single" w:sz="8" w:space="0" w:color="auto"/>
            </w:tcBorders>
            <w:tcMar>
              <w:left w:w="108" w:type="dxa"/>
              <w:right w:w="108" w:type="dxa"/>
            </w:tcMar>
          </w:tcPr>
          <w:p w14:paraId="7164E96B" w14:textId="77777777" w:rsidR="009B72AA" w:rsidRPr="00622235" w:rsidRDefault="009B72AA" w:rsidP="00F632E2">
            <w:pPr>
              <w:pStyle w:val="Tabletext"/>
              <w:jc w:val="right"/>
              <w:rPr>
                <w:rFonts w:eastAsia="Calibri"/>
                <w:lang w:val="ru-RU"/>
              </w:rPr>
            </w:pPr>
            <w:r w:rsidRPr="00622235">
              <w:rPr>
                <w:lang w:val="ru-RU"/>
              </w:rPr>
              <w:t>10,3</w:t>
            </w:r>
          </w:p>
        </w:tc>
        <w:tc>
          <w:tcPr>
            <w:tcW w:w="627" w:type="pct"/>
            <w:tcBorders>
              <w:top w:val="single" w:sz="8" w:space="0" w:color="auto"/>
              <w:left w:val="single" w:sz="8" w:space="0" w:color="auto"/>
              <w:bottom w:val="single" w:sz="8" w:space="0" w:color="auto"/>
              <w:right w:val="single" w:sz="8" w:space="0" w:color="auto"/>
            </w:tcBorders>
            <w:tcMar>
              <w:left w:w="108" w:type="dxa"/>
              <w:right w:w="108" w:type="dxa"/>
            </w:tcMar>
          </w:tcPr>
          <w:p w14:paraId="475B9CC4" w14:textId="77777777" w:rsidR="009B72AA" w:rsidRPr="00622235" w:rsidRDefault="009B72AA" w:rsidP="00F632E2">
            <w:pPr>
              <w:pStyle w:val="Tabletext"/>
              <w:jc w:val="right"/>
              <w:rPr>
                <w:rFonts w:eastAsia="Calibri"/>
                <w:lang w:val="ru-RU"/>
              </w:rPr>
            </w:pPr>
            <w:r w:rsidRPr="00622235">
              <w:rPr>
                <w:lang w:val="ru-RU"/>
              </w:rPr>
              <w:t>10,6</w:t>
            </w:r>
          </w:p>
        </w:tc>
      </w:tr>
      <w:tr w:rsidR="009B72AA" w:rsidRPr="00622235" w14:paraId="386C6949" w14:textId="77777777" w:rsidTr="00622235">
        <w:trPr>
          <w:trHeight w:val="540"/>
        </w:trPr>
        <w:tc>
          <w:tcPr>
            <w:tcW w:w="1609" w:type="pct"/>
            <w:tcBorders>
              <w:top w:val="single" w:sz="8" w:space="0" w:color="auto"/>
              <w:left w:val="single" w:sz="8" w:space="0" w:color="auto"/>
              <w:bottom w:val="single" w:sz="8" w:space="0" w:color="auto"/>
              <w:right w:val="single" w:sz="8" w:space="0" w:color="auto"/>
            </w:tcBorders>
            <w:tcMar>
              <w:left w:w="108" w:type="dxa"/>
              <w:right w:w="108" w:type="dxa"/>
            </w:tcMar>
          </w:tcPr>
          <w:p w14:paraId="49F7B40C" w14:textId="79B6A184" w:rsidR="009B72AA" w:rsidRPr="00622235" w:rsidRDefault="009B72AA" w:rsidP="00622235">
            <w:pPr>
              <w:pStyle w:val="Tabletext"/>
              <w:rPr>
                <w:rFonts w:eastAsia="Calibri"/>
                <w:lang w:val="ru-RU"/>
              </w:rPr>
            </w:pPr>
            <w:r w:rsidRPr="00622235">
              <w:rPr>
                <w:lang w:val="ru-RU"/>
              </w:rPr>
              <w:t>Прочее (нумерация, поддержка проектов, ITU</w:t>
            </w:r>
            <w:r w:rsidR="00F632E2" w:rsidRPr="00622235">
              <w:rPr>
                <w:lang w:val="ru-RU"/>
              </w:rPr>
              <w:t> </w:t>
            </w:r>
            <w:r w:rsidRPr="00622235">
              <w:rPr>
                <w:lang w:val="ru-RU"/>
              </w:rPr>
              <w:t>Telecom)</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3EC31B22" w14:textId="77777777" w:rsidR="009B72AA" w:rsidRPr="00622235" w:rsidRDefault="009B72AA" w:rsidP="00F632E2">
            <w:pPr>
              <w:pStyle w:val="Tabletext"/>
              <w:jc w:val="right"/>
              <w:rPr>
                <w:rFonts w:eastAsia="Calibri"/>
                <w:lang w:val="ru-RU"/>
              </w:rPr>
            </w:pPr>
            <w:r w:rsidRPr="00622235">
              <w:rPr>
                <w:lang w:val="ru-RU"/>
              </w:rPr>
              <w:t>3,4</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5DF4BAF8" w14:textId="77777777" w:rsidR="009B72AA" w:rsidRPr="00622235" w:rsidRDefault="009B72AA" w:rsidP="00F632E2">
            <w:pPr>
              <w:pStyle w:val="Tabletext"/>
              <w:jc w:val="right"/>
              <w:rPr>
                <w:rFonts w:eastAsia="Calibri"/>
                <w:lang w:val="ru-RU"/>
              </w:rPr>
            </w:pPr>
            <w:r w:rsidRPr="00622235">
              <w:rPr>
                <w:lang w:val="ru-RU"/>
              </w:rPr>
              <w:t>2,6</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10B5B136" w14:textId="77777777" w:rsidR="009B72AA" w:rsidRPr="00622235" w:rsidRDefault="009B72AA" w:rsidP="00F632E2">
            <w:pPr>
              <w:pStyle w:val="Tabletext"/>
              <w:jc w:val="right"/>
              <w:rPr>
                <w:rFonts w:eastAsia="Calibri"/>
                <w:lang w:val="ru-RU"/>
              </w:rPr>
            </w:pPr>
            <w:r w:rsidRPr="00622235">
              <w:rPr>
                <w:lang w:val="ru-RU"/>
              </w:rPr>
              <w:t>1</w:t>
            </w:r>
          </w:p>
        </w:tc>
        <w:tc>
          <w:tcPr>
            <w:tcW w:w="559" w:type="pct"/>
            <w:tcBorders>
              <w:top w:val="single" w:sz="8" w:space="0" w:color="auto"/>
              <w:left w:val="single" w:sz="8" w:space="0" w:color="auto"/>
              <w:bottom w:val="single" w:sz="8" w:space="0" w:color="auto"/>
              <w:right w:val="single" w:sz="8" w:space="0" w:color="auto"/>
            </w:tcBorders>
            <w:tcMar>
              <w:left w:w="108" w:type="dxa"/>
              <w:right w:w="108" w:type="dxa"/>
            </w:tcMar>
          </w:tcPr>
          <w:p w14:paraId="255C146C" w14:textId="77777777" w:rsidR="009B72AA" w:rsidRPr="00622235" w:rsidRDefault="009B72AA" w:rsidP="00F632E2">
            <w:pPr>
              <w:pStyle w:val="Tabletext"/>
              <w:jc w:val="right"/>
              <w:rPr>
                <w:rFonts w:eastAsia="Calibri"/>
                <w:lang w:val="ru-RU"/>
              </w:rPr>
            </w:pPr>
            <w:r w:rsidRPr="00622235">
              <w:rPr>
                <w:lang w:val="ru-RU"/>
              </w:rPr>
              <w:t>0,9</w:t>
            </w:r>
          </w:p>
        </w:tc>
        <w:tc>
          <w:tcPr>
            <w:tcW w:w="528" w:type="pct"/>
            <w:tcBorders>
              <w:top w:val="single" w:sz="8" w:space="0" w:color="auto"/>
              <w:left w:val="single" w:sz="8" w:space="0" w:color="auto"/>
              <w:bottom w:val="single" w:sz="8" w:space="0" w:color="auto"/>
              <w:right w:val="single" w:sz="8" w:space="0" w:color="auto"/>
            </w:tcBorders>
            <w:tcMar>
              <w:left w:w="108" w:type="dxa"/>
              <w:right w:w="108" w:type="dxa"/>
            </w:tcMar>
          </w:tcPr>
          <w:p w14:paraId="588848BA" w14:textId="77777777" w:rsidR="009B72AA" w:rsidRPr="00622235" w:rsidRDefault="009B72AA" w:rsidP="00F632E2">
            <w:pPr>
              <w:pStyle w:val="Tabletext"/>
              <w:jc w:val="right"/>
              <w:rPr>
                <w:rFonts w:eastAsia="Calibri"/>
                <w:lang w:val="ru-RU"/>
              </w:rPr>
            </w:pPr>
            <w:r w:rsidRPr="00622235">
              <w:rPr>
                <w:lang w:val="ru-RU"/>
              </w:rPr>
              <w:t>1,25</w:t>
            </w:r>
          </w:p>
        </w:tc>
        <w:tc>
          <w:tcPr>
            <w:tcW w:w="627" w:type="pct"/>
            <w:tcBorders>
              <w:top w:val="single" w:sz="8" w:space="0" w:color="auto"/>
              <w:left w:val="single" w:sz="8" w:space="0" w:color="auto"/>
              <w:bottom w:val="single" w:sz="8" w:space="0" w:color="auto"/>
              <w:right w:val="single" w:sz="8" w:space="0" w:color="auto"/>
            </w:tcBorders>
            <w:tcMar>
              <w:left w:w="108" w:type="dxa"/>
              <w:right w:w="108" w:type="dxa"/>
            </w:tcMar>
          </w:tcPr>
          <w:p w14:paraId="5DF91A22" w14:textId="77777777" w:rsidR="009B72AA" w:rsidRPr="00622235" w:rsidRDefault="009B72AA" w:rsidP="00F632E2">
            <w:pPr>
              <w:pStyle w:val="Tabletext"/>
              <w:jc w:val="right"/>
              <w:rPr>
                <w:rFonts w:eastAsia="Calibri"/>
                <w:lang w:val="ru-RU"/>
              </w:rPr>
            </w:pPr>
            <w:r w:rsidRPr="00622235">
              <w:rPr>
                <w:lang w:val="ru-RU"/>
              </w:rPr>
              <w:t>1,3</w:t>
            </w:r>
          </w:p>
        </w:tc>
      </w:tr>
    </w:tbl>
    <w:p w14:paraId="320FF4AE" w14:textId="67FEE6D0" w:rsidR="009B72AA" w:rsidRPr="00622235" w:rsidRDefault="009B72AA" w:rsidP="00B508D4">
      <w:pPr>
        <w:pStyle w:val="Headingb"/>
        <w:rPr>
          <w:lang w:val="ru-RU"/>
        </w:rPr>
      </w:pPr>
      <w:r w:rsidRPr="00622235">
        <w:rPr>
          <w:lang w:val="ru-RU"/>
        </w:rPr>
        <w:t>b</w:t>
      </w:r>
      <w:r w:rsidRPr="00622235">
        <w:rPr>
          <w:lang w:val="ru-RU"/>
        </w:rPr>
        <w:tab/>
        <w:t>Обзор внебюджетных источников финансирования</w:t>
      </w:r>
    </w:p>
    <w:p w14:paraId="292A84EA" w14:textId="3FD910B8" w:rsidR="009B72AA" w:rsidRPr="00622235" w:rsidRDefault="009B72AA" w:rsidP="009B72AA">
      <w:pPr>
        <w:rPr>
          <w:rFonts w:eastAsia="Calibri"/>
          <w:lang w:val="ru-RU"/>
        </w:rPr>
      </w:pPr>
      <w:r w:rsidRPr="00622235">
        <w:rPr>
          <w:lang w:val="ru-RU"/>
        </w:rPr>
        <w:t>В 2023 году в общей сложности 20,3 млн. швейцарских франков было учтено в качестве внебюджетных доходов, в том числе 15,1 млн. швейцарских франков – взносы целевых фондов, 3,6 млн. швейцарских франков – добровольные взносы и 1,6 млн. швейцарских франков – спонсорская поддержка. В 2023 году внебюджетное финансирование было распределено по всему МСЭ, при этом БРЭ получило 68 процентов, БСЭ – 17 процентов, БР</w:t>
      </w:r>
      <w:r w:rsidR="00622235">
        <w:t> </w:t>
      </w:r>
      <w:r w:rsidRPr="00622235">
        <w:rPr>
          <w:lang w:val="ru-RU"/>
        </w:rPr>
        <w:t>–</w:t>
      </w:r>
      <w:r w:rsidR="00622235">
        <w:t> </w:t>
      </w:r>
      <w:r w:rsidRPr="00622235">
        <w:rPr>
          <w:lang w:val="ru-RU"/>
        </w:rPr>
        <w:t>4</w:t>
      </w:r>
      <w:r w:rsidR="00622235">
        <w:t> </w:t>
      </w:r>
      <w:r w:rsidRPr="00622235">
        <w:rPr>
          <w:lang w:val="ru-RU"/>
        </w:rPr>
        <w:t>процента и Генеральный секретариат – 11 процентов.</w:t>
      </w:r>
    </w:p>
    <w:p w14:paraId="5F39C658" w14:textId="77777777" w:rsidR="009B72AA" w:rsidRPr="00622235" w:rsidRDefault="009B72AA" w:rsidP="009B72AA">
      <w:pPr>
        <w:rPr>
          <w:rFonts w:eastAsia="Calibri"/>
          <w:lang w:val="ru-RU"/>
        </w:rPr>
      </w:pPr>
      <w:r w:rsidRPr="00622235">
        <w:rPr>
          <w:lang w:val="ru-RU"/>
        </w:rPr>
        <w:t xml:space="preserve">Указанные выше внебюджетные доходы представлены в Отчете о финансовой деятельности Союза за 2023 год. Информация о внебюджетных взносах, полученных в денежной форме в течение 2023 года, содержится в Документе </w:t>
      </w:r>
      <w:hyperlink r:id="rId21" w:history="1">
        <w:r w:rsidRPr="00622235">
          <w:rPr>
            <w:rStyle w:val="Hyperlink"/>
            <w:rFonts w:asciiTheme="minorHAnsi" w:hAnsiTheme="minorHAnsi" w:cstheme="minorHAnsi"/>
            <w:szCs w:val="24"/>
            <w:lang w:val="ru-RU"/>
          </w:rPr>
          <w:t>C24/INF/12</w:t>
        </w:r>
      </w:hyperlink>
      <w:r w:rsidRPr="00622235">
        <w:rPr>
          <w:lang w:val="ru-RU"/>
        </w:rPr>
        <w:t>.</w:t>
      </w:r>
    </w:p>
    <w:p w14:paraId="467B06CB" w14:textId="3C29B8CC" w:rsidR="009B72AA" w:rsidRPr="00622235" w:rsidRDefault="009B72AA" w:rsidP="009B72AA">
      <w:pPr>
        <w:pStyle w:val="Heading2"/>
        <w:rPr>
          <w:lang w:val="ru-RU"/>
        </w:rPr>
      </w:pPr>
      <w:r w:rsidRPr="00622235">
        <w:rPr>
          <w:lang w:val="ru-RU"/>
        </w:rPr>
        <w:t>2.2</w:t>
      </w:r>
      <w:r w:rsidRPr="00622235">
        <w:rPr>
          <w:lang w:val="ru-RU"/>
        </w:rPr>
        <w:tab/>
        <w:t>Модели финансирования в учреждениях системы Организации Объединенных</w:t>
      </w:r>
      <w:r w:rsidR="00004FAF" w:rsidRPr="00622235">
        <w:rPr>
          <w:lang w:val="ru-RU"/>
        </w:rPr>
        <w:t> </w:t>
      </w:r>
      <w:r w:rsidRPr="00622235">
        <w:rPr>
          <w:lang w:val="ru-RU"/>
        </w:rPr>
        <w:t>Наций</w:t>
      </w:r>
    </w:p>
    <w:p w14:paraId="78C07801" w14:textId="77777777" w:rsidR="009B72AA" w:rsidRPr="00622235" w:rsidRDefault="009B72AA" w:rsidP="009B72AA">
      <w:pPr>
        <w:rPr>
          <w:lang w:val="ru-RU"/>
        </w:rPr>
      </w:pPr>
      <w:r w:rsidRPr="00622235">
        <w:rPr>
          <w:lang w:val="ru-RU"/>
        </w:rPr>
        <w:t>В системе Организации Объединенных Наций используются совершенно разные модели финансирования в зависимости от мандатов и основных направлений деятельности конкретных учреждений. Некоторые организации, такие как ЮНИСЕФ, УВКБ ООН и ВПП, полагаются преимущественно на добровольные взносы, которые в нередко направляются на конкретные проекты и инициативы. Значительная доля собранных средств, как правило, приходится на взносы, направляемые в связи с чрезвычайными ситуациями. Эти организации проводят крупные профессиональные операции по сбору средств, привлекая взносы от правительственных органов, компаний частного сектора, фондов, состоятельных частных лиц и широкой общественности.</w:t>
      </w:r>
    </w:p>
    <w:p w14:paraId="0AC8AB8A" w14:textId="244C86B6" w:rsidR="009B72AA" w:rsidRPr="00622235" w:rsidRDefault="009B72AA" w:rsidP="009B72AA">
      <w:pPr>
        <w:rPr>
          <w:rFonts w:eastAsia="Calibri"/>
          <w:lang w:val="ru-RU"/>
        </w:rPr>
      </w:pPr>
      <w:r w:rsidRPr="00622235">
        <w:rPr>
          <w:lang w:val="ru-RU"/>
        </w:rPr>
        <w:t>В то же время такие организации, как МСЭ, Всемирный почтовый союз (ВПС), Международное агентство по атомной энергии (МАГАТЭ), Международная организация труда (МОТ), Международная морская организация (ИМО), Организация Объединенных Наций по вопросам образования, науки и культуры (ЮНЕСКО) и Всемирная метеорологическая организация (ВМО), как правило, полагаются на начисленные взносы для финансирования своей деятельности и выполнения согласованных программ работы, которые в некоторых случаях дополняются добровольными взносами на реализацию проектов и специальных инициатив. Всемирная организация интеллектуальной собственности (ВОИС) выделяется тем, что разработала бизнес</w:t>
      </w:r>
      <w:r w:rsidR="00622235" w:rsidRPr="00622235">
        <w:rPr>
          <w:lang w:val="ru-RU"/>
        </w:rPr>
        <w:noBreakHyphen/>
      </w:r>
      <w:r w:rsidRPr="00622235">
        <w:rPr>
          <w:lang w:val="ru-RU"/>
        </w:rPr>
        <w:t>модель, в рамках которой подавляющая часть доходов поступает от реализации услуг, связанных с патентами.</w:t>
      </w:r>
    </w:p>
    <w:p w14:paraId="4F697345" w14:textId="77777777" w:rsidR="009B72AA" w:rsidRPr="00622235" w:rsidRDefault="009B72AA" w:rsidP="009B72AA">
      <w:pPr>
        <w:rPr>
          <w:spacing w:val="-2"/>
          <w:lang w:val="ru-RU"/>
        </w:rPr>
      </w:pPr>
      <w:r w:rsidRPr="00622235">
        <w:rPr>
          <w:lang w:val="ru-RU"/>
        </w:rPr>
        <w:lastRenderedPageBreak/>
        <w:t>В последнее время бюджеты нескольких учреждений ООН, в том числе Международной организации по миграции (МОМ), Всемирной организации здравоохранения (ВОЗ), ВПС и ВМО, были увеличены.</w:t>
      </w:r>
    </w:p>
    <w:p w14:paraId="1B78095E" w14:textId="77777777" w:rsidR="009B72AA" w:rsidRPr="00622235" w:rsidRDefault="009B72AA" w:rsidP="009B72AA">
      <w:pPr>
        <w:pStyle w:val="Heading2"/>
        <w:rPr>
          <w:lang w:val="ru-RU"/>
        </w:rPr>
      </w:pPr>
      <w:r w:rsidRPr="00622235">
        <w:rPr>
          <w:lang w:val="ru-RU"/>
        </w:rPr>
        <w:t>2.3</w:t>
      </w:r>
      <w:r w:rsidRPr="00622235">
        <w:rPr>
          <w:lang w:val="ru-RU"/>
        </w:rPr>
        <w:tab/>
        <w:t>Оценка восприятия МСЭ со стороны основных заинтересованных сторон</w:t>
      </w:r>
    </w:p>
    <w:p w14:paraId="670C12D1" w14:textId="77777777" w:rsidR="009B72AA" w:rsidRPr="00622235" w:rsidRDefault="009B72AA" w:rsidP="00004FAF">
      <w:pPr>
        <w:rPr>
          <w:rFonts w:asciiTheme="minorHAnsi" w:hAnsiTheme="minorHAnsi" w:cstheme="minorHAnsi"/>
          <w:szCs w:val="24"/>
          <w:lang w:val="ru-RU"/>
        </w:rPr>
      </w:pPr>
      <w:r w:rsidRPr="00622235">
        <w:rPr>
          <w:rFonts w:asciiTheme="minorHAnsi" w:hAnsiTheme="minorHAnsi" w:cstheme="minorHAnsi"/>
          <w:szCs w:val="24"/>
          <w:lang w:val="ru-RU"/>
        </w:rPr>
        <w:t xml:space="preserve">С </w:t>
      </w:r>
      <w:r w:rsidRPr="00622235">
        <w:rPr>
          <w:lang w:val="ru-RU"/>
        </w:rPr>
        <w:t>февраля 2023 года МСЭ и компания BCG собирали отзывы от заинтересованных сторон внутри и вне организации, включая Государства-Члены, компании частного сектора, структуры гражданского общества и аналогичные учреждения системы Организации Объединенных Наций, провели более 70 интервью и проанализировали более 100 документов и отчетов. Несколько ключевых выводов, которые были сделаны в ходе этой работы и которые также перекликаются с результатами мероприятия МСЭ по определению концепции и выездного совещания старших руководителей, демонстрируют основные возможные направления деятельности по повышению эффективности и расширению предлагаемых преимуществ МСЭ:</w:t>
      </w:r>
    </w:p>
    <w:p w14:paraId="553ADA8E" w14:textId="7623509B" w:rsidR="009B72AA" w:rsidRPr="00622235" w:rsidRDefault="009B72AA" w:rsidP="009B72AA">
      <w:pPr>
        <w:pStyle w:val="enumlev1"/>
        <w:rPr>
          <w:lang w:val="ru-RU"/>
        </w:rPr>
      </w:pPr>
      <w:r w:rsidRPr="00622235">
        <w:rPr>
          <w:lang w:val="ru-RU"/>
        </w:rPr>
        <w:t>•</w:t>
      </w:r>
      <w:r w:rsidRPr="00622235">
        <w:rPr>
          <w:lang w:val="ru-RU"/>
        </w:rPr>
        <w:tab/>
      </w:r>
      <w:r w:rsidRPr="00622235">
        <w:rPr>
          <w:lang w:val="ru-RU"/>
        </w:rPr>
        <w:t>позиционирование МСЭ как организации, которая соответствует своему назначению, демонстрируя результативность;</w:t>
      </w:r>
    </w:p>
    <w:p w14:paraId="4DDF5260" w14:textId="65925499" w:rsidR="009B72AA" w:rsidRPr="00622235" w:rsidRDefault="009B72AA" w:rsidP="009B72AA">
      <w:pPr>
        <w:pStyle w:val="enumlev1"/>
        <w:rPr>
          <w:lang w:val="ru-RU"/>
        </w:rPr>
      </w:pPr>
      <w:r w:rsidRPr="00622235">
        <w:rPr>
          <w:lang w:val="ru-RU"/>
        </w:rPr>
        <w:t>•</w:t>
      </w:r>
      <w:r w:rsidRPr="00622235">
        <w:rPr>
          <w:lang w:val="ru-RU"/>
        </w:rPr>
        <w:tab/>
        <w:t>расширение участия частного сектора;</w:t>
      </w:r>
    </w:p>
    <w:p w14:paraId="0B681015" w14:textId="39C44F65" w:rsidR="009B72AA" w:rsidRPr="00622235" w:rsidRDefault="009B72AA" w:rsidP="009B72AA">
      <w:pPr>
        <w:pStyle w:val="enumlev1"/>
        <w:rPr>
          <w:lang w:val="ru-RU"/>
        </w:rPr>
      </w:pPr>
      <w:r w:rsidRPr="00622235">
        <w:rPr>
          <w:lang w:val="ru-RU"/>
        </w:rPr>
        <w:t>•</w:t>
      </w:r>
      <w:r w:rsidRPr="00622235">
        <w:rPr>
          <w:lang w:val="ru-RU"/>
        </w:rPr>
        <w:tab/>
        <w:t>обновление исторически сложившихся структур и упрощение процессов;</w:t>
      </w:r>
    </w:p>
    <w:p w14:paraId="323DBBFD" w14:textId="3B26990D" w:rsidR="009B72AA" w:rsidRPr="00622235" w:rsidRDefault="009B72AA" w:rsidP="009B72AA">
      <w:pPr>
        <w:pStyle w:val="enumlev1"/>
        <w:rPr>
          <w:lang w:val="ru-RU"/>
        </w:rPr>
      </w:pPr>
      <w:r w:rsidRPr="00622235">
        <w:rPr>
          <w:lang w:val="ru-RU"/>
        </w:rPr>
        <w:t>•</w:t>
      </w:r>
      <w:r w:rsidRPr="00622235">
        <w:rPr>
          <w:lang w:val="ru-RU"/>
        </w:rPr>
        <w:tab/>
        <w:t>усовершенствование структуры данных и обмен знаниями;</w:t>
      </w:r>
    </w:p>
    <w:p w14:paraId="0561A1E5" w14:textId="52CA6CE0" w:rsidR="009B72AA" w:rsidRPr="00622235" w:rsidRDefault="009B72AA" w:rsidP="009B72AA">
      <w:pPr>
        <w:pStyle w:val="enumlev1"/>
        <w:rPr>
          <w:lang w:val="ru-RU"/>
        </w:rPr>
      </w:pPr>
      <w:r w:rsidRPr="00622235">
        <w:rPr>
          <w:lang w:val="ru-RU"/>
        </w:rPr>
        <w:t>•</w:t>
      </w:r>
      <w:r w:rsidRPr="00622235">
        <w:rPr>
          <w:lang w:val="ru-RU"/>
        </w:rPr>
        <w:tab/>
        <w:t>более эффективная координация информационно-пропагандистской работы с заинтересованными сторонами.</w:t>
      </w:r>
    </w:p>
    <w:p w14:paraId="0D8C7E86" w14:textId="77777777" w:rsidR="009B72AA" w:rsidRPr="00622235" w:rsidRDefault="009B72AA" w:rsidP="009B72AA">
      <w:pPr>
        <w:pStyle w:val="Heading2"/>
        <w:rPr>
          <w:lang w:val="ru-RU"/>
        </w:rPr>
      </w:pPr>
      <w:r w:rsidRPr="00622235">
        <w:rPr>
          <w:lang w:val="ru-RU"/>
        </w:rPr>
        <w:t>2.4</w:t>
      </w:r>
      <w:r w:rsidRPr="00622235">
        <w:rPr>
          <w:lang w:val="ru-RU"/>
        </w:rPr>
        <w:tab/>
        <w:t>Управление рисками</w:t>
      </w:r>
    </w:p>
    <w:p w14:paraId="61DE9439" w14:textId="5A732390" w:rsidR="009B72AA" w:rsidRPr="00622235" w:rsidRDefault="009B72AA" w:rsidP="009B72AA">
      <w:pPr>
        <w:rPr>
          <w:lang w:val="ru-RU"/>
        </w:rPr>
      </w:pPr>
      <w:r w:rsidRPr="00622235">
        <w:rPr>
          <w:lang w:val="ru-RU"/>
        </w:rPr>
        <w:t>Поскольку МСЭ наращивает усилия по привлечению внебюджетного финансирования, причем все чаще от организаций, не являющихся его членами, необходимо предпринять шаги по минимизации рисков и поддержанию репутации и нейтралитета Союза. С этой целью МСЭ внедрил политику и процедуры для укрепления системы управления рисками, которые могут возникнуть в процессе установления партнерских отношений и сбора средств, включая служебный приказ 20/03 о руководящих указаниях МСЭ по спонсорской поддержке, связанной с мероприятиями, который вступил в силу в 2020 году, и последующий служебный приказ 22/12 о руководящих указаниях МСЭ по процедуре надлежащего исполнения в отношении организаций частного сектора, не являющихся членами, который вступил в силу в конце 2022</w:t>
      </w:r>
      <w:r w:rsidR="00004FAF" w:rsidRPr="00622235">
        <w:rPr>
          <w:lang w:val="ru-RU"/>
        </w:rPr>
        <w:t> </w:t>
      </w:r>
      <w:r w:rsidRPr="00622235">
        <w:rPr>
          <w:lang w:val="ru-RU"/>
        </w:rPr>
        <w:t>года и в соответствии с которым сотрудники МСЭ должны проверять любую организацию, не являющуюся членом МСЭ, перед заключением любого официального соглашения. Эта процедура надлежащего исполнения отвечает рекомендациям внешних и внутренних аудиторов и основана на используемой в рамках системы ООН передовой практике, которая была адаптирована к ситуации МСЭ.</w:t>
      </w:r>
    </w:p>
    <w:p w14:paraId="32E93BBB" w14:textId="3511FBBF" w:rsidR="009B72AA" w:rsidRPr="00622235" w:rsidRDefault="009B72AA" w:rsidP="009B72AA">
      <w:pPr>
        <w:rPr>
          <w:lang w:val="ru-RU"/>
        </w:rPr>
      </w:pPr>
      <w:r w:rsidRPr="00622235">
        <w:rPr>
          <w:lang w:val="ru-RU"/>
        </w:rPr>
        <w:t>В перспективе, если МСЭ желает увеличить объем добровольных взносов, важно будет организовать это таким образом, чтобы не допустить чрезмерного внимания или влияния нескольких крупных доноров. Хотя некоторые доноры могут пожелать, чтобы МСЭ соответствовал их практике, важно, чтобы МСЭ при реализации инициатив, финансируемых за счет доноров, следовал своим собственным правилам и процедурам в целях обеспечения справедливости и прозрачности и последовательного выполнения поручений руководящих органов. Точно таким же образом МСЭ необходимо будет обеспечить, чтобы различные требования к отчетности о поддержке доноров не налагали чрезмерного административного бремени, в особенности если эти затраты не полностью покрываются за счет финансирования</w:t>
      </w:r>
      <w:r w:rsidR="00004FAF" w:rsidRPr="00622235">
        <w:rPr>
          <w:lang w:val="ru-RU"/>
        </w:rPr>
        <w:t> </w:t>
      </w:r>
      <w:r w:rsidRPr="00622235">
        <w:rPr>
          <w:lang w:val="ru-RU"/>
        </w:rPr>
        <w:t>проектов.</w:t>
      </w:r>
    </w:p>
    <w:p w14:paraId="38A5336D" w14:textId="60645BE3" w:rsidR="009B72AA" w:rsidRPr="00622235" w:rsidRDefault="009B72AA" w:rsidP="009B72AA">
      <w:pPr>
        <w:pStyle w:val="Heading2"/>
        <w:rPr>
          <w:lang w:val="ru-RU"/>
        </w:rPr>
      </w:pPr>
      <w:r w:rsidRPr="00622235">
        <w:rPr>
          <w:lang w:val="ru-RU"/>
        </w:rPr>
        <w:lastRenderedPageBreak/>
        <w:t>2.5</w:t>
      </w:r>
      <w:r w:rsidRPr="00622235">
        <w:rPr>
          <w:lang w:val="ru-RU"/>
        </w:rPr>
        <w:tab/>
        <w:t>Дальнейшая работа: три основные "области деятельности"</w:t>
      </w:r>
    </w:p>
    <w:p w14:paraId="34B2A2CE" w14:textId="77777777" w:rsidR="009B72AA" w:rsidRPr="00622235" w:rsidRDefault="009B72AA" w:rsidP="009B72AA">
      <w:pPr>
        <w:rPr>
          <w:lang w:val="ru-RU"/>
        </w:rPr>
      </w:pPr>
      <w:r w:rsidRPr="00622235">
        <w:rPr>
          <w:lang w:val="ru-RU"/>
        </w:rPr>
        <w:t>В дальнейшем рекомендуемая стратегия основана на трех основных областях деятельности: укреплении членского состава; максимальном использовании потенциала мероприятий, продуктов и услуг; а также увеличении объемов добровольных взносов. Каждая из этих областей будет развиваться и укрепляться за счет согласованных усилий Генерального секретариата, Бюро и отделений на местах.</w:t>
      </w:r>
    </w:p>
    <w:p w14:paraId="441C9A3E" w14:textId="0B2252C6" w:rsidR="009B72AA" w:rsidRPr="00622235" w:rsidRDefault="009B72AA" w:rsidP="009B72AA">
      <w:pPr>
        <w:pStyle w:val="Headingb"/>
        <w:rPr>
          <w:lang w:val="ru-RU"/>
        </w:rPr>
      </w:pPr>
      <w:r w:rsidRPr="00622235">
        <w:rPr>
          <w:lang w:val="ru-RU"/>
        </w:rPr>
        <w:t>A</w:t>
      </w:r>
      <w:r w:rsidRPr="00622235">
        <w:rPr>
          <w:lang w:val="ru-RU"/>
        </w:rPr>
        <w:tab/>
      </w:r>
      <w:r w:rsidRPr="00622235">
        <w:rPr>
          <w:u w:val="single"/>
          <w:lang w:val="ru-RU"/>
        </w:rPr>
        <w:t>Укрепление членского состава (~80 процентов регулярного бюджета МСЭ)</w:t>
      </w:r>
    </w:p>
    <w:p w14:paraId="18561B76" w14:textId="77777777" w:rsidR="009B72AA" w:rsidRPr="00622235" w:rsidRDefault="009B72AA" w:rsidP="009B72AA">
      <w:pPr>
        <w:rPr>
          <w:rFonts w:eastAsia="Calibri"/>
          <w:color w:val="000000" w:themeColor="text1"/>
          <w:lang w:val="ru-RU"/>
        </w:rPr>
      </w:pPr>
      <w:r w:rsidRPr="00622235">
        <w:rPr>
          <w:lang w:val="ru-RU"/>
        </w:rPr>
        <w:t>В ходе сессии в формате "мозгового штурма" РГС-ФЛР Государства-Члены выразили заинтересованность в формулировании аргументов в пользу увеличения единицы взносов МСЭ, но обратились за поддержкой к Секретариату. Члены отметили, что более высокий уровень прозрачности является ключом к укреплению доверия, и попросили дать четкое представление о том, что ресурсы Союза используются эффективно (надлежащее управление и качественное управление финансами), а также что идет процесс модернизации секретариата (т. е. трансформация).</w:t>
      </w:r>
    </w:p>
    <w:p w14:paraId="3A6836AA" w14:textId="77777777" w:rsidR="009B72AA" w:rsidRPr="00622235" w:rsidRDefault="009B72AA" w:rsidP="009B72AA">
      <w:pPr>
        <w:rPr>
          <w:rFonts w:eastAsia="Calibri"/>
          <w:color w:val="000000" w:themeColor="text1"/>
          <w:lang w:val="ru-RU"/>
        </w:rPr>
      </w:pPr>
      <w:r w:rsidRPr="00622235">
        <w:rPr>
          <w:lang w:val="ru-RU"/>
        </w:rPr>
        <w:t>Государства-Члены также отметили, что получение взносов, особенно увеличения единицы, представляет собой сложную задачу, поскольку этот вопрос также затрагивает министерства финансов и иностранных дел. Важно повысить осведомленность этих министерств на национальном уровне об МСЭ и его влиянии. Один из делегатов отметил, что "платят не те, кто участвует в работе МСЭ".</w:t>
      </w:r>
    </w:p>
    <w:p w14:paraId="4B05E575" w14:textId="2803C251" w:rsidR="009B72AA" w:rsidRPr="00622235" w:rsidRDefault="009B72AA" w:rsidP="009B72AA">
      <w:pPr>
        <w:rPr>
          <w:rFonts w:eastAsia="Calibri"/>
          <w:color w:val="000000" w:themeColor="text1"/>
          <w:lang w:val="ru-RU"/>
        </w:rPr>
      </w:pPr>
      <w:r w:rsidRPr="00622235">
        <w:rPr>
          <w:lang w:val="ru-RU"/>
        </w:rPr>
        <w:t xml:space="preserve">Чтобы </w:t>
      </w:r>
      <w:r w:rsidRPr="00622235">
        <w:rPr>
          <w:u w:val="single"/>
          <w:lang w:val="ru-RU"/>
        </w:rPr>
        <w:t>побудить Государства-Члены сохранить на прежнем уровне или увеличить свои взносы</w:t>
      </w:r>
      <w:r w:rsidRPr="00622235">
        <w:rPr>
          <w:lang w:val="ru-RU"/>
        </w:rPr>
        <w:t>, рекомендуется предпринять следующие действия:</w:t>
      </w:r>
    </w:p>
    <w:p w14:paraId="3C40A135" w14:textId="71AA296A" w:rsidR="009B72AA" w:rsidRPr="00622235" w:rsidRDefault="009B72AA" w:rsidP="009B72AA">
      <w:pPr>
        <w:pStyle w:val="enumlev1"/>
        <w:rPr>
          <w:rFonts w:eastAsiaTheme="minorEastAsia"/>
          <w:lang w:val="ru-RU"/>
        </w:rPr>
      </w:pPr>
      <w:r w:rsidRPr="00622235">
        <w:rPr>
          <w:lang w:val="ru-RU"/>
        </w:rPr>
        <w:t>1</w:t>
      </w:r>
      <w:r w:rsidRPr="00622235">
        <w:rPr>
          <w:lang w:val="ru-RU"/>
        </w:rPr>
        <w:tab/>
      </w:r>
      <w:r w:rsidRPr="00622235">
        <w:rPr>
          <w:lang w:val="ru-RU"/>
        </w:rPr>
        <w:t>Секретариату следует разработать более привлекательное представление своего бюджета и неудовлетворенных потребностей, четко определив разрывы в финансировании, принимая во внимание передовой опыт системы ООН. Это предполагает:</w:t>
      </w:r>
    </w:p>
    <w:p w14:paraId="167530B8" w14:textId="4F8D0839" w:rsidR="009B72AA" w:rsidRPr="00622235" w:rsidRDefault="009B72AA" w:rsidP="009B72AA">
      <w:pPr>
        <w:pStyle w:val="enumlev2"/>
        <w:rPr>
          <w:rFonts w:eastAsiaTheme="minorEastAsia"/>
          <w:lang w:val="ru-RU"/>
        </w:rPr>
      </w:pPr>
      <w:r w:rsidRPr="00622235">
        <w:rPr>
          <w:lang w:val="ru-RU"/>
        </w:rPr>
        <w:t>a)</w:t>
      </w:r>
      <w:r w:rsidRPr="00622235">
        <w:rPr>
          <w:lang w:val="ru-RU"/>
        </w:rPr>
        <w:tab/>
      </w:r>
      <w:r w:rsidRPr="00622235">
        <w:rPr>
          <w:lang w:val="ru-RU"/>
        </w:rPr>
        <w:t>привлекательный, удобный для пользователей веб-сайт, увязывающий стратегический план и темы с бюджетом и ожидаемыми результатами/воздействием; и</w:t>
      </w:r>
    </w:p>
    <w:p w14:paraId="28DABABE" w14:textId="0DF39E43" w:rsidR="009B72AA" w:rsidRPr="00622235" w:rsidRDefault="009B72AA" w:rsidP="009B72AA">
      <w:pPr>
        <w:pStyle w:val="enumlev2"/>
        <w:rPr>
          <w:rFonts w:eastAsiaTheme="minorEastAsia"/>
          <w:lang w:val="ru-RU"/>
        </w:rPr>
      </w:pPr>
      <w:r w:rsidRPr="00622235">
        <w:rPr>
          <w:lang w:val="ru-RU"/>
        </w:rPr>
        <w:t>b)</w:t>
      </w:r>
      <w:r w:rsidRPr="00622235">
        <w:rPr>
          <w:lang w:val="ru-RU"/>
        </w:rPr>
        <w:tab/>
      </w:r>
      <w:r w:rsidRPr="00622235">
        <w:rPr>
          <w:lang w:val="ru-RU"/>
        </w:rPr>
        <w:t>новые информационные материалы и информационно-пропагандистские материалы, которые делегаты могут использовать для аргументирования поддержки МСЭ в своих национальных администрациях.</w:t>
      </w:r>
    </w:p>
    <w:p w14:paraId="6A3AD1D4" w14:textId="77777777" w:rsidR="009B72AA" w:rsidRPr="00622235" w:rsidRDefault="009B72AA" w:rsidP="009B72AA">
      <w:pPr>
        <w:rPr>
          <w:rFonts w:eastAsiaTheme="minorEastAsia"/>
          <w:lang w:val="ru-RU"/>
        </w:rPr>
      </w:pPr>
      <w:r w:rsidRPr="00622235">
        <w:rPr>
          <w:lang w:val="ru-RU"/>
        </w:rPr>
        <w:t xml:space="preserve">Для </w:t>
      </w:r>
      <w:r w:rsidRPr="00622235">
        <w:rPr>
          <w:u w:val="single"/>
          <w:lang w:val="ru-RU"/>
        </w:rPr>
        <w:t>повышения вовлеченности Членов Секторов</w:t>
      </w:r>
      <w:r w:rsidRPr="00622235">
        <w:rPr>
          <w:lang w:val="ru-RU"/>
        </w:rPr>
        <w:t>, включая отраслевые и академические организации, и повышения поступающих от них доходов рекомендуется принять следующие меры:</w:t>
      </w:r>
    </w:p>
    <w:p w14:paraId="6D90A4CE" w14:textId="02FA6408" w:rsidR="009B72AA" w:rsidRPr="00622235" w:rsidRDefault="009B72AA" w:rsidP="009B72AA">
      <w:pPr>
        <w:pStyle w:val="enumlev1"/>
        <w:rPr>
          <w:lang w:val="ru-RU"/>
        </w:rPr>
      </w:pPr>
      <w:r w:rsidRPr="00622235">
        <w:rPr>
          <w:lang w:val="ru-RU"/>
        </w:rPr>
        <w:t>2</w:t>
      </w:r>
      <w:r w:rsidRPr="00622235">
        <w:rPr>
          <w:lang w:val="ru-RU"/>
        </w:rPr>
        <w:tab/>
      </w:r>
      <w:r w:rsidRPr="00622235">
        <w:rPr>
          <w:lang w:val="ru-RU"/>
        </w:rPr>
        <w:t>На основе консультаций с консультативными группами Секторов рассмотреть преимущества и взносы, связанные с членством в Секторах, для обеспечения соответствия преимуществ ожиданиям, чтобы членство в Секторе по-прежнему покрывало затраты. Оценить риски, связанные с потенциальными изменениями в размерах взносов. В частности, рассмотреть преимущества, которые способствовали бы тому, чтобы существующие Члены Секторов получали статус членов в нескольких Секторах, а Ассоциированные члены повышали свой статус до полного членства в рамках Секторов.</w:t>
      </w:r>
    </w:p>
    <w:p w14:paraId="610F572A" w14:textId="4BE1287C" w:rsidR="009B72AA" w:rsidRPr="00622235" w:rsidRDefault="009B72AA" w:rsidP="009B72AA">
      <w:pPr>
        <w:pStyle w:val="enumlev1"/>
        <w:rPr>
          <w:lang w:val="ru-RU"/>
        </w:rPr>
      </w:pPr>
      <w:r w:rsidRPr="00622235">
        <w:rPr>
          <w:lang w:val="ru-RU"/>
        </w:rPr>
        <w:t>3</w:t>
      </w:r>
      <w:r w:rsidRPr="00622235">
        <w:rPr>
          <w:lang w:val="ru-RU"/>
        </w:rPr>
        <w:tab/>
      </w:r>
      <w:r w:rsidRPr="00622235">
        <w:rPr>
          <w:lang w:val="ru-RU"/>
        </w:rPr>
        <w:t>Определить ключевые компании, не являющиеся членами, из числа в недостаточной степени представленных участников цифровой экосистемы, которые могли бы присоединиться к МСЭ.</w:t>
      </w:r>
    </w:p>
    <w:p w14:paraId="248FC87E" w14:textId="18F90343" w:rsidR="009B72AA" w:rsidRPr="00622235" w:rsidRDefault="009B72AA" w:rsidP="009B72AA">
      <w:pPr>
        <w:pStyle w:val="enumlev1"/>
        <w:rPr>
          <w:rFonts w:eastAsia="Calibri"/>
          <w:color w:val="000000" w:themeColor="text1"/>
          <w:lang w:val="ru-RU"/>
        </w:rPr>
      </w:pPr>
      <w:r w:rsidRPr="00622235">
        <w:rPr>
          <w:lang w:val="ru-RU"/>
        </w:rPr>
        <w:t>4</w:t>
      </w:r>
      <w:r w:rsidRPr="00622235">
        <w:rPr>
          <w:lang w:val="ru-RU"/>
        </w:rPr>
        <w:tab/>
      </w:r>
      <w:r w:rsidRPr="00622235">
        <w:rPr>
          <w:lang w:val="ru-RU"/>
        </w:rPr>
        <w:t xml:space="preserve">Модернизировать методики исследовательских комиссий и продолжать инвестировать в дистанционное участие, дополняя очное участие, в целях обеспечения </w:t>
      </w:r>
      <w:r w:rsidRPr="00622235">
        <w:rPr>
          <w:lang w:val="ru-RU"/>
        </w:rPr>
        <w:lastRenderedPageBreak/>
        <w:t>эффективности работы и окупаемости инвестиций для членов, а также для расширения участия МСП.</w:t>
      </w:r>
    </w:p>
    <w:p w14:paraId="3B0B4245" w14:textId="59BB4B53" w:rsidR="009B72AA" w:rsidRPr="00622235" w:rsidRDefault="009B72AA" w:rsidP="009B72AA">
      <w:pPr>
        <w:pStyle w:val="enumlev1"/>
        <w:rPr>
          <w:rFonts w:eastAsia="Calibri"/>
          <w:color w:val="000000" w:themeColor="text1"/>
          <w:lang w:val="ru-RU"/>
        </w:rPr>
      </w:pPr>
      <w:r w:rsidRPr="00622235">
        <w:rPr>
          <w:lang w:val="ru-RU"/>
        </w:rPr>
        <w:t>5</w:t>
      </w:r>
      <w:r w:rsidRPr="00622235">
        <w:rPr>
          <w:lang w:val="ru-RU"/>
        </w:rPr>
        <w:tab/>
      </w:r>
      <w:r w:rsidRPr="00622235">
        <w:rPr>
          <w:lang w:val="ru-RU"/>
        </w:rPr>
        <w:t>Организовывать совместно с Государствами-Членами и региональными организациями электросвязи информационно-пропагандистские мероприятия для отрасли на национальном/региональном уровне.</w:t>
      </w:r>
    </w:p>
    <w:p w14:paraId="39FA2942" w14:textId="639CAA55" w:rsidR="009B72AA" w:rsidRPr="00622235" w:rsidRDefault="009B72AA" w:rsidP="009B72AA">
      <w:pPr>
        <w:pStyle w:val="enumlev1"/>
        <w:rPr>
          <w:lang w:val="ru-RU"/>
        </w:rPr>
      </w:pPr>
      <w:r w:rsidRPr="00622235">
        <w:rPr>
          <w:lang w:val="ru-RU"/>
        </w:rPr>
        <w:t>6</w:t>
      </w:r>
      <w:r w:rsidRPr="00622235">
        <w:rPr>
          <w:lang w:val="ru-RU"/>
        </w:rPr>
        <w:tab/>
      </w:r>
      <w:r w:rsidRPr="00622235">
        <w:rPr>
          <w:lang w:val="ru-RU"/>
        </w:rPr>
        <w:t>Провести анализ приоритетов членов Секторов, с тем чтобы содействовать согласованию предложений с их интересами.</w:t>
      </w:r>
    </w:p>
    <w:p w14:paraId="4D0D9ACC" w14:textId="7704736A" w:rsidR="009B72AA" w:rsidRPr="00622235" w:rsidRDefault="009B72AA" w:rsidP="009B72AA">
      <w:pPr>
        <w:pStyle w:val="enumlev1"/>
        <w:rPr>
          <w:lang w:val="ru-RU"/>
        </w:rPr>
      </w:pPr>
      <w:r w:rsidRPr="00622235">
        <w:rPr>
          <w:lang w:val="ru-RU"/>
        </w:rPr>
        <w:t>7</w:t>
      </w:r>
      <w:r w:rsidRPr="00622235">
        <w:rPr>
          <w:lang w:val="ru-RU"/>
        </w:rPr>
        <w:tab/>
      </w:r>
      <w:r w:rsidRPr="00622235">
        <w:rPr>
          <w:lang w:val="ru-RU"/>
        </w:rPr>
        <w:t>Рассмотреть новые подходы к содействию вовлечению Членов Секторов, включая информационно-пропагандистские материалы и маркетинг с помощью цифровых платформ, а также повысить осведомленность во всех Секторах в ходе работы крупных конференций.</w:t>
      </w:r>
    </w:p>
    <w:p w14:paraId="1DF86B70" w14:textId="77777777" w:rsidR="009B72AA" w:rsidRPr="00622235" w:rsidRDefault="009B72AA" w:rsidP="009B72AA">
      <w:pPr>
        <w:rPr>
          <w:rFonts w:eastAsiaTheme="minorEastAsia"/>
          <w:lang w:val="ru-RU"/>
        </w:rPr>
      </w:pPr>
      <w:r w:rsidRPr="00622235">
        <w:rPr>
          <w:lang w:val="ru-RU"/>
        </w:rPr>
        <w:t xml:space="preserve">Для содействия </w:t>
      </w:r>
      <w:r w:rsidRPr="00622235">
        <w:rPr>
          <w:u w:val="single"/>
          <w:lang w:val="ru-RU"/>
        </w:rPr>
        <w:t>укреплению общего участия членов</w:t>
      </w:r>
      <w:r w:rsidRPr="00622235">
        <w:rPr>
          <w:lang w:val="ru-RU"/>
        </w:rPr>
        <w:t xml:space="preserve"> рекомендуется следующее:</w:t>
      </w:r>
    </w:p>
    <w:p w14:paraId="5E3E6DAB" w14:textId="6334EC9E" w:rsidR="009B72AA" w:rsidRPr="00622235" w:rsidRDefault="009B72AA" w:rsidP="009B72AA">
      <w:pPr>
        <w:pStyle w:val="enumlev1"/>
        <w:rPr>
          <w:lang w:val="ru-RU"/>
        </w:rPr>
      </w:pPr>
      <w:r w:rsidRPr="00622235">
        <w:rPr>
          <w:lang w:val="ru-RU"/>
        </w:rPr>
        <w:t>8</w:t>
      </w:r>
      <w:r w:rsidRPr="00622235">
        <w:rPr>
          <w:lang w:val="ru-RU"/>
        </w:rPr>
        <w:tab/>
      </w:r>
      <w:r w:rsidRPr="00622235">
        <w:rPr>
          <w:lang w:val="ru-RU"/>
        </w:rPr>
        <w:t>Реализовать новые меры и системы для совершенствования координации управления счетами и обслуживания в масштабах всего МСЭ Государств-Членов, Членов Секторов, доноров и др. Это включает рассмотрение внутренних систем обеспечения как части плана трансформации – систем ИТ, создания потенциала и развития навыков персонала, упорядочения и модернизации финансовых и административных правил и процессов и пр.</w:t>
      </w:r>
    </w:p>
    <w:p w14:paraId="1C022BFD" w14:textId="080770F5" w:rsidR="009B72AA" w:rsidRPr="00622235" w:rsidRDefault="009B72AA" w:rsidP="009C4D96">
      <w:pPr>
        <w:pStyle w:val="Headingb"/>
        <w:ind w:left="794" w:hanging="794"/>
        <w:rPr>
          <w:lang w:val="ru-RU"/>
        </w:rPr>
      </w:pPr>
      <w:r w:rsidRPr="00622235">
        <w:rPr>
          <w:lang w:val="ru-RU"/>
        </w:rPr>
        <w:t>B</w:t>
      </w:r>
      <w:r w:rsidRPr="00622235">
        <w:rPr>
          <w:lang w:val="ru-RU"/>
        </w:rPr>
        <w:tab/>
        <w:t>Максимальное использование потенциала мероприятий, продуктов и услуг (~20</w:t>
      </w:r>
      <w:r w:rsidR="00004FAF" w:rsidRPr="00622235">
        <w:rPr>
          <w:lang w:val="ru-RU"/>
        </w:rPr>
        <w:t> </w:t>
      </w:r>
      <w:r w:rsidRPr="00622235">
        <w:rPr>
          <w:lang w:val="ru-RU"/>
        </w:rPr>
        <w:t>процентов регулярного бюджета МСЭ)</w:t>
      </w:r>
    </w:p>
    <w:p w14:paraId="1A5E4DD9" w14:textId="05F17CAA" w:rsidR="009B72AA" w:rsidRPr="00622235" w:rsidRDefault="009B72AA" w:rsidP="009B72AA">
      <w:pPr>
        <w:rPr>
          <w:lang w:val="ru-RU"/>
        </w:rPr>
      </w:pPr>
      <w:r w:rsidRPr="00622235">
        <w:rPr>
          <w:lang w:val="ru-RU"/>
        </w:rPr>
        <w:t>В ходе сессии в формате "мозгового штурма" РГС-ФЛР по мобилизации ресурсов Государства</w:t>
      </w:r>
      <w:r w:rsidR="00F632E2" w:rsidRPr="00622235">
        <w:rPr>
          <w:lang w:val="ru-RU"/>
        </w:rPr>
        <w:noBreakHyphen/>
      </w:r>
      <w:r w:rsidRPr="00622235">
        <w:rPr>
          <w:lang w:val="ru-RU"/>
        </w:rPr>
        <w:t>Члены обратились к Секретариату с просьбой рассмотреть мероприятия, продукты и услуги, включая затраты, доходы и пробелы, которые необходимо устранить.</w:t>
      </w:r>
    </w:p>
    <w:p w14:paraId="2EDD3581" w14:textId="26B2C457" w:rsidR="009B72AA" w:rsidRPr="00622235" w:rsidRDefault="009B72AA" w:rsidP="009B72AA">
      <w:pPr>
        <w:rPr>
          <w:lang w:val="ru-RU"/>
        </w:rPr>
      </w:pPr>
      <w:r w:rsidRPr="00622235">
        <w:rPr>
          <w:lang w:val="ru-RU"/>
        </w:rPr>
        <w:t xml:space="preserve">Для содействия более </w:t>
      </w:r>
      <w:r w:rsidRPr="00647D7D">
        <w:rPr>
          <w:u w:val="single"/>
          <w:lang w:val="ru-RU"/>
        </w:rPr>
        <w:t>эффективному использованию потенциала мероприятий</w:t>
      </w:r>
      <w:r w:rsidRPr="00622235">
        <w:rPr>
          <w:lang w:val="ru-RU"/>
        </w:rPr>
        <w:t xml:space="preserve"> рекомендуется следующее:</w:t>
      </w:r>
    </w:p>
    <w:p w14:paraId="775A6E20" w14:textId="32AEE39D" w:rsidR="009B72AA" w:rsidRPr="00622235" w:rsidRDefault="009B72AA" w:rsidP="009B72AA">
      <w:pPr>
        <w:pStyle w:val="enumlev1"/>
        <w:rPr>
          <w:lang w:val="ru-RU"/>
        </w:rPr>
      </w:pPr>
      <w:r w:rsidRPr="00622235">
        <w:rPr>
          <w:lang w:val="ru-RU"/>
        </w:rPr>
        <w:t>1</w:t>
      </w:r>
      <w:r w:rsidRPr="00622235">
        <w:rPr>
          <w:lang w:val="ru-RU"/>
        </w:rPr>
        <w:tab/>
      </w:r>
      <w:r w:rsidRPr="00622235">
        <w:rPr>
          <w:lang w:val="ru-RU"/>
        </w:rPr>
        <w:t>Оценить положение МСЭ на развивающемся рынке отраслевых мероприятий в рамках конкретных тематических сообществ для определения наиболее действенной стратегии, включая выявление областей для инвестиций и потенциала получения доходов.</w:t>
      </w:r>
    </w:p>
    <w:p w14:paraId="633FC0C7" w14:textId="7A5ED792" w:rsidR="009B72AA" w:rsidRPr="00622235" w:rsidRDefault="009B72AA" w:rsidP="009B72AA">
      <w:pPr>
        <w:pStyle w:val="enumlev1"/>
        <w:rPr>
          <w:lang w:val="ru-RU"/>
        </w:rPr>
      </w:pPr>
      <w:r w:rsidRPr="00622235">
        <w:rPr>
          <w:lang w:val="ru-RU"/>
        </w:rPr>
        <w:t>2</w:t>
      </w:r>
      <w:r w:rsidRPr="00622235">
        <w:rPr>
          <w:lang w:val="ru-RU"/>
        </w:rPr>
        <w:tab/>
      </w:r>
      <w:r w:rsidRPr="00622235">
        <w:rPr>
          <w:lang w:val="ru-RU"/>
        </w:rPr>
        <w:t>Использовать крупные мероприятия МСЭ, сформировавшие сообщества, представляющие общий интерес для членов и партнеров МСЭ, в целях создания более полного и более результативного ценностного предложения, в том числе использовать такие мероприятия в качестве платформы для многосторонних тематических инициатив.</w:t>
      </w:r>
    </w:p>
    <w:p w14:paraId="1FD37593" w14:textId="35BD1A83" w:rsidR="009B72AA" w:rsidRPr="00622235" w:rsidRDefault="009B72AA" w:rsidP="009B72AA">
      <w:pPr>
        <w:pStyle w:val="enumlev1"/>
        <w:rPr>
          <w:lang w:val="ru-RU"/>
        </w:rPr>
      </w:pPr>
      <w:r w:rsidRPr="00622235">
        <w:rPr>
          <w:lang w:val="ru-RU"/>
        </w:rPr>
        <w:t>3</w:t>
      </w:r>
      <w:r w:rsidRPr="00622235">
        <w:rPr>
          <w:lang w:val="ru-RU"/>
        </w:rPr>
        <w:tab/>
      </w:r>
      <w:r w:rsidRPr="00622235">
        <w:rPr>
          <w:lang w:val="ru-RU"/>
        </w:rPr>
        <w:t>Рассмотреть способы модернизации форматов мероприятий, включая группирование отдельных тем в разных мероприятиях и сокращение продолжительности/количества сессий в месте проведения, используя при этом преимущества новых цифровых инструментов и платформ для расширения участия и вовлеченности.</w:t>
      </w:r>
    </w:p>
    <w:p w14:paraId="0E5255BB" w14:textId="32942E0A" w:rsidR="009B72AA" w:rsidRPr="00622235" w:rsidRDefault="009B72AA" w:rsidP="009B72AA">
      <w:pPr>
        <w:rPr>
          <w:lang w:val="ru-RU"/>
        </w:rPr>
      </w:pPr>
      <w:r w:rsidRPr="00622235">
        <w:rPr>
          <w:lang w:val="ru-RU"/>
        </w:rPr>
        <w:t xml:space="preserve">Для содействия более </w:t>
      </w:r>
      <w:r w:rsidRPr="00647D7D">
        <w:rPr>
          <w:u w:val="single"/>
          <w:lang w:val="ru-RU"/>
        </w:rPr>
        <w:t>эффективному использованию потенциала продуктов и услуг</w:t>
      </w:r>
      <w:r w:rsidRPr="00622235">
        <w:rPr>
          <w:lang w:val="ru-RU"/>
        </w:rPr>
        <w:t xml:space="preserve"> рекомендуется:</w:t>
      </w:r>
    </w:p>
    <w:p w14:paraId="07AFABCC" w14:textId="22332183" w:rsidR="009B72AA" w:rsidRPr="00622235" w:rsidRDefault="009B72AA" w:rsidP="009B72AA">
      <w:pPr>
        <w:pStyle w:val="enumlev1"/>
        <w:rPr>
          <w:lang w:val="ru-RU"/>
        </w:rPr>
      </w:pPr>
      <w:r w:rsidRPr="00622235">
        <w:rPr>
          <w:lang w:val="ru-RU"/>
        </w:rPr>
        <w:t>4</w:t>
      </w:r>
      <w:r w:rsidRPr="00622235">
        <w:rPr>
          <w:lang w:val="ru-RU"/>
        </w:rPr>
        <w:tab/>
      </w:r>
      <w:r w:rsidRPr="00622235">
        <w:rPr>
          <w:lang w:val="ru-RU"/>
        </w:rPr>
        <w:t>Провести рассмотрение продуктов и услуг МСЭ (в том числе публикаций, программного обеспечения, баз данных и пр.), с тем чтобы методики возмещения затрат и получения доходов соответствовали развивающимся технологиям и условиям рынка.</w:t>
      </w:r>
    </w:p>
    <w:p w14:paraId="795E61CF" w14:textId="703D3B6E" w:rsidR="009B72AA" w:rsidRPr="00622235" w:rsidRDefault="009B72AA" w:rsidP="009B72AA">
      <w:pPr>
        <w:pStyle w:val="enumlev1"/>
        <w:rPr>
          <w:lang w:val="ru-RU"/>
        </w:rPr>
      </w:pPr>
      <w:r w:rsidRPr="00622235">
        <w:rPr>
          <w:lang w:val="ru-RU"/>
        </w:rPr>
        <w:t>5</w:t>
      </w:r>
      <w:r w:rsidRPr="00622235">
        <w:rPr>
          <w:lang w:val="ru-RU"/>
        </w:rPr>
        <w:tab/>
      </w:r>
      <w:r w:rsidRPr="00622235">
        <w:rPr>
          <w:lang w:val="ru-RU"/>
        </w:rPr>
        <w:t>Проанализировать показатели работы и потенциальную доходность этих продуктов и услуг и рассмотреть потенциальные усовершенствования, а также новые продукты</w:t>
      </w:r>
      <w:r w:rsidR="00F632E2" w:rsidRPr="00622235">
        <w:rPr>
          <w:lang w:val="ru-RU"/>
        </w:rPr>
        <w:t> </w:t>
      </w:r>
      <w:r w:rsidRPr="00622235">
        <w:rPr>
          <w:lang w:val="ru-RU"/>
        </w:rPr>
        <w:t>и</w:t>
      </w:r>
      <w:r w:rsidR="00F632E2" w:rsidRPr="00622235">
        <w:rPr>
          <w:lang w:val="ru-RU"/>
        </w:rPr>
        <w:t> </w:t>
      </w:r>
      <w:r w:rsidRPr="00622235">
        <w:rPr>
          <w:lang w:val="ru-RU"/>
        </w:rPr>
        <w:t>услуги.</w:t>
      </w:r>
    </w:p>
    <w:p w14:paraId="34DB44F3" w14:textId="4EDFE071" w:rsidR="009B72AA" w:rsidRPr="00622235" w:rsidRDefault="009B72AA" w:rsidP="009B72AA">
      <w:pPr>
        <w:pStyle w:val="enumlev1"/>
        <w:rPr>
          <w:lang w:val="ru-RU"/>
        </w:rPr>
      </w:pPr>
      <w:r w:rsidRPr="00622235">
        <w:rPr>
          <w:lang w:val="ru-RU"/>
        </w:rPr>
        <w:lastRenderedPageBreak/>
        <w:t>6</w:t>
      </w:r>
      <w:r w:rsidRPr="00622235">
        <w:rPr>
          <w:lang w:val="ru-RU"/>
        </w:rPr>
        <w:tab/>
      </w:r>
      <w:r w:rsidRPr="00622235">
        <w:rPr>
          <w:lang w:val="ru-RU"/>
        </w:rPr>
        <w:t>Рассмотреть внутренние извлеченные уроки, такие как увязка продуктов/услуг с преимуществами членов, например опыт работы ИК2 МСЭ-Т по нумерации.</w:t>
      </w:r>
    </w:p>
    <w:p w14:paraId="5AF0F6C4" w14:textId="3530F783" w:rsidR="009B72AA" w:rsidRPr="00622235" w:rsidRDefault="009B72AA" w:rsidP="009B72AA">
      <w:pPr>
        <w:pStyle w:val="enumlev1"/>
        <w:rPr>
          <w:lang w:val="ru-RU"/>
        </w:rPr>
      </w:pPr>
      <w:r w:rsidRPr="00622235">
        <w:rPr>
          <w:lang w:val="ru-RU"/>
        </w:rPr>
        <w:t>7</w:t>
      </w:r>
      <w:r w:rsidRPr="00622235">
        <w:rPr>
          <w:lang w:val="ru-RU"/>
        </w:rPr>
        <w:tab/>
      </w:r>
      <w:r w:rsidRPr="00622235">
        <w:rPr>
          <w:lang w:val="ru-RU"/>
        </w:rPr>
        <w:t>Рассмотреть внешние модели, применяемые в других учреждениях ООН, включая, среди прочего, ВОИС.</w:t>
      </w:r>
    </w:p>
    <w:p w14:paraId="6937AAE5" w14:textId="74E1E29B" w:rsidR="009B72AA" w:rsidRPr="00622235" w:rsidRDefault="009B72AA" w:rsidP="009B72AA">
      <w:pPr>
        <w:pStyle w:val="Headingb"/>
        <w:rPr>
          <w:lang w:val="ru-RU"/>
        </w:rPr>
      </w:pPr>
      <w:r w:rsidRPr="00622235">
        <w:rPr>
          <w:lang w:val="ru-RU"/>
        </w:rPr>
        <w:t>C</w:t>
      </w:r>
      <w:r w:rsidRPr="00622235">
        <w:rPr>
          <w:lang w:val="ru-RU"/>
        </w:rPr>
        <w:tab/>
        <w:t>Увеличение объемов добровольных взносов (внебюджетное финансирование)</w:t>
      </w:r>
    </w:p>
    <w:p w14:paraId="17A41066" w14:textId="2DA7C15E" w:rsidR="009B72AA" w:rsidRPr="00622235" w:rsidRDefault="009B72AA" w:rsidP="009B72AA">
      <w:pPr>
        <w:rPr>
          <w:rFonts w:eastAsia="Calibri"/>
          <w:color w:val="000000" w:themeColor="text1"/>
          <w:lang w:val="ru-RU"/>
        </w:rPr>
      </w:pPr>
      <w:r w:rsidRPr="00622235">
        <w:rPr>
          <w:lang w:val="ru-RU"/>
        </w:rPr>
        <w:t>В ходе сессии в формате "мозгового штурма" РГС-ФЛР по мобилизации ресурсов Государства</w:t>
      </w:r>
      <w:r w:rsidR="00004FAF" w:rsidRPr="00622235">
        <w:rPr>
          <w:lang w:val="ru-RU"/>
        </w:rPr>
        <w:noBreakHyphen/>
      </w:r>
      <w:r w:rsidRPr="00622235">
        <w:rPr>
          <w:lang w:val="ru-RU"/>
        </w:rPr>
        <w:t>Члены обратились к секретариату с просьбой четко указать, почему МСЭ пытается привлечь дополнительные средства. Это позволит Союзу определить четкие цели и затем сосредоточиться на приоритетах членов и доноров, которые соответствуют региональным или национальным потребностям. В связи с этим они предложили МСЭ представить донорам конкретное ценностное предложение, в котором освещается результативность его работы.</w:t>
      </w:r>
    </w:p>
    <w:p w14:paraId="0C15E08A" w14:textId="77777777" w:rsidR="009B72AA" w:rsidRPr="00622235" w:rsidRDefault="009B72AA" w:rsidP="009B72AA">
      <w:pPr>
        <w:rPr>
          <w:lang w:val="ru-RU"/>
        </w:rPr>
      </w:pPr>
      <w:r w:rsidRPr="00622235">
        <w:rPr>
          <w:lang w:val="ru-RU"/>
        </w:rPr>
        <w:t xml:space="preserve">Для содействия </w:t>
      </w:r>
      <w:r w:rsidRPr="00647D7D">
        <w:rPr>
          <w:u w:val="single"/>
          <w:lang w:val="ru-RU"/>
        </w:rPr>
        <w:t>увеличению добровольных взносов</w:t>
      </w:r>
      <w:r w:rsidRPr="00622235">
        <w:rPr>
          <w:lang w:val="ru-RU"/>
        </w:rPr>
        <w:t xml:space="preserve"> рекомендуется следующее:</w:t>
      </w:r>
    </w:p>
    <w:p w14:paraId="3E53CC8C" w14:textId="1877B045" w:rsidR="009B72AA" w:rsidRPr="00622235" w:rsidRDefault="009B72AA" w:rsidP="009B72AA">
      <w:pPr>
        <w:pStyle w:val="enumlev1"/>
        <w:rPr>
          <w:rFonts w:eastAsia="Calibri"/>
          <w:color w:val="000000" w:themeColor="text1"/>
          <w:lang w:val="ru-RU"/>
        </w:rPr>
      </w:pPr>
      <w:r w:rsidRPr="00622235">
        <w:rPr>
          <w:lang w:val="ru-RU"/>
        </w:rPr>
        <w:t>1</w:t>
      </w:r>
      <w:r w:rsidRPr="00622235">
        <w:rPr>
          <w:lang w:val="ru-RU"/>
        </w:rPr>
        <w:tab/>
      </w:r>
      <w:r w:rsidRPr="00622235">
        <w:rPr>
          <w:lang w:val="ru-RU"/>
        </w:rPr>
        <w:t>Общим обоснованием для привлечения добровольных взносов является расширение возможностей секретариата по ведению работ в приоритетных областях, определенных Государствами – Членами Союза, которые не могут быть в полной мере выполнены за счет регулярного бюджета. Для каждой основной приоритетной области, такой как региональные инициативы, здание штаб-квартиры МСЭ, проекты, тематические инициативы в масштабах МСЭ и т. д. следует определить конкретные задачи и необходимое финансирование.</w:t>
      </w:r>
    </w:p>
    <w:p w14:paraId="2FDAFC77" w14:textId="47D449BA" w:rsidR="009B72AA" w:rsidRPr="00622235" w:rsidRDefault="009B72AA" w:rsidP="009B72AA">
      <w:pPr>
        <w:pStyle w:val="enumlev1"/>
        <w:rPr>
          <w:lang w:val="ru-RU"/>
        </w:rPr>
      </w:pPr>
      <w:r w:rsidRPr="00622235">
        <w:rPr>
          <w:lang w:val="ru-RU"/>
        </w:rPr>
        <w:t>2</w:t>
      </w:r>
      <w:r w:rsidRPr="00622235">
        <w:rPr>
          <w:lang w:val="ru-RU"/>
        </w:rPr>
        <w:tab/>
      </w:r>
      <w:r w:rsidRPr="00622235">
        <w:rPr>
          <w:lang w:val="ru-RU"/>
        </w:rPr>
        <w:t xml:space="preserve">В рамках нового ценностного предложения для потенциальных доноров разрабатывать и пропагандировать тематические инициативы всего МСЭ с многолетними обязательствами для дополнения деятельности, финансируемой из регулярного бюджета. Для начала работы в 2024 году МСЭ проводит пробные испытания тематических инициатив "Зеленая цифровая кампания" и "ИИ во благо". Подробную информацию см. в </w:t>
      </w:r>
      <w:hyperlink w:anchor="Annex" w:history="1">
        <w:r w:rsidRPr="00622235">
          <w:rPr>
            <w:rStyle w:val="Hyperlink"/>
            <w:rFonts w:asciiTheme="minorHAnsi" w:hAnsiTheme="minorHAnsi" w:cstheme="minorHAnsi"/>
            <w:szCs w:val="24"/>
            <w:lang w:val="ru-RU"/>
          </w:rPr>
          <w:t>Прилож</w:t>
        </w:r>
        <w:r w:rsidRPr="00622235">
          <w:rPr>
            <w:rStyle w:val="Hyperlink"/>
            <w:rFonts w:asciiTheme="minorHAnsi" w:hAnsiTheme="minorHAnsi" w:cstheme="minorHAnsi"/>
            <w:szCs w:val="24"/>
            <w:lang w:val="ru-RU"/>
          </w:rPr>
          <w:t>е</w:t>
        </w:r>
        <w:r w:rsidRPr="00622235">
          <w:rPr>
            <w:rStyle w:val="Hyperlink"/>
            <w:rFonts w:asciiTheme="minorHAnsi" w:hAnsiTheme="minorHAnsi" w:cstheme="minorHAnsi"/>
            <w:szCs w:val="24"/>
            <w:lang w:val="ru-RU"/>
          </w:rPr>
          <w:t>нии</w:t>
        </w:r>
      </w:hyperlink>
      <w:r w:rsidRPr="00622235">
        <w:rPr>
          <w:lang w:val="ru-RU"/>
        </w:rPr>
        <w:t>.</w:t>
      </w:r>
    </w:p>
    <w:p w14:paraId="7F142064" w14:textId="0EA43CE6" w:rsidR="009B72AA" w:rsidRPr="00622235" w:rsidRDefault="009B72AA" w:rsidP="009B72AA">
      <w:pPr>
        <w:pStyle w:val="enumlev1"/>
        <w:rPr>
          <w:rFonts w:eastAsia="Calibri"/>
          <w:lang w:val="ru-RU"/>
        </w:rPr>
      </w:pPr>
      <w:r w:rsidRPr="00622235">
        <w:rPr>
          <w:lang w:val="ru-RU"/>
        </w:rPr>
        <w:t>3</w:t>
      </w:r>
      <w:r w:rsidRPr="00622235">
        <w:rPr>
          <w:lang w:val="ru-RU"/>
        </w:rPr>
        <w:tab/>
      </w:r>
      <w:r w:rsidRPr="00622235">
        <w:rPr>
          <w:lang w:val="ru-RU"/>
        </w:rPr>
        <w:t>Укреплять координацию в рамках МСЭ в области информационно-пропагандистской деятельности с партнерами и донорами, используя новые системы для расширения участия и вовлечения.</w:t>
      </w:r>
    </w:p>
    <w:p w14:paraId="422BA140" w14:textId="01FC5B1D" w:rsidR="009B72AA" w:rsidRPr="00622235" w:rsidRDefault="009B72AA" w:rsidP="009B72AA">
      <w:pPr>
        <w:pStyle w:val="enumlev1"/>
        <w:rPr>
          <w:lang w:val="ru-RU"/>
        </w:rPr>
      </w:pPr>
      <w:r w:rsidRPr="00622235">
        <w:rPr>
          <w:lang w:val="ru-RU"/>
        </w:rPr>
        <w:t>4</w:t>
      </w:r>
      <w:r w:rsidRPr="00622235">
        <w:rPr>
          <w:lang w:val="ru-RU"/>
        </w:rPr>
        <w:tab/>
      </w:r>
      <w:r w:rsidRPr="00622235">
        <w:rPr>
          <w:lang w:val="ru-RU"/>
        </w:rPr>
        <w:t>Сотрудничать с Государствами-Членами в целях охвата новых потенциальных партнеров и доноров, включая другие правительственные министерства и учреждения, занимающиеся вопросами развития, а также фонды. Кроме того, изучить вопрос о возможном сотрудничестве с банками развития.</w:t>
      </w:r>
    </w:p>
    <w:p w14:paraId="1ED5F715" w14:textId="3998A7F1" w:rsidR="009B72AA" w:rsidRPr="00622235" w:rsidRDefault="009B72AA" w:rsidP="009B72AA">
      <w:pPr>
        <w:pStyle w:val="enumlev1"/>
        <w:rPr>
          <w:lang w:val="ru-RU"/>
        </w:rPr>
      </w:pPr>
      <w:r w:rsidRPr="00622235">
        <w:rPr>
          <w:lang w:val="ru-RU"/>
        </w:rPr>
        <w:t>5</w:t>
      </w:r>
      <w:r w:rsidRPr="00622235">
        <w:rPr>
          <w:lang w:val="ru-RU"/>
        </w:rPr>
        <w:tab/>
      </w:r>
      <w:r w:rsidRPr="00622235">
        <w:rPr>
          <w:lang w:val="ru-RU"/>
        </w:rPr>
        <w:t>Укреплять потенциал по сбору средств и реализации проектов в рамках плана трансформации МСЭ. Это поможет укрепить доверие доноров и партнеров.</w:t>
      </w:r>
    </w:p>
    <w:p w14:paraId="1174AA83" w14:textId="59051ACF" w:rsidR="009B72AA" w:rsidRPr="00622235" w:rsidRDefault="009B72AA" w:rsidP="009B72AA">
      <w:pPr>
        <w:pStyle w:val="enumlev1"/>
        <w:rPr>
          <w:lang w:val="ru-RU"/>
        </w:rPr>
      </w:pPr>
      <w:r w:rsidRPr="00622235">
        <w:rPr>
          <w:lang w:val="ru-RU"/>
        </w:rPr>
        <w:t>6</w:t>
      </w:r>
      <w:r w:rsidRPr="00622235">
        <w:rPr>
          <w:lang w:val="ru-RU"/>
        </w:rPr>
        <w:tab/>
      </w:r>
      <w:r w:rsidRPr="00622235">
        <w:rPr>
          <w:lang w:val="ru-RU"/>
        </w:rPr>
        <w:t>Поощрять и признавать вклады в натуральной форме от Государств-Членов и других партнеров, такие как прикомандирование экспертов, предоставление оборудования</w:t>
      </w:r>
      <w:r w:rsidR="00004FAF" w:rsidRPr="00622235">
        <w:rPr>
          <w:lang w:val="ru-RU"/>
        </w:rPr>
        <w:t> </w:t>
      </w:r>
      <w:r w:rsidRPr="00622235">
        <w:rPr>
          <w:lang w:val="ru-RU"/>
        </w:rPr>
        <w:t>и</w:t>
      </w:r>
      <w:r w:rsidR="00004FAF" w:rsidRPr="00622235">
        <w:rPr>
          <w:lang w:val="ru-RU"/>
        </w:rPr>
        <w:t> </w:t>
      </w:r>
      <w:r w:rsidRPr="00622235">
        <w:rPr>
          <w:lang w:val="ru-RU"/>
        </w:rPr>
        <w:t>услуг.</w:t>
      </w:r>
    </w:p>
    <w:p w14:paraId="43BE1AD0" w14:textId="36C893A1" w:rsidR="009B72AA" w:rsidRPr="00622235" w:rsidRDefault="009B72AA" w:rsidP="009B72AA">
      <w:pPr>
        <w:pStyle w:val="enumlev1"/>
        <w:rPr>
          <w:lang w:val="ru-RU"/>
        </w:rPr>
      </w:pPr>
      <w:r w:rsidRPr="00622235">
        <w:rPr>
          <w:lang w:val="ru-RU"/>
        </w:rPr>
        <w:t>7</w:t>
      </w:r>
      <w:r w:rsidRPr="00622235">
        <w:rPr>
          <w:lang w:val="ru-RU"/>
        </w:rPr>
        <w:tab/>
      </w:r>
      <w:r w:rsidRPr="00622235">
        <w:rPr>
          <w:lang w:val="ru-RU"/>
        </w:rPr>
        <w:t>Изучить возможность увеличения минимального порога для спонсорских/добровольных взносов, с тем чтобы включить в них внутренние административные расходы/расходы по персоналу, связанные с их обработкой.</w:t>
      </w:r>
    </w:p>
    <w:p w14:paraId="6F177261" w14:textId="0AC2F559" w:rsidR="009B72AA" w:rsidRPr="00622235" w:rsidRDefault="009B72AA" w:rsidP="009B72AA">
      <w:pPr>
        <w:pStyle w:val="Heading1"/>
        <w:rPr>
          <w:lang w:val="ru-RU"/>
        </w:rPr>
      </w:pPr>
      <w:r w:rsidRPr="00622235">
        <w:rPr>
          <w:lang w:val="ru-RU"/>
        </w:rPr>
        <w:t>3</w:t>
      </w:r>
      <w:r w:rsidRPr="00622235">
        <w:rPr>
          <w:lang w:val="ru-RU"/>
        </w:rPr>
        <w:tab/>
        <w:t>Следующие шаги и действия, запланированные секретариатом</w:t>
      </w:r>
    </w:p>
    <w:p w14:paraId="1ED3A126" w14:textId="0C853BB9" w:rsidR="009B72AA" w:rsidRPr="00622235" w:rsidRDefault="009B72AA" w:rsidP="00004FAF">
      <w:pPr>
        <w:rPr>
          <w:rFonts w:asciiTheme="minorHAnsi" w:hAnsiTheme="minorHAnsi" w:cstheme="minorHAnsi"/>
          <w:b/>
          <w:bCs/>
          <w:szCs w:val="24"/>
          <w:lang w:val="ru-RU"/>
        </w:rPr>
      </w:pPr>
      <w:r w:rsidRPr="00622235">
        <w:rPr>
          <w:lang w:val="ru-RU"/>
        </w:rPr>
        <w:t xml:space="preserve">Совету предлагается </w:t>
      </w:r>
      <w:r w:rsidRPr="00622235">
        <w:rPr>
          <w:b/>
          <w:bCs/>
          <w:lang w:val="ru-RU"/>
        </w:rPr>
        <w:t>принять к сведению</w:t>
      </w:r>
      <w:r w:rsidRPr="00622235">
        <w:rPr>
          <w:lang w:val="ru-RU"/>
        </w:rPr>
        <w:t xml:space="preserve"> настоящий документ и представить отзывы о различных предлагаемых мерах. Секретариат создал внутреннюю целевую группу по мобилизации ресурсов в масштабах всего МСЭ для координации разработки и осуществления стратегии мобилизации ресурсов.</w:t>
      </w:r>
      <w:r w:rsidR="00004FAF" w:rsidRPr="00622235">
        <w:rPr>
          <w:lang w:val="ru-RU"/>
        </w:rPr>
        <w:t xml:space="preserve"> </w:t>
      </w:r>
      <w:r w:rsidRPr="00622235">
        <w:rPr>
          <w:rFonts w:asciiTheme="minorHAnsi" w:hAnsiTheme="minorHAnsi" w:cstheme="minorHAnsi"/>
          <w:b/>
          <w:bCs/>
          <w:szCs w:val="24"/>
          <w:lang w:val="ru-RU"/>
        </w:rPr>
        <w:br w:type="page"/>
      </w:r>
    </w:p>
    <w:p w14:paraId="37D9EAF9" w14:textId="77777777" w:rsidR="009B72AA" w:rsidRPr="00622235" w:rsidRDefault="009B72AA" w:rsidP="009B72AA">
      <w:pPr>
        <w:pStyle w:val="AnnexNo"/>
        <w:rPr>
          <w:lang w:val="ru-RU"/>
        </w:rPr>
      </w:pPr>
      <w:bookmarkStart w:id="7" w:name="Annex"/>
      <w:r w:rsidRPr="00622235">
        <w:rPr>
          <w:lang w:val="ru-RU"/>
        </w:rPr>
        <w:lastRenderedPageBreak/>
        <w:t>ПРИЛОЖЕНИЕ</w:t>
      </w:r>
      <w:bookmarkEnd w:id="7"/>
    </w:p>
    <w:p w14:paraId="3E1826D4" w14:textId="79FAD45F" w:rsidR="009B72AA" w:rsidRPr="00622235" w:rsidRDefault="009B72AA" w:rsidP="009B72AA">
      <w:pPr>
        <w:pStyle w:val="Annextitle"/>
        <w:rPr>
          <w:lang w:val="ru-RU"/>
        </w:rPr>
      </w:pPr>
      <w:r w:rsidRPr="00622235">
        <w:rPr>
          <w:lang w:val="ru-RU"/>
        </w:rPr>
        <w:t xml:space="preserve">Тематические инициативы – система позиционирования </w:t>
      </w:r>
      <w:r w:rsidRPr="00622235">
        <w:rPr>
          <w:lang w:val="ru-RU"/>
        </w:rPr>
        <w:br/>
      </w:r>
      <w:r w:rsidRPr="00622235">
        <w:rPr>
          <w:lang w:val="ru-RU"/>
        </w:rPr>
        <w:t>в масштабах всего МСЭ</w:t>
      </w:r>
    </w:p>
    <w:p w14:paraId="3F965AB9" w14:textId="49F9CE53" w:rsidR="009B72AA" w:rsidRPr="00622235" w:rsidRDefault="009B72AA" w:rsidP="009B72AA">
      <w:pPr>
        <w:rPr>
          <w:lang w:val="ru-RU"/>
        </w:rPr>
      </w:pPr>
      <w:r w:rsidRPr="00622235">
        <w:rPr>
          <w:lang w:val="ru-RU"/>
        </w:rPr>
        <w:t xml:space="preserve">На основании анализа, упомянутого в разделе 2.3, секретариат МСЭ и BCG совместно усовершенствовали основанную на тематических приоритетах структуру формирования концепции для всего МСЭ в соответствии с задачами Стратегического плана МСЭ, с тем чтобы обеспечить согласованный способ разъяснения ценностного предложения МСЭ потенциальным партнерам или донорам. Структура формирования концепции всего МСЭ опирается на уже продемонстрированные возможности МСЭ. В </w:t>
      </w:r>
      <w:r w:rsidR="00F632E2" w:rsidRPr="00622235">
        <w:rPr>
          <w:lang w:val="ru-RU"/>
        </w:rPr>
        <w:t xml:space="preserve">таблице </w:t>
      </w:r>
      <w:r w:rsidRPr="00622235">
        <w:rPr>
          <w:lang w:val="ru-RU"/>
        </w:rPr>
        <w:t>2, ниже, показано применение этой структуры на примере инициативы "Зеленая цифровая кампания".</w:t>
      </w:r>
    </w:p>
    <w:p w14:paraId="39EB8179" w14:textId="77777777" w:rsidR="009B72AA" w:rsidRPr="00622235" w:rsidRDefault="009B72AA" w:rsidP="009B72AA">
      <w:pPr>
        <w:pStyle w:val="TableNo"/>
        <w:rPr>
          <w:lang w:val="ru-RU"/>
        </w:rPr>
      </w:pPr>
      <w:r w:rsidRPr="00622235">
        <w:rPr>
          <w:lang w:val="ru-RU"/>
        </w:rPr>
        <w:t>Таблица 2</w:t>
      </w:r>
    </w:p>
    <w:p w14:paraId="06233E88" w14:textId="1FF476CD" w:rsidR="009B72AA" w:rsidRPr="00622235" w:rsidRDefault="009B72AA" w:rsidP="00004FAF">
      <w:pPr>
        <w:pStyle w:val="Figure"/>
        <w:rPr>
          <w:lang w:val="ru-RU"/>
        </w:rPr>
      </w:pPr>
      <w:r w:rsidRPr="00622235">
        <w:rPr>
          <w:b/>
          <w:lang w:val="ru-RU"/>
        </w:rPr>
        <w:t xml:space="preserve">Применение структуры формирования концепции для всего МСЭ к инициативе </w:t>
      </w:r>
      <w:r w:rsidR="00935A91" w:rsidRPr="00622235">
        <w:rPr>
          <w:b/>
          <w:lang w:val="ru-RU"/>
        </w:rPr>
        <w:br/>
      </w:r>
      <w:r w:rsidRPr="00622235">
        <w:rPr>
          <w:b/>
          <w:lang w:val="ru-RU"/>
        </w:rPr>
        <w:t>"Зеленая цифровая кампания"</w:t>
      </w:r>
    </w:p>
    <w:p w14:paraId="3A1B301B" w14:textId="26934A14" w:rsidR="00004FAF" w:rsidRPr="00622235" w:rsidRDefault="00935A91" w:rsidP="00935A91">
      <w:pPr>
        <w:pStyle w:val="Figure"/>
        <w:rPr>
          <w:lang w:val="ru-RU"/>
        </w:rPr>
      </w:pPr>
      <w:r w:rsidRPr="00622235">
        <w:rPr>
          <w:lang w:val="ru-RU"/>
        </w:rPr>
        <w:drawing>
          <wp:inline distT="0" distB="0" distL="0" distR="0" wp14:anchorId="2334A1C4" wp14:editId="78A51719">
            <wp:extent cx="6096635" cy="3429000"/>
            <wp:effectExtent l="0" t="0" r="0" b="0"/>
            <wp:docPr id="516221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9368" cy="3430537"/>
                    </a:xfrm>
                    <a:prstGeom prst="rect">
                      <a:avLst/>
                    </a:prstGeom>
                    <a:noFill/>
                  </pic:spPr>
                </pic:pic>
              </a:graphicData>
            </a:graphic>
          </wp:inline>
        </w:drawing>
      </w:r>
    </w:p>
    <w:p w14:paraId="2293F762" w14:textId="77777777" w:rsidR="00004FAF" w:rsidRPr="00622235" w:rsidRDefault="00004FAF" w:rsidP="00004FAF">
      <w:pPr>
        <w:spacing w:before="720"/>
        <w:jc w:val="center"/>
        <w:rPr>
          <w:lang w:val="ru-RU"/>
        </w:rPr>
      </w:pPr>
      <w:r w:rsidRPr="00622235">
        <w:rPr>
          <w:lang w:val="ru-RU"/>
        </w:rPr>
        <w:t>______________</w:t>
      </w:r>
    </w:p>
    <w:sectPr w:rsidR="00004FAF" w:rsidRPr="00622235" w:rsidSect="00796BD3">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CCC4" w14:textId="77777777" w:rsidR="009B72AA" w:rsidRDefault="009B72AA">
      <w:r>
        <w:separator/>
      </w:r>
    </w:p>
  </w:endnote>
  <w:endnote w:type="continuationSeparator" w:id="0">
    <w:p w14:paraId="0717EDF0" w14:textId="77777777" w:rsidR="009B72AA" w:rsidRDefault="009B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0DCAC5A1" w14:textId="77777777" w:rsidTr="00E31DCE">
      <w:trPr>
        <w:jc w:val="center"/>
      </w:trPr>
      <w:tc>
        <w:tcPr>
          <w:tcW w:w="1803" w:type="dxa"/>
          <w:vAlign w:val="center"/>
        </w:tcPr>
        <w:p w14:paraId="443F5D84" w14:textId="00A27394" w:rsidR="00672F8A" w:rsidRDefault="00672F8A" w:rsidP="00672F8A">
          <w:pPr>
            <w:pStyle w:val="Header"/>
            <w:jc w:val="left"/>
            <w:rPr>
              <w:noProof/>
            </w:rPr>
          </w:pPr>
        </w:p>
      </w:tc>
      <w:tc>
        <w:tcPr>
          <w:tcW w:w="8261" w:type="dxa"/>
        </w:tcPr>
        <w:p w14:paraId="4DF36732" w14:textId="1C98DDBB"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B508D4">
            <w:rPr>
              <w:bCs/>
            </w:rPr>
            <w:t>70</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370C6A82"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192DF16C" w14:textId="77777777" w:rsidTr="00E31DCE">
      <w:trPr>
        <w:jc w:val="center"/>
      </w:trPr>
      <w:tc>
        <w:tcPr>
          <w:tcW w:w="1803" w:type="dxa"/>
          <w:vAlign w:val="center"/>
        </w:tcPr>
        <w:p w14:paraId="529C0490" w14:textId="77777777" w:rsidR="00672F8A" w:rsidRDefault="00672F8A" w:rsidP="00672F8A">
          <w:pPr>
            <w:pStyle w:val="Header"/>
            <w:jc w:val="left"/>
            <w:rPr>
              <w:noProof/>
            </w:rPr>
          </w:pPr>
          <w:r w:rsidRPr="00660449">
            <w:rPr>
              <w:color w:val="0563C1"/>
              <w:szCs w:val="14"/>
            </w:rPr>
            <w:t>www.itu.int/council</w:t>
          </w:r>
        </w:p>
      </w:tc>
      <w:tc>
        <w:tcPr>
          <w:tcW w:w="8261" w:type="dxa"/>
        </w:tcPr>
        <w:p w14:paraId="4667DA49" w14:textId="03A04649"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B508D4">
            <w:rPr>
              <w:bCs/>
            </w:rPr>
            <w:t>70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129379FA"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3EC0" w14:textId="77777777" w:rsidR="009B72AA" w:rsidRDefault="009B72AA">
      <w:r>
        <w:t>____________________</w:t>
      </w:r>
    </w:p>
  </w:footnote>
  <w:footnote w:type="continuationSeparator" w:id="0">
    <w:p w14:paraId="41F7E6B0" w14:textId="77777777" w:rsidR="009B72AA" w:rsidRDefault="009B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7DB06FFF" w14:textId="77777777" w:rsidTr="00E31DCE">
      <w:trPr>
        <w:trHeight w:val="1104"/>
        <w:jc w:val="center"/>
      </w:trPr>
      <w:tc>
        <w:tcPr>
          <w:tcW w:w="4390" w:type="dxa"/>
          <w:vAlign w:val="center"/>
        </w:tcPr>
        <w:p w14:paraId="3CBDC9B8" w14:textId="77777777" w:rsidR="00796BD3" w:rsidRPr="009621F8" w:rsidRDefault="00660449" w:rsidP="00796BD3">
          <w:pPr>
            <w:pStyle w:val="Header"/>
            <w:jc w:val="left"/>
            <w:rPr>
              <w:rFonts w:ascii="Arial" w:hAnsi="Arial" w:cs="Arial"/>
              <w:b/>
              <w:bCs/>
              <w:color w:val="009CD6"/>
              <w:sz w:val="36"/>
              <w:szCs w:val="36"/>
            </w:rPr>
          </w:pPr>
          <w:bookmarkStart w:id="8" w:name="_Hlk133422111"/>
          <w:r>
            <w:rPr>
              <w:noProof/>
            </w:rPr>
            <w:drawing>
              <wp:inline distT="0" distB="0" distL="0" distR="0" wp14:anchorId="412D85EF" wp14:editId="0A77FDD7">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57F05B81" w14:textId="77777777" w:rsidR="00796BD3" w:rsidRDefault="00796BD3" w:rsidP="00796BD3">
          <w:pPr>
            <w:pStyle w:val="Header"/>
            <w:jc w:val="right"/>
            <w:rPr>
              <w:rFonts w:ascii="Arial" w:hAnsi="Arial" w:cs="Arial"/>
              <w:b/>
              <w:bCs/>
              <w:color w:val="009CD6"/>
              <w:szCs w:val="18"/>
            </w:rPr>
          </w:pPr>
        </w:p>
        <w:p w14:paraId="3AF33E87" w14:textId="77777777" w:rsidR="00796BD3" w:rsidRDefault="00796BD3" w:rsidP="00796BD3">
          <w:pPr>
            <w:pStyle w:val="Header"/>
            <w:jc w:val="right"/>
            <w:rPr>
              <w:rFonts w:ascii="Arial" w:hAnsi="Arial" w:cs="Arial"/>
              <w:b/>
              <w:bCs/>
              <w:color w:val="009CD6"/>
              <w:szCs w:val="18"/>
            </w:rPr>
          </w:pPr>
        </w:p>
        <w:p w14:paraId="20B292A4"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74C58258"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851D6AE" wp14:editId="36A5A62E">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88C35"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E649C"/>
    <w:multiLevelType w:val="hybridMultilevel"/>
    <w:tmpl w:val="D1D2E094"/>
    <w:lvl w:ilvl="0" w:tplc="0409000F">
      <w:start w:val="1"/>
      <w:numFmt w:val="decimal"/>
      <w:lvlText w:val="%1."/>
      <w:lvlJc w:val="left"/>
      <w:pPr>
        <w:ind w:left="704" w:hanging="42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D6F458D"/>
    <w:multiLevelType w:val="hybridMultilevel"/>
    <w:tmpl w:val="69CE8F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121030D"/>
    <w:multiLevelType w:val="hybridMultilevel"/>
    <w:tmpl w:val="60AC30C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99E700D"/>
    <w:multiLevelType w:val="hybridMultilevel"/>
    <w:tmpl w:val="66240A7A"/>
    <w:lvl w:ilvl="0" w:tplc="FFFFFFFF">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B025AC1"/>
    <w:multiLevelType w:val="hybridMultilevel"/>
    <w:tmpl w:val="F4CE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93786">
    <w:abstractNumId w:val="0"/>
  </w:num>
  <w:num w:numId="2" w16cid:durableId="1333994702">
    <w:abstractNumId w:val="5"/>
  </w:num>
  <w:num w:numId="3" w16cid:durableId="835456268">
    <w:abstractNumId w:val="1"/>
  </w:num>
  <w:num w:numId="4" w16cid:durableId="1960647959">
    <w:abstractNumId w:val="2"/>
  </w:num>
  <w:num w:numId="5" w16cid:durableId="1147361203">
    <w:abstractNumId w:val="4"/>
  </w:num>
  <w:num w:numId="6" w16cid:durableId="1996031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4FAF"/>
    <w:rsid w:val="00005BE0"/>
    <w:rsid w:val="0002183E"/>
    <w:rsid w:val="000569B4"/>
    <w:rsid w:val="00080E82"/>
    <w:rsid w:val="000B2DE7"/>
    <w:rsid w:val="000E568E"/>
    <w:rsid w:val="0014734F"/>
    <w:rsid w:val="0015710D"/>
    <w:rsid w:val="00163A32"/>
    <w:rsid w:val="00165D06"/>
    <w:rsid w:val="00192B41"/>
    <w:rsid w:val="001B7B09"/>
    <w:rsid w:val="001E6719"/>
    <w:rsid w:val="001E7F50"/>
    <w:rsid w:val="00225368"/>
    <w:rsid w:val="00227FF0"/>
    <w:rsid w:val="00291EB6"/>
    <w:rsid w:val="002D2F57"/>
    <w:rsid w:val="002D48C5"/>
    <w:rsid w:val="0033025A"/>
    <w:rsid w:val="003F099E"/>
    <w:rsid w:val="003F235E"/>
    <w:rsid w:val="004023E0"/>
    <w:rsid w:val="00403DD8"/>
    <w:rsid w:val="00442515"/>
    <w:rsid w:val="0045686C"/>
    <w:rsid w:val="004918C4"/>
    <w:rsid w:val="00497703"/>
    <w:rsid w:val="004A0374"/>
    <w:rsid w:val="004A45B5"/>
    <w:rsid w:val="004D0129"/>
    <w:rsid w:val="005A64D5"/>
    <w:rsid w:val="005B3DEC"/>
    <w:rsid w:val="00601994"/>
    <w:rsid w:val="00622235"/>
    <w:rsid w:val="00647D7D"/>
    <w:rsid w:val="00660449"/>
    <w:rsid w:val="00672F8A"/>
    <w:rsid w:val="006E2D42"/>
    <w:rsid w:val="00703676"/>
    <w:rsid w:val="00707304"/>
    <w:rsid w:val="00732269"/>
    <w:rsid w:val="00762555"/>
    <w:rsid w:val="00785ABD"/>
    <w:rsid w:val="00796BD3"/>
    <w:rsid w:val="007A2DD4"/>
    <w:rsid w:val="007D38B5"/>
    <w:rsid w:val="007E7EA0"/>
    <w:rsid w:val="00807255"/>
    <w:rsid w:val="0081023E"/>
    <w:rsid w:val="008173AA"/>
    <w:rsid w:val="00840A14"/>
    <w:rsid w:val="008B62B4"/>
    <w:rsid w:val="008D2D7B"/>
    <w:rsid w:val="008E0737"/>
    <w:rsid w:val="008F7C2C"/>
    <w:rsid w:val="00935A91"/>
    <w:rsid w:val="00940E96"/>
    <w:rsid w:val="009B0BAE"/>
    <w:rsid w:val="009B72AA"/>
    <w:rsid w:val="009C1C89"/>
    <w:rsid w:val="009C4D96"/>
    <w:rsid w:val="009F3448"/>
    <w:rsid w:val="00A01CF9"/>
    <w:rsid w:val="00A71773"/>
    <w:rsid w:val="00AE2C85"/>
    <w:rsid w:val="00B12A37"/>
    <w:rsid w:val="00B41837"/>
    <w:rsid w:val="00B508D4"/>
    <w:rsid w:val="00B63EF2"/>
    <w:rsid w:val="00BA7D89"/>
    <w:rsid w:val="00BC0D39"/>
    <w:rsid w:val="00BC7BC0"/>
    <w:rsid w:val="00BD57B7"/>
    <w:rsid w:val="00BE63E2"/>
    <w:rsid w:val="00CD2009"/>
    <w:rsid w:val="00CF629C"/>
    <w:rsid w:val="00D92EEA"/>
    <w:rsid w:val="00DA5D4E"/>
    <w:rsid w:val="00DC566F"/>
    <w:rsid w:val="00E176BA"/>
    <w:rsid w:val="00E423EC"/>
    <w:rsid w:val="00E55121"/>
    <w:rsid w:val="00EB4FCB"/>
    <w:rsid w:val="00EC6BC5"/>
    <w:rsid w:val="00F35898"/>
    <w:rsid w:val="00F5225B"/>
    <w:rsid w:val="00F632E2"/>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D02902F"/>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2A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9B72AA"/>
    <w:pPr>
      <w:keepNext/>
      <w:keepLines/>
      <w:spacing w:before="480"/>
      <w:ind w:left="794" w:hanging="794"/>
      <w:outlineLvl w:val="0"/>
    </w:pPr>
    <w:rPr>
      <w:b/>
      <w:sz w:val="26"/>
    </w:rPr>
  </w:style>
  <w:style w:type="paragraph" w:styleId="Heading2">
    <w:name w:val="heading 2"/>
    <w:basedOn w:val="Heading1"/>
    <w:next w:val="Normal"/>
    <w:qFormat/>
    <w:rsid w:val="009B72AA"/>
    <w:pPr>
      <w:spacing w:before="320"/>
      <w:outlineLvl w:val="1"/>
    </w:pPr>
    <w:rPr>
      <w:sz w:val="22"/>
    </w:rPr>
  </w:style>
  <w:style w:type="paragraph" w:styleId="Heading3">
    <w:name w:val="heading 3"/>
    <w:basedOn w:val="Heading1"/>
    <w:next w:val="Normal"/>
    <w:qFormat/>
    <w:rsid w:val="009B72AA"/>
    <w:pPr>
      <w:spacing w:before="200"/>
      <w:ind w:left="0" w:firstLine="0"/>
      <w:outlineLvl w:val="2"/>
    </w:pPr>
    <w:rPr>
      <w:rFonts w:asciiTheme="minorHAnsi" w:hAnsiTheme="minorHAnsi"/>
      <w:sz w:val="22"/>
    </w:rPr>
  </w:style>
  <w:style w:type="paragraph" w:styleId="Heading4">
    <w:name w:val="heading 4"/>
    <w:basedOn w:val="Heading3"/>
    <w:next w:val="Normal"/>
    <w:qFormat/>
    <w:rsid w:val="009B72AA"/>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9B72AA"/>
    <w:pPr>
      <w:outlineLvl w:val="4"/>
    </w:pPr>
  </w:style>
  <w:style w:type="paragraph" w:styleId="Heading6">
    <w:name w:val="heading 6"/>
    <w:basedOn w:val="Heading4"/>
    <w:next w:val="Normal"/>
    <w:qFormat/>
    <w:rsid w:val="009B72AA"/>
    <w:pPr>
      <w:outlineLvl w:val="5"/>
    </w:pPr>
  </w:style>
  <w:style w:type="paragraph" w:styleId="Heading7">
    <w:name w:val="heading 7"/>
    <w:basedOn w:val="Heading6"/>
    <w:next w:val="Normal"/>
    <w:qFormat/>
    <w:rsid w:val="009B72AA"/>
    <w:pPr>
      <w:outlineLvl w:val="6"/>
    </w:pPr>
  </w:style>
  <w:style w:type="paragraph" w:styleId="Heading8">
    <w:name w:val="heading 8"/>
    <w:basedOn w:val="Heading6"/>
    <w:next w:val="Normal"/>
    <w:qFormat/>
    <w:rsid w:val="009B72AA"/>
    <w:pPr>
      <w:outlineLvl w:val="7"/>
    </w:pPr>
  </w:style>
  <w:style w:type="paragraph" w:styleId="Heading9">
    <w:name w:val="heading 9"/>
    <w:basedOn w:val="Heading6"/>
    <w:next w:val="Normal"/>
    <w:qFormat/>
    <w:rsid w:val="009B72AA"/>
    <w:pPr>
      <w:outlineLvl w:val="8"/>
    </w:pPr>
  </w:style>
  <w:style w:type="character" w:default="1" w:styleId="DefaultParagraphFont">
    <w:name w:val="Default Paragraph Font"/>
    <w:uiPriority w:val="1"/>
    <w:unhideWhenUsed/>
    <w:rsid w:val="009B72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72AA"/>
  </w:style>
  <w:style w:type="paragraph" w:styleId="TOC8">
    <w:name w:val="toc 8"/>
    <w:basedOn w:val="TOC4"/>
    <w:rsid w:val="009B72AA"/>
  </w:style>
  <w:style w:type="paragraph" w:styleId="TOC4">
    <w:name w:val="toc 4"/>
    <w:basedOn w:val="TOC3"/>
    <w:rsid w:val="009B72AA"/>
    <w:pPr>
      <w:spacing w:before="80"/>
    </w:pPr>
  </w:style>
  <w:style w:type="paragraph" w:styleId="TOC3">
    <w:name w:val="toc 3"/>
    <w:basedOn w:val="TOC2"/>
    <w:rsid w:val="009B72AA"/>
  </w:style>
  <w:style w:type="paragraph" w:styleId="TOC2">
    <w:name w:val="toc 2"/>
    <w:basedOn w:val="TOC1"/>
    <w:rsid w:val="009B72AA"/>
    <w:pPr>
      <w:spacing w:before="160"/>
    </w:pPr>
  </w:style>
  <w:style w:type="paragraph" w:styleId="TOC1">
    <w:name w:val="toc 1"/>
    <w:basedOn w:val="Normal"/>
    <w:rsid w:val="009B72AA"/>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9B72AA"/>
  </w:style>
  <w:style w:type="paragraph" w:styleId="TOC6">
    <w:name w:val="toc 6"/>
    <w:basedOn w:val="TOC4"/>
    <w:rsid w:val="009B72AA"/>
  </w:style>
  <w:style w:type="paragraph" w:styleId="TOC5">
    <w:name w:val="toc 5"/>
    <w:basedOn w:val="TOC4"/>
    <w:rsid w:val="009B72AA"/>
  </w:style>
  <w:style w:type="paragraph" w:styleId="Index7">
    <w:name w:val="index 7"/>
    <w:basedOn w:val="Normal"/>
    <w:next w:val="Normal"/>
    <w:rsid w:val="009B72AA"/>
    <w:pPr>
      <w:ind w:left="1698"/>
    </w:pPr>
  </w:style>
  <w:style w:type="paragraph" w:styleId="Index6">
    <w:name w:val="index 6"/>
    <w:basedOn w:val="Normal"/>
    <w:next w:val="Normal"/>
    <w:rsid w:val="009B72AA"/>
    <w:pPr>
      <w:ind w:left="1415"/>
    </w:pPr>
  </w:style>
  <w:style w:type="paragraph" w:styleId="Index5">
    <w:name w:val="index 5"/>
    <w:basedOn w:val="Normal"/>
    <w:next w:val="Normal"/>
    <w:rsid w:val="009B72AA"/>
    <w:pPr>
      <w:ind w:left="1132"/>
    </w:pPr>
  </w:style>
  <w:style w:type="paragraph" w:styleId="Index4">
    <w:name w:val="index 4"/>
    <w:basedOn w:val="Normal"/>
    <w:next w:val="Normal"/>
    <w:rsid w:val="009B72AA"/>
    <w:pPr>
      <w:ind w:left="849"/>
    </w:pPr>
  </w:style>
  <w:style w:type="paragraph" w:styleId="Index3">
    <w:name w:val="index 3"/>
    <w:basedOn w:val="Normal"/>
    <w:next w:val="Normal"/>
    <w:rsid w:val="009B72AA"/>
    <w:pPr>
      <w:ind w:left="566"/>
    </w:pPr>
  </w:style>
  <w:style w:type="paragraph" w:styleId="Index2">
    <w:name w:val="index 2"/>
    <w:basedOn w:val="Normal"/>
    <w:next w:val="Normal"/>
    <w:rsid w:val="009B72AA"/>
    <w:pPr>
      <w:ind w:left="283"/>
    </w:pPr>
  </w:style>
  <w:style w:type="paragraph" w:styleId="Index1">
    <w:name w:val="index 1"/>
    <w:basedOn w:val="Normal"/>
    <w:next w:val="Normal"/>
    <w:rsid w:val="009B72AA"/>
  </w:style>
  <w:style w:type="character" w:styleId="LineNumber">
    <w:name w:val="line number"/>
    <w:basedOn w:val="DefaultParagraphFont"/>
    <w:rsid w:val="009B72AA"/>
  </w:style>
  <w:style w:type="paragraph" w:styleId="IndexHeading">
    <w:name w:val="index heading"/>
    <w:basedOn w:val="Normal"/>
    <w:next w:val="Index1"/>
    <w:rsid w:val="009B72AA"/>
  </w:style>
  <w:style w:type="paragraph" w:styleId="Footer">
    <w:name w:val="footer"/>
    <w:basedOn w:val="Normal"/>
    <w:rsid w:val="009B72AA"/>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9B72AA"/>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9B72AA"/>
    <w:rPr>
      <w:position w:val="6"/>
      <w:sz w:val="16"/>
    </w:rPr>
  </w:style>
  <w:style w:type="paragraph" w:styleId="FootnoteText">
    <w:name w:val="footnote text"/>
    <w:basedOn w:val="Normal"/>
    <w:rsid w:val="009B72AA"/>
    <w:pPr>
      <w:keepLines/>
      <w:tabs>
        <w:tab w:val="left" w:pos="255"/>
      </w:tabs>
      <w:spacing w:before="60"/>
      <w:ind w:left="284" w:hanging="284"/>
    </w:pPr>
    <w:rPr>
      <w:sz w:val="20"/>
    </w:rPr>
  </w:style>
  <w:style w:type="paragraph" w:styleId="NormalIndent">
    <w:name w:val="Normal Indent"/>
    <w:basedOn w:val="Normal"/>
    <w:rsid w:val="009B72AA"/>
    <w:pPr>
      <w:ind w:left="794"/>
    </w:pPr>
  </w:style>
  <w:style w:type="paragraph" w:customStyle="1" w:styleId="enumlev1">
    <w:name w:val="enumlev1"/>
    <w:basedOn w:val="Normal"/>
    <w:rsid w:val="009B72AA"/>
    <w:pPr>
      <w:tabs>
        <w:tab w:val="left" w:pos="2608"/>
        <w:tab w:val="left" w:pos="3345"/>
      </w:tabs>
      <w:spacing w:before="80"/>
      <w:ind w:left="794" w:hanging="794"/>
    </w:pPr>
  </w:style>
  <w:style w:type="paragraph" w:customStyle="1" w:styleId="enumlev2">
    <w:name w:val="enumlev2"/>
    <w:basedOn w:val="enumlev1"/>
    <w:rsid w:val="009B72AA"/>
    <w:pPr>
      <w:ind w:left="1191" w:hanging="397"/>
    </w:pPr>
  </w:style>
  <w:style w:type="paragraph" w:customStyle="1" w:styleId="enumlev3">
    <w:name w:val="enumlev3"/>
    <w:basedOn w:val="enumlev2"/>
    <w:rsid w:val="009B72AA"/>
    <w:pPr>
      <w:ind w:left="1588"/>
    </w:pPr>
  </w:style>
  <w:style w:type="paragraph" w:customStyle="1" w:styleId="Normalaftertitle">
    <w:name w:val="Normal after title"/>
    <w:basedOn w:val="Normal"/>
    <w:next w:val="Normal"/>
    <w:rsid w:val="009B72AA"/>
    <w:pPr>
      <w:spacing w:before="320"/>
    </w:pPr>
  </w:style>
  <w:style w:type="paragraph" w:customStyle="1" w:styleId="Equation">
    <w:name w:val="Equation"/>
    <w:basedOn w:val="Normal"/>
    <w:rsid w:val="009B72AA"/>
    <w:pPr>
      <w:tabs>
        <w:tab w:val="clear" w:pos="1191"/>
        <w:tab w:val="clear" w:pos="1588"/>
        <w:tab w:val="clear" w:pos="1985"/>
        <w:tab w:val="center" w:pos="4820"/>
        <w:tab w:val="right" w:pos="9639"/>
      </w:tabs>
    </w:pPr>
  </w:style>
  <w:style w:type="paragraph" w:customStyle="1" w:styleId="Head">
    <w:name w:val="Head"/>
    <w:basedOn w:val="Normal"/>
    <w:rsid w:val="009B72AA"/>
    <w:pPr>
      <w:tabs>
        <w:tab w:val="left" w:pos="6663"/>
      </w:tabs>
      <w:overflowPunct/>
      <w:autoSpaceDE/>
      <w:autoSpaceDN/>
      <w:adjustRightInd/>
      <w:spacing w:before="0"/>
      <w:textAlignment w:val="auto"/>
    </w:pPr>
  </w:style>
  <w:style w:type="paragraph" w:customStyle="1" w:styleId="toc0">
    <w:name w:val="toc 0"/>
    <w:basedOn w:val="Normal"/>
    <w:next w:val="TOC1"/>
    <w:rsid w:val="009B72AA"/>
    <w:pPr>
      <w:tabs>
        <w:tab w:val="clear" w:pos="1191"/>
        <w:tab w:val="clear" w:pos="1588"/>
        <w:tab w:val="clear" w:pos="1985"/>
        <w:tab w:val="center" w:pos="8789"/>
      </w:tabs>
    </w:pPr>
    <w:rPr>
      <w:b/>
    </w:rPr>
  </w:style>
  <w:style w:type="paragraph" w:styleId="List">
    <w:name w:val="List"/>
    <w:basedOn w:val="Normal"/>
    <w:rsid w:val="009B72AA"/>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9B72AA"/>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9B72AA"/>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9B72AA"/>
    <w:pPr>
      <w:spacing w:before="480"/>
      <w:jc w:val="center"/>
    </w:pPr>
    <w:rPr>
      <w:b/>
      <w:sz w:val="26"/>
    </w:rPr>
  </w:style>
  <w:style w:type="paragraph" w:customStyle="1" w:styleId="meeting">
    <w:name w:val="meeting"/>
    <w:basedOn w:val="Head"/>
    <w:next w:val="Head"/>
    <w:rsid w:val="009B72AA"/>
    <w:pPr>
      <w:tabs>
        <w:tab w:val="left" w:pos="7371"/>
      </w:tabs>
      <w:spacing w:after="567"/>
    </w:pPr>
  </w:style>
  <w:style w:type="paragraph" w:customStyle="1" w:styleId="Subject">
    <w:name w:val="Subject"/>
    <w:basedOn w:val="Normal"/>
    <w:next w:val="Source"/>
    <w:rsid w:val="009B72AA"/>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9B72AA"/>
  </w:style>
  <w:style w:type="paragraph" w:customStyle="1" w:styleId="Data">
    <w:name w:val="Data"/>
    <w:basedOn w:val="Subject"/>
    <w:next w:val="Subject"/>
    <w:rsid w:val="009B72AA"/>
  </w:style>
  <w:style w:type="paragraph" w:customStyle="1" w:styleId="Reasons">
    <w:name w:val="Reasons"/>
    <w:basedOn w:val="Normal"/>
    <w:qFormat/>
    <w:rsid w:val="009B72AA"/>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9B72AA"/>
    <w:rPr>
      <w:color w:val="0000FF"/>
      <w:u w:val="single"/>
    </w:rPr>
  </w:style>
  <w:style w:type="paragraph" w:customStyle="1" w:styleId="FirstFooter">
    <w:name w:val="FirstFooter"/>
    <w:basedOn w:val="Footer"/>
    <w:rsid w:val="009B72AA"/>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9B72AA"/>
    <w:pPr>
      <w:tabs>
        <w:tab w:val="clear" w:pos="794"/>
        <w:tab w:val="clear" w:pos="1191"/>
        <w:tab w:val="clear" w:pos="1588"/>
        <w:tab w:val="clear" w:pos="1985"/>
      </w:tabs>
      <w:spacing w:before="80"/>
    </w:pPr>
  </w:style>
  <w:style w:type="paragraph" w:styleId="TOC9">
    <w:name w:val="toc 9"/>
    <w:basedOn w:val="TOC4"/>
    <w:rsid w:val="009B72AA"/>
  </w:style>
  <w:style w:type="paragraph" w:customStyle="1" w:styleId="Headingb">
    <w:name w:val="Heading_b"/>
    <w:basedOn w:val="Heading3"/>
    <w:next w:val="Normal"/>
    <w:rsid w:val="009B72AA"/>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9B72AA"/>
    <w:rPr>
      <w:color w:val="800080"/>
      <w:u w:val="single"/>
    </w:rPr>
  </w:style>
  <w:style w:type="paragraph" w:customStyle="1" w:styleId="Title1">
    <w:name w:val="Title 1"/>
    <w:basedOn w:val="Source"/>
    <w:next w:val="Title2"/>
    <w:rsid w:val="009B72AA"/>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9B72AA"/>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9B72AA"/>
    <w:pPr>
      <w:spacing w:before="240"/>
    </w:pPr>
    <w:rPr>
      <w:caps w:val="0"/>
    </w:rPr>
  </w:style>
  <w:style w:type="paragraph" w:customStyle="1" w:styleId="Title4">
    <w:name w:val="Title 4"/>
    <w:basedOn w:val="Title3"/>
    <w:next w:val="Heading1"/>
    <w:rsid w:val="009B72AA"/>
    <w:rPr>
      <w:b/>
    </w:rPr>
  </w:style>
  <w:style w:type="paragraph" w:customStyle="1" w:styleId="dnum">
    <w:name w:val="dnum"/>
    <w:basedOn w:val="Normal"/>
    <w:rsid w:val="009B72A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9B72A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9B72A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9B72AA"/>
    <w:pPr>
      <w:keepNext/>
      <w:keepLines/>
      <w:spacing w:before="480" w:after="80"/>
      <w:jc w:val="center"/>
    </w:pPr>
    <w:rPr>
      <w:caps/>
      <w:sz w:val="26"/>
    </w:rPr>
  </w:style>
  <w:style w:type="paragraph" w:customStyle="1" w:styleId="Annextitle">
    <w:name w:val="Annex_title"/>
    <w:basedOn w:val="Normal"/>
    <w:next w:val="Annexref"/>
    <w:rsid w:val="009B72AA"/>
    <w:pPr>
      <w:keepNext/>
      <w:keepLines/>
      <w:spacing w:before="240" w:after="280"/>
      <w:jc w:val="center"/>
    </w:pPr>
    <w:rPr>
      <w:b/>
      <w:sz w:val="26"/>
    </w:rPr>
  </w:style>
  <w:style w:type="paragraph" w:customStyle="1" w:styleId="Annexref">
    <w:name w:val="Annex_ref"/>
    <w:basedOn w:val="Normal"/>
    <w:next w:val="Normalaftertitle"/>
    <w:rsid w:val="009B72AA"/>
    <w:pPr>
      <w:keepNext/>
      <w:keepLines/>
      <w:spacing w:after="280"/>
      <w:jc w:val="center"/>
    </w:pPr>
  </w:style>
  <w:style w:type="paragraph" w:customStyle="1" w:styleId="AppendixNo">
    <w:name w:val="Appendix_No"/>
    <w:basedOn w:val="AnnexNo"/>
    <w:next w:val="Appendixtitle"/>
    <w:rsid w:val="009B72AA"/>
  </w:style>
  <w:style w:type="paragraph" w:customStyle="1" w:styleId="Appendixtitle">
    <w:name w:val="Appendix_title"/>
    <w:basedOn w:val="Annextitle"/>
    <w:next w:val="Appendixref"/>
    <w:rsid w:val="009B72AA"/>
  </w:style>
  <w:style w:type="paragraph" w:customStyle="1" w:styleId="Appendixref">
    <w:name w:val="Appendix_ref"/>
    <w:basedOn w:val="Annexref"/>
    <w:next w:val="Normalaftertitle"/>
    <w:rsid w:val="009B72AA"/>
  </w:style>
  <w:style w:type="paragraph" w:customStyle="1" w:styleId="Call">
    <w:name w:val="Call"/>
    <w:basedOn w:val="Normal"/>
    <w:next w:val="Normal"/>
    <w:rsid w:val="009B72AA"/>
    <w:pPr>
      <w:keepNext/>
      <w:keepLines/>
      <w:spacing w:before="160"/>
      <w:ind w:left="794"/>
    </w:pPr>
    <w:rPr>
      <w:i/>
    </w:rPr>
  </w:style>
  <w:style w:type="character" w:styleId="EndnoteReference">
    <w:name w:val="endnote reference"/>
    <w:basedOn w:val="DefaultParagraphFont"/>
    <w:rsid w:val="009B72AA"/>
    <w:rPr>
      <w:vertAlign w:val="superscript"/>
    </w:rPr>
  </w:style>
  <w:style w:type="paragraph" w:customStyle="1" w:styleId="Equationlegend">
    <w:name w:val="Equation_legend"/>
    <w:basedOn w:val="Normal"/>
    <w:rsid w:val="009B72AA"/>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9B72AA"/>
    <w:pPr>
      <w:keepNext/>
      <w:keepLines/>
      <w:spacing w:after="120"/>
      <w:jc w:val="center"/>
    </w:pPr>
  </w:style>
  <w:style w:type="paragraph" w:customStyle="1" w:styleId="Figuretitle">
    <w:name w:val="Figure_title"/>
    <w:basedOn w:val="Tabletitle"/>
    <w:next w:val="Normalaftertitle"/>
    <w:rsid w:val="009B72AA"/>
    <w:pPr>
      <w:spacing w:before="240" w:after="480"/>
    </w:pPr>
  </w:style>
  <w:style w:type="paragraph" w:customStyle="1" w:styleId="Tabletitle">
    <w:name w:val="Table_title"/>
    <w:basedOn w:val="TableNo"/>
    <w:next w:val="Tabletext"/>
    <w:rsid w:val="009B72AA"/>
    <w:pPr>
      <w:spacing w:before="0"/>
    </w:pPr>
    <w:rPr>
      <w:b/>
      <w:caps w:val="0"/>
    </w:rPr>
  </w:style>
  <w:style w:type="paragraph" w:customStyle="1" w:styleId="TableNo">
    <w:name w:val="Table_No"/>
    <w:basedOn w:val="Normal"/>
    <w:next w:val="Tabletitle"/>
    <w:rsid w:val="009B72AA"/>
    <w:pPr>
      <w:keepNext/>
      <w:spacing w:before="360" w:after="120"/>
      <w:jc w:val="center"/>
    </w:pPr>
    <w:rPr>
      <w:caps/>
    </w:rPr>
  </w:style>
  <w:style w:type="paragraph" w:customStyle="1" w:styleId="Tabletext">
    <w:name w:val="Table_text"/>
    <w:basedOn w:val="Normal"/>
    <w:rsid w:val="009B7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9B72A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9B72AA"/>
    <w:pPr>
      <w:keepNext/>
      <w:keepLines/>
      <w:spacing w:before="240" w:after="120"/>
      <w:jc w:val="center"/>
    </w:pPr>
    <w:rPr>
      <w:caps/>
    </w:rPr>
  </w:style>
  <w:style w:type="paragraph" w:customStyle="1" w:styleId="Figurewithouttitle">
    <w:name w:val="Figure_without_title"/>
    <w:basedOn w:val="Figure"/>
    <w:next w:val="Normalaftertitle"/>
    <w:rsid w:val="009B72AA"/>
    <w:pPr>
      <w:keepNext w:val="0"/>
      <w:spacing w:after="240"/>
    </w:pPr>
  </w:style>
  <w:style w:type="paragraph" w:customStyle="1" w:styleId="Headingi">
    <w:name w:val="Heading_i"/>
    <w:basedOn w:val="Heading3"/>
    <w:next w:val="Normal"/>
    <w:rsid w:val="009B72AA"/>
    <w:pPr>
      <w:spacing w:before="160"/>
    </w:pPr>
    <w:rPr>
      <w:b w:val="0"/>
      <w:i/>
    </w:rPr>
  </w:style>
  <w:style w:type="character" w:styleId="PageNumber">
    <w:name w:val="page number"/>
    <w:basedOn w:val="DefaultParagraphFont"/>
    <w:rsid w:val="009B72AA"/>
    <w:rPr>
      <w:rFonts w:ascii="Calibri" w:hAnsi="Calibri"/>
    </w:rPr>
  </w:style>
  <w:style w:type="paragraph" w:customStyle="1" w:styleId="PartNo">
    <w:name w:val="Part_No"/>
    <w:basedOn w:val="AnnexNo"/>
    <w:next w:val="Parttitle"/>
    <w:rsid w:val="009B72AA"/>
  </w:style>
  <w:style w:type="paragraph" w:customStyle="1" w:styleId="Parttitle">
    <w:name w:val="Part_title"/>
    <w:basedOn w:val="Annextitle"/>
    <w:next w:val="Partref"/>
    <w:rsid w:val="009B72AA"/>
  </w:style>
  <w:style w:type="paragraph" w:customStyle="1" w:styleId="Partref">
    <w:name w:val="Part_ref"/>
    <w:basedOn w:val="Annexref"/>
    <w:next w:val="Normalaftertitle"/>
    <w:rsid w:val="009B72AA"/>
  </w:style>
  <w:style w:type="paragraph" w:customStyle="1" w:styleId="RecNo">
    <w:name w:val="Rec_No"/>
    <w:basedOn w:val="Normal"/>
    <w:next w:val="Rectitle"/>
    <w:rsid w:val="009B72AA"/>
    <w:pPr>
      <w:keepNext/>
      <w:keepLines/>
      <w:spacing w:before="480"/>
      <w:jc w:val="center"/>
    </w:pPr>
    <w:rPr>
      <w:caps/>
      <w:sz w:val="26"/>
    </w:rPr>
  </w:style>
  <w:style w:type="paragraph" w:customStyle="1" w:styleId="Rectitle">
    <w:name w:val="Rec_title"/>
    <w:basedOn w:val="RecNo"/>
    <w:next w:val="Recref"/>
    <w:rsid w:val="009B72AA"/>
    <w:pPr>
      <w:spacing w:before="240"/>
    </w:pPr>
    <w:rPr>
      <w:b/>
      <w:caps w:val="0"/>
    </w:rPr>
  </w:style>
  <w:style w:type="paragraph" w:customStyle="1" w:styleId="Recref">
    <w:name w:val="Rec_ref"/>
    <w:basedOn w:val="Rectitle"/>
    <w:next w:val="Recdate"/>
    <w:rsid w:val="009B72AA"/>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9B72AA"/>
    <w:pPr>
      <w:jc w:val="right"/>
    </w:pPr>
    <w:rPr>
      <w:sz w:val="22"/>
    </w:rPr>
  </w:style>
  <w:style w:type="paragraph" w:customStyle="1" w:styleId="Questiondate">
    <w:name w:val="Question_date"/>
    <w:basedOn w:val="Recdate"/>
    <w:next w:val="Normalaftertitle"/>
    <w:rsid w:val="009B72AA"/>
  </w:style>
  <w:style w:type="paragraph" w:customStyle="1" w:styleId="QuestionNo">
    <w:name w:val="Question_No"/>
    <w:basedOn w:val="RecNo"/>
    <w:next w:val="Questiontitle"/>
    <w:rsid w:val="009B72AA"/>
  </w:style>
  <w:style w:type="paragraph" w:customStyle="1" w:styleId="Questionref">
    <w:name w:val="Question_ref"/>
    <w:basedOn w:val="Recref"/>
    <w:next w:val="Questiondate"/>
    <w:rsid w:val="009B72AA"/>
  </w:style>
  <w:style w:type="paragraph" w:customStyle="1" w:styleId="Questiontitle">
    <w:name w:val="Question_title"/>
    <w:basedOn w:val="Rectitle"/>
    <w:next w:val="Questionref"/>
    <w:rsid w:val="009B72AA"/>
  </w:style>
  <w:style w:type="paragraph" w:customStyle="1" w:styleId="Reftext">
    <w:name w:val="Ref_text"/>
    <w:basedOn w:val="Normal"/>
    <w:rsid w:val="009B72AA"/>
    <w:pPr>
      <w:ind w:left="794" w:hanging="794"/>
    </w:pPr>
  </w:style>
  <w:style w:type="paragraph" w:customStyle="1" w:styleId="Reftitle">
    <w:name w:val="Ref_title"/>
    <w:basedOn w:val="Normal"/>
    <w:next w:val="Reftext"/>
    <w:rsid w:val="009B72AA"/>
    <w:pPr>
      <w:spacing w:before="480"/>
      <w:jc w:val="center"/>
    </w:pPr>
    <w:rPr>
      <w:caps/>
    </w:rPr>
  </w:style>
  <w:style w:type="paragraph" w:customStyle="1" w:styleId="Repdate">
    <w:name w:val="Rep_date"/>
    <w:basedOn w:val="Recdate"/>
    <w:next w:val="Normalaftertitle"/>
    <w:rsid w:val="009B72AA"/>
  </w:style>
  <w:style w:type="paragraph" w:customStyle="1" w:styleId="RepNo">
    <w:name w:val="Rep_No"/>
    <w:basedOn w:val="RecNo"/>
    <w:next w:val="Reptitle"/>
    <w:rsid w:val="009B72AA"/>
  </w:style>
  <w:style w:type="paragraph" w:customStyle="1" w:styleId="Reptitle">
    <w:name w:val="Rep_title"/>
    <w:basedOn w:val="Rectitle"/>
    <w:next w:val="Repref"/>
    <w:rsid w:val="009B72AA"/>
  </w:style>
  <w:style w:type="paragraph" w:customStyle="1" w:styleId="Repref">
    <w:name w:val="Rep_ref"/>
    <w:basedOn w:val="Recref"/>
    <w:next w:val="Repdate"/>
    <w:rsid w:val="009B72AA"/>
  </w:style>
  <w:style w:type="paragraph" w:customStyle="1" w:styleId="Resdate">
    <w:name w:val="Res_date"/>
    <w:basedOn w:val="Recdate"/>
    <w:next w:val="Normalaftertitle"/>
    <w:rsid w:val="009B72AA"/>
  </w:style>
  <w:style w:type="paragraph" w:customStyle="1" w:styleId="ResNo">
    <w:name w:val="Res_No"/>
    <w:basedOn w:val="RecNo"/>
    <w:next w:val="Restitle"/>
    <w:rsid w:val="009B72AA"/>
  </w:style>
  <w:style w:type="paragraph" w:customStyle="1" w:styleId="Restitle">
    <w:name w:val="Res_title"/>
    <w:basedOn w:val="Rectitle"/>
    <w:next w:val="Resref"/>
    <w:rsid w:val="009B72AA"/>
  </w:style>
  <w:style w:type="paragraph" w:customStyle="1" w:styleId="Resref">
    <w:name w:val="Res_ref"/>
    <w:basedOn w:val="Recref"/>
    <w:next w:val="Resdate"/>
    <w:rsid w:val="009B72AA"/>
  </w:style>
  <w:style w:type="paragraph" w:customStyle="1" w:styleId="SectionNo">
    <w:name w:val="Section_No"/>
    <w:basedOn w:val="AnnexNo"/>
    <w:next w:val="Sectiontitle"/>
    <w:rsid w:val="009B72AA"/>
  </w:style>
  <w:style w:type="paragraph" w:customStyle="1" w:styleId="Sectiontitle">
    <w:name w:val="Section_title"/>
    <w:basedOn w:val="Normal"/>
    <w:next w:val="Normalaftertitle"/>
    <w:rsid w:val="009B72AA"/>
    <w:rPr>
      <w:sz w:val="26"/>
    </w:rPr>
  </w:style>
  <w:style w:type="paragraph" w:customStyle="1" w:styleId="SpecialFooter">
    <w:name w:val="Special Footer"/>
    <w:basedOn w:val="Footer"/>
    <w:rsid w:val="009B72A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B72AA"/>
    <w:pPr>
      <w:keepNext/>
      <w:spacing w:before="80" w:after="80"/>
      <w:jc w:val="center"/>
    </w:pPr>
    <w:rPr>
      <w:b/>
    </w:rPr>
  </w:style>
  <w:style w:type="paragraph" w:customStyle="1" w:styleId="Tablelegend">
    <w:name w:val="Table_legend"/>
    <w:basedOn w:val="Tabletext"/>
    <w:rsid w:val="009B72AA"/>
    <w:pPr>
      <w:spacing w:before="120"/>
    </w:pPr>
  </w:style>
  <w:style w:type="paragraph" w:customStyle="1" w:styleId="Tableref">
    <w:name w:val="Table_ref"/>
    <w:basedOn w:val="Normal"/>
    <w:next w:val="Tabletitle"/>
    <w:rsid w:val="009B72AA"/>
    <w:pPr>
      <w:keepNext/>
      <w:spacing w:before="567"/>
      <w:jc w:val="center"/>
    </w:pPr>
  </w:style>
  <w:style w:type="paragraph" w:customStyle="1" w:styleId="Artheading">
    <w:name w:val="Art_heading"/>
    <w:basedOn w:val="Normal"/>
    <w:next w:val="Normalaftertitle"/>
    <w:rsid w:val="009B72AA"/>
    <w:pPr>
      <w:spacing w:before="480"/>
      <w:jc w:val="center"/>
    </w:pPr>
    <w:rPr>
      <w:rFonts w:ascii="Times New Roman Bold" w:hAnsi="Times New Roman Bold"/>
      <w:b/>
      <w:sz w:val="26"/>
    </w:rPr>
  </w:style>
  <w:style w:type="paragraph" w:customStyle="1" w:styleId="ArtNo">
    <w:name w:val="Art_No"/>
    <w:basedOn w:val="Normal"/>
    <w:next w:val="Normal"/>
    <w:rsid w:val="009B72AA"/>
    <w:pPr>
      <w:keepNext/>
      <w:keepLines/>
      <w:spacing w:before="480"/>
      <w:jc w:val="center"/>
    </w:pPr>
    <w:rPr>
      <w:caps/>
      <w:sz w:val="26"/>
    </w:rPr>
  </w:style>
  <w:style w:type="paragraph" w:customStyle="1" w:styleId="Arttitle">
    <w:name w:val="Art_title"/>
    <w:basedOn w:val="Normal"/>
    <w:next w:val="Normalaftertitle"/>
    <w:rsid w:val="009B72AA"/>
    <w:pPr>
      <w:keepNext/>
      <w:keepLines/>
      <w:spacing w:before="240"/>
      <w:jc w:val="center"/>
    </w:pPr>
    <w:rPr>
      <w:b/>
      <w:sz w:val="26"/>
    </w:rPr>
  </w:style>
  <w:style w:type="paragraph" w:customStyle="1" w:styleId="ChapNo">
    <w:name w:val="Chap_No"/>
    <w:basedOn w:val="ArtNo"/>
    <w:next w:val="Chaptitle"/>
    <w:rsid w:val="009B72AA"/>
    <w:rPr>
      <w:b/>
    </w:rPr>
  </w:style>
  <w:style w:type="paragraph" w:customStyle="1" w:styleId="Chaptitle">
    <w:name w:val="Chap_title"/>
    <w:basedOn w:val="Arttitle"/>
    <w:next w:val="Normalaftertitle"/>
    <w:rsid w:val="009B72AA"/>
  </w:style>
  <w:style w:type="character" w:customStyle="1" w:styleId="HeaderChar">
    <w:name w:val="Header Char"/>
    <w:basedOn w:val="DefaultParagraphFont"/>
    <w:link w:val="Header"/>
    <w:uiPriority w:val="99"/>
    <w:rsid w:val="009B72AA"/>
    <w:rPr>
      <w:rFonts w:ascii="Calibri" w:hAnsi="Calibri"/>
      <w:sz w:val="18"/>
      <w:lang w:val="fr-FR" w:eastAsia="en-US"/>
    </w:rPr>
  </w:style>
  <w:style w:type="table" w:styleId="TableGrid">
    <w:name w:val="Table Grid"/>
    <w:basedOn w:val="TableNormal"/>
    <w:uiPriority w:val="39"/>
    <w:rsid w:val="009B72A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9B72AA"/>
    <w:pPr>
      <w:framePr w:hSpace="180" w:wrap="around" w:hAnchor="page" w:x="1821" w:y="2317"/>
      <w:spacing w:before="120" w:after="160"/>
      <w:jc w:val="left"/>
    </w:pPr>
    <w:rPr>
      <w:caps w:val="0"/>
      <w:sz w:val="34"/>
    </w:rPr>
  </w:style>
  <w:style w:type="paragraph" w:styleId="ListParagraph">
    <w:name w:val="List Paragraph"/>
    <w:basedOn w:val="Normal"/>
    <w:uiPriority w:val="34"/>
    <w:qFormat/>
    <w:rsid w:val="009B72AA"/>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paragraph" w:customStyle="1" w:styleId="p1">
    <w:name w:val="p1"/>
    <w:basedOn w:val="Normal"/>
    <w:rsid w:val="009B72AA"/>
    <w:pPr>
      <w:tabs>
        <w:tab w:val="clear" w:pos="794"/>
        <w:tab w:val="clear" w:pos="1191"/>
        <w:tab w:val="clear" w:pos="1588"/>
        <w:tab w:val="clear" w:pos="1985"/>
      </w:tabs>
      <w:overflowPunct/>
      <w:autoSpaceDE/>
      <w:autoSpaceDN/>
      <w:adjustRightInd/>
      <w:spacing w:before="0"/>
      <w:textAlignment w:val="auto"/>
    </w:pPr>
    <w:rPr>
      <w:rFonts w:ascii="Helvetica" w:eastAsiaTheme="minorEastAsia" w:hAnsi="Helvetic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11/en" TargetMode="External"/><Relationship Id="rId13" Type="http://schemas.openxmlformats.org/officeDocument/2006/relationships/hyperlink" Target="https://www.itu.int/md/S23-CL-INF-0012/en" TargetMode="External"/><Relationship Id="rId18" Type="http://schemas.openxmlformats.org/officeDocument/2006/relationships/hyperlink" Target="https://www.itu.int/md/S24-CWGFHR17-INF-0009/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u.int/md/S24-CL-INF-0012/en" TargetMode="External"/><Relationship Id="rId7" Type="http://schemas.openxmlformats.org/officeDocument/2006/relationships/hyperlink" Target="https://www.itu.int/md/S23-CL-C-0062/en" TargetMode="External"/><Relationship Id="rId12" Type="http://schemas.openxmlformats.org/officeDocument/2006/relationships/hyperlink" Target="https://www.itu.int/md/S17-CL-C-0067/en" TargetMode="External"/><Relationship Id="rId17" Type="http://schemas.openxmlformats.org/officeDocument/2006/relationships/hyperlink" Target="https://www.itu.int/md/S24-CWGFHR17-C-0003/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23-CWGFHR16-C-0011/en" TargetMode="External"/><Relationship Id="rId20" Type="http://schemas.openxmlformats.org/officeDocument/2006/relationships/hyperlink" Target="https://www.itu.int/md/S24-CWGFHR17-INF-000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2023/DEC-005-R.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23-CL-C-0062/en" TargetMode="External"/><Relationship Id="rId23" Type="http://schemas.openxmlformats.org/officeDocument/2006/relationships/footer" Target="footer1.xml"/><Relationship Id="rId10" Type="http://schemas.openxmlformats.org/officeDocument/2006/relationships/hyperlink" Target="https://www.itu.int/md/S24-CWGFHR17-INF-0009/en" TargetMode="External"/><Relationship Id="rId19" Type="http://schemas.openxmlformats.org/officeDocument/2006/relationships/hyperlink" Target="https://www.itu.int/hub/membership/how-we-are-funded/principles-for-resource-mobilization/" TargetMode="External"/><Relationship Id="rId4" Type="http://schemas.openxmlformats.org/officeDocument/2006/relationships/webSettings" Target="webSettings.xml"/><Relationship Id="rId9" Type="http://schemas.openxmlformats.org/officeDocument/2006/relationships/hyperlink" Target="https://www.itu.int/md/S24-CWGFHR17-C-0003/en" TargetMode="External"/><Relationship Id="rId14" Type="http://schemas.openxmlformats.org/officeDocument/2006/relationships/hyperlink" Target="https://www.itu.int/dms_pub/itu-d/opb/tdc/D-TDC-WTDC-2022-PDF-R.pdf" TargetMode="External"/><Relationship Id="rId22" Type="http://schemas.openxmlformats.org/officeDocument/2006/relationships/image" Target="media/image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35</TotalTime>
  <Pages>9</Pages>
  <Words>3037</Words>
  <Characters>22197</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25184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Sikacheva, Violetta</dc:creator>
  <cp:keywords>C2024, C24, Council-24</cp:keywords>
  <dc:description/>
  <cp:lastModifiedBy>Sikacheva, Violetta</cp:lastModifiedBy>
  <cp:revision>6</cp:revision>
  <cp:lastPrinted>2006-03-28T16:12:00Z</cp:lastPrinted>
  <dcterms:created xsi:type="dcterms:W3CDTF">2024-05-29T06:56:00Z</dcterms:created>
  <dcterms:modified xsi:type="dcterms:W3CDTF">2024-05-29T07:36:00Z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