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13E5E" w14:paraId="0043AC80" w14:textId="77777777" w:rsidTr="324E1A22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398FDD63" w:rsidR="00AD3606" w:rsidRPr="00A4553B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  <w:lang w:val="de-CH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  <w:r w:rsidRPr="00A4553B">
              <w:rPr>
                <w:b/>
                <w:lang w:val="de-CH"/>
              </w:rPr>
              <w:t xml:space="preserve">Agenda item: </w:t>
            </w:r>
            <w:r w:rsidR="009F47B3">
              <w:rPr>
                <w:b/>
                <w:lang w:val="de-CH"/>
              </w:rPr>
              <w:t>PL 2</w:t>
            </w:r>
          </w:p>
        </w:tc>
        <w:tc>
          <w:tcPr>
            <w:tcW w:w="5245" w:type="dxa"/>
          </w:tcPr>
          <w:p w14:paraId="291AB2A2" w14:textId="3DDC9019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 C2</w:t>
            </w:r>
            <w:r w:rsidR="00E23618">
              <w:rPr>
                <w:b/>
              </w:rPr>
              <w:t>4</w:t>
            </w:r>
            <w:r>
              <w:rPr>
                <w:b/>
              </w:rPr>
              <w:t>/</w:t>
            </w:r>
            <w:r w:rsidR="009F47B3">
              <w:rPr>
                <w:b/>
              </w:rPr>
              <w:t>72</w:t>
            </w:r>
            <w:r>
              <w:rPr>
                <w:b/>
              </w:rPr>
              <w:t>-E</w:t>
            </w:r>
          </w:p>
        </w:tc>
      </w:tr>
      <w:tr w:rsidR="00AD3606" w:rsidRPr="00813E5E" w14:paraId="789B45BA" w14:textId="77777777" w:rsidTr="324E1A22">
        <w:trPr>
          <w:cantSplit/>
        </w:trPr>
        <w:tc>
          <w:tcPr>
            <w:tcW w:w="3969" w:type="dxa"/>
            <w:vMerge/>
          </w:tcPr>
          <w:p w14:paraId="3F3D4E17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77D93319" w:rsidR="00AD3606" w:rsidRPr="00E85629" w:rsidRDefault="00F21D41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AF77E0">
              <w:rPr>
                <w:b/>
              </w:rPr>
              <w:t xml:space="preserve"> May</w:t>
            </w:r>
            <w:r w:rsidR="00AD3606">
              <w:rPr>
                <w:b/>
              </w:rPr>
              <w:t xml:space="preserve"> 202</w:t>
            </w:r>
            <w:r w:rsidR="00E23618">
              <w:rPr>
                <w:b/>
              </w:rPr>
              <w:t>4</w:t>
            </w:r>
          </w:p>
        </w:tc>
      </w:tr>
      <w:tr w:rsidR="00AD3606" w:rsidRPr="00813E5E" w14:paraId="58A84C4A" w14:textId="77777777" w:rsidTr="324E1A22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77777777" w:rsidR="00AD3606" w:rsidRPr="00E85629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472BAD" w:rsidRPr="00813E5E" w14:paraId="12C5EF5F" w14:textId="77777777" w:rsidTr="324E1A22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27000B2A" w14:textId="77777777" w:rsidTr="324E1A22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7CDB90" w14:textId="77777777" w:rsidR="00AD3606" w:rsidRPr="006850BE" w:rsidRDefault="00AD3606" w:rsidP="00644BEE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6850BE">
              <w:t>Report by the Secretary-General</w:t>
            </w:r>
          </w:p>
        </w:tc>
      </w:tr>
      <w:tr w:rsidR="00AD3606" w:rsidRPr="00A4553B" w14:paraId="2340750D" w14:textId="77777777" w:rsidTr="324E1A22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7B91AA8" w14:textId="7803C3F4" w:rsidR="00AD3606" w:rsidRPr="00AF77E0" w:rsidRDefault="7296B1F4" w:rsidP="006850BE">
            <w:pPr>
              <w:rPr>
                <w:sz w:val="32"/>
                <w:szCs w:val="32"/>
                <w:lang w:val="fr-FR"/>
              </w:rPr>
            </w:pPr>
            <w:bookmarkStart w:id="9" w:name="_Hlk164950385"/>
            <w:bookmarkStart w:id="10" w:name="dtitle1"/>
            <w:bookmarkEnd w:id="8"/>
            <w:r w:rsidRPr="324E1A22">
              <w:rPr>
                <w:sz w:val="32"/>
                <w:szCs w:val="32"/>
                <w:lang w:val="fr-FR"/>
              </w:rPr>
              <w:t xml:space="preserve">GREEN DIGITAL TRANSFORMATION: </w:t>
            </w:r>
            <w:r w:rsidR="009F47B3" w:rsidRPr="324E1A22">
              <w:rPr>
                <w:sz w:val="32"/>
                <w:szCs w:val="32"/>
                <w:lang w:val="fr-FR"/>
              </w:rPr>
              <w:t>ITU ACTIVITIES ON CLIMATE CHANGE AND</w:t>
            </w:r>
            <w:r w:rsidR="00F21D41">
              <w:rPr>
                <w:sz w:val="32"/>
                <w:szCs w:val="32"/>
                <w:lang w:val="fr-FR"/>
              </w:rPr>
              <w:t xml:space="preserve"> </w:t>
            </w:r>
            <w:r w:rsidR="009F47B3" w:rsidRPr="324E1A22">
              <w:rPr>
                <w:sz w:val="32"/>
                <w:szCs w:val="32"/>
                <w:lang w:val="fr-FR"/>
              </w:rPr>
              <w:t>ENVIRONMENTAL</w:t>
            </w:r>
            <w:r w:rsidR="00F21D41">
              <w:rPr>
                <w:sz w:val="32"/>
                <w:szCs w:val="32"/>
                <w:lang w:val="fr-FR"/>
              </w:rPr>
              <w:t xml:space="preserve"> </w:t>
            </w:r>
            <w:r w:rsidR="009F47B3" w:rsidRPr="324E1A22">
              <w:rPr>
                <w:sz w:val="32"/>
                <w:szCs w:val="32"/>
                <w:lang w:val="fr-FR"/>
              </w:rPr>
              <w:t>SUSTAINABILITY</w:t>
            </w:r>
            <w:bookmarkEnd w:id="9"/>
          </w:p>
        </w:tc>
      </w:tr>
      <w:tr w:rsidR="00AD3606" w:rsidRPr="00813E5E" w14:paraId="1F564D2D" w14:textId="77777777" w:rsidTr="324E1A22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AD73B47" w14:textId="5F543D1B" w:rsidR="00AD3606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Purpose</w:t>
            </w:r>
          </w:p>
          <w:p w14:paraId="449ECA15" w14:textId="612E0E53" w:rsidR="00A4553B" w:rsidRPr="009F47B3" w:rsidRDefault="00A4553B" w:rsidP="00E41FD4">
            <w:pPr>
              <w:spacing w:before="160"/>
              <w:jc w:val="both"/>
            </w:pPr>
            <w:r>
              <w:t>Report on ITU’s activities on climate change and environmental sustainability</w:t>
            </w:r>
            <w:r w:rsidR="1E5E54D0">
              <w:t xml:space="preserve"> to inform the Council discussion on the green digital transformation</w:t>
            </w:r>
            <w:r w:rsidR="009F47B3">
              <w:t>.</w:t>
            </w:r>
          </w:p>
          <w:p w14:paraId="5076D5C4" w14:textId="77777777" w:rsidR="00AD3606" w:rsidRPr="00F16BAB" w:rsidRDefault="00AD3606" w:rsidP="00E41FD4">
            <w:pPr>
              <w:spacing w:before="160"/>
              <w:jc w:val="both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Action required</w:t>
            </w:r>
            <w:r w:rsidR="00F16BAB" w:rsidRPr="00F16BAB">
              <w:rPr>
                <w:b/>
                <w:bCs/>
                <w:sz w:val="26"/>
                <w:szCs w:val="26"/>
              </w:rPr>
              <w:t xml:space="preserve"> by the </w:t>
            </w:r>
            <w:proofErr w:type="gramStart"/>
            <w:r w:rsidR="00F16BAB" w:rsidRPr="00F16BAB">
              <w:rPr>
                <w:b/>
                <w:bCs/>
                <w:sz w:val="26"/>
                <w:szCs w:val="26"/>
              </w:rPr>
              <w:t>Council</w:t>
            </w:r>
            <w:proofErr w:type="gramEnd"/>
          </w:p>
          <w:p w14:paraId="79F38DAD" w14:textId="11D1E3EA" w:rsidR="00AD3606" w:rsidRDefault="003122CE" w:rsidP="00E41FD4">
            <w:pPr>
              <w:jc w:val="both"/>
            </w:pPr>
            <w:r>
              <w:t xml:space="preserve">The </w:t>
            </w:r>
            <w:r w:rsidR="00A4553B">
              <w:t xml:space="preserve">Council is invited to </w:t>
            </w:r>
            <w:r w:rsidR="00A4553B" w:rsidRPr="58180750">
              <w:rPr>
                <w:b/>
                <w:bCs/>
              </w:rPr>
              <w:t>take note</w:t>
            </w:r>
            <w:r w:rsidR="00A4553B">
              <w:t xml:space="preserve"> of the report</w:t>
            </w:r>
            <w:r w:rsidR="00254884">
              <w:t xml:space="preserve"> </w:t>
            </w:r>
            <w:r w:rsidR="00EE1065">
              <w:t xml:space="preserve">and </w:t>
            </w:r>
            <w:r w:rsidR="00EE1065" w:rsidRPr="58180750">
              <w:rPr>
                <w:b/>
                <w:bCs/>
              </w:rPr>
              <w:t>consider</w:t>
            </w:r>
            <w:r w:rsidR="00EE1065">
              <w:t xml:space="preserve"> </w:t>
            </w:r>
            <w:r w:rsidR="477EB6B3">
              <w:t>inviting Member States</w:t>
            </w:r>
            <w:r w:rsidR="7E1A39CB">
              <w:t>, Sector Members and Academia</w:t>
            </w:r>
            <w:r w:rsidR="477EB6B3">
              <w:t xml:space="preserve"> to actively support </w:t>
            </w:r>
            <w:r w:rsidR="00565477">
              <w:t>activities</w:t>
            </w:r>
            <w:r w:rsidR="09792FC6">
              <w:t xml:space="preserve"> outlined</w:t>
            </w:r>
            <w:r w:rsidR="009F47B3">
              <w:t>.</w:t>
            </w:r>
          </w:p>
          <w:p w14:paraId="0F8F1F03" w14:textId="428C537B" w:rsidR="00F16BAB" w:rsidRDefault="00F16BAB" w:rsidP="00E41FD4">
            <w:pPr>
              <w:spacing w:before="16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Relevant link</w:t>
            </w:r>
            <w:r w:rsidR="00C81318">
              <w:rPr>
                <w:b/>
                <w:bCs/>
                <w:sz w:val="26"/>
                <w:szCs w:val="26"/>
              </w:rPr>
              <w:t>(s)</w:t>
            </w:r>
            <w:r>
              <w:rPr>
                <w:b/>
                <w:bCs/>
                <w:sz w:val="26"/>
                <w:szCs w:val="26"/>
              </w:rPr>
              <w:t xml:space="preserve"> with the Strategic Plan</w:t>
            </w:r>
          </w:p>
          <w:p w14:paraId="00A55EA1" w14:textId="0063D8A1" w:rsidR="00F16BAB" w:rsidRPr="00254884" w:rsidRDefault="00254884" w:rsidP="00E41FD4">
            <w:pPr>
              <w:jc w:val="both"/>
            </w:pPr>
            <w:r w:rsidRPr="529891DB">
              <w:rPr>
                <w:color w:val="000000" w:themeColor="text1"/>
              </w:rPr>
              <w:t>Sustainable Digital Transformation</w:t>
            </w:r>
            <w:r w:rsidR="4637C46A" w:rsidRPr="529891DB">
              <w:rPr>
                <w:color w:val="000000" w:themeColor="text1"/>
              </w:rPr>
              <w:t>;</w:t>
            </w:r>
            <w:r w:rsidR="00D83024" w:rsidRPr="529891DB">
              <w:rPr>
                <w:color w:val="000000" w:themeColor="text1"/>
              </w:rPr>
              <w:t xml:space="preserve"> Committed to environmental sustainability</w:t>
            </w:r>
            <w:r w:rsidR="00C706EA">
              <w:rPr>
                <w:color w:val="000000" w:themeColor="text1"/>
              </w:rPr>
              <w:t>.</w:t>
            </w:r>
          </w:p>
          <w:p w14:paraId="632C043A" w14:textId="14112DC4" w:rsidR="00F16BAB" w:rsidRDefault="00F16BAB" w:rsidP="00E41FD4">
            <w:pPr>
              <w:spacing w:before="16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Financial implications</w:t>
            </w:r>
          </w:p>
          <w:p w14:paraId="7821AA8D" w14:textId="5F066C5B" w:rsidR="00237C72" w:rsidRDefault="00237C72" w:rsidP="00E41FD4">
            <w:pPr>
              <w:spacing w:before="160"/>
              <w:jc w:val="both"/>
              <w:rPr>
                <w:color w:val="000000"/>
              </w:rPr>
            </w:pPr>
            <w:r w:rsidRPr="388B7E90">
              <w:rPr>
                <w:color w:val="000000" w:themeColor="text1"/>
              </w:rPr>
              <w:t>Within the allocated budget 2024-2025</w:t>
            </w:r>
            <w:r w:rsidR="31880B28" w:rsidRPr="388B7E90">
              <w:rPr>
                <w:color w:val="000000" w:themeColor="text1"/>
              </w:rPr>
              <w:t xml:space="preserve">. </w:t>
            </w:r>
            <w:r w:rsidR="28B1077D" w:rsidRPr="388B7E90">
              <w:rPr>
                <w:color w:val="000000" w:themeColor="text1"/>
              </w:rPr>
              <w:t xml:space="preserve">Some </w:t>
            </w:r>
            <w:r w:rsidR="1DAA73CB" w:rsidRPr="388B7E90">
              <w:rPr>
                <w:color w:val="000000" w:themeColor="text1"/>
              </w:rPr>
              <w:t>a</w:t>
            </w:r>
            <w:r w:rsidR="004065AC" w:rsidRPr="388B7E90">
              <w:rPr>
                <w:color w:val="000000" w:themeColor="text1"/>
              </w:rPr>
              <w:t xml:space="preserve">dditional activities proposed </w:t>
            </w:r>
            <w:r w:rsidR="1AF82655" w:rsidRPr="388B7E90">
              <w:rPr>
                <w:color w:val="000000" w:themeColor="text1"/>
              </w:rPr>
              <w:t xml:space="preserve">are </w:t>
            </w:r>
            <w:r w:rsidR="004065AC" w:rsidRPr="388B7E90">
              <w:rPr>
                <w:color w:val="000000" w:themeColor="text1"/>
              </w:rPr>
              <w:t>based on voluntary contributions</w:t>
            </w:r>
            <w:r w:rsidR="009F47B3" w:rsidRPr="388B7E90">
              <w:rPr>
                <w:color w:val="000000" w:themeColor="text1"/>
              </w:rPr>
              <w:t>.</w:t>
            </w:r>
          </w:p>
          <w:p w14:paraId="2AAB18B0" w14:textId="5F69C7C5" w:rsidR="00AD3606" w:rsidRPr="00813E5E" w:rsidRDefault="00AD3606" w:rsidP="00F16BAB">
            <w:pPr>
              <w:spacing w:before="160"/>
              <w:rPr>
                <w:caps/>
                <w:sz w:val="22"/>
              </w:rPr>
            </w:pPr>
            <w:r w:rsidRPr="00813E5E">
              <w:rPr>
                <w:sz w:val="22"/>
              </w:rPr>
              <w:t>____________</w:t>
            </w:r>
            <w:r>
              <w:rPr>
                <w:sz w:val="22"/>
              </w:rPr>
              <w:t>______</w:t>
            </w:r>
          </w:p>
          <w:p w14:paraId="00DEE14C" w14:textId="77777777" w:rsidR="00AD3606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References</w:t>
            </w:r>
          </w:p>
          <w:p w14:paraId="0175CD6C" w14:textId="710A8A93" w:rsidR="00AD3606" w:rsidRPr="00F21D41" w:rsidRDefault="002D5961" w:rsidP="009F47B3">
            <w:pPr>
              <w:spacing w:after="12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en-US"/>
              </w:rPr>
            </w:pPr>
            <w:hyperlink r:id="rId11" w:history="1">
              <w:r w:rsidR="00237C72" w:rsidRPr="00F21D41">
                <w:rPr>
                  <w:rStyle w:val="Hyperlink"/>
                  <w:i/>
                  <w:iCs/>
                  <w:sz w:val="22"/>
                  <w:szCs w:val="22"/>
                </w:rPr>
                <w:t>Resolution 182</w:t>
              </w:r>
            </w:hyperlink>
            <w:r w:rsidR="00237C72" w:rsidRPr="00F21D41">
              <w:rPr>
                <w:i/>
                <w:iCs/>
                <w:sz w:val="22"/>
                <w:szCs w:val="22"/>
              </w:rPr>
              <w:t xml:space="preserve"> (Rev. Bucharest, 2022) </w:t>
            </w:r>
            <w:r w:rsidR="009F47B3" w:rsidRPr="00F21D41">
              <w:rPr>
                <w:i/>
                <w:iCs/>
                <w:sz w:val="22"/>
                <w:szCs w:val="22"/>
              </w:rPr>
              <w:t>of the Plenipotentiary Conference</w:t>
            </w:r>
            <w:r w:rsidR="00237C72" w:rsidRPr="00F21D41">
              <w:rPr>
                <w:i/>
                <w:iCs/>
                <w:sz w:val="22"/>
                <w:szCs w:val="22"/>
              </w:rPr>
              <w:t>;</w:t>
            </w:r>
            <w:r w:rsidR="4F465751" w:rsidRPr="00F21D41">
              <w:rPr>
                <w:i/>
                <w:iCs/>
                <w:sz w:val="22"/>
                <w:szCs w:val="22"/>
              </w:rPr>
              <w:t xml:space="preserve"> </w:t>
            </w:r>
            <w:r w:rsidR="00916294" w:rsidRPr="00F21D41">
              <w:rPr>
                <w:i/>
                <w:iCs/>
                <w:sz w:val="22"/>
                <w:szCs w:val="22"/>
              </w:rPr>
              <w:t>Council document</w:t>
            </w:r>
            <w:r w:rsidR="00F21D41" w:rsidRPr="00F21D41">
              <w:rPr>
                <w:i/>
                <w:iCs/>
                <w:sz w:val="22"/>
                <w:szCs w:val="22"/>
              </w:rPr>
              <w:t>s</w:t>
            </w:r>
            <w:r w:rsidR="00916294" w:rsidRPr="00F21D41">
              <w:rPr>
                <w:i/>
                <w:iCs/>
                <w:sz w:val="22"/>
                <w:szCs w:val="22"/>
              </w:rPr>
              <w:t xml:space="preserve"> </w:t>
            </w:r>
            <w:hyperlink r:id="rId12" w:history="1">
              <w:r w:rsidR="00916294" w:rsidRPr="00F21D41">
                <w:rPr>
                  <w:rStyle w:val="Hyperlink"/>
                  <w:i/>
                  <w:iCs/>
                  <w:sz w:val="22"/>
                  <w:szCs w:val="22"/>
                </w:rPr>
                <w:t>C24/35</w:t>
              </w:r>
            </w:hyperlink>
            <w:r w:rsidR="00916294" w:rsidRPr="00F21D41">
              <w:rPr>
                <w:i/>
                <w:iCs/>
                <w:sz w:val="22"/>
                <w:szCs w:val="22"/>
              </w:rPr>
              <w:t xml:space="preserve">, </w:t>
            </w:r>
            <w:hyperlink r:id="rId13" w:history="1">
              <w:r w:rsidR="4F465751" w:rsidRPr="00F21D41">
                <w:rPr>
                  <w:rStyle w:val="Hyperlink"/>
                  <w:i/>
                  <w:iCs/>
                  <w:sz w:val="22"/>
                  <w:szCs w:val="22"/>
                </w:rPr>
                <w:t>C24/70</w:t>
              </w:r>
            </w:hyperlink>
            <w:r w:rsidR="009F47B3" w:rsidRPr="00F21D41">
              <w:rPr>
                <w:i/>
                <w:iCs/>
                <w:sz w:val="22"/>
                <w:szCs w:val="22"/>
              </w:rPr>
              <w:t>.</w:t>
            </w:r>
          </w:p>
        </w:tc>
      </w:tr>
      <w:bookmarkEnd w:id="2"/>
      <w:bookmarkEnd w:id="3"/>
      <w:bookmarkEnd w:id="4"/>
      <w:bookmarkEnd w:id="5"/>
      <w:bookmarkEnd w:id="10"/>
    </w:tbl>
    <w:p w14:paraId="257674B4" w14:textId="4E14C066" w:rsidR="00A514A4" w:rsidRPr="00B30468" w:rsidRDefault="00A514A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14:paraId="5E5C9D44" w14:textId="220A1844" w:rsidR="0043739E" w:rsidRPr="00B30468" w:rsidRDefault="0043739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B30468">
        <w:br w:type="page"/>
      </w:r>
    </w:p>
    <w:p w14:paraId="62F19FF8" w14:textId="015E2E17" w:rsidR="001D4FD2" w:rsidRDefault="0043739E" w:rsidP="58180750">
      <w:pPr>
        <w:spacing w:after="120"/>
        <w:jc w:val="both"/>
        <w:rPr>
          <w:rFonts w:eastAsia="Calibri" w:cs="Calibri"/>
          <w:color w:val="000000" w:themeColor="text1"/>
          <w:lang w:val="en-US"/>
        </w:rPr>
      </w:pPr>
      <w:r w:rsidRPr="58180750">
        <w:rPr>
          <w:lang w:val="en-US"/>
        </w:rPr>
        <w:lastRenderedPageBreak/>
        <w:t xml:space="preserve">This document complements the climate change and environmental sustainability activities </w:t>
      </w:r>
      <w:r w:rsidRPr="58180750">
        <w:rPr>
          <w:spacing w:val="2"/>
          <w:lang w:val="en-US"/>
        </w:rPr>
        <w:t xml:space="preserve">outlined in document </w:t>
      </w:r>
      <w:hyperlink r:id="rId14" w:history="1">
        <w:r w:rsidRPr="58180750">
          <w:rPr>
            <w:rStyle w:val="Hyperlink"/>
            <w:spacing w:val="2"/>
            <w:lang w:val="en-US"/>
          </w:rPr>
          <w:t>C24/35</w:t>
        </w:r>
      </w:hyperlink>
      <w:r w:rsidR="6784E811" w:rsidRPr="58180750">
        <w:rPr>
          <w:spacing w:val="2"/>
          <w:lang w:val="en-US"/>
        </w:rPr>
        <w:t>, as well as activities reported in relation to</w:t>
      </w:r>
      <w:r w:rsidR="6784E811" w:rsidRPr="58180750">
        <w:rPr>
          <w:spacing w:val="-2"/>
          <w:lang w:val="en-US"/>
        </w:rPr>
        <w:t xml:space="preserve"> </w:t>
      </w:r>
      <w:hyperlink r:id="rId15" w:history="1">
        <w:r w:rsidR="6784E811" w:rsidRPr="58180750">
          <w:rPr>
            <w:rStyle w:val="Hyperlink"/>
            <w:spacing w:val="-2"/>
            <w:lang w:val="en-US"/>
          </w:rPr>
          <w:t>Resolution 182</w:t>
        </w:r>
      </w:hyperlink>
      <w:r w:rsidR="009F47B3" w:rsidRPr="58180750">
        <w:rPr>
          <w:spacing w:val="-2"/>
          <w:lang w:val="en-US"/>
        </w:rPr>
        <w:t xml:space="preserve"> (Rev. Bucharest, 2022)</w:t>
      </w:r>
      <w:r w:rsidR="6D89EFD9" w:rsidRPr="58180750">
        <w:rPr>
          <w:lang w:val="en-US"/>
        </w:rPr>
        <w:t xml:space="preserve"> </w:t>
      </w:r>
      <w:r w:rsidR="0060709B" w:rsidRPr="58180750">
        <w:rPr>
          <w:lang w:val="en-US"/>
        </w:rPr>
        <w:t xml:space="preserve">of the Plenipotentiary Conference (PP) </w:t>
      </w:r>
      <w:r w:rsidR="6D89EFD9" w:rsidRPr="58180750">
        <w:rPr>
          <w:lang w:val="en-US"/>
        </w:rPr>
        <w:t xml:space="preserve">as part of the </w:t>
      </w:r>
      <w:r w:rsidR="008467AB" w:rsidRPr="58180750">
        <w:rPr>
          <w:rFonts w:eastAsia="Calibri" w:cs="Calibri"/>
          <w:color w:val="000000" w:themeColor="text1"/>
          <w:lang w:val="en-US"/>
        </w:rPr>
        <w:t>r</w:t>
      </w:r>
      <w:r w:rsidR="6D89EFD9" w:rsidRPr="58180750">
        <w:rPr>
          <w:rFonts w:eastAsia="Calibri" w:cs="Calibri"/>
          <w:color w:val="000000" w:themeColor="text1"/>
          <w:lang w:val="en-US"/>
        </w:rPr>
        <w:t xml:space="preserve">eport on </w:t>
      </w:r>
      <w:r w:rsidR="000F3837" w:rsidRPr="58180750">
        <w:rPr>
          <w:rFonts w:eastAsia="Calibri" w:cs="Calibri"/>
          <w:color w:val="000000" w:themeColor="text1"/>
          <w:lang w:val="en-US"/>
        </w:rPr>
        <w:t xml:space="preserve">the implementation of </w:t>
      </w:r>
      <w:r w:rsidR="6D89EFD9" w:rsidRPr="58180750">
        <w:rPr>
          <w:rFonts w:eastAsia="Calibri" w:cs="Calibri"/>
          <w:color w:val="000000" w:themeColor="text1"/>
          <w:lang w:val="en-US"/>
        </w:rPr>
        <w:t>PP</w:t>
      </w:r>
      <w:r w:rsidR="000F3837" w:rsidRPr="58180750">
        <w:rPr>
          <w:rFonts w:eastAsia="Calibri" w:cs="Calibri"/>
          <w:color w:val="000000" w:themeColor="text1"/>
          <w:lang w:val="en-US"/>
        </w:rPr>
        <w:t xml:space="preserve"> </w:t>
      </w:r>
      <w:r w:rsidR="6D89EFD9" w:rsidRPr="58180750">
        <w:rPr>
          <w:rFonts w:eastAsia="Calibri" w:cs="Calibri"/>
          <w:color w:val="000000" w:themeColor="text1"/>
          <w:lang w:val="en-US"/>
        </w:rPr>
        <w:t>resolutions</w:t>
      </w:r>
      <w:r w:rsidR="666C2D65" w:rsidRPr="58180750">
        <w:rPr>
          <w:rFonts w:eastAsia="Calibri" w:cs="Calibri"/>
          <w:color w:val="000000" w:themeColor="text1"/>
          <w:lang w:val="en-US"/>
        </w:rPr>
        <w:t>.</w:t>
      </w:r>
    </w:p>
    <w:p w14:paraId="30A6685D" w14:textId="151AE906" w:rsidR="005D11DD" w:rsidRPr="00D16052" w:rsidRDefault="005D11DD" w:rsidP="58180750">
      <w:pPr>
        <w:spacing w:after="120"/>
        <w:jc w:val="both"/>
        <w:rPr>
          <w:rFonts w:eastAsia="Calibri" w:cs="Calibri"/>
          <w:color w:val="000000" w:themeColor="text1"/>
          <w:lang w:val="en-US"/>
        </w:rPr>
      </w:pPr>
      <w:r w:rsidRPr="58180750">
        <w:rPr>
          <w:rFonts w:eastAsia="Calibri" w:cs="Calibri"/>
          <w:color w:val="000000" w:themeColor="text1"/>
          <w:lang w:val="en-US"/>
        </w:rPr>
        <w:t xml:space="preserve">Green digital transformation involves leveraging digital technologies for climate monitoring </w:t>
      </w:r>
      <w:r w:rsidR="76CF75CC" w:rsidRPr="58180750">
        <w:rPr>
          <w:rFonts w:eastAsia="Calibri" w:cs="Calibri"/>
          <w:color w:val="000000" w:themeColor="text1"/>
          <w:lang w:val="en-US"/>
        </w:rPr>
        <w:t xml:space="preserve">as well as climate mitigation and adaptation across the economies and societies, </w:t>
      </w:r>
      <w:r w:rsidRPr="58180750">
        <w:rPr>
          <w:rFonts w:eastAsia="Calibri" w:cs="Calibri"/>
          <w:color w:val="000000" w:themeColor="text1"/>
          <w:lang w:val="en-US"/>
        </w:rPr>
        <w:t xml:space="preserve">while addressing the environmental impact of digitalization. Increased digital adoption escalates energy </w:t>
      </w:r>
      <w:r w:rsidR="2ADD3769" w:rsidRPr="00F21D41">
        <w:rPr>
          <w:rFonts w:eastAsia="Calibri" w:cs="Calibri"/>
          <w:color w:val="000000" w:themeColor="text1"/>
          <w:spacing w:val="-2"/>
          <w:lang w:val="en-US"/>
        </w:rPr>
        <w:t xml:space="preserve">and water </w:t>
      </w:r>
      <w:r w:rsidRPr="00F21D41">
        <w:rPr>
          <w:rFonts w:eastAsia="Calibri" w:cs="Calibri"/>
          <w:color w:val="000000" w:themeColor="text1"/>
          <w:spacing w:val="-2"/>
          <w:lang w:val="en-US"/>
        </w:rPr>
        <w:t xml:space="preserve">consumption, </w:t>
      </w:r>
      <w:r w:rsidR="09627933" w:rsidRPr="00F21D41">
        <w:rPr>
          <w:rFonts w:eastAsia="Calibri" w:cs="Calibri"/>
          <w:color w:val="000000" w:themeColor="text1"/>
          <w:spacing w:val="-2"/>
          <w:lang w:val="en-US"/>
        </w:rPr>
        <w:t>green</w:t>
      </w:r>
      <w:r w:rsidR="706A6C09" w:rsidRPr="00F21D41">
        <w:rPr>
          <w:rFonts w:eastAsia="Calibri" w:cs="Calibri"/>
          <w:color w:val="000000" w:themeColor="text1"/>
          <w:spacing w:val="-2"/>
          <w:lang w:val="en-US"/>
        </w:rPr>
        <w:t xml:space="preserve">house gas </w:t>
      </w:r>
      <w:r w:rsidR="6FCA7F13" w:rsidRPr="00F21D41">
        <w:rPr>
          <w:rFonts w:eastAsia="Calibri" w:cs="Calibri"/>
          <w:color w:val="000000" w:themeColor="text1"/>
          <w:spacing w:val="-2"/>
          <w:lang w:val="en-US"/>
        </w:rPr>
        <w:t xml:space="preserve">(GHG) </w:t>
      </w:r>
      <w:r w:rsidRPr="00F21D41">
        <w:rPr>
          <w:rFonts w:eastAsia="Calibri" w:cs="Calibri"/>
          <w:color w:val="000000" w:themeColor="text1"/>
          <w:spacing w:val="-2"/>
          <w:lang w:val="en-US"/>
        </w:rPr>
        <w:t>emissions, material usage</w:t>
      </w:r>
      <w:r w:rsidRPr="58180750">
        <w:rPr>
          <w:rFonts w:eastAsia="Calibri" w:cs="Calibri"/>
          <w:color w:val="000000" w:themeColor="text1"/>
          <w:lang w:val="en-US"/>
        </w:rPr>
        <w:t>, and e-waste.</w:t>
      </w:r>
    </w:p>
    <w:p w14:paraId="6BEC0B5C" w14:textId="5543DFCF" w:rsidR="008749B6" w:rsidRPr="008749B6" w:rsidRDefault="008749B6" w:rsidP="58180750">
      <w:pPr>
        <w:spacing w:after="120"/>
        <w:jc w:val="both"/>
        <w:rPr>
          <w:rFonts w:eastAsia="Calibri" w:cs="Calibri"/>
          <w:lang w:val="en-US"/>
        </w:rPr>
      </w:pPr>
      <w:r w:rsidRPr="58180750">
        <w:rPr>
          <w:rFonts w:eastAsia="Calibri" w:cs="Calibri"/>
          <w:lang w:val="en-US"/>
        </w:rPr>
        <w:t xml:space="preserve">Connecting the 2.6 billion people currently offline will require more infrastructure and devices, which will further increase demand for scarce energy </w:t>
      </w:r>
      <w:r w:rsidR="4E5DA7C2" w:rsidRPr="58180750">
        <w:rPr>
          <w:rFonts w:eastAsia="Calibri" w:cs="Calibri"/>
          <w:lang w:val="en-US"/>
        </w:rPr>
        <w:t xml:space="preserve">and water </w:t>
      </w:r>
      <w:r w:rsidRPr="58180750">
        <w:rPr>
          <w:rFonts w:eastAsia="Calibri" w:cs="Calibri"/>
          <w:lang w:val="en-US"/>
        </w:rPr>
        <w:t>resources</w:t>
      </w:r>
      <w:r w:rsidR="00A66849">
        <w:rPr>
          <w:rFonts w:eastAsia="Calibri" w:cs="Calibri"/>
          <w:lang w:val="en-US"/>
        </w:rPr>
        <w:t xml:space="preserve">, </w:t>
      </w:r>
      <w:r w:rsidR="00256F2E">
        <w:rPr>
          <w:rFonts w:eastAsia="Calibri" w:cs="Calibri"/>
          <w:lang w:val="en-US"/>
        </w:rPr>
        <w:t>as well as</w:t>
      </w:r>
      <w:r w:rsidRPr="58180750">
        <w:rPr>
          <w:rFonts w:eastAsia="Calibri" w:cs="Calibri"/>
          <w:lang w:val="en-US"/>
        </w:rPr>
        <w:t xml:space="preserve"> </w:t>
      </w:r>
      <w:r w:rsidR="00A66849">
        <w:t>rare-earth elements and critical raw materials</w:t>
      </w:r>
      <w:r w:rsidR="003D1BBC">
        <w:t xml:space="preserve">, </w:t>
      </w:r>
      <w:r w:rsidRPr="58180750">
        <w:rPr>
          <w:rFonts w:eastAsia="Calibri" w:cs="Calibri"/>
          <w:lang w:val="en-US"/>
        </w:rPr>
        <w:t>and drive emissions and e-waste generation even higher if targeted interventions are not implemented.</w:t>
      </w:r>
    </w:p>
    <w:p w14:paraId="7F8B3547" w14:textId="582330CC" w:rsidR="004054E9" w:rsidRPr="008749B6" w:rsidRDefault="3D58E8A9" w:rsidP="00C706EA">
      <w:pPr>
        <w:spacing w:after="120"/>
        <w:jc w:val="both"/>
        <w:rPr>
          <w:rFonts w:eastAsia="Calibri" w:cs="Calibri"/>
        </w:rPr>
      </w:pPr>
      <w:r w:rsidRPr="232C934F">
        <w:rPr>
          <w:rFonts w:eastAsia="Calibri" w:cs="Calibri"/>
        </w:rPr>
        <w:t xml:space="preserve">As per the </w:t>
      </w:r>
      <w:hyperlink r:id="rId16" w:history="1">
        <w:r w:rsidR="00916294" w:rsidRPr="00916294">
          <w:rPr>
            <w:rStyle w:val="Hyperlink"/>
            <w:rFonts w:eastAsia="Calibri" w:cs="Calibri"/>
          </w:rPr>
          <w:t>Global E-waste Monitor 2024</w:t>
        </w:r>
      </w:hyperlink>
      <w:r w:rsidRPr="232C934F">
        <w:rPr>
          <w:rFonts w:eastAsia="Calibri" w:cs="Calibri"/>
        </w:rPr>
        <w:t>, f</w:t>
      </w:r>
      <w:r w:rsidR="008749B6" w:rsidRPr="232C934F">
        <w:rPr>
          <w:rFonts w:eastAsia="Calibri" w:cs="Calibri"/>
        </w:rPr>
        <w:t>rom 2010 to 2022, both the amount of e-waste generated and the amount of e-waste documented to be formally collected and recycled have increased, from 34 billion kg to 62</w:t>
      </w:r>
      <w:r w:rsidR="00060708">
        <w:rPr>
          <w:rFonts w:eastAsia="Calibri" w:cs="Calibri"/>
        </w:rPr>
        <w:t> </w:t>
      </w:r>
      <w:r w:rsidR="008749B6" w:rsidRPr="232C934F">
        <w:rPr>
          <w:rFonts w:eastAsia="Calibri" w:cs="Calibri"/>
        </w:rPr>
        <w:t>billion kg, and 8 billion kg to 13</w:t>
      </w:r>
      <w:r w:rsidR="008749B6" w:rsidRPr="00DA36A8">
        <w:rPr>
          <w:rFonts w:eastAsia="Calibri" w:cs="Calibri"/>
          <w:spacing w:val="2"/>
        </w:rPr>
        <w:t xml:space="preserve">.8 billion kg, respectively. </w:t>
      </w:r>
      <w:r w:rsidR="1512A3B9" w:rsidRPr="00DA36A8">
        <w:rPr>
          <w:rFonts w:eastAsia="Calibri" w:cs="Calibri"/>
          <w:spacing w:val="2"/>
        </w:rPr>
        <w:t>However</w:t>
      </w:r>
      <w:r w:rsidR="008749B6" w:rsidRPr="00DA36A8">
        <w:rPr>
          <w:rFonts w:eastAsia="Calibri" w:cs="Calibri"/>
          <w:spacing w:val="2"/>
        </w:rPr>
        <w:t>, the growth of</w:t>
      </w:r>
      <w:r w:rsidR="008749B6" w:rsidRPr="232C934F">
        <w:rPr>
          <w:rFonts w:eastAsia="Calibri" w:cs="Calibri"/>
        </w:rPr>
        <w:t xml:space="preserve"> e-waste generation is outpacing the formal collection and recycling by almost a factor of 5. Worldwide, 81 countries (or 42 per cent) currently have an e-waste policy, legislation, or regulation. It is projected that 82 billion kg of e-waste will be generated in 2030. In a business</w:t>
      </w:r>
      <w:r w:rsidR="007E6670">
        <w:rPr>
          <w:rFonts w:eastAsia="Calibri" w:cs="Calibri"/>
        </w:rPr>
        <w:t>-</w:t>
      </w:r>
      <w:r w:rsidR="008749B6" w:rsidRPr="232C934F">
        <w:rPr>
          <w:rFonts w:eastAsia="Calibri" w:cs="Calibri"/>
        </w:rPr>
        <w:t>as</w:t>
      </w:r>
      <w:r w:rsidR="007E6670">
        <w:rPr>
          <w:rFonts w:eastAsia="Calibri" w:cs="Calibri"/>
        </w:rPr>
        <w:t>-</w:t>
      </w:r>
      <w:r w:rsidR="008749B6" w:rsidRPr="232C934F">
        <w:rPr>
          <w:rFonts w:eastAsia="Calibri" w:cs="Calibri"/>
        </w:rPr>
        <w:t>usual scenario, documented formal collection and recycling rates will decline to 20 per cent in 2030</w:t>
      </w:r>
      <w:r w:rsidR="00A47B6F">
        <w:rPr>
          <w:rFonts w:eastAsia="Calibri" w:cs="Calibri"/>
        </w:rPr>
        <w:t>.</w:t>
      </w:r>
      <w:r w:rsidR="0025787D" w:rsidRPr="58180750">
        <w:rPr>
          <w:rStyle w:val="FootnoteReference"/>
          <w:rFonts w:eastAsia="Calibri" w:cs="Calibri"/>
          <w:lang w:val="en-US"/>
        </w:rPr>
        <w:footnoteReference w:id="2"/>
      </w:r>
    </w:p>
    <w:p w14:paraId="757E1211" w14:textId="1313974F" w:rsidR="00E94343" w:rsidRPr="008749B6" w:rsidRDefault="008749B6" w:rsidP="58180750">
      <w:pPr>
        <w:spacing w:after="120"/>
        <w:jc w:val="both"/>
        <w:rPr>
          <w:rFonts w:eastAsia="Calibri" w:cs="Calibri"/>
          <w:lang w:val="en-US"/>
        </w:rPr>
      </w:pPr>
      <w:r w:rsidRPr="58180750">
        <w:rPr>
          <w:rFonts w:eastAsia="Calibri" w:cs="Calibri"/>
          <w:lang w:val="en-US"/>
        </w:rPr>
        <w:t>In parallel, the rapidly increasing digitalization requires more energy resulting in GHG emissions. Estimates of the ICT sector’s share of global carbon emissions vary across the literature ranging from 1.5 to 4 percent</w:t>
      </w:r>
      <w:r w:rsidR="00506BD7" w:rsidRPr="58180750">
        <w:rPr>
          <w:rFonts w:eastAsia="Calibri" w:cs="Calibri"/>
          <w:lang w:val="en-US"/>
        </w:rPr>
        <w:t>.</w:t>
      </w:r>
      <w:r w:rsidR="00A6170F" w:rsidRPr="58180750">
        <w:rPr>
          <w:rStyle w:val="FootnoteReference"/>
          <w:rFonts w:eastAsia="Calibri" w:cs="Calibri"/>
          <w:lang w:val="en-US"/>
        </w:rPr>
        <w:footnoteReference w:id="3"/>
      </w:r>
      <w:r w:rsidRPr="58180750">
        <w:rPr>
          <w:rFonts w:eastAsia="Calibri" w:cs="Calibri"/>
          <w:lang w:val="en-US"/>
        </w:rPr>
        <w:t xml:space="preserve"> Based on the data and estimates in </w:t>
      </w:r>
      <w:r w:rsidR="00916294">
        <w:rPr>
          <w:rFonts w:eastAsia="Calibri" w:cs="Calibri"/>
          <w:lang w:val="en-US"/>
        </w:rPr>
        <w:t>the</w:t>
      </w:r>
      <w:r w:rsidR="00BE3356">
        <w:rPr>
          <w:rFonts w:eastAsia="Calibri" w:cs="Calibri"/>
          <w:lang w:val="en-US"/>
        </w:rPr>
        <w:t xml:space="preserve"> </w:t>
      </w:r>
      <w:r w:rsidRPr="58180750">
        <w:rPr>
          <w:rFonts w:eastAsia="Calibri" w:cs="Calibri"/>
          <w:lang w:val="en-US"/>
        </w:rPr>
        <w:t>report</w:t>
      </w:r>
      <w:r w:rsidR="00B63208">
        <w:rPr>
          <w:rFonts w:eastAsia="Calibri" w:cs="Calibri"/>
          <w:lang w:val="en-US"/>
        </w:rPr>
        <w:t xml:space="preserve"> </w:t>
      </w:r>
      <w:hyperlink r:id="rId17" w:history="1">
        <w:r w:rsidR="00AC0B20" w:rsidRPr="00B63208">
          <w:rPr>
            <w:rStyle w:val="Hyperlink"/>
            <w:rFonts w:eastAsia="Calibri" w:cs="Calibri"/>
            <w:lang w:val="en-US"/>
          </w:rPr>
          <w:t>Measuring the Emissions and Energy Footprint of the ICT Sector: Implications for Climate Action</w:t>
        </w:r>
      </w:hyperlink>
      <w:r w:rsidR="00AC0B20">
        <w:rPr>
          <w:rFonts w:eastAsia="Calibri" w:cs="Calibri"/>
          <w:lang w:val="en-US"/>
        </w:rPr>
        <w:t xml:space="preserve">, 2024, </w:t>
      </w:r>
      <w:r w:rsidRPr="58180750">
        <w:rPr>
          <w:rFonts w:eastAsia="Calibri" w:cs="Calibri"/>
          <w:lang w:val="en-US"/>
        </w:rPr>
        <w:t xml:space="preserve">by ITU and the World Bank, at least 1.7 percent of global emissions stem from </w:t>
      </w:r>
      <w:r w:rsidRPr="00F21D41">
        <w:rPr>
          <w:rFonts w:eastAsia="Calibri" w:cs="Calibri"/>
          <w:lang w:val="en-US"/>
        </w:rPr>
        <w:t>the ICT sector, and electricity consumption within the ICT sector reached an estimated</w:t>
      </w:r>
      <w:r w:rsidRPr="58180750">
        <w:rPr>
          <w:rFonts w:eastAsia="Calibri" w:cs="Calibri"/>
          <w:lang w:val="en-US"/>
        </w:rPr>
        <w:t xml:space="preserve"> 1</w:t>
      </w:r>
      <w:r w:rsidR="00F21D41">
        <w:rPr>
          <w:rFonts w:eastAsia="Calibri" w:cs="Calibri"/>
          <w:lang w:val="en-US"/>
        </w:rPr>
        <w:t> </w:t>
      </w:r>
      <w:r w:rsidRPr="58180750">
        <w:rPr>
          <w:rFonts w:eastAsia="Calibri" w:cs="Calibri"/>
          <w:lang w:val="en-US"/>
        </w:rPr>
        <w:t>183</w:t>
      </w:r>
      <w:r w:rsidR="00F21D41">
        <w:rPr>
          <w:rFonts w:eastAsia="Calibri" w:cs="Calibri"/>
          <w:lang w:val="en-US"/>
        </w:rPr>
        <w:t> </w:t>
      </w:r>
      <w:r w:rsidRPr="58180750">
        <w:rPr>
          <w:rFonts w:eastAsia="Calibri" w:cs="Calibri"/>
          <w:lang w:val="en-US"/>
        </w:rPr>
        <w:t>TWh in 2022, representing a 6.9 percent increase in ICT sector electricity consumption from 2020 to 2022</w:t>
      </w:r>
      <w:r w:rsidR="00A47B6F" w:rsidRPr="58180750">
        <w:rPr>
          <w:rFonts w:eastAsia="Calibri" w:cs="Calibri"/>
          <w:lang w:val="en-US"/>
        </w:rPr>
        <w:t>.</w:t>
      </w:r>
      <w:r w:rsidR="00B74FA7" w:rsidRPr="58180750">
        <w:rPr>
          <w:rStyle w:val="FootnoteReference"/>
          <w:rFonts w:eastAsia="Calibri" w:cs="Calibri"/>
          <w:lang w:val="en-US"/>
        </w:rPr>
        <w:footnoteReference w:id="4"/>
      </w:r>
      <w:r w:rsidRPr="58180750">
        <w:rPr>
          <w:rFonts w:eastAsia="Calibri" w:cs="Calibri"/>
          <w:lang w:val="en-US"/>
        </w:rPr>
        <w:t xml:space="preserve"> Growing data storage and processing needs, including for AI systems, are further increasing the ICT sector’s carbon footprint and require a significant amount of energy, leading to emission and energy supply concerns</w:t>
      </w:r>
      <w:r w:rsidR="004574BC" w:rsidRPr="58180750">
        <w:rPr>
          <w:rFonts w:eastAsia="Calibri" w:cs="Calibri"/>
          <w:lang w:val="en-US"/>
        </w:rPr>
        <w:t>.</w:t>
      </w:r>
      <w:r w:rsidR="0019766E" w:rsidRPr="58180750">
        <w:rPr>
          <w:rStyle w:val="FootnoteReference"/>
          <w:rFonts w:eastAsia="Calibri" w:cs="Calibri"/>
          <w:lang w:val="en-US"/>
        </w:rPr>
        <w:footnoteReference w:id="5"/>
      </w:r>
      <w:r w:rsidRPr="58180750">
        <w:rPr>
          <w:rFonts w:eastAsia="Calibri" w:cs="Calibri"/>
          <w:lang w:val="en-US"/>
        </w:rPr>
        <w:t xml:space="preserve"> Additionally, data infrastructure consumes refrigerants and large amounts of water for cooling</w:t>
      </w:r>
      <w:r w:rsidR="004574BC" w:rsidRPr="58180750">
        <w:rPr>
          <w:rFonts w:eastAsia="Calibri" w:cs="Calibri"/>
          <w:lang w:val="en-US"/>
        </w:rPr>
        <w:t>.</w:t>
      </w:r>
      <w:r w:rsidR="000A6852" w:rsidRPr="58180750">
        <w:rPr>
          <w:rStyle w:val="FootnoteReference"/>
          <w:rFonts w:eastAsia="Calibri" w:cs="Calibri"/>
          <w:lang w:val="en-US"/>
        </w:rPr>
        <w:footnoteReference w:id="6"/>
      </w:r>
      <w:r w:rsidRPr="58180750">
        <w:rPr>
          <w:rFonts w:eastAsia="Calibri" w:cs="Calibri"/>
          <w:lang w:val="en-US"/>
        </w:rPr>
        <w:t xml:space="preserve"> </w:t>
      </w:r>
    </w:p>
    <w:p w14:paraId="67CE4543" w14:textId="06C21295" w:rsidR="00E94343" w:rsidRPr="008749B6" w:rsidRDefault="008749B6" w:rsidP="00C706EA">
      <w:pPr>
        <w:spacing w:after="120"/>
        <w:jc w:val="both"/>
        <w:rPr>
          <w:rFonts w:eastAsia="Calibri" w:cs="Calibri"/>
          <w:szCs w:val="24"/>
          <w:lang w:val="en-US"/>
        </w:rPr>
      </w:pPr>
      <w:r w:rsidRPr="008749B6">
        <w:rPr>
          <w:rFonts w:eastAsia="Calibri" w:cs="Calibri"/>
          <w:szCs w:val="24"/>
          <w:lang w:val="en-US"/>
        </w:rPr>
        <w:t>ITU is at the forefront of global initiatives to improve environmental efficiency, build circular digital economies, reduce e-waste and greenhouse gas emissions, and put the ICT sector at the forefront of climate and environmental action.</w:t>
      </w:r>
    </w:p>
    <w:p w14:paraId="435A442B" w14:textId="2B5F738B" w:rsidR="008749B6" w:rsidRPr="008749B6" w:rsidRDefault="008749B6" w:rsidP="58180750">
      <w:pPr>
        <w:spacing w:after="120"/>
        <w:jc w:val="both"/>
        <w:rPr>
          <w:rFonts w:eastAsia="Calibri" w:cs="Calibri"/>
          <w:lang w:val="en-US"/>
        </w:rPr>
      </w:pPr>
      <w:r w:rsidRPr="58180750">
        <w:rPr>
          <w:rFonts w:eastAsia="Calibri" w:cs="Calibri"/>
          <w:lang w:val="en-US"/>
        </w:rPr>
        <w:lastRenderedPageBreak/>
        <w:t xml:space="preserve">ITU-R creates the regulatory and technical bases for the development and effective operation of satellite and terrestrial climate monitoring and data dissemination systems. The ITU-D Environment Thematic Priority covers activities and issues related to e-waste management through the development of policy and regulation, collection of data and statistics, and the role of ICTs in enhancing environmental sustainability for climate action. ITU-T </w:t>
      </w:r>
      <w:r w:rsidR="002D147B" w:rsidRPr="58180750">
        <w:rPr>
          <w:rFonts w:eastAsia="Calibri" w:cs="Calibri"/>
          <w:lang w:val="en-US"/>
        </w:rPr>
        <w:t xml:space="preserve">develops </w:t>
      </w:r>
      <w:r w:rsidRPr="58180750">
        <w:rPr>
          <w:rFonts w:eastAsia="Calibri" w:cs="Calibri"/>
          <w:lang w:val="en-US"/>
        </w:rPr>
        <w:t>standards</w:t>
      </w:r>
      <w:r w:rsidR="002D147B" w:rsidRPr="58180750">
        <w:rPr>
          <w:rFonts w:eastAsia="Calibri" w:cs="Calibri"/>
          <w:lang w:val="en-US"/>
        </w:rPr>
        <w:t xml:space="preserve"> that</w:t>
      </w:r>
      <w:r w:rsidRPr="58180750">
        <w:rPr>
          <w:rFonts w:eastAsia="Calibri" w:cs="Calibri"/>
          <w:lang w:val="en-US"/>
        </w:rPr>
        <w:t xml:space="preserve"> focus on environmental sustainability through measurement, energy efficiency, and circular economy, offering tools for emissions tracking, smart energy control, green data centre practices, sustainable e-waste management, and measuring the impact of ICT in other sectors</w:t>
      </w:r>
      <w:r w:rsidR="00B63208">
        <w:rPr>
          <w:rFonts w:eastAsia="Calibri" w:cs="Calibri"/>
          <w:lang w:val="en-US"/>
        </w:rPr>
        <w:t xml:space="preserve">, </w:t>
      </w:r>
      <w:r w:rsidR="00B63208" w:rsidRPr="58180750">
        <w:rPr>
          <w:rFonts w:eastAsia="Calibri" w:cs="Calibri"/>
          <w:lang w:val="en-US"/>
        </w:rPr>
        <w:t xml:space="preserve">which is possible due to </w:t>
      </w:r>
      <w:hyperlink r:id="rId18">
        <w:r w:rsidR="00B63208" w:rsidRPr="58180750">
          <w:rPr>
            <w:rStyle w:val="Hyperlink"/>
            <w:rFonts w:eastAsia="Calibri" w:cs="Calibri"/>
            <w:lang w:val="en-US"/>
          </w:rPr>
          <w:t>Recommendation ITU-T L.1480</w:t>
        </w:r>
      </w:hyperlink>
      <w:r w:rsidR="00B63208">
        <w:rPr>
          <w:rStyle w:val="Hyperlink"/>
          <w:rFonts w:eastAsia="Calibri" w:cs="Calibri"/>
          <w:lang w:val="en-US"/>
        </w:rPr>
        <w:t>,</w:t>
      </w:r>
      <w:r w:rsidRPr="58180750">
        <w:rPr>
          <w:rFonts w:eastAsia="Calibri" w:cs="Calibri"/>
          <w:lang w:val="en-US"/>
        </w:rPr>
        <w:t xml:space="preserve"> or on biodiversity. </w:t>
      </w:r>
      <w:r w:rsidR="008E782E">
        <w:rPr>
          <w:rFonts w:eastAsia="Calibri" w:cs="Calibri"/>
          <w:lang w:val="en-US"/>
        </w:rPr>
        <w:t xml:space="preserve"> The </w:t>
      </w:r>
      <w:r w:rsidR="008E782E" w:rsidRPr="00153D17">
        <w:rPr>
          <w:rFonts w:eastAsia="Calibri"/>
          <w:lang w:val="en-US"/>
        </w:rPr>
        <w:t xml:space="preserve">General Secretariat </w:t>
      </w:r>
      <w:r w:rsidR="00F82DEE">
        <w:rPr>
          <w:rFonts w:eastAsia="Calibri"/>
          <w:lang w:val="en-US"/>
        </w:rPr>
        <w:t>facilitates</w:t>
      </w:r>
      <w:r w:rsidR="008E782E" w:rsidRPr="00153D17">
        <w:rPr>
          <w:rFonts w:eastAsia="Calibri"/>
          <w:lang w:val="en-US"/>
        </w:rPr>
        <w:t xml:space="preserve"> intersectoral coordination and </w:t>
      </w:r>
      <w:r w:rsidR="008E782E" w:rsidRPr="00F21D41">
        <w:rPr>
          <w:rFonts w:eastAsia="Calibri"/>
          <w:lang w:val="en-US"/>
        </w:rPr>
        <w:t xml:space="preserve">liaises with key initiatives that focus on connecting digital technologies with environmental sustainability, such as the Coalition for Digital Environmental Sustainability (CODES), which ITU </w:t>
      </w:r>
      <w:r w:rsidR="00153D17" w:rsidRPr="00F21D41">
        <w:rPr>
          <w:rFonts w:eastAsia="Calibri"/>
          <w:lang w:val="en-US"/>
        </w:rPr>
        <w:t>has</w:t>
      </w:r>
      <w:r w:rsidR="008E782E" w:rsidRPr="00F21D41">
        <w:rPr>
          <w:rFonts w:eastAsia="Calibri"/>
          <w:lang w:val="en-US"/>
        </w:rPr>
        <w:t xml:space="preserve"> joined as a co-champion</w:t>
      </w:r>
      <w:r w:rsidR="00153D17" w:rsidRPr="00F21D41">
        <w:rPr>
          <w:rFonts w:eastAsia="Calibri"/>
          <w:lang w:val="en-US"/>
        </w:rPr>
        <w:t xml:space="preserve"> in 2023.</w:t>
      </w:r>
    </w:p>
    <w:p w14:paraId="43CAD40D" w14:textId="2B8543AC" w:rsidR="008749B6" w:rsidRPr="005122FF" w:rsidRDefault="008749B6" w:rsidP="003C0F00">
      <w:pPr>
        <w:spacing w:after="120"/>
        <w:jc w:val="both"/>
        <w:rPr>
          <w:rFonts w:eastAsia="Calibri" w:cs="Calibri"/>
          <w:szCs w:val="24"/>
          <w:lang w:val="en-US"/>
        </w:rPr>
      </w:pPr>
      <w:r w:rsidRPr="005122FF">
        <w:rPr>
          <w:rFonts w:eastAsia="Calibri" w:cs="Calibri"/>
          <w:szCs w:val="24"/>
          <w:lang w:val="en-US"/>
        </w:rPr>
        <w:t xml:space="preserve">A comprehensive list of activities across the </w:t>
      </w:r>
      <w:proofErr w:type="spellStart"/>
      <w:r w:rsidRPr="005122FF">
        <w:rPr>
          <w:rFonts w:eastAsia="Calibri" w:cs="Calibri"/>
          <w:szCs w:val="24"/>
          <w:lang w:val="en-US"/>
        </w:rPr>
        <w:t>Bureaux</w:t>
      </w:r>
      <w:proofErr w:type="spellEnd"/>
      <w:r w:rsidRPr="005122FF">
        <w:rPr>
          <w:rFonts w:eastAsia="Calibri" w:cs="Calibri"/>
          <w:szCs w:val="24"/>
          <w:lang w:val="en-US"/>
        </w:rPr>
        <w:t xml:space="preserve"> and key milestones between March 2023 and March 2024 can be found in</w:t>
      </w:r>
      <w:r w:rsidR="002D5961">
        <w:rPr>
          <w:rFonts w:eastAsia="Calibri" w:cs="Calibri"/>
          <w:szCs w:val="24"/>
          <w:lang w:val="en-US"/>
        </w:rPr>
        <w:t xml:space="preserve"> document</w:t>
      </w:r>
      <w:r w:rsidRPr="005122FF">
        <w:rPr>
          <w:rFonts w:eastAsia="Calibri" w:cs="Calibri"/>
          <w:szCs w:val="24"/>
          <w:lang w:val="en-US"/>
        </w:rPr>
        <w:t xml:space="preserve"> </w:t>
      </w:r>
      <w:hyperlink r:id="rId19" w:history="1">
        <w:r w:rsidRPr="003C0F00">
          <w:rPr>
            <w:rStyle w:val="Hyperlink"/>
            <w:rFonts w:eastAsia="Calibri"/>
          </w:rPr>
          <w:t>C24/35</w:t>
        </w:r>
      </w:hyperlink>
      <w:r w:rsidRPr="005122FF">
        <w:rPr>
          <w:rFonts w:eastAsia="Calibri" w:cs="Calibri"/>
          <w:szCs w:val="24"/>
          <w:lang w:val="en-US"/>
        </w:rPr>
        <w:t>.</w:t>
      </w:r>
    </w:p>
    <w:p w14:paraId="6361BF33" w14:textId="77777777" w:rsidR="00B63535" w:rsidRPr="009F47B3" w:rsidRDefault="00B63535" w:rsidP="009F47B3">
      <w:pPr>
        <w:spacing w:before="360" w:after="120"/>
        <w:jc w:val="both"/>
        <w:rPr>
          <w:b/>
          <w:bCs/>
          <w:sz w:val="26"/>
          <w:szCs w:val="26"/>
          <w:u w:val="single"/>
        </w:rPr>
      </w:pPr>
      <w:r w:rsidRPr="009F47B3">
        <w:rPr>
          <w:b/>
          <w:bCs/>
          <w:sz w:val="26"/>
          <w:szCs w:val="26"/>
          <w:u w:val="single"/>
        </w:rPr>
        <w:t>Green Digital Action</w:t>
      </w:r>
    </w:p>
    <w:p w14:paraId="2AA1604A" w14:textId="006B2F45" w:rsidR="008928BF" w:rsidRPr="009F47B3" w:rsidRDefault="04BBE5DA" w:rsidP="008928BF">
      <w:pPr>
        <w:spacing w:after="120"/>
        <w:jc w:val="both"/>
      </w:pPr>
      <w:r>
        <w:t xml:space="preserve">Green Digital Action </w:t>
      </w:r>
      <w:r w:rsidR="68FF8D24">
        <w:t xml:space="preserve">was </w:t>
      </w:r>
      <w:r>
        <w:t xml:space="preserve">launched </w:t>
      </w:r>
      <w:r w:rsidR="284EFE23">
        <w:t xml:space="preserve">in the lead up to </w:t>
      </w:r>
      <w:r>
        <w:t xml:space="preserve">the </w:t>
      </w:r>
      <w:r w:rsidR="6EC36FC0">
        <w:t>28th Conference of the Parties (COP</w:t>
      </w:r>
      <w:r w:rsidR="21E2BF31">
        <w:t>28</w:t>
      </w:r>
      <w:r w:rsidR="6EC36FC0">
        <w:t>)</w:t>
      </w:r>
      <w:r>
        <w:t xml:space="preserve"> </w:t>
      </w:r>
      <w:r w:rsidR="6EC36FC0">
        <w:t>of the U</w:t>
      </w:r>
      <w:r w:rsidR="61E65A2C">
        <w:t>nited Nations</w:t>
      </w:r>
      <w:r w:rsidR="6EC36FC0">
        <w:t xml:space="preserve"> Framework Convention on Climate Change (UNFCCC) </w:t>
      </w:r>
      <w:r>
        <w:t xml:space="preserve">to accelerate </w:t>
      </w:r>
      <w:r w:rsidR="194602F7">
        <w:t>concrete</w:t>
      </w:r>
      <w:r>
        <w:t xml:space="preserve"> climate and environmental sustainability activities through </w:t>
      </w:r>
      <w:r w:rsidR="2C613910">
        <w:t xml:space="preserve">a </w:t>
      </w:r>
      <w:r w:rsidR="194602F7">
        <w:t>collaborative</w:t>
      </w:r>
      <w:r w:rsidR="248BC499">
        <w:t xml:space="preserve"> </w:t>
      </w:r>
      <w:r>
        <w:t>multi-stakeholder process</w:t>
      </w:r>
      <w:r w:rsidR="194602F7">
        <w:t>.</w:t>
      </w:r>
      <w:r w:rsidR="6C3F80A7">
        <w:t xml:space="preserve"> </w:t>
      </w:r>
      <w:r w:rsidR="0F4425D6">
        <w:t>More than 40 Green Digital Action partners joined the ITU at COP28</w:t>
      </w:r>
      <w:r w:rsidR="33206CE2">
        <w:t xml:space="preserve"> to present</w:t>
      </w:r>
      <w:r w:rsidR="5EC1F076">
        <w:t>,</w:t>
      </w:r>
      <w:r w:rsidR="33206CE2">
        <w:t xml:space="preserve"> provide a boost for </w:t>
      </w:r>
      <w:r w:rsidR="7FDFEFC7">
        <w:t xml:space="preserve">and invite other stakeholders to </w:t>
      </w:r>
      <w:r w:rsidR="33206CE2">
        <w:t>join co-created initiatives</w:t>
      </w:r>
      <w:r w:rsidR="5A71B51B">
        <w:t xml:space="preserve"> along </w:t>
      </w:r>
      <w:r w:rsidR="1A405E5E">
        <w:t>six</w:t>
      </w:r>
      <w:r w:rsidR="212A5F90">
        <w:t xml:space="preserve"> thematic pillars: </w:t>
      </w:r>
    </w:p>
    <w:p w14:paraId="0BF7B2C1" w14:textId="77777777" w:rsidR="008928BF" w:rsidRPr="009F47B3" w:rsidRDefault="008928BF" w:rsidP="009F47B3">
      <w:pPr>
        <w:pStyle w:val="ListParagraph"/>
        <w:numPr>
          <w:ilvl w:val="0"/>
          <w:numId w:val="10"/>
        </w:numPr>
        <w:spacing w:after="60"/>
        <w:jc w:val="both"/>
        <w:rPr>
          <w:sz w:val="24"/>
          <w:szCs w:val="24"/>
        </w:rPr>
      </w:pPr>
      <w:r w:rsidRPr="009F47B3">
        <w:rPr>
          <w:sz w:val="24"/>
          <w:szCs w:val="24"/>
        </w:rPr>
        <w:t>Reduce ICT Sector Emissions</w:t>
      </w:r>
    </w:p>
    <w:p w14:paraId="38914E9C" w14:textId="5B0005B6" w:rsidR="008928BF" w:rsidRPr="009F47B3" w:rsidRDefault="008928BF" w:rsidP="009F47B3">
      <w:pPr>
        <w:pStyle w:val="ListParagraph"/>
        <w:numPr>
          <w:ilvl w:val="0"/>
          <w:numId w:val="10"/>
        </w:numPr>
        <w:spacing w:before="60" w:after="60"/>
        <w:jc w:val="both"/>
        <w:rPr>
          <w:sz w:val="24"/>
          <w:szCs w:val="24"/>
        </w:rPr>
      </w:pPr>
      <w:r w:rsidRPr="009F47B3">
        <w:rPr>
          <w:sz w:val="24"/>
          <w:szCs w:val="24"/>
        </w:rPr>
        <w:t xml:space="preserve">Foster a circular ICT </w:t>
      </w:r>
      <w:proofErr w:type="gramStart"/>
      <w:r w:rsidR="0ED3A209" w:rsidRPr="009F47B3">
        <w:rPr>
          <w:sz w:val="24"/>
          <w:szCs w:val="24"/>
        </w:rPr>
        <w:t>sector</w:t>
      </w:r>
      <w:proofErr w:type="gramEnd"/>
    </w:p>
    <w:p w14:paraId="39818EDD" w14:textId="77777777" w:rsidR="008928BF" w:rsidRPr="009F47B3" w:rsidRDefault="008928BF" w:rsidP="009F47B3">
      <w:pPr>
        <w:pStyle w:val="ListParagraph"/>
        <w:numPr>
          <w:ilvl w:val="0"/>
          <w:numId w:val="10"/>
        </w:numPr>
        <w:spacing w:before="60" w:after="60"/>
        <w:jc w:val="both"/>
        <w:rPr>
          <w:sz w:val="24"/>
          <w:szCs w:val="24"/>
        </w:rPr>
      </w:pPr>
      <w:r w:rsidRPr="009F47B3">
        <w:rPr>
          <w:sz w:val="24"/>
          <w:szCs w:val="24"/>
        </w:rPr>
        <w:t>Advance climate solutions through open environmental data and technologies</w:t>
      </w:r>
    </w:p>
    <w:p w14:paraId="3A52861C" w14:textId="77777777" w:rsidR="008928BF" w:rsidRPr="009F47B3" w:rsidRDefault="008928BF" w:rsidP="009F47B3">
      <w:pPr>
        <w:pStyle w:val="ListParagraph"/>
        <w:numPr>
          <w:ilvl w:val="0"/>
          <w:numId w:val="10"/>
        </w:numPr>
        <w:spacing w:before="60" w:after="60"/>
        <w:jc w:val="both"/>
        <w:rPr>
          <w:sz w:val="24"/>
          <w:szCs w:val="24"/>
        </w:rPr>
      </w:pPr>
      <w:r w:rsidRPr="009F47B3">
        <w:rPr>
          <w:sz w:val="24"/>
          <w:szCs w:val="24"/>
        </w:rPr>
        <w:t xml:space="preserve">Build momentum to implement green </w:t>
      </w:r>
      <w:proofErr w:type="gramStart"/>
      <w:r w:rsidRPr="009F47B3">
        <w:rPr>
          <w:sz w:val="24"/>
          <w:szCs w:val="24"/>
        </w:rPr>
        <w:t>standards</w:t>
      </w:r>
      <w:proofErr w:type="gramEnd"/>
    </w:p>
    <w:p w14:paraId="0AEFA123" w14:textId="77777777" w:rsidR="008928BF" w:rsidRPr="009F47B3" w:rsidRDefault="008928BF" w:rsidP="009F47B3">
      <w:pPr>
        <w:pStyle w:val="ListParagraph"/>
        <w:numPr>
          <w:ilvl w:val="0"/>
          <w:numId w:val="10"/>
        </w:numPr>
        <w:spacing w:before="60" w:after="60"/>
        <w:jc w:val="both"/>
        <w:rPr>
          <w:sz w:val="24"/>
          <w:szCs w:val="24"/>
        </w:rPr>
      </w:pPr>
      <w:r w:rsidRPr="009F47B3">
        <w:rPr>
          <w:sz w:val="24"/>
          <w:szCs w:val="24"/>
        </w:rPr>
        <w:t xml:space="preserve">Facilitate a green transition across all industries through digital technology and skills </w:t>
      </w:r>
      <w:proofErr w:type="gramStart"/>
      <w:r w:rsidRPr="009F47B3">
        <w:rPr>
          <w:sz w:val="24"/>
          <w:szCs w:val="24"/>
        </w:rPr>
        <w:t>development</w:t>
      </w:r>
      <w:proofErr w:type="gramEnd"/>
    </w:p>
    <w:p w14:paraId="79A0D892" w14:textId="62250B64" w:rsidR="008928BF" w:rsidRPr="009F47B3" w:rsidRDefault="008928BF" w:rsidP="009F47B3">
      <w:pPr>
        <w:pStyle w:val="ListParagraph"/>
        <w:numPr>
          <w:ilvl w:val="0"/>
          <w:numId w:val="10"/>
        </w:numPr>
        <w:spacing w:before="60" w:after="120"/>
        <w:jc w:val="both"/>
        <w:rPr>
          <w:sz w:val="24"/>
          <w:szCs w:val="24"/>
        </w:rPr>
      </w:pPr>
      <w:r w:rsidRPr="009F47B3">
        <w:rPr>
          <w:sz w:val="24"/>
          <w:szCs w:val="24"/>
        </w:rPr>
        <w:t>Leverage digital systems to ensure life-saving disaster alerts, in line with the U</w:t>
      </w:r>
      <w:r w:rsidR="009F47B3">
        <w:rPr>
          <w:sz w:val="24"/>
          <w:szCs w:val="24"/>
        </w:rPr>
        <w:t>nited Nations</w:t>
      </w:r>
      <w:r w:rsidRPr="009F47B3">
        <w:rPr>
          <w:sz w:val="24"/>
          <w:szCs w:val="24"/>
        </w:rPr>
        <w:t xml:space="preserve"> Secretary-General’s Early Warnings for All Initiative</w:t>
      </w:r>
    </w:p>
    <w:p w14:paraId="3EB5471D" w14:textId="10A4864E" w:rsidR="00CE2294" w:rsidRDefault="687DC057" w:rsidP="00F21D41">
      <w:pPr>
        <w:spacing w:after="120" w:line="259" w:lineRule="auto"/>
        <w:jc w:val="both"/>
      </w:pPr>
      <w:r>
        <w:t xml:space="preserve">At COP28 the Green Digital Action partners launched specific </w:t>
      </w:r>
      <w:hyperlink r:id="rId20" w:history="1">
        <w:r w:rsidRPr="0066192A">
          <w:rPr>
            <w:rStyle w:val="Hyperlink"/>
          </w:rPr>
          <w:t>commitments</w:t>
        </w:r>
      </w:hyperlink>
      <w:r>
        <w:t xml:space="preserve"> along the thematic priorities. Working groups comprised of and led by partners are progressing </w:t>
      </w:r>
      <w:r w:rsidR="2F62C9A5">
        <w:t xml:space="preserve">on their implementation. </w:t>
      </w:r>
    </w:p>
    <w:p w14:paraId="2E0C1814" w14:textId="7575C3B4" w:rsidR="004054E9" w:rsidRDefault="3253988D" w:rsidP="50052FA2">
      <w:pPr>
        <w:spacing w:after="120"/>
        <w:jc w:val="both"/>
      </w:pPr>
      <w:r>
        <w:t>Green Digital Action aims to continue leveraging UNFCCC COPs to place an enhanced focus on the importance of digital technologies and services in the fight against the climate crisis</w:t>
      </w:r>
      <w:r w:rsidR="7689C1F8">
        <w:t>.</w:t>
      </w:r>
      <w:r w:rsidR="7A87D303">
        <w:t xml:space="preserve"> The Secretariat is collaborating with Azerbaijan and Brazil presidencies of COP29 and COP30 in this regard.</w:t>
      </w:r>
      <w:r w:rsidR="00501096">
        <w:t xml:space="preserve"> </w:t>
      </w:r>
      <w:r w:rsidR="09EE11C9">
        <w:t xml:space="preserve">This initiative </w:t>
      </w:r>
      <w:r>
        <w:t>is also designed as a continuous multi-stakeholder collaborative initiative to mobilize intensified efforts of the ICT community in the fight against the climate crisis.</w:t>
      </w:r>
      <w:r w:rsidR="7D76EE8D">
        <w:t xml:space="preserve"> It also serves as a vehicle to strengthen intersectoral coordination and support harmonized fundraising efforts, aligning with ITU's Resource Mobilization Strategy (document </w:t>
      </w:r>
      <w:hyperlink r:id="rId21" w:history="1">
        <w:r w:rsidR="7D76EE8D" w:rsidRPr="50052FA2">
          <w:rPr>
            <w:rStyle w:val="Hyperlink"/>
          </w:rPr>
          <w:t>C24/70</w:t>
        </w:r>
      </w:hyperlink>
      <w:r w:rsidR="7D76EE8D">
        <w:t>).</w:t>
      </w:r>
      <w:r w:rsidR="15A3E014">
        <w:t xml:space="preserve"> Member States are invited to support this effort through voluntary contributions to the ITU-wide thematic green digital fund.</w:t>
      </w:r>
    </w:p>
    <w:p w14:paraId="0BD5ACDE" w14:textId="66660273" w:rsidR="00957A7D" w:rsidRPr="003C0F00" w:rsidRDefault="65C88A9F" w:rsidP="00F21D41">
      <w:pPr>
        <w:spacing w:after="120"/>
        <w:jc w:val="both"/>
        <w:rPr>
          <w:b/>
          <w:bCs/>
          <w:sz w:val="26"/>
          <w:szCs w:val="26"/>
          <w:u w:val="single"/>
        </w:rPr>
      </w:pPr>
      <w:r w:rsidRPr="50052FA2">
        <w:rPr>
          <w:b/>
          <w:bCs/>
          <w:sz w:val="26"/>
          <w:szCs w:val="26"/>
          <w:u w:val="single"/>
        </w:rPr>
        <w:lastRenderedPageBreak/>
        <w:t>ITU activities and plans for increased transparency</w:t>
      </w:r>
    </w:p>
    <w:p w14:paraId="047356B4" w14:textId="4B58B7A2" w:rsidR="00B63535" w:rsidRPr="009F47B3" w:rsidRDefault="17498358" w:rsidP="00B63535">
      <w:pPr>
        <w:spacing w:after="120"/>
        <w:jc w:val="both"/>
      </w:pPr>
      <w:r>
        <w:t xml:space="preserve">A key focus of the Green Digital Action is </w:t>
      </w:r>
      <w:r w:rsidR="7B2FD349">
        <w:t xml:space="preserve">increased </w:t>
      </w:r>
      <w:r>
        <w:t>t</w:t>
      </w:r>
      <w:r w:rsidR="60B00096">
        <w:t>r</w:t>
      </w:r>
      <w:r>
        <w:t xml:space="preserve">ansparency of ICT sector greenhouse gas emissions and energy consumption. </w:t>
      </w:r>
    </w:p>
    <w:p w14:paraId="37F0EB8F" w14:textId="6EBC8CC5" w:rsidR="00B63535" w:rsidRPr="009F47B3" w:rsidRDefault="04BBE5DA" w:rsidP="00B63535">
      <w:pPr>
        <w:spacing w:after="120"/>
        <w:jc w:val="both"/>
      </w:pPr>
      <w:r>
        <w:t>With the support of the Sectors, Green Digital Action has made good progress towards the objective of gathering organizations</w:t>
      </w:r>
      <w:r w:rsidR="0D83D69C">
        <w:t>,</w:t>
      </w:r>
      <w:r>
        <w:t xml:space="preserve"> that agree to implement GHG emissions reductions following 1.5°C trajectories</w:t>
      </w:r>
      <w:r w:rsidR="1E55AF25">
        <w:t>,</w:t>
      </w:r>
      <w:r>
        <w:t xml:space="preserve"> </w:t>
      </w:r>
      <w:r w:rsidR="5288A7EC">
        <w:t>to</w:t>
      </w:r>
      <w:r>
        <w:t xml:space="preserve"> commit to </w:t>
      </w:r>
      <w:r w:rsidR="60725416">
        <w:t xml:space="preserve">publicly </w:t>
      </w:r>
      <w:r>
        <w:t xml:space="preserve">report data on all GHG emission scopes and categories </w:t>
      </w:r>
      <w:proofErr w:type="gramStart"/>
      <w:r>
        <w:t>yearly, and</w:t>
      </w:r>
      <w:proofErr w:type="gramEnd"/>
      <w:r>
        <w:t xml:space="preserve"> submit results to a public ITU database</w:t>
      </w:r>
      <w:r w:rsidR="4264D1DC">
        <w:t xml:space="preserve"> based on a standardized methodology.</w:t>
      </w:r>
    </w:p>
    <w:p w14:paraId="447394DF" w14:textId="146F928E" w:rsidR="349C400C" w:rsidRPr="009F47B3" w:rsidRDefault="349C400C" w:rsidP="00A50857">
      <w:pPr>
        <w:spacing w:after="120"/>
        <w:jc w:val="both"/>
        <w:rPr>
          <w:szCs w:val="24"/>
        </w:rPr>
      </w:pPr>
      <w:r w:rsidRPr="009F47B3">
        <w:rPr>
          <w:rFonts w:eastAsia="Calibri" w:cs="Calibri"/>
          <w:szCs w:val="24"/>
          <w:lang w:val="en-US"/>
        </w:rPr>
        <w:t>ITU standards</w:t>
      </w:r>
      <w:r w:rsidR="00560B80">
        <w:rPr>
          <w:rFonts w:eastAsia="Calibri" w:cs="Calibri"/>
          <w:szCs w:val="24"/>
          <w:lang w:val="en-US"/>
        </w:rPr>
        <w:t xml:space="preserve">, such as ITU-T </w:t>
      </w:r>
      <w:hyperlink r:id="rId22" w:history="1">
        <w:r w:rsidR="00560B80" w:rsidRPr="001E14C4">
          <w:rPr>
            <w:rStyle w:val="Hyperlink"/>
            <w:rFonts w:eastAsia="Calibri" w:cs="Calibri"/>
            <w:szCs w:val="24"/>
            <w:lang w:val="en-US"/>
          </w:rPr>
          <w:t>L.1450</w:t>
        </w:r>
      </w:hyperlink>
      <w:r w:rsidR="00560B80">
        <w:rPr>
          <w:rFonts w:eastAsia="Calibri" w:cs="Calibri"/>
          <w:szCs w:val="24"/>
          <w:lang w:val="en-US"/>
        </w:rPr>
        <w:t xml:space="preserve"> and </w:t>
      </w:r>
      <w:hyperlink r:id="rId23" w:history="1">
        <w:r w:rsidR="00560B80" w:rsidRPr="0046328D">
          <w:rPr>
            <w:rStyle w:val="Hyperlink"/>
            <w:rFonts w:eastAsia="Calibri" w:cs="Calibri"/>
            <w:szCs w:val="24"/>
            <w:lang w:val="en-US"/>
          </w:rPr>
          <w:t>L.1470</w:t>
        </w:r>
      </w:hyperlink>
      <w:r w:rsidR="00560B80">
        <w:rPr>
          <w:rFonts w:eastAsia="Calibri" w:cs="Calibri"/>
          <w:szCs w:val="24"/>
          <w:lang w:val="en-US"/>
        </w:rPr>
        <w:t>,</w:t>
      </w:r>
      <w:r w:rsidRPr="009F47B3">
        <w:rPr>
          <w:rFonts w:eastAsia="Calibri" w:cs="Calibri"/>
          <w:szCs w:val="24"/>
          <w:lang w:val="en-US"/>
        </w:rPr>
        <w:t xml:space="preserve"> play a crucial role in guiding the ICT sector on how to collect data on GHG emissions, providing a structured framework and methodologies for measurement and reporting. </w:t>
      </w:r>
    </w:p>
    <w:p w14:paraId="0D15E372" w14:textId="25B93EB9" w:rsidR="00251EE3" w:rsidRPr="009F47B3" w:rsidRDefault="00251EE3" w:rsidP="00251EE3">
      <w:pPr>
        <w:spacing w:after="120"/>
        <w:jc w:val="both"/>
        <w:rPr>
          <w:rFonts w:eastAsia="Calibri"/>
          <w:szCs w:val="24"/>
        </w:rPr>
      </w:pPr>
      <w:r w:rsidRPr="009F47B3">
        <w:rPr>
          <w:rFonts w:eastAsia="Calibri"/>
          <w:szCs w:val="24"/>
        </w:rPr>
        <w:t xml:space="preserve">ITU and the World Benchmarking Alliance strengthen the monitoring of GHG emissions, energy use and climate commitments of 200 leading tech companies via the annual </w:t>
      </w:r>
      <w:r w:rsidR="007A4204">
        <w:rPr>
          <w:rFonts w:eastAsia="Calibri"/>
          <w:szCs w:val="24"/>
        </w:rPr>
        <w:t>“</w:t>
      </w:r>
      <w:hyperlink r:id="rId24" w:history="1">
        <w:r w:rsidRPr="00775C8A">
          <w:rPr>
            <w:rStyle w:val="Hyperlink"/>
            <w:rFonts w:eastAsia="Calibri"/>
            <w:szCs w:val="24"/>
          </w:rPr>
          <w:t>Greening Digital Companies</w:t>
        </w:r>
      </w:hyperlink>
      <w:r w:rsidR="007A4204">
        <w:rPr>
          <w:rFonts w:eastAsia="Calibri"/>
          <w:szCs w:val="24"/>
        </w:rPr>
        <w:t>”</w:t>
      </w:r>
      <w:r w:rsidRPr="009F47B3">
        <w:rPr>
          <w:rFonts w:eastAsia="Calibri"/>
          <w:szCs w:val="24"/>
        </w:rPr>
        <w:t xml:space="preserve"> industry assessment report.</w:t>
      </w:r>
      <w:r w:rsidR="00D72902">
        <w:rPr>
          <w:rFonts w:eastAsia="Calibri"/>
          <w:szCs w:val="24"/>
        </w:rPr>
        <w:t xml:space="preserve"> </w:t>
      </w:r>
      <w:r w:rsidRPr="009F47B3">
        <w:rPr>
          <w:rFonts w:eastAsia="Calibri"/>
          <w:szCs w:val="24"/>
        </w:rPr>
        <w:t xml:space="preserve">In addition, ITU and the World Bank, launched a report in March 2024 titled </w:t>
      </w:r>
      <w:r w:rsidR="007A4204">
        <w:rPr>
          <w:rFonts w:eastAsia="Calibri"/>
          <w:szCs w:val="24"/>
        </w:rPr>
        <w:t>“</w:t>
      </w:r>
      <w:hyperlink r:id="rId25" w:history="1">
        <w:r w:rsidRPr="0024333E">
          <w:rPr>
            <w:rStyle w:val="Hyperlink"/>
            <w:rFonts w:eastAsia="Calibri"/>
            <w:szCs w:val="24"/>
          </w:rPr>
          <w:t>Measuring the Emission &amp; Energy Footprint of the ICT Sector</w:t>
        </w:r>
      </w:hyperlink>
      <w:r w:rsidR="007A4204">
        <w:rPr>
          <w:rFonts w:eastAsia="Calibri"/>
          <w:szCs w:val="24"/>
        </w:rPr>
        <w:t>”</w:t>
      </w:r>
      <w:r w:rsidRPr="009F47B3">
        <w:rPr>
          <w:rFonts w:eastAsia="Calibri"/>
          <w:szCs w:val="24"/>
        </w:rPr>
        <w:t>, which collates GHG emissions and energy consumption data for the ICT sector across 30 countries.</w:t>
      </w:r>
    </w:p>
    <w:p w14:paraId="0ED2080F" w14:textId="77777777" w:rsidR="00005067" w:rsidRDefault="00251EE3" w:rsidP="00251EE3">
      <w:pPr>
        <w:spacing w:after="120"/>
        <w:jc w:val="both"/>
        <w:rPr>
          <w:szCs w:val="24"/>
        </w:rPr>
      </w:pPr>
      <w:r w:rsidRPr="009F47B3">
        <w:rPr>
          <w:rFonts w:eastAsia="Calibri"/>
          <w:szCs w:val="24"/>
        </w:rPr>
        <w:t>Both reports h</w:t>
      </w:r>
      <w:r w:rsidRPr="009F47B3">
        <w:rPr>
          <w:szCs w:val="24"/>
        </w:rPr>
        <w:t xml:space="preserve">ighlight </w:t>
      </w:r>
      <w:r w:rsidRPr="003C0F00">
        <w:rPr>
          <w:b/>
          <w:bCs/>
          <w:szCs w:val="24"/>
        </w:rPr>
        <w:t>transparency issues and the importance of data and monitoring, as well as verification and reporting</w:t>
      </w:r>
      <w:r w:rsidRPr="009F47B3">
        <w:rPr>
          <w:szCs w:val="24"/>
        </w:rPr>
        <w:t xml:space="preserve">. </w:t>
      </w:r>
    </w:p>
    <w:p w14:paraId="3DD67B44" w14:textId="738B1C70" w:rsidR="00251EE3" w:rsidRPr="009F47B3" w:rsidRDefault="2127C757" w:rsidP="50052FA2">
      <w:pPr>
        <w:jc w:val="both"/>
        <w:rPr>
          <w:rFonts w:eastAsia="Calibri" w:cs="Calibri"/>
          <w:lang w:val="en-US"/>
        </w:rPr>
      </w:pPr>
      <w:r>
        <w:t xml:space="preserve">In contrast to other sectors, reliable ICT emissions data is largely unavailable. </w:t>
      </w:r>
      <w:r w:rsidR="4055572A" w:rsidRPr="50052FA2">
        <w:rPr>
          <w:lang w:val="en-US"/>
        </w:rPr>
        <w:t xml:space="preserve">To address this challenge, </w:t>
      </w:r>
      <w:r w:rsidR="789C66D2" w:rsidRPr="50052FA2">
        <w:rPr>
          <w:b/>
          <w:bCs/>
          <w:lang w:val="en-US"/>
        </w:rPr>
        <w:t>ITU</w:t>
      </w:r>
      <w:r w:rsidRPr="50052FA2">
        <w:rPr>
          <w:b/>
          <w:bCs/>
          <w:lang w:val="en-US"/>
        </w:rPr>
        <w:t xml:space="preserve"> aims to develop a new data collection effort and database to monitor ICT sector emissions and energy use</w:t>
      </w:r>
      <w:r w:rsidRPr="50052FA2">
        <w:rPr>
          <w:lang w:val="en-US"/>
        </w:rPr>
        <w:t xml:space="preserve">. </w:t>
      </w:r>
      <w:r w:rsidRPr="50052FA2">
        <w:rPr>
          <w:spacing w:val="2"/>
          <w:lang w:val="en-US"/>
        </w:rPr>
        <w:t>The methodology for the database will be informed by Recommendation</w:t>
      </w:r>
      <w:r w:rsidRPr="50052FA2">
        <w:rPr>
          <w:lang w:val="en-US"/>
        </w:rPr>
        <w:t xml:space="preserve"> </w:t>
      </w:r>
      <w:r w:rsidR="18DB8137" w:rsidRPr="50052FA2">
        <w:rPr>
          <w:lang w:val="en-US"/>
        </w:rPr>
        <w:t xml:space="preserve">ITU-T </w:t>
      </w:r>
      <w:proofErr w:type="spellStart"/>
      <w:r w:rsidRPr="50052FA2">
        <w:rPr>
          <w:lang w:val="en-US"/>
        </w:rPr>
        <w:t>L.Database</w:t>
      </w:r>
      <w:proofErr w:type="spellEnd"/>
      <w:r w:rsidRPr="50052FA2">
        <w:rPr>
          <w:lang w:val="en-US"/>
        </w:rPr>
        <w:t xml:space="preserve"> which is currently under development in ITU-T Study Group 5</w:t>
      </w:r>
      <w:r w:rsidR="15B73BC3" w:rsidRPr="50052FA2">
        <w:rPr>
          <w:rFonts w:eastAsia="Calibri" w:cs="Calibri"/>
          <w:lang w:val="en-US"/>
        </w:rPr>
        <w:t xml:space="preserve"> “Environment, EMF and Circular Economy”.</w:t>
      </w:r>
    </w:p>
    <w:p w14:paraId="6843C138" w14:textId="2CB30D53" w:rsidR="00251EE3" w:rsidRPr="009F47B3" w:rsidRDefault="2127C757" w:rsidP="50052FA2">
      <w:pPr>
        <w:jc w:val="both"/>
        <w:rPr>
          <w:lang w:val="en-US"/>
        </w:rPr>
      </w:pPr>
      <w:r w:rsidRPr="324E1A22">
        <w:rPr>
          <w:lang w:val="en-US"/>
        </w:rPr>
        <w:t xml:space="preserve">The initiative will further </w:t>
      </w:r>
      <w:r w:rsidRPr="00F21D41">
        <w:rPr>
          <w:lang w:val="en-US"/>
        </w:rPr>
        <w:t xml:space="preserve">the goal, </w:t>
      </w:r>
      <w:r w:rsidR="00386357" w:rsidRPr="00F21D41">
        <w:rPr>
          <w:lang w:val="en-US"/>
        </w:rPr>
        <w:t>outlined in</w:t>
      </w:r>
      <w:r w:rsidR="00923CD1" w:rsidRPr="00F21D41">
        <w:rPr>
          <w:lang w:val="en-US"/>
        </w:rPr>
        <w:t xml:space="preserve"> </w:t>
      </w:r>
      <w:hyperlink r:id="rId26" w:history="1">
        <w:r w:rsidR="00923CD1" w:rsidRPr="00F21D41">
          <w:rPr>
            <w:rStyle w:val="Hyperlink"/>
          </w:rPr>
          <w:t>Recommendation</w:t>
        </w:r>
        <w:r w:rsidR="00386357" w:rsidRPr="00F21D41">
          <w:rPr>
            <w:rStyle w:val="Hyperlink"/>
          </w:rPr>
          <w:t xml:space="preserve"> ITU-T L.1470</w:t>
        </w:r>
      </w:hyperlink>
      <w:r w:rsidR="00C14C0B">
        <w:rPr>
          <w:lang w:val="en-US"/>
        </w:rPr>
        <w:t xml:space="preserve"> and</w:t>
      </w:r>
      <w:r w:rsidR="00386357" w:rsidRPr="00F21D41">
        <w:rPr>
          <w:lang w:val="en-US"/>
        </w:rPr>
        <w:t xml:space="preserve"> </w:t>
      </w:r>
      <w:r w:rsidRPr="00F21D41">
        <w:rPr>
          <w:lang w:val="en-US"/>
        </w:rPr>
        <w:t xml:space="preserve">established in 2020, </w:t>
      </w:r>
      <w:r w:rsidRPr="324E1A22">
        <w:rPr>
          <w:b/>
          <w:bCs/>
          <w:lang w:val="en-US"/>
        </w:rPr>
        <w:t>to reach a 45 per cent reduction in GHG emissions from the ICT sector by 2030</w:t>
      </w:r>
      <w:r w:rsidRPr="324E1A22">
        <w:rPr>
          <w:lang w:val="en-US"/>
        </w:rPr>
        <w:t>, contributing to the 1.5°C trajectory established under the Paris Agreement.</w:t>
      </w:r>
    </w:p>
    <w:p w14:paraId="7FE1CFDD" w14:textId="74E468DB" w:rsidR="00251EE3" w:rsidRPr="009F47B3" w:rsidRDefault="2127C757" w:rsidP="0088DFA9">
      <w:pPr>
        <w:spacing w:after="120"/>
        <w:jc w:val="both"/>
      </w:pPr>
      <w:r w:rsidRPr="50052FA2">
        <w:t xml:space="preserve">ITU </w:t>
      </w:r>
      <w:r w:rsidR="4357D957" w:rsidRPr="50052FA2">
        <w:t xml:space="preserve">is </w:t>
      </w:r>
      <w:r w:rsidRPr="50052FA2">
        <w:t xml:space="preserve">proposing a 3-year project to collect and publish reliable and timely ICT </w:t>
      </w:r>
      <w:r w:rsidR="45BA5E8E" w:rsidRPr="50052FA2">
        <w:t>s</w:t>
      </w:r>
      <w:r w:rsidRPr="50052FA2">
        <w:t xml:space="preserve">ector GHG emissions data and enhance collection of green ICT data at </w:t>
      </w:r>
      <w:r w:rsidR="0DCC4AF5" w:rsidRPr="50052FA2">
        <w:t xml:space="preserve">the national and international </w:t>
      </w:r>
      <w:r w:rsidRPr="50052FA2">
        <w:t xml:space="preserve">level through much needed capacity building to help policy makers use the information effectively for policy development and decisions making. </w:t>
      </w:r>
      <w:r w:rsidRPr="50052FA2">
        <w:rPr>
          <w:rStyle w:val="normaltextrun"/>
          <w:rFonts w:cs="Calibri"/>
          <w:color w:val="000000"/>
          <w:shd w:val="clear" w:color="auto" w:fill="FFFFFF"/>
        </w:rPr>
        <w:t>The estimated budget for the initial 3-year project is USD 1.3 million.</w:t>
      </w:r>
    </w:p>
    <w:p w14:paraId="52867A23" w14:textId="0AE63524" w:rsidR="0043739E" w:rsidRPr="007A4204" w:rsidRDefault="003A58BC" w:rsidP="003C0F0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360"/>
        <w:textAlignment w:val="auto"/>
        <w:rPr>
          <w:b/>
          <w:bCs/>
          <w:sz w:val="26"/>
          <w:szCs w:val="26"/>
          <w:u w:val="single"/>
        </w:rPr>
      </w:pPr>
      <w:r w:rsidRPr="007A4204">
        <w:rPr>
          <w:b/>
          <w:bCs/>
          <w:sz w:val="26"/>
          <w:szCs w:val="26"/>
          <w:u w:val="single"/>
        </w:rPr>
        <w:t>Operational greening</w:t>
      </w:r>
    </w:p>
    <w:p w14:paraId="759C750A" w14:textId="1BAED3DC" w:rsidR="0043739E" w:rsidRPr="009F47B3" w:rsidRDefault="50071BE5" w:rsidP="007A406D">
      <w:pPr>
        <w:spacing w:after="120"/>
        <w:jc w:val="both"/>
      </w:pPr>
      <w:r>
        <w:t xml:space="preserve">ITU continues to implement </w:t>
      </w:r>
      <w:r w:rsidR="0E66C7DF">
        <w:t>the</w:t>
      </w:r>
      <w:r>
        <w:t xml:space="preserve"> </w:t>
      </w:r>
      <w:r w:rsidR="00C63B74" w:rsidRPr="00C63B74">
        <w:t>United Nations System Chief Executives Board for Coordination (CEB)</w:t>
      </w:r>
      <w:r w:rsidR="00C63B74">
        <w:t xml:space="preserve"> endorsed</w:t>
      </w:r>
      <w:r w:rsidR="00790F4D">
        <w:t xml:space="preserve"> </w:t>
      </w:r>
      <w:r w:rsidR="0E66C7DF">
        <w:t>Strategy for Sustainability Management in the UN System 2020-2023</w:t>
      </w:r>
      <w:r>
        <w:t xml:space="preserve">. </w:t>
      </w:r>
      <w:r w:rsidR="0A682DB0">
        <w:t xml:space="preserve">According to the annual Environmental Governance survey conducted by </w:t>
      </w:r>
      <w:r w:rsidR="00F21D41">
        <w:t>the United Nations Environment Programme (</w:t>
      </w:r>
      <w:r w:rsidR="0A682DB0">
        <w:t>UNEP</w:t>
      </w:r>
      <w:r w:rsidR="00F21D41">
        <w:t>)</w:t>
      </w:r>
      <w:r w:rsidR="0A682DB0">
        <w:t xml:space="preserve">, </w:t>
      </w:r>
      <w:r w:rsidR="7796D2C6">
        <w:t>ITU current</w:t>
      </w:r>
      <w:r w:rsidR="15910AD7">
        <w:t>ly</w:t>
      </w:r>
      <w:r w:rsidR="7796D2C6">
        <w:t xml:space="preserve"> </w:t>
      </w:r>
      <w:r w:rsidR="7796D2C6" w:rsidRPr="324E1A22">
        <w:rPr>
          <w:i/>
          <w:iCs/>
        </w:rPr>
        <w:t>approaches compliance</w:t>
      </w:r>
      <w:r w:rsidR="7796D2C6">
        <w:t xml:space="preserve"> with the criteria for an Environmental Management System (EMS). T</w:t>
      </w:r>
      <w:r>
        <w:t xml:space="preserve">o fully meet the requirements of </w:t>
      </w:r>
      <w:r w:rsidR="15910AD7">
        <w:t>developing and implementing</w:t>
      </w:r>
      <w:r>
        <w:t xml:space="preserve"> an EMS by 2025 as per the UN-wide agreed target, environmental impacts</w:t>
      </w:r>
      <w:r w:rsidR="3222E983">
        <w:t>,</w:t>
      </w:r>
      <w:r>
        <w:t xml:space="preserve"> and management of risks of ITU's significant environmental aspects are to be integrated in operational controls and procedures (e.g. procurement, </w:t>
      </w:r>
      <w:r w:rsidR="0A2845CD">
        <w:t>travel</w:t>
      </w:r>
      <w:r>
        <w:t>, facility management</w:t>
      </w:r>
      <w:r w:rsidR="0A2845CD">
        <w:t xml:space="preserve">, </w:t>
      </w:r>
      <w:r w:rsidR="00F21D41">
        <w:t>Information Service</w:t>
      </w:r>
      <w:r w:rsidR="0A2845CD">
        <w:t>,</w:t>
      </w:r>
      <w:r>
        <w:t xml:space="preserve"> etc</w:t>
      </w:r>
      <w:r w:rsidR="3222E983">
        <w:t>.</w:t>
      </w:r>
      <w:r>
        <w:t>).</w:t>
      </w:r>
    </w:p>
    <w:p w14:paraId="67F7CFEA" w14:textId="570E3602" w:rsidR="00633F05" w:rsidRPr="009F47B3" w:rsidRDefault="0E66C7DF" w:rsidP="50052FA2">
      <w:pPr>
        <w:spacing w:after="120"/>
        <w:jc w:val="both"/>
        <w:rPr>
          <w:rFonts w:eastAsia="Calibri" w:cs="Calibri"/>
        </w:rPr>
      </w:pPr>
      <w:r>
        <w:lastRenderedPageBreak/>
        <w:t xml:space="preserve">According to the </w:t>
      </w:r>
      <w:hyperlink r:id="rId27">
        <w:r w:rsidRPr="50052FA2">
          <w:rPr>
            <w:rStyle w:val="Hyperlink"/>
          </w:rPr>
          <w:t>Greening the Blue Report 2023</w:t>
        </w:r>
      </w:hyperlink>
      <w:r>
        <w:t>, ITU’s CO2 emissions rose from 1</w:t>
      </w:r>
      <w:r w:rsidR="52BECE5A">
        <w:t>,</w:t>
      </w:r>
      <w:r>
        <w:t>674 tonnes in 2021 to 1</w:t>
      </w:r>
      <w:r w:rsidR="52BECE5A">
        <w:t>,</w:t>
      </w:r>
      <w:r>
        <w:t>969 tonnes in 2022. This was primarily due to increased official travel following the end of the Covid-19 pandemic.</w:t>
      </w:r>
      <w:r w:rsidR="04BBE5DA">
        <w:t xml:space="preserve"> </w:t>
      </w:r>
      <w:r w:rsidR="70AA7CC3">
        <w:t>While delegate travel</w:t>
      </w:r>
      <w:r w:rsidR="3E97DFB3">
        <w:t xml:space="preserve"> </w:t>
      </w:r>
      <w:r w:rsidR="70AA7CC3">
        <w:t xml:space="preserve">is not currently included in </w:t>
      </w:r>
      <w:r w:rsidR="3E97DFB3">
        <w:t>ITU’s yearly GHG inventory, i</w:t>
      </w:r>
      <w:r w:rsidR="212A5F90">
        <w:t xml:space="preserve">ncluding delegate travel to </w:t>
      </w:r>
      <w:r w:rsidR="45BA5E8E">
        <w:t>the Plenipotentiary Conference (Bucharest, 2022)</w:t>
      </w:r>
      <w:r w:rsidR="212A5F90">
        <w:t xml:space="preserve"> alone, </w:t>
      </w:r>
      <w:r w:rsidR="5E5B024A">
        <w:t xml:space="preserve">the amount of CO2 emissions </w:t>
      </w:r>
      <w:r w:rsidR="212A5F90">
        <w:t>would be at least two-fold.</w:t>
      </w:r>
      <w:r w:rsidR="1DE74938">
        <w:t xml:space="preserve"> The ITU management is considering </w:t>
      </w:r>
      <w:r w:rsidR="0D9F50C7">
        <w:t>r</w:t>
      </w:r>
      <w:r w:rsidR="0C0A17CE">
        <w:t xml:space="preserve">ecommendations of </w:t>
      </w:r>
      <w:r w:rsidR="5AE59EDD">
        <w:t xml:space="preserve">the </w:t>
      </w:r>
      <w:r w:rsidR="61497B11" w:rsidRPr="324E1A22">
        <w:rPr>
          <w:i/>
          <w:iCs/>
        </w:rPr>
        <w:t>Greening the Blue Travel task tea</w:t>
      </w:r>
      <w:r w:rsidR="588A3C36" w:rsidRPr="324E1A22">
        <w:rPr>
          <w:i/>
          <w:iCs/>
        </w:rPr>
        <w:t>m to UN entities to support</w:t>
      </w:r>
      <w:r w:rsidR="45BA5E8E" w:rsidRPr="324E1A22">
        <w:rPr>
          <w:i/>
          <w:iCs/>
        </w:rPr>
        <w:t xml:space="preserve"> </w:t>
      </w:r>
      <w:r w:rsidR="588A3C36" w:rsidRPr="324E1A22">
        <w:rPr>
          <w:i/>
          <w:iCs/>
        </w:rPr>
        <w:t>GHG emissions reductions from air travel in the UN</w:t>
      </w:r>
      <w:r w:rsidR="45BA5E8E" w:rsidRPr="324E1A22">
        <w:rPr>
          <w:i/>
          <w:iCs/>
        </w:rPr>
        <w:t xml:space="preserve"> </w:t>
      </w:r>
      <w:r w:rsidR="588A3C36" w:rsidRPr="324E1A22">
        <w:rPr>
          <w:i/>
          <w:iCs/>
        </w:rPr>
        <w:t>system</w:t>
      </w:r>
      <w:r w:rsidR="0D9F50C7">
        <w:t>.</w:t>
      </w:r>
    </w:p>
    <w:p w14:paraId="09622743" w14:textId="234A5666" w:rsidR="009F47B3" w:rsidRPr="009F47B3" w:rsidRDefault="009F47B3" w:rsidP="009F47B3">
      <w:pPr>
        <w:spacing w:before="840"/>
        <w:jc w:val="center"/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>__________________</w:t>
      </w:r>
    </w:p>
    <w:sectPr w:rsidR="009F47B3" w:rsidRPr="009F47B3" w:rsidSect="00CF2A69">
      <w:footerReference w:type="default" r:id="rId28"/>
      <w:headerReference w:type="first" r:id="rId29"/>
      <w:footerReference w:type="first" r:id="rId3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19974" w14:textId="77777777" w:rsidR="00CF2A69" w:rsidRDefault="00CF2A69">
      <w:r>
        <w:separator/>
      </w:r>
    </w:p>
  </w:endnote>
  <w:endnote w:type="continuationSeparator" w:id="0">
    <w:p w14:paraId="5EF70C7E" w14:textId="77777777" w:rsidR="00CF2A69" w:rsidRDefault="00CF2A69">
      <w:r>
        <w:continuationSeparator/>
      </w:r>
    </w:p>
  </w:endnote>
  <w:endnote w:type="continuationNotice" w:id="1">
    <w:p w14:paraId="14D7017A" w14:textId="77777777" w:rsidR="00CF2A69" w:rsidRDefault="00CF2A6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024FA7">
      <w:trPr>
        <w:jc w:val="center"/>
      </w:trPr>
      <w:tc>
        <w:tcPr>
          <w:tcW w:w="1803" w:type="dxa"/>
          <w:vAlign w:val="center"/>
        </w:tcPr>
        <w:p w14:paraId="727FD637" w14:textId="43126E92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18DAB391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850BE">
            <w:rPr>
              <w:bCs/>
            </w:rPr>
            <w:t>4</w:t>
          </w:r>
          <w:r w:rsidRPr="00623AE3">
            <w:rPr>
              <w:bCs/>
            </w:rPr>
            <w:t>/</w:t>
          </w:r>
          <w:r w:rsidR="009F47B3">
            <w:rPr>
              <w:bCs/>
            </w:rPr>
            <w:t>72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 w:rsidRPr="00F21D41">
            <w:rPr>
              <w:color w:val="2B579A"/>
            </w:rPr>
            <w:fldChar w:fldCharType="begin"/>
          </w:r>
          <w:r w:rsidRPr="00F21D41">
            <w:instrText>PAGE</w:instrText>
          </w:r>
          <w:r w:rsidRPr="00F21D41">
            <w:rPr>
              <w:color w:val="2B579A"/>
            </w:rPr>
            <w:fldChar w:fldCharType="separate"/>
          </w:r>
          <w:r w:rsidRPr="00F21D41">
            <w:t>1</w:t>
          </w:r>
          <w:r w:rsidRPr="00F21D41">
            <w:rPr>
              <w:noProof/>
              <w:color w:val="2B579A"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4F588A4C" w14:textId="77777777" w:rsidTr="00EE49E8">
      <w:trPr>
        <w:jc w:val="center"/>
      </w:trPr>
      <w:tc>
        <w:tcPr>
          <w:tcW w:w="1803" w:type="dxa"/>
          <w:vAlign w:val="center"/>
        </w:tcPr>
        <w:p w14:paraId="4E7A2825" w14:textId="77777777" w:rsidR="00EE49E8" w:rsidRDefault="002D5961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3F62E0D8" w14:textId="7A7C963E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E23618">
            <w:rPr>
              <w:bCs/>
            </w:rPr>
            <w:t>4</w:t>
          </w:r>
          <w:r w:rsidRPr="00623AE3">
            <w:rPr>
              <w:bCs/>
            </w:rPr>
            <w:t>/</w:t>
          </w:r>
          <w:r w:rsidR="009F47B3">
            <w:rPr>
              <w:bCs/>
            </w:rPr>
            <w:t>72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 w:rsidRPr="00F21D41">
            <w:rPr>
              <w:color w:val="2B579A"/>
            </w:rPr>
            <w:fldChar w:fldCharType="begin"/>
          </w:r>
          <w:r w:rsidRPr="00F21D41">
            <w:instrText>PAGE</w:instrText>
          </w:r>
          <w:r w:rsidRPr="00F21D41">
            <w:rPr>
              <w:color w:val="2B579A"/>
            </w:rPr>
            <w:fldChar w:fldCharType="separate"/>
          </w:r>
          <w:r w:rsidRPr="00F21D41">
            <w:t>1</w:t>
          </w:r>
          <w:r w:rsidRPr="00F21D41">
            <w:rPr>
              <w:noProof/>
              <w:color w:val="2B579A"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7A326" w14:textId="77777777" w:rsidR="00CF2A69" w:rsidRDefault="00CF2A69">
      <w:r>
        <w:t>____________________</w:t>
      </w:r>
    </w:p>
  </w:footnote>
  <w:footnote w:type="continuationSeparator" w:id="0">
    <w:p w14:paraId="731B1B39" w14:textId="77777777" w:rsidR="00CF2A69" w:rsidRDefault="00CF2A69">
      <w:r>
        <w:continuationSeparator/>
      </w:r>
    </w:p>
  </w:footnote>
  <w:footnote w:type="continuationNotice" w:id="1">
    <w:p w14:paraId="2D4B8AAB" w14:textId="77777777" w:rsidR="00CF2A69" w:rsidRDefault="00CF2A69">
      <w:pPr>
        <w:spacing w:before="0"/>
      </w:pPr>
    </w:p>
  </w:footnote>
  <w:footnote w:id="2">
    <w:p w14:paraId="59263E7A" w14:textId="4F736437" w:rsidR="0025787D" w:rsidRPr="0025787D" w:rsidRDefault="0025787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C0F00">
        <w:tab/>
      </w:r>
      <w:r w:rsidRPr="003C0F00">
        <w:rPr>
          <w:sz w:val="20"/>
        </w:rPr>
        <w:t>ITU and UNITAR. 2024. Global E-waste Monitor, 2024</w:t>
      </w:r>
    </w:p>
  </w:footnote>
  <w:footnote w:id="3">
    <w:p w14:paraId="173BBDA7" w14:textId="4B676591" w:rsidR="00A6170F" w:rsidRPr="00A6170F" w:rsidRDefault="00A6170F" w:rsidP="00F21D41">
      <w:pPr>
        <w:pStyle w:val="FootnoteText"/>
        <w:spacing w:before="40"/>
      </w:pPr>
      <w:r>
        <w:rPr>
          <w:rStyle w:val="FootnoteReference"/>
        </w:rPr>
        <w:footnoteRef/>
      </w:r>
      <w:r>
        <w:t xml:space="preserve"> </w:t>
      </w:r>
      <w:r w:rsidRPr="003C0F00">
        <w:tab/>
      </w:r>
      <w:r w:rsidRPr="003C0F00">
        <w:rPr>
          <w:sz w:val="20"/>
        </w:rPr>
        <w:t>The World Bank. 2023. Green Digital Transformation: How to Sustainably Close the Digital Divide and Harness Digital Tools for Climate Action</w:t>
      </w:r>
    </w:p>
  </w:footnote>
  <w:footnote w:id="4">
    <w:p w14:paraId="463B9760" w14:textId="708062C6" w:rsidR="00B74FA7" w:rsidRPr="00B74FA7" w:rsidRDefault="00B74FA7" w:rsidP="00F21D41">
      <w:pPr>
        <w:pStyle w:val="FootnoteText"/>
        <w:spacing w:before="40"/>
      </w:pPr>
      <w:r>
        <w:rPr>
          <w:rStyle w:val="FootnoteReference"/>
        </w:rPr>
        <w:footnoteRef/>
      </w:r>
      <w:r>
        <w:t xml:space="preserve"> </w:t>
      </w:r>
      <w:r w:rsidRPr="003C0F00">
        <w:tab/>
      </w:r>
      <w:r w:rsidRPr="003C0F00">
        <w:rPr>
          <w:sz w:val="20"/>
        </w:rPr>
        <w:t>The World Bank and ITU. 2024. Measuring the Emissions &amp; Energy Footprint of the ICT Sector: Implications for Climate Action</w:t>
      </w:r>
    </w:p>
  </w:footnote>
  <w:footnote w:id="5">
    <w:p w14:paraId="41E29A6B" w14:textId="174A611B" w:rsidR="0019766E" w:rsidRPr="00FC20DA" w:rsidRDefault="0019766E" w:rsidP="00F21D41">
      <w:pPr>
        <w:pStyle w:val="FootnoteText"/>
        <w:spacing w:before="40"/>
      </w:pPr>
      <w:r>
        <w:rPr>
          <w:rStyle w:val="FootnoteReference"/>
        </w:rPr>
        <w:footnoteRef/>
      </w:r>
      <w:r>
        <w:t xml:space="preserve"> </w:t>
      </w:r>
      <w:r w:rsidRPr="003C0F00">
        <w:tab/>
      </w:r>
      <w:r w:rsidRPr="003C0F00">
        <w:rPr>
          <w:sz w:val="20"/>
        </w:rPr>
        <w:t>ITU and World Benchmarking Alliance. 2023. Greening digital companies 2023 report</w:t>
      </w:r>
    </w:p>
  </w:footnote>
  <w:footnote w:id="6">
    <w:p w14:paraId="5E464A02" w14:textId="61BD88B1" w:rsidR="000A6852" w:rsidRPr="000A6852" w:rsidRDefault="000A6852" w:rsidP="00F21D41">
      <w:pPr>
        <w:pStyle w:val="FootnoteText"/>
        <w:spacing w:before="40"/>
      </w:pPr>
      <w:r>
        <w:rPr>
          <w:rStyle w:val="FootnoteReference"/>
        </w:rPr>
        <w:footnoteRef/>
      </w:r>
      <w:r>
        <w:t xml:space="preserve"> </w:t>
      </w:r>
      <w:r w:rsidRPr="003C0F00">
        <w:tab/>
      </w:r>
      <w:r w:rsidRPr="00F21D41">
        <w:rPr>
          <w:sz w:val="20"/>
        </w:rPr>
        <w:t xml:space="preserve">ITU and the World Bank. 2023. </w:t>
      </w:r>
      <w:hyperlink r:id="rId1" w:history="1">
        <w:r w:rsidRPr="00F21D41">
          <w:rPr>
            <w:rStyle w:val="Hyperlink"/>
            <w:sz w:val="20"/>
          </w:rPr>
          <w:t xml:space="preserve">Green data </w:t>
        </w:r>
        <w:proofErr w:type="spellStart"/>
        <w:r w:rsidRPr="00F21D41">
          <w:rPr>
            <w:rStyle w:val="Hyperlink"/>
            <w:sz w:val="20"/>
          </w:rPr>
          <w:t>centers</w:t>
        </w:r>
        <w:proofErr w:type="spellEnd"/>
        <w:r w:rsidRPr="00F21D41">
          <w:rPr>
            <w:rStyle w:val="Hyperlink"/>
            <w:sz w:val="20"/>
          </w:rPr>
          <w:t>: towards a sustainable digital transformation. A practitioner's guide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F21D41" w:rsidRPr="00F21D41" w14:paraId="7B41681C" w14:textId="77777777" w:rsidTr="008F7131">
      <w:trPr>
        <w:trHeight w:val="1104"/>
        <w:jc w:val="center"/>
      </w:trPr>
      <w:tc>
        <w:tcPr>
          <w:tcW w:w="4390" w:type="dxa"/>
          <w:vAlign w:val="center"/>
        </w:tcPr>
        <w:p w14:paraId="2188410E" w14:textId="77777777" w:rsidR="00F21D41" w:rsidRPr="00F21D41" w:rsidRDefault="00F21D41" w:rsidP="00F21D41">
          <w:pPr>
            <w:pStyle w:val="Header"/>
            <w:rPr>
              <w:rFonts w:eastAsia="Times New Roman" w:cs="Times New Roman"/>
              <w:b/>
              <w:bCs/>
              <w:szCs w:val="20"/>
            </w:rPr>
          </w:pPr>
          <w:bookmarkStart w:id="11" w:name="_Hlk133422111"/>
          <w:r w:rsidRPr="00F21D41">
            <w:rPr>
              <w:noProof/>
            </w:rPr>
            <w:drawing>
              <wp:inline distT="0" distB="0" distL="0" distR="0" wp14:anchorId="1743EA0B" wp14:editId="237662D1">
                <wp:extent cx="2369820" cy="558297"/>
                <wp:effectExtent l="0" t="0" r="0" b="0"/>
                <wp:docPr id="2052189270" name="Picture 1" descr="A blue and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2189270" name="Picture 1" descr="A blue and black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25" cy="580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3347195" w14:textId="77777777" w:rsidR="00F21D41" w:rsidRPr="00F21D41" w:rsidRDefault="00F21D41" w:rsidP="00F21D41">
          <w:pPr>
            <w:pStyle w:val="Header"/>
            <w:rPr>
              <w:rFonts w:eastAsia="Times New Roman" w:cs="Times New Roman"/>
              <w:b/>
              <w:bCs/>
              <w:szCs w:val="20"/>
            </w:rPr>
          </w:pPr>
        </w:p>
        <w:p w14:paraId="0DF61D26" w14:textId="77777777" w:rsidR="00F21D41" w:rsidRPr="00F21D41" w:rsidRDefault="00F21D41" w:rsidP="00F21D41">
          <w:pPr>
            <w:pStyle w:val="Header"/>
            <w:rPr>
              <w:rFonts w:eastAsia="Times New Roman" w:cs="Times New Roman"/>
              <w:b/>
              <w:bCs/>
              <w:szCs w:val="20"/>
            </w:rPr>
          </w:pPr>
        </w:p>
        <w:p w14:paraId="35C9013E" w14:textId="77777777" w:rsidR="00F21D41" w:rsidRPr="00F21D41" w:rsidRDefault="00F21D41" w:rsidP="00F21D41">
          <w:pPr>
            <w:pStyle w:val="Header"/>
            <w:rPr>
              <w:rFonts w:eastAsia="Times New Roman" w:cs="Times New Roman"/>
              <w:szCs w:val="20"/>
            </w:rPr>
          </w:pPr>
          <w:r w:rsidRPr="00F21D41">
            <w:rPr>
              <w:rFonts w:eastAsia="Times New Roman" w:cs="Times New Roman"/>
              <w:b/>
              <w:bCs/>
              <w:szCs w:val="20"/>
            </w:rPr>
            <w:t xml:space="preserve"> </w:t>
          </w:r>
        </w:p>
      </w:tc>
    </w:tr>
  </w:tbl>
  <w:bookmarkEnd w:id="11"/>
  <w:p w14:paraId="0D24EB89" w14:textId="4136AD56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CBB14" wp14:editId="2D41BC44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250791" id="Rectangle 5" o:spid="_x0000_s1026" style="position:absolute;margin-left:1.05pt;margin-top:50.8pt;width:7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" fillcolor="#009cd5" stroked="f">
              <o:lock v:ext="edit" aspectratio="t"/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A1FEC"/>
    <w:multiLevelType w:val="multilevel"/>
    <w:tmpl w:val="C8E4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B6A70"/>
    <w:multiLevelType w:val="multilevel"/>
    <w:tmpl w:val="57A2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BD1BF1"/>
    <w:multiLevelType w:val="hybridMultilevel"/>
    <w:tmpl w:val="28629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275FB"/>
    <w:multiLevelType w:val="hybridMultilevel"/>
    <w:tmpl w:val="3A2E85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00600"/>
    <w:multiLevelType w:val="multilevel"/>
    <w:tmpl w:val="8E5009D0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4532AE"/>
    <w:multiLevelType w:val="hybridMultilevel"/>
    <w:tmpl w:val="0096E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D731E"/>
    <w:multiLevelType w:val="hybridMultilevel"/>
    <w:tmpl w:val="2934F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95539"/>
    <w:multiLevelType w:val="multilevel"/>
    <w:tmpl w:val="8AC0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BBA5C05"/>
    <w:multiLevelType w:val="hybridMultilevel"/>
    <w:tmpl w:val="F4DE91F0"/>
    <w:lvl w:ilvl="0" w:tplc="0809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645160226">
    <w:abstractNumId w:val="5"/>
  </w:num>
  <w:num w:numId="3" w16cid:durableId="1001197762">
    <w:abstractNumId w:val="3"/>
  </w:num>
  <w:num w:numId="4" w16cid:durableId="4506310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8996880">
    <w:abstractNumId w:val="4"/>
  </w:num>
  <w:num w:numId="6" w16cid:durableId="1369258012">
    <w:abstractNumId w:val="6"/>
  </w:num>
  <w:num w:numId="7" w16cid:durableId="1048335098">
    <w:abstractNumId w:val="2"/>
  </w:num>
  <w:num w:numId="8" w16cid:durableId="1177501077">
    <w:abstractNumId w:val="8"/>
  </w:num>
  <w:num w:numId="9" w16cid:durableId="1302809210">
    <w:abstractNumId w:val="1"/>
  </w:num>
  <w:num w:numId="10" w16cid:durableId="1846355988">
    <w:abstractNumId w:val="7"/>
  </w:num>
  <w:num w:numId="11" w16cid:durableId="13467890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05067"/>
    <w:rsid w:val="00016729"/>
    <w:rsid w:val="00016AB5"/>
    <w:rsid w:val="000207FF"/>
    <w:rsid w:val="000210D4"/>
    <w:rsid w:val="00023290"/>
    <w:rsid w:val="00024FA7"/>
    <w:rsid w:val="0004698E"/>
    <w:rsid w:val="00047384"/>
    <w:rsid w:val="0005170C"/>
    <w:rsid w:val="00060708"/>
    <w:rsid w:val="00063016"/>
    <w:rsid w:val="00066795"/>
    <w:rsid w:val="000721A4"/>
    <w:rsid w:val="00076AF6"/>
    <w:rsid w:val="00085CF2"/>
    <w:rsid w:val="000A41B4"/>
    <w:rsid w:val="000A6852"/>
    <w:rsid w:val="000B1705"/>
    <w:rsid w:val="000B506A"/>
    <w:rsid w:val="000D1BF8"/>
    <w:rsid w:val="000D75B2"/>
    <w:rsid w:val="000F23F9"/>
    <w:rsid w:val="000F3837"/>
    <w:rsid w:val="001072AF"/>
    <w:rsid w:val="001121F5"/>
    <w:rsid w:val="00120984"/>
    <w:rsid w:val="00123771"/>
    <w:rsid w:val="00125916"/>
    <w:rsid w:val="001400DC"/>
    <w:rsid w:val="00140CE1"/>
    <w:rsid w:val="00153D17"/>
    <w:rsid w:val="00155B68"/>
    <w:rsid w:val="00163581"/>
    <w:rsid w:val="00167422"/>
    <w:rsid w:val="001751BF"/>
    <w:rsid w:val="0017539C"/>
    <w:rsid w:val="00175AC2"/>
    <w:rsid w:val="0017609F"/>
    <w:rsid w:val="00177541"/>
    <w:rsid w:val="0018269A"/>
    <w:rsid w:val="001948DE"/>
    <w:rsid w:val="0019766E"/>
    <w:rsid w:val="001A7D1D"/>
    <w:rsid w:val="001B18CD"/>
    <w:rsid w:val="001B51DD"/>
    <w:rsid w:val="001C628E"/>
    <w:rsid w:val="001D4FD2"/>
    <w:rsid w:val="001D6B87"/>
    <w:rsid w:val="001E0F7B"/>
    <w:rsid w:val="001E14C4"/>
    <w:rsid w:val="001E307E"/>
    <w:rsid w:val="0021014F"/>
    <w:rsid w:val="00210AA1"/>
    <w:rsid w:val="002119FD"/>
    <w:rsid w:val="002130E0"/>
    <w:rsid w:val="00226EA3"/>
    <w:rsid w:val="00227749"/>
    <w:rsid w:val="00235E7B"/>
    <w:rsid w:val="00237C72"/>
    <w:rsid w:val="0024215B"/>
    <w:rsid w:val="0024333E"/>
    <w:rsid w:val="00245158"/>
    <w:rsid w:val="0025025C"/>
    <w:rsid w:val="00251B79"/>
    <w:rsid w:val="00251EE3"/>
    <w:rsid w:val="00254884"/>
    <w:rsid w:val="00256F2E"/>
    <w:rsid w:val="0025787D"/>
    <w:rsid w:val="00264425"/>
    <w:rsid w:val="00265875"/>
    <w:rsid w:val="00271B3A"/>
    <w:rsid w:val="0027303B"/>
    <w:rsid w:val="0028109B"/>
    <w:rsid w:val="00293144"/>
    <w:rsid w:val="00296D53"/>
    <w:rsid w:val="002A2188"/>
    <w:rsid w:val="002A26FC"/>
    <w:rsid w:val="002A41C6"/>
    <w:rsid w:val="002A50A3"/>
    <w:rsid w:val="002B1F58"/>
    <w:rsid w:val="002B22DF"/>
    <w:rsid w:val="002C1C7A"/>
    <w:rsid w:val="002C54E2"/>
    <w:rsid w:val="002D147B"/>
    <w:rsid w:val="002D5961"/>
    <w:rsid w:val="0030160F"/>
    <w:rsid w:val="00301C09"/>
    <w:rsid w:val="003067C7"/>
    <w:rsid w:val="00310364"/>
    <w:rsid w:val="003122CE"/>
    <w:rsid w:val="00320223"/>
    <w:rsid w:val="003210A1"/>
    <w:rsid w:val="00322D0D"/>
    <w:rsid w:val="00333AF8"/>
    <w:rsid w:val="003444FF"/>
    <w:rsid w:val="00361465"/>
    <w:rsid w:val="00362ED7"/>
    <w:rsid w:val="003733C4"/>
    <w:rsid w:val="00375497"/>
    <w:rsid w:val="00380A12"/>
    <w:rsid w:val="003827F2"/>
    <w:rsid w:val="00386357"/>
    <w:rsid w:val="003877F5"/>
    <w:rsid w:val="00387F6A"/>
    <w:rsid w:val="003942D4"/>
    <w:rsid w:val="003958A8"/>
    <w:rsid w:val="003A58BC"/>
    <w:rsid w:val="003A6B6B"/>
    <w:rsid w:val="003B65B4"/>
    <w:rsid w:val="003B7B8E"/>
    <w:rsid w:val="003C0F00"/>
    <w:rsid w:val="003C2533"/>
    <w:rsid w:val="003D1BBC"/>
    <w:rsid w:val="003D5A7F"/>
    <w:rsid w:val="003E0911"/>
    <w:rsid w:val="003E1F50"/>
    <w:rsid w:val="003E3440"/>
    <w:rsid w:val="003E6FF8"/>
    <w:rsid w:val="003F2ED7"/>
    <w:rsid w:val="004007E6"/>
    <w:rsid w:val="004016E2"/>
    <w:rsid w:val="0040435A"/>
    <w:rsid w:val="004054E9"/>
    <w:rsid w:val="004065AC"/>
    <w:rsid w:val="00416A24"/>
    <w:rsid w:val="0041788D"/>
    <w:rsid w:val="0042572A"/>
    <w:rsid w:val="00426883"/>
    <w:rsid w:val="00431D9E"/>
    <w:rsid w:val="00433CE8"/>
    <w:rsid w:val="00434A5C"/>
    <w:rsid w:val="0043739E"/>
    <w:rsid w:val="00442520"/>
    <w:rsid w:val="00443B8E"/>
    <w:rsid w:val="004544D9"/>
    <w:rsid w:val="004564EF"/>
    <w:rsid w:val="004574BC"/>
    <w:rsid w:val="0046328D"/>
    <w:rsid w:val="00471AFE"/>
    <w:rsid w:val="00471C70"/>
    <w:rsid w:val="004721DD"/>
    <w:rsid w:val="00472BAD"/>
    <w:rsid w:val="004804C3"/>
    <w:rsid w:val="004839A8"/>
    <w:rsid w:val="00484009"/>
    <w:rsid w:val="004906A1"/>
    <w:rsid w:val="00490E72"/>
    <w:rsid w:val="00491157"/>
    <w:rsid w:val="004921C8"/>
    <w:rsid w:val="00494ABD"/>
    <w:rsid w:val="00495966"/>
    <w:rsid w:val="00495B0B"/>
    <w:rsid w:val="00497317"/>
    <w:rsid w:val="004A1B8B"/>
    <w:rsid w:val="004A309C"/>
    <w:rsid w:val="004A3487"/>
    <w:rsid w:val="004C3298"/>
    <w:rsid w:val="004C3FD2"/>
    <w:rsid w:val="004C46FD"/>
    <w:rsid w:val="004D033A"/>
    <w:rsid w:val="004D1851"/>
    <w:rsid w:val="004D2D22"/>
    <w:rsid w:val="004D3938"/>
    <w:rsid w:val="004D599D"/>
    <w:rsid w:val="004E24AE"/>
    <w:rsid w:val="004E2EA5"/>
    <w:rsid w:val="004E3AEB"/>
    <w:rsid w:val="004F72CA"/>
    <w:rsid w:val="00500F48"/>
    <w:rsid w:val="00501096"/>
    <w:rsid w:val="00502091"/>
    <w:rsid w:val="0050223C"/>
    <w:rsid w:val="00506BD7"/>
    <w:rsid w:val="005122FF"/>
    <w:rsid w:val="005160FA"/>
    <w:rsid w:val="0052189E"/>
    <w:rsid w:val="005243FF"/>
    <w:rsid w:val="00531808"/>
    <w:rsid w:val="005328FE"/>
    <w:rsid w:val="0054423F"/>
    <w:rsid w:val="00550802"/>
    <w:rsid w:val="005568C6"/>
    <w:rsid w:val="00560B80"/>
    <w:rsid w:val="00564FBC"/>
    <w:rsid w:val="00565477"/>
    <w:rsid w:val="005800BC"/>
    <w:rsid w:val="00582442"/>
    <w:rsid w:val="00584D8E"/>
    <w:rsid w:val="00585596"/>
    <w:rsid w:val="00597030"/>
    <w:rsid w:val="00597636"/>
    <w:rsid w:val="005A2FD8"/>
    <w:rsid w:val="005C064D"/>
    <w:rsid w:val="005D11DD"/>
    <w:rsid w:val="005F0C2F"/>
    <w:rsid w:val="005F3269"/>
    <w:rsid w:val="0060091C"/>
    <w:rsid w:val="0060709B"/>
    <w:rsid w:val="006209D9"/>
    <w:rsid w:val="00621C38"/>
    <w:rsid w:val="00623AE3"/>
    <w:rsid w:val="006270F2"/>
    <w:rsid w:val="006305F3"/>
    <w:rsid w:val="00632AB7"/>
    <w:rsid w:val="00633F05"/>
    <w:rsid w:val="00640D56"/>
    <w:rsid w:val="00644BEE"/>
    <w:rsid w:val="0064737F"/>
    <w:rsid w:val="006535F1"/>
    <w:rsid w:val="00653CD7"/>
    <w:rsid w:val="0065557D"/>
    <w:rsid w:val="00660D50"/>
    <w:rsid w:val="0066192A"/>
    <w:rsid w:val="00662984"/>
    <w:rsid w:val="006646A4"/>
    <w:rsid w:val="006658AA"/>
    <w:rsid w:val="006669B5"/>
    <w:rsid w:val="006703F5"/>
    <w:rsid w:val="006716BB"/>
    <w:rsid w:val="00682094"/>
    <w:rsid w:val="006850BE"/>
    <w:rsid w:val="00697994"/>
    <w:rsid w:val="00697AD9"/>
    <w:rsid w:val="006A297B"/>
    <w:rsid w:val="006B1859"/>
    <w:rsid w:val="006B60B0"/>
    <w:rsid w:val="006B6680"/>
    <w:rsid w:val="006B6DCC"/>
    <w:rsid w:val="006D5DC8"/>
    <w:rsid w:val="006E307F"/>
    <w:rsid w:val="006E34A0"/>
    <w:rsid w:val="006F7629"/>
    <w:rsid w:val="00702DEF"/>
    <w:rsid w:val="00706861"/>
    <w:rsid w:val="0071028E"/>
    <w:rsid w:val="00715BF5"/>
    <w:rsid w:val="007169F9"/>
    <w:rsid w:val="0072331E"/>
    <w:rsid w:val="00725E3C"/>
    <w:rsid w:val="00727248"/>
    <w:rsid w:val="00730B11"/>
    <w:rsid w:val="00735D69"/>
    <w:rsid w:val="0075051B"/>
    <w:rsid w:val="00756CFD"/>
    <w:rsid w:val="0077230B"/>
    <w:rsid w:val="00775C8A"/>
    <w:rsid w:val="00781560"/>
    <w:rsid w:val="00781BCB"/>
    <w:rsid w:val="00790F4D"/>
    <w:rsid w:val="00793188"/>
    <w:rsid w:val="00794D34"/>
    <w:rsid w:val="007A0355"/>
    <w:rsid w:val="007A406D"/>
    <w:rsid w:val="007A4204"/>
    <w:rsid w:val="007B2801"/>
    <w:rsid w:val="007B694A"/>
    <w:rsid w:val="007C48C2"/>
    <w:rsid w:val="007C6915"/>
    <w:rsid w:val="007E2554"/>
    <w:rsid w:val="007E6670"/>
    <w:rsid w:val="007F0093"/>
    <w:rsid w:val="00813E5E"/>
    <w:rsid w:val="00826EAF"/>
    <w:rsid w:val="0083581B"/>
    <w:rsid w:val="00846523"/>
    <w:rsid w:val="008467AB"/>
    <w:rsid w:val="00860741"/>
    <w:rsid w:val="00863874"/>
    <w:rsid w:val="00864AFF"/>
    <w:rsid w:val="00865925"/>
    <w:rsid w:val="00872DE3"/>
    <w:rsid w:val="008749B6"/>
    <w:rsid w:val="00875034"/>
    <w:rsid w:val="00877C85"/>
    <w:rsid w:val="00883803"/>
    <w:rsid w:val="0088387A"/>
    <w:rsid w:val="008846DD"/>
    <w:rsid w:val="0088DFA9"/>
    <w:rsid w:val="008928BF"/>
    <w:rsid w:val="008B03E5"/>
    <w:rsid w:val="008B45C3"/>
    <w:rsid w:val="008B4A6A"/>
    <w:rsid w:val="008C2D09"/>
    <w:rsid w:val="008C45D9"/>
    <w:rsid w:val="008C7E27"/>
    <w:rsid w:val="008D5380"/>
    <w:rsid w:val="008E782E"/>
    <w:rsid w:val="008F6565"/>
    <w:rsid w:val="008F7448"/>
    <w:rsid w:val="00900E23"/>
    <w:rsid w:val="0090147A"/>
    <w:rsid w:val="00916294"/>
    <w:rsid w:val="00917023"/>
    <w:rsid w:val="009173EF"/>
    <w:rsid w:val="00923CD1"/>
    <w:rsid w:val="009245F1"/>
    <w:rsid w:val="0092603D"/>
    <w:rsid w:val="00932906"/>
    <w:rsid w:val="00940A16"/>
    <w:rsid w:val="009428B9"/>
    <w:rsid w:val="009437AC"/>
    <w:rsid w:val="00952592"/>
    <w:rsid w:val="00957A7D"/>
    <w:rsid w:val="00961B0B"/>
    <w:rsid w:val="00962D33"/>
    <w:rsid w:val="0096536D"/>
    <w:rsid w:val="009658A5"/>
    <w:rsid w:val="0097501D"/>
    <w:rsid w:val="00980D26"/>
    <w:rsid w:val="00980E69"/>
    <w:rsid w:val="009830BA"/>
    <w:rsid w:val="00990BBE"/>
    <w:rsid w:val="009A09DE"/>
    <w:rsid w:val="009A2224"/>
    <w:rsid w:val="009A284E"/>
    <w:rsid w:val="009A34E3"/>
    <w:rsid w:val="009B37CC"/>
    <w:rsid w:val="009B38C3"/>
    <w:rsid w:val="009B731D"/>
    <w:rsid w:val="009D4F0B"/>
    <w:rsid w:val="009D5322"/>
    <w:rsid w:val="009E17BD"/>
    <w:rsid w:val="009E3745"/>
    <w:rsid w:val="009E485A"/>
    <w:rsid w:val="009E5863"/>
    <w:rsid w:val="009F0404"/>
    <w:rsid w:val="009F47B3"/>
    <w:rsid w:val="009F4C37"/>
    <w:rsid w:val="00A04CEC"/>
    <w:rsid w:val="00A20EA1"/>
    <w:rsid w:val="00A24F8A"/>
    <w:rsid w:val="00A25711"/>
    <w:rsid w:val="00A27F92"/>
    <w:rsid w:val="00A30B27"/>
    <w:rsid w:val="00A32257"/>
    <w:rsid w:val="00A36D20"/>
    <w:rsid w:val="00A417C4"/>
    <w:rsid w:val="00A4419B"/>
    <w:rsid w:val="00A4553B"/>
    <w:rsid w:val="00A47B6F"/>
    <w:rsid w:val="00A50857"/>
    <w:rsid w:val="00A514A4"/>
    <w:rsid w:val="00A523C6"/>
    <w:rsid w:val="00A55622"/>
    <w:rsid w:val="00A6170F"/>
    <w:rsid w:val="00A64F43"/>
    <w:rsid w:val="00A66849"/>
    <w:rsid w:val="00A83502"/>
    <w:rsid w:val="00A933AB"/>
    <w:rsid w:val="00A9419B"/>
    <w:rsid w:val="00AC0B20"/>
    <w:rsid w:val="00AD15B3"/>
    <w:rsid w:val="00AD3606"/>
    <w:rsid w:val="00AD4A3D"/>
    <w:rsid w:val="00AE55A8"/>
    <w:rsid w:val="00AF1D13"/>
    <w:rsid w:val="00AF204B"/>
    <w:rsid w:val="00AF3658"/>
    <w:rsid w:val="00AF41DB"/>
    <w:rsid w:val="00AF6E49"/>
    <w:rsid w:val="00AF705A"/>
    <w:rsid w:val="00AF77E0"/>
    <w:rsid w:val="00B03359"/>
    <w:rsid w:val="00B04A67"/>
    <w:rsid w:val="00B0583C"/>
    <w:rsid w:val="00B13E5F"/>
    <w:rsid w:val="00B273D1"/>
    <w:rsid w:val="00B30468"/>
    <w:rsid w:val="00B346E8"/>
    <w:rsid w:val="00B34D9D"/>
    <w:rsid w:val="00B3565A"/>
    <w:rsid w:val="00B40A81"/>
    <w:rsid w:val="00B412FF"/>
    <w:rsid w:val="00B44910"/>
    <w:rsid w:val="00B46126"/>
    <w:rsid w:val="00B520F3"/>
    <w:rsid w:val="00B53455"/>
    <w:rsid w:val="00B56492"/>
    <w:rsid w:val="00B62B1B"/>
    <w:rsid w:val="00B63208"/>
    <w:rsid w:val="00B63535"/>
    <w:rsid w:val="00B72267"/>
    <w:rsid w:val="00B74FA7"/>
    <w:rsid w:val="00B76EB6"/>
    <w:rsid w:val="00B7737B"/>
    <w:rsid w:val="00B80E85"/>
    <w:rsid w:val="00B824C8"/>
    <w:rsid w:val="00B8422F"/>
    <w:rsid w:val="00B84B9D"/>
    <w:rsid w:val="00B871AA"/>
    <w:rsid w:val="00B872BA"/>
    <w:rsid w:val="00BA687F"/>
    <w:rsid w:val="00BB18A5"/>
    <w:rsid w:val="00BB48C1"/>
    <w:rsid w:val="00BC0F19"/>
    <w:rsid w:val="00BC251A"/>
    <w:rsid w:val="00BC6224"/>
    <w:rsid w:val="00BD032B"/>
    <w:rsid w:val="00BE2640"/>
    <w:rsid w:val="00BE3356"/>
    <w:rsid w:val="00C01189"/>
    <w:rsid w:val="00C021B3"/>
    <w:rsid w:val="00C055CC"/>
    <w:rsid w:val="00C14C0B"/>
    <w:rsid w:val="00C26F65"/>
    <w:rsid w:val="00C274D7"/>
    <w:rsid w:val="00C33DBF"/>
    <w:rsid w:val="00C35704"/>
    <w:rsid w:val="00C3697F"/>
    <w:rsid w:val="00C374DE"/>
    <w:rsid w:val="00C47AD4"/>
    <w:rsid w:val="00C5186F"/>
    <w:rsid w:val="00C52D81"/>
    <w:rsid w:val="00C53833"/>
    <w:rsid w:val="00C53FA4"/>
    <w:rsid w:val="00C55198"/>
    <w:rsid w:val="00C57F79"/>
    <w:rsid w:val="00C63B74"/>
    <w:rsid w:val="00C63D86"/>
    <w:rsid w:val="00C706EA"/>
    <w:rsid w:val="00C73B3D"/>
    <w:rsid w:val="00C81318"/>
    <w:rsid w:val="00C82B65"/>
    <w:rsid w:val="00C84874"/>
    <w:rsid w:val="00CA6393"/>
    <w:rsid w:val="00CA7FCA"/>
    <w:rsid w:val="00CB18FF"/>
    <w:rsid w:val="00CD0443"/>
    <w:rsid w:val="00CD0C08"/>
    <w:rsid w:val="00CE03FB"/>
    <w:rsid w:val="00CE2294"/>
    <w:rsid w:val="00CE433C"/>
    <w:rsid w:val="00CE4A66"/>
    <w:rsid w:val="00CF0161"/>
    <w:rsid w:val="00CF2A69"/>
    <w:rsid w:val="00CF33F3"/>
    <w:rsid w:val="00D06183"/>
    <w:rsid w:val="00D11DEE"/>
    <w:rsid w:val="00D127BE"/>
    <w:rsid w:val="00D163F4"/>
    <w:rsid w:val="00D22C42"/>
    <w:rsid w:val="00D24187"/>
    <w:rsid w:val="00D34A12"/>
    <w:rsid w:val="00D44175"/>
    <w:rsid w:val="00D47C66"/>
    <w:rsid w:val="00D51C00"/>
    <w:rsid w:val="00D62C25"/>
    <w:rsid w:val="00D65041"/>
    <w:rsid w:val="00D72902"/>
    <w:rsid w:val="00D748EC"/>
    <w:rsid w:val="00D83024"/>
    <w:rsid w:val="00D839DB"/>
    <w:rsid w:val="00D933FE"/>
    <w:rsid w:val="00DA2067"/>
    <w:rsid w:val="00DA36A8"/>
    <w:rsid w:val="00DA6794"/>
    <w:rsid w:val="00DB0438"/>
    <w:rsid w:val="00DB1936"/>
    <w:rsid w:val="00DB1C46"/>
    <w:rsid w:val="00DB384B"/>
    <w:rsid w:val="00DB5375"/>
    <w:rsid w:val="00DB68E0"/>
    <w:rsid w:val="00DE5A9F"/>
    <w:rsid w:val="00DE698A"/>
    <w:rsid w:val="00DE6B0D"/>
    <w:rsid w:val="00DF0189"/>
    <w:rsid w:val="00E043EF"/>
    <w:rsid w:val="00E06FD5"/>
    <w:rsid w:val="00E10270"/>
    <w:rsid w:val="00E10E80"/>
    <w:rsid w:val="00E124F0"/>
    <w:rsid w:val="00E227F3"/>
    <w:rsid w:val="00E23618"/>
    <w:rsid w:val="00E31303"/>
    <w:rsid w:val="00E33026"/>
    <w:rsid w:val="00E41FD4"/>
    <w:rsid w:val="00E53D73"/>
    <w:rsid w:val="00E545C6"/>
    <w:rsid w:val="00E54898"/>
    <w:rsid w:val="00E557C6"/>
    <w:rsid w:val="00E60F04"/>
    <w:rsid w:val="00E64903"/>
    <w:rsid w:val="00E65B24"/>
    <w:rsid w:val="00E74085"/>
    <w:rsid w:val="00E84744"/>
    <w:rsid w:val="00E854E4"/>
    <w:rsid w:val="00E86DBF"/>
    <w:rsid w:val="00E92CB6"/>
    <w:rsid w:val="00E94343"/>
    <w:rsid w:val="00EA0003"/>
    <w:rsid w:val="00EA0999"/>
    <w:rsid w:val="00EA5F1F"/>
    <w:rsid w:val="00EB0D6F"/>
    <w:rsid w:val="00EB2232"/>
    <w:rsid w:val="00EC5337"/>
    <w:rsid w:val="00ED2293"/>
    <w:rsid w:val="00ED4170"/>
    <w:rsid w:val="00EE1065"/>
    <w:rsid w:val="00EE49E8"/>
    <w:rsid w:val="00EE6EFC"/>
    <w:rsid w:val="00F01ED5"/>
    <w:rsid w:val="00F11BB7"/>
    <w:rsid w:val="00F1460C"/>
    <w:rsid w:val="00F16BAB"/>
    <w:rsid w:val="00F2150A"/>
    <w:rsid w:val="00F21D41"/>
    <w:rsid w:val="00F22198"/>
    <w:rsid w:val="00F231D8"/>
    <w:rsid w:val="00F2381A"/>
    <w:rsid w:val="00F30201"/>
    <w:rsid w:val="00F44C00"/>
    <w:rsid w:val="00F45D2C"/>
    <w:rsid w:val="00F46C5F"/>
    <w:rsid w:val="00F53286"/>
    <w:rsid w:val="00F632C0"/>
    <w:rsid w:val="00F72E00"/>
    <w:rsid w:val="00F74710"/>
    <w:rsid w:val="00F74CB8"/>
    <w:rsid w:val="00F80848"/>
    <w:rsid w:val="00F82DEE"/>
    <w:rsid w:val="00F94A63"/>
    <w:rsid w:val="00FA1C28"/>
    <w:rsid w:val="00FB1279"/>
    <w:rsid w:val="00FB2647"/>
    <w:rsid w:val="00FB6B76"/>
    <w:rsid w:val="00FB7596"/>
    <w:rsid w:val="00FC20DA"/>
    <w:rsid w:val="00FC2473"/>
    <w:rsid w:val="00FD6440"/>
    <w:rsid w:val="00FE03E4"/>
    <w:rsid w:val="00FE4077"/>
    <w:rsid w:val="00FE500D"/>
    <w:rsid w:val="00FE77D2"/>
    <w:rsid w:val="00FF36D4"/>
    <w:rsid w:val="00FF5147"/>
    <w:rsid w:val="0111A0FF"/>
    <w:rsid w:val="01338CC0"/>
    <w:rsid w:val="01784123"/>
    <w:rsid w:val="04911A80"/>
    <w:rsid w:val="04BBE5DA"/>
    <w:rsid w:val="04C06773"/>
    <w:rsid w:val="06A9AFAF"/>
    <w:rsid w:val="09627933"/>
    <w:rsid w:val="09792FC6"/>
    <w:rsid w:val="09EE11C9"/>
    <w:rsid w:val="0A2845CD"/>
    <w:rsid w:val="0A682DB0"/>
    <w:rsid w:val="0B78E89E"/>
    <w:rsid w:val="0C0A17CE"/>
    <w:rsid w:val="0C59F849"/>
    <w:rsid w:val="0CCB9A3F"/>
    <w:rsid w:val="0D83D69C"/>
    <w:rsid w:val="0D9F50C7"/>
    <w:rsid w:val="0DCC4AF5"/>
    <w:rsid w:val="0DE95E38"/>
    <w:rsid w:val="0E2E6782"/>
    <w:rsid w:val="0E66C7DF"/>
    <w:rsid w:val="0E9DDC4F"/>
    <w:rsid w:val="0ED3A209"/>
    <w:rsid w:val="0F4425D6"/>
    <w:rsid w:val="0FD0562C"/>
    <w:rsid w:val="0FDB72AB"/>
    <w:rsid w:val="10179AD6"/>
    <w:rsid w:val="10A45EC6"/>
    <w:rsid w:val="11706E5E"/>
    <w:rsid w:val="1245FCBE"/>
    <w:rsid w:val="1405D89D"/>
    <w:rsid w:val="1511724E"/>
    <w:rsid w:val="1512A3B9"/>
    <w:rsid w:val="153531DB"/>
    <w:rsid w:val="15910AD7"/>
    <w:rsid w:val="15A3E014"/>
    <w:rsid w:val="15B73BC3"/>
    <w:rsid w:val="161D5366"/>
    <w:rsid w:val="16281818"/>
    <w:rsid w:val="17080884"/>
    <w:rsid w:val="170ADE75"/>
    <w:rsid w:val="17498358"/>
    <w:rsid w:val="18B89188"/>
    <w:rsid w:val="18D4E857"/>
    <w:rsid w:val="18DB8137"/>
    <w:rsid w:val="1900B694"/>
    <w:rsid w:val="194602F7"/>
    <w:rsid w:val="19FF9E51"/>
    <w:rsid w:val="1A28D9FD"/>
    <w:rsid w:val="1A405E5E"/>
    <w:rsid w:val="1AF82655"/>
    <w:rsid w:val="1B121B83"/>
    <w:rsid w:val="1B6FE0A0"/>
    <w:rsid w:val="1B9B6EB2"/>
    <w:rsid w:val="1BAC9CC5"/>
    <w:rsid w:val="1C25C4B7"/>
    <w:rsid w:val="1CCFEDDE"/>
    <w:rsid w:val="1D988D10"/>
    <w:rsid w:val="1DAA73CB"/>
    <w:rsid w:val="1DE74938"/>
    <w:rsid w:val="1E159B77"/>
    <w:rsid w:val="1E55AF25"/>
    <w:rsid w:val="1E5E54D0"/>
    <w:rsid w:val="1F046C44"/>
    <w:rsid w:val="1FADA018"/>
    <w:rsid w:val="1FDBDFCA"/>
    <w:rsid w:val="2127C757"/>
    <w:rsid w:val="212A5F90"/>
    <w:rsid w:val="2150EFFF"/>
    <w:rsid w:val="21C1EB93"/>
    <w:rsid w:val="21E2BF31"/>
    <w:rsid w:val="2218279F"/>
    <w:rsid w:val="230F6EC2"/>
    <w:rsid w:val="232C934F"/>
    <w:rsid w:val="234EDA1E"/>
    <w:rsid w:val="248BC499"/>
    <w:rsid w:val="2572314A"/>
    <w:rsid w:val="2581888E"/>
    <w:rsid w:val="265A90F9"/>
    <w:rsid w:val="284EFE23"/>
    <w:rsid w:val="28741F79"/>
    <w:rsid w:val="28B1077D"/>
    <w:rsid w:val="2A6DB73A"/>
    <w:rsid w:val="2ADD3769"/>
    <w:rsid w:val="2B090C64"/>
    <w:rsid w:val="2C613910"/>
    <w:rsid w:val="2C6939E5"/>
    <w:rsid w:val="2C87215F"/>
    <w:rsid w:val="2F62C9A5"/>
    <w:rsid w:val="303C330B"/>
    <w:rsid w:val="31880B28"/>
    <w:rsid w:val="3222E983"/>
    <w:rsid w:val="324E1A22"/>
    <w:rsid w:val="3253988D"/>
    <w:rsid w:val="3268EB67"/>
    <w:rsid w:val="3276DF82"/>
    <w:rsid w:val="32A67F35"/>
    <w:rsid w:val="32B721E9"/>
    <w:rsid w:val="33206CE2"/>
    <w:rsid w:val="338D64C0"/>
    <w:rsid w:val="33B25BFB"/>
    <w:rsid w:val="349C400C"/>
    <w:rsid w:val="34BCFBBC"/>
    <w:rsid w:val="35C50BD8"/>
    <w:rsid w:val="36B845AC"/>
    <w:rsid w:val="37E3C4A5"/>
    <w:rsid w:val="388B7E90"/>
    <w:rsid w:val="399A7F93"/>
    <w:rsid w:val="39B68438"/>
    <w:rsid w:val="3A4F2B03"/>
    <w:rsid w:val="3A6F6EA6"/>
    <w:rsid w:val="3A83A96D"/>
    <w:rsid w:val="3B650C74"/>
    <w:rsid w:val="3BA2A0D9"/>
    <w:rsid w:val="3CB81E32"/>
    <w:rsid w:val="3CC19051"/>
    <w:rsid w:val="3CE2B2DD"/>
    <w:rsid w:val="3D58E8A9"/>
    <w:rsid w:val="3E97DFB3"/>
    <w:rsid w:val="3FCEA6D3"/>
    <w:rsid w:val="400036F7"/>
    <w:rsid w:val="4055572A"/>
    <w:rsid w:val="415434A2"/>
    <w:rsid w:val="4264D1DC"/>
    <w:rsid w:val="4357D957"/>
    <w:rsid w:val="4364908B"/>
    <w:rsid w:val="43F87230"/>
    <w:rsid w:val="44C91A3A"/>
    <w:rsid w:val="45BA5E8E"/>
    <w:rsid w:val="4637C46A"/>
    <w:rsid w:val="46A3F429"/>
    <w:rsid w:val="46D85D94"/>
    <w:rsid w:val="470E9B53"/>
    <w:rsid w:val="477EB6B3"/>
    <w:rsid w:val="478AAB7E"/>
    <w:rsid w:val="47A9095C"/>
    <w:rsid w:val="480B6598"/>
    <w:rsid w:val="4830DF39"/>
    <w:rsid w:val="4C39FB8F"/>
    <w:rsid w:val="4C56657F"/>
    <w:rsid w:val="4C6F94DF"/>
    <w:rsid w:val="4D72CCF0"/>
    <w:rsid w:val="4DE9298F"/>
    <w:rsid w:val="4E3B11E5"/>
    <w:rsid w:val="4E515FCA"/>
    <w:rsid w:val="4E5DA7C2"/>
    <w:rsid w:val="4F465751"/>
    <w:rsid w:val="4F7A8BBA"/>
    <w:rsid w:val="50052FA2"/>
    <w:rsid w:val="50071BE5"/>
    <w:rsid w:val="5061C7B9"/>
    <w:rsid w:val="514AD0AE"/>
    <w:rsid w:val="515D919A"/>
    <w:rsid w:val="5288A7EC"/>
    <w:rsid w:val="529891DB"/>
    <w:rsid w:val="52BECE5A"/>
    <w:rsid w:val="5374B084"/>
    <w:rsid w:val="55747DEF"/>
    <w:rsid w:val="567E84BB"/>
    <w:rsid w:val="5752DAA1"/>
    <w:rsid w:val="576B0ED6"/>
    <w:rsid w:val="58180750"/>
    <w:rsid w:val="588A3C36"/>
    <w:rsid w:val="58FBB0B5"/>
    <w:rsid w:val="5902E5C9"/>
    <w:rsid w:val="590587F7"/>
    <w:rsid w:val="5A48F4FD"/>
    <w:rsid w:val="5A71B51B"/>
    <w:rsid w:val="5AE59EDD"/>
    <w:rsid w:val="5B63A048"/>
    <w:rsid w:val="5BB6F13D"/>
    <w:rsid w:val="5D20092E"/>
    <w:rsid w:val="5E5B024A"/>
    <w:rsid w:val="5EC1F076"/>
    <w:rsid w:val="5F2F4DCE"/>
    <w:rsid w:val="60725416"/>
    <w:rsid w:val="60B00096"/>
    <w:rsid w:val="61497B11"/>
    <w:rsid w:val="61B49E4C"/>
    <w:rsid w:val="61E65A2C"/>
    <w:rsid w:val="634DFDCD"/>
    <w:rsid w:val="639EC778"/>
    <w:rsid w:val="648114CD"/>
    <w:rsid w:val="65259315"/>
    <w:rsid w:val="6549494D"/>
    <w:rsid w:val="65C88A9F"/>
    <w:rsid w:val="666C2D65"/>
    <w:rsid w:val="66B4E800"/>
    <w:rsid w:val="675FE837"/>
    <w:rsid w:val="67644CFE"/>
    <w:rsid w:val="6784E811"/>
    <w:rsid w:val="68506CA7"/>
    <w:rsid w:val="687DC057"/>
    <w:rsid w:val="68FE9C37"/>
    <w:rsid w:val="68FF8D24"/>
    <w:rsid w:val="69EC3D08"/>
    <w:rsid w:val="6A0CCC86"/>
    <w:rsid w:val="6A7A1DA0"/>
    <w:rsid w:val="6C3F80A7"/>
    <w:rsid w:val="6C65D954"/>
    <w:rsid w:val="6D89EFD9"/>
    <w:rsid w:val="6E53F1B5"/>
    <w:rsid w:val="6EA65D23"/>
    <w:rsid w:val="6EC36FC0"/>
    <w:rsid w:val="6FCA7F13"/>
    <w:rsid w:val="704F6595"/>
    <w:rsid w:val="706A6C09"/>
    <w:rsid w:val="70AA7CC3"/>
    <w:rsid w:val="7105B681"/>
    <w:rsid w:val="71EB35F6"/>
    <w:rsid w:val="722024C2"/>
    <w:rsid w:val="7296B1F4"/>
    <w:rsid w:val="7417CB01"/>
    <w:rsid w:val="7499E9B8"/>
    <w:rsid w:val="75007B45"/>
    <w:rsid w:val="752101AA"/>
    <w:rsid w:val="752C123D"/>
    <w:rsid w:val="75828CFA"/>
    <w:rsid w:val="7587D8FD"/>
    <w:rsid w:val="7689C1F8"/>
    <w:rsid w:val="76CF75CC"/>
    <w:rsid w:val="771A854C"/>
    <w:rsid w:val="7796D2C6"/>
    <w:rsid w:val="785360D2"/>
    <w:rsid w:val="789C66D2"/>
    <w:rsid w:val="79814798"/>
    <w:rsid w:val="7A5E550F"/>
    <w:rsid w:val="7A87D303"/>
    <w:rsid w:val="7A9027C6"/>
    <w:rsid w:val="7AC0BD8E"/>
    <w:rsid w:val="7B2FD349"/>
    <w:rsid w:val="7C0499D2"/>
    <w:rsid w:val="7C3A65B3"/>
    <w:rsid w:val="7CDE73D6"/>
    <w:rsid w:val="7D76EE8D"/>
    <w:rsid w:val="7DC985E9"/>
    <w:rsid w:val="7DF94212"/>
    <w:rsid w:val="7E1A39CB"/>
    <w:rsid w:val="7E775699"/>
    <w:rsid w:val="7E81C320"/>
    <w:rsid w:val="7E87232B"/>
    <w:rsid w:val="7EBAA936"/>
    <w:rsid w:val="7F89383C"/>
    <w:rsid w:val="7FDFE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  <w15:docId w15:val="{ECA035D0-283E-4C68-80BB-D0D9B51E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644BEE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Style 58,超?级链,超????,하이퍼링크2,하이퍼링크21,超链接1,CEO_Hyperlink,超??级链Ú,fL????,fL?级,超??级链"/>
    <w:basedOn w:val="DefaultParagraphFont"/>
    <w:uiPriority w:val="99"/>
    <w:qFormat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styleId="NoSpacing">
    <w:name w:val="No Spacing"/>
    <w:uiPriority w:val="1"/>
    <w:qFormat/>
    <w:rsid w:val="005C064D"/>
    <w:rPr>
      <w:rFonts w:asciiTheme="minorHAnsi" w:eastAsiaTheme="minorEastAsia" w:hAnsiTheme="minorHAnsi" w:cstheme="minorBidi"/>
      <w:kern w:val="2"/>
      <w:sz w:val="22"/>
      <w:szCs w:val="22"/>
      <w:lang w:val="en-GB"/>
      <w14:ligatures w14:val="standardContextual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5C064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ind w:left="510"/>
      <w:textAlignment w:val="auto"/>
    </w:pPr>
    <w:rPr>
      <w:rFonts w:eastAsia="PMingLiU"/>
      <w:sz w:val="22"/>
      <w:szCs w:val="22"/>
      <w:lang w:val="en-US" w:eastAsia="zh-TW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basedOn w:val="DefaultParagraphFont"/>
    <w:link w:val="ListParagraph"/>
    <w:uiPriority w:val="34"/>
    <w:qFormat/>
    <w:locked/>
    <w:rsid w:val="005C064D"/>
    <w:rPr>
      <w:rFonts w:ascii="Calibri" w:eastAsia="PMingLiU" w:hAnsi="Calibri"/>
      <w:sz w:val="22"/>
      <w:szCs w:val="22"/>
      <w:lang w:eastAsia="zh-TW"/>
    </w:rPr>
  </w:style>
  <w:style w:type="paragraph" w:customStyle="1" w:styleId="pf0">
    <w:name w:val="pf0"/>
    <w:basedOn w:val="Normal"/>
    <w:rsid w:val="005C064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customStyle="1" w:styleId="cf01">
    <w:name w:val="cf01"/>
    <w:basedOn w:val="DefaultParagraphFont"/>
    <w:rsid w:val="005C064D"/>
    <w:rPr>
      <w:rFonts w:ascii="Segoe UI" w:hAnsi="Segoe UI" w:cs="Segoe UI" w:hint="default"/>
      <w:b/>
      <w:bCs/>
      <w:sz w:val="24"/>
      <w:szCs w:val="24"/>
    </w:rPr>
  </w:style>
  <w:style w:type="character" w:customStyle="1" w:styleId="normaltextrun">
    <w:name w:val="normaltextrun"/>
    <w:basedOn w:val="DefaultParagraphFont"/>
    <w:rsid w:val="0043739E"/>
  </w:style>
  <w:style w:type="character" w:customStyle="1" w:styleId="scxw234051378">
    <w:name w:val="scxw234051378"/>
    <w:basedOn w:val="DefaultParagraphFont"/>
    <w:rsid w:val="0043739E"/>
  </w:style>
  <w:style w:type="character" w:customStyle="1" w:styleId="wacimagecontainer">
    <w:name w:val="wacimagecontainer"/>
    <w:basedOn w:val="DefaultParagraphFont"/>
    <w:rsid w:val="0043739E"/>
  </w:style>
  <w:style w:type="paragraph" w:customStyle="1" w:styleId="paragraph">
    <w:name w:val="paragraph"/>
    <w:basedOn w:val="Normal"/>
    <w:rsid w:val="00633F0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customStyle="1" w:styleId="eop">
    <w:name w:val="eop"/>
    <w:basedOn w:val="DefaultParagraphFont"/>
    <w:rsid w:val="00633F05"/>
  </w:style>
  <w:style w:type="character" w:customStyle="1" w:styleId="advancedproofingissue">
    <w:name w:val="advancedproofingissue"/>
    <w:basedOn w:val="DefaultParagraphFont"/>
    <w:rsid w:val="00633F05"/>
  </w:style>
  <w:style w:type="character" w:styleId="CommentReference">
    <w:name w:val="annotation reference"/>
    <w:basedOn w:val="DefaultParagraphFont"/>
    <w:semiHidden/>
    <w:unhideWhenUsed/>
    <w:rsid w:val="00B3046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3046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3046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04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0468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F47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749B6"/>
    <w:rPr>
      <w:rFonts w:ascii="Calibri" w:hAnsi="Calibri"/>
      <w:sz w:val="24"/>
      <w:lang w:val="en-GB" w:eastAsia="en-US"/>
    </w:rPr>
  </w:style>
  <w:style w:type="paragraph" w:customStyle="1" w:styleId="Subtitle1">
    <w:name w:val="Subtitle1"/>
    <w:basedOn w:val="Title1"/>
    <w:qFormat/>
    <w:rsid w:val="00980D26"/>
    <w:pPr>
      <w:framePr w:wrap="around" w:vAnchor="margin" w:hAnchor="text"/>
      <w:spacing w:before="120" w:after="160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5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278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5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0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1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9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4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03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29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63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90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4-CL-C-0070/en" TargetMode="External"/><Relationship Id="rId18" Type="http://schemas.openxmlformats.org/officeDocument/2006/relationships/hyperlink" Target="https://www.itu.int/ITU-T/recommendations/rec.aspx?rec=15030" TargetMode="External"/><Relationship Id="rId26" Type="http://schemas.openxmlformats.org/officeDocument/2006/relationships/hyperlink" Target="https://www.itu.int/rec/T-REC-L.147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4-CL-C-0070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S24-CL-C-0035/en" TargetMode="External"/><Relationship Id="rId17" Type="http://schemas.openxmlformats.org/officeDocument/2006/relationships/hyperlink" Target="https://www.itu.int/en/ITU-D/Environment/Pages/Publications/Measuring-Emissions-and-Energy-Footprint-ICT-Sector.aspx" TargetMode="External"/><Relationship Id="rId25" Type="http://schemas.openxmlformats.org/officeDocument/2006/relationships/hyperlink" Target="https://www.itu.int/en/ITU-D/Environment/Pages/Publications/Measuring-Emissions-and-Energy-Footprint-ICT-Sector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D/Environment/Pages/Publications/The-Global-E-waste-Monitor-2024.aspx" TargetMode="External"/><Relationship Id="rId20" Type="http://schemas.openxmlformats.org/officeDocument/2006/relationships/hyperlink" Target="https://www.itu.int/initiatives/green-digital-action/impact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council/Documents/basic-texts-2023/RES-182-E.pdf" TargetMode="External"/><Relationship Id="rId24" Type="http://schemas.openxmlformats.org/officeDocument/2006/relationships/hyperlink" Target="https://www.itu.int/en/ITU-D/Environment/Pages/Toolbox/Greening-Digital-Companies-2023.aspx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council/Documents/basic-texts-2023/RES-182-E.pdf" TargetMode="External"/><Relationship Id="rId23" Type="http://schemas.openxmlformats.org/officeDocument/2006/relationships/hyperlink" Target="https://www.itu.int/rec/T-REC-L.1470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4-CL-C-0035/en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4-CL-C-0035/en" TargetMode="External"/><Relationship Id="rId22" Type="http://schemas.openxmlformats.org/officeDocument/2006/relationships/hyperlink" Target="https://www.itu.int/rec/T-REC-L.1450" TargetMode="External"/><Relationship Id="rId27" Type="http://schemas.openxmlformats.org/officeDocument/2006/relationships/hyperlink" Target="https://www.unep.org/resources/report/greening-blue-report-2023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hub/publication/d-them-32-2023-01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6" ma:contentTypeDescription="Create a new document." ma:contentTypeScope="" ma:versionID="5c30e77df36f4996b63fd4603273e0c6">
  <xsd:schema xmlns:xsd="http://www.w3.org/2001/XMLSchema" xmlns:xs="http://www.w3.org/2001/XMLSchema" xmlns:p="http://schemas.microsoft.com/office/2006/metadata/properties" xmlns:ns2="085b46e1-7f22-4e81-9ba5-912dc5a5fd9a" xmlns:ns3="98b04e1e-0540-4930-9623-702d547a0a33" targetNamespace="http://schemas.microsoft.com/office/2006/metadata/properties" ma:root="true" ma:fieldsID="e4f51fc0db1f41dee884358016014d31" ns2:_="" ns3:_="">
    <xsd:import namespace="085b46e1-7f22-4e81-9ba5-912dc5a5fd9a"/>
    <xsd:import namespace="98b04e1e-0540-4930-9623-702d547a0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04e1e-0540-4930-9623-702d547a0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8b04e1e-0540-4930-9623-702d547a0a33">
      <UserInfo>
        <DisplayName>Marinescu, Catalin</DisplayName>
        <AccountId>23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BB3E24-F935-4BA6-9029-4BED89B21A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FB0781-F9CD-4467-A75B-7527AA71C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98b04e1e-0540-4930-9623-702d547a0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3AEEBC-61F8-4C10-BD9C-6C45DA88EEE8}">
  <ds:schemaRefs>
    <ds:schemaRef ds:uri="http://schemas.openxmlformats.org/package/2006/metadata/core-properties"/>
    <ds:schemaRef ds:uri="http://schemas.microsoft.com/office/2006/documentManagement/types"/>
    <ds:schemaRef ds:uri="085b46e1-7f22-4e81-9ba5-912dc5a5fd9a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98b04e1e-0540-4930-9623-702d547a0a3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1563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activities on climate change and environmental sustainability</vt:lpstr>
    </vt:vector>
  </TitlesOfParts>
  <Manager>General Secretariat - Pool</Manager>
  <Company>International Telecommunication Union (ITU)</Company>
  <LinksUpToDate>false</LinksUpToDate>
  <CharactersWithSpaces>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activities on climate change and environmental sustainability</dc:title>
  <dc:subject>Council 2024</dc:subject>
  <dc:creator>author</dc:creator>
  <cp:keywords>C2024, C24, Council-24</cp:keywords>
  <dc:description/>
  <cp:lastModifiedBy>Brouard, Ricarda</cp:lastModifiedBy>
  <cp:revision>4</cp:revision>
  <cp:lastPrinted>2000-07-18T22:30:00Z</cp:lastPrinted>
  <dcterms:created xsi:type="dcterms:W3CDTF">2024-05-06T16:14:00Z</dcterms:created>
  <dcterms:modified xsi:type="dcterms:W3CDTF">2024-05-06T17:26:00Z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0x010100927A014BF6FE3A4AB656F5985E3C82C4</vt:lpwstr>
  </property>
  <property fmtid="{D5CDD505-2E9C-101B-9397-08002B2CF9AE}" pid="9" name="MediaServiceImageTags">
    <vt:lpwstr/>
  </property>
</Properties>
</file>