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515CB916">
        <w:trPr>
          <w:cantSplit/>
          <w:trHeight w:val="23"/>
        </w:trPr>
        <w:tc>
          <w:tcPr>
            <w:tcW w:w="3969" w:type="dxa"/>
            <w:vMerge w:val="restart"/>
            <w:tcMar>
              <w:left w:w="0" w:type="dxa"/>
            </w:tcMar>
          </w:tcPr>
          <w:p w14:paraId="60A806D3" w14:textId="6AB256D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5D4D08">
              <w:rPr>
                <w:b/>
              </w:rPr>
              <w:t>PL 2</w:t>
            </w:r>
          </w:p>
        </w:tc>
        <w:tc>
          <w:tcPr>
            <w:tcW w:w="5245" w:type="dxa"/>
          </w:tcPr>
          <w:p w14:paraId="291AB2A2" w14:textId="15926A67"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5D4D08">
              <w:rPr>
                <w:b/>
              </w:rPr>
              <w:t>75</w:t>
            </w:r>
            <w:r>
              <w:rPr>
                <w:b/>
              </w:rPr>
              <w:t>-E</w:t>
            </w:r>
          </w:p>
        </w:tc>
      </w:tr>
      <w:tr w:rsidR="00AD3606" w:rsidRPr="00813E5E" w14:paraId="789B45BA" w14:textId="77777777" w:rsidTr="515CB91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7F28BFB0" w:rsidR="00AD3606" w:rsidRPr="00E85629" w:rsidRDefault="005D4D08" w:rsidP="00AD3606">
            <w:pPr>
              <w:tabs>
                <w:tab w:val="left" w:pos="851"/>
              </w:tabs>
              <w:spacing w:before="0"/>
              <w:jc w:val="right"/>
              <w:rPr>
                <w:b/>
              </w:rPr>
            </w:pPr>
            <w:r>
              <w:rPr>
                <w:b/>
              </w:rPr>
              <w:t>20 May</w:t>
            </w:r>
            <w:r w:rsidR="00AD3606">
              <w:rPr>
                <w:b/>
              </w:rPr>
              <w:t xml:space="preserve"> 202</w:t>
            </w:r>
            <w:r w:rsidR="00E23618">
              <w:rPr>
                <w:b/>
              </w:rPr>
              <w:t>4</w:t>
            </w:r>
          </w:p>
        </w:tc>
      </w:tr>
      <w:tr w:rsidR="00AD3606" w:rsidRPr="00813E5E" w14:paraId="58A84C4A" w14:textId="77777777" w:rsidTr="515CB91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515CB91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515CB916">
        <w:trPr>
          <w:cantSplit/>
        </w:trPr>
        <w:tc>
          <w:tcPr>
            <w:tcW w:w="9214" w:type="dxa"/>
            <w:gridSpan w:val="2"/>
            <w:tcMar>
              <w:left w:w="0" w:type="dxa"/>
            </w:tcMar>
          </w:tcPr>
          <w:p w14:paraId="4E7CDB90" w14:textId="3B1515BB" w:rsidR="00AD3606" w:rsidRPr="006850BE" w:rsidRDefault="00AA6039" w:rsidP="006850BE">
            <w:pPr>
              <w:pStyle w:val="Source"/>
              <w:framePr w:hSpace="0" w:wrap="auto" w:vAnchor="margin" w:hAnchor="text" w:xAlign="left" w:yAlign="inline"/>
            </w:pPr>
            <w:bookmarkStart w:id="8" w:name="dsource" w:colFirst="0" w:colLast="0"/>
            <w:bookmarkEnd w:id="7"/>
            <w:r>
              <w:t>Contribution</w:t>
            </w:r>
            <w:r w:rsidR="00AD3606" w:rsidRPr="006850BE">
              <w:t xml:space="preserve"> by </w:t>
            </w:r>
            <w:r w:rsidR="00443E3C">
              <w:t xml:space="preserve">France, Norway, </w:t>
            </w:r>
            <w:r w:rsidR="00DF1373">
              <w:t>Portugal,</w:t>
            </w:r>
            <w:r w:rsidR="00593B44">
              <w:t xml:space="preserve"> </w:t>
            </w:r>
            <w:r w:rsidR="00A208B5">
              <w:t xml:space="preserve">Romania, </w:t>
            </w:r>
            <w:r w:rsidR="00593B44">
              <w:t xml:space="preserve">and the </w:t>
            </w:r>
            <w:r w:rsidR="005D4D08" w:rsidRPr="005D4D08">
              <w:t>United Kingdom of Great Britain and Northern Ireland</w:t>
            </w:r>
          </w:p>
        </w:tc>
      </w:tr>
      <w:tr w:rsidR="00AD3606" w:rsidRPr="00813E5E" w14:paraId="2340750D" w14:textId="77777777" w:rsidTr="515CB916">
        <w:trPr>
          <w:cantSplit/>
        </w:trPr>
        <w:tc>
          <w:tcPr>
            <w:tcW w:w="9214" w:type="dxa"/>
            <w:gridSpan w:val="2"/>
            <w:tcMar>
              <w:left w:w="0" w:type="dxa"/>
            </w:tcMar>
          </w:tcPr>
          <w:p w14:paraId="47B91AA8" w14:textId="640C4C75" w:rsidR="00AD3606" w:rsidRPr="006850BE" w:rsidRDefault="006D15A9" w:rsidP="006850BE">
            <w:pPr>
              <w:pStyle w:val="Subtitle"/>
              <w:framePr w:hSpace="0" w:wrap="auto" w:xAlign="left" w:yAlign="inline"/>
            </w:pPr>
            <w:bookmarkStart w:id="9" w:name="dtitle1" w:colFirst="0" w:colLast="0"/>
            <w:bookmarkEnd w:id="8"/>
            <w:r>
              <w:t>THEME FOR WTPF</w:t>
            </w:r>
          </w:p>
        </w:tc>
      </w:tr>
      <w:tr w:rsidR="00AD3606" w:rsidRPr="00813E5E" w14:paraId="1F564D2D" w14:textId="77777777" w:rsidTr="515CB916">
        <w:trPr>
          <w:cantSplit/>
        </w:trPr>
        <w:tc>
          <w:tcPr>
            <w:tcW w:w="9214" w:type="dxa"/>
            <w:gridSpan w:val="2"/>
            <w:tcBorders>
              <w:top w:val="single" w:sz="4" w:space="0" w:color="auto"/>
              <w:bottom w:val="single" w:sz="4" w:space="0" w:color="auto"/>
            </w:tcBorders>
            <w:tcMar>
              <w:left w:w="0" w:type="dxa"/>
            </w:tcMar>
          </w:tcPr>
          <w:p w14:paraId="7AD73B47" w14:textId="1CBFE1AF" w:rsidR="00AD3606" w:rsidRPr="00F16BAB" w:rsidRDefault="00F16BAB" w:rsidP="00F16BAB">
            <w:pPr>
              <w:spacing w:before="160"/>
              <w:rPr>
                <w:b/>
                <w:bCs/>
                <w:sz w:val="26"/>
                <w:szCs w:val="26"/>
              </w:rPr>
            </w:pPr>
            <w:r w:rsidRPr="00F16BAB">
              <w:rPr>
                <w:b/>
                <w:bCs/>
                <w:sz w:val="26"/>
                <w:szCs w:val="26"/>
              </w:rPr>
              <w:t>Purpose</w:t>
            </w:r>
          </w:p>
          <w:p w14:paraId="6988E7A1" w14:textId="77777777" w:rsidR="006D15A9" w:rsidRPr="002F1FB0" w:rsidRDefault="006D15A9" w:rsidP="006D15A9">
            <w:pPr>
              <w:rPr>
                <w:szCs w:val="24"/>
              </w:rPr>
            </w:pPr>
            <w:r w:rsidRPr="002F1FB0">
              <w:rPr>
                <w:szCs w:val="24"/>
              </w:rPr>
              <w:t>Resolution 2 (Rev. Bucharest, 2022) of the Plenipotentiary Conference resolves to hold the world telecommunication/ICT policy forum (WTPF) and instructs the ITU Council to:</w:t>
            </w:r>
          </w:p>
          <w:p w14:paraId="442AFD87" w14:textId="733E1601" w:rsidR="006D15A9" w:rsidRPr="002F1FB0" w:rsidRDefault="006D15A9" w:rsidP="005D4D08">
            <w:pPr>
              <w:tabs>
                <w:tab w:val="clear" w:pos="567"/>
                <w:tab w:val="left" w:pos="284"/>
              </w:tabs>
              <w:rPr>
                <w:szCs w:val="24"/>
              </w:rPr>
            </w:pPr>
            <w:r w:rsidRPr="002F1FB0">
              <w:rPr>
                <w:szCs w:val="24"/>
              </w:rPr>
              <w:t>1.</w:t>
            </w:r>
            <w:r w:rsidR="005D4D08">
              <w:rPr>
                <w:szCs w:val="24"/>
              </w:rPr>
              <w:tab/>
            </w:r>
            <w:r w:rsidRPr="002F1FB0">
              <w:rPr>
                <w:szCs w:val="24"/>
              </w:rPr>
              <w:t xml:space="preserve">decide on the duration, date, venue, agenda and themes of any future </w:t>
            </w:r>
            <w:proofErr w:type="gramStart"/>
            <w:r w:rsidRPr="002F1FB0">
              <w:rPr>
                <w:szCs w:val="24"/>
              </w:rPr>
              <w:t>WTPF;</w:t>
            </w:r>
            <w:proofErr w:type="gramEnd"/>
          </w:p>
          <w:p w14:paraId="404D0F6A" w14:textId="2A6FA758" w:rsidR="006D15A9" w:rsidRPr="002F1FB0" w:rsidRDefault="006D15A9" w:rsidP="005D4D08">
            <w:pPr>
              <w:tabs>
                <w:tab w:val="clear" w:pos="567"/>
                <w:tab w:val="left" w:pos="284"/>
              </w:tabs>
              <w:rPr>
                <w:szCs w:val="24"/>
              </w:rPr>
            </w:pPr>
            <w:r w:rsidRPr="002F1FB0">
              <w:rPr>
                <w:szCs w:val="24"/>
              </w:rPr>
              <w:t xml:space="preserve">2. </w:t>
            </w:r>
            <w:r w:rsidR="005D4D08">
              <w:rPr>
                <w:szCs w:val="24"/>
              </w:rPr>
              <w:tab/>
            </w:r>
            <w:r w:rsidRPr="002F1FB0">
              <w:rPr>
                <w:szCs w:val="24"/>
              </w:rPr>
              <w:t>adopt a procedure for preparation of the report by the Secretary-General to WTPF.</w:t>
            </w:r>
          </w:p>
          <w:p w14:paraId="5874450C" w14:textId="5DDC2541" w:rsidR="006D15A9" w:rsidRPr="002F1FB0" w:rsidRDefault="006D15A9" w:rsidP="006D15A9">
            <w:pPr>
              <w:spacing w:before="160"/>
              <w:rPr>
                <w:szCs w:val="24"/>
              </w:rPr>
            </w:pPr>
            <w:r w:rsidRPr="002F1FB0">
              <w:rPr>
                <w:szCs w:val="24"/>
              </w:rPr>
              <w:t>The Plenipotentiary Conference also instructed the Council to schedule a WTPF in 2026. Contribution C24</w:t>
            </w:r>
            <w:r w:rsidR="005D4D08">
              <w:rPr>
                <w:szCs w:val="24"/>
              </w:rPr>
              <w:t>/</w:t>
            </w:r>
            <w:r w:rsidRPr="002F1FB0">
              <w:rPr>
                <w:szCs w:val="24"/>
              </w:rPr>
              <w:t xml:space="preserve">5 proposes a timeline for WTPF-26 and invites Council to provide guidance on this. </w:t>
            </w:r>
          </w:p>
          <w:p w14:paraId="79F38DAD" w14:textId="604F2CBD" w:rsidR="00AD3606" w:rsidRDefault="00AD3606" w:rsidP="006D15A9">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559B1591" w14:textId="414B37FD" w:rsidR="006D15A9" w:rsidRPr="002F1FB0" w:rsidRDefault="006D15A9" w:rsidP="006D15A9">
            <w:pPr>
              <w:rPr>
                <w:rFonts w:ascii="Times New Roman" w:hAnsi="Times New Roman"/>
                <w:szCs w:val="24"/>
              </w:rPr>
            </w:pPr>
            <w:r w:rsidRPr="002F1FB0">
              <w:rPr>
                <w:szCs w:val="24"/>
              </w:rPr>
              <w:t xml:space="preserve">We propose that Council should </w:t>
            </w:r>
            <w:r w:rsidRPr="005D4D08">
              <w:rPr>
                <w:b/>
                <w:bCs/>
                <w:szCs w:val="24"/>
              </w:rPr>
              <w:t>adopt</w:t>
            </w:r>
            <w:r w:rsidRPr="002F1FB0">
              <w:rPr>
                <w:szCs w:val="24"/>
              </w:rPr>
              <w:t xml:space="preserve"> the timeline proposed in C24</w:t>
            </w:r>
            <w:r w:rsidR="005D4D08">
              <w:rPr>
                <w:szCs w:val="24"/>
              </w:rPr>
              <w:t>/</w:t>
            </w:r>
            <w:r w:rsidRPr="002F1FB0">
              <w:rPr>
                <w:szCs w:val="24"/>
              </w:rPr>
              <w:t xml:space="preserve">5 and </w:t>
            </w:r>
            <w:r w:rsidRPr="005D4D08">
              <w:rPr>
                <w:b/>
                <w:bCs/>
                <w:szCs w:val="24"/>
              </w:rPr>
              <w:t>decide</w:t>
            </w:r>
            <w:r w:rsidRPr="002F1FB0">
              <w:rPr>
                <w:szCs w:val="24"/>
              </w:rPr>
              <w:t xml:space="preserve"> on the follow theme for WTPF-26:</w:t>
            </w:r>
          </w:p>
          <w:p w14:paraId="2AAB18B0" w14:textId="1AD58DB6" w:rsidR="00AD3606" w:rsidRPr="002F1FB0" w:rsidRDefault="006D15A9" w:rsidP="006D15A9">
            <w:pPr>
              <w:spacing w:before="160"/>
              <w:rPr>
                <w:caps/>
                <w:szCs w:val="24"/>
              </w:rPr>
            </w:pPr>
            <w:r w:rsidRPr="002F1FB0">
              <w:rPr>
                <w:b/>
                <w:bCs/>
                <w:szCs w:val="24"/>
              </w:rPr>
              <w:t xml:space="preserve">“Policies for telecommunications/ICTs to achieve net zero and tackle environmental </w:t>
            </w:r>
            <w:r w:rsidR="00323A16" w:rsidRPr="002F1FB0">
              <w:rPr>
                <w:b/>
                <w:bCs/>
                <w:szCs w:val="24"/>
              </w:rPr>
              <w:t>challenges”</w:t>
            </w:r>
            <w:r w:rsidRPr="002F1FB0">
              <w:rPr>
                <w:b/>
                <w:bCs/>
                <w:szCs w:val="24"/>
              </w:rPr>
              <w:t>.</w:t>
            </w:r>
          </w:p>
          <w:p w14:paraId="71F1F20D" w14:textId="7DAFC377" w:rsidR="515CB916" w:rsidRDefault="00AD3606" w:rsidP="515CB916">
            <w:pPr>
              <w:spacing w:before="160"/>
              <w:rPr>
                <w:b/>
                <w:bCs/>
                <w:sz w:val="26"/>
                <w:szCs w:val="26"/>
              </w:rPr>
            </w:pPr>
            <w:r w:rsidRPr="515CB916">
              <w:rPr>
                <w:b/>
                <w:bCs/>
                <w:sz w:val="26"/>
                <w:szCs w:val="26"/>
              </w:rPr>
              <w:t>References</w:t>
            </w:r>
          </w:p>
          <w:p w14:paraId="510DDF5E" w14:textId="3335147D" w:rsidR="00612D68" w:rsidRPr="002F1FB0" w:rsidRDefault="0007797A">
            <w:pPr>
              <w:pStyle w:val="ListParagraph"/>
              <w:numPr>
                <w:ilvl w:val="0"/>
                <w:numId w:val="9"/>
              </w:numPr>
              <w:rPr>
                <w:rFonts w:ascii="Calibri" w:hAnsi="Calibri" w:cs="Calibri"/>
                <w:sz w:val="24"/>
                <w:szCs w:val="24"/>
              </w:rPr>
            </w:pPr>
            <w:r w:rsidRPr="002F1FB0">
              <w:rPr>
                <w:rFonts w:ascii="Calibri" w:hAnsi="Calibri" w:cs="Calibri"/>
                <w:sz w:val="24"/>
                <w:szCs w:val="24"/>
              </w:rPr>
              <w:t>T</w:t>
            </w:r>
            <w:r w:rsidR="003E1562" w:rsidRPr="002F1FB0">
              <w:rPr>
                <w:rFonts w:ascii="Calibri" w:hAnsi="Calibri" w:cs="Calibri"/>
                <w:sz w:val="24"/>
                <w:szCs w:val="24"/>
              </w:rPr>
              <w:t xml:space="preserve">he Intergovernmental Panel on Climate Change, </w:t>
            </w:r>
            <w:hyperlink r:id="rId12" w:history="1">
              <w:r w:rsidR="003E1562" w:rsidRPr="002F1FB0">
                <w:rPr>
                  <w:rStyle w:val="Hyperlink"/>
                  <w:rFonts w:ascii="Calibri" w:hAnsi="Calibri" w:cs="Calibri"/>
                  <w:i/>
                  <w:iCs/>
                  <w:sz w:val="24"/>
                  <w:szCs w:val="24"/>
                </w:rPr>
                <w:t>Climate Change 2023: Synthesis Report</w:t>
              </w:r>
            </w:hyperlink>
            <w:r w:rsidR="003E1562" w:rsidRPr="002F1FB0">
              <w:rPr>
                <w:rFonts w:ascii="Calibri" w:hAnsi="Calibri" w:cs="Calibri"/>
                <w:sz w:val="24"/>
                <w:szCs w:val="24"/>
              </w:rPr>
              <w:t xml:space="preserve"> (2023)</w:t>
            </w:r>
          </w:p>
          <w:p w14:paraId="1999C550" w14:textId="7AEF6156" w:rsidR="00323A16" w:rsidRPr="002F1FB0" w:rsidRDefault="003E1562">
            <w:pPr>
              <w:pStyle w:val="ListParagraph"/>
              <w:numPr>
                <w:ilvl w:val="0"/>
                <w:numId w:val="9"/>
              </w:numPr>
              <w:rPr>
                <w:rFonts w:ascii="Calibri" w:hAnsi="Calibri" w:cs="Calibri"/>
                <w:sz w:val="24"/>
                <w:szCs w:val="24"/>
              </w:rPr>
            </w:pPr>
            <w:r w:rsidRPr="002F1FB0">
              <w:rPr>
                <w:rFonts w:ascii="Calibri" w:hAnsi="Calibri" w:cs="Calibri"/>
                <w:sz w:val="24"/>
                <w:szCs w:val="24"/>
              </w:rPr>
              <w:t xml:space="preserve">BEREC, </w:t>
            </w:r>
            <w:hyperlink r:id="rId13" w:history="1">
              <w:r w:rsidRPr="00A50705">
                <w:rPr>
                  <w:rStyle w:val="Hyperlink"/>
                  <w:rFonts w:ascii="Calibri" w:hAnsi="Calibri" w:cs="Calibri"/>
                  <w:i/>
                  <w:iCs/>
                  <w:sz w:val="24"/>
                  <w:szCs w:val="24"/>
                </w:rPr>
                <w:t>Environmental impact of electronic communications</w:t>
              </w:r>
            </w:hyperlink>
            <w:r w:rsidRPr="002F1FB0">
              <w:rPr>
                <w:rFonts w:ascii="Calibri" w:hAnsi="Calibri" w:cs="Calibri"/>
                <w:sz w:val="24"/>
                <w:szCs w:val="24"/>
              </w:rPr>
              <w:t xml:space="preserve"> (202</w:t>
            </w:r>
            <w:r w:rsidR="00354DDA" w:rsidRPr="002F1FB0">
              <w:rPr>
                <w:rFonts w:ascii="Calibri" w:hAnsi="Calibri" w:cs="Calibri"/>
                <w:sz w:val="24"/>
                <w:szCs w:val="24"/>
              </w:rPr>
              <w:t>2</w:t>
            </w:r>
            <w:r w:rsidRPr="002F1FB0">
              <w:rPr>
                <w:rFonts w:ascii="Calibri" w:hAnsi="Calibri" w:cs="Calibri"/>
                <w:sz w:val="24"/>
                <w:szCs w:val="24"/>
              </w:rPr>
              <w:t>), 2</w:t>
            </w:r>
          </w:p>
          <w:p w14:paraId="75840FB7" w14:textId="78E787AF" w:rsidR="00323A16" w:rsidRPr="002F1FB0" w:rsidRDefault="003E1562" w:rsidP="00323A16">
            <w:pPr>
              <w:pStyle w:val="ListParagraph"/>
              <w:numPr>
                <w:ilvl w:val="0"/>
                <w:numId w:val="9"/>
              </w:numPr>
              <w:rPr>
                <w:rFonts w:ascii="Calibri" w:hAnsi="Calibri" w:cs="Calibri"/>
                <w:sz w:val="24"/>
                <w:szCs w:val="24"/>
              </w:rPr>
            </w:pPr>
            <w:r w:rsidRPr="002F1FB0">
              <w:rPr>
                <w:rFonts w:ascii="Calibri" w:hAnsi="Calibri" w:cs="Calibri"/>
                <w:sz w:val="24"/>
                <w:szCs w:val="24"/>
              </w:rPr>
              <w:t>ITU,</w:t>
            </w:r>
            <w:r w:rsidRPr="00A50705">
              <w:rPr>
                <w:rFonts w:ascii="Calibri" w:hAnsi="Calibri" w:cs="Calibri"/>
                <w:i/>
                <w:iCs/>
                <w:sz w:val="24"/>
                <w:szCs w:val="24"/>
              </w:rPr>
              <w:t xml:space="preserve"> </w:t>
            </w:r>
            <w:hyperlink r:id="rId14" w:history="1">
              <w:r w:rsidRPr="00A50705">
                <w:rPr>
                  <w:rStyle w:val="Hyperlink"/>
                  <w:rFonts w:ascii="Calibri" w:hAnsi="Calibri" w:cs="Calibri"/>
                  <w:i/>
                  <w:iCs/>
                  <w:sz w:val="24"/>
                  <w:szCs w:val="24"/>
                </w:rPr>
                <w:t>UN, World Economic Forum and Partners Come Together to Address E-Waste Challenges</w:t>
              </w:r>
            </w:hyperlink>
            <w:r w:rsidRPr="002F1FB0">
              <w:rPr>
                <w:rFonts w:ascii="Calibri" w:hAnsi="Calibri" w:cs="Calibri"/>
                <w:sz w:val="24"/>
                <w:szCs w:val="24"/>
              </w:rPr>
              <w:t xml:space="preserve"> (2019)</w:t>
            </w:r>
          </w:p>
          <w:p w14:paraId="2B77E963" w14:textId="3DE7F54A" w:rsidR="00323A16" w:rsidRPr="002F1FB0" w:rsidRDefault="003E1562" w:rsidP="00323A16">
            <w:pPr>
              <w:pStyle w:val="ListParagraph"/>
              <w:numPr>
                <w:ilvl w:val="0"/>
                <w:numId w:val="9"/>
              </w:numPr>
              <w:rPr>
                <w:rFonts w:ascii="Calibri" w:hAnsi="Calibri" w:cs="Calibri"/>
                <w:sz w:val="24"/>
                <w:szCs w:val="24"/>
              </w:rPr>
            </w:pPr>
            <w:r w:rsidRPr="002F1FB0">
              <w:rPr>
                <w:rFonts w:ascii="Calibri" w:hAnsi="Calibri" w:cs="Calibri"/>
                <w:sz w:val="24"/>
                <w:szCs w:val="24"/>
              </w:rPr>
              <w:t xml:space="preserve">GSMA, </w:t>
            </w:r>
            <w:hyperlink r:id="rId15" w:history="1">
              <w:r w:rsidRPr="00A50705">
                <w:rPr>
                  <w:rStyle w:val="Hyperlink"/>
                  <w:rFonts w:ascii="Calibri" w:hAnsi="Calibri" w:cs="Calibri"/>
                  <w:i/>
                  <w:iCs/>
                  <w:sz w:val="24"/>
                  <w:szCs w:val="24"/>
                </w:rPr>
                <w:t>The Enablement Effect</w:t>
              </w:r>
            </w:hyperlink>
            <w:r w:rsidRPr="002F1FB0">
              <w:rPr>
                <w:rFonts w:ascii="Calibri" w:hAnsi="Calibri" w:cs="Calibri"/>
                <w:sz w:val="24"/>
                <w:szCs w:val="24"/>
              </w:rPr>
              <w:t xml:space="preserve"> (2019), 9 </w:t>
            </w:r>
          </w:p>
          <w:p w14:paraId="0175CD6C" w14:textId="1DEC5BC8" w:rsidR="00612D68" w:rsidRDefault="00612D68" w:rsidP="00612D68"/>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554E1DE8" w14:textId="43433D38" w:rsidR="00323A16" w:rsidRPr="002F1FB0" w:rsidRDefault="0090147A" w:rsidP="00323A16">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bookmarkEnd w:id="5"/>
      <w:bookmarkEnd w:id="10"/>
      <w:r w:rsidR="00323A16" w:rsidRPr="002F1FB0">
        <w:rPr>
          <w:szCs w:val="24"/>
          <w:lang w:val="en-US"/>
        </w:rPr>
        <w:lastRenderedPageBreak/>
        <w:t xml:space="preserve">The Intergovernmental Panel on Climate Change has assessed that climate change is a threat to human well-being and planetary health and there is a rapidly closing window of opportunity to secure a liveable and sustainable future for all (1). </w:t>
      </w:r>
    </w:p>
    <w:p w14:paraId="0ACB1BD7" w14:textId="77777777"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
    <w:p w14:paraId="30DE3941" w14:textId="22608EBD"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2F1FB0">
        <w:rPr>
          <w:szCs w:val="24"/>
          <w:lang w:val="es-ES"/>
        </w:rPr>
        <w:t>Telecommunications/</w:t>
      </w:r>
      <w:proofErr w:type="spellStart"/>
      <w:r w:rsidRPr="002F1FB0">
        <w:rPr>
          <w:szCs w:val="24"/>
          <w:lang w:val="es-ES"/>
        </w:rPr>
        <w:t>ICTs</w:t>
      </w:r>
      <w:proofErr w:type="spellEnd"/>
      <w:r w:rsidRPr="002F1FB0">
        <w:rPr>
          <w:szCs w:val="24"/>
          <w:lang w:val="es-ES"/>
        </w:rPr>
        <w:t xml:space="preserve"> </w:t>
      </w:r>
      <w:proofErr w:type="spellStart"/>
      <w:r w:rsidRPr="002F1FB0">
        <w:rPr>
          <w:szCs w:val="24"/>
          <w:lang w:val="es-ES"/>
        </w:rPr>
        <w:t>make</w:t>
      </w:r>
      <w:proofErr w:type="spellEnd"/>
      <w:r w:rsidRPr="002F1FB0">
        <w:rPr>
          <w:szCs w:val="24"/>
          <w:lang w:val="es-ES"/>
        </w:rPr>
        <w:t xml:space="preserve"> a </w:t>
      </w:r>
      <w:proofErr w:type="spellStart"/>
      <w:r w:rsidRPr="002F1FB0">
        <w:rPr>
          <w:szCs w:val="24"/>
          <w:lang w:val="es-ES"/>
        </w:rPr>
        <w:t>significant</w:t>
      </w:r>
      <w:proofErr w:type="spellEnd"/>
      <w:r w:rsidRPr="002F1FB0">
        <w:rPr>
          <w:szCs w:val="24"/>
          <w:lang w:val="es-ES"/>
        </w:rPr>
        <w:t xml:space="preserve"> and growing contribution to emissions, and they consume growing quantities of finite resources. A 2022 BEREC report estimates that the sector contributes around 2-4% of global emissions (2) . UN agencies have estimated that in 2018 the global economy generated approximately 50 million tonnes of electronic and electrical waste </w:t>
      </w:r>
      <w:r w:rsidR="003E1562" w:rsidRPr="002F1FB0">
        <w:rPr>
          <w:szCs w:val="24"/>
          <w:lang w:val="es-ES"/>
        </w:rPr>
        <w:t>(3)</w:t>
      </w:r>
      <w:r w:rsidRPr="002F1FB0">
        <w:rPr>
          <w:szCs w:val="24"/>
          <w:lang w:val="es-ES"/>
        </w:rPr>
        <w:t>. To reduce the environmental impact of ICTs, methodologies are being developed to understand their environmental footprint, identify common indicators and measures, and elaborate new practices promoting eco-design and sustainability.</w:t>
      </w:r>
    </w:p>
    <w:p w14:paraId="088EB134" w14:textId="77777777"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
    <w:p w14:paraId="584742A3" w14:textId="36984C13"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2F1FB0">
        <w:rPr>
          <w:szCs w:val="24"/>
          <w:lang w:val="es-ES"/>
        </w:rPr>
        <w:t>Telecommunications/</w:t>
      </w:r>
      <w:proofErr w:type="spellStart"/>
      <w:r w:rsidRPr="002F1FB0">
        <w:rPr>
          <w:szCs w:val="24"/>
          <w:lang w:val="es-ES"/>
        </w:rPr>
        <w:t>ICTs</w:t>
      </w:r>
      <w:proofErr w:type="spellEnd"/>
      <w:r w:rsidRPr="002F1FB0">
        <w:rPr>
          <w:szCs w:val="24"/>
          <w:lang w:val="es-ES"/>
        </w:rPr>
        <w:t xml:space="preserve"> can be </w:t>
      </w:r>
      <w:proofErr w:type="spellStart"/>
      <w:r w:rsidRPr="002F1FB0">
        <w:rPr>
          <w:szCs w:val="24"/>
          <w:lang w:val="es-ES"/>
        </w:rPr>
        <w:t>affected</w:t>
      </w:r>
      <w:proofErr w:type="spellEnd"/>
      <w:r w:rsidRPr="002F1FB0">
        <w:rPr>
          <w:szCs w:val="24"/>
          <w:lang w:val="es-ES"/>
        </w:rPr>
        <w:t xml:space="preserve"> by climate change. Extreme weather events such as floods and heatwaves can lead to service outages with significant social and economic impacts.</w:t>
      </w:r>
      <w:r w:rsidR="007B3B3C" w:rsidRPr="002F1FB0">
        <w:rPr>
          <w:szCs w:val="24"/>
          <w:lang w:val="es-ES"/>
        </w:rPr>
        <w:t xml:space="preserve"> </w:t>
      </w:r>
      <w:r w:rsidRPr="002F1FB0">
        <w:rPr>
          <w:szCs w:val="24"/>
          <w:lang w:val="es-ES"/>
        </w:rPr>
        <w:t xml:space="preserve">Governments, regulators and industry have a shared interest in developing policy and regulatory models, codes of practice, and other frameworks to support network resilience in the face of these challenges. </w:t>
      </w:r>
    </w:p>
    <w:p w14:paraId="3EB3A34D" w14:textId="77777777"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
    <w:p w14:paraId="40D440C1" w14:textId="393A09A5"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2F1FB0">
        <w:rPr>
          <w:szCs w:val="24"/>
          <w:lang w:val="es-ES"/>
        </w:rPr>
        <w:t xml:space="preserve">Policy </w:t>
      </w:r>
      <w:proofErr w:type="spellStart"/>
      <w:r w:rsidRPr="002F1FB0">
        <w:rPr>
          <w:szCs w:val="24"/>
          <w:lang w:val="es-ES"/>
        </w:rPr>
        <w:t>makers</w:t>
      </w:r>
      <w:proofErr w:type="spellEnd"/>
      <w:r w:rsidRPr="002F1FB0">
        <w:rPr>
          <w:szCs w:val="24"/>
          <w:lang w:val="es-ES"/>
        </w:rPr>
        <w:t xml:space="preserve"> </w:t>
      </w:r>
      <w:proofErr w:type="spellStart"/>
      <w:r w:rsidRPr="002F1FB0">
        <w:rPr>
          <w:szCs w:val="24"/>
          <w:lang w:val="es-ES"/>
        </w:rPr>
        <w:t>must</w:t>
      </w:r>
      <w:proofErr w:type="spellEnd"/>
      <w:r w:rsidRPr="002F1FB0">
        <w:rPr>
          <w:szCs w:val="24"/>
          <w:lang w:val="es-ES"/>
        </w:rPr>
        <w:t xml:space="preserve"> </w:t>
      </w:r>
      <w:proofErr w:type="spellStart"/>
      <w:r w:rsidRPr="002F1FB0">
        <w:rPr>
          <w:szCs w:val="24"/>
          <w:lang w:val="es-ES"/>
        </w:rPr>
        <w:t>also</w:t>
      </w:r>
      <w:proofErr w:type="spellEnd"/>
      <w:r w:rsidRPr="002F1FB0">
        <w:rPr>
          <w:szCs w:val="24"/>
          <w:lang w:val="es-ES"/>
        </w:rPr>
        <w:t xml:space="preserve"> </w:t>
      </w:r>
      <w:proofErr w:type="spellStart"/>
      <w:r w:rsidRPr="002F1FB0">
        <w:rPr>
          <w:szCs w:val="24"/>
          <w:lang w:val="es-ES"/>
        </w:rPr>
        <w:t>harness</w:t>
      </w:r>
      <w:proofErr w:type="spellEnd"/>
      <w:r w:rsidRPr="002F1FB0">
        <w:rPr>
          <w:szCs w:val="24"/>
          <w:lang w:val="es-ES"/>
        </w:rPr>
        <w:t xml:space="preserve"> the transformative role that telecommunications/ICTs can play in reducing greenhouse gas emissions and mitigating the effects of climate change. With greater connectivity, sectors such as transport, energy, and manufacturing can digitally transform and reduce their emissions. The GSMA estimates this “enablement effect” enables savings of 10:1 (4). Telecoms services can also play life-saving roles in natural disasters and extreme weather.</w:t>
      </w:r>
    </w:p>
    <w:p w14:paraId="45D50450" w14:textId="77777777"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
    <w:p w14:paraId="29C50847" w14:textId="77777777"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2F1FB0">
        <w:rPr>
          <w:szCs w:val="24"/>
          <w:lang w:val="es-ES"/>
        </w:rPr>
        <w:t>Some</w:t>
      </w:r>
      <w:proofErr w:type="spellEnd"/>
      <w:r w:rsidRPr="002F1FB0">
        <w:rPr>
          <w:szCs w:val="24"/>
          <w:lang w:val="es-ES"/>
        </w:rPr>
        <w:t xml:space="preserve"> </w:t>
      </w:r>
      <w:proofErr w:type="spellStart"/>
      <w:r w:rsidRPr="002F1FB0">
        <w:rPr>
          <w:szCs w:val="24"/>
          <w:lang w:val="es-ES"/>
        </w:rPr>
        <w:t>work</w:t>
      </w:r>
      <w:proofErr w:type="spellEnd"/>
      <w:r w:rsidRPr="002F1FB0">
        <w:rPr>
          <w:szCs w:val="24"/>
          <w:lang w:val="es-ES"/>
        </w:rPr>
        <w:t xml:space="preserve"> has </w:t>
      </w:r>
      <w:proofErr w:type="spellStart"/>
      <w:r w:rsidRPr="002F1FB0">
        <w:rPr>
          <w:szCs w:val="24"/>
          <w:lang w:val="es-ES"/>
        </w:rPr>
        <w:t>been</w:t>
      </w:r>
      <w:proofErr w:type="spellEnd"/>
      <w:r w:rsidRPr="002F1FB0">
        <w:rPr>
          <w:szCs w:val="24"/>
          <w:lang w:val="es-ES"/>
        </w:rPr>
        <w:t xml:space="preserve"> done on these issues in the ITU already. For example: </w:t>
      </w:r>
    </w:p>
    <w:p w14:paraId="06DB4F4F" w14:textId="349DEF14" w:rsidR="00323A16" w:rsidRPr="002F1FB0" w:rsidRDefault="00323A16" w:rsidP="00323A16">
      <w:pPr>
        <w:pStyle w:val="ListParagraph"/>
        <w:numPr>
          <w:ilvl w:val="0"/>
          <w:numId w:val="11"/>
        </w:numPr>
        <w:rPr>
          <w:sz w:val="24"/>
          <w:szCs w:val="24"/>
          <w:lang w:val="es-ES"/>
        </w:rPr>
      </w:pPr>
      <w:r w:rsidRPr="002F1FB0">
        <w:rPr>
          <w:sz w:val="24"/>
          <w:szCs w:val="24"/>
          <w:lang w:val="es-ES"/>
        </w:rPr>
        <w:t>ITU-D is studying ICTs and climate change and how ICTs can help monitor climate change.</w:t>
      </w:r>
    </w:p>
    <w:p w14:paraId="267E3010" w14:textId="017FBBE3" w:rsidR="00323A16" w:rsidRPr="002F1FB0" w:rsidRDefault="00323A16" w:rsidP="00323A16">
      <w:pPr>
        <w:pStyle w:val="ListParagraph"/>
        <w:numPr>
          <w:ilvl w:val="0"/>
          <w:numId w:val="11"/>
        </w:numPr>
        <w:rPr>
          <w:sz w:val="24"/>
          <w:szCs w:val="24"/>
          <w:lang w:val="es-ES"/>
        </w:rPr>
      </w:pPr>
      <w:r w:rsidRPr="002F1FB0">
        <w:rPr>
          <w:sz w:val="24"/>
          <w:szCs w:val="24"/>
          <w:lang w:val="es-ES"/>
        </w:rPr>
        <w:t>ITU-T’s Study Group 5 conducts studies on methodologies for evaluating ICT effects on climate change and publishing guidelines for using ICTs in an eco-friendly way.</w:t>
      </w:r>
    </w:p>
    <w:p w14:paraId="1B505D39" w14:textId="002186B7" w:rsidR="00323A16" w:rsidRPr="002F1FB0" w:rsidRDefault="00323A16" w:rsidP="00323A16">
      <w:pPr>
        <w:pStyle w:val="ListParagraph"/>
        <w:numPr>
          <w:ilvl w:val="0"/>
          <w:numId w:val="11"/>
        </w:numPr>
        <w:rPr>
          <w:sz w:val="24"/>
          <w:szCs w:val="24"/>
          <w:lang w:val="es-ES"/>
        </w:rPr>
      </w:pPr>
      <w:r w:rsidRPr="002F1FB0">
        <w:rPr>
          <w:sz w:val="24"/>
          <w:szCs w:val="24"/>
          <w:lang w:val="es-ES"/>
        </w:rPr>
        <w:t>ITU-R has envisaged that IMT-2030 should be built on energy efficiency, low power consumption technologies, reducing greenhouse gas emissions and appropriate use of resources under the applicable model of circular economy.</w:t>
      </w:r>
    </w:p>
    <w:p w14:paraId="658D6B56" w14:textId="77777777"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2F1FB0">
        <w:rPr>
          <w:szCs w:val="24"/>
          <w:lang w:val="es-ES"/>
        </w:rPr>
        <w:t>These and other examples are encouraging, but the scale and urgency of the challenge requires more sustained, coordinated and innovative policy approaches. There is urgent work to do to address these issues in a comprehensive, joined-up way and to develop an ambitious and forward-looking policy agenda. As the CWG-FHR Resource Mobilisation group has discussed, such a scaling-up of ambition on Green Digital Action would fall outside the currently funded core activities of the Union.</w:t>
      </w:r>
    </w:p>
    <w:p w14:paraId="52F71B45" w14:textId="77777777"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
    <w:p w14:paraId="7D5BC1FE" w14:textId="77777777"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2F1FB0">
        <w:rPr>
          <w:szCs w:val="24"/>
          <w:lang w:val="es-ES"/>
        </w:rPr>
        <w:t xml:space="preserve">WTPF-26 </w:t>
      </w:r>
      <w:proofErr w:type="spellStart"/>
      <w:r w:rsidRPr="002F1FB0">
        <w:rPr>
          <w:szCs w:val="24"/>
          <w:lang w:val="es-ES"/>
        </w:rPr>
        <w:t>could</w:t>
      </w:r>
      <w:proofErr w:type="spellEnd"/>
      <w:r w:rsidRPr="002F1FB0">
        <w:rPr>
          <w:szCs w:val="24"/>
          <w:lang w:val="es-ES"/>
        </w:rPr>
        <w:t xml:space="preserve"> </w:t>
      </w:r>
      <w:proofErr w:type="spellStart"/>
      <w:r w:rsidRPr="002F1FB0">
        <w:rPr>
          <w:szCs w:val="24"/>
          <w:lang w:val="es-ES"/>
        </w:rPr>
        <w:t>provide</w:t>
      </w:r>
      <w:proofErr w:type="spellEnd"/>
      <w:r w:rsidRPr="002F1FB0">
        <w:rPr>
          <w:szCs w:val="24"/>
          <w:lang w:val="es-ES"/>
        </w:rPr>
        <w:t xml:space="preserve"> a </w:t>
      </w:r>
      <w:proofErr w:type="spellStart"/>
      <w:r w:rsidRPr="002F1FB0">
        <w:rPr>
          <w:szCs w:val="24"/>
          <w:lang w:val="es-ES"/>
        </w:rPr>
        <w:t>platform</w:t>
      </w:r>
      <w:proofErr w:type="spellEnd"/>
      <w:r w:rsidRPr="002F1FB0">
        <w:rPr>
          <w:szCs w:val="24"/>
          <w:lang w:val="es-ES"/>
        </w:rPr>
        <w:t xml:space="preserve"> which would allow for a broader, future-focused discussion of the policy issues here, which do not always fit into the Sector structure. It could consider Opinions, for example, on topics such as:</w:t>
      </w:r>
    </w:p>
    <w:p w14:paraId="442E21DD" w14:textId="77777777"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
    <w:p w14:paraId="6417C40F" w14:textId="10BFE6D8" w:rsidR="00323A16" w:rsidRPr="002F1FB0" w:rsidRDefault="00323A16" w:rsidP="00323A16">
      <w:pPr>
        <w:pStyle w:val="ListParagraph"/>
        <w:numPr>
          <w:ilvl w:val="0"/>
          <w:numId w:val="10"/>
        </w:numPr>
        <w:rPr>
          <w:sz w:val="24"/>
          <w:szCs w:val="24"/>
          <w:lang w:val="es-ES"/>
        </w:rPr>
      </w:pPr>
      <w:proofErr w:type="spellStart"/>
      <w:r w:rsidRPr="002F1FB0">
        <w:rPr>
          <w:sz w:val="24"/>
          <w:szCs w:val="24"/>
          <w:lang w:val="es-ES"/>
        </w:rPr>
        <w:t>Policies</w:t>
      </w:r>
      <w:proofErr w:type="spellEnd"/>
      <w:r w:rsidRPr="002F1FB0">
        <w:rPr>
          <w:sz w:val="24"/>
          <w:szCs w:val="24"/>
          <w:lang w:val="es-ES"/>
        </w:rPr>
        <w:t xml:space="preserve"> to reduce the environmental impact of telecommunications/ICTs and support net zero.</w:t>
      </w:r>
    </w:p>
    <w:p w14:paraId="010D369D" w14:textId="2C195D29" w:rsidR="00323A16" w:rsidRPr="002F1FB0" w:rsidRDefault="00323A16" w:rsidP="00323A16">
      <w:pPr>
        <w:pStyle w:val="ListParagraph"/>
        <w:numPr>
          <w:ilvl w:val="0"/>
          <w:numId w:val="10"/>
        </w:numPr>
        <w:rPr>
          <w:sz w:val="24"/>
          <w:szCs w:val="24"/>
          <w:lang w:val="es-ES"/>
        </w:rPr>
      </w:pPr>
      <w:r w:rsidRPr="002F1FB0">
        <w:rPr>
          <w:sz w:val="24"/>
          <w:szCs w:val="24"/>
          <w:lang w:val="es-ES"/>
        </w:rPr>
        <w:lastRenderedPageBreak/>
        <w:t>Policies to harness the potential of telecommunications/ICTS to monitor and mitigate the effects of climate change.</w:t>
      </w:r>
    </w:p>
    <w:p w14:paraId="72F4DF8D" w14:textId="6415BA62" w:rsidR="00323A16" w:rsidRPr="002F1FB0" w:rsidRDefault="00323A16" w:rsidP="00323A16">
      <w:pPr>
        <w:pStyle w:val="ListParagraph"/>
        <w:numPr>
          <w:ilvl w:val="0"/>
          <w:numId w:val="10"/>
        </w:numPr>
        <w:rPr>
          <w:sz w:val="24"/>
          <w:szCs w:val="24"/>
          <w:lang w:val="es-ES"/>
        </w:rPr>
      </w:pPr>
      <w:r w:rsidRPr="002F1FB0">
        <w:rPr>
          <w:sz w:val="24"/>
          <w:szCs w:val="24"/>
          <w:lang w:val="es-ES"/>
        </w:rPr>
        <w:t>Policies to promote resilience of telecommunications/ICTs to the effects of climate change.</w:t>
      </w:r>
    </w:p>
    <w:p w14:paraId="37311F1B" w14:textId="77777777"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2F1FB0">
        <w:rPr>
          <w:szCs w:val="24"/>
          <w:lang w:val="es-ES"/>
        </w:rPr>
        <w:t xml:space="preserve">The WTPF could convene governments, regulators, the private sector and other stakeholders to support an informed and fruitful discussion, taking into account a range of global experience and perspectives. It would support Member States to realise their digital transformation and net zero goals and it could also be an important input into climate change discussions. </w:t>
      </w:r>
    </w:p>
    <w:p w14:paraId="5CA08E7E" w14:textId="77777777" w:rsidR="00323A16" w:rsidRPr="002F1FB0"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
    <w:p w14:paraId="3AB7D568" w14:textId="72832FFD" w:rsidR="006D15A9" w:rsidRDefault="00323A16" w:rsidP="00323A16">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2F1FB0">
        <w:rPr>
          <w:szCs w:val="24"/>
          <w:lang w:val="es-ES"/>
        </w:rPr>
        <w:t>Tackling</w:t>
      </w:r>
      <w:proofErr w:type="spellEnd"/>
      <w:r w:rsidRPr="002F1FB0">
        <w:rPr>
          <w:szCs w:val="24"/>
          <w:lang w:val="es-ES"/>
        </w:rPr>
        <w:t xml:space="preserve"> </w:t>
      </w:r>
      <w:proofErr w:type="spellStart"/>
      <w:r w:rsidRPr="002F1FB0">
        <w:rPr>
          <w:szCs w:val="24"/>
          <w:lang w:val="es-ES"/>
        </w:rPr>
        <w:t>environmental</w:t>
      </w:r>
      <w:proofErr w:type="spellEnd"/>
      <w:r w:rsidRPr="002F1FB0">
        <w:rPr>
          <w:szCs w:val="24"/>
          <w:lang w:val="es-ES"/>
        </w:rPr>
        <w:t xml:space="preserve"> </w:t>
      </w:r>
      <w:proofErr w:type="spellStart"/>
      <w:r w:rsidRPr="002F1FB0">
        <w:rPr>
          <w:szCs w:val="24"/>
          <w:lang w:val="es-ES"/>
        </w:rPr>
        <w:t>challenges</w:t>
      </w:r>
      <w:proofErr w:type="spellEnd"/>
      <w:r w:rsidRPr="002F1FB0">
        <w:rPr>
          <w:szCs w:val="24"/>
          <w:lang w:val="es-ES"/>
        </w:rPr>
        <w:t xml:space="preserve"> </w:t>
      </w:r>
      <w:proofErr w:type="spellStart"/>
      <w:r w:rsidRPr="002F1FB0">
        <w:rPr>
          <w:szCs w:val="24"/>
          <w:lang w:val="es-ES"/>
        </w:rPr>
        <w:t>is</w:t>
      </w:r>
      <w:proofErr w:type="spellEnd"/>
      <w:r w:rsidRPr="002F1FB0">
        <w:rPr>
          <w:szCs w:val="24"/>
          <w:lang w:val="es-ES"/>
        </w:rPr>
        <w:t xml:space="preserve"> an urgent global priority. WTPF-26 can provide a critical platform to address the opportunities and challenges holistically, and to bring policymakers together to develop a shared vision and build a policy agenda for the future.</w:t>
      </w:r>
    </w:p>
    <w:p w14:paraId="793920CF" w14:textId="68A8DA7D" w:rsidR="005D4D08" w:rsidRPr="002F1FB0" w:rsidRDefault="005D4D08" w:rsidP="005D4D08">
      <w:pPr>
        <w:tabs>
          <w:tab w:val="clear" w:pos="567"/>
          <w:tab w:val="clear" w:pos="1134"/>
          <w:tab w:val="clear" w:pos="1701"/>
          <w:tab w:val="clear" w:pos="2268"/>
          <w:tab w:val="clear" w:pos="2835"/>
        </w:tabs>
        <w:overflowPunct/>
        <w:autoSpaceDE/>
        <w:autoSpaceDN/>
        <w:adjustRightInd/>
        <w:spacing w:before="840"/>
        <w:jc w:val="center"/>
        <w:textAlignment w:val="auto"/>
        <w:rPr>
          <w:szCs w:val="24"/>
          <w:lang w:val="es-ES"/>
        </w:rPr>
      </w:pPr>
      <w:r>
        <w:rPr>
          <w:szCs w:val="24"/>
          <w:lang w:val="es-ES"/>
        </w:rPr>
        <w:t>___________</w:t>
      </w:r>
    </w:p>
    <w:sectPr w:rsidR="005D4D08" w:rsidRPr="002F1FB0"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CCAB" w14:textId="77777777" w:rsidR="000077E3" w:rsidRDefault="000077E3">
      <w:r>
        <w:separator/>
      </w:r>
    </w:p>
  </w:endnote>
  <w:endnote w:type="continuationSeparator" w:id="0">
    <w:p w14:paraId="08629C33" w14:textId="77777777" w:rsidR="000077E3" w:rsidRDefault="000077E3">
      <w:r>
        <w:continuationSeparator/>
      </w:r>
    </w:p>
  </w:endnote>
  <w:endnote w:type="continuationNotice" w:id="1">
    <w:p w14:paraId="3D97FD57" w14:textId="77777777" w:rsidR="000077E3" w:rsidRDefault="000077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03306236"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/xx-E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A208B5"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4D45C8B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/xx-E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8101" w14:textId="77777777" w:rsidR="000077E3" w:rsidRDefault="000077E3">
      <w:r>
        <w:t>____________________</w:t>
      </w:r>
    </w:p>
  </w:footnote>
  <w:footnote w:type="continuationSeparator" w:id="0">
    <w:p w14:paraId="5E80AB66" w14:textId="77777777" w:rsidR="000077E3" w:rsidRDefault="000077E3">
      <w:r>
        <w:continuationSeparator/>
      </w:r>
    </w:p>
  </w:footnote>
  <w:footnote w:type="continuationNotice" w:id="1">
    <w:p w14:paraId="67B3001F" w14:textId="77777777" w:rsidR="000077E3" w:rsidRDefault="000077E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143C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6113F"/>
    <w:multiLevelType w:val="hybridMultilevel"/>
    <w:tmpl w:val="34A026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933D3"/>
    <w:multiLevelType w:val="hybridMultilevel"/>
    <w:tmpl w:val="E3FCF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2B4690"/>
    <w:multiLevelType w:val="hybridMultilevel"/>
    <w:tmpl w:val="6E0C5F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F583B"/>
    <w:multiLevelType w:val="hybridMultilevel"/>
    <w:tmpl w:val="4CF6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E11BC"/>
    <w:multiLevelType w:val="hybridMultilevel"/>
    <w:tmpl w:val="717E75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15512A"/>
    <w:multiLevelType w:val="hybridMultilevel"/>
    <w:tmpl w:val="47E455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9B413C"/>
    <w:multiLevelType w:val="hybridMultilevel"/>
    <w:tmpl w:val="AC6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C74E93"/>
    <w:multiLevelType w:val="hybridMultilevel"/>
    <w:tmpl w:val="66623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DA56826"/>
    <w:multiLevelType w:val="hybridMultilevel"/>
    <w:tmpl w:val="A682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414666150">
    <w:abstractNumId w:val="2"/>
  </w:num>
  <w:num w:numId="3" w16cid:durableId="214774724">
    <w:abstractNumId w:val="8"/>
  </w:num>
  <w:num w:numId="4" w16cid:durableId="370348785">
    <w:abstractNumId w:val="2"/>
  </w:num>
  <w:num w:numId="5" w16cid:durableId="2008513812">
    <w:abstractNumId w:val="4"/>
  </w:num>
  <w:num w:numId="6" w16cid:durableId="435518192">
    <w:abstractNumId w:val="1"/>
  </w:num>
  <w:num w:numId="7" w16cid:durableId="1226453399">
    <w:abstractNumId w:val="5"/>
  </w:num>
  <w:num w:numId="8" w16cid:durableId="1381049610">
    <w:abstractNumId w:val="6"/>
  </w:num>
  <w:num w:numId="9" w16cid:durableId="727649141">
    <w:abstractNumId w:val="3"/>
  </w:num>
  <w:num w:numId="10" w16cid:durableId="549611046">
    <w:abstractNumId w:val="9"/>
  </w:num>
  <w:num w:numId="11" w16cid:durableId="929505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77E3"/>
    <w:rsid w:val="00013DD7"/>
    <w:rsid w:val="000210D4"/>
    <w:rsid w:val="0004698E"/>
    <w:rsid w:val="00063016"/>
    <w:rsid w:val="00066795"/>
    <w:rsid w:val="00076AF6"/>
    <w:rsid w:val="0007797A"/>
    <w:rsid w:val="000855DA"/>
    <w:rsid w:val="00085CF2"/>
    <w:rsid w:val="000977DA"/>
    <w:rsid w:val="000B1705"/>
    <w:rsid w:val="000D75B2"/>
    <w:rsid w:val="000F135C"/>
    <w:rsid w:val="001121F5"/>
    <w:rsid w:val="00130706"/>
    <w:rsid w:val="001400DC"/>
    <w:rsid w:val="00140CE1"/>
    <w:rsid w:val="00157F08"/>
    <w:rsid w:val="0017539C"/>
    <w:rsid w:val="00175AC2"/>
    <w:rsid w:val="0017609F"/>
    <w:rsid w:val="0018402F"/>
    <w:rsid w:val="001A1D0C"/>
    <w:rsid w:val="001A7D1D"/>
    <w:rsid w:val="001B06E7"/>
    <w:rsid w:val="001B51DD"/>
    <w:rsid w:val="001C628E"/>
    <w:rsid w:val="001E0F7B"/>
    <w:rsid w:val="00204DB2"/>
    <w:rsid w:val="002119FD"/>
    <w:rsid w:val="002130E0"/>
    <w:rsid w:val="00264425"/>
    <w:rsid w:val="00265875"/>
    <w:rsid w:val="0027303B"/>
    <w:rsid w:val="00276CAE"/>
    <w:rsid w:val="0028109B"/>
    <w:rsid w:val="002A2188"/>
    <w:rsid w:val="002B1F58"/>
    <w:rsid w:val="002B65BF"/>
    <w:rsid w:val="002C1C7A"/>
    <w:rsid w:val="002C54E2"/>
    <w:rsid w:val="002F1FB0"/>
    <w:rsid w:val="0030160F"/>
    <w:rsid w:val="00320223"/>
    <w:rsid w:val="00320EB3"/>
    <w:rsid w:val="00322D0D"/>
    <w:rsid w:val="00323A16"/>
    <w:rsid w:val="00323F73"/>
    <w:rsid w:val="00354DDA"/>
    <w:rsid w:val="00361465"/>
    <w:rsid w:val="003657F5"/>
    <w:rsid w:val="003835EC"/>
    <w:rsid w:val="003877F5"/>
    <w:rsid w:val="003942D4"/>
    <w:rsid w:val="003958A8"/>
    <w:rsid w:val="003C2533"/>
    <w:rsid w:val="003D5A7F"/>
    <w:rsid w:val="003E1562"/>
    <w:rsid w:val="004016E2"/>
    <w:rsid w:val="0040435A"/>
    <w:rsid w:val="00416A24"/>
    <w:rsid w:val="00431D9E"/>
    <w:rsid w:val="00433CE8"/>
    <w:rsid w:val="00434A5C"/>
    <w:rsid w:val="00436199"/>
    <w:rsid w:val="00443E3C"/>
    <w:rsid w:val="004544D9"/>
    <w:rsid w:val="0045545D"/>
    <w:rsid w:val="00472BAD"/>
    <w:rsid w:val="00484009"/>
    <w:rsid w:val="00490E72"/>
    <w:rsid w:val="00491157"/>
    <w:rsid w:val="004921C8"/>
    <w:rsid w:val="00495B0B"/>
    <w:rsid w:val="004A1B8B"/>
    <w:rsid w:val="004D1851"/>
    <w:rsid w:val="004D599D"/>
    <w:rsid w:val="004E2EA5"/>
    <w:rsid w:val="004E3AEB"/>
    <w:rsid w:val="004E49D1"/>
    <w:rsid w:val="0050223C"/>
    <w:rsid w:val="00502315"/>
    <w:rsid w:val="00507CD5"/>
    <w:rsid w:val="00523CEE"/>
    <w:rsid w:val="005243FF"/>
    <w:rsid w:val="00564FBC"/>
    <w:rsid w:val="005800BC"/>
    <w:rsid w:val="00582442"/>
    <w:rsid w:val="0058386D"/>
    <w:rsid w:val="00593B44"/>
    <w:rsid w:val="005A4F59"/>
    <w:rsid w:val="005D4D08"/>
    <w:rsid w:val="005F3269"/>
    <w:rsid w:val="00602A74"/>
    <w:rsid w:val="00612D68"/>
    <w:rsid w:val="00623AE3"/>
    <w:rsid w:val="00633D9A"/>
    <w:rsid w:val="0064737F"/>
    <w:rsid w:val="006535F1"/>
    <w:rsid w:val="0065557D"/>
    <w:rsid w:val="00660D50"/>
    <w:rsid w:val="00662984"/>
    <w:rsid w:val="006716BB"/>
    <w:rsid w:val="00683BB5"/>
    <w:rsid w:val="006850BE"/>
    <w:rsid w:val="006A296D"/>
    <w:rsid w:val="006B1859"/>
    <w:rsid w:val="006B4DF8"/>
    <w:rsid w:val="006B6680"/>
    <w:rsid w:val="006B6DCC"/>
    <w:rsid w:val="006D15A9"/>
    <w:rsid w:val="00702DEF"/>
    <w:rsid w:val="00706861"/>
    <w:rsid w:val="0075051B"/>
    <w:rsid w:val="00755F18"/>
    <w:rsid w:val="00793188"/>
    <w:rsid w:val="00794D34"/>
    <w:rsid w:val="007B3B3C"/>
    <w:rsid w:val="007E1B4E"/>
    <w:rsid w:val="00813E5E"/>
    <w:rsid w:val="00826436"/>
    <w:rsid w:val="0083581B"/>
    <w:rsid w:val="00850469"/>
    <w:rsid w:val="00863874"/>
    <w:rsid w:val="00864AFF"/>
    <w:rsid w:val="00865925"/>
    <w:rsid w:val="008875CD"/>
    <w:rsid w:val="008B4A6A"/>
    <w:rsid w:val="008C2D09"/>
    <w:rsid w:val="008C7E27"/>
    <w:rsid w:val="008D6CC3"/>
    <w:rsid w:val="008E2418"/>
    <w:rsid w:val="008F7448"/>
    <w:rsid w:val="0090147A"/>
    <w:rsid w:val="009173EF"/>
    <w:rsid w:val="009327F9"/>
    <w:rsid w:val="00932906"/>
    <w:rsid w:val="00961B0B"/>
    <w:rsid w:val="00962D33"/>
    <w:rsid w:val="009648DD"/>
    <w:rsid w:val="00992549"/>
    <w:rsid w:val="009B38C3"/>
    <w:rsid w:val="009E17BD"/>
    <w:rsid w:val="009E485A"/>
    <w:rsid w:val="00A04CEC"/>
    <w:rsid w:val="00A208B5"/>
    <w:rsid w:val="00A242A6"/>
    <w:rsid w:val="00A27F92"/>
    <w:rsid w:val="00A32257"/>
    <w:rsid w:val="00A36D20"/>
    <w:rsid w:val="00A50705"/>
    <w:rsid w:val="00A514A4"/>
    <w:rsid w:val="00A55622"/>
    <w:rsid w:val="00A82C77"/>
    <w:rsid w:val="00A83502"/>
    <w:rsid w:val="00AA6039"/>
    <w:rsid w:val="00AA71EB"/>
    <w:rsid w:val="00AA75AE"/>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12A84"/>
    <w:rsid w:val="00C374DE"/>
    <w:rsid w:val="00C47AD4"/>
    <w:rsid w:val="00C52D81"/>
    <w:rsid w:val="00C55198"/>
    <w:rsid w:val="00C74264"/>
    <w:rsid w:val="00C76D87"/>
    <w:rsid w:val="00C97FE8"/>
    <w:rsid w:val="00CA0970"/>
    <w:rsid w:val="00CA204B"/>
    <w:rsid w:val="00CA4027"/>
    <w:rsid w:val="00CA6393"/>
    <w:rsid w:val="00CB18FF"/>
    <w:rsid w:val="00CC67B6"/>
    <w:rsid w:val="00CD0C08"/>
    <w:rsid w:val="00CE03FB"/>
    <w:rsid w:val="00CE433C"/>
    <w:rsid w:val="00CF0161"/>
    <w:rsid w:val="00CF06A6"/>
    <w:rsid w:val="00CF33F3"/>
    <w:rsid w:val="00CF39F9"/>
    <w:rsid w:val="00D02175"/>
    <w:rsid w:val="00D06183"/>
    <w:rsid w:val="00D162F1"/>
    <w:rsid w:val="00D22C42"/>
    <w:rsid w:val="00D25A39"/>
    <w:rsid w:val="00D309E4"/>
    <w:rsid w:val="00D404B1"/>
    <w:rsid w:val="00D65041"/>
    <w:rsid w:val="00DA0390"/>
    <w:rsid w:val="00DB046A"/>
    <w:rsid w:val="00DB0719"/>
    <w:rsid w:val="00DB1936"/>
    <w:rsid w:val="00DB384B"/>
    <w:rsid w:val="00DC7CDF"/>
    <w:rsid w:val="00DF0189"/>
    <w:rsid w:val="00DF1373"/>
    <w:rsid w:val="00E06FD5"/>
    <w:rsid w:val="00E10E80"/>
    <w:rsid w:val="00E124F0"/>
    <w:rsid w:val="00E227F3"/>
    <w:rsid w:val="00E23618"/>
    <w:rsid w:val="00E36D1E"/>
    <w:rsid w:val="00E545C6"/>
    <w:rsid w:val="00E60F04"/>
    <w:rsid w:val="00E65B24"/>
    <w:rsid w:val="00E75F10"/>
    <w:rsid w:val="00E77ED2"/>
    <w:rsid w:val="00E854E4"/>
    <w:rsid w:val="00E86DBF"/>
    <w:rsid w:val="00EB0D6F"/>
    <w:rsid w:val="00EB2232"/>
    <w:rsid w:val="00EC5337"/>
    <w:rsid w:val="00EE49E8"/>
    <w:rsid w:val="00F16BAB"/>
    <w:rsid w:val="00F2150A"/>
    <w:rsid w:val="00F231D8"/>
    <w:rsid w:val="00F44C00"/>
    <w:rsid w:val="00F45D2C"/>
    <w:rsid w:val="00F46C5F"/>
    <w:rsid w:val="00F632C0"/>
    <w:rsid w:val="00F74710"/>
    <w:rsid w:val="00F7721C"/>
    <w:rsid w:val="00F94A63"/>
    <w:rsid w:val="00FA1C28"/>
    <w:rsid w:val="00FA54AA"/>
    <w:rsid w:val="00FB1279"/>
    <w:rsid w:val="00FB6B76"/>
    <w:rsid w:val="00FB7596"/>
    <w:rsid w:val="00FC1A5E"/>
    <w:rsid w:val="00FE4077"/>
    <w:rsid w:val="00FE500D"/>
    <w:rsid w:val="00FE603F"/>
    <w:rsid w:val="00FE77D2"/>
    <w:rsid w:val="11090224"/>
    <w:rsid w:val="39434175"/>
    <w:rsid w:val="3F42F188"/>
    <w:rsid w:val="515CB9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9FC78A4E-9A8F-4DC6-9AB4-157DED0C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FootnoteTextChar">
    <w:name w:val="Footnote Text Char"/>
    <w:basedOn w:val="DefaultParagraphFont"/>
    <w:link w:val="FootnoteText"/>
    <w:rsid w:val="006D15A9"/>
    <w:rPr>
      <w:rFonts w:ascii="Calibri" w:hAnsi="Calibri"/>
      <w:sz w:val="24"/>
      <w:lang w:val="en-GB" w:eastAsia="en-US"/>
    </w:rPr>
  </w:style>
  <w:style w:type="paragraph" w:styleId="ListParagraph">
    <w:name w:val="List Paragraph"/>
    <w:basedOn w:val="Normal"/>
    <w:uiPriority w:val="34"/>
    <w:qFormat/>
    <w:rsid w:val="006D15A9"/>
    <w:pPr>
      <w:tabs>
        <w:tab w:val="clear" w:pos="567"/>
        <w:tab w:val="clear" w:pos="1134"/>
        <w:tab w:val="clear" w:pos="1701"/>
        <w:tab w:val="clear" w:pos="2268"/>
        <w:tab w:val="clear" w:pos="2835"/>
      </w:tabs>
      <w:overflowPunct/>
      <w:autoSpaceDE/>
      <w:autoSpaceDN/>
      <w:adjustRightInd/>
      <w:spacing w:before="0" w:after="160" w:line="256" w:lineRule="auto"/>
      <w:ind w:left="720"/>
      <w:contextualSpacing/>
      <w:textAlignment w:val="auto"/>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23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7591">
      <w:bodyDiv w:val="1"/>
      <w:marLeft w:val="0"/>
      <w:marRight w:val="0"/>
      <w:marTop w:val="0"/>
      <w:marBottom w:val="0"/>
      <w:divBdr>
        <w:top w:val="none" w:sz="0" w:space="0" w:color="auto"/>
        <w:left w:val="none" w:sz="0" w:space="0" w:color="auto"/>
        <w:bottom w:val="none" w:sz="0" w:space="0" w:color="auto"/>
        <w:right w:val="none" w:sz="0" w:space="0" w:color="auto"/>
      </w:divBdr>
    </w:div>
    <w:div w:id="1930691894">
      <w:bodyDiv w:val="1"/>
      <w:marLeft w:val="0"/>
      <w:marRight w:val="0"/>
      <w:marTop w:val="0"/>
      <w:marBottom w:val="0"/>
      <w:divBdr>
        <w:top w:val="none" w:sz="0" w:space="0" w:color="auto"/>
        <w:left w:val="none" w:sz="0" w:space="0" w:color="auto"/>
        <w:bottom w:val="none" w:sz="0" w:space="0" w:color="auto"/>
        <w:right w:val="none" w:sz="0" w:space="0" w:color="auto"/>
      </w:divBdr>
    </w:div>
    <w:div w:id="21051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erec.europa.eu/sites/default/files/files/document_register_store/2022/3/BoR%20%2822%29%2034_External%20Sustainability%20Study%20on%20Environmental%20impact%20of%20EC.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pcc.ch/report/ar6/syr/downloads/report/IPCC_AR6_SYR_SPM.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sma.com/betterfuture/wp-content/uploads/2019/12/GSMA_Enablement_Effect.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mediacentre/Pages/2019-PR01.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DSIT</TermName>
          <TermId xmlns="http://schemas.microsoft.com/office/infopath/2007/PartnerControls">9b2b16d8-8f0e-f9f9-8d2e-30d6eeb93788</TermId>
        </TermInfo>
      </Terms>
    </c6f593ada1854b629148449de059396b>
    <LegacyData xmlns="aaacb922-5235-4a66-b188-303b9b46fbd7" xsi:nil="true"/>
    <TaxCatchAll xmlns="df578ec1-41dc-4e04-98a1-d2a8915c7949">
      <Value>3</Value>
      <Value>2</Value>
      <Value>1</Value>
    </TaxCatchAll>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Digital policy</TermName>
          <TermId xmlns="http://schemas.microsoft.com/office/infopath/2007/PartnerControls">d8729632-bf27-b04d-a29d-9813f4079465</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Digital regulation</TermName>
          <TermId xmlns="http://schemas.microsoft.com/office/infopath/2007/PartnerControls">72cb66f7-e3e1-de75-7baf-c09393fe8cb0</TermId>
        </TermInfo>
      </Terms>
    </h573c97cf80c4aa6b446c5363dc3ac94>
    <_dlc_DocId xmlns="df578ec1-41dc-4e04-98a1-d2a8915c7949">7SJ5ZVZ45HWZ-1088676063-9431</_dlc_DocId>
    <_dlc_DocIdUrl xmlns="df578ec1-41dc-4e04-98a1-d2a8915c7949">
      <Url>https://beisgov.sharepoint.com/sites/TRIGS-OS-ITUandInternetGovernance/_layouts/15/DocIdRedir.aspx?ID=7SJ5ZVZ45HWZ-1088676063-9431</Url>
      <Description>7SJ5ZVZ45HWZ-1088676063-9431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59B5526F3C5A074DB0677A1290FC34D8" ma:contentTypeVersion="10" ma:contentTypeDescription="Create a new document." ma:contentTypeScope="" ma:versionID="15768c228387cb0482141b8999c3d01a">
  <xsd:schema xmlns:xsd="http://www.w3.org/2001/XMLSchema" xmlns:xs="http://www.w3.org/2001/XMLSchema" xmlns:p="http://schemas.microsoft.com/office/2006/metadata/properties" xmlns:ns2="0f9fa326-da26-4ea8-b6a9-645e8136fe1d" xmlns:ns3="df578ec1-41dc-4e04-98a1-d2a8915c7949" xmlns:ns4="aaacb922-5235-4a66-b188-303b9b46fbd7" xmlns:ns5="2e91c180-38d7-44c3-8b8c-d1b5cfe6ffe0" targetNamespace="http://schemas.microsoft.com/office/2006/metadata/properties" ma:root="true" ma:fieldsID="11152b43419c5238bd7423cacc7db3d7" ns2:_="" ns3:_="" ns4:_="" ns5:_="">
    <xsd:import namespace="0f9fa326-da26-4ea8-b6a9-645e8136fe1d"/>
    <xsd:import namespace="df578ec1-41dc-4e04-98a1-d2a8915c7949"/>
    <xsd:import namespace="aaacb922-5235-4a66-b188-303b9b46fbd7"/>
    <xsd:import namespace="2e91c180-38d7-44c3-8b8c-d1b5cfe6ffe0"/>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3:SharedWithUsers" minOccurs="0"/>
                <xsd:element ref="ns3: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SIT|9b2b16d8-8f0e-f9f9-8d2e-30d6eeb93788"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Digital policy|d8729632-bf27-b04d-a29d-9813f407946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Digital regulation|72cb66f7-e3e1-de75-7baf-c09393fe8cb0"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578ec1-41dc-4e04-98a1-d2a8915c794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3d3fcf-3faf-4a72-952e-2433712c1ae2}" ma:internalName="TaxCatchAll" ma:showField="CatchAllData" ma:web="df578ec1-41dc-4e04-98a1-d2a8915c794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3d3fcf-3faf-4a72-952e-2433712c1ae2}" ma:internalName="TaxCatchAllLabel" ma:readOnly="true" ma:showField="CatchAllDataLabel" ma:web="df578ec1-41dc-4e04-98a1-d2a8915c794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1c180-38d7-44c3-8b8c-d1b5cfe6ffe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5D162-43F7-43BA-BDF4-76CD4CCEA3AB}">
  <ds:schemaRefs>
    <ds:schemaRef ds:uri="http://purl.org/dc/elements/1.1/"/>
    <ds:schemaRef ds:uri="2e91c180-38d7-44c3-8b8c-d1b5cfe6ffe0"/>
    <ds:schemaRef ds:uri="http://schemas.microsoft.com/office/2006/documentManagement/types"/>
    <ds:schemaRef ds:uri="0f9fa326-da26-4ea8-b6a9-645e8136fe1d"/>
    <ds:schemaRef ds:uri="http://purl.org/dc/dcmitype/"/>
    <ds:schemaRef ds:uri="http://schemas.microsoft.com/office/infopath/2007/PartnerControls"/>
    <ds:schemaRef ds:uri="df578ec1-41dc-4e04-98a1-d2a8915c7949"/>
    <ds:schemaRef ds:uri="http://purl.org/dc/terms/"/>
    <ds:schemaRef ds:uri="http://schemas.openxmlformats.org/package/2006/metadata/core-properties"/>
    <ds:schemaRef ds:uri="aaacb922-5235-4a66-b188-303b9b46fbd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30FA18F-C72E-483C-8967-E0F930760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df578ec1-41dc-4e04-98a1-d2a8915c7949"/>
    <ds:schemaRef ds:uri="aaacb922-5235-4a66-b188-303b9b46fbd7"/>
    <ds:schemaRef ds:uri="2e91c180-38d7-44c3-8b8c-d1b5cfe6f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70A9A-85F3-44CB-A042-45429D092EFD}">
  <ds:schemaRefs>
    <ds:schemaRef ds:uri="http://schemas.microsoft.com/sharepoint/event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5.xml><?xml version="1.0" encoding="utf-8"?>
<ds:datastoreItem xmlns:ds="http://schemas.openxmlformats.org/officeDocument/2006/customXml" ds:itemID="{227B07E0-D291-46CA-AF71-454FB0D83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PE_Council23.dotx</Template>
  <TotalTime>1</TotalTime>
  <Pages>3</Pages>
  <Words>765</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5672</CharactersWithSpaces>
  <SharedDoc>false</SharedDoc>
  <HLinks>
    <vt:vector size="30" baseType="variant">
      <vt:variant>
        <vt:i4>1441856</vt:i4>
      </vt:variant>
      <vt:variant>
        <vt:i4>9</vt:i4>
      </vt:variant>
      <vt:variant>
        <vt:i4>0</vt:i4>
      </vt:variant>
      <vt:variant>
        <vt:i4>5</vt:i4>
      </vt:variant>
      <vt:variant>
        <vt:lpwstr>https://www.gsma.com/betterfuture/wp-content/uploads/2019/12/GSMA_Enablement_Effect.pdf</vt:lpwstr>
      </vt:variant>
      <vt:variant>
        <vt:lpwstr/>
      </vt:variant>
      <vt:variant>
        <vt:i4>3735656</vt:i4>
      </vt:variant>
      <vt:variant>
        <vt:i4>6</vt:i4>
      </vt:variant>
      <vt:variant>
        <vt:i4>0</vt:i4>
      </vt:variant>
      <vt:variant>
        <vt:i4>5</vt:i4>
      </vt:variant>
      <vt:variant>
        <vt:lpwstr>https://www.itu.int/en/mediacentre/Pages/2019-PR01.aspx</vt:lpwstr>
      </vt:variant>
      <vt:variant>
        <vt:lpwstr/>
      </vt:variant>
      <vt:variant>
        <vt:i4>7274522</vt:i4>
      </vt:variant>
      <vt:variant>
        <vt:i4>3</vt:i4>
      </vt:variant>
      <vt:variant>
        <vt:i4>0</vt:i4>
      </vt:variant>
      <vt:variant>
        <vt:i4>5</vt:i4>
      </vt:variant>
      <vt:variant>
        <vt:lpwstr>https://www.berec.europa.eu/sites/default/files/files/document_register_store/2022/3/BoR %2822%29 34_External Sustainability Study on Environmental impact of EC.pdf</vt:lpwstr>
      </vt:variant>
      <vt:variant>
        <vt:lpwstr/>
      </vt:variant>
      <vt:variant>
        <vt:i4>4194407</vt:i4>
      </vt:variant>
      <vt:variant>
        <vt:i4>0</vt:i4>
      </vt:variant>
      <vt:variant>
        <vt:i4>0</vt:i4>
      </vt:variant>
      <vt:variant>
        <vt:i4>5</vt:i4>
      </vt:variant>
      <vt:variant>
        <vt:lpwstr>https://www.ipcc.ch/report/ar6/syr/downloads/report/IPCC_AR6_SYR_SPM.pdf</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Multi-country-contribution on WTPF theme</dc:title>
  <dc:subject>Council 2024</dc:subject>
  <dc:creator>author</dc:creator>
  <cp:keywords>C2024, C24, Council-24</cp:keywords>
  <dc:description/>
  <cp:lastModifiedBy>Brouard, Ricarda</cp:lastModifiedBy>
  <cp:revision>2</cp:revision>
  <cp:lastPrinted>2000-07-19T05:30:00Z</cp:lastPrinted>
  <dcterms:created xsi:type="dcterms:W3CDTF">2024-05-29T19:56:00Z</dcterms:created>
  <dcterms:modified xsi:type="dcterms:W3CDTF">2024-05-29T19:56:00Z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MSIP_Label_ba62f585-b40f-4ab9-bafe-39150f03d124_Enabled">
    <vt:lpwstr>true</vt:lpwstr>
  </property>
  <property fmtid="{D5CDD505-2E9C-101B-9397-08002B2CF9AE}" pid="9" name="MSIP_Label_ba62f585-b40f-4ab9-bafe-39150f03d124_SetDate">
    <vt:lpwstr>2024-05-20T11:34:49Z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c8068ca3-a98f-4a63-bcd4-0f546ca9c005</vt:lpwstr>
  </property>
  <property fmtid="{D5CDD505-2E9C-101B-9397-08002B2CF9AE}" pid="14" name="MSIP_Label_ba62f585-b40f-4ab9-bafe-39150f03d124_ContentBits">
    <vt:lpwstr>0</vt:lpwstr>
  </property>
  <property fmtid="{D5CDD505-2E9C-101B-9397-08002B2CF9AE}" pid="15" name="ContentTypeId">
    <vt:lpwstr>0x0101004691A8DE0991884F8E90AD6474FC7373010059B5526F3C5A074DB0677A1290FC34D8</vt:lpwstr>
  </property>
  <property fmtid="{D5CDD505-2E9C-101B-9397-08002B2CF9AE}" pid="16" name="KIM_Activity">
    <vt:lpwstr>2;#Digital regulation|72cb66f7-e3e1-de75-7baf-c09393fe8cb0</vt:lpwstr>
  </property>
  <property fmtid="{D5CDD505-2E9C-101B-9397-08002B2CF9AE}" pid="17" name="_dlc_DocIdItemGuid">
    <vt:lpwstr>bb4174b7-8b63-4e85-8024-fc3950ed4c19</vt:lpwstr>
  </property>
  <property fmtid="{D5CDD505-2E9C-101B-9397-08002B2CF9AE}" pid="18" name="KIM_GovernmentBody">
    <vt:lpwstr>3;#DSIT|9b2b16d8-8f0e-f9f9-8d2e-30d6eeb93788</vt:lpwstr>
  </property>
  <property fmtid="{D5CDD505-2E9C-101B-9397-08002B2CF9AE}" pid="19" name="KIM_Function">
    <vt:lpwstr>1;#Digital policy|d8729632-bf27-b04d-a29d-9813f4079465</vt:lpwstr>
  </property>
</Properties>
</file>