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9008009" w14:textId="77777777" w:rsidTr="00F363FE">
        <w:tc>
          <w:tcPr>
            <w:tcW w:w="6512" w:type="dxa"/>
          </w:tcPr>
          <w:p w14:paraId="70EE7347" w14:textId="03632C28"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B5D8D">
              <w:rPr>
                <w:rFonts w:hint="cs"/>
                <w:b/>
                <w:bCs/>
                <w:rtl/>
                <w:lang w:bidi="ar-EG"/>
              </w:rPr>
              <w:t xml:space="preserve"> </w:t>
            </w:r>
            <w:r w:rsidR="009B5D8D" w:rsidRPr="009B5D8D">
              <w:rPr>
                <w:b/>
                <w:bCs/>
                <w:lang w:bidi="ar-EG"/>
              </w:rPr>
              <w:t>PL 2</w:t>
            </w:r>
          </w:p>
        </w:tc>
        <w:tc>
          <w:tcPr>
            <w:tcW w:w="3117" w:type="dxa"/>
          </w:tcPr>
          <w:p w14:paraId="06C970FE" w14:textId="5AADE7B9"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proofErr w:type="spellStart"/>
            <w:r w:rsidRPr="007B0AA0">
              <w:rPr>
                <w:b/>
                <w:bCs/>
                <w:lang w:bidi="ar-EG"/>
              </w:rPr>
              <w:t>C2</w:t>
            </w:r>
            <w:r w:rsidR="00B6080B">
              <w:rPr>
                <w:b/>
                <w:bCs/>
                <w:lang w:bidi="ar-EG"/>
              </w:rPr>
              <w:t>4</w:t>
            </w:r>
            <w:proofErr w:type="spellEnd"/>
            <w:r w:rsidRPr="007B0AA0">
              <w:rPr>
                <w:b/>
                <w:bCs/>
                <w:lang w:bidi="ar-EG"/>
              </w:rPr>
              <w:t>/</w:t>
            </w:r>
            <w:r w:rsidR="009B5D8D">
              <w:rPr>
                <w:b/>
                <w:bCs/>
                <w:lang w:bidi="ar-EG"/>
              </w:rPr>
              <w:t>76</w:t>
            </w:r>
            <w:r w:rsidRPr="007B0AA0">
              <w:rPr>
                <w:b/>
                <w:bCs/>
                <w:lang w:bidi="ar-EG"/>
              </w:rPr>
              <w:t>-A</w:t>
            </w:r>
          </w:p>
        </w:tc>
      </w:tr>
      <w:tr w:rsidR="007B0AA0" w14:paraId="11C69F59" w14:textId="77777777" w:rsidTr="00F363FE">
        <w:tc>
          <w:tcPr>
            <w:tcW w:w="6512" w:type="dxa"/>
          </w:tcPr>
          <w:p w14:paraId="233CC937" w14:textId="77777777" w:rsidR="007B0AA0" w:rsidRPr="007B0AA0" w:rsidRDefault="007B0AA0" w:rsidP="00F363FE">
            <w:pPr>
              <w:spacing w:before="60" w:after="60" w:line="260" w:lineRule="exact"/>
              <w:rPr>
                <w:b/>
                <w:bCs/>
                <w:rtl/>
                <w:lang w:bidi="ar-EG"/>
              </w:rPr>
            </w:pPr>
          </w:p>
        </w:tc>
        <w:tc>
          <w:tcPr>
            <w:tcW w:w="3117" w:type="dxa"/>
          </w:tcPr>
          <w:p w14:paraId="6E0004D7" w14:textId="7C3869DE" w:rsidR="007B0AA0" w:rsidRPr="007B0AA0" w:rsidRDefault="009B5D8D"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40C3F1D9" w14:textId="77777777" w:rsidTr="00F363FE">
        <w:tc>
          <w:tcPr>
            <w:tcW w:w="6512" w:type="dxa"/>
          </w:tcPr>
          <w:p w14:paraId="0BDBDAE6" w14:textId="77777777" w:rsidR="007B0AA0" w:rsidRPr="007B0AA0" w:rsidRDefault="007B0AA0" w:rsidP="00F363FE">
            <w:pPr>
              <w:spacing w:before="60" w:after="60" w:line="260" w:lineRule="exact"/>
              <w:rPr>
                <w:b/>
                <w:bCs/>
                <w:rtl/>
                <w:lang w:bidi="ar-EG"/>
              </w:rPr>
            </w:pPr>
          </w:p>
        </w:tc>
        <w:tc>
          <w:tcPr>
            <w:tcW w:w="3117" w:type="dxa"/>
          </w:tcPr>
          <w:p w14:paraId="0C695A90" w14:textId="28DCC6F4"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9B5D8D" w:rsidRPr="009B5D8D">
              <w:rPr>
                <w:b/>
                <w:bCs/>
                <w:rtl/>
                <w:lang w:bidi="ar-EG"/>
              </w:rPr>
              <w:t>بالإنكليزية</w:t>
            </w:r>
          </w:p>
        </w:tc>
      </w:tr>
      <w:tr w:rsidR="007B0AA0" w14:paraId="310BB70E" w14:textId="77777777" w:rsidTr="00F363FE">
        <w:tc>
          <w:tcPr>
            <w:tcW w:w="6512" w:type="dxa"/>
          </w:tcPr>
          <w:p w14:paraId="3821D9C4" w14:textId="77777777" w:rsidR="007B0AA0" w:rsidRDefault="007B0AA0" w:rsidP="00F363FE">
            <w:pPr>
              <w:spacing w:before="60" w:after="60" w:line="260" w:lineRule="exact"/>
              <w:rPr>
                <w:lang w:bidi="ar-EG"/>
              </w:rPr>
            </w:pPr>
          </w:p>
        </w:tc>
        <w:tc>
          <w:tcPr>
            <w:tcW w:w="3117" w:type="dxa"/>
          </w:tcPr>
          <w:p w14:paraId="05ABF612" w14:textId="77777777" w:rsidR="007B0AA0" w:rsidRDefault="007B0AA0" w:rsidP="00F363FE">
            <w:pPr>
              <w:spacing w:before="60" w:after="60" w:line="260" w:lineRule="exact"/>
              <w:rPr>
                <w:rtl/>
                <w:lang w:bidi="ar-EG"/>
              </w:rPr>
            </w:pPr>
          </w:p>
        </w:tc>
      </w:tr>
      <w:tr w:rsidR="007B0AA0" w14:paraId="552ED8EE" w14:textId="77777777" w:rsidTr="00EE7446">
        <w:tc>
          <w:tcPr>
            <w:tcW w:w="9629" w:type="dxa"/>
            <w:gridSpan w:val="2"/>
          </w:tcPr>
          <w:p w14:paraId="297A5580" w14:textId="66249C0E" w:rsidR="007B0AA0" w:rsidRDefault="009B5D8D" w:rsidP="007B0AA0">
            <w:pPr>
              <w:pStyle w:val="Source"/>
              <w:jc w:val="left"/>
              <w:rPr>
                <w:rtl/>
                <w:lang w:bidi="ar-EG"/>
              </w:rPr>
            </w:pPr>
            <w:r w:rsidRPr="009B5D8D">
              <w:rPr>
                <w:rtl/>
                <w:lang w:bidi="ar-EG"/>
              </w:rPr>
              <w:t>مساهمة من أستراليا</w:t>
            </w:r>
          </w:p>
        </w:tc>
      </w:tr>
      <w:tr w:rsidR="007B0AA0" w14:paraId="4E9B6720" w14:textId="77777777" w:rsidTr="007B0AA0">
        <w:tc>
          <w:tcPr>
            <w:tcW w:w="9629" w:type="dxa"/>
            <w:gridSpan w:val="2"/>
            <w:tcBorders>
              <w:bottom w:val="single" w:sz="4" w:space="0" w:color="auto"/>
            </w:tcBorders>
          </w:tcPr>
          <w:p w14:paraId="0144FC9B" w14:textId="1E71B5D3" w:rsidR="007B0AA0" w:rsidRPr="00C53DFE" w:rsidRDefault="009B5D8D" w:rsidP="00645D63">
            <w:pPr>
              <w:pStyle w:val="Subtitle0"/>
              <w:rPr>
                <w:spacing w:val="2"/>
              </w:rPr>
            </w:pPr>
            <w:r w:rsidRPr="00C53DFE">
              <w:rPr>
                <w:spacing w:val="2"/>
                <w:rtl/>
              </w:rPr>
              <w:t xml:space="preserve">‏موضوع للمنتدى العالمي لسياسات الاتصالات/تكنولوجيا المعلومات والاتصالات </w:t>
            </w:r>
            <w:r w:rsidR="00A83B1E" w:rsidRPr="00C53DFE">
              <w:rPr>
                <w:spacing w:val="2"/>
                <w:rtl/>
              </w:rPr>
              <w:br/>
            </w:r>
            <w:r w:rsidRPr="00C53DFE">
              <w:rPr>
                <w:spacing w:val="2"/>
                <w:rtl/>
              </w:rPr>
              <w:t>عام</w:t>
            </w:r>
            <w:r w:rsidR="00645D63" w:rsidRPr="00C53DFE">
              <w:rPr>
                <w:rFonts w:hint="eastAsia"/>
                <w:spacing w:val="2"/>
                <w:rtl/>
              </w:rPr>
              <w:t> </w:t>
            </w:r>
            <w:r w:rsidRPr="00C53DFE">
              <w:rPr>
                <w:spacing w:val="2"/>
              </w:rPr>
              <w:t>2026</w:t>
            </w:r>
            <w:r w:rsidR="00645D63" w:rsidRPr="00C53DFE">
              <w:rPr>
                <w:rFonts w:hint="cs"/>
                <w:spacing w:val="2"/>
                <w:rtl/>
              </w:rPr>
              <w:t xml:space="preserve"> </w:t>
            </w:r>
            <w:r w:rsidR="00645D63" w:rsidRPr="00C53DFE">
              <w:rPr>
                <w:spacing w:val="2"/>
              </w:rPr>
              <w:t>(</w:t>
            </w:r>
            <w:proofErr w:type="spellStart"/>
            <w:r w:rsidR="00645D63" w:rsidRPr="00C53DFE">
              <w:rPr>
                <w:spacing w:val="2"/>
              </w:rPr>
              <w:t>WTPF</w:t>
            </w:r>
            <w:proofErr w:type="spellEnd"/>
            <w:r w:rsidR="00645D63" w:rsidRPr="00C53DFE">
              <w:rPr>
                <w:spacing w:val="2"/>
              </w:rPr>
              <w:t>-26)</w:t>
            </w:r>
          </w:p>
        </w:tc>
      </w:tr>
      <w:tr w:rsidR="007B0AA0" w14:paraId="1ACC9803" w14:textId="77777777" w:rsidTr="007B0AA0">
        <w:tc>
          <w:tcPr>
            <w:tcW w:w="9629" w:type="dxa"/>
            <w:gridSpan w:val="2"/>
            <w:tcBorders>
              <w:top w:val="single" w:sz="4" w:space="0" w:color="auto"/>
              <w:bottom w:val="single" w:sz="4" w:space="0" w:color="auto"/>
            </w:tcBorders>
          </w:tcPr>
          <w:p w14:paraId="0597BFB1" w14:textId="77777777" w:rsidR="00065A00" w:rsidRDefault="007B0AA0" w:rsidP="007B0AA0">
            <w:pPr>
              <w:rPr>
                <w:b/>
                <w:bCs/>
                <w:rtl/>
              </w:rPr>
            </w:pPr>
            <w:r w:rsidRPr="007B0AA0">
              <w:rPr>
                <w:rFonts w:hint="cs"/>
                <w:b/>
                <w:bCs/>
                <w:rtl/>
              </w:rPr>
              <w:t>الغرض</w:t>
            </w:r>
          </w:p>
          <w:p w14:paraId="61EF6998" w14:textId="749DE1BB" w:rsidR="009B5D8D" w:rsidRDefault="009B5D8D" w:rsidP="00645D63">
            <w:pPr>
              <w:rPr>
                <w:rtl/>
              </w:rPr>
            </w:pPr>
            <w:r>
              <w:rPr>
                <w:rtl/>
              </w:rPr>
              <w:t>يقرر القرار</w:t>
            </w:r>
            <w:r w:rsidR="00A83B1E">
              <w:rPr>
                <w:rFonts w:hint="cs"/>
                <w:rtl/>
              </w:rPr>
              <w:t> </w:t>
            </w:r>
            <w:r>
              <w:rPr>
                <w:cs/>
              </w:rPr>
              <w:t>‎</w:t>
            </w:r>
            <w:r>
              <w:t>2</w:t>
            </w:r>
            <w:r>
              <w:rPr>
                <w:rtl/>
              </w:rPr>
              <w:t xml:space="preserve"> ‏لمؤتمر المندوبين المفوضين (‏المراج</w:t>
            </w:r>
            <w:r w:rsidR="00712C5B">
              <w:rPr>
                <w:rFonts w:hint="cs"/>
                <w:rtl/>
              </w:rPr>
              <w:t>َ</w:t>
            </w:r>
            <w:r>
              <w:rPr>
                <w:rtl/>
              </w:rPr>
              <w:t xml:space="preserve">ع في بوخارست، </w:t>
            </w:r>
            <w:r>
              <w:rPr>
                <w:cs/>
              </w:rPr>
              <w:t>‎</w:t>
            </w:r>
            <w:r>
              <w:t>2022</w:t>
            </w:r>
            <w:r>
              <w:rPr>
                <w:rtl/>
              </w:rPr>
              <w:t xml:space="preserve">) عقد المنتدى العالمي لسياسات الاتصالات/تكنولوجيا المعلومات والاتصالات </w:t>
            </w:r>
            <w:r w:rsidR="00DE49CE" w:rsidRPr="00DE49CE">
              <w:rPr>
                <w:rtl/>
              </w:rPr>
              <w:t>(</w:t>
            </w:r>
            <w:proofErr w:type="spellStart"/>
            <w:r w:rsidR="00DE49CE" w:rsidRPr="00DE49CE">
              <w:t>WTPF</w:t>
            </w:r>
            <w:proofErr w:type="spellEnd"/>
            <w:r w:rsidR="00DE49CE" w:rsidRPr="00DE49CE">
              <w:rPr>
                <w:rtl/>
              </w:rPr>
              <w:t xml:space="preserve">) </w:t>
            </w:r>
            <w:r>
              <w:rPr>
                <w:rtl/>
              </w:rPr>
              <w:t>ويكلف مجلس الاتحاد بما يلي:</w:t>
            </w:r>
            <w:r>
              <w:rPr>
                <w:cs/>
              </w:rPr>
              <w:t>‎</w:t>
            </w:r>
          </w:p>
          <w:p w14:paraId="38B2C60F" w14:textId="0A36BEF2" w:rsidR="009B5D8D" w:rsidRDefault="0027349D" w:rsidP="0027349D">
            <w:pPr>
              <w:pStyle w:val="enumlev1"/>
              <w:rPr>
                <w:rtl/>
              </w:rPr>
            </w:pPr>
            <w:r>
              <w:t>1</w:t>
            </w:r>
            <w:r>
              <w:rPr>
                <w:rtl/>
              </w:rPr>
              <w:tab/>
            </w:r>
            <w:r w:rsidR="009B5D8D" w:rsidRPr="0027349D">
              <w:rPr>
                <w:b/>
                <w:bCs/>
                <w:rtl/>
              </w:rPr>
              <w:t>اتخاذ</w:t>
            </w:r>
            <w:r w:rsidR="009B5D8D">
              <w:rPr>
                <w:rtl/>
              </w:rPr>
              <w:t xml:space="preserve"> </w:t>
            </w:r>
            <w:r w:rsidR="009B5D8D" w:rsidRPr="0027349D">
              <w:rPr>
                <w:b/>
                <w:bCs/>
                <w:rtl/>
              </w:rPr>
              <w:t>قرار</w:t>
            </w:r>
            <w:r w:rsidR="009B5D8D">
              <w:rPr>
                <w:rtl/>
              </w:rPr>
              <w:t xml:space="preserve"> بشأن مدة انعقاد كل منتدى مقبل من المنتديات العالمية لسياسات الاتصالات/تكنولوجيا المعلومات والاتصالات، وتاريخه ومكان انعقاده وجدول أعماله والمواضيع التي يبحث </w:t>
            </w:r>
            <w:proofErr w:type="gramStart"/>
            <w:r w:rsidR="009B5D8D">
              <w:rPr>
                <w:rtl/>
              </w:rPr>
              <w:t>فيها؛</w:t>
            </w:r>
            <w:proofErr w:type="gramEnd"/>
          </w:p>
          <w:p w14:paraId="3D64FF1F" w14:textId="72F0B8E7" w:rsidR="009B5D8D" w:rsidRDefault="0027349D" w:rsidP="0027349D">
            <w:pPr>
              <w:pStyle w:val="enumlev1"/>
              <w:rPr>
                <w:rtl/>
              </w:rPr>
            </w:pPr>
            <w:r>
              <w:t>2</w:t>
            </w:r>
            <w:r>
              <w:rPr>
                <w:rtl/>
              </w:rPr>
              <w:tab/>
            </w:r>
            <w:r w:rsidR="009B5D8D" w:rsidRPr="0027349D">
              <w:rPr>
                <w:b/>
                <w:bCs/>
                <w:rtl/>
              </w:rPr>
              <w:t>اعتماد</w:t>
            </w:r>
            <w:r w:rsidR="009B5D8D">
              <w:rPr>
                <w:rtl/>
              </w:rPr>
              <w:t xml:space="preserve"> الإجراءات اللازمة لإعداد تقرير الأمينة العامة الذي سيقدَّم إلى المنتدى.</w:t>
            </w:r>
          </w:p>
          <w:p w14:paraId="5E4A9D61" w14:textId="141EAC19" w:rsidR="007B0AA0" w:rsidRDefault="009B5D8D" w:rsidP="006E6593">
            <w:pPr>
              <w:rPr>
                <w:rtl/>
              </w:rPr>
            </w:pPr>
            <w:r>
              <w:rPr>
                <w:rtl/>
              </w:rPr>
              <w:t>وكلَّف مؤتمر المندوبين المفوضين مجلس الاتحاد بتحديد موعد للمنتدى العالمي لسياسات الاتصالات/تكنولوجيا المعلومات والاتصالات (</w:t>
            </w:r>
            <w:proofErr w:type="spellStart"/>
            <w:r>
              <w:t>WTPF</w:t>
            </w:r>
            <w:proofErr w:type="spellEnd"/>
            <w:r>
              <w:rPr>
                <w:rtl/>
              </w:rPr>
              <w:t xml:space="preserve">) في عام </w:t>
            </w:r>
            <w:r>
              <w:t>2026</w:t>
            </w:r>
            <w:r>
              <w:rPr>
                <w:rtl/>
              </w:rPr>
              <w:t>.</w:t>
            </w:r>
            <w:r w:rsidR="006E6593">
              <w:t xml:space="preserve"> </w:t>
            </w:r>
            <w:r>
              <w:rPr>
                <w:rtl/>
              </w:rPr>
              <w:t xml:space="preserve">‏وتقترح المساهمة </w:t>
            </w:r>
            <w:proofErr w:type="spellStart"/>
            <w:r>
              <w:t>C24</w:t>
            </w:r>
            <w:proofErr w:type="spellEnd"/>
            <w:r w:rsidR="00DF6B42">
              <w:t>/</w:t>
            </w:r>
            <w:r>
              <w:t>5</w:t>
            </w:r>
            <w:r>
              <w:rPr>
                <w:rtl/>
              </w:rPr>
              <w:t xml:space="preserve"> ‏جدولا</w:t>
            </w:r>
            <w:r w:rsidR="00065A00">
              <w:rPr>
                <w:rFonts w:hint="cs"/>
                <w:rtl/>
              </w:rPr>
              <w:t>ً</w:t>
            </w:r>
            <w:r>
              <w:rPr>
                <w:rtl/>
              </w:rPr>
              <w:t xml:space="preserve"> زمنيا</w:t>
            </w:r>
            <w:r w:rsidR="00065A00">
              <w:rPr>
                <w:rFonts w:hint="cs"/>
                <w:rtl/>
              </w:rPr>
              <w:t>ً</w:t>
            </w:r>
            <w:r>
              <w:rPr>
                <w:rtl/>
              </w:rPr>
              <w:t xml:space="preserve"> للمنتدى العالمي لسياسات الاتصالات/تكنولوجيا المعلومات والاتصالات عام </w:t>
            </w:r>
            <w:r>
              <w:rPr>
                <w:cs/>
              </w:rPr>
              <w:t>‎</w:t>
            </w:r>
            <w:r>
              <w:t>2026</w:t>
            </w:r>
            <w:r>
              <w:rPr>
                <w:rtl/>
              </w:rPr>
              <w:t xml:space="preserve"> ‏(</w:t>
            </w:r>
            <w:proofErr w:type="spellStart"/>
            <w:r>
              <w:t>WTPF</w:t>
            </w:r>
            <w:proofErr w:type="spellEnd"/>
            <w:r>
              <w:t>-26</w:t>
            </w:r>
            <w:r>
              <w:rPr>
                <w:rtl/>
              </w:rPr>
              <w:t>) وتدعو المجلس إلى تقديم توجيهات بشأن ذلك.</w:t>
            </w:r>
          </w:p>
          <w:p w14:paraId="6F846E3F" w14:textId="77777777" w:rsidR="007B0AA0" w:rsidRPr="007B0AA0" w:rsidRDefault="007B0AA0" w:rsidP="007B0AA0">
            <w:pPr>
              <w:rPr>
                <w:b/>
                <w:bCs/>
                <w:rtl/>
              </w:rPr>
            </w:pPr>
            <w:r w:rsidRPr="007B0AA0">
              <w:rPr>
                <w:rFonts w:hint="cs"/>
                <w:b/>
                <w:bCs/>
                <w:rtl/>
              </w:rPr>
              <w:t>الإجراء المطلوب من المجلس</w:t>
            </w:r>
          </w:p>
          <w:p w14:paraId="6CE7120B" w14:textId="29015825" w:rsidR="009B5D8D" w:rsidRDefault="009B5D8D" w:rsidP="00712C5B">
            <w:pPr>
              <w:rPr>
                <w:rtl/>
              </w:rPr>
            </w:pPr>
            <w:r>
              <w:rPr>
                <w:cs/>
              </w:rPr>
              <w:t>‎</w:t>
            </w:r>
            <w:r>
              <w:rPr>
                <w:rtl/>
              </w:rPr>
              <w:t xml:space="preserve">تقترح أستراليا أن يعتمد المجلس الجدول الزمني المقترح في المساهمة </w:t>
            </w:r>
            <w:r>
              <w:rPr>
                <w:cs/>
              </w:rPr>
              <w:t>‎</w:t>
            </w:r>
            <w:r>
              <w:t xml:space="preserve"> </w:t>
            </w:r>
            <w:proofErr w:type="spellStart"/>
            <w:r>
              <w:t>C24</w:t>
            </w:r>
            <w:proofErr w:type="spellEnd"/>
            <w:r w:rsidR="00DF6B42">
              <w:t>/</w:t>
            </w:r>
            <w:r>
              <w:t>5</w:t>
            </w:r>
            <w:r>
              <w:rPr>
                <w:rtl/>
              </w:rPr>
              <w:t xml:space="preserve"> ‏وأن يبت في الموضوع التالي للمنتدى العالمي لتنمية الاتصالات عام </w:t>
            </w:r>
            <w:r>
              <w:rPr>
                <w:cs/>
              </w:rPr>
              <w:t>‎</w:t>
            </w:r>
            <w:r>
              <w:t>2026</w:t>
            </w:r>
            <w:r>
              <w:rPr>
                <w:rtl/>
              </w:rPr>
              <w:t>:</w:t>
            </w:r>
          </w:p>
          <w:p w14:paraId="46866930" w14:textId="77AC2D33" w:rsidR="007B0AA0" w:rsidRPr="00712C5B" w:rsidRDefault="009B5D8D" w:rsidP="00712C5B">
            <w:pPr>
              <w:rPr>
                <w:b/>
                <w:bCs/>
                <w:rtl/>
              </w:rPr>
            </w:pPr>
            <w:r w:rsidRPr="00712C5B">
              <w:rPr>
                <w:b/>
                <w:bCs/>
                <w:rtl/>
              </w:rPr>
              <w:t>"‏سياسات النهوض بالمهارات الرقمية لزيادة التنوع وتعزيز المساواة بين الجنسين وتمكين المرأة في مجالات التعليم وتنمية المهارات والقوى العاملة في مضمار تكنولوجيا المعلومات والاتصالات، وتعزيز المنظورات المتنوعة في تطوير التكنولوجيا ومعاييرها."</w:t>
            </w:r>
            <w:r w:rsidRPr="00712C5B">
              <w:rPr>
                <w:b/>
                <w:bCs/>
                <w:cs/>
              </w:rPr>
              <w:t>‎</w:t>
            </w:r>
          </w:p>
          <w:p w14:paraId="2D7E2B7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C56EDBE" w14:textId="77777777" w:rsidR="007B0AA0" w:rsidRPr="007B0AA0" w:rsidRDefault="007B0AA0" w:rsidP="007B0AA0">
            <w:pPr>
              <w:rPr>
                <w:b/>
                <w:bCs/>
                <w:rtl/>
              </w:rPr>
            </w:pPr>
            <w:r w:rsidRPr="007B0AA0">
              <w:rPr>
                <w:rFonts w:hint="cs"/>
                <w:b/>
                <w:bCs/>
                <w:rtl/>
              </w:rPr>
              <w:t>المراجع</w:t>
            </w:r>
          </w:p>
          <w:p w14:paraId="0DEB669F" w14:textId="5E92F728" w:rsidR="007B0AA0" w:rsidRDefault="009B5D8D" w:rsidP="00DF6B42">
            <w:pPr>
              <w:spacing w:after="120"/>
              <w:jc w:val="left"/>
              <w:rPr>
                <w:rtl/>
              </w:rPr>
            </w:pPr>
            <w:r w:rsidRPr="009B5D8D">
              <w:rPr>
                <w:i/>
                <w:iCs/>
                <w:rtl/>
              </w:rPr>
              <w:t xml:space="preserve">وثيقتا المجلس </w:t>
            </w:r>
            <w:r w:rsidRPr="009B5D8D">
              <w:rPr>
                <w:i/>
                <w:iCs/>
                <w:cs/>
              </w:rPr>
              <w:t>‎</w:t>
            </w:r>
            <w:hyperlink r:id="rId8" w:history="1">
              <w:proofErr w:type="spellStart"/>
              <w:r w:rsidRPr="00712C5B">
                <w:rPr>
                  <w:rStyle w:val="Hyperlink"/>
                  <w:i/>
                  <w:iCs/>
                </w:rPr>
                <w:t>C24</w:t>
              </w:r>
              <w:proofErr w:type="spellEnd"/>
              <w:r w:rsidRPr="00712C5B">
                <w:rPr>
                  <w:rStyle w:val="Hyperlink"/>
                  <w:i/>
                  <w:iCs/>
                </w:rPr>
                <w:t>/5</w:t>
              </w:r>
            </w:hyperlink>
            <w:r w:rsidRPr="009B5D8D">
              <w:rPr>
                <w:i/>
                <w:iCs/>
                <w:rtl/>
              </w:rPr>
              <w:t xml:space="preserve"> ‏و</w:t>
            </w:r>
            <w:hyperlink r:id="rId9" w:history="1">
              <w:proofErr w:type="spellStart"/>
              <w:r w:rsidR="00712C5B" w:rsidRPr="00712C5B">
                <w:rPr>
                  <w:rStyle w:val="Hyperlink"/>
                  <w:i/>
                  <w:iCs/>
                </w:rPr>
                <w:t>C24</w:t>
              </w:r>
              <w:proofErr w:type="spellEnd"/>
              <w:r w:rsidR="00712C5B" w:rsidRPr="00712C5B">
                <w:rPr>
                  <w:rStyle w:val="Hyperlink"/>
                  <w:i/>
                  <w:iCs/>
                </w:rPr>
                <w:t>/6</w:t>
              </w:r>
            </w:hyperlink>
            <w:r w:rsidRPr="009B5D8D">
              <w:rPr>
                <w:i/>
                <w:iCs/>
                <w:rtl/>
              </w:rPr>
              <w:t xml:space="preserve">‏؛ </w:t>
            </w:r>
            <w:hyperlink r:id="rId10" w:history="1">
              <w:r w:rsidRPr="00712C5B">
                <w:rPr>
                  <w:rStyle w:val="Hyperlink"/>
                  <w:i/>
                  <w:iCs/>
                  <w:rtl/>
                </w:rPr>
                <w:t xml:space="preserve">القرار </w:t>
              </w:r>
              <w:r w:rsidRPr="00712C5B">
                <w:rPr>
                  <w:rStyle w:val="Hyperlink"/>
                  <w:i/>
                  <w:iCs/>
                  <w:cs/>
                </w:rPr>
                <w:t>‎</w:t>
              </w:r>
              <w:r w:rsidRPr="00712C5B">
                <w:rPr>
                  <w:rStyle w:val="Hyperlink"/>
                  <w:i/>
                  <w:iCs/>
                </w:rPr>
                <w:t>2</w:t>
              </w:r>
              <w:r w:rsidRPr="00712C5B">
                <w:rPr>
                  <w:rStyle w:val="Hyperlink"/>
                  <w:i/>
                  <w:iCs/>
                  <w:rtl/>
                </w:rPr>
                <w:t xml:space="preserve"> ‏لمؤتمر المندوبين المفوضين للاتحاد (المراج</w:t>
              </w:r>
              <w:r w:rsidR="00712C5B">
                <w:rPr>
                  <w:rStyle w:val="Hyperlink"/>
                  <w:rFonts w:hint="cs"/>
                  <w:i/>
                  <w:iCs/>
                  <w:rtl/>
                </w:rPr>
                <w:t>َ</w:t>
              </w:r>
              <w:r w:rsidRPr="00712C5B">
                <w:rPr>
                  <w:rStyle w:val="Hyperlink"/>
                  <w:i/>
                  <w:iCs/>
                  <w:rtl/>
                </w:rPr>
                <w:t xml:space="preserve">ع في بوخارست، </w:t>
              </w:r>
              <w:r w:rsidRPr="00712C5B">
                <w:rPr>
                  <w:rStyle w:val="Hyperlink"/>
                  <w:i/>
                  <w:iCs/>
                  <w:cs/>
                </w:rPr>
                <w:t>‎</w:t>
              </w:r>
              <w:r w:rsidRPr="00712C5B">
                <w:rPr>
                  <w:rStyle w:val="Hyperlink"/>
                  <w:i/>
                  <w:iCs/>
                </w:rPr>
                <w:t>2022</w:t>
              </w:r>
              <w:r w:rsidRPr="00712C5B">
                <w:rPr>
                  <w:rStyle w:val="Hyperlink"/>
                  <w:i/>
                  <w:iCs/>
                  <w:rtl/>
                </w:rPr>
                <w:t>)</w:t>
              </w:r>
            </w:hyperlink>
            <w:r w:rsidR="00DF6B42">
              <w:rPr>
                <w:rStyle w:val="Hyperlink"/>
                <w:rFonts w:hint="cs"/>
                <w:i/>
                <w:iCs/>
                <w:rtl/>
              </w:rPr>
              <w:t xml:space="preserve"> </w:t>
            </w:r>
            <w:r w:rsidR="00DF6B42">
              <w:rPr>
                <w:rtl/>
              </w:rPr>
              <w:br/>
            </w:r>
            <w:r w:rsidRPr="009B5D8D">
              <w:rPr>
                <w:i/>
                <w:iCs/>
                <w:rtl/>
              </w:rPr>
              <w:t>‏</w:t>
            </w:r>
            <w:hyperlink r:id="rId11" w:history="1">
              <w:r w:rsidRPr="00712C5B">
                <w:rPr>
                  <w:rStyle w:val="Hyperlink"/>
                  <w:i/>
                  <w:iCs/>
                  <w:rtl/>
                </w:rPr>
                <w:t xml:space="preserve">القرار </w:t>
              </w:r>
              <w:r w:rsidRPr="00712C5B">
                <w:rPr>
                  <w:rStyle w:val="Hyperlink"/>
                  <w:i/>
                  <w:iCs/>
                  <w:cs/>
                </w:rPr>
                <w:t>‎</w:t>
              </w:r>
              <w:r w:rsidRPr="00712C5B">
                <w:rPr>
                  <w:rStyle w:val="Hyperlink"/>
                  <w:i/>
                  <w:iCs/>
                </w:rPr>
                <w:t>70</w:t>
              </w:r>
              <w:r w:rsidRPr="00712C5B">
                <w:rPr>
                  <w:rStyle w:val="Hyperlink"/>
                  <w:i/>
                  <w:iCs/>
                  <w:rtl/>
                </w:rPr>
                <w:t xml:space="preserve"> ‏لمؤتمر المندوبين المفوضين للاتحاد</w:t>
              </w:r>
              <w:r w:rsidRPr="00712C5B">
                <w:rPr>
                  <w:rStyle w:val="Hyperlink"/>
                  <w:i/>
                  <w:iCs/>
                  <w:cs/>
                </w:rPr>
                <w:t>‎</w:t>
              </w:r>
              <w:r w:rsidRPr="00712C5B">
                <w:rPr>
                  <w:rStyle w:val="Hyperlink"/>
                  <w:i/>
                  <w:iCs/>
                  <w:rtl/>
                </w:rPr>
                <w:t xml:space="preserve"> (‏المراج</w:t>
              </w:r>
              <w:r w:rsidR="00712C5B">
                <w:rPr>
                  <w:rStyle w:val="Hyperlink"/>
                  <w:rFonts w:hint="cs"/>
                  <w:i/>
                  <w:iCs/>
                  <w:rtl/>
                </w:rPr>
                <w:t>َ</w:t>
              </w:r>
              <w:r w:rsidRPr="00712C5B">
                <w:rPr>
                  <w:rStyle w:val="Hyperlink"/>
                  <w:i/>
                  <w:iCs/>
                  <w:rtl/>
                </w:rPr>
                <w:t xml:space="preserve">ع في بوخارست، </w:t>
              </w:r>
              <w:r w:rsidRPr="00712C5B">
                <w:rPr>
                  <w:rStyle w:val="Hyperlink"/>
                  <w:i/>
                  <w:iCs/>
                  <w:cs/>
                </w:rPr>
                <w:t>‎</w:t>
              </w:r>
              <w:r w:rsidRPr="00712C5B">
                <w:rPr>
                  <w:rStyle w:val="Hyperlink"/>
                  <w:i/>
                  <w:iCs/>
                </w:rPr>
                <w:t>2022</w:t>
              </w:r>
              <w:r w:rsidRPr="00712C5B">
                <w:rPr>
                  <w:rStyle w:val="Hyperlink"/>
                  <w:i/>
                  <w:iCs/>
                  <w:rtl/>
                </w:rPr>
                <w:t>)</w:t>
              </w:r>
            </w:hyperlink>
          </w:p>
        </w:tc>
      </w:tr>
    </w:tbl>
    <w:p w14:paraId="645410B9" w14:textId="77777777" w:rsidR="00F50E3F" w:rsidRDefault="00F50E3F" w:rsidP="009B5D8D">
      <w:pPr>
        <w:tabs>
          <w:tab w:val="clear" w:pos="794"/>
        </w:tabs>
        <w:spacing w:before="0" w:after="160" w:line="259" w:lineRule="auto"/>
        <w:jc w:val="left"/>
        <w:rPr>
          <w:rtl/>
          <w:lang w:bidi="ar-EG"/>
        </w:rPr>
      </w:pPr>
      <w:r>
        <w:rPr>
          <w:rtl/>
          <w:lang w:bidi="ar-EG"/>
        </w:rPr>
        <w:br w:type="page"/>
      </w:r>
    </w:p>
    <w:p w14:paraId="00CAC332" w14:textId="35C026ED" w:rsidR="0027349D" w:rsidRDefault="0027349D" w:rsidP="0027349D">
      <w:pPr>
        <w:pStyle w:val="Headingb"/>
        <w:rPr>
          <w:rtl/>
          <w:lang w:bidi="ar-EG"/>
        </w:rPr>
      </w:pPr>
      <w:r>
        <w:rPr>
          <w:rtl/>
          <w:lang w:bidi="ar-EG"/>
        </w:rPr>
        <w:lastRenderedPageBreak/>
        <w:t>مقدمة</w:t>
      </w:r>
    </w:p>
    <w:p w14:paraId="7DAF1766" w14:textId="64B48EA5" w:rsidR="0027349D" w:rsidRDefault="0027349D" w:rsidP="0027349D">
      <w:pPr>
        <w:rPr>
          <w:rtl/>
          <w:lang w:bidi="ar-EG"/>
        </w:rPr>
      </w:pPr>
      <w:r>
        <w:rPr>
          <w:rtl/>
          <w:lang w:bidi="ar-EG"/>
        </w:rPr>
        <w:t>أفاد برنامج الأمم المتحدة الإنمائي (</w:t>
      </w:r>
      <w:r>
        <w:rPr>
          <w:lang w:bidi="ar-EG"/>
        </w:rPr>
        <w:t>UNDP</w:t>
      </w:r>
      <w:r>
        <w:rPr>
          <w:rtl/>
          <w:lang w:bidi="ar-EG"/>
        </w:rPr>
        <w:t>) بوجود تفاوتات إقليمية في المعرفة الرقمية لدى النساء، حيث يكون حضور الرجال على شبكة الإنترنت أرجح بنسبة 52% مقارنة</w:t>
      </w:r>
      <w:r w:rsidR="005921FE">
        <w:rPr>
          <w:rFonts w:hint="cs"/>
          <w:rtl/>
          <w:lang w:bidi="ar-EG"/>
        </w:rPr>
        <w:t>ً</w:t>
      </w:r>
      <w:r>
        <w:rPr>
          <w:rtl/>
          <w:lang w:bidi="ar-EG"/>
        </w:rPr>
        <w:t xml:space="preserve"> بالنساء في البلدان الأقل نمواً، مقارنة</w:t>
      </w:r>
      <w:r w:rsidR="00DE49CE">
        <w:rPr>
          <w:rFonts w:hint="cs"/>
          <w:rtl/>
          <w:lang w:bidi="ar-EG"/>
        </w:rPr>
        <w:t>ً</w:t>
      </w:r>
      <w:r>
        <w:rPr>
          <w:rtl/>
          <w:lang w:bidi="ar-EG"/>
        </w:rPr>
        <w:t xml:space="preserve"> بنسبة 21% على الصعيد العالمي. ويذكر برنامج الأمم المتحدة الإنمائي أيضاً أن قيام المرأة بالمشاركة الكاملة وصنع القرار في مجالات الابتكار والتغيير التكنولوجي </w:t>
      </w:r>
      <w:proofErr w:type="spellStart"/>
      <w:r>
        <w:rPr>
          <w:rtl/>
          <w:lang w:bidi="ar-EG"/>
        </w:rPr>
        <w:t>والرقمنة</w:t>
      </w:r>
      <w:proofErr w:type="spellEnd"/>
      <w:r>
        <w:rPr>
          <w:rtl/>
          <w:lang w:bidi="ar-EG"/>
        </w:rPr>
        <w:t xml:space="preserve"> شرط مسبق لإنجاز تأثير تحويلي من أجل تحقيق أهداف التنمية المستدامة</w:t>
      </w:r>
      <w:r w:rsidR="00DE49CE">
        <w:rPr>
          <w:rStyle w:val="FootnoteReference"/>
          <w:rtl/>
          <w:lang w:bidi="ar-EG"/>
        </w:rPr>
        <w:footnoteReference w:id="1"/>
      </w:r>
      <w:r>
        <w:rPr>
          <w:rtl/>
          <w:lang w:bidi="ar-EG"/>
        </w:rPr>
        <w:t xml:space="preserve">. ويسلط تقرير وقائع وأرقام عام </w:t>
      </w:r>
      <w:r>
        <w:rPr>
          <w:lang w:bidi="ar-EG"/>
        </w:rPr>
        <w:t>2023</w:t>
      </w:r>
      <w:r>
        <w:rPr>
          <w:rtl/>
          <w:lang w:bidi="ar-EG"/>
        </w:rPr>
        <w:t xml:space="preserve"> الصادر عن</w:t>
      </w:r>
      <w:r w:rsidR="005921FE">
        <w:rPr>
          <w:rFonts w:hint="cs"/>
          <w:rtl/>
          <w:lang w:bidi="ar-EG"/>
        </w:rPr>
        <w:t> </w:t>
      </w:r>
      <w:r>
        <w:rPr>
          <w:rtl/>
          <w:lang w:bidi="ar-EG"/>
        </w:rPr>
        <w:t>الاتحاد الدولي للاتصالات</w:t>
      </w:r>
      <w:r w:rsidR="00DE49CE">
        <w:rPr>
          <w:rStyle w:val="FootnoteReference"/>
          <w:rtl/>
          <w:lang w:bidi="ar-EG"/>
        </w:rPr>
        <w:footnoteReference w:id="2"/>
      </w:r>
      <w:r>
        <w:rPr>
          <w:rtl/>
          <w:lang w:bidi="ar-EG"/>
        </w:rPr>
        <w:t xml:space="preserve"> الضوء على أن النساء ما زلن يمثَلن تمثيلاً زائداً في سكان العالم غير الموصولين بالإنترنت، حيث تفوق أعدا</w:t>
      </w:r>
      <w:r w:rsidR="005921FE">
        <w:rPr>
          <w:rFonts w:hint="cs"/>
          <w:rtl/>
          <w:lang w:bidi="ar-EG"/>
        </w:rPr>
        <w:t>د</w:t>
      </w:r>
      <w:r>
        <w:rPr>
          <w:rtl/>
          <w:lang w:bidi="ar-EG"/>
        </w:rPr>
        <w:t xml:space="preserve">هن أعداد الرجال بنسبة 17 في </w:t>
      </w:r>
      <w:proofErr w:type="gramStart"/>
      <w:r>
        <w:rPr>
          <w:rtl/>
          <w:lang w:bidi="ar-EG"/>
        </w:rPr>
        <w:t>المائة</w:t>
      </w:r>
      <w:proofErr w:type="gramEnd"/>
      <w:r>
        <w:rPr>
          <w:rtl/>
          <w:lang w:bidi="ar-EG"/>
        </w:rPr>
        <w:t xml:space="preserve"> ويقل احتمال امتلاكهن لهاتف متنقل بنسبة </w:t>
      </w:r>
      <w:r>
        <w:rPr>
          <w:cs/>
          <w:lang w:bidi="ar-EG"/>
        </w:rPr>
        <w:t>‎</w:t>
      </w:r>
      <w:r>
        <w:rPr>
          <w:lang w:bidi="ar-EG"/>
        </w:rPr>
        <w:t>8</w:t>
      </w:r>
      <w:r>
        <w:rPr>
          <w:rtl/>
          <w:lang w:bidi="ar-EG"/>
        </w:rPr>
        <w:t xml:space="preserve"> ‏في المائة.</w:t>
      </w:r>
      <w:r>
        <w:rPr>
          <w:cs/>
          <w:lang w:bidi="ar-EG"/>
        </w:rPr>
        <w:t>‎</w:t>
      </w:r>
    </w:p>
    <w:p w14:paraId="412193C6" w14:textId="5D014792" w:rsidR="0027349D" w:rsidRDefault="0027349D" w:rsidP="0027349D">
      <w:pPr>
        <w:rPr>
          <w:rtl/>
          <w:lang w:bidi="ar-EG"/>
        </w:rPr>
      </w:pPr>
      <w:r>
        <w:rPr>
          <w:rtl/>
          <w:lang w:bidi="ar-EG"/>
        </w:rPr>
        <w:t>وكثيراً ما تكون التكنولوجيا مرآة المجتمع الذي تنشأ وتتطور وتُستعمل فيه. وحيثما يستمر عدم المساواة بين الجنسين والتمييز ضد النساء والفتيات، تظهر أيضا</w:t>
      </w:r>
      <w:r w:rsidR="00065A00">
        <w:rPr>
          <w:rFonts w:hint="cs"/>
          <w:rtl/>
          <w:lang w:bidi="ar-EG"/>
        </w:rPr>
        <w:t>ً</w:t>
      </w:r>
      <w:r>
        <w:rPr>
          <w:rtl/>
          <w:lang w:bidi="ar-EG"/>
        </w:rPr>
        <w:t xml:space="preserve"> تفاوتات في النفاذ إلى الاتصالات/تكنولوجيا المعلومات والاتصالات واستخدامها. ويشكل نقص تمثيل المرأة في تصميم وتطوير واستخدام التكنولوجيات</w:t>
      </w:r>
      <w:r w:rsidR="00DE49CE">
        <w:rPr>
          <w:rStyle w:val="FootnoteReference"/>
          <w:rtl/>
          <w:lang w:bidi="ar-EG"/>
        </w:rPr>
        <w:footnoteReference w:id="3"/>
      </w:r>
      <w:r>
        <w:rPr>
          <w:rtl/>
          <w:lang w:bidi="ar-EG"/>
        </w:rPr>
        <w:t xml:space="preserve"> مصدر قلق كبير، نظرا</w:t>
      </w:r>
      <w:r w:rsidR="00065A00">
        <w:rPr>
          <w:rFonts w:hint="cs"/>
          <w:rtl/>
          <w:lang w:bidi="ar-EG"/>
        </w:rPr>
        <w:t>ً</w:t>
      </w:r>
      <w:r>
        <w:rPr>
          <w:rtl/>
          <w:lang w:bidi="ar-EG"/>
        </w:rPr>
        <w:t xml:space="preserve"> للدور المركزي المتزايد لهذه التكنولوجيات في</w:t>
      </w:r>
      <w:r w:rsidR="005921FE">
        <w:rPr>
          <w:rFonts w:hint="cs"/>
          <w:rtl/>
          <w:lang w:bidi="ar-EG"/>
        </w:rPr>
        <w:t> </w:t>
      </w:r>
      <w:r>
        <w:rPr>
          <w:rtl/>
          <w:lang w:bidi="ar-EG"/>
        </w:rPr>
        <w:t>جميع جوانب الحياة. وتحرم هذه الفجوة المرأة من فرص النفاذ إلى التكنولوجيا واستعمالها، مما قد يترتب عليه آثار عميقة بالنسبة للمرأة والمجتمع الأوسع على السواء.</w:t>
      </w:r>
    </w:p>
    <w:p w14:paraId="402EF1B7" w14:textId="1DFAD90F" w:rsidR="0027349D" w:rsidRPr="005921FE" w:rsidRDefault="0027349D" w:rsidP="0027349D">
      <w:pPr>
        <w:rPr>
          <w:spacing w:val="-1"/>
          <w:rtl/>
          <w:lang w:bidi="ar-EG"/>
        </w:rPr>
      </w:pPr>
      <w:r w:rsidRPr="005921FE">
        <w:rPr>
          <w:spacing w:val="-1"/>
          <w:rtl/>
          <w:lang w:bidi="ar-EG"/>
        </w:rPr>
        <w:t>ولا مبالغة في أهمية تعزيز مشاركة المرأة في التكنولوجيا والأدوار القيادية. وفي الواقع، يدعو القرار 70 (المراجَع في بوخارست، 2022) للمندوبين المفوضين لدى الاتحاد الدول الأعضاء وأعضاء القطاعات إلى "تبني الاستراتيجيات الناجحة لتعزيز المساواة بين</w:t>
      </w:r>
      <w:r w:rsidR="005921FE">
        <w:rPr>
          <w:rFonts w:hint="cs"/>
          <w:spacing w:val="-1"/>
          <w:rtl/>
          <w:lang w:bidi="ar-EG"/>
        </w:rPr>
        <w:t> </w:t>
      </w:r>
      <w:r w:rsidRPr="005921FE">
        <w:rPr>
          <w:spacing w:val="-1"/>
          <w:rtl/>
          <w:lang w:bidi="ar-EG"/>
        </w:rPr>
        <w:t>الجنسين في المناصب العليا في مجال الاتصالات/تكنولوجيا المعلومات والاتصالات والإدارات والحكومات والهيئات التنظيمية والمنظمات الحكومية الدولية، بما فيها الاتحاد، وفي القطاع الخاص</w:t>
      </w:r>
      <w:r w:rsidR="00DE49CE" w:rsidRPr="005921FE">
        <w:rPr>
          <w:rFonts w:hint="cs"/>
          <w:spacing w:val="-1"/>
          <w:rtl/>
          <w:lang w:bidi="ar-EG"/>
        </w:rPr>
        <w:t>.</w:t>
      </w:r>
      <w:r w:rsidRPr="005921FE">
        <w:rPr>
          <w:spacing w:val="-1"/>
          <w:rtl/>
          <w:lang w:bidi="ar-EG"/>
        </w:rPr>
        <w:t>"</w:t>
      </w:r>
    </w:p>
    <w:p w14:paraId="63FBCAB3" w14:textId="28A27C90" w:rsidR="0027349D" w:rsidRDefault="0027349D" w:rsidP="0027349D">
      <w:pPr>
        <w:rPr>
          <w:rtl/>
          <w:lang w:bidi="ar-EG"/>
        </w:rPr>
      </w:pPr>
      <w:r>
        <w:rPr>
          <w:rtl/>
          <w:lang w:bidi="ar-EG"/>
        </w:rPr>
        <w:t>ويعالج الاتحاد حالياً بعض هذه القضايا من خلال لجان الدراسات والمبادرات، بما في ذلك شبكة النساء. ولكن من المهم أن</w:t>
      </w:r>
      <w:r w:rsidR="00DE49CE">
        <w:rPr>
          <w:rFonts w:hint="cs"/>
          <w:rtl/>
          <w:lang w:bidi="ar-EG"/>
        </w:rPr>
        <w:t> </w:t>
      </w:r>
      <w:r>
        <w:rPr>
          <w:rtl/>
          <w:lang w:bidi="ar-EG"/>
        </w:rPr>
        <w:t xml:space="preserve">تمتد جهود الاتحاد إلى ما هو أبعد من المهارات التقنية البحتة لتشمل فهماً أعمق لكيفية تداخل سلوكيات الأفراد والأعراف الثقافية مع التكنولوجيا. وقد أكد الاتحاد في المساهمة </w:t>
      </w:r>
      <w:hyperlink r:id="rId12" w:history="1">
        <w:proofErr w:type="spellStart"/>
        <w:r w:rsidRPr="00FD616F">
          <w:rPr>
            <w:rStyle w:val="Hyperlink"/>
            <w:lang w:bidi="ar-EG"/>
          </w:rPr>
          <w:t>C24</w:t>
        </w:r>
        <w:proofErr w:type="spellEnd"/>
        <w:r w:rsidRPr="00FD616F">
          <w:rPr>
            <w:rStyle w:val="Hyperlink"/>
            <w:lang w:bidi="ar-EG"/>
          </w:rPr>
          <w:t>/6</w:t>
        </w:r>
      </w:hyperlink>
      <w:r>
        <w:rPr>
          <w:rtl/>
          <w:lang w:bidi="ar-EG"/>
        </w:rPr>
        <w:t xml:space="preserve"> على هذه الحاجة، حيث طلب "بذل المزيد من الجهود المتضافرة عبر</w:t>
      </w:r>
      <w:r w:rsidR="005921FE">
        <w:rPr>
          <w:rFonts w:hint="cs"/>
          <w:rtl/>
          <w:lang w:bidi="ar-EG"/>
        </w:rPr>
        <w:t> </w:t>
      </w:r>
      <w:r>
        <w:rPr>
          <w:rtl/>
          <w:lang w:bidi="ar-EG"/>
        </w:rPr>
        <w:t>الاتحاد وأعضائه" لتعزيز عمل الاتحاد في سبيل المساواة بين الجنسين من أجل مستقبل رقمي أكثر مساواة</w:t>
      </w:r>
      <w:r w:rsidR="005921FE">
        <w:rPr>
          <w:rFonts w:hint="cs"/>
          <w:rtl/>
          <w:lang w:bidi="ar-EG"/>
        </w:rPr>
        <w:t>ً</w:t>
      </w:r>
      <w:r>
        <w:rPr>
          <w:rtl/>
          <w:lang w:bidi="ar-EG"/>
        </w:rPr>
        <w:t xml:space="preserve"> وشمولاً للجميع.</w:t>
      </w:r>
    </w:p>
    <w:p w14:paraId="4D9C3155" w14:textId="77777777" w:rsidR="0027349D" w:rsidRDefault="0027349D" w:rsidP="0027349D">
      <w:pPr>
        <w:rPr>
          <w:rtl/>
          <w:lang w:bidi="ar-EG"/>
        </w:rPr>
      </w:pPr>
      <w:r>
        <w:rPr>
          <w:rtl/>
          <w:lang w:bidi="ar-EG"/>
        </w:rPr>
        <w:t>وتنبع الحاجة الملحة لمعالجة مسألة نقص تمثيل المرأة في التكنولوجيا والأدوار القيادية من الحاجة إلى تسخير الإمكانات الكاملة للمواهب والدوافع والابتكارات. ومن شأن ذلك أن يسهل تطوير مستقبل أكثر تنوعاً وشمولاً ونجاحاً بما يتوافق مع المشهد التكنولوجي المتطور باستمرار.</w:t>
      </w:r>
    </w:p>
    <w:p w14:paraId="7C1D70D4" w14:textId="77777777" w:rsidR="0027349D" w:rsidRDefault="0027349D" w:rsidP="0027349D">
      <w:pPr>
        <w:pStyle w:val="Headingb"/>
        <w:rPr>
          <w:rtl/>
          <w:lang w:bidi="ar-EG"/>
        </w:rPr>
      </w:pPr>
      <w:r>
        <w:rPr>
          <w:rtl/>
          <w:lang w:bidi="ar-EG"/>
        </w:rPr>
        <w:t>المقترَح</w:t>
      </w:r>
    </w:p>
    <w:p w14:paraId="107E64E3" w14:textId="3E19704E" w:rsidR="0027349D" w:rsidRDefault="0027349D" w:rsidP="0027349D">
      <w:pPr>
        <w:rPr>
          <w:rtl/>
          <w:lang w:bidi="ar-EG"/>
        </w:rPr>
      </w:pPr>
      <w:r>
        <w:rPr>
          <w:rtl/>
          <w:lang w:bidi="ar-EG"/>
        </w:rPr>
        <w:t xml:space="preserve">تدرك أستراليا فرصة تحسين تعزيز التنوع بين المشاركين في تصميم وتطوير التكنولوجيات، ووضع وتنفيذ اللوائح، وصياغة السياسات، واتخاذ القرارات، والنفاذ إلى التكنولوجيات. وعلى هذا النحو، يمكن أن يعمل المنتدى </w:t>
      </w:r>
      <w:r w:rsidR="00FD616F">
        <w:rPr>
          <w:rtl/>
        </w:rPr>
        <w:t>العالمي لسياسات الاتصالات/تكنولوجيا المعلومات والاتصالات</w:t>
      </w:r>
      <w:r w:rsidR="00FD616F">
        <w:rPr>
          <w:rtl/>
          <w:lang w:bidi="ar-EG"/>
        </w:rPr>
        <w:t xml:space="preserve"> </w:t>
      </w:r>
      <w:r>
        <w:rPr>
          <w:rtl/>
          <w:lang w:bidi="ar-EG"/>
        </w:rPr>
        <w:t xml:space="preserve">عام </w:t>
      </w:r>
      <w:r>
        <w:rPr>
          <w:cs/>
          <w:lang w:bidi="ar-EG"/>
        </w:rPr>
        <w:t>‎</w:t>
      </w:r>
      <w:r>
        <w:rPr>
          <w:lang w:bidi="ar-EG"/>
        </w:rPr>
        <w:t>2026</w:t>
      </w:r>
      <w:r>
        <w:rPr>
          <w:rtl/>
          <w:lang w:bidi="ar-EG"/>
        </w:rPr>
        <w:t xml:space="preserve"> على تسهيل المناقشات بشأن قضية السياسات هذه، مع التركيز على</w:t>
      </w:r>
      <w:r w:rsidR="00FD616F">
        <w:rPr>
          <w:rFonts w:hint="cs"/>
          <w:rtl/>
          <w:lang w:bidi="ar-EG"/>
        </w:rPr>
        <w:t> </w:t>
      </w:r>
      <w:r>
        <w:rPr>
          <w:rtl/>
          <w:lang w:bidi="ar-EG"/>
        </w:rPr>
        <w:t>الموضوع التالي:</w:t>
      </w:r>
    </w:p>
    <w:p w14:paraId="44C4D127" w14:textId="14E8598D" w:rsidR="00F50E3F" w:rsidRPr="00FD616F" w:rsidRDefault="0027349D" w:rsidP="0027349D">
      <w:pPr>
        <w:rPr>
          <w:b/>
          <w:bCs/>
          <w:lang w:bidi="ar-EG"/>
        </w:rPr>
      </w:pPr>
      <w:r w:rsidRPr="00FD616F">
        <w:rPr>
          <w:b/>
          <w:bCs/>
          <w:rtl/>
          <w:lang w:bidi="ar-EG"/>
        </w:rPr>
        <w:t>"‏سياسات النهوض بالمهارات الرقمية لزيادة التنوع وتعزيز المساواة بين الجنسين وتمكين المرأة في مجالات التعليم وتنمية المهارات والقوى العاملة في مضمار تكنولوجيا المعلومات والاتصالات، وتعزيز المنظورات المتنوعة في تطوير التكنولوجيا ومعاييرها."</w:t>
      </w:r>
      <w:r w:rsidRPr="00FD616F">
        <w:rPr>
          <w:b/>
          <w:bCs/>
          <w:cs/>
          <w:lang w:bidi="ar-EG"/>
        </w:rPr>
        <w:t>‎</w:t>
      </w:r>
    </w:p>
    <w:p w14:paraId="30C031F1" w14:textId="3EAB1333" w:rsidR="0027349D" w:rsidRDefault="0027349D" w:rsidP="0027349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sectPr w:rsidR="0027349D"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D8FF" w14:textId="77777777" w:rsidR="009767A5" w:rsidRDefault="009767A5" w:rsidP="006C3242">
      <w:pPr>
        <w:spacing w:before="0" w:line="240" w:lineRule="auto"/>
      </w:pPr>
      <w:r>
        <w:separator/>
      </w:r>
    </w:p>
  </w:endnote>
  <w:endnote w:type="continuationSeparator" w:id="0">
    <w:p w14:paraId="34CED700" w14:textId="77777777" w:rsidR="009767A5" w:rsidRDefault="009767A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5A1B32E" w14:textId="77777777" w:rsidTr="00357086">
      <w:trPr>
        <w:jc w:val="center"/>
      </w:trPr>
      <w:tc>
        <w:tcPr>
          <w:tcW w:w="868" w:type="pct"/>
          <w:vAlign w:val="center"/>
        </w:tcPr>
        <w:p w14:paraId="6A5DD737" w14:textId="39C8B672"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2D1652BE" w14:textId="412315A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B6080B">
            <w:rPr>
              <w:rFonts w:ascii="Calibri" w:hAnsi="Calibri" w:cs="Arial"/>
              <w:bCs/>
              <w:color w:val="7F7F7F"/>
              <w:sz w:val="18"/>
            </w:rPr>
            <w:t>4</w:t>
          </w:r>
          <w:proofErr w:type="spellEnd"/>
          <w:r w:rsidRPr="007B0AA0">
            <w:rPr>
              <w:rFonts w:ascii="Calibri" w:hAnsi="Calibri" w:cs="Arial"/>
              <w:bCs/>
              <w:color w:val="7F7F7F"/>
              <w:sz w:val="18"/>
            </w:rPr>
            <w:t>/</w:t>
          </w:r>
          <w:r w:rsidR="0027349D">
            <w:rPr>
              <w:rFonts w:ascii="Calibri" w:hAnsi="Calibri" w:cs="Arial"/>
              <w:bCs/>
              <w:color w:val="7F7F7F"/>
              <w:sz w:val="18"/>
            </w:rPr>
            <w:t>76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C70FCDE"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763C014" w14:textId="24C878A2" w:rsidR="00387876" w:rsidRPr="0026373E" w:rsidRDefault="00387876" w:rsidP="0027349D">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31D9595" w14:textId="77777777" w:rsidTr="00F50E3F">
      <w:trPr>
        <w:jc w:val="center"/>
      </w:trPr>
      <w:tc>
        <w:tcPr>
          <w:tcW w:w="868" w:type="pct"/>
          <w:vAlign w:val="center"/>
        </w:tcPr>
        <w:p w14:paraId="5986E7E0" w14:textId="77777777" w:rsidR="007B0AA0" w:rsidRPr="007B0AA0" w:rsidRDefault="00EC235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proofErr w:type="spellStart"/>
            <w:r w:rsidR="007B0AA0" w:rsidRPr="007B0AA0">
              <w:rPr>
                <w:rFonts w:ascii="Calibri" w:hAnsi="Calibri" w:cs="Arial"/>
                <w:color w:val="0563C1"/>
                <w:sz w:val="18"/>
                <w:szCs w:val="14"/>
              </w:rPr>
              <w:t>www.itu.int</w:t>
            </w:r>
            <w:proofErr w:type="spellEnd"/>
            <w:r w:rsidR="007B0AA0" w:rsidRPr="007B0AA0">
              <w:rPr>
                <w:rFonts w:ascii="Calibri" w:hAnsi="Calibri" w:cs="Arial"/>
                <w:color w:val="0563C1"/>
                <w:sz w:val="18"/>
                <w:szCs w:val="14"/>
              </w:rPr>
              <w:t>/council</w:t>
            </w:r>
          </w:hyperlink>
        </w:p>
      </w:tc>
      <w:tc>
        <w:tcPr>
          <w:tcW w:w="3912" w:type="pct"/>
        </w:tcPr>
        <w:p w14:paraId="277A505F" w14:textId="6AC255F4"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B6080B">
            <w:rPr>
              <w:rFonts w:ascii="Calibri" w:hAnsi="Calibri" w:cs="Arial"/>
              <w:bCs/>
              <w:color w:val="7F7F7F"/>
              <w:sz w:val="18"/>
            </w:rPr>
            <w:t>4</w:t>
          </w:r>
          <w:proofErr w:type="spellEnd"/>
          <w:r w:rsidRPr="007B0AA0">
            <w:rPr>
              <w:rFonts w:ascii="Calibri" w:hAnsi="Calibri" w:cs="Arial"/>
              <w:bCs/>
              <w:color w:val="7F7F7F"/>
              <w:sz w:val="18"/>
            </w:rPr>
            <w:t>/</w:t>
          </w:r>
          <w:r w:rsidR="0027349D">
            <w:rPr>
              <w:rFonts w:ascii="Calibri" w:hAnsi="Calibri" w:cs="Arial"/>
              <w:bCs/>
              <w:color w:val="7F7F7F"/>
              <w:sz w:val="18"/>
            </w:rPr>
            <w:t>76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A6A17BE"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10072DC" w14:textId="3C6864A8" w:rsidR="00387876" w:rsidRPr="0026373E" w:rsidRDefault="00387876" w:rsidP="0027349D">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9604" w14:textId="77777777" w:rsidR="009767A5" w:rsidRDefault="009767A5" w:rsidP="006C3242">
      <w:pPr>
        <w:spacing w:before="0" w:line="240" w:lineRule="auto"/>
      </w:pPr>
      <w:r>
        <w:separator/>
      </w:r>
    </w:p>
  </w:footnote>
  <w:footnote w:type="continuationSeparator" w:id="0">
    <w:p w14:paraId="6B8A3C90" w14:textId="77777777" w:rsidR="009767A5" w:rsidRDefault="009767A5" w:rsidP="006C3242">
      <w:pPr>
        <w:spacing w:before="0" w:line="240" w:lineRule="auto"/>
      </w:pPr>
      <w:r>
        <w:continuationSeparator/>
      </w:r>
    </w:p>
  </w:footnote>
  <w:footnote w:id="1">
    <w:p w14:paraId="262EEF4A" w14:textId="0D139C5B" w:rsidR="00DE49CE" w:rsidRPr="00C53DFE" w:rsidRDefault="00DE49CE" w:rsidP="00C53DFE">
      <w:pPr>
        <w:pStyle w:val="Footnotetexte"/>
        <w:jc w:val="left"/>
      </w:pPr>
      <w:r w:rsidRPr="00EC2357">
        <w:rPr>
          <w:rStyle w:val="FootnoteReference"/>
        </w:rPr>
        <w:footnoteRef/>
      </w:r>
      <w:r w:rsidRPr="008446F6">
        <w:rPr>
          <w:rtl/>
        </w:rPr>
        <w:tab/>
      </w:r>
      <w:r w:rsidR="006363A8" w:rsidRPr="008446F6">
        <w:rPr>
          <w:rFonts w:hint="cs"/>
          <w:rtl/>
        </w:rPr>
        <w:t xml:space="preserve">برنامج الأمم المتحدة الإنمائي، </w:t>
      </w:r>
      <w:r w:rsidR="006363A8" w:rsidRPr="008446F6">
        <w:t>2023</w:t>
      </w:r>
      <w:r w:rsidR="006363A8" w:rsidRPr="008446F6">
        <w:rPr>
          <w:rFonts w:hint="cs"/>
          <w:rtl/>
        </w:rPr>
        <w:t xml:space="preserve">، </w:t>
      </w:r>
      <w:r w:rsidR="006363A8" w:rsidRPr="008446F6">
        <w:rPr>
          <w:rFonts w:hint="cs"/>
          <w:i/>
          <w:iCs/>
          <w:rtl/>
        </w:rPr>
        <w:t>تحقيق المساواة بين الجنسين</w:t>
      </w:r>
      <w:r w:rsidR="00C53DFE" w:rsidRPr="00C53DFE">
        <w:br/>
      </w:r>
      <w:hyperlink r:id="rId1" w:history="1">
        <w:r w:rsidR="00C53DFE" w:rsidRPr="00C53DFE">
          <w:rPr>
            <w:rStyle w:val="Hyperlink"/>
          </w:rPr>
          <w:t>https://www.undp.org/stories/bridging-gender-digital-divide-way-out-crisis</w:t>
        </w:r>
      </w:hyperlink>
      <w:r w:rsidR="00FD616F" w:rsidRPr="00C53DFE">
        <w:rPr>
          <w:rtl/>
        </w:rPr>
        <w:t>.</w:t>
      </w:r>
    </w:p>
  </w:footnote>
  <w:footnote w:id="2">
    <w:p w14:paraId="6FDAA380" w14:textId="7E0B1ED2" w:rsidR="00DE49CE" w:rsidRPr="008446F6" w:rsidRDefault="00DE49CE" w:rsidP="00C53DFE">
      <w:pPr>
        <w:pStyle w:val="Footnotetexte"/>
      </w:pPr>
      <w:r w:rsidRPr="00EC2357">
        <w:rPr>
          <w:rStyle w:val="FootnoteReference"/>
        </w:rPr>
        <w:footnoteRef/>
      </w:r>
      <w:r w:rsidRPr="008446F6">
        <w:rPr>
          <w:rtl/>
        </w:rPr>
        <w:tab/>
      </w:r>
      <w:r w:rsidR="006363A8" w:rsidRPr="008446F6">
        <w:rPr>
          <w:rFonts w:hint="cs"/>
          <w:rtl/>
        </w:rPr>
        <w:t xml:space="preserve">الاتحاد الدولي للاتصالات، </w:t>
      </w:r>
      <w:r w:rsidR="006363A8" w:rsidRPr="008446F6">
        <w:t>2023</w:t>
      </w:r>
      <w:r w:rsidR="006363A8" w:rsidRPr="008446F6">
        <w:rPr>
          <w:rFonts w:hint="cs"/>
          <w:rtl/>
        </w:rPr>
        <w:t>، حقائق و</w:t>
      </w:r>
      <w:r w:rsidR="008446F6">
        <w:rPr>
          <w:rFonts w:hint="cs"/>
          <w:rtl/>
        </w:rPr>
        <w:t>أ</w:t>
      </w:r>
      <w:r w:rsidR="006363A8" w:rsidRPr="008446F6">
        <w:rPr>
          <w:rFonts w:hint="cs"/>
          <w:rtl/>
        </w:rPr>
        <w:t xml:space="preserve">رقام، </w:t>
      </w:r>
      <w:r w:rsidR="006363A8" w:rsidRPr="008446F6">
        <w:t>2023</w:t>
      </w:r>
      <w:r w:rsidR="00FD616F" w:rsidRPr="008446F6">
        <w:rPr>
          <w:rtl/>
        </w:rPr>
        <w:t xml:space="preserve"> </w:t>
      </w:r>
      <w:hyperlink r:id="rId2" w:history="1">
        <w:r w:rsidR="00FD616F" w:rsidRPr="008446F6">
          <w:rPr>
            <w:rStyle w:val="Hyperlink"/>
          </w:rPr>
          <w:t>https://</w:t>
        </w:r>
        <w:proofErr w:type="spellStart"/>
        <w:r w:rsidR="00FD616F" w:rsidRPr="008446F6">
          <w:rPr>
            <w:rStyle w:val="Hyperlink"/>
          </w:rPr>
          <w:t>www.itu.int</w:t>
        </w:r>
        <w:proofErr w:type="spellEnd"/>
        <w:r w:rsidR="00FD616F" w:rsidRPr="008446F6">
          <w:rPr>
            <w:rStyle w:val="Hyperlink"/>
          </w:rPr>
          <w:t>/</w:t>
        </w:r>
        <w:proofErr w:type="spellStart"/>
        <w:r w:rsidR="00FD616F" w:rsidRPr="008446F6">
          <w:rPr>
            <w:rStyle w:val="Hyperlink"/>
          </w:rPr>
          <w:t>itu</w:t>
        </w:r>
        <w:proofErr w:type="spellEnd"/>
        <w:r w:rsidR="00FD616F" w:rsidRPr="008446F6">
          <w:rPr>
            <w:rStyle w:val="Hyperlink"/>
          </w:rPr>
          <w:t>-d/reports/statistics/facts-figures-2023/</w:t>
        </w:r>
      </w:hyperlink>
      <w:r w:rsidR="00FD616F" w:rsidRPr="008446F6">
        <w:rPr>
          <w:rtl/>
        </w:rPr>
        <w:t>.</w:t>
      </w:r>
    </w:p>
  </w:footnote>
  <w:footnote w:id="3">
    <w:p w14:paraId="25946D9C" w14:textId="62D70554" w:rsidR="00DE49CE" w:rsidRPr="00C53DFE" w:rsidRDefault="00DE49CE" w:rsidP="00C53DFE">
      <w:pPr>
        <w:pStyle w:val="Footnotetexte"/>
        <w:rPr>
          <w:rtl/>
        </w:rPr>
      </w:pPr>
      <w:r w:rsidRPr="00EC2357">
        <w:rPr>
          <w:rStyle w:val="FootnoteReference"/>
        </w:rPr>
        <w:footnoteRef/>
      </w:r>
      <w:r w:rsidRPr="008446F6">
        <w:rPr>
          <w:rtl/>
        </w:rPr>
        <w:tab/>
      </w:r>
      <w:r w:rsidR="00C53DFE" w:rsidRPr="008446F6">
        <w:rPr>
          <w:rFonts w:hint="cs"/>
          <w:rtl/>
        </w:rPr>
        <w:t xml:space="preserve">هيئة الأمم المتحدة للمرأة، </w:t>
      </w:r>
      <w:r w:rsidR="00C53DFE" w:rsidRPr="008446F6">
        <w:t>2023</w:t>
      </w:r>
      <w:r w:rsidR="00C53DFE" w:rsidRPr="008446F6">
        <w:rPr>
          <w:rFonts w:hint="cs"/>
          <w:rtl/>
        </w:rPr>
        <w:t>،</w:t>
      </w:r>
      <w:r w:rsidR="00C53DFE" w:rsidRPr="00C53DFE">
        <w:rPr>
          <w:rFonts w:hint="cs"/>
          <w:rtl/>
        </w:rPr>
        <w:t xml:space="preserve"> </w:t>
      </w:r>
      <w:hyperlink r:id="rId3" w:history="1">
        <w:r w:rsidR="00C53DFE" w:rsidRPr="00C53DFE">
          <w:rPr>
            <w:rStyle w:val="Hyperlink"/>
          </w:rPr>
          <w:t>Power on: How we can supercharge an equitable digital future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8F90"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79F6B59" wp14:editId="69E6295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73DB1"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DCC0F86" wp14:editId="587C4E43">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A5"/>
    <w:rsid w:val="0006468A"/>
    <w:rsid w:val="00065A00"/>
    <w:rsid w:val="00090574"/>
    <w:rsid w:val="0009186A"/>
    <w:rsid w:val="000C1C0E"/>
    <w:rsid w:val="000C548A"/>
    <w:rsid w:val="00195B5F"/>
    <w:rsid w:val="001C0169"/>
    <w:rsid w:val="001D1D50"/>
    <w:rsid w:val="001D6745"/>
    <w:rsid w:val="001E446E"/>
    <w:rsid w:val="002154EE"/>
    <w:rsid w:val="002276D2"/>
    <w:rsid w:val="0023283D"/>
    <w:rsid w:val="0026373E"/>
    <w:rsid w:val="00271C43"/>
    <w:rsid w:val="0027349D"/>
    <w:rsid w:val="00290728"/>
    <w:rsid w:val="002978F4"/>
    <w:rsid w:val="002B028D"/>
    <w:rsid w:val="002E6541"/>
    <w:rsid w:val="00334924"/>
    <w:rsid w:val="003409BC"/>
    <w:rsid w:val="00357185"/>
    <w:rsid w:val="00383829"/>
    <w:rsid w:val="00387876"/>
    <w:rsid w:val="003F4B29"/>
    <w:rsid w:val="0042686F"/>
    <w:rsid w:val="00430563"/>
    <w:rsid w:val="004317D8"/>
    <w:rsid w:val="00434183"/>
    <w:rsid w:val="00443869"/>
    <w:rsid w:val="00447F32"/>
    <w:rsid w:val="004B7334"/>
    <w:rsid w:val="004E11DC"/>
    <w:rsid w:val="00525DDD"/>
    <w:rsid w:val="005409AC"/>
    <w:rsid w:val="0055516A"/>
    <w:rsid w:val="00562A38"/>
    <w:rsid w:val="0058491B"/>
    <w:rsid w:val="005921FE"/>
    <w:rsid w:val="00592EA5"/>
    <w:rsid w:val="005A3170"/>
    <w:rsid w:val="006363A8"/>
    <w:rsid w:val="00645D63"/>
    <w:rsid w:val="00677396"/>
    <w:rsid w:val="0069200F"/>
    <w:rsid w:val="006A65CB"/>
    <w:rsid w:val="006C3242"/>
    <w:rsid w:val="006C7CC0"/>
    <w:rsid w:val="006D55BB"/>
    <w:rsid w:val="006E6593"/>
    <w:rsid w:val="006F63F7"/>
    <w:rsid w:val="007025C7"/>
    <w:rsid w:val="00706D7A"/>
    <w:rsid w:val="00712C5B"/>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446F6"/>
    <w:rsid w:val="008513CB"/>
    <w:rsid w:val="008A7F84"/>
    <w:rsid w:val="0091702E"/>
    <w:rsid w:val="00923B0C"/>
    <w:rsid w:val="0094021C"/>
    <w:rsid w:val="00952F86"/>
    <w:rsid w:val="00974B51"/>
    <w:rsid w:val="009767A5"/>
    <w:rsid w:val="00982B28"/>
    <w:rsid w:val="009B5D8D"/>
    <w:rsid w:val="009D313F"/>
    <w:rsid w:val="00A332FF"/>
    <w:rsid w:val="00A47A5A"/>
    <w:rsid w:val="00A6683B"/>
    <w:rsid w:val="00A83B1E"/>
    <w:rsid w:val="00A97F94"/>
    <w:rsid w:val="00AA7EA2"/>
    <w:rsid w:val="00B03099"/>
    <w:rsid w:val="00B05BC8"/>
    <w:rsid w:val="00B6080B"/>
    <w:rsid w:val="00B64B47"/>
    <w:rsid w:val="00B91B14"/>
    <w:rsid w:val="00B95654"/>
    <w:rsid w:val="00C002DE"/>
    <w:rsid w:val="00C53BF8"/>
    <w:rsid w:val="00C53DFE"/>
    <w:rsid w:val="00C66157"/>
    <w:rsid w:val="00C674FE"/>
    <w:rsid w:val="00C67501"/>
    <w:rsid w:val="00C75633"/>
    <w:rsid w:val="00CE2EE1"/>
    <w:rsid w:val="00CE3349"/>
    <w:rsid w:val="00CE36E5"/>
    <w:rsid w:val="00CF27F5"/>
    <w:rsid w:val="00CF3FFD"/>
    <w:rsid w:val="00D10CCF"/>
    <w:rsid w:val="00D13941"/>
    <w:rsid w:val="00D3761D"/>
    <w:rsid w:val="00D63735"/>
    <w:rsid w:val="00D77D0F"/>
    <w:rsid w:val="00DA1CF0"/>
    <w:rsid w:val="00DC1E02"/>
    <w:rsid w:val="00DC24B4"/>
    <w:rsid w:val="00DC5FB0"/>
    <w:rsid w:val="00DE49CE"/>
    <w:rsid w:val="00DF16DC"/>
    <w:rsid w:val="00DF6B42"/>
    <w:rsid w:val="00E45211"/>
    <w:rsid w:val="00E473C5"/>
    <w:rsid w:val="00E61BE8"/>
    <w:rsid w:val="00E92863"/>
    <w:rsid w:val="00E95327"/>
    <w:rsid w:val="00EB796D"/>
    <w:rsid w:val="00EC2357"/>
    <w:rsid w:val="00F058DC"/>
    <w:rsid w:val="00F24FC4"/>
    <w:rsid w:val="00F2676C"/>
    <w:rsid w:val="00F363FE"/>
    <w:rsid w:val="00F50E3F"/>
    <w:rsid w:val="00F84366"/>
    <w:rsid w:val="00F85089"/>
    <w:rsid w:val="00F974C5"/>
    <w:rsid w:val="00FA6F46"/>
    <w:rsid w:val="00FC4592"/>
    <w:rsid w:val="00FD4770"/>
    <w:rsid w:val="00FD527F"/>
    <w:rsid w:val="00FD616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70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12C5B"/>
    <w:rPr>
      <w:color w:val="605E5C"/>
      <w:shd w:val="clear" w:color="auto" w:fill="E1DFDD"/>
    </w:rPr>
  </w:style>
  <w:style w:type="character" w:styleId="FollowedHyperlink">
    <w:name w:val="FollowedHyperlink"/>
    <w:basedOn w:val="DefaultParagraphFont"/>
    <w:uiPriority w:val="99"/>
    <w:semiHidden/>
    <w:unhideWhenUsed/>
    <w:rsid w:val="00FD61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5/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06/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gender-equality/Documents/S22-PP-Res70-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2023/RES-002-a.pdf" TargetMode="External"/><Relationship Id="rId4" Type="http://schemas.openxmlformats.org/officeDocument/2006/relationships/settings" Target="settings.xml"/><Relationship Id="rId9" Type="http://schemas.openxmlformats.org/officeDocument/2006/relationships/hyperlink" Target="https://www.itu.int/md/S24-CL-C-0006/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cad=rja&amp;uact=8&amp;ved=2ahUKEwiT0bSVy52GAxWjxjgGHV9KDr0QFnoECBAQAQ&amp;url=https%3A%2F%2Fwww.unwomen.org%2Fen%2Fnews-stories%2Fexplainer%2F2023%2F02%2Fpower-on-how-we-can-supercharge-an-equitable-digital-future&amp;usg=AOvVaw1d6Lsb3W62g4-TAgIwxYkh&amp;opi=89978449" TargetMode="External"/><Relationship Id="rId2" Type="http://schemas.openxmlformats.org/officeDocument/2006/relationships/hyperlink" Target="https://www.itu.int/itu-d/reports/statistics/facts-figures-2023/" TargetMode="External"/><Relationship Id="rId1" Type="http://schemas.openxmlformats.org/officeDocument/2006/relationships/hyperlink" Target="https://www.undp.org/stories/bridging-gender-digital-divide-way-out-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2024-05-22T08:20:00Z</dcterms:created>
  <dcterms:modified xsi:type="dcterms:W3CDTF">2024-05-27T13:29:00Z</dcterms:modified>
  <cp:category>Conference document</cp:category>
</cp:coreProperties>
</file>