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54FAE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5E3B2361" w:rsidR="00796BD3" w:rsidRPr="00A54FA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54FAE">
              <w:rPr>
                <w:b/>
                <w:lang w:val="ru-RU"/>
              </w:rPr>
              <w:t xml:space="preserve">Пункт </w:t>
            </w:r>
            <w:r w:rsidRPr="00A54FAE">
              <w:rPr>
                <w:b/>
                <w:szCs w:val="22"/>
                <w:lang w:val="ru-RU"/>
              </w:rPr>
              <w:t>повестки дня:</w:t>
            </w:r>
            <w:r w:rsidR="002A6F9C" w:rsidRPr="00A54FAE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CD7374" w:rsidRPr="00A54FAE">
              <w:rPr>
                <w:b/>
                <w:bCs/>
                <w:szCs w:val="22"/>
                <w:lang w:val="ru-RU"/>
              </w:rPr>
              <w:t>PL</w:t>
            </w:r>
            <w:proofErr w:type="spellEnd"/>
            <w:r w:rsidR="00CD7374" w:rsidRPr="00A54FAE">
              <w:rPr>
                <w:b/>
                <w:bCs/>
                <w:szCs w:val="22"/>
                <w:lang w:val="ru-RU"/>
              </w:rPr>
              <w:t xml:space="preserve"> 2</w:t>
            </w:r>
          </w:p>
        </w:tc>
        <w:tc>
          <w:tcPr>
            <w:tcW w:w="5245" w:type="dxa"/>
          </w:tcPr>
          <w:p w14:paraId="1A229E63" w14:textId="1EBBCF55" w:rsidR="00796BD3" w:rsidRPr="00A54FA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54FAE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A54FAE">
              <w:rPr>
                <w:b/>
                <w:lang w:val="ru-RU"/>
              </w:rPr>
              <w:t>C2</w:t>
            </w:r>
            <w:r w:rsidR="00660449" w:rsidRPr="00A54FAE">
              <w:rPr>
                <w:b/>
                <w:lang w:val="ru-RU"/>
              </w:rPr>
              <w:t>4</w:t>
            </w:r>
            <w:proofErr w:type="spellEnd"/>
            <w:r w:rsidR="00796BD3" w:rsidRPr="00A54FAE">
              <w:rPr>
                <w:b/>
                <w:lang w:val="ru-RU"/>
              </w:rPr>
              <w:t>/</w:t>
            </w:r>
            <w:r w:rsidR="00CD7374" w:rsidRPr="00A54FAE">
              <w:rPr>
                <w:b/>
                <w:lang w:val="ru-RU"/>
              </w:rPr>
              <w:t>76</w:t>
            </w:r>
            <w:r w:rsidR="00796BD3" w:rsidRPr="00A54FAE">
              <w:rPr>
                <w:b/>
                <w:lang w:val="ru-RU"/>
              </w:rPr>
              <w:t>-R</w:t>
            </w:r>
          </w:p>
        </w:tc>
      </w:tr>
      <w:tr w:rsidR="00796BD3" w:rsidRPr="00A54FAE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A54F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14C77D13" w:rsidR="00796BD3" w:rsidRPr="00A54FAE" w:rsidRDefault="00CD7374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54FAE">
              <w:rPr>
                <w:b/>
                <w:lang w:val="ru-RU"/>
              </w:rPr>
              <w:t xml:space="preserve">21 </w:t>
            </w:r>
            <w:r w:rsidR="002A6F9C" w:rsidRPr="00A54FAE">
              <w:rPr>
                <w:b/>
                <w:lang w:val="ru-RU"/>
              </w:rPr>
              <w:t>мая</w:t>
            </w:r>
            <w:r w:rsidR="00796BD3" w:rsidRPr="00A54FAE">
              <w:rPr>
                <w:b/>
                <w:lang w:val="ru-RU"/>
              </w:rPr>
              <w:t xml:space="preserve"> 202</w:t>
            </w:r>
            <w:r w:rsidR="00660449" w:rsidRPr="00A54FAE">
              <w:rPr>
                <w:b/>
                <w:lang w:val="ru-RU"/>
              </w:rPr>
              <w:t>4</w:t>
            </w:r>
            <w:r w:rsidR="002A6F9C" w:rsidRPr="00A54FAE">
              <w:rPr>
                <w:b/>
                <w:lang w:val="ru-RU"/>
              </w:rPr>
              <w:t xml:space="preserve"> года</w:t>
            </w:r>
          </w:p>
        </w:tc>
      </w:tr>
      <w:tr w:rsidR="00796BD3" w:rsidRPr="00A54FAE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A54F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A54FA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54FA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54FAE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A54F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A54FA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54FAE" w14:paraId="76139E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4DD5E5" w14:textId="3C78B575" w:rsidR="00796BD3" w:rsidRPr="00A54FAE" w:rsidRDefault="00CD7374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54FAE">
              <w:rPr>
                <w:rFonts w:cstheme="minorHAnsi"/>
                <w:sz w:val="32"/>
                <w:szCs w:val="32"/>
                <w:lang w:val="ru-RU"/>
              </w:rPr>
              <w:t>Вклад Австралии</w:t>
            </w:r>
          </w:p>
        </w:tc>
      </w:tr>
      <w:tr w:rsidR="00796BD3" w:rsidRPr="00A54FAE" w14:paraId="3A9139C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C1601D" w14:textId="5B78FAFD" w:rsidR="00796BD3" w:rsidRPr="00A54FAE" w:rsidRDefault="00CD737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54FAE">
              <w:rPr>
                <w:lang w:val="ru-RU" w:bidi="ru-RU"/>
              </w:rPr>
              <w:t>ТЕМА ДЛЯ ВСЕМИРНОГО ФОРУМА ПО ПОЛИТИКЕ В ОБЛАСТИ ЭЛЕКТРОСВЯЗИ/ИКТ 2026 ГОДА (</w:t>
            </w:r>
            <w:proofErr w:type="spellStart"/>
            <w:r w:rsidRPr="00A54FAE">
              <w:rPr>
                <w:lang w:val="ru-RU" w:bidi="ru-RU"/>
              </w:rPr>
              <w:t>ВФПЭ</w:t>
            </w:r>
            <w:proofErr w:type="spellEnd"/>
            <w:r w:rsidRPr="00A54FAE">
              <w:rPr>
                <w:lang w:val="ru-RU" w:bidi="ru-RU"/>
              </w:rPr>
              <w:t>-26)</w:t>
            </w:r>
          </w:p>
        </w:tc>
      </w:tr>
      <w:tr w:rsidR="00796BD3" w:rsidRPr="00A54FAE" w14:paraId="180715E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62BA85" w14:textId="538535C9" w:rsidR="00796BD3" w:rsidRPr="00A54FA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54FA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B9DE9B9" w14:textId="77777777" w:rsidR="00CD7374" w:rsidRPr="00CD7374" w:rsidRDefault="00CD7374" w:rsidP="00CD7374">
            <w:pPr>
              <w:rPr>
                <w:lang w:val="ru-RU"/>
              </w:rPr>
            </w:pPr>
            <w:r w:rsidRPr="00CD7374">
              <w:rPr>
                <w:lang w:val="ru-RU" w:bidi="ru-RU"/>
              </w:rPr>
              <w:t>В Резолюции 2 (</w:t>
            </w:r>
            <w:proofErr w:type="spellStart"/>
            <w:r w:rsidRPr="00CD7374">
              <w:rPr>
                <w:lang w:val="ru-RU" w:bidi="ru-RU"/>
              </w:rPr>
              <w:t>Пересм</w:t>
            </w:r>
            <w:proofErr w:type="spellEnd"/>
            <w:r w:rsidRPr="00CD7374">
              <w:rPr>
                <w:lang w:val="ru-RU" w:bidi="ru-RU"/>
              </w:rPr>
              <w:t>. Бухарест, 2022 г.) Полномочной конференции принято решение провести Всемирный форум по политике в области электросвязи/ИКТ (</w:t>
            </w:r>
            <w:proofErr w:type="spellStart"/>
            <w:r w:rsidRPr="00CD7374">
              <w:rPr>
                <w:lang w:val="ru-RU" w:bidi="ru-RU"/>
              </w:rPr>
              <w:t>ВФПЭ</w:t>
            </w:r>
            <w:proofErr w:type="spellEnd"/>
            <w:r w:rsidRPr="00CD7374">
              <w:rPr>
                <w:lang w:val="ru-RU" w:bidi="ru-RU"/>
              </w:rPr>
              <w:t>) и поручено Совету МСЭ:</w:t>
            </w:r>
          </w:p>
          <w:p w14:paraId="641C1AF9" w14:textId="041C1005" w:rsidR="00CD7374" w:rsidRPr="00A54FAE" w:rsidRDefault="00A54FAE" w:rsidP="00CD7374">
            <w:pPr>
              <w:pStyle w:val="enumlev1"/>
              <w:rPr>
                <w:lang w:val="ru-RU"/>
              </w:rPr>
            </w:pPr>
            <w:r w:rsidRPr="00A54FAE">
              <w:rPr>
                <w:bCs/>
                <w:lang w:val="en-US" w:bidi="ru-RU"/>
              </w:rPr>
              <w:t>1)</w:t>
            </w:r>
            <w:r w:rsidR="00CD7374" w:rsidRPr="00A54FAE">
              <w:rPr>
                <w:bCs/>
                <w:lang w:val="ru-RU" w:bidi="ru-RU"/>
              </w:rPr>
              <w:tab/>
            </w:r>
            <w:r w:rsidR="00CD7374" w:rsidRPr="00A54FAE">
              <w:rPr>
                <w:b/>
                <w:lang w:val="ru-RU" w:bidi="ru-RU"/>
              </w:rPr>
              <w:t>принимать решения</w:t>
            </w:r>
            <w:r w:rsidR="00CD7374" w:rsidRPr="00A54FAE">
              <w:rPr>
                <w:lang w:val="ru-RU" w:bidi="ru-RU"/>
              </w:rPr>
              <w:t xml:space="preserve"> относительно продолжительности, сроков, места проведения, повестки дня и тематики любого будущего </w:t>
            </w:r>
            <w:proofErr w:type="spellStart"/>
            <w:proofErr w:type="gramStart"/>
            <w:r w:rsidR="00CD7374" w:rsidRPr="00A54FAE">
              <w:rPr>
                <w:lang w:val="ru-RU" w:bidi="ru-RU"/>
              </w:rPr>
              <w:t>ВФПЭ</w:t>
            </w:r>
            <w:proofErr w:type="spellEnd"/>
            <w:r w:rsidR="00CD7374" w:rsidRPr="00A54FAE">
              <w:rPr>
                <w:lang w:val="ru-RU" w:bidi="ru-RU"/>
              </w:rPr>
              <w:t>;</w:t>
            </w:r>
            <w:proofErr w:type="gramEnd"/>
          </w:p>
          <w:p w14:paraId="2543A836" w14:textId="506C7FD7" w:rsidR="00CD7374" w:rsidRPr="00A54FAE" w:rsidRDefault="00A54FAE" w:rsidP="00CD7374">
            <w:pPr>
              <w:pStyle w:val="enumlev1"/>
              <w:rPr>
                <w:lang w:val="ru-RU"/>
              </w:rPr>
            </w:pPr>
            <w:r w:rsidRPr="00A54FAE">
              <w:rPr>
                <w:bCs/>
                <w:lang w:val="en-US" w:bidi="ru-RU"/>
              </w:rPr>
              <w:t>2)</w:t>
            </w:r>
            <w:r w:rsidR="00CD7374" w:rsidRPr="00A54FAE">
              <w:rPr>
                <w:bCs/>
                <w:lang w:val="ru-RU" w:bidi="ru-RU"/>
              </w:rPr>
              <w:tab/>
            </w:r>
            <w:r w:rsidR="00CD7374" w:rsidRPr="00A54FAE">
              <w:rPr>
                <w:b/>
                <w:lang w:val="ru-RU" w:bidi="ru-RU"/>
              </w:rPr>
              <w:t>принять</w:t>
            </w:r>
            <w:r w:rsidR="00CD7374" w:rsidRPr="00A54FAE">
              <w:rPr>
                <w:lang w:val="ru-RU" w:bidi="ru-RU"/>
              </w:rPr>
              <w:t xml:space="preserve"> процедуру подготовки отчета Генерального секретаря для </w:t>
            </w:r>
            <w:proofErr w:type="spellStart"/>
            <w:r w:rsidR="00CD7374" w:rsidRPr="00A54FAE">
              <w:rPr>
                <w:lang w:val="ru-RU" w:bidi="ru-RU"/>
              </w:rPr>
              <w:t>ВФПЭ</w:t>
            </w:r>
            <w:proofErr w:type="spellEnd"/>
            <w:r w:rsidR="00CD7374" w:rsidRPr="00A54FAE">
              <w:rPr>
                <w:lang w:val="ru-RU" w:bidi="ru-RU"/>
              </w:rPr>
              <w:t>.</w:t>
            </w:r>
          </w:p>
          <w:p w14:paraId="2F98ECB8" w14:textId="7675C701" w:rsidR="00CD7374" w:rsidRPr="00CD7374" w:rsidRDefault="00CD7374" w:rsidP="00CD7374">
            <w:pPr>
              <w:rPr>
                <w:lang w:val="ru-RU"/>
              </w:rPr>
            </w:pPr>
            <w:r w:rsidRPr="00CD7374">
              <w:rPr>
                <w:lang w:val="ru-RU" w:bidi="ru-RU"/>
              </w:rPr>
              <w:t xml:space="preserve">Полномочная конференция также поручила Совету запланировать проведение </w:t>
            </w:r>
            <w:proofErr w:type="spellStart"/>
            <w:r w:rsidRPr="00CD7374">
              <w:rPr>
                <w:lang w:val="ru-RU" w:bidi="ru-RU"/>
              </w:rPr>
              <w:t>ВФПЭ</w:t>
            </w:r>
            <w:proofErr w:type="spellEnd"/>
            <w:r w:rsidRPr="00CD7374">
              <w:rPr>
                <w:lang w:val="ru-RU" w:bidi="ru-RU"/>
              </w:rPr>
              <w:t xml:space="preserve"> в 2026</w:t>
            </w:r>
            <w:r w:rsidR="00D47FFA">
              <w:rPr>
                <w:lang w:val="en-US" w:bidi="ru-RU"/>
              </w:rPr>
              <w:t> </w:t>
            </w:r>
            <w:r w:rsidRPr="00CD7374">
              <w:rPr>
                <w:lang w:val="ru-RU" w:bidi="ru-RU"/>
              </w:rPr>
              <w:t xml:space="preserve">году. В Документе </w:t>
            </w:r>
            <w:proofErr w:type="spellStart"/>
            <w:r w:rsidRPr="00CD7374">
              <w:rPr>
                <w:lang w:val="ru-RU" w:bidi="ru-RU"/>
              </w:rPr>
              <w:t>C24</w:t>
            </w:r>
            <w:proofErr w:type="spellEnd"/>
            <w:r w:rsidR="00D47FFA" w:rsidRPr="00D47FFA">
              <w:rPr>
                <w:lang w:val="ru-RU" w:bidi="ru-RU"/>
              </w:rPr>
              <w:t>/</w:t>
            </w:r>
            <w:r w:rsidRPr="00CD7374">
              <w:rPr>
                <w:lang w:val="ru-RU" w:bidi="ru-RU"/>
              </w:rPr>
              <w:t xml:space="preserve">5 представлен график подготовки к </w:t>
            </w:r>
            <w:proofErr w:type="spellStart"/>
            <w:r w:rsidRPr="00CD7374">
              <w:rPr>
                <w:lang w:val="ru-RU" w:bidi="ru-RU"/>
              </w:rPr>
              <w:t>ВФПЭ</w:t>
            </w:r>
            <w:proofErr w:type="spellEnd"/>
            <w:r w:rsidRPr="00CD7374">
              <w:rPr>
                <w:lang w:val="ru-RU" w:bidi="ru-RU"/>
              </w:rPr>
              <w:t>-26 и предлагается Совету дать указания по этому вопросу.</w:t>
            </w:r>
          </w:p>
          <w:p w14:paraId="3D4A6235" w14:textId="77777777" w:rsidR="00796BD3" w:rsidRPr="00A54FA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54FA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9F43B3A" w14:textId="77777777" w:rsidR="00CD7374" w:rsidRPr="00CD7374" w:rsidRDefault="00CD7374" w:rsidP="00CD7374">
            <w:pPr>
              <w:rPr>
                <w:lang w:val="ru-RU"/>
              </w:rPr>
            </w:pPr>
            <w:r w:rsidRPr="00CD7374">
              <w:rPr>
                <w:lang w:val="ru-RU" w:bidi="ru-RU"/>
              </w:rPr>
              <w:t xml:space="preserve">Австралия предлагает Совету утвердить график, предложенный в Документе </w:t>
            </w:r>
            <w:proofErr w:type="spellStart"/>
            <w:r w:rsidRPr="00CD7374">
              <w:rPr>
                <w:lang w:val="ru-RU" w:bidi="ru-RU"/>
              </w:rPr>
              <w:t>C24</w:t>
            </w:r>
            <w:proofErr w:type="spellEnd"/>
            <w:r w:rsidRPr="00CD7374">
              <w:rPr>
                <w:lang w:val="ru-RU" w:bidi="ru-RU"/>
              </w:rPr>
              <w:t xml:space="preserve">/5, и принять решение по следующей теме для </w:t>
            </w:r>
            <w:proofErr w:type="spellStart"/>
            <w:r w:rsidRPr="00CD7374">
              <w:rPr>
                <w:lang w:val="ru-RU" w:bidi="ru-RU"/>
              </w:rPr>
              <w:t>ВФПЭ</w:t>
            </w:r>
            <w:proofErr w:type="spellEnd"/>
            <w:r w:rsidRPr="00CD7374">
              <w:rPr>
                <w:lang w:val="ru-RU" w:bidi="ru-RU"/>
              </w:rPr>
              <w:t>-26:</w:t>
            </w:r>
          </w:p>
          <w:p w14:paraId="69A65308" w14:textId="7990D3D8" w:rsidR="00796BD3" w:rsidRPr="00A54FAE" w:rsidRDefault="00CD7374" w:rsidP="00CD7374">
            <w:pPr>
              <w:rPr>
                <w:lang w:val="ru-RU"/>
              </w:rPr>
            </w:pPr>
            <w:r w:rsidRPr="00A54FAE">
              <w:rPr>
                <w:bCs/>
                <w:lang w:val="ru-RU" w:bidi="ru-RU"/>
              </w:rPr>
              <w:t>"</w:t>
            </w:r>
            <w:r w:rsidRPr="00A54FAE">
              <w:rPr>
                <w:b/>
                <w:lang w:val="ru-RU" w:bidi="ru-RU"/>
              </w:rPr>
              <w:t>Политика повышения уровня цифровых навыков, направленная на расширение многообразия, содействие гендерному равенству и расширение прав и возможностей женщин в области образования, развития навыков и среди работников сферы ИКТ, а также на поощрение различных взглядов на развитие технологий и их стандартов</w:t>
            </w:r>
            <w:r w:rsidRPr="00A54FAE">
              <w:rPr>
                <w:bCs/>
                <w:lang w:val="ru-RU" w:bidi="ru-RU"/>
              </w:rPr>
              <w:t>".</w:t>
            </w:r>
          </w:p>
          <w:p w14:paraId="056EBF5E" w14:textId="77777777" w:rsidR="00796BD3" w:rsidRPr="00A54FA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54FAE">
              <w:rPr>
                <w:sz w:val="20"/>
                <w:szCs w:val="18"/>
                <w:lang w:val="ru-RU"/>
              </w:rPr>
              <w:t>__________________</w:t>
            </w:r>
          </w:p>
          <w:p w14:paraId="04B02FC6" w14:textId="77777777" w:rsidR="00796BD3" w:rsidRPr="00A54FA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54FA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56CD98" w14:textId="6BB6F95E" w:rsidR="00CD7374" w:rsidRPr="00CD7374" w:rsidRDefault="00CD7374" w:rsidP="00CD7374">
            <w:pPr>
              <w:spacing w:after="160"/>
              <w:rPr>
                <w:i/>
                <w:iCs/>
                <w:lang w:val="ru-RU"/>
              </w:rPr>
            </w:pPr>
            <w:r w:rsidRPr="00CD7374">
              <w:rPr>
                <w:i/>
                <w:lang w:val="ru-RU" w:bidi="ru-RU"/>
              </w:rPr>
              <w:t xml:space="preserve">Документы </w:t>
            </w:r>
            <w:hyperlink r:id="rId7" w:history="1">
              <w:proofErr w:type="spellStart"/>
              <w:r w:rsidRPr="00CD7374">
                <w:rPr>
                  <w:rStyle w:val="Hyperlink"/>
                  <w:i/>
                  <w:lang w:val="ru-RU" w:bidi="ru-RU"/>
                </w:rPr>
                <w:t>C24</w:t>
              </w:r>
              <w:proofErr w:type="spellEnd"/>
              <w:r w:rsidRPr="00CD7374">
                <w:rPr>
                  <w:rStyle w:val="Hyperlink"/>
                  <w:i/>
                  <w:lang w:val="ru-RU" w:bidi="ru-RU"/>
                </w:rPr>
                <w:t>/5</w:t>
              </w:r>
            </w:hyperlink>
            <w:r w:rsidRPr="00CD7374">
              <w:rPr>
                <w:i/>
                <w:lang w:val="ru-RU" w:bidi="ru-RU"/>
              </w:rPr>
              <w:t xml:space="preserve"> и </w:t>
            </w:r>
            <w:hyperlink r:id="rId8" w:history="1">
              <w:proofErr w:type="spellStart"/>
              <w:r w:rsidRPr="00CD7374">
                <w:rPr>
                  <w:rStyle w:val="Hyperlink"/>
                  <w:i/>
                  <w:lang w:val="ru-RU" w:bidi="ru-RU"/>
                </w:rPr>
                <w:t>C24</w:t>
              </w:r>
              <w:proofErr w:type="spellEnd"/>
              <w:r w:rsidRPr="00CD7374">
                <w:rPr>
                  <w:rStyle w:val="Hyperlink"/>
                  <w:i/>
                  <w:lang w:val="ru-RU" w:bidi="ru-RU"/>
                </w:rPr>
                <w:t>/6</w:t>
              </w:r>
            </w:hyperlink>
            <w:r w:rsidRPr="00CD7374">
              <w:rPr>
                <w:i/>
                <w:iCs/>
                <w:lang w:val="ru-RU"/>
              </w:rPr>
              <w:t xml:space="preserve"> Совета</w:t>
            </w:r>
            <w:r w:rsidRPr="00CD7374">
              <w:rPr>
                <w:i/>
                <w:lang w:val="ru-RU" w:bidi="ru-RU"/>
              </w:rPr>
              <w:t xml:space="preserve">; </w:t>
            </w:r>
            <w:hyperlink r:id="rId9" w:history="1">
              <w:r w:rsidRPr="00CD7374">
                <w:rPr>
                  <w:rStyle w:val="Hyperlink"/>
                  <w:i/>
                  <w:lang w:val="ru-RU" w:bidi="ru-RU"/>
                </w:rPr>
                <w:t>Резолюция 2 (</w:t>
              </w:r>
              <w:proofErr w:type="spellStart"/>
              <w:r w:rsidRPr="00CD7374">
                <w:rPr>
                  <w:rStyle w:val="Hyperlink"/>
                  <w:i/>
                  <w:lang w:val="ru-RU" w:bidi="ru-RU"/>
                </w:rPr>
                <w:t>Пере</w:t>
              </w:r>
              <w:r w:rsidRPr="00CD7374">
                <w:rPr>
                  <w:rStyle w:val="Hyperlink"/>
                  <w:i/>
                  <w:lang w:val="ru-RU" w:bidi="ru-RU"/>
                </w:rPr>
                <w:t>с</w:t>
              </w:r>
              <w:r w:rsidRPr="00CD7374">
                <w:rPr>
                  <w:rStyle w:val="Hyperlink"/>
                  <w:i/>
                  <w:lang w:val="ru-RU" w:bidi="ru-RU"/>
                </w:rPr>
                <w:t>м</w:t>
              </w:r>
              <w:proofErr w:type="spellEnd"/>
              <w:r w:rsidRPr="00CD7374">
                <w:rPr>
                  <w:rStyle w:val="Hyperlink"/>
                  <w:i/>
                  <w:lang w:val="ru-RU" w:bidi="ru-RU"/>
                </w:rPr>
                <w:t>. Бухарест, 2</w:t>
              </w:r>
              <w:r w:rsidRPr="00CD7374">
                <w:rPr>
                  <w:rStyle w:val="Hyperlink"/>
                  <w:i/>
                  <w:lang w:val="ru-RU" w:bidi="ru-RU"/>
                </w:rPr>
                <w:t>0</w:t>
              </w:r>
              <w:r w:rsidRPr="00CD7374">
                <w:rPr>
                  <w:rStyle w:val="Hyperlink"/>
                  <w:i/>
                  <w:lang w:val="ru-RU" w:bidi="ru-RU"/>
                </w:rPr>
                <w:t>22 г.) Полномочной конференции МСЭ</w:t>
              </w:r>
            </w:hyperlink>
          </w:p>
          <w:bookmarkStart w:id="7" w:name="_Hlk167781182"/>
          <w:p w14:paraId="7625825D" w14:textId="2E7D4B48" w:rsidR="00796BD3" w:rsidRPr="00A54FAE" w:rsidRDefault="00CD7374" w:rsidP="00CD7374">
            <w:pPr>
              <w:spacing w:after="160"/>
              <w:rPr>
                <w:lang w:val="ru-RU"/>
              </w:rPr>
            </w:pPr>
            <w:r w:rsidRPr="00CD7374">
              <w:rPr>
                <w:lang w:val="ru-RU"/>
              </w:rPr>
              <w:fldChar w:fldCharType="begin"/>
            </w:r>
            <w:r w:rsidR="00142927">
              <w:rPr>
                <w:lang w:val="ru-RU"/>
              </w:rPr>
              <w:instrText>HYPERLINK "https://www.itu.int/en/council/Documents/basic-texts-2023/RES-070-R.pdf"</w:instrText>
            </w:r>
            <w:r w:rsidR="00142927" w:rsidRPr="00CD7374">
              <w:rPr>
                <w:lang w:val="ru-RU"/>
              </w:rPr>
            </w:r>
            <w:r w:rsidRPr="00CD7374">
              <w:rPr>
                <w:lang w:val="ru-RU"/>
              </w:rPr>
              <w:fldChar w:fldCharType="separate"/>
            </w:r>
            <w:r w:rsidRPr="00CD7374">
              <w:rPr>
                <w:rStyle w:val="Hyperlink"/>
                <w:i/>
                <w:lang w:val="ru-RU" w:bidi="ru-RU"/>
              </w:rPr>
              <w:t>Резолюция 70 (</w:t>
            </w:r>
            <w:proofErr w:type="spellStart"/>
            <w:r w:rsidRPr="00CD7374">
              <w:rPr>
                <w:rStyle w:val="Hyperlink"/>
                <w:i/>
                <w:lang w:val="ru-RU" w:bidi="ru-RU"/>
              </w:rPr>
              <w:t>Пересм</w:t>
            </w:r>
            <w:proofErr w:type="spellEnd"/>
            <w:r w:rsidRPr="00CD7374">
              <w:rPr>
                <w:rStyle w:val="Hyperlink"/>
                <w:i/>
                <w:lang w:val="ru-RU" w:bidi="ru-RU"/>
              </w:rPr>
              <w:t>. Бухарест, 202</w:t>
            </w:r>
            <w:r w:rsidRPr="00CD7374">
              <w:rPr>
                <w:rStyle w:val="Hyperlink"/>
                <w:i/>
                <w:lang w:val="ru-RU" w:bidi="ru-RU"/>
              </w:rPr>
              <w:t>2</w:t>
            </w:r>
            <w:r w:rsidRPr="00CD7374">
              <w:rPr>
                <w:rStyle w:val="Hyperlink"/>
                <w:i/>
                <w:lang w:val="ru-RU" w:bidi="ru-RU"/>
              </w:rPr>
              <w:t xml:space="preserve"> г.) Полномочной конференции МСЭ</w:t>
            </w:r>
            <w:r w:rsidRPr="00CD7374">
              <w:rPr>
                <w:lang w:val="ru-RU"/>
              </w:rPr>
              <w:fldChar w:fldCharType="end"/>
            </w:r>
            <w:bookmarkEnd w:id="7"/>
          </w:p>
        </w:tc>
      </w:tr>
      <w:bookmarkEnd w:id="2"/>
      <w:bookmarkEnd w:id="6"/>
    </w:tbl>
    <w:p w14:paraId="62E04350" w14:textId="77777777" w:rsidR="00796BD3" w:rsidRPr="00A54FAE" w:rsidRDefault="00796BD3" w:rsidP="00796BD3">
      <w:pPr>
        <w:rPr>
          <w:lang w:val="ru-RU"/>
        </w:rPr>
      </w:pPr>
    </w:p>
    <w:p w14:paraId="508352B1" w14:textId="77777777" w:rsidR="00165D06" w:rsidRPr="00A54FA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54FAE">
        <w:rPr>
          <w:lang w:val="ru-RU"/>
        </w:rPr>
        <w:br w:type="page"/>
      </w:r>
    </w:p>
    <w:p w14:paraId="41D0DFF7" w14:textId="77777777" w:rsidR="00CD7374" w:rsidRPr="00CD7374" w:rsidRDefault="00CD7374" w:rsidP="006D4624">
      <w:pPr>
        <w:pStyle w:val="Headingb"/>
        <w:rPr>
          <w:lang w:val="ru-RU"/>
        </w:rPr>
      </w:pPr>
      <w:r w:rsidRPr="00CD7374">
        <w:rPr>
          <w:lang w:val="ru-RU" w:bidi="ru-RU"/>
        </w:rPr>
        <w:lastRenderedPageBreak/>
        <w:t>Введение</w:t>
      </w:r>
    </w:p>
    <w:p w14:paraId="052CDA94" w14:textId="4EB94900" w:rsidR="00CD7374" w:rsidRPr="00CD7374" w:rsidRDefault="00CD7374" w:rsidP="00CD7374">
      <w:pPr>
        <w:rPr>
          <w:lang w:val="ru-RU" w:bidi="ru-RU"/>
        </w:rPr>
      </w:pPr>
      <w:bookmarkStart w:id="8" w:name="_Hlk167178937"/>
      <w:bookmarkStart w:id="9" w:name="_Hlk167086984"/>
      <w:bookmarkStart w:id="10" w:name="_Hlk167087048"/>
      <w:r w:rsidRPr="00CD7374">
        <w:rPr>
          <w:lang w:val="ru-RU" w:bidi="ru-RU"/>
        </w:rPr>
        <w:t>Программа развития Организации Объединенных Наций (ПРООН) сообщила о региональных различиях в уровне цифровой грамотности женщин: в наименее развитых странах мужчины пользуются интернетом на 52% чаще чем женщины, в то время как во всем мире этот показатель составляет 21%. ПРООН также сообщает, что полноценное участие женщин и принятие ими решений в области инноваций, технологических изменений и цифровизации является необходимым условием для обеспечения трансформационного воздействия, что обеспечит достижение Целей в области устойчивого развития</w:t>
      </w:r>
      <w:r w:rsidRPr="00CD7374">
        <w:rPr>
          <w:rStyle w:val="FootnoteReference"/>
          <w:lang w:val="ru-RU"/>
        </w:rPr>
        <w:footnoteReference w:id="1"/>
      </w:r>
      <w:r w:rsidRPr="00CD7374">
        <w:rPr>
          <w:lang w:val="ru-RU"/>
        </w:rPr>
        <w:t>. В отчете МСЭ "Факты и цифры" за 2023 год</w:t>
      </w:r>
      <w:r w:rsidRPr="00CD7374">
        <w:rPr>
          <w:rStyle w:val="FootnoteReference"/>
          <w:lang w:val="ru-RU"/>
        </w:rPr>
        <w:footnoteReference w:id="2"/>
      </w:r>
      <w:r w:rsidRPr="00CD7374">
        <w:rPr>
          <w:lang w:val="ru-RU"/>
        </w:rPr>
        <w:t xml:space="preserve"> подчеркивается, что женщины по-прежнему составляют чрезмерно большую долю мирового населения, не имеющего доступа в интернет: их на 17% </w:t>
      </w:r>
      <w:proofErr w:type="gramStart"/>
      <w:r w:rsidRPr="00CD7374">
        <w:rPr>
          <w:lang w:val="ru-RU"/>
        </w:rPr>
        <w:t>больше</w:t>
      </w:r>
      <w:proofErr w:type="gramEnd"/>
      <w:r w:rsidRPr="00CD7374">
        <w:rPr>
          <w:lang w:val="ru-RU"/>
        </w:rPr>
        <w:t xml:space="preserve"> чем мужчин; при этом они владеют мобильным телефоном на 8% реже, чем мужчины.</w:t>
      </w:r>
    </w:p>
    <w:p w14:paraId="24CA1D0F" w14:textId="24359D81" w:rsidR="00CD7374" w:rsidRPr="00CD7374" w:rsidRDefault="00CD7374" w:rsidP="00CD7374">
      <w:pPr>
        <w:rPr>
          <w:lang w:val="ru-RU" w:bidi="ru-RU"/>
        </w:rPr>
      </w:pPr>
      <w:r w:rsidRPr="00CD7374">
        <w:rPr>
          <w:lang w:val="ru-RU" w:bidi="ru-RU"/>
        </w:rPr>
        <w:t xml:space="preserve">Технологии часто отражают состояние общества, в котором они создаются, развиваются и используются. Там, где сохраняется гендерное неравенство и дискриминация в отношении женщин и девушек, будут существовать и различия в доступе к технологиям электросвязи/ИКТ и их использовании. </w:t>
      </w:r>
      <w:bookmarkEnd w:id="8"/>
      <w:r w:rsidRPr="00CD7374">
        <w:rPr>
          <w:lang w:val="ru-RU" w:bidi="ru-RU"/>
        </w:rPr>
        <w:t>Недостаточная представленность женщин в сфере проектирования, разработки и использования технологий</w:t>
      </w:r>
      <w:r w:rsidRPr="00CD7374">
        <w:rPr>
          <w:rStyle w:val="FootnoteReference"/>
          <w:lang w:val="ru-RU"/>
        </w:rPr>
        <w:footnoteReference w:id="3"/>
      </w:r>
      <w:r w:rsidRPr="00CD7374">
        <w:rPr>
          <w:lang w:val="ru-RU"/>
        </w:rPr>
        <w:t xml:space="preserve"> вызывает серьезную обеспокоенность, учитывая все более важную роль, которую эти технологии играют во всех сферах жизни. Из-за этого пробела женщины лишены возможности доступа к технологиям и их использования, что может иметь серьезные последствия как для женщин, так и для общества в целом.</w:t>
      </w:r>
    </w:p>
    <w:bookmarkEnd w:id="9"/>
    <w:bookmarkEnd w:id="10"/>
    <w:p w14:paraId="78C99240" w14:textId="15FDD958" w:rsidR="00CD7374" w:rsidRPr="00CD7374" w:rsidRDefault="00CD7374" w:rsidP="00CD7374">
      <w:pPr>
        <w:rPr>
          <w:lang w:val="ru-RU"/>
        </w:rPr>
      </w:pPr>
      <w:r w:rsidRPr="00CD7374">
        <w:rPr>
          <w:lang w:val="ru-RU" w:bidi="ru-RU"/>
        </w:rPr>
        <w:t>Невозможно переоценить важность расширения участия женщин в технологической сфере и на руководящих позициях. Так, в Резолюции 70 (</w:t>
      </w:r>
      <w:proofErr w:type="spellStart"/>
      <w:r w:rsidRPr="00CD7374">
        <w:rPr>
          <w:lang w:val="ru-RU" w:bidi="ru-RU"/>
        </w:rPr>
        <w:t>Пересм</w:t>
      </w:r>
      <w:proofErr w:type="spellEnd"/>
      <w:r w:rsidRPr="00CD7374">
        <w:rPr>
          <w:lang w:val="ru-RU" w:bidi="ru-RU"/>
        </w:rPr>
        <w:t>. Бухарест, 2022) Полномочной конференции МСЭ Государствам-Членам и Членам Секторов предлагается "содействовать успешным стратегиям укрепления гендерного равенства на должностях высокого уровня в администрациях, государственных органах, регуляторных органах, межправительственных организациях, занимающихся вопросами электросвязи/ИКТ, в том числе в МСЭ и в частном секторе".</w:t>
      </w:r>
    </w:p>
    <w:p w14:paraId="67FC9E3A" w14:textId="77777777" w:rsidR="00CD7374" w:rsidRPr="00CD7374" w:rsidRDefault="00CD7374" w:rsidP="00CD7374">
      <w:pPr>
        <w:rPr>
          <w:lang w:val="ru-RU"/>
        </w:rPr>
      </w:pPr>
      <w:r w:rsidRPr="00CD7374">
        <w:rPr>
          <w:lang w:val="ru-RU" w:bidi="ru-RU"/>
        </w:rPr>
        <w:t xml:space="preserve">В настоящее время МСЭ решает некоторые из этих вопросов с помощью исследовательских комиссий и в рамках инициатив, включая "Сеть женщин". Однако важно, чтобы усилия Союза выходили за рамки развития чисто технических навыков и были направлены на обеспечение более глубокого понимания того, как поведение людей и культурные нормы пересекаются с технологиями. МСЭ подчеркнул эту необходимость в Документе </w:t>
      </w:r>
      <w:hyperlink r:id="rId10" w:history="1">
        <w:proofErr w:type="spellStart"/>
        <w:r w:rsidRPr="00CD7374">
          <w:rPr>
            <w:rStyle w:val="Hyperlink"/>
            <w:lang w:val="ru-RU" w:bidi="ru-RU"/>
          </w:rPr>
          <w:t>C24</w:t>
        </w:r>
        <w:proofErr w:type="spellEnd"/>
        <w:r w:rsidRPr="00CD7374">
          <w:rPr>
            <w:rStyle w:val="Hyperlink"/>
            <w:lang w:val="ru-RU" w:bidi="ru-RU"/>
          </w:rPr>
          <w:t>/6</w:t>
        </w:r>
      </w:hyperlink>
      <w:r w:rsidRPr="00CD7374">
        <w:rPr>
          <w:lang w:val="ru-RU" w:bidi="ru-RU"/>
        </w:rPr>
        <w:t>, в котором содержится просьба обеспечить "более согласованные усилия МСЭ и его Членов", чтобы усилить работу МСЭ по достижению гендерного равенства для более равного и открытого цифрового будущего для всех.</w:t>
      </w:r>
    </w:p>
    <w:p w14:paraId="614F165F" w14:textId="77777777" w:rsidR="00CD7374" w:rsidRPr="00CD7374" w:rsidRDefault="00CD7374" w:rsidP="00CD7374">
      <w:pPr>
        <w:rPr>
          <w:lang w:val="ru-RU"/>
        </w:rPr>
      </w:pPr>
      <w:bookmarkStart w:id="11" w:name="_Hlk167180143"/>
      <w:bookmarkStart w:id="12" w:name="_Hlk167180435"/>
      <w:r w:rsidRPr="00CD7374">
        <w:rPr>
          <w:lang w:val="ru-RU" w:bidi="ru-RU"/>
        </w:rPr>
        <w:t xml:space="preserve">Срочная необходимость решения проблемы недостаточной представленности женщин в сфере технологий и на руководящих должностях обусловлена необходимостью использования всего потенциала кадров, устремлений и инноваций. Это будет способствовать повышению многообразия и формированию </w:t>
      </w:r>
      <w:bookmarkEnd w:id="11"/>
      <w:r w:rsidRPr="00CD7374">
        <w:rPr>
          <w:lang w:val="ru-RU" w:bidi="ru-RU"/>
        </w:rPr>
        <w:t>более открытого для всех и успешного будущего, соответствующего постоянно изменяющейся технологической среде.</w:t>
      </w:r>
    </w:p>
    <w:p w14:paraId="321A2BA8" w14:textId="77777777" w:rsidR="00CD7374" w:rsidRPr="00CD7374" w:rsidRDefault="00CD7374" w:rsidP="006D4624">
      <w:pPr>
        <w:pStyle w:val="Headingb"/>
        <w:rPr>
          <w:lang w:val="ru-RU"/>
        </w:rPr>
      </w:pPr>
      <w:r w:rsidRPr="00CD7374">
        <w:rPr>
          <w:lang w:val="ru-RU" w:bidi="ru-RU"/>
        </w:rPr>
        <w:lastRenderedPageBreak/>
        <w:t>Предложение</w:t>
      </w:r>
    </w:p>
    <w:p w14:paraId="31098A26" w14:textId="77777777" w:rsidR="00CD7374" w:rsidRPr="00CD7374" w:rsidRDefault="00CD7374" w:rsidP="006D4624">
      <w:pPr>
        <w:keepNext/>
        <w:keepLines/>
        <w:rPr>
          <w:lang w:val="ru-RU"/>
        </w:rPr>
      </w:pPr>
      <w:bookmarkStart w:id="13" w:name="_Hlk167181967"/>
      <w:bookmarkEnd w:id="12"/>
      <w:r w:rsidRPr="00CD7374">
        <w:rPr>
          <w:lang w:val="ru-RU" w:bidi="ru-RU"/>
        </w:rPr>
        <w:t xml:space="preserve">Австралия признает наличие возможности для улучшения ситуации с поощрением многообразия среди тех, кто участвует в проектировании и разработке технологий, установлении и внедрении правил, формировании политики, принятии решений и получении доступа к технологиям. </w:t>
      </w:r>
      <w:bookmarkStart w:id="14" w:name="_Hlk166859743"/>
      <w:bookmarkEnd w:id="13"/>
      <w:r w:rsidRPr="00CD7374">
        <w:rPr>
          <w:lang w:val="ru-RU" w:bidi="ru-RU"/>
        </w:rPr>
        <w:t xml:space="preserve">Таким образом, </w:t>
      </w:r>
      <w:proofErr w:type="spellStart"/>
      <w:r w:rsidRPr="00CD7374">
        <w:rPr>
          <w:lang w:val="ru-RU" w:bidi="ru-RU"/>
        </w:rPr>
        <w:t>ВФПЭ</w:t>
      </w:r>
      <w:proofErr w:type="spellEnd"/>
      <w:r w:rsidRPr="00CD7374">
        <w:rPr>
          <w:lang w:val="ru-RU" w:bidi="ru-RU"/>
        </w:rPr>
        <w:t xml:space="preserve">-26 мог бы способствовать обсуждению этого политического вопроса с уделением основного внимания следующей теме: </w:t>
      </w:r>
    </w:p>
    <w:bookmarkEnd w:id="14"/>
    <w:p w14:paraId="56059D88" w14:textId="77777777" w:rsidR="00CD7374" w:rsidRPr="00CD7374" w:rsidRDefault="00CD7374" w:rsidP="00CD7374">
      <w:pPr>
        <w:rPr>
          <w:bCs/>
          <w:lang w:val="ru-RU"/>
        </w:rPr>
      </w:pPr>
      <w:r w:rsidRPr="00CD7374">
        <w:rPr>
          <w:bCs/>
          <w:lang w:val="ru-RU" w:bidi="ru-RU"/>
        </w:rPr>
        <w:t>"</w:t>
      </w:r>
      <w:r w:rsidRPr="00CD7374">
        <w:rPr>
          <w:b/>
          <w:lang w:val="ru-RU" w:bidi="ru-RU"/>
        </w:rPr>
        <w:t>Политика повышения уровня цифровых навыков, направленная на расширение многообразия, содействие гендерному равенству и расширение прав и возможностей женщин в области образования, развития навыков и среди работников сферы ИКТ, а также на поощрение различных взглядов на развитие технологий и их стандартов</w:t>
      </w:r>
      <w:r w:rsidRPr="00CD7374">
        <w:rPr>
          <w:bCs/>
          <w:lang w:val="ru-RU" w:bidi="ru-RU"/>
        </w:rPr>
        <w:t>".</w:t>
      </w:r>
    </w:p>
    <w:p w14:paraId="11FA2ED8" w14:textId="77777777" w:rsidR="002A6F9C" w:rsidRPr="00A54FAE" w:rsidRDefault="002A6F9C" w:rsidP="002A6F9C">
      <w:pPr>
        <w:spacing w:before="720"/>
        <w:jc w:val="center"/>
        <w:rPr>
          <w:lang w:val="ru-RU"/>
        </w:rPr>
      </w:pPr>
      <w:r w:rsidRPr="00A54FAE">
        <w:rPr>
          <w:lang w:val="ru-RU"/>
        </w:rPr>
        <w:t>______________</w:t>
      </w:r>
    </w:p>
    <w:sectPr w:rsidR="002A6F9C" w:rsidRPr="00A54FAE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87CF" w14:textId="77777777" w:rsidR="0047643F" w:rsidRDefault="0047643F">
      <w:r>
        <w:separator/>
      </w:r>
    </w:p>
  </w:endnote>
  <w:endnote w:type="continuationSeparator" w:id="0">
    <w:p w14:paraId="3FFE1E7C" w14:textId="77777777" w:rsidR="0047643F" w:rsidRDefault="0047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3D5A1B" w14:textId="77777777" w:rsidTr="00E31DCE">
      <w:trPr>
        <w:jc w:val="center"/>
      </w:trPr>
      <w:tc>
        <w:tcPr>
          <w:tcW w:w="1803" w:type="dxa"/>
          <w:vAlign w:val="center"/>
        </w:tcPr>
        <w:p w14:paraId="3D8DE184" w14:textId="27AD5F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7116431" w14:textId="2A37AB4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D7374">
            <w:rPr>
              <w:bCs/>
            </w:rPr>
            <w:t>76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B6A16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F68BF2" w14:textId="77777777" w:rsidTr="00E31DCE">
      <w:trPr>
        <w:jc w:val="center"/>
      </w:trPr>
      <w:tc>
        <w:tcPr>
          <w:tcW w:w="1803" w:type="dxa"/>
          <w:vAlign w:val="center"/>
        </w:tcPr>
        <w:p w14:paraId="29347DC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DC9EF84" w14:textId="2DC33B4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D7374">
            <w:rPr>
              <w:bCs/>
            </w:rPr>
            <w:t>76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399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083B" w14:textId="77777777" w:rsidR="0047643F" w:rsidRDefault="0047643F">
      <w:r>
        <w:t>____________________</w:t>
      </w:r>
    </w:p>
  </w:footnote>
  <w:footnote w:type="continuationSeparator" w:id="0">
    <w:p w14:paraId="60A88CE9" w14:textId="77777777" w:rsidR="0047643F" w:rsidRDefault="0047643F">
      <w:r>
        <w:continuationSeparator/>
      </w:r>
    </w:p>
  </w:footnote>
  <w:footnote w:id="1">
    <w:p w14:paraId="3079606B" w14:textId="1F91D93C" w:rsidR="00CD7374" w:rsidRPr="00FB6858" w:rsidRDefault="00CD7374" w:rsidP="006D4624">
      <w:pPr>
        <w:pStyle w:val="FootnoteText"/>
        <w:rPr>
          <w:lang w:val="en-US"/>
        </w:rPr>
      </w:pPr>
      <w:r w:rsidRPr="006D4624">
        <w:rPr>
          <w:rStyle w:val="FootnoteReference"/>
        </w:rPr>
        <w:footnoteRef/>
      </w:r>
      <w:r w:rsidRPr="00FB6858">
        <w:rPr>
          <w:lang w:val="en-US" w:bidi="ru-RU"/>
        </w:rPr>
        <w:tab/>
      </w:r>
      <w:r w:rsidRPr="007A3A90">
        <w:rPr>
          <w:lang w:val="ru-RU" w:bidi="ru-RU"/>
        </w:rPr>
        <w:t>ПРООН</w:t>
      </w:r>
      <w:r w:rsidRPr="00FB6858">
        <w:rPr>
          <w:lang w:val="en-US" w:bidi="ru-RU"/>
        </w:rPr>
        <w:t xml:space="preserve">, 2023 </w:t>
      </w:r>
      <w:r>
        <w:rPr>
          <w:lang w:val="ru-RU" w:bidi="ru-RU"/>
        </w:rPr>
        <w:t>г</w:t>
      </w:r>
      <w:r w:rsidR="006D4624">
        <w:rPr>
          <w:lang w:val="ru-RU" w:bidi="ru-RU"/>
        </w:rPr>
        <w:t>од</w:t>
      </w:r>
      <w:r w:rsidRPr="00FB6858">
        <w:rPr>
          <w:lang w:val="en-US" w:bidi="ru-RU"/>
        </w:rPr>
        <w:t xml:space="preserve">, </w:t>
      </w:r>
      <w:r w:rsidRPr="007A3A90">
        <w:rPr>
          <w:i/>
        </w:rPr>
        <w:t>Achieving</w:t>
      </w:r>
      <w:r w:rsidRPr="00FB6858">
        <w:rPr>
          <w:i/>
          <w:lang w:val="en-US"/>
        </w:rPr>
        <w:t xml:space="preserve"> </w:t>
      </w:r>
      <w:r w:rsidRPr="007A3A90">
        <w:rPr>
          <w:i/>
        </w:rPr>
        <w:t>gender</w:t>
      </w:r>
      <w:r w:rsidRPr="00FB6858">
        <w:rPr>
          <w:i/>
          <w:lang w:val="en-US"/>
        </w:rPr>
        <w:t xml:space="preserve"> </w:t>
      </w:r>
      <w:r w:rsidRPr="007A3A90">
        <w:rPr>
          <w:i/>
        </w:rPr>
        <w:t>equality</w:t>
      </w:r>
      <w:r w:rsidRPr="00FB6858">
        <w:rPr>
          <w:lang w:val="en-US" w:bidi="ru-RU"/>
        </w:rPr>
        <w:t xml:space="preserve">: </w:t>
      </w:r>
      <w:r w:rsidR="006D4624">
        <w:rPr>
          <w:lang w:val="en-US" w:bidi="ru-RU"/>
        </w:rPr>
        <w:br/>
      </w:r>
      <w:hyperlink r:id="rId1" w:history="1">
        <w:r w:rsidR="006D4624" w:rsidRPr="00B33332">
          <w:rPr>
            <w:rStyle w:val="Hyperlink"/>
          </w:rPr>
          <w:t>https://www.undp.org/stories/bridging-gender-digital-di</w:t>
        </w:r>
        <w:r w:rsidR="006D4624" w:rsidRPr="00B33332">
          <w:rPr>
            <w:rStyle w:val="Hyperlink"/>
          </w:rPr>
          <w:t>v</w:t>
        </w:r>
        <w:r w:rsidR="006D4624" w:rsidRPr="00B33332">
          <w:rPr>
            <w:rStyle w:val="Hyperlink"/>
          </w:rPr>
          <w:t>ide-way-out-crisis</w:t>
        </w:r>
      </w:hyperlink>
      <w:r w:rsidRPr="00FB6858">
        <w:rPr>
          <w:lang w:val="en-US" w:bidi="ru-RU"/>
        </w:rPr>
        <w:t>.</w:t>
      </w:r>
    </w:p>
  </w:footnote>
  <w:footnote w:id="2">
    <w:p w14:paraId="3B74C5EF" w14:textId="06ABE67B" w:rsidR="00CD7374" w:rsidRPr="006D4624" w:rsidRDefault="00CD7374" w:rsidP="006D4624">
      <w:pPr>
        <w:pStyle w:val="FootnoteText"/>
        <w:rPr>
          <w:lang w:val="ru-RU"/>
        </w:rPr>
      </w:pPr>
      <w:r w:rsidRPr="006D4624">
        <w:rPr>
          <w:rStyle w:val="FootnoteReference"/>
        </w:rPr>
        <w:footnoteRef/>
      </w:r>
      <w:r w:rsidRPr="007A3A90">
        <w:rPr>
          <w:lang w:val="ru-RU" w:bidi="ru-RU"/>
        </w:rPr>
        <w:tab/>
        <w:t xml:space="preserve">МСЭ, "Факты и цифры" за 2023 год: </w:t>
      </w:r>
      <w:r w:rsidR="006D4624">
        <w:rPr>
          <w:lang w:val="ru-RU" w:bidi="ru-RU"/>
        </w:rPr>
        <w:br/>
      </w:r>
      <w:hyperlink r:id="rId2" w:history="1">
        <w:r w:rsidR="006D4624" w:rsidRPr="0028019E">
          <w:rPr>
            <w:rStyle w:val="Hyperlink"/>
            <w:lang w:val="ru-RU" w:bidi="ru-RU"/>
          </w:rPr>
          <w:t>https://www.</w:t>
        </w:r>
        <w:r w:rsidR="006D4624" w:rsidRPr="0028019E">
          <w:rPr>
            <w:rStyle w:val="Hyperlink"/>
            <w:lang w:val="ru-RU" w:bidi="ru-RU"/>
          </w:rPr>
          <w:t>i</w:t>
        </w:r>
        <w:r w:rsidR="006D4624" w:rsidRPr="0028019E">
          <w:rPr>
            <w:rStyle w:val="Hyperlink"/>
            <w:lang w:val="ru-RU" w:bidi="ru-RU"/>
          </w:rPr>
          <w:t>tu.int/itu-d/reports/statistics/facts-figures-2023/</w:t>
        </w:r>
      </w:hyperlink>
      <w:r w:rsidR="006D4624" w:rsidRPr="006D4624">
        <w:rPr>
          <w:lang w:val="ru-RU" w:bidi="ru-RU"/>
        </w:rPr>
        <w:t>.</w:t>
      </w:r>
    </w:p>
  </w:footnote>
  <w:footnote w:id="3">
    <w:p w14:paraId="09DA2C3B" w14:textId="5DD32D80" w:rsidR="00CD7374" w:rsidRPr="009774E6" w:rsidRDefault="00CD7374" w:rsidP="006D4624">
      <w:pPr>
        <w:pStyle w:val="FootnoteText"/>
        <w:rPr>
          <w:lang w:val="en-US"/>
        </w:rPr>
      </w:pPr>
      <w:r w:rsidRPr="006D4624">
        <w:rPr>
          <w:rStyle w:val="FootnoteReference"/>
        </w:rPr>
        <w:footnoteRef/>
      </w:r>
      <w:r w:rsidRPr="001314B4">
        <w:rPr>
          <w:lang w:val="en-US" w:bidi="ru-RU"/>
        </w:rPr>
        <w:tab/>
        <w:t>"</w:t>
      </w:r>
      <w:r w:rsidRPr="007A3A90">
        <w:rPr>
          <w:lang w:val="ru-RU" w:bidi="ru-RU"/>
        </w:rPr>
        <w:t>ООН</w:t>
      </w:r>
      <w:r w:rsidRPr="001314B4">
        <w:rPr>
          <w:lang w:val="en-US" w:bidi="ru-RU"/>
        </w:rPr>
        <w:t>-</w:t>
      </w:r>
      <w:r w:rsidRPr="007A3A90">
        <w:rPr>
          <w:lang w:val="ru-RU" w:bidi="ru-RU"/>
        </w:rPr>
        <w:t>женщины</w:t>
      </w:r>
      <w:r w:rsidRPr="001314B4">
        <w:rPr>
          <w:lang w:val="en-US" w:bidi="ru-RU"/>
        </w:rPr>
        <w:t>", 2023</w:t>
      </w:r>
      <w:r>
        <w:rPr>
          <w:lang w:val="en-US" w:bidi="ru-RU"/>
        </w:rPr>
        <w:t xml:space="preserve"> </w:t>
      </w:r>
      <w:r>
        <w:rPr>
          <w:lang w:val="ru-RU" w:bidi="ru-RU"/>
        </w:rPr>
        <w:t>г</w:t>
      </w:r>
      <w:r w:rsidR="006D4624">
        <w:rPr>
          <w:lang w:val="ru-RU" w:bidi="ru-RU"/>
        </w:rPr>
        <w:t>од</w:t>
      </w:r>
      <w:r w:rsidRPr="00B8551E">
        <w:rPr>
          <w:lang w:val="en-US" w:bidi="ru-RU"/>
        </w:rPr>
        <w:t>:</w:t>
      </w:r>
      <w:r w:rsidRPr="001314B4">
        <w:rPr>
          <w:lang w:val="en-US" w:bidi="ru-RU"/>
        </w:rPr>
        <w:t xml:space="preserve"> </w:t>
      </w:r>
      <w:r w:rsidR="006D4624">
        <w:rPr>
          <w:lang w:val="en-US" w:bidi="ru-RU"/>
        </w:rPr>
        <w:br/>
      </w:r>
      <w:hyperlink r:id="rId3" w:history="1">
        <w:r w:rsidRPr="001314B4">
          <w:rPr>
            <w:rStyle w:val="Hyperlink"/>
            <w:lang w:val="en-US" w:bidi="ru-RU"/>
          </w:rPr>
          <w:t>Power on: How we can superc</w:t>
        </w:r>
        <w:r w:rsidRPr="001314B4">
          <w:rPr>
            <w:rStyle w:val="Hyperlink"/>
            <w:lang w:val="en-US" w:bidi="ru-RU"/>
          </w:rPr>
          <w:t>h</w:t>
        </w:r>
        <w:r w:rsidRPr="001314B4">
          <w:rPr>
            <w:rStyle w:val="Hyperlink"/>
            <w:lang w:val="en-US" w:bidi="ru-RU"/>
          </w:rPr>
          <w:t>arge an equitable digital future</w:t>
        </w:r>
      </w:hyperlink>
      <w:r w:rsidRPr="001314B4">
        <w:rPr>
          <w:lang w:val="en-US"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BA92B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C2F200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1F8B4A73" wp14:editId="3DB3EB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CA9C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D7453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863B9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53F311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C4FCC" wp14:editId="1C9E20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5B6A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149204526">
    <w:abstractNumId w:val="1"/>
  </w:num>
  <w:num w:numId="3" w16cid:durableId="1774015402">
    <w:abstractNumId w:val="3"/>
  </w:num>
  <w:num w:numId="4" w16cid:durableId="1084642363">
    <w:abstractNumId w:val="2"/>
  </w:num>
  <w:num w:numId="5" w16cid:durableId="1325166133">
    <w:abstractNumId w:val="5"/>
  </w:num>
  <w:num w:numId="6" w16cid:durableId="310643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2501"/>
    <w:rsid w:val="00005BE0"/>
    <w:rsid w:val="0002183E"/>
    <w:rsid w:val="000569B4"/>
    <w:rsid w:val="00080E82"/>
    <w:rsid w:val="000B2DE7"/>
    <w:rsid w:val="000E04A0"/>
    <w:rsid w:val="000E568E"/>
    <w:rsid w:val="00142927"/>
    <w:rsid w:val="0014734F"/>
    <w:rsid w:val="0015710D"/>
    <w:rsid w:val="00163A32"/>
    <w:rsid w:val="00165D06"/>
    <w:rsid w:val="00192B41"/>
    <w:rsid w:val="001B7B09"/>
    <w:rsid w:val="001E6719"/>
    <w:rsid w:val="001E7F50"/>
    <w:rsid w:val="00223054"/>
    <w:rsid w:val="00225368"/>
    <w:rsid w:val="00227FF0"/>
    <w:rsid w:val="00291EB6"/>
    <w:rsid w:val="002A6F9C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7643F"/>
    <w:rsid w:val="004918C4"/>
    <w:rsid w:val="00497703"/>
    <w:rsid w:val="004A0374"/>
    <w:rsid w:val="004A45B5"/>
    <w:rsid w:val="004D0129"/>
    <w:rsid w:val="004F6A06"/>
    <w:rsid w:val="005A64D5"/>
    <w:rsid w:val="005B3DEC"/>
    <w:rsid w:val="00601994"/>
    <w:rsid w:val="00660449"/>
    <w:rsid w:val="00672F8A"/>
    <w:rsid w:val="006D4624"/>
    <w:rsid w:val="006E2D42"/>
    <w:rsid w:val="00703333"/>
    <w:rsid w:val="00703676"/>
    <w:rsid w:val="00707304"/>
    <w:rsid w:val="00732269"/>
    <w:rsid w:val="00742F66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48E7"/>
    <w:rsid w:val="008F7C2C"/>
    <w:rsid w:val="00915250"/>
    <w:rsid w:val="00940E96"/>
    <w:rsid w:val="009B0BAE"/>
    <w:rsid w:val="009C1C89"/>
    <w:rsid w:val="009D25B7"/>
    <w:rsid w:val="009F3448"/>
    <w:rsid w:val="00A01CF9"/>
    <w:rsid w:val="00A54FAE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C6EEC"/>
    <w:rsid w:val="00CD2009"/>
    <w:rsid w:val="00CD7374"/>
    <w:rsid w:val="00CE6EFD"/>
    <w:rsid w:val="00CF629C"/>
    <w:rsid w:val="00D47FFA"/>
    <w:rsid w:val="00D92EEA"/>
    <w:rsid w:val="00DA5D4E"/>
    <w:rsid w:val="00E0485C"/>
    <w:rsid w:val="00E176BA"/>
    <w:rsid w:val="00E423EC"/>
    <w:rsid w:val="00E477A1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semiHidden/>
    <w:unhideWhenUsed/>
    <w:rsid w:val="00CD7374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7374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06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05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0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02-R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t&amp;rct=j&amp;q=&amp;esrc=s&amp;source=web&amp;cd=&amp;cad=rja&amp;uact=8&amp;ved=2ahUKEwiT0bSVy52GAxWjxjgGHV9KDr0QFnoECBAQAQ&amp;url=https%3A%2F%2Fwww.unwomen.org%2Fen%2Fnews-stories%2Fexplainer%2F2023%2F02%2Fpower-on-how-we-can-supercharge-an-equitable-digital-future&amp;usg=AOvVaw1d6Lsb3W62g4-TAgIwxYkh&amp;opi=89978449" TargetMode="External"/><Relationship Id="rId2" Type="http://schemas.openxmlformats.org/officeDocument/2006/relationships/hyperlink" Target="https://www.itu.int/itu-d/reports/statistics/facts-figures-2023/" TargetMode="External"/><Relationship Id="rId1" Type="http://schemas.openxmlformats.org/officeDocument/2006/relationships/hyperlink" Target="https://www.undp.org/stories/bridging-gender-digital-divide-way-out-cris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61</TotalTime>
  <Pages>3</Pages>
  <Words>667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6</cp:revision>
  <cp:lastPrinted>2006-03-28T16:12:00Z</cp:lastPrinted>
  <dcterms:created xsi:type="dcterms:W3CDTF">2024-05-28T07:03:00Z</dcterms:created>
  <dcterms:modified xsi:type="dcterms:W3CDTF">2024-05-28T08:16:00Z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