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1507A85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B64595" w:rsidRPr="00B64595">
              <w:rPr>
                <w:rFonts w:cstheme="minorHAnsi"/>
                <w:b/>
                <w:bCs/>
                <w:lang w:val="ru-RU"/>
              </w:rPr>
              <w:t>PL 2</w:t>
            </w:r>
          </w:p>
        </w:tc>
        <w:tc>
          <w:tcPr>
            <w:tcW w:w="5245" w:type="dxa"/>
          </w:tcPr>
          <w:p w14:paraId="5BFD5B79" w14:textId="75AFDB5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460A41">
              <w:rPr>
                <w:b/>
                <w:lang w:val="fr-CH"/>
              </w:rPr>
              <w:t>85</w:t>
            </w:r>
            <w:r w:rsidR="00237370">
              <w:rPr>
                <w:b/>
                <w:lang w:val="fr-CH"/>
              </w:rPr>
              <w:t>(Rev.1)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44774F3E" w:rsidR="00E24D59" w:rsidRPr="00E85629" w:rsidRDefault="00B64595" w:rsidP="00E31DCE">
            <w:pPr>
              <w:tabs>
                <w:tab w:val="left" w:pos="851"/>
              </w:tabs>
              <w:spacing w:before="0"/>
              <w:jc w:val="right"/>
              <w:rPr>
                <w:b/>
              </w:rPr>
            </w:pPr>
            <w:r w:rsidRPr="00B64595">
              <w:rPr>
                <w:rFonts w:hint="eastAsia"/>
                <w:b/>
              </w:rPr>
              <w:t>2024</w:t>
            </w:r>
            <w:r w:rsidRPr="00B64595">
              <w:rPr>
                <w:rFonts w:hint="eastAsia"/>
                <w:b/>
              </w:rPr>
              <w:t>年</w:t>
            </w:r>
            <w:r w:rsidR="00237370">
              <w:rPr>
                <w:b/>
              </w:rPr>
              <w:t>6</w:t>
            </w:r>
            <w:r w:rsidRPr="00B64595">
              <w:rPr>
                <w:rFonts w:hint="eastAsia"/>
                <w:b/>
              </w:rPr>
              <w:t>月</w:t>
            </w:r>
            <w:r w:rsidR="00237370">
              <w:rPr>
                <w:b/>
              </w:rPr>
              <w:t>10</w:t>
            </w:r>
            <w:r w:rsidRPr="00B64595">
              <w:rPr>
                <w:rFonts w:hint="eastAsia"/>
                <w:b/>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7166E0C7"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45506">
              <w:rPr>
                <w:rFonts w:cstheme="minorHAnsi" w:hint="eastAsia"/>
                <w:b/>
                <w:bCs/>
                <w:lang w:val="en-US" w:eastAsia="zh-CN"/>
              </w:rPr>
              <w:t>中</w:t>
            </w:r>
            <w:r w:rsidR="00452737">
              <w:rPr>
                <w:rFonts w:cstheme="minorHAnsi" w:hint="eastAsia"/>
                <w:b/>
                <w:bCs/>
                <w:lang w:val="ru-RU" w:eastAsia="zh-CN"/>
              </w:rPr>
              <w:t>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7C369D01" w:rsidR="00E24D59" w:rsidRPr="00E24D59" w:rsidRDefault="00460A41" w:rsidP="00E24D59">
            <w:pPr>
              <w:pStyle w:val="Source"/>
              <w:jc w:val="left"/>
              <w:rPr>
                <w:sz w:val="34"/>
                <w:szCs w:val="34"/>
                <w:lang w:eastAsia="zh-CN"/>
              </w:rPr>
            </w:pPr>
            <w:bookmarkStart w:id="5" w:name="dsource" w:colFirst="0" w:colLast="0"/>
            <w:bookmarkEnd w:id="4"/>
            <w:r>
              <w:rPr>
                <w:rFonts w:cstheme="minorHAnsi" w:hint="eastAsia"/>
                <w:sz w:val="34"/>
                <w:szCs w:val="34"/>
                <w:lang w:val="ru-RU" w:eastAsia="zh-CN"/>
              </w:rPr>
              <w:t>中华人民共和国</w:t>
            </w:r>
            <w:r w:rsidR="00237370">
              <w:rPr>
                <w:rFonts w:cstheme="minorHAnsi" w:hint="eastAsia"/>
                <w:sz w:val="34"/>
                <w:szCs w:val="34"/>
                <w:lang w:val="ru-RU" w:eastAsia="zh-CN"/>
              </w:rPr>
              <w:t>、巴西（联邦共和国）、古巴、俄罗斯联邦和巴基斯坦（伊斯兰共和国）</w:t>
            </w:r>
            <w:r>
              <w:rPr>
                <w:rFonts w:cstheme="minorHAnsi" w:hint="eastAsia"/>
                <w:sz w:val="34"/>
                <w:szCs w:val="34"/>
                <w:lang w:val="ru-RU" w:eastAsia="zh-CN"/>
              </w:rPr>
              <w:t>的文稿</w:t>
            </w:r>
          </w:p>
        </w:tc>
      </w:tr>
      <w:tr w:rsidR="00E24D59" w:rsidRPr="00813E5E" w14:paraId="0A607CA0" w14:textId="77777777" w:rsidTr="00E31DCE">
        <w:trPr>
          <w:cantSplit/>
        </w:trPr>
        <w:tc>
          <w:tcPr>
            <w:tcW w:w="9214" w:type="dxa"/>
            <w:gridSpan w:val="2"/>
            <w:tcMar>
              <w:left w:w="0" w:type="dxa"/>
            </w:tcMar>
          </w:tcPr>
          <w:p w14:paraId="61A82356" w14:textId="610B046E" w:rsidR="00E24D59" w:rsidRPr="00E24D59" w:rsidRDefault="00460A41" w:rsidP="00E31DCE">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hint="eastAsia"/>
                <w:lang w:val="en-US" w:eastAsia="zh-CN"/>
              </w:rPr>
              <w:t>关于在理事会下成立人工智能工作组的建议</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63DC5DC2"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54D6A0BF" w:rsidR="008F64AD" w:rsidRPr="008F64AD" w:rsidRDefault="00460A41" w:rsidP="002E2547">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460A41">
              <w:rPr>
                <w:rFonts w:asciiTheme="minorHAnsi" w:eastAsiaTheme="minorEastAsia" w:hAnsiTheme="minorHAnsi" w:cstheme="minorHAnsi" w:hint="eastAsia"/>
                <w:sz w:val="24"/>
                <w:szCs w:val="24"/>
                <w:lang w:eastAsia="zh-CN"/>
              </w:rPr>
              <w:t>本文件建议在理事会下成立人工智能工作组。</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0148D80F" w14:textId="382AF69B" w:rsidR="008F64AD" w:rsidRPr="00FC66DD" w:rsidRDefault="00460A41" w:rsidP="00460A41">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460A41">
              <w:rPr>
                <w:rFonts w:asciiTheme="minorHAnsi" w:eastAsiaTheme="minorEastAsia" w:hAnsiTheme="minorHAnsi" w:cstheme="minorHAnsi" w:hint="eastAsia"/>
                <w:sz w:val="24"/>
                <w:szCs w:val="24"/>
                <w:lang w:eastAsia="zh-CN"/>
              </w:rPr>
              <w:t>请理事会讨论成立人工智能工作组的必要性和可行性，并采取适当行动。</w:t>
            </w:r>
          </w:p>
          <w:p w14:paraId="459BB193" w14:textId="77777777" w:rsidR="008922DB" w:rsidRDefault="008922DB" w:rsidP="008922DB">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24520147" w14:textId="4055AD82" w:rsidR="00460A41" w:rsidRPr="009F7F4B" w:rsidRDefault="009F7F4B" w:rsidP="00460A41">
            <w:pPr>
              <w:tabs>
                <w:tab w:val="left" w:pos="900"/>
              </w:tabs>
              <w:spacing w:before="60" w:after="60"/>
              <w:jc w:val="both"/>
              <w:rPr>
                <w:rFonts w:eastAsia="STKaiti" w:cs="Calibri"/>
                <w:bCs/>
                <w:i/>
                <w:iCs/>
                <w:szCs w:val="24"/>
                <w:lang w:val="en-US" w:eastAsia="zh-CN"/>
              </w:rPr>
            </w:pPr>
            <w:r w:rsidRPr="009F7F4B">
              <w:rPr>
                <w:rFonts w:eastAsia="STKaiti" w:cs="Calibri"/>
                <w:bCs/>
                <w:szCs w:val="24"/>
                <w:lang w:eastAsia="zh-CN"/>
              </w:rPr>
              <w:t>全权代表大会</w:t>
            </w:r>
            <w:r w:rsidR="00F615D2">
              <w:fldChar w:fldCharType="begin"/>
            </w:r>
            <w:r w:rsidR="00F615D2">
              <w:rPr>
                <w:lang w:eastAsia="zh-CN"/>
              </w:rPr>
              <w:instrText>HYPERLINK "https://www.itu.int/en/council/Documents/basic-texts-2023/RES-214-C.pdf"</w:instrText>
            </w:r>
            <w:r w:rsidR="00F615D2">
              <w:fldChar w:fldCharType="separate"/>
            </w:r>
            <w:r w:rsidRPr="009F7F4B">
              <w:rPr>
                <w:rStyle w:val="Hyperlink"/>
                <w:rFonts w:eastAsia="STKaiti" w:cs="Calibri"/>
                <w:bCs/>
                <w:szCs w:val="24"/>
                <w:lang w:eastAsia="zh-CN"/>
              </w:rPr>
              <w:t>第</w:t>
            </w:r>
            <w:r w:rsidRPr="009F7F4B">
              <w:rPr>
                <w:rStyle w:val="Hyperlink"/>
                <w:rFonts w:eastAsia="STKaiti" w:cs="Calibri"/>
                <w:bCs/>
                <w:szCs w:val="24"/>
                <w:lang w:eastAsia="zh-CN"/>
              </w:rPr>
              <w:t>214</w:t>
            </w:r>
            <w:r w:rsidRPr="009F7F4B">
              <w:rPr>
                <w:rStyle w:val="Hyperlink"/>
                <w:rFonts w:eastAsia="STKaiti" w:cs="Calibri"/>
                <w:bCs/>
                <w:szCs w:val="24"/>
                <w:lang w:eastAsia="zh-CN"/>
              </w:rPr>
              <w:t>号决议（</w:t>
            </w:r>
            <w:r w:rsidRPr="009F7F4B">
              <w:rPr>
                <w:rStyle w:val="Hyperlink"/>
                <w:rFonts w:eastAsia="STKaiti" w:cs="Calibri"/>
                <w:bCs/>
                <w:szCs w:val="24"/>
                <w:lang w:eastAsia="zh-CN"/>
              </w:rPr>
              <w:t>2022</w:t>
            </w:r>
            <w:r w:rsidRPr="009F7F4B">
              <w:rPr>
                <w:rStyle w:val="Hyperlink"/>
                <w:rFonts w:eastAsia="STKaiti" w:cs="Calibri"/>
                <w:bCs/>
                <w:szCs w:val="24"/>
                <w:lang w:eastAsia="zh-CN"/>
              </w:rPr>
              <w:t>年，布加勒斯特，修订版）</w:t>
            </w:r>
            <w:r w:rsidR="00F615D2">
              <w:rPr>
                <w:rStyle w:val="Hyperlink"/>
                <w:rFonts w:eastAsia="STKaiti" w:cs="Calibri"/>
                <w:bCs/>
                <w:szCs w:val="24"/>
                <w:lang w:eastAsia="zh-CN"/>
              </w:rPr>
              <w:fldChar w:fldCharType="end"/>
            </w:r>
            <w:r w:rsidRPr="009F7F4B">
              <w:rPr>
                <w:rFonts w:eastAsia="STKaiti" w:cs="Calibri"/>
                <w:bCs/>
                <w:szCs w:val="24"/>
                <w:lang w:eastAsia="zh-CN"/>
              </w:rPr>
              <w:t>；</w:t>
            </w:r>
            <w:r w:rsidRPr="009F7F4B">
              <w:rPr>
                <w:rFonts w:eastAsia="STKaiti" w:cs="Calibri"/>
                <w:szCs w:val="24"/>
                <w:lang w:eastAsia="zh-CN"/>
              </w:rPr>
              <w:t>理事会</w:t>
            </w:r>
            <w:r w:rsidR="00F615D2">
              <w:fldChar w:fldCharType="begin"/>
            </w:r>
            <w:r w:rsidR="00F615D2">
              <w:rPr>
                <w:lang w:eastAsia="zh-CN"/>
              </w:rPr>
              <w:instrText>HYPERLINK "https://www.itu.int/md/S24-CL-C-0067/en"</w:instrText>
            </w:r>
            <w:r w:rsidR="00F615D2">
              <w:fldChar w:fldCharType="separate"/>
            </w:r>
            <w:r w:rsidRPr="009F7F4B">
              <w:rPr>
                <w:rStyle w:val="Hyperlink"/>
                <w:rFonts w:eastAsia="STKaiti" w:cs="Calibri"/>
                <w:bCs/>
                <w:szCs w:val="24"/>
                <w:lang w:eastAsia="zh-CN"/>
              </w:rPr>
              <w:t>C24/67</w:t>
            </w:r>
            <w:r w:rsidR="00F615D2">
              <w:rPr>
                <w:rStyle w:val="Hyperlink"/>
                <w:rFonts w:eastAsia="STKaiti" w:cs="Calibri"/>
                <w:bCs/>
                <w:szCs w:val="24"/>
                <w:lang w:eastAsia="zh-CN"/>
              </w:rPr>
              <w:fldChar w:fldCharType="end"/>
            </w:r>
            <w:r w:rsidRPr="009F7F4B">
              <w:rPr>
                <w:rFonts w:eastAsia="STKaiti" w:cs="Calibri"/>
                <w:bCs/>
                <w:szCs w:val="24"/>
                <w:lang w:val="en-US" w:eastAsia="zh-CN"/>
              </w:rPr>
              <w:t>、</w:t>
            </w:r>
            <w:r w:rsidR="00F615D2">
              <w:fldChar w:fldCharType="begin"/>
            </w:r>
            <w:r w:rsidR="00F615D2">
              <w:rPr>
                <w:lang w:eastAsia="zh-CN"/>
              </w:rPr>
              <w:instrText>HYPERLINK "https://www.itu.int/md/S24-CL-INF-0015/en"</w:instrText>
            </w:r>
            <w:r w:rsidR="00F615D2">
              <w:fldChar w:fldCharType="separate"/>
            </w:r>
            <w:r w:rsidRPr="009F7F4B">
              <w:rPr>
                <w:rStyle w:val="Hyperlink"/>
                <w:rFonts w:eastAsia="STKaiti" w:cs="Calibri"/>
                <w:bCs/>
                <w:szCs w:val="24"/>
                <w:lang w:eastAsia="zh-CN"/>
              </w:rPr>
              <w:t>C24/INF/15</w:t>
            </w:r>
            <w:r w:rsidR="00F615D2">
              <w:rPr>
                <w:rStyle w:val="Hyperlink"/>
                <w:rFonts w:eastAsia="STKaiti" w:cs="Calibri"/>
                <w:bCs/>
                <w:szCs w:val="24"/>
                <w:lang w:eastAsia="zh-CN"/>
              </w:rPr>
              <w:fldChar w:fldCharType="end"/>
            </w:r>
            <w:r w:rsidRPr="009F7F4B">
              <w:rPr>
                <w:rFonts w:eastAsia="STKaiti" w:cs="Calibri"/>
                <w:bCs/>
                <w:szCs w:val="24"/>
                <w:lang w:eastAsia="zh-CN"/>
              </w:rPr>
              <w:t>、</w:t>
            </w:r>
            <w:r w:rsidR="00F615D2">
              <w:fldChar w:fldCharType="begin"/>
            </w:r>
            <w:r w:rsidR="00F615D2">
              <w:rPr>
                <w:lang w:eastAsia="zh-CN"/>
              </w:rPr>
              <w:instrText>HYPERLINK "https://undocs.org/Home/Mobile?FinalSymbol=A%2F78%2FL.49&amp;Language=E&amp;DeviceType=Desktop&amp;LangRequested=False"</w:instrText>
            </w:r>
            <w:r w:rsidR="00F615D2">
              <w:fldChar w:fldCharType="separate"/>
            </w:r>
            <w:r w:rsidRPr="009F7F4B">
              <w:rPr>
                <w:rStyle w:val="Hyperlink"/>
                <w:rFonts w:eastAsia="STKaiti" w:cs="Calibri"/>
                <w:bCs/>
                <w:szCs w:val="24"/>
                <w:lang w:val="en-US" w:eastAsia="zh-CN"/>
              </w:rPr>
              <w:t xml:space="preserve">UN </w:t>
            </w:r>
            <w:r w:rsidRPr="009F7F4B">
              <w:rPr>
                <w:rStyle w:val="Hyperlink"/>
                <w:rFonts w:eastAsia="STKaiti" w:cs="Calibri"/>
                <w:szCs w:val="24"/>
                <w:shd w:val="clear" w:color="auto" w:fill="FFFFFF"/>
                <w:lang w:eastAsia="zh-CN"/>
              </w:rPr>
              <w:t>A/78/L.49</w:t>
            </w:r>
            <w:r w:rsidR="00F615D2">
              <w:rPr>
                <w:rStyle w:val="Hyperlink"/>
                <w:rFonts w:eastAsia="STKaiti" w:cs="Calibri"/>
                <w:szCs w:val="24"/>
                <w:shd w:val="clear" w:color="auto" w:fill="FFFFFF"/>
                <w:lang w:eastAsia="zh-CN"/>
              </w:rPr>
              <w:fldChar w:fldCharType="end"/>
            </w:r>
            <w:r w:rsidR="00D20FD5" w:rsidRPr="00D20FD5">
              <w:rPr>
                <w:rFonts w:ascii="STKaiti" w:eastAsia="STKaiti" w:hAnsi="STKaiti"/>
                <w:lang w:eastAsia="zh-CN"/>
              </w:rPr>
              <w:t>号</w:t>
            </w:r>
            <w:r w:rsidRPr="009F7F4B">
              <w:rPr>
                <w:rFonts w:eastAsia="STKaiti" w:cs="Calibri"/>
                <w:szCs w:val="24"/>
                <w:lang w:eastAsia="zh-CN"/>
              </w:rPr>
              <w:t>文件</w:t>
            </w:r>
          </w:p>
          <w:p w14:paraId="10B87927" w14:textId="3AFCD62A" w:rsidR="00E24D59" w:rsidRPr="00460A41" w:rsidRDefault="00E24D59" w:rsidP="002E2547">
            <w:pPr>
              <w:pStyle w:val="enumlev1"/>
              <w:rPr>
                <w:lang w:val="en-US" w:eastAsia="zh-CN"/>
              </w:rPr>
            </w:pPr>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004AFAC" w14:textId="77777777" w:rsidR="00460A41" w:rsidRPr="00460A41" w:rsidRDefault="00460A41" w:rsidP="00460A41">
      <w:pPr>
        <w:pStyle w:val="Heading1"/>
        <w:rPr>
          <w:lang w:eastAsia="zh-CN"/>
        </w:rPr>
      </w:pPr>
      <w:r>
        <w:rPr>
          <w:rFonts w:hint="eastAsia"/>
          <w:lang w:val="en-US" w:eastAsia="zh-CN"/>
        </w:rPr>
        <w:lastRenderedPageBreak/>
        <w:t>1</w:t>
      </w:r>
      <w:r>
        <w:rPr>
          <w:lang w:val="en-US" w:eastAsia="zh-CN"/>
        </w:rPr>
        <w:tab/>
      </w:r>
      <w:r>
        <w:rPr>
          <w:rFonts w:hint="eastAsia"/>
          <w:lang w:val="en-US" w:eastAsia="zh-CN"/>
        </w:rPr>
        <w:t>背景</w:t>
      </w:r>
    </w:p>
    <w:p w14:paraId="3ED42251" w14:textId="77777777" w:rsidR="00460A41" w:rsidRDefault="00460A41" w:rsidP="00460A41">
      <w:pPr>
        <w:ind w:firstLineChars="200" w:firstLine="480"/>
        <w:rPr>
          <w:lang w:val="en-US" w:eastAsia="zh-CN"/>
        </w:rPr>
      </w:pPr>
      <w:r>
        <w:rPr>
          <w:rFonts w:hint="eastAsia"/>
          <w:lang w:val="en-US" w:eastAsia="zh-CN"/>
        </w:rPr>
        <w:t>人工智能技术在推进数字化转型和加速《</w:t>
      </w:r>
      <w:r>
        <w:rPr>
          <w:rFonts w:hint="eastAsia"/>
          <w:lang w:val="en-US" w:eastAsia="zh-CN"/>
        </w:rPr>
        <w:t>2030</w:t>
      </w:r>
      <w:r>
        <w:rPr>
          <w:rFonts w:hint="eastAsia"/>
          <w:lang w:val="en-US" w:eastAsia="zh-CN"/>
        </w:rPr>
        <w:t>年可持续发展议程》方面具有重大潜力。</w:t>
      </w:r>
      <w:r>
        <w:rPr>
          <w:rFonts w:hint="eastAsia"/>
          <w:lang w:val="en-US" w:eastAsia="zh-CN"/>
        </w:rPr>
        <w:t>2022</w:t>
      </w:r>
      <w:r>
        <w:rPr>
          <w:rFonts w:hint="eastAsia"/>
          <w:lang w:val="en-US" w:eastAsia="zh-CN"/>
        </w:rPr>
        <w:t>年，全权代表大会形成了关于《人工智能技术和电信</w:t>
      </w:r>
      <w:r>
        <w:rPr>
          <w:rFonts w:hint="eastAsia"/>
          <w:lang w:val="en-US" w:eastAsia="zh-CN"/>
        </w:rPr>
        <w:t>/</w:t>
      </w:r>
      <w:r>
        <w:rPr>
          <w:rFonts w:hint="eastAsia"/>
          <w:lang w:val="en-US" w:eastAsia="zh-CN"/>
        </w:rPr>
        <w:t>信息通信技术》的第</w:t>
      </w:r>
      <w:r w:rsidR="00F615D2">
        <w:fldChar w:fldCharType="begin"/>
      </w:r>
      <w:r w:rsidR="00F615D2">
        <w:rPr>
          <w:lang w:eastAsia="zh-CN"/>
        </w:rPr>
        <w:instrText>HYPERLINK "https://www.itu.int/en/council/Documents/basic-texts-2023/RES-214-C.pdf"</w:instrText>
      </w:r>
      <w:r w:rsidR="00F615D2">
        <w:fldChar w:fldCharType="separate"/>
      </w:r>
      <w:r w:rsidRPr="004E14EF">
        <w:rPr>
          <w:rStyle w:val="Hyperlink"/>
          <w:rFonts w:hint="eastAsia"/>
          <w:lang w:val="en-US" w:eastAsia="zh-CN"/>
        </w:rPr>
        <w:t>214</w:t>
      </w:r>
      <w:r w:rsidR="00F615D2">
        <w:rPr>
          <w:rStyle w:val="Hyperlink"/>
          <w:lang w:val="en-US" w:eastAsia="zh-CN"/>
        </w:rPr>
        <w:fldChar w:fldCharType="end"/>
      </w:r>
      <w:r>
        <w:rPr>
          <w:rFonts w:hint="eastAsia"/>
          <w:lang w:val="en-US" w:eastAsia="zh-CN"/>
        </w:rPr>
        <w:t>号决议，要求国际电联继续加强人工智能领域的</w:t>
      </w:r>
      <w:r>
        <w:rPr>
          <w:rFonts w:hint="eastAsia"/>
          <w:lang w:val="en-US" w:eastAsia="zh-CN" w:bidi="ar"/>
        </w:rPr>
        <w:t>研究、信息共享和</w:t>
      </w:r>
      <w:r>
        <w:rPr>
          <w:rFonts w:hint="eastAsia"/>
          <w:lang w:val="en-US" w:eastAsia="zh-CN" w:bidi="ar"/>
        </w:rPr>
        <w:t>AI</w:t>
      </w:r>
      <w:r>
        <w:rPr>
          <w:rFonts w:hint="eastAsia"/>
          <w:lang w:val="en-US" w:eastAsia="zh-CN" w:bidi="ar"/>
        </w:rPr>
        <w:t>技术能力建设。责成秘书长与三个局协调落实本决议的活动、促进信息共享以提高发展中国家对机遇和挑战的理解、酌情确定与其他相关组织协调以及与相关利益攸关方协作。</w:t>
      </w:r>
    </w:p>
    <w:p w14:paraId="6B35462E" w14:textId="77777777" w:rsidR="00460A41" w:rsidRDefault="00460A41" w:rsidP="00460A41">
      <w:pPr>
        <w:ind w:firstLineChars="200" w:firstLine="480"/>
        <w:rPr>
          <w:bCs/>
          <w:lang w:val="en-US" w:eastAsia="zh-CN"/>
        </w:rPr>
      </w:pPr>
      <w:r>
        <w:rPr>
          <w:rFonts w:hint="eastAsia"/>
          <w:lang w:val="en-US" w:eastAsia="zh-CN"/>
        </w:rPr>
        <w:t>目前，国际电联已经或者正在开展一系列人工智能工作，</w:t>
      </w:r>
      <w:r w:rsidR="00F615D2">
        <w:fldChar w:fldCharType="begin"/>
      </w:r>
      <w:r w:rsidR="00F615D2">
        <w:rPr>
          <w:lang w:eastAsia="zh-CN"/>
        </w:rPr>
        <w:instrText>HYPERLINK "https://www.itu.int/md/S24-CL-C-0067/en"</w:instrText>
      </w:r>
      <w:r w:rsidR="00F615D2">
        <w:fldChar w:fldCharType="separate"/>
      </w:r>
      <w:r w:rsidRPr="004E14EF">
        <w:rPr>
          <w:rStyle w:val="Hyperlink"/>
          <w:rFonts w:asciiTheme="minorHAnsi" w:hAnsiTheme="minorHAnsi" w:cstheme="minorHAnsi"/>
          <w:bCs/>
          <w:lang w:val="en-US" w:eastAsia="zh-CN"/>
        </w:rPr>
        <w:t>C24/67</w:t>
      </w:r>
      <w:r w:rsidR="00F615D2">
        <w:rPr>
          <w:rStyle w:val="Hyperlink"/>
          <w:rFonts w:asciiTheme="minorHAnsi" w:hAnsiTheme="minorHAnsi" w:cstheme="minorHAnsi"/>
          <w:bCs/>
          <w:lang w:val="en-US" w:eastAsia="zh-CN"/>
        </w:rPr>
        <w:fldChar w:fldCharType="end"/>
      </w:r>
      <w:r>
        <w:rPr>
          <w:rFonts w:hint="eastAsia"/>
          <w:lang w:val="en-US" w:eastAsia="zh-CN"/>
        </w:rPr>
        <w:t>和</w:t>
      </w:r>
      <w:r w:rsidR="00F615D2">
        <w:fldChar w:fldCharType="begin"/>
      </w:r>
      <w:r w:rsidR="00F615D2">
        <w:rPr>
          <w:lang w:eastAsia="zh-CN"/>
        </w:rPr>
        <w:instrText>HYPERLINK "https://www.itu.int/md/S24-CL-INF-0015/en"</w:instrText>
      </w:r>
      <w:r w:rsidR="00F615D2">
        <w:fldChar w:fldCharType="separate"/>
      </w:r>
      <w:r w:rsidRPr="004E14EF">
        <w:rPr>
          <w:rStyle w:val="Hyperlink"/>
          <w:bCs/>
          <w:lang w:eastAsia="zh-CN"/>
        </w:rPr>
        <w:t>C24/INF/15</w:t>
      </w:r>
      <w:r w:rsidR="00F615D2">
        <w:rPr>
          <w:rStyle w:val="Hyperlink"/>
          <w:bCs/>
          <w:lang w:eastAsia="zh-CN"/>
        </w:rPr>
        <w:fldChar w:fldCharType="end"/>
      </w:r>
      <w:r>
        <w:rPr>
          <w:rFonts w:hint="eastAsia"/>
          <w:bCs/>
          <w:lang w:val="en-US" w:eastAsia="zh-CN"/>
        </w:rPr>
        <w:t>盘点了相关工作进展，重点包括：</w:t>
      </w:r>
    </w:p>
    <w:p w14:paraId="75D23ADC" w14:textId="77777777" w:rsidR="00460A41" w:rsidRDefault="00460A41" w:rsidP="00460A41">
      <w:pPr>
        <w:pStyle w:val="enumlev1"/>
        <w:rPr>
          <w:rFonts w:asciiTheme="minorHAnsi" w:hAnsiTheme="minorHAnsi" w:cstheme="minorHAnsi"/>
          <w:szCs w:val="24"/>
          <w:lang w:eastAsia="zh-CN"/>
        </w:rPr>
      </w:pPr>
      <w:r w:rsidRPr="00620D45">
        <w:rPr>
          <w:lang w:val="en-US" w:eastAsia="zh-CN"/>
        </w:rPr>
        <w:t>–</w:t>
      </w:r>
      <w:r>
        <w:rPr>
          <w:lang w:val="en-US" w:eastAsia="zh-CN"/>
        </w:rPr>
        <w:tab/>
      </w:r>
      <w:r>
        <w:rPr>
          <w:rFonts w:hint="eastAsia"/>
          <w:lang w:val="en-US" w:eastAsia="zh-CN"/>
        </w:rPr>
        <w:t>人工智能标准研究</w:t>
      </w:r>
    </w:p>
    <w:p w14:paraId="1D28F658" w14:textId="77777777" w:rsidR="00460A41" w:rsidRDefault="00460A41" w:rsidP="00460A41">
      <w:pPr>
        <w:pStyle w:val="enumlev1"/>
        <w:rPr>
          <w:rFonts w:asciiTheme="minorHAnsi" w:hAnsiTheme="minorHAnsi" w:cstheme="minorBidi"/>
          <w:lang w:eastAsia="zh-CN"/>
        </w:rPr>
      </w:pPr>
      <w:r w:rsidRPr="00620D45">
        <w:rPr>
          <w:lang w:val="en-US" w:eastAsia="zh-CN"/>
        </w:rPr>
        <w:t>–</w:t>
      </w:r>
      <w:r>
        <w:rPr>
          <w:lang w:val="en-US" w:eastAsia="zh-CN"/>
        </w:rPr>
        <w:tab/>
      </w:r>
      <w:r>
        <w:rPr>
          <w:rFonts w:asciiTheme="minorHAnsi" w:hAnsiTheme="minorHAnsi" w:cstheme="minorHAnsi" w:hint="eastAsia"/>
          <w:szCs w:val="24"/>
          <w:lang w:val="en-US" w:eastAsia="zh-CN"/>
        </w:rPr>
        <w:t>人工智能能力建设</w:t>
      </w:r>
      <w:r>
        <w:rPr>
          <w:rFonts w:asciiTheme="minorHAnsi" w:hAnsiTheme="minorHAnsi" w:cstheme="minorBidi" w:hint="eastAsia"/>
          <w:lang w:eastAsia="zh-CN"/>
        </w:rPr>
        <w:t>（</w:t>
      </w:r>
      <w:r>
        <w:rPr>
          <w:rFonts w:asciiTheme="minorHAnsi" w:hAnsiTheme="minorHAnsi" w:cstheme="minorBidi" w:hint="eastAsia"/>
          <w:lang w:val="en-US" w:eastAsia="zh-CN"/>
        </w:rPr>
        <w:t>如正在推进的影响力倡议</w:t>
      </w:r>
      <w:r>
        <w:rPr>
          <w:rFonts w:asciiTheme="minorHAnsi" w:hAnsiTheme="minorHAnsi" w:cstheme="minorBidi" w:hint="eastAsia"/>
          <w:lang w:eastAsia="zh-CN"/>
        </w:rPr>
        <w:t>）</w:t>
      </w:r>
    </w:p>
    <w:p w14:paraId="477F6183" w14:textId="77777777" w:rsidR="00460A41" w:rsidRPr="004E14EF" w:rsidRDefault="00460A41" w:rsidP="00460A41">
      <w:pPr>
        <w:pStyle w:val="enumlev1"/>
        <w:rPr>
          <w:rStyle w:val="normaltextrun"/>
          <w:rFonts w:asciiTheme="minorHAnsi" w:hAnsiTheme="minorHAnsi" w:cstheme="minorBidi"/>
          <w:shd w:val="clear" w:color="auto" w:fill="FFFFFF"/>
          <w:lang w:eastAsia="zh-CN"/>
        </w:rPr>
      </w:pPr>
      <w:r w:rsidRPr="00620D45">
        <w:rPr>
          <w:lang w:val="en-US" w:eastAsia="zh-CN"/>
        </w:rPr>
        <w:t>–</w:t>
      </w:r>
      <w:r>
        <w:rPr>
          <w:lang w:val="en-US" w:eastAsia="zh-CN"/>
        </w:rPr>
        <w:tab/>
      </w:r>
      <w:r>
        <w:rPr>
          <w:rFonts w:asciiTheme="minorHAnsi" w:hAnsiTheme="minorHAnsi" w:cstheme="minorBidi" w:hint="eastAsia"/>
          <w:lang w:val="en-US" w:eastAsia="zh-CN"/>
        </w:rPr>
        <w:t>对人工智能治理、政策和监管的支持</w:t>
      </w:r>
      <w:r>
        <w:rPr>
          <w:rFonts w:asciiTheme="minorHAnsi" w:hAnsiTheme="minorHAnsi" w:cstheme="minorHAnsi" w:hint="eastAsia"/>
          <w:lang w:val="en-US" w:eastAsia="zh-CN"/>
        </w:rPr>
        <w:t>（如即将举办的人工智能治理日活动</w:t>
      </w:r>
      <w:r>
        <w:rPr>
          <w:rStyle w:val="normaltextrun"/>
          <w:rFonts w:asciiTheme="minorHAnsi" w:hAnsiTheme="minorHAnsi" w:cstheme="minorBidi" w:hint="eastAsia"/>
          <w:shd w:val="clear" w:color="auto" w:fill="FFFFFF"/>
          <w:lang w:eastAsia="zh-CN"/>
        </w:rPr>
        <w:t>）</w:t>
      </w:r>
    </w:p>
    <w:p w14:paraId="7CCCCCBB" w14:textId="77777777" w:rsidR="00460A41" w:rsidRDefault="00460A41" w:rsidP="00460A41">
      <w:pPr>
        <w:pStyle w:val="enumlev1"/>
        <w:rPr>
          <w:rFonts w:asciiTheme="minorHAnsi" w:hAnsiTheme="minorHAnsi" w:cstheme="minorBidi"/>
          <w:color w:val="000000"/>
          <w:spacing w:val="-2"/>
          <w:shd w:val="clear" w:color="auto" w:fill="FFFFFF"/>
          <w:lang w:val="en-US" w:eastAsia="zh-CN"/>
        </w:rPr>
      </w:pPr>
      <w:r w:rsidRPr="00620D45">
        <w:rPr>
          <w:lang w:val="en-US" w:eastAsia="zh-CN"/>
        </w:rPr>
        <w:t>–</w:t>
      </w:r>
      <w:r>
        <w:rPr>
          <w:lang w:val="en-US" w:eastAsia="zh-CN"/>
        </w:rPr>
        <w:tab/>
      </w:r>
      <w:r>
        <w:rPr>
          <w:rFonts w:asciiTheme="minorHAnsi" w:hAnsiTheme="minorHAnsi" w:cstheme="minorBidi" w:hint="eastAsia"/>
          <w:color w:val="000000"/>
          <w:spacing w:val="-2"/>
          <w:shd w:val="clear" w:color="auto" w:fill="FFFFFF"/>
          <w:lang w:val="en-US" w:eastAsia="zh-CN"/>
        </w:rPr>
        <w:t>与联合国其他机构及多利益攸关方合作（如联合牵头联合国系统内的人工智能协调工作</w:t>
      </w:r>
      <w:r>
        <w:rPr>
          <w:rFonts w:asciiTheme="minorHAnsi" w:hAnsiTheme="minorHAnsi" w:cstheme="minorBidi" w:hint="eastAsia"/>
          <w:lang w:val="en-US" w:eastAsia="zh-CN"/>
        </w:rPr>
        <w:t>，向全球数字契约和联合国</w:t>
      </w:r>
      <w:r>
        <w:rPr>
          <w:rFonts w:asciiTheme="minorHAnsi" w:hAnsiTheme="minorHAnsi" w:cstheme="minorBidi" w:hint="eastAsia"/>
          <w:color w:val="000000"/>
          <w:spacing w:val="-2"/>
          <w:shd w:val="clear" w:color="auto" w:fill="FFFFFF"/>
          <w:lang w:val="en-US" w:eastAsia="zh-CN"/>
        </w:rPr>
        <w:t>人工智能</w:t>
      </w:r>
      <w:r>
        <w:rPr>
          <w:rFonts w:asciiTheme="minorHAnsi" w:hAnsiTheme="minorHAnsi" w:cstheme="minorBidi" w:hint="eastAsia"/>
          <w:lang w:val="en-US" w:eastAsia="zh-CN"/>
        </w:rPr>
        <w:t>高咨委提供建议</w:t>
      </w:r>
      <w:r>
        <w:rPr>
          <w:rFonts w:asciiTheme="minorHAnsi" w:hAnsiTheme="minorHAnsi" w:cstheme="minorBidi" w:hint="eastAsia"/>
          <w:color w:val="000000"/>
          <w:spacing w:val="-2"/>
          <w:shd w:val="clear" w:color="auto" w:fill="FFFFFF"/>
          <w:lang w:val="en-US" w:eastAsia="zh-CN"/>
        </w:rPr>
        <w:t>等）</w:t>
      </w:r>
    </w:p>
    <w:p w14:paraId="7356A9AF" w14:textId="77777777" w:rsidR="00460A41" w:rsidRDefault="00460A41" w:rsidP="00460A41">
      <w:pPr>
        <w:ind w:firstLineChars="200" w:firstLine="472"/>
        <w:rPr>
          <w:rFonts w:asciiTheme="minorHAnsi" w:hAnsiTheme="minorHAnsi" w:cstheme="minorBidi"/>
          <w:lang w:val="en-US" w:eastAsia="zh-CN"/>
        </w:rPr>
      </w:pPr>
      <w:r>
        <w:rPr>
          <w:rFonts w:asciiTheme="minorHAnsi" w:hAnsiTheme="minorHAnsi" w:cstheme="minorBidi" w:hint="eastAsia"/>
          <w:color w:val="000000"/>
          <w:spacing w:val="-2"/>
          <w:shd w:val="clear" w:color="auto" w:fill="FFFFFF"/>
          <w:lang w:val="en-US" w:eastAsia="zh-CN"/>
        </w:rPr>
        <w:t>联合国大会通过决议</w:t>
      </w:r>
      <w:r w:rsidR="00F615D2">
        <w:fldChar w:fldCharType="begin"/>
      </w:r>
      <w:r w:rsidR="00F615D2">
        <w:rPr>
          <w:lang w:eastAsia="zh-CN"/>
        </w:rPr>
        <w:instrText>HYPERLINK "https://undocs.org/Home/Mobile?FinalSymbol=A%2F78%2FL.49&amp;Language=E&amp;DeviceType=Desktop&amp;LangRequested=False"</w:instrText>
      </w:r>
      <w:r w:rsidR="00F615D2">
        <w:fldChar w:fldCharType="separate"/>
      </w:r>
      <w:r w:rsidRPr="004E14EF">
        <w:rPr>
          <w:rStyle w:val="Hyperlink"/>
          <w:rFonts w:asciiTheme="minorHAnsi" w:hAnsiTheme="minorHAnsi" w:cstheme="minorHAnsi" w:hint="eastAsia"/>
          <w:bCs/>
          <w:lang w:eastAsia="zh-CN"/>
        </w:rPr>
        <w:t>A/78/L.49</w:t>
      </w:r>
      <w:r w:rsidR="00F615D2">
        <w:rPr>
          <w:rStyle w:val="Hyperlink"/>
          <w:rFonts w:asciiTheme="minorHAnsi" w:hAnsiTheme="minorHAnsi" w:cstheme="minorHAnsi"/>
          <w:bCs/>
          <w:lang w:eastAsia="zh-CN"/>
        </w:rPr>
        <w:fldChar w:fldCharType="end"/>
      </w:r>
      <w:r>
        <w:rPr>
          <w:rFonts w:asciiTheme="minorHAnsi" w:hAnsiTheme="minorHAnsi" w:cstheme="minorBidi" w:hint="eastAsia"/>
          <w:lang w:val="en-US" w:eastAsia="zh-CN"/>
        </w:rPr>
        <w:t>，促请联合国专门机构继续评估并强化举措，以协作、协调和包容的方式利用人工智能系统带来的机遇并应对这方面的挑战，包括就潜在影响和应用开展研究、摸底和分析。联大决议特别强调，</w:t>
      </w:r>
      <w:r>
        <w:rPr>
          <w:rFonts w:ascii="SimSun" w:hAnsi="SimSun" w:cs="SimSun"/>
          <w:szCs w:val="24"/>
          <w:lang w:eastAsia="zh-CN"/>
        </w:rPr>
        <w:t>目前存在人工智能和其他数字方面的鸿沟，国家之间和国家内部的技术发展水平参差不齐，发展中国家在跟上这一迅速加速的步伐方面面临独特挑战</w:t>
      </w:r>
      <w:r>
        <w:rPr>
          <w:rFonts w:ascii="SimSun" w:hAnsi="SimSun" w:cs="SimSun" w:hint="eastAsia"/>
          <w:szCs w:val="24"/>
          <w:lang w:eastAsia="zh-CN"/>
        </w:rPr>
        <w:t>，</w:t>
      </w:r>
      <w:r>
        <w:rPr>
          <w:rFonts w:ascii="SimSun" w:hAnsi="SimSun" w:cs="SimSun"/>
          <w:szCs w:val="24"/>
          <w:lang w:eastAsia="zh-CN"/>
        </w:rPr>
        <w:t>迫切需要在能力建设及技术和财政方面加强对发展中国家的援助</w:t>
      </w:r>
      <w:r>
        <w:rPr>
          <w:rFonts w:ascii="SimSun" w:hAnsi="SimSun" w:cs="SimSun" w:hint="eastAsia"/>
          <w:szCs w:val="24"/>
          <w:lang w:eastAsia="zh-CN"/>
        </w:rPr>
        <w:t>；</w:t>
      </w:r>
      <w:r>
        <w:rPr>
          <w:rFonts w:ascii="SimSun" w:hAnsi="SimSun" w:cs="SimSun" w:hint="eastAsia"/>
          <w:szCs w:val="24"/>
          <w:lang w:val="en-US" w:eastAsia="zh-CN"/>
        </w:rPr>
        <w:t>决议促进联合国机构</w:t>
      </w:r>
      <w:r>
        <w:rPr>
          <w:rFonts w:asciiTheme="minorHAnsi" w:hAnsiTheme="minorHAnsi" w:cstheme="minorBidi" w:hint="eastAsia"/>
          <w:lang w:val="en-US" w:eastAsia="zh-CN"/>
        </w:rPr>
        <w:t>与发展中国家合作并协助进行能力建设。</w:t>
      </w:r>
    </w:p>
    <w:p w14:paraId="5EB88C91" w14:textId="77777777" w:rsidR="00460A41" w:rsidRDefault="00460A41" w:rsidP="00460A41">
      <w:pPr>
        <w:pStyle w:val="Heading1"/>
        <w:rPr>
          <w:lang w:val="en-US" w:eastAsia="zh-CN"/>
        </w:rPr>
      </w:pPr>
      <w:r>
        <w:rPr>
          <w:rFonts w:hint="eastAsia"/>
          <w:lang w:val="en-US" w:eastAsia="zh-CN"/>
        </w:rPr>
        <w:t>2</w:t>
      </w:r>
      <w:r>
        <w:rPr>
          <w:lang w:val="en-US" w:eastAsia="zh-CN"/>
        </w:rPr>
        <w:tab/>
      </w:r>
      <w:r>
        <w:rPr>
          <w:rFonts w:hint="eastAsia"/>
          <w:lang w:val="en-US" w:eastAsia="zh-CN"/>
        </w:rPr>
        <w:t>讨论</w:t>
      </w:r>
    </w:p>
    <w:p w14:paraId="68F58964" w14:textId="77777777" w:rsidR="00460A41" w:rsidRDefault="00460A41" w:rsidP="00460A41">
      <w:pPr>
        <w:ind w:firstLineChars="200" w:firstLine="480"/>
        <w:rPr>
          <w:lang w:val="en-US" w:eastAsia="zh-CN"/>
        </w:rPr>
      </w:pPr>
      <w:r>
        <w:rPr>
          <w:rFonts w:hint="eastAsia"/>
          <w:lang w:val="en-US" w:eastAsia="zh-CN"/>
        </w:rPr>
        <w:t>全权代表大会第</w:t>
      </w:r>
      <w:r>
        <w:rPr>
          <w:rFonts w:hint="eastAsia"/>
          <w:lang w:val="en-US" w:eastAsia="zh-CN"/>
        </w:rPr>
        <w:t>214</w:t>
      </w:r>
      <w:r>
        <w:rPr>
          <w:rFonts w:hint="eastAsia"/>
          <w:lang w:val="en-US" w:eastAsia="zh-CN"/>
        </w:rPr>
        <w:t>号决议为国际电联人工智能领域工作指明了方向，国际电联也开展了一系列工作，但有必要建立一种成员国能够有效参与的机制，对国际电联各部门人工智能领域工作进行及时跟进讨论，使得联盟采取综合性的方式落实</w:t>
      </w:r>
      <w:r>
        <w:rPr>
          <w:rFonts w:hint="eastAsia"/>
          <w:lang w:val="en-US" w:eastAsia="zh-CN"/>
        </w:rPr>
        <w:t>214</w:t>
      </w:r>
      <w:r>
        <w:rPr>
          <w:rFonts w:hint="eastAsia"/>
          <w:lang w:val="en-US" w:eastAsia="zh-CN"/>
        </w:rPr>
        <w:t>决议。</w:t>
      </w:r>
    </w:p>
    <w:p w14:paraId="2EA49EB1" w14:textId="501DF9AA" w:rsidR="00460A41" w:rsidRDefault="00460A41" w:rsidP="00460A41">
      <w:pPr>
        <w:rPr>
          <w:lang w:val="en-US" w:eastAsia="zh-CN"/>
        </w:rPr>
      </w:pPr>
      <w:r>
        <w:rPr>
          <w:rFonts w:hint="eastAsia"/>
          <w:lang w:val="en-US" w:eastAsia="zh-CN"/>
        </w:rPr>
        <w:t>1</w:t>
      </w:r>
      <w:r>
        <w:rPr>
          <w:lang w:val="en-US" w:eastAsia="zh-CN"/>
        </w:rPr>
        <w:t>)</w:t>
      </w:r>
      <w:r>
        <w:rPr>
          <w:lang w:val="en-US" w:eastAsia="zh-CN"/>
        </w:rPr>
        <w:tab/>
      </w:r>
      <w:r>
        <w:rPr>
          <w:rFonts w:hint="eastAsia"/>
          <w:lang w:val="en-US" w:eastAsia="zh-CN"/>
        </w:rPr>
        <w:t>人工智能正在成为国际合作议程的关键领域。正如</w:t>
      </w:r>
      <w:r>
        <w:rPr>
          <w:rFonts w:asciiTheme="minorHAnsi" w:hAnsiTheme="minorHAnsi" w:cstheme="minorHAnsi"/>
          <w:bCs/>
          <w:lang w:val="fr-FR" w:eastAsia="zh-CN"/>
        </w:rPr>
        <w:t>C24/67</w:t>
      </w:r>
      <w:r>
        <w:rPr>
          <w:rFonts w:asciiTheme="minorHAnsi" w:hAnsiTheme="minorHAnsi" w:cstheme="minorHAnsi" w:hint="eastAsia"/>
          <w:bCs/>
          <w:lang w:val="en-US" w:eastAsia="zh-CN"/>
        </w:rPr>
        <w:t>、</w:t>
      </w:r>
      <w:r>
        <w:rPr>
          <w:bCs/>
          <w:lang w:eastAsia="zh-CN"/>
        </w:rPr>
        <w:t>C24/INF/15</w:t>
      </w:r>
      <w:r>
        <w:rPr>
          <w:rFonts w:hint="eastAsia"/>
          <w:bCs/>
          <w:lang w:val="en-US" w:eastAsia="zh-CN"/>
        </w:rPr>
        <w:t>两份信息文件所述，近年来国际电联在人工智能标准和项目倡议领域的工作正在快速增加，</w:t>
      </w:r>
      <w:r>
        <w:rPr>
          <w:rFonts w:hint="eastAsia"/>
          <w:lang w:val="en-US" w:eastAsia="zh-CN"/>
        </w:rPr>
        <w:t>对国际电联已开展工作进行充分盘点和审查非常重要。成员国应及时对人工智能工作战略方向、重点任务、潜在财务影响等重大问题开展深入讨论，以便联盟各局和各成员能够明确工作方向、有效调动资源、积极输入内容，推动国际电联更加富有成效地开展人工智能相关工作，提升联盟影响力。</w:t>
      </w:r>
    </w:p>
    <w:p w14:paraId="7C68AC36" w14:textId="77777777" w:rsidR="00460A41" w:rsidRDefault="00460A41" w:rsidP="00460A41">
      <w:pPr>
        <w:rPr>
          <w:lang w:val="en-US" w:eastAsia="zh-CN"/>
        </w:rPr>
      </w:pPr>
      <w:r>
        <w:rPr>
          <w:rFonts w:hint="eastAsia"/>
          <w:lang w:val="en-US" w:eastAsia="zh-CN"/>
        </w:rPr>
        <w:t>2</w:t>
      </w:r>
      <w:r>
        <w:rPr>
          <w:lang w:val="en-US" w:eastAsia="zh-CN"/>
        </w:rPr>
        <w:t>)</w:t>
      </w:r>
      <w:r>
        <w:rPr>
          <w:lang w:val="en-US" w:eastAsia="zh-CN"/>
        </w:rPr>
        <w:tab/>
      </w:r>
      <w:r>
        <w:rPr>
          <w:rFonts w:hint="eastAsia"/>
          <w:lang w:val="en-US" w:eastAsia="zh-CN"/>
        </w:rPr>
        <w:t>联合国技术特使办公室推动的全球数字契约、人工智能高级别咨询专家委员会等多个国际进程正在积极讨论人工智能国际治理问题。国际电联应充分发挥其在数字技术和伙伴关系上的独特优势，加强与正在推进的国际进程的协调合作，在全球人工智能治理中发挥积极作用。</w:t>
      </w:r>
    </w:p>
    <w:p w14:paraId="56A3917F" w14:textId="77777777" w:rsidR="00460A41" w:rsidRDefault="00460A41" w:rsidP="00460A41">
      <w:pPr>
        <w:rPr>
          <w:lang w:val="en-US" w:eastAsia="zh-CN"/>
        </w:rPr>
      </w:pPr>
      <w:r>
        <w:rPr>
          <w:rFonts w:hint="eastAsia"/>
          <w:lang w:val="en-US" w:eastAsia="zh-CN"/>
        </w:rPr>
        <w:t>3)</w:t>
      </w:r>
      <w:r>
        <w:rPr>
          <w:lang w:val="en-US" w:eastAsia="zh-CN"/>
        </w:rPr>
        <w:tab/>
      </w:r>
      <w:r>
        <w:rPr>
          <w:rFonts w:hint="eastAsia"/>
          <w:lang w:val="en-US" w:eastAsia="zh-CN"/>
        </w:rPr>
        <w:t>发展中国家在基础设施、技术、数据、算力等人工智能发展资源上具有较大差距，发展资源的不均衡正在成为制约可持续发展的重要因素。目前国际电联标准化局已经开展了一系列能力建设工作，取得积极成效。但是，为全面落实</w:t>
      </w:r>
      <w:r>
        <w:rPr>
          <w:rFonts w:hint="eastAsia"/>
          <w:lang w:val="en-US" w:eastAsia="zh-CN"/>
        </w:rPr>
        <w:t>214</w:t>
      </w:r>
      <w:r>
        <w:rPr>
          <w:rFonts w:hint="eastAsia"/>
          <w:lang w:val="en-US" w:eastAsia="zh-CN"/>
        </w:rPr>
        <w:t>决议，国际电联应充分调动各部门资源，尤其是充分发挥发展局的作用，加强协同协作，为提供更大支持。</w:t>
      </w:r>
    </w:p>
    <w:p w14:paraId="5C1194F8" w14:textId="77777777" w:rsidR="00460A41" w:rsidRDefault="00460A41" w:rsidP="00460A41">
      <w:pPr>
        <w:pStyle w:val="Heading1"/>
        <w:rPr>
          <w:lang w:val="en-US" w:eastAsia="zh-CN"/>
        </w:rPr>
      </w:pPr>
      <w:r>
        <w:rPr>
          <w:rFonts w:hint="eastAsia"/>
          <w:lang w:val="en-US" w:eastAsia="zh-CN"/>
        </w:rPr>
        <w:lastRenderedPageBreak/>
        <w:t>3</w:t>
      </w:r>
      <w:r>
        <w:rPr>
          <w:lang w:val="en-US" w:eastAsia="zh-CN"/>
        </w:rPr>
        <w:tab/>
      </w:r>
      <w:r>
        <w:rPr>
          <w:rFonts w:hint="eastAsia"/>
          <w:lang w:val="en-US" w:eastAsia="zh-CN"/>
        </w:rPr>
        <w:t>建议</w:t>
      </w:r>
    </w:p>
    <w:p w14:paraId="298CD426" w14:textId="77777777" w:rsidR="00460A41" w:rsidRDefault="00460A41" w:rsidP="00460A41">
      <w:pPr>
        <w:ind w:firstLineChars="200" w:firstLine="480"/>
        <w:rPr>
          <w:lang w:val="en-US" w:eastAsia="zh-CN"/>
        </w:rPr>
      </w:pPr>
      <w:r>
        <w:rPr>
          <w:rFonts w:hint="eastAsia"/>
          <w:lang w:val="en-US" w:eastAsia="zh-CN"/>
        </w:rPr>
        <w:t>为落实好全权代表大会第</w:t>
      </w:r>
      <w:r>
        <w:rPr>
          <w:rFonts w:hint="eastAsia"/>
          <w:lang w:val="en-US" w:eastAsia="zh-CN"/>
        </w:rPr>
        <w:t>214</w:t>
      </w:r>
      <w:r>
        <w:rPr>
          <w:rFonts w:hint="eastAsia"/>
          <w:lang w:val="en-US" w:eastAsia="zh-CN"/>
        </w:rPr>
        <w:t>号决议，建议在理事会下设立面向成员国的人工智能工作组，主要工作职责可能包括：</w:t>
      </w:r>
    </w:p>
    <w:p w14:paraId="1AB3786B" w14:textId="7431A4A0" w:rsidR="00460A41" w:rsidRDefault="00460A41" w:rsidP="00460A41">
      <w:pPr>
        <w:pStyle w:val="enumlev1"/>
        <w:rPr>
          <w:lang w:val="en-US" w:eastAsia="zh-CN"/>
        </w:rPr>
      </w:pPr>
      <w:r>
        <w:rPr>
          <w:rFonts w:hint="eastAsia"/>
          <w:lang w:val="en-US" w:eastAsia="zh-CN"/>
        </w:rPr>
        <w:t>1</w:t>
      </w:r>
      <w:r w:rsidR="006208FA">
        <w:rPr>
          <w:rFonts w:hint="eastAsia"/>
          <w:lang w:val="en-US" w:eastAsia="zh-CN"/>
        </w:rPr>
        <w:t>)</w:t>
      </w:r>
      <w:r>
        <w:rPr>
          <w:lang w:val="en-US" w:eastAsia="zh-CN"/>
        </w:rPr>
        <w:tab/>
      </w:r>
      <w:r>
        <w:rPr>
          <w:rFonts w:hint="eastAsia"/>
          <w:lang w:val="en-US" w:eastAsia="zh-CN"/>
        </w:rPr>
        <w:t>审议国际电联在人工智能领域开展工作情况、未来工作计划及潜在的财务影响，讨论</w:t>
      </w:r>
      <w:r>
        <w:rPr>
          <w:rFonts w:hint="eastAsia"/>
          <w:lang w:val="en-US" w:eastAsia="zh-CN"/>
        </w:rPr>
        <w:t>ITU</w:t>
      </w:r>
      <w:r>
        <w:rPr>
          <w:rFonts w:hint="eastAsia"/>
          <w:lang w:val="en-US" w:eastAsia="zh-CN"/>
        </w:rPr>
        <w:t>开展人工智能工作的战略方向和重点工作，</w:t>
      </w:r>
      <w:proofErr w:type="gramStart"/>
      <w:r>
        <w:rPr>
          <w:rFonts w:hint="eastAsia"/>
          <w:lang w:val="en-US" w:eastAsia="zh-CN"/>
        </w:rPr>
        <w:t>向理事会提出适当建议；</w:t>
      </w:r>
      <w:proofErr w:type="gramEnd"/>
    </w:p>
    <w:p w14:paraId="721F66B4" w14:textId="2F5AF43B" w:rsidR="00460A41" w:rsidRDefault="00460A41" w:rsidP="00460A41">
      <w:pPr>
        <w:pStyle w:val="enumlev1"/>
        <w:rPr>
          <w:lang w:val="en-US" w:eastAsia="zh-CN"/>
        </w:rPr>
      </w:pPr>
      <w:r>
        <w:rPr>
          <w:rFonts w:hint="eastAsia"/>
          <w:lang w:val="en-US" w:eastAsia="zh-CN"/>
        </w:rPr>
        <w:t>2</w:t>
      </w:r>
      <w:r w:rsidR="006208FA">
        <w:rPr>
          <w:rFonts w:hint="eastAsia"/>
          <w:lang w:val="en-US" w:eastAsia="zh-CN"/>
        </w:rPr>
        <w:t>)</w:t>
      </w:r>
      <w:r>
        <w:rPr>
          <w:lang w:val="en-US" w:eastAsia="zh-CN"/>
        </w:rPr>
        <w:tab/>
      </w:r>
      <w:r>
        <w:rPr>
          <w:rFonts w:hint="eastAsia"/>
          <w:lang w:val="en-US" w:eastAsia="zh-CN"/>
        </w:rPr>
        <w:t>审议国际电联在人工智能领域对外合作和资源投入情况，就如何参与联合国人工智能国际治理议程等重大问题提出建议，</w:t>
      </w:r>
      <w:r w:rsidR="00237370">
        <w:rPr>
          <w:rFonts w:hint="eastAsia"/>
          <w:lang w:val="en-US" w:eastAsia="zh-CN"/>
        </w:rPr>
        <w:t>促进</w:t>
      </w:r>
      <w:r>
        <w:rPr>
          <w:rFonts w:hint="eastAsia"/>
          <w:lang w:val="en-US" w:eastAsia="zh-CN"/>
        </w:rPr>
        <w:t>国际电联在人工智能领域发挥作用；</w:t>
      </w:r>
    </w:p>
    <w:p w14:paraId="39B3EC52" w14:textId="75C3DC33" w:rsidR="00460A41" w:rsidRDefault="00460A41" w:rsidP="00460A41">
      <w:pPr>
        <w:pStyle w:val="enumlev1"/>
        <w:rPr>
          <w:lang w:val="en-US" w:eastAsia="zh-CN"/>
        </w:rPr>
      </w:pPr>
      <w:r>
        <w:rPr>
          <w:rFonts w:hint="eastAsia"/>
          <w:lang w:val="en-US" w:eastAsia="zh-CN"/>
        </w:rPr>
        <w:t>3</w:t>
      </w:r>
      <w:r w:rsidR="006208FA">
        <w:rPr>
          <w:rFonts w:hint="eastAsia"/>
          <w:lang w:val="en-US" w:eastAsia="zh-CN"/>
        </w:rPr>
        <w:t>)</w:t>
      </w:r>
      <w:r>
        <w:rPr>
          <w:lang w:val="en-US" w:eastAsia="zh-CN"/>
        </w:rPr>
        <w:tab/>
      </w:r>
      <w:r>
        <w:rPr>
          <w:rFonts w:hint="eastAsia"/>
          <w:lang w:val="en-US" w:eastAsia="zh-CN"/>
        </w:rPr>
        <w:t>指导国际电联开展人工智能能力建设工作，就各国能力建设需求等开展研究，围绕协调和调动各部门资源开展能力建设提出建议，充分发挥国际电联独特优势缩小数字鸿沟。</w:t>
      </w:r>
    </w:p>
    <w:p w14:paraId="24CD64B1" w14:textId="77777777" w:rsidR="002E2547" w:rsidRPr="00460A41" w:rsidRDefault="002E2547" w:rsidP="00411C49">
      <w:pPr>
        <w:pStyle w:val="Reasons"/>
        <w:rPr>
          <w:lang w:val="en-US" w:eastAsia="zh-CN"/>
        </w:rPr>
      </w:pPr>
    </w:p>
    <w:p w14:paraId="769C9BEF" w14:textId="77777777" w:rsidR="002E2547" w:rsidRDefault="002E2547">
      <w:pPr>
        <w:jc w:val="center"/>
      </w:pPr>
      <w:r>
        <w:t>______________</w:t>
      </w:r>
    </w:p>
    <w:sectPr w:rsidR="002E2547"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6B18" w14:textId="77777777" w:rsidR="00E0474D" w:rsidRDefault="00E0474D">
      <w:r>
        <w:separator/>
      </w:r>
    </w:p>
  </w:endnote>
  <w:endnote w:type="continuationSeparator" w:id="0">
    <w:p w14:paraId="1CFC556F" w14:textId="77777777" w:rsidR="00E0474D" w:rsidRDefault="00E0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29E4B83B" w:rsidR="00E24D59" w:rsidRPr="00F615D2" w:rsidRDefault="00F615D2" w:rsidP="00E24D59">
          <w:pPr>
            <w:pStyle w:val="Header"/>
            <w:jc w:val="left"/>
            <w:rPr>
              <w:rFonts w:eastAsiaTheme="minorEastAsia" w:hint="eastAsia"/>
              <w:noProof/>
              <w:lang w:eastAsia="zh-CN"/>
            </w:rPr>
          </w:pPr>
          <w:r>
            <w:rPr>
              <w:rFonts w:eastAsiaTheme="minorEastAsia" w:hint="eastAsia"/>
              <w:noProof/>
              <w:lang w:eastAsia="zh-CN"/>
            </w:rPr>
            <w:t>R2400986</w:t>
          </w:r>
        </w:p>
      </w:tc>
      <w:tc>
        <w:tcPr>
          <w:tcW w:w="8261" w:type="dxa"/>
        </w:tcPr>
        <w:p w14:paraId="128C249C" w14:textId="25E4D161" w:rsidR="00E24D59" w:rsidRPr="00E06FD5" w:rsidRDefault="00E24D59" w:rsidP="00E24D59">
          <w:pPr>
            <w:pStyle w:val="Header"/>
            <w:tabs>
              <w:tab w:val="left" w:pos="6434"/>
              <w:tab w:val="right" w:pos="8505"/>
              <w:tab w:val="right" w:pos="9639"/>
            </w:tabs>
            <w:jc w:val="left"/>
            <w:rPr>
              <w:rFonts w:ascii="Arial" w:hAnsi="Arial" w:cs="Arial"/>
              <w:b/>
              <w:bCs/>
              <w:szCs w:val="18"/>
            </w:rPr>
          </w:pPr>
          <w:r>
            <w:rPr>
              <w:bCs/>
            </w:rPr>
            <w:tab/>
          </w:r>
          <w:r w:rsidR="00F615D2" w:rsidRPr="00623AE3">
            <w:rPr>
              <w:bCs/>
            </w:rPr>
            <w:t>C</w:t>
          </w:r>
          <w:r w:rsidR="00F615D2">
            <w:rPr>
              <w:bCs/>
            </w:rPr>
            <w:t>24</w:t>
          </w:r>
          <w:r w:rsidR="00F615D2" w:rsidRPr="00623AE3">
            <w:rPr>
              <w:bCs/>
            </w:rPr>
            <w:t>/</w:t>
          </w:r>
          <w:r w:rsidR="00F615D2">
            <w:rPr>
              <w:bCs/>
            </w:rPr>
            <w:t>8</w:t>
          </w:r>
          <w:r w:rsidR="00F615D2">
            <w:rPr>
              <w:rFonts w:eastAsiaTheme="minorEastAsia" w:hint="eastAsia"/>
              <w:bCs/>
              <w:lang w:eastAsia="zh-CN"/>
            </w:rPr>
            <w:t>5(Rev.</w:t>
          </w:r>
          <w:proofErr w:type="gramStart"/>
          <w:r w:rsidR="00F615D2">
            <w:rPr>
              <w:rFonts w:eastAsiaTheme="minorEastAsia" w:hint="eastAsia"/>
              <w:bCs/>
              <w:lang w:eastAsia="zh-CN"/>
            </w:rPr>
            <w:t>1)</w:t>
          </w:r>
          <w:r w:rsidR="00F615D2" w:rsidRPr="00623AE3">
            <w:rPr>
              <w:bCs/>
            </w:rPr>
            <w:t>-</w:t>
          </w:r>
          <w:proofErr w:type="gramEnd"/>
          <w:r w:rsidR="00F615D2">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5D87AB8D" w:rsidR="00E24D59" w:rsidRPr="00E06FD5" w:rsidRDefault="00E24D59" w:rsidP="00F615D2">
          <w:pPr>
            <w:pStyle w:val="Header"/>
            <w:tabs>
              <w:tab w:val="left" w:pos="6314"/>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460A41">
            <w:rPr>
              <w:bCs/>
            </w:rPr>
            <w:t>8</w:t>
          </w:r>
          <w:r w:rsidR="009B584B">
            <w:rPr>
              <w:rFonts w:eastAsiaTheme="minorEastAsia" w:hint="eastAsia"/>
              <w:bCs/>
              <w:lang w:eastAsia="zh-CN"/>
            </w:rPr>
            <w:t>5</w:t>
          </w:r>
          <w:r w:rsidR="00F615D2">
            <w:rPr>
              <w:rFonts w:eastAsiaTheme="minorEastAsia" w:hint="eastAsia"/>
              <w:bCs/>
              <w:lang w:eastAsia="zh-CN"/>
            </w:rPr>
            <w:t>(Rev.</w:t>
          </w:r>
          <w:proofErr w:type="gramStart"/>
          <w:r w:rsidR="00F615D2">
            <w:rPr>
              <w:rFonts w:eastAsiaTheme="minorEastAsia" w:hint="eastAsia"/>
              <w:bCs/>
              <w:lang w:eastAsia="zh-CN"/>
            </w:rPr>
            <w:t>1)</w:t>
          </w:r>
          <w:r w:rsidRPr="00623AE3">
            <w:rPr>
              <w:bCs/>
            </w:rPr>
            <w:t>-</w:t>
          </w:r>
          <w:proofErr w:type="gramEnd"/>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F165" w14:textId="77777777" w:rsidR="00E0474D" w:rsidRDefault="00E0474D">
      <w:r>
        <w:t>____________________</w:t>
      </w:r>
    </w:p>
  </w:footnote>
  <w:footnote w:type="continuationSeparator" w:id="0">
    <w:p w14:paraId="0A523408" w14:textId="77777777" w:rsidR="00E0474D" w:rsidRDefault="00E0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BF117C"/>
    <w:multiLevelType w:val="hybridMultilevel"/>
    <w:tmpl w:val="B0B466D8"/>
    <w:lvl w:ilvl="0" w:tplc="5720ECA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5" w15:restartNumberingAfterBreak="0">
    <w:nsid w:val="659B413C"/>
    <w:multiLevelType w:val="hybridMultilevel"/>
    <w:tmpl w:val="AC6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A56826"/>
    <w:multiLevelType w:val="hybridMultilevel"/>
    <w:tmpl w:val="A682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711198340">
    <w:abstractNumId w:val="4"/>
  </w:num>
  <w:num w:numId="9" w16cid:durableId="929505924">
    <w:abstractNumId w:val="5"/>
  </w:num>
  <w:num w:numId="10" w16cid:durableId="549611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8675D"/>
    <w:rsid w:val="0009409E"/>
    <w:rsid w:val="000A1C21"/>
    <w:rsid w:val="000C0BC5"/>
    <w:rsid w:val="000C5383"/>
    <w:rsid w:val="000D15EA"/>
    <w:rsid w:val="000D382B"/>
    <w:rsid w:val="00100D84"/>
    <w:rsid w:val="00106F17"/>
    <w:rsid w:val="00124C9D"/>
    <w:rsid w:val="00133923"/>
    <w:rsid w:val="00157773"/>
    <w:rsid w:val="0018251A"/>
    <w:rsid w:val="00190272"/>
    <w:rsid w:val="00191BF3"/>
    <w:rsid w:val="001920C5"/>
    <w:rsid w:val="00193244"/>
    <w:rsid w:val="00195C6C"/>
    <w:rsid w:val="00195FED"/>
    <w:rsid w:val="001A4BD6"/>
    <w:rsid w:val="001D1D49"/>
    <w:rsid w:val="001D5A18"/>
    <w:rsid w:val="001E38FD"/>
    <w:rsid w:val="001E4737"/>
    <w:rsid w:val="001F4214"/>
    <w:rsid w:val="00224449"/>
    <w:rsid w:val="00237370"/>
    <w:rsid w:val="00280EB8"/>
    <w:rsid w:val="00296E46"/>
    <w:rsid w:val="002A6670"/>
    <w:rsid w:val="002D7749"/>
    <w:rsid w:val="002E2547"/>
    <w:rsid w:val="002E2D34"/>
    <w:rsid w:val="002F1A0F"/>
    <w:rsid w:val="00303502"/>
    <w:rsid w:val="00325C25"/>
    <w:rsid w:val="00372C8F"/>
    <w:rsid w:val="00380ECE"/>
    <w:rsid w:val="00393DDF"/>
    <w:rsid w:val="00397F55"/>
    <w:rsid w:val="003B4454"/>
    <w:rsid w:val="003C2E37"/>
    <w:rsid w:val="003F1415"/>
    <w:rsid w:val="0040144C"/>
    <w:rsid w:val="00403EB7"/>
    <w:rsid w:val="00430BF0"/>
    <w:rsid w:val="00452737"/>
    <w:rsid w:val="00460A41"/>
    <w:rsid w:val="004672E6"/>
    <w:rsid w:val="00474ED1"/>
    <w:rsid w:val="00485B5F"/>
    <w:rsid w:val="00491D9A"/>
    <w:rsid w:val="00493085"/>
    <w:rsid w:val="004A36EC"/>
    <w:rsid w:val="004D163F"/>
    <w:rsid w:val="004E4BFF"/>
    <w:rsid w:val="004F2598"/>
    <w:rsid w:val="005403F7"/>
    <w:rsid w:val="00540632"/>
    <w:rsid w:val="00541CF4"/>
    <w:rsid w:val="005451E8"/>
    <w:rsid w:val="005507F2"/>
    <w:rsid w:val="00550ACE"/>
    <w:rsid w:val="005759CC"/>
    <w:rsid w:val="005A72E1"/>
    <w:rsid w:val="005B5EB9"/>
    <w:rsid w:val="005C6632"/>
    <w:rsid w:val="005D1C9E"/>
    <w:rsid w:val="006208FA"/>
    <w:rsid w:val="00630DD5"/>
    <w:rsid w:val="00654257"/>
    <w:rsid w:val="0065435A"/>
    <w:rsid w:val="006A20C0"/>
    <w:rsid w:val="006A2DD3"/>
    <w:rsid w:val="006A5AF8"/>
    <w:rsid w:val="006C36CD"/>
    <w:rsid w:val="006C4606"/>
    <w:rsid w:val="00700D1F"/>
    <w:rsid w:val="007205CB"/>
    <w:rsid w:val="00726073"/>
    <w:rsid w:val="00734FE8"/>
    <w:rsid w:val="007360CE"/>
    <w:rsid w:val="00743429"/>
    <w:rsid w:val="00745E2F"/>
    <w:rsid w:val="00772315"/>
    <w:rsid w:val="00775157"/>
    <w:rsid w:val="007813AE"/>
    <w:rsid w:val="007A37DB"/>
    <w:rsid w:val="007B2553"/>
    <w:rsid w:val="007D5566"/>
    <w:rsid w:val="007E189D"/>
    <w:rsid w:val="007F0210"/>
    <w:rsid w:val="008030C3"/>
    <w:rsid w:val="00806E3F"/>
    <w:rsid w:val="00811259"/>
    <w:rsid w:val="00813AA2"/>
    <w:rsid w:val="008173A3"/>
    <w:rsid w:val="008418F5"/>
    <w:rsid w:val="0086059C"/>
    <w:rsid w:val="00864589"/>
    <w:rsid w:val="00874C82"/>
    <w:rsid w:val="00890AFB"/>
    <w:rsid w:val="00890FC4"/>
    <w:rsid w:val="008922DB"/>
    <w:rsid w:val="00895905"/>
    <w:rsid w:val="008D0E25"/>
    <w:rsid w:val="008F64AD"/>
    <w:rsid w:val="00911867"/>
    <w:rsid w:val="009164A9"/>
    <w:rsid w:val="00922239"/>
    <w:rsid w:val="009258CB"/>
    <w:rsid w:val="0093362E"/>
    <w:rsid w:val="00944563"/>
    <w:rsid w:val="00945506"/>
    <w:rsid w:val="00953160"/>
    <w:rsid w:val="009625D8"/>
    <w:rsid w:val="0098459B"/>
    <w:rsid w:val="00997185"/>
    <w:rsid w:val="009B584B"/>
    <w:rsid w:val="009C2458"/>
    <w:rsid w:val="009C4A7B"/>
    <w:rsid w:val="009C6123"/>
    <w:rsid w:val="009F1E3E"/>
    <w:rsid w:val="009F7F4B"/>
    <w:rsid w:val="00A1213C"/>
    <w:rsid w:val="00A272FF"/>
    <w:rsid w:val="00A47779"/>
    <w:rsid w:val="00A5354B"/>
    <w:rsid w:val="00A66E62"/>
    <w:rsid w:val="00A71B57"/>
    <w:rsid w:val="00A92CDE"/>
    <w:rsid w:val="00AB3579"/>
    <w:rsid w:val="00AB42C1"/>
    <w:rsid w:val="00AB58EA"/>
    <w:rsid w:val="00AC516F"/>
    <w:rsid w:val="00AD7AEF"/>
    <w:rsid w:val="00AE195F"/>
    <w:rsid w:val="00AE2926"/>
    <w:rsid w:val="00AF1D7D"/>
    <w:rsid w:val="00B0184B"/>
    <w:rsid w:val="00B035CD"/>
    <w:rsid w:val="00B0769D"/>
    <w:rsid w:val="00B217F8"/>
    <w:rsid w:val="00B332EA"/>
    <w:rsid w:val="00B40A53"/>
    <w:rsid w:val="00B45365"/>
    <w:rsid w:val="00B46A65"/>
    <w:rsid w:val="00B47AD0"/>
    <w:rsid w:val="00B56DB9"/>
    <w:rsid w:val="00B60184"/>
    <w:rsid w:val="00B62D20"/>
    <w:rsid w:val="00B64595"/>
    <w:rsid w:val="00B81E75"/>
    <w:rsid w:val="00B93453"/>
    <w:rsid w:val="00BD0954"/>
    <w:rsid w:val="00BD1A5A"/>
    <w:rsid w:val="00BD7A9B"/>
    <w:rsid w:val="00BD7BE1"/>
    <w:rsid w:val="00BE7AD7"/>
    <w:rsid w:val="00BF416B"/>
    <w:rsid w:val="00C45EB2"/>
    <w:rsid w:val="00C617CE"/>
    <w:rsid w:val="00C64E4E"/>
    <w:rsid w:val="00C66E64"/>
    <w:rsid w:val="00C761A0"/>
    <w:rsid w:val="00C85F7E"/>
    <w:rsid w:val="00C90D53"/>
    <w:rsid w:val="00C927A1"/>
    <w:rsid w:val="00CA0B2E"/>
    <w:rsid w:val="00CA6EF7"/>
    <w:rsid w:val="00CD47F0"/>
    <w:rsid w:val="00CD5566"/>
    <w:rsid w:val="00CD64D7"/>
    <w:rsid w:val="00CE6F22"/>
    <w:rsid w:val="00CF41F6"/>
    <w:rsid w:val="00CF7D3E"/>
    <w:rsid w:val="00D02B4E"/>
    <w:rsid w:val="00D20FD5"/>
    <w:rsid w:val="00D21F11"/>
    <w:rsid w:val="00D32C7F"/>
    <w:rsid w:val="00D36817"/>
    <w:rsid w:val="00D453EE"/>
    <w:rsid w:val="00D5666C"/>
    <w:rsid w:val="00D666BC"/>
    <w:rsid w:val="00D7619A"/>
    <w:rsid w:val="00D83542"/>
    <w:rsid w:val="00D92F45"/>
    <w:rsid w:val="00D94637"/>
    <w:rsid w:val="00D9725C"/>
    <w:rsid w:val="00DA7006"/>
    <w:rsid w:val="00DB3621"/>
    <w:rsid w:val="00DB7933"/>
    <w:rsid w:val="00DC6427"/>
    <w:rsid w:val="00DD0C62"/>
    <w:rsid w:val="00DD62F5"/>
    <w:rsid w:val="00DD66A1"/>
    <w:rsid w:val="00DE196D"/>
    <w:rsid w:val="00DF0167"/>
    <w:rsid w:val="00DF6B49"/>
    <w:rsid w:val="00E0474D"/>
    <w:rsid w:val="00E067C5"/>
    <w:rsid w:val="00E24D59"/>
    <w:rsid w:val="00E265BF"/>
    <w:rsid w:val="00E378D8"/>
    <w:rsid w:val="00E43A12"/>
    <w:rsid w:val="00E67C67"/>
    <w:rsid w:val="00E77476"/>
    <w:rsid w:val="00E8228B"/>
    <w:rsid w:val="00EE5706"/>
    <w:rsid w:val="00EF373D"/>
    <w:rsid w:val="00F07D44"/>
    <w:rsid w:val="00F11342"/>
    <w:rsid w:val="00F11595"/>
    <w:rsid w:val="00F13BC9"/>
    <w:rsid w:val="00F33790"/>
    <w:rsid w:val="00F357B2"/>
    <w:rsid w:val="00F36556"/>
    <w:rsid w:val="00F615D2"/>
    <w:rsid w:val="00F705DF"/>
    <w:rsid w:val="00F70622"/>
    <w:rsid w:val="00F85624"/>
    <w:rsid w:val="00F87C05"/>
    <w:rsid w:val="00F93191"/>
    <w:rsid w:val="00F93A17"/>
    <w:rsid w:val="00FA2AF6"/>
    <w:rsid w:val="00FB073D"/>
    <w:rsid w:val="00FB771F"/>
    <w:rsid w:val="00FC5386"/>
    <w:rsid w:val="00FC6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2E2547"/>
    <w:rPr>
      <w:color w:val="605E5C"/>
      <w:shd w:val="clear" w:color="auto" w:fill="E1DFDD"/>
    </w:rPr>
  </w:style>
  <w:style w:type="character" w:customStyle="1" w:styleId="normaltextrun">
    <w:name w:val="normaltextrun"/>
    <w:basedOn w:val="DefaultParagraphFont"/>
    <w:qFormat/>
    <w:rsid w:val="0046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2</TotalTime>
  <Pages>3</Pages>
  <Words>1603</Words>
  <Characters>848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Chinese</cp:lastModifiedBy>
  <cp:revision>2</cp:revision>
  <cp:lastPrinted>2015-02-24T13:23:00Z</cp:lastPrinted>
  <dcterms:created xsi:type="dcterms:W3CDTF">2024-06-10T07:57:00Z</dcterms:created>
  <dcterms:modified xsi:type="dcterms:W3CDTF">2024-06-10T07:57:00Z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