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31EEFEB4" w14:textId="77777777" w:rsidTr="00F363FE">
        <w:tc>
          <w:tcPr>
            <w:tcW w:w="6512" w:type="dxa"/>
          </w:tcPr>
          <w:p w14:paraId="46A14831" w14:textId="0AEF34FD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907B0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CF13EF">
              <w:rPr>
                <w:b/>
                <w:bCs/>
                <w:lang w:bidi="ar-EG"/>
              </w:rPr>
              <w:t>PL</w:t>
            </w:r>
            <w:r w:rsidR="00CF13EF" w:rsidRPr="00367FCB">
              <w:rPr>
                <w:b/>
                <w:bCs/>
                <w:lang w:bidi="ar-EG"/>
              </w:rPr>
              <w:t xml:space="preserve"> </w:t>
            </w:r>
            <w:r w:rsidR="00CF13EF">
              <w:rPr>
                <w:b/>
                <w:bCs/>
                <w:lang w:bidi="ar-EG"/>
              </w:rPr>
              <w:t>2</w:t>
            </w:r>
          </w:p>
        </w:tc>
        <w:tc>
          <w:tcPr>
            <w:tcW w:w="3117" w:type="dxa"/>
          </w:tcPr>
          <w:p w14:paraId="345B699A" w14:textId="1DA28797" w:rsidR="007B0AA0" w:rsidRPr="007B0AA0" w:rsidRDefault="0052567A" w:rsidP="0052567A">
            <w:pPr>
              <w:spacing w:before="60" w:after="60" w:line="260" w:lineRule="exact"/>
              <w:jc w:val="left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المراجعة </w:t>
            </w:r>
            <w:r>
              <w:rPr>
                <w:b/>
                <w:bCs/>
                <w:lang w:bidi="ar-EG"/>
              </w:rPr>
              <w:t>1</w:t>
            </w:r>
            <w:r>
              <w:rPr>
                <w:b/>
                <w:bCs/>
                <w:rtl/>
                <w:lang w:bidi="ar-SY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7B0AA0" w:rsidRPr="007B0AA0">
              <w:rPr>
                <w:b/>
                <w:bCs/>
                <w:lang w:bidi="ar-EG"/>
              </w:rPr>
              <w:t>C2</w:t>
            </w:r>
            <w:r w:rsidR="00B6080B">
              <w:rPr>
                <w:b/>
                <w:bCs/>
                <w:lang w:bidi="ar-EG"/>
              </w:rPr>
              <w:t>4</w:t>
            </w:r>
            <w:r w:rsidR="007B0AA0" w:rsidRPr="007B0AA0">
              <w:rPr>
                <w:b/>
                <w:bCs/>
                <w:lang w:bidi="ar-EG"/>
              </w:rPr>
              <w:t>/</w:t>
            </w:r>
            <w:r w:rsidR="00CF13EF">
              <w:rPr>
                <w:b/>
                <w:bCs/>
                <w:lang w:bidi="ar-EG"/>
              </w:rPr>
              <w:t>99</w:t>
            </w:r>
            <w:r w:rsidR="007B0AA0"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0A4CAB30" w14:textId="77777777" w:rsidTr="00F363FE">
        <w:tc>
          <w:tcPr>
            <w:tcW w:w="6512" w:type="dxa"/>
          </w:tcPr>
          <w:p w14:paraId="38AE1D5A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0AA8D6FF" w14:textId="192D5825" w:rsidR="007B0AA0" w:rsidRPr="007B0AA0" w:rsidRDefault="0052567A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4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يونيو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</w:t>
            </w:r>
            <w:r w:rsidR="00B6080B">
              <w:rPr>
                <w:b/>
                <w:bCs/>
                <w:lang w:bidi="ar-EG"/>
              </w:rPr>
              <w:t>4</w:t>
            </w:r>
          </w:p>
        </w:tc>
      </w:tr>
      <w:tr w:rsidR="007B0AA0" w14:paraId="6023047A" w14:textId="77777777" w:rsidTr="00F363FE">
        <w:tc>
          <w:tcPr>
            <w:tcW w:w="6512" w:type="dxa"/>
          </w:tcPr>
          <w:p w14:paraId="3A500CE8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2C0BEA29" w14:textId="1743FA59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الأصل: </w:t>
            </w:r>
            <w:r w:rsidR="00CF13EF">
              <w:rPr>
                <w:rFonts w:hint="cs"/>
                <w:b/>
                <w:bCs/>
                <w:rtl/>
                <w:lang w:bidi="ar-EG"/>
              </w:rPr>
              <w:t>بالإسبانية</w:t>
            </w:r>
          </w:p>
        </w:tc>
      </w:tr>
      <w:tr w:rsidR="007B0AA0" w14:paraId="1F4AC96A" w14:textId="77777777" w:rsidTr="00F363FE">
        <w:tc>
          <w:tcPr>
            <w:tcW w:w="6512" w:type="dxa"/>
          </w:tcPr>
          <w:p w14:paraId="3A6FB781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6ADF9B04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7214841D" w14:textId="77777777" w:rsidTr="00EE7446">
        <w:tc>
          <w:tcPr>
            <w:tcW w:w="9629" w:type="dxa"/>
            <w:gridSpan w:val="2"/>
          </w:tcPr>
          <w:p w14:paraId="131D9CC9" w14:textId="59D830F2" w:rsidR="007B0AA0" w:rsidRPr="007752DB" w:rsidRDefault="00CF13EF" w:rsidP="0052567A">
            <w:pPr>
              <w:pStyle w:val="Source"/>
              <w:jc w:val="left"/>
              <w:rPr>
                <w:lang w:bidi="ar-EG"/>
              </w:rPr>
            </w:pPr>
            <w:r w:rsidRPr="007752DB">
              <w:rPr>
                <w:rFonts w:hint="cs"/>
                <w:rtl/>
                <w:lang w:bidi="ar-EG"/>
              </w:rPr>
              <w:t xml:space="preserve">مساهمة </w:t>
            </w:r>
            <w:r w:rsidRPr="007752DB">
              <w:rPr>
                <w:rFonts w:hint="cs"/>
                <w:rtl/>
                <w:lang w:bidi="ar-SY"/>
              </w:rPr>
              <w:t xml:space="preserve">مقدمة </w:t>
            </w:r>
            <w:r w:rsidRPr="007752DB">
              <w:rPr>
                <w:rFonts w:hint="cs"/>
                <w:rtl/>
                <w:lang w:bidi="ar-EG"/>
              </w:rPr>
              <w:t>من المكسيك</w:t>
            </w:r>
            <w:r w:rsidR="0052567A" w:rsidRPr="007752DB">
              <w:rPr>
                <w:rFonts w:hint="cs"/>
                <w:rtl/>
                <w:lang w:bidi="ar-EG"/>
              </w:rPr>
              <w:t xml:space="preserve"> و</w:t>
            </w:r>
            <w:r w:rsidR="0052567A" w:rsidRPr="007752DB">
              <w:rPr>
                <w:rtl/>
                <w:lang w:bidi="ar-EG"/>
              </w:rPr>
              <w:t xml:space="preserve">الجمهورية </w:t>
            </w:r>
            <w:proofErr w:type="spellStart"/>
            <w:r w:rsidR="0052567A" w:rsidRPr="007752DB">
              <w:rPr>
                <w:rtl/>
                <w:lang w:bidi="ar-EG"/>
              </w:rPr>
              <w:t>الدومينيكية</w:t>
            </w:r>
            <w:proofErr w:type="spellEnd"/>
            <w:r w:rsidR="0052567A" w:rsidRPr="007752DB">
              <w:rPr>
                <w:rFonts w:hint="cs"/>
                <w:rtl/>
                <w:lang w:bidi="ar-EG"/>
              </w:rPr>
              <w:t xml:space="preserve"> و</w:t>
            </w:r>
            <w:r w:rsidR="0052567A" w:rsidRPr="007752DB">
              <w:rPr>
                <w:rtl/>
                <w:lang w:bidi="ar-EG"/>
              </w:rPr>
              <w:t>جمهورية بنما</w:t>
            </w:r>
            <w:r w:rsidR="0052567A" w:rsidRPr="007752DB">
              <w:rPr>
                <w:rFonts w:hint="cs"/>
                <w:rtl/>
                <w:lang w:bidi="ar-EG"/>
              </w:rPr>
              <w:t xml:space="preserve"> و</w:t>
            </w:r>
            <w:r w:rsidR="0052567A" w:rsidRPr="007752DB">
              <w:rPr>
                <w:rtl/>
                <w:lang w:bidi="ar-EG"/>
              </w:rPr>
              <w:t>جمهورية باراغواي</w:t>
            </w:r>
          </w:p>
        </w:tc>
      </w:tr>
      <w:tr w:rsidR="007B0AA0" w14:paraId="33B1A777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181D361D" w14:textId="37415639" w:rsidR="007B0AA0" w:rsidRPr="007752DB" w:rsidRDefault="00CF13EF" w:rsidP="007B0AA0">
            <w:pPr>
              <w:pStyle w:val="Subtitle0"/>
            </w:pPr>
            <w:r w:rsidRPr="007752DB">
              <w:rPr>
                <w:rFonts w:hint="cs"/>
                <w:rtl/>
                <w:lang w:bidi="ar-SY"/>
              </w:rPr>
              <w:t>مشاركة الشباب والمبادرات المتعلقة بهم في الاتحاد الدولي للاتصالات</w:t>
            </w:r>
          </w:p>
        </w:tc>
      </w:tr>
      <w:tr w:rsidR="007B0AA0" w14:paraId="2E7C84E5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724B29" w14:textId="77777777" w:rsidR="007B0AA0" w:rsidRPr="007752DB" w:rsidRDefault="007B0AA0" w:rsidP="007B0AA0">
            <w:pPr>
              <w:rPr>
                <w:b/>
                <w:bCs/>
                <w:rtl/>
              </w:rPr>
            </w:pPr>
            <w:r w:rsidRPr="007752DB">
              <w:rPr>
                <w:rFonts w:hint="cs"/>
                <w:b/>
                <w:bCs/>
                <w:rtl/>
              </w:rPr>
              <w:t>الغرض</w:t>
            </w:r>
          </w:p>
          <w:p w14:paraId="58BA2FF2" w14:textId="4094E48B" w:rsidR="007B0AA0" w:rsidRPr="007752DB" w:rsidRDefault="00CF13EF" w:rsidP="007752DB">
            <w:pPr>
              <w:rPr>
                <w:rtl/>
              </w:rPr>
            </w:pPr>
            <w:r w:rsidRPr="007752DB">
              <w:rPr>
                <w:rtl/>
              </w:rPr>
              <w:t xml:space="preserve">تدعو </w:t>
            </w:r>
            <w:r w:rsidR="0052567A" w:rsidRPr="007752DB">
              <w:rPr>
                <w:rFonts w:hint="cs"/>
                <w:rtl/>
              </w:rPr>
              <w:t>إدارات</w:t>
            </w:r>
            <w:r w:rsidRPr="007752DB">
              <w:rPr>
                <w:rtl/>
              </w:rPr>
              <w:t xml:space="preserve"> المكسيك</w:t>
            </w:r>
            <w:r w:rsidR="007A6AA1" w:rsidRPr="007752DB">
              <w:rPr>
                <w:rtl/>
              </w:rPr>
              <w:t xml:space="preserve"> </w:t>
            </w:r>
            <w:r w:rsidR="007752DB" w:rsidRPr="007752DB">
              <w:rPr>
                <w:rFonts w:hint="cs"/>
                <w:rtl/>
                <w:lang w:bidi="ar-EG"/>
              </w:rPr>
              <w:t>و</w:t>
            </w:r>
            <w:r w:rsidR="007752DB" w:rsidRPr="007752DB">
              <w:rPr>
                <w:rtl/>
                <w:lang w:bidi="ar-EG"/>
              </w:rPr>
              <w:t xml:space="preserve">الجمهورية </w:t>
            </w:r>
            <w:proofErr w:type="spellStart"/>
            <w:r w:rsidR="007752DB" w:rsidRPr="007752DB">
              <w:rPr>
                <w:rtl/>
                <w:lang w:bidi="ar-EG"/>
              </w:rPr>
              <w:t>الدومينيكية</w:t>
            </w:r>
            <w:proofErr w:type="spellEnd"/>
            <w:r w:rsidR="007752DB" w:rsidRPr="007752DB">
              <w:rPr>
                <w:rFonts w:hint="cs"/>
                <w:rtl/>
                <w:lang w:bidi="ar-EG"/>
              </w:rPr>
              <w:t xml:space="preserve"> و</w:t>
            </w:r>
            <w:r w:rsidR="007752DB" w:rsidRPr="007752DB">
              <w:rPr>
                <w:rtl/>
                <w:lang w:bidi="ar-EG"/>
              </w:rPr>
              <w:t>جمهورية بنما</w:t>
            </w:r>
            <w:r w:rsidR="007752DB" w:rsidRPr="007752DB">
              <w:rPr>
                <w:rFonts w:hint="cs"/>
                <w:rtl/>
                <w:lang w:bidi="ar-EG"/>
              </w:rPr>
              <w:t xml:space="preserve"> و</w:t>
            </w:r>
            <w:r w:rsidR="007752DB" w:rsidRPr="007752DB">
              <w:rPr>
                <w:rtl/>
                <w:lang w:bidi="ar-EG"/>
              </w:rPr>
              <w:t>جمهورية باراغواي</w:t>
            </w:r>
            <w:r w:rsidR="007752DB" w:rsidRPr="007752DB">
              <w:rPr>
                <w:rtl/>
              </w:rPr>
              <w:t xml:space="preserve"> </w:t>
            </w:r>
            <w:r w:rsidRPr="007752DB">
              <w:rPr>
                <w:rtl/>
              </w:rPr>
              <w:t>المجلس إلى النظر في مقترحاته</w:t>
            </w:r>
            <w:r w:rsidRPr="007752DB">
              <w:rPr>
                <w:rFonts w:hint="cs"/>
                <w:rtl/>
                <w:lang w:bidi="ar-SY"/>
              </w:rPr>
              <w:t>ا</w:t>
            </w:r>
            <w:r w:rsidRPr="007752DB">
              <w:rPr>
                <w:rtl/>
              </w:rPr>
              <w:t xml:space="preserve"> لتحسين مشاركة الشباب عبر العديد من المبادرات والبرامج القائمة في</w:t>
            </w:r>
            <w:r w:rsidR="00F71F04" w:rsidRPr="007752DB">
              <w:rPr>
                <w:rFonts w:hint="cs"/>
                <w:rtl/>
              </w:rPr>
              <w:t> </w:t>
            </w:r>
            <w:r w:rsidRPr="007752DB">
              <w:rPr>
                <w:rtl/>
              </w:rPr>
              <w:t>الاتحاد.</w:t>
            </w:r>
          </w:p>
          <w:p w14:paraId="79CE3EC3" w14:textId="77777777" w:rsidR="007B0AA0" w:rsidRPr="007752DB" w:rsidRDefault="007B0AA0" w:rsidP="007B0AA0">
            <w:pPr>
              <w:rPr>
                <w:b/>
                <w:bCs/>
                <w:rtl/>
              </w:rPr>
            </w:pPr>
            <w:r w:rsidRPr="007752DB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7E01A626" w14:textId="77777777" w:rsidR="00CF13EF" w:rsidRPr="007752DB" w:rsidRDefault="00CF13EF" w:rsidP="00CF13EF">
            <w:pPr>
              <w:rPr>
                <w:rtl/>
                <w:lang w:bidi="ar-SY"/>
              </w:rPr>
            </w:pPr>
            <w:r w:rsidRPr="007752DB">
              <w:rPr>
                <w:rFonts w:hint="cs"/>
                <w:rtl/>
              </w:rPr>
              <w:t xml:space="preserve">يُدعى </w:t>
            </w:r>
            <w:r w:rsidRPr="007752DB">
              <w:rPr>
                <w:rtl/>
              </w:rPr>
              <w:t xml:space="preserve">المجلس إلى </w:t>
            </w:r>
            <w:r w:rsidRPr="007752DB">
              <w:rPr>
                <w:b/>
                <w:bCs/>
                <w:rtl/>
              </w:rPr>
              <w:t>النظر</w:t>
            </w:r>
            <w:r w:rsidRPr="007752DB">
              <w:rPr>
                <w:rtl/>
              </w:rPr>
              <w:t xml:space="preserve"> في المقترحات الواردة في هذه المساهمة </w:t>
            </w:r>
            <w:r w:rsidRPr="007752DB">
              <w:rPr>
                <w:rFonts w:hint="cs"/>
                <w:b/>
                <w:bCs/>
                <w:rtl/>
              </w:rPr>
              <w:t>ومناقشتها</w:t>
            </w:r>
            <w:r w:rsidRPr="007752DB">
              <w:rPr>
                <w:rFonts w:hint="cs"/>
                <w:rtl/>
              </w:rPr>
              <w:t>.</w:t>
            </w:r>
          </w:p>
          <w:p w14:paraId="2AED1F8D" w14:textId="77777777" w:rsidR="007B0AA0" w:rsidRPr="007752DB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752DB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65E02722" w14:textId="77777777" w:rsidR="007B0AA0" w:rsidRPr="007752DB" w:rsidRDefault="007B0AA0" w:rsidP="007B0AA0">
            <w:pPr>
              <w:rPr>
                <w:b/>
                <w:bCs/>
                <w:rtl/>
              </w:rPr>
            </w:pPr>
            <w:r w:rsidRPr="007752DB">
              <w:rPr>
                <w:rFonts w:hint="cs"/>
                <w:b/>
                <w:bCs/>
                <w:rtl/>
              </w:rPr>
              <w:t>المراجع</w:t>
            </w:r>
          </w:p>
          <w:p w14:paraId="634A250E" w14:textId="49AEB83E" w:rsidR="007B0AA0" w:rsidRPr="007752DB" w:rsidRDefault="00CF13EF" w:rsidP="00E1229D">
            <w:pPr>
              <w:spacing w:after="120"/>
              <w:rPr>
                <w:i/>
                <w:iCs/>
                <w:rtl/>
              </w:rPr>
            </w:pPr>
            <w:r w:rsidRPr="007752DB">
              <w:rPr>
                <w:rFonts w:hint="cs"/>
                <w:i/>
                <w:iCs/>
                <w:rtl/>
              </w:rPr>
              <w:t>القرارات</w:t>
            </w:r>
            <w:hyperlink r:id="rId8" w:history="1">
              <w:r w:rsidRPr="007752DB">
                <w:rPr>
                  <w:rStyle w:val="Hyperlink"/>
                  <w:i/>
                  <w:iCs/>
                  <w:rtl/>
                </w:rPr>
                <w:t xml:space="preserve"> 198 (المراجَع في بوخارست، 2022)</w:t>
              </w:r>
            </w:hyperlink>
            <w:r w:rsidRPr="007752DB">
              <w:rPr>
                <w:i/>
                <w:iCs/>
                <w:rtl/>
              </w:rPr>
              <w:t xml:space="preserve"> </w:t>
            </w:r>
            <w:r w:rsidRPr="007752DB">
              <w:rPr>
                <w:rFonts w:hint="cs"/>
                <w:i/>
                <w:iCs/>
                <w:rtl/>
              </w:rPr>
              <w:t>و</w:t>
            </w:r>
            <w:hyperlink r:id="rId9" w:history="1">
              <w:r w:rsidRPr="007752DB">
                <w:rPr>
                  <w:rStyle w:val="Hyperlink"/>
                  <w:rFonts w:hint="cs"/>
                  <w:i/>
                  <w:iCs/>
                  <w:rtl/>
                </w:rPr>
                <w:t xml:space="preserve">154 </w:t>
              </w:r>
              <w:r w:rsidRPr="007752DB">
                <w:rPr>
                  <w:rStyle w:val="Hyperlink"/>
                  <w:i/>
                  <w:iCs/>
                  <w:rtl/>
                </w:rPr>
                <w:t>(المراجَع في بوخارست، 2022)</w:t>
              </w:r>
            </w:hyperlink>
            <w:r w:rsidRPr="007752DB">
              <w:rPr>
                <w:i/>
                <w:iCs/>
                <w:rtl/>
              </w:rPr>
              <w:t xml:space="preserve"> و</w:t>
            </w:r>
            <w:hyperlink r:id="rId10" w:history="1">
              <w:r w:rsidRPr="007752DB">
                <w:rPr>
                  <w:rStyle w:val="Hyperlink"/>
                  <w:i/>
                  <w:iCs/>
                  <w:rtl/>
                </w:rPr>
                <w:t>184 (المراجَع في بوخارست، 2022)</w:t>
              </w:r>
            </w:hyperlink>
            <w:r w:rsidRPr="007752DB">
              <w:rPr>
                <w:i/>
                <w:iCs/>
                <w:rtl/>
              </w:rPr>
              <w:t xml:space="preserve"> و</w:t>
            </w:r>
            <w:hyperlink r:id="rId11" w:history="1">
              <w:r w:rsidRPr="007752DB">
                <w:rPr>
                  <w:rStyle w:val="Hyperlink"/>
                  <w:i/>
                  <w:iCs/>
                  <w:rtl/>
                </w:rPr>
                <w:t>175</w:t>
              </w:r>
              <w:r w:rsidR="00386816" w:rsidRPr="007752DB">
                <w:rPr>
                  <w:rStyle w:val="Hyperlink"/>
                  <w:rFonts w:hint="cs"/>
                  <w:i/>
                  <w:iCs/>
                  <w:rtl/>
                </w:rPr>
                <w:t> </w:t>
              </w:r>
              <w:r w:rsidRPr="007752DB">
                <w:rPr>
                  <w:rStyle w:val="Hyperlink"/>
                  <w:i/>
                  <w:iCs/>
                  <w:rtl/>
                </w:rPr>
                <w:t>(المراجَع في بوخارست، 2022)</w:t>
              </w:r>
            </w:hyperlink>
            <w:r w:rsidRPr="007752DB">
              <w:rPr>
                <w:i/>
                <w:iCs/>
                <w:rtl/>
              </w:rPr>
              <w:t xml:space="preserve"> </w:t>
            </w:r>
            <w:r w:rsidRPr="007752DB">
              <w:rPr>
                <w:rFonts w:hint="cs"/>
                <w:i/>
                <w:iCs/>
                <w:rtl/>
              </w:rPr>
              <w:t>و</w:t>
            </w:r>
            <w:hyperlink r:id="rId12" w:history="1">
              <w:r w:rsidRPr="007752DB">
                <w:rPr>
                  <w:rStyle w:val="Hyperlink"/>
                  <w:i/>
                  <w:iCs/>
                  <w:rtl/>
                </w:rPr>
                <w:t>25 (المراجَع في بوخارست، 2022)</w:t>
              </w:r>
            </w:hyperlink>
            <w:r w:rsidRPr="007752DB">
              <w:rPr>
                <w:rFonts w:hint="cs"/>
                <w:i/>
                <w:iCs/>
                <w:rtl/>
              </w:rPr>
              <w:t xml:space="preserve"> الصادرة عن </w:t>
            </w:r>
            <w:r w:rsidRPr="007752DB">
              <w:rPr>
                <w:i/>
                <w:iCs/>
                <w:rtl/>
              </w:rPr>
              <w:t xml:space="preserve">مؤتمر المندوبين المفوضين؛ </w:t>
            </w:r>
            <w:hyperlink r:id="rId13" w:history="1">
              <w:r w:rsidRPr="007752DB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>ال</w:t>
              </w:r>
              <w:r w:rsidRPr="007752DB">
                <w:rPr>
                  <w:rStyle w:val="Hyperlink"/>
                  <w:i/>
                  <w:iCs/>
                  <w:rtl/>
                </w:rPr>
                <w:t>وثيقة</w:t>
              </w:r>
              <w:r w:rsidR="00FD43B5" w:rsidRPr="007752DB">
                <w:rPr>
                  <w:rStyle w:val="Hyperlink"/>
                  <w:rFonts w:hint="cs"/>
                  <w:i/>
                  <w:iCs/>
                  <w:rtl/>
                </w:rPr>
                <w:t> </w:t>
              </w:r>
              <w:r w:rsidRPr="007752DB">
                <w:rPr>
                  <w:rStyle w:val="Hyperlink"/>
                  <w:i/>
                  <w:iCs/>
                </w:rPr>
                <w:t>C24/31</w:t>
              </w:r>
            </w:hyperlink>
          </w:p>
        </w:tc>
      </w:tr>
    </w:tbl>
    <w:p w14:paraId="7A0313DD" w14:textId="77777777" w:rsidR="00E61BE8" w:rsidRDefault="00E61BE8" w:rsidP="00E61BE8">
      <w:pPr>
        <w:rPr>
          <w:rtl/>
          <w:lang w:bidi="ar-EG"/>
        </w:rPr>
      </w:pPr>
    </w:p>
    <w:p w14:paraId="631DFAD9" w14:textId="77777777" w:rsidR="00F50E3F" w:rsidRDefault="00F50E3F" w:rsidP="00907B08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1F01CFE4" w14:textId="77777777" w:rsidR="00CF13EF" w:rsidRPr="00CE292A" w:rsidRDefault="00CF13EF" w:rsidP="00CE292A">
      <w:pPr>
        <w:pStyle w:val="Headingb"/>
        <w:rPr>
          <w:rtl/>
        </w:rPr>
      </w:pPr>
      <w:r w:rsidRPr="00CE292A">
        <w:rPr>
          <w:rFonts w:hint="cs"/>
          <w:rtl/>
        </w:rPr>
        <w:lastRenderedPageBreak/>
        <w:t>مقدمة</w:t>
      </w:r>
    </w:p>
    <w:p w14:paraId="23912EAE" w14:textId="34A582A4" w:rsidR="00CF13EF" w:rsidRPr="0067755E" w:rsidRDefault="00CF13EF" w:rsidP="00CF13EF">
      <w:pPr>
        <w:rPr>
          <w:spacing w:val="-4"/>
          <w:rtl/>
          <w:lang w:bidi="ar-EG"/>
        </w:rPr>
      </w:pPr>
      <w:r w:rsidRPr="0067755E">
        <w:rPr>
          <w:rFonts w:hint="cs"/>
          <w:spacing w:val="-4"/>
          <w:rtl/>
          <w:lang w:bidi="ar-EG"/>
        </w:rPr>
        <w:t>يكلّف</w:t>
      </w:r>
      <w:r w:rsidRPr="0067755E">
        <w:rPr>
          <w:spacing w:val="-4"/>
          <w:rtl/>
          <w:lang w:bidi="ar-EG"/>
        </w:rPr>
        <w:t xml:space="preserve"> القرار 198 (المراجَع في بوخارست، 2022) لمؤتمر المندوبين المفوضين، بشأن تمكين الشباب من خلال الاتصالات/تكنولوجيا المعلومات والاتصالات</w:t>
      </w:r>
      <w:r w:rsidRPr="0067755E">
        <w:rPr>
          <w:rFonts w:hint="cs"/>
          <w:spacing w:val="-4"/>
          <w:rtl/>
          <w:lang w:bidi="ar-EG"/>
        </w:rPr>
        <w:t xml:space="preserve">، </w:t>
      </w:r>
      <w:r w:rsidRPr="0067755E">
        <w:rPr>
          <w:spacing w:val="-4"/>
          <w:rtl/>
          <w:lang w:bidi="ar-EG"/>
        </w:rPr>
        <w:t xml:space="preserve">الأمين العام </w:t>
      </w:r>
      <w:r w:rsidRPr="0067755E">
        <w:rPr>
          <w:rFonts w:hint="cs"/>
          <w:spacing w:val="-4"/>
          <w:rtl/>
          <w:lang w:bidi="ar-EG"/>
        </w:rPr>
        <w:t>بأن يواصل العمل على</w:t>
      </w:r>
      <w:r w:rsidRPr="0067755E">
        <w:rPr>
          <w:spacing w:val="-4"/>
          <w:rtl/>
          <w:lang w:bidi="ar-EG"/>
        </w:rPr>
        <w:t xml:space="preserve"> ضمان إدراج منظور الشباب في العمل برامج ون</w:t>
      </w:r>
      <w:r w:rsidRPr="0067755E">
        <w:rPr>
          <w:rFonts w:hint="cs"/>
          <w:spacing w:val="-4"/>
          <w:rtl/>
          <w:lang w:bidi="ar-EG"/>
        </w:rPr>
        <w:t>ُ</w:t>
      </w:r>
      <w:r w:rsidRPr="0067755E">
        <w:rPr>
          <w:spacing w:val="-4"/>
          <w:rtl/>
          <w:lang w:bidi="ar-EG"/>
        </w:rPr>
        <w:t xml:space="preserve">هج الإدارة وأنشطة تنمية الموارد البشرية للاتحاد، </w:t>
      </w:r>
      <w:r w:rsidRPr="0067755E">
        <w:rPr>
          <w:rFonts w:hint="cs"/>
          <w:spacing w:val="-4"/>
          <w:rtl/>
          <w:lang w:bidi="ar-EG"/>
        </w:rPr>
        <w:t>وأن يقدم</w:t>
      </w:r>
      <w:r w:rsidRPr="0067755E">
        <w:rPr>
          <w:spacing w:val="-4"/>
          <w:rtl/>
          <w:lang w:bidi="ar-EG"/>
        </w:rPr>
        <w:t xml:space="preserve"> تقري</w:t>
      </w:r>
      <w:r w:rsidRPr="0067755E">
        <w:rPr>
          <w:rFonts w:hint="cs"/>
          <w:spacing w:val="-4"/>
          <w:rtl/>
          <w:lang w:bidi="ar-EG"/>
        </w:rPr>
        <w:t>راً</w:t>
      </w:r>
      <w:r w:rsidRPr="0067755E">
        <w:rPr>
          <w:spacing w:val="-4"/>
          <w:rtl/>
          <w:lang w:bidi="ar-EG"/>
        </w:rPr>
        <w:t xml:space="preserve"> سنوي</w:t>
      </w:r>
      <w:r w:rsidRPr="0067755E">
        <w:rPr>
          <w:rFonts w:hint="cs"/>
          <w:spacing w:val="-4"/>
          <w:rtl/>
          <w:lang w:bidi="ar-EG"/>
        </w:rPr>
        <w:t>اً مكتوباً</w:t>
      </w:r>
      <w:r w:rsidRPr="0067755E">
        <w:rPr>
          <w:spacing w:val="-4"/>
          <w:rtl/>
          <w:lang w:bidi="ar-EG"/>
        </w:rPr>
        <w:t xml:space="preserve"> إلى مجلس الاتحاد بشأن التقدم المحرز</w:t>
      </w:r>
      <w:r w:rsidRPr="0067755E">
        <w:rPr>
          <w:rFonts w:hint="cs"/>
          <w:spacing w:val="-4"/>
          <w:rtl/>
          <w:lang w:bidi="ar-EG"/>
        </w:rPr>
        <w:t xml:space="preserve"> في هذا</w:t>
      </w:r>
      <w:r w:rsidRPr="0067755E">
        <w:rPr>
          <w:rFonts w:hint="eastAsia"/>
          <w:spacing w:val="-4"/>
          <w:lang w:bidi="ar-EG"/>
        </w:rPr>
        <w:t> </w:t>
      </w:r>
      <w:r w:rsidRPr="0067755E">
        <w:rPr>
          <w:rFonts w:hint="cs"/>
          <w:spacing w:val="-4"/>
          <w:rtl/>
          <w:lang w:bidi="ar-EG"/>
        </w:rPr>
        <w:t>الصدد.</w:t>
      </w:r>
    </w:p>
    <w:p w14:paraId="13B87C51" w14:textId="77777777" w:rsidR="00CF13EF" w:rsidRDefault="00CF13EF" w:rsidP="00CE292A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t>خلفية</w:t>
      </w:r>
    </w:p>
    <w:p w14:paraId="2785DE42" w14:textId="77777777" w:rsidR="00CF13EF" w:rsidRPr="002E6A91" w:rsidRDefault="00CF13EF" w:rsidP="00CF13EF">
      <w:pPr>
        <w:rPr>
          <w:rtl/>
          <w:lang w:bidi="ar-EG"/>
        </w:rPr>
      </w:pPr>
      <w:r w:rsidRPr="002E6A91">
        <w:rPr>
          <w:rtl/>
          <w:lang w:bidi="ar-EG"/>
        </w:rPr>
        <w:t xml:space="preserve">امتثالاً للقرار 198 (المراجَع في دبي، 2018) لمؤتمر المندوبين المفوضين، </w:t>
      </w:r>
      <w:r>
        <w:rPr>
          <w:rFonts w:hint="cs"/>
          <w:rtl/>
          <w:lang w:bidi="ar-EG"/>
        </w:rPr>
        <w:t>وُضعت</w:t>
      </w:r>
      <w:r w:rsidRPr="002E6A91">
        <w:rPr>
          <w:rtl/>
          <w:lang w:bidi="ar-EG"/>
        </w:rPr>
        <w:t xml:space="preserve"> استراتيجية </w:t>
      </w:r>
      <w:r>
        <w:rPr>
          <w:rFonts w:hint="cs"/>
          <w:rtl/>
          <w:lang w:bidi="ar-EG"/>
        </w:rPr>
        <w:t>الاتحاد بشأن ا</w:t>
      </w:r>
      <w:r w:rsidRPr="002E6A91">
        <w:rPr>
          <w:rtl/>
          <w:lang w:bidi="ar-EG"/>
        </w:rPr>
        <w:t xml:space="preserve">لشباب </w:t>
      </w:r>
      <w:r>
        <w:rPr>
          <w:rFonts w:hint="cs"/>
          <w:rtl/>
          <w:lang w:bidi="ar-EG"/>
        </w:rPr>
        <w:t>واعتمدت</w:t>
      </w:r>
      <w:r w:rsidRPr="002E6A91">
        <w:rPr>
          <w:rtl/>
          <w:lang w:bidi="ar-EG"/>
        </w:rPr>
        <w:t xml:space="preserve"> في عام 2020، بهدف تحسين حياة الشباب في جميع أنحاء العالم وضمان المشاركة الهادفة للشباب في الاتحاد باعتبارهم أصحاب مصلحة رئيسي</w:t>
      </w:r>
      <w:r>
        <w:rPr>
          <w:rFonts w:hint="cs"/>
          <w:rtl/>
          <w:lang w:bidi="ar-EG"/>
        </w:rPr>
        <w:t>ي</w:t>
      </w:r>
      <w:r w:rsidRPr="002E6A91">
        <w:rPr>
          <w:rtl/>
          <w:lang w:bidi="ar-EG"/>
        </w:rPr>
        <w:t>ن في تنفيذ خطة التنمية المستدامة لعام 2030.</w:t>
      </w:r>
    </w:p>
    <w:p w14:paraId="55AC519B" w14:textId="6843DA16" w:rsidR="00CF13EF" w:rsidRPr="002E6A91" w:rsidRDefault="00CF13EF" w:rsidP="00CF13EF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Pr="002E6A91">
        <w:rPr>
          <w:rtl/>
          <w:lang w:bidi="ar-EG"/>
        </w:rPr>
        <w:t>علاوة</w:t>
      </w:r>
      <w:r>
        <w:rPr>
          <w:rFonts w:hint="cs"/>
          <w:rtl/>
          <w:lang w:bidi="ar-EG"/>
        </w:rPr>
        <w:t>ً</w:t>
      </w:r>
      <w:r w:rsidRPr="002E6A91">
        <w:rPr>
          <w:rtl/>
          <w:lang w:bidi="ar-EG"/>
        </w:rPr>
        <w:t xml:space="preserve"> على ذلك، خلصت دورة مجلس الاتحاد لعام 2023 إلى ضرورة تمكين الشباب من تبادل خبراتهم </w:t>
      </w:r>
      <w:r>
        <w:rPr>
          <w:rFonts w:hint="cs"/>
          <w:rtl/>
          <w:lang w:bidi="ar-EG"/>
        </w:rPr>
        <w:t>وزيادة</w:t>
      </w:r>
      <w:r w:rsidRPr="002E6A91">
        <w:rPr>
          <w:rtl/>
          <w:lang w:bidi="ar-EG"/>
        </w:rPr>
        <w:t xml:space="preserve"> فهمهم للاتصالات وتكنولوجيا المعلومات والاتصالات، مع التأكيد على أنه ينبغي إشراك الشباب في تصميم </w:t>
      </w:r>
      <w:r>
        <w:rPr>
          <w:rFonts w:hint="cs"/>
          <w:rtl/>
          <w:lang w:bidi="ar-EG"/>
        </w:rPr>
        <w:t>مواضيع</w:t>
      </w:r>
      <w:r w:rsidRPr="002E6A91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القمة العالمية المقبلة للشباب </w:t>
      </w:r>
      <w:r w:rsidRPr="002E6A91">
        <w:rPr>
          <w:rtl/>
          <w:lang w:bidi="ar-EG"/>
        </w:rPr>
        <w:t>وتنظيم</w:t>
      </w:r>
      <w:r>
        <w:rPr>
          <w:rFonts w:hint="cs"/>
          <w:rtl/>
          <w:lang w:bidi="ar-EG"/>
        </w:rPr>
        <w:t>ها</w:t>
      </w:r>
      <w:r w:rsidRPr="002E6A91">
        <w:rPr>
          <w:rtl/>
          <w:lang w:bidi="ar-EG"/>
        </w:rPr>
        <w:t xml:space="preserve"> واختيار</w:t>
      </w:r>
      <w:r>
        <w:rPr>
          <w:rFonts w:hint="cs"/>
          <w:rtl/>
          <w:lang w:bidi="ar-EG"/>
        </w:rPr>
        <w:t xml:space="preserve">ها، </w:t>
      </w:r>
      <w:r w:rsidRPr="002E6A91">
        <w:rPr>
          <w:rtl/>
          <w:lang w:bidi="ar-EG"/>
        </w:rPr>
        <w:t xml:space="preserve">وينبغي تشجيع الشباب من جميع المناطق </w:t>
      </w:r>
      <w:r>
        <w:rPr>
          <w:rFonts w:hint="cs"/>
          <w:rtl/>
          <w:lang w:bidi="ar-EG"/>
        </w:rPr>
        <w:t xml:space="preserve">على </w:t>
      </w:r>
      <w:r w:rsidRPr="002E6A91">
        <w:rPr>
          <w:rtl/>
          <w:lang w:bidi="ar-EG"/>
        </w:rPr>
        <w:t>المشاركة</w:t>
      </w:r>
      <w:r>
        <w:rPr>
          <w:rFonts w:hint="cs"/>
          <w:rtl/>
          <w:lang w:bidi="ar-EG"/>
        </w:rPr>
        <w:t xml:space="preserve"> وتمكينهم في ذلك</w:t>
      </w:r>
      <w:r w:rsidRPr="002E6A91">
        <w:rPr>
          <w:rtl/>
          <w:lang w:bidi="ar-EG"/>
        </w:rPr>
        <w:t>.</w:t>
      </w:r>
    </w:p>
    <w:p w14:paraId="4EC39A06" w14:textId="6E70B1B2" w:rsidR="00CF13EF" w:rsidRPr="002E6A91" w:rsidRDefault="00CF13EF" w:rsidP="00CF13EF">
      <w:pPr>
        <w:rPr>
          <w:rtl/>
          <w:lang w:bidi="ar-EG"/>
        </w:rPr>
      </w:pPr>
      <w:r>
        <w:rPr>
          <w:rFonts w:hint="cs"/>
          <w:rtl/>
          <w:lang w:bidi="ar-EG"/>
        </w:rPr>
        <w:t>وتقّر</w:t>
      </w:r>
      <w:r w:rsidRPr="002E6A91">
        <w:rPr>
          <w:rtl/>
          <w:lang w:bidi="ar-EG"/>
        </w:rPr>
        <w:t xml:space="preserve"> </w:t>
      </w:r>
      <w:bookmarkStart w:id="0" w:name="_Hlk168487384"/>
      <w:r w:rsidR="00C64793">
        <w:rPr>
          <w:rFonts w:hint="cs"/>
          <w:rtl/>
          <w:lang w:bidi="ar-EG"/>
        </w:rPr>
        <w:t>الإدارات المقترِحة</w:t>
      </w:r>
      <w:r w:rsidRPr="002E6A91">
        <w:rPr>
          <w:rtl/>
          <w:lang w:bidi="ar-EG"/>
        </w:rPr>
        <w:t xml:space="preserve"> </w:t>
      </w:r>
      <w:bookmarkEnd w:id="0"/>
      <w:r w:rsidRPr="002E6A91">
        <w:rPr>
          <w:rtl/>
          <w:lang w:bidi="ar-EG"/>
        </w:rPr>
        <w:t xml:space="preserve">بالمبادرات والآليات التي نفذها الاتحاد بهدف زيادة مشاركة الشباب </w:t>
      </w:r>
      <w:r>
        <w:rPr>
          <w:rFonts w:hint="cs"/>
          <w:rtl/>
          <w:lang w:bidi="ar-EG"/>
        </w:rPr>
        <w:t>وإشراكهم</w:t>
      </w:r>
      <w:r w:rsidRPr="002E6A91">
        <w:rPr>
          <w:rtl/>
          <w:lang w:bidi="ar-EG"/>
        </w:rPr>
        <w:t xml:space="preserve"> في أنشطته</w:t>
      </w:r>
      <w:r>
        <w:rPr>
          <w:rFonts w:hint="cs"/>
          <w:rtl/>
          <w:lang w:bidi="ar-EG"/>
        </w:rPr>
        <w:t>،</w:t>
      </w:r>
      <w:r w:rsidRPr="002E6A91">
        <w:rPr>
          <w:rtl/>
          <w:lang w:bidi="ar-EG"/>
        </w:rPr>
        <w:t xml:space="preserve"> من خلال برامج </w:t>
      </w:r>
      <w:r>
        <w:rPr>
          <w:rFonts w:hint="cs"/>
          <w:rtl/>
          <w:lang w:bidi="ar-EG"/>
        </w:rPr>
        <w:t>من قبيل</w:t>
      </w:r>
      <w:r w:rsidRPr="002E6A91">
        <w:rPr>
          <w:rtl/>
          <w:lang w:bidi="ar-EG"/>
        </w:rPr>
        <w:t xml:space="preserve"> برنامج المهنيين الشباب (</w:t>
      </w:r>
      <w:r w:rsidRPr="002E6A91">
        <w:rPr>
          <w:lang w:bidi="ar-EG"/>
        </w:rPr>
        <w:t>ITU-YPP</w:t>
      </w:r>
      <w:r w:rsidRPr="002E6A91">
        <w:rPr>
          <w:rtl/>
          <w:lang w:bidi="ar-EG"/>
        </w:rPr>
        <w:t xml:space="preserve">)، وفريق </w:t>
      </w:r>
      <w:r>
        <w:rPr>
          <w:rFonts w:hint="cs"/>
          <w:rtl/>
          <w:lang w:bidi="ar-EG"/>
        </w:rPr>
        <w:t>المهام المعني</w:t>
      </w:r>
      <w:r w:rsidRPr="002E6A91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</w:t>
      </w:r>
      <w:r w:rsidRPr="002E6A91">
        <w:rPr>
          <w:rtl/>
          <w:lang w:bidi="ar-EG"/>
        </w:rPr>
        <w:t>الشباب (</w:t>
      </w:r>
      <w:r w:rsidRPr="002E6A91">
        <w:rPr>
          <w:lang w:bidi="ar-EG"/>
        </w:rPr>
        <w:t>ITU-YTF</w:t>
      </w:r>
      <w:r w:rsidRPr="002E6A91">
        <w:rPr>
          <w:rtl/>
          <w:lang w:bidi="ar-EG"/>
        </w:rPr>
        <w:t xml:space="preserve">) </w:t>
      </w:r>
      <w:r w:rsidRPr="00CF13EF">
        <w:rPr>
          <w:rtl/>
        </w:rPr>
        <w:t xml:space="preserve">ومبادرة </w:t>
      </w:r>
      <w:r w:rsidRPr="00CF13EF">
        <w:rPr>
          <w:rFonts w:hint="cs"/>
          <w:i/>
          <w:iCs/>
          <w:rtl/>
        </w:rPr>
        <w:t>توصيل</w:t>
      </w:r>
      <w:r w:rsidRPr="00CF13EF">
        <w:rPr>
          <w:i/>
          <w:iCs/>
          <w:rtl/>
        </w:rPr>
        <w:t xml:space="preserve"> </w:t>
      </w:r>
      <w:r w:rsidRPr="00CF13EF">
        <w:rPr>
          <w:rFonts w:hint="cs"/>
          <w:i/>
          <w:iCs/>
          <w:rtl/>
        </w:rPr>
        <w:t>الجيل</w:t>
      </w:r>
      <w:r w:rsidRPr="00CF13EF">
        <w:rPr>
          <w:rtl/>
        </w:rPr>
        <w:t>.</w:t>
      </w:r>
    </w:p>
    <w:p w14:paraId="40F8B58A" w14:textId="3F1C0F67" w:rsidR="00CF13EF" w:rsidRPr="002E6A91" w:rsidRDefault="00CF13EF" w:rsidP="00C64793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Pr="002E6A91">
        <w:rPr>
          <w:rtl/>
          <w:lang w:bidi="ar-EG"/>
        </w:rPr>
        <w:t xml:space="preserve">ترغب </w:t>
      </w:r>
      <w:r w:rsidR="00C64793" w:rsidRPr="00C64793">
        <w:rPr>
          <w:rFonts w:hint="cs"/>
          <w:rtl/>
          <w:lang w:bidi="ar-EG"/>
        </w:rPr>
        <w:t>الإدارات المقترِحة</w:t>
      </w:r>
      <w:r w:rsidR="00C64793" w:rsidRPr="00C64793">
        <w:rPr>
          <w:rtl/>
          <w:lang w:bidi="ar-EG"/>
        </w:rPr>
        <w:t xml:space="preserve"> </w:t>
      </w:r>
      <w:r w:rsidRPr="002E6A91">
        <w:rPr>
          <w:rtl/>
          <w:lang w:bidi="ar-EG"/>
        </w:rPr>
        <w:t xml:space="preserve">في الإشادة بمبادرة </w:t>
      </w:r>
      <w:r w:rsidRPr="00AF39DE">
        <w:rPr>
          <w:rFonts w:hint="cs"/>
          <w:i/>
          <w:iCs/>
          <w:rtl/>
          <w:lang w:bidi="ar-EG"/>
        </w:rPr>
        <w:t>توصيل الجيل</w:t>
      </w:r>
      <w:r w:rsidRPr="002E6A91">
        <w:rPr>
          <w:rtl/>
          <w:lang w:bidi="ar-EG"/>
        </w:rPr>
        <w:t xml:space="preserve"> التي تركز على </w:t>
      </w:r>
      <w:r>
        <w:rPr>
          <w:rFonts w:hint="cs"/>
          <w:rtl/>
          <w:lang w:bidi="ar-SY"/>
        </w:rPr>
        <w:t>إعلاء</w:t>
      </w:r>
      <w:r w:rsidRPr="002E6A91">
        <w:rPr>
          <w:rtl/>
          <w:lang w:bidi="ar-EG"/>
        </w:rPr>
        <w:t xml:space="preserve"> أصوات الشباب </w:t>
      </w:r>
      <w:r>
        <w:rPr>
          <w:rFonts w:hint="cs"/>
          <w:rtl/>
          <w:lang w:bidi="ar-EG"/>
        </w:rPr>
        <w:t>في المسائل</w:t>
      </w:r>
      <w:r w:rsidRPr="002E6A91">
        <w:rPr>
          <w:rtl/>
          <w:lang w:bidi="ar-EG"/>
        </w:rPr>
        <w:t xml:space="preserve"> المتعلقة بتكنولوجيا المعلومات والاتصالات من خلال المشاركة في مبادرات الاتحاد </w:t>
      </w:r>
      <w:r>
        <w:rPr>
          <w:rFonts w:hint="cs"/>
          <w:rtl/>
          <w:lang w:bidi="ar-EG"/>
        </w:rPr>
        <w:t>عبر الإنترنت وخارجها</w:t>
      </w:r>
      <w:r w:rsidRPr="002E6A91"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 xml:space="preserve">وجلب </w:t>
      </w:r>
      <w:r w:rsidRPr="002E6A91">
        <w:rPr>
          <w:rtl/>
          <w:lang w:bidi="ar-EG"/>
        </w:rPr>
        <w:t>وجهات نظر شبابية فريدة</w:t>
      </w:r>
      <w:r>
        <w:rPr>
          <w:rFonts w:hint="cs"/>
          <w:rtl/>
          <w:lang w:bidi="ar-EG"/>
        </w:rPr>
        <w:t xml:space="preserve">، </w:t>
      </w:r>
      <w:r w:rsidRPr="002E6A91">
        <w:rPr>
          <w:rtl/>
          <w:lang w:bidi="ar-EG"/>
        </w:rPr>
        <w:t>ومناصرة صوت الشباب في حوار التنمية الرقمية</w:t>
      </w:r>
      <w:r w:rsidR="00FA60AC">
        <w:rPr>
          <w:rFonts w:hint="cs"/>
          <w:rtl/>
          <w:lang w:bidi="ar-EG"/>
        </w:rPr>
        <w:t>.</w:t>
      </w:r>
    </w:p>
    <w:p w14:paraId="2059556A" w14:textId="7C0D78F9" w:rsidR="00CF13EF" w:rsidRPr="002E6A91" w:rsidRDefault="00CF13EF" w:rsidP="00CF13EF">
      <w:pPr>
        <w:rPr>
          <w:rtl/>
          <w:lang w:bidi="ar-EG"/>
        </w:rPr>
      </w:pPr>
      <w:r w:rsidRPr="002E6A91">
        <w:rPr>
          <w:rtl/>
          <w:lang w:bidi="ar-EG"/>
        </w:rPr>
        <w:t>وأخيرا</w:t>
      </w:r>
      <w:r w:rsidR="00CE292A">
        <w:rPr>
          <w:rFonts w:hint="cs"/>
          <w:rtl/>
          <w:lang w:bidi="ar-EG"/>
        </w:rPr>
        <w:t>ً</w:t>
      </w:r>
      <w:r w:rsidRPr="002E6A91">
        <w:rPr>
          <w:rtl/>
          <w:lang w:bidi="ar-EG"/>
        </w:rPr>
        <w:t xml:space="preserve">، طُلب من الدول الأعضاء وأعضاء القطاعات مواصلة دعم المبادرات الرامية إلى تعزيز مشاركة الشباب من خلال المساهمات الطوعية والعينية، وخاصة </w:t>
      </w:r>
      <w:r>
        <w:rPr>
          <w:rFonts w:hint="cs"/>
          <w:rtl/>
          <w:lang w:bidi="ar-EG"/>
        </w:rPr>
        <w:t>ال</w:t>
      </w:r>
      <w:r w:rsidRPr="002E6A91">
        <w:rPr>
          <w:rtl/>
          <w:lang w:bidi="ar-EG"/>
        </w:rPr>
        <w:t xml:space="preserve">استراتيجية </w:t>
      </w:r>
      <w:r>
        <w:rPr>
          <w:rFonts w:hint="cs"/>
          <w:rtl/>
          <w:lang w:bidi="ar-EG"/>
        </w:rPr>
        <w:t xml:space="preserve">بشأن </w:t>
      </w:r>
      <w:r w:rsidRPr="002E6A91">
        <w:rPr>
          <w:rtl/>
          <w:lang w:bidi="ar-EG"/>
        </w:rPr>
        <w:t xml:space="preserve">الشباب ومبادرة </w:t>
      </w:r>
      <w:r w:rsidRPr="00AF39DE">
        <w:rPr>
          <w:rFonts w:hint="cs"/>
          <w:i/>
          <w:iCs/>
          <w:rtl/>
          <w:lang w:bidi="ar-EG"/>
        </w:rPr>
        <w:t>توصيل الجيل</w:t>
      </w:r>
      <w:r w:rsidRPr="002E6A91">
        <w:rPr>
          <w:rtl/>
          <w:lang w:bidi="ar-EG"/>
        </w:rPr>
        <w:t>.</w:t>
      </w:r>
    </w:p>
    <w:p w14:paraId="1E2E74AA" w14:textId="01AEED9D" w:rsidR="00CF13EF" w:rsidRDefault="00CF13EF" w:rsidP="00CF13EF">
      <w:pPr>
        <w:rPr>
          <w:b/>
          <w:bCs/>
          <w:rtl/>
          <w:lang w:bidi="ar-EG"/>
        </w:rPr>
      </w:pPr>
      <w:r>
        <w:rPr>
          <w:rFonts w:hint="cs"/>
          <w:rtl/>
          <w:lang w:bidi="ar-EG"/>
        </w:rPr>
        <w:t>و</w:t>
      </w:r>
      <w:r w:rsidRPr="002E6A91">
        <w:rPr>
          <w:rtl/>
          <w:lang w:bidi="ar-EG"/>
        </w:rPr>
        <w:t xml:space="preserve">بالنسبة لدورة المجلس لعام 2024، قدمت الأمانة العامة تقريرها عن مشاركة الشباب </w:t>
      </w:r>
      <w:r>
        <w:rPr>
          <w:rFonts w:hint="cs"/>
          <w:rtl/>
          <w:lang w:bidi="ar-EG"/>
        </w:rPr>
        <w:t>والمبادرات المتعلقة بهم</w:t>
      </w:r>
      <w:r w:rsidRPr="002E6A91">
        <w:rPr>
          <w:rtl/>
          <w:lang w:bidi="ar-EG"/>
        </w:rPr>
        <w:t xml:space="preserve"> في</w:t>
      </w:r>
      <w:r w:rsidR="00FC3A76">
        <w:rPr>
          <w:rFonts w:hint="cs"/>
          <w:rtl/>
          <w:lang w:bidi="ar-EG"/>
        </w:rPr>
        <w:t> </w:t>
      </w:r>
      <w:r w:rsidRPr="002E6A91">
        <w:rPr>
          <w:rtl/>
          <w:lang w:bidi="ar-EG"/>
        </w:rPr>
        <w:t>الاتحاد</w:t>
      </w:r>
      <w:r w:rsidR="007752DB">
        <w:rPr>
          <w:rFonts w:hint="cs"/>
          <w:rtl/>
          <w:lang w:bidi="ar-EG"/>
        </w:rPr>
        <w:t> </w:t>
      </w:r>
      <w:r w:rsidRPr="002E6A91">
        <w:rPr>
          <w:rtl/>
          <w:lang w:bidi="ar-EG"/>
        </w:rPr>
        <w:t>(</w:t>
      </w:r>
      <w:hyperlink r:id="rId14" w:history="1">
        <w:r w:rsidRPr="00AF39DE">
          <w:rPr>
            <w:rStyle w:val="Hyperlink"/>
            <w:lang w:bidi="ar-EG"/>
          </w:rPr>
          <w:t>C24/31</w:t>
        </w:r>
      </w:hyperlink>
      <w:r w:rsidRPr="002E6A91">
        <w:rPr>
          <w:rtl/>
          <w:lang w:bidi="ar-EG"/>
        </w:rPr>
        <w:t xml:space="preserve">)، موضحة التقدم المحرز في تنفيذ المبادرات المصممة حول مشاركة الشباب، ولا سيما </w:t>
      </w:r>
      <w:r>
        <w:rPr>
          <w:rFonts w:hint="cs"/>
          <w:rtl/>
          <w:lang w:bidi="ar-EG"/>
        </w:rPr>
        <w:t xml:space="preserve">قيام </w:t>
      </w:r>
      <w:r w:rsidRPr="002E6A91">
        <w:rPr>
          <w:rtl/>
          <w:lang w:bidi="ar-EG"/>
        </w:rPr>
        <w:t>مكتب تنمية الاتصالات</w:t>
      </w:r>
      <w:r>
        <w:rPr>
          <w:rFonts w:hint="cs"/>
          <w:rtl/>
          <w:lang w:bidi="ar-EG"/>
        </w:rPr>
        <w:t xml:space="preserve">، </w:t>
      </w:r>
      <w:r w:rsidRPr="002E6A91">
        <w:rPr>
          <w:rtl/>
          <w:lang w:bidi="ar-EG"/>
        </w:rPr>
        <w:t xml:space="preserve">بالتعاون مع الدول الأعضاء، </w:t>
      </w:r>
      <w:r>
        <w:rPr>
          <w:rFonts w:hint="cs"/>
          <w:rtl/>
          <w:lang w:bidi="ar-EG"/>
        </w:rPr>
        <w:t xml:space="preserve">بإنشاء </w:t>
      </w:r>
      <w:r w:rsidRPr="002E6A91">
        <w:rPr>
          <w:rtl/>
          <w:lang w:bidi="ar-EG"/>
        </w:rPr>
        <w:t xml:space="preserve">مجموعة جديدة من </w:t>
      </w:r>
      <w:r>
        <w:rPr>
          <w:rFonts w:hint="cs"/>
          <w:rtl/>
          <w:lang w:bidi="ar-EG"/>
        </w:rPr>
        <w:t>ال</w:t>
      </w:r>
      <w:r w:rsidRPr="002E6A91">
        <w:rPr>
          <w:rtl/>
          <w:lang w:bidi="ar-EG"/>
        </w:rPr>
        <w:t>مبعوثي</w:t>
      </w:r>
      <w:r>
        <w:rPr>
          <w:rFonts w:hint="cs"/>
          <w:rtl/>
          <w:lang w:bidi="ar-EG"/>
        </w:rPr>
        <w:t>ن</w:t>
      </w:r>
      <w:r w:rsidRPr="002E6A91">
        <w:rPr>
          <w:rtl/>
          <w:lang w:bidi="ar-EG"/>
        </w:rPr>
        <w:t xml:space="preserve"> الشباب </w:t>
      </w:r>
      <w:r>
        <w:rPr>
          <w:rFonts w:hint="cs"/>
          <w:rtl/>
          <w:lang w:bidi="ar-EG"/>
        </w:rPr>
        <w:t>لمبادرة</w:t>
      </w:r>
      <w:r w:rsidRPr="002E6A91">
        <w:rPr>
          <w:rtl/>
          <w:lang w:bidi="ar-EG"/>
        </w:rPr>
        <w:t xml:space="preserve"> </w:t>
      </w:r>
      <w:r w:rsidRPr="00FA60AC">
        <w:rPr>
          <w:rFonts w:hint="cs"/>
          <w:rtl/>
          <w:lang w:bidi="ar-EG"/>
        </w:rPr>
        <w:t>توصيل الجيل</w:t>
      </w:r>
      <w:r w:rsidRPr="002E6A91">
        <w:rPr>
          <w:rtl/>
          <w:lang w:bidi="ar-EG"/>
        </w:rPr>
        <w:t xml:space="preserve"> لتعزيز </w:t>
      </w:r>
      <w:r>
        <w:rPr>
          <w:rFonts w:hint="cs"/>
          <w:rtl/>
          <w:lang w:bidi="ar-EG"/>
        </w:rPr>
        <w:t>التعاون</w:t>
      </w:r>
      <w:r w:rsidRPr="002E6A91">
        <w:rPr>
          <w:rtl/>
          <w:lang w:bidi="ar-EG"/>
        </w:rPr>
        <w:t xml:space="preserve"> مع الدول الأعضاء في الاتحاد في </w:t>
      </w:r>
      <w:r>
        <w:rPr>
          <w:rFonts w:hint="cs"/>
          <w:rtl/>
          <w:lang w:bidi="ar-EG"/>
        </w:rPr>
        <w:t xml:space="preserve">مبادرة </w:t>
      </w:r>
      <w:r w:rsidRPr="00015F9D">
        <w:rPr>
          <w:rFonts w:hint="cs"/>
          <w:i/>
          <w:iCs/>
          <w:rtl/>
          <w:lang w:bidi="ar-EG"/>
        </w:rPr>
        <w:t>توصيل الجيل</w:t>
      </w:r>
      <w:r>
        <w:rPr>
          <w:rFonts w:hint="cs"/>
          <w:rtl/>
          <w:lang w:bidi="ar-EG"/>
        </w:rPr>
        <w:t>.</w:t>
      </w:r>
    </w:p>
    <w:p w14:paraId="773E573A" w14:textId="377C144F" w:rsidR="00CF13EF" w:rsidRDefault="00CF13EF" w:rsidP="00CE292A">
      <w:pPr>
        <w:pStyle w:val="Headingb"/>
        <w:rPr>
          <w:lang w:bidi="ar-EG"/>
        </w:rPr>
      </w:pPr>
      <w:r>
        <w:rPr>
          <w:rFonts w:hint="cs"/>
          <w:rtl/>
          <w:lang w:bidi="ar-EG"/>
        </w:rPr>
        <w:t>المقترح</w:t>
      </w:r>
    </w:p>
    <w:p w14:paraId="2DA53220" w14:textId="5604DD60" w:rsidR="00CF13EF" w:rsidRDefault="00CF13EF" w:rsidP="00C64793">
      <w:pPr>
        <w:rPr>
          <w:rtl/>
          <w:lang w:bidi="ar-EG"/>
        </w:rPr>
      </w:pPr>
      <w:r>
        <w:rPr>
          <w:rtl/>
          <w:lang w:bidi="ar-EG"/>
        </w:rPr>
        <w:t xml:space="preserve">تدرك </w:t>
      </w:r>
      <w:r w:rsidR="00C64793" w:rsidRPr="00C64793">
        <w:rPr>
          <w:rFonts w:hint="cs"/>
          <w:rtl/>
          <w:lang w:bidi="ar-EG"/>
        </w:rPr>
        <w:t>الإدارات المقترِحة</w:t>
      </w:r>
      <w:r w:rsidR="00C64793" w:rsidRPr="00C64793">
        <w:rPr>
          <w:rtl/>
          <w:lang w:bidi="ar-EG"/>
        </w:rPr>
        <w:t xml:space="preserve"> </w:t>
      </w:r>
      <w:r>
        <w:rPr>
          <w:rtl/>
          <w:lang w:bidi="ar-EG"/>
        </w:rPr>
        <w:t xml:space="preserve">أهمية تمكين الشباب </w:t>
      </w:r>
      <w:r>
        <w:rPr>
          <w:rFonts w:hint="cs"/>
          <w:rtl/>
          <w:lang w:bidi="ar-EG"/>
        </w:rPr>
        <w:t>وإشراكهم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في</w:t>
      </w:r>
      <w:r>
        <w:rPr>
          <w:rtl/>
          <w:lang w:bidi="ar-EG"/>
        </w:rPr>
        <w:t xml:space="preserve"> التنمية الرقمية في جميع أنحاء العالم. ومع ذلك، لتحقيق المشاركة الكاملة لجميع الشباب في الأنشطة والمبادرات التي وضعها الاتحاد، سيكون من الضروري تعزيز وتنفيذ المبادرات والبرامج على المستوى الإقليمي، </w:t>
      </w:r>
      <w:r>
        <w:rPr>
          <w:rFonts w:hint="cs"/>
          <w:rtl/>
          <w:lang w:bidi="ar-EG"/>
        </w:rPr>
        <w:t>والاضطلاع بها</w:t>
      </w:r>
      <w:r>
        <w:rPr>
          <w:rtl/>
          <w:lang w:bidi="ar-EG"/>
        </w:rPr>
        <w:t xml:space="preserve"> بهدف استخدام </w:t>
      </w:r>
      <w:r>
        <w:rPr>
          <w:rFonts w:hint="cs"/>
          <w:rtl/>
          <w:lang w:bidi="ar-EG"/>
        </w:rPr>
        <w:t>ال</w:t>
      </w:r>
      <w:r>
        <w:rPr>
          <w:rtl/>
          <w:lang w:bidi="ar-EG"/>
        </w:rPr>
        <w:t>لغات الست</w:t>
      </w:r>
      <w:r>
        <w:rPr>
          <w:rFonts w:hint="cs"/>
          <w:rtl/>
          <w:lang w:bidi="ar-EG"/>
        </w:rPr>
        <w:t xml:space="preserve"> للاتحاد على قدم المساواة</w:t>
      </w:r>
      <w:r>
        <w:rPr>
          <w:rtl/>
          <w:lang w:bidi="ar-EG"/>
        </w:rPr>
        <w:t xml:space="preserve">. ويجب أن تكون المبادرات شاملة وتسعى إلى إشراك جميع </w:t>
      </w:r>
      <w:r>
        <w:rPr>
          <w:rFonts w:hint="cs"/>
          <w:rtl/>
          <w:lang w:bidi="ar-SY"/>
        </w:rPr>
        <w:t>فئات</w:t>
      </w:r>
      <w:r>
        <w:rPr>
          <w:rtl/>
          <w:lang w:bidi="ar-EG"/>
        </w:rPr>
        <w:t xml:space="preserve"> السكان بما</w:t>
      </w:r>
      <w:r>
        <w:rPr>
          <w:rFonts w:hint="cs"/>
          <w:rtl/>
          <w:lang w:bidi="ar-EG"/>
        </w:rPr>
        <w:t xml:space="preserve"> فيها </w:t>
      </w:r>
      <w:r>
        <w:rPr>
          <w:rtl/>
          <w:lang w:bidi="ar-EG"/>
        </w:rPr>
        <w:t>الشباب ذوي الإعاقة والأشخاص المنتمين إلى مجتمعات السكان الأصليين</w:t>
      </w:r>
      <w:r>
        <w:rPr>
          <w:lang w:bidi="ar-EG"/>
        </w:rPr>
        <w:t>.</w:t>
      </w:r>
    </w:p>
    <w:p w14:paraId="3580B863" w14:textId="77777777" w:rsidR="00CF13EF" w:rsidRDefault="00CF13EF" w:rsidP="00CF13EF">
      <w:pPr>
        <w:rPr>
          <w:rtl/>
          <w:lang w:bidi="ar-EG"/>
        </w:rPr>
      </w:pPr>
      <w:r>
        <w:rPr>
          <w:rtl/>
          <w:lang w:bidi="ar-EG"/>
        </w:rPr>
        <w:t>وتحقيق</w:t>
      </w:r>
      <w:r>
        <w:rPr>
          <w:rFonts w:hint="cs"/>
          <w:rtl/>
          <w:lang w:bidi="ar-EG"/>
        </w:rPr>
        <w:t>اً</w:t>
      </w:r>
      <w:r>
        <w:rPr>
          <w:rtl/>
          <w:lang w:bidi="ar-EG"/>
        </w:rPr>
        <w:t xml:space="preserve"> لهذه الغاية، سيكون من المهم مراعاة القرار 154 (المراجَع في بوخارست، 2022) لمؤتمر المندوبين المفوضين، بشأن استخدام اللغات الرسمية الست للاتحاد على قدم المساواة، </w:t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>الاعتراف بالأهمية الكبيرة</w:t>
      </w:r>
      <w:r>
        <w:rPr>
          <w:rFonts w:hint="cs"/>
          <w:rtl/>
          <w:lang w:bidi="ar-EG"/>
        </w:rPr>
        <w:t xml:space="preserve"> التي يكتسيها</w:t>
      </w:r>
      <w:r>
        <w:rPr>
          <w:rtl/>
          <w:lang w:bidi="ar-EG"/>
        </w:rPr>
        <w:t xml:space="preserve"> تعدد اللغات والتزام الاتحاد بتحقيقه من خلال استخدام لغاته الرسمية الست (العربية والصينية والإسبانية والفرنسية والإن</w:t>
      </w:r>
      <w:r>
        <w:rPr>
          <w:rFonts w:hint="cs"/>
          <w:rtl/>
          <w:lang w:bidi="ar-EG"/>
        </w:rPr>
        <w:t>ك</w:t>
      </w:r>
      <w:r>
        <w:rPr>
          <w:rtl/>
          <w:lang w:bidi="ar-EG"/>
        </w:rPr>
        <w:t>ليزية والروسية) على قدم المساواة في جميع أنشطته، وفي حدود الموارد المتاحة</w:t>
      </w:r>
      <w:r>
        <w:rPr>
          <w:lang w:bidi="ar-EG"/>
        </w:rPr>
        <w:t>.</w:t>
      </w:r>
    </w:p>
    <w:p w14:paraId="262E81BD" w14:textId="77777777" w:rsidR="00CF13EF" w:rsidRDefault="00CF13EF" w:rsidP="00CF13EF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إن تعدد اللغات هو قيمة أساسية ومبدأ أساسي للأمم المتحدة، وهو ما </w:t>
      </w:r>
      <w:r>
        <w:rPr>
          <w:rFonts w:hint="cs"/>
          <w:rtl/>
          <w:lang w:bidi="ar-EG"/>
        </w:rPr>
        <w:t>يساعد</w:t>
      </w:r>
      <w:r>
        <w:rPr>
          <w:rtl/>
          <w:lang w:bidi="ar-EG"/>
        </w:rPr>
        <w:t xml:space="preserve"> على تحقيق أهداف المنظمة ويضمن إمكانية مشاركة الدول الأعضاء على قدم المساواة</w:t>
      </w:r>
      <w:r>
        <w:rPr>
          <w:lang w:bidi="ar-EG"/>
        </w:rPr>
        <w:t>.</w:t>
      </w:r>
    </w:p>
    <w:p w14:paraId="6133E5FB" w14:textId="155229BB" w:rsidR="00CF13EF" w:rsidRDefault="00CF13EF" w:rsidP="00C64793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يمكن أن تكون اللغة </w:t>
      </w:r>
      <w:r w:rsidR="00C64793">
        <w:rPr>
          <w:rFonts w:hint="cs"/>
          <w:rtl/>
          <w:lang w:bidi="ar-EG"/>
        </w:rPr>
        <w:t>أحد</w:t>
      </w:r>
      <w:r>
        <w:rPr>
          <w:rtl/>
          <w:lang w:bidi="ar-EG"/>
        </w:rPr>
        <w:t xml:space="preserve"> أكبر العوائق التي تحول دون مشاركة الشباب. وتبين تجربة </w:t>
      </w:r>
      <w:r w:rsidR="00C64793" w:rsidRPr="00C64793">
        <w:rPr>
          <w:rFonts w:hint="cs"/>
          <w:rtl/>
          <w:lang w:bidi="ar-EG"/>
        </w:rPr>
        <w:t>الإدارات المقترِحة</w:t>
      </w:r>
      <w:r w:rsidR="00C64793" w:rsidRPr="00C64793">
        <w:rPr>
          <w:rtl/>
          <w:lang w:bidi="ar-EG"/>
        </w:rPr>
        <w:t xml:space="preserve"> </w:t>
      </w:r>
      <w:r>
        <w:rPr>
          <w:rtl/>
          <w:lang w:bidi="ar-EG"/>
        </w:rPr>
        <w:t>أن الشباب الذين لا</w:t>
      </w:r>
      <w:r w:rsidR="007752DB">
        <w:rPr>
          <w:rFonts w:hint="cs"/>
          <w:rtl/>
          <w:lang w:bidi="ar-EG"/>
        </w:rPr>
        <w:t> </w:t>
      </w:r>
      <w:r>
        <w:rPr>
          <w:rtl/>
          <w:lang w:bidi="ar-EG"/>
        </w:rPr>
        <w:t xml:space="preserve">يعرفون سوى لغة واحدة قد يواجهون </w:t>
      </w:r>
      <w:r>
        <w:rPr>
          <w:rFonts w:hint="cs"/>
          <w:rtl/>
          <w:lang w:bidi="ar-EG"/>
        </w:rPr>
        <w:t>عقبات أمام</w:t>
      </w:r>
      <w:r>
        <w:rPr>
          <w:rtl/>
          <w:lang w:bidi="ar-EG"/>
        </w:rPr>
        <w:t xml:space="preserve"> مشاركتهم في مبادرات الاتحاد</w:t>
      </w:r>
      <w:r>
        <w:rPr>
          <w:rFonts w:hint="cs"/>
          <w:rtl/>
          <w:lang w:bidi="ar-EG"/>
        </w:rPr>
        <w:t>،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بل قد يجدون</w:t>
      </w:r>
      <w:r>
        <w:rPr>
          <w:rtl/>
          <w:lang w:bidi="ar-EG"/>
        </w:rPr>
        <w:t xml:space="preserve"> أنفسهم </w:t>
      </w:r>
      <w:r>
        <w:rPr>
          <w:rFonts w:hint="cs"/>
          <w:rtl/>
          <w:lang w:bidi="ar-EG"/>
        </w:rPr>
        <w:t>مستبعدين</w:t>
      </w:r>
      <w:r>
        <w:rPr>
          <w:rtl/>
          <w:lang w:bidi="ar-EG"/>
        </w:rPr>
        <w:t xml:space="preserve"> منها تماماً. </w:t>
      </w:r>
      <w:r>
        <w:rPr>
          <w:rFonts w:hint="cs"/>
          <w:rtl/>
          <w:lang w:bidi="ar-EG"/>
        </w:rPr>
        <w:t>وإنما ذلك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</w:t>
      </w:r>
      <w:r>
        <w:rPr>
          <w:rtl/>
          <w:lang w:bidi="ar-EG"/>
        </w:rPr>
        <w:t xml:space="preserve">علامة على أن </w:t>
      </w:r>
      <w:r>
        <w:rPr>
          <w:rFonts w:hint="cs"/>
          <w:rtl/>
          <w:lang w:bidi="ar-EG"/>
        </w:rPr>
        <w:t>تكافؤ الفرص</w:t>
      </w:r>
      <w:r>
        <w:rPr>
          <w:rtl/>
          <w:lang w:bidi="ar-EG"/>
        </w:rPr>
        <w:t xml:space="preserve"> لم يصبح بعد حقيقة </w:t>
      </w:r>
      <w:r>
        <w:rPr>
          <w:rFonts w:hint="cs"/>
          <w:rtl/>
          <w:lang w:bidi="ar-EG"/>
        </w:rPr>
        <w:t xml:space="preserve">واقعة </w:t>
      </w:r>
      <w:r>
        <w:rPr>
          <w:rtl/>
          <w:lang w:bidi="ar-EG"/>
        </w:rPr>
        <w:t>للمشاركة النشطة في الأحداث والمناقشات الدولية</w:t>
      </w:r>
      <w:r>
        <w:rPr>
          <w:lang w:bidi="ar-EG"/>
        </w:rPr>
        <w:t>.</w:t>
      </w:r>
    </w:p>
    <w:p w14:paraId="1F0AC27A" w14:textId="51F937F2" w:rsidR="00CF13EF" w:rsidRDefault="00CF13EF" w:rsidP="007752DB">
      <w:pPr>
        <w:rPr>
          <w:rtl/>
          <w:lang w:bidi="ar-EG"/>
        </w:rPr>
      </w:pPr>
      <w:r>
        <w:rPr>
          <w:rtl/>
          <w:lang w:bidi="ar-EG"/>
        </w:rPr>
        <w:t>وبالمثل، لكي تكون المبادرات ممثلة حق</w:t>
      </w:r>
      <w:r>
        <w:rPr>
          <w:rFonts w:hint="cs"/>
          <w:rtl/>
          <w:lang w:bidi="ar-SY"/>
        </w:rPr>
        <w:t>اً</w:t>
      </w:r>
      <w:r>
        <w:rPr>
          <w:rtl/>
          <w:lang w:bidi="ar-EG"/>
        </w:rPr>
        <w:t xml:space="preserve"> لجميع </w:t>
      </w:r>
      <w:r>
        <w:rPr>
          <w:rFonts w:hint="cs"/>
          <w:rtl/>
          <w:lang w:bidi="ar-EG"/>
        </w:rPr>
        <w:t>فئات</w:t>
      </w:r>
      <w:r>
        <w:rPr>
          <w:rtl/>
          <w:lang w:bidi="ar-EG"/>
        </w:rPr>
        <w:t xml:space="preserve"> السكان، من المهم أن تهدف إلى المشاركة الشاملة للشباب ذوي الإعاقة والشباب المنتمين إلى مجتمعات السكان الأصليين، بهدف </w:t>
      </w:r>
      <w:r>
        <w:rPr>
          <w:rFonts w:hint="cs"/>
          <w:rtl/>
          <w:lang w:bidi="ar-EG"/>
        </w:rPr>
        <w:t>تيسير</w:t>
      </w:r>
      <w:r>
        <w:rPr>
          <w:rtl/>
          <w:lang w:bidi="ar-EG"/>
        </w:rPr>
        <w:t xml:space="preserve"> إدماجهم الرقمي والاستفادة من معرفة وجهات نظرهم، والتي يمكن إدراجها في المخرجات النهائية للمبادرات، أو تمكين البلدان الممثلة تمثيلاً ناقص</w:t>
      </w:r>
      <w:r>
        <w:rPr>
          <w:rFonts w:hint="cs"/>
          <w:rtl/>
          <w:lang w:bidi="ar-EG"/>
        </w:rPr>
        <w:t>اً</w:t>
      </w:r>
      <w:r>
        <w:rPr>
          <w:rtl/>
          <w:lang w:bidi="ar-EG"/>
        </w:rPr>
        <w:t xml:space="preserve"> في الاتحاد من المشاركة، مع مراعاة خبرتها ومعارفها المتخصصة، بما يتماشى مع القرار 184 (المراجَع في بوخارست</w:t>
      </w:r>
      <w:r>
        <w:rPr>
          <w:rFonts w:hint="cs"/>
          <w:rtl/>
          <w:lang w:bidi="ar-EG"/>
        </w:rPr>
        <w:t>، 2022</w:t>
      </w:r>
      <w:r>
        <w:rPr>
          <w:rtl/>
          <w:lang w:bidi="ar-EG"/>
        </w:rPr>
        <w:t xml:space="preserve">) والقرار 175 (المراجَع في بوخارست، 2022) لمؤتمر المندوبين المفوضين. وفي ضوء ما سبق، </w:t>
      </w:r>
      <w:r>
        <w:rPr>
          <w:rFonts w:hint="cs"/>
          <w:rtl/>
          <w:lang w:bidi="ar-EG"/>
        </w:rPr>
        <w:t>تؤكد</w:t>
      </w:r>
      <w:r>
        <w:rPr>
          <w:rtl/>
          <w:lang w:bidi="ar-EG"/>
        </w:rPr>
        <w:t xml:space="preserve"> </w:t>
      </w:r>
      <w:r w:rsidR="00C64793" w:rsidRPr="00C64793">
        <w:rPr>
          <w:rtl/>
          <w:lang w:bidi="ar-EG"/>
        </w:rPr>
        <w:t xml:space="preserve">الإدارات المقترِحة </w:t>
      </w:r>
      <w:r>
        <w:rPr>
          <w:rFonts w:hint="cs"/>
          <w:rtl/>
          <w:lang w:bidi="ar-EG"/>
        </w:rPr>
        <w:t>من جديد</w:t>
      </w:r>
      <w:r>
        <w:rPr>
          <w:rtl/>
          <w:lang w:bidi="ar-EG"/>
        </w:rPr>
        <w:t xml:space="preserve"> أهمية تنفيذ القرار 198 وتقترح ما يلي</w:t>
      </w:r>
      <w:r>
        <w:rPr>
          <w:lang w:bidi="ar-EG"/>
        </w:rPr>
        <w:t>:</w:t>
      </w:r>
    </w:p>
    <w:p w14:paraId="7AD37232" w14:textId="77777777" w:rsidR="00CF13EF" w:rsidRDefault="00CF13EF" w:rsidP="00FA60AC">
      <w:pPr>
        <w:pStyle w:val="enumlev1"/>
        <w:rPr>
          <w:rtl/>
        </w:rPr>
      </w:pPr>
      <w:r>
        <w:rPr>
          <w:rtl/>
        </w:rPr>
        <w:lastRenderedPageBreak/>
        <w:t>1</w:t>
      </w:r>
      <w:r>
        <w:rPr>
          <w:rtl/>
        </w:rPr>
        <w:tab/>
        <w:t xml:space="preserve">ينبغي </w:t>
      </w:r>
      <w:r>
        <w:rPr>
          <w:rFonts w:hint="cs"/>
          <w:rtl/>
        </w:rPr>
        <w:t xml:space="preserve">أن تكلّف </w:t>
      </w:r>
      <w:r>
        <w:rPr>
          <w:rtl/>
        </w:rPr>
        <w:t xml:space="preserve">أمانة الاتحاد مدير مكتب تنمية الاتصالات بالمحافظة على </w:t>
      </w:r>
      <w:r>
        <w:rPr>
          <w:rFonts w:hint="cs"/>
          <w:rtl/>
        </w:rPr>
        <w:t>إشراك</w:t>
      </w:r>
      <w:r>
        <w:rPr>
          <w:rtl/>
        </w:rPr>
        <w:t xml:space="preserve"> الشباب </w:t>
      </w:r>
      <w:r>
        <w:rPr>
          <w:rFonts w:hint="cs"/>
          <w:rtl/>
        </w:rPr>
        <w:t>ومشاركتهم</w:t>
      </w:r>
      <w:r>
        <w:rPr>
          <w:rtl/>
        </w:rPr>
        <w:t xml:space="preserve"> وتعزيزها، مع التركيز بشكل خاص على المشاركة الإقليمية</w:t>
      </w:r>
      <w:r>
        <w:rPr>
          <w:rFonts w:hint="cs"/>
          <w:rtl/>
        </w:rPr>
        <w:t>، من أجل المساهمة في</w:t>
      </w:r>
      <w:r>
        <w:rPr>
          <w:rtl/>
        </w:rPr>
        <w:t xml:space="preserve"> تحقيق الأهداف الرئيسية للاتحاد؛ وتعزيز مشاركة الشباب في برامجه وفعالياته وأنشطته، بناءً على </w:t>
      </w:r>
      <w:r>
        <w:rPr>
          <w:rFonts w:hint="cs"/>
          <w:rtl/>
        </w:rPr>
        <w:t>الفقرة</w:t>
      </w:r>
      <w:r>
        <w:rPr>
          <w:rtl/>
        </w:rPr>
        <w:t xml:space="preserve"> 2 من </w:t>
      </w:r>
      <w:r>
        <w:rPr>
          <w:rFonts w:hint="cs"/>
          <w:rtl/>
        </w:rPr>
        <w:t>"</w:t>
      </w:r>
      <w:r w:rsidRPr="005118E0">
        <w:rPr>
          <w:rFonts w:hint="cs"/>
          <w:i/>
          <w:iCs/>
          <w:rtl/>
        </w:rPr>
        <w:t>يقرر</w:t>
      </w:r>
      <w:r>
        <w:rPr>
          <w:rFonts w:hint="cs"/>
          <w:rtl/>
        </w:rPr>
        <w:t xml:space="preserve">" من </w:t>
      </w:r>
      <w:r>
        <w:rPr>
          <w:rtl/>
        </w:rPr>
        <w:t>القرار 198.</w:t>
      </w:r>
    </w:p>
    <w:p w14:paraId="1CD0EAFE" w14:textId="623144C0" w:rsidR="00CF13EF" w:rsidRDefault="00CF13EF" w:rsidP="00C64793">
      <w:pPr>
        <w:pStyle w:val="enumlev1"/>
        <w:rPr>
          <w:rtl/>
        </w:rPr>
      </w:pPr>
      <w:r>
        <w:rPr>
          <w:rtl/>
        </w:rPr>
        <w:t>2</w:t>
      </w:r>
      <w:r>
        <w:rPr>
          <w:rtl/>
        </w:rPr>
        <w:tab/>
        <w:t xml:space="preserve">ومع مراعاة القيود اللغوية وقيود الميزانية، ترى </w:t>
      </w:r>
      <w:r w:rsidR="00C64793" w:rsidRPr="00C64793">
        <w:rPr>
          <w:rFonts w:hint="cs"/>
          <w:rtl/>
          <w:lang w:bidi="ar-EG"/>
        </w:rPr>
        <w:t>الإدارات المقترِحة</w:t>
      </w:r>
      <w:r w:rsidR="00C64793" w:rsidRPr="00C64793">
        <w:rPr>
          <w:rtl/>
          <w:lang w:bidi="ar-EG"/>
        </w:rPr>
        <w:t xml:space="preserve"> </w:t>
      </w:r>
      <w:r>
        <w:rPr>
          <w:rtl/>
        </w:rPr>
        <w:t xml:space="preserve">أن من الضروري أن تقوم أمانة الاتحاد بإيجاد حوافز لمزيد من المبادرات الإقليمية والمحلية التي تهدف إلى </w:t>
      </w:r>
      <w:r>
        <w:rPr>
          <w:rFonts w:hint="cs"/>
          <w:rtl/>
        </w:rPr>
        <w:t>إشراك</w:t>
      </w:r>
      <w:r>
        <w:rPr>
          <w:rtl/>
        </w:rPr>
        <w:t xml:space="preserve"> الشباب، وتشجيع إدماج الشباب المنتمين إلى مجتمعات السكان الأصليين</w:t>
      </w:r>
      <w:r>
        <w:rPr>
          <w:rFonts w:hint="cs"/>
          <w:rtl/>
        </w:rPr>
        <w:t xml:space="preserve">، </w:t>
      </w:r>
      <w:r>
        <w:rPr>
          <w:rtl/>
        </w:rPr>
        <w:t>وذلك بهدف دعم وتعزيز الفقرة 1 من</w:t>
      </w:r>
      <w:r>
        <w:rPr>
          <w:rFonts w:hint="cs"/>
          <w:rtl/>
        </w:rPr>
        <w:t xml:space="preserve"> "</w:t>
      </w:r>
      <w:r w:rsidRPr="00D32220">
        <w:rPr>
          <w:rFonts w:hint="cs"/>
          <w:i/>
          <w:iCs/>
          <w:rtl/>
        </w:rPr>
        <w:t>يقرر</w:t>
      </w:r>
      <w:r>
        <w:rPr>
          <w:rFonts w:hint="cs"/>
          <w:rtl/>
        </w:rPr>
        <w:t>" من</w:t>
      </w:r>
      <w:r>
        <w:rPr>
          <w:rtl/>
        </w:rPr>
        <w:t xml:space="preserve"> القرار 154.</w:t>
      </w:r>
    </w:p>
    <w:p w14:paraId="15D3CB72" w14:textId="77777777" w:rsidR="00CF13EF" w:rsidRDefault="00CF13EF" w:rsidP="00FA60AC">
      <w:pPr>
        <w:pStyle w:val="enumlev1"/>
        <w:rPr>
          <w:rtl/>
        </w:rPr>
      </w:pPr>
      <w:r>
        <w:rPr>
          <w:rtl/>
        </w:rPr>
        <w:t>3</w:t>
      </w:r>
      <w:r>
        <w:rPr>
          <w:rtl/>
        </w:rPr>
        <w:tab/>
        <w:t xml:space="preserve">ينبغي أن تدرس </w:t>
      </w:r>
      <w:r>
        <w:rPr>
          <w:rFonts w:hint="cs"/>
          <w:rtl/>
        </w:rPr>
        <w:t xml:space="preserve">أمانة الاتحاد </w:t>
      </w:r>
      <w:r>
        <w:rPr>
          <w:rtl/>
        </w:rPr>
        <w:t xml:space="preserve">إمكانية توفير الترجمة الشفوية باللغات الرسمية الست للاتحاد في الأحداث الإقليمية </w:t>
      </w:r>
      <w:r>
        <w:rPr>
          <w:rFonts w:hint="cs"/>
          <w:rtl/>
        </w:rPr>
        <w:t>التي تُنظم في إطار ال</w:t>
      </w:r>
      <w:r>
        <w:rPr>
          <w:rtl/>
        </w:rPr>
        <w:t xml:space="preserve">مبادرات </w:t>
      </w:r>
      <w:r>
        <w:rPr>
          <w:rFonts w:hint="cs"/>
          <w:rtl/>
        </w:rPr>
        <w:t>المتعلقة ب</w:t>
      </w:r>
      <w:r>
        <w:rPr>
          <w:rtl/>
        </w:rPr>
        <w:t xml:space="preserve">الشباب، مثل مبادرة </w:t>
      </w:r>
      <w:r w:rsidRPr="00D32220">
        <w:rPr>
          <w:rFonts w:hint="cs"/>
          <w:i/>
          <w:iCs/>
          <w:rtl/>
        </w:rPr>
        <w:t>توصيل الجيل</w:t>
      </w:r>
      <w:r>
        <w:rPr>
          <w:rtl/>
        </w:rPr>
        <w:t xml:space="preserve">، </w:t>
      </w:r>
      <w:r>
        <w:rPr>
          <w:rFonts w:hint="cs"/>
          <w:rtl/>
        </w:rPr>
        <w:t>حيثما أمكن ذلك</w:t>
      </w:r>
      <w:r>
        <w:rPr>
          <w:rtl/>
        </w:rPr>
        <w:t xml:space="preserve">، مع مراعاة التركيبة اللغوية </w:t>
      </w:r>
      <w:r>
        <w:rPr>
          <w:rFonts w:hint="cs"/>
          <w:rtl/>
        </w:rPr>
        <w:t>للأقاليم،</w:t>
      </w:r>
      <w:r>
        <w:rPr>
          <w:rtl/>
        </w:rPr>
        <w:t xml:space="preserve"> من أجل خلق حوافز لمشاركة الشباب </w:t>
      </w:r>
      <w:r>
        <w:rPr>
          <w:rFonts w:hint="cs"/>
          <w:rtl/>
        </w:rPr>
        <w:t>في ا</w:t>
      </w:r>
      <w:r>
        <w:rPr>
          <w:rtl/>
        </w:rPr>
        <w:t xml:space="preserve">لأنشطة </w:t>
      </w:r>
      <w:r>
        <w:rPr>
          <w:rFonts w:hint="cs"/>
          <w:rtl/>
        </w:rPr>
        <w:t>المرتبطة</w:t>
      </w:r>
      <w:r>
        <w:rPr>
          <w:rtl/>
        </w:rPr>
        <w:t xml:space="preserve"> بتلك المبادرات</w:t>
      </w:r>
      <w:r w:rsidRPr="00D32220">
        <w:rPr>
          <w:rtl/>
        </w:rPr>
        <w:t xml:space="preserve"> </w:t>
      </w:r>
      <w:r>
        <w:rPr>
          <w:rtl/>
        </w:rPr>
        <w:t>وتحسين فهم</w:t>
      </w:r>
      <w:r>
        <w:rPr>
          <w:rFonts w:hint="cs"/>
          <w:rtl/>
        </w:rPr>
        <w:t>هم لها</w:t>
      </w:r>
      <w:r>
        <w:rPr>
          <w:rtl/>
        </w:rPr>
        <w:t>.</w:t>
      </w:r>
    </w:p>
    <w:p w14:paraId="79309E97" w14:textId="0E4942CA" w:rsidR="00CF13EF" w:rsidRDefault="00CF13EF" w:rsidP="00FA60AC">
      <w:pPr>
        <w:pStyle w:val="enumlev1"/>
        <w:rPr>
          <w:rtl/>
        </w:rPr>
      </w:pPr>
      <w:r>
        <w:rPr>
          <w:rtl/>
        </w:rPr>
        <w:t>4</w:t>
      </w:r>
      <w:r>
        <w:rPr>
          <w:rtl/>
        </w:rPr>
        <w:tab/>
        <w:t xml:space="preserve">ينبغي أن </w:t>
      </w:r>
      <w:r>
        <w:rPr>
          <w:rFonts w:hint="cs"/>
          <w:rtl/>
        </w:rPr>
        <w:t>تواصل أمانة الاتحاد</w:t>
      </w:r>
      <w:r>
        <w:rPr>
          <w:rtl/>
        </w:rPr>
        <w:t xml:space="preserve"> دعوة الدول الأعضاء إلى اتخاذ التدابير التي تراها ضرورية لتشجيع الشباب على المشاركة في أنشطة الاتحاد - وخاصة الشباب ذوي الإعاقة أو الاحتياجات الخاصة - من أجل زيادة الشمولية والسماح بدمج عدد أكبر من وجهات النظر في </w:t>
      </w:r>
      <w:r>
        <w:rPr>
          <w:rFonts w:hint="cs"/>
          <w:rtl/>
        </w:rPr>
        <w:t>منابر</w:t>
      </w:r>
      <w:r>
        <w:rPr>
          <w:rtl/>
        </w:rPr>
        <w:t xml:space="preserve"> ومنتديات المبادرات التي تركز على الشباب، وذلك لتعزيز</w:t>
      </w:r>
      <w:r>
        <w:rPr>
          <w:rFonts w:hint="cs"/>
          <w:rtl/>
        </w:rPr>
        <w:t xml:space="preserve"> الفقرة</w:t>
      </w:r>
      <w:r w:rsidR="00400367">
        <w:rPr>
          <w:rFonts w:hint="eastAsia"/>
          <w:rtl/>
        </w:rPr>
        <w:t> </w:t>
      </w:r>
      <w:r>
        <w:rPr>
          <w:rFonts w:hint="cs"/>
          <w:rtl/>
        </w:rPr>
        <w:t xml:space="preserve">1 </w:t>
      </w:r>
      <w:r>
        <w:rPr>
          <w:rtl/>
        </w:rPr>
        <w:t>من</w:t>
      </w:r>
      <w:r w:rsidR="00400367">
        <w:rPr>
          <w:rFonts w:hint="eastAsia"/>
          <w:rtl/>
        </w:rPr>
        <w:t> </w:t>
      </w:r>
      <w:r>
        <w:rPr>
          <w:rFonts w:hint="cs"/>
          <w:rtl/>
        </w:rPr>
        <w:t>"</w:t>
      </w:r>
      <w:r w:rsidRPr="00D32220">
        <w:rPr>
          <w:rFonts w:hint="cs"/>
          <w:i/>
          <w:iCs/>
          <w:rtl/>
        </w:rPr>
        <w:t>يقرر</w:t>
      </w:r>
      <w:r>
        <w:rPr>
          <w:rFonts w:hint="cs"/>
          <w:rtl/>
        </w:rPr>
        <w:t>" من</w:t>
      </w:r>
      <w:r>
        <w:rPr>
          <w:rtl/>
        </w:rPr>
        <w:t xml:space="preserve"> القرار 175.</w:t>
      </w:r>
    </w:p>
    <w:p w14:paraId="567F6A09" w14:textId="316F53C2" w:rsidR="0052567A" w:rsidRDefault="0052567A" w:rsidP="00FA60AC">
      <w:pPr>
        <w:pStyle w:val="enumlev1"/>
        <w:rPr>
          <w:rtl/>
        </w:rPr>
      </w:pPr>
      <w:r>
        <w:t>5</w:t>
      </w:r>
      <w:r>
        <w:rPr>
          <w:rtl/>
        </w:rPr>
        <w:tab/>
      </w:r>
      <w:r w:rsidR="00C64793" w:rsidRPr="00C64793">
        <w:rPr>
          <w:rtl/>
        </w:rPr>
        <w:t xml:space="preserve">‏ينبغي لأمانة الاتحاد أن تحث مختلف الدول الأعضاء والمنظمات الإقليمية على تشجيع برامج التوجيه المصممة </w:t>
      </w:r>
      <w:r w:rsidR="00A2574C">
        <w:rPr>
          <w:rFonts w:hint="cs"/>
          <w:rtl/>
          <w:lang w:bidi="ar-EG"/>
        </w:rPr>
        <w:t>لزيادة</w:t>
      </w:r>
      <w:r w:rsidR="00C64793" w:rsidRPr="00C64793">
        <w:rPr>
          <w:rtl/>
        </w:rPr>
        <w:t xml:space="preserve"> مشاركة الشباب</w:t>
      </w:r>
      <w:r w:rsidR="00A2574C">
        <w:rPr>
          <w:rFonts w:hint="cs"/>
          <w:rtl/>
        </w:rPr>
        <w:t xml:space="preserve"> </w:t>
      </w:r>
      <w:r w:rsidR="00A2574C" w:rsidRPr="007752DB">
        <w:rPr>
          <w:rFonts w:hint="cs"/>
          <w:rtl/>
        </w:rPr>
        <w:t>إلى أقصى حد</w:t>
      </w:r>
      <w:r w:rsidR="00C64793" w:rsidRPr="00C64793">
        <w:rPr>
          <w:rtl/>
        </w:rPr>
        <w:t xml:space="preserve"> في الأحداث الإقليمية والدولية. وينبغي أن تركز هذه البرامج على تزويد الشباب بالمهارات والمعارف اللازمة </w:t>
      </w:r>
      <w:r w:rsidR="00A2574C">
        <w:rPr>
          <w:rFonts w:hint="cs"/>
          <w:rtl/>
        </w:rPr>
        <w:t>لتولي</w:t>
      </w:r>
      <w:r w:rsidR="00C64793" w:rsidRPr="00C64793">
        <w:rPr>
          <w:rtl/>
        </w:rPr>
        <w:t xml:space="preserve"> أدوار القيادة واتخاذ القرارات بفعالية. وبالإضافة إلى ذلك، يوصى بوضع هذه المبادرات بالتعاون مع الكيانات التعليمية ومنظمات الشباب لضمان اتباع نهج شامل ومستدام لتدريب الشباب.</w:t>
      </w:r>
      <w:r w:rsidR="00C64793" w:rsidRPr="00C64793">
        <w:rPr>
          <w:cs/>
        </w:rPr>
        <w:t>‎</w:t>
      </w:r>
    </w:p>
    <w:p w14:paraId="30AB486B" w14:textId="77777777" w:rsidR="00F50E3F" w:rsidRPr="00907B08" w:rsidRDefault="00907B08" w:rsidP="00907B08">
      <w:pPr>
        <w:spacing w:before="600"/>
        <w:jc w:val="center"/>
        <w:rPr>
          <w:sz w:val="24"/>
          <w:szCs w:val="24"/>
          <w:rtl/>
        </w:rPr>
      </w:pPr>
      <w:r w:rsidRPr="00023276">
        <w:rPr>
          <w:sz w:val="24"/>
          <w:szCs w:val="24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RPr="00907B08" w:rsidSect="006C3242">
      <w:footerReference w:type="default" r:id="rId15"/>
      <w:headerReference w:type="firs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37E4D" w14:textId="77777777" w:rsidR="009F2D92" w:rsidRDefault="009F2D92" w:rsidP="006C3242">
      <w:pPr>
        <w:spacing w:before="0" w:line="240" w:lineRule="auto"/>
      </w:pPr>
      <w:r>
        <w:separator/>
      </w:r>
    </w:p>
  </w:endnote>
  <w:endnote w:type="continuationSeparator" w:id="0">
    <w:p w14:paraId="22A8C43C" w14:textId="77777777" w:rsidR="009F2D92" w:rsidRDefault="009F2D9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13FD2415" w14:textId="77777777" w:rsidTr="00357086">
      <w:trPr>
        <w:jc w:val="center"/>
      </w:trPr>
      <w:tc>
        <w:tcPr>
          <w:tcW w:w="868" w:type="pct"/>
          <w:vAlign w:val="center"/>
        </w:tcPr>
        <w:p w14:paraId="7BB117BC" w14:textId="77777777" w:rsidR="00F50E3F" w:rsidRPr="004B14F7" w:rsidRDefault="00F50E3F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  <w:lang w:val="en-US"/>
            </w:rPr>
          </w:pPr>
        </w:p>
      </w:tc>
      <w:tc>
        <w:tcPr>
          <w:tcW w:w="3912" w:type="pct"/>
        </w:tcPr>
        <w:p w14:paraId="53E8772A" w14:textId="774CD886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CF13EF">
            <w:rPr>
              <w:rFonts w:ascii="Calibri" w:hAnsi="Calibri" w:cs="Arial"/>
              <w:bCs/>
              <w:color w:val="7F7F7F"/>
              <w:sz w:val="18"/>
            </w:rPr>
            <w:t>99</w:t>
          </w:r>
          <w:r w:rsidR="0052567A">
            <w:rPr>
              <w:rFonts w:ascii="Calibri" w:hAnsi="Calibri" w:cs="Arial"/>
              <w:bCs/>
              <w:color w:val="7F7F7F"/>
              <w:sz w:val="18"/>
            </w:rPr>
            <w:t>(Rev.1)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18306771" w14:textId="77777777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715DFEC9" w14:textId="77777777" w:rsidR="00387876" w:rsidRPr="001F2A62" w:rsidRDefault="00387876" w:rsidP="001F2A62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2"/>
        <w:szCs w:val="2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468FE549" w14:textId="77777777" w:rsidTr="00F50E3F">
      <w:trPr>
        <w:jc w:val="center"/>
      </w:trPr>
      <w:tc>
        <w:tcPr>
          <w:tcW w:w="868" w:type="pct"/>
          <w:vAlign w:val="center"/>
        </w:tcPr>
        <w:p w14:paraId="2A1C1D9B" w14:textId="77777777" w:rsidR="007B0AA0" w:rsidRPr="007B0AA0" w:rsidRDefault="007752DB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13A89954" w14:textId="6216B887" w:rsidR="007B0AA0" w:rsidRPr="007B0AA0" w:rsidRDefault="007B0AA0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CF13EF">
            <w:rPr>
              <w:rFonts w:ascii="Calibri" w:hAnsi="Calibri" w:cs="Arial"/>
              <w:bCs/>
              <w:color w:val="7F7F7F"/>
              <w:sz w:val="18"/>
            </w:rPr>
            <w:t>99</w:t>
          </w:r>
          <w:r w:rsidR="0052567A">
            <w:rPr>
              <w:rFonts w:ascii="Calibri" w:hAnsi="Calibri" w:cs="Arial"/>
              <w:bCs/>
              <w:color w:val="7F7F7F"/>
              <w:sz w:val="18"/>
            </w:rPr>
            <w:t>(Rev.1)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460EF312" w14:textId="77777777" w:rsidR="007B0AA0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195C0301" w14:textId="77777777" w:rsidR="00387876" w:rsidRPr="001F2A62" w:rsidRDefault="00387876" w:rsidP="001F2A62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2"/>
        <w:szCs w:val="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B8BB4" w14:textId="77777777" w:rsidR="009F2D92" w:rsidRDefault="009F2D92" w:rsidP="006C3242">
      <w:pPr>
        <w:spacing w:before="0" w:line="240" w:lineRule="auto"/>
      </w:pPr>
      <w:r>
        <w:separator/>
      </w:r>
    </w:p>
  </w:footnote>
  <w:footnote w:type="continuationSeparator" w:id="0">
    <w:p w14:paraId="65E17242" w14:textId="77777777" w:rsidR="009F2D92" w:rsidRDefault="009F2D92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F446B" w14:textId="77777777" w:rsidR="007B0AA0" w:rsidRDefault="0009186A" w:rsidP="007B0AA0">
    <w:pPr>
      <w:pStyle w:val="Header"/>
      <w:spacing w:before="120"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94F927" wp14:editId="34273864">
              <wp:simplePos x="0" y="0"/>
              <wp:positionH relativeFrom="page">
                <wp:posOffset>7450455</wp:posOffset>
              </wp:positionH>
              <wp:positionV relativeFrom="topMargin">
                <wp:posOffset>596949</wp:posOffset>
              </wp:positionV>
              <wp:extent cx="93600" cy="396000"/>
              <wp:effectExtent l="0" t="0" r="1905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6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BC97B8" id="Rectangle 5" o:spid="_x0000_s1026" style="position:absolute;margin-left:586.65pt;margin-top:47pt;width:7.3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FS5gEAALMDAAAOAAAAZHJzL2Uyb0RvYy54bWysU9GO0zAQfEfiHyy/06S93kGjpqdTq0NI&#10;B4d08AFbx0ksHK9Zu02Pr2ft9noVvCFeIq/XHs/MTpa3h8GKvaZg0NVyOiml0E5hY1xXy+/f7t99&#10;kCJEcA1YdLqWzzrI29XbN8vRV3qGPdpGk2AQF6rR17KP0VdFEVSvBwgT9Npxs0UaIHJJXdEQjIw+&#10;2GJWljfFiNR4QqVD4N3NsSlXGb9ttYqPbRt0FLaWzC3mL+XvNn2L1RKqjsD3Rp1owD+wGMA4fvQM&#10;tYEIYkfmL6jBKMKAbZwoHApsW6N01sBqpuUfap568DprYXOCP9sU/h+s+rJ/8l8pUQ/+AdWPIByu&#10;e3CdviPCsdfQ8HPTZFQx+lCdL6Qi8FWxHT9jw6OFXcTswaGlIQGyOnHIVj+frdaHKBRvLq5uSp6H&#10;4s7Vgpd5EgVUL3c9hfhR4yDSopbEg8zYsH8IMXGB6uVI5o7WNPfG2lxQt11bEntIQy8X6811ps8S&#10;L49Zlw47TNeOiGkni0y6UoRCtcXmmTUSHpPDSedFj/RLipFTU8vwcwekpbCfHPu0mM7nKWa5mF+/&#10;n3FBl53tZQecYqhaRimOy3U8RnPnyXQ9vzTNoh3esbetycJfWZ3IcjKyH6cUp+hd1vnU67+2+g0A&#10;AP//AwBQSwMEFAAGAAgAAAAhAJVmuqriAAAADAEAAA8AAABkcnMvZG93bnJldi54bWxMj81OwzAQ&#10;hO9IvIO1SNyok7S0IcSpEIJDVQ7059KbGy9JIF6H2G1Tnp7tCW4z2k+zM/l8sK04Yu8bRwriUQQC&#10;qXSmoUrBdvN6l4LwQZPRrSNUcEYP8+L6KteZcSda4XEdKsEh5DOtoA6hy6T0ZY1W+5HrkPj24Xqr&#10;A9u+kqbXJw63rUyiaCqtbog/1LrD5xrLr/XBKgi7pJqd35ch2b4sv98+F4vmx+yUur0Znh5BBBzC&#10;HwyX+lwdCu60dwcyXrTs49l4zKyChwmPuhBxmrLas7qfTkAWufw/ovgFAAD//wMAUEsBAi0AFAAG&#10;AAgAAAAhALaDOJL+AAAA4QEAABMAAAAAAAAAAAAAAAAAAAAAAFtDb250ZW50X1R5cGVzXS54bWxQ&#10;SwECLQAUAAYACAAAACEAOP0h/9YAAACUAQAACwAAAAAAAAAAAAAAAAAvAQAAX3JlbHMvLnJlbHNQ&#10;SwECLQAUAAYACAAAACEA63xBUuYBAACzAwAADgAAAAAAAAAAAAAAAAAuAgAAZHJzL2Uyb0RvYy54&#10;bWxQSwECLQAUAAYACAAAACEAlWa6quIAAAAMAQAADwAAAAAAAAAAAAAAAABABAAAZHJzL2Rvd25y&#10;ZXYueG1sUEsFBgAAAAAEAAQA8wAAAE8FAAAAAA==&#10;" fillcolor="#009cd5" stroked="f">
              <w10:wrap anchorx="page" anchory="margin"/>
            </v:rect>
          </w:pict>
        </mc:Fallback>
      </mc:AlternateContent>
    </w:r>
    <w:r w:rsidR="00B6080B">
      <w:rPr>
        <w:noProof/>
      </w:rPr>
      <w:drawing>
        <wp:inline distT="0" distB="0" distL="0" distR="0" wp14:anchorId="5FAB2B78" wp14:editId="44AF7DF3">
          <wp:extent cx="1956396" cy="525101"/>
          <wp:effectExtent l="0" t="0" r="0" b="8890"/>
          <wp:docPr id="1" name="Picture 1" descr="A black background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blu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352" cy="535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A1"/>
    <w:rsid w:val="0006468A"/>
    <w:rsid w:val="00090574"/>
    <w:rsid w:val="0009186A"/>
    <w:rsid w:val="000C1C0E"/>
    <w:rsid w:val="000C548A"/>
    <w:rsid w:val="00195B5F"/>
    <w:rsid w:val="001C0169"/>
    <w:rsid w:val="001D1D50"/>
    <w:rsid w:val="001D6745"/>
    <w:rsid w:val="001E446E"/>
    <w:rsid w:val="001F2A62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86816"/>
    <w:rsid w:val="00387876"/>
    <w:rsid w:val="003F4B29"/>
    <w:rsid w:val="00400367"/>
    <w:rsid w:val="0042686F"/>
    <w:rsid w:val="004317D8"/>
    <w:rsid w:val="00434183"/>
    <w:rsid w:val="00443869"/>
    <w:rsid w:val="00447F32"/>
    <w:rsid w:val="004B14F7"/>
    <w:rsid w:val="004B7334"/>
    <w:rsid w:val="004E11DC"/>
    <w:rsid w:val="0052567A"/>
    <w:rsid w:val="00525DDD"/>
    <w:rsid w:val="005409AC"/>
    <w:rsid w:val="0055516A"/>
    <w:rsid w:val="00562A38"/>
    <w:rsid w:val="0058491B"/>
    <w:rsid w:val="00592EA5"/>
    <w:rsid w:val="005A3170"/>
    <w:rsid w:val="00677396"/>
    <w:rsid w:val="0067755E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752DB"/>
    <w:rsid w:val="00783E26"/>
    <w:rsid w:val="007A6AA1"/>
    <w:rsid w:val="007B0AA0"/>
    <w:rsid w:val="007C3BC7"/>
    <w:rsid w:val="007C3BCD"/>
    <w:rsid w:val="007D4ACF"/>
    <w:rsid w:val="007F0787"/>
    <w:rsid w:val="00810B7B"/>
    <w:rsid w:val="0081703A"/>
    <w:rsid w:val="0082358A"/>
    <w:rsid w:val="008235CD"/>
    <w:rsid w:val="008247DE"/>
    <w:rsid w:val="008339C0"/>
    <w:rsid w:val="00840B10"/>
    <w:rsid w:val="008513CB"/>
    <w:rsid w:val="008A7F84"/>
    <w:rsid w:val="008D1850"/>
    <w:rsid w:val="00907B08"/>
    <w:rsid w:val="0091702E"/>
    <w:rsid w:val="00923B0C"/>
    <w:rsid w:val="0094021C"/>
    <w:rsid w:val="00952F86"/>
    <w:rsid w:val="00974B51"/>
    <w:rsid w:val="00982B28"/>
    <w:rsid w:val="009D313F"/>
    <w:rsid w:val="009F2D92"/>
    <w:rsid w:val="00A2574C"/>
    <w:rsid w:val="00A447A1"/>
    <w:rsid w:val="00A47A5A"/>
    <w:rsid w:val="00A6683B"/>
    <w:rsid w:val="00A97F94"/>
    <w:rsid w:val="00AA7EA2"/>
    <w:rsid w:val="00B03099"/>
    <w:rsid w:val="00B05BC8"/>
    <w:rsid w:val="00B6080B"/>
    <w:rsid w:val="00B64B47"/>
    <w:rsid w:val="00B91B14"/>
    <w:rsid w:val="00B95654"/>
    <w:rsid w:val="00C002DE"/>
    <w:rsid w:val="00C53BF8"/>
    <w:rsid w:val="00C64793"/>
    <w:rsid w:val="00C66157"/>
    <w:rsid w:val="00C674FE"/>
    <w:rsid w:val="00C67501"/>
    <w:rsid w:val="00C75633"/>
    <w:rsid w:val="00CE292A"/>
    <w:rsid w:val="00CE2EE1"/>
    <w:rsid w:val="00CE3349"/>
    <w:rsid w:val="00CE36E5"/>
    <w:rsid w:val="00CF13EF"/>
    <w:rsid w:val="00CF27F5"/>
    <w:rsid w:val="00CF3FFD"/>
    <w:rsid w:val="00D10CCF"/>
    <w:rsid w:val="00D13941"/>
    <w:rsid w:val="00D63735"/>
    <w:rsid w:val="00D77D0F"/>
    <w:rsid w:val="00DA1CF0"/>
    <w:rsid w:val="00DC1E02"/>
    <w:rsid w:val="00DC24B4"/>
    <w:rsid w:val="00DC5FB0"/>
    <w:rsid w:val="00DF16DC"/>
    <w:rsid w:val="00E1229D"/>
    <w:rsid w:val="00E22372"/>
    <w:rsid w:val="00E45211"/>
    <w:rsid w:val="00E473C5"/>
    <w:rsid w:val="00E61BE8"/>
    <w:rsid w:val="00E92863"/>
    <w:rsid w:val="00E95327"/>
    <w:rsid w:val="00EB796D"/>
    <w:rsid w:val="00ED43CD"/>
    <w:rsid w:val="00F058DC"/>
    <w:rsid w:val="00F24FC4"/>
    <w:rsid w:val="00F2676C"/>
    <w:rsid w:val="00F363FE"/>
    <w:rsid w:val="00F50E3F"/>
    <w:rsid w:val="00F71F04"/>
    <w:rsid w:val="00F84366"/>
    <w:rsid w:val="00F85089"/>
    <w:rsid w:val="00F974C5"/>
    <w:rsid w:val="00FA60AC"/>
    <w:rsid w:val="00FA6F46"/>
    <w:rsid w:val="00FC3A76"/>
    <w:rsid w:val="00FC4592"/>
    <w:rsid w:val="00FD43B5"/>
    <w:rsid w:val="00FD4770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C73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74B51"/>
    <w:pPr>
      <w:spacing w:after="0" w:line="240" w:lineRule="auto"/>
    </w:pPr>
    <w:rPr>
      <w:rFonts w:ascii="Dubai" w:hAnsi="Dubai" w:cs="Dubai"/>
    </w:rPr>
  </w:style>
  <w:style w:type="character" w:styleId="FollowedHyperlink">
    <w:name w:val="FollowedHyperlink"/>
    <w:basedOn w:val="DefaultParagraphFont"/>
    <w:uiPriority w:val="99"/>
    <w:semiHidden/>
    <w:unhideWhenUsed/>
    <w:rsid w:val="00CF13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RES-198-A.pdf" TargetMode="External"/><Relationship Id="rId13" Type="http://schemas.openxmlformats.org/officeDocument/2006/relationships/hyperlink" Target="https://www.itu.int/md/S24-CL-C-0031/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council/Documents/basic-texts-2023/RES-025-a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Documents/basic-texts-2023/RES-175-a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en/council/Documents/basic-texts-2023/RES-184-a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-2023/RES-154-a.pdf" TargetMode="External"/><Relationship Id="rId14" Type="http://schemas.openxmlformats.org/officeDocument/2006/relationships/hyperlink" Target="https://www.itu.int/md/S24-CL-C-0031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Additional session of Council 2023</dc:subject>
  <dc:creator/>
  <cp:keywords>C23-ADD, C2023, C23, Council-23</cp:keywords>
  <dc:description/>
  <cp:lastModifiedBy/>
  <cp:revision>1</cp:revision>
  <dcterms:created xsi:type="dcterms:W3CDTF">2024-06-05T12:04:00Z</dcterms:created>
  <dcterms:modified xsi:type="dcterms:W3CDTF">2024-06-05T12:31:00Z</dcterms:modified>
  <cp:category>Conference document</cp:category>
</cp:coreProperties>
</file>