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5E3AF6" w:rsidRPr="005E3AF6" w14:paraId="190B3243" w14:textId="77777777" w:rsidTr="005E74A1">
        <w:trPr>
          <w:cantSplit/>
          <w:trHeight w:val="23"/>
        </w:trPr>
        <w:tc>
          <w:tcPr>
            <w:tcW w:w="3969" w:type="dxa"/>
            <w:vMerge w:val="restart"/>
            <w:tcMar>
              <w:left w:w="0" w:type="dxa"/>
            </w:tcMar>
          </w:tcPr>
          <w:p w14:paraId="4CF64223" w14:textId="77777777" w:rsidR="005E3AF6" w:rsidRPr="005E3AF6" w:rsidRDefault="005E3AF6" w:rsidP="005E3AF6">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jc w:val="both"/>
              <w:rPr>
                <w:b/>
                <w:bCs/>
                <w:szCs w:val="10"/>
                <w:lang w:val="en-US" w:eastAsia="zh-CN"/>
              </w:rPr>
            </w:pPr>
            <w:bookmarkStart w:id="0" w:name="dmeeting" w:colFirst="0" w:colLast="0"/>
            <w:bookmarkStart w:id="1" w:name="dnum" w:colFirst="1" w:colLast="1"/>
            <w:bookmarkStart w:id="2" w:name="_Hlk133421839"/>
            <w:r w:rsidRPr="005E3AF6">
              <w:rPr>
                <w:b/>
                <w:bCs/>
                <w:szCs w:val="10"/>
                <w:lang w:val="zh-CN" w:eastAsia="zh-CN"/>
              </w:rPr>
              <w:t>议项：</w:t>
            </w:r>
            <w:r w:rsidRPr="005E3AF6">
              <w:rPr>
                <w:b/>
                <w:bCs/>
                <w:szCs w:val="10"/>
                <w:lang w:val="zh-CN" w:eastAsia="zh-CN"/>
              </w:rPr>
              <w:t>PL 2</w:t>
            </w:r>
          </w:p>
        </w:tc>
        <w:tc>
          <w:tcPr>
            <w:tcW w:w="5245" w:type="dxa"/>
          </w:tcPr>
          <w:p w14:paraId="1E5409DD" w14:textId="419D7DDC" w:rsidR="005E3AF6" w:rsidRPr="005E3AF6" w:rsidRDefault="005E3AF6" w:rsidP="005E3AF6">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jc w:val="right"/>
              <w:rPr>
                <w:b/>
                <w:bCs/>
                <w:szCs w:val="10"/>
                <w:lang w:val="en-US" w:eastAsia="zh-CN"/>
              </w:rPr>
            </w:pPr>
            <w:r w:rsidRPr="005E3AF6">
              <w:rPr>
                <w:b/>
                <w:bCs/>
                <w:szCs w:val="10"/>
                <w:lang w:val="zh-CN" w:eastAsia="zh-CN"/>
              </w:rPr>
              <w:t>文件</w:t>
            </w:r>
            <w:r w:rsidRPr="005E3AF6">
              <w:rPr>
                <w:b/>
                <w:bCs/>
                <w:szCs w:val="10"/>
                <w:lang w:val="zh-CN" w:eastAsia="zh-CN"/>
              </w:rPr>
              <w:t xml:space="preserve"> C24/99</w:t>
            </w:r>
            <w:r w:rsidR="00B62518">
              <w:rPr>
                <w:b/>
                <w:bCs/>
                <w:szCs w:val="10"/>
                <w:lang w:eastAsia="zh-CN"/>
              </w:rPr>
              <w:t>(Rev.1)</w:t>
            </w:r>
            <w:r w:rsidRPr="005E3AF6">
              <w:rPr>
                <w:b/>
                <w:bCs/>
                <w:szCs w:val="10"/>
                <w:lang w:val="zh-CN" w:eastAsia="zh-CN"/>
              </w:rPr>
              <w:t>-C</w:t>
            </w:r>
          </w:p>
        </w:tc>
      </w:tr>
      <w:tr w:rsidR="005E3AF6" w:rsidRPr="005E3AF6" w14:paraId="1E4CFFD4" w14:textId="77777777" w:rsidTr="005E74A1">
        <w:trPr>
          <w:cantSplit/>
        </w:trPr>
        <w:tc>
          <w:tcPr>
            <w:tcW w:w="3969" w:type="dxa"/>
            <w:vMerge/>
          </w:tcPr>
          <w:p w14:paraId="5D93F90C" w14:textId="77777777" w:rsidR="005E3AF6" w:rsidRPr="005E3AF6" w:rsidRDefault="005E3AF6" w:rsidP="005E3AF6">
            <w:pPr>
              <w:tabs>
                <w:tab w:val="clear" w:pos="794"/>
                <w:tab w:val="clear" w:pos="1191"/>
                <w:tab w:val="clear" w:pos="1588"/>
                <w:tab w:val="clear" w:pos="1985"/>
                <w:tab w:val="left" w:pos="567"/>
                <w:tab w:val="left" w:pos="851"/>
                <w:tab w:val="left" w:pos="1134"/>
                <w:tab w:val="left" w:pos="1701"/>
                <w:tab w:val="left" w:pos="2268"/>
                <w:tab w:val="left" w:pos="2835"/>
              </w:tabs>
              <w:spacing w:line="240" w:lineRule="atLeast"/>
              <w:jc w:val="both"/>
              <w:rPr>
                <w:b/>
                <w:szCs w:val="10"/>
                <w:lang w:val="en-US" w:eastAsia="zh-CN"/>
              </w:rPr>
            </w:pPr>
            <w:bookmarkStart w:id="3" w:name="ddate" w:colFirst="1" w:colLast="1"/>
            <w:bookmarkEnd w:id="0"/>
            <w:bookmarkEnd w:id="1"/>
          </w:p>
        </w:tc>
        <w:tc>
          <w:tcPr>
            <w:tcW w:w="5245" w:type="dxa"/>
          </w:tcPr>
          <w:p w14:paraId="10C630DB" w14:textId="1EEED3F2" w:rsidR="005E3AF6" w:rsidRPr="005E3AF6" w:rsidRDefault="005E3AF6" w:rsidP="005E3AF6">
            <w:pPr>
              <w:tabs>
                <w:tab w:val="clear" w:pos="794"/>
                <w:tab w:val="clear" w:pos="1191"/>
                <w:tab w:val="clear" w:pos="1588"/>
                <w:tab w:val="clear" w:pos="1985"/>
                <w:tab w:val="left" w:pos="567"/>
                <w:tab w:val="left" w:pos="851"/>
                <w:tab w:val="left" w:pos="1134"/>
                <w:tab w:val="left" w:pos="1701"/>
                <w:tab w:val="left" w:pos="2268"/>
                <w:tab w:val="left" w:pos="2835"/>
              </w:tabs>
              <w:spacing w:before="0"/>
              <w:jc w:val="right"/>
              <w:rPr>
                <w:b/>
                <w:bCs/>
                <w:szCs w:val="10"/>
                <w:lang w:val="en-US" w:eastAsia="zh-CN"/>
              </w:rPr>
            </w:pPr>
            <w:r w:rsidRPr="005E3AF6">
              <w:rPr>
                <w:b/>
                <w:bCs/>
                <w:szCs w:val="10"/>
                <w:lang w:val="zh-CN" w:eastAsia="zh-CN"/>
              </w:rPr>
              <w:t>2024</w:t>
            </w:r>
            <w:r w:rsidRPr="005E3AF6">
              <w:rPr>
                <w:b/>
                <w:bCs/>
                <w:szCs w:val="10"/>
                <w:lang w:val="zh-CN" w:eastAsia="zh-CN"/>
              </w:rPr>
              <w:t>年</w:t>
            </w:r>
            <w:r>
              <w:rPr>
                <w:b/>
                <w:bCs/>
                <w:szCs w:val="10"/>
                <w:lang w:eastAsia="zh-CN"/>
              </w:rPr>
              <w:t>6</w:t>
            </w:r>
            <w:r w:rsidRPr="005E3AF6">
              <w:rPr>
                <w:b/>
                <w:bCs/>
                <w:szCs w:val="10"/>
                <w:lang w:val="zh-CN" w:eastAsia="zh-CN"/>
              </w:rPr>
              <w:t>月</w:t>
            </w:r>
            <w:r>
              <w:rPr>
                <w:b/>
                <w:bCs/>
                <w:szCs w:val="10"/>
                <w:lang w:eastAsia="zh-CN"/>
              </w:rPr>
              <w:t>4</w:t>
            </w:r>
            <w:r w:rsidRPr="005E3AF6">
              <w:rPr>
                <w:b/>
                <w:bCs/>
                <w:szCs w:val="10"/>
                <w:lang w:val="zh-CN" w:eastAsia="zh-CN"/>
              </w:rPr>
              <w:t>日</w:t>
            </w:r>
          </w:p>
        </w:tc>
      </w:tr>
      <w:tr w:rsidR="005E3AF6" w:rsidRPr="005E3AF6" w14:paraId="4A7529F9" w14:textId="77777777" w:rsidTr="005E74A1">
        <w:trPr>
          <w:cantSplit/>
          <w:trHeight w:val="23"/>
        </w:trPr>
        <w:tc>
          <w:tcPr>
            <w:tcW w:w="3969" w:type="dxa"/>
            <w:vMerge/>
          </w:tcPr>
          <w:p w14:paraId="0AFF1952" w14:textId="77777777" w:rsidR="005E3AF6" w:rsidRPr="005E3AF6" w:rsidRDefault="005E3AF6" w:rsidP="005E3AF6">
            <w:pPr>
              <w:tabs>
                <w:tab w:val="clear" w:pos="794"/>
                <w:tab w:val="clear" w:pos="1191"/>
                <w:tab w:val="clear" w:pos="1588"/>
                <w:tab w:val="clear" w:pos="1985"/>
                <w:tab w:val="left" w:pos="567"/>
                <w:tab w:val="left" w:pos="851"/>
                <w:tab w:val="left" w:pos="1134"/>
                <w:tab w:val="left" w:pos="1701"/>
                <w:tab w:val="left" w:pos="2268"/>
                <w:tab w:val="left" w:pos="2835"/>
              </w:tabs>
              <w:spacing w:line="240" w:lineRule="atLeast"/>
              <w:jc w:val="both"/>
              <w:rPr>
                <w:b/>
                <w:szCs w:val="10"/>
                <w:lang w:val="en-US" w:eastAsia="zh-CN"/>
              </w:rPr>
            </w:pPr>
            <w:bookmarkStart w:id="4" w:name="dorlang" w:colFirst="1" w:colLast="1"/>
            <w:bookmarkEnd w:id="3"/>
          </w:p>
        </w:tc>
        <w:tc>
          <w:tcPr>
            <w:tcW w:w="5245" w:type="dxa"/>
          </w:tcPr>
          <w:p w14:paraId="777B2631" w14:textId="77777777" w:rsidR="005E3AF6" w:rsidRPr="005E3AF6" w:rsidRDefault="005E3AF6" w:rsidP="005E3AF6">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jc w:val="right"/>
              <w:rPr>
                <w:b/>
                <w:bCs/>
                <w:szCs w:val="10"/>
                <w:lang w:val="en-US" w:eastAsia="zh-CN"/>
              </w:rPr>
            </w:pPr>
            <w:r w:rsidRPr="005E3AF6">
              <w:rPr>
                <w:b/>
                <w:bCs/>
                <w:szCs w:val="10"/>
                <w:lang w:val="zh-CN" w:eastAsia="zh-CN"/>
              </w:rPr>
              <w:t>原文：西班牙文</w:t>
            </w:r>
          </w:p>
        </w:tc>
      </w:tr>
      <w:tr w:rsidR="005E3AF6" w:rsidRPr="005E3AF6" w14:paraId="5DC75C5D" w14:textId="77777777" w:rsidTr="005E74A1">
        <w:trPr>
          <w:cantSplit/>
          <w:trHeight w:val="23"/>
        </w:trPr>
        <w:tc>
          <w:tcPr>
            <w:tcW w:w="3969" w:type="dxa"/>
          </w:tcPr>
          <w:p w14:paraId="0BD81F2F" w14:textId="77777777" w:rsidR="005E3AF6" w:rsidRPr="005E3AF6" w:rsidRDefault="005E3AF6" w:rsidP="005E3AF6">
            <w:pPr>
              <w:tabs>
                <w:tab w:val="clear" w:pos="794"/>
                <w:tab w:val="clear" w:pos="1191"/>
                <w:tab w:val="clear" w:pos="1588"/>
                <w:tab w:val="clear" w:pos="1985"/>
                <w:tab w:val="left" w:pos="567"/>
                <w:tab w:val="left" w:pos="851"/>
                <w:tab w:val="left" w:pos="1134"/>
                <w:tab w:val="left" w:pos="1701"/>
                <w:tab w:val="left" w:pos="2268"/>
                <w:tab w:val="left" w:pos="2835"/>
              </w:tabs>
              <w:spacing w:line="240" w:lineRule="atLeast"/>
              <w:jc w:val="both"/>
              <w:rPr>
                <w:b/>
                <w:szCs w:val="10"/>
                <w:lang w:val="en-US" w:eastAsia="zh-CN"/>
              </w:rPr>
            </w:pPr>
          </w:p>
        </w:tc>
        <w:tc>
          <w:tcPr>
            <w:tcW w:w="5245" w:type="dxa"/>
          </w:tcPr>
          <w:p w14:paraId="7D310CDC" w14:textId="77777777" w:rsidR="005E3AF6" w:rsidRPr="005E3AF6" w:rsidRDefault="005E3AF6" w:rsidP="005E3AF6">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jc w:val="right"/>
              <w:rPr>
                <w:b/>
                <w:szCs w:val="10"/>
                <w:lang w:val="en-US" w:eastAsia="zh-CN"/>
              </w:rPr>
            </w:pPr>
          </w:p>
        </w:tc>
      </w:tr>
      <w:tr w:rsidR="005E3AF6" w:rsidRPr="005E3AF6" w14:paraId="669599D7" w14:textId="77777777" w:rsidTr="005E74A1">
        <w:trPr>
          <w:cantSplit/>
        </w:trPr>
        <w:tc>
          <w:tcPr>
            <w:tcW w:w="9214" w:type="dxa"/>
            <w:gridSpan w:val="2"/>
            <w:tcMar>
              <w:left w:w="0" w:type="dxa"/>
            </w:tcMar>
          </w:tcPr>
          <w:p w14:paraId="442F5325" w14:textId="65F9E0BB" w:rsidR="005E3AF6" w:rsidRPr="005E3AF6" w:rsidRDefault="005E3AF6" w:rsidP="005E3AF6">
            <w:pPr>
              <w:tabs>
                <w:tab w:val="clear" w:pos="794"/>
                <w:tab w:val="clear" w:pos="1191"/>
                <w:tab w:val="clear" w:pos="1588"/>
                <w:tab w:val="clear" w:pos="1985"/>
                <w:tab w:val="left" w:pos="567"/>
                <w:tab w:val="left" w:pos="1134"/>
                <w:tab w:val="left" w:pos="1701"/>
                <w:tab w:val="left" w:pos="2268"/>
                <w:tab w:val="left" w:pos="2835"/>
              </w:tabs>
              <w:spacing w:before="840"/>
              <w:jc w:val="both"/>
              <w:rPr>
                <w:b/>
                <w:sz w:val="32"/>
                <w:szCs w:val="32"/>
                <w:lang w:val="en-US" w:eastAsia="zh-CN"/>
              </w:rPr>
            </w:pPr>
            <w:bookmarkStart w:id="5" w:name="dsource" w:colFirst="0" w:colLast="0"/>
            <w:bookmarkEnd w:id="4"/>
            <w:r w:rsidRPr="005E3AF6">
              <w:rPr>
                <w:b/>
                <w:sz w:val="32"/>
                <w:szCs w:val="32"/>
                <w:lang w:val="zh-CN" w:eastAsia="zh-CN"/>
              </w:rPr>
              <w:t>墨西哥</w:t>
            </w:r>
            <w:r>
              <w:rPr>
                <w:rFonts w:hint="eastAsia"/>
                <w:b/>
                <w:sz w:val="32"/>
                <w:szCs w:val="32"/>
                <w:lang w:val="zh-CN" w:eastAsia="zh-CN"/>
              </w:rPr>
              <w:t>、多米尼加共和国、巴拿马（共和国）和巴拉圭（共和国）提交</w:t>
            </w:r>
            <w:r w:rsidRPr="005E3AF6">
              <w:rPr>
                <w:b/>
                <w:sz w:val="32"/>
                <w:szCs w:val="32"/>
                <w:lang w:val="zh-CN" w:eastAsia="zh-CN"/>
              </w:rPr>
              <w:t>的文稿</w:t>
            </w:r>
          </w:p>
        </w:tc>
      </w:tr>
      <w:tr w:rsidR="005E3AF6" w:rsidRPr="005E3AF6" w14:paraId="5351B79D" w14:textId="77777777" w:rsidTr="005E74A1">
        <w:trPr>
          <w:cantSplit/>
        </w:trPr>
        <w:tc>
          <w:tcPr>
            <w:tcW w:w="9214" w:type="dxa"/>
            <w:gridSpan w:val="2"/>
            <w:tcMar>
              <w:left w:w="0" w:type="dxa"/>
            </w:tcMar>
          </w:tcPr>
          <w:p w14:paraId="143BC06C" w14:textId="77777777" w:rsidR="005E3AF6" w:rsidRPr="005E3AF6" w:rsidRDefault="005E3AF6" w:rsidP="005E3AF6">
            <w:pPr>
              <w:tabs>
                <w:tab w:val="clear" w:pos="794"/>
                <w:tab w:val="clear" w:pos="1191"/>
                <w:tab w:val="clear" w:pos="1588"/>
                <w:tab w:val="clear" w:pos="1985"/>
                <w:tab w:val="left" w:pos="567"/>
                <w:tab w:val="left" w:pos="1134"/>
                <w:tab w:val="left" w:pos="1701"/>
                <w:tab w:val="left" w:pos="2268"/>
                <w:tab w:val="left" w:pos="2835"/>
              </w:tabs>
              <w:spacing w:after="160"/>
              <w:jc w:val="both"/>
              <w:rPr>
                <w:sz w:val="32"/>
                <w:szCs w:val="32"/>
                <w:lang w:val="en-US" w:eastAsia="zh-CN"/>
              </w:rPr>
            </w:pPr>
            <w:bookmarkStart w:id="6" w:name="dtitle1" w:colFirst="0" w:colLast="0"/>
            <w:bookmarkEnd w:id="5"/>
            <w:r w:rsidRPr="005E3AF6">
              <w:rPr>
                <w:rFonts w:hint="eastAsia"/>
                <w:sz w:val="32"/>
                <w:szCs w:val="32"/>
                <w:lang w:val="zh-CN" w:eastAsia="zh-CN"/>
              </w:rPr>
              <w:t>国际电联的青年参与和举措</w:t>
            </w:r>
          </w:p>
        </w:tc>
      </w:tr>
      <w:tr w:rsidR="005E3AF6" w:rsidRPr="005E3AF6" w14:paraId="078DCF9E" w14:textId="77777777" w:rsidTr="005E74A1">
        <w:trPr>
          <w:cantSplit/>
        </w:trPr>
        <w:tc>
          <w:tcPr>
            <w:tcW w:w="9214" w:type="dxa"/>
            <w:gridSpan w:val="2"/>
            <w:tcBorders>
              <w:top w:val="single" w:sz="4" w:space="0" w:color="auto"/>
              <w:bottom w:val="single" w:sz="4" w:space="0" w:color="auto"/>
            </w:tcBorders>
            <w:tcMar>
              <w:left w:w="0" w:type="dxa"/>
            </w:tcMar>
          </w:tcPr>
          <w:p w14:paraId="00FDEDB6" w14:textId="77777777" w:rsidR="005E3AF6" w:rsidRPr="005E3AF6" w:rsidRDefault="005E3AF6" w:rsidP="005E3AF6">
            <w:pPr>
              <w:tabs>
                <w:tab w:val="clear" w:pos="794"/>
                <w:tab w:val="clear" w:pos="1191"/>
                <w:tab w:val="clear" w:pos="1588"/>
                <w:tab w:val="clear" w:pos="1985"/>
                <w:tab w:val="left" w:pos="567"/>
                <w:tab w:val="left" w:pos="1134"/>
                <w:tab w:val="left" w:pos="1701"/>
                <w:tab w:val="left" w:pos="2268"/>
                <w:tab w:val="left" w:pos="2835"/>
              </w:tabs>
              <w:spacing w:before="160"/>
              <w:jc w:val="both"/>
              <w:rPr>
                <w:b/>
                <w:bCs/>
                <w:sz w:val="26"/>
                <w:szCs w:val="26"/>
                <w:lang w:val="en-US" w:eastAsia="zh-CN"/>
              </w:rPr>
            </w:pPr>
            <w:r w:rsidRPr="005E3AF6">
              <w:rPr>
                <w:b/>
                <w:bCs/>
                <w:szCs w:val="10"/>
                <w:lang w:val="zh-CN" w:eastAsia="zh-CN"/>
              </w:rPr>
              <w:t>目的</w:t>
            </w:r>
          </w:p>
          <w:p w14:paraId="28951345" w14:textId="51F23A29" w:rsidR="005E3AF6" w:rsidRPr="005E3AF6" w:rsidRDefault="005E3AF6" w:rsidP="005E3AF6">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szCs w:val="10"/>
                <w:lang w:val="en-US" w:eastAsia="zh-CN"/>
              </w:rPr>
            </w:pPr>
            <w:r w:rsidRPr="005E3AF6">
              <w:rPr>
                <w:szCs w:val="10"/>
                <w:lang w:val="zh-CN" w:eastAsia="zh-CN"/>
              </w:rPr>
              <w:t>墨西哥</w:t>
            </w:r>
            <w:r>
              <w:rPr>
                <w:rFonts w:hint="eastAsia"/>
                <w:szCs w:val="10"/>
                <w:lang w:val="zh-CN" w:eastAsia="zh-CN"/>
              </w:rPr>
              <w:t>、巴拿马、巴拉圭和多米尼加共和国</w:t>
            </w:r>
            <w:r w:rsidRPr="005E3AF6">
              <w:rPr>
                <w:szCs w:val="10"/>
                <w:lang w:val="zh-CN" w:eastAsia="zh-CN"/>
              </w:rPr>
              <w:t>主管部门请理事会审议其有关</w:t>
            </w:r>
            <w:r w:rsidRPr="005E3AF6">
              <w:rPr>
                <w:rFonts w:hint="eastAsia"/>
                <w:szCs w:val="10"/>
                <w:lang w:val="zh-CN" w:eastAsia="zh-CN"/>
              </w:rPr>
              <w:t>增加</w:t>
            </w:r>
            <w:r w:rsidRPr="005E3AF6">
              <w:rPr>
                <w:szCs w:val="10"/>
                <w:lang w:val="zh-CN" w:eastAsia="zh-CN"/>
              </w:rPr>
              <w:t>国际电联若干举措和项目</w:t>
            </w:r>
            <w:r w:rsidRPr="005E3AF6">
              <w:rPr>
                <w:rFonts w:hint="eastAsia"/>
                <w:szCs w:val="10"/>
                <w:lang w:val="zh-CN" w:eastAsia="zh-CN"/>
              </w:rPr>
              <w:t>中</w:t>
            </w:r>
            <w:r w:rsidRPr="005E3AF6">
              <w:rPr>
                <w:szCs w:val="10"/>
                <w:lang w:val="zh-CN" w:eastAsia="zh-CN"/>
              </w:rPr>
              <w:t>青年参与的建议。</w:t>
            </w:r>
          </w:p>
          <w:p w14:paraId="7A1101B9" w14:textId="77777777" w:rsidR="005E3AF6" w:rsidRPr="005E3AF6" w:rsidRDefault="005E3AF6" w:rsidP="005E3AF6">
            <w:pPr>
              <w:tabs>
                <w:tab w:val="clear" w:pos="794"/>
                <w:tab w:val="clear" w:pos="1191"/>
                <w:tab w:val="clear" w:pos="1588"/>
                <w:tab w:val="clear" w:pos="1985"/>
                <w:tab w:val="left" w:pos="567"/>
                <w:tab w:val="left" w:pos="1134"/>
                <w:tab w:val="left" w:pos="1701"/>
                <w:tab w:val="left" w:pos="2268"/>
                <w:tab w:val="left" w:pos="2835"/>
              </w:tabs>
              <w:spacing w:before="160"/>
              <w:jc w:val="both"/>
              <w:rPr>
                <w:b/>
                <w:bCs/>
                <w:sz w:val="26"/>
                <w:szCs w:val="26"/>
                <w:lang w:val="en-US" w:eastAsia="zh-CN"/>
              </w:rPr>
            </w:pPr>
            <w:r w:rsidRPr="005E3AF6">
              <w:rPr>
                <w:b/>
                <w:bCs/>
                <w:szCs w:val="10"/>
                <w:lang w:val="zh-CN" w:eastAsia="zh-CN"/>
              </w:rPr>
              <w:t>理事会</w:t>
            </w:r>
            <w:r w:rsidRPr="005E3AF6">
              <w:rPr>
                <w:rFonts w:hint="eastAsia"/>
                <w:b/>
                <w:bCs/>
                <w:szCs w:val="10"/>
                <w:lang w:val="zh-CN" w:eastAsia="zh-CN"/>
              </w:rPr>
              <w:t>需</w:t>
            </w:r>
            <w:r w:rsidRPr="005E3AF6">
              <w:rPr>
                <w:b/>
                <w:bCs/>
                <w:szCs w:val="10"/>
                <w:lang w:val="zh-CN" w:eastAsia="zh-CN"/>
              </w:rPr>
              <w:t>采取的行动</w:t>
            </w:r>
          </w:p>
          <w:p w14:paraId="797C22BB" w14:textId="77777777" w:rsidR="005E3AF6" w:rsidRPr="005E3AF6" w:rsidRDefault="005E3AF6" w:rsidP="005E3AF6">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szCs w:val="10"/>
                <w:lang w:val="en-US" w:eastAsia="zh-CN"/>
              </w:rPr>
            </w:pPr>
            <w:r w:rsidRPr="005E3AF6">
              <w:rPr>
                <w:szCs w:val="10"/>
                <w:lang w:val="zh-CN" w:eastAsia="zh-CN"/>
              </w:rPr>
              <w:t>请理事会</w:t>
            </w:r>
            <w:r w:rsidRPr="005E3AF6">
              <w:rPr>
                <w:b/>
                <w:bCs/>
                <w:szCs w:val="10"/>
                <w:lang w:val="zh-CN" w:eastAsia="zh-CN"/>
              </w:rPr>
              <w:t>审议</w:t>
            </w:r>
            <w:r w:rsidRPr="005E3AF6">
              <w:rPr>
                <w:szCs w:val="10"/>
                <w:lang w:val="zh-CN" w:eastAsia="zh-CN"/>
              </w:rPr>
              <w:t>并</w:t>
            </w:r>
            <w:r w:rsidRPr="005E3AF6">
              <w:rPr>
                <w:b/>
                <w:bCs/>
                <w:szCs w:val="10"/>
                <w:lang w:val="zh-CN" w:eastAsia="zh-CN"/>
              </w:rPr>
              <w:t>讨论</w:t>
            </w:r>
            <w:r w:rsidRPr="005E3AF6">
              <w:rPr>
                <w:szCs w:val="10"/>
                <w:lang w:val="zh-CN" w:eastAsia="zh-CN"/>
              </w:rPr>
              <w:t>这些建议。</w:t>
            </w:r>
          </w:p>
          <w:p w14:paraId="2A4D6695" w14:textId="77777777" w:rsidR="005E3AF6" w:rsidRPr="005E3AF6" w:rsidRDefault="005E3AF6" w:rsidP="005E3AF6">
            <w:pPr>
              <w:tabs>
                <w:tab w:val="clear" w:pos="794"/>
                <w:tab w:val="clear" w:pos="1191"/>
                <w:tab w:val="clear" w:pos="1588"/>
                <w:tab w:val="clear" w:pos="1985"/>
                <w:tab w:val="left" w:pos="567"/>
                <w:tab w:val="left" w:pos="1134"/>
                <w:tab w:val="left" w:pos="1701"/>
                <w:tab w:val="left" w:pos="2268"/>
                <w:tab w:val="left" w:pos="2835"/>
              </w:tabs>
              <w:spacing w:before="160"/>
              <w:jc w:val="both"/>
              <w:rPr>
                <w:caps/>
                <w:sz w:val="22"/>
                <w:szCs w:val="10"/>
                <w:lang w:val="en-US" w:eastAsia="zh-CN"/>
              </w:rPr>
            </w:pPr>
            <w:r w:rsidRPr="005E3AF6">
              <w:rPr>
                <w:szCs w:val="10"/>
                <w:lang w:val="zh-CN" w:eastAsia="zh-CN"/>
              </w:rPr>
              <w:t>__________________</w:t>
            </w:r>
          </w:p>
          <w:p w14:paraId="76652556" w14:textId="77777777" w:rsidR="005E3AF6" w:rsidRPr="005E3AF6" w:rsidRDefault="005E3AF6" w:rsidP="005E3AF6">
            <w:pPr>
              <w:tabs>
                <w:tab w:val="clear" w:pos="794"/>
                <w:tab w:val="clear" w:pos="1191"/>
                <w:tab w:val="clear" w:pos="1588"/>
                <w:tab w:val="clear" w:pos="1985"/>
                <w:tab w:val="left" w:pos="567"/>
                <w:tab w:val="left" w:pos="1134"/>
                <w:tab w:val="left" w:pos="1701"/>
                <w:tab w:val="left" w:pos="2268"/>
                <w:tab w:val="left" w:pos="2835"/>
              </w:tabs>
              <w:spacing w:after="160"/>
              <w:jc w:val="both"/>
              <w:rPr>
                <w:rFonts w:ascii="SimSun" w:hAnsi="SimSun" w:cstheme="minorHAnsi"/>
                <w:b/>
                <w:bCs/>
                <w:sz w:val="26"/>
                <w:szCs w:val="26"/>
                <w:lang w:val="en-US" w:eastAsia="zh-CN"/>
              </w:rPr>
            </w:pPr>
            <w:r w:rsidRPr="005E3AF6">
              <w:rPr>
                <w:rFonts w:ascii="SimSun" w:hAnsi="SimSun" w:cstheme="minorHAnsi" w:hint="eastAsia"/>
                <w:b/>
                <w:bCs/>
                <w:sz w:val="26"/>
                <w:szCs w:val="26"/>
                <w:lang w:val="en-US" w:eastAsia="zh-CN"/>
              </w:rPr>
              <w:t>参考文件</w:t>
            </w:r>
          </w:p>
          <w:p w14:paraId="215651D3" w14:textId="2C30BA5E" w:rsidR="005E3AF6" w:rsidRPr="002D2939" w:rsidRDefault="00772D78" w:rsidP="005E3AF6">
            <w:pPr>
              <w:tabs>
                <w:tab w:val="clear" w:pos="794"/>
                <w:tab w:val="clear" w:pos="1191"/>
                <w:tab w:val="clear" w:pos="1588"/>
                <w:tab w:val="clear" w:pos="1985"/>
                <w:tab w:val="left" w:pos="567"/>
                <w:tab w:val="left" w:pos="1134"/>
                <w:tab w:val="left" w:pos="1701"/>
                <w:tab w:val="left" w:pos="2268"/>
                <w:tab w:val="left" w:pos="2835"/>
              </w:tabs>
              <w:spacing w:before="160"/>
              <w:jc w:val="both"/>
              <w:rPr>
                <w:rFonts w:ascii="STKaiti" w:eastAsia="STKaiti" w:hAnsi="STKaiti"/>
                <w:i/>
                <w:iCs/>
                <w:szCs w:val="10"/>
                <w:lang w:val="en-US" w:eastAsia="zh-CN"/>
              </w:rPr>
            </w:pPr>
            <w:hyperlink r:id="rId8" w:history="1">
              <w:r w:rsidR="005E3AF6" w:rsidRPr="00772D78">
                <w:rPr>
                  <w:rFonts w:ascii="STKaiti" w:eastAsia="STKaiti" w:hAnsi="STKaiti"/>
                  <w:szCs w:val="10"/>
                  <w:lang w:val="en-US" w:eastAsia="zh-CN"/>
                </w:rPr>
                <w:t>全权代表大会</w:t>
              </w:r>
              <w:r w:rsidR="005E3AF6" w:rsidRPr="002D2939">
                <w:rPr>
                  <w:rFonts w:ascii="STKaiti" w:eastAsia="STKaiti" w:hAnsi="STKaiti"/>
                  <w:color w:val="0563C1"/>
                  <w:szCs w:val="10"/>
                  <w:u w:val="single"/>
                  <w:lang w:val="en-US" w:eastAsia="zh-CN"/>
                </w:rPr>
                <w:t>第</w:t>
              </w:r>
              <w:r w:rsidR="005E3AF6" w:rsidRPr="002D2939">
                <w:rPr>
                  <w:rFonts w:asciiTheme="minorHAnsi" w:eastAsia="STKaiti" w:hAnsiTheme="minorHAnsi" w:cstheme="minorHAnsi"/>
                  <w:color w:val="0563C1"/>
                  <w:szCs w:val="10"/>
                  <w:u w:val="single"/>
                  <w:lang w:val="en-US" w:eastAsia="zh-CN"/>
                </w:rPr>
                <w:t>198</w:t>
              </w:r>
              <w:r w:rsidR="005E3AF6" w:rsidRPr="002D2939">
                <w:rPr>
                  <w:rFonts w:ascii="STKaiti" w:eastAsia="STKaiti" w:hAnsi="STKaiti"/>
                  <w:color w:val="0563C1"/>
                  <w:szCs w:val="10"/>
                  <w:u w:val="single"/>
                  <w:lang w:val="en-US" w:eastAsia="zh-CN"/>
                </w:rPr>
                <w:t>号决议（</w:t>
              </w:r>
              <w:r w:rsidR="005E3AF6" w:rsidRPr="002D2939">
                <w:rPr>
                  <w:rFonts w:asciiTheme="minorHAnsi" w:eastAsia="STKaiti" w:hAnsiTheme="minorHAnsi" w:cstheme="minorHAnsi"/>
                  <w:color w:val="0563C1"/>
                  <w:szCs w:val="10"/>
                  <w:u w:val="single"/>
                  <w:lang w:val="en-US" w:eastAsia="zh-CN"/>
                </w:rPr>
                <w:t>2022</w:t>
              </w:r>
              <w:r w:rsidR="005E3AF6" w:rsidRPr="002D2939">
                <w:rPr>
                  <w:rFonts w:ascii="STKaiti" w:eastAsia="STKaiti" w:hAnsi="STKaiti"/>
                  <w:color w:val="0563C1"/>
                  <w:szCs w:val="10"/>
                  <w:u w:val="single"/>
                  <w:lang w:val="en-US" w:eastAsia="zh-CN"/>
                </w:rPr>
                <w:t>年，布加勒斯特，修订版）</w:t>
              </w:r>
            </w:hyperlink>
            <w:r w:rsidR="005E3AF6" w:rsidRPr="002D2939">
              <w:rPr>
                <w:rFonts w:ascii="STKaiti" w:eastAsia="STKaiti" w:hAnsi="STKaiti"/>
                <w:szCs w:val="10"/>
                <w:lang w:val="en-US" w:eastAsia="zh-CN"/>
              </w:rPr>
              <w:t>、</w:t>
            </w:r>
            <w:hyperlink r:id="rId9" w:history="1">
              <w:r w:rsidR="005E3AF6" w:rsidRPr="002D2939">
                <w:rPr>
                  <w:rFonts w:ascii="STKaiti" w:eastAsia="STKaiti" w:hAnsi="STKaiti"/>
                  <w:color w:val="0563C1"/>
                  <w:szCs w:val="10"/>
                  <w:u w:val="single"/>
                  <w:lang w:val="en-US" w:eastAsia="zh-CN"/>
                </w:rPr>
                <w:t>第</w:t>
              </w:r>
              <w:r w:rsidR="005E3AF6" w:rsidRPr="002D2939">
                <w:rPr>
                  <w:rFonts w:asciiTheme="minorHAnsi" w:eastAsia="STKaiti" w:hAnsiTheme="minorHAnsi" w:cstheme="minorHAnsi"/>
                  <w:color w:val="0563C1"/>
                  <w:szCs w:val="10"/>
                  <w:u w:val="single"/>
                  <w:lang w:val="en-US" w:eastAsia="zh-CN"/>
                </w:rPr>
                <w:t>154</w:t>
              </w:r>
              <w:r w:rsidR="005E3AF6" w:rsidRPr="002D2939">
                <w:rPr>
                  <w:rFonts w:ascii="STKaiti" w:eastAsia="STKaiti" w:hAnsi="STKaiti"/>
                  <w:color w:val="0563C1"/>
                  <w:szCs w:val="10"/>
                  <w:u w:val="single"/>
                  <w:lang w:val="en-US" w:eastAsia="zh-CN"/>
                </w:rPr>
                <w:t>号决议（</w:t>
              </w:r>
              <w:r w:rsidR="005E3AF6" w:rsidRPr="002D2939">
                <w:rPr>
                  <w:rFonts w:asciiTheme="minorHAnsi" w:eastAsia="STKaiti" w:hAnsiTheme="minorHAnsi" w:cstheme="minorHAnsi"/>
                  <w:color w:val="0563C1"/>
                  <w:szCs w:val="10"/>
                  <w:u w:val="single"/>
                  <w:lang w:val="en-US" w:eastAsia="zh-CN"/>
                </w:rPr>
                <w:t>2022</w:t>
              </w:r>
              <w:r w:rsidR="005E3AF6" w:rsidRPr="002D2939">
                <w:rPr>
                  <w:rFonts w:ascii="STKaiti" w:eastAsia="STKaiti" w:hAnsi="STKaiti"/>
                  <w:color w:val="0563C1"/>
                  <w:szCs w:val="10"/>
                  <w:u w:val="single"/>
                  <w:lang w:val="en-US" w:eastAsia="zh-CN"/>
                </w:rPr>
                <w:t>年，布加勒斯特，修订版）</w:t>
              </w:r>
            </w:hyperlink>
            <w:r w:rsidR="005E3AF6" w:rsidRPr="002D2939">
              <w:rPr>
                <w:rFonts w:ascii="STKaiti" w:eastAsia="STKaiti" w:hAnsi="STKaiti"/>
                <w:szCs w:val="10"/>
                <w:lang w:val="en-US" w:eastAsia="zh-CN"/>
              </w:rPr>
              <w:t>、</w:t>
            </w:r>
            <w:hyperlink r:id="rId10" w:history="1">
              <w:r w:rsidR="005E3AF6" w:rsidRPr="002D2939">
                <w:rPr>
                  <w:rFonts w:ascii="STKaiti" w:eastAsia="STKaiti" w:hAnsi="STKaiti"/>
                  <w:color w:val="0563C1"/>
                  <w:szCs w:val="10"/>
                  <w:u w:val="single"/>
                  <w:lang w:val="en-US" w:eastAsia="zh-CN"/>
                </w:rPr>
                <w:t>第</w:t>
              </w:r>
              <w:r w:rsidR="005E3AF6" w:rsidRPr="002D2939">
                <w:rPr>
                  <w:rFonts w:asciiTheme="minorHAnsi" w:eastAsia="STKaiti" w:hAnsiTheme="minorHAnsi" w:cstheme="minorHAnsi"/>
                  <w:color w:val="0563C1"/>
                  <w:szCs w:val="10"/>
                  <w:u w:val="single"/>
                  <w:lang w:val="en-US" w:eastAsia="zh-CN"/>
                </w:rPr>
                <w:t>184</w:t>
              </w:r>
              <w:r w:rsidR="005E3AF6" w:rsidRPr="002D2939">
                <w:rPr>
                  <w:rFonts w:ascii="STKaiti" w:eastAsia="STKaiti" w:hAnsi="STKaiti"/>
                  <w:color w:val="0563C1"/>
                  <w:szCs w:val="10"/>
                  <w:u w:val="single"/>
                  <w:lang w:val="en-US" w:eastAsia="zh-CN"/>
                </w:rPr>
                <w:t>号决议（</w:t>
              </w:r>
              <w:r w:rsidR="005E3AF6" w:rsidRPr="002D2939">
                <w:rPr>
                  <w:rFonts w:asciiTheme="minorHAnsi" w:eastAsia="STKaiti" w:hAnsiTheme="minorHAnsi" w:cstheme="minorHAnsi"/>
                  <w:color w:val="0563C1"/>
                  <w:szCs w:val="10"/>
                  <w:u w:val="single"/>
                  <w:lang w:val="en-US" w:eastAsia="zh-CN"/>
                </w:rPr>
                <w:t>2022</w:t>
              </w:r>
              <w:r w:rsidR="005E3AF6" w:rsidRPr="002D2939">
                <w:rPr>
                  <w:rFonts w:ascii="STKaiti" w:eastAsia="STKaiti" w:hAnsi="STKaiti"/>
                  <w:color w:val="0563C1"/>
                  <w:szCs w:val="10"/>
                  <w:u w:val="single"/>
                  <w:lang w:val="en-US" w:eastAsia="zh-CN"/>
                </w:rPr>
                <w:t>年，布加勒斯特，修订版）</w:t>
              </w:r>
            </w:hyperlink>
            <w:r w:rsidR="005E3AF6" w:rsidRPr="002D2939">
              <w:rPr>
                <w:rFonts w:ascii="STKaiti" w:eastAsia="STKaiti" w:hAnsi="STKaiti"/>
                <w:szCs w:val="10"/>
                <w:lang w:val="en-US" w:eastAsia="zh-CN"/>
              </w:rPr>
              <w:t>、</w:t>
            </w:r>
            <w:hyperlink r:id="rId11" w:history="1">
              <w:r w:rsidR="005E3AF6" w:rsidRPr="002D2939">
                <w:rPr>
                  <w:rFonts w:ascii="STKaiti" w:eastAsia="STKaiti" w:hAnsi="STKaiti"/>
                  <w:color w:val="0563C1"/>
                  <w:szCs w:val="10"/>
                  <w:u w:val="single"/>
                  <w:lang w:val="en-US" w:eastAsia="zh-CN"/>
                </w:rPr>
                <w:t>第</w:t>
              </w:r>
              <w:r w:rsidR="005E3AF6" w:rsidRPr="002D2939">
                <w:rPr>
                  <w:rFonts w:asciiTheme="minorHAnsi" w:eastAsia="STKaiti" w:hAnsiTheme="minorHAnsi" w:cstheme="minorHAnsi"/>
                  <w:color w:val="0563C1"/>
                  <w:szCs w:val="10"/>
                  <w:u w:val="single"/>
                  <w:lang w:val="en-US" w:eastAsia="zh-CN"/>
                </w:rPr>
                <w:t>175</w:t>
              </w:r>
              <w:r w:rsidR="005E3AF6" w:rsidRPr="002D2939">
                <w:rPr>
                  <w:rFonts w:ascii="STKaiti" w:eastAsia="STKaiti" w:hAnsi="STKaiti"/>
                  <w:color w:val="0563C1"/>
                  <w:szCs w:val="10"/>
                  <w:u w:val="single"/>
                  <w:lang w:val="en-US" w:eastAsia="zh-CN"/>
                </w:rPr>
                <w:t>号决议（</w:t>
              </w:r>
              <w:r w:rsidR="005E3AF6" w:rsidRPr="002D2939">
                <w:rPr>
                  <w:rFonts w:asciiTheme="minorHAnsi" w:eastAsia="STKaiti" w:hAnsiTheme="minorHAnsi" w:cstheme="minorHAnsi"/>
                  <w:color w:val="0563C1"/>
                  <w:szCs w:val="10"/>
                  <w:u w:val="single"/>
                  <w:lang w:val="en-US" w:eastAsia="zh-CN"/>
                </w:rPr>
                <w:t>2022</w:t>
              </w:r>
              <w:r w:rsidR="005E3AF6" w:rsidRPr="002D2939">
                <w:rPr>
                  <w:rFonts w:ascii="STKaiti" w:eastAsia="STKaiti" w:hAnsi="STKaiti"/>
                  <w:color w:val="0563C1"/>
                  <w:szCs w:val="10"/>
                  <w:u w:val="single"/>
                  <w:lang w:val="en-US" w:eastAsia="zh-CN"/>
                </w:rPr>
                <w:t>年，布加勒斯特，修订版）</w:t>
              </w:r>
            </w:hyperlink>
            <w:r w:rsidR="005E3AF6" w:rsidRPr="002D2939">
              <w:rPr>
                <w:rFonts w:ascii="STKaiti" w:eastAsia="STKaiti" w:hAnsi="STKaiti"/>
                <w:szCs w:val="10"/>
                <w:lang w:val="en-US" w:eastAsia="zh-CN"/>
              </w:rPr>
              <w:t>和</w:t>
            </w:r>
            <w:hyperlink r:id="rId12" w:history="1">
              <w:r w:rsidR="005E3AF6" w:rsidRPr="002D2939">
                <w:rPr>
                  <w:rFonts w:ascii="STKaiti" w:eastAsia="STKaiti" w:hAnsi="STKaiti"/>
                  <w:color w:val="0563C1"/>
                  <w:szCs w:val="10"/>
                  <w:u w:val="single"/>
                  <w:lang w:val="en-US" w:eastAsia="zh-CN"/>
                </w:rPr>
                <w:t>第</w:t>
              </w:r>
              <w:r w:rsidR="005E3AF6" w:rsidRPr="002D2939">
                <w:rPr>
                  <w:rFonts w:asciiTheme="minorHAnsi" w:eastAsia="STKaiti" w:hAnsiTheme="minorHAnsi" w:cstheme="minorHAnsi"/>
                  <w:color w:val="0563C1"/>
                  <w:szCs w:val="10"/>
                  <w:u w:val="single"/>
                  <w:lang w:val="en-US" w:eastAsia="zh-CN"/>
                </w:rPr>
                <w:t>25</w:t>
              </w:r>
              <w:r w:rsidR="005E3AF6" w:rsidRPr="002D2939">
                <w:rPr>
                  <w:rFonts w:ascii="STKaiti" w:eastAsia="STKaiti" w:hAnsi="STKaiti"/>
                  <w:color w:val="0563C1"/>
                  <w:szCs w:val="10"/>
                  <w:u w:val="single"/>
                  <w:lang w:val="en-US" w:eastAsia="zh-CN"/>
                </w:rPr>
                <w:t>号决议（</w:t>
              </w:r>
              <w:r w:rsidR="005E3AF6" w:rsidRPr="002D2939">
                <w:rPr>
                  <w:rFonts w:asciiTheme="minorHAnsi" w:eastAsia="STKaiti" w:hAnsiTheme="minorHAnsi" w:cstheme="minorHAnsi"/>
                  <w:color w:val="0563C1"/>
                  <w:szCs w:val="10"/>
                  <w:u w:val="single"/>
                  <w:lang w:val="en-US" w:eastAsia="zh-CN"/>
                </w:rPr>
                <w:t>2</w:t>
              </w:r>
              <w:r w:rsidR="005E3AF6" w:rsidRPr="002D2939">
                <w:rPr>
                  <w:rFonts w:asciiTheme="minorHAnsi" w:eastAsia="STKaiti" w:hAnsiTheme="minorHAnsi" w:cstheme="minorHAnsi"/>
                  <w:color w:val="0563C1"/>
                  <w:szCs w:val="10"/>
                  <w:u w:val="single"/>
                  <w:lang w:val="en-US" w:eastAsia="zh-CN"/>
                </w:rPr>
                <w:t>022</w:t>
              </w:r>
              <w:r w:rsidR="005E3AF6" w:rsidRPr="002D2939">
                <w:rPr>
                  <w:rFonts w:ascii="STKaiti" w:eastAsia="STKaiti" w:hAnsi="STKaiti"/>
                  <w:color w:val="0563C1"/>
                  <w:szCs w:val="10"/>
                  <w:u w:val="single"/>
                  <w:lang w:val="en-US" w:eastAsia="zh-CN"/>
                </w:rPr>
                <w:t>年，布加勒斯特，修订版）</w:t>
              </w:r>
            </w:hyperlink>
            <w:r w:rsidR="005E3AF6" w:rsidRPr="002D2939">
              <w:rPr>
                <w:rFonts w:ascii="STKaiti" w:eastAsia="STKaiti" w:hAnsi="STKaiti" w:hint="eastAsia"/>
                <w:szCs w:val="10"/>
                <w:lang w:val="en-US" w:eastAsia="zh-CN"/>
              </w:rPr>
              <w:t>；</w:t>
            </w:r>
            <w:r w:rsidR="005E3AF6" w:rsidRPr="002D2939">
              <w:rPr>
                <w:rFonts w:ascii="STKaiti" w:eastAsia="STKaiti" w:hAnsi="STKaiti"/>
                <w:szCs w:val="10"/>
                <w:lang w:val="en-US" w:eastAsia="zh-CN"/>
              </w:rPr>
              <w:t>理事会</w:t>
            </w:r>
            <w:hyperlink r:id="rId13" w:history="1">
              <w:r w:rsidR="005E3AF6" w:rsidRPr="002D2939">
                <w:rPr>
                  <w:rFonts w:asciiTheme="minorHAnsi" w:eastAsia="STKaiti" w:hAnsiTheme="minorHAnsi" w:cstheme="minorHAnsi"/>
                  <w:color w:val="0563C1"/>
                  <w:szCs w:val="10"/>
                  <w:u w:val="single"/>
                  <w:lang w:val="en-US" w:eastAsia="zh-CN"/>
                </w:rPr>
                <w:t>C24/31</w:t>
              </w:r>
            </w:hyperlink>
            <w:r w:rsidR="005E3AF6" w:rsidRPr="002D2939">
              <w:rPr>
                <w:rFonts w:ascii="STKaiti" w:eastAsia="STKaiti" w:hAnsi="STKaiti"/>
                <w:szCs w:val="10"/>
                <w:lang w:val="en-US" w:eastAsia="zh-CN"/>
              </w:rPr>
              <w:t>号文件</w:t>
            </w:r>
          </w:p>
        </w:tc>
      </w:tr>
      <w:bookmarkEnd w:id="2"/>
      <w:bookmarkEnd w:id="6"/>
    </w:tbl>
    <w:p w14:paraId="25F5F4AB" w14:textId="77777777" w:rsidR="005E3AF6" w:rsidRPr="005E3AF6" w:rsidRDefault="005E3AF6">
      <w:pPr>
        <w:tabs>
          <w:tab w:val="clear" w:pos="794"/>
          <w:tab w:val="clear" w:pos="1191"/>
          <w:tab w:val="clear" w:pos="1588"/>
          <w:tab w:val="clear" w:pos="1985"/>
        </w:tabs>
        <w:overflowPunct/>
        <w:autoSpaceDE/>
        <w:autoSpaceDN/>
        <w:adjustRightInd/>
        <w:spacing w:before="0"/>
        <w:textAlignment w:val="auto"/>
        <w:rPr>
          <w:lang w:val="en-US" w:eastAsia="zh-CN"/>
        </w:rPr>
      </w:pPr>
    </w:p>
    <w:p w14:paraId="3E250BE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E8B168A" w14:textId="77777777" w:rsidR="005E3AF6" w:rsidRPr="00033A30" w:rsidRDefault="005E3AF6" w:rsidP="005E3AF6">
      <w:pPr>
        <w:pStyle w:val="Headingb"/>
        <w:rPr>
          <w:lang w:eastAsia="zh-CN"/>
        </w:rPr>
      </w:pPr>
      <w:r>
        <w:rPr>
          <w:rFonts w:hint="eastAsia"/>
          <w:lang w:val="zh-CN" w:eastAsia="zh-CN"/>
        </w:rPr>
        <w:lastRenderedPageBreak/>
        <w:t>引言</w:t>
      </w:r>
    </w:p>
    <w:p w14:paraId="08EC6635" w14:textId="77777777" w:rsidR="005E3AF6" w:rsidRPr="00033A30" w:rsidRDefault="005E3AF6" w:rsidP="005E3AF6">
      <w:pPr>
        <w:ind w:firstLineChars="200" w:firstLine="480"/>
        <w:rPr>
          <w:lang w:eastAsia="zh-CN"/>
        </w:rPr>
      </w:pPr>
      <w:bookmarkStart w:id="7" w:name="_Hlk165876649"/>
      <w:r>
        <w:rPr>
          <w:lang w:val="zh-CN" w:eastAsia="zh-CN"/>
        </w:rPr>
        <w:t>全权代表大会第</w:t>
      </w:r>
      <w:r>
        <w:rPr>
          <w:lang w:val="zh-CN" w:eastAsia="zh-CN"/>
        </w:rPr>
        <w:t>198</w:t>
      </w:r>
      <w:r>
        <w:rPr>
          <w:lang w:val="zh-CN" w:eastAsia="zh-CN"/>
        </w:rPr>
        <w:t>号决议（</w:t>
      </w:r>
      <w:r>
        <w:rPr>
          <w:lang w:val="zh-CN" w:eastAsia="zh-CN"/>
        </w:rPr>
        <w:t>2022</w:t>
      </w:r>
      <w:r>
        <w:rPr>
          <w:lang w:val="zh-CN" w:eastAsia="zh-CN"/>
        </w:rPr>
        <w:t>年，布加勒斯特，修订版）</w:t>
      </w:r>
      <w:r>
        <w:rPr>
          <w:rFonts w:hint="eastAsia"/>
          <w:lang w:val="zh-CN" w:eastAsia="zh-CN"/>
        </w:rPr>
        <w:t>“</w:t>
      </w:r>
      <w:r>
        <w:rPr>
          <w:lang w:val="zh-CN" w:eastAsia="zh-CN"/>
        </w:rPr>
        <w:t>通过电信</w:t>
      </w:r>
      <w:r>
        <w:rPr>
          <w:lang w:val="zh-CN" w:eastAsia="zh-CN"/>
        </w:rPr>
        <w:t>/</w:t>
      </w:r>
      <w:r>
        <w:rPr>
          <w:lang w:val="zh-CN" w:eastAsia="zh-CN"/>
        </w:rPr>
        <w:t>信息通信技术增强青年权能</w:t>
      </w:r>
      <w:r>
        <w:rPr>
          <w:rFonts w:hint="eastAsia"/>
          <w:lang w:val="zh-CN" w:eastAsia="zh-CN"/>
        </w:rPr>
        <w:t>”</w:t>
      </w:r>
      <w:r>
        <w:rPr>
          <w:lang w:val="zh-CN" w:eastAsia="zh-CN"/>
        </w:rPr>
        <w:t>责成秘书长继续确保将青年观点贯彻到国际电联的工作计划、管理方式和人力资源开发活动中，</w:t>
      </w:r>
      <w:r>
        <w:rPr>
          <w:lang w:eastAsia="zh-CN"/>
        </w:rPr>
        <w:t>且每年向国际电联理事会提交一份有关所取得进展的书面报</w:t>
      </w:r>
      <w:r>
        <w:rPr>
          <w:rFonts w:ascii="SimSun" w:hAnsi="SimSun" w:cs="SimSun" w:hint="eastAsia"/>
          <w:lang w:eastAsia="zh-CN"/>
        </w:rPr>
        <w:t>告</w:t>
      </w:r>
      <w:r>
        <w:rPr>
          <w:lang w:val="zh-CN" w:eastAsia="zh-CN"/>
        </w:rPr>
        <w:t>。</w:t>
      </w:r>
    </w:p>
    <w:bookmarkEnd w:id="7"/>
    <w:p w14:paraId="7019A9F6" w14:textId="77777777" w:rsidR="005E3AF6" w:rsidRPr="00033A30" w:rsidRDefault="005E3AF6" w:rsidP="005E3AF6">
      <w:pPr>
        <w:pStyle w:val="Headingb"/>
        <w:rPr>
          <w:lang w:eastAsia="zh-CN"/>
        </w:rPr>
      </w:pPr>
      <w:r>
        <w:rPr>
          <w:lang w:val="zh-CN" w:eastAsia="zh-CN"/>
        </w:rPr>
        <w:t>背景</w:t>
      </w:r>
    </w:p>
    <w:p w14:paraId="239A30BD" w14:textId="77777777" w:rsidR="005E3AF6" w:rsidRPr="00033A30" w:rsidRDefault="005E3AF6" w:rsidP="005E3AF6">
      <w:pPr>
        <w:ind w:firstLineChars="200" w:firstLine="480"/>
        <w:rPr>
          <w:lang w:eastAsia="zh-CN"/>
        </w:rPr>
      </w:pPr>
      <w:r>
        <w:rPr>
          <w:lang w:val="zh-CN" w:eastAsia="zh-CN"/>
        </w:rPr>
        <w:t>为履行全权代表大会第</w:t>
      </w:r>
      <w:r>
        <w:rPr>
          <w:lang w:val="zh-CN" w:eastAsia="zh-CN"/>
        </w:rPr>
        <w:t>198</w:t>
      </w:r>
      <w:r>
        <w:rPr>
          <w:lang w:val="zh-CN" w:eastAsia="zh-CN"/>
        </w:rPr>
        <w:t>号决议（</w:t>
      </w:r>
      <w:r>
        <w:rPr>
          <w:lang w:val="zh-CN" w:eastAsia="zh-CN"/>
        </w:rPr>
        <w:t>2018</w:t>
      </w:r>
      <w:r>
        <w:rPr>
          <w:lang w:val="zh-CN" w:eastAsia="zh-CN"/>
        </w:rPr>
        <w:t>年，迪拜，修订版），国际电联于</w:t>
      </w:r>
      <w:r>
        <w:rPr>
          <w:lang w:val="zh-CN" w:eastAsia="zh-CN"/>
        </w:rPr>
        <w:t>2020</w:t>
      </w:r>
      <w:r>
        <w:rPr>
          <w:lang w:val="zh-CN" w:eastAsia="zh-CN"/>
        </w:rPr>
        <w:t>年制定并通过了《青年战略》，旨在改善全球青年人的生活并确保青年作为主要利益攸关方有意义地参与国际电</w:t>
      </w:r>
      <w:proofErr w:type="gramStart"/>
      <w:r>
        <w:rPr>
          <w:lang w:val="zh-CN" w:eastAsia="zh-CN"/>
        </w:rPr>
        <w:t>联落实</w:t>
      </w:r>
      <w:proofErr w:type="gramEnd"/>
      <w:r>
        <w:rPr>
          <w:lang w:val="zh-CN" w:eastAsia="zh-CN"/>
        </w:rPr>
        <w:t>《</w:t>
      </w:r>
      <w:r>
        <w:rPr>
          <w:lang w:val="zh-CN" w:eastAsia="zh-CN"/>
        </w:rPr>
        <w:t>2030</w:t>
      </w:r>
      <w:r>
        <w:rPr>
          <w:lang w:val="zh-CN" w:eastAsia="zh-CN"/>
        </w:rPr>
        <w:t>年可持续发展议程》</w:t>
      </w:r>
      <w:r>
        <w:rPr>
          <w:rFonts w:hint="eastAsia"/>
          <w:lang w:val="zh-CN" w:eastAsia="zh-CN"/>
        </w:rPr>
        <w:t>的工作</w:t>
      </w:r>
      <w:r>
        <w:rPr>
          <w:lang w:val="zh-CN" w:eastAsia="zh-CN"/>
        </w:rPr>
        <w:t>。</w:t>
      </w:r>
    </w:p>
    <w:p w14:paraId="6D4C8B90" w14:textId="77777777" w:rsidR="005E3AF6" w:rsidRPr="00033A30" w:rsidRDefault="005E3AF6" w:rsidP="005E3AF6">
      <w:pPr>
        <w:ind w:firstLineChars="200" w:firstLine="480"/>
        <w:rPr>
          <w:lang w:eastAsia="zh-CN"/>
        </w:rPr>
      </w:pPr>
      <w:r>
        <w:rPr>
          <w:lang w:val="zh-CN" w:eastAsia="zh-CN"/>
        </w:rPr>
        <w:t>国际电联理事会</w:t>
      </w:r>
      <w:r>
        <w:rPr>
          <w:lang w:val="zh-CN" w:eastAsia="zh-CN"/>
        </w:rPr>
        <w:t>2023</w:t>
      </w:r>
      <w:r>
        <w:rPr>
          <w:lang w:val="zh-CN" w:eastAsia="zh-CN"/>
        </w:rPr>
        <w:t>年会议进一步得出结论，应赋予青年</w:t>
      </w:r>
      <w:r>
        <w:rPr>
          <w:rFonts w:hint="eastAsia"/>
          <w:lang w:val="zh-CN" w:eastAsia="zh-CN"/>
        </w:rPr>
        <w:t>权能</w:t>
      </w:r>
      <w:r>
        <w:rPr>
          <w:lang w:val="zh-CN" w:eastAsia="zh-CN"/>
        </w:rPr>
        <w:t>，以分享其经验，加深对电信和</w:t>
      </w:r>
      <w:r>
        <w:rPr>
          <w:lang w:val="zh-CN" w:eastAsia="zh-CN"/>
        </w:rPr>
        <w:t>ICT</w:t>
      </w:r>
      <w:r>
        <w:rPr>
          <w:lang w:val="zh-CN" w:eastAsia="zh-CN"/>
        </w:rPr>
        <w:t>的理解，强调青年应参与下一届青年峰会主题的设计、组织和选择，应鼓励各地区的青年人能够参与其中。</w:t>
      </w:r>
    </w:p>
    <w:p w14:paraId="2C930967" w14:textId="36B057DB" w:rsidR="005E3AF6" w:rsidRPr="007B7FCE" w:rsidRDefault="005E3AF6" w:rsidP="005E3AF6">
      <w:pPr>
        <w:ind w:firstLineChars="200" w:firstLine="480"/>
        <w:rPr>
          <w:iCs/>
          <w:lang w:eastAsia="zh-CN"/>
        </w:rPr>
      </w:pPr>
      <w:r>
        <w:rPr>
          <w:rFonts w:hint="eastAsia"/>
          <w:lang w:val="zh-CN" w:eastAsia="zh-CN"/>
        </w:rPr>
        <w:t>提交文稿的</w:t>
      </w:r>
      <w:r>
        <w:rPr>
          <w:lang w:val="zh-CN" w:eastAsia="zh-CN"/>
        </w:rPr>
        <w:t>主管部门</w:t>
      </w:r>
      <w:r>
        <w:rPr>
          <w:rFonts w:hint="eastAsia"/>
          <w:lang w:val="zh-CN" w:eastAsia="zh-CN"/>
        </w:rPr>
        <w:t>感谢</w:t>
      </w:r>
      <w:r>
        <w:rPr>
          <w:lang w:val="zh-CN" w:eastAsia="zh-CN"/>
        </w:rPr>
        <w:t>国际电</w:t>
      </w:r>
      <w:proofErr w:type="gramStart"/>
      <w:r>
        <w:rPr>
          <w:lang w:val="zh-CN" w:eastAsia="zh-CN"/>
        </w:rPr>
        <w:t>联实施</w:t>
      </w:r>
      <w:proofErr w:type="gramEnd"/>
      <w:r>
        <w:rPr>
          <w:lang w:val="zh-CN" w:eastAsia="zh-CN"/>
        </w:rPr>
        <w:t>的旨在通过青年专业人员计划（</w:t>
      </w:r>
      <w:r>
        <w:rPr>
          <w:lang w:val="zh-CN" w:eastAsia="zh-CN"/>
        </w:rPr>
        <w:t>ITU-YPP</w:t>
      </w:r>
      <w:r>
        <w:rPr>
          <w:lang w:val="zh-CN" w:eastAsia="zh-CN"/>
        </w:rPr>
        <w:t>）、青年任务组（</w:t>
      </w:r>
      <w:r>
        <w:rPr>
          <w:lang w:val="zh-CN" w:eastAsia="zh-CN"/>
        </w:rPr>
        <w:t>ITU-YTF</w:t>
      </w:r>
      <w:r>
        <w:rPr>
          <w:lang w:val="zh-CN" w:eastAsia="zh-CN"/>
        </w:rPr>
        <w:t>）和</w:t>
      </w:r>
      <w:r>
        <w:rPr>
          <w:rFonts w:hint="eastAsia"/>
          <w:lang w:val="zh-CN" w:eastAsia="zh-CN"/>
        </w:rPr>
        <w:t>“</w:t>
      </w:r>
      <w:r>
        <w:rPr>
          <w:lang w:val="zh-CN" w:eastAsia="zh-CN"/>
        </w:rPr>
        <w:t>连通</w:t>
      </w:r>
      <w:r>
        <w:rPr>
          <w:rFonts w:hint="eastAsia"/>
          <w:lang w:val="zh-CN" w:eastAsia="zh-CN"/>
        </w:rPr>
        <w:t>的</w:t>
      </w:r>
      <w:r>
        <w:rPr>
          <w:lang w:val="zh-CN" w:eastAsia="zh-CN"/>
        </w:rPr>
        <w:t>一代</w:t>
      </w:r>
      <w:r>
        <w:rPr>
          <w:rFonts w:hint="eastAsia"/>
          <w:lang w:val="zh-CN" w:eastAsia="zh-CN"/>
        </w:rPr>
        <w:t>”</w:t>
      </w:r>
      <w:r>
        <w:rPr>
          <w:lang w:val="zh-CN" w:eastAsia="zh-CN"/>
        </w:rPr>
        <w:t>举措等计划，增加对国际电联活动的参与和</w:t>
      </w:r>
      <w:r>
        <w:rPr>
          <w:rFonts w:hint="eastAsia"/>
          <w:lang w:val="zh-CN" w:eastAsia="zh-CN"/>
        </w:rPr>
        <w:t>接触的</w:t>
      </w:r>
      <w:r>
        <w:rPr>
          <w:lang w:val="zh-CN" w:eastAsia="zh-CN"/>
        </w:rPr>
        <w:t>举措和机制。</w:t>
      </w:r>
    </w:p>
    <w:p w14:paraId="1FDC7216" w14:textId="499401F2" w:rsidR="005E3AF6" w:rsidRPr="00033A30" w:rsidRDefault="005E3AF6" w:rsidP="005E3AF6">
      <w:pPr>
        <w:ind w:firstLineChars="200" w:firstLine="480"/>
        <w:rPr>
          <w:lang w:eastAsia="zh-CN"/>
        </w:rPr>
      </w:pPr>
      <w:r>
        <w:rPr>
          <w:rFonts w:hint="eastAsia"/>
          <w:lang w:val="zh-CN" w:eastAsia="zh-CN"/>
        </w:rPr>
        <w:t>提交文稿的</w:t>
      </w:r>
      <w:r>
        <w:rPr>
          <w:lang w:val="zh-CN" w:eastAsia="zh-CN"/>
        </w:rPr>
        <w:t>主管部门特别希望赞赏</w:t>
      </w:r>
      <w:r>
        <w:rPr>
          <w:rFonts w:hint="eastAsia"/>
          <w:lang w:val="zh-CN" w:eastAsia="zh-CN"/>
        </w:rPr>
        <w:t>“</w:t>
      </w:r>
      <w:r>
        <w:rPr>
          <w:lang w:val="zh-CN" w:eastAsia="zh-CN"/>
        </w:rPr>
        <w:t>连通</w:t>
      </w:r>
      <w:r>
        <w:rPr>
          <w:rFonts w:hint="eastAsia"/>
          <w:lang w:val="zh-CN" w:eastAsia="zh-CN"/>
        </w:rPr>
        <w:t>的</w:t>
      </w:r>
      <w:r>
        <w:rPr>
          <w:lang w:val="zh-CN" w:eastAsia="zh-CN"/>
        </w:rPr>
        <w:t>一代</w:t>
      </w:r>
      <w:r>
        <w:rPr>
          <w:rFonts w:hint="eastAsia"/>
          <w:lang w:val="zh-CN" w:eastAsia="zh-CN"/>
        </w:rPr>
        <w:t>”</w:t>
      </w:r>
      <w:r>
        <w:rPr>
          <w:lang w:val="zh-CN" w:eastAsia="zh-CN"/>
        </w:rPr>
        <w:t>举措，该举措致力于通过线上和线下参与国际电联举措，扩大青年在</w:t>
      </w:r>
      <w:r>
        <w:rPr>
          <w:lang w:val="zh-CN" w:eastAsia="zh-CN"/>
        </w:rPr>
        <w:t>ICT</w:t>
      </w:r>
      <w:r>
        <w:rPr>
          <w:lang w:val="zh-CN" w:eastAsia="zh-CN"/>
        </w:rPr>
        <w:t>相关事务中的声音，带来青年的独特视角，并在数字发展对话中支持青年的</w:t>
      </w:r>
      <w:r>
        <w:rPr>
          <w:rFonts w:hint="eastAsia"/>
          <w:lang w:val="zh-CN" w:eastAsia="zh-CN"/>
        </w:rPr>
        <w:t>呼求</w:t>
      </w:r>
      <w:r>
        <w:rPr>
          <w:lang w:val="zh-CN" w:eastAsia="zh-CN"/>
        </w:rPr>
        <w:t>。</w:t>
      </w:r>
    </w:p>
    <w:p w14:paraId="67117C46" w14:textId="77777777" w:rsidR="005E3AF6" w:rsidRPr="00033A30" w:rsidRDefault="005E3AF6" w:rsidP="005E3AF6">
      <w:pPr>
        <w:ind w:firstLineChars="200" w:firstLine="480"/>
        <w:rPr>
          <w:lang w:eastAsia="zh-CN"/>
        </w:rPr>
      </w:pPr>
      <w:r>
        <w:rPr>
          <w:lang w:val="zh-CN" w:eastAsia="zh-CN"/>
        </w:rPr>
        <w:t>最后，请成员国和部门成员继续通过自愿和实物捐赠支持促进青年参与的各项举措，尤其是青年战略和</w:t>
      </w:r>
      <w:r>
        <w:rPr>
          <w:rFonts w:hint="eastAsia"/>
          <w:lang w:val="zh-CN" w:eastAsia="zh-CN"/>
        </w:rPr>
        <w:t>“</w:t>
      </w:r>
      <w:r>
        <w:rPr>
          <w:lang w:val="zh-CN" w:eastAsia="zh-CN"/>
        </w:rPr>
        <w:t>连通</w:t>
      </w:r>
      <w:r>
        <w:rPr>
          <w:rFonts w:hint="eastAsia"/>
          <w:lang w:val="zh-CN" w:eastAsia="zh-CN"/>
        </w:rPr>
        <w:t>的</w:t>
      </w:r>
      <w:r>
        <w:rPr>
          <w:lang w:val="zh-CN" w:eastAsia="zh-CN"/>
        </w:rPr>
        <w:t>一代</w:t>
      </w:r>
      <w:r>
        <w:rPr>
          <w:rFonts w:hint="eastAsia"/>
          <w:lang w:val="zh-CN" w:eastAsia="zh-CN"/>
        </w:rPr>
        <w:t>”</w:t>
      </w:r>
      <w:r>
        <w:rPr>
          <w:lang w:val="zh-CN" w:eastAsia="zh-CN"/>
        </w:rPr>
        <w:t>举措。</w:t>
      </w:r>
    </w:p>
    <w:p w14:paraId="24D971CF" w14:textId="77777777" w:rsidR="005E3AF6" w:rsidRPr="00033A30" w:rsidRDefault="005E3AF6" w:rsidP="005E3AF6">
      <w:pPr>
        <w:ind w:firstLineChars="200" w:firstLine="480"/>
        <w:rPr>
          <w:lang w:eastAsia="zh-CN"/>
        </w:rPr>
      </w:pPr>
      <w:r>
        <w:rPr>
          <w:lang w:val="zh-CN" w:eastAsia="zh-CN"/>
        </w:rPr>
        <w:t>对于理事会</w:t>
      </w:r>
      <w:r>
        <w:rPr>
          <w:lang w:val="zh-CN" w:eastAsia="zh-CN"/>
        </w:rPr>
        <w:t>2024</w:t>
      </w:r>
      <w:r>
        <w:rPr>
          <w:lang w:val="zh-CN" w:eastAsia="zh-CN"/>
        </w:rPr>
        <w:t>年会议，总秘书处介绍了有关国际电联</w:t>
      </w:r>
      <w:r>
        <w:rPr>
          <w:rFonts w:hint="eastAsia"/>
          <w:lang w:val="zh-CN" w:eastAsia="zh-CN"/>
        </w:rPr>
        <w:t>的</w:t>
      </w:r>
      <w:r>
        <w:rPr>
          <w:lang w:val="zh-CN" w:eastAsia="zh-CN"/>
        </w:rPr>
        <w:t>青年参与和举措的报告（</w:t>
      </w:r>
      <w:hyperlink r:id="rId14" w:history="1">
        <w:r w:rsidRPr="00033A30">
          <w:rPr>
            <w:rStyle w:val="Hyperlink"/>
            <w:lang w:eastAsia="zh-CN"/>
          </w:rPr>
          <w:t>C24/31</w:t>
        </w:r>
      </w:hyperlink>
      <w:r>
        <w:rPr>
          <w:rFonts w:hint="eastAsia"/>
          <w:lang w:val="zh-CN" w:eastAsia="zh-CN"/>
        </w:rPr>
        <w:t>号文件</w:t>
      </w:r>
      <w:r>
        <w:rPr>
          <w:lang w:val="zh-CN" w:eastAsia="zh-CN"/>
        </w:rPr>
        <w:t>），阐述了围绕青年参与</w:t>
      </w:r>
      <w:r>
        <w:rPr>
          <w:rFonts w:hint="eastAsia"/>
          <w:lang w:val="zh-CN" w:eastAsia="zh-CN"/>
        </w:rPr>
        <w:t>所</w:t>
      </w:r>
      <w:r>
        <w:rPr>
          <w:lang w:val="zh-CN" w:eastAsia="zh-CN"/>
        </w:rPr>
        <w:t>开展举措</w:t>
      </w:r>
      <w:r>
        <w:rPr>
          <w:rFonts w:hint="eastAsia"/>
          <w:lang w:val="zh-CN" w:eastAsia="zh-CN"/>
        </w:rPr>
        <w:t>的</w:t>
      </w:r>
      <w:r>
        <w:rPr>
          <w:lang w:val="zh-CN" w:eastAsia="zh-CN"/>
        </w:rPr>
        <w:t>落实</w:t>
      </w:r>
      <w:r>
        <w:rPr>
          <w:rFonts w:hint="eastAsia"/>
          <w:lang w:val="zh-CN" w:eastAsia="zh-CN"/>
        </w:rPr>
        <w:t>工作</w:t>
      </w:r>
      <w:r>
        <w:rPr>
          <w:lang w:val="zh-CN" w:eastAsia="zh-CN"/>
        </w:rPr>
        <w:t>取得的进展，特别是电信发展局（</w:t>
      </w:r>
      <w:r>
        <w:rPr>
          <w:lang w:val="zh-CN" w:eastAsia="zh-CN"/>
        </w:rPr>
        <w:t>BDT</w:t>
      </w:r>
      <w:r>
        <w:rPr>
          <w:lang w:val="zh-CN" w:eastAsia="zh-CN"/>
        </w:rPr>
        <w:t>）与成员国合作，</w:t>
      </w:r>
      <w:r>
        <w:rPr>
          <w:rFonts w:hint="eastAsia"/>
          <w:lang w:val="zh-CN" w:eastAsia="zh-CN"/>
        </w:rPr>
        <w:t>任命</w:t>
      </w:r>
      <w:r>
        <w:rPr>
          <w:lang w:val="zh-CN" w:eastAsia="zh-CN"/>
        </w:rPr>
        <w:t>了一批新的</w:t>
      </w:r>
      <w:r>
        <w:rPr>
          <w:rFonts w:hint="eastAsia"/>
          <w:lang w:val="zh-CN" w:eastAsia="zh-CN"/>
        </w:rPr>
        <w:t>“</w:t>
      </w:r>
      <w:r>
        <w:rPr>
          <w:lang w:val="zh-CN" w:eastAsia="zh-CN"/>
        </w:rPr>
        <w:t>连通</w:t>
      </w:r>
      <w:r>
        <w:rPr>
          <w:rFonts w:hint="eastAsia"/>
          <w:lang w:val="zh-CN" w:eastAsia="zh-CN"/>
        </w:rPr>
        <w:t>的</w:t>
      </w:r>
      <w:r>
        <w:rPr>
          <w:lang w:val="zh-CN" w:eastAsia="zh-CN"/>
        </w:rPr>
        <w:t>一代</w:t>
      </w:r>
      <w:r>
        <w:rPr>
          <w:rFonts w:hint="eastAsia"/>
          <w:lang w:val="zh-CN" w:eastAsia="zh-CN"/>
        </w:rPr>
        <w:t>”</w:t>
      </w:r>
      <w:r>
        <w:rPr>
          <w:lang w:val="zh-CN" w:eastAsia="zh-CN"/>
        </w:rPr>
        <w:t>青年特使，以加强与国际电联成员国就</w:t>
      </w:r>
      <w:r>
        <w:rPr>
          <w:rFonts w:hint="eastAsia"/>
          <w:lang w:val="zh-CN" w:eastAsia="zh-CN"/>
        </w:rPr>
        <w:t>“</w:t>
      </w:r>
      <w:r>
        <w:rPr>
          <w:lang w:val="zh-CN" w:eastAsia="zh-CN"/>
        </w:rPr>
        <w:t>连通</w:t>
      </w:r>
      <w:r>
        <w:rPr>
          <w:rFonts w:hint="eastAsia"/>
          <w:lang w:val="zh-CN" w:eastAsia="zh-CN"/>
        </w:rPr>
        <w:t>的</w:t>
      </w:r>
      <w:r>
        <w:rPr>
          <w:lang w:val="zh-CN" w:eastAsia="zh-CN"/>
        </w:rPr>
        <w:t>一代</w:t>
      </w:r>
      <w:r>
        <w:rPr>
          <w:rFonts w:hint="eastAsia"/>
          <w:lang w:val="zh-CN" w:eastAsia="zh-CN"/>
        </w:rPr>
        <w:t>”</w:t>
      </w:r>
      <w:r>
        <w:rPr>
          <w:lang w:val="zh-CN" w:eastAsia="zh-CN"/>
        </w:rPr>
        <w:t>举措</w:t>
      </w:r>
      <w:r>
        <w:rPr>
          <w:rFonts w:hint="eastAsia"/>
          <w:lang w:val="zh-CN" w:eastAsia="zh-CN"/>
        </w:rPr>
        <w:t>进行</w:t>
      </w:r>
      <w:r>
        <w:rPr>
          <w:lang w:val="zh-CN" w:eastAsia="zh-CN"/>
        </w:rPr>
        <w:t>的接触。</w:t>
      </w:r>
    </w:p>
    <w:p w14:paraId="44EFC6A6" w14:textId="77777777" w:rsidR="005E3AF6" w:rsidRPr="00033A30" w:rsidRDefault="005E3AF6" w:rsidP="005E3AF6">
      <w:pPr>
        <w:pStyle w:val="Headingb"/>
        <w:rPr>
          <w:lang w:eastAsia="zh-CN"/>
        </w:rPr>
      </w:pPr>
      <w:r>
        <w:rPr>
          <w:rFonts w:hint="eastAsia"/>
          <w:lang w:val="zh-CN" w:eastAsia="zh-CN"/>
        </w:rPr>
        <w:t>提案</w:t>
      </w:r>
    </w:p>
    <w:p w14:paraId="3DA4ADD7" w14:textId="4F62482A" w:rsidR="005E3AF6" w:rsidRPr="00033A30" w:rsidRDefault="005E3AF6" w:rsidP="005E3AF6">
      <w:pPr>
        <w:ind w:firstLineChars="200" w:firstLine="480"/>
        <w:rPr>
          <w:lang w:eastAsia="zh-CN"/>
        </w:rPr>
      </w:pPr>
      <w:r>
        <w:rPr>
          <w:rFonts w:hint="eastAsia"/>
          <w:lang w:val="zh-CN" w:eastAsia="zh-CN"/>
        </w:rPr>
        <w:t>提交文稿的</w:t>
      </w:r>
      <w:r>
        <w:rPr>
          <w:lang w:val="zh-CN" w:eastAsia="zh-CN"/>
        </w:rPr>
        <w:t>主管部门认识到赋予年轻人</w:t>
      </w:r>
      <w:r>
        <w:rPr>
          <w:rFonts w:hint="eastAsia"/>
          <w:lang w:val="zh-CN" w:eastAsia="zh-CN"/>
        </w:rPr>
        <w:t>权能</w:t>
      </w:r>
      <w:r>
        <w:rPr>
          <w:lang w:val="zh-CN" w:eastAsia="zh-CN"/>
        </w:rPr>
        <w:t>并使他们参与全球数字发展的重要性。然而，要使所有青年人全部参与到国际电联制定的活动和举措中去，就需要在区域层面加强和实施举措和计划，从而确保国际电联六种语言得到平等使用。举措必须具有包容性，力求将包括残疾青年和</w:t>
      </w:r>
      <w:r>
        <w:rPr>
          <w:rFonts w:hint="eastAsia"/>
          <w:lang w:val="zh-CN" w:eastAsia="zh-CN"/>
        </w:rPr>
        <w:t>原住民</w:t>
      </w:r>
      <w:r>
        <w:rPr>
          <w:lang w:val="zh-CN" w:eastAsia="zh-CN"/>
        </w:rPr>
        <w:t>社区</w:t>
      </w:r>
      <w:r>
        <w:rPr>
          <w:rFonts w:hint="eastAsia"/>
          <w:lang w:val="zh-CN" w:eastAsia="zh-CN"/>
        </w:rPr>
        <w:t>人员在内的</w:t>
      </w:r>
      <w:r>
        <w:rPr>
          <w:lang w:val="zh-CN" w:eastAsia="zh-CN"/>
        </w:rPr>
        <w:t>各行各业纳入进来。</w:t>
      </w:r>
    </w:p>
    <w:p w14:paraId="71ADDB48" w14:textId="77777777" w:rsidR="005E3AF6" w:rsidRPr="00033A30" w:rsidRDefault="005E3AF6" w:rsidP="005E3AF6">
      <w:pPr>
        <w:ind w:firstLineChars="200" w:firstLine="480"/>
        <w:rPr>
          <w:lang w:eastAsia="zh-CN"/>
        </w:rPr>
      </w:pPr>
      <w:r>
        <w:rPr>
          <w:lang w:val="zh-CN" w:eastAsia="zh-CN"/>
        </w:rPr>
        <w:t>为此，有必要考虑到有关在同等地位上使用国际电联六种正式语文的全权代表大会第</w:t>
      </w:r>
      <w:r>
        <w:rPr>
          <w:lang w:val="zh-CN" w:eastAsia="zh-CN"/>
        </w:rPr>
        <w:t>154</w:t>
      </w:r>
      <w:r>
        <w:rPr>
          <w:lang w:val="zh-CN" w:eastAsia="zh-CN"/>
        </w:rPr>
        <w:t>号决议（</w:t>
      </w:r>
      <w:r>
        <w:rPr>
          <w:lang w:val="zh-CN" w:eastAsia="zh-CN"/>
        </w:rPr>
        <w:t>2022</w:t>
      </w:r>
      <w:r>
        <w:rPr>
          <w:lang w:val="zh-CN" w:eastAsia="zh-CN"/>
        </w:rPr>
        <w:t>年，布加勒斯特，修订版），认识到使用多种语文的重要性</w:t>
      </w:r>
      <w:r>
        <w:rPr>
          <w:rFonts w:hint="eastAsia"/>
          <w:lang w:val="zh-CN" w:eastAsia="zh-CN"/>
        </w:rPr>
        <w:t>并承诺</w:t>
      </w:r>
      <w:r>
        <w:rPr>
          <w:lang w:val="zh-CN" w:eastAsia="zh-CN"/>
        </w:rPr>
        <w:t>在现有资源的范围内，在其整个活动中平等使用六种正式语文（阿拉伯文、中文、西班牙文、法文、英文和俄文）</w:t>
      </w:r>
      <w:r>
        <w:rPr>
          <w:rFonts w:hint="eastAsia"/>
          <w:lang w:val="zh-CN" w:eastAsia="zh-CN"/>
        </w:rPr>
        <w:t>，以实现这一目标</w:t>
      </w:r>
      <w:r>
        <w:rPr>
          <w:lang w:val="zh-CN" w:eastAsia="zh-CN"/>
        </w:rPr>
        <w:t>。</w:t>
      </w:r>
    </w:p>
    <w:p w14:paraId="35C2529E" w14:textId="77777777" w:rsidR="005E3AF6" w:rsidRPr="00033A30" w:rsidRDefault="005E3AF6" w:rsidP="005E3AF6">
      <w:pPr>
        <w:ind w:firstLineChars="200" w:firstLine="480"/>
        <w:rPr>
          <w:lang w:eastAsia="zh-CN"/>
        </w:rPr>
      </w:pPr>
      <w:r>
        <w:rPr>
          <w:lang w:val="zh-CN" w:eastAsia="zh-CN"/>
        </w:rPr>
        <w:t>使用多种语文是联合国的</w:t>
      </w:r>
      <w:r>
        <w:rPr>
          <w:rFonts w:hint="eastAsia"/>
          <w:lang w:val="zh-CN" w:eastAsia="zh-CN"/>
        </w:rPr>
        <w:t>基本</w:t>
      </w:r>
      <w:r>
        <w:rPr>
          <w:lang w:val="zh-CN" w:eastAsia="zh-CN"/>
        </w:rPr>
        <w:t>价值</w:t>
      </w:r>
      <w:r>
        <w:rPr>
          <w:rFonts w:hint="eastAsia"/>
          <w:lang w:val="zh-CN" w:eastAsia="zh-CN"/>
        </w:rPr>
        <w:t>观</w:t>
      </w:r>
      <w:r>
        <w:rPr>
          <w:lang w:val="zh-CN" w:eastAsia="zh-CN"/>
        </w:rPr>
        <w:t>和基本原则，有助于实现联合国的各项目标，并保证会员国平等参与。</w:t>
      </w:r>
    </w:p>
    <w:p w14:paraId="7AE83BCE" w14:textId="65091BEA" w:rsidR="005E3AF6" w:rsidRPr="00033A30" w:rsidRDefault="005E3AF6" w:rsidP="005E3AF6">
      <w:pPr>
        <w:ind w:firstLineChars="200" w:firstLine="480"/>
        <w:rPr>
          <w:lang w:eastAsia="zh-CN"/>
        </w:rPr>
      </w:pPr>
      <w:r>
        <w:rPr>
          <w:lang w:val="zh-CN" w:eastAsia="zh-CN"/>
        </w:rPr>
        <w:t>语言是青年人参与的最大障碍之一。</w:t>
      </w:r>
      <w:r w:rsidR="005674B2">
        <w:rPr>
          <w:rFonts w:hint="eastAsia"/>
          <w:lang w:val="zh-CN" w:eastAsia="zh-CN"/>
        </w:rPr>
        <w:t>提交文稿的</w:t>
      </w:r>
      <w:r>
        <w:rPr>
          <w:lang w:val="zh-CN" w:eastAsia="zh-CN"/>
        </w:rPr>
        <w:t>主管部门的经验表明，只懂一种语言的年轻人在参与国际电联举措时可能遇到阻力，甚至发现自己被完全排除在举措之外。这表明，对于积极参与国际活动和讨论而言，平等地位尚未成为现实。</w:t>
      </w:r>
    </w:p>
    <w:p w14:paraId="3A4B47D2" w14:textId="4D3DCAC9" w:rsidR="005E3AF6" w:rsidRPr="00033A30" w:rsidRDefault="005E3AF6" w:rsidP="005E3AF6">
      <w:pPr>
        <w:ind w:firstLineChars="200" w:firstLine="480"/>
        <w:rPr>
          <w:lang w:eastAsia="zh-CN"/>
        </w:rPr>
      </w:pPr>
      <w:r>
        <w:rPr>
          <w:lang w:val="zh-CN" w:eastAsia="zh-CN"/>
        </w:rPr>
        <w:lastRenderedPageBreak/>
        <w:t>同样，要使举措真正代表各行各业的人群，就必须使残疾青年和原住民社区的青年能够实现包容性参与，以促进他们的数字包容性并受益于了解其观点的第一手资料，这些可纳入</w:t>
      </w:r>
      <w:r>
        <w:rPr>
          <w:rFonts w:hint="eastAsia"/>
          <w:lang w:val="zh-CN" w:eastAsia="zh-CN"/>
        </w:rPr>
        <w:t>相关举措</w:t>
      </w:r>
      <w:r>
        <w:rPr>
          <w:lang w:val="zh-CN" w:eastAsia="zh-CN"/>
        </w:rPr>
        <w:t>的最终输出成果，或根据全权代表大会第</w:t>
      </w:r>
      <w:r>
        <w:rPr>
          <w:lang w:val="zh-CN" w:eastAsia="zh-CN"/>
        </w:rPr>
        <w:t>184</w:t>
      </w:r>
      <w:r>
        <w:rPr>
          <w:lang w:val="zh-CN" w:eastAsia="zh-CN"/>
        </w:rPr>
        <w:t>号决议（</w:t>
      </w:r>
      <w:r>
        <w:rPr>
          <w:lang w:val="zh-CN" w:eastAsia="zh-CN"/>
        </w:rPr>
        <w:t>2022</w:t>
      </w:r>
      <w:r>
        <w:rPr>
          <w:lang w:val="zh-CN" w:eastAsia="zh-CN"/>
        </w:rPr>
        <w:t>年，布加勒斯特，修订版）和第</w:t>
      </w:r>
      <w:r>
        <w:rPr>
          <w:lang w:val="zh-CN" w:eastAsia="zh-CN"/>
        </w:rPr>
        <w:t>175</w:t>
      </w:r>
      <w:r>
        <w:rPr>
          <w:lang w:val="zh-CN" w:eastAsia="zh-CN"/>
        </w:rPr>
        <w:t>号决议（</w:t>
      </w:r>
      <w:r>
        <w:rPr>
          <w:lang w:val="zh-CN" w:eastAsia="zh-CN"/>
        </w:rPr>
        <w:t>2022</w:t>
      </w:r>
      <w:r>
        <w:rPr>
          <w:lang w:val="zh-CN" w:eastAsia="zh-CN"/>
        </w:rPr>
        <w:t>年，布加勒斯特，修订版），考虑到在国际电联中代表性不足的国家的经验和专业知识，使其能够参与。综上所述，</w:t>
      </w:r>
      <w:r w:rsidR="005674B2">
        <w:rPr>
          <w:rFonts w:hint="eastAsia"/>
          <w:lang w:val="zh-CN" w:eastAsia="zh-CN"/>
        </w:rPr>
        <w:t>提交文稿的</w:t>
      </w:r>
      <w:r>
        <w:rPr>
          <w:lang w:val="zh-CN" w:eastAsia="zh-CN"/>
        </w:rPr>
        <w:t>主管部门重申实施第</w:t>
      </w:r>
      <w:r>
        <w:rPr>
          <w:lang w:val="zh-CN" w:eastAsia="zh-CN"/>
        </w:rPr>
        <w:t>198</w:t>
      </w:r>
      <w:r>
        <w:rPr>
          <w:lang w:val="zh-CN" w:eastAsia="zh-CN"/>
        </w:rPr>
        <w:t>号决议的重要性，并提出以下建议：</w:t>
      </w:r>
      <w:bookmarkStart w:id="8" w:name="here"/>
      <w:bookmarkEnd w:id="8"/>
    </w:p>
    <w:p w14:paraId="750F1209" w14:textId="77777777" w:rsidR="005E3AF6" w:rsidRPr="00504AAF" w:rsidRDefault="005E3AF6" w:rsidP="005E3AF6">
      <w:pPr>
        <w:pStyle w:val="enumlev1"/>
        <w:rPr>
          <w:lang w:eastAsia="zh-CN"/>
        </w:rPr>
      </w:pPr>
      <w:r>
        <w:rPr>
          <w:lang w:eastAsia="zh-CN"/>
        </w:rPr>
        <w:t>1)</w:t>
      </w:r>
      <w:r>
        <w:rPr>
          <w:lang w:eastAsia="zh-CN"/>
        </w:rPr>
        <w:tab/>
      </w:r>
      <w:r w:rsidRPr="00504AAF">
        <w:rPr>
          <w:lang w:eastAsia="zh-CN"/>
        </w:rPr>
        <w:t>国际电联秘书处应责成电信发展局主任保持并加强青年的参与和</w:t>
      </w:r>
      <w:r w:rsidRPr="00504AAF">
        <w:rPr>
          <w:rFonts w:hint="eastAsia"/>
          <w:lang w:eastAsia="zh-CN"/>
        </w:rPr>
        <w:t>接触</w:t>
      </w:r>
      <w:r w:rsidRPr="00504AAF">
        <w:rPr>
          <w:lang w:eastAsia="zh-CN"/>
        </w:rPr>
        <w:t>，尤其注重区域参与，以支持国际电联主要目标的实现</w:t>
      </w:r>
      <w:r w:rsidRPr="00504AAF">
        <w:rPr>
          <w:rFonts w:hint="eastAsia"/>
          <w:lang w:eastAsia="zh-CN"/>
        </w:rPr>
        <w:t>；</w:t>
      </w:r>
      <w:r w:rsidRPr="00504AAF">
        <w:rPr>
          <w:lang w:eastAsia="zh-CN"/>
        </w:rPr>
        <w:t>并根据第</w:t>
      </w:r>
      <w:r w:rsidRPr="00504AAF">
        <w:rPr>
          <w:lang w:eastAsia="zh-CN"/>
        </w:rPr>
        <w:t>198</w:t>
      </w:r>
      <w:r w:rsidRPr="00504AAF">
        <w:rPr>
          <w:lang w:eastAsia="zh-CN"/>
        </w:rPr>
        <w:t>号决议</w:t>
      </w:r>
      <w:r w:rsidRPr="00504AAF">
        <w:rPr>
          <w:rFonts w:ascii="STKaiti" w:eastAsia="STKaiti" w:hAnsi="STKaiti"/>
          <w:lang w:eastAsia="zh-CN"/>
        </w:rPr>
        <w:t>做出决议</w:t>
      </w:r>
      <w:r w:rsidRPr="00504AAF">
        <w:rPr>
          <w:lang w:eastAsia="zh-CN"/>
        </w:rPr>
        <w:t>2</w:t>
      </w:r>
      <w:r w:rsidRPr="00504AAF">
        <w:rPr>
          <w:lang w:eastAsia="zh-CN"/>
        </w:rPr>
        <w:t>，鼓励青年参与国际电联的项目</w:t>
      </w:r>
      <w:r w:rsidRPr="00504AAF">
        <w:rPr>
          <w:rFonts w:hint="eastAsia"/>
          <w:lang w:eastAsia="zh-CN"/>
        </w:rPr>
        <w:t>和</w:t>
      </w:r>
      <w:r w:rsidRPr="00504AAF">
        <w:rPr>
          <w:lang w:eastAsia="zh-CN"/>
        </w:rPr>
        <w:t>活动。</w:t>
      </w:r>
    </w:p>
    <w:p w14:paraId="5E33DFCD" w14:textId="5328A823" w:rsidR="005E3AF6" w:rsidRPr="00504AAF" w:rsidRDefault="005E3AF6" w:rsidP="005E3AF6">
      <w:pPr>
        <w:pStyle w:val="enumlev1"/>
        <w:rPr>
          <w:lang w:eastAsia="zh-CN"/>
        </w:rPr>
      </w:pPr>
      <w:r w:rsidRPr="00504AAF">
        <w:rPr>
          <w:rFonts w:hint="eastAsia"/>
          <w:lang w:eastAsia="zh-CN"/>
        </w:rPr>
        <w:t>2</w:t>
      </w:r>
      <w:r>
        <w:rPr>
          <w:lang w:eastAsia="zh-CN"/>
        </w:rPr>
        <w:t>)</w:t>
      </w:r>
      <w:r w:rsidRPr="00504AAF">
        <w:rPr>
          <w:lang w:eastAsia="zh-CN"/>
        </w:rPr>
        <w:tab/>
      </w:r>
      <w:r w:rsidRPr="00504AAF">
        <w:rPr>
          <w:lang w:eastAsia="zh-CN"/>
        </w:rPr>
        <w:t>考虑到语言和预算</w:t>
      </w:r>
      <w:r w:rsidRPr="00504AAF">
        <w:rPr>
          <w:rFonts w:hint="eastAsia"/>
          <w:lang w:eastAsia="zh-CN"/>
        </w:rPr>
        <w:t>方面</w:t>
      </w:r>
      <w:r w:rsidRPr="00504AAF">
        <w:rPr>
          <w:lang w:eastAsia="zh-CN"/>
        </w:rPr>
        <w:t>的限制，</w:t>
      </w:r>
      <w:r w:rsidR="005674B2">
        <w:rPr>
          <w:rFonts w:hint="eastAsia"/>
          <w:lang w:val="zh-CN" w:eastAsia="zh-CN"/>
        </w:rPr>
        <w:t>提交文稿的</w:t>
      </w:r>
      <w:r w:rsidRPr="00504AAF">
        <w:rPr>
          <w:lang w:eastAsia="zh-CN"/>
        </w:rPr>
        <w:t>主管部门认为国际电联秘书处有必要为更多旨在吸引青年参与的区域性和本地性举措创造激励机制，鼓励将原住民社区的青年纳入其中，从而支持并加强第</w:t>
      </w:r>
      <w:r w:rsidRPr="00504AAF">
        <w:rPr>
          <w:lang w:eastAsia="zh-CN"/>
        </w:rPr>
        <w:t>154</w:t>
      </w:r>
      <w:r w:rsidRPr="00504AAF">
        <w:rPr>
          <w:lang w:eastAsia="zh-CN"/>
        </w:rPr>
        <w:t>号决议</w:t>
      </w:r>
      <w:r w:rsidRPr="00504AAF">
        <w:rPr>
          <w:rFonts w:ascii="STKaiti" w:eastAsia="STKaiti" w:hAnsi="STKaiti"/>
          <w:lang w:eastAsia="zh-CN"/>
        </w:rPr>
        <w:t>做出决议</w:t>
      </w:r>
      <w:r w:rsidRPr="00504AAF">
        <w:rPr>
          <w:lang w:eastAsia="zh-CN"/>
        </w:rPr>
        <w:t>1</w:t>
      </w:r>
      <w:r w:rsidRPr="00504AAF">
        <w:rPr>
          <w:lang w:eastAsia="zh-CN"/>
        </w:rPr>
        <w:t>。</w:t>
      </w:r>
    </w:p>
    <w:p w14:paraId="071D911F" w14:textId="77777777" w:rsidR="005E3AF6" w:rsidRPr="00504AAF" w:rsidRDefault="005E3AF6" w:rsidP="005E3AF6">
      <w:pPr>
        <w:pStyle w:val="enumlev1"/>
        <w:rPr>
          <w:lang w:eastAsia="zh-CN"/>
        </w:rPr>
      </w:pPr>
      <w:r w:rsidRPr="00504AAF">
        <w:rPr>
          <w:lang w:eastAsia="zh-CN"/>
        </w:rPr>
        <w:t>3</w:t>
      </w:r>
      <w:r>
        <w:rPr>
          <w:lang w:eastAsia="zh-CN"/>
        </w:rPr>
        <w:t>)</w:t>
      </w:r>
      <w:r w:rsidRPr="00504AAF">
        <w:rPr>
          <w:lang w:eastAsia="zh-CN"/>
        </w:rPr>
        <w:tab/>
      </w:r>
      <w:r w:rsidRPr="00504AAF">
        <w:rPr>
          <w:lang w:eastAsia="zh-CN"/>
        </w:rPr>
        <w:t>国际电联秘书处应研究在可能的范围内为青年举措（</w:t>
      </w:r>
      <w:proofErr w:type="gramStart"/>
      <w:r w:rsidRPr="00504AAF">
        <w:rPr>
          <w:lang w:eastAsia="zh-CN"/>
        </w:rPr>
        <w:t>如</w:t>
      </w:r>
      <w:r>
        <w:rPr>
          <w:rFonts w:hint="eastAsia"/>
          <w:lang w:val="zh-CN" w:eastAsia="zh-CN"/>
        </w:rPr>
        <w:t>“</w:t>
      </w:r>
      <w:proofErr w:type="gramEnd"/>
      <w:r>
        <w:rPr>
          <w:lang w:val="zh-CN" w:eastAsia="zh-CN"/>
        </w:rPr>
        <w:t>连通</w:t>
      </w:r>
      <w:r>
        <w:rPr>
          <w:rFonts w:hint="eastAsia"/>
          <w:lang w:val="zh-CN" w:eastAsia="zh-CN"/>
        </w:rPr>
        <w:t>的</w:t>
      </w:r>
      <w:r>
        <w:rPr>
          <w:lang w:val="zh-CN" w:eastAsia="zh-CN"/>
        </w:rPr>
        <w:t>一代</w:t>
      </w:r>
      <w:r>
        <w:rPr>
          <w:rFonts w:hint="eastAsia"/>
          <w:lang w:val="zh-CN" w:eastAsia="zh-CN"/>
        </w:rPr>
        <w:t>”</w:t>
      </w:r>
      <w:r w:rsidRPr="00504AAF">
        <w:rPr>
          <w:lang w:eastAsia="zh-CN"/>
        </w:rPr>
        <w:t>）的区域性活动提供国际电联六种正式语文口译的可能性，同时考虑到各区域的语言构成，从而激励青年参与并增进他们对这些举措相关活动的理解。</w:t>
      </w:r>
    </w:p>
    <w:p w14:paraId="43926FAF" w14:textId="0577A98B" w:rsidR="005674B2" w:rsidRDefault="005E3AF6" w:rsidP="005E3AF6">
      <w:pPr>
        <w:pStyle w:val="enumlev1"/>
        <w:rPr>
          <w:lang w:val="zh-CN" w:eastAsia="zh-CN"/>
        </w:rPr>
      </w:pPr>
      <w:r w:rsidRPr="00504AAF">
        <w:rPr>
          <w:lang w:eastAsia="zh-CN"/>
        </w:rPr>
        <w:t>4</w:t>
      </w:r>
      <w:r>
        <w:rPr>
          <w:lang w:eastAsia="zh-CN"/>
        </w:rPr>
        <w:t>)</w:t>
      </w:r>
      <w:r w:rsidRPr="00504AAF">
        <w:rPr>
          <w:lang w:eastAsia="zh-CN"/>
        </w:rPr>
        <w:tab/>
      </w:r>
      <w:r w:rsidRPr="00504AAF">
        <w:rPr>
          <w:lang w:eastAsia="zh-CN"/>
        </w:rPr>
        <w:t>国际电联秘书处应继续请各成员国采取其认为必要的措施，鼓励青年人参与国际电联的活动，特别是那些</w:t>
      </w:r>
      <w:r w:rsidRPr="00504AAF">
        <w:rPr>
          <w:rFonts w:hint="eastAsia"/>
          <w:lang w:eastAsia="zh-CN"/>
        </w:rPr>
        <w:t>身患</w:t>
      </w:r>
      <w:r w:rsidRPr="00504AAF">
        <w:rPr>
          <w:lang w:eastAsia="zh-CN"/>
        </w:rPr>
        <w:t>残疾或</w:t>
      </w:r>
      <w:r w:rsidRPr="00504AAF">
        <w:rPr>
          <w:rFonts w:hint="eastAsia"/>
          <w:lang w:eastAsia="zh-CN"/>
        </w:rPr>
        <w:t>有</w:t>
      </w:r>
      <w:r w:rsidRPr="00504AAF">
        <w:rPr>
          <w:lang w:eastAsia="zh-CN"/>
        </w:rPr>
        <w:t>特殊需求的青年人，以提高包容性，并在关注青年</w:t>
      </w:r>
      <w:r w:rsidRPr="00504AAF">
        <w:rPr>
          <w:rFonts w:hint="eastAsia"/>
          <w:lang w:eastAsia="zh-CN"/>
        </w:rPr>
        <w:t>的</w:t>
      </w:r>
      <w:r w:rsidRPr="00504AAF">
        <w:rPr>
          <w:lang w:eastAsia="zh-CN"/>
        </w:rPr>
        <w:t>举措的空间和论坛中融入更广泛的视角，以加强第</w:t>
      </w:r>
      <w:r w:rsidRPr="00504AAF">
        <w:rPr>
          <w:lang w:eastAsia="zh-CN"/>
        </w:rPr>
        <w:t>175</w:t>
      </w:r>
      <w:r w:rsidRPr="00504AAF">
        <w:rPr>
          <w:lang w:eastAsia="zh-CN"/>
        </w:rPr>
        <w:t>号决议</w:t>
      </w:r>
      <w:r w:rsidRPr="00504AAF">
        <w:rPr>
          <w:rFonts w:ascii="STKaiti" w:eastAsia="STKaiti" w:hAnsi="STKaiti"/>
          <w:lang w:eastAsia="zh-CN"/>
        </w:rPr>
        <w:t>做出决议</w:t>
      </w:r>
      <w:r w:rsidRPr="00504AAF">
        <w:rPr>
          <w:lang w:eastAsia="zh-CN"/>
        </w:rPr>
        <w:t>1</w:t>
      </w:r>
      <w:r>
        <w:rPr>
          <w:lang w:val="zh-CN" w:eastAsia="zh-CN"/>
        </w:rPr>
        <w:t>的</w:t>
      </w:r>
      <w:r>
        <w:rPr>
          <w:rFonts w:hint="eastAsia"/>
          <w:lang w:val="zh-CN" w:eastAsia="zh-CN"/>
        </w:rPr>
        <w:t>落实工作</w:t>
      </w:r>
      <w:r>
        <w:rPr>
          <w:lang w:val="zh-CN" w:eastAsia="zh-CN"/>
        </w:rPr>
        <w:t>。</w:t>
      </w:r>
    </w:p>
    <w:p w14:paraId="5AAFE04F" w14:textId="24C23408" w:rsidR="005674B2" w:rsidRPr="005674B2" w:rsidRDefault="005674B2" w:rsidP="005E3AF6">
      <w:pPr>
        <w:pStyle w:val="enumlev1"/>
        <w:rPr>
          <w:lang w:val="zh-CN" w:eastAsia="zh-CN"/>
        </w:rPr>
      </w:pPr>
      <w:r>
        <w:rPr>
          <w:lang w:val="zh-CN" w:eastAsia="zh-CN"/>
        </w:rPr>
        <w:t>5)</w:t>
      </w:r>
      <w:r>
        <w:rPr>
          <w:lang w:val="zh-CN" w:eastAsia="zh-CN"/>
        </w:rPr>
        <w:tab/>
      </w:r>
      <w:r w:rsidRPr="005674B2">
        <w:rPr>
          <w:rFonts w:hint="eastAsia"/>
          <w:lang w:eastAsia="zh-CN"/>
        </w:rPr>
        <w:t>国际电联秘书处应敦促各</w:t>
      </w:r>
      <w:r w:rsidR="00AD7AE1">
        <w:rPr>
          <w:rFonts w:hint="eastAsia"/>
          <w:lang w:eastAsia="zh-CN"/>
        </w:rPr>
        <w:t>成员</w:t>
      </w:r>
      <w:r w:rsidRPr="005674B2">
        <w:rPr>
          <w:rFonts w:hint="eastAsia"/>
          <w:lang w:eastAsia="zh-CN"/>
        </w:rPr>
        <w:t>国和</w:t>
      </w:r>
      <w:r w:rsidR="00AD7AE1">
        <w:rPr>
          <w:rFonts w:hint="eastAsia"/>
          <w:lang w:eastAsia="zh-CN"/>
        </w:rPr>
        <w:t>区域</w:t>
      </w:r>
      <w:r w:rsidRPr="005674B2">
        <w:rPr>
          <w:rFonts w:hint="eastAsia"/>
          <w:lang w:eastAsia="zh-CN"/>
        </w:rPr>
        <w:t>组织鼓励旨在优化青年参与</w:t>
      </w:r>
      <w:r w:rsidR="00AD7AE1">
        <w:rPr>
          <w:rFonts w:hint="eastAsia"/>
          <w:lang w:eastAsia="zh-CN"/>
        </w:rPr>
        <w:t>区域</w:t>
      </w:r>
      <w:r w:rsidRPr="005674B2">
        <w:rPr>
          <w:rFonts w:hint="eastAsia"/>
          <w:lang w:eastAsia="zh-CN"/>
        </w:rPr>
        <w:t>和国际活动的</w:t>
      </w:r>
      <w:r w:rsidR="00AD7AE1">
        <w:rPr>
          <w:rFonts w:hint="eastAsia"/>
          <w:lang w:eastAsia="zh-CN"/>
        </w:rPr>
        <w:t>辅导</w:t>
      </w:r>
      <w:r w:rsidRPr="005674B2">
        <w:rPr>
          <w:rFonts w:hint="eastAsia"/>
          <w:lang w:eastAsia="zh-CN"/>
        </w:rPr>
        <w:t>计划。这些计划应侧重于向青年提供有效发挥领导和决策作用所需的技能和知识。此外，建议与教育实体和青年组织合作制定这些举措，以确保采取全面和</w:t>
      </w:r>
      <w:proofErr w:type="gramStart"/>
      <w:r w:rsidRPr="005674B2">
        <w:rPr>
          <w:rFonts w:hint="eastAsia"/>
          <w:lang w:eastAsia="zh-CN"/>
        </w:rPr>
        <w:t>可</w:t>
      </w:r>
      <w:proofErr w:type="gramEnd"/>
      <w:r w:rsidRPr="005674B2">
        <w:rPr>
          <w:rFonts w:hint="eastAsia"/>
          <w:lang w:eastAsia="zh-CN"/>
        </w:rPr>
        <w:t>持续的方式开展青年培训。</w:t>
      </w:r>
    </w:p>
    <w:p w14:paraId="1A93AED0" w14:textId="77777777" w:rsidR="005E3AF6" w:rsidRDefault="005E3AF6" w:rsidP="00DB18AF">
      <w:pPr>
        <w:rPr>
          <w:lang w:eastAsia="zh-CN"/>
        </w:rPr>
      </w:pPr>
    </w:p>
    <w:p w14:paraId="2E46FA8F" w14:textId="29EDD526" w:rsidR="00AE195F" w:rsidRPr="00E24D59" w:rsidRDefault="005E3AF6" w:rsidP="005674B2">
      <w:pPr>
        <w:jc w:val="center"/>
      </w:pPr>
      <w:r>
        <w:t>______________</w:t>
      </w:r>
    </w:p>
    <w:sectPr w:rsidR="00AE195F" w:rsidRPr="00E24D59"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CBA4" w14:textId="77777777" w:rsidR="00C57177" w:rsidRDefault="00C57177">
      <w:r>
        <w:separator/>
      </w:r>
    </w:p>
  </w:endnote>
  <w:endnote w:type="continuationSeparator" w:id="0">
    <w:p w14:paraId="6851B9A6" w14:textId="77777777" w:rsidR="00C57177" w:rsidRDefault="00C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F44D7" w:rsidRPr="00784011" w14:paraId="59DFFDEF" w14:textId="77777777" w:rsidTr="003803B2">
      <w:trPr>
        <w:jc w:val="center"/>
      </w:trPr>
      <w:tc>
        <w:tcPr>
          <w:tcW w:w="1803" w:type="dxa"/>
          <w:vAlign w:val="center"/>
        </w:tcPr>
        <w:p w14:paraId="34E04757" w14:textId="56873090" w:rsidR="007F44D7" w:rsidRPr="00C150A2" w:rsidRDefault="007F44D7" w:rsidP="007F44D7">
          <w:pPr>
            <w:pStyle w:val="Header"/>
            <w:jc w:val="left"/>
            <w:rPr>
              <w:noProof/>
              <w:lang w:val="fr-CH"/>
            </w:rPr>
          </w:pPr>
          <w:r w:rsidRPr="00C150A2">
            <w:rPr>
              <w:noProof/>
              <w:lang w:val="fr-CH"/>
            </w:rPr>
            <w:t>2400</w:t>
          </w:r>
          <w:r>
            <w:rPr>
              <w:noProof/>
              <w:lang w:val="fr-CH"/>
            </w:rPr>
            <w:t>949</w:t>
          </w:r>
        </w:p>
      </w:tc>
      <w:tc>
        <w:tcPr>
          <w:tcW w:w="8261" w:type="dxa"/>
        </w:tcPr>
        <w:p w14:paraId="1B1D9B6A" w14:textId="298AFC4A" w:rsidR="007F44D7" w:rsidRPr="00772D78" w:rsidRDefault="007F44D7" w:rsidP="007F44D7">
          <w:pPr>
            <w:pStyle w:val="Header"/>
            <w:tabs>
              <w:tab w:val="left" w:pos="6456"/>
              <w:tab w:val="right" w:pos="8505"/>
              <w:tab w:val="right" w:pos="9639"/>
            </w:tabs>
            <w:jc w:val="left"/>
            <w:rPr>
              <w:rFonts w:asciiTheme="minorHAnsi" w:hAnsiTheme="minorHAnsi" w:cstheme="minorHAnsi"/>
              <w:b/>
              <w:bCs/>
              <w:szCs w:val="18"/>
            </w:rPr>
          </w:pPr>
          <w:r w:rsidRPr="00772D78">
            <w:rPr>
              <w:rFonts w:asciiTheme="minorHAnsi" w:hAnsiTheme="minorHAnsi" w:cstheme="minorHAnsi"/>
              <w:bCs/>
              <w:lang w:val="fr-CH"/>
            </w:rPr>
            <w:tab/>
          </w:r>
          <w:r w:rsidRPr="00772D78">
            <w:rPr>
              <w:rFonts w:asciiTheme="minorHAnsi" w:hAnsiTheme="minorHAnsi" w:cstheme="minorHAnsi"/>
              <w:bCs/>
            </w:rPr>
            <w:t>C24/99(Rev.</w:t>
          </w:r>
          <w:proofErr w:type="gramStart"/>
          <w:r w:rsidRPr="00772D78">
            <w:rPr>
              <w:rFonts w:asciiTheme="minorHAnsi" w:hAnsiTheme="minorHAnsi" w:cstheme="minorHAnsi"/>
              <w:bCs/>
            </w:rPr>
            <w:t>1)-</w:t>
          </w:r>
          <w:proofErr w:type="gramEnd"/>
          <w:r w:rsidRPr="00772D78">
            <w:rPr>
              <w:rFonts w:asciiTheme="minorHAnsi" w:eastAsiaTheme="minorEastAsia" w:hAnsiTheme="minorHAnsi" w:cstheme="minorHAnsi"/>
              <w:bCs/>
              <w:lang w:eastAsia="zh-CN"/>
            </w:rPr>
            <w:t>C</w:t>
          </w:r>
          <w:r w:rsidRPr="00772D78">
            <w:rPr>
              <w:rFonts w:asciiTheme="minorHAnsi" w:hAnsiTheme="minorHAnsi" w:cstheme="minorHAnsi"/>
              <w:bCs/>
            </w:rPr>
            <w:tab/>
          </w:r>
          <w:r w:rsidRPr="00772D78">
            <w:rPr>
              <w:rFonts w:asciiTheme="minorHAnsi" w:hAnsiTheme="minorHAnsi" w:cstheme="minorHAnsi"/>
            </w:rPr>
            <w:fldChar w:fldCharType="begin"/>
          </w:r>
          <w:r w:rsidRPr="00772D78">
            <w:rPr>
              <w:rFonts w:asciiTheme="minorHAnsi" w:hAnsiTheme="minorHAnsi" w:cstheme="minorHAnsi"/>
            </w:rPr>
            <w:instrText>PAGE</w:instrText>
          </w:r>
          <w:r w:rsidRPr="00772D78">
            <w:rPr>
              <w:rFonts w:asciiTheme="minorHAnsi" w:hAnsiTheme="minorHAnsi" w:cstheme="minorHAnsi"/>
            </w:rPr>
            <w:fldChar w:fldCharType="separate"/>
          </w:r>
          <w:r w:rsidRPr="00772D78">
            <w:rPr>
              <w:rFonts w:asciiTheme="minorHAnsi" w:hAnsiTheme="minorHAnsi" w:cstheme="minorHAnsi"/>
            </w:rPr>
            <w:t>1</w:t>
          </w:r>
          <w:r w:rsidRPr="00772D78">
            <w:rPr>
              <w:rFonts w:asciiTheme="minorHAnsi" w:hAnsiTheme="minorHAnsi" w:cstheme="minorHAnsi"/>
              <w:noProof/>
            </w:rPr>
            <w:fldChar w:fldCharType="end"/>
          </w:r>
        </w:p>
      </w:tc>
    </w:tr>
  </w:tbl>
  <w:p w14:paraId="12FFF01E"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F5E94" w:rsidRPr="00784011" w14:paraId="798C447C" w14:textId="77777777" w:rsidTr="003803B2">
      <w:trPr>
        <w:jc w:val="center"/>
      </w:trPr>
      <w:tc>
        <w:tcPr>
          <w:tcW w:w="1803" w:type="dxa"/>
          <w:vAlign w:val="center"/>
        </w:tcPr>
        <w:p w14:paraId="14E5E055" w14:textId="63EB0E67" w:rsidR="001F5E94" w:rsidRDefault="001F5E94" w:rsidP="001F5E94">
          <w:pPr>
            <w:pStyle w:val="Header"/>
            <w:jc w:val="left"/>
            <w:rPr>
              <w:noProof/>
            </w:rPr>
          </w:pPr>
          <w:r w:rsidRPr="00B93453">
            <w:rPr>
              <w:color w:val="0563C1"/>
              <w:szCs w:val="14"/>
            </w:rPr>
            <w:t>www.itu.int/council</w:t>
          </w:r>
        </w:p>
      </w:tc>
      <w:tc>
        <w:tcPr>
          <w:tcW w:w="8261" w:type="dxa"/>
        </w:tcPr>
        <w:p w14:paraId="51DBD521" w14:textId="687F1C8E" w:rsidR="001F5E94" w:rsidRPr="00E06FD5" w:rsidRDefault="001F5E94" w:rsidP="001F5E94">
          <w:pPr>
            <w:pStyle w:val="Header"/>
            <w:tabs>
              <w:tab w:val="left" w:pos="6576"/>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99(Rev.</w:t>
          </w:r>
          <w:proofErr w:type="gramStart"/>
          <w:r>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097D1BA2"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517D" w14:textId="77777777" w:rsidR="00C57177" w:rsidRDefault="00C57177">
      <w:r>
        <w:t>____________________</w:t>
      </w:r>
    </w:p>
  </w:footnote>
  <w:footnote w:type="continuationSeparator" w:id="0">
    <w:p w14:paraId="64BCC8AF" w14:textId="77777777" w:rsidR="00C57177" w:rsidRDefault="00C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E06BD94" w14:textId="77777777" w:rsidTr="00E31DCE">
      <w:trPr>
        <w:trHeight w:val="1104"/>
        <w:jc w:val="center"/>
      </w:trPr>
      <w:tc>
        <w:tcPr>
          <w:tcW w:w="4390" w:type="dxa"/>
          <w:vAlign w:val="center"/>
        </w:tcPr>
        <w:p w14:paraId="6C379690" w14:textId="77777777" w:rsidR="00E24D59" w:rsidRPr="009621F8" w:rsidRDefault="00B93453" w:rsidP="00E24D59">
          <w:pPr>
            <w:pStyle w:val="Header"/>
            <w:jc w:val="left"/>
            <w:rPr>
              <w:rFonts w:ascii="Arial" w:hAnsi="Arial" w:cs="Arial"/>
              <w:b/>
              <w:bCs/>
              <w:color w:val="009CD6"/>
              <w:sz w:val="36"/>
              <w:szCs w:val="36"/>
            </w:rPr>
          </w:pPr>
          <w:bookmarkStart w:id="9" w:name="_Hlk133422111"/>
          <w:r>
            <w:rPr>
              <w:noProof/>
            </w:rPr>
            <w:drawing>
              <wp:inline distT="0" distB="0" distL="0" distR="0" wp14:anchorId="0A8B4DAE" wp14:editId="1D2FCBFA">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B980507" w14:textId="77777777" w:rsidR="00E24D59" w:rsidRDefault="00E24D59" w:rsidP="00E24D59">
          <w:pPr>
            <w:pStyle w:val="Header"/>
            <w:jc w:val="right"/>
            <w:rPr>
              <w:rFonts w:ascii="Arial" w:hAnsi="Arial" w:cs="Arial"/>
              <w:b/>
              <w:bCs/>
              <w:color w:val="009CD6"/>
              <w:szCs w:val="18"/>
            </w:rPr>
          </w:pPr>
        </w:p>
        <w:p w14:paraId="0205BAFC" w14:textId="77777777" w:rsidR="00E24D59" w:rsidRDefault="00E24D59" w:rsidP="00E24D59">
          <w:pPr>
            <w:pStyle w:val="Header"/>
            <w:jc w:val="right"/>
            <w:rPr>
              <w:rFonts w:ascii="Arial" w:hAnsi="Arial" w:cs="Arial"/>
              <w:b/>
              <w:bCs/>
              <w:color w:val="009CD6"/>
              <w:szCs w:val="18"/>
            </w:rPr>
          </w:pPr>
        </w:p>
        <w:p w14:paraId="30E2F61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33A38140"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DB0FF66" wp14:editId="1A42D42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1D06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196A"/>
    <w:rsid w:val="0009409E"/>
    <w:rsid w:val="000A1C21"/>
    <w:rsid w:val="000C0BC5"/>
    <w:rsid w:val="000D15EA"/>
    <w:rsid w:val="00100D84"/>
    <w:rsid w:val="00124C9D"/>
    <w:rsid w:val="00157773"/>
    <w:rsid w:val="0018251A"/>
    <w:rsid w:val="00190272"/>
    <w:rsid w:val="00193244"/>
    <w:rsid w:val="00195C6C"/>
    <w:rsid w:val="00195FED"/>
    <w:rsid w:val="001A4BD6"/>
    <w:rsid w:val="001D5A18"/>
    <w:rsid w:val="001F5E94"/>
    <w:rsid w:val="00224449"/>
    <w:rsid w:val="00280EB8"/>
    <w:rsid w:val="002A6670"/>
    <w:rsid w:val="002D2939"/>
    <w:rsid w:val="00303502"/>
    <w:rsid w:val="00317227"/>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674B2"/>
    <w:rsid w:val="005759CC"/>
    <w:rsid w:val="005A72E1"/>
    <w:rsid w:val="005C6632"/>
    <w:rsid w:val="005D1C9E"/>
    <w:rsid w:val="005E3AF6"/>
    <w:rsid w:val="00630DD5"/>
    <w:rsid w:val="00654257"/>
    <w:rsid w:val="0065435A"/>
    <w:rsid w:val="006A2DD3"/>
    <w:rsid w:val="006A5AF8"/>
    <w:rsid w:val="006C36CD"/>
    <w:rsid w:val="00700D1F"/>
    <w:rsid w:val="007205CB"/>
    <w:rsid w:val="00726073"/>
    <w:rsid w:val="00734FE8"/>
    <w:rsid w:val="007360CE"/>
    <w:rsid w:val="00772315"/>
    <w:rsid w:val="00772D78"/>
    <w:rsid w:val="00775157"/>
    <w:rsid w:val="007813AE"/>
    <w:rsid w:val="007A37DB"/>
    <w:rsid w:val="007B7FCE"/>
    <w:rsid w:val="007E189D"/>
    <w:rsid w:val="007F0210"/>
    <w:rsid w:val="007F44D7"/>
    <w:rsid w:val="00806E3F"/>
    <w:rsid w:val="00811259"/>
    <w:rsid w:val="00813AA2"/>
    <w:rsid w:val="0081659E"/>
    <w:rsid w:val="008173A3"/>
    <w:rsid w:val="008418F5"/>
    <w:rsid w:val="0086059C"/>
    <w:rsid w:val="00864589"/>
    <w:rsid w:val="00874C82"/>
    <w:rsid w:val="00890AFB"/>
    <w:rsid w:val="00890FC4"/>
    <w:rsid w:val="00895905"/>
    <w:rsid w:val="008F1F9D"/>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D7AE1"/>
    <w:rsid w:val="00AE195F"/>
    <w:rsid w:val="00AE2926"/>
    <w:rsid w:val="00B0184B"/>
    <w:rsid w:val="00B035CD"/>
    <w:rsid w:val="00B0769D"/>
    <w:rsid w:val="00B217F8"/>
    <w:rsid w:val="00B332EA"/>
    <w:rsid w:val="00B40A53"/>
    <w:rsid w:val="00B45365"/>
    <w:rsid w:val="00B46A65"/>
    <w:rsid w:val="00B60184"/>
    <w:rsid w:val="00B62518"/>
    <w:rsid w:val="00B62D20"/>
    <w:rsid w:val="00B81E75"/>
    <w:rsid w:val="00B93453"/>
    <w:rsid w:val="00BD0954"/>
    <w:rsid w:val="00BD1A5A"/>
    <w:rsid w:val="00BD7A9B"/>
    <w:rsid w:val="00BD7BE1"/>
    <w:rsid w:val="00BF416B"/>
    <w:rsid w:val="00C45EB2"/>
    <w:rsid w:val="00C57177"/>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18AF"/>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995E7"/>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8-C.pdf" TargetMode="External"/><Relationship Id="rId13" Type="http://schemas.openxmlformats.org/officeDocument/2006/relationships/hyperlink" Target="https://www.itu.int/md/S24-CL-C-003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025-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184-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154-C.pdf" TargetMode="External"/><Relationship Id="rId14" Type="http://schemas.openxmlformats.org/officeDocument/2006/relationships/hyperlink" Target="https://www.itu.int/md/S24-CL-C-003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2076</Words>
  <Characters>751</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LIU, Jiayi</dc:creator>
  <cp:keywords>C2024, C24 Council-24</cp:keywords>
  <dc:description/>
  <cp:lastModifiedBy>Chinese</cp:lastModifiedBy>
  <cp:revision>8</cp:revision>
  <cp:lastPrinted>2015-02-24T13:23:00Z</cp:lastPrinted>
  <dcterms:created xsi:type="dcterms:W3CDTF">2024-06-05T13:27:00Z</dcterms:created>
  <dcterms:modified xsi:type="dcterms:W3CDTF">2024-06-05T13:56:00Z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