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736EC41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32317B" w:rsidRPr="00016E09">
              <w:rPr>
                <w:b/>
              </w:rPr>
              <w:t>PL 2</w:t>
            </w:r>
          </w:p>
        </w:tc>
        <w:tc>
          <w:tcPr>
            <w:tcW w:w="5245" w:type="dxa"/>
          </w:tcPr>
          <w:p w14:paraId="5BFD5B79" w14:textId="28FE80C7"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32317B">
              <w:rPr>
                <w:b/>
                <w:lang w:val="fr-CH"/>
              </w:rPr>
              <w:t>100</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6DDF33D4"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32317B">
              <w:rPr>
                <w:b/>
                <w:lang w:eastAsia="zh-CN"/>
              </w:rPr>
              <w:t>5</w:t>
            </w:r>
            <w:r w:rsidR="00C45EB2">
              <w:rPr>
                <w:rFonts w:hint="eastAsia"/>
                <w:b/>
                <w:lang w:eastAsia="zh-CN"/>
              </w:rPr>
              <w:t>月</w:t>
            </w:r>
            <w:r w:rsidR="0032317B">
              <w:rPr>
                <w:b/>
                <w:lang w:eastAsia="zh-CN"/>
              </w:rPr>
              <w:t>21</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C512B78"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rPr>
              <w:t>原文：</w:t>
            </w:r>
            <w:r w:rsidR="0032317B">
              <w:rPr>
                <w:rFonts w:hint="eastAsia"/>
                <w:b/>
                <w:lang w:eastAsia="zh-CN"/>
              </w:rPr>
              <w:t>西班牙</w:t>
            </w:r>
            <w:r w:rsidR="008D70D2">
              <w:rPr>
                <w:b/>
                <w:bCs/>
                <w:lang w:val="zh-CN"/>
              </w:rPr>
              <w:t>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944FD4" w14:paraId="0837D9B8" w14:textId="77777777" w:rsidTr="00E31DCE">
        <w:trPr>
          <w:cantSplit/>
        </w:trPr>
        <w:tc>
          <w:tcPr>
            <w:tcW w:w="9214" w:type="dxa"/>
            <w:gridSpan w:val="2"/>
            <w:tcMar>
              <w:left w:w="0" w:type="dxa"/>
            </w:tcMar>
          </w:tcPr>
          <w:p w14:paraId="484E8B03" w14:textId="22D99AB3" w:rsidR="00E24D59" w:rsidRPr="00944FD4" w:rsidRDefault="0032317B" w:rsidP="00E24D59">
            <w:pPr>
              <w:pStyle w:val="Source"/>
              <w:jc w:val="left"/>
              <w:rPr>
                <w:sz w:val="34"/>
                <w:szCs w:val="34"/>
                <w:lang w:eastAsia="zh-CN"/>
              </w:rPr>
            </w:pPr>
            <w:bookmarkStart w:id="5" w:name="dsource" w:colFirst="0" w:colLast="0"/>
            <w:bookmarkEnd w:id="4"/>
            <w:r w:rsidRPr="0032317B">
              <w:rPr>
                <w:rFonts w:hint="eastAsia"/>
                <w:sz w:val="34"/>
                <w:szCs w:val="34"/>
                <w:lang w:val="zh-CN" w:eastAsia="zh-CN"/>
              </w:rPr>
              <w:t>墨西哥</w:t>
            </w:r>
            <w:r w:rsidR="00F826C4" w:rsidRPr="00F826C4">
              <w:rPr>
                <w:rFonts w:hint="eastAsia"/>
                <w:sz w:val="34"/>
                <w:szCs w:val="34"/>
                <w:lang w:val="zh-CN" w:eastAsia="zh-CN"/>
              </w:rPr>
              <w:t>、巴拿马（共和国）和巴拉圭（共和国）</w:t>
            </w:r>
            <w:r w:rsidRPr="0032317B">
              <w:rPr>
                <w:rFonts w:hint="eastAsia"/>
                <w:sz w:val="34"/>
                <w:szCs w:val="34"/>
                <w:lang w:val="zh-CN" w:eastAsia="zh-CN"/>
              </w:rPr>
              <w:t>提交的文稿</w:t>
            </w:r>
          </w:p>
        </w:tc>
      </w:tr>
      <w:tr w:rsidR="00E24D59" w:rsidRPr="00944FD4" w14:paraId="0A607CA0" w14:textId="77777777" w:rsidTr="00E31DCE">
        <w:trPr>
          <w:cantSplit/>
        </w:trPr>
        <w:tc>
          <w:tcPr>
            <w:tcW w:w="9214" w:type="dxa"/>
            <w:gridSpan w:val="2"/>
            <w:tcMar>
              <w:left w:w="0" w:type="dxa"/>
            </w:tcMar>
          </w:tcPr>
          <w:p w14:paraId="61A82356" w14:textId="5F8D05B0" w:rsidR="00E24D59" w:rsidRPr="00944FD4" w:rsidRDefault="0032317B" w:rsidP="00E31DCE">
            <w:pPr>
              <w:pStyle w:val="Subtitle"/>
              <w:framePr w:hSpace="0" w:wrap="auto" w:hAnchor="text" w:xAlign="left" w:yAlign="inline"/>
              <w:rPr>
                <w:rFonts w:eastAsia="SimSun" w:cs="Calibri"/>
                <w:szCs w:val="34"/>
                <w:lang w:eastAsia="zh-CN"/>
              </w:rPr>
            </w:pPr>
            <w:bookmarkStart w:id="6" w:name="dtitle1" w:colFirst="0" w:colLast="0"/>
            <w:bookmarkEnd w:id="5"/>
            <w:r w:rsidRPr="0032317B">
              <w:rPr>
                <w:rFonts w:eastAsia="SimSun" w:cs="Calibri" w:hint="eastAsia"/>
                <w:szCs w:val="34"/>
                <w:lang w:eastAsia="zh-CN"/>
              </w:rPr>
              <w:t>完善、促进和加强国际电联与会补贴的措施</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31E8F4F8"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6F1D19D5" w14:textId="6EA9AC84" w:rsidR="008F64AD" w:rsidRPr="00442621" w:rsidRDefault="0032317B" w:rsidP="00944FD4">
            <w:pPr>
              <w:pStyle w:val="Subtitle"/>
              <w:framePr w:hSpace="0" w:wrap="auto" w:hAnchor="text" w:xAlign="left" w:yAlign="inline"/>
              <w:ind w:firstLineChars="200" w:firstLine="480"/>
              <w:rPr>
                <w:rFonts w:eastAsia="SimSun" w:cs="Calibri"/>
                <w:sz w:val="24"/>
                <w:szCs w:val="24"/>
                <w:lang w:eastAsia="zh-CN"/>
              </w:rPr>
            </w:pPr>
            <w:r w:rsidRPr="0032317B">
              <w:rPr>
                <w:rFonts w:eastAsia="SimSun" w:cs="Calibri" w:hint="eastAsia"/>
                <w:sz w:val="24"/>
                <w:szCs w:val="24"/>
                <w:lang w:eastAsia="zh-CN"/>
              </w:rPr>
              <w:t>墨西哥主管部门请理事会审议其有关完善、促进和加强国际电联与会补贴的提案。</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2C46ECB5" w14:textId="6361C227" w:rsidR="008D70D2" w:rsidRPr="00885987" w:rsidRDefault="0032317B" w:rsidP="00944FD4">
            <w:pPr>
              <w:ind w:firstLineChars="200" w:firstLine="480"/>
              <w:rPr>
                <w:rFonts w:asciiTheme="minorHAnsi" w:hAnsiTheme="minorHAnsi" w:cstheme="minorHAnsi"/>
                <w:lang w:eastAsia="zh-CN"/>
              </w:rPr>
            </w:pPr>
            <w:r w:rsidRPr="0032317B">
              <w:rPr>
                <w:rFonts w:hint="eastAsia"/>
                <w:lang w:val="zh-CN" w:eastAsia="zh-CN"/>
              </w:rPr>
              <w:t>请理事会审议并讨论这些提案。</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32836DC" w14:textId="77777777" w:rsidR="0032317B" w:rsidRPr="00656B86" w:rsidRDefault="0032317B" w:rsidP="0032317B">
            <w:pPr>
              <w:rPr>
                <w:rFonts w:eastAsia="STKaiti"/>
                <w:u w:val="single"/>
                <w:lang w:eastAsia="zh-CN"/>
              </w:rPr>
            </w:pPr>
            <w:r w:rsidRPr="00656B86">
              <w:rPr>
                <w:rFonts w:eastAsia="STKaiti" w:hint="eastAsia"/>
                <w:lang w:eastAsia="zh-CN"/>
              </w:rPr>
              <w:t>全权代表大会</w:t>
            </w:r>
            <w:hyperlink r:id="rId8" w:history="1">
              <w:r w:rsidRPr="00656B86">
                <w:rPr>
                  <w:rStyle w:val="Hyperlink"/>
                  <w:rFonts w:eastAsia="STKaiti"/>
                  <w:lang w:eastAsia="zh-CN"/>
                </w:rPr>
                <w:t>第</w:t>
              </w:r>
              <w:r w:rsidRPr="00656B86">
                <w:rPr>
                  <w:rStyle w:val="Hyperlink"/>
                  <w:rFonts w:eastAsia="STKaiti"/>
                  <w:lang w:eastAsia="zh-CN"/>
                </w:rPr>
                <w:t>25</w:t>
              </w:r>
              <w:r w:rsidRPr="00656B86">
                <w:rPr>
                  <w:rStyle w:val="Hyperlink"/>
                  <w:rFonts w:eastAsia="STKaiti"/>
                  <w:lang w:eastAsia="zh-CN"/>
                </w:rPr>
                <w:t>号决议（</w:t>
              </w:r>
              <w:r w:rsidRPr="00656B86">
                <w:rPr>
                  <w:rStyle w:val="Hyperlink"/>
                  <w:rFonts w:eastAsia="STKaiti"/>
                  <w:lang w:eastAsia="zh-CN"/>
                </w:rPr>
                <w:t>2022</w:t>
              </w:r>
              <w:r w:rsidRPr="00656B86">
                <w:rPr>
                  <w:rStyle w:val="Hyperlink"/>
                  <w:rFonts w:eastAsia="STKaiti"/>
                  <w:lang w:eastAsia="zh-CN"/>
                </w:rPr>
                <w:t>年，布加勒斯特，修订版）</w:t>
              </w:r>
            </w:hyperlink>
            <w:r w:rsidRPr="00656B86">
              <w:rPr>
                <w:rFonts w:eastAsia="STKaiti" w:hint="eastAsia"/>
                <w:lang w:eastAsia="zh-CN"/>
              </w:rPr>
              <w:t>和</w:t>
            </w:r>
            <w:hyperlink r:id="rId9" w:history="1">
              <w:r w:rsidRPr="00656B86">
                <w:rPr>
                  <w:rStyle w:val="Hyperlink"/>
                  <w:rFonts w:eastAsia="STKaiti"/>
                  <w:lang w:eastAsia="zh-CN"/>
                </w:rPr>
                <w:t>第</w:t>
              </w:r>
              <w:r w:rsidRPr="00656B86">
                <w:rPr>
                  <w:rStyle w:val="Hyperlink"/>
                  <w:rFonts w:eastAsia="STKaiti"/>
                  <w:lang w:eastAsia="zh-CN"/>
                </w:rPr>
                <w:t>213</w:t>
              </w:r>
              <w:r w:rsidRPr="00656B86">
                <w:rPr>
                  <w:rStyle w:val="Hyperlink"/>
                  <w:rFonts w:eastAsia="STKaiti"/>
                  <w:lang w:eastAsia="zh-CN"/>
                </w:rPr>
                <w:t>号决议（</w:t>
              </w:r>
              <w:r w:rsidRPr="00656B86">
                <w:rPr>
                  <w:rStyle w:val="Hyperlink"/>
                  <w:rFonts w:eastAsia="STKaiti"/>
                  <w:lang w:eastAsia="zh-CN"/>
                </w:rPr>
                <w:t>2018</w:t>
              </w:r>
              <w:r w:rsidRPr="00656B86">
                <w:rPr>
                  <w:rStyle w:val="Hyperlink"/>
                  <w:rFonts w:eastAsia="STKaiti"/>
                  <w:lang w:eastAsia="zh-CN"/>
                </w:rPr>
                <w:t>年，迪拜，修订版）</w:t>
              </w:r>
            </w:hyperlink>
            <w:r w:rsidRPr="00656B86">
              <w:rPr>
                <w:rFonts w:eastAsia="STKaiti" w:hint="eastAsia"/>
                <w:lang w:eastAsia="zh-CN"/>
              </w:rPr>
              <w:t>，理事会</w:t>
            </w:r>
            <w:hyperlink r:id="rId10" w:history="1">
              <w:r w:rsidRPr="00656B86">
                <w:rPr>
                  <w:rStyle w:val="Hyperlink"/>
                  <w:rFonts w:eastAsia="STKaiti"/>
                  <w:lang w:eastAsia="zh-CN"/>
                </w:rPr>
                <w:t>C24/25</w:t>
              </w:r>
            </w:hyperlink>
            <w:r w:rsidRPr="00656B86">
              <w:rPr>
                <w:rFonts w:eastAsia="STKaiti" w:hint="eastAsia"/>
                <w:lang w:eastAsia="zh-CN"/>
              </w:rPr>
              <w:t>、</w:t>
            </w:r>
            <w:hyperlink r:id="rId11" w:history="1">
              <w:r w:rsidRPr="00656B86">
                <w:rPr>
                  <w:rStyle w:val="Hyperlink"/>
                  <w:rFonts w:eastAsia="STKaiti"/>
                  <w:lang w:eastAsia="zh-CN"/>
                </w:rPr>
                <w:t>C23/25</w:t>
              </w:r>
            </w:hyperlink>
            <w:r w:rsidRPr="00656B86">
              <w:rPr>
                <w:rFonts w:eastAsia="STKaiti" w:hint="eastAsia"/>
                <w:lang w:eastAsia="zh-CN"/>
              </w:rPr>
              <w:t>、</w:t>
            </w:r>
            <w:hyperlink r:id="rId12" w:history="1">
              <w:r w:rsidRPr="00656B86">
                <w:rPr>
                  <w:rStyle w:val="Hyperlink"/>
                  <w:rFonts w:eastAsia="STKaiti"/>
                  <w:lang w:eastAsia="zh-CN"/>
                </w:rPr>
                <w:t>C23/INF/7</w:t>
              </w:r>
            </w:hyperlink>
            <w:r w:rsidRPr="00656B86">
              <w:rPr>
                <w:rFonts w:eastAsia="STKaiti" w:hint="eastAsia"/>
                <w:lang w:eastAsia="zh-CN"/>
              </w:rPr>
              <w:t>号文件；</w:t>
            </w:r>
          </w:p>
          <w:p w14:paraId="10B87927" w14:textId="18CD942E" w:rsidR="00E24D59" w:rsidRPr="00CE054A" w:rsidRDefault="00F826C4" w:rsidP="0032317B">
            <w:pPr>
              <w:spacing w:after="160"/>
              <w:rPr>
                <w:rFonts w:eastAsia="STKaiti" w:cs="Calibri"/>
                <w:lang w:eastAsia="zh-CN"/>
              </w:rPr>
            </w:pPr>
            <w:hyperlink r:id="rId13" w:history="1">
              <w:r w:rsidR="0032317B" w:rsidRPr="00656B86">
                <w:rPr>
                  <w:rStyle w:val="Hyperlink"/>
                  <w:rFonts w:eastAsia="STKaiti"/>
                </w:rPr>
                <w:t>TDAG-24/12</w:t>
              </w:r>
              <w:r w:rsidR="0032317B" w:rsidRPr="00656B86">
                <w:rPr>
                  <w:rStyle w:val="Hyperlink"/>
                  <w:rFonts w:eastAsia="STKaiti"/>
                </w:rPr>
                <w:t>号文件</w:t>
              </w:r>
            </w:hyperlink>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231B8D1" w14:textId="77777777" w:rsidR="0032317B" w:rsidRPr="00016E09" w:rsidRDefault="0032317B" w:rsidP="0032317B">
      <w:pPr>
        <w:pStyle w:val="Headingb"/>
      </w:pPr>
      <w:r>
        <w:rPr>
          <w:rFonts w:hint="eastAsia"/>
          <w:lang w:eastAsia="zh-CN"/>
        </w:rPr>
        <w:lastRenderedPageBreak/>
        <w:t>引言</w:t>
      </w:r>
    </w:p>
    <w:p w14:paraId="388C01E4" w14:textId="77777777" w:rsidR="0032317B" w:rsidRPr="00016E09" w:rsidRDefault="0032317B" w:rsidP="0093628C">
      <w:pPr>
        <w:ind w:firstLineChars="200" w:firstLine="480"/>
        <w:rPr>
          <w:lang w:eastAsia="zh-CN"/>
        </w:rPr>
      </w:pPr>
      <w:bookmarkStart w:id="7" w:name="_Hlk165876649"/>
      <w:r>
        <w:rPr>
          <w:rFonts w:hint="eastAsia"/>
          <w:lang w:eastAsia="zh-CN"/>
        </w:rPr>
        <w:t>有</w:t>
      </w:r>
      <w:r w:rsidRPr="00656B86">
        <w:rPr>
          <w:rFonts w:hint="eastAsia"/>
          <w:lang w:eastAsia="zh-CN"/>
        </w:rPr>
        <w:t>关</w:t>
      </w:r>
      <w:r>
        <w:rPr>
          <w:rFonts w:hint="eastAsia"/>
          <w:lang w:eastAsia="zh-CN"/>
        </w:rPr>
        <w:t>完善</w:t>
      </w:r>
      <w:r w:rsidRPr="00656B86">
        <w:rPr>
          <w:rFonts w:hint="eastAsia"/>
          <w:lang w:eastAsia="zh-CN"/>
        </w:rPr>
        <w:t>、促进和加强国际电联与会补贴的措施的全权代表大会第</w:t>
      </w:r>
      <w:r w:rsidRPr="00656B86">
        <w:rPr>
          <w:rFonts w:hint="eastAsia"/>
          <w:lang w:eastAsia="zh-CN"/>
        </w:rPr>
        <w:t>213</w:t>
      </w:r>
      <w:r w:rsidRPr="00656B86">
        <w:rPr>
          <w:rFonts w:hint="eastAsia"/>
          <w:lang w:eastAsia="zh-CN"/>
        </w:rPr>
        <w:t>号决议（</w:t>
      </w:r>
      <w:r w:rsidRPr="00656B86">
        <w:rPr>
          <w:rFonts w:hint="eastAsia"/>
          <w:lang w:eastAsia="zh-CN"/>
        </w:rPr>
        <w:t>2018</w:t>
      </w:r>
      <w:r w:rsidRPr="00656B86">
        <w:rPr>
          <w:rFonts w:hint="eastAsia"/>
          <w:lang w:eastAsia="zh-CN"/>
        </w:rPr>
        <w:t>年，迪拜，修订版）责成秘书长采取措施</w:t>
      </w:r>
      <w:r>
        <w:rPr>
          <w:rFonts w:hint="eastAsia"/>
          <w:lang w:eastAsia="zh-CN"/>
        </w:rPr>
        <w:t>提高</w:t>
      </w:r>
      <w:r w:rsidRPr="00656B86">
        <w:rPr>
          <w:rFonts w:hint="eastAsia"/>
          <w:lang w:eastAsia="zh-CN"/>
        </w:rPr>
        <w:t>国际电联会议和活动的包容性和成员国对</w:t>
      </w:r>
      <w:r>
        <w:rPr>
          <w:rFonts w:hint="eastAsia"/>
          <w:lang w:eastAsia="zh-CN"/>
        </w:rPr>
        <w:t>这些会议和活动的</w:t>
      </w:r>
      <w:r w:rsidRPr="00656B86">
        <w:rPr>
          <w:rFonts w:hint="eastAsia"/>
          <w:lang w:eastAsia="zh-CN"/>
        </w:rPr>
        <w:t>参与，并确保公平透明地发放与会补贴，以保持地域分配</w:t>
      </w:r>
      <w:r>
        <w:rPr>
          <w:rFonts w:hint="eastAsia"/>
          <w:lang w:eastAsia="zh-CN"/>
        </w:rPr>
        <w:t>的</w:t>
      </w:r>
      <w:r w:rsidRPr="00656B86">
        <w:rPr>
          <w:rFonts w:hint="eastAsia"/>
          <w:lang w:eastAsia="zh-CN"/>
        </w:rPr>
        <w:t>公平</w:t>
      </w:r>
      <w:r>
        <w:rPr>
          <w:rFonts w:hint="eastAsia"/>
          <w:lang w:eastAsia="zh-CN"/>
        </w:rPr>
        <w:t>性、</w:t>
      </w:r>
      <w:r w:rsidRPr="00656B86">
        <w:rPr>
          <w:rFonts w:hint="eastAsia"/>
          <w:lang w:eastAsia="zh-CN"/>
        </w:rPr>
        <w:t>性别平衡以及</w:t>
      </w:r>
      <w:r>
        <w:rPr>
          <w:rFonts w:hint="eastAsia"/>
          <w:lang w:eastAsia="zh-CN"/>
        </w:rPr>
        <w:t>对</w:t>
      </w:r>
      <w:r w:rsidRPr="00656B86">
        <w:rPr>
          <w:rFonts w:hint="eastAsia"/>
          <w:lang w:eastAsia="zh-CN"/>
        </w:rPr>
        <w:t>残疾</w:t>
      </w:r>
      <w:r>
        <w:rPr>
          <w:rFonts w:hint="eastAsia"/>
          <w:lang w:eastAsia="zh-CN"/>
        </w:rPr>
        <w:t>代表</w:t>
      </w:r>
      <w:r w:rsidRPr="00656B86">
        <w:rPr>
          <w:rFonts w:hint="eastAsia"/>
          <w:lang w:eastAsia="zh-CN"/>
        </w:rPr>
        <w:t>和有具体需求</w:t>
      </w:r>
      <w:r>
        <w:rPr>
          <w:rFonts w:hint="eastAsia"/>
          <w:lang w:eastAsia="zh-CN"/>
        </w:rPr>
        <w:t>的</w:t>
      </w:r>
      <w:r w:rsidRPr="00656B86">
        <w:rPr>
          <w:rFonts w:hint="eastAsia"/>
          <w:lang w:eastAsia="zh-CN"/>
        </w:rPr>
        <w:t>代表的包容性。该决议还责成秘书长每年起草一份有关与会补贴的报告，其中包括有关国际电联各部门、与会补贴数量以及受益区域和国家的信息和分析。该决议还要求审查现有的与会补贴发放标准。</w:t>
      </w:r>
    </w:p>
    <w:p w14:paraId="6E316B1B" w14:textId="77777777" w:rsidR="0032317B" w:rsidRPr="00016E09" w:rsidRDefault="0032317B" w:rsidP="0093628C">
      <w:pPr>
        <w:ind w:firstLineChars="200" w:firstLine="480"/>
        <w:rPr>
          <w:lang w:eastAsia="zh-CN"/>
        </w:rPr>
      </w:pPr>
      <w:r w:rsidRPr="00656B86">
        <w:rPr>
          <w:rFonts w:hint="eastAsia"/>
          <w:lang w:eastAsia="zh-CN"/>
        </w:rPr>
        <w:t>此外，</w:t>
      </w:r>
      <w:r>
        <w:rPr>
          <w:rFonts w:hint="eastAsia"/>
          <w:lang w:eastAsia="zh-CN"/>
        </w:rPr>
        <w:t>有</w:t>
      </w:r>
      <w:r w:rsidRPr="00656B86">
        <w:rPr>
          <w:rFonts w:hint="eastAsia"/>
          <w:lang w:eastAsia="zh-CN"/>
        </w:rPr>
        <w:t>关加强国际电联区域代表</w:t>
      </w:r>
      <w:r>
        <w:rPr>
          <w:rFonts w:hint="eastAsia"/>
          <w:lang w:eastAsia="zh-CN"/>
        </w:rPr>
        <w:t>性</w:t>
      </w:r>
      <w:r w:rsidRPr="00656B86">
        <w:rPr>
          <w:rFonts w:hint="eastAsia"/>
          <w:lang w:eastAsia="zh-CN"/>
        </w:rPr>
        <w:t>的全权代表大会第</w:t>
      </w:r>
      <w:r w:rsidRPr="00656B86">
        <w:rPr>
          <w:rFonts w:hint="eastAsia"/>
          <w:lang w:eastAsia="zh-CN"/>
        </w:rPr>
        <w:t>25</w:t>
      </w:r>
      <w:r w:rsidRPr="00656B86">
        <w:rPr>
          <w:rFonts w:hint="eastAsia"/>
          <w:lang w:eastAsia="zh-CN"/>
        </w:rPr>
        <w:t>号决议（</w:t>
      </w:r>
      <w:r w:rsidRPr="00656B86">
        <w:rPr>
          <w:rFonts w:hint="eastAsia"/>
          <w:lang w:eastAsia="zh-CN"/>
        </w:rPr>
        <w:t>2022</w:t>
      </w:r>
      <w:r w:rsidRPr="00656B86">
        <w:rPr>
          <w:rFonts w:hint="eastAsia"/>
          <w:lang w:eastAsia="zh-CN"/>
        </w:rPr>
        <w:t>年，布加勒斯特，修订版）责成秘书长每年向理事会提交一份关于区域代表</w:t>
      </w:r>
      <w:r>
        <w:rPr>
          <w:rFonts w:hint="eastAsia"/>
          <w:lang w:eastAsia="zh-CN"/>
        </w:rPr>
        <w:t>性</w:t>
      </w:r>
      <w:r w:rsidRPr="00656B86">
        <w:rPr>
          <w:rFonts w:hint="eastAsia"/>
          <w:lang w:eastAsia="zh-CN"/>
        </w:rPr>
        <w:t>的报告，其中包含各区域代表处和地区办事处如何实现总秘书处和三个部门的战略规划和四年期滚动式运作规划确定的总体目标和部门目标的</w:t>
      </w:r>
      <w:r>
        <w:rPr>
          <w:rFonts w:hint="eastAsia"/>
          <w:lang w:eastAsia="zh-CN"/>
        </w:rPr>
        <w:t>详细</w:t>
      </w:r>
      <w:r w:rsidRPr="00656B86">
        <w:rPr>
          <w:rFonts w:hint="eastAsia"/>
          <w:lang w:eastAsia="zh-CN"/>
        </w:rPr>
        <w:t>信息，特别</w:t>
      </w:r>
      <w:r>
        <w:rPr>
          <w:rFonts w:hint="eastAsia"/>
          <w:lang w:eastAsia="zh-CN"/>
        </w:rPr>
        <w:t>是关于</w:t>
      </w:r>
      <w:r w:rsidRPr="00656B86">
        <w:rPr>
          <w:rFonts w:hint="eastAsia"/>
          <w:lang w:eastAsia="zh-CN"/>
        </w:rPr>
        <w:t>所发放与会补贴的详细信息。</w:t>
      </w:r>
    </w:p>
    <w:bookmarkEnd w:id="7"/>
    <w:p w14:paraId="78E6DE7F" w14:textId="77777777" w:rsidR="0032317B" w:rsidRPr="00016E09" w:rsidRDefault="0032317B" w:rsidP="0032317B">
      <w:pPr>
        <w:pStyle w:val="Headingb"/>
        <w:rPr>
          <w:lang w:eastAsia="zh-CN"/>
        </w:rPr>
      </w:pPr>
      <w:r>
        <w:rPr>
          <w:rFonts w:hint="eastAsia"/>
          <w:lang w:eastAsia="zh-CN"/>
        </w:rPr>
        <w:t>背景</w:t>
      </w:r>
    </w:p>
    <w:p w14:paraId="4BF2995C" w14:textId="77777777" w:rsidR="0032317B" w:rsidRPr="00016E09" w:rsidRDefault="0032317B" w:rsidP="0093628C">
      <w:pPr>
        <w:ind w:firstLineChars="200" w:firstLine="480"/>
        <w:rPr>
          <w:lang w:eastAsia="zh-CN"/>
        </w:rPr>
      </w:pPr>
      <w:r w:rsidRPr="00656B86">
        <w:rPr>
          <w:rFonts w:hint="eastAsia"/>
          <w:lang w:eastAsia="zh-CN"/>
        </w:rPr>
        <w:t>2019</w:t>
      </w:r>
      <w:r w:rsidRPr="00656B86">
        <w:rPr>
          <w:rFonts w:hint="eastAsia"/>
          <w:lang w:eastAsia="zh-CN"/>
        </w:rPr>
        <w:t>年</w:t>
      </w:r>
      <w:r w:rsidRPr="00656B86">
        <w:rPr>
          <w:rFonts w:hint="eastAsia"/>
          <w:lang w:eastAsia="zh-CN"/>
        </w:rPr>
        <w:t>9</w:t>
      </w:r>
      <w:r w:rsidRPr="00656B86">
        <w:rPr>
          <w:rFonts w:hint="eastAsia"/>
          <w:lang w:eastAsia="zh-CN"/>
        </w:rPr>
        <w:t>月</w:t>
      </w:r>
      <w:r>
        <w:rPr>
          <w:rFonts w:hint="eastAsia"/>
          <w:lang w:eastAsia="zh-CN"/>
        </w:rPr>
        <w:t>召开</w:t>
      </w:r>
      <w:r w:rsidRPr="00656B86">
        <w:rPr>
          <w:rFonts w:hint="eastAsia"/>
          <w:lang w:eastAsia="zh-CN"/>
        </w:rPr>
        <w:t>的理事会财务和人力资源工作组（</w:t>
      </w:r>
      <w:r w:rsidRPr="00656B86">
        <w:rPr>
          <w:rFonts w:hint="eastAsia"/>
          <w:lang w:eastAsia="zh-CN"/>
        </w:rPr>
        <w:t>CWG-FHR</w:t>
      </w:r>
      <w:r w:rsidRPr="00656B86">
        <w:rPr>
          <w:rFonts w:hint="eastAsia"/>
          <w:lang w:eastAsia="zh-CN"/>
        </w:rPr>
        <w:t>）第</w:t>
      </w:r>
      <w:r w:rsidRPr="00656B86">
        <w:rPr>
          <w:rFonts w:hint="eastAsia"/>
          <w:lang w:eastAsia="zh-CN"/>
        </w:rPr>
        <w:t>10</w:t>
      </w:r>
      <w:r w:rsidRPr="00656B86">
        <w:rPr>
          <w:rFonts w:hint="eastAsia"/>
          <w:lang w:eastAsia="zh-CN"/>
        </w:rPr>
        <w:t>次会议</w:t>
      </w:r>
      <w:r>
        <w:rPr>
          <w:rFonts w:hint="eastAsia"/>
          <w:lang w:eastAsia="zh-CN"/>
        </w:rPr>
        <w:t>，</w:t>
      </w:r>
      <w:r w:rsidRPr="00656B86">
        <w:rPr>
          <w:rFonts w:hint="eastAsia"/>
          <w:lang w:eastAsia="zh-CN"/>
        </w:rPr>
        <w:t>根据两个代表团提交的文稿，</w:t>
      </w:r>
      <w:r>
        <w:rPr>
          <w:rFonts w:hint="eastAsia"/>
          <w:lang w:eastAsia="zh-CN"/>
        </w:rPr>
        <w:t>围绕</w:t>
      </w:r>
      <w:r w:rsidRPr="00656B86">
        <w:rPr>
          <w:rFonts w:hint="eastAsia"/>
          <w:lang w:eastAsia="zh-CN"/>
        </w:rPr>
        <w:t>由国际电联正常预算</w:t>
      </w:r>
      <w:r>
        <w:rPr>
          <w:rFonts w:hint="eastAsia"/>
          <w:lang w:eastAsia="zh-CN"/>
        </w:rPr>
        <w:t>出</w:t>
      </w:r>
      <w:r w:rsidRPr="00656B86">
        <w:rPr>
          <w:rFonts w:hint="eastAsia"/>
          <w:lang w:eastAsia="zh-CN"/>
        </w:rPr>
        <w:t>资的活动</w:t>
      </w:r>
      <w:r>
        <w:rPr>
          <w:rFonts w:hint="eastAsia"/>
          <w:lang w:eastAsia="zh-CN"/>
        </w:rPr>
        <w:t>的与会补贴，讨论了与会补贴获取</w:t>
      </w:r>
      <w:r w:rsidRPr="00656B86">
        <w:rPr>
          <w:rFonts w:hint="eastAsia"/>
          <w:lang w:eastAsia="zh-CN"/>
        </w:rPr>
        <w:t>资格、</w:t>
      </w:r>
      <w:r>
        <w:rPr>
          <w:rFonts w:hint="eastAsia"/>
          <w:lang w:eastAsia="zh-CN"/>
        </w:rPr>
        <w:t>发放</w:t>
      </w:r>
      <w:r w:rsidRPr="00656B86">
        <w:rPr>
          <w:rFonts w:hint="eastAsia"/>
          <w:lang w:eastAsia="zh-CN"/>
        </w:rPr>
        <w:t>和遴选标准的</w:t>
      </w:r>
      <w:r>
        <w:rPr>
          <w:rFonts w:hint="eastAsia"/>
          <w:lang w:eastAsia="zh-CN"/>
        </w:rPr>
        <w:t>修订</w:t>
      </w:r>
      <w:r w:rsidRPr="00656B86">
        <w:rPr>
          <w:rFonts w:hint="eastAsia"/>
          <w:lang w:eastAsia="zh-CN"/>
        </w:rPr>
        <w:t>可能性。会议同意拟定一份综合文件反映会议期间提</w:t>
      </w:r>
      <w:r>
        <w:rPr>
          <w:rFonts w:hint="eastAsia"/>
          <w:lang w:eastAsia="zh-CN"/>
        </w:rPr>
        <w:t>交</w:t>
      </w:r>
      <w:r w:rsidRPr="00656B86">
        <w:rPr>
          <w:rFonts w:hint="eastAsia"/>
          <w:lang w:eastAsia="zh-CN"/>
        </w:rPr>
        <w:t>的文稿和意见。该文件随后被</w:t>
      </w:r>
      <w:r>
        <w:rPr>
          <w:rFonts w:hint="eastAsia"/>
          <w:lang w:eastAsia="zh-CN"/>
        </w:rPr>
        <w:t>提交</w:t>
      </w:r>
      <w:r w:rsidRPr="00656B86">
        <w:rPr>
          <w:rFonts w:hint="eastAsia"/>
          <w:lang w:eastAsia="zh-CN"/>
        </w:rPr>
        <w:t>给</w:t>
      </w:r>
      <w:r w:rsidRPr="00656B86">
        <w:rPr>
          <w:rFonts w:hint="eastAsia"/>
          <w:lang w:eastAsia="zh-CN"/>
        </w:rPr>
        <w:t>2020</w:t>
      </w:r>
      <w:r w:rsidRPr="00656B86">
        <w:rPr>
          <w:rFonts w:hint="eastAsia"/>
          <w:lang w:eastAsia="zh-CN"/>
        </w:rPr>
        <w:t>年</w:t>
      </w:r>
      <w:r w:rsidRPr="00656B86">
        <w:rPr>
          <w:rFonts w:hint="eastAsia"/>
          <w:lang w:eastAsia="zh-CN"/>
        </w:rPr>
        <w:t>2</w:t>
      </w:r>
      <w:r w:rsidRPr="00656B86">
        <w:rPr>
          <w:rFonts w:hint="eastAsia"/>
          <w:lang w:eastAsia="zh-CN"/>
        </w:rPr>
        <w:t>月</w:t>
      </w:r>
      <w:r>
        <w:rPr>
          <w:rFonts w:hint="eastAsia"/>
          <w:lang w:eastAsia="zh-CN"/>
        </w:rPr>
        <w:t>召开</w:t>
      </w:r>
      <w:r w:rsidRPr="00656B86">
        <w:rPr>
          <w:rFonts w:hint="eastAsia"/>
          <w:lang w:eastAsia="zh-CN"/>
        </w:rPr>
        <w:t>的</w:t>
      </w:r>
      <w:r w:rsidRPr="00656B86">
        <w:rPr>
          <w:rFonts w:hint="eastAsia"/>
          <w:lang w:eastAsia="zh-CN"/>
        </w:rPr>
        <w:t>CWG-FHR</w:t>
      </w:r>
      <w:r w:rsidRPr="00656B86">
        <w:rPr>
          <w:rFonts w:hint="eastAsia"/>
          <w:lang w:eastAsia="zh-CN"/>
        </w:rPr>
        <w:t>第</w:t>
      </w:r>
      <w:r w:rsidRPr="00656B86">
        <w:rPr>
          <w:rFonts w:hint="eastAsia"/>
          <w:lang w:eastAsia="zh-CN"/>
        </w:rPr>
        <w:t>11</w:t>
      </w:r>
      <w:r w:rsidRPr="00656B86">
        <w:rPr>
          <w:rFonts w:hint="eastAsia"/>
          <w:lang w:eastAsia="zh-CN"/>
        </w:rPr>
        <w:t>次会议。</w:t>
      </w:r>
    </w:p>
    <w:p w14:paraId="34F23591" w14:textId="77777777" w:rsidR="0032317B" w:rsidRPr="00016E09" w:rsidRDefault="0032317B" w:rsidP="0093628C">
      <w:pPr>
        <w:ind w:firstLineChars="200" w:firstLine="480"/>
        <w:rPr>
          <w:lang w:eastAsia="zh-CN"/>
        </w:rPr>
      </w:pPr>
      <w:r>
        <w:rPr>
          <w:rFonts w:hint="eastAsia"/>
          <w:lang w:eastAsia="zh-CN"/>
        </w:rPr>
        <w:t>在</w:t>
      </w:r>
      <w:r w:rsidRPr="00656B86">
        <w:rPr>
          <w:rFonts w:hint="eastAsia"/>
          <w:lang w:eastAsia="zh-CN"/>
        </w:rPr>
        <w:t>理事会</w:t>
      </w:r>
      <w:r w:rsidRPr="00656B86">
        <w:rPr>
          <w:rFonts w:hint="eastAsia"/>
          <w:lang w:eastAsia="zh-CN"/>
        </w:rPr>
        <w:t>2020</w:t>
      </w:r>
      <w:r w:rsidRPr="00656B86">
        <w:rPr>
          <w:rFonts w:hint="eastAsia"/>
          <w:lang w:eastAsia="zh-CN"/>
        </w:rPr>
        <w:t>年会议期间，</w:t>
      </w:r>
      <w:r w:rsidRPr="00656B86">
        <w:rPr>
          <w:rFonts w:hint="eastAsia"/>
          <w:lang w:eastAsia="zh-CN"/>
        </w:rPr>
        <w:t>CWG-FHR</w:t>
      </w:r>
      <w:r w:rsidRPr="00656B86">
        <w:rPr>
          <w:rFonts w:hint="eastAsia"/>
          <w:lang w:eastAsia="zh-CN"/>
        </w:rPr>
        <w:t>主席介绍了</w:t>
      </w:r>
      <w:r w:rsidRPr="00656B86">
        <w:rPr>
          <w:rFonts w:hint="eastAsia"/>
          <w:lang w:eastAsia="zh-CN"/>
        </w:rPr>
        <w:t>CWG-FHR</w:t>
      </w:r>
      <w:r w:rsidRPr="00656B86">
        <w:rPr>
          <w:rFonts w:hint="eastAsia"/>
          <w:lang w:eastAsia="zh-CN"/>
        </w:rPr>
        <w:t>的报告（</w:t>
      </w:r>
      <w:hyperlink r:id="rId14" w:history="1">
        <w:r w:rsidRPr="00016E09">
          <w:rPr>
            <w:rStyle w:val="Hyperlink"/>
            <w:lang w:eastAsia="zh-CN"/>
          </w:rPr>
          <w:t>C20/50</w:t>
        </w:r>
      </w:hyperlink>
      <w:r w:rsidRPr="00656B86">
        <w:rPr>
          <w:rFonts w:hint="eastAsia"/>
          <w:lang w:eastAsia="zh-CN"/>
        </w:rPr>
        <w:t>号文件），</w:t>
      </w:r>
      <w:r>
        <w:rPr>
          <w:rFonts w:hint="eastAsia"/>
          <w:lang w:eastAsia="zh-CN"/>
        </w:rPr>
        <w:t>其中</w:t>
      </w:r>
      <w:r w:rsidRPr="00656B86">
        <w:rPr>
          <w:rFonts w:hint="eastAsia"/>
          <w:lang w:eastAsia="zh-CN"/>
        </w:rPr>
        <w:t>包含有关</w:t>
      </w:r>
      <w:r>
        <w:rPr>
          <w:rFonts w:hint="eastAsia"/>
          <w:lang w:eastAsia="zh-CN"/>
        </w:rPr>
        <w:t>为</w:t>
      </w:r>
      <w:r w:rsidRPr="00656B86">
        <w:rPr>
          <w:rFonts w:hint="eastAsia"/>
          <w:lang w:eastAsia="zh-CN"/>
        </w:rPr>
        <w:t>国际电联正常预算</w:t>
      </w:r>
      <w:r>
        <w:rPr>
          <w:rFonts w:hint="eastAsia"/>
          <w:lang w:eastAsia="zh-CN"/>
        </w:rPr>
        <w:t>出资</w:t>
      </w:r>
      <w:r w:rsidRPr="00656B86">
        <w:rPr>
          <w:rFonts w:hint="eastAsia"/>
          <w:lang w:eastAsia="zh-CN"/>
        </w:rPr>
        <w:t>的</w:t>
      </w:r>
      <w:r>
        <w:rPr>
          <w:rFonts w:hint="eastAsia"/>
          <w:lang w:eastAsia="zh-CN"/>
        </w:rPr>
        <w:t>重大</w:t>
      </w:r>
      <w:r w:rsidRPr="00656B86">
        <w:rPr>
          <w:rFonts w:hint="eastAsia"/>
          <w:lang w:eastAsia="zh-CN"/>
        </w:rPr>
        <w:t>活动</w:t>
      </w:r>
      <w:r>
        <w:rPr>
          <w:rFonts w:hint="eastAsia"/>
          <w:lang w:eastAsia="zh-CN"/>
        </w:rPr>
        <w:t>和日常活动发放</w:t>
      </w:r>
      <w:r w:rsidRPr="00656B86">
        <w:rPr>
          <w:rFonts w:hint="eastAsia"/>
          <w:lang w:eastAsia="zh-CN"/>
        </w:rPr>
        <w:t>与会补贴</w:t>
      </w:r>
      <w:r>
        <w:rPr>
          <w:rFonts w:hint="eastAsia"/>
          <w:lang w:eastAsia="zh-CN"/>
        </w:rPr>
        <w:t>的</w:t>
      </w:r>
      <w:r w:rsidRPr="00656B86">
        <w:rPr>
          <w:rFonts w:hint="eastAsia"/>
          <w:lang w:eastAsia="zh-CN"/>
        </w:rPr>
        <w:t>综合政策</w:t>
      </w:r>
      <w:r>
        <w:rPr>
          <w:rFonts w:hint="eastAsia"/>
          <w:lang w:eastAsia="zh-CN"/>
        </w:rPr>
        <w:t>提案</w:t>
      </w:r>
      <w:r w:rsidRPr="00656B86">
        <w:rPr>
          <w:rFonts w:hint="eastAsia"/>
          <w:lang w:eastAsia="zh-CN"/>
        </w:rPr>
        <w:t>以及符合条件的国家名单。该文件于</w:t>
      </w:r>
      <w:r w:rsidRPr="00656B86">
        <w:rPr>
          <w:rFonts w:hint="eastAsia"/>
          <w:lang w:eastAsia="zh-CN"/>
        </w:rPr>
        <w:t>2021</w:t>
      </w:r>
      <w:r w:rsidRPr="00656B86">
        <w:rPr>
          <w:rFonts w:hint="eastAsia"/>
          <w:lang w:eastAsia="zh-CN"/>
        </w:rPr>
        <w:t>年随着有关</w:t>
      </w:r>
      <w:r>
        <w:rPr>
          <w:rFonts w:hint="eastAsia"/>
          <w:lang w:eastAsia="zh-CN"/>
        </w:rPr>
        <w:t>为</w:t>
      </w:r>
      <w:r w:rsidRPr="00656B86">
        <w:rPr>
          <w:rFonts w:hint="eastAsia"/>
          <w:lang w:eastAsia="zh-CN"/>
        </w:rPr>
        <w:t>国际电联正常预算</w:t>
      </w:r>
      <w:r>
        <w:rPr>
          <w:rFonts w:hint="eastAsia"/>
          <w:lang w:eastAsia="zh-CN"/>
        </w:rPr>
        <w:t>出</w:t>
      </w:r>
      <w:r w:rsidRPr="00656B86">
        <w:rPr>
          <w:rFonts w:hint="eastAsia"/>
          <w:lang w:eastAsia="zh-CN"/>
        </w:rPr>
        <w:t>资的活动</w:t>
      </w:r>
      <w:r>
        <w:rPr>
          <w:rFonts w:hint="eastAsia"/>
          <w:lang w:eastAsia="zh-CN"/>
        </w:rPr>
        <w:t>发放</w:t>
      </w:r>
      <w:r w:rsidRPr="00656B86">
        <w:rPr>
          <w:rFonts w:hint="eastAsia"/>
          <w:lang w:eastAsia="zh-CN"/>
        </w:rPr>
        <w:t>与会补贴的政策的第</w:t>
      </w:r>
      <w:hyperlink r:id="rId15" w:history="1">
        <w:r w:rsidRPr="00016E09">
          <w:rPr>
            <w:rStyle w:val="Hyperlink"/>
            <w:lang w:eastAsia="zh-CN"/>
          </w:rPr>
          <w:t>21/02</w:t>
        </w:r>
      </w:hyperlink>
      <w:r w:rsidRPr="00656B86">
        <w:rPr>
          <w:rFonts w:hint="eastAsia"/>
          <w:lang w:eastAsia="zh-CN"/>
        </w:rPr>
        <w:t>号行政规定</w:t>
      </w:r>
      <w:r>
        <w:rPr>
          <w:rFonts w:hint="eastAsia"/>
          <w:lang w:eastAsia="zh-CN"/>
        </w:rPr>
        <w:t>的</w:t>
      </w:r>
      <w:r w:rsidRPr="00656B86">
        <w:rPr>
          <w:rFonts w:hint="eastAsia"/>
          <w:lang w:eastAsia="zh-CN"/>
        </w:rPr>
        <w:t>发布而生效。它将与会补贴定义为一项专门定制或精选的培训活动，向符合条件的个人提供一笔资金补助，以实现</w:t>
      </w:r>
      <w:r>
        <w:rPr>
          <w:rFonts w:hint="eastAsia"/>
          <w:lang w:eastAsia="zh-CN"/>
        </w:rPr>
        <w:t>特别的</w:t>
      </w:r>
      <w:r w:rsidRPr="00656B86">
        <w:rPr>
          <w:rFonts w:hint="eastAsia"/>
          <w:lang w:eastAsia="zh-CN"/>
        </w:rPr>
        <w:t>学习目标，</w:t>
      </w:r>
      <w:r>
        <w:rPr>
          <w:rFonts w:hint="eastAsia"/>
          <w:lang w:eastAsia="zh-CN"/>
        </w:rPr>
        <w:t>旨在提高</w:t>
      </w:r>
      <w:r w:rsidRPr="00656B86">
        <w:rPr>
          <w:rFonts w:hint="eastAsia"/>
          <w:lang w:eastAsia="zh-CN"/>
        </w:rPr>
        <w:t>国际电联</w:t>
      </w:r>
      <w:r>
        <w:rPr>
          <w:rFonts w:hint="eastAsia"/>
          <w:lang w:eastAsia="zh-CN"/>
        </w:rPr>
        <w:t>重大活动和日常</w:t>
      </w:r>
      <w:r w:rsidRPr="00656B86">
        <w:rPr>
          <w:rFonts w:hint="eastAsia"/>
          <w:lang w:eastAsia="zh-CN"/>
        </w:rPr>
        <w:t>活动（包括培训、</w:t>
      </w:r>
      <w:r>
        <w:rPr>
          <w:rFonts w:hint="eastAsia"/>
          <w:lang w:eastAsia="zh-CN"/>
        </w:rPr>
        <w:t>学习之旅</w:t>
      </w:r>
      <w:r w:rsidRPr="00656B86">
        <w:rPr>
          <w:rFonts w:hint="eastAsia"/>
          <w:lang w:eastAsia="zh-CN"/>
        </w:rPr>
        <w:t>和在职培训）</w:t>
      </w:r>
      <w:r>
        <w:rPr>
          <w:rFonts w:hint="eastAsia"/>
          <w:lang w:eastAsia="zh-CN"/>
        </w:rPr>
        <w:t>的</w:t>
      </w:r>
      <w:r w:rsidRPr="00656B86">
        <w:rPr>
          <w:rFonts w:hint="eastAsia"/>
          <w:lang w:eastAsia="zh-CN"/>
        </w:rPr>
        <w:t>包容性和成员国对</w:t>
      </w:r>
      <w:r>
        <w:rPr>
          <w:rFonts w:hint="eastAsia"/>
          <w:lang w:eastAsia="zh-CN"/>
        </w:rPr>
        <w:t>这些活动</w:t>
      </w:r>
      <w:r w:rsidRPr="00656B86">
        <w:rPr>
          <w:rFonts w:hint="eastAsia"/>
          <w:lang w:eastAsia="zh-CN"/>
        </w:rPr>
        <w:t>的参与，主要目标是</w:t>
      </w:r>
      <w:r>
        <w:rPr>
          <w:rFonts w:hint="eastAsia"/>
          <w:lang w:eastAsia="zh-CN"/>
        </w:rPr>
        <w:t>增强</w:t>
      </w:r>
      <w:r w:rsidRPr="00656B86">
        <w:rPr>
          <w:rFonts w:hint="eastAsia"/>
          <w:lang w:eastAsia="zh-CN"/>
        </w:rPr>
        <w:t>电信和信息通信技术领域的专业技能，尤其是在发展中国家。</w:t>
      </w:r>
    </w:p>
    <w:p w14:paraId="4AFDB8AB" w14:textId="77777777" w:rsidR="0032317B" w:rsidRPr="00016E09" w:rsidRDefault="0032317B" w:rsidP="0093628C">
      <w:pPr>
        <w:ind w:firstLineChars="200" w:firstLine="480"/>
        <w:rPr>
          <w:lang w:eastAsia="zh-CN"/>
        </w:rPr>
      </w:pPr>
      <w:r w:rsidRPr="00656B86">
        <w:rPr>
          <w:rFonts w:hint="eastAsia"/>
          <w:lang w:eastAsia="zh-CN"/>
        </w:rPr>
        <w:t>根据上述情况，与会补贴的发放标准规定，有资格获得国际电联与会补贴的成员国应是那些被联合国</w:t>
      </w:r>
      <w:r>
        <w:rPr>
          <w:rFonts w:hint="eastAsia"/>
          <w:lang w:eastAsia="zh-CN"/>
        </w:rPr>
        <w:t>划归</w:t>
      </w:r>
      <w:r w:rsidRPr="00656B86">
        <w:rPr>
          <w:rFonts w:hint="eastAsia"/>
          <w:lang w:eastAsia="zh-CN"/>
        </w:rPr>
        <w:t>为发展中国家的国家，其中包括最不发达国家、小岛屿发展中国家、内陆发展中国家和经济转型国家</w:t>
      </w:r>
      <w:r>
        <w:rPr>
          <w:rFonts w:hint="eastAsia"/>
          <w:lang w:eastAsia="zh-CN"/>
        </w:rPr>
        <w:t>，</w:t>
      </w:r>
      <w:r w:rsidRPr="00656B86">
        <w:rPr>
          <w:rFonts w:hint="eastAsia"/>
          <w:lang w:eastAsia="zh-CN"/>
        </w:rPr>
        <w:t>向名单上的高收入发展中国家发放与会补贴的考虑只能视可用资源而定，而且</w:t>
      </w:r>
      <w:r>
        <w:rPr>
          <w:rFonts w:hint="eastAsia"/>
          <w:lang w:eastAsia="zh-CN"/>
        </w:rPr>
        <w:t>在</w:t>
      </w:r>
      <w:r w:rsidRPr="00656B86">
        <w:rPr>
          <w:rFonts w:hint="eastAsia"/>
          <w:lang w:eastAsia="zh-CN"/>
        </w:rPr>
        <w:t>首先满足其他符合条件的低收入、中低收入和中高收入发展中国家成员国的要求</w:t>
      </w:r>
      <w:r>
        <w:rPr>
          <w:rFonts w:hint="eastAsia"/>
          <w:lang w:eastAsia="zh-CN"/>
        </w:rPr>
        <w:t>之后</w:t>
      </w:r>
      <w:r w:rsidRPr="00656B86">
        <w:rPr>
          <w:rFonts w:hint="eastAsia"/>
          <w:lang w:eastAsia="zh-CN"/>
        </w:rPr>
        <w:t>。</w:t>
      </w:r>
    </w:p>
    <w:p w14:paraId="02A24C6B" w14:textId="77777777" w:rsidR="0032317B" w:rsidRPr="00016E09" w:rsidRDefault="0032317B" w:rsidP="0093628C">
      <w:pPr>
        <w:ind w:firstLineChars="200" w:firstLine="480"/>
        <w:rPr>
          <w:lang w:eastAsia="zh-CN"/>
        </w:rPr>
      </w:pPr>
      <w:r w:rsidRPr="00656B86">
        <w:rPr>
          <w:rFonts w:hint="eastAsia"/>
          <w:lang w:eastAsia="zh-CN"/>
        </w:rPr>
        <w:t>此外，总秘书处在</w:t>
      </w:r>
      <w:hyperlink r:id="rId16" w:history="1">
        <w:r w:rsidRPr="00016E09">
          <w:rPr>
            <w:rStyle w:val="Hyperlink"/>
            <w:bCs/>
            <w:lang w:eastAsia="zh-CN"/>
          </w:rPr>
          <w:t>C23/25</w:t>
        </w:r>
      </w:hyperlink>
      <w:r w:rsidRPr="00656B86">
        <w:rPr>
          <w:rFonts w:hint="eastAsia"/>
          <w:lang w:eastAsia="zh-CN"/>
        </w:rPr>
        <w:t>号文件中提供的有关加强区域</w:t>
      </w:r>
      <w:r>
        <w:rPr>
          <w:rFonts w:hint="eastAsia"/>
          <w:lang w:eastAsia="zh-CN"/>
        </w:rPr>
        <w:t>代表性</w:t>
      </w:r>
      <w:r w:rsidRPr="00656B86">
        <w:rPr>
          <w:rFonts w:hint="eastAsia"/>
          <w:lang w:eastAsia="zh-CN"/>
        </w:rPr>
        <w:t>的信息值得注意，</w:t>
      </w:r>
      <w:hyperlink r:id="rId17" w:history="1">
        <w:r w:rsidRPr="00016E09">
          <w:rPr>
            <w:rStyle w:val="Hyperlink"/>
            <w:bCs/>
            <w:lang w:eastAsia="zh-CN"/>
          </w:rPr>
          <w:t>C23/INF/7</w:t>
        </w:r>
      </w:hyperlink>
      <w:r w:rsidRPr="00656B86">
        <w:rPr>
          <w:rFonts w:hint="eastAsia"/>
          <w:lang w:eastAsia="zh-CN"/>
        </w:rPr>
        <w:t>号文件对这些信息</w:t>
      </w:r>
      <w:r>
        <w:rPr>
          <w:rFonts w:hint="eastAsia"/>
          <w:lang w:eastAsia="zh-CN"/>
        </w:rPr>
        <w:t>进行了</w:t>
      </w:r>
      <w:r w:rsidRPr="00656B86">
        <w:rPr>
          <w:rFonts w:hint="eastAsia"/>
          <w:lang w:eastAsia="zh-CN"/>
        </w:rPr>
        <w:t>补充，后者已提交理事会</w:t>
      </w:r>
      <w:r w:rsidRPr="00656B86">
        <w:rPr>
          <w:rFonts w:hint="eastAsia"/>
          <w:lang w:eastAsia="zh-CN"/>
        </w:rPr>
        <w:t>2023</w:t>
      </w:r>
      <w:r w:rsidRPr="00656B86">
        <w:rPr>
          <w:rFonts w:hint="eastAsia"/>
          <w:lang w:eastAsia="zh-CN"/>
        </w:rPr>
        <w:t>年会议。根据该信息，</w:t>
      </w:r>
      <w:r w:rsidRPr="00656B86">
        <w:rPr>
          <w:rFonts w:hint="eastAsia"/>
          <w:lang w:eastAsia="zh-CN"/>
        </w:rPr>
        <w:t>2022</w:t>
      </w:r>
      <w:r w:rsidRPr="00656B86">
        <w:rPr>
          <w:rFonts w:hint="eastAsia"/>
          <w:lang w:eastAsia="zh-CN"/>
        </w:rPr>
        <w:t>年</w:t>
      </w:r>
      <w:r>
        <w:rPr>
          <w:rFonts w:hint="eastAsia"/>
          <w:lang w:eastAsia="zh-CN"/>
        </w:rPr>
        <w:t>发放</w:t>
      </w:r>
      <w:r w:rsidRPr="00656B86">
        <w:rPr>
          <w:rFonts w:hint="eastAsia"/>
          <w:lang w:eastAsia="zh-CN"/>
        </w:rPr>
        <w:t>了约</w:t>
      </w:r>
      <w:r w:rsidRPr="00656B86">
        <w:rPr>
          <w:rFonts w:hint="eastAsia"/>
          <w:lang w:eastAsia="zh-CN"/>
        </w:rPr>
        <w:t>224</w:t>
      </w:r>
      <w:r w:rsidRPr="00656B86">
        <w:rPr>
          <w:rFonts w:hint="eastAsia"/>
          <w:lang w:eastAsia="zh-CN"/>
        </w:rPr>
        <w:t>份由国际电联正常预算</w:t>
      </w:r>
      <w:r>
        <w:rPr>
          <w:rFonts w:hint="eastAsia"/>
          <w:lang w:eastAsia="zh-CN"/>
        </w:rPr>
        <w:t>出</w:t>
      </w:r>
      <w:r w:rsidRPr="00656B86">
        <w:rPr>
          <w:rFonts w:hint="eastAsia"/>
          <w:lang w:eastAsia="zh-CN"/>
        </w:rPr>
        <w:t>资的与会补贴，其中</w:t>
      </w:r>
      <w:r w:rsidRPr="00656B86">
        <w:rPr>
          <w:rFonts w:hint="eastAsia"/>
          <w:lang w:eastAsia="zh-CN"/>
        </w:rPr>
        <w:t>109</w:t>
      </w:r>
      <w:r w:rsidRPr="00656B86">
        <w:rPr>
          <w:rFonts w:hint="eastAsia"/>
          <w:lang w:eastAsia="zh-CN"/>
        </w:rPr>
        <w:t>份（</w:t>
      </w:r>
      <w:r w:rsidRPr="00656B86">
        <w:rPr>
          <w:rFonts w:hint="eastAsia"/>
          <w:lang w:eastAsia="zh-CN"/>
        </w:rPr>
        <w:t>48</w:t>
      </w:r>
      <w:r>
        <w:rPr>
          <w:lang w:eastAsia="zh-CN"/>
        </w:rPr>
        <w:t>.</w:t>
      </w:r>
      <w:r w:rsidRPr="00656B86">
        <w:rPr>
          <w:rFonts w:hint="eastAsia"/>
          <w:lang w:eastAsia="zh-CN"/>
        </w:rPr>
        <w:t>66%</w:t>
      </w:r>
      <w:r w:rsidRPr="00656B86">
        <w:rPr>
          <w:rFonts w:hint="eastAsia"/>
          <w:lang w:eastAsia="zh-CN"/>
        </w:rPr>
        <w:t>）</w:t>
      </w:r>
      <w:r>
        <w:rPr>
          <w:rFonts w:hint="eastAsia"/>
          <w:lang w:eastAsia="zh-CN"/>
        </w:rPr>
        <w:t>发放</w:t>
      </w:r>
      <w:r w:rsidRPr="00656B86">
        <w:rPr>
          <w:rFonts w:hint="eastAsia"/>
          <w:lang w:eastAsia="zh-CN"/>
        </w:rPr>
        <w:t>给了非洲</w:t>
      </w:r>
      <w:r>
        <w:rPr>
          <w:rFonts w:hint="eastAsia"/>
          <w:lang w:eastAsia="zh-CN"/>
        </w:rPr>
        <w:t>区域</w:t>
      </w:r>
      <w:r w:rsidRPr="00656B86">
        <w:rPr>
          <w:rFonts w:hint="eastAsia"/>
          <w:lang w:eastAsia="zh-CN"/>
        </w:rPr>
        <w:t>，</w:t>
      </w:r>
      <w:r w:rsidRPr="00656B86">
        <w:rPr>
          <w:rFonts w:hint="eastAsia"/>
          <w:lang w:eastAsia="zh-CN"/>
        </w:rPr>
        <w:t>44</w:t>
      </w:r>
      <w:r w:rsidRPr="00656B86">
        <w:rPr>
          <w:rFonts w:hint="eastAsia"/>
          <w:lang w:eastAsia="zh-CN"/>
        </w:rPr>
        <w:t>份（</w:t>
      </w:r>
      <w:r w:rsidRPr="00656B86">
        <w:rPr>
          <w:rFonts w:hint="eastAsia"/>
          <w:lang w:eastAsia="zh-CN"/>
        </w:rPr>
        <w:t>19</w:t>
      </w:r>
      <w:r>
        <w:rPr>
          <w:lang w:eastAsia="zh-CN"/>
        </w:rPr>
        <w:t>.</w:t>
      </w:r>
      <w:r w:rsidRPr="00656B86">
        <w:rPr>
          <w:rFonts w:hint="eastAsia"/>
          <w:lang w:eastAsia="zh-CN"/>
        </w:rPr>
        <w:t>64%</w:t>
      </w:r>
      <w:r w:rsidRPr="00656B86">
        <w:rPr>
          <w:rFonts w:hint="eastAsia"/>
          <w:lang w:eastAsia="zh-CN"/>
        </w:rPr>
        <w:t>）</w:t>
      </w:r>
      <w:r>
        <w:rPr>
          <w:rFonts w:hint="eastAsia"/>
          <w:lang w:eastAsia="zh-CN"/>
        </w:rPr>
        <w:t>发放</w:t>
      </w:r>
      <w:r w:rsidRPr="00656B86">
        <w:rPr>
          <w:rFonts w:hint="eastAsia"/>
          <w:lang w:eastAsia="zh-CN"/>
        </w:rPr>
        <w:t>给了阿拉伯国家</w:t>
      </w:r>
      <w:r>
        <w:rPr>
          <w:rFonts w:hint="eastAsia"/>
          <w:lang w:eastAsia="zh-CN"/>
        </w:rPr>
        <w:t>区域</w:t>
      </w:r>
      <w:r w:rsidRPr="00656B86">
        <w:rPr>
          <w:rFonts w:hint="eastAsia"/>
          <w:lang w:eastAsia="zh-CN"/>
        </w:rPr>
        <w:t>，</w:t>
      </w:r>
      <w:r w:rsidRPr="00656B86">
        <w:rPr>
          <w:rFonts w:hint="eastAsia"/>
          <w:lang w:eastAsia="zh-CN"/>
        </w:rPr>
        <w:t>27</w:t>
      </w:r>
      <w:r w:rsidRPr="00656B86">
        <w:rPr>
          <w:rFonts w:hint="eastAsia"/>
          <w:lang w:eastAsia="zh-CN"/>
        </w:rPr>
        <w:t>份（</w:t>
      </w:r>
      <w:r w:rsidRPr="00656B86">
        <w:rPr>
          <w:rFonts w:hint="eastAsia"/>
          <w:lang w:eastAsia="zh-CN"/>
        </w:rPr>
        <w:t>12</w:t>
      </w:r>
      <w:r>
        <w:rPr>
          <w:lang w:eastAsia="zh-CN"/>
        </w:rPr>
        <w:t>.</w:t>
      </w:r>
      <w:r w:rsidRPr="00656B86">
        <w:rPr>
          <w:rFonts w:hint="eastAsia"/>
          <w:lang w:eastAsia="zh-CN"/>
        </w:rPr>
        <w:t>05%</w:t>
      </w:r>
      <w:r w:rsidRPr="00656B86">
        <w:rPr>
          <w:rFonts w:hint="eastAsia"/>
          <w:lang w:eastAsia="zh-CN"/>
        </w:rPr>
        <w:t>）发</w:t>
      </w:r>
      <w:r>
        <w:rPr>
          <w:rFonts w:hint="eastAsia"/>
          <w:lang w:eastAsia="zh-CN"/>
        </w:rPr>
        <w:t>放</w:t>
      </w:r>
      <w:r w:rsidRPr="00656B86">
        <w:rPr>
          <w:rFonts w:hint="eastAsia"/>
          <w:lang w:eastAsia="zh-CN"/>
        </w:rPr>
        <w:t>给了亚洲和太平洋</w:t>
      </w:r>
      <w:r>
        <w:rPr>
          <w:rFonts w:hint="eastAsia"/>
          <w:lang w:eastAsia="zh-CN"/>
        </w:rPr>
        <w:t>区域</w:t>
      </w:r>
      <w:r w:rsidRPr="00656B86">
        <w:rPr>
          <w:rFonts w:hint="eastAsia"/>
          <w:lang w:eastAsia="zh-CN"/>
        </w:rPr>
        <w:t>，</w:t>
      </w:r>
      <w:r w:rsidRPr="00656B86">
        <w:rPr>
          <w:rFonts w:hint="eastAsia"/>
          <w:lang w:eastAsia="zh-CN"/>
        </w:rPr>
        <w:t>16</w:t>
      </w:r>
      <w:r w:rsidRPr="00656B86">
        <w:rPr>
          <w:rFonts w:hint="eastAsia"/>
          <w:lang w:eastAsia="zh-CN"/>
        </w:rPr>
        <w:t>份（</w:t>
      </w:r>
      <w:r w:rsidRPr="00656B86">
        <w:rPr>
          <w:rFonts w:hint="eastAsia"/>
          <w:lang w:eastAsia="zh-CN"/>
        </w:rPr>
        <w:t>7</w:t>
      </w:r>
      <w:r>
        <w:rPr>
          <w:lang w:eastAsia="zh-CN"/>
        </w:rPr>
        <w:t>.1</w:t>
      </w:r>
      <w:r w:rsidRPr="00656B86">
        <w:rPr>
          <w:rFonts w:hint="eastAsia"/>
          <w:lang w:eastAsia="zh-CN"/>
        </w:rPr>
        <w:t>4%</w:t>
      </w:r>
      <w:r w:rsidRPr="00656B86">
        <w:rPr>
          <w:rFonts w:hint="eastAsia"/>
          <w:lang w:eastAsia="zh-CN"/>
        </w:rPr>
        <w:t>）发</w:t>
      </w:r>
      <w:r>
        <w:rPr>
          <w:rFonts w:hint="eastAsia"/>
          <w:lang w:eastAsia="zh-CN"/>
        </w:rPr>
        <w:t>放</w:t>
      </w:r>
      <w:r w:rsidRPr="00656B86">
        <w:rPr>
          <w:rFonts w:hint="eastAsia"/>
          <w:lang w:eastAsia="zh-CN"/>
        </w:rPr>
        <w:t>给了独联体</w:t>
      </w:r>
      <w:r>
        <w:rPr>
          <w:rFonts w:hint="eastAsia"/>
          <w:lang w:eastAsia="zh-CN"/>
        </w:rPr>
        <w:t>区域</w:t>
      </w:r>
      <w:r w:rsidRPr="00656B86">
        <w:rPr>
          <w:rFonts w:hint="eastAsia"/>
          <w:lang w:eastAsia="zh-CN"/>
        </w:rPr>
        <w:t>，</w:t>
      </w:r>
      <w:r w:rsidRPr="00656B86">
        <w:rPr>
          <w:rFonts w:hint="eastAsia"/>
          <w:lang w:eastAsia="zh-CN"/>
        </w:rPr>
        <w:t>8</w:t>
      </w:r>
      <w:r>
        <w:rPr>
          <w:rFonts w:hint="eastAsia"/>
          <w:lang w:eastAsia="zh-CN"/>
        </w:rPr>
        <w:t>份</w:t>
      </w:r>
      <w:r w:rsidRPr="00656B86">
        <w:rPr>
          <w:rFonts w:hint="eastAsia"/>
          <w:lang w:eastAsia="zh-CN"/>
        </w:rPr>
        <w:t>（</w:t>
      </w:r>
      <w:r w:rsidRPr="00656B86">
        <w:rPr>
          <w:rFonts w:hint="eastAsia"/>
          <w:lang w:eastAsia="zh-CN"/>
        </w:rPr>
        <w:t>3</w:t>
      </w:r>
      <w:r>
        <w:rPr>
          <w:lang w:eastAsia="zh-CN"/>
        </w:rPr>
        <w:t>.</w:t>
      </w:r>
      <w:r w:rsidRPr="00656B86">
        <w:rPr>
          <w:rFonts w:hint="eastAsia"/>
          <w:lang w:eastAsia="zh-CN"/>
        </w:rPr>
        <w:t>57%</w:t>
      </w:r>
      <w:r w:rsidRPr="00656B86">
        <w:rPr>
          <w:rFonts w:hint="eastAsia"/>
          <w:lang w:eastAsia="zh-CN"/>
        </w:rPr>
        <w:t>）</w:t>
      </w:r>
      <w:r>
        <w:rPr>
          <w:rFonts w:hint="eastAsia"/>
          <w:lang w:eastAsia="zh-CN"/>
        </w:rPr>
        <w:t>发放给了</w:t>
      </w:r>
      <w:r w:rsidRPr="00656B86">
        <w:rPr>
          <w:rFonts w:hint="eastAsia"/>
          <w:lang w:eastAsia="zh-CN"/>
        </w:rPr>
        <w:t>欧洲区域，</w:t>
      </w:r>
      <w:r>
        <w:rPr>
          <w:rFonts w:hint="eastAsia"/>
          <w:lang w:eastAsia="zh-CN"/>
        </w:rPr>
        <w:t>以及</w:t>
      </w:r>
      <w:r w:rsidRPr="00656B86">
        <w:rPr>
          <w:rFonts w:hint="eastAsia"/>
          <w:lang w:eastAsia="zh-CN"/>
        </w:rPr>
        <w:t>20</w:t>
      </w:r>
      <w:r>
        <w:rPr>
          <w:rFonts w:hint="eastAsia"/>
          <w:lang w:eastAsia="zh-CN"/>
        </w:rPr>
        <w:t>份</w:t>
      </w:r>
      <w:r w:rsidRPr="00656B86">
        <w:rPr>
          <w:rFonts w:hint="eastAsia"/>
          <w:lang w:eastAsia="zh-CN"/>
        </w:rPr>
        <w:t>（</w:t>
      </w:r>
      <w:r w:rsidRPr="00656B86">
        <w:rPr>
          <w:rFonts w:hint="eastAsia"/>
          <w:lang w:eastAsia="zh-CN"/>
        </w:rPr>
        <w:t>8</w:t>
      </w:r>
      <w:r>
        <w:rPr>
          <w:lang w:eastAsia="zh-CN"/>
        </w:rPr>
        <w:t>.</w:t>
      </w:r>
      <w:r w:rsidRPr="00656B86">
        <w:rPr>
          <w:rFonts w:hint="eastAsia"/>
          <w:lang w:eastAsia="zh-CN"/>
        </w:rPr>
        <w:t>92%</w:t>
      </w:r>
      <w:r w:rsidRPr="00656B86">
        <w:rPr>
          <w:rFonts w:hint="eastAsia"/>
          <w:lang w:eastAsia="zh-CN"/>
        </w:rPr>
        <w:t>）</w:t>
      </w:r>
      <w:r>
        <w:rPr>
          <w:rFonts w:hint="eastAsia"/>
          <w:lang w:eastAsia="zh-CN"/>
        </w:rPr>
        <w:t>发放给了</w:t>
      </w:r>
      <w:r w:rsidRPr="00656B86">
        <w:rPr>
          <w:rFonts w:hint="eastAsia"/>
          <w:lang w:eastAsia="zh-CN"/>
        </w:rPr>
        <w:t>美洲区域。</w:t>
      </w:r>
    </w:p>
    <w:p w14:paraId="275A659C" w14:textId="77777777" w:rsidR="0032317B" w:rsidRPr="00016E09" w:rsidRDefault="0032317B" w:rsidP="0093628C">
      <w:pPr>
        <w:ind w:firstLineChars="200" w:firstLine="480"/>
        <w:rPr>
          <w:lang w:eastAsia="zh-CN"/>
        </w:rPr>
      </w:pPr>
      <w:r w:rsidRPr="00656B86">
        <w:rPr>
          <w:rFonts w:hint="eastAsia"/>
          <w:lang w:eastAsia="zh-CN"/>
        </w:rPr>
        <w:t>电信发展顾问组（</w:t>
      </w:r>
      <w:r w:rsidRPr="00656B86">
        <w:rPr>
          <w:rFonts w:hint="eastAsia"/>
          <w:lang w:eastAsia="zh-CN"/>
        </w:rPr>
        <w:t>TDAG</w:t>
      </w:r>
      <w:r w:rsidRPr="00656B86">
        <w:rPr>
          <w:rFonts w:hint="eastAsia"/>
          <w:lang w:eastAsia="zh-CN"/>
        </w:rPr>
        <w:t>）第</w:t>
      </w:r>
      <w:r w:rsidRPr="00656B86">
        <w:rPr>
          <w:rFonts w:hint="eastAsia"/>
          <w:lang w:eastAsia="zh-CN"/>
        </w:rPr>
        <w:t>31</w:t>
      </w:r>
      <w:r w:rsidRPr="00656B86">
        <w:rPr>
          <w:rFonts w:hint="eastAsia"/>
          <w:lang w:eastAsia="zh-CN"/>
        </w:rPr>
        <w:t>次会议介绍了有关</w:t>
      </w:r>
      <w:r w:rsidRPr="00656B86">
        <w:rPr>
          <w:rFonts w:hint="eastAsia"/>
          <w:lang w:eastAsia="zh-CN"/>
        </w:rPr>
        <w:t>ITU-D 2024</w:t>
      </w:r>
      <w:r w:rsidRPr="00656B86">
        <w:rPr>
          <w:rFonts w:hint="eastAsia"/>
          <w:lang w:eastAsia="zh-CN"/>
        </w:rPr>
        <w:t>年运作规划的</w:t>
      </w:r>
      <w:hyperlink r:id="rId18" w:history="1">
        <w:r w:rsidRPr="00016E09">
          <w:rPr>
            <w:rStyle w:val="Hyperlink"/>
            <w:lang w:eastAsia="zh-CN"/>
          </w:rPr>
          <w:t>TDAG-24/12</w:t>
        </w:r>
      </w:hyperlink>
      <w:r w:rsidRPr="00656B86">
        <w:rPr>
          <w:rFonts w:hint="eastAsia"/>
          <w:lang w:eastAsia="zh-CN"/>
        </w:rPr>
        <w:t>号文件，其中按受益区域</w:t>
      </w:r>
      <w:r>
        <w:rPr>
          <w:rFonts w:hint="eastAsia"/>
          <w:lang w:eastAsia="zh-CN"/>
        </w:rPr>
        <w:t>作了</w:t>
      </w:r>
      <w:r w:rsidRPr="00656B86">
        <w:rPr>
          <w:rFonts w:hint="eastAsia"/>
          <w:lang w:eastAsia="zh-CN"/>
        </w:rPr>
        <w:t>预算</w:t>
      </w:r>
      <w:r>
        <w:rPr>
          <w:rFonts w:hint="eastAsia"/>
          <w:lang w:eastAsia="zh-CN"/>
        </w:rPr>
        <w:t>细分，</w:t>
      </w:r>
      <w:r w:rsidRPr="00656B86">
        <w:rPr>
          <w:rFonts w:hint="eastAsia"/>
          <w:lang w:eastAsia="zh-CN"/>
        </w:rPr>
        <w:t>并显示，</w:t>
      </w:r>
      <w:r w:rsidRPr="00656B86">
        <w:rPr>
          <w:rFonts w:hint="eastAsia"/>
          <w:lang w:eastAsia="zh-CN"/>
        </w:rPr>
        <w:t>2024</w:t>
      </w:r>
      <w:r w:rsidRPr="00656B86">
        <w:rPr>
          <w:rFonts w:hint="eastAsia"/>
          <w:lang w:eastAsia="zh-CN"/>
        </w:rPr>
        <w:t>年运作规划</w:t>
      </w:r>
      <w:r>
        <w:rPr>
          <w:rFonts w:hint="eastAsia"/>
          <w:lang w:eastAsia="zh-CN"/>
        </w:rPr>
        <w:t>与</w:t>
      </w:r>
      <w:r w:rsidRPr="00656B86">
        <w:rPr>
          <w:rFonts w:hint="eastAsia"/>
          <w:lang w:eastAsia="zh-CN"/>
        </w:rPr>
        <w:t>2023</w:t>
      </w:r>
      <w:r w:rsidRPr="00656B86">
        <w:rPr>
          <w:rFonts w:hint="eastAsia"/>
          <w:lang w:eastAsia="zh-CN"/>
        </w:rPr>
        <w:t>年运作规划一样，</w:t>
      </w:r>
      <w:r>
        <w:rPr>
          <w:rFonts w:hint="eastAsia"/>
          <w:lang w:eastAsia="zh-CN"/>
        </w:rPr>
        <w:t>将一半以上的</w:t>
      </w:r>
      <w:r w:rsidRPr="00656B86">
        <w:rPr>
          <w:rFonts w:hint="eastAsia"/>
          <w:lang w:eastAsia="zh-CN"/>
        </w:rPr>
        <w:t>预算（</w:t>
      </w:r>
      <w:r w:rsidRPr="00656B86">
        <w:rPr>
          <w:rFonts w:hint="eastAsia"/>
          <w:lang w:eastAsia="zh-CN"/>
        </w:rPr>
        <w:t>54%</w:t>
      </w:r>
      <w:r w:rsidRPr="00656B86">
        <w:rPr>
          <w:rFonts w:hint="eastAsia"/>
          <w:lang w:eastAsia="zh-CN"/>
        </w:rPr>
        <w:t>）</w:t>
      </w:r>
      <w:r>
        <w:rPr>
          <w:rFonts w:hint="eastAsia"/>
          <w:lang w:eastAsia="zh-CN"/>
        </w:rPr>
        <w:t>划拨给了面向</w:t>
      </w:r>
      <w:r w:rsidRPr="00656B86">
        <w:rPr>
          <w:rFonts w:hint="eastAsia"/>
          <w:lang w:eastAsia="zh-CN"/>
        </w:rPr>
        <w:t>全球的输出成果和多区域活动，大约</w:t>
      </w:r>
      <w:r w:rsidRPr="00656B86">
        <w:rPr>
          <w:rFonts w:hint="eastAsia"/>
          <w:lang w:eastAsia="zh-CN"/>
        </w:rPr>
        <w:t>7-8%</w:t>
      </w:r>
      <w:r w:rsidRPr="00656B86">
        <w:rPr>
          <w:rFonts w:hint="eastAsia"/>
          <w:lang w:eastAsia="zh-CN"/>
        </w:rPr>
        <w:t>的预算被平均分配给符合</w:t>
      </w:r>
      <w:r w:rsidRPr="00656B86">
        <w:rPr>
          <w:rFonts w:hint="eastAsia"/>
          <w:lang w:eastAsia="zh-CN"/>
        </w:rPr>
        <w:t>ITU-D</w:t>
      </w:r>
      <w:r w:rsidRPr="00656B86">
        <w:rPr>
          <w:rFonts w:hint="eastAsia"/>
          <w:lang w:eastAsia="zh-CN"/>
        </w:rPr>
        <w:t>各项优先工作和推动因素的输出成果，以造福国际电联六个区域。</w:t>
      </w:r>
    </w:p>
    <w:p w14:paraId="51F8E91D" w14:textId="6B4F9C70" w:rsidR="0032317B" w:rsidRPr="00016E09" w:rsidRDefault="0032317B" w:rsidP="0032317B">
      <w:pPr>
        <w:pStyle w:val="Headingb"/>
        <w:rPr>
          <w:lang w:eastAsia="zh-CN"/>
        </w:rPr>
      </w:pPr>
      <w:r>
        <w:rPr>
          <w:rFonts w:hint="eastAsia"/>
          <w:lang w:eastAsia="zh-CN"/>
        </w:rPr>
        <w:lastRenderedPageBreak/>
        <w:t>提案</w:t>
      </w:r>
    </w:p>
    <w:p w14:paraId="5513ED67" w14:textId="77777777" w:rsidR="0032317B" w:rsidRPr="00016E09" w:rsidRDefault="0032317B" w:rsidP="0093628C">
      <w:pPr>
        <w:ind w:firstLineChars="200" w:firstLine="480"/>
        <w:rPr>
          <w:lang w:eastAsia="zh-CN"/>
        </w:rPr>
      </w:pPr>
      <w:r w:rsidRPr="00656B86">
        <w:rPr>
          <w:rFonts w:hint="eastAsia"/>
          <w:lang w:eastAsia="zh-CN"/>
        </w:rPr>
        <w:t>考虑到国际电联一直希望通过发放与会补贴来促进发展中国家实际参与国际电联的活动，墨西哥主管部门认为国际电联提供有关与会补贴发放数量的信息，并评估</w:t>
      </w:r>
      <w:r>
        <w:rPr>
          <w:rFonts w:hint="eastAsia"/>
          <w:lang w:eastAsia="zh-CN"/>
        </w:rPr>
        <w:t>按</w:t>
      </w:r>
      <w:r w:rsidRPr="00656B86">
        <w:rPr>
          <w:rFonts w:hint="eastAsia"/>
          <w:lang w:eastAsia="zh-CN"/>
        </w:rPr>
        <w:t>区域</w:t>
      </w:r>
      <w:r>
        <w:rPr>
          <w:rFonts w:hint="eastAsia"/>
          <w:lang w:eastAsia="zh-CN"/>
        </w:rPr>
        <w:t>发放的与会补贴</w:t>
      </w:r>
      <w:r w:rsidRPr="00656B86">
        <w:rPr>
          <w:rFonts w:hint="eastAsia"/>
          <w:lang w:eastAsia="zh-CN"/>
        </w:rPr>
        <w:t>和按</w:t>
      </w:r>
      <w:r>
        <w:rPr>
          <w:rFonts w:hint="eastAsia"/>
          <w:lang w:eastAsia="zh-CN"/>
        </w:rPr>
        <w:t>区域和按</w:t>
      </w:r>
      <w:r w:rsidRPr="00656B86">
        <w:rPr>
          <w:rFonts w:hint="eastAsia"/>
          <w:lang w:eastAsia="zh-CN"/>
        </w:rPr>
        <w:t>国家收到的与会补贴申请</w:t>
      </w:r>
      <w:r>
        <w:rPr>
          <w:rFonts w:hint="eastAsia"/>
          <w:lang w:eastAsia="zh-CN"/>
        </w:rPr>
        <w:t>十分</w:t>
      </w:r>
      <w:r w:rsidRPr="00656B86">
        <w:rPr>
          <w:rFonts w:hint="eastAsia"/>
          <w:lang w:eastAsia="zh-CN"/>
        </w:rPr>
        <w:t>重要，</w:t>
      </w:r>
      <w:r>
        <w:rPr>
          <w:rFonts w:hint="eastAsia"/>
          <w:lang w:eastAsia="zh-CN"/>
        </w:rPr>
        <w:t>因为目前</w:t>
      </w:r>
      <w:r w:rsidRPr="00656B86">
        <w:rPr>
          <w:rFonts w:hint="eastAsia"/>
          <w:lang w:eastAsia="zh-CN"/>
        </w:rPr>
        <w:t>显然缺乏公平的地域分配。</w:t>
      </w:r>
    </w:p>
    <w:p w14:paraId="78876986" w14:textId="683152CC" w:rsidR="0032317B" w:rsidRPr="00016E09" w:rsidRDefault="0032317B" w:rsidP="0093628C">
      <w:pPr>
        <w:ind w:firstLineChars="200" w:firstLine="480"/>
        <w:rPr>
          <w:lang w:eastAsia="zh-CN"/>
        </w:rPr>
      </w:pPr>
      <w:r>
        <w:rPr>
          <w:rFonts w:hint="eastAsia"/>
          <w:lang w:eastAsia="zh-CN"/>
        </w:rPr>
        <w:t>虽然</w:t>
      </w:r>
      <w:r w:rsidRPr="00656B86">
        <w:rPr>
          <w:rFonts w:hint="eastAsia"/>
          <w:lang w:eastAsia="zh-CN"/>
        </w:rPr>
        <w:t>优先考虑向发展中国家和最不发达国家</w:t>
      </w:r>
      <w:r>
        <w:rPr>
          <w:rFonts w:hint="eastAsia"/>
          <w:lang w:eastAsia="zh-CN"/>
        </w:rPr>
        <w:t>发放</w:t>
      </w:r>
      <w:r w:rsidRPr="00656B86">
        <w:rPr>
          <w:rFonts w:hint="eastAsia"/>
          <w:lang w:eastAsia="zh-CN"/>
        </w:rPr>
        <w:t>与会补贴以促进这些国家积极参与国际电联的活动</w:t>
      </w:r>
      <w:r>
        <w:rPr>
          <w:rFonts w:hint="eastAsia"/>
          <w:lang w:eastAsia="zh-CN"/>
        </w:rPr>
        <w:t>很重要</w:t>
      </w:r>
      <w:r w:rsidRPr="00656B86">
        <w:rPr>
          <w:rFonts w:hint="eastAsia"/>
          <w:lang w:eastAsia="zh-CN"/>
        </w:rPr>
        <w:t>，但是</w:t>
      </w:r>
      <w:r>
        <w:rPr>
          <w:rFonts w:hint="eastAsia"/>
          <w:lang w:eastAsia="zh-CN"/>
        </w:rPr>
        <w:t>为</w:t>
      </w:r>
      <w:r w:rsidRPr="00656B86">
        <w:rPr>
          <w:rFonts w:hint="eastAsia"/>
          <w:lang w:eastAsia="zh-CN"/>
        </w:rPr>
        <w:t>确保公平的区域代表性</w:t>
      </w:r>
      <w:r>
        <w:rPr>
          <w:rFonts w:hint="eastAsia"/>
          <w:lang w:eastAsia="zh-CN"/>
        </w:rPr>
        <w:t>，</w:t>
      </w:r>
      <w:r w:rsidRPr="00656B86">
        <w:rPr>
          <w:rFonts w:hint="eastAsia"/>
          <w:lang w:eastAsia="zh-CN"/>
        </w:rPr>
        <w:t>地域分配是必要的，</w:t>
      </w:r>
      <w:r>
        <w:rPr>
          <w:rFonts w:hint="eastAsia"/>
          <w:lang w:eastAsia="zh-CN"/>
        </w:rPr>
        <w:t>公平的区域代表性可以</w:t>
      </w:r>
      <w:r w:rsidRPr="00656B86">
        <w:rPr>
          <w:rFonts w:hint="eastAsia"/>
          <w:lang w:eastAsia="zh-CN"/>
        </w:rPr>
        <w:t>将不同区域观点纳入讨论</w:t>
      </w:r>
      <w:r>
        <w:rPr>
          <w:rFonts w:hint="eastAsia"/>
          <w:lang w:eastAsia="zh-CN"/>
        </w:rPr>
        <w:t>从</w:t>
      </w:r>
      <w:r w:rsidRPr="00656B86">
        <w:rPr>
          <w:rFonts w:hint="eastAsia"/>
          <w:lang w:eastAsia="zh-CN"/>
        </w:rPr>
        <w:t>而促进思想</w:t>
      </w:r>
      <w:r>
        <w:rPr>
          <w:rFonts w:hint="eastAsia"/>
          <w:lang w:eastAsia="zh-CN"/>
        </w:rPr>
        <w:t>的</w:t>
      </w:r>
      <w:r w:rsidRPr="00656B86">
        <w:rPr>
          <w:rFonts w:hint="eastAsia"/>
          <w:lang w:eastAsia="zh-CN"/>
        </w:rPr>
        <w:t>交流。</w:t>
      </w:r>
      <w:r>
        <w:rPr>
          <w:rFonts w:hint="eastAsia"/>
          <w:lang w:eastAsia="zh-CN"/>
        </w:rPr>
        <w:t>同样</w:t>
      </w:r>
      <w:r w:rsidRPr="00656B86">
        <w:rPr>
          <w:rFonts w:hint="eastAsia"/>
          <w:lang w:eastAsia="zh-CN"/>
        </w:rPr>
        <w:t>，墨西哥主管部门认为有必要确保</w:t>
      </w:r>
      <w:r>
        <w:rPr>
          <w:rFonts w:hint="eastAsia"/>
          <w:lang w:eastAsia="zh-CN"/>
        </w:rPr>
        <w:t>以</w:t>
      </w:r>
      <w:r w:rsidRPr="00656B86">
        <w:rPr>
          <w:rFonts w:hint="eastAsia"/>
          <w:lang w:eastAsia="zh-CN"/>
        </w:rPr>
        <w:t>能够促进性别平衡</w:t>
      </w:r>
      <w:r>
        <w:rPr>
          <w:rFonts w:hint="eastAsia"/>
          <w:lang w:eastAsia="zh-CN"/>
        </w:rPr>
        <w:t>和</w:t>
      </w:r>
      <w:r w:rsidRPr="00656B86">
        <w:rPr>
          <w:rFonts w:hint="eastAsia"/>
          <w:lang w:eastAsia="zh-CN"/>
        </w:rPr>
        <w:t>将残疾代表和有具体需求</w:t>
      </w:r>
      <w:r>
        <w:rPr>
          <w:rFonts w:hint="eastAsia"/>
          <w:lang w:eastAsia="zh-CN"/>
        </w:rPr>
        <w:t>的</w:t>
      </w:r>
      <w:r w:rsidRPr="00656B86">
        <w:rPr>
          <w:rFonts w:hint="eastAsia"/>
          <w:lang w:eastAsia="zh-CN"/>
        </w:rPr>
        <w:t>代表纳入其中</w:t>
      </w:r>
      <w:r>
        <w:rPr>
          <w:rFonts w:hint="eastAsia"/>
          <w:lang w:eastAsia="zh-CN"/>
        </w:rPr>
        <w:t>的方式</w:t>
      </w:r>
      <w:r w:rsidRPr="00656B86">
        <w:rPr>
          <w:rFonts w:hint="eastAsia"/>
          <w:lang w:eastAsia="zh-CN"/>
        </w:rPr>
        <w:t>发放与会补贴。</w:t>
      </w:r>
    </w:p>
    <w:p w14:paraId="7DE8231A" w14:textId="77777777" w:rsidR="0032317B" w:rsidRPr="00016E09" w:rsidRDefault="0032317B" w:rsidP="0093628C">
      <w:pPr>
        <w:ind w:firstLineChars="200" w:firstLine="480"/>
        <w:rPr>
          <w:lang w:eastAsia="zh-CN"/>
        </w:rPr>
      </w:pPr>
      <w:r w:rsidRPr="00656B86">
        <w:rPr>
          <w:rFonts w:hint="eastAsia"/>
          <w:lang w:eastAsia="zh-CN"/>
        </w:rPr>
        <w:t>最后，墨西哥主管部门认为有必要保证</w:t>
      </w:r>
      <w:r>
        <w:rPr>
          <w:rFonts w:hint="eastAsia"/>
          <w:lang w:eastAsia="zh-CN"/>
        </w:rPr>
        <w:t>预算按区域进行</w:t>
      </w:r>
      <w:r w:rsidRPr="00656B86">
        <w:rPr>
          <w:rFonts w:hint="eastAsia"/>
          <w:lang w:eastAsia="zh-CN"/>
        </w:rPr>
        <w:t>更好的分配，因为分配给全球举措的资源比例最大，留给区域性举措和开展必要的相关活动的预算有限，包括为参加国际电联活动提供与会补贴。鉴于上述情况，墨西哥主管部门重申实施第</w:t>
      </w:r>
      <w:r w:rsidRPr="00656B86">
        <w:rPr>
          <w:rFonts w:hint="eastAsia"/>
          <w:lang w:eastAsia="zh-CN"/>
        </w:rPr>
        <w:t>213</w:t>
      </w:r>
      <w:r w:rsidRPr="00656B86">
        <w:rPr>
          <w:rFonts w:hint="eastAsia"/>
          <w:lang w:eastAsia="zh-CN"/>
        </w:rPr>
        <w:t>号决议（</w:t>
      </w:r>
      <w:r w:rsidRPr="00656B86">
        <w:rPr>
          <w:rFonts w:hint="eastAsia"/>
          <w:lang w:eastAsia="zh-CN"/>
        </w:rPr>
        <w:t>2018</w:t>
      </w:r>
      <w:r w:rsidRPr="00656B86">
        <w:rPr>
          <w:rFonts w:hint="eastAsia"/>
          <w:lang w:eastAsia="zh-CN"/>
        </w:rPr>
        <w:t>年，迪拜，修订版）和第</w:t>
      </w:r>
      <w:r w:rsidRPr="00656B86">
        <w:rPr>
          <w:rFonts w:hint="eastAsia"/>
          <w:lang w:eastAsia="zh-CN"/>
        </w:rPr>
        <w:t>25</w:t>
      </w:r>
      <w:r w:rsidRPr="00656B86">
        <w:rPr>
          <w:rFonts w:hint="eastAsia"/>
          <w:lang w:eastAsia="zh-CN"/>
        </w:rPr>
        <w:t>号决议（</w:t>
      </w:r>
      <w:r w:rsidRPr="00656B86">
        <w:rPr>
          <w:rFonts w:hint="eastAsia"/>
          <w:lang w:eastAsia="zh-CN"/>
        </w:rPr>
        <w:t>2022</w:t>
      </w:r>
      <w:r w:rsidRPr="00656B86">
        <w:rPr>
          <w:rFonts w:hint="eastAsia"/>
          <w:lang w:eastAsia="zh-CN"/>
        </w:rPr>
        <w:t>年，布加勒斯特，修订版）的重要性，并</w:t>
      </w:r>
      <w:r>
        <w:rPr>
          <w:rFonts w:hint="eastAsia"/>
          <w:lang w:eastAsia="zh-CN"/>
        </w:rPr>
        <w:t>请</w:t>
      </w:r>
      <w:r w:rsidRPr="00656B86">
        <w:rPr>
          <w:rFonts w:hint="eastAsia"/>
          <w:lang w:eastAsia="zh-CN"/>
        </w:rPr>
        <w:t>求：</w:t>
      </w:r>
    </w:p>
    <w:p w14:paraId="4D978C2A" w14:textId="77777777" w:rsidR="0032317B" w:rsidRPr="00016E09" w:rsidRDefault="0032317B" w:rsidP="0032317B">
      <w:pPr>
        <w:pStyle w:val="enumlev1"/>
        <w:rPr>
          <w:lang w:eastAsia="zh-CN"/>
        </w:rPr>
      </w:pPr>
      <w:r w:rsidRPr="00016E09">
        <w:rPr>
          <w:lang w:eastAsia="zh-CN"/>
        </w:rPr>
        <w:t>1</w:t>
      </w:r>
      <w:r>
        <w:rPr>
          <w:lang w:eastAsia="zh-CN"/>
        </w:rPr>
        <w:t>)</w:t>
      </w:r>
      <w:r w:rsidRPr="00016E09">
        <w:rPr>
          <w:lang w:eastAsia="zh-CN"/>
        </w:rPr>
        <w:tab/>
      </w:r>
      <w:r w:rsidRPr="00656B86">
        <w:rPr>
          <w:rFonts w:hint="eastAsia"/>
          <w:lang w:eastAsia="zh-CN"/>
        </w:rPr>
        <w:t>国际电联秘书处根据第</w:t>
      </w:r>
      <w:r w:rsidRPr="00656B86">
        <w:rPr>
          <w:rFonts w:hint="eastAsia"/>
          <w:lang w:eastAsia="zh-CN"/>
        </w:rPr>
        <w:t>213</w:t>
      </w:r>
      <w:r w:rsidRPr="00656B86">
        <w:rPr>
          <w:rFonts w:hint="eastAsia"/>
          <w:lang w:eastAsia="zh-CN"/>
        </w:rPr>
        <w:t>号决议（</w:t>
      </w:r>
      <w:r w:rsidRPr="00656B86">
        <w:rPr>
          <w:rFonts w:hint="eastAsia"/>
          <w:lang w:eastAsia="zh-CN"/>
        </w:rPr>
        <w:t>2018</w:t>
      </w:r>
      <w:r w:rsidRPr="00656B86">
        <w:rPr>
          <w:rFonts w:hint="eastAsia"/>
          <w:lang w:eastAsia="zh-CN"/>
        </w:rPr>
        <w:t>年，迪拜，修订版）</w:t>
      </w:r>
      <w:r w:rsidRPr="009C74B5">
        <w:rPr>
          <w:rFonts w:ascii="STKaiti" w:eastAsia="STKaiti" w:hAnsi="STKaiti" w:hint="eastAsia"/>
          <w:lang w:eastAsia="zh-CN"/>
        </w:rPr>
        <w:t>做出决议</w:t>
      </w:r>
      <w:r w:rsidRPr="00656B86">
        <w:rPr>
          <w:rFonts w:hint="eastAsia"/>
          <w:lang w:eastAsia="zh-CN"/>
        </w:rPr>
        <w:t>2</w:t>
      </w:r>
      <w:r w:rsidRPr="00656B86">
        <w:rPr>
          <w:rFonts w:hint="eastAsia"/>
          <w:lang w:eastAsia="zh-CN"/>
        </w:rPr>
        <w:t>，确保以公平透明的方式</w:t>
      </w:r>
      <w:r>
        <w:rPr>
          <w:rFonts w:hint="eastAsia"/>
          <w:lang w:eastAsia="zh-CN"/>
        </w:rPr>
        <w:t>发放</w:t>
      </w:r>
      <w:r w:rsidRPr="00656B86">
        <w:rPr>
          <w:rFonts w:hint="eastAsia"/>
          <w:lang w:eastAsia="zh-CN"/>
        </w:rPr>
        <w:t>与会补贴，以保持地域分配</w:t>
      </w:r>
      <w:r>
        <w:rPr>
          <w:rFonts w:hint="eastAsia"/>
          <w:lang w:eastAsia="zh-CN"/>
        </w:rPr>
        <w:t>的公平性</w:t>
      </w:r>
      <w:r w:rsidRPr="00656B86">
        <w:rPr>
          <w:rFonts w:hint="eastAsia"/>
          <w:lang w:eastAsia="zh-CN"/>
        </w:rPr>
        <w:t>、性别平衡</w:t>
      </w:r>
      <w:r>
        <w:rPr>
          <w:rFonts w:hint="eastAsia"/>
          <w:lang w:eastAsia="zh-CN"/>
        </w:rPr>
        <w:t>和</w:t>
      </w:r>
      <w:r w:rsidRPr="00656B86">
        <w:rPr>
          <w:rFonts w:hint="eastAsia"/>
          <w:lang w:eastAsia="zh-CN"/>
        </w:rPr>
        <w:t>对残疾</w:t>
      </w:r>
      <w:r>
        <w:rPr>
          <w:rFonts w:hint="eastAsia"/>
          <w:lang w:eastAsia="zh-CN"/>
        </w:rPr>
        <w:t>代表</w:t>
      </w:r>
      <w:r w:rsidRPr="00656B86">
        <w:rPr>
          <w:rFonts w:hint="eastAsia"/>
          <w:lang w:eastAsia="zh-CN"/>
        </w:rPr>
        <w:t>和有具体需求</w:t>
      </w:r>
      <w:r>
        <w:rPr>
          <w:rFonts w:hint="eastAsia"/>
          <w:lang w:eastAsia="zh-CN"/>
        </w:rPr>
        <w:t>的</w:t>
      </w:r>
      <w:r w:rsidRPr="00656B86">
        <w:rPr>
          <w:rFonts w:hint="eastAsia"/>
          <w:lang w:eastAsia="zh-CN"/>
        </w:rPr>
        <w:t>代表</w:t>
      </w:r>
      <w:r>
        <w:rPr>
          <w:rFonts w:hint="eastAsia"/>
          <w:lang w:eastAsia="zh-CN"/>
        </w:rPr>
        <w:t>的</w:t>
      </w:r>
      <w:r w:rsidRPr="00656B86">
        <w:rPr>
          <w:rFonts w:hint="eastAsia"/>
          <w:lang w:eastAsia="zh-CN"/>
        </w:rPr>
        <w:t>包容</w:t>
      </w:r>
      <w:r>
        <w:rPr>
          <w:rFonts w:hint="eastAsia"/>
          <w:lang w:eastAsia="zh-CN"/>
        </w:rPr>
        <w:t>性；</w:t>
      </w:r>
    </w:p>
    <w:p w14:paraId="49E8FA81" w14:textId="77777777" w:rsidR="0032317B" w:rsidRPr="00016E09" w:rsidRDefault="0032317B" w:rsidP="0032317B">
      <w:pPr>
        <w:pStyle w:val="enumlev1"/>
        <w:rPr>
          <w:lang w:eastAsia="zh-CN"/>
        </w:rPr>
      </w:pPr>
      <w:r w:rsidRPr="00016E09">
        <w:rPr>
          <w:lang w:eastAsia="zh-CN"/>
        </w:rPr>
        <w:t>2</w:t>
      </w:r>
      <w:r>
        <w:rPr>
          <w:lang w:eastAsia="zh-CN"/>
        </w:rPr>
        <w:t>)</w:t>
      </w:r>
      <w:r w:rsidRPr="00016E09">
        <w:rPr>
          <w:lang w:eastAsia="zh-CN"/>
        </w:rPr>
        <w:tab/>
      </w:r>
      <w:r w:rsidRPr="00656B86">
        <w:rPr>
          <w:rFonts w:hint="eastAsia"/>
          <w:lang w:eastAsia="zh-CN"/>
        </w:rPr>
        <w:t>国际电联秘书处报告在确定</w:t>
      </w:r>
      <w:r>
        <w:rPr>
          <w:rFonts w:hint="eastAsia"/>
          <w:lang w:eastAsia="zh-CN"/>
        </w:rPr>
        <w:t>划拨给</w:t>
      </w:r>
      <w:r w:rsidRPr="00656B86">
        <w:rPr>
          <w:rFonts w:hint="eastAsia"/>
          <w:lang w:eastAsia="zh-CN"/>
        </w:rPr>
        <w:t>与会补贴</w:t>
      </w:r>
      <w:r>
        <w:rPr>
          <w:rFonts w:hint="eastAsia"/>
          <w:lang w:eastAsia="zh-CN"/>
        </w:rPr>
        <w:t>的</w:t>
      </w:r>
      <w:r w:rsidRPr="00656B86">
        <w:rPr>
          <w:rFonts w:hint="eastAsia"/>
          <w:lang w:eastAsia="zh-CN"/>
        </w:rPr>
        <w:t>预算、如何</w:t>
      </w:r>
      <w:r>
        <w:rPr>
          <w:rFonts w:hint="eastAsia"/>
          <w:lang w:eastAsia="zh-CN"/>
        </w:rPr>
        <w:t>按区域</w:t>
      </w:r>
      <w:r w:rsidRPr="00656B86">
        <w:rPr>
          <w:rFonts w:hint="eastAsia"/>
          <w:lang w:eastAsia="zh-CN"/>
        </w:rPr>
        <w:t>分配与会补贴以及</w:t>
      </w:r>
      <w:r>
        <w:rPr>
          <w:rFonts w:hint="eastAsia"/>
          <w:lang w:eastAsia="zh-CN"/>
        </w:rPr>
        <w:t>如何按</w:t>
      </w:r>
      <w:r w:rsidRPr="00656B86">
        <w:rPr>
          <w:rFonts w:hint="eastAsia"/>
          <w:lang w:eastAsia="zh-CN"/>
        </w:rPr>
        <w:t>国</w:t>
      </w:r>
      <w:r>
        <w:rPr>
          <w:rFonts w:hint="eastAsia"/>
          <w:lang w:eastAsia="zh-CN"/>
        </w:rPr>
        <w:t>家</w:t>
      </w:r>
      <w:r w:rsidRPr="00656B86">
        <w:rPr>
          <w:rFonts w:hint="eastAsia"/>
          <w:lang w:eastAsia="zh-CN"/>
        </w:rPr>
        <w:t>分配与会补贴时考虑的导则。</w:t>
      </w:r>
    </w:p>
    <w:p w14:paraId="09DEF923" w14:textId="40402ED9" w:rsidR="0032317B" w:rsidRPr="00016E09" w:rsidRDefault="0032317B" w:rsidP="0032317B">
      <w:pPr>
        <w:pStyle w:val="enumlev1"/>
        <w:rPr>
          <w:lang w:eastAsia="zh-CN"/>
        </w:rPr>
      </w:pPr>
      <w:r w:rsidRPr="00016E09">
        <w:rPr>
          <w:lang w:eastAsia="zh-CN"/>
        </w:rPr>
        <w:t>3</w:t>
      </w:r>
      <w:r>
        <w:rPr>
          <w:lang w:eastAsia="zh-CN"/>
        </w:rPr>
        <w:t>)</w:t>
      </w:r>
      <w:r w:rsidRPr="00016E09">
        <w:rPr>
          <w:lang w:eastAsia="zh-CN"/>
        </w:rPr>
        <w:tab/>
      </w:r>
      <w:r w:rsidRPr="00656B86">
        <w:rPr>
          <w:rFonts w:hint="eastAsia"/>
          <w:lang w:eastAsia="zh-CN"/>
        </w:rPr>
        <w:t>国际电联秘书处</w:t>
      </w:r>
      <w:r>
        <w:rPr>
          <w:rFonts w:hint="eastAsia"/>
          <w:lang w:eastAsia="zh-CN"/>
        </w:rPr>
        <w:t>提供关于下列内容的信息：收到的来自</w:t>
      </w:r>
      <w:r w:rsidRPr="00656B86">
        <w:rPr>
          <w:rFonts w:hint="eastAsia"/>
          <w:lang w:eastAsia="zh-CN"/>
        </w:rPr>
        <w:t>每个区域或国家的与会补贴申请数量、</w:t>
      </w:r>
      <w:r>
        <w:rPr>
          <w:rFonts w:hint="eastAsia"/>
          <w:lang w:eastAsia="zh-CN"/>
        </w:rPr>
        <w:t>发放</w:t>
      </w:r>
      <w:r w:rsidRPr="00656B86">
        <w:rPr>
          <w:rFonts w:hint="eastAsia"/>
          <w:lang w:eastAsia="zh-CN"/>
        </w:rPr>
        <w:t>和拒绝的数量、发放给男性和女性</w:t>
      </w:r>
      <w:r>
        <w:rPr>
          <w:rFonts w:hint="eastAsia"/>
          <w:lang w:eastAsia="zh-CN"/>
        </w:rPr>
        <w:t>的</w:t>
      </w:r>
      <w:r w:rsidRPr="00656B86">
        <w:rPr>
          <w:rFonts w:hint="eastAsia"/>
          <w:lang w:eastAsia="zh-CN"/>
        </w:rPr>
        <w:t>与会补贴</w:t>
      </w:r>
      <w:r>
        <w:rPr>
          <w:rFonts w:hint="eastAsia"/>
          <w:lang w:eastAsia="zh-CN"/>
        </w:rPr>
        <w:t>比例，</w:t>
      </w:r>
      <w:r w:rsidRPr="00656B86">
        <w:rPr>
          <w:rFonts w:hint="eastAsia"/>
          <w:lang w:eastAsia="zh-CN"/>
        </w:rPr>
        <w:t>以及发放给残疾人或有具体需求的人士的与会补贴</w:t>
      </w:r>
      <w:r>
        <w:rPr>
          <w:rFonts w:hint="eastAsia"/>
          <w:lang w:eastAsia="zh-CN"/>
        </w:rPr>
        <w:t>比例</w:t>
      </w:r>
      <w:r w:rsidRPr="00656B86">
        <w:rPr>
          <w:rFonts w:hint="eastAsia"/>
          <w:lang w:eastAsia="zh-CN"/>
        </w:rPr>
        <w:t>，以便确定</w:t>
      </w:r>
      <w:r>
        <w:rPr>
          <w:rFonts w:hint="eastAsia"/>
          <w:lang w:eastAsia="zh-CN"/>
        </w:rPr>
        <w:t>为提高</w:t>
      </w:r>
      <w:r w:rsidRPr="00656B86">
        <w:rPr>
          <w:rFonts w:hint="eastAsia"/>
          <w:lang w:eastAsia="zh-CN"/>
        </w:rPr>
        <w:t>地域分配</w:t>
      </w:r>
      <w:r>
        <w:rPr>
          <w:rFonts w:hint="eastAsia"/>
          <w:lang w:eastAsia="zh-CN"/>
        </w:rPr>
        <w:t>的公平性、</w:t>
      </w:r>
      <w:r w:rsidRPr="00656B86">
        <w:rPr>
          <w:rFonts w:hint="eastAsia"/>
          <w:lang w:eastAsia="zh-CN"/>
        </w:rPr>
        <w:t>性别平衡和</w:t>
      </w:r>
      <w:r>
        <w:rPr>
          <w:rFonts w:hint="eastAsia"/>
          <w:lang w:eastAsia="zh-CN"/>
        </w:rPr>
        <w:t>对</w:t>
      </w:r>
      <w:r w:rsidRPr="00656B86">
        <w:rPr>
          <w:rFonts w:hint="eastAsia"/>
          <w:lang w:eastAsia="zh-CN"/>
        </w:rPr>
        <w:t>残疾人的包容</w:t>
      </w:r>
      <w:r>
        <w:rPr>
          <w:rFonts w:hint="eastAsia"/>
          <w:lang w:eastAsia="zh-CN"/>
        </w:rPr>
        <w:t>性而</w:t>
      </w:r>
      <w:r w:rsidRPr="00656B86">
        <w:rPr>
          <w:rFonts w:hint="eastAsia"/>
          <w:lang w:eastAsia="zh-CN"/>
        </w:rPr>
        <w:t>需要解决的问题，分析和确定有助于确保</w:t>
      </w:r>
      <w:r>
        <w:rPr>
          <w:rFonts w:hint="eastAsia"/>
          <w:lang w:eastAsia="zh-CN"/>
        </w:rPr>
        <w:t>与会补贴的发放保持</w:t>
      </w:r>
      <w:r w:rsidRPr="00656B86">
        <w:rPr>
          <w:rFonts w:hint="eastAsia"/>
          <w:lang w:eastAsia="zh-CN"/>
        </w:rPr>
        <w:t>国家间</w:t>
      </w:r>
      <w:r>
        <w:rPr>
          <w:rFonts w:hint="eastAsia"/>
          <w:lang w:eastAsia="zh-CN"/>
        </w:rPr>
        <w:t>的</w:t>
      </w:r>
      <w:r w:rsidRPr="00656B86">
        <w:rPr>
          <w:rFonts w:hint="eastAsia"/>
          <w:lang w:eastAsia="zh-CN"/>
        </w:rPr>
        <w:t>公平</w:t>
      </w:r>
      <w:r>
        <w:rPr>
          <w:rFonts w:hint="eastAsia"/>
          <w:lang w:eastAsia="zh-CN"/>
        </w:rPr>
        <w:t>性</w:t>
      </w:r>
      <w:r w:rsidRPr="00656B86">
        <w:rPr>
          <w:rFonts w:hint="eastAsia"/>
          <w:lang w:eastAsia="zh-CN"/>
        </w:rPr>
        <w:t>、性别</w:t>
      </w:r>
      <w:r>
        <w:rPr>
          <w:rFonts w:hint="eastAsia"/>
          <w:lang w:eastAsia="zh-CN"/>
        </w:rPr>
        <w:t>上的</w:t>
      </w:r>
      <w:r w:rsidRPr="00656B86">
        <w:rPr>
          <w:rFonts w:hint="eastAsia"/>
          <w:lang w:eastAsia="zh-CN"/>
        </w:rPr>
        <w:t>平衡</w:t>
      </w:r>
      <w:r>
        <w:rPr>
          <w:rFonts w:hint="eastAsia"/>
          <w:lang w:eastAsia="zh-CN"/>
        </w:rPr>
        <w:t>性</w:t>
      </w:r>
      <w:r w:rsidRPr="00656B86">
        <w:rPr>
          <w:rFonts w:hint="eastAsia"/>
          <w:lang w:eastAsia="zh-CN"/>
        </w:rPr>
        <w:t>和</w:t>
      </w:r>
      <w:r>
        <w:rPr>
          <w:rFonts w:hint="eastAsia"/>
          <w:lang w:eastAsia="zh-CN"/>
        </w:rPr>
        <w:t>对</w:t>
      </w:r>
      <w:r w:rsidRPr="00656B86">
        <w:rPr>
          <w:rFonts w:hint="eastAsia"/>
          <w:lang w:eastAsia="zh-CN"/>
        </w:rPr>
        <w:t>残疾人</w:t>
      </w:r>
      <w:r>
        <w:rPr>
          <w:rFonts w:hint="eastAsia"/>
          <w:lang w:eastAsia="zh-CN"/>
        </w:rPr>
        <w:t>的包容性</w:t>
      </w:r>
      <w:r w:rsidRPr="00656B86">
        <w:rPr>
          <w:rFonts w:hint="eastAsia"/>
          <w:lang w:eastAsia="zh-CN"/>
        </w:rPr>
        <w:t>的各种因素。</w:t>
      </w:r>
    </w:p>
    <w:p w14:paraId="4A087820" w14:textId="77777777" w:rsidR="0032317B" w:rsidRPr="00016E09" w:rsidRDefault="0032317B" w:rsidP="0032317B">
      <w:pPr>
        <w:pStyle w:val="enumlev1"/>
        <w:rPr>
          <w:lang w:eastAsia="zh-CN"/>
        </w:rPr>
      </w:pPr>
      <w:r w:rsidRPr="00016E09">
        <w:rPr>
          <w:lang w:eastAsia="zh-CN"/>
        </w:rPr>
        <w:t>4</w:t>
      </w:r>
      <w:r>
        <w:rPr>
          <w:lang w:eastAsia="zh-CN"/>
        </w:rPr>
        <w:t>)</w:t>
      </w:r>
      <w:r w:rsidRPr="00016E09">
        <w:rPr>
          <w:lang w:eastAsia="zh-CN"/>
        </w:rPr>
        <w:tab/>
      </w:r>
      <w:r w:rsidRPr="00656B86">
        <w:rPr>
          <w:rFonts w:hint="eastAsia"/>
          <w:lang w:eastAsia="zh-CN"/>
        </w:rPr>
        <w:t>国际电联秘书处</w:t>
      </w:r>
      <w:r>
        <w:rPr>
          <w:rFonts w:hint="eastAsia"/>
          <w:lang w:eastAsia="zh-CN"/>
        </w:rPr>
        <w:t>分析</w:t>
      </w:r>
      <w:r w:rsidRPr="00656B86">
        <w:rPr>
          <w:rFonts w:hint="eastAsia"/>
          <w:lang w:eastAsia="zh-CN"/>
        </w:rPr>
        <w:t>与会补贴</w:t>
      </w:r>
      <w:r>
        <w:rPr>
          <w:rFonts w:hint="eastAsia"/>
          <w:lang w:eastAsia="zh-CN"/>
        </w:rPr>
        <w:t>的</w:t>
      </w:r>
      <w:r w:rsidRPr="00656B86">
        <w:rPr>
          <w:rFonts w:hint="eastAsia"/>
          <w:lang w:eastAsia="zh-CN"/>
        </w:rPr>
        <w:t>申请程序并与成员国磋商，以便确定他们是否认为该程序</w:t>
      </w:r>
      <w:r>
        <w:rPr>
          <w:rFonts w:hint="eastAsia"/>
          <w:lang w:eastAsia="zh-CN"/>
        </w:rPr>
        <w:t>较为</w:t>
      </w:r>
      <w:r w:rsidRPr="00656B86">
        <w:rPr>
          <w:rFonts w:hint="eastAsia"/>
          <w:lang w:eastAsia="zh-CN"/>
        </w:rPr>
        <w:t>困难或无法实施，并在必要时分析现有格式和程序的可能改进。</w:t>
      </w:r>
    </w:p>
    <w:p w14:paraId="47423B58" w14:textId="77777777" w:rsidR="0093628C" w:rsidRDefault="0093628C" w:rsidP="00411C49">
      <w:pPr>
        <w:pStyle w:val="Reasons"/>
        <w:rPr>
          <w:lang w:eastAsia="zh-CN"/>
        </w:rPr>
      </w:pPr>
    </w:p>
    <w:p w14:paraId="52EB73A3" w14:textId="77777777" w:rsidR="0093628C" w:rsidRDefault="0093628C">
      <w:pPr>
        <w:jc w:val="center"/>
      </w:pPr>
      <w:r>
        <w:t>______________</w:t>
      </w:r>
    </w:p>
    <w:sectPr w:rsidR="0093628C" w:rsidSect="00E24D59">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5454FF3B" w:rsidR="00E24D59" w:rsidRDefault="00E24D59" w:rsidP="00E24D59">
          <w:pPr>
            <w:pStyle w:val="Header"/>
            <w:jc w:val="left"/>
            <w:rPr>
              <w:noProof/>
            </w:rPr>
          </w:pPr>
        </w:p>
      </w:tc>
      <w:tc>
        <w:tcPr>
          <w:tcW w:w="8261" w:type="dxa"/>
        </w:tcPr>
        <w:p w14:paraId="128C249C" w14:textId="18A0FCC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6006CD">
            <w:rPr>
              <w:bCs/>
            </w:rPr>
            <w:t>100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25950FE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6006CD">
            <w:rPr>
              <w:bCs/>
            </w:rPr>
            <w:t>100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2"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793D604C"/>
    <w:multiLevelType w:val="hybridMultilevel"/>
    <w:tmpl w:val="4FAE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7"/>
  </w:num>
  <w:num w:numId="5" w16cid:durableId="2033219779">
    <w:abstractNumId w:val="9"/>
  </w:num>
  <w:num w:numId="6" w16cid:durableId="349645790">
    <w:abstractNumId w:val="8"/>
  </w:num>
  <w:num w:numId="7" w16cid:durableId="1451586466">
    <w:abstractNumId w:val="3"/>
  </w:num>
  <w:num w:numId="8" w16cid:durableId="708533826">
    <w:abstractNumId w:val="11"/>
    <w:lvlOverride w:ilvl="0">
      <w:lvl w:ilvl="0" w:tplc="08090017">
        <w:start w:val="1"/>
        <w:numFmt w:val="lowerLetter"/>
        <w:lvlText w:val="%1)"/>
        <w:lvlJc w:val="left"/>
        <w:pPr>
          <w:ind w:left="720" w:hanging="360"/>
        </w:pPr>
        <w:rPr>
          <w:rFonts w:hint="default"/>
        </w:rPr>
      </w:lvl>
    </w:lvlOverride>
  </w:num>
  <w:num w:numId="9" w16cid:durableId="2112315746">
    <w:abstractNumId w:val="1"/>
    <w:lvlOverride w:ilvl="2">
      <w:lvl w:ilvl="2">
        <w:start w:val="1"/>
        <w:numFmt w:val="decimal"/>
        <w:lvlText w:val="%1.%2.%3."/>
        <w:lvlJc w:val="left"/>
        <w:pPr>
          <w:ind w:left="720" w:hanging="720"/>
        </w:pPr>
        <w:rPr>
          <w:rFonts w:ascii="Calibri" w:eastAsia="SimSun" w:hAnsi="Calibri" w:cs="Calibri" w:hint="default"/>
        </w:rPr>
      </w:lvl>
    </w:lvlOverride>
  </w:num>
  <w:num w:numId="10" w16cid:durableId="1262491437">
    <w:abstractNumId w:val="10"/>
    <w:lvlOverride w:ilvl="0">
      <w:lvl w:ilvl="0" w:tplc="08090001">
        <w:start w:val="1"/>
        <w:numFmt w:val="bullet"/>
        <w:lvlText w:val=""/>
        <w:lvlJc w:val="left"/>
        <w:pPr>
          <w:ind w:left="1065" w:hanging="360"/>
        </w:pPr>
        <w:rPr>
          <w:rFonts w:ascii="Symbol" w:hAnsi="Symbol" w:hint="default"/>
        </w:rPr>
      </w:lvl>
    </w:lvlOverride>
  </w:num>
  <w:num w:numId="11" w16cid:durableId="1397321369">
    <w:abstractNumId w:val="2"/>
    <w:lvlOverride w:ilvl="0">
      <w:lvl w:ilvl="0" w:tplc="FB66012C">
        <w:start w:val="2"/>
        <w:numFmt w:val="bullet"/>
        <w:lvlText w:val="-"/>
        <w:lvlJc w:val="left"/>
        <w:pPr>
          <w:ind w:left="720" w:hanging="360"/>
        </w:pPr>
        <w:rPr>
          <w:rFonts w:ascii="Calibri" w:eastAsia="Times New Roman" w:hAnsi="Calibri" w:cs="Calibri" w:hint="default"/>
        </w:rPr>
      </w:lvl>
    </w:lvlOverride>
  </w:num>
  <w:num w:numId="12" w16cid:durableId="351877986">
    <w:abstractNumId w:val="4"/>
    <w:lvlOverride w:ilvl="0">
      <w:lvl w:ilvl="0" w:tplc="08090001">
        <w:start w:val="1"/>
        <w:numFmt w:val="bullet"/>
        <w:lvlText w:val=""/>
        <w:lvlJc w:val="left"/>
        <w:pPr>
          <w:ind w:left="1069"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0E4045"/>
    <w:rsid w:val="00100D84"/>
    <w:rsid w:val="00124C9D"/>
    <w:rsid w:val="00157773"/>
    <w:rsid w:val="0018251A"/>
    <w:rsid w:val="00190272"/>
    <w:rsid w:val="00193244"/>
    <w:rsid w:val="00195C6C"/>
    <w:rsid w:val="00195FED"/>
    <w:rsid w:val="001A4BD6"/>
    <w:rsid w:val="001D503F"/>
    <w:rsid w:val="001D5A18"/>
    <w:rsid w:val="00224449"/>
    <w:rsid w:val="00280EB8"/>
    <w:rsid w:val="002A6670"/>
    <w:rsid w:val="002D4DE9"/>
    <w:rsid w:val="002E71C9"/>
    <w:rsid w:val="00303502"/>
    <w:rsid w:val="003069DE"/>
    <w:rsid w:val="0032317B"/>
    <w:rsid w:val="00325C25"/>
    <w:rsid w:val="00372C8F"/>
    <w:rsid w:val="00380ECE"/>
    <w:rsid w:val="00393DDF"/>
    <w:rsid w:val="00397F55"/>
    <w:rsid w:val="003B4202"/>
    <w:rsid w:val="003B4454"/>
    <w:rsid w:val="003C2E37"/>
    <w:rsid w:val="003F1415"/>
    <w:rsid w:val="0040144C"/>
    <w:rsid w:val="00403EB7"/>
    <w:rsid w:val="00430BF0"/>
    <w:rsid w:val="00442621"/>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006CD"/>
    <w:rsid w:val="00630DD5"/>
    <w:rsid w:val="00654257"/>
    <w:rsid w:val="0065435A"/>
    <w:rsid w:val="006A2DD3"/>
    <w:rsid w:val="006A5AF8"/>
    <w:rsid w:val="006C36CD"/>
    <w:rsid w:val="006E0E42"/>
    <w:rsid w:val="00700D1F"/>
    <w:rsid w:val="007205CB"/>
    <w:rsid w:val="00726073"/>
    <w:rsid w:val="00734FE8"/>
    <w:rsid w:val="007360CE"/>
    <w:rsid w:val="0076342D"/>
    <w:rsid w:val="00772315"/>
    <w:rsid w:val="00775157"/>
    <w:rsid w:val="007813AE"/>
    <w:rsid w:val="007A2C3A"/>
    <w:rsid w:val="007A37DB"/>
    <w:rsid w:val="007E189D"/>
    <w:rsid w:val="007F0210"/>
    <w:rsid w:val="00806E1F"/>
    <w:rsid w:val="00806E3F"/>
    <w:rsid w:val="00811259"/>
    <w:rsid w:val="00813AA2"/>
    <w:rsid w:val="008173A3"/>
    <w:rsid w:val="008418F5"/>
    <w:rsid w:val="0086059C"/>
    <w:rsid w:val="00864589"/>
    <w:rsid w:val="00874C82"/>
    <w:rsid w:val="00890AFB"/>
    <w:rsid w:val="00890FC4"/>
    <w:rsid w:val="00895905"/>
    <w:rsid w:val="008D70D2"/>
    <w:rsid w:val="008F64AD"/>
    <w:rsid w:val="00911867"/>
    <w:rsid w:val="009164A9"/>
    <w:rsid w:val="009258CB"/>
    <w:rsid w:val="0093362E"/>
    <w:rsid w:val="0093628C"/>
    <w:rsid w:val="00944563"/>
    <w:rsid w:val="00944FD4"/>
    <w:rsid w:val="00953160"/>
    <w:rsid w:val="009625D8"/>
    <w:rsid w:val="00977363"/>
    <w:rsid w:val="0098459B"/>
    <w:rsid w:val="00997185"/>
    <w:rsid w:val="009C2458"/>
    <w:rsid w:val="009C4A7B"/>
    <w:rsid w:val="009C6123"/>
    <w:rsid w:val="009F1E3E"/>
    <w:rsid w:val="00A1213C"/>
    <w:rsid w:val="00A272FF"/>
    <w:rsid w:val="00A5354B"/>
    <w:rsid w:val="00A71B57"/>
    <w:rsid w:val="00AB42C1"/>
    <w:rsid w:val="00AC4BF8"/>
    <w:rsid w:val="00AC516F"/>
    <w:rsid w:val="00AE195F"/>
    <w:rsid w:val="00AE2926"/>
    <w:rsid w:val="00B0184B"/>
    <w:rsid w:val="00B035CD"/>
    <w:rsid w:val="00B0769D"/>
    <w:rsid w:val="00B217F8"/>
    <w:rsid w:val="00B332EA"/>
    <w:rsid w:val="00B40A53"/>
    <w:rsid w:val="00B45365"/>
    <w:rsid w:val="00B46A65"/>
    <w:rsid w:val="00B60184"/>
    <w:rsid w:val="00B61A64"/>
    <w:rsid w:val="00B62D20"/>
    <w:rsid w:val="00B81E75"/>
    <w:rsid w:val="00B93453"/>
    <w:rsid w:val="00BD0954"/>
    <w:rsid w:val="00BD1A5A"/>
    <w:rsid w:val="00BD7A9B"/>
    <w:rsid w:val="00BD7BE1"/>
    <w:rsid w:val="00BF416B"/>
    <w:rsid w:val="00C45EB2"/>
    <w:rsid w:val="00C46320"/>
    <w:rsid w:val="00C64E4E"/>
    <w:rsid w:val="00C66E64"/>
    <w:rsid w:val="00C761A0"/>
    <w:rsid w:val="00C85F7E"/>
    <w:rsid w:val="00C8774B"/>
    <w:rsid w:val="00C90D53"/>
    <w:rsid w:val="00CA0B2E"/>
    <w:rsid w:val="00CA6EF7"/>
    <w:rsid w:val="00CD47F0"/>
    <w:rsid w:val="00CD5566"/>
    <w:rsid w:val="00CD64D7"/>
    <w:rsid w:val="00CE054A"/>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DF6C89"/>
    <w:rsid w:val="00E01F27"/>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26C4"/>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01F27"/>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94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e.pdf" TargetMode="External"/><Relationship Id="rId13" Type="http://schemas.openxmlformats.org/officeDocument/2006/relationships/hyperlink" Target="https://www.itu.int/md/D22-TDAG31-C-0012/en" TargetMode="External"/><Relationship Id="rId18" Type="http://schemas.openxmlformats.org/officeDocument/2006/relationships/hyperlink" Target="https://www.itu.int/md/D22-TDAG31-C-0012/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3-CL-INF-0007/en" TargetMode="External"/><Relationship Id="rId17" Type="http://schemas.openxmlformats.org/officeDocument/2006/relationships/hyperlink" Target="https://www.itu.int/md/S23-CL-INF-0007/en" TargetMode="External"/><Relationship Id="rId2" Type="http://schemas.openxmlformats.org/officeDocument/2006/relationships/numbering" Target="numbering.xml"/><Relationship Id="rId16" Type="http://schemas.openxmlformats.org/officeDocument/2006/relationships/hyperlink" Target="https://www.itu.int/md/S23-CL-C-002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25/en" TargetMode="External"/><Relationship Id="rId5" Type="http://schemas.openxmlformats.org/officeDocument/2006/relationships/webSettings" Target="webSettings.xml"/><Relationship Id="rId15" Type="http://schemas.openxmlformats.org/officeDocument/2006/relationships/hyperlink" Target="https://www.itu.int/en/fellowships/Documents/2021/SO_21-02_E.pdf" TargetMode="External"/><Relationship Id="rId23" Type="http://schemas.openxmlformats.org/officeDocument/2006/relationships/theme" Target="theme/theme1.xml"/><Relationship Id="rId10" Type="http://schemas.openxmlformats.org/officeDocument/2006/relationships/hyperlink" Target="https://www.itu.int/md/S24-CL-C-0025/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2023/RES-213-e.pdf" TargetMode="External"/><Relationship Id="rId14" Type="http://schemas.openxmlformats.org/officeDocument/2006/relationships/hyperlink" Target="https://www.itu.int/md/S20-CL-C-0050/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2</TotalTime>
  <Pages>3</Pages>
  <Words>2277</Words>
  <Characters>1002</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Hui, Litao</cp:lastModifiedBy>
  <cp:revision>3</cp:revision>
  <cp:lastPrinted>2015-02-24T13:23:00Z</cp:lastPrinted>
  <dcterms:created xsi:type="dcterms:W3CDTF">2024-06-05T13:00:00Z</dcterms:created>
  <dcterms:modified xsi:type="dcterms:W3CDTF">2024-06-05T13:01:00Z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