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1776D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2CADE662" w:rsidR="00796BD3" w:rsidRPr="00E1776D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1776D">
              <w:rPr>
                <w:b/>
              </w:rPr>
              <w:t>Пункт повестки дня:</w:t>
            </w:r>
            <w:r w:rsidR="003B4430" w:rsidRPr="00E1776D">
              <w:rPr>
                <w:b/>
                <w:bCs/>
              </w:rPr>
              <w:t xml:space="preserve"> PL 2</w:t>
            </w:r>
          </w:p>
        </w:tc>
        <w:tc>
          <w:tcPr>
            <w:tcW w:w="5245" w:type="dxa"/>
          </w:tcPr>
          <w:p w14:paraId="6297DF48" w14:textId="5541ECB6" w:rsidR="00796BD3" w:rsidRPr="00E1776D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1776D">
              <w:rPr>
                <w:b/>
              </w:rPr>
              <w:t xml:space="preserve">Документ </w:t>
            </w:r>
            <w:r w:rsidR="00796BD3" w:rsidRPr="00E1776D">
              <w:rPr>
                <w:b/>
              </w:rPr>
              <w:t>C2</w:t>
            </w:r>
            <w:r w:rsidR="00660449" w:rsidRPr="00E1776D">
              <w:rPr>
                <w:b/>
              </w:rPr>
              <w:t>4</w:t>
            </w:r>
            <w:r w:rsidR="00796BD3" w:rsidRPr="00E1776D">
              <w:rPr>
                <w:b/>
              </w:rPr>
              <w:t>/</w:t>
            </w:r>
            <w:r w:rsidR="003B4430" w:rsidRPr="00E1776D">
              <w:rPr>
                <w:b/>
              </w:rPr>
              <w:t>103</w:t>
            </w:r>
            <w:r w:rsidR="00796BD3" w:rsidRPr="00E1776D">
              <w:rPr>
                <w:b/>
              </w:rPr>
              <w:t>-R</w:t>
            </w:r>
          </w:p>
        </w:tc>
      </w:tr>
      <w:tr w:rsidR="00796BD3" w:rsidRPr="00E1776D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E1776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076662FA" w:rsidR="00796BD3" w:rsidRPr="00E1776D" w:rsidRDefault="003B4430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1776D">
              <w:rPr>
                <w:b/>
              </w:rPr>
              <w:t>21 мая</w:t>
            </w:r>
            <w:r w:rsidR="00796BD3" w:rsidRPr="00E1776D">
              <w:rPr>
                <w:b/>
              </w:rPr>
              <w:t xml:space="preserve"> 202</w:t>
            </w:r>
            <w:r w:rsidR="00660449" w:rsidRPr="00E1776D">
              <w:rPr>
                <w:b/>
              </w:rPr>
              <w:t>4</w:t>
            </w:r>
            <w:r w:rsidRPr="00E1776D">
              <w:rPr>
                <w:b/>
              </w:rPr>
              <w:t xml:space="preserve"> года</w:t>
            </w:r>
          </w:p>
        </w:tc>
      </w:tr>
      <w:tr w:rsidR="00796BD3" w:rsidRPr="00E1776D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E1776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08D9D3F4" w:rsidR="00796BD3" w:rsidRPr="00E1776D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1776D">
              <w:rPr>
                <w:b/>
              </w:rPr>
              <w:t xml:space="preserve">Оригинал: </w:t>
            </w:r>
            <w:r w:rsidR="00E328FD" w:rsidRPr="00E1776D">
              <w:rPr>
                <w:b/>
              </w:rPr>
              <w:t>арабский/</w:t>
            </w:r>
            <w:r w:rsidRPr="00E1776D">
              <w:rPr>
                <w:b/>
              </w:rPr>
              <w:t>английский</w:t>
            </w:r>
          </w:p>
        </w:tc>
      </w:tr>
      <w:tr w:rsidR="00796BD3" w:rsidRPr="00E1776D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09CB5837" w:rsidR="00796BD3" w:rsidRPr="00E1776D" w:rsidRDefault="003B4430" w:rsidP="00685322">
            <w:pPr>
              <w:pStyle w:val="Source"/>
              <w:spacing w:before="240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E1776D">
              <w:rPr>
                <w:rFonts w:cstheme="minorHAnsi"/>
                <w:sz w:val="32"/>
                <w:szCs w:val="32"/>
              </w:rPr>
              <w:t>Вклад Саудовской Аравии (Королевства)</w:t>
            </w:r>
            <w:r w:rsidR="00A26731" w:rsidRPr="00E1776D">
              <w:rPr>
                <w:rFonts w:cstheme="minorHAnsi"/>
                <w:sz w:val="32"/>
                <w:szCs w:val="32"/>
              </w:rPr>
              <w:t>,</w:t>
            </w:r>
            <w:r w:rsidRPr="00E1776D">
              <w:rPr>
                <w:rFonts w:cstheme="minorHAnsi"/>
                <w:sz w:val="32"/>
                <w:szCs w:val="32"/>
              </w:rPr>
              <w:t xml:space="preserve"> </w:t>
            </w:r>
            <w:r w:rsidR="002C747B" w:rsidRPr="00E1776D">
              <w:rPr>
                <w:rFonts w:cstheme="minorHAnsi"/>
                <w:sz w:val="32"/>
                <w:szCs w:val="32"/>
              </w:rPr>
              <w:t>а также Алжирской Народной Демократической Республики</w:t>
            </w:r>
            <w:r w:rsidRPr="00E1776D">
              <w:rPr>
                <w:rFonts w:cstheme="minorHAnsi"/>
                <w:sz w:val="32"/>
                <w:szCs w:val="32"/>
              </w:rPr>
              <w:t xml:space="preserve">, Бахрейна (Королевства), </w:t>
            </w:r>
            <w:r w:rsidR="00685322" w:rsidRPr="00685322">
              <w:rPr>
                <w:rFonts w:cstheme="minorHAnsi"/>
                <w:sz w:val="32"/>
                <w:szCs w:val="32"/>
              </w:rPr>
              <w:t>Бангладеш (Народн</w:t>
            </w:r>
            <w:r w:rsidR="00685322">
              <w:rPr>
                <w:rFonts w:cstheme="minorHAnsi"/>
                <w:sz w:val="32"/>
                <w:szCs w:val="32"/>
              </w:rPr>
              <w:t>ой</w:t>
            </w:r>
            <w:r w:rsidR="00685322" w:rsidRPr="00685322">
              <w:rPr>
                <w:rFonts w:cstheme="minorHAnsi"/>
                <w:sz w:val="32"/>
                <w:szCs w:val="32"/>
              </w:rPr>
              <w:t xml:space="preserve"> Республик</w:t>
            </w:r>
            <w:r w:rsidR="00685322">
              <w:rPr>
                <w:rFonts w:cstheme="minorHAnsi"/>
                <w:sz w:val="32"/>
                <w:szCs w:val="32"/>
              </w:rPr>
              <w:t>и</w:t>
            </w:r>
            <w:r w:rsidR="00685322" w:rsidRPr="00685322">
              <w:rPr>
                <w:rFonts w:cstheme="minorHAnsi"/>
                <w:sz w:val="32"/>
                <w:szCs w:val="32"/>
              </w:rPr>
              <w:t>),</w:t>
            </w:r>
            <w:r w:rsidR="00685322">
              <w:rPr>
                <w:rFonts w:cstheme="minorHAnsi"/>
                <w:sz w:val="32"/>
                <w:szCs w:val="32"/>
              </w:rPr>
              <w:t xml:space="preserve"> </w:t>
            </w:r>
            <w:r w:rsidR="006A0056" w:rsidRPr="00E1776D">
              <w:rPr>
                <w:rFonts w:cstheme="minorHAnsi"/>
                <w:sz w:val="32"/>
                <w:szCs w:val="32"/>
              </w:rPr>
              <w:t xml:space="preserve">Китайской Народной Республики, </w:t>
            </w:r>
            <w:r w:rsidR="00054275" w:rsidRPr="00054275">
              <w:rPr>
                <w:rFonts w:cstheme="minorHAnsi"/>
                <w:sz w:val="32"/>
                <w:szCs w:val="32"/>
              </w:rPr>
              <w:t>Колумби</w:t>
            </w:r>
            <w:r w:rsidR="00054275">
              <w:rPr>
                <w:rFonts w:cstheme="minorHAnsi"/>
                <w:sz w:val="32"/>
                <w:szCs w:val="32"/>
              </w:rPr>
              <w:t>и</w:t>
            </w:r>
            <w:r w:rsidR="00054275" w:rsidRPr="00054275">
              <w:rPr>
                <w:rFonts w:cstheme="minorHAnsi"/>
                <w:sz w:val="32"/>
                <w:szCs w:val="32"/>
              </w:rPr>
              <w:t xml:space="preserve"> (Республик</w:t>
            </w:r>
            <w:r w:rsidR="00054275">
              <w:rPr>
                <w:rFonts w:cstheme="minorHAnsi"/>
                <w:sz w:val="32"/>
                <w:szCs w:val="32"/>
              </w:rPr>
              <w:t>и</w:t>
            </w:r>
            <w:r w:rsidR="00054275" w:rsidRPr="00054275">
              <w:rPr>
                <w:rFonts w:cstheme="minorHAnsi"/>
                <w:sz w:val="32"/>
                <w:szCs w:val="32"/>
              </w:rPr>
              <w:t>)</w:t>
            </w:r>
            <w:r w:rsidR="00054275">
              <w:rPr>
                <w:rFonts w:cstheme="minorHAnsi"/>
                <w:sz w:val="32"/>
                <w:szCs w:val="32"/>
              </w:rPr>
              <w:t xml:space="preserve">, </w:t>
            </w:r>
            <w:r w:rsidR="00054275" w:rsidRPr="00E1776D">
              <w:rPr>
                <w:rFonts w:cstheme="minorHAnsi"/>
                <w:sz w:val="32"/>
                <w:szCs w:val="32"/>
              </w:rPr>
              <w:t>Союза</w:t>
            </w:r>
            <w:r w:rsidR="00054275" w:rsidRPr="00E1776D">
              <w:rPr>
                <w:rFonts w:cstheme="minorHAnsi"/>
                <w:sz w:val="32"/>
                <w:szCs w:val="32"/>
              </w:rPr>
              <w:t xml:space="preserve"> </w:t>
            </w:r>
            <w:r w:rsidRPr="00E1776D">
              <w:rPr>
                <w:rFonts w:cstheme="minorHAnsi"/>
                <w:sz w:val="32"/>
                <w:szCs w:val="32"/>
              </w:rPr>
              <w:t>Коморских Островов, Кубы, Джибути (Республики), Египта (Арабской Республики), Объединенных Арабских Эмиратов, Государства Палестина</w:t>
            </w:r>
            <w:r w:rsidR="00D84F89" w:rsidRPr="00E1776D">
              <w:rPr>
                <w:rStyle w:val="FootnoteReference"/>
                <w:rFonts w:cstheme="minorHAnsi"/>
                <w:b w:val="0"/>
                <w:bCs/>
                <w:szCs w:val="32"/>
              </w:rPr>
              <w:footnoteReference w:customMarkFollows="1" w:id="1"/>
              <w:t>*</w:t>
            </w:r>
            <w:r w:rsidRPr="00E1776D">
              <w:rPr>
                <w:rFonts w:cstheme="minorHAnsi"/>
                <w:sz w:val="32"/>
                <w:szCs w:val="32"/>
              </w:rPr>
              <w:t xml:space="preserve">, </w:t>
            </w:r>
            <w:r w:rsidR="00EA3F20" w:rsidRPr="00E1776D">
              <w:rPr>
                <w:rFonts w:cstheme="minorHAnsi"/>
                <w:sz w:val="32"/>
                <w:szCs w:val="32"/>
              </w:rPr>
              <w:t xml:space="preserve">Индонезии (Республики), </w:t>
            </w:r>
            <w:r w:rsidRPr="00E1776D">
              <w:rPr>
                <w:rFonts w:cstheme="minorHAnsi"/>
                <w:sz w:val="32"/>
                <w:szCs w:val="32"/>
              </w:rPr>
              <w:t xml:space="preserve">Ирака (Республики), Иорданского Хашимитского Королевства, Кувейта (Государства), Ливана, Ливии (Государства), </w:t>
            </w:r>
            <w:r w:rsidR="00E1776D" w:rsidRPr="00E1776D">
              <w:rPr>
                <w:rFonts w:cstheme="minorHAnsi"/>
                <w:sz w:val="32"/>
                <w:szCs w:val="32"/>
              </w:rPr>
              <w:t xml:space="preserve">Малайзии, </w:t>
            </w:r>
            <w:r w:rsidRPr="00E1776D">
              <w:rPr>
                <w:rFonts w:cstheme="minorHAnsi"/>
                <w:sz w:val="32"/>
                <w:szCs w:val="32"/>
              </w:rPr>
              <w:t xml:space="preserve">Марокко (Королевства), Мавритании (Исламской Республики), </w:t>
            </w:r>
            <w:r w:rsidR="00685322" w:rsidRPr="00685322">
              <w:rPr>
                <w:rFonts w:cstheme="minorHAnsi"/>
                <w:sz w:val="32"/>
                <w:szCs w:val="32"/>
              </w:rPr>
              <w:t>Никарагуа</w:t>
            </w:r>
            <w:r w:rsidR="00685322">
              <w:rPr>
                <w:rFonts w:cstheme="minorHAnsi"/>
                <w:sz w:val="32"/>
                <w:szCs w:val="32"/>
              </w:rPr>
              <w:t>,</w:t>
            </w:r>
            <w:r w:rsidR="00685322" w:rsidRPr="00685322">
              <w:rPr>
                <w:rFonts w:cstheme="minorHAnsi"/>
                <w:sz w:val="32"/>
                <w:szCs w:val="32"/>
              </w:rPr>
              <w:t xml:space="preserve"> </w:t>
            </w:r>
            <w:r w:rsidRPr="00E1776D">
              <w:rPr>
                <w:rFonts w:cstheme="minorHAnsi"/>
                <w:sz w:val="32"/>
                <w:szCs w:val="32"/>
              </w:rPr>
              <w:t xml:space="preserve">Нигерии (Федеративной Республики), Омана (Султаната), </w:t>
            </w:r>
            <w:r w:rsidR="00EA3F20" w:rsidRPr="00E1776D">
              <w:rPr>
                <w:rFonts w:cstheme="minorHAnsi"/>
                <w:sz w:val="32"/>
                <w:szCs w:val="32"/>
              </w:rPr>
              <w:t xml:space="preserve">Пакистана (Исламской Республики), </w:t>
            </w:r>
            <w:r w:rsidRPr="00E1776D">
              <w:rPr>
                <w:rFonts w:cstheme="minorHAnsi"/>
                <w:sz w:val="32"/>
                <w:szCs w:val="32"/>
              </w:rPr>
              <w:t xml:space="preserve">Катара (Государства), Сирийской Арабской Республики, </w:t>
            </w:r>
            <w:r w:rsidR="00685322" w:rsidRPr="00685322">
              <w:rPr>
                <w:rFonts w:cstheme="minorHAnsi"/>
                <w:sz w:val="32"/>
                <w:szCs w:val="32"/>
              </w:rPr>
              <w:t>Турецк</w:t>
            </w:r>
            <w:r w:rsidR="00685322">
              <w:rPr>
                <w:rFonts w:cstheme="minorHAnsi"/>
                <w:sz w:val="32"/>
                <w:szCs w:val="32"/>
              </w:rPr>
              <w:t>ой</w:t>
            </w:r>
            <w:r w:rsidR="00685322" w:rsidRPr="00685322">
              <w:rPr>
                <w:rFonts w:cstheme="minorHAnsi"/>
                <w:sz w:val="32"/>
                <w:szCs w:val="32"/>
              </w:rPr>
              <w:t xml:space="preserve"> Республик</w:t>
            </w:r>
            <w:r w:rsidR="00685322">
              <w:rPr>
                <w:rFonts w:cstheme="minorHAnsi"/>
                <w:sz w:val="32"/>
                <w:szCs w:val="32"/>
              </w:rPr>
              <w:t>и,</w:t>
            </w:r>
            <w:r w:rsidR="00685322" w:rsidRPr="00685322">
              <w:rPr>
                <w:rFonts w:cstheme="minorHAnsi"/>
                <w:sz w:val="32"/>
                <w:szCs w:val="32"/>
              </w:rPr>
              <w:t xml:space="preserve"> </w:t>
            </w:r>
            <w:r w:rsidRPr="00E1776D">
              <w:rPr>
                <w:rFonts w:cstheme="minorHAnsi"/>
                <w:sz w:val="32"/>
                <w:szCs w:val="32"/>
              </w:rPr>
              <w:t>Сомали (Федеративной Республики), Судана (Республики), Южно-Африканской Республики, Туниса</w:t>
            </w:r>
            <w:r w:rsidR="00685322">
              <w:rPr>
                <w:rFonts w:cstheme="minorHAnsi"/>
                <w:sz w:val="32"/>
                <w:szCs w:val="32"/>
              </w:rPr>
              <w:t xml:space="preserve">, </w:t>
            </w:r>
            <w:r w:rsidR="00685322" w:rsidRPr="00685322">
              <w:rPr>
                <w:rFonts w:cstheme="minorHAnsi"/>
                <w:sz w:val="32"/>
                <w:szCs w:val="32"/>
              </w:rPr>
              <w:t>Венесуэл</w:t>
            </w:r>
            <w:r w:rsidR="00685322">
              <w:rPr>
                <w:rFonts w:cstheme="minorHAnsi"/>
                <w:sz w:val="32"/>
                <w:szCs w:val="32"/>
              </w:rPr>
              <w:t>ы</w:t>
            </w:r>
            <w:r w:rsidR="00685322" w:rsidRPr="00685322">
              <w:rPr>
                <w:rFonts w:cstheme="minorHAnsi"/>
                <w:sz w:val="32"/>
                <w:szCs w:val="32"/>
              </w:rPr>
              <w:t xml:space="preserve"> (Боливарианск</w:t>
            </w:r>
            <w:r w:rsidR="00685322">
              <w:rPr>
                <w:rFonts w:cstheme="minorHAnsi"/>
                <w:sz w:val="32"/>
                <w:szCs w:val="32"/>
              </w:rPr>
              <w:t>ой</w:t>
            </w:r>
            <w:r w:rsidR="00685322" w:rsidRPr="00685322">
              <w:rPr>
                <w:rFonts w:cstheme="minorHAnsi"/>
                <w:sz w:val="32"/>
                <w:szCs w:val="32"/>
              </w:rPr>
              <w:t xml:space="preserve"> Республик</w:t>
            </w:r>
            <w:r w:rsidR="00685322">
              <w:rPr>
                <w:rFonts w:cstheme="minorHAnsi"/>
                <w:sz w:val="32"/>
                <w:szCs w:val="32"/>
              </w:rPr>
              <w:t>и</w:t>
            </w:r>
            <w:r w:rsidR="00685322" w:rsidRPr="00685322">
              <w:rPr>
                <w:rFonts w:cstheme="minorHAnsi"/>
                <w:sz w:val="32"/>
                <w:szCs w:val="32"/>
              </w:rPr>
              <w:t>)</w:t>
            </w:r>
            <w:r w:rsidRPr="00E1776D">
              <w:rPr>
                <w:rFonts w:cstheme="minorHAnsi"/>
                <w:sz w:val="32"/>
                <w:szCs w:val="32"/>
              </w:rPr>
              <w:t xml:space="preserve"> и</w:t>
            </w:r>
            <w:r w:rsidR="006A0056" w:rsidRPr="00E1776D">
              <w:rPr>
                <w:rFonts w:cstheme="minorHAnsi"/>
                <w:sz w:val="32"/>
                <w:szCs w:val="32"/>
              </w:rPr>
              <w:t> </w:t>
            </w:r>
            <w:r w:rsidRPr="00E1776D">
              <w:rPr>
                <w:rFonts w:cstheme="minorHAnsi"/>
                <w:sz w:val="32"/>
                <w:szCs w:val="32"/>
              </w:rPr>
              <w:t>Йеменской Республики</w:t>
            </w:r>
          </w:p>
        </w:tc>
      </w:tr>
      <w:tr w:rsidR="00796BD3" w:rsidRPr="00E1776D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212D2000" w:rsidR="00796BD3" w:rsidRPr="00E1776D" w:rsidRDefault="003B4430" w:rsidP="00685322">
            <w:pPr>
              <w:pStyle w:val="Subtitle"/>
              <w:framePr w:hSpace="0" w:wrap="auto" w:hAnchor="text" w:xAlign="left" w:yAlign="inline"/>
              <w:spacing w:after="120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E1776D">
              <w:rPr>
                <w:rFonts w:cstheme="minorHAnsi"/>
                <w:sz w:val="32"/>
                <w:szCs w:val="32"/>
              </w:rPr>
              <w:t>ПРОЕКТ НОВОЙ РЕЗОЛЮЦИИ СОВЕТА ОБ ОКАЗАНИИ ПОМОЩИ И</w:t>
            </w:r>
            <w:r w:rsidR="00AB3FD8" w:rsidRPr="00E1776D">
              <w:rPr>
                <w:rFonts w:cstheme="minorHAnsi"/>
                <w:sz w:val="32"/>
                <w:szCs w:val="32"/>
              </w:rPr>
              <w:t> </w:t>
            </w:r>
            <w:r w:rsidRPr="00E1776D">
              <w:rPr>
                <w:rFonts w:cstheme="minorHAnsi"/>
                <w:sz w:val="32"/>
                <w:szCs w:val="32"/>
              </w:rPr>
              <w:t>ПОДДЕРЖКИ ПАЛЕСТИНЕ В ВОССТАНОВЛЕНИИ ЕЕ ОТРАСЛИ ЭЛЕКТРОСВЯЗИ</w:t>
            </w:r>
          </w:p>
        </w:tc>
      </w:tr>
      <w:tr w:rsidR="00796BD3" w:rsidRPr="00E1776D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E1776D" w:rsidRDefault="0033025A" w:rsidP="00685322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E1776D">
              <w:rPr>
                <w:b/>
                <w:bCs/>
                <w:sz w:val="24"/>
                <w:szCs w:val="24"/>
              </w:rPr>
              <w:t>Назначение</w:t>
            </w:r>
          </w:p>
          <w:p w14:paraId="0EA9CF00" w14:textId="3967AA61" w:rsidR="00796BD3" w:rsidRPr="00E1776D" w:rsidRDefault="003B4430" w:rsidP="00685322">
            <w:pPr>
              <w:spacing w:line="240" w:lineRule="exact"/>
            </w:pPr>
            <w:r w:rsidRPr="00E1776D">
              <w:t>Настоящий проект Резолюции Совета Международного союза электросвязи направлен на обеспечение столь необходимой помощи и поддержки МСЭ Палестине для восстановления ее сектора электросвязи.</w:t>
            </w:r>
          </w:p>
          <w:p w14:paraId="2376E3C8" w14:textId="77777777" w:rsidR="00796BD3" w:rsidRPr="00E1776D" w:rsidRDefault="0033025A" w:rsidP="00685322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E1776D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3D87ED5F" w:rsidR="00796BD3" w:rsidRPr="00E1776D" w:rsidRDefault="003B4430" w:rsidP="00685322">
            <w:pPr>
              <w:spacing w:line="240" w:lineRule="exact"/>
            </w:pPr>
            <w:r w:rsidRPr="00E1776D">
              <w:t xml:space="preserve">Совету предлагается </w:t>
            </w:r>
            <w:r w:rsidRPr="00E1776D">
              <w:rPr>
                <w:b/>
              </w:rPr>
              <w:t>рассмотреть</w:t>
            </w:r>
            <w:r w:rsidRPr="00E1776D">
              <w:t xml:space="preserve"> и </w:t>
            </w:r>
            <w:r w:rsidRPr="00E1776D">
              <w:rPr>
                <w:b/>
              </w:rPr>
              <w:t>принять</w:t>
            </w:r>
            <w:r w:rsidRPr="00E1776D">
              <w:t xml:space="preserve"> проект новой Резолюции.</w:t>
            </w:r>
          </w:p>
          <w:p w14:paraId="763B8351" w14:textId="77777777" w:rsidR="00796BD3" w:rsidRPr="00E1776D" w:rsidRDefault="00796BD3" w:rsidP="00685322">
            <w:pPr>
              <w:spacing w:before="0" w:line="240" w:lineRule="exact"/>
            </w:pPr>
            <w:r w:rsidRPr="00E1776D">
              <w:t>__________________</w:t>
            </w:r>
          </w:p>
          <w:p w14:paraId="6429A4BF" w14:textId="77777777" w:rsidR="00796BD3" w:rsidRPr="00E1776D" w:rsidRDefault="0033025A" w:rsidP="00685322">
            <w:pPr>
              <w:spacing w:line="240" w:lineRule="exact"/>
              <w:rPr>
                <w:b/>
                <w:bCs/>
                <w:sz w:val="26"/>
                <w:szCs w:val="26"/>
              </w:rPr>
            </w:pPr>
            <w:r w:rsidRPr="00E1776D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07F9FE0E" w:rsidR="00796BD3" w:rsidRPr="00E1776D" w:rsidRDefault="00570A2C" w:rsidP="00685322">
            <w:pPr>
              <w:spacing w:after="120" w:line="240" w:lineRule="exact"/>
            </w:pPr>
            <w:r w:rsidRPr="00E1776D">
              <w:rPr>
                <w:i/>
              </w:rPr>
              <w:t>Р</w:t>
            </w:r>
            <w:r w:rsidR="00E328FD" w:rsidRPr="00E1776D">
              <w:rPr>
                <w:i/>
              </w:rPr>
              <w:t>езолюция </w:t>
            </w:r>
            <w:hyperlink r:id="rId8">
              <w:r w:rsidR="003B4430" w:rsidRPr="00E1776D">
                <w:rPr>
                  <w:i/>
                  <w:iCs/>
                  <w:color w:val="0000FF"/>
                  <w:szCs w:val="22"/>
                  <w:u w:val="single"/>
                </w:rPr>
                <w:t>A/RES/78/170</w:t>
              </w:r>
            </w:hyperlink>
            <w:r w:rsidR="003B4430" w:rsidRPr="00E1776D">
              <w:rPr>
                <w:i/>
              </w:rPr>
              <w:t xml:space="preserve"> Генеральной Ассамблеи Организации Объединенных Наций, резолюция </w:t>
            </w:r>
            <w:hyperlink r:id="rId9">
              <w:r w:rsidR="003B4430" w:rsidRPr="00E1776D">
                <w:rPr>
                  <w:i/>
                  <w:iCs/>
                  <w:color w:val="0000FF"/>
                  <w:szCs w:val="22"/>
                  <w:u w:val="single"/>
                </w:rPr>
                <w:t>42 C/COM.APX/DR.2</w:t>
              </w:r>
            </w:hyperlink>
            <w:r w:rsidR="003B4430" w:rsidRPr="00E1776D">
              <w:rPr>
                <w:i/>
              </w:rPr>
              <w:t xml:space="preserve"> Организации Объединенных Наций по вопросам образования, науки и культуры</w:t>
            </w:r>
          </w:p>
        </w:tc>
      </w:tr>
      <w:bookmarkEnd w:id="2"/>
      <w:bookmarkEnd w:id="6"/>
    </w:tbl>
    <w:p w14:paraId="60F31B98" w14:textId="77777777" w:rsidR="00165D06" w:rsidRPr="00E1776D" w:rsidRDefault="00165D06" w:rsidP="00685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exact"/>
        <w:textAlignment w:val="auto"/>
        <w:rPr>
          <w:szCs w:val="22"/>
        </w:rPr>
      </w:pPr>
      <w:r w:rsidRPr="00E1776D">
        <w:rPr>
          <w:szCs w:val="22"/>
        </w:rPr>
        <w:br w:type="page"/>
      </w:r>
    </w:p>
    <w:p w14:paraId="3FEAD21D" w14:textId="77777777" w:rsidR="003B4430" w:rsidRPr="00E1776D" w:rsidRDefault="003B4430" w:rsidP="00AB3FD8">
      <w:pPr>
        <w:pStyle w:val="ResNo"/>
      </w:pPr>
      <w:r w:rsidRPr="00E1776D">
        <w:lastRenderedPageBreak/>
        <w:t>ПРОЕКТ НОВОЙ РЕЗОЛЮЦИИ [...]</w:t>
      </w:r>
    </w:p>
    <w:p w14:paraId="2E8B7A34" w14:textId="788B30F7" w:rsidR="003B4430" w:rsidRPr="00E1776D" w:rsidRDefault="00AB3FD8" w:rsidP="00AB3FD8">
      <w:pPr>
        <w:pStyle w:val="Restitle"/>
      </w:pPr>
      <w:r w:rsidRPr="00E1776D">
        <w:t>Помощь и поддержка Палестине в восстановлении ее отрасли электросвязи</w:t>
      </w:r>
    </w:p>
    <w:p w14:paraId="37DBE44C" w14:textId="77777777" w:rsidR="003B4430" w:rsidRPr="00E1776D" w:rsidRDefault="003B4430" w:rsidP="003B4430">
      <w:pPr>
        <w:pStyle w:val="Normalaftertitle"/>
        <w:rPr>
          <w:rFonts w:asciiTheme="minorHAnsi" w:hAnsiTheme="minorHAnsi" w:cstheme="minorHAnsi"/>
          <w:szCs w:val="24"/>
        </w:rPr>
      </w:pPr>
      <w:r w:rsidRPr="00E1776D">
        <w:t>Совет МСЭ,</w:t>
      </w:r>
    </w:p>
    <w:p w14:paraId="09D2156C" w14:textId="77777777" w:rsidR="003B4430" w:rsidRPr="00E1776D" w:rsidRDefault="003B4430" w:rsidP="003B4430">
      <w:pPr>
        <w:pStyle w:val="Call"/>
      </w:pPr>
      <w:r w:rsidRPr="00E1776D">
        <w:rPr>
          <w:iCs/>
        </w:rPr>
        <w:t>напоминая</w:t>
      </w:r>
    </w:p>
    <w:p w14:paraId="5B8C9398" w14:textId="71210713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a)</w:t>
      </w:r>
      <w:r w:rsidRPr="00E1776D">
        <w:tab/>
      </w:r>
      <w:r w:rsidR="003B4430" w:rsidRPr="00E1776D">
        <w:t>о благородных принципах, целях и задачах, закрепленных в Уставе Организации Объединенных Наций и во Всеобщей декларации прав человека;</w:t>
      </w:r>
    </w:p>
    <w:p w14:paraId="3B07135F" w14:textId="0D9EC38C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b)</w:t>
      </w:r>
      <w:r w:rsidRPr="00E1776D">
        <w:tab/>
      </w:r>
      <w:r w:rsidR="003B4430" w:rsidRPr="00E1776D">
        <w:t>а также в Декларации принципов, принятой на Всемирной встрече на высшем уровне по вопросам информационного общества;</w:t>
      </w:r>
    </w:p>
    <w:p w14:paraId="197F0598" w14:textId="6EFC7131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c)</w:t>
      </w:r>
      <w:r w:rsidRPr="00E1776D">
        <w:tab/>
      </w:r>
      <w:r w:rsidR="003B4430" w:rsidRPr="00E1776D">
        <w:t>об усилиях Организации Объединенных Наций по содействию устойчивому развитию;</w:t>
      </w:r>
    </w:p>
    <w:p w14:paraId="39066924" w14:textId="01B60DD0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d)</w:t>
      </w:r>
      <w:r w:rsidRPr="00E1776D">
        <w:tab/>
      </w:r>
      <w:r w:rsidR="003B4430" w:rsidRPr="00E1776D">
        <w:t>о целях Союза, закрепленных в Статье 1 Устава МСЭ;</w:t>
      </w:r>
    </w:p>
    <w:p w14:paraId="45FC6A83" w14:textId="5DE8699F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e)</w:t>
      </w:r>
      <w:r w:rsidRPr="00E1776D">
        <w:tab/>
      </w:r>
      <w:r w:rsidR="003B4430" w:rsidRPr="00E1776D">
        <w:t>об усилиях МСЭ, направленных на то, чтобы никто не был забыт, чтобы установить соединения для тех, кто их не имеет, и достичь устойчивого развития и его целей;</w:t>
      </w:r>
    </w:p>
    <w:p w14:paraId="7F8EF4A9" w14:textId="64B3D523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f)</w:t>
      </w:r>
      <w:r w:rsidRPr="00E1776D">
        <w:tab/>
      </w:r>
      <w:r w:rsidR="003B4430" w:rsidRPr="00E1776D">
        <w:t xml:space="preserve">что в </w:t>
      </w:r>
      <w:proofErr w:type="spellStart"/>
      <w:r w:rsidR="003B4430" w:rsidRPr="00E1776D">
        <w:t>пп</w:t>
      </w:r>
      <w:proofErr w:type="spellEnd"/>
      <w:r w:rsidR="003B4430" w:rsidRPr="00E1776D">
        <w:t>. 6 и 7 Статьи 1 Устава МСЭ предусматривается "содействие распространению преимуществ новых технологий в области электросвязи среди всех жителей планеты" и "содействие использованию служб электросвязи с целью облегчения мирных отношений",</w:t>
      </w:r>
    </w:p>
    <w:p w14:paraId="2A4CE5C4" w14:textId="77777777" w:rsidR="003B4430" w:rsidRPr="00E1776D" w:rsidRDefault="003B4430" w:rsidP="003B4430">
      <w:pPr>
        <w:pStyle w:val="Call"/>
      </w:pPr>
      <w:r w:rsidRPr="00E1776D">
        <w:rPr>
          <w:iCs/>
        </w:rPr>
        <w:t>напоминая далее</w:t>
      </w:r>
    </w:p>
    <w:p w14:paraId="6317591B" w14:textId="38E8888F" w:rsidR="003B4430" w:rsidRPr="00E1776D" w:rsidRDefault="00AB3FD8" w:rsidP="00AB3FD8">
      <w:pPr>
        <w:rPr>
          <w:rFonts w:asciiTheme="minorHAnsi" w:hAnsiTheme="minorHAnsi" w:cstheme="minorHAnsi"/>
          <w:color w:val="000000"/>
          <w:szCs w:val="24"/>
        </w:rPr>
      </w:pPr>
      <w:r w:rsidRPr="00E1776D">
        <w:rPr>
          <w:i/>
          <w:iCs/>
        </w:rPr>
        <w:t>a)</w:t>
      </w:r>
      <w:r w:rsidRPr="00E1776D">
        <w:tab/>
      </w:r>
      <w:r w:rsidR="003B4430" w:rsidRPr="00E1776D">
        <w:t xml:space="preserve">о резолюции Генеральной Ассамблеи ООН </w:t>
      </w:r>
      <w:hyperlink r:id="rId10">
        <w:r w:rsidR="003B4430" w:rsidRPr="00E1776D">
          <w:rPr>
            <w:rFonts w:asciiTheme="minorHAnsi" w:hAnsiTheme="minorHAnsi" w:cstheme="minorHAnsi"/>
            <w:color w:val="0000FF"/>
            <w:szCs w:val="24"/>
            <w:u w:val="single"/>
          </w:rPr>
          <w:t>A/RES/78/170</w:t>
        </w:r>
      </w:hyperlink>
      <w:r w:rsidR="003B4430" w:rsidRPr="00E1776D">
        <w:rPr>
          <w:rFonts w:asciiTheme="minorHAnsi" w:hAnsiTheme="minorHAnsi" w:cstheme="minorHAnsi"/>
          <w:szCs w:val="24"/>
          <w:rtl/>
        </w:rPr>
        <w:t xml:space="preserve"> </w:t>
      </w:r>
      <w:r w:rsidR="003B4430" w:rsidRPr="00E1776D">
        <w:t>от 19 декабря 2023 года о</w:t>
      </w:r>
      <w:r w:rsidR="00E328FD" w:rsidRPr="00E1776D">
        <w:t> </w:t>
      </w:r>
      <w:r w:rsidR="003B4430" w:rsidRPr="00E1776D">
        <w:t>постоянном суверенитете палестинского народа на оккупированной палестинской территории, включая Восточный Иерусалим, и арабского населения на оккупированных сирийских Голанах над своими природными ресурсами;</w:t>
      </w:r>
    </w:p>
    <w:p w14:paraId="11C256E6" w14:textId="1EC07D8C" w:rsidR="003B4430" w:rsidRPr="00E1776D" w:rsidRDefault="00AB3FD8" w:rsidP="00AB3FD8">
      <w:pPr>
        <w:rPr>
          <w:rFonts w:asciiTheme="minorHAnsi" w:hAnsiTheme="minorHAnsi" w:cstheme="minorHAnsi"/>
          <w:color w:val="000000"/>
          <w:szCs w:val="24"/>
        </w:rPr>
      </w:pPr>
      <w:r w:rsidRPr="00E1776D">
        <w:rPr>
          <w:i/>
          <w:iCs/>
        </w:rPr>
        <w:t>b)</w:t>
      </w:r>
      <w:r w:rsidRPr="00E1776D">
        <w:tab/>
      </w:r>
      <w:r w:rsidR="003B4430" w:rsidRPr="00E1776D">
        <w:t xml:space="preserve">о резолюции </w:t>
      </w:r>
      <w:hyperlink r:id="rId11">
        <w:r w:rsidR="003B4430" w:rsidRPr="00E1776D">
          <w:rPr>
            <w:rFonts w:asciiTheme="minorHAnsi" w:hAnsiTheme="minorHAnsi" w:cstheme="minorHAnsi"/>
            <w:color w:val="0000FF"/>
            <w:szCs w:val="24"/>
            <w:u w:val="single"/>
          </w:rPr>
          <w:t>42 C/COM.APX/DR.2</w:t>
        </w:r>
      </w:hyperlink>
      <w:r w:rsidR="003B4430" w:rsidRPr="00E1776D">
        <w:t xml:space="preserve"> Организации Объединенных Наций по вопросам образования, науки и культуры от 9 ноября 2023 года о масштабах воздействия и последствиях текущей ситуации в секторе Газа/Палестине для различных областей мандата ЮНЕСКО;</w:t>
      </w:r>
    </w:p>
    <w:p w14:paraId="678C7338" w14:textId="658F4588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c)</w:t>
      </w:r>
      <w:r w:rsidRPr="00E1776D">
        <w:tab/>
      </w:r>
      <w:r w:rsidR="003B4430" w:rsidRPr="00E1776D">
        <w:t>о Резолюции 34 (</w:t>
      </w:r>
      <w:proofErr w:type="spellStart"/>
      <w:r w:rsidR="003B4430" w:rsidRPr="00E1776D">
        <w:t>Пересм</w:t>
      </w:r>
      <w:proofErr w:type="spellEnd"/>
      <w:r w:rsidR="003B4430" w:rsidRPr="00E1776D">
        <w:t>. Дубай, 2018 г.) Полномочной конференции о помощи и поддержке странам, находящимся в особо трудном положении, в восстановлении их секторов электросвязи;</w:t>
      </w:r>
    </w:p>
    <w:p w14:paraId="122D17FE" w14:textId="29C8D15A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d)</w:t>
      </w:r>
      <w:r w:rsidRPr="00E1776D">
        <w:tab/>
      </w:r>
      <w:r w:rsidR="003B4430" w:rsidRPr="00E1776D">
        <w:t>о Резолюции 125 (</w:t>
      </w:r>
      <w:proofErr w:type="spellStart"/>
      <w:r w:rsidR="003B4430" w:rsidRPr="00E1776D">
        <w:t>Пересм</w:t>
      </w:r>
      <w:proofErr w:type="spellEnd"/>
      <w:r w:rsidR="003B4430" w:rsidRPr="00E1776D">
        <w:t>. Бухарест, 2022 г.) Полномочной конференции об оказании помощи и поддержки Палестине в развитии инфраструктуры и создании потенциала в секторе электросвязи и информационных технологий;</w:t>
      </w:r>
    </w:p>
    <w:p w14:paraId="66FE2D49" w14:textId="6FA7C0A2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e)</w:t>
      </w:r>
      <w:r w:rsidRPr="00E1776D">
        <w:tab/>
      </w:r>
      <w:r w:rsidR="003B4430" w:rsidRPr="00E1776D">
        <w:t>о Резолюции 99 (</w:t>
      </w:r>
      <w:proofErr w:type="spellStart"/>
      <w:r w:rsidR="003B4430" w:rsidRPr="00E1776D">
        <w:t>Пересм</w:t>
      </w:r>
      <w:proofErr w:type="spellEnd"/>
      <w:r w:rsidR="003B4430" w:rsidRPr="00E1776D">
        <w:t>. Дубай, 2018 г.) Полномочной конференции о статусе Палестины в МСЭ;</w:t>
      </w:r>
    </w:p>
    <w:p w14:paraId="401C2455" w14:textId="4AA20A0E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f)</w:t>
      </w:r>
      <w:r w:rsidRPr="00E1776D">
        <w:tab/>
      </w:r>
      <w:r w:rsidR="003B4430" w:rsidRPr="00E1776D">
        <w:t>о Резолюции 18 (</w:t>
      </w:r>
      <w:proofErr w:type="spellStart"/>
      <w:r w:rsidR="003B4430" w:rsidRPr="00E1776D">
        <w:t>Пересм</w:t>
      </w:r>
      <w:proofErr w:type="spellEnd"/>
      <w:r w:rsidR="003B4430" w:rsidRPr="00E1776D">
        <w:t>. Кигали, 2022 г.) Всемирной конференции по развитию электросвязи о специальной технической помощи Палестине;</w:t>
      </w:r>
    </w:p>
    <w:p w14:paraId="12AAB06A" w14:textId="024B7E8D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g)</w:t>
      </w:r>
      <w:r w:rsidRPr="00E1776D">
        <w:tab/>
      </w:r>
      <w:r w:rsidR="003B4430" w:rsidRPr="00E1776D">
        <w:t>о Резолюции 137 (</w:t>
      </w:r>
      <w:proofErr w:type="spellStart"/>
      <w:r w:rsidR="003B4430" w:rsidRPr="00E1776D">
        <w:t>Пересм</w:t>
      </w:r>
      <w:proofErr w:type="spellEnd"/>
      <w:r w:rsidR="003B4430" w:rsidRPr="00E1776D">
        <w:t>. Бухарест, 2022 г.) Полномочной конференции о</w:t>
      </w:r>
      <w:r w:rsidR="00E328FD" w:rsidRPr="00E1776D">
        <w:t> </w:t>
      </w:r>
      <w:r w:rsidR="003B4430" w:rsidRPr="00E1776D">
        <w:t>развертывании будущих сетей в развивающихся странах</w:t>
      </w:r>
      <w:r w:rsidR="00E328FD" w:rsidRPr="00E1776D">
        <w:t>,</w:t>
      </w:r>
    </w:p>
    <w:p w14:paraId="393E9CB0" w14:textId="661D497F" w:rsidR="003B4430" w:rsidRPr="00E1776D" w:rsidRDefault="003B4430" w:rsidP="003B4430">
      <w:pPr>
        <w:pStyle w:val="Call"/>
        <w:rPr>
          <w:i w:val="0"/>
        </w:rPr>
      </w:pPr>
      <w:r w:rsidRPr="00E1776D">
        <w:rPr>
          <w:iCs/>
        </w:rPr>
        <w:t>учитывая</w:t>
      </w:r>
      <w:r w:rsidR="00AB3FD8" w:rsidRPr="00E1776D">
        <w:rPr>
          <w:i w:val="0"/>
        </w:rPr>
        <w:t>,</w:t>
      </w:r>
    </w:p>
    <w:p w14:paraId="320DDF09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a)</w:t>
      </w:r>
      <w:r w:rsidRPr="00E1776D">
        <w:tab/>
        <w:t>что основополагающие документы Союза, включая Устав и Конвенцию, направлены на укрепление мира и безопасности во всем мире посредством международного сотрудничества и его развития в целях совершенствования взаимопонимания между народами;</w:t>
      </w:r>
    </w:p>
    <w:p w14:paraId="5932209A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b)</w:t>
      </w:r>
      <w:r w:rsidRPr="00E1776D">
        <w:tab/>
        <w:t>важность эффективного участия Палестины в новом информационном обществе и оказания ей поддержки в построении собственного информационного общества;</w:t>
      </w:r>
    </w:p>
    <w:p w14:paraId="7319A6F5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lastRenderedPageBreak/>
        <w:t>c)</w:t>
      </w:r>
      <w:r w:rsidRPr="00E1776D">
        <w:tab/>
        <w:t>что МСЭ играет важную роль в создании и развитии современных и надежных сетей электросвязи, и что их развертывание является необходимой составной частью экономического и социального развития и имеет огромное значение для будущего палестинского народа;</w:t>
      </w:r>
    </w:p>
    <w:p w14:paraId="3A26FE3D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d)</w:t>
      </w:r>
      <w:r w:rsidRPr="00E1776D">
        <w:tab/>
        <w:t>что международное сообщество призвано сыграть важную роль в оказании помощи Палестине в целом и сектору Газа в частности в создании современной и надежной сети электросвязи;</w:t>
      </w:r>
    </w:p>
    <w:p w14:paraId="04F4401B" w14:textId="04A35452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e)</w:t>
      </w:r>
      <w:r w:rsidRPr="00E1776D">
        <w:tab/>
        <w:t>что одна из задач МСЭ заключается в содействии использованию служб электросвязи с целью облегчения мирных отношений</w:t>
      </w:r>
      <w:r w:rsidR="00E328FD" w:rsidRPr="00E1776D">
        <w:t>,</w:t>
      </w:r>
    </w:p>
    <w:p w14:paraId="294C0C66" w14:textId="77777777" w:rsidR="003B4430" w:rsidRPr="00E1776D" w:rsidRDefault="003B4430" w:rsidP="003B4430">
      <w:pPr>
        <w:pStyle w:val="Call"/>
      </w:pPr>
      <w:r w:rsidRPr="00E1776D">
        <w:rPr>
          <w:iCs/>
        </w:rPr>
        <w:t>в связи с этим глубоко сожалея</w:t>
      </w:r>
    </w:p>
    <w:p w14:paraId="65846E8F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a)</w:t>
      </w:r>
      <w:r w:rsidRPr="00E1776D">
        <w:tab/>
        <w:t>о широкомасштабных разрушениях объектов критической инфраструктуры, отключениях услуг электросвязи и сбоях в работе сетей подвижной связи, которые имеют место на всей территории сектора Газа с начала агрессии со стороны оккупирующей державы;</w:t>
      </w:r>
    </w:p>
    <w:p w14:paraId="2492450F" w14:textId="14144642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b)</w:t>
      </w:r>
      <w:r w:rsidRPr="00E1776D">
        <w:tab/>
        <w:t>о том, что населению сектора Газа по-прежнему предоставляются услуги и технологии</w:t>
      </w:r>
      <w:r w:rsidR="009B0CDD" w:rsidRPr="00E1776D">
        <w:t> </w:t>
      </w:r>
      <w:r w:rsidRPr="00E1776D">
        <w:t>2G, а также о трудностях, связанных с поиском устройств для технического обслуживания существующей сети, поскольку компании, выпускающие эти устройства, прекратили их производство;</w:t>
      </w:r>
    </w:p>
    <w:p w14:paraId="1A701383" w14:textId="0F0DD2F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c)</w:t>
      </w:r>
      <w:r w:rsidRPr="00E1776D">
        <w:tab/>
        <w:t>о препятствиях, чинимых оккупирующей державой, которая не позволяет применять новые технологии связи, до сих пор не допуская использование поколений 3G, 4G и 5G в</w:t>
      </w:r>
      <w:r w:rsidR="00E328FD" w:rsidRPr="00E1776D">
        <w:t> </w:t>
      </w:r>
      <w:r w:rsidRPr="00E1776D">
        <w:t>Палестине и, в частности, в секторе Газа,</w:t>
      </w:r>
    </w:p>
    <w:p w14:paraId="58A951DE" w14:textId="77777777" w:rsidR="003B4430" w:rsidRPr="00E1776D" w:rsidRDefault="003B4430" w:rsidP="003B4430">
      <w:pPr>
        <w:pStyle w:val="Call"/>
      </w:pPr>
      <w:r w:rsidRPr="00E1776D">
        <w:rPr>
          <w:iCs/>
        </w:rPr>
        <w:t>памятуя</w:t>
      </w:r>
    </w:p>
    <w:p w14:paraId="72B6A436" w14:textId="77777777" w:rsidR="003B4430" w:rsidRPr="00E1776D" w:rsidRDefault="003B4430" w:rsidP="003B4430">
      <w:pPr>
        <w:rPr>
          <w:rFonts w:asciiTheme="minorHAnsi" w:hAnsiTheme="minorHAnsi" w:cstheme="minorHAnsi"/>
          <w:szCs w:val="24"/>
        </w:rPr>
      </w:pPr>
      <w:r w:rsidRPr="00E1776D">
        <w:t>об основных принципах, изложенных в Преамбуле к Уставу,</w:t>
      </w:r>
    </w:p>
    <w:p w14:paraId="63C6A167" w14:textId="4644AEA4" w:rsidR="003B4430" w:rsidRPr="00E1776D" w:rsidRDefault="003B4430" w:rsidP="003B4430">
      <w:pPr>
        <w:pStyle w:val="Call"/>
      </w:pPr>
      <w:r w:rsidRPr="00E1776D">
        <w:rPr>
          <w:iCs/>
        </w:rPr>
        <w:t>отмечая</w:t>
      </w:r>
    </w:p>
    <w:p w14:paraId="562ADAF0" w14:textId="0F54F566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a)</w:t>
      </w:r>
      <w:r w:rsidRPr="00E1776D">
        <w:tab/>
        <w:t>долгосрочную техническую помощь Бюро развития электросвязи (БРЭ) Палестине по развитию ее систем электросвязи во исполнение Резолюции 32 (Киото, 1994 г.) Полномочной конференции и неотложную потребность в оказании помощи в различных областях связи и информации</w:t>
      </w:r>
      <w:r w:rsidR="00E328FD" w:rsidRPr="00E1776D">
        <w:t>;</w:t>
      </w:r>
    </w:p>
    <w:p w14:paraId="451DFFF4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b)</w:t>
      </w:r>
      <w:r w:rsidRPr="00E1776D">
        <w:tab/>
        <w:t>ограничения и трудности, связанные с текущей ситуацией в Палестине, которые мешают доступу к средствам, службам и приложениям электросвязи/информационно-коммуникационных технологий (ИКТ) и которые представляют собой постоянное препятствие на пути к развитию отрасли электросвязи/ИКТ в Палестине,</w:t>
      </w:r>
    </w:p>
    <w:p w14:paraId="2AF11A85" w14:textId="77777777" w:rsidR="003B4430" w:rsidRPr="00E1776D" w:rsidRDefault="003B4430" w:rsidP="003B4430">
      <w:pPr>
        <w:pStyle w:val="Call"/>
      </w:pPr>
      <w:r w:rsidRPr="00E1776D">
        <w:rPr>
          <w:iCs/>
        </w:rPr>
        <w:t>вновь подтверждая</w:t>
      </w:r>
    </w:p>
    <w:p w14:paraId="7E9322D9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a)</w:t>
      </w:r>
      <w:r w:rsidRPr="00E1776D">
        <w:tab/>
        <w:t xml:space="preserve">суверенитет, независимость, единство и территориальную целостность Палестины в пределах ее </w:t>
      </w:r>
      <w:proofErr w:type="spellStart"/>
      <w:r w:rsidRPr="00E1776D">
        <w:t>международно</w:t>
      </w:r>
      <w:proofErr w:type="spellEnd"/>
      <w:r w:rsidRPr="00E1776D">
        <w:t xml:space="preserve"> признанных границ, включая ее территориальные воды;</w:t>
      </w:r>
    </w:p>
    <w:p w14:paraId="6DACEA6C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rPr>
          <w:i/>
          <w:iCs/>
        </w:rPr>
        <w:t>b)</w:t>
      </w:r>
      <w:r w:rsidRPr="00E1776D">
        <w:tab/>
        <w:t>необходимость уважения и сохранения единства, неразрывности и целостности всей оккупированной палестинской территории, включая Восточный Иерусалим,</w:t>
      </w:r>
    </w:p>
    <w:p w14:paraId="1DAA1A5C" w14:textId="77777777" w:rsidR="003B4430" w:rsidRPr="00E1776D" w:rsidRDefault="003B4430" w:rsidP="003B4430">
      <w:pPr>
        <w:pStyle w:val="Call"/>
      </w:pPr>
      <w:r w:rsidRPr="00E1776D">
        <w:rPr>
          <w:iCs/>
        </w:rPr>
        <w:t>вновь подтверждая приверженность МСЭ</w:t>
      </w:r>
    </w:p>
    <w:p w14:paraId="21C20F45" w14:textId="77777777" w:rsidR="003B4430" w:rsidRPr="00E1776D" w:rsidRDefault="003B4430" w:rsidP="003B4430">
      <w:pPr>
        <w:rPr>
          <w:rFonts w:asciiTheme="minorHAnsi" w:hAnsiTheme="minorHAnsi" w:cstheme="minorHAnsi"/>
          <w:szCs w:val="24"/>
        </w:rPr>
      </w:pPr>
      <w:r w:rsidRPr="00E1776D">
        <w:t>содействию "принятию мер для обеспечения безопасности человеческой жизни путем совместного использования служб электросвязи",</w:t>
      </w:r>
    </w:p>
    <w:p w14:paraId="2CD0875C" w14:textId="77777777" w:rsidR="003B4430" w:rsidRPr="00E1776D" w:rsidRDefault="003B4430" w:rsidP="00D84F89">
      <w:pPr>
        <w:pStyle w:val="Call"/>
      </w:pPr>
      <w:r w:rsidRPr="00E1776D">
        <w:rPr>
          <w:iCs/>
        </w:rPr>
        <w:lastRenderedPageBreak/>
        <w:t>обращается с призывом к Государствам – Членам Союза</w:t>
      </w:r>
    </w:p>
    <w:p w14:paraId="56E59E3A" w14:textId="77777777" w:rsidR="003B4430" w:rsidRPr="00E1776D" w:rsidRDefault="003B4430" w:rsidP="00D84F89">
      <w:pPr>
        <w:keepNext/>
        <w:keepLines/>
        <w:rPr>
          <w:rFonts w:asciiTheme="minorHAnsi" w:hAnsiTheme="minorHAnsi" w:cstheme="minorHAnsi"/>
          <w:szCs w:val="24"/>
        </w:rPr>
      </w:pPr>
      <w:r w:rsidRPr="00E1776D">
        <w:t>сделать все возможное для:</w:t>
      </w:r>
    </w:p>
    <w:p w14:paraId="41F3EDB0" w14:textId="77777777" w:rsidR="003B4430" w:rsidRPr="00E1776D" w:rsidRDefault="003B4430" w:rsidP="00D84F89">
      <w:pPr>
        <w:keepNext/>
        <w:keepLines/>
        <w:rPr>
          <w:rFonts w:asciiTheme="minorHAnsi" w:hAnsiTheme="minorHAnsi" w:cstheme="minorHAnsi"/>
          <w:szCs w:val="24"/>
        </w:rPr>
      </w:pPr>
      <w:r w:rsidRPr="00E1776D">
        <w:t>1</w:t>
      </w:r>
      <w:r w:rsidRPr="00E1776D">
        <w:tab/>
        <w:t>восстановления связи в секторе Газа;</w:t>
      </w:r>
    </w:p>
    <w:p w14:paraId="45F251E1" w14:textId="2840A7FA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t>2</w:t>
      </w:r>
      <w:r w:rsidRPr="00E1776D">
        <w:tab/>
        <w:t>сохранения инфраструктуры электросвязи в Палестине в целом и в секторе Газа, в</w:t>
      </w:r>
      <w:r w:rsidR="00E328FD" w:rsidRPr="00E1776D">
        <w:t> </w:t>
      </w:r>
      <w:r w:rsidRPr="00E1776D">
        <w:t>частности;</w:t>
      </w:r>
    </w:p>
    <w:p w14:paraId="7C3BEF83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t>3</w:t>
      </w:r>
      <w:r w:rsidRPr="00E1776D">
        <w:tab/>
        <w:t>предоставления всех форм помощи и поддержки сектору Газа на двусторонней основе или посредством принимаемых МСЭ исполнительных мер;</w:t>
      </w:r>
    </w:p>
    <w:p w14:paraId="22607F6F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t>4</w:t>
      </w:r>
      <w:r w:rsidRPr="00E1776D">
        <w:tab/>
        <w:t>предоставления необходимой поддержки для создания и активизации служб 4G и 5G в секторе Газа;</w:t>
      </w:r>
    </w:p>
    <w:p w14:paraId="6B058F20" w14:textId="77777777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t>5</w:t>
      </w:r>
      <w:r w:rsidRPr="00E1776D">
        <w:tab/>
      </w:r>
      <w:proofErr w:type="gramStart"/>
      <w:r w:rsidRPr="00E1776D">
        <w:t>оказания</w:t>
      </w:r>
      <w:proofErr w:type="gramEnd"/>
      <w:r w:rsidRPr="00E1776D">
        <w:t xml:space="preserve"> помощи Газе для содействия реализации проектов трех Бюро МСЭ и региональных инициатив, в том числе в области создания потенциала,</w:t>
      </w:r>
    </w:p>
    <w:p w14:paraId="4F50BB9B" w14:textId="77777777" w:rsidR="003B4430" w:rsidRPr="00E1776D" w:rsidRDefault="003B4430" w:rsidP="003B4430">
      <w:pPr>
        <w:pStyle w:val="Call"/>
      </w:pPr>
      <w:r w:rsidRPr="00E1776D">
        <w:rPr>
          <w:iCs/>
        </w:rPr>
        <w:t>предлагает Совету</w:t>
      </w:r>
    </w:p>
    <w:p w14:paraId="673A023F" w14:textId="00F24E73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t>1</w:t>
      </w:r>
      <w:r w:rsidRPr="00E1776D">
        <w:tab/>
      </w:r>
      <w:r w:rsidR="003B4430" w:rsidRPr="00E1776D">
        <w:t>выделить необходимые средства в рамках имеющихся ресурсов для осуществления настоящей Резолюции;</w:t>
      </w:r>
    </w:p>
    <w:p w14:paraId="37751C07" w14:textId="3B7092D6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t>2</w:t>
      </w:r>
      <w:r w:rsidRPr="00E1776D">
        <w:tab/>
      </w:r>
      <w:r w:rsidR="003B4430" w:rsidRPr="00E1776D">
        <w:t>рассмотреть отчеты и предложения, представленные Генеральным секретарем и тремя Бюро Союза, в отношении выполнения настоящего решения,</w:t>
      </w:r>
    </w:p>
    <w:p w14:paraId="22C11D06" w14:textId="77777777" w:rsidR="003B4430" w:rsidRPr="00E1776D" w:rsidRDefault="003B4430" w:rsidP="003B4430">
      <w:pPr>
        <w:pStyle w:val="Call"/>
      </w:pPr>
      <w:r w:rsidRPr="00E1776D">
        <w:rPr>
          <w:iCs/>
        </w:rPr>
        <w:t>решает поручить Директорам трех Бюро</w:t>
      </w:r>
    </w:p>
    <w:p w14:paraId="658338E8" w14:textId="0ACD63A7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t>1</w:t>
      </w:r>
      <w:r w:rsidRPr="00E1776D">
        <w:tab/>
      </w:r>
      <w:r w:rsidR="003B4430" w:rsidRPr="00E1776D">
        <w:t>проводить мониторинг и предоставлять регулярные отчеты об особых потребностях Палестины в области электросвязи, а также подготовить предложения по оказанию эффективной технической помощи;</w:t>
      </w:r>
    </w:p>
    <w:p w14:paraId="762B124A" w14:textId="0C329051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t>2</w:t>
      </w:r>
      <w:r w:rsidRPr="00E1776D">
        <w:tab/>
      </w:r>
      <w:r w:rsidR="003B4430" w:rsidRPr="00E1776D">
        <w:t>провести оценку влияния войны в Палестине на программы и деятельность МСЭ в регионе и представить соответствующий отчет;</w:t>
      </w:r>
    </w:p>
    <w:p w14:paraId="6D69A44E" w14:textId="7AC9EFDA" w:rsidR="003B4430" w:rsidRPr="00E1776D" w:rsidRDefault="00AB3FD8" w:rsidP="00AB3FD8">
      <w:pPr>
        <w:rPr>
          <w:rFonts w:asciiTheme="minorHAnsi" w:hAnsiTheme="minorHAnsi" w:cstheme="minorHAnsi"/>
          <w:szCs w:val="24"/>
        </w:rPr>
      </w:pPr>
      <w:r w:rsidRPr="00E1776D">
        <w:t>3</w:t>
      </w:r>
      <w:r w:rsidRPr="00E1776D">
        <w:tab/>
      </w:r>
      <w:r w:rsidR="003B4430" w:rsidRPr="00E1776D">
        <w:t>обеспечить мобилизацию надлежащих финансовых и людских ресурсов, в том числе в рамках внутреннего бюджета и Фонда развития информационно-коммуникационных технологий, для осуществления предлагаемых действий,</w:t>
      </w:r>
    </w:p>
    <w:p w14:paraId="08D13542" w14:textId="77777777" w:rsidR="003B4430" w:rsidRPr="00E1776D" w:rsidRDefault="003B4430" w:rsidP="003B4430">
      <w:pPr>
        <w:pStyle w:val="Call"/>
      </w:pPr>
      <w:r w:rsidRPr="00E1776D">
        <w:rPr>
          <w:iCs/>
        </w:rPr>
        <w:t>поручает Генеральному секретарю</w:t>
      </w:r>
    </w:p>
    <w:p w14:paraId="5CF4CE43" w14:textId="629D9C9A" w:rsidR="003B4430" w:rsidRPr="00E1776D" w:rsidRDefault="003B4430" w:rsidP="00AB3FD8">
      <w:pPr>
        <w:rPr>
          <w:rFonts w:asciiTheme="minorHAnsi" w:hAnsiTheme="minorHAnsi" w:cstheme="minorHAnsi"/>
          <w:szCs w:val="24"/>
        </w:rPr>
      </w:pPr>
      <w:r w:rsidRPr="00E1776D">
        <w:t>координировать деятельность, проводимую тремя Секторами Союза, в соответствии с</w:t>
      </w:r>
      <w:r w:rsidR="00E328FD" w:rsidRPr="00E1776D">
        <w:t> </w:t>
      </w:r>
      <w:r w:rsidRPr="00E1776D">
        <w:t xml:space="preserve">разделом </w:t>
      </w:r>
      <w:r w:rsidRPr="00E1776D">
        <w:rPr>
          <w:i/>
        </w:rPr>
        <w:t>решает</w:t>
      </w:r>
      <w:r w:rsidRPr="00E1776D">
        <w:t xml:space="preserve"> выше в целях обеспечения того, чтобы действия Союза в интересах Палестины были как можно более эффективными, и представить отчет по данному вопросу Полномочной конференции 2026 года и сессии Совета 2025 года, а также будущим собраниям и конференциям по мере необходимости,</w:t>
      </w:r>
    </w:p>
    <w:p w14:paraId="3699BD67" w14:textId="77777777" w:rsidR="003B4430" w:rsidRPr="00E1776D" w:rsidRDefault="003B4430" w:rsidP="00AB3FD8">
      <w:pPr>
        <w:pStyle w:val="Call"/>
      </w:pPr>
      <w:r w:rsidRPr="00E1776D">
        <w:t>предлагает Государствам-Членам</w:t>
      </w:r>
    </w:p>
    <w:p w14:paraId="4303E2D2" w14:textId="77777777" w:rsidR="003B4430" w:rsidRPr="00E1776D" w:rsidRDefault="003B4430" w:rsidP="003B4430">
      <w:pPr>
        <w:rPr>
          <w:rFonts w:asciiTheme="minorHAnsi" w:hAnsiTheme="minorHAnsi" w:cstheme="minorHAnsi"/>
          <w:szCs w:val="24"/>
        </w:rPr>
      </w:pPr>
      <w:r w:rsidRPr="00E1776D">
        <w:t>представлять вклады на ВКРЭ-25 и ПК-26 для поддержки усилий МСЭ по восстановлению инфраструктуры электросвязи в Палестине, оказанию необходимой помощи и созданию технического потенциала.</w:t>
      </w:r>
    </w:p>
    <w:p w14:paraId="69767EBE" w14:textId="570953CA" w:rsidR="00796BD3" w:rsidRPr="00E1776D" w:rsidRDefault="003B4430" w:rsidP="00570A2C">
      <w:pPr>
        <w:spacing w:before="480"/>
        <w:jc w:val="center"/>
      </w:pPr>
      <w:r w:rsidRPr="00E1776D">
        <w:t>______________</w:t>
      </w:r>
    </w:p>
    <w:sectPr w:rsidR="00796BD3" w:rsidRPr="00E1776D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7447" w14:textId="77777777" w:rsidR="004646ED" w:rsidRDefault="004646ED">
      <w:r>
        <w:separator/>
      </w:r>
    </w:p>
  </w:endnote>
  <w:endnote w:type="continuationSeparator" w:id="0">
    <w:p w14:paraId="65B229C1" w14:textId="77777777" w:rsidR="004646ED" w:rsidRDefault="004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50E5CA69" w:rsidR="00672F8A" w:rsidRPr="00E06FD5" w:rsidRDefault="00672F8A" w:rsidP="00AB3FD8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AB3FD8">
            <w:rPr>
              <w:bCs/>
              <w:lang w:val="ru-RU"/>
            </w:rPr>
            <w:t>103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72A6EB98" w:rsidR="00672F8A" w:rsidRPr="00E06FD5" w:rsidRDefault="00672F8A" w:rsidP="00AB3FD8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AB3FD8">
            <w:rPr>
              <w:bCs/>
              <w:lang w:val="ru-RU"/>
            </w:rPr>
            <w:t>103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8D53" w14:textId="77777777" w:rsidR="004646ED" w:rsidRDefault="004646ED">
      <w:r>
        <w:t>____________________</w:t>
      </w:r>
    </w:p>
  </w:footnote>
  <w:footnote w:type="continuationSeparator" w:id="0">
    <w:p w14:paraId="6DB1616E" w14:textId="77777777" w:rsidR="004646ED" w:rsidRDefault="004646ED">
      <w:r>
        <w:continuationSeparator/>
      </w:r>
    </w:p>
  </w:footnote>
  <w:footnote w:id="1">
    <w:p w14:paraId="2B0751DA" w14:textId="1C941B8E" w:rsidR="00D84F89" w:rsidRPr="00D84F89" w:rsidRDefault="00D84F89" w:rsidP="00D84F89">
      <w:pPr>
        <w:pStyle w:val="FootnoteText"/>
        <w:tabs>
          <w:tab w:val="clear" w:pos="255"/>
        </w:tabs>
      </w:pPr>
      <w:r>
        <w:rPr>
          <w:rStyle w:val="FootnoteReference"/>
        </w:rPr>
        <w:t>*</w:t>
      </w:r>
      <w:r>
        <w:tab/>
      </w:r>
      <w:r>
        <w:rPr>
          <w:i/>
          <w:iCs/>
        </w:rPr>
        <w:t>Резолюция</w:t>
      </w:r>
      <w:r>
        <w:rPr>
          <w:i/>
          <w:iCs/>
          <w:lang w:val="en-US"/>
        </w:rPr>
        <w:t> </w:t>
      </w:r>
      <w:r>
        <w:rPr>
          <w:i/>
          <w:iCs/>
        </w:rPr>
        <w:t>99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96D6C8A" w14:textId="77777777" w:rsidR="00796BD3" w:rsidRPr="00685322" w:rsidRDefault="00796BD3">
    <w:pPr>
      <w:pStyle w:val="Header"/>
      <w:rPr>
        <w:sz w:val="6"/>
        <w:szCs w:val="8"/>
      </w:rPr>
    </w:pPr>
    <w:r w:rsidRPr="00685322">
      <w:rPr>
        <w:rFonts w:ascii="Avenir Nxt2 W1G Medium" w:eastAsia="Avenir Nxt2 W1G Medium" w:hAnsi="Avenir Nxt2 W1G Medium" w:cs="Avenir Nxt2 W1G Medium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E0FF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9C2"/>
    <w:multiLevelType w:val="multilevel"/>
    <w:tmpl w:val="FFFFFFFF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C617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5ACB"/>
    <w:multiLevelType w:val="multilevel"/>
    <w:tmpl w:val="FFFFFFFF"/>
    <w:lvl w:ilvl="0">
      <w:start w:val="1"/>
      <w:numFmt w:val="decimal"/>
      <w:lvlText w:val="%1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609243650">
    <w:abstractNumId w:val="4"/>
  </w:num>
  <w:num w:numId="3" w16cid:durableId="182865469">
    <w:abstractNumId w:val="1"/>
  </w:num>
  <w:num w:numId="4" w16cid:durableId="1169369795">
    <w:abstractNumId w:val="3"/>
  </w:num>
  <w:num w:numId="5" w16cid:durableId="63124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4275"/>
    <w:rsid w:val="000569B4"/>
    <w:rsid w:val="00080E82"/>
    <w:rsid w:val="000B2DE7"/>
    <w:rsid w:val="000E568E"/>
    <w:rsid w:val="0014734F"/>
    <w:rsid w:val="0015710D"/>
    <w:rsid w:val="00161C2B"/>
    <w:rsid w:val="00163A32"/>
    <w:rsid w:val="00165D06"/>
    <w:rsid w:val="00192B41"/>
    <w:rsid w:val="001B7B09"/>
    <w:rsid w:val="001C044C"/>
    <w:rsid w:val="001E6719"/>
    <w:rsid w:val="001E7F50"/>
    <w:rsid w:val="00225368"/>
    <w:rsid w:val="002266A3"/>
    <w:rsid w:val="00227FF0"/>
    <w:rsid w:val="00291EB6"/>
    <w:rsid w:val="002C747B"/>
    <w:rsid w:val="002D2F57"/>
    <w:rsid w:val="002D48C5"/>
    <w:rsid w:val="0033025A"/>
    <w:rsid w:val="003B4430"/>
    <w:rsid w:val="003F099E"/>
    <w:rsid w:val="003F235E"/>
    <w:rsid w:val="004023E0"/>
    <w:rsid w:val="00403DD8"/>
    <w:rsid w:val="00442515"/>
    <w:rsid w:val="0045686C"/>
    <w:rsid w:val="004646ED"/>
    <w:rsid w:val="004918C4"/>
    <w:rsid w:val="00497703"/>
    <w:rsid w:val="004A0374"/>
    <w:rsid w:val="004A45B5"/>
    <w:rsid w:val="004D0129"/>
    <w:rsid w:val="00570A2C"/>
    <w:rsid w:val="005A64D5"/>
    <w:rsid w:val="005B3DEC"/>
    <w:rsid w:val="00601994"/>
    <w:rsid w:val="00660449"/>
    <w:rsid w:val="00672F8A"/>
    <w:rsid w:val="00685322"/>
    <w:rsid w:val="006A0056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B0CDD"/>
    <w:rsid w:val="009C1C89"/>
    <w:rsid w:val="009F3448"/>
    <w:rsid w:val="00A01CF9"/>
    <w:rsid w:val="00A26731"/>
    <w:rsid w:val="00A71773"/>
    <w:rsid w:val="00AB3FD8"/>
    <w:rsid w:val="00AE2C85"/>
    <w:rsid w:val="00B12A37"/>
    <w:rsid w:val="00B16A11"/>
    <w:rsid w:val="00B36ECF"/>
    <w:rsid w:val="00B41837"/>
    <w:rsid w:val="00B63EF2"/>
    <w:rsid w:val="00BA7D89"/>
    <w:rsid w:val="00BC0D39"/>
    <w:rsid w:val="00BC7BC0"/>
    <w:rsid w:val="00BD57B7"/>
    <w:rsid w:val="00BE63E2"/>
    <w:rsid w:val="00BF076E"/>
    <w:rsid w:val="00C85ABF"/>
    <w:rsid w:val="00CD2009"/>
    <w:rsid w:val="00CF629C"/>
    <w:rsid w:val="00D84F89"/>
    <w:rsid w:val="00D92EEA"/>
    <w:rsid w:val="00DA5D4E"/>
    <w:rsid w:val="00E176BA"/>
    <w:rsid w:val="00E1776D"/>
    <w:rsid w:val="00E328FD"/>
    <w:rsid w:val="00E41F08"/>
    <w:rsid w:val="00E423EC"/>
    <w:rsid w:val="00E55121"/>
    <w:rsid w:val="00EA3F20"/>
    <w:rsid w:val="00EB4FCB"/>
    <w:rsid w:val="00EC6BC5"/>
    <w:rsid w:val="00F17DD4"/>
    <w:rsid w:val="00F24C43"/>
    <w:rsid w:val="00F35898"/>
    <w:rsid w:val="00F5225B"/>
    <w:rsid w:val="00FE5701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D84F89"/>
    <w:rPr>
      <w:rFonts w:ascii="Calibri" w:hAnsi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ocs.org/Home/Mobile?FinalSymbol=A%2FRES%2F78%2F170&amp;Language=E&amp;DeviceType=Desktop&amp;LangRequested=Fal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doc.unesco.org/ark:/48223/pf00003874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docs.org/Home/Mobile?FinalSymbol=A%2FRES%2F78%2F170&amp;Language=E&amp;DeviceType=Desktop&amp;LangRequested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743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A649-AD2A-4A12-BE26-F3DAE698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4</Pages>
  <Words>1104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Maloletkova, Svetlana</cp:lastModifiedBy>
  <cp:revision>3</cp:revision>
  <cp:lastPrinted>2006-03-28T16:12:00Z</cp:lastPrinted>
  <dcterms:created xsi:type="dcterms:W3CDTF">2024-06-07T15:24:00Z</dcterms:created>
  <dcterms:modified xsi:type="dcterms:W3CDTF">2024-06-07T15:27:00Z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