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44BBA" w:rsidRPr="006F11AD" w14:paraId="78A6A31E" w14:textId="77777777" w:rsidTr="00E31DCE">
        <w:trPr>
          <w:cantSplit/>
          <w:trHeight w:val="23"/>
        </w:trPr>
        <w:tc>
          <w:tcPr>
            <w:tcW w:w="3969" w:type="dxa"/>
            <w:vMerge w:val="restart"/>
            <w:tcMar>
              <w:left w:w="0" w:type="dxa"/>
            </w:tcMar>
          </w:tcPr>
          <w:p w14:paraId="0A17511A" w14:textId="609DA82C" w:rsidR="00E44BBA" w:rsidRPr="006F11AD" w:rsidRDefault="00E44BBA" w:rsidP="00E44BB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B8F0459" w14:textId="01B957D3" w:rsidR="00E44BBA" w:rsidRPr="006F11AD" w:rsidRDefault="00E44BBA" w:rsidP="00E44BBA">
            <w:pPr>
              <w:tabs>
                <w:tab w:val="left" w:pos="851"/>
              </w:tabs>
              <w:spacing w:before="0" w:line="240" w:lineRule="atLeast"/>
              <w:jc w:val="right"/>
              <w:rPr>
                <w:b/>
                <w:lang w:val="ru-RU"/>
              </w:rPr>
            </w:pPr>
            <w:bookmarkStart w:id="3" w:name="lt_pId003"/>
            <w:r w:rsidRPr="006F11AD">
              <w:rPr>
                <w:b/>
                <w:bCs/>
                <w:lang w:val="ru-RU"/>
              </w:rPr>
              <w:t>Документ C24/</w:t>
            </w:r>
            <w:r w:rsidR="00B82A26" w:rsidRPr="006F11AD">
              <w:rPr>
                <w:b/>
                <w:bCs/>
                <w:lang w:val="ru-RU"/>
              </w:rPr>
              <w:t>11</w:t>
            </w:r>
            <w:r w:rsidR="00503672" w:rsidRPr="006F11AD">
              <w:rPr>
                <w:b/>
                <w:bCs/>
                <w:lang w:val="ru-RU"/>
              </w:rPr>
              <w:t>1</w:t>
            </w:r>
            <w:r w:rsidRPr="006F11AD">
              <w:rPr>
                <w:b/>
                <w:bCs/>
                <w:lang w:val="ru-RU"/>
              </w:rPr>
              <w:t>-R</w:t>
            </w:r>
            <w:bookmarkEnd w:id="3"/>
          </w:p>
        </w:tc>
      </w:tr>
      <w:tr w:rsidR="00E44BBA" w:rsidRPr="006F11AD" w14:paraId="13C86DA0" w14:textId="77777777" w:rsidTr="00E31DCE">
        <w:trPr>
          <w:cantSplit/>
        </w:trPr>
        <w:tc>
          <w:tcPr>
            <w:tcW w:w="3969" w:type="dxa"/>
            <w:vMerge/>
          </w:tcPr>
          <w:p w14:paraId="2BCCBF78" w14:textId="77777777" w:rsidR="00E44BBA" w:rsidRPr="006F11AD" w:rsidRDefault="00E44BBA" w:rsidP="00E44BBA">
            <w:pPr>
              <w:tabs>
                <w:tab w:val="left" w:pos="851"/>
              </w:tabs>
              <w:spacing w:line="240" w:lineRule="atLeast"/>
              <w:rPr>
                <w:b/>
                <w:lang w:val="ru-RU"/>
              </w:rPr>
            </w:pPr>
            <w:bookmarkStart w:id="4" w:name="ddate" w:colFirst="1" w:colLast="1"/>
            <w:bookmarkEnd w:id="0"/>
            <w:bookmarkEnd w:id="1"/>
          </w:p>
        </w:tc>
        <w:tc>
          <w:tcPr>
            <w:tcW w:w="5245" w:type="dxa"/>
          </w:tcPr>
          <w:p w14:paraId="68DA24F3" w14:textId="3F9A6D66" w:rsidR="00E44BBA" w:rsidRPr="006F11AD" w:rsidRDefault="00EA7932" w:rsidP="00E44BBA">
            <w:pPr>
              <w:tabs>
                <w:tab w:val="left" w:pos="851"/>
              </w:tabs>
              <w:spacing w:before="0"/>
              <w:jc w:val="right"/>
              <w:rPr>
                <w:b/>
                <w:lang w:val="ru-RU"/>
              </w:rPr>
            </w:pPr>
            <w:r w:rsidRPr="00A47AF1">
              <w:rPr>
                <w:b/>
                <w:lang w:val="ru-RU"/>
              </w:rPr>
              <w:t xml:space="preserve">29 августа </w:t>
            </w:r>
            <w:r w:rsidR="00E44BBA" w:rsidRPr="006F11AD">
              <w:rPr>
                <w:b/>
                <w:bCs/>
                <w:lang w:val="ru-RU"/>
              </w:rPr>
              <w:t>2024 года</w:t>
            </w:r>
          </w:p>
        </w:tc>
      </w:tr>
      <w:bookmarkEnd w:id="4"/>
      <w:tr w:rsidR="00E44BBA" w:rsidRPr="006F11AD" w14:paraId="79364E60" w14:textId="77777777" w:rsidTr="00E31DCE">
        <w:trPr>
          <w:cantSplit/>
          <w:trHeight w:val="23"/>
        </w:trPr>
        <w:tc>
          <w:tcPr>
            <w:tcW w:w="3969" w:type="dxa"/>
            <w:vMerge/>
          </w:tcPr>
          <w:p w14:paraId="0B224375" w14:textId="77777777" w:rsidR="00E44BBA" w:rsidRPr="006F11AD" w:rsidRDefault="00E44BBA" w:rsidP="00E44BBA">
            <w:pPr>
              <w:tabs>
                <w:tab w:val="left" w:pos="851"/>
              </w:tabs>
              <w:spacing w:line="240" w:lineRule="atLeast"/>
              <w:rPr>
                <w:b/>
                <w:lang w:val="ru-RU"/>
              </w:rPr>
            </w:pPr>
          </w:p>
        </w:tc>
        <w:tc>
          <w:tcPr>
            <w:tcW w:w="5245" w:type="dxa"/>
          </w:tcPr>
          <w:p w14:paraId="3C82990D" w14:textId="0DEEA59F" w:rsidR="00E44BBA" w:rsidRPr="006F11AD" w:rsidRDefault="00E44BBA" w:rsidP="00E44BBA">
            <w:pPr>
              <w:tabs>
                <w:tab w:val="left" w:pos="851"/>
              </w:tabs>
              <w:spacing w:before="0" w:line="240" w:lineRule="atLeast"/>
              <w:jc w:val="right"/>
              <w:rPr>
                <w:b/>
                <w:lang w:val="ru-RU"/>
              </w:rPr>
            </w:pPr>
            <w:bookmarkStart w:id="5" w:name="lt_pId006"/>
            <w:r w:rsidRPr="006F11AD">
              <w:rPr>
                <w:b/>
                <w:bCs/>
                <w:lang w:val="ru-RU"/>
              </w:rPr>
              <w:t>Оригинал: английский</w:t>
            </w:r>
            <w:bookmarkEnd w:id="5"/>
          </w:p>
        </w:tc>
      </w:tr>
      <w:tr w:rsidR="00796BD3" w:rsidRPr="006F11AD" w14:paraId="0DDB2F40" w14:textId="77777777" w:rsidTr="00E31DCE">
        <w:trPr>
          <w:cantSplit/>
          <w:trHeight w:val="23"/>
        </w:trPr>
        <w:tc>
          <w:tcPr>
            <w:tcW w:w="3969" w:type="dxa"/>
          </w:tcPr>
          <w:p w14:paraId="3369C418" w14:textId="77777777" w:rsidR="00796BD3" w:rsidRPr="006F11AD" w:rsidRDefault="00796BD3" w:rsidP="00B82A26">
            <w:pPr>
              <w:tabs>
                <w:tab w:val="left" w:pos="851"/>
              </w:tabs>
              <w:spacing w:before="0"/>
              <w:rPr>
                <w:b/>
                <w:lang w:val="ru-RU"/>
              </w:rPr>
            </w:pPr>
            <w:bookmarkStart w:id="6" w:name="dorlang" w:colFirst="1" w:colLast="1"/>
          </w:p>
        </w:tc>
        <w:tc>
          <w:tcPr>
            <w:tcW w:w="5245" w:type="dxa"/>
          </w:tcPr>
          <w:p w14:paraId="7B949313" w14:textId="77777777" w:rsidR="00796BD3" w:rsidRPr="006F11AD" w:rsidRDefault="00796BD3" w:rsidP="00B82A26">
            <w:pPr>
              <w:tabs>
                <w:tab w:val="left" w:pos="851"/>
              </w:tabs>
              <w:spacing w:before="0"/>
              <w:jc w:val="right"/>
              <w:rPr>
                <w:b/>
                <w:lang w:val="ru-RU"/>
              </w:rPr>
            </w:pPr>
          </w:p>
        </w:tc>
      </w:tr>
      <w:tr w:rsidR="00E44BBA" w:rsidRPr="0073136B" w14:paraId="04957F6B" w14:textId="77777777" w:rsidTr="00E31DCE">
        <w:trPr>
          <w:cantSplit/>
        </w:trPr>
        <w:tc>
          <w:tcPr>
            <w:tcW w:w="9214" w:type="dxa"/>
            <w:gridSpan w:val="2"/>
            <w:tcMar>
              <w:left w:w="0" w:type="dxa"/>
            </w:tcMar>
          </w:tcPr>
          <w:p w14:paraId="4D502148" w14:textId="77777777" w:rsidR="00B82A26" w:rsidRPr="006F11AD" w:rsidRDefault="00B82A26" w:rsidP="00B82A26">
            <w:pPr>
              <w:pStyle w:val="Source"/>
              <w:rPr>
                <w:bCs/>
                <w:sz w:val="32"/>
                <w:szCs w:val="32"/>
                <w:lang w:val="ru-RU"/>
              </w:rPr>
            </w:pPr>
            <w:bookmarkStart w:id="7" w:name="dsource" w:colFirst="0" w:colLast="0"/>
            <w:bookmarkEnd w:id="6"/>
            <w:r w:rsidRPr="006F11AD">
              <w:rPr>
                <w:bCs/>
                <w:sz w:val="32"/>
                <w:szCs w:val="32"/>
                <w:lang w:val="ru-RU"/>
              </w:rPr>
              <w:t>КРАТКИЙ ОТЧЕТ</w:t>
            </w:r>
          </w:p>
          <w:p w14:paraId="61384F4F" w14:textId="7D5B24D9" w:rsidR="00503672" w:rsidRPr="006F11AD" w:rsidRDefault="00B82A26" w:rsidP="00503672">
            <w:pPr>
              <w:pStyle w:val="Source"/>
              <w:spacing w:before="120"/>
              <w:rPr>
                <w:bCs/>
                <w:sz w:val="32"/>
                <w:szCs w:val="32"/>
                <w:lang w:val="ru-RU"/>
              </w:rPr>
            </w:pPr>
            <w:r w:rsidRPr="006F11AD">
              <w:rPr>
                <w:bCs/>
                <w:sz w:val="32"/>
                <w:szCs w:val="32"/>
                <w:lang w:val="ru-RU"/>
              </w:rPr>
              <w:t>О</w:t>
            </w:r>
          </w:p>
          <w:p w14:paraId="2CB05ABB" w14:textId="0C0CC6EE" w:rsidR="00072A80" w:rsidRPr="006F11AD" w:rsidRDefault="00503672" w:rsidP="00503672">
            <w:pPr>
              <w:pStyle w:val="Source"/>
              <w:spacing w:before="120"/>
              <w:rPr>
                <w:lang w:val="ru-RU"/>
              </w:rPr>
            </w:pPr>
            <w:r w:rsidRPr="006F11AD">
              <w:rPr>
                <w:bCs/>
                <w:sz w:val="32"/>
                <w:szCs w:val="32"/>
                <w:lang w:val="ru-RU"/>
              </w:rPr>
              <w:t xml:space="preserve">ПЕРВОМ </w:t>
            </w:r>
            <w:r w:rsidR="00B82A26" w:rsidRPr="006F11AD">
              <w:rPr>
                <w:bCs/>
                <w:sz w:val="32"/>
                <w:szCs w:val="32"/>
                <w:lang w:val="ru-RU"/>
              </w:rPr>
              <w:t>ПЛЕНАРНОМ ЗАСЕДАНИИ</w:t>
            </w:r>
          </w:p>
        </w:tc>
      </w:tr>
      <w:tr w:rsidR="00B82A26" w:rsidRPr="0073136B" w14:paraId="2EE9CEF7" w14:textId="77777777" w:rsidTr="00E31DCE">
        <w:trPr>
          <w:cantSplit/>
        </w:trPr>
        <w:tc>
          <w:tcPr>
            <w:tcW w:w="9214" w:type="dxa"/>
            <w:gridSpan w:val="2"/>
            <w:tcMar>
              <w:left w:w="0" w:type="dxa"/>
            </w:tcMar>
          </w:tcPr>
          <w:p w14:paraId="5ABFF538" w14:textId="4AF40E4B" w:rsidR="00B82A26" w:rsidRPr="006F11AD" w:rsidRDefault="00B82A26" w:rsidP="00B82A26">
            <w:pPr>
              <w:pStyle w:val="Normalaftertitle"/>
              <w:jc w:val="center"/>
              <w:rPr>
                <w:lang w:val="ru-RU"/>
              </w:rPr>
            </w:pPr>
            <w:r w:rsidRPr="006F11AD">
              <w:rPr>
                <w:lang w:val="ru-RU"/>
              </w:rPr>
              <w:t xml:space="preserve">Вторник, </w:t>
            </w:r>
            <w:r w:rsidR="00072A80" w:rsidRPr="006F11AD">
              <w:rPr>
                <w:lang w:val="ru-RU"/>
              </w:rPr>
              <w:t>4</w:t>
            </w:r>
            <w:r w:rsidRPr="006F11AD">
              <w:rPr>
                <w:lang w:val="ru-RU"/>
              </w:rPr>
              <w:t xml:space="preserve"> июня 2024 года, </w:t>
            </w:r>
            <w:r w:rsidR="00503672" w:rsidRPr="006F11AD">
              <w:rPr>
                <w:lang w:val="ru-RU"/>
              </w:rPr>
              <w:t>14</w:t>
            </w:r>
            <w:r w:rsidRPr="006F11AD">
              <w:rPr>
                <w:lang w:val="ru-RU"/>
              </w:rPr>
              <w:t xml:space="preserve"> час. </w:t>
            </w:r>
            <w:r w:rsidR="00072A80" w:rsidRPr="006F11AD">
              <w:rPr>
                <w:lang w:val="ru-RU"/>
              </w:rPr>
              <w:t>3</w:t>
            </w:r>
            <w:r w:rsidR="00503672" w:rsidRPr="006F11AD">
              <w:rPr>
                <w:lang w:val="ru-RU"/>
              </w:rPr>
              <w:t>5</w:t>
            </w:r>
            <w:r w:rsidRPr="006F11AD">
              <w:rPr>
                <w:lang w:val="ru-RU"/>
              </w:rPr>
              <w:t xml:space="preserve"> мин. − 1</w:t>
            </w:r>
            <w:r w:rsidR="00503672" w:rsidRPr="006F11AD">
              <w:rPr>
                <w:lang w:val="ru-RU"/>
              </w:rPr>
              <w:t>7</w:t>
            </w:r>
            <w:r w:rsidRPr="006F11AD">
              <w:rPr>
                <w:lang w:val="ru-RU"/>
              </w:rPr>
              <w:t xml:space="preserve"> час. </w:t>
            </w:r>
            <w:r w:rsidR="00503672" w:rsidRPr="006F11AD">
              <w:rPr>
                <w:lang w:val="ru-RU"/>
              </w:rPr>
              <w:t>5</w:t>
            </w:r>
            <w:r w:rsidRPr="006F11AD">
              <w:rPr>
                <w:lang w:val="ru-RU"/>
              </w:rPr>
              <w:t>0 мин.</w:t>
            </w:r>
          </w:p>
          <w:p w14:paraId="0958CE2A" w14:textId="1CF63A30" w:rsidR="00B82A26" w:rsidRPr="006F11AD" w:rsidRDefault="00B82A26" w:rsidP="00B82A26">
            <w:pPr>
              <w:pStyle w:val="Normalaftertitle"/>
              <w:jc w:val="center"/>
              <w:rPr>
                <w:lang w:val="ru-RU"/>
              </w:rPr>
            </w:pPr>
            <w:r w:rsidRPr="006F11AD">
              <w:rPr>
                <w:b/>
                <w:bCs/>
                <w:lang w:val="ru-RU"/>
              </w:rPr>
              <w:t>Председатель</w:t>
            </w:r>
            <w:r w:rsidRPr="006F11AD">
              <w:rPr>
                <w:lang w:val="ru-RU"/>
              </w:rPr>
              <w:t xml:space="preserve">: г-н </w:t>
            </w:r>
            <w:r w:rsidR="00072A80" w:rsidRPr="006F11AD">
              <w:rPr>
                <w:lang w:val="ru-RU"/>
              </w:rPr>
              <w:t>Ф</w:t>
            </w:r>
            <w:r w:rsidR="00877B42" w:rsidRPr="006F11AD">
              <w:rPr>
                <w:lang w:val="ru-RU"/>
              </w:rPr>
              <w:t>.</w:t>
            </w:r>
            <w:r w:rsidRPr="006F11AD">
              <w:rPr>
                <w:lang w:val="ru-RU"/>
              </w:rPr>
              <w:t xml:space="preserve"> СОВАЖ (Франция)</w:t>
            </w:r>
          </w:p>
        </w:tc>
      </w:tr>
      <w:bookmarkEnd w:id="2"/>
      <w:bookmarkEnd w:id="7"/>
    </w:tbl>
    <w:p w14:paraId="3F03BE9C" w14:textId="77777777" w:rsidR="00796BD3" w:rsidRPr="006F11AD" w:rsidRDefault="00796BD3" w:rsidP="00B82A26">
      <w:pPr>
        <w:spacing w:before="0"/>
        <w:rPr>
          <w:lang w:val="ru-RU"/>
        </w:rPr>
      </w:pPr>
    </w:p>
    <w:p w14:paraId="652D4492" w14:textId="77777777" w:rsidR="00B82A26" w:rsidRPr="006F11AD" w:rsidRDefault="00B82A26" w:rsidP="00B82A26">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82A26" w:rsidRPr="006F11AD" w14:paraId="0A989A35" w14:textId="77777777" w:rsidTr="008B00F6">
        <w:tc>
          <w:tcPr>
            <w:tcW w:w="242" w:type="pct"/>
          </w:tcPr>
          <w:p w14:paraId="2EB27A49" w14:textId="77777777" w:rsidR="00B82A26" w:rsidRPr="006F11AD" w:rsidRDefault="00B82A26" w:rsidP="00B82A26">
            <w:pPr>
              <w:jc w:val="center"/>
              <w:rPr>
                <w:b/>
                <w:bCs/>
                <w:lang w:val="ru-RU"/>
              </w:rPr>
            </w:pPr>
            <w:bookmarkStart w:id="8" w:name="_Hlk141438382"/>
            <w:r w:rsidRPr="006F11AD">
              <w:rPr>
                <w:b/>
                <w:bCs/>
                <w:lang w:val="ru-RU"/>
              </w:rPr>
              <w:br w:type="page"/>
            </w:r>
            <w:r w:rsidRPr="006F11AD">
              <w:rPr>
                <w:b/>
                <w:bCs/>
                <w:lang w:val="ru-RU"/>
              </w:rPr>
              <w:br w:type="page"/>
            </w:r>
          </w:p>
        </w:tc>
        <w:tc>
          <w:tcPr>
            <w:tcW w:w="3580" w:type="pct"/>
            <w:hideMark/>
          </w:tcPr>
          <w:p w14:paraId="100A1B9D" w14:textId="77777777" w:rsidR="00B82A26" w:rsidRPr="006F11AD" w:rsidRDefault="00B82A26" w:rsidP="00FF54F7">
            <w:pPr>
              <w:rPr>
                <w:b/>
                <w:bCs/>
                <w:lang w:val="ru-RU"/>
              </w:rPr>
            </w:pPr>
            <w:r w:rsidRPr="006F11AD">
              <w:rPr>
                <w:b/>
                <w:bCs/>
                <w:lang w:val="ru-RU"/>
              </w:rPr>
              <w:t>Обсуждаемые вопросы</w:t>
            </w:r>
          </w:p>
        </w:tc>
        <w:tc>
          <w:tcPr>
            <w:tcW w:w="1178" w:type="pct"/>
            <w:hideMark/>
          </w:tcPr>
          <w:p w14:paraId="6ED20862" w14:textId="77777777" w:rsidR="00B82A26" w:rsidRPr="006F11AD" w:rsidRDefault="00B82A26" w:rsidP="00B82A26">
            <w:pPr>
              <w:jc w:val="center"/>
              <w:rPr>
                <w:b/>
                <w:bCs/>
                <w:lang w:val="ru-RU"/>
              </w:rPr>
            </w:pPr>
            <w:r w:rsidRPr="006F11AD">
              <w:rPr>
                <w:b/>
                <w:bCs/>
                <w:lang w:val="ru-RU"/>
              </w:rPr>
              <w:t>Документы</w:t>
            </w:r>
          </w:p>
        </w:tc>
      </w:tr>
      <w:tr w:rsidR="00503672" w:rsidRPr="006F11AD" w14:paraId="34235BE4" w14:textId="77777777" w:rsidTr="008B00F6">
        <w:trPr>
          <w:trHeight w:val="20"/>
        </w:trPr>
        <w:tc>
          <w:tcPr>
            <w:tcW w:w="242" w:type="pct"/>
            <w:hideMark/>
          </w:tcPr>
          <w:p w14:paraId="1B608772" w14:textId="77777777" w:rsidR="00503672" w:rsidRPr="006F11AD" w:rsidRDefault="00503672" w:rsidP="00503672">
            <w:pPr>
              <w:rPr>
                <w:lang w:val="ru-RU"/>
              </w:rPr>
            </w:pPr>
            <w:r w:rsidRPr="006F11AD">
              <w:rPr>
                <w:lang w:val="ru-RU"/>
              </w:rPr>
              <w:t>1</w:t>
            </w:r>
          </w:p>
        </w:tc>
        <w:tc>
          <w:tcPr>
            <w:tcW w:w="3580" w:type="pct"/>
          </w:tcPr>
          <w:p w14:paraId="6138EFFC" w14:textId="646464C2" w:rsidR="00503672" w:rsidRPr="006F11AD" w:rsidRDefault="00503672" w:rsidP="00503672">
            <w:pPr>
              <w:rPr>
                <w:lang w:val="ru-RU"/>
              </w:rPr>
            </w:pPr>
            <w:r w:rsidRPr="006F11AD">
              <w:rPr>
                <w:szCs w:val="22"/>
                <w:lang w:val="ru-RU"/>
              </w:rPr>
              <w:t>Обновленная информация о процессе трансформации и дорожная карта трансформации</w:t>
            </w:r>
          </w:p>
        </w:tc>
        <w:tc>
          <w:tcPr>
            <w:tcW w:w="1178" w:type="pct"/>
          </w:tcPr>
          <w:p w14:paraId="605B9300" w14:textId="26D846F7" w:rsidR="00503672" w:rsidRPr="006F11AD" w:rsidRDefault="0073136B" w:rsidP="00503672">
            <w:pPr>
              <w:jc w:val="center"/>
              <w:rPr>
                <w:lang w:val="ru-RU"/>
              </w:rPr>
            </w:pPr>
            <w:hyperlink r:id="rId7" w:history="1">
              <w:r w:rsidR="00503672" w:rsidRPr="006F11AD">
                <w:rPr>
                  <w:rStyle w:val="Hyperlink"/>
                  <w:szCs w:val="22"/>
                  <w:lang w:val="ru-RU"/>
                </w:rPr>
                <w:t>C24/52</w:t>
              </w:r>
            </w:hyperlink>
            <w:r w:rsidR="00503672" w:rsidRPr="006F11AD">
              <w:rPr>
                <w:szCs w:val="22"/>
                <w:lang w:val="ru-RU"/>
              </w:rPr>
              <w:t xml:space="preserve">, </w:t>
            </w:r>
            <w:hyperlink r:id="rId8" w:history="1">
              <w:r w:rsidR="00503672" w:rsidRPr="006F11AD">
                <w:rPr>
                  <w:rStyle w:val="Hyperlink"/>
                  <w:szCs w:val="22"/>
                  <w:lang w:val="ru-RU"/>
                </w:rPr>
                <w:t>C24/73</w:t>
              </w:r>
            </w:hyperlink>
          </w:p>
        </w:tc>
      </w:tr>
      <w:tr w:rsidR="00503672" w:rsidRPr="006F11AD" w14:paraId="49ED7780" w14:textId="77777777" w:rsidTr="00D131BC">
        <w:trPr>
          <w:trHeight w:val="20"/>
        </w:trPr>
        <w:tc>
          <w:tcPr>
            <w:tcW w:w="242" w:type="pct"/>
          </w:tcPr>
          <w:p w14:paraId="33EA92B8" w14:textId="497E2B46" w:rsidR="00503672" w:rsidRPr="006F11AD" w:rsidRDefault="00503672" w:rsidP="00503672">
            <w:pPr>
              <w:rPr>
                <w:lang w:val="ru-RU"/>
              </w:rPr>
            </w:pPr>
            <w:r w:rsidRPr="006F11AD">
              <w:rPr>
                <w:lang w:val="ru-RU"/>
              </w:rPr>
              <w:t>2</w:t>
            </w:r>
          </w:p>
        </w:tc>
        <w:tc>
          <w:tcPr>
            <w:tcW w:w="3580" w:type="pct"/>
          </w:tcPr>
          <w:p w14:paraId="490B5F3B" w14:textId="7A7A57B1" w:rsidR="00503672" w:rsidRPr="006F11AD" w:rsidRDefault="00503672" w:rsidP="00503672">
            <w:pPr>
              <w:rPr>
                <w:lang w:val="ru-RU"/>
              </w:rPr>
            </w:pPr>
            <w:r w:rsidRPr="006F11AD">
              <w:rPr>
                <w:szCs w:val="22"/>
                <w:lang w:val="ru-RU"/>
              </w:rPr>
              <w:t xml:space="preserve">Стратегия координации усилий трех Секторов Союза </w:t>
            </w:r>
          </w:p>
        </w:tc>
        <w:tc>
          <w:tcPr>
            <w:tcW w:w="1178" w:type="pct"/>
            <w:vAlign w:val="center"/>
          </w:tcPr>
          <w:p w14:paraId="545131B9" w14:textId="52272BF3" w:rsidR="00503672" w:rsidRPr="006F11AD" w:rsidRDefault="0073136B" w:rsidP="00503672">
            <w:pPr>
              <w:jc w:val="center"/>
              <w:rPr>
                <w:lang w:val="ru-RU"/>
              </w:rPr>
            </w:pPr>
            <w:hyperlink r:id="rId9" w:history="1">
              <w:r w:rsidR="00503672" w:rsidRPr="006F11AD">
                <w:rPr>
                  <w:rStyle w:val="Hyperlink"/>
                  <w:szCs w:val="22"/>
                  <w:lang w:val="ru-RU"/>
                </w:rPr>
                <w:t>C24/27</w:t>
              </w:r>
            </w:hyperlink>
          </w:p>
        </w:tc>
      </w:tr>
      <w:tr w:rsidR="00503672" w:rsidRPr="006F11AD" w14:paraId="63372F78" w14:textId="77777777" w:rsidTr="00D131BC">
        <w:trPr>
          <w:trHeight w:val="20"/>
        </w:trPr>
        <w:tc>
          <w:tcPr>
            <w:tcW w:w="242" w:type="pct"/>
          </w:tcPr>
          <w:p w14:paraId="3EEBDEFE" w14:textId="084EF539" w:rsidR="00503672" w:rsidRPr="006F11AD" w:rsidRDefault="00503672" w:rsidP="00503672">
            <w:pPr>
              <w:rPr>
                <w:lang w:val="ru-RU"/>
              </w:rPr>
            </w:pPr>
            <w:r w:rsidRPr="006F11AD">
              <w:rPr>
                <w:lang w:val="ru-RU"/>
              </w:rPr>
              <w:t>3</w:t>
            </w:r>
          </w:p>
        </w:tc>
        <w:tc>
          <w:tcPr>
            <w:tcW w:w="3580" w:type="pct"/>
          </w:tcPr>
          <w:p w14:paraId="79D67DD4" w14:textId="42830CC0" w:rsidR="00503672" w:rsidRPr="006F11AD" w:rsidRDefault="00503672" w:rsidP="00503672">
            <w:pPr>
              <w:rPr>
                <w:lang w:val="ru-RU"/>
              </w:rPr>
            </w:pPr>
            <w:r w:rsidRPr="006F11AD">
              <w:rPr>
                <w:bCs/>
                <w:szCs w:val="22"/>
                <w:lang w:val="ru-RU"/>
              </w:rPr>
              <w:t>Укрепление регионального присутствия МСЭ</w:t>
            </w:r>
          </w:p>
        </w:tc>
        <w:tc>
          <w:tcPr>
            <w:tcW w:w="1178" w:type="pct"/>
            <w:vAlign w:val="center"/>
          </w:tcPr>
          <w:p w14:paraId="34A619C3" w14:textId="43CDE849" w:rsidR="00503672" w:rsidRPr="006F11AD" w:rsidRDefault="0073136B" w:rsidP="00503672">
            <w:pPr>
              <w:jc w:val="center"/>
              <w:rPr>
                <w:lang w:val="ru-RU"/>
              </w:rPr>
            </w:pPr>
            <w:hyperlink r:id="rId10" w:history="1">
              <w:r w:rsidR="00503672" w:rsidRPr="006F11AD">
                <w:rPr>
                  <w:rStyle w:val="Hyperlink"/>
                  <w:szCs w:val="22"/>
                  <w:lang w:val="ru-RU"/>
                </w:rPr>
                <w:t>C24/25</w:t>
              </w:r>
            </w:hyperlink>
            <w:r w:rsidR="00503672" w:rsidRPr="006F11AD">
              <w:rPr>
                <w:szCs w:val="22"/>
                <w:lang w:val="ru-RU"/>
              </w:rPr>
              <w:t xml:space="preserve">, </w:t>
            </w:r>
            <w:hyperlink r:id="rId11" w:history="1">
              <w:r w:rsidR="00503672" w:rsidRPr="006F11AD">
                <w:rPr>
                  <w:rStyle w:val="Hyperlink"/>
                  <w:szCs w:val="22"/>
                  <w:lang w:val="ru-RU"/>
                </w:rPr>
                <w:t>C24/79</w:t>
              </w:r>
            </w:hyperlink>
            <w:r w:rsidR="00503672" w:rsidRPr="006F11AD">
              <w:rPr>
                <w:szCs w:val="22"/>
                <w:lang w:val="ru-RU"/>
              </w:rPr>
              <w:t xml:space="preserve">, </w:t>
            </w:r>
            <w:hyperlink r:id="rId12" w:history="1">
              <w:r w:rsidR="00503672" w:rsidRPr="006F11AD">
                <w:rPr>
                  <w:rStyle w:val="Hyperlink"/>
                  <w:szCs w:val="22"/>
                  <w:lang w:val="ru-RU"/>
                </w:rPr>
                <w:t>C24/98</w:t>
              </w:r>
            </w:hyperlink>
            <w:r w:rsidR="00503672" w:rsidRPr="006F11AD">
              <w:rPr>
                <w:szCs w:val="22"/>
                <w:lang w:val="ru-RU"/>
              </w:rPr>
              <w:t xml:space="preserve">, </w:t>
            </w:r>
            <w:hyperlink r:id="rId13" w:history="1">
              <w:r w:rsidR="00503672" w:rsidRPr="006F11AD">
                <w:rPr>
                  <w:rStyle w:val="Hyperlink"/>
                  <w:szCs w:val="22"/>
                  <w:lang w:val="ru-RU"/>
                </w:rPr>
                <w:t>C24/100</w:t>
              </w:r>
            </w:hyperlink>
          </w:p>
        </w:tc>
      </w:tr>
      <w:bookmarkEnd w:id="8"/>
    </w:tbl>
    <w:p w14:paraId="3A8A6CD8" w14:textId="77777777" w:rsidR="00B82A26" w:rsidRPr="006F11AD" w:rsidRDefault="00B82A26" w:rsidP="00B82A26">
      <w:pPr>
        <w:rPr>
          <w:lang w:val="ru-RU"/>
        </w:rPr>
      </w:pPr>
    </w:p>
    <w:p w14:paraId="0DB437E6" w14:textId="14AC8C2E" w:rsidR="00165D06" w:rsidRPr="006F11AD" w:rsidRDefault="00165D06" w:rsidP="00B82A26">
      <w:pPr>
        <w:rPr>
          <w:lang w:val="ru-RU"/>
        </w:rPr>
      </w:pPr>
      <w:r w:rsidRPr="006F11AD">
        <w:rPr>
          <w:lang w:val="ru-RU"/>
        </w:rPr>
        <w:br w:type="page"/>
      </w:r>
    </w:p>
    <w:p w14:paraId="57F65057" w14:textId="3A28B836" w:rsidR="00503672" w:rsidRPr="006F11AD" w:rsidRDefault="00A02AF9" w:rsidP="00A02AF9">
      <w:pPr>
        <w:pStyle w:val="Heading1"/>
        <w:rPr>
          <w:lang w:val="ru-RU"/>
        </w:rPr>
      </w:pPr>
      <w:bookmarkStart w:id="9" w:name="lt_pId033"/>
      <w:bookmarkEnd w:id="9"/>
      <w:r w:rsidRPr="006F11AD">
        <w:rPr>
          <w:lang w:val="ru-RU"/>
        </w:rPr>
        <w:lastRenderedPageBreak/>
        <w:t>1</w:t>
      </w:r>
      <w:r w:rsidRPr="006F11AD">
        <w:rPr>
          <w:lang w:val="ru-RU"/>
        </w:rPr>
        <w:tab/>
      </w:r>
      <w:r w:rsidR="00503672" w:rsidRPr="006F11AD">
        <w:rPr>
          <w:lang w:val="ru-RU"/>
        </w:rPr>
        <w:t>Обновленная информация о процессе трансформации и дорожная карта трансформации (Документы</w:t>
      </w:r>
      <w:bookmarkStart w:id="10" w:name="_Hlk168413741"/>
      <w:bookmarkStart w:id="11" w:name="_Hlk168472700"/>
      <w:r w:rsidR="006F11AD">
        <w:rPr>
          <w:lang w:val="ru-RU"/>
        </w:rPr>
        <w:t> </w:t>
      </w:r>
      <w:hyperlink r:id="rId14" w:history="1">
        <w:r w:rsidR="00503672" w:rsidRPr="006F11AD">
          <w:rPr>
            <w:rStyle w:val="Hyperlink"/>
            <w:bCs/>
            <w:lang w:val="ru-RU"/>
          </w:rPr>
          <w:t>C24/52</w:t>
        </w:r>
        <w:bookmarkEnd w:id="10"/>
      </w:hyperlink>
      <w:r w:rsidR="00503672" w:rsidRPr="006F11AD">
        <w:rPr>
          <w:lang w:val="ru-RU"/>
        </w:rPr>
        <w:t xml:space="preserve"> и </w:t>
      </w:r>
      <w:hyperlink r:id="rId15" w:history="1">
        <w:r w:rsidR="00503672" w:rsidRPr="006F11AD">
          <w:rPr>
            <w:rStyle w:val="Hyperlink"/>
            <w:bCs/>
            <w:lang w:val="ru-RU"/>
          </w:rPr>
          <w:t>C24/73</w:t>
        </w:r>
        <w:bookmarkEnd w:id="11"/>
      </w:hyperlink>
      <w:r w:rsidR="00503672" w:rsidRPr="006F11AD">
        <w:rPr>
          <w:lang w:val="ru-RU"/>
        </w:rPr>
        <w:t>)</w:t>
      </w:r>
    </w:p>
    <w:p w14:paraId="1F74EE5A" w14:textId="4C640E8F" w:rsidR="00503672" w:rsidRPr="00503672" w:rsidRDefault="00503672" w:rsidP="00503672">
      <w:pPr>
        <w:rPr>
          <w:lang w:val="ru-RU"/>
        </w:rPr>
      </w:pPr>
      <w:r w:rsidRPr="00503672">
        <w:rPr>
          <w:lang w:val="ru-RU"/>
        </w:rPr>
        <w:t>1.1</w:t>
      </w:r>
      <w:r w:rsidRPr="00503672">
        <w:rPr>
          <w:lang w:val="ru-RU"/>
        </w:rPr>
        <w:tab/>
        <w:t>Исполняющий обязанности руководителя Группы по трансформации представляет Документ</w:t>
      </w:r>
      <w:r w:rsidR="006F11AD">
        <w:rPr>
          <w:lang w:val="ru-RU"/>
        </w:rPr>
        <w:t> </w:t>
      </w:r>
      <w:r w:rsidRPr="00503672">
        <w:rPr>
          <w:lang w:val="ru-RU"/>
        </w:rPr>
        <w:t>C24/52, в котором содержится обновленная информация о ходе реализации процесса трансформации для достижения организационной эффективности; и Документ</w:t>
      </w:r>
      <w:r w:rsidR="006F11AD">
        <w:rPr>
          <w:lang w:val="ru-RU"/>
        </w:rPr>
        <w:t> </w:t>
      </w:r>
      <w:r w:rsidRPr="00503672">
        <w:rPr>
          <w:lang w:val="ru-RU"/>
        </w:rPr>
        <w:t>C24/73, в котором изложена дорожная карта МСЭ для организационной трансформации с опорой на обновленную информацию и методику, представленную в Документе</w:t>
      </w:r>
      <w:r w:rsidR="006F11AD">
        <w:rPr>
          <w:lang w:val="ru-RU"/>
        </w:rPr>
        <w:t> </w:t>
      </w:r>
      <w:r w:rsidRPr="00503672">
        <w:rPr>
          <w:lang w:val="ru-RU"/>
        </w:rPr>
        <w:t>C24/52. Трансформация направлена на достижение конкретных результатов, которые отражают повышение эффективности деятельности организации, оцениваемое с помощью четких и поддающихся измерению показателей.</w:t>
      </w:r>
    </w:p>
    <w:p w14:paraId="63E8B6E1" w14:textId="77777777" w:rsidR="00503672" w:rsidRPr="00503672" w:rsidRDefault="00503672" w:rsidP="00503672">
      <w:pPr>
        <w:rPr>
          <w:lang w:val="ru-RU"/>
        </w:rPr>
      </w:pPr>
      <w:r w:rsidRPr="00503672">
        <w:rPr>
          <w:lang w:val="ru-RU"/>
        </w:rPr>
        <w:t>1.2</w:t>
      </w:r>
      <w:r w:rsidRPr="00503672">
        <w:rPr>
          <w:lang w:val="ru-RU"/>
        </w:rPr>
        <w:tab/>
        <w:t>Многие Советники дают высокую оценку документам, отмечая их обстоятельность, ясность цели и акцент на развитии людских ресурсов и организационных инновациях. Прогресс, которого удалось достичь в процессе трансформации, заслуживает одобрения. Особенно приветствуются совершенствование процесса закупок и оптимизация финансовых ресурсов, которые будут способствовать повышению привлекательности Союза для новых партнеров и доноров. Важно, чтобы процесс трансформации сопровождался достаточным финансированием, которое отражало бы его масштабные цели и критическую важность для МСЭ в плане повышения качества услуг, предоставляемых Союзом своим Членам.</w:t>
      </w:r>
    </w:p>
    <w:p w14:paraId="71BCBAD0" w14:textId="77777777" w:rsidR="00503672" w:rsidRPr="00503672" w:rsidRDefault="00503672" w:rsidP="00503672">
      <w:pPr>
        <w:rPr>
          <w:lang w:val="ru-RU"/>
        </w:rPr>
      </w:pPr>
      <w:r w:rsidRPr="00503672">
        <w:rPr>
          <w:lang w:val="ru-RU"/>
        </w:rPr>
        <w:t>1.3</w:t>
      </w:r>
      <w:r w:rsidRPr="00503672">
        <w:rPr>
          <w:lang w:val="ru-RU"/>
        </w:rPr>
        <w:tab/>
        <w:t>Ряд Советников подчеркивают, что финансирование процесса трансформации, который, вероятно, займет несколько лет и окажет значительное влияние на деятельность Союза, должно осуществляться из регулярного бюджета, а не за счет экономии. Учитывая бюджетные ограничения, крайне важно определить приоритетность инициатив для достижения максимальной эффективности, а также обеспечить всестороннюю отчетность перед Советом и Рабочей группой Совета по финансовым и людским ресурсам (РГС-ФЛР).</w:t>
      </w:r>
    </w:p>
    <w:p w14:paraId="7057BF09" w14:textId="77777777" w:rsidR="00503672" w:rsidRPr="00503672" w:rsidRDefault="00503672" w:rsidP="00503672">
      <w:pPr>
        <w:rPr>
          <w:lang w:val="ru-RU"/>
        </w:rPr>
      </w:pPr>
      <w:r w:rsidRPr="00503672">
        <w:rPr>
          <w:lang w:val="ru-RU"/>
        </w:rPr>
        <w:t>1.4</w:t>
      </w:r>
      <w:r w:rsidRPr="00503672">
        <w:rPr>
          <w:lang w:val="ru-RU"/>
        </w:rPr>
        <w:tab/>
        <w:t>Некоторые Советники положительно оценивают начало осуществления программы "Молодые специалисты" и акцент на наборе сотрудников из наименее развитых стран, которые в настоящее время недостаточно представлены в штате. Осуществление программы приведет к появлению новых идей и улучшит результаты процесса трансформации. Трансформация веб-сайта МСЭ также имеет решающее значение для взаимодействия с молодежью.</w:t>
      </w:r>
    </w:p>
    <w:p w14:paraId="7148B7AC" w14:textId="28408584" w:rsidR="00503672" w:rsidRPr="00503672" w:rsidRDefault="00503672" w:rsidP="00503672">
      <w:pPr>
        <w:rPr>
          <w:lang w:val="ru-RU"/>
        </w:rPr>
      </w:pPr>
      <w:r w:rsidRPr="00503672">
        <w:rPr>
          <w:lang w:val="ru-RU"/>
        </w:rPr>
        <w:t>1.5</w:t>
      </w:r>
      <w:r w:rsidRPr="00503672">
        <w:rPr>
          <w:lang w:val="ru-RU"/>
        </w:rPr>
        <w:tab/>
        <w:t>Один из Советников говорит, что обязанности Группы по трансформации, изложенные в Документе</w:t>
      </w:r>
      <w:r w:rsidR="006F11AD">
        <w:rPr>
          <w:lang w:val="ru-RU"/>
        </w:rPr>
        <w:t> </w:t>
      </w:r>
      <w:r w:rsidRPr="00503672">
        <w:rPr>
          <w:lang w:val="ru-RU"/>
        </w:rPr>
        <w:t xml:space="preserve">C24/52, следует привести в соответствие с мандатом Группы и масштабом работы по трансформации и что следует </w:t>
      </w:r>
      <w:r w:rsidR="00EA7932" w:rsidRPr="00EA7932">
        <w:rPr>
          <w:lang w:val="ru-RU"/>
        </w:rPr>
        <w:t xml:space="preserve">предоставить </w:t>
      </w:r>
      <w:r w:rsidRPr="00503672">
        <w:rPr>
          <w:lang w:val="ru-RU"/>
        </w:rPr>
        <w:t>документ о мандате Группы по трансформации.</w:t>
      </w:r>
    </w:p>
    <w:p w14:paraId="0DBB47FC" w14:textId="2A7AE7AD" w:rsidR="00503672" w:rsidRPr="00503672" w:rsidRDefault="00503672" w:rsidP="00503672">
      <w:pPr>
        <w:rPr>
          <w:lang w:val="ru-RU"/>
        </w:rPr>
      </w:pPr>
      <w:r w:rsidRPr="00503672">
        <w:rPr>
          <w:lang w:val="ru-RU"/>
        </w:rPr>
        <w:t>1.6</w:t>
      </w:r>
      <w:r w:rsidRPr="00503672">
        <w:rPr>
          <w:lang w:val="ru-RU"/>
        </w:rPr>
        <w:tab/>
        <w:t xml:space="preserve">Отвечая на многочисленные вопросы, заданные Советниками, исполняющий обязанности руководителя Группы по трансформации говорит, что роль Группы по трансформации заключается в определении необходимых улучшений, а также в поощрении и мониторинге деятельности по трансформации, осуществляемой соответствующими группами в рамках секретариата. Несмотря на то, что для реализации некоторых инициатив в рамках процесса трансформации будет использоваться внешняя поддержка, бóльшая часть работы будет выполняться силами Союза. Взаимодействие с заинтересованными сторонами было очень важной частью процесса, особенно с точки зрения формирования специальных навыков управления изменениями и коммуникативных навыков, призванных сделать процессы внутренней и внешней коммуникации более систематизированными. Одним из ключевых элементов является взаимодействие с Советом персонала, и для каждой инициативы разработаны предложения, направленные на формирование у сотрудников навыков, необходимых для осуществления соответствующих процессов. Отчетность перед Советом и его рабочими группами будет налажена по мере продвижения процесса. План трансформации будет подвергнут оценке рисков, связанных с реализацией плана, а также внешних и </w:t>
      </w:r>
      <w:r w:rsidRPr="00503672">
        <w:rPr>
          <w:lang w:val="ru-RU"/>
        </w:rPr>
        <w:lastRenderedPageBreak/>
        <w:t xml:space="preserve">внутренних рисков. </w:t>
      </w:r>
      <w:r w:rsidR="00EA7932" w:rsidRPr="00EA7932">
        <w:rPr>
          <w:lang w:val="ru-RU"/>
        </w:rPr>
        <w:t>В МСЭ также ведется регулярная работа с молодежью в рамках взаимодействия с заинтересованными сторонами</w:t>
      </w:r>
      <w:r w:rsidRPr="00503672">
        <w:rPr>
          <w:lang w:val="ru-RU"/>
        </w:rPr>
        <w:t>.</w:t>
      </w:r>
    </w:p>
    <w:p w14:paraId="64C543D2" w14:textId="541421B1" w:rsidR="00503672" w:rsidRPr="00503672" w:rsidRDefault="00503672" w:rsidP="00503672">
      <w:pPr>
        <w:rPr>
          <w:lang w:val="ru-RU"/>
        </w:rPr>
      </w:pPr>
      <w:r w:rsidRPr="00503672">
        <w:rPr>
          <w:lang w:val="ru-RU"/>
        </w:rPr>
        <w:t>1.7</w:t>
      </w:r>
      <w:r w:rsidRPr="00503672">
        <w:rPr>
          <w:lang w:val="ru-RU"/>
        </w:rPr>
        <w:tab/>
        <w:t>Касаясь вопросов, связанных с финансированием, выступающий говорит, что, поскольку процесс трансформации был разработан в середине бюджетного цикла, необходимые средства пока не были предусмотрены в регулярном бюджете. Сумма в размере 1 354 000</w:t>
      </w:r>
      <w:r w:rsidR="006F11AD">
        <w:rPr>
          <w:lang w:val="ru-RU"/>
        </w:rPr>
        <w:t> </w:t>
      </w:r>
      <w:r w:rsidRPr="00503672">
        <w:rPr>
          <w:lang w:val="ru-RU"/>
        </w:rPr>
        <w:t>швейцарских франков, указанная в Документе</w:t>
      </w:r>
      <w:r w:rsidR="006F11AD">
        <w:rPr>
          <w:lang w:val="ru-RU"/>
        </w:rPr>
        <w:t> </w:t>
      </w:r>
      <w:r w:rsidRPr="00503672">
        <w:rPr>
          <w:lang w:val="ru-RU"/>
        </w:rPr>
        <w:t>C24/52, относится к новому финансированию, которое находится на стадии утверждения и призвано обеспечить продолжение процесса трансформации до следующего бюджетного цикла. В настоящее время смета общих затрат на трансформацию отсутствует: в предстоящий период будет проведена оценка потребностей, с тем чтобы в дальнейшем учесть их при составлении регулярного бюджета. В рамках Союза существуют различные источники финансирования, которые могут быть использованы, а в некоторых случаях уже используются, для реализации инициатив, связанных с процессом трансформации. Приведенная сумма в размере 700</w:t>
      </w:r>
      <w:r w:rsidR="006F11AD">
        <w:rPr>
          <w:lang w:val="ru-RU"/>
        </w:rPr>
        <w:t> </w:t>
      </w:r>
      <w:r w:rsidRPr="00503672">
        <w:rPr>
          <w:lang w:val="ru-RU"/>
        </w:rPr>
        <w:t>000</w:t>
      </w:r>
      <w:r w:rsidR="006F11AD">
        <w:rPr>
          <w:lang w:val="ru-RU"/>
        </w:rPr>
        <w:t> </w:t>
      </w:r>
      <w:r w:rsidRPr="00503672">
        <w:rPr>
          <w:lang w:val="ru-RU"/>
        </w:rPr>
        <w:t xml:space="preserve">швейцарских франков </w:t>
      </w:r>
      <w:r w:rsidR="00EA7932" w:rsidRPr="00EA7932">
        <w:rPr>
          <w:lang w:val="ru-RU"/>
        </w:rPr>
        <w:t xml:space="preserve">для систем и средств </w:t>
      </w:r>
      <w:r w:rsidRPr="00503672">
        <w:rPr>
          <w:lang w:val="ru-RU"/>
        </w:rPr>
        <w:t>представляет собой не общий объем финансирования, необходимый для принятия мер, связанных с системами, процессами и инструментами и еще не прошедших полную оценку, а скорее излишек средств, который имеется на данный момент. Дорожная карта трансформации и связанные с ней сроки должны быть оптимизированы в рамках имеющегося на данный момент финансирования.</w:t>
      </w:r>
    </w:p>
    <w:p w14:paraId="7EC7AEBF" w14:textId="235D586C" w:rsidR="00503672" w:rsidRPr="00503672" w:rsidRDefault="00503672" w:rsidP="00503672">
      <w:pPr>
        <w:rPr>
          <w:lang w:val="ru-RU"/>
        </w:rPr>
      </w:pPr>
      <w:r w:rsidRPr="00503672">
        <w:rPr>
          <w:lang w:val="ru-RU"/>
        </w:rPr>
        <w:t>1.8</w:t>
      </w:r>
      <w:r w:rsidRPr="00503672">
        <w:rPr>
          <w:lang w:val="ru-RU"/>
        </w:rPr>
        <w:tab/>
        <w:t>Отвечая на вопросы о цифровой трансформации, выступающий подчеркивает, что предложения, содержащиеся в отчете Ernst &amp; Young, принимаются МСЭ к сведению, но в случае процесса трансформации не будут осуществляться единым блоком, поскольку было бы нецелесообразно проводить комплексную цифровую трансформацию в отдельности; решение об их реализации будет приниматься индивидуально по каждой инициативе, как только будут известны цифровые и другие инструменты, необходимые для каждого отдельного процесса трансформации, и в соответствии с имеющимися средствами. Это также объясняет, почему некоторые сроки могут показаться довольно продолжительными. Обновление Системы управления определением идентичности и доступом уже готово, но по практическим причинам его запуск отложен до завершения основных мероприятий и собраний Союза, включая текущую сессию Совета.</w:t>
      </w:r>
    </w:p>
    <w:p w14:paraId="4D87BEF6" w14:textId="07F23545" w:rsidR="00503672" w:rsidRPr="00503672" w:rsidRDefault="00503672" w:rsidP="00503672">
      <w:pPr>
        <w:rPr>
          <w:lang w:val="ru-RU"/>
        </w:rPr>
      </w:pPr>
      <w:r w:rsidRPr="00503672">
        <w:rPr>
          <w:lang w:val="ru-RU"/>
        </w:rPr>
        <w:t>1.9</w:t>
      </w:r>
      <w:r w:rsidRPr="00503672">
        <w:rPr>
          <w:lang w:val="ru-RU"/>
        </w:rPr>
        <w:tab/>
        <w:t>Что касается индикаторов и контрольных показателей, то ключевые показатели деятельности (KPI), изложенные в приложении к Документу</w:t>
      </w:r>
      <w:r w:rsidR="006F11AD">
        <w:rPr>
          <w:lang w:val="ru-RU"/>
        </w:rPr>
        <w:t> </w:t>
      </w:r>
      <w:r w:rsidRPr="00503672">
        <w:rPr>
          <w:lang w:val="ru-RU"/>
        </w:rPr>
        <w:t xml:space="preserve">C24/52, основаны на </w:t>
      </w:r>
      <w:r w:rsidR="00EA7932" w:rsidRPr="00EA7932">
        <w:rPr>
          <w:lang w:val="ru-RU"/>
        </w:rPr>
        <w:t xml:space="preserve">общих мерах, используемых </w:t>
      </w:r>
      <w:r w:rsidRPr="00503672">
        <w:rPr>
          <w:lang w:val="ru-RU"/>
        </w:rPr>
        <w:t>в различных типах юридических лиц. Некоторые из этих показателей будут измеряться с помощью численных данных, а другие</w:t>
      </w:r>
      <w:r w:rsidR="006F11AD">
        <w:rPr>
          <w:lang w:val="ru-RU"/>
        </w:rPr>
        <w:t> </w:t>
      </w:r>
      <w:r w:rsidRPr="00503672">
        <w:rPr>
          <w:lang w:val="ru-RU"/>
        </w:rPr>
        <w:t>− с помощью опросов сотрудников, в зависимости от случая. Степень возможного применения контрольных показателей будет оцениваться исходя из наличия аналогичных индикаторов в других соответствующих организациях как в рамках системы Организации Объединенных Наций, так и за ее пределами, а сами индикаторы будут соответствующим образом изменены. После того как в последующие месяцы будут установлены соответствующие целевые показатели, на основе KPI будут созданы информационные панели, с помощью которых члены Совета смогут на постоянной основе получать информацию о ходе выполнения общего плана.</w:t>
      </w:r>
    </w:p>
    <w:p w14:paraId="6BB5BAA8" w14:textId="77777777" w:rsidR="00503672" w:rsidRPr="00503672" w:rsidRDefault="00503672" w:rsidP="00503672">
      <w:pPr>
        <w:rPr>
          <w:lang w:val="ru-RU"/>
        </w:rPr>
      </w:pPr>
      <w:r w:rsidRPr="00503672">
        <w:rPr>
          <w:lang w:val="ru-RU"/>
        </w:rPr>
        <w:t>1.10</w:t>
      </w:r>
      <w:r w:rsidRPr="00503672">
        <w:rPr>
          <w:lang w:val="ru-RU"/>
        </w:rPr>
        <w:tab/>
        <w:t>В Комплекте материалов по управлению показателями деятельности руководителям уже были предоставлены инструменты для проведения служебной аттестации в рамках существующей системы управления показателями деятельности; эта система будет пересмотрена и изменена с упором на создание стимулов для сотрудников, чтобы они выполняли свою работу на более высоком уровне. Продолжается работа по повышению показателей деятельности Службы помощи без увеличения ее бюджета. Важность системы подотчетности отражена как в процессе трансформации на основе индивидуального рассмотрения каждой инициативы, так и в общем обзоре правил и процедур, внутреннего правосудия и подотчетности в рамках системы управления; работа по приведению системы надзора в соответствие с другими системами подотчетности уже ведется.</w:t>
      </w:r>
    </w:p>
    <w:p w14:paraId="35C6B053" w14:textId="77777777" w:rsidR="00503672" w:rsidRPr="00503672" w:rsidRDefault="00503672" w:rsidP="00503672">
      <w:pPr>
        <w:rPr>
          <w:lang w:val="ru-RU"/>
        </w:rPr>
      </w:pPr>
      <w:r w:rsidRPr="00503672">
        <w:rPr>
          <w:lang w:val="ru-RU"/>
        </w:rPr>
        <w:lastRenderedPageBreak/>
        <w:t>1.11</w:t>
      </w:r>
      <w:r w:rsidRPr="00503672">
        <w:rPr>
          <w:lang w:val="ru-RU"/>
        </w:rPr>
        <w:tab/>
        <w:t xml:space="preserve">Относительно рационализации процесса набора персонала выступающий говорит, что процесс трансформации направлен на сокращение сроков найма за счет совершенствования внутренних операций, но без изменения или нарушения фактических правил и процедур набора персонала или ограничения числа кандидатов. </w:t>
      </w:r>
    </w:p>
    <w:p w14:paraId="22672C35" w14:textId="134573A0" w:rsidR="00503672" w:rsidRPr="00503672" w:rsidRDefault="00503672" w:rsidP="00503672">
      <w:pPr>
        <w:rPr>
          <w:lang w:val="ru-RU"/>
        </w:rPr>
      </w:pPr>
      <w:r w:rsidRPr="00503672">
        <w:rPr>
          <w:lang w:val="ru-RU"/>
        </w:rPr>
        <w:t>1.12</w:t>
      </w:r>
      <w:r w:rsidRPr="00503672">
        <w:rPr>
          <w:lang w:val="ru-RU"/>
        </w:rPr>
        <w:tab/>
        <w:t xml:space="preserve">Совет </w:t>
      </w:r>
      <w:r w:rsidRPr="00503672">
        <w:rPr>
          <w:b/>
          <w:bCs/>
          <w:lang w:val="ru-RU"/>
        </w:rPr>
        <w:t>принимает к сведению</w:t>
      </w:r>
      <w:r w:rsidRPr="00503672">
        <w:rPr>
          <w:lang w:val="ru-RU"/>
        </w:rPr>
        <w:t xml:space="preserve"> достигнутый на сегодняшний день прогресс в процессе трансформации и финансовые последствия, представленные в пункте</w:t>
      </w:r>
      <w:r w:rsidR="006F11AD">
        <w:rPr>
          <w:lang w:val="ru-RU"/>
        </w:rPr>
        <w:t> </w:t>
      </w:r>
      <w:r w:rsidRPr="00503672">
        <w:rPr>
          <w:lang w:val="ru-RU"/>
        </w:rPr>
        <w:t>7 Документа</w:t>
      </w:r>
      <w:r w:rsidR="006F11AD">
        <w:rPr>
          <w:lang w:val="ru-RU"/>
        </w:rPr>
        <w:t> </w:t>
      </w:r>
      <w:r w:rsidRPr="00503672">
        <w:rPr>
          <w:lang w:val="ru-RU"/>
        </w:rPr>
        <w:t>C24/52, а также дорожную карту, содержащуюся в Документе</w:t>
      </w:r>
      <w:r w:rsidR="006F11AD">
        <w:rPr>
          <w:lang w:val="ru-RU"/>
        </w:rPr>
        <w:t> </w:t>
      </w:r>
      <w:r w:rsidRPr="00503672">
        <w:rPr>
          <w:lang w:val="ru-RU"/>
        </w:rPr>
        <w:t>C24/73.</w:t>
      </w:r>
    </w:p>
    <w:p w14:paraId="6B17AEBD" w14:textId="77777777" w:rsidR="00503672" w:rsidRPr="00503672" w:rsidRDefault="00503672" w:rsidP="00503672">
      <w:pPr>
        <w:rPr>
          <w:lang w:val="ru-RU"/>
        </w:rPr>
      </w:pPr>
      <w:r w:rsidRPr="00503672">
        <w:rPr>
          <w:lang w:val="ru-RU"/>
        </w:rPr>
        <w:t>1.13</w:t>
      </w:r>
      <w:r w:rsidRPr="00503672">
        <w:rPr>
          <w:lang w:val="ru-RU"/>
        </w:rPr>
        <w:tab/>
        <w:t>Генеральный секретарь говорит, что хотела бы поблагодарить Советников за их замечания и поддержку процесса трансформации. Взаимодействие с заинтересованными сторонами, имеющее ключевое значение для этого процесса, включает как внутреннее взаимодействие со всем персоналом, руководством и Координационным комитетом, так и внешнее взаимодействие с Государствами</w:t>
      </w:r>
      <w:r w:rsidRPr="00503672">
        <w:rPr>
          <w:lang w:val="ru-RU"/>
        </w:rPr>
        <w:noBreakHyphen/>
        <w:t>Членами и партнерами в рамках системы Организации Объединенных Наций в контексте "ООН 2.0". Были приняты к сведению просьбы о внесении большей ясности в будущие презентации, расширении отчетности, уточнении KPI, а также о выявлении рисков и управлении ими.</w:t>
      </w:r>
    </w:p>
    <w:p w14:paraId="06977F6D" w14:textId="77777777" w:rsidR="00503672" w:rsidRPr="006F11AD" w:rsidRDefault="00503672" w:rsidP="00A02AF9">
      <w:pPr>
        <w:pStyle w:val="Heading1"/>
        <w:rPr>
          <w:lang w:val="ru-RU"/>
        </w:rPr>
      </w:pPr>
      <w:r w:rsidRPr="006F11AD">
        <w:rPr>
          <w:lang w:val="ru-RU"/>
        </w:rPr>
        <w:t>2</w:t>
      </w:r>
      <w:r w:rsidRPr="006F11AD">
        <w:rPr>
          <w:lang w:val="ru-RU"/>
        </w:rPr>
        <w:tab/>
        <w:t>Стратегия координации усилий трех Секторов Союза (Документ </w:t>
      </w:r>
      <w:hyperlink r:id="rId16">
        <w:r w:rsidRPr="006F11AD">
          <w:rPr>
            <w:rStyle w:val="Hyperlink"/>
            <w:bCs/>
            <w:lang w:val="ru-RU"/>
          </w:rPr>
          <w:t>C24/27</w:t>
        </w:r>
      </w:hyperlink>
      <w:r w:rsidRPr="006F11AD">
        <w:rPr>
          <w:lang w:val="ru-RU"/>
        </w:rPr>
        <w:t>)</w:t>
      </w:r>
    </w:p>
    <w:p w14:paraId="7D002853" w14:textId="73783118" w:rsidR="00503672" w:rsidRPr="00503672" w:rsidRDefault="00503672" w:rsidP="00503672">
      <w:pPr>
        <w:rPr>
          <w:lang w:val="ru-RU"/>
        </w:rPr>
      </w:pPr>
      <w:r w:rsidRPr="00503672">
        <w:rPr>
          <w:lang w:val="ru-RU"/>
        </w:rPr>
        <w:t>2.1</w:t>
      </w:r>
      <w:r w:rsidRPr="00503672">
        <w:rPr>
          <w:lang w:val="ru-RU"/>
        </w:rPr>
        <w:tab/>
        <w:t>Представитель Генерального секретариата представляет Документ C24/27, в котором приводится информация о стратегии координации усилий трех Секторов Союза и Генерального секретариата и содержится отчет о выполнении Резолюции 191 (Пересм. Бухарест, 2022 г.) и о мерах, принятых для организации работы с тем, чтобы наилучшим образом обеспечить управление межсекторальной координацией, в частности через Межсекторальную целевую группу по координации (ЦГ-МСК). Данный документ связан с ежегодным отчетом Союза (Документ</w:t>
      </w:r>
      <w:r w:rsidR="006F11AD">
        <w:rPr>
          <w:lang w:val="ru-RU"/>
        </w:rPr>
        <w:t> </w:t>
      </w:r>
      <w:r w:rsidRPr="00503672">
        <w:rPr>
          <w:lang w:val="ru-RU"/>
        </w:rPr>
        <w:t xml:space="preserve">C24/35) и отчетом о </w:t>
      </w:r>
      <w:r w:rsidR="00EA7932" w:rsidRPr="00EA7932">
        <w:rPr>
          <w:lang w:val="ru-RU"/>
        </w:rPr>
        <w:t xml:space="preserve">реализации </w:t>
      </w:r>
      <w:r w:rsidRPr="00503672">
        <w:rPr>
          <w:lang w:val="ru-RU"/>
        </w:rPr>
        <w:t>концепции "Единый МСЭ" (Документ C24/17). В нем также содержится краткая информация о собраниях Межсекторальной координационной группы (МСКГ), состоявшихся в 2024 году под председательством г-на Фабио Биджи.</w:t>
      </w:r>
    </w:p>
    <w:p w14:paraId="0A17ED0B" w14:textId="77777777" w:rsidR="00503672" w:rsidRPr="00503672" w:rsidRDefault="00503672" w:rsidP="00503672">
      <w:pPr>
        <w:rPr>
          <w:lang w:val="ru-RU"/>
        </w:rPr>
      </w:pPr>
      <w:r w:rsidRPr="00503672">
        <w:rPr>
          <w:lang w:val="ru-RU"/>
        </w:rPr>
        <w:t>2.2</w:t>
      </w:r>
      <w:r w:rsidRPr="00503672">
        <w:rPr>
          <w:lang w:val="ru-RU"/>
        </w:rPr>
        <w:tab/>
        <w:t>Председатель МСКГ представляет обновленную информацию о работе Группы. МСКГ продолжает работать над такими тематическими приоритетами, как доступность, изменение климата и дистанционное участие, при этом по каждой теме назначен свой координатор. На своем последнем собрании Группа приняла решение назначить четвертого координатора, который будет заниматься темой устойчивой цифровой трансформации. К числу конкретных вопросов, рассматриваемых Группой, относятся согласование веб-сайта МСЭ; таблицы, в которых сопоставляется деятельность трех Секторов и Генерального секретариата, а также резолюции различных конференций и ассамблей; совершенствование механизмов, позволяющих Секторам высказывать замечания по Стратегическому плану.</w:t>
      </w:r>
    </w:p>
    <w:p w14:paraId="52ED8042" w14:textId="77777777" w:rsidR="00503672" w:rsidRPr="00503672" w:rsidRDefault="00503672" w:rsidP="00503672">
      <w:pPr>
        <w:rPr>
          <w:lang w:val="ru-RU"/>
        </w:rPr>
      </w:pPr>
      <w:r w:rsidRPr="00503672">
        <w:rPr>
          <w:lang w:val="ru-RU"/>
        </w:rPr>
        <w:t>2.3</w:t>
      </w:r>
      <w:r w:rsidRPr="00503672">
        <w:rPr>
          <w:lang w:val="ru-RU"/>
        </w:rPr>
        <w:tab/>
        <w:t xml:space="preserve">Несколько Советников подчеркивают важность координации, выражают признательность за проделанную на сегодняшний день работу и выступают за ее продолжение. Работа по сопоставлению позволяет получить более полное и четкое представление о резолюциях трех Секторов, что поможет разработать предлагаемую стратегию для рассмотрения растущего числа областей, представляющих взаимный интерес, избежать дублирования и облегчить работу РГС-ФЛР. </w:t>
      </w:r>
    </w:p>
    <w:p w14:paraId="7C5E45D4" w14:textId="77777777" w:rsidR="00503672" w:rsidRPr="00503672" w:rsidRDefault="00503672" w:rsidP="00503672">
      <w:pPr>
        <w:rPr>
          <w:lang w:val="ru-RU"/>
        </w:rPr>
      </w:pPr>
      <w:r w:rsidRPr="00503672">
        <w:rPr>
          <w:lang w:val="ru-RU"/>
        </w:rPr>
        <w:t>2.4</w:t>
      </w:r>
      <w:r w:rsidRPr="00503672">
        <w:rPr>
          <w:lang w:val="ru-RU"/>
        </w:rPr>
        <w:tab/>
        <w:t xml:space="preserve">Советники далее подчеркивают важность межсекторальной координации в рамках каждой инициативы МСЭ, включая инициативу "Зеленая цифровая кампания", Альянс инноваций и предпринимательства для целей цифровой трансформации и работу по преодолению разрыва в стандартизации. Один из Советников настоятельно призывает укрепить группу, занимающуюся устойчивой цифровой трансформацией, и сделать ее работу более заметной на веб-сайте. Один из Советников просит увязать темы с KPI и выявить риски, которые могут возникнуть в результате недостаточной координации между тремя Секторами. </w:t>
      </w:r>
      <w:r w:rsidRPr="00503672">
        <w:rPr>
          <w:lang w:val="ru-RU"/>
        </w:rPr>
        <w:lastRenderedPageBreak/>
        <w:t>Следует провести дополнительный анализ роли региональных отделений в координации работы. Некоторые Советники отмечают, что работа по</w:t>
      </w:r>
      <w:r w:rsidRPr="00503672">
        <w:rPr>
          <w:lang w:val="ru-RU"/>
        </w:rPr>
        <w:noBreakHyphen/>
        <w:t>прежнему ведется разрозненно: при лучшей координации усилий трех Секторов можно было бы избежать дублирования и более эффективно распределять финансирование и ресурсы. Следует рассмотреть вопрос о координации между ЦГ-МСК и МСКГ для более полного учета их работы.</w:t>
      </w:r>
    </w:p>
    <w:p w14:paraId="47A9DEC2" w14:textId="1F915718" w:rsidR="00503672" w:rsidRPr="00503672" w:rsidRDefault="00503672" w:rsidP="00503672">
      <w:pPr>
        <w:rPr>
          <w:lang w:val="ru-RU"/>
        </w:rPr>
      </w:pPr>
      <w:r w:rsidRPr="00503672">
        <w:rPr>
          <w:lang w:val="ru-RU"/>
        </w:rPr>
        <w:t>2.5</w:t>
      </w:r>
      <w:r w:rsidRPr="00503672">
        <w:rPr>
          <w:lang w:val="ru-RU"/>
        </w:rPr>
        <w:tab/>
        <w:t>Отвечая на замечания и вопросы Советников, представитель Генерального секретариата говорит, что полная информация об областях, представляющих общий интерес и выявленных в ходе сопоставления резолюций, размещена на веб</w:t>
      </w:r>
      <w:r w:rsidRPr="00503672">
        <w:rPr>
          <w:lang w:val="ru-RU"/>
        </w:rPr>
        <w:noBreakHyphen/>
        <w:t>сайте МСЭ: ее можно найти на домашней странице Генерального секретариата в разделе "Межсекторальная координация". Относительно роли региональных отделений, директора региональных отделений являются членами ЦГ-МСК и, таким образом, в полной мере участвуют в обсуждениях. Что касается рисков, то меры по снижению рисков, связанных с межсекторальной координацией, были определены в Документе C24/49, посвященном укреплению системы управления рисками и внутреннего контроля. Вопрос о единой платформе для дистанционных собраний был рассмотрен в рамках МСКГ; дополнительная информация приведена в отчете о дистанционном участии в рамках выполнения Резолюции</w:t>
      </w:r>
      <w:r w:rsidR="006F11AD">
        <w:rPr>
          <w:lang w:val="ru-RU"/>
        </w:rPr>
        <w:t> </w:t>
      </w:r>
      <w:r w:rsidRPr="00503672">
        <w:rPr>
          <w:lang w:val="ru-RU"/>
        </w:rPr>
        <w:t>167 (Пересм. Бухарест, 2022 г.), который содержится в Документе</w:t>
      </w:r>
      <w:r w:rsidR="006F11AD">
        <w:rPr>
          <w:lang w:val="ru-RU"/>
        </w:rPr>
        <w:t> </w:t>
      </w:r>
      <w:r w:rsidRPr="00503672">
        <w:rPr>
          <w:lang w:val="ru-RU"/>
        </w:rPr>
        <w:t>C24/61.</w:t>
      </w:r>
    </w:p>
    <w:p w14:paraId="5AD3A559" w14:textId="25C70398" w:rsidR="00503672" w:rsidRPr="00503672" w:rsidRDefault="00503672" w:rsidP="00503672">
      <w:pPr>
        <w:rPr>
          <w:lang w:val="ru-RU"/>
        </w:rPr>
      </w:pPr>
      <w:r w:rsidRPr="00503672">
        <w:rPr>
          <w:lang w:val="ru-RU"/>
        </w:rPr>
        <w:t>2.6</w:t>
      </w:r>
      <w:r w:rsidRPr="00503672">
        <w:rPr>
          <w:lang w:val="ru-RU"/>
        </w:rPr>
        <w:tab/>
        <w:t xml:space="preserve">Совет </w:t>
      </w:r>
      <w:r w:rsidRPr="00503672">
        <w:rPr>
          <w:b/>
          <w:bCs/>
          <w:lang w:val="ru-RU"/>
        </w:rPr>
        <w:t xml:space="preserve">принимает к сведению </w:t>
      </w:r>
      <w:r w:rsidRPr="00503672">
        <w:rPr>
          <w:lang w:val="ru-RU"/>
        </w:rPr>
        <w:t>Документ C24/27.</w:t>
      </w:r>
    </w:p>
    <w:p w14:paraId="047B1E41" w14:textId="7E1B055D" w:rsidR="00503672" w:rsidRPr="00503672" w:rsidRDefault="00503672" w:rsidP="00503672">
      <w:pPr>
        <w:rPr>
          <w:lang w:val="ru-RU"/>
        </w:rPr>
      </w:pPr>
      <w:r w:rsidRPr="00503672">
        <w:rPr>
          <w:lang w:val="ru-RU"/>
        </w:rPr>
        <w:t>2.7</w:t>
      </w:r>
      <w:r w:rsidRPr="00503672">
        <w:rPr>
          <w:lang w:val="ru-RU"/>
        </w:rPr>
        <w:tab/>
        <w:t>Заместитель Генерального секретаря с удовлетворением отмечает полученные отзывы о межсекторальной координации и интерес, проявленный Советниками к этой теме. Это</w:t>
      </w:r>
      <w:r w:rsidR="006F11AD">
        <w:rPr>
          <w:lang w:val="ru-RU"/>
        </w:rPr>
        <w:t xml:space="preserve"> − </w:t>
      </w:r>
      <w:r w:rsidRPr="00503672">
        <w:rPr>
          <w:lang w:val="ru-RU"/>
        </w:rPr>
        <w:t>непростая задача, как видно из растущего списка резолюций и соответствующего списка общих тем на веб-сайте МСЭ. Деятельность ЦГ-МСК осуществляется успешно, а ее рабочие процессы были упорядочены: четко определен состав, разработана целенаправленная повестка дня и налажено плодотворное сотрудничество с МСКГ.</w:t>
      </w:r>
    </w:p>
    <w:p w14:paraId="02444BB4" w14:textId="24CAB6BF" w:rsidR="00503672" w:rsidRPr="006F11AD" w:rsidRDefault="00503672" w:rsidP="00A02AF9">
      <w:pPr>
        <w:pStyle w:val="Heading1"/>
        <w:rPr>
          <w:bCs/>
          <w:lang w:val="ru-RU"/>
        </w:rPr>
      </w:pPr>
      <w:r w:rsidRPr="006F11AD">
        <w:rPr>
          <w:bCs/>
          <w:lang w:val="ru-RU"/>
        </w:rPr>
        <w:t>3</w:t>
      </w:r>
      <w:r w:rsidRPr="006F11AD">
        <w:rPr>
          <w:bCs/>
          <w:lang w:val="ru-RU"/>
        </w:rPr>
        <w:tab/>
        <w:t>Укрепление регионального присутствия МСЭ (Документы</w:t>
      </w:r>
      <w:r w:rsidR="006F11AD">
        <w:rPr>
          <w:bCs/>
          <w:lang w:val="ru-RU"/>
        </w:rPr>
        <w:t> </w:t>
      </w:r>
      <w:hyperlink r:id="rId17" w:history="1">
        <w:r w:rsidRPr="006F11AD">
          <w:rPr>
            <w:rStyle w:val="Hyperlink"/>
            <w:bCs/>
            <w:lang w:val="ru-RU"/>
          </w:rPr>
          <w:t>C24/25</w:t>
        </w:r>
      </w:hyperlink>
      <w:r w:rsidRPr="006F11AD">
        <w:rPr>
          <w:bCs/>
          <w:lang w:val="ru-RU"/>
        </w:rPr>
        <w:t xml:space="preserve">, </w:t>
      </w:r>
      <w:hyperlink r:id="rId18" w:history="1">
        <w:r w:rsidRPr="006F11AD">
          <w:rPr>
            <w:rStyle w:val="Hyperlink"/>
            <w:bCs/>
            <w:lang w:val="ru-RU"/>
          </w:rPr>
          <w:t>C24/79</w:t>
        </w:r>
      </w:hyperlink>
      <w:r w:rsidRPr="006F11AD">
        <w:rPr>
          <w:bCs/>
          <w:lang w:val="ru-RU"/>
        </w:rPr>
        <w:t xml:space="preserve">, </w:t>
      </w:r>
      <w:hyperlink r:id="rId19" w:history="1">
        <w:r w:rsidRPr="006F11AD">
          <w:rPr>
            <w:rStyle w:val="Hyperlink"/>
            <w:bCs/>
            <w:lang w:val="ru-RU"/>
          </w:rPr>
          <w:t>C24/98</w:t>
        </w:r>
      </w:hyperlink>
      <w:r w:rsidRPr="006F11AD">
        <w:rPr>
          <w:bCs/>
          <w:lang w:val="ru-RU"/>
        </w:rPr>
        <w:t xml:space="preserve"> и </w:t>
      </w:r>
      <w:hyperlink r:id="rId20" w:history="1">
        <w:r w:rsidRPr="006F11AD">
          <w:rPr>
            <w:rStyle w:val="Hyperlink"/>
            <w:bCs/>
            <w:lang w:val="ru-RU"/>
          </w:rPr>
          <w:t>C24/100</w:t>
        </w:r>
      </w:hyperlink>
      <w:r w:rsidRPr="006F11AD">
        <w:rPr>
          <w:bCs/>
          <w:lang w:val="ru-RU"/>
        </w:rPr>
        <w:t>)</w:t>
      </w:r>
    </w:p>
    <w:p w14:paraId="1118F2B0" w14:textId="0CE9BCB0" w:rsidR="00503672" w:rsidRPr="00503672" w:rsidRDefault="00503672" w:rsidP="00503672">
      <w:pPr>
        <w:rPr>
          <w:lang w:val="ru-RU"/>
        </w:rPr>
      </w:pPr>
      <w:r w:rsidRPr="00503672">
        <w:rPr>
          <w:lang w:val="ru-RU"/>
        </w:rPr>
        <w:t>3.1</w:t>
      </w:r>
      <w:r w:rsidRPr="00503672">
        <w:rPr>
          <w:lang w:val="ru-RU"/>
        </w:rPr>
        <w:tab/>
        <w:t>Временно исполняющий обязанности заместителя Директора БРЭ говорит, что в Документе C24/25 сообщается о вкладе регионального присутствия МСЭ в выполнение мандата Союза. В документе представлена информация о региональной работе по выполнению Стратегического плана МСЭ, Кигалийского плана действий и региональных инициатив, а также о видах деятельности на местах, осуществляемых отделениями МСЭ на местах в интересах БР, БСЭ и Генерального секретариата (см. подробные сведения в пунктах</w:t>
      </w:r>
      <w:r w:rsidR="006F11AD">
        <w:rPr>
          <w:lang w:val="ru-RU"/>
        </w:rPr>
        <w:t> </w:t>
      </w:r>
      <w:r w:rsidRPr="00503672">
        <w:rPr>
          <w:lang w:val="ru-RU"/>
        </w:rPr>
        <w:t>3.3−3.8 документа) и в интересах БРЭ (см. подробные сведения в документе Консультативной группы по развитию электросвязи, упомянутом в пункте</w:t>
      </w:r>
      <w:r w:rsidR="006F11AD">
        <w:rPr>
          <w:lang w:val="ru-RU"/>
        </w:rPr>
        <w:t> </w:t>
      </w:r>
      <w:r w:rsidRPr="00503672">
        <w:rPr>
          <w:lang w:val="ru-RU"/>
        </w:rPr>
        <w:t>3.2). Региональные и зональные отделения МСЭ продолжают играть важную двойную роль в осуществлении и последующей деятельности. Шесть региональных форумов МСЭ по вопросам развития, состоявшихся в 2023 и 2024</w:t>
      </w:r>
      <w:r w:rsidR="006F11AD">
        <w:rPr>
          <w:lang w:val="ru-RU"/>
        </w:rPr>
        <w:t> </w:t>
      </w:r>
      <w:r w:rsidRPr="00503672">
        <w:rPr>
          <w:lang w:val="ru-RU"/>
        </w:rPr>
        <w:t>годах и собравших более 1500</w:t>
      </w:r>
      <w:r w:rsidR="006F11AD">
        <w:rPr>
          <w:lang w:val="ru-RU"/>
        </w:rPr>
        <w:t> </w:t>
      </w:r>
      <w:r w:rsidRPr="00503672">
        <w:rPr>
          <w:lang w:val="ru-RU"/>
        </w:rPr>
        <w:t>заинтересованных сторон со всего мира, стали для них всех полезной площадкой для обсуждения вопросов осуществления инициатив МСЭ. Важной частью форумов стали "круглые столы" по налаживанию связей в рамках коалиции</w:t>
      </w:r>
      <w:r w:rsidR="006F11AD">
        <w:rPr>
          <w:lang w:val="ru-RU"/>
        </w:rPr>
        <w:t> </w:t>
      </w:r>
      <w:r w:rsidRPr="00503672">
        <w:rPr>
          <w:lang w:val="ru-RU"/>
        </w:rPr>
        <w:t>P2C, в ходе которых заинтересованные стороны брали на себя обязательства.</w:t>
      </w:r>
    </w:p>
    <w:p w14:paraId="0523098F" w14:textId="3D6E2BCD" w:rsidR="00503672" w:rsidRPr="00503672" w:rsidRDefault="00503672" w:rsidP="00503672">
      <w:pPr>
        <w:rPr>
          <w:lang w:val="ru-RU"/>
        </w:rPr>
      </w:pPr>
      <w:r w:rsidRPr="00503672">
        <w:rPr>
          <w:lang w:val="ru-RU"/>
        </w:rPr>
        <w:t>3.2</w:t>
      </w:r>
      <w:r w:rsidRPr="00503672">
        <w:rPr>
          <w:lang w:val="ru-RU"/>
        </w:rPr>
        <w:tab/>
        <w:t>Советник от Австралии представляет вклад, содержащийся в Документе</w:t>
      </w:r>
      <w:r w:rsidR="006F11AD">
        <w:rPr>
          <w:lang w:val="ru-RU"/>
        </w:rPr>
        <w:t> </w:t>
      </w:r>
      <w:r w:rsidRPr="00503672">
        <w:rPr>
          <w:lang w:val="ru-RU"/>
        </w:rPr>
        <w:t xml:space="preserve">C24/79 и касающийся содействия эффективности и результативности деятельности региональных и зональных отделений. Региональные и зональные отделения находятся в авангарде работы МСЭ и играют важнейшую роль в оказании помощи на уровне стран и реализации проектов по созданию потенциала во всех регионах, поэтому дальнейшее совершенствование их работы необходимо для обеспечения поступления максимального объема финансирования и ресурсов на места и должно быть одним из ключевых компонентов планов трансформации МСЭ. В </w:t>
      </w:r>
      <w:r w:rsidRPr="00503672">
        <w:rPr>
          <w:lang w:val="ru-RU"/>
        </w:rPr>
        <w:lastRenderedPageBreak/>
        <w:t>представленном документе Австралия делится своим опытом и предлагает несколько основных направлений деятельности для изучения секретариатом. Австралия также с удовлетворением отмечает соответствующие Документы</w:t>
      </w:r>
      <w:r w:rsidR="006F11AD">
        <w:rPr>
          <w:lang w:val="ru-RU"/>
        </w:rPr>
        <w:t> </w:t>
      </w:r>
      <w:r w:rsidRPr="00503672">
        <w:rPr>
          <w:lang w:val="ru-RU"/>
        </w:rPr>
        <w:t xml:space="preserve">C24/98 и C24/100, представленные Мексикой. </w:t>
      </w:r>
    </w:p>
    <w:p w14:paraId="2C325F3C" w14:textId="77777777" w:rsidR="00503672" w:rsidRPr="00503672" w:rsidRDefault="00503672" w:rsidP="00503672">
      <w:pPr>
        <w:rPr>
          <w:lang w:val="ru-RU"/>
        </w:rPr>
      </w:pPr>
      <w:r w:rsidRPr="00503672">
        <w:rPr>
          <w:lang w:val="ru-RU"/>
        </w:rPr>
        <w:t>3.3</w:t>
      </w:r>
      <w:r w:rsidRPr="00503672">
        <w:rPr>
          <w:lang w:val="ru-RU"/>
        </w:rPr>
        <w:tab/>
        <w:t>Советник от Мексики представляет Документ C24/98, в котором признается важная необходимость укрепления регионального присутствия и содержится ряд предложений, касающихся уровня и распределения финансирования региональных отделений; повышения их самостоятельности и децентрализации процесса принятия решений, в частности в отношении реализации проектов, мероприятий и видов деятельности; технической специализации персонала региональных отделений; определения координаторов для трех Секторов в региональных отделениях, которые бы находились в подчинении директоров региональных бюро; установления ожиданий для региональных отделений; а также расширения участия в видах деятельности, проектах и инициативах региональных отделений, их координации и обмена информацией о них.</w:t>
      </w:r>
    </w:p>
    <w:p w14:paraId="237C41B0" w14:textId="77777777" w:rsidR="00503672" w:rsidRPr="00503672" w:rsidRDefault="00503672" w:rsidP="00503672">
      <w:pPr>
        <w:rPr>
          <w:lang w:val="ru-RU"/>
        </w:rPr>
      </w:pPr>
      <w:r w:rsidRPr="00503672">
        <w:rPr>
          <w:lang w:val="ru-RU"/>
        </w:rPr>
        <w:t>3.4</w:t>
      </w:r>
      <w:r w:rsidRPr="00503672">
        <w:rPr>
          <w:lang w:val="ru-RU"/>
        </w:rPr>
        <w:tab/>
        <w:t>Ряд Советников и один наблюдатель, приводя примеры, подчеркивают значение подразделений на местах и их вклад в местные проекты и программы, направленные на обеспечение реальной возможности установления соединений и цифровой трансформации.</w:t>
      </w:r>
    </w:p>
    <w:p w14:paraId="70F0BBF3" w14:textId="77777777" w:rsidR="00503672" w:rsidRPr="00503672" w:rsidRDefault="00503672" w:rsidP="00503672">
      <w:pPr>
        <w:rPr>
          <w:lang w:val="ru-RU"/>
        </w:rPr>
      </w:pPr>
      <w:r w:rsidRPr="00503672">
        <w:rPr>
          <w:lang w:val="ru-RU"/>
        </w:rPr>
        <w:t>3.5</w:t>
      </w:r>
      <w:r w:rsidRPr="00503672">
        <w:rPr>
          <w:lang w:val="ru-RU"/>
        </w:rPr>
        <w:tab/>
        <w:t>Советники широко поддерживают призыв к укреплению регионального присутствия МСЭ и вклад Австралии и Мексики. Ряд Советников поддерживают призыв предоставить большую самостоятельность региональным отделениям, отмечая, что повышение эффективности работы будет достигнуто благодаря улучшению коммуникации и соответствующих процессов между штаб-квартирой и региональными отделениями. Некоторые Советники согласны с тем, что региональные отделения должны иметь возможности для осуществления проектов и удовлетворения конкретных потребностей стран своего региона. К числу необходимых мер по улучшению относится внедрение KPI, обеспечение надлежащей и прозрачной финансовой отчетности и достаточного финансирования, в том числе конкретно для зональных отделений. Один из Советников рекомендует разработать руководящие указания для более широкого сотрудничества между МСЭ и странами в целях укрепления сотрудничества и потенциального привлечения бóльшего числа добровольных взносов для планирования и реализации проектов. Обращается внимание на то, что некоторые регионы извлекут пользу из более широкого субрегионального сотрудничества, а также на особые трудности, связанные с коммуникацией в регионах, в которых используется более одного официального языка МСЭ.</w:t>
      </w:r>
    </w:p>
    <w:p w14:paraId="5E675043" w14:textId="77777777" w:rsidR="00503672" w:rsidRPr="00503672" w:rsidRDefault="00503672" w:rsidP="00503672">
      <w:pPr>
        <w:rPr>
          <w:lang w:val="ru-RU"/>
        </w:rPr>
      </w:pPr>
      <w:r w:rsidRPr="00503672">
        <w:rPr>
          <w:lang w:val="ru-RU"/>
        </w:rPr>
        <w:t>3.6</w:t>
      </w:r>
      <w:r w:rsidRPr="00503672">
        <w:rPr>
          <w:lang w:val="ru-RU"/>
        </w:rPr>
        <w:tab/>
        <w:t>Советники поддерживают призыв к учету аспектов концепции "Единый МСЭ" в процессе предоставления услуг в региональных отделениях, при этом больше внимания должно уделяться вопросам МСЭ-R и МСЭ-T. Один из Советников призывает к мобилизации усилий Секторов Союза в рамках региональных отделений, чтобы повысить роль Бюро, хотя при этом понимается, что такие предложения будут иметь финансовые последствия. Еще один Советник поддерживает мнение о том, что все три Сектора должны быть в равной степени представлены в региональных отделениях, и хотела бы понять, каким образом происходит распределение сотрудников по различным отделениям.</w:t>
      </w:r>
    </w:p>
    <w:p w14:paraId="3C7F0543" w14:textId="15313A42" w:rsidR="00503672" w:rsidRPr="00503672" w:rsidRDefault="00503672" w:rsidP="00503672">
      <w:pPr>
        <w:rPr>
          <w:lang w:val="ru-RU"/>
        </w:rPr>
      </w:pPr>
      <w:r w:rsidRPr="00503672">
        <w:rPr>
          <w:lang w:val="ru-RU"/>
        </w:rPr>
        <w:t>3.7</w:t>
      </w:r>
      <w:r w:rsidRPr="00503672">
        <w:rPr>
          <w:lang w:val="ru-RU"/>
        </w:rPr>
        <w:tab/>
        <w:t>Советники напоминают, что в Резолюции 25 (Пересм. Бухарест, 2022</w:t>
      </w:r>
      <w:r w:rsidR="006F11AD">
        <w:rPr>
          <w:lang w:val="ru-RU"/>
        </w:rPr>
        <w:t> </w:t>
      </w:r>
      <w:r w:rsidRPr="00503672">
        <w:rPr>
          <w:lang w:val="ru-RU"/>
        </w:rPr>
        <w:t xml:space="preserve">г.) предусматривается, что МСЭ должен проводить обзор регионального присутствия по запросу Совета, и один из Советников, поддержанный двумя другими Советниками, напоминает, что такой запрос был сделан и официально зафиксирован на Совете-23, но, по всей видимости, пока не был удовлетворен. Проведение обзора было бы своевременным и соответствовало бы целям руководства в области трансформации. Было бы полезно получить обновленную информацию о ходе обзора и отразить в кратком отчете Совета-24 твердое обязательство </w:t>
      </w:r>
      <w:r w:rsidRPr="00503672">
        <w:rPr>
          <w:lang w:val="ru-RU"/>
        </w:rPr>
        <w:lastRenderedPageBreak/>
        <w:t>завершить обзор и представить соответствующий отчет Совету-25. По возможности желательно представить отчет соответствующей(им) рабочей(им) группе(ам) Совета на более раннем этапе.</w:t>
      </w:r>
    </w:p>
    <w:p w14:paraId="6FF9BCE5" w14:textId="77777777" w:rsidR="00503672" w:rsidRPr="00503672" w:rsidRDefault="00503672" w:rsidP="00503672">
      <w:pPr>
        <w:rPr>
          <w:lang w:val="ru-RU"/>
        </w:rPr>
      </w:pPr>
      <w:r w:rsidRPr="00503672">
        <w:rPr>
          <w:lang w:val="ru-RU"/>
        </w:rPr>
        <w:t>3.8</w:t>
      </w:r>
      <w:r w:rsidRPr="00503672">
        <w:rPr>
          <w:lang w:val="ru-RU"/>
        </w:rPr>
        <w:tab/>
        <w:t>Советник от Индии выражает гордость в связи с открытием инновационного центра в зональном отделении в Нью-Дели. К числу аспектов, требующих внимания руководства МСЭ, относится неспособность в течение полутора лет назначить руководителя Зонального отделения МСЭ в Нью-Дели, что сказалось на количестве проведенных мероприятий. Несмотря на то, что в Инновационном центре был проведен целый ряд долгожданных мероприятий, в том числе по управлению электронными отходами, цифровому здравоохранению и системам раннего предупреждения, необходимо увеличить число таких мероприятий.</w:t>
      </w:r>
    </w:p>
    <w:p w14:paraId="5AD08A10" w14:textId="2D1035EE" w:rsidR="00503672" w:rsidRPr="00503672" w:rsidRDefault="00503672" w:rsidP="00503672">
      <w:pPr>
        <w:rPr>
          <w:lang w:val="ru-RU"/>
        </w:rPr>
      </w:pPr>
      <w:r w:rsidRPr="00503672">
        <w:rPr>
          <w:lang w:val="ru-RU"/>
        </w:rPr>
        <w:t>3.9</w:t>
      </w:r>
      <w:r w:rsidRPr="00503672">
        <w:rPr>
          <w:lang w:val="ru-RU"/>
        </w:rPr>
        <w:tab/>
        <w:t>Советник от Польши, выступающий от имени 16 стран, говорит, что, как он понимает, московское отделение планирует организовать семинар-практикум в сотрудничестве с третьей стороной, которая поддерживает деятельность, нарушающую Устав Организации Объединенных Наций. Региональные отделения представляют МСЭ в целом в соответствующих регионах, и крайне важно, чтобы их деятельность соответствовала ценностям и принципам Союза и Уставу Организации Объединенных Наций. Он просит Генерального секретаря обеспечить неукоснительное соблюдение региональными отделениями внутренних директив МСЭ при выборе партнеров для проведения мероприятий и проявление должной осмотрительности, в частности, при планировании привлечения третьих сторон. Советник от Болгарии заявляет, что ее делегация разделяет позицию, выраженную 16</w:t>
      </w:r>
      <w:r w:rsidR="006F11AD">
        <w:rPr>
          <w:lang w:val="ru-RU"/>
        </w:rPr>
        <w:t> </w:t>
      </w:r>
      <w:r w:rsidRPr="00503672">
        <w:rPr>
          <w:lang w:val="ru-RU"/>
        </w:rPr>
        <w:t>странами.</w:t>
      </w:r>
    </w:p>
    <w:p w14:paraId="0D4D5ECF" w14:textId="77777777" w:rsidR="00503672" w:rsidRPr="00503672" w:rsidRDefault="00503672" w:rsidP="00503672">
      <w:pPr>
        <w:rPr>
          <w:lang w:val="ru-RU"/>
        </w:rPr>
      </w:pPr>
      <w:r w:rsidRPr="00503672">
        <w:rPr>
          <w:lang w:val="ru-RU"/>
        </w:rPr>
        <w:t>3.10</w:t>
      </w:r>
      <w:r w:rsidRPr="00503672">
        <w:rPr>
          <w:lang w:val="ru-RU"/>
        </w:rPr>
        <w:tab/>
        <w:t xml:space="preserve">Председатель говорит, что представитель БРЭ ответит на заданные вопросы на следующем пленарном заседании. </w:t>
      </w:r>
    </w:p>
    <w:p w14:paraId="6C3ADA40" w14:textId="77777777" w:rsidR="00503672" w:rsidRPr="00503672" w:rsidRDefault="00503672" w:rsidP="00503672">
      <w:pPr>
        <w:rPr>
          <w:lang w:val="ru-RU"/>
        </w:rPr>
      </w:pPr>
      <w:r w:rsidRPr="00503672">
        <w:rPr>
          <w:lang w:val="ru-RU"/>
        </w:rPr>
        <w:t>3.11</w:t>
      </w:r>
      <w:r w:rsidRPr="00503672">
        <w:rPr>
          <w:lang w:val="ru-RU"/>
        </w:rPr>
        <w:tab/>
        <w:t xml:space="preserve">Предложение </w:t>
      </w:r>
      <w:r w:rsidRPr="00503672">
        <w:rPr>
          <w:b/>
          <w:bCs/>
          <w:lang w:val="ru-RU"/>
        </w:rPr>
        <w:t>принимается</w:t>
      </w:r>
      <w:r w:rsidRPr="00503672">
        <w:rPr>
          <w:lang w:val="ru-RU"/>
        </w:rPr>
        <w:t>.</w:t>
      </w:r>
    </w:p>
    <w:p w14:paraId="55A86894" w14:textId="21E627B9" w:rsidR="00B82A26" w:rsidRPr="0073136B" w:rsidRDefault="00B82A26" w:rsidP="00C24119">
      <w:pPr>
        <w:tabs>
          <w:tab w:val="clear" w:pos="794"/>
          <w:tab w:val="clear" w:pos="1191"/>
          <w:tab w:val="clear" w:pos="1588"/>
          <w:tab w:val="clear" w:pos="1985"/>
          <w:tab w:val="left" w:pos="6804"/>
        </w:tabs>
        <w:spacing w:before="1080"/>
        <w:rPr>
          <w:rFonts w:asciiTheme="minorHAnsi" w:hAnsiTheme="minorHAnsi"/>
          <w:szCs w:val="24"/>
          <w:lang w:val="ru-RU"/>
        </w:rPr>
      </w:pPr>
      <w:r w:rsidRPr="006F11AD">
        <w:rPr>
          <w:rFonts w:asciiTheme="minorHAnsi" w:hAnsiTheme="minorHAnsi"/>
          <w:szCs w:val="24"/>
          <w:lang w:val="ru-RU"/>
        </w:rPr>
        <w:t>Генеральный секретарь</w:t>
      </w:r>
      <w:r w:rsidRPr="006F11AD">
        <w:rPr>
          <w:rFonts w:asciiTheme="minorHAnsi" w:hAnsiTheme="minorHAnsi"/>
          <w:szCs w:val="24"/>
          <w:lang w:val="ru-RU"/>
        </w:rPr>
        <w:tab/>
        <w:t>Председатель:</w:t>
      </w:r>
      <w:r w:rsidRPr="006F11AD">
        <w:rPr>
          <w:rFonts w:asciiTheme="minorHAnsi" w:hAnsiTheme="minorHAnsi"/>
          <w:szCs w:val="24"/>
          <w:lang w:val="ru-RU"/>
        </w:rPr>
        <w:br/>
        <w:t>Д. БОГДАН-МАРТИН</w:t>
      </w:r>
      <w:r w:rsidRPr="006F11AD">
        <w:rPr>
          <w:rFonts w:asciiTheme="minorHAnsi" w:hAnsiTheme="minorHAnsi"/>
          <w:szCs w:val="24"/>
          <w:lang w:val="ru-RU"/>
        </w:rPr>
        <w:tab/>
        <w:t>Ф. СОВАЖ</w:t>
      </w:r>
    </w:p>
    <w:p w14:paraId="1E6319BA" w14:textId="4C1E77C3" w:rsidR="0073136B" w:rsidRPr="0073136B" w:rsidRDefault="0073136B" w:rsidP="0073136B">
      <w:pPr>
        <w:tabs>
          <w:tab w:val="clear" w:pos="794"/>
          <w:tab w:val="clear" w:pos="1191"/>
          <w:tab w:val="clear" w:pos="1588"/>
          <w:tab w:val="clear" w:pos="1985"/>
          <w:tab w:val="left" w:pos="6804"/>
        </w:tabs>
        <w:spacing w:before="840"/>
        <w:jc w:val="center"/>
        <w:rPr>
          <w:rFonts w:asciiTheme="minorHAnsi" w:hAnsiTheme="minorHAnsi"/>
          <w:szCs w:val="24"/>
          <w:lang w:val="fr-CH"/>
        </w:rPr>
      </w:pPr>
      <w:r>
        <w:rPr>
          <w:rFonts w:asciiTheme="minorHAnsi" w:hAnsiTheme="minorHAnsi"/>
          <w:szCs w:val="24"/>
          <w:lang w:val="fr-CH"/>
        </w:rPr>
        <w:t>____________________</w:t>
      </w:r>
    </w:p>
    <w:sectPr w:rsidR="0073136B" w:rsidRPr="0073136B" w:rsidSect="00796BD3">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E377A" w14:textId="77777777" w:rsidR="00822E3A" w:rsidRDefault="00822E3A">
      <w:r>
        <w:separator/>
      </w:r>
    </w:p>
  </w:endnote>
  <w:endnote w:type="continuationSeparator" w:id="0">
    <w:p w14:paraId="0C0234DA" w14:textId="77777777" w:rsidR="00822E3A" w:rsidRDefault="008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0F7A927" w14:textId="77777777" w:rsidTr="00E31DCE">
      <w:trPr>
        <w:jc w:val="center"/>
      </w:trPr>
      <w:tc>
        <w:tcPr>
          <w:tcW w:w="1803" w:type="dxa"/>
          <w:vAlign w:val="center"/>
        </w:tcPr>
        <w:p w14:paraId="29C1D8F5" w14:textId="3D886D3C" w:rsidR="00672F8A" w:rsidRDefault="00672F8A" w:rsidP="00672F8A">
          <w:pPr>
            <w:pStyle w:val="Header"/>
            <w:jc w:val="left"/>
            <w:rPr>
              <w:noProof/>
            </w:rPr>
          </w:pPr>
        </w:p>
      </w:tc>
      <w:tc>
        <w:tcPr>
          <w:tcW w:w="8261" w:type="dxa"/>
        </w:tcPr>
        <w:p w14:paraId="0CACEC73" w14:textId="380F3E1B" w:rsidR="00672F8A" w:rsidRPr="00E06FD5" w:rsidRDefault="00672F8A" w:rsidP="0068162B">
          <w:pPr>
            <w:pStyle w:val="Header"/>
            <w:tabs>
              <w:tab w:val="left" w:pos="7015"/>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11</w:t>
          </w:r>
          <w:r w:rsidR="00503672">
            <w:rPr>
              <w:bCs/>
              <w:lang w:val="ru-RU"/>
            </w:rPr>
            <w:t>1</w:t>
          </w:r>
          <w:r w:rsidR="0068162B" w:rsidRPr="00623AE3">
            <w:rPr>
              <w:bCs/>
            </w:rPr>
            <w:t>-</w:t>
          </w:r>
          <w:r w:rsidR="0068162B">
            <w:rPr>
              <w:bCs/>
            </w:rPr>
            <w:t>R</w:t>
          </w:r>
          <w:r w:rsidR="0068162B">
            <w:rPr>
              <w:bCs/>
            </w:rPr>
            <w:tab/>
          </w:r>
          <w:r w:rsidR="0068162B">
            <w:fldChar w:fldCharType="begin"/>
          </w:r>
          <w:r w:rsidR="0068162B">
            <w:instrText>PAGE</w:instrText>
          </w:r>
          <w:r w:rsidR="0068162B">
            <w:fldChar w:fldCharType="separate"/>
          </w:r>
          <w:r w:rsidR="0068162B">
            <w:t>1</w:t>
          </w:r>
          <w:r w:rsidR="0068162B">
            <w:rPr>
              <w:noProof/>
            </w:rPr>
            <w:fldChar w:fldCharType="end"/>
          </w:r>
        </w:p>
      </w:tc>
    </w:tr>
  </w:tbl>
  <w:p w14:paraId="182131E9"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E475C41" w14:textId="77777777" w:rsidTr="00E31DCE">
      <w:trPr>
        <w:jc w:val="center"/>
      </w:trPr>
      <w:tc>
        <w:tcPr>
          <w:tcW w:w="1803" w:type="dxa"/>
          <w:vAlign w:val="center"/>
        </w:tcPr>
        <w:p w14:paraId="4A90EA55" w14:textId="77777777" w:rsidR="00672F8A" w:rsidRDefault="00672F8A" w:rsidP="00672F8A">
          <w:pPr>
            <w:pStyle w:val="Header"/>
            <w:jc w:val="left"/>
            <w:rPr>
              <w:noProof/>
            </w:rPr>
          </w:pPr>
          <w:r w:rsidRPr="00660449">
            <w:rPr>
              <w:color w:val="0563C1"/>
              <w:szCs w:val="14"/>
            </w:rPr>
            <w:t>www.itu.int/council</w:t>
          </w:r>
        </w:p>
      </w:tc>
      <w:tc>
        <w:tcPr>
          <w:tcW w:w="8261" w:type="dxa"/>
        </w:tcPr>
        <w:p w14:paraId="347A98DE" w14:textId="77EAF4A6" w:rsidR="00672F8A" w:rsidRPr="00E06FD5" w:rsidRDefault="00672F8A" w:rsidP="0068162B">
          <w:pPr>
            <w:pStyle w:val="Header"/>
            <w:tabs>
              <w:tab w:val="left" w:pos="7015"/>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11</w:t>
          </w:r>
          <w:r w:rsidR="00503672">
            <w:rPr>
              <w:bCs/>
              <w:lang w:val="ru-RU"/>
            </w:rPr>
            <w:t>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2AB211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8C98" w14:textId="77777777" w:rsidR="00822E3A" w:rsidRDefault="00822E3A">
      <w:r>
        <w:t>____________________</w:t>
      </w:r>
    </w:p>
  </w:footnote>
  <w:footnote w:type="continuationSeparator" w:id="0">
    <w:p w14:paraId="4AAA9717" w14:textId="77777777" w:rsidR="00822E3A" w:rsidRDefault="0082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FE35EE5" w14:textId="77777777" w:rsidTr="00E31DCE">
      <w:trPr>
        <w:trHeight w:val="1104"/>
        <w:jc w:val="center"/>
      </w:trPr>
      <w:tc>
        <w:tcPr>
          <w:tcW w:w="4390" w:type="dxa"/>
          <w:vAlign w:val="center"/>
        </w:tcPr>
        <w:p w14:paraId="0F089632" w14:textId="77777777" w:rsidR="00796BD3" w:rsidRPr="009621F8" w:rsidRDefault="00660449" w:rsidP="00796BD3">
          <w:pPr>
            <w:pStyle w:val="Header"/>
            <w:jc w:val="left"/>
            <w:rPr>
              <w:rFonts w:ascii="Arial" w:hAnsi="Arial" w:cs="Arial"/>
              <w:b/>
              <w:bCs/>
              <w:color w:val="009CD6"/>
              <w:sz w:val="36"/>
              <w:szCs w:val="36"/>
            </w:rPr>
          </w:pPr>
          <w:bookmarkStart w:id="12" w:name="_Hlk133422111"/>
          <w:r>
            <w:rPr>
              <w:noProof/>
            </w:rPr>
            <w:drawing>
              <wp:inline distT="0" distB="0" distL="0" distR="0" wp14:anchorId="10E4BCE8" wp14:editId="322FC64E">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76B76E" w14:textId="77777777" w:rsidR="00796BD3" w:rsidRDefault="00796BD3" w:rsidP="00796BD3">
          <w:pPr>
            <w:pStyle w:val="Header"/>
            <w:jc w:val="right"/>
            <w:rPr>
              <w:rFonts w:ascii="Arial" w:hAnsi="Arial" w:cs="Arial"/>
              <w:b/>
              <w:bCs/>
              <w:color w:val="009CD6"/>
              <w:szCs w:val="18"/>
            </w:rPr>
          </w:pPr>
        </w:p>
        <w:p w14:paraId="0067EACE" w14:textId="77777777" w:rsidR="00796BD3" w:rsidRDefault="00796BD3" w:rsidP="00796BD3">
          <w:pPr>
            <w:pStyle w:val="Header"/>
            <w:jc w:val="right"/>
            <w:rPr>
              <w:rFonts w:ascii="Arial" w:hAnsi="Arial" w:cs="Arial"/>
              <w:b/>
              <w:bCs/>
              <w:color w:val="009CD6"/>
              <w:szCs w:val="18"/>
            </w:rPr>
          </w:pPr>
        </w:p>
        <w:p w14:paraId="2DA78D4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20BC3C5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D776C0" wp14:editId="7DF38A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7B96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93786">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72A80"/>
    <w:rsid w:val="00080E82"/>
    <w:rsid w:val="000B2DE7"/>
    <w:rsid w:val="000D7F2F"/>
    <w:rsid w:val="000E568E"/>
    <w:rsid w:val="00123A1D"/>
    <w:rsid w:val="0014734F"/>
    <w:rsid w:val="0015710D"/>
    <w:rsid w:val="00163A32"/>
    <w:rsid w:val="00165D06"/>
    <w:rsid w:val="00192B41"/>
    <w:rsid w:val="001B7827"/>
    <w:rsid w:val="001B7B09"/>
    <w:rsid w:val="001E6719"/>
    <w:rsid w:val="001E7F50"/>
    <w:rsid w:val="00207D6B"/>
    <w:rsid w:val="00225368"/>
    <w:rsid w:val="00227FF0"/>
    <w:rsid w:val="00291EB6"/>
    <w:rsid w:val="002B60B6"/>
    <w:rsid w:val="002D2F57"/>
    <w:rsid w:val="002D48C5"/>
    <w:rsid w:val="0033025A"/>
    <w:rsid w:val="003B66C7"/>
    <w:rsid w:val="003F099E"/>
    <w:rsid w:val="003F235E"/>
    <w:rsid w:val="004023E0"/>
    <w:rsid w:val="00403DD8"/>
    <w:rsid w:val="00442515"/>
    <w:rsid w:val="0044279C"/>
    <w:rsid w:val="0045686C"/>
    <w:rsid w:val="004918C4"/>
    <w:rsid w:val="00497703"/>
    <w:rsid w:val="004A0374"/>
    <w:rsid w:val="004A45B5"/>
    <w:rsid w:val="004D0129"/>
    <w:rsid w:val="00503672"/>
    <w:rsid w:val="00577A6C"/>
    <w:rsid w:val="005A64D5"/>
    <w:rsid w:val="005B3DEC"/>
    <w:rsid w:val="00601994"/>
    <w:rsid w:val="006573E1"/>
    <w:rsid w:val="00660449"/>
    <w:rsid w:val="00672F8A"/>
    <w:rsid w:val="0068162B"/>
    <w:rsid w:val="006E2D42"/>
    <w:rsid w:val="006F11AD"/>
    <w:rsid w:val="00703676"/>
    <w:rsid w:val="00707304"/>
    <w:rsid w:val="00714FFE"/>
    <w:rsid w:val="0073136B"/>
    <w:rsid w:val="00732269"/>
    <w:rsid w:val="00760161"/>
    <w:rsid w:val="00762555"/>
    <w:rsid w:val="00785ABD"/>
    <w:rsid w:val="00796BD3"/>
    <w:rsid w:val="007A2DD4"/>
    <w:rsid w:val="007D38B5"/>
    <w:rsid w:val="007E7EA0"/>
    <w:rsid w:val="00807255"/>
    <w:rsid w:val="0081023E"/>
    <w:rsid w:val="008173AA"/>
    <w:rsid w:val="00822E3A"/>
    <w:rsid w:val="00840A14"/>
    <w:rsid w:val="00867C0B"/>
    <w:rsid w:val="00877B42"/>
    <w:rsid w:val="008B62B4"/>
    <w:rsid w:val="008D2D7B"/>
    <w:rsid w:val="008E0737"/>
    <w:rsid w:val="008F7C2C"/>
    <w:rsid w:val="00940E96"/>
    <w:rsid w:val="009B0BAE"/>
    <w:rsid w:val="009C1C89"/>
    <w:rsid w:val="009F3448"/>
    <w:rsid w:val="00A01CF9"/>
    <w:rsid w:val="00A02AF9"/>
    <w:rsid w:val="00A64C48"/>
    <w:rsid w:val="00A71773"/>
    <w:rsid w:val="00AE217D"/>
    <w:rsid w:val="00AE2C85"/>
    <w:rsid w:val="00B058FA"/>
    <w:rsid w:val="00B12A37"/>
    <w:rsid w:val="00B41837"/>
    <w:rsid w:val="00B63BB4"/>
    <w:rsid w:val="00B63EF2"/>
    <w:rsid w:val="00B82A26"/>
    <w:rsid w:val="00BA7D89"/>
    <w:rsid w:val="00BC0D39"/>
    <w:rsid w:val="00BC7BC0"/>
    <w:rsid w:val="00BD57B7"/>
    <w:rsid w:val="00BE63E2"/>
    <w:rsid w:val="00C02E80"/>
    <w:rsid w:val="00C24119"/>
    <w:rsid w:val="00CD2009"/>
    <w:rsid w:val="00CF629C"/>
    <w:rsid w:val="00D82C09"/>
    <w:rsid w:val="00D856FB"/>
    <w:rsid w:val="00D92EEA"/>
    <w:rsid w:val="00DA5D4E"/>
    <w:rsid w:val="00E176BA"/>
    <w:rsid w:val="00E30A0D"/>
    <w:rsid w:val="00E423EC"/>
    <w:rsid w:val="00E44BBA"/>
    <w:rsid w:val="00E55121"/>
    <w:rsid w:val="00E75B2D"/>
    <w:rsid w:val="00EA7932"/>
    <w:rsid w:val="00EB4FCB"/>
    <w:rsid w:val="00EC6BC5"/>
    <w:rsid w:val="00F35898"/>
    <w:rsid w:val="00F5225B"/>
    <w:rsid w:val="00F80D1B"/>
    <w:rsid w:val="00FB0B50"/>
    <w:rsid w:val="00FE570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A89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AnnexNO0">
    <w:name w:val="Annex_NO"/>
    <w:basedOn w:val="Normal"/>
    <w:rsid w:val="00E44BBA"/>
    <w:pPr>
      <w:tabs>
        <w:tab w:val="clear" w:pos="794"/>
        <w:tab w:val="clear" w:pos="1191"/>
        <w:tab w:val="clear" w:pos="1588"/>
        <w:tab w:val="clear" w:pos="1985"/>
        <w:tab w:val="left" w:pos="567"/>
        <w:tab w:val="left" w:pos="1134"/>
        <w:tab w:val="left" w:pos="1701"/>
        <w:tab w:val="left" w:pos="2268"/>
        <w:tab w:val="left" w:pos="2835"/>
      </w:tabs>
      <w:spacing w:before="0"/>
      <w:jc w:val="center"/>
    </w:pPr>
    <w:rPr>
      <w:rFonts w:asciiTheme="minorHAnsi" w:hAnsiTheme="minorHAnsi"/>
      <w:b/>
      <w:sz w:val="28"/>
      <w:u w:val="single"/>
    </w:rPr>
  </w:style>
  <w:style w:type="paragraph" w:customStyle="1" w:styleId="AnnexTitle0">
    <w:name w:val="Annex_Title"/>
    <w:basedOn w:val="Normal"/>
    <w:rsid w:val="00E44BBA"/>
    <w:pPr>
      <w:tabs>
        <w:tab w:val="clear" w:pos="794"/>
        <w:tab w:val="clear" w:pos="1191"/>
        <w:tab w:val="clear" w:pos="1588"/>
        <w:tab w:val="clear" w:pos="1985"/>
        <w:tab w:val="left" w:pos="567"/>
        <w:tab w:val="left" w:pos="1134"/>
        <w:tab w:val="left" w:pos="1701"/>
        <w:tab w:val="left" w:pos="2268"/>
        <w:tab w:val="left" w:pos="2835"/>
      </w:tabs>
      <w:jc w:val="center"/>
    </w:pPr>
    <w:rPr>
      <w:sz w:val="24"/>
    </w:rPr>
  </w:style>
  <w:style w:type="character" w:styleId="UnresolvedMention">
    <w:name w:val="Unresolved Mention"/>
    <w:basedOn w:val="DefaultParagraphFont"/>
    <w:uiPriority w:val="99"/>
    <w:semiHidden/>
    <w:unhideWhenUsed/>
    <w:rsid w:val="002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73/en" TargetMode="External"/><Relationship Id="rId13" Type="http://schemas.openxmlformats.org/officeDocument/2006/relationships/hyperlink" Target="https://www.itu.int/md/S24-CL-C-0100/en" TargetMode="External"/><Relationship Id="rId18" Type="http://schemas.openxmlformats.org/officeDocument/2006/relationships/hyperlink" Target="https://www.itu.int/md/S24-CL-C-0079/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md/S24-CL-C-0052/en" TargetMode="External"/><Relationship Id="rId12" Type="http://schemas.openxmlformats.org/officeDocument/2006/relationships/hyperlink" Target="https://www.itu.int/md/S24-CL-C-0098/en" TargetMode="External"/><Relationship Id="rId17" Type="http://schemas.openxmlformats.org/officeDocument/2006/relationships/hyperlink" Target="https://www.itu.int/md/S24-CL-C-0025/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4-CL-C-0027/en" TargetMode="External"/><Relationship Id="rId20" Type="http://schemas.openxmlformats.org/officeDocument/2006/relationships/hyperlink" Target="https://www.itu.int/md/S24-CL-C-010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79/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4-CL-C-0073/en" TargetMode="External"/><Relationship Id="rId23" Type="http://schemas.openxmlformats.org/officeDocument/2006/relationships/footer" Target="footer2.xml"/><Relationship Id="rId10" Type="http://schemas.openxmlformats.org/officeDocument/2006/relationships/hyperlink" Target="https://www.itu.int/md/S24-CL-C-0025/en" TargetMode="External"/><Relationship Id="rId19" Type="http://schemas.openxmlformats.org/officeDocument/2006/relationships/hyperlink" Target="https://www.itu.int/md/S24-CL-C-0098/en" TargetMode="External"/><Relationship Id="rId4" Type="http://schemas.openxmlformats.org/officeDocument/2006/relationships/webSettings" Target="webSettings.xml"/><Relationship Id="rId9" Type="http://schemas.openxmlformats.org/officeDocument/2006/relationships/hyperlink" Target="https://www.itu.int/md/S24-CL-C-0027/en" TargetMode="External"/><Relationship Id="rId14" Type="http://schemas.openxmlformats.org/officeDocument/2006/relationships/hyperlink" Target="https://www.itu.int/md/S24-CL-C-0052/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7</Pages>
  <Words>2644</Words>
  <Characters>19321</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2024</dc:subject>
  <cp:keywords>C2024, C24, Council-24</cp:keywords>
  <dc:description/>
  <cp:revision>3</cp:revision>
  <cp:lastPrinted>2006-03-28T16:12:00Z</cp:lastPrinted>
  <dcterms:created xsi:type="dcterms:W3CDTF">2024-09-02T08:23:00Z</dcterms:created>
  <dcterms:modified xsi:type="dcterms:W3CDTF">2024-09-02T09:33:00Z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