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84504" w14:paraId="0043AC80" w14:textId="77777777" w:rsidTr="00AD3606">
        <w:trPr>
          <w:cantSplit/>
          <w:trHeight w:val="23"/>
        </w:trPr>
        <w:tc>
          <w:tcPr>
            <w:tcW w:w="3969" w:type="dxa"/>
            <w:vMerge w:val="restart"/>
            <w:tcMar>
              <w:left w:w="0" w:type="dxa"/>
            </w:tcMar>
          </w:tcPr>
          <w:p w14:paraId="60A806D3" w14:textId="33A86F31" w:rsidR="00AD3606" w:rsidRPr="00D8450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0428843" w:rsidR="00AD3606" w:rsidRPr="00D84504" w:rsidRDefault="00AD3606" w:rsidP="00472BAD">
            <w:pPr>
              <w:tabs>
                <w:tab w:val="left" w:pos="851"/>
              </w:tabs>
              <w:spacing w:before="0" w:line="240" w:lineRule="atLeast"/>
              <w:jc w:val="right"/>
              <w:rPr>
                <w:b/>
              </w:rPr>
            </w:pPr>
            <w:r w:rsidRPr="00D84504">
              <w:rPr>
                <w:b/>
              </w:rPr>
              <w:t>Document C2</w:t>
            </w:r>
            <w:r w:rsidR="00E23618" w:rsidRPr="00D84504">
              <w:rPr>
                <w:b/>
              </w:rPr>
              <w:t>4</w:t>
            </w:r>
            <w:r w:rsidRPr="00D84504">
              <w:rPr>
                <w:b/>
              </w:rPr>
              <w:t>/</w:t>
            </w:r>
            <w:r w:rsidR="009D4F14" w:rsidRPr="00D84504">
              <w:rPr>
                <w:b/>
              </w:rPr>
              <w:t>1</w:t>
            </w:r>
            <w:r w:rsidR="00153171" w:rsidRPr="00D84504">
              <w:rPr>
                <w:b/>
              </w:rPr>
              <w:t>2</w:t>
            </w:r>
            <w:r w:rsidR="009156F1" w:rsidRPr="00D84504">
              <w:rPr>
                <w:b/>
              </w:rPr>
              <w:t>2</w:t>
            </w:r>
            <w:r w:rsidRPr="00D84504">
              <w:rPr>
                <w:b/>
              </w:rPr>
              <w:t>-E</w:t>
            </w:r>
          </w:p>
        </w:tc>
      </w:tr>
      <w:tr w:rsidR="00AD3606" w:rsidRPr="00D84504" w14:paraId="789B45BA" w14:textId="77777777" w:rsidTr="00AD3606">
        <w:trPr>
          <w:cantSplit/>
        </w:trPr>
        <w:tc>
          <w:tcPr>
            <w:tcW w:w="3969" w:type="dxa"/>
            <w:vMerge/>
          </w:tcPr>
          <w:p w14:paraId="3F3D4E17" w14:textId="77777777" w:rsidR="00AD3606" w:rsidRPr="00D84504"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AFB8E44" w:rsidR="00AD3606" w:rsidRPr="00D84504" w:rsidRDefault="00F46644" w:rsidP="00AD3606">
            <w:pPr>
              <w:tabs>
                <w:tab w:val="left" w:pos="851"/>
              </w:tabs>
              <w:spacing w:before="0"/>
              <w:jc w:val="right"/>
              <w:rPr>
                <w:b/>
              </w:rPr>
            </w:pPr>
            <w:r>
              <w:rPr>
                <w:b/>
              </w:rPr>
              <w:t>29</w:t>
            </w:r>
            <w:r w:rsidR="00413B31" w:rsidRPr="00D84504">
              <w:rPr>
                <w:b/>
              </w:rPr>
              <w:t xml:space="preserve"> </w:t>
            </w:r>
            <w:r w:rsidR="003A7542" w:rsidRPr="00D84504">
              <w:rPr>
                <w:b/>
              </w:rPr>
              <w:t>August</w:t>
            </w:r>
            <w:r w:rsidR="00611253" w:rsidRPr="00D84504">
              <w:rPr>
                <w:b/>
              </w:rPr>
              <w:t xml:space="preserve"> </w:t>
            </w:r>
            <w:r w:rsidR="00AD3606" w:rsidRPr="00D84504">
              <w:rPr>
                <w:b/>
              </w:rPr>
              <w:t>202</w:t>
            </w:r>
            <w:r w:rsidR="00E23618" w:rsidRPr="00D84504">
              <w:rPr>
                <w:b/>
              </w:rPr>
              <w:t>4</w:t>
            </w:r>
          </w:p>
        </w:tc>
      </w:tr>
      <w:tr w:rsidR="00AD3606" w:rsidRPr="00D84504" w14:paraId="58A84C4A" w14:textId="77777777" w:rsidTr="00AD3606">
        <w:trPr>
          <w:cantSplit/>
          <w:trHeight w:val="23"/>
        </w:trPr>
        <w:tc>
          <w:tcPr>
            <w:tcW w:w="3969" w:type="dxa"/>
            <w:vMerge/>
          </w:tcPr>
          <w:p w14:paraId="77CEDDAA" w14:textId="77777777" w:rsidR="00AD3606" w:rsidRPr="00D84504"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D84504" w:rsidRDefault="00AD3606" w:rsidP="00AD3606">
            <w:pPr>
              <w:tabs>
                <w:tab w:val="left" w:pos="851"/>
              </w:tabs>
              <w:spacing w:before="0" w:line="240" w:lineRule="atLeast"/>
              <w:jc w:val="right"/>
              <w:rPr>
                <w:b/>
              </w:rPr>
            </w:pPr>
            <w:r w:rsidRPr="00D84504">
              <w:rPr>
                <w:b/>
              </w:rPr>
              <w:t>Original: English</w:t>
            </w:r>
          </w:p>
        </w:tc>
      </w:tr>
      <w:tr w:rsidR="00472BAD" w:rsidRPr="00D84504" w14:paraId="12C5EF5F" w14:textId="77777777" w:rsidTr="00AD3606">
        <w:trPr>
          <w:cantSplit/>
          <w:trHeight w:val="23"/>
        </w:trPr>
        <w:tc>
          <w:tcPr>
            <w:tcW w:w="3969" w:type="dxa"/>
          </w:tcPr>
          <w:p w14:paraId="4B839BA2" w14:textId="77777777" w:rsidR="00472BAD" w:rsidRPr="00D84504" w:rsidRDefault="00472BAD" w:rsidP="00AD3606">
            <w:pPr>
              <w:tabs>
                <w:tab w:val="left" w:pos="851"/>
              </w:tabs>
              <w:spacing w:line="240" w:lineRule="atLeast"/>
              <w:rPr>
                <w:b/>
              </w:rPr>
            </w:pPr>
          </w:p>
        </w:tc>
        <w:tc>
          <w:tcPr>
            <w:tcW w:w="5245" w:type="dxa"/>
          </w:tcPr>
          <w:p w14:paraId="12F66D25" w14:textId="77777777" w:rsidR="00472BAD" w:rsidRPr="00D84504" w:rsidRDefault="00472BAD" w:rsidP="00AD3606">
            <w:pPr>
              <w:tabs>
                <w:tab w:val="left" w:pos="851"/>
              </w:tabs>
              <w:spacing w:before="0" w:line="240" w:lineRule="atLeast"/>
              <w:jc w:val="right"/>
              <w:rPr>
                <w:b/>
              </w:rPr>
            </w:pPr>
          </w:p>
        </w:tc>
      </w:tr>
      <w:tr w:rsidR="007244B9" w:rsidRPr="00D84504" w14:paraId="54F40449" w14:textId="77777777" w:rsidTr="003243AE">
        <w:trPr>
          <w:cantSplit/>
          <w:trHeight w:val="23"/>
        </w:trPr>
        <w:tc>
          <w:tcPr>
            <w:tcW w:w="9214" w:type="dxa"/>
            <w:gridSpan w:val="2"/>
          </w:tcPr>
          <w:p w14:paraId="26A57B8C" w14:textId="77777777" w:rsidR="007244B9" w:rsidRPr="00D84504"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D84504">
              <w:rPr>
                <w:b/>
                <w:bCs/>
                <w:sz w:val="34"/>
                <w:szCs w:val="34"/>
              </w:rPr>
              <w:t>SUMMARY RECORD</w:t>
            </w:r>
          </w:p>
          <w:p w14:paraId="35817936" w14:textId="77777777" w:rsidR="007244B9" w:rsidRPr="00D84504"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D84504">
              <w:rPr>
                <w:b/>
                <w:bCs/>
                <w:sz w:val="34"/>
                <w:szCs w:val="34"/>
              </w:rPr>
              <w:t>OF THE</w:t>
            </w:r>
          </w:p>
          <w:p w14:paraId="3C599D4A" w14:textId="2456A767" w:rsidR="007244B9" w:rsidRPr="00D84504" w:rsidRDefault="009156F1" w:rsidP="0051181E">
            <w:pPr>
              <w:tabs>
                <w:tab w:val="left" w:pos="851"/>
              </w:tabs>
              <w:spacing w:after="240" w:line="240" w:lineRule="atLeast"/>
              <w:jc w:val="center"/>
              <w:rPr>
                <w:b/>
              </w:rPr>
            </w:pPr>
            <w:r w:rsidRPr="00D84504">
              <w:rPr>
                <w:b/>
                <w:bCs/>
                <w:sz w:val="34"/>
                <w:szCs w:val="34"/>
              </w:rPr>
              <w:t>TWELFTH AND LAST</w:t>
            </w:r>
            <w:r w:rsidR="007244B9" w:rsidRPr="00D84504">
              <w:rPr>
                <w:b/>
                <w:bCs/>
                <w:sz w:val="34"/>
                <w:szCs w:val="34"/>
              </w:rPr>
              <w:t xml:space="preserve"> PLENARY MEETING</w:t>
            </w:r>
          </w:p>
        </w:tc>
      </w:tr>
      <w:tr w:rsidR="007244B9" w:rsidRPr="00D84504" w14:paraId="66DF5894" w14:textId="77777777" w:rsidTr="003243AE">
        <w:trPr>
          <w:cantSplit/>
          <w:trHeight w:val="23"/>
        </w:trPr>
        <w:tc>
          <w:tcPr>
            <w:tcW w:w="9214" w:type="dxa"/>
            <w:gridSpan w:val="2"/>
          </w:tcPr>
          <w:p w14:paraId="75F88B8B" w14:textId="21456D21" w:rsidR="007244B9" w:rsidRPr="00D84504" w:rsidRDefault="009156F1"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D84504">
              <w:t>Friday, 14 June 2024, from 1430 to 1600 hours</w:t>
            </w:r>
          </w:p>
          <w:p w14:paraId="7C47BB0A" w14:textId="5B0E3C8B" w:rsidR="007244B9" w:rsidRPr="00D84504" w:rsidRDefault="007244B9" w:rsidP="007244B9">
            <w:pPr>
              <w:tabs>
                <w:tab w:val="left" w:pos="851"/>
              </w:tabs>
              <w:spacing w:after="240" w:line="240" w:lineRule="atLeast"/>
              <w:jc w:val="center"/>
              <w:rPr>
                <w:b/>
              </w:rPr>
            </w:pPr>
            <w:r w:rsidRPr="00D84504">
              <w:rPr>
                <w:b/>
                <w:bCs/>
              </w:rPr>
              <w:t>Chair</w:t>
            </w:r>
            <w:r w:rsidRPr="00D84504">
              <w:t>: Mr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D84504" w14:paraId="14B76029" w14:textId="77777777" w:rsidTr="7FF38753">
        <w:tc>
          <w:tcPr>
            <w:tcW w:w="242" w:type="pct"/>
          </w:tcPr>
          <w:p w14:paraId="7F154504" w14:textId="77777777" w:rsidR="007244B9" w:rsidRPr="00D84504" w:rsidRDefault="007244B9" w:rsidP="007244B9">
            <w:pPr>
              <w:spacing w:before="480"/>
              <w:rPr>
                <w:b/>
                <w:bCs/>
                <w:szCs w:val="24"/>
              </w:rPr>
            </w:pPr>
            <w:bookmarkStart w:id="8" w:name="_Hlk141438382"/>
            <w:bookmarkStart w:id="9" w:name="_Hlk133421428"/>
            <w:bookmarkEnd w:id="2"/>
            <w:bookmarkEnd w:id="7"/>
            <w:r w:rsidRPr="00D84504">
              <w:rPr>
                <w:b/>
                <w:bCs/>
                <w:szCs w:val="24"/>
              </w:rPr>
              <w:br w:type="page"/>
            </w:r>
            <w:r w:rsidRPr="00D84504">
              <w:rPr>
                <w:b/>
                <w:bCs/>
                <w:szCs w:val="24"/>
              </w:rPr>
              <w:br w:type="page"/>
            </w:r>
          </w:p>
        </w:tc>
        <w:tc>
          <w:tcPr>
            <w:tcW w:w="3580" w:type="pct"/>
            <w:hideMark/>
          </w:tcPr>
          <w:p w14:paraId="6E059BF8" w14:textId="77777777" w:rsidR="007244B9" w:rsidRPr="00D84504" w:rsidRDefault="007244B9" w:rsidP="007244B9">
            <w:pPr>
              <w:spacing w:before="480" w:after="120"/>
              <w:rPr>
                <w:b/>
                <w:bCs/>
                <w:szCs w:val="24"/>
              </w:rPr>
            </w:pPr>
            <w:r w:rsidRPr="00D84504">
              <w:rPr>
                <w:b/>
                <w:bCs/>
                <w:szCs w:val="24"/>
              </w:rPr>
              <w:t>Subjects discussed</w:t>
            </w:r>
          </w:p>
        </w:tc>
        <w:tc>
          <w:tcPr>
            <w:tcW w:w="1178" w:type="pct"/>
            <w:hideMark/>
          </w:tcPr>
          <w:p w14:paraId="683D5A20" w14:textId="35ED7D84" w:rsidR="007244B9" w:rsidRPr="00D84504" w:rsidRDefault="007244B9" w:rsidP="005B766E">
            <w:pPr>
              <w:spacing w:before="480"/>
              <w:jc w:val="center"/>
              <w:rPr>
                <w:b/>
                <w:bCs/>
                <w:szCs w:val="24"/>
              </w:rPr>
            </w:pPr>
            <w:r w:rsidRPr="00D84504">
              <w:rPr>
                <w:b/>
                <w:bCs/>
                <w:szCs w:val="24"/>
              </w:rPr>
              <w:t>Documents</w:t>
            </w:r>
          </w:p>
        </w:tc>
      </w:tr>
      <w:tr w:rsidR="009156F1" w:rsidRPr="00D84504" w14:paraId="21752EA8" w14:textId="77777777" w:rsidTr="7FF38753">
        <w:trPr>
          <w:trHeight w:val="20"/>
        </w:trPr>
        <w:tc>
          <w:tcPr>
            <w:tcW w:w="242" w:type="pct"/>
            <w:hideMark/>
          </w:tcPr>
          <w:p w14:paraId="59F0B2E6" w14:textId="77777777" w:rsidR="009156F1" w:rsidRPr="00D84504" w:rsidRDefault="009156F1" w:rsidP="009156F1">
            <w:pPr>
              <w:spacing w:before="80" w:after="80"/>
              <w:rPr>
                <w:sz w:val="22"/>
                <w:szCs w:val="22"/>
              </w:rPr>
            </w:pPr>
            <w:r w:rsidRPr="00D84504">
              <w:rPr>
                <w:sz w:val="22"/>
                <w:szCs w:val="22"/>
              </w:rPr>
              <w:t>1</w:t>
            </w:r>
          </w:p>
        </w:tc>
        <w:tc>
          <w:tcPr>
            <w:tcW w:w="3580" w:type="pct"/>
          </w:tcPr>
          <w:p w14:paraId="020C0FA1" w14:textId="2E9D757D" w:rsidR="009156F1" w:rsidRPr="00D84504" w:rsidRDefault="009156F1" w:rsidP="009156F1">
            <w:pPr>
              <w:spacing w:before="80" w:after="80"/>
              <w:rPr>
                <w:sz w:val="22"/>
                <w:szCs w:val="22"/>
              </w:rPr>
            </w:pPr>
            <w:bookmarkStart w:id="10" w:name="_Hlk169783802"/>
            <w:r w:rsidRPr="00D84504">
              <w:rPr>
                <w:sz w:val="22"/>
                <w:szCs w:val="22"/>
              </w:rPr>
              <w:t>Green digital transformation: ITU activities on climate change and environmental sustainability (</w:t>
            </w:r>
            <w:r w:rsidRPr="00D84504">
              <w:rPr>
                <w:i/>
                <w:sz w:val="22"/>
                <w:szCs w:val="22"/>
              </w:rPr>
              <w:t>continued</w:t>
            </w:r>
            <w:r w:rsidRPr="00D84504">
              <w:rPr>
                <w:sz w:val="22"/>
                <w:szCs w:val="22"/>
              </w:rPr>
              <w:t>)</w:t>
            </w:r>
            <w:bookmarkEnd w:id="10"/>
          </w:p>
        </w:tc>
        <w:tc>
          <w:tcPr>
            <w:tcW w:w="1178" w:type="pct"/>
          </w:tcPr>
          <w:p w14:paraId="23C04073" w14:textId="7D9F7417" w:rsidR="009156F1" w:rsidRPr="00D84504" w:rsidRDefault="00F46644" w:rsidP="009156F1">
            <w:pPr>
              <w:spacing w:before="80" w:after="80"/>
              <w:jc w:val="center"/>
              <w:rPr>
                <w:sz w:val="22"/>
                <w:szCs w:val="22"/>
              </w:rPr>
            </w:pPr>
            <w:hyperlink r:id="rId11" w:history="1">
              <w:r w:rsidR="19AA7067" w:rsidRPr="00D84504">
                <w:rPr>
                  <w:rStyle w:val="Hyperlink"/>
                  <w:sz w:val="22"/>
                  <w:szCs w:val="22"/>
                </w:rPr>
                <w:t>C24/72</w:t>
              </w:r>
            </w:hyperlink>
            <w:r w:rsidR="19AA7067" w:rsidRPr="00D84504">
              <w:rPr>
                <w:sz w:val="22"/>
                <w:szCs w:val="22"/>
              </w:rPr>
              <w:t xml:space="preserve">, </w:t>
            </w:r>
            <w:hyperlink r:id="rId12">
              <w:r w:rsidR="19AA7067" w:rsidRPr="00D84504">
                <w:rPr>
                  <w:rStyle w:val="Hyperlink"/>
                  <w:sz w:val="22"/>
                  <w:szCs w:val="22"/>
                </w:rPr>
                <w:t>C24/88</w:t>
              </w:r>
            </w:hyperlink>
            <w:r w:rsidR="19AA7067" w:rsidRPr="00D84504">
              <w:rPr>
                <w:sz w:val="22"/>
                <w:szCs w:val="22"/>
              </w:rPr>
              <w:t xml:space="preserve">, </w:t>
            </w:r>
            <w:hyperlink r:id="rId13">
              <w:r w:rsidR="19AA7067" w:rsidRPr="00D84504">
                <w:rPr>
                  <w:rStyle w:val="Hyperlink"/>
                  <w:sz w:val="22"/>
                  <w:szCs w:val="22"/>
                </w:rPr>
                <w:t>C24/DT/11</w:t>
              </w:r>
            </w:hyperlink>
          </w:p>
        </w:tc>
      </w:tr>
      <w:tr w:rsidR="009156F1" w:rsidRPr="00D84504" w14:paraId="6EA0EA1D" w14:textId="77777777" w:rsidTr="7FF38753">
        <w:trPr>
          <w:trHeight w:val="20"/>
        </w:trPr>
        <w:tc>
          <w:tcPr>
            <w:tcW w:w="242" w:type="pct"/>
          </w:tcPr>
          <w:p w14:paraId="771A6319" w14:textId="0113AA58" w:rsidR="009156F1" w:rsidRPr="00D84504" w:rsidRDefault="009156F1" w:rsidP="009156F1">
            <w:pPr>
              <w:spacing w:before="80" w:after="80"/>
              <w:rPr>
                <w:sz w:val="22"/>
                <w:szCs w:val="22"/>
              </w:rPr>
            </w:pPr>
            <w:r w:rsidRPr="00D84504">
              <w:rPr>
                <w:sz w:val="22"/>
                <w:szCs w:val="22"/>
              </w:rPr>
              <w:t>2</w:t>
            </w:r>
          </w:p>
        </w:tc>
        <w:tc>
          <w:tcPr>
            <w:tcW w:w="3580" w:type="pct"/>
          </w:tcPr>
          <w:p w14:paraId="4A58AA98" w14:textId="46AD0995" w:rsidR="009156F1" w:rsidRPr="00D84504" w:rsidRDefault="009156F1" w:rsidP="009156F1">
            <w:pPr>
              <w:spacing w:before="80" w:after="80"/>
              <w:rPr>
                <w:rFonts w:asciiTheme="minorHAnsi" w:hAnsiTheme="minorHAnsi" w:cstheme="minorHAnsi"/>
                <w:color w:val="2F2F2F"/>
                <w:sz w:val="22"/>
                <w:szCs w:val="22"/>
                <w:shd w:val="clear" w:color="auto" w:fill="FFFFFF"/>
              </w:rPr>
            </w:pPr>
            <w:r w:rsidRPr="00D84504">
              <w:rPr>
                <w:sz w:val="22"/>
                <w:szCs w:val="22"/>
              </w:rPr>
              <w:t>Dates and duration of the 2025, 2026 and 2027 sessions of the ITU Council and Council working group clusters (</w:t>
            </w:r>
            <w:r w:rsidRPr="00D84504">
              <w:rPr>
                <w:i/>
                <w:sz w:val="22"/>
                <w:szCs w:val="22"/>
              </w:rPr>
              <w:t>continued</w:t>
            </w:r>
            <w:r w:rsidRPr="00D84504">
              <w:rPr>
                <w:sz w:val="22"/>
                <w:szCs w:val="22"/>
              </w:rPr>
              <w:t>)</w:t>
            </w:r>
          </w:p>
        </w:tc>
        <w:tc>
          <w:tcPr>
            <w:tcW w:w="1178" w:type="pct"/>
          </w:tcPr>
          <w:p w14:paraId="46957471" w14:textId="50E2A9E5" w:rsidR="009156F1" w:rsidRPr="00D84504" w:rsidRDefault="00F46644" w:rsidP="009156F1">
            <w:pPr>
              <w:spacing w:before="80" w:after="80"/>
              <w:jc w:val="center"/>
              <w:rPr>
                <w:sz w:val="22"/>
                <w:szCs w:val="22"/>
              </w:rPr>
            </w:pPr>
            <w:hyperlink r:id="rId14" w:history="1">
              <w:r w:rsidR="009156F1" w:rsidRPr="00D84504">
                <w:rPr>
                  <w:rStyle w:val="Hyperlink"/>
                  <w:sz w:val="22"/>
                  <w:szCs w:val="22"/>
                </w:rPr>
                <w:t>C24/2</w:t>
              </w:r>
            </w:hyperlink>
            <w:r w:rsidR="0049489B" w:rsidRPr="00D84504">
              <w:rPr>
                <w:rStyle w:val="Hyperlink"/>
                <w:color w:val="auto"/>
                <w:sz w:val="22"/>
                <w:szCs w:val="22"/>
                <w:u w:val="none"/>
              </w:rPr>
              <w:t xml:space="preserve">, </w:t>
            </w:r>
            <w:hyperlink r:id="rId15" w:history="1">
              <w:r w:rsidR="0049489B" w:rsidRPr="00D84504">
                <w:rPr>
                  <w:rStyle w:val="Hyperlink"/>
                  <w:sz w:val="22"/>
                  <w:szCs w:val="22"/>
                </w:rPr>
                <w:t>C24/DT/13</w:t>
              </w:r>
            </w:hyperlink>
          </w:p>
        </w:tc>
      </w:tr>
      <w:tr w:rsidR="009156F1" w:rsidRPr="00D84504" w14:paraId="3C347C19" w14:textId="77777777" w:rsidTr="7FF38753">
        <w:trPr>
          <w:trHeight w:val="20"/>
        </w:trPr>
        <w:tc>
          <w:tcPr>
            <w:tcW w:w="242" w:type="pct"/>
          </w:tcPr>
          <w:p w14:paraId="40F71A4C" w14:textId="6A7AA66B" w:rsidR="009156F1" w:rsidRPr="00D84504" w:rsidRDefault="009156F1" w:rsidP="009156F1">
            <w:pPr>
              <w:spacing w:before="80" w:after="80"/>
              <w:rPr>
                <w:sz w:val="22"/>
                <w:szCs w:val="22"/>
              </w:rPr>
            </w:pPr>
            <w:r w:rsidRPr="00D84504">
              <w:rPr>
                <w:sz w:val="22"/>
                <w:szCs w:val="22"/>
              </w:rPr>
              <w:t>3</w:t>
            </w:r>
          </w:p>
        </w:tc>
        <w:tc>
          <w:tcPr>
            <w:tcW w:w="3580" w:type="pct"/>
          </w:tcPr>
          <w:p w14:paraId="62B8BF42" w14:textId="22E0B483" w:rsidR="009156F1" w:rsidRPr="00D84504" w:rsidRDefault="009156F1" w:rsidP="009156F1">
            <w:pPr>
              <w:spacing w:before="80" w:after="80"/>
              <w:rPr>
                <w:rFonts w:asciiTheme="minorHAnsi" w:hAnsiTheme="minorHAnsi" w:cstheme="minorHAnsi"/>
                <w:color w:val="2F2F2F"/>
                <w:sz w:val="22"/>
                <w:szCs w:val="22"/>
                <w:shd w:val="clear" w:color="auto" w:fill="FFFFFF"/>
              </w:rPr>
            </w:pPr>
            <w:r w:rsidRPr="00D84504">
              <w:rPr>
                <w:sz w:val="22"/>
                <w:szCs w:val="22"/>
              </w:rPr>
              <w:t>List of chairs and vice-chairs of the Council working groups and expert groups (</w:t>
            </w:r>
            <w:r w:rsidRPr="00D84504">
              <w:rPr>
                <w:i/>
                <w:sz w:val="22"/>
                <w:szCs w:val="22"/>
              </w:rPr>
              <w:t>continued</w:t>
            </w:r>
            <w:r w:rsidRPr="00D84504">
              <w:rPr>
                <w:sz w:val="22"/>
                <w:szCs w:val="22"/>
              </w:rPr>
              <w:t>)</w:t>
            </w:r>
          </w:p>
        </w:tc>
        <w:tc>
          <w:tcPr>
            <w:tcW w:w="1178" w:type="pct"/>
          </w:tcPr>
          <w:p w14:paraId="648E2529" w14:textId="76E28F40" w:rsidR="009156F1" w:rsidRPr="00D84504" w:rsidRDefault="00F46644" w:rsidP="009156F1">
            <w:pPr>
              <w:spacing w:before="80" w:after="80"/>
              <w:jc w:val="center"/>
              <w:rPr>
                <w:sz w:val="22"/>
                <w:szCs w:val="22"/>
              </w:rPr>
            </w:pPr>
            <w:hyperlink r:id="rId16" w:history="1">
              <w:r w:rsidR="009156F1" w:rsidRPr="00D84504">
                <w:rPr>
                  <w:rStyle w:val="Hyperlink"/>
                  <w:sz w:val="22"/>
                  <w:szCs w:val="22"/>
                </w:rPr>
                <w:t>C24/21(Rev.5)</w:t>
              </w:r>
            </w:hyperlink>
          </w:p>
        </w:tc>
      </w:tr>
      <w:tr w:rsidR="009156F1" w:rsidRPr="00D84504" w14:paraId="32447FA9" w14:textId="77777777" w:rsidTr="7FF38753">
        <w:trPr>
          <w:trHeight w:val="20"/>
        </w:trPr>
        <w:tc>
          <w:tcPr>
            <w:tcW w:w="242" w:type="pct"/>
          </w:tcPr>
          <w:p w14:paraId="6EF8B845" w14:textId="51DD8AF8" w:rsidR="009156F1" w:rsidRPr="00D84504" w:rsidRDefault="009156F1" w:rsidP="009156F1">
            <w:pPr>
              <w:spacing w:before="80" w:after="80"/>
              <w:rPr>
                <w:sz w:val="22"/>
                <w:szCs w:val="22"/>
              </w:rPr>
            </w:pPr>
            <w:r w:rsidRPr="00D84504">
              <w:rPr>
                <w:sz w:val="22"/>
                <w:szCs w:val="22"/>
              </w:rPr>
              <w:t>4</w:t>
            </w:r>
          </w:p>
        </w:tc>
        <w:tc>
          <w:tcPr>
            <w:tcW w:w="3580" w:type="pct"/>
          </w:tcPr>
          <w:p w14:paraId="56C21617" w14:textId="57168354" w:rsidR="009156F1" w:rsidRPr="00D84504" w:rsidRDefault="009156F1" w:rsidP="009156F1">
            <w:pPr>
              <w:spacing w:before="80" w:after="80"/>
              <w:rPr>
                <w:sz w:val="22"/>
                <w:szCs w:val="22"/>
              </w:rPr>
            </w:pPr>
            <w:r w:rsidRPr="00D84504">
              <w:rPr>
                <w:sz w:val="22"/>
                <w:szCs w:val="22"/>
              </w:rPr>
              <w:t>Closure of the Council session</w:t>
            </w:r>
          </w:p>
        </w:tc>
        <w:tc>
          <w:tcPr>
            <w:tcW w:w="1178" w:type="pct"/>
          </w:tcPr>
          <w:p w14:paraId="6ED66744" w14:textId="51AF1D3D" w:rsidR="009156F1" w:rsidRPr="00D84504" w:rsidRDefault="009156F1" w:rsidP="009156F1">
            <w:pPr>
              <w:spacing w:before="80" w:after="80"/>
              <w:jc w:val="center"/>
              <w:rPr>
                <w:sz w:val="22"/>
                <w:szCs w:val="22"/>
              </w:rPr>
            </w:pPr>
            <w:r w:rsidRPr="00D84504">
              <w:rPr>
                <w:sz w:val="22"/>
                <w:szCs w:val="22"/>
              </w:rPr>
              <w:t>-</w:t>
            </w:r>
          </w:p>
        </w:tc>
      </w:tr>
      <w:bookmarkEnd w:id="8"/>
    </w:tbl>
    <w:p w14:paraId="360BA973" w14:textId="77777777" w:rsidR="00F66005" w:rsidRPr="00D84504" w:rsidRDefault="00F66005"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77777777" w:rsidR="0090147A" w:rsidRPr="00D8450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84504">
        <w:br w:type="page"/>
      </w:r>
    </w:p>
    <w:bookmarkEnd w:id="5"/>
    <w:bookmarkEnd w:id="9"/>
    <w:p w14:paraId="69CDB358" w14:textId="0739EDFB" w:rsidR="00F2696D" w:rsidRPr="00D84504" w:rsidRDefault="00F2696D" w:rsidP="00413B31">
      <w:pPr>
        <w:pStyle w:val="Heading1"/>
        <w:rPr>
          <w:rFonts w:eastAsia="Calibri"/>
        </w:rPr>
      </w:pPr>
      <w:r w:rsidRPr="00D84504">
        <w:rPr>
          <w:rFonts w:eastAsia="Calibri"/>
        </w:rPr>
        <w:lastRenderedPageBreak/>
        <w:t>1</w:t>
      </w:r>
      <w:r w:rsidRPr="00D84504">
        <w:rPr>
          <w:rFonts w:eastAsia="Calibri"/>
        </w:rPr>
        <w:tab/>
        <w:t>Green digital transformation: ITU activities on climate change and environmental sustainability (</w:t>
      </w:r>
      <w:r w:rsidRPr="00D84504">
        <w:rPr>
          <w:rFonts w:eastAsia="Calibri"/>
          <w:i/>
        </w:rPr>
        <w:t>continued</w:t>
      </w:r>
      <w:r w:rsidRPr="00D84504">
        <w:rPr>
          <w:rFonts w:eastAsia="Calibri"/>
        </w:rPr>
        <w:t xml:space="preserve">) </w:t>
      </w:r>
      <w:r w:rsidR="00BD207C" w:rsidRPr="00D84504">
        <w:rPr>
          <w:rFonts w:eastAsia="Calibri"/>
        </w:rPr>
        <w:br/>
      </w:r>
      <w:r w:rsidRPr="00D84504">
        <w:rPr>
          <w:rFonts w:eastAsia="Calibri"/>
        </w:rPr>
        <w:t>(Documents </w:t>
      </w:r>
      <w:hyperlink r:id="rId17" w:history="1">
        <w:r w:rsidRPr="00D84504">
          <w:rPr>
            <w:rStyle w:val="Hyperlink"/>
            <w:rFonts w:eastAsia="Calibri"/>
            <w:bCs/>
            <w:kern w:val="2"/>
            <w:szCs w:val="28"/>
            <w14:ligatures w14:val="standardContextual"/>
          </w:rPr>
          <w:t>C24/72</w:t>
        </w:r>
      </w:hyperlink>
      <w:r w:rsidRPr="00D84504">
        <w:rPr>
          <w:rFonts w:eastAsia="Calibri"/>
        </w:rPr>
        <w:t xml:space="preserve">, </w:t>
      </w:r>
      <w:hyperlink r:id="rId18" w:history="1">
        <w:r w:rsidRPr="00D84504">
          <w:rPr>
            <w:rStyle w:val="Hyperlink"/>
            <w:rFonts w:eastAsia="Calibri"/>
            <w:bCs/>
            <w:kern w:val="2"/>
            <w:szCs w:val="28"/>
            <w14:ligatures w14:val="standardContextual"/>
          </w:rPr>
          <w:t>C24/88</w:t>
        </w:r>
      </w:hyperlink>
      <w:r w:rsidRPr="00D84504">
        <w:rPr>
          <w:rFonts w:eastAsia="Calibri"/>
        </w:rPr>
        <w:t xml:space="preserve"> and </w:t>
      </w:r>
      <w:hyperlink r:id="rId19" w:history="1">
        <w:r w:rsidRPr="00D84504">
          <w:rPr>
            <w:rStyle w:val="Hyperlink"/>
            <w:rFonts w:eastAsia="Calibri"/>
            <w:bCs/>
            <w:kern w:val="2"/>
            <w:szCs w:val="28"/>
            <w14:ligatures w14:val="standardContextual"/>
          </w:rPr>
          <w:t>C24/DT/11</w:t>
        </w:r>
      </w:hyperlink>
      <w:r w:rsidRPr="00D84504">
        <w:rPr>
          <w:rFonts w:eastAsia="Calibri"/>
        </w:rPr>
        <w:t>)</w:t>
      </w:r>
    </w:p>
    <w:p w14:paraId="1366354D" w14:textId="5AC49254" w:rsidR="00F2696D" w:rsidRPr="00D84504" w:rsidRDefault="00F2696D" w:rsidP="00074FA0">
      <w:pPr>
        <w:jc w:val="both"/>
        <w:rPr>
          <w:rFonts w:eastAsia="Calibri"/>
          <w:spacing w:val="-2"/>
        </w:rPr>
      </w:pPr>
      <w:r w:rsidRPr="00D84504">
        <w:rPr>
          <w:rFonts w:eastAsia="Calibri"/>
          <w:spacing w:val="-2"/>
        </w:rPr>
        <w:t>1.1</w:t>
      </w:r>
      <w:r w:rsidRPr="00D84504">
        <w:rPr>
          <w:rFonts w:eastAsia="Calibri"/>
          <w:spacing w:val="-2"/>
        </w:rPr>
        <w:tab/>
        <w:t xml:space="preserve">The councillor from France said that Document C24/DT/11 set out a draft resolution on ITU’s role in facilitating the contribution of ICTs to sustainability and climate action, on which consensus had been reached following the informal consultations initiated at the third plenary meeting. The text reflected the different visions shared during the consultations regarding, </w:t>
      </w:r>
      <w:r w:rsidRPr="00D84504">
        <w:rPr>
          <w:rFonts w:eastAsia="Calibri"/>
          <w:i/>
          <w:iCs/>
          <w:spacing w:val="-2"/>
        </w:rPr>
        <w:t>inter alia</w:t>
      </w:r>
      <w:r w:rsidRPr="00D84504">
        <w:rPr>
          <w:rFonts w:eastAsia="Calibri"/>
          <w:spacing w:val="-2"/>
        </w:rPr>
        <w:t xml:space="preserve">, a balanced approach to the contribution of ICTs </w:t>
      </w:r>
      <w:r w:rsidR="00D84504" w:rsidRPr="00D84504">
        <w:rPr>
          <w:rFonts w:eastAsia="Calibri"/>
          <w:spacing w:val="-2"/>
        </w:rPr>
        <w:t>—</w:t>
      </w:r>
      <w:r w:rsidRPr="00D84504">
        <w:rPr>
          <w:rFonts w:eastAsia="Calibri"/>
          <w:spacing w:val="-2"/>
        </w:rPr>
        <w:t>both positive and negative</w:t>
      </w:r>
      <w:r w:rsidR="00D84504" w:rsidRPr="00D84504">
        <w:rPr>
          <w:rFonts w:eastAsia="Calibri"/>
          <w:spacing w:val="-2"/>
        </w:rPr>
        <w:t>—</w:t>
      </w:r>
      <w:r w:rsidRPr="00D84504">
        <w:rPr>
          <w:rFonts w:eastAsia="Calibri"/>
          <w:spacing w:val="-2"/>
        </w:rPr>
        <w:t xml:space="preserve"> to addressing environmental challenges; the importance of sharing studies and best practices; the need to take a broader view of sustainability, including social and economic dimensions; and catering for the specific needs of developing countries. The draft resolution fitted coherently with other ITU texts, such as Resolution 182 (Rev.</w:t>
      </w:r>
      <w:r w:rsidR="00D84504" w:rsidRPr="00D84504">
        <w:rPr>
          <w:rFonts w:eastAsia="Calibri"/>
          <w:spacing w:val="-2"/>
        </w:rPr>
        <w:t> </w:t>
      </w:r>
      <w:r w:rsidRPr="00D84504">
        <w:rPr>
          <w:rFonts w:eastAsia="Calibri"/>
          <w:spacing w:val="-2"/>
        </w:rPr>
        <w:t>Bucharest,</w:t>
      </w:r>
      <w:r w:rsidR="00D84504" w:rsidRPr="00D84504">
        <w:rPr>
          <w:rFonts w:eastAsia="Calibri"/>
          <w:spacing w:val="-2"/>
        </w:rPr>
        <w:t> </w:t>
      </w:r>
      <w:r w:rsidRPr="00D84504">
        <w:rPr>
          <w:rFonts w:eastAsia="Calibri"/>
          <w:spacing w:val="-2"/>
        </w:rPr>
        <w:t>2022) of the Plenipotentiary Conference and Resolution 73</w:t>
      </w:r>
      <w:r w:rsidR="00D84504" w:rsidRPr="00D84504">
        <w:rPr>
          <w:rFonts w:eastAsia="Calibri"/>
          <w:spacing w:val="-2"/>
        </w:rPr>
        <w:t> </w:t>
      </w:r>
      <w:r w:rsidRPr="00D84504">
        <w:rPr>
          <w:rFonts w:eastAsia="Calibri"/>
          <w:spacing w:val="-2"/>
        </w:rPr>
        <w:t>(Rev.</w:t>
      </w:r>
      <w:r w:rsidR="00D84504" w:rsidRPr="00D84504">
        <w:rPr>
          <w:rFonts w:eastAsia="Calibri"/>
          <w:spacing w:val="-2"/>
        </w:rPr>
        <w:t> </w:t>
      </w:r>
      <w:r w:rsidRPr="00D84504">
        <w:rPr>
          <w:rFonts w:eastAsia="Calibri"/>
          <w:spacing w:val="-2"/>
        </w:rPr>
        <w:t>Geneva,</w:t>
      </w:r>
      <w:r w:rsidR="00D84504" w:rsidRPr="00D84504">
        <w:rPr>
          <w:rFonts w:eastAsia="Calibri"/>
          <w:spacing w:val="-2"/>
        </w:rPr>
        <w:t> </w:t>
      </w:r>
      <w:r w:rsidRPr="00D84504">
        <w:rPr>
          <w:rFonts w:eastAsia="Calibri"/>
          <w:spacing w:val="-2"/>
        </w:rPr>
        <w:t>2022) of the World Telecommunication Standardization Assembly, positioning ITU as a key player in multistakeholder initiatives to address climate-change and environmental-sustainability issues.</w:t>
      </w:r>
    </w:p>
    <w:p w14:paraId="531787E3" w14:textId="77777777" w:rsidR="00F2696D" w:rsidRPr="00D84504" w:rsidRDefault="00F2696D" w:rsidP="00074FA0">
      <w:pPr>
        <w:jc w:val="both"/>
        <w:rPr>
          <w:rFonts w:eastAsia="Calibri"/>
          <w:kern w:val="2"/>
          <w:szCs w:val="24"/>
          <w14:ligatures w14:val="standardContextual"/>
        </w:rPr>
      </w:pPr>
      <w:r w:rsidRPr="00D84504">
        <w:rPr>
          <w:rFonts w:eastAsia="Calibri"/>
          <w:kern w:val="2"/>
          <w:szCs w:val="24"/>
          <w14:ligatures w14:val="standardContextual"/>
        </w:rPr>
        <w:t>1.2</w:t>
      </w:r>
      <w:r w:rsidRPr="00D84504">
        <w:rPr>
          <w:rFonts w:eastAsia="Calibri"/>
          <w:kern w:val="2"/>
          <w:szCs w:val="24"/>
          <w14:ligatures w14:val="standardContextual"/>
        </w:rPr>
        <w:tab/>
      </w:r>
      <w:r w:rsidRPr="00D84504">
        <w:rPr>
          <w:rFonts w:eastAsia="Calibri"/>
        </w:rPr>
        <w:t>Councillors</w:t>
      </w:r>
      <w:r w:rsidRPr="00D84504">
        <w:rPr>
          <w:rFonts w:eastAsia="Calibri"/>
          <w:kern w:val="2"/>
          <w:szCs w:val="24"/>
          <w14:ligatures w14:val="standardContextual"/>
        </w:rPr>
        <w:t xml:space="preserve"> expressed support for the draft resolution and welcomed in particular the balance reflected between the environmental impact of ICTs, on the one hand, and their empowering role in helping other sectors, on the other; the reference to best practices; and the focus on capacity building for the developing countries. On the latter point, two councillors from the Africa region said they would like to see the resolution go further in addressing the unique challenges faced by African countries and other developing regions, which were bearing the brunt of the climate crisis, by also prioritizing tailored climate-change adaptation solutions for vulnerable regions, capacity building and knowledge sharing on e</w:t>
      </w:r>
      <w:r w:rsidRPr="00D84504">
        <w:rPr>
          <w:rFonts w:eastAsia="Calibri"/>
          <w:kern w:val="2"/>
          <w:szCs w:val="24"/>
          <w14:ligatures w14:val="standardContextual"/>
        </w:rPr>
        <w:noBreakHyphen/>
        <w:t xml:space="preserve">waste management, dedicated financing mechanisms and inclusive partnerships. </w:t>
      </w:r>
    </w:p>
    <w:p w14:paraId="48C50327" w14:textId="77777777" w:rsidR="00F2696D" w:rsidRPr="00D84504" w:rsidRDefault="00F2696D" w:rsidP="00074FA0">
      <w:pPr>
        <w:jc w:val="both"/>
        <w:rPr>
          <w:rFonts w:eastAsia="Calibri"/>
          <w:kern w:val="2"/>
          <w:szCs w:val="24"/>
          <w14:ligatures w14:val="standardContextual"/>
        </w:rPr>
      </w:pPr>
      <w:r w:rsidRPr="00D84504">
        <w:rPr>
          <w:rFonts w:eastAsia="Calibri"/>
          <w:kern w:val="2"/>
          <w:szCs w:val="24"/>
          <w14:ligatures w14:val="standardContextual"/>
        </w:rPr>
        <w:t>1.3</w:t>
      </w:r>
      <w:r w:rsidRPr="00D84504">
        <w:rPr>
          <w:rFonts w:eastAsia="Calibri"/>
          <w:kern w:val="2"/>
          <w:szCs w:val="24"/>
          <w14:ligatures w14:val="standardContextual"/>
        </w:rPr>
        <w:tab/>
        <w:t xml:space="preserve">The </w:t>
      </w:r>
      <w:r w:rsidRPr="00D84504">
        <w:rPr>
          <w:rFonts w:eastAsia="Calibri"/>
        </w:rPr>
        <w:t>Council</w:t>
      </w:r>
      <w:r w:rsidRPr="00D84504">
        <w:rPr>
          <w:rFonts w:eastAsia="Calibri"/>
          <w:kern w:val="2"/>
          <w:szCs w:val="24"/>
          <w14:ligatures w14:val="standardContextual"/>
        </w:rPr>
        <w:t xml:space="preserve"> </w:t>
      </w:r>
      <w:r w:rsidRPr="00D84504">
        <w:rPr>
          <w:rFonts w:eastAsia="Calibri"/>
          <w:b/>
          <w:bCs/>
          <w:kern w:val="2"/>
          <w:szCs w:val="24"/>
          <w14:ligatures w14:val="standardContextual"/>
        </w:rPr>
        <w:t xml:space="preserve">adopted </w:t>
      </w:r>
      <w:r w:rsidRPr="00D84504">
        <w:rPr>
          <w:rFonts w:eastAsia="Calibri"/>
          <w:kern w:val="2"/>
          <w:szCs w:val="24"/>
          <w14:ligatures w14:val="standardContextual"/>
        </w:rPr>
        <w:t>the new resolution contained in Document C24/DT/11.</w:t>
      </w:r>
    </w:p>
    <w:p w14:paraId="4916DA64" w14:textId="19562CD9" w:rsidR="00F2696D" w:rsidRPr="00D84504" w:rsidRDefault="00F2696D" w:rsidP="00074FA0">
      <w:pPr>
        <w:jc w:val="both"/>
        <w:rPr>
          <w:rFonts w:eastAsia="Calibri" w:cs="Calibri"/>
          <w:szCs w:val="24"/>
        </w:rPr>
      </w:pPr>
      <w:r w:rsidRPr="00D84504">
        <w:rPr>
          <w:rFonts w:eastAsia="Calibri"/>
          <w:kern w:val="2"/>
          <w14:ligatures w14:val="standardContextual"/>
        </w:rPr>
        <w:t>1.4</w:t>
      </w:r>
      <w:r w:rsidRPr="00D84504">
        <w:rPr>
          <w:rFonts w:eastAsia="Calibri"/>
          <w:kern w:val="2"/>
          <w:szCs w:val="24"/>
          <w14:ligatures w14:val="standardContextual"/>
        </w:rPr>
        <w:tab/>
      </w:r>
      <w:r w:rsidRPr="00D84504">
        <w:rPr>
          <w:rFonts w:eastAsia="Calibri"/>
          <w:kern w:val="2"/>
          <w14:ligatures w14:val="standardContextual"/>
        </w:rPr>
        <w:t xml:space="preserve">The </w:t>
      </w:r>
      <w:r w:rsidRPr="00D84504">
        <w:rPr>
          <w:rFonts w:eastAsia="Calibri"/>
        </w:rPr>
        <w:t>Deputy</w:t>
      </w:r>
      <w:r w:rsidRPr="00D84504">
        <w:rPr>
          <w:rFonts w:eastAsia="Calibri"/>
          <w:kern w:val="2"/>
          <w14:ligatures w14:val="standardContextual"/>
        </w:rPr>
        <w:t xml:space="preserve"> Secretary-General said that efforts were already under way on consolidating ITU’s work on environmental sustainability under the Green Digital Action initiative, including resource-mobilization efforts, to which he encouraged Member States to contribute. ITU would strive to equip every region and country with the capacity to address digital sustainability issues.</w:t>
      </w:r>
      <w:r w:rsidR="3BD6A6F4" w:rsidRPr="00D84504">
        <w:rPr>
          <w:rFonts w:eastAsia="Calibri"/>
          <w:kern w:val="2"/>
          <w14:ligatures w14:val="standardContextual"/>
        </w:rPr>
        <w:t xml:space="preserve"> </w:t>
      </w:r>
      <w:r w:rsidR="00CF5223" w:rsidRPr="00D84504">
        <w:rPr>
          <w:rFonts w:eastAsia="Calibri"/>
          <w:kern w:val="2"/>
          <w14:ligatures w14:val="standardContextual"/>
        </w:rPr>
        <w:t xml:space="preserve">He further </w:t>
      </w:r>
      <w:r w:rsidR="3BD6A6F4" w:rsidRPr="00D84504">
        <w:rPr>
          <w:rFonts w:eastAsia="Calibri" w:cs="Calibri"/>
          <w:szCs w:val="24"/>
        </w:rPr>
        <w:t xml:space="preserve">commended close collaboration </w:t>
      </w:r>
      <w:r w:rsidR="00705104" w:rsidRPr="00D84504">
        <w:rPr>
          <w:rFonts w:eastAsia="Calibri" w:cs="Calibri"/>
          <w:szCs w:val="24"/>
        </w:rPr>
        <w:t xml:space="preserve">between ITU and </w:t>
      </w:r>
      <w:r w:rsidR="3BD6A6F4" w:rsidRPr="00D84504">
        <w:rPr>
          <w:rFonts w:eastAsia="Calibri" w:cs="Calibri"/>
          <w:szCs w:val="24"/>
        </w:rPr>
        <w:t xml:space="preserve">future UN </w:t>
      </w:r>
      <w:r w:rsidR="4022AFA4" w:rsidRPr="00D84504">
        <w:rPr>
          <w:rFonts w:eastAsia="Calibri" w:cs="Calibri"/>
          <w:szCs w:val="24"/>
        </w:rPr>
        <w:t xml:space="preserve">climate change conference </w:t>
      </w:r>
      <w:r w:rsidR="0056361C" w:rsidRPr="00D84504">
        <w:rPr>
          <w:rFonts w:eastAsia="Calibri" w:cs="Calibri"/>
          <w:szCs w:val="24"/>
        </w:rPr>
        <w:t>Host Countries,</w:t>
      </w:r>
      <w:r w:rsidR="3BD6A6F4" w:rsidRPr="00D84504">
        <w:rPr>
          <w:rFonts w:eastAsia="Calibri" w:cs="Calibri"/>
          <w:szCs w:val="24"/>
        </w:rPr>
        <w:t xml:space="preserve"> Azerbaijan and Brazil, on </w:t>
      </w:r>
      <w:r w:rsidR="7F8E2677" w:rsidRPr="00D84504">
        <w:rPr>
          <w:rFonts w:eastAsia="Calibri" w:cs="Calibri"/>
          <w:szCs w:val="24"/>
        </w:rPr>
        <w:t xml:space="preserve">the </w:t>
      </w:r>
      <w:r w:rsidR="3BD6A6F4" w:rsidRPr="00D84504">
        <w:rPr>
          <w:rFonts w:eastAsia="Calibri" w:cs="Calibri"/>
          <w:szCs w:val="24"/>
        </w:rPr>
        <w:t xml:space="preserve">digital agenda and </w:t>
      </w:r>
      <w:r w:rsidR="7A27DD6A" w:rsidRPr="00D84504">
        <w:rPr>
          <w:rFonts w:eastAsia="Calibri" w:cs="Calibri"/>
          <w:szCs w:val="24"/>
        </w:rPr>
        <w:t xml:space="preserve">invited a strong </w:t>
      </w:r>
      <w:r w:rsidR="3BD6A6F4" w:rsidRPr="00D84504">
        <w:rPr>
          <w:rFonts w:eastAsia="Calibri" w:cs="Calibri"/>
          <w:szCs w:val="24"/>
        </w:rPr>
        <w:t>participation of digital policymakers in the upcoming conferences.</w:t>
      </w:r>
    </w:p>
    <w:p w14:paraId="7D6CD013" w14:textId="17FA54BC" w:rsidR="00F2696D" w:rsidRPr="00D84504" w:rsidRDefault="00F2696D" w:rsidP="00413B31">
      <w:pPr>
        <w:pStyle w:val="Heading1"/>
        <w:rPr>
          <w:rFonts w:eastAsia="Calibri"/>
          <w:b w:val="0"/>
          <w:bCs/>
          <w:kern w:val="2"/>
          <w:szCs w:val="28"/>
          <w14:ligatures w14:val="standardContextual"/>
        </w:rPr>
      </w:pPr>
      <w:bookmarkStart w:id="11" w:name="_Hlk169780888"/>
      <w:r w:rsidRPr="00D84504">
        <w:rPr>
          <w:rFonts w:eastAsia="Calibri"/>
          <w:bCs/>
          <w:kern w:val="2"/>
          <w:szCs w:val="28"/>
          <w14:ligatures w14:val="standardContextual"/>
        </w:rPr>
        <w:t>2</w:t>
      </w:r>
      <w:r w:rsidRPr="00D84504">
        <w:rPr>
          <w:rFonts w:eastAsia="Calibri"/>
          <w:bCs/>
          <w:kern w:val="2"/>
          <w:szCs w:val="28"/>
          <w14:ligatures w14:val="standardContextual"/>
        </w:rPr>
        <w:tab/>
        <w:t xml:space="preserve">Dates and duration of the 2025, 2026 and 2027 sessions of the ITU </w:t>
      </w:r>
      <w:r w:rsidRPr="00D84504">
        <w:rPr>
          <w:rFonts w:eastAsia="Calibri"/>
        </w:rPr>
        <w:t>Council</w:t>
      </w:r>
      <w:r w:rsidRPr="00D84504">
        <w:rPr>
          <w:rFonts w:eastAsia="Calibri"/>
          <w:bCs/>
          <w:spacing w:val="4"/>
          <w:kern w:val="2"/>
          <w:szCs w:val="28"/>
          <w14:ligatures w14:val="standardContextual"/>
        </w:rPr>
        <w:t xml:space="preserve"> and Council working group clusters (</w:t>
      </w:r>
      <w:r w:rsidRPr="00D84504">
        <w:rPr>
          <w:rFonts w:eastAsia="Calibri"/>
          <w:bCs/>
          <w:i/>
          <w:spacing w:val="4"/>
          <w:kern w:val="2"/>
          <w:szCs w:val="28"/>
          <w14:ligatures w14:val="standardContextual"/>
        </w:rPr>
        <w:t>continued</w:t>
      </w:r>
      <w:r w:rsidRPr="00D84504">
        <w:rPr>
          <w:rFonts w:eastAsia="Calibri"/>
          <w:bCs/>
          <w:spacing w:val="4"/>
          <w:kern w:val="2"/>
          <w:szCs w:val="28"/>
          <w14:ligatures w14:val="standardContextual"/>
        </w:rPr>
        <w:t>)</w:t>
      </w:r>
      <w:r w:rsidRPr="00D84504">
        <w:rPr>
          <w:rFonts w:eastAsia="Calibri"/>
          <w:bCs/>
          <w:kern w:val="2"/>
          <w:szCs w:val="28"/>
          <w14:ligatures w14:val="standardContextual"/>
        </w:rPr>
        <w:t xml:space="preserve"> (Documents </w:t>
      </w:r>
      <w:hyperlink r:id="rId20" w:history="1">
        <w:r w:rsidRPr="00D84504">
          <w:rPr>
            <w:rStyle w:val="Hyperlink"/>
            <w:rFonts w:eastAsia="Calibri"/>
            <w:bCs/>
            <w:kern w:val="2"/>
            <w:szCs w:val="28"/>
            <w14:ligatures w14:val="standardContextual"/>
          </w:rPr>
          <w:t>C24/2</w:t>
        </w:r>
      </w:hyperlink>
      <w:r w:rsidRPr="00D84504">
        <w:rPr>
          <w:rFonts w:eastAsia="Calibri"/>
          <w:bCs/>
          <w:kern w:val="2"/>
          <w:szCs w:val="28"/>
          <w14:ligatures w14:val="standardContextual"/>
        </w:rPr>
        <w:t xml:space="preserve"> and </w:t>
      </w:r>
      <w:hyperlink r:id="rId21" w:history="1">
        <w:r w:rsidRPr="00D84504">
          <w:rPr>
            <w:rStyle w:val="Hyperlink"/>
            <w:rFonts w:eastAsia="Calibri"/>
            <w:bCs/>
            <w:kern w:val="2"/>
            <w:szCs w:val="28"/>
            <w14:ligatures w14:val="standardContextual"/>
          </w:rPr>
          <w:t>C24/DT/13</w:t>
        </w:r>
      </w:hyperlink>
      <w:r w:rsidRPr="00D84504">
        <w:rPr>
          <w:rFonts w:eastAsia="Calibri"/>
          <w:bCs/>
          <w:kern w:val="2"/>
          <w:szCs w:val="28"/>
          <w14:ligatures w14:val="standardContextual"/>
        </w:rPr>
        <w:t>)</w:t>
      </w:r>
    </w:p>
    <w:p w14:paraId="527767AE" w14:textId="77777777" w:rsidR="00F2696D" w:rsidRPr="00D84504" w:rsidRDefault="00F2696D" w:rsidP="00074FA0">
      <w:pPr>
        <w:jc w:val="both"/>
        <w:rPr>
          <w:rFonts w:eastAsia="Calibri"/>
          <w:kern w:val="2"/>
          <w:szCs w:val="24"/>
          <w14:ligatures w14:val="standardContextual"/>
        </w:rPr>
      </w:pPr>
      <w:bookmarkStart w:id="12" w:name="_Hlk169782126"/>
      <w:r w:rsidRPr="00D84504">
        <w:rPr>
          <w:rFonts w:eastAsia="Calibri"/>
          <w:kern w:val="2"/>
          <w:szCs w:val="24"/>
          <w14:ligatures w14:val="standardContextual"/>
        </w:rPr>
        <w:t>2.1</w:t>
      </w:r>
      <w:r w:rsidRPr="00D84504">
        <w:rPr>
          <w:rFonts w:eastAsia="Calibri"/>
          <w:kern w:val="2"/>
          <w:szCs w:val="24"/>
          <w14:ligatures w14:val="standardContextual"/>
        </w:rPr>
        <w:tab/>
        <w:t>The Secretary of the Plenary said that, in response to the two requests made at the 11</w:t>
      </w:r>
      <w:r w:rsidRPr="00D84504">
        <w:rPr>
          <w:rFonts w:eastAsia="Calibri"/>
          <w:kern w:val="2"/>
          <w:szCs w:val="24"/>
          <w:vertAlign w:val="superscript"/>
          <w14:ligatures w14:val="standardContextual"/>
        </w:rPr>
        <w:t>th</w:t>
      </w:r>
      <w:r w:rsidRPr="00D84504">
        <w:rPr>
          <w:rFonts w:eastAsia="Calibri"/>
          <w:kern w:val="2"/>
          <w:szCs w:val="24"/>
          <w14:ligatures w14:val="standardContextual"/>
        </w:rPr>
        <w:t xml:space="preserve"> </w:t>
      </w:r>
      <w:r w:rsidRPr="00D84504">
        <w:rPr>
          <w:rFonts w:eastAsia="Calibri"/>
        </w:rPr>
        <w:t>plenary</w:t>
      </w:r>
      <w:r w:rsidRPr="00D84504">
        <w:rPr>
          <w:rFonts w:eastAsia="Calibri"/>
          <w:kern w:val="2"/>
          <w:szCs w:val="24"/>
          <w14:ligatures w14:val="standardContextual"/>
        </w:rPr>
        <w:t xml:space="preserve"> meeting that morning, a solution had been found to enable the 2025 session of the Council to be brought forward by two weeks and thus be held in June rather than July; and the first CWG cluster in 2027 to be brought forward by one week. Those changes were reflected in a revised version of the draft new decision, set out in Document C24/DT/13.</w:t>
      </w:r>
    </w:p>
    <w:p w14:paraId="49D164F0" w14:textId="77777777" w:rsidR="00F2696D" w:rsidRPr="00F24BB9" w:rsidRDefault="00F2696D" w:rsidP="00074FA0">
      <w:pPr>
        <w:jc w:val="both"/>
        <w:rPr>
          <w:rFonts w:eastAsia="Calibri"/>
          <w:spacing w:val="-2"/>
          <w:kern w:val="2"/>
          <w:szCs w:val="24"/>
          <w14:ligatures w14:val="standardContextual"/>
        </w:rPr>
      </w:pPr>
      <w:r w:rsidRPr="00F24BB9">
        <w:rPr>
          <w:rFonts w:eastAsia="Calibri"/>
          <w:spacing w:val="-2"/>
          <w:kern w:val="2"/>
          <w:szCs w:val="24"/>
          <w14:ligatures w14:val="standardContextual"/>
        </w:rPr>
        <w:t>2.2</w:t>
      </w:r>
      <w:r w:rsidRPr="00F24BB9">
        <w:rPr>
          <w:rFonts w:eastAsia="Calibri"/>
          <w:spacing w:val="-2"/>
          <w:kern w:val="2"/>
          <w:szCs w:val="24"/>
          <w14:ligatures w14:val="standardContextual"/>
        </w:rPr>
        <w:tab/>
        <w:t xml:space="preserve">The Council </w:t>
      </w:r>
      <w:r w:rsidRPr="00F24BB9">
        <w:rPr>
          <w:rFonts w:eastAsia="Calibri"/>
          <w:b/>
          <w:bCs/>
          <w:spacing w:val="-2"/>
          <w:kern w:val="2"/>
          <w:szCs w:val="24"/>
          <w14:ligatures w14:val="standardContextual"/>
        </w:rPr>
        <w:t>confirmed</w:t>
      </w:r>
      <w:r w:rsidRPr="00F24BB9">
        <w:rPr>
          <w:rFonts w:eastAsia="Calibri"/>
          <w:spacing w:val="-2"/>
          <w:kern w:val="2"/>
          <w:szCs w:val="24"/>
          <w14:ligatures w14:val="standardContextual"/>
        </w:rPr>
        <w:t xml:space="preserve"> the dates of its 2025, 2026 and 2027 sessions and the dates of the CWG and EG clusters for the </w:t>
      </w:r>
      <w:r w:rsidRPr="00F24BB9">
        <w:rPr>
          <w:rFonts w:eastAsia="Calibri"/>
          <w:spacing w:val="-2"/>
        </w:rPr>
        <w:t>same</w:t>
      </w:r>
      <w:r w:rsidRPr="00F24BB9">
        <w:rPr>
          <w:rFonts w:eastAsia="Calibri"/>
          <w:spacing w:val="-2"/>
          <w:kern w:val="2"/>
          <w:szCs w:val="24"/>
          <w14:ligatures w14:val="standardContextual"/>
        </w:rPr>
        <w:t xml:space="preserve"> period and </w:t>
      </w:r>
      <w:r w:rsidRPr="00F24BB9">
        <w:rPr>
          <w:rFonts w:eastAsia="Calibri"/>
          <w:b/>
          <w:bCs/>
          <w:spacing w:val="-2"/>
          <w:kern w:val="2"/>
          <w:szCs w:val="24"/>
          <w14:ligatures w14:val="standardContextual"/>
        </w:rPr>
        <w:t>adopted</w:t>
      </w:r>
      <w:r w:rsidRPr="00F24BB9">
        <w:rPr>
          <w:rFonts w:eastAsia="Calibri"/>
          <w:spacing w:val="-2"/>
          <w:kern w:val="2"/>
          <w:szCs w:val="24"/>
          <w14:ligatures w14:val="standardContextual"/>
        </w:rPr>
        <w:t xml:space="preserve"> the decision in Document C24/DT/13.</w:t>
      </w:r>
    </w:p>
    <w:p w14:paraId="63366D46" w14:textId="06F48991" w:rsidR="00F2696D" w:rsidRPr="00D84504" w:rsidRDefault="00F2696D" w:rsidP="00413B31">
      <w:pPr>
        <w:pStyle w:val="Heading1"/>
        <w:rPr>
          <w:rFonts w:eastAsia="Calibri"/>
        </w:rPr>
      </w:pPr>
      <w:bookmarkStart w:id="13" w:name="_Hlk169779495"/>
      <w:bookmarkEnd w:id="11"/>
      <w:bookmarkEnd w:id="12"/>
      <w:r w:rsidRPr="00D84504">
        <w:rPr>
          <w:rFonts w:eastAsia="Calibri"/>
        </w:rPr>
        <w:lastRenderedPageBreak/>
        <w:t>3</w:t>
      </w:r>
      <w:r w:rsidRPr="00D84504">
        <w:rPr>
          <w:rFonts w:eastAsia="Calibri"/>
        </w:rPr>
        <w:tab/>
        <w:t xml:space="preserve">List of chairs and vice-chairs of the Council working groups </w:t>
      </w:r>
      <w:r w:rsidR="00DF5B1D">
        <w:rPr>
          <w:rFonts w:eastAsia="Calibri"/>
        </w:rPr>
        <w:br/>
      </w:r>
      <w:r w:rsidRPr="00D84504">
        <w:rPr>
          <w:rFonts w:eastAsia="Calibri"/>
        </w:rPr>
        <w:t>and expert groups (</w:t>
      </w:r>
      <w:r w:rsidRPr="00D84504">
        <w:rPr>
          <w:rFonts w:eastAsia="Calibri"/>
          <w:i/>
          <w:iCs/>
        </w:rPr>
        <w:t>continued</w:t>
      </w:r>
      <w:r w:rsidRPr="00D84504">
        <w:rPr>
          <w:rFonts w:eastAsia="Calibri"/>
        </w:rPr>
        <w:t xml:space="preserve">) </w:t>
      </w:r>
      <w:r w:rsidR="00DF5B1D">
        <w:rPr>
          <w:rFonts w:eastAsia="Calibri"/>
        </w:rPr>
        <w:br/>
      </w:r>
      <w:r w:rsidRPr="00D84504">
        <w:rPr>
          <w:rFonts w:eastAsia="Calibri"/>
        </w:rPr>
        <w:t>(Document </w:t>
      </w:r>
      <w:hyperlink r:id="rId22" w:history="1">
        <w:r w:rsidRPr="00D84504">
          <w:rPr>
            <w:rStyle w:val="Hyperlink"/>
            <w:rFonts w:eastAsia="Calibri"/>
            <w:bCs/>
            <w:kern w:val="2"/>
            <w:szCs w:val="28"/>
            <w14:ligatures w14:val="standardContextual"/>
          </w:rPr>
          <w:t>C24/21(Rev.5)</w:t>
        </w:r>
      </w:hyperlink>
      <w:r w:rsidRPr="00D84504">
        <w:rPr>
          <w:rFonts w:eastAsia="Calibri"/>
        </w:rPr>
        <w:t>)</w:t>
      </w:r>
    </w:p>
    <w:p w14:paraId="3A0AFEBB" w14:textId="77777777" w:rsidR="00F2696D" w:rsidRPr="00D84504" w:rsidRDefault="00F2696D" w:rsidP="00074FA0">
      <w:pPr>
        <w:jc w:val="both"/>
        <w:rPr>
          <w:rFonts w:eastAsia="Calibri"/>
          <w:kern w:val="2"/>
          <w:szCs w:val="24"/>
          <w14:ligatures w14:val="standardContextual"/>
        </w:rPr>
      </w:pPr>
      <w:r w:rsidRPr="00D84504">
        <w:rPr>
          <w:rFonts w:eastAsia="Calibri"/>
          <w:kern w:val="2"/>
          <w:szCs w:val="24"/>
          <w14:ligatures w14:val="standardContextual"/>
        </w:rPr>
        <w:t>3.1</w:t>
      </w:r>
      <w:r w:rsidRPr="00D84504">
        <w:rPr>
          <w:rFonts w:eastAsia="Calibri"/>
          <w:kern w:val="2"/>
          <w:szCs w:val="24"/>
          <w14:ligatures w14:val="standardContextual"/>
        </w:rPr>
        <w:tab/>
        <w:t xml:space="preserve">The Chair informed the meeting that, regrettably, discussions he had undertaken with interested parties in the time available since the previous plenary meeting had not enabled a consensus to be reached on the </w:t>
      </w:r>
      <w:r w:rsidRPr="00D84504">
        <w:rPr>
          <w:rFonts w:eastAsia="Calibri"/>
        </w:rPr>
        <w:t>appointment</w:t>
      </w:r>
      <w:r w:rsidRPr="00D84504">
        <w:rPr>
          <w:rFonts w:eastAsia="Calibri"/>
          <w:kern w:val="2"/>
          <w:szCs w:val="24"/>
          <w14:ligatures w14:val="standardContextual"/>
        </w:rPr>
        <w:t xml:space="preserve"> of the vice-chair of the Council Working Group on the use of the six official languages (CWG-LANG). He therefore saw no option but to defer consideration of the matter until Council</w:t>
      </w:r>
      <w:r w:rsidRPr="00D84504">
        <w:rPr>
          <w:rFonts w:eastAsia="Calibri"/>
          <w:kern w:val="2"/>
          <w:szCs w:val="24"/>
          <w14:ligatures w14:val="standardContextual"/>
        </w:rPr>
        <w:noBreakHyphen/>
        <w:t>25.</w:t>
      </w:r>
    </w:p>
    <w:p w14:paraId="52DB2B3E" w14:textId="77777777" w:rsidR="00F2696D" w:rsidRPr="00D84504" w:rsidRDefault="00F2696D" w:rsidP="00074FA0">
      <w:pPr>
        <w:jc w:val="both"/>
        <w:rPr>
          <w:rFonts w:eastAsia="Calibri"/>
          <w:kern w:val="2"/>
          <w:szCs w:val="24"/>
          <w14:ligatures w14:val="standardContextual"/>
        </w:rPr>
      </w:pPr>
      <w:r w:rsidRPr="00D84504">
        <w:rPr>
          <w:rFonts w:eastAsia="Calibri"/>
          <w:kern w:val="2"/>
          <w:szCs w:val="24"/>
          <w14:ligatures w14:val="standardContextual"/>
        </w:rPr>
        <w:t>3.2</w:t>
      </w:r>
      <w:r w:rsidRPr="00D84504">
        <w:rPr>
          <w:rFonts w:eastAsia="Calibri"/>
          <w:kern w:val="2"/>
          <w:szCs w:val="24"/>
          <w14:ligatures w14:val="standardContextual"/>
        </w:rPr>
        <w:tab/>
        <w:t xml:space="preserve">It was so </w:t>
      </w:r>
      <w:r w:rsidRPr="00D84504">
        <w:rPr>
          <w:rFonts w:eastAsia="Calibri"/>
          <w:b/>
          <w:bCs/>
          <w:kern w:val="2"/>
          <w:szCs w:val="24"/>
          <w14:ligatures w14:val="standardContextual"/>
        </w:rPr>
        <w:t>agreed</w:t>
      </w:r>
      <w:r w:rsidRPr="00D84504">
        <w:rPr>
          <w:rFonts w:eastAsia="Calibri"/>
          <w:kern w:val="2"/>
          <w:szCs w:val="24"/>
          <w14:ligatures w14:val="standardContextual"/>
        </w:rPr>
        <w:t>.</w:t>
      </w:r>
    </w:p>
    <w:p w14:paraId="3D16C529" w14:textId="77777777" w:rsidR="00F2696D" w:rsidRPr="00D84504" w:rsidRDefault="00F2696D" w:rsidP="00074FA0">
      <w:pPr>
        <w:jc w:val="both"/>
        <w:rPr>
          <w:rFonts w:eastAsia="Calibri"/>
          <w:kern w:val="2"/>
          <w:szCs w:val="24"/>
          <w14:ligatures w14:val="standardContextual"/>
        </w:rPr>
      </w:pPr>
      <w:r w:rsidRPr="00D84504">
        <w:rPr>
          <w:rFonts w:eastAsia="Calibri"/>
          <w:kern w:val="2"/>
          <w:szCs w:val="24"/>
          <w14:ligatures w14:val="standardContextual"/>
        </w:rPr>
        <w:t>3.3</w:t>
      </w:r>
      <w:r w:rsidRPr="00D84504">
        <w:rPr>
          <w:rFonts w:eastAsia="Calibri"/>
          <w:kern w:val="2"/>
          <w:szCs w:val="24"/>
          <w14:ligatures w14:val="standardContextual"/>
        </w:rPr>
        <w:tab/>
        <w:t xml:space="preserve">Replying to a question from a councillor carried over from the previous plenary regarding the implications of CWG-LANG functioning without a vice-chair for any given language, </w:t>
      </w:r>
      <w:r w:rsidRPr="00D84504">
        <w:rPr>
          <w:rFonts w:eastAsia="Calibri"/>
        </w:rPr>
        <w:t>the</w:t>
      </w:r>
      <w:r w:rsidRPr="00D84504">
        <w:rPr>
          <w:rFonts w:eastAsia="Calibri"/>
          <w:kern w:val="2"/>
          <w:szCs w:val="24"/>
          <w14:ligatures w14:val="standardContextual"/>
        </w:rPr>
        <w:t xml:space="preserve"> Secretary of the Plenary noted that a number of groups had found themselves in such a situation for a period of time. It was up to Member States to evaluate the work of specific groups and draw any conclusions. Pursuant to its terms of reference, however, all Member States were entitled to participate in CWG-LANG.</w:t>
      </w:r>
    </w:p>
    <w:p w14:paraId="2D96955B" w14:textId="77777777" w:rsidR="00F2696D" w:rsidRPr="00D84504" w:rsidRDefault="00F2696D" w:rsidP="00074FA0">
      <w:pPr>
        <w:jc w:val="both"/>
        <w:rPr>
          <w:rFonts w:eastAsia="Calibri"/>
          <w:kern w:val="2"/>
          <w:szCs w:val="24"/>
          <w14:ligatures w14:val="standardContextual"/>
        </w:rPr>
      </w:pPr>
      <w:bookmarkStart w:id="14" w:name="_Hlk169985550"/>
      <w:bookmarkStart w:id="15" w:name="_Hlk169985577"/>
      <w:r w:rsidRPr="00D84504">
        <w:rPr>
          <w:rFonts w:eastAsia="Calibri"/>
          <w:kern w:val="2"/>
          <w:szCs w:val="24"/>
          <w14:ligatures w14:val="standardContextual"/>
        </w:rPr>
        <w:t>3.4</w:t>
      </w:r>
      <w:r w:rsidRPr="00D84504">
        <w:rPr>
          <w:rFonts w:eastAsia="Calibri"/>
          <w:kern w:val="2"/>
          <w:szCs w:val="24"/>
          <w14:ligatures w14:val="standardContextual"/>
        </w:rPr>
        <w:tab/>
        <w:t xml:space="preserve">The councillor from South Africa said that South Africa considered that the matter of the </w:t>
      </w:r>
      <w:bookmarkEnd w:id="14"/>
      <w:r w:rsidRPr="00D84504">
        <w:rPr>
          <w:rFonts w:eastAsia="Calibri"/>
          <w:kern w:val="2"/>
          <w:szCs w:val="24"/>
          <w14:ligatures w14:val="standardContextual"/>
        </w:rPr>
        <w:t>appointment of the CWG-LANG vice-chair for the Russian language could have been handled better. It believed that a compromise had been close, and that not enough opportunity had been given to conclude the matter, for example by considering the proposal by one observer to appoint “acting vice-chairs”. That view was echoed by the councillor from Cuba, who also expressed support for the latter proposal.</w:t>
      </w:r>
      <w:bookmarkEnd w:id="13"/>
    </w:p>
    <w:p w14:paraId="010E3949" w14:textId="6803AB8C" w:rsidR="00F2696D" w:rsidRPr="00D84504" w:rsidRDefault="00F2696D" w:rsidP="00413B31">
      <w:pPr>
        <w:pStyle w:val="Heading1"/>
        <w:rPr>
          <w:rFonts w:eastAsia="Calibri"/>
          <w:b w:val="0"/>
          <w:bCs/>
          <w:kern w:val="2"/>
          <w:szCs w:val="24"/>
          <w14:ligatures w14:val="standardContextual"/>
        </w:rPr>
      </w:pPr>
      <w:bookmarkStart w:id="16" w:name="_Hlk169782064"/>
      <w:bookmarkStart w:id="17" w:name="_Hlk169782079"/>
      <w:bookmarkEnd w:id="15"/>
      <w:r w:rsidRPr="00D84504">
        <w:rPr>
          <w:rFonts w:eastAsia="Calibri"/>
          <w:bCs/>
          <w:kern w:val="2"/>
          <w:szCs w:val="28"/>
          <w14:ligatures w14:val="standardContextual"/>
        </w:rPr>
        <w:t>4</w:t>
      </w:r>
      <w:r w:rsidRPr="00D84504">
        <w:rPr>
          <w:rFonts w:eastAsia="Calibri"/>
          <w:bCs/>
          <w:kern w:val="2"/>
          <w:szCs w:val="28"/>
          <w14:ligatures w14:val="standardContextual"/>
        </w:rPr>
        <w:tab/>
        <w:t xml:space="preserve">Closure of the </w:t>
      </w:r>
      <w:r w:rsidRPr="00D84504">
        <w:rPr>
          <w:rFonts w:eastAsia="Calibri"/>
        </w:rPr>
        <w:t>Council</w:t>
      </w:r>
      <w:r w:rsidRPr="00D84504">
        <w:rPr>
          <w:rFonts w:eastAsia="Calibri"/>
          <w:bCs/>
          <w:kern w:val="2"/>
          <w:szCs w:val="28"/>
          <w14:ligatures w14:val="standardContextual"/>
        </w:rPr>
        <w:t xml:space="preserve"> session</w:t>
      </w:r>
    </w:p>
    <w:bookmarkEnd w:id="16"/>
    <w:p w14:paraId="19B8697B" w14:textId="6E7AEB43" w:rsidR="00F2696D" w:rsidRPr="00566BE4" w:rsidRDefault="00F2696D" w:rsidP="00F24BB9">
      <w:pPr>
        <w:jc w:val="both"/>
        <w:rPr>
          <w:rFonts w:eastAsia="Calibri"/>
          <w:spacing w:val="-2"/>
          <w:kern w:val="2"/>
          <w:szCs w:val="24"/>
          <w14:ligatures w14:val="standardContextual"/>
        </w:rPr>
      </w:pPr>
      <w:r w:rsidRPr="00566BE4">
        <w:rPr>
          <w:rFonts w:eastAsia="Calibri" w:cs="Calibri"/>
          <w:spacing w:val="-2"/>
          <w:kern w:val="2"/>
          <w:szCs w:val="24"/>
          <w14:ligatures w14:val="standardContextual"/>
        </w:rPr>
        <w:t>4.1</w:t>
      </w:r>
      <w:r w:rsidRPr="00566BE4">
        <w:rPr>
          <w:rFonts w:eastAsia="Calibri" w:cs="Calibri"/>
          <w:spacing w:val="-2"/>
          <w:kern w:val="2"/>
          <w:szCs w:val="24"/>
          <w14:ligatures w14:val="standardContextual"/>
        </w:rPr>
        <w:tab/>
        <w:t xml:space="preserve">The </w:t>
      </w:r>
      <w:r w:rsidRPr="00566BE4">
        <w:rPr>
          <w:rFonts w:eastAsia="Calibri"/>
          <w:spacing w:val="-2"/>
        </w:rPr>
        <w:t>Secretary</w:t>
      </w:r>
      <w:r w:rsidRPr="00566BE4">
        <w:rPr>
          <w:rFonts w:eastAsia="Calibri" w:cs="Calibri"/>
          <w:spacing w:val="-2"/>
          <w:kern w:val="2"/>
          <w:szCs w:val="24"/>
          <w14:ligatures w14:val="standardContextual"/>
        </w:rPr>
        <w:t xml:space="preserve">-General delivered the address available at: </w:t>
      </w:r>
      <w:hyperlink r:id="rId23" w:history="1">
        <w:r w:rsidR="00A90E7E" w:rsidRPr="00566BE4">
          <w:rPr>
            <w:rStyle w:val="Hyperlink"/>
            <w:rFonts w:eastAsia="Calibri" w:cs="Calibri"/>
            <w:spacing w:val="-2"/>
            <w:kern w:val="2"/>
            <w:szCs w:val="24"/>
            <w14:ligatures w14:val="standardContextual"/>
          </w:rPr>
          <w:t>http://council.itu.int/2024/wp-content/uploads/sites/4/2024/07/C24-ITU-SG-closing-speech.docx</w:t>
        </w:r>
      </w:hyperlink>
      <w:r w:rsidR="00A90E7E" w:rsidRPr="00566BE4">
        <w:rPr>
          <w:rFonts w:eastAsia="Calibri" w:cs="Calibri"/>
          <w:spacing w:val="-2"/>
          <w:kern w:val="2"/>
          <w:szCs w:val="24"/>
          <w14:ligatures w14:val="standardContextual"/>
        </w:rPr>
        <w:t>.</w:t>
      </w:r>
    </w:p>
    <w:p w14:paraId="52B363DB" w14:textId="7CA0511D" w:rsidR="00F2696D" w:rsidRPr="00D84504" w:rsidRDefault="00F2696D" w:rsidP="00F24BB9">
      <w:pPr>
        <w:jc w:val="both"/>
        <w:rPr>
          <w:rFonts w:eastAsia="Calibri" w:cs="Calibri"/>
          <w:kern w:val="2"/>
          <w:szCs w:val="24"/>
          <w14:ligatures w14:val="standardContextual"/>
        </w:rPr>
      </w:pPr>
      <w:r w:rsidRPr="00D84504">
        <w:rPr>
          <w:rFonts w:eastAsia="Calibri" w:cs="Calibri"/>
          <w:kern w:val="2"/>
          <w:szCs w:val="24"/>
          <w14:ligatures w14:val="standardContextual"/>
        </w:rPr>
        <w:t>4.2</w:t>
      </w:r>
      <w:r w:rsidRPr="00D84504">
        <w:rPr>
          <w:rFonts w:eastAsia="Calibri" w:cs="Calibri"/>
          <w:kern w:val="2"/>
          <w:szCs w:val="24"/>
          <w14:ligatures w14:val="standardContextual"/>
        </w:rPr>
        <w:tab/>
        <w:t xml:space="preserve">The </w:t>
      </w:r>
      <w:r w:rsidRPr="00D84504">
        <w:rPr>
          <w:rFonts w:eastAsia="Calibri"/>
        </w:rPr>
        <w:t>Chair</w:t>
      </w:r>
      <w:r w:rsidRPr="00D84504">
        <w:rPr>
          <w:rFonts w:eastAsia="Calibri" w:cs="Calibri"/>
          <w:kern w:val="2"/>
          <w:szCs w:val="24"/>
          <w14:ligatures w14:val="standardContextual"/>
        </w:rPr>
        <w:t xml:space="preserve"> delivered the address available at: </w:t>
      </w:r>
      <w:hyperlink r:id="rId24" w:history="1">
        <w:r w:rsidR="00F658AF" w:rsidRPr="00D84504">
          <w:rPr>
            <w:rStyle w:val="Hyperlink"/>
            <w:rFonts w:eastAsia="Calibri" w:cs="Calibri"/>
            <w:kern w:val="2"/>
            <w:szCs w:val="24"/>
            <w14:ligatures w14:val="standardContextual"/>
          </w:rPr>
          <w:t>http://council.itu.int/2024/wp-content/uploads/sites/4/2024/08/C24-Statement-Chair-Council_closing-e.docx</w:t>
        </w:r>
      </w:hyperlink>
      <w:r w:rsidR="00F658AF" w:rsidRPr="00D84504">
        <w:rPr>
          <w:rFonts w:eastAsia="Calibri" w:cs="Calibri"/>
          <w:kern w:val="2"/>
          <w:szCs w:val="24"/>
          <w14:ligatures w14:val="standardContextual"/>
        </w:rPr>
        <w:t>.</w:t>
      </w:r>
    </w:p>
    <w:p w14:paraId="470ABB89" w14:textId="77777777" w:rsidR="00F2696D" w:rsidRPr="00D84504" w:rsidRDefault="00F2696D" w:rsidP="00F24BB9">
      <w:pPr>
        <w:rPr>
          <w:rFonts w:eastAsia="Calibri"/>
        </w:rPr>
      </w:pPr>
      <w:r w:rsidRPr="00D84504">
        <w:rPr>
          <w:rFonts w:eastAsia="Calibri"/>
        </w:rPr>
        <w:t>4.3</w:t>
      </w:r>
      <w:r w:rsidRPr="00D84504">
        <w:rPr>
          <w:rFonts w:eastAsia="Calibri"/>
        </w:rPr>
        <w:tab/>
        <w:t>A video was screened showcasing the highlights of the 2024 session of the Council.</w:t>
      </w:r>
    </w:p>
    <w:p w14:paraId="01C95961" w14:textId="77777777" w:rsidR="00F2696D" w:rsidRPr="00D84504" w:rsidRDefault="00F2696D" w:rsidP="00074FA0">
      <w:pPr>
        <w:jc w:val="both"/>
        <w:rPr>
          <w:rFonts w:eastAsia="Calibri" w:cs="Calibri"/>
          <w:kern w:val="2"/>
          <w:szCs w:val="24"/>
          <w14:ligatures w14:val="standardContextual"/>
        </w:rPr>
      </w:pPr>
      <w:r w:rsidRPr="00D84504">
        <w:rPr>
          <w:rFonts w:eastAsia="Calibri" w:cs="Calibri"/>
          <w:kern w:val="2"/>
          <w:szCs w:val="24"/>
          <w14:ligatures w14:val="standardContextual"/>
        </w:rPr>
        <w:t>4.4</w:t>
      </w:r>
      <w:r w:rsidRPr="00D84504">
        <w:rPr>
          <w:rFonts w:eastAsia="Calibri" w:cs="Calibri"/>
          <w:kern w:val="2"/>
          <w:szCs w:val="24"/>
          <w14:ligatures w14:val="standardContextual"/>
        </w:rPr>
        <w:tab/>
        <w:t xml:space="preserve">The Chair of the Standing Committee on Administration and Management (ADM) said that, on completion of his two-year term of office as ADM chair, which had been a very intense but enriching </w:t>
      </w:r>
      <w:r w:rsidRPr="00D84504">
        <w:rPr>
          <w:rFonts w:eastAsia="Calibri"/>
        </w:rPr>
        <w:t>experience</w:t>
      </w:r>
      <w:r w:rsidRPr="00D84504">
        <w:rPr>
          <w:rFonts w:eastAsia="Calibri" w:cs="Calibri"/>
          <w:kern w:val="2"/>
          <w:szCs w:val="24"/>
          <w14:ligatures w14:val="standardContextual"/>
        </w:rPr>
        <w:t>, he wished sincerely to thank everyone who had supported him: the Vice-Chair, the elected officials, the entire secretariat, with special mention for the Secretary of the committee and the report-writers for their Herculean efforts, his predecessors, those councillors who had been particularly active in the preparatory work and/or chaired ad hoc groups, the Chair of the Council and his predecessor, the Swiss delegation and, last but not least, his very supportive family.</w:t>
      </w:r>
    </w:p>
    <w:p w14:paraId="24769337" w14:textId="79E437C1" w:rsidR="00F2696D" w:rsidRPr="00D84504" w:rsidRDefault="00F2696D" w:rsidP="00074FA0">
      <w:pPr>
        <w:jc w:val="both"/>
        <w:rPr>
          <w:rFonts w:eastAsia="Calibri" w:cs="Calibri"/>
          <w:kern w:val="2"/>
          <w:szCs w:val="24"/>
          <w14:ligatures w14:val="standardContextual"/>
        </w:rPr>
      </w:pPr>
      <w:r w:rsidRPr="00D84504">
        <w:rPr>
          <w:rFonts w:eastAsia="Calibri" w:cs="Calibri"/>
          <w:kern w:val="2"/>
          <w:szCs w:val="24"/>
          <w14:ligatures w14:val="standardContextual"/>
        </w:rPr>
        <w:t>4.5</w:t>
      </w:r>
      <w:r w:rsidRPr="00D84504">
        <w:rPr>
          <w:rFonts w:eastAsia="Calibri" w:cs="Calibri"/>
          <w:kern w:val="2"/>
          <w:szCs w:val="24"/>
          <w14:ligatures w14:val="standardContextual"/>
        </w:rPr>
        <w:tab/>
        <w:t xml:space="preserve">The </w:t>
      </w:r>
      <w:r w:rsidRPr="00D84504">
        <w:rPr>
          <w:rFonts w:eastAsia="Calibri"/>
        </w:rPr>
        <w:t>Secretary</w:t>
      </w:r>
      <w:r w:rsidRPr="00D84504">
        <w:rPr>
          <w:rFonts w:eastAsia="Calibri" w:cs="Calibri"/>
          <w:kern w:val="2"/>
          <w:szCs w:val="24"/>
          <w14:ligatures w14:val="standardContextual"/>
        </w:rPr>
        <w:t xml:space="preserve">-General awarded the Chair of the Council </w:t>
      </w:r>
      <w:r w:rsidR="00C72166" w:rsidRPr="00D84504">
        <w:rPr>
          <w:rFonts w:eastAsia="Calibri" w:cs="Calibri"/>
          <w:kern w:val="2"/>
          <w:szCs w:val="24"/>
          <w14:ligatures w14:val="standardContextual"/>
        </w:rPr>
        <w:t xml:space="preserve">the ITU Medal, </w:t>
      </w:r>
      <w:r w:rsidRPr="00D84504">
        <w:rPr>
          <w:rFonts w:eastAsia="Calibri" w:cs="Calibri"/>
          <w:kern w:val="2"/>
          <w:szCs w:val="24"/>
          <w14:ligatures w14:val="standardContextual"/>
        </w:rPr>
        <w:t xml:space="preserve">and </w:t>
      </w:r>
      <w:r w:rsidR="00C72166" w:rsidRPr="00D84504">
        <w:rPr>
          <w:rFonts w:eastAsia="Calibri" w:cs="Calibri"/>
          <w:kern w:val="2"/>
          <w:szCs w:val="24"/>
          <w14:ligatures w14:val="standardContextual"/>
        </w:rPr>
        <w:t xml:space="preserve">for him as well as </w:t>
      </w:r>
      <w:r w:rsidRPr="00D84504">
        <w:rPr>
          <w:rFonts w:eastAsia="Calibri" w:cs="Calibri"/>
          <w:kern w:val="2"/>
          <w:szCs w:val="24"/>
          <w14:ligatures w14:val="standardContextual"/>
        </w:rPr>
        <w:t>the Vice-Chair of the ADM committee a certificate of appreciation in recognition of their excellent leadership of the Council and the committee.</w:t>
      </w:r>
    </w:p>
    <w:p w14:paraId="73FA6891" w14:textId="77777777" w:rsidR="00F2696D" w:rsidRPr="00D84504" w:rsidRDefault="00F2696D" w:rsidP="00074FA0">
      <w:pPr>
        <w:jc w:val="both"/>
        <w:rPr>
          <w:rFonts w:eastAsia="Calibri" w:cs="Calibri"/>
          <w:kern w:val="2"/>
          <w:szCs w:val="24"/>
          <w14:ligatures w14:val="standardContextual"/>
        </w:rPr>
      </w:pPr>
      <w:r w:rsidRPr="00D84504">
        <w:rPr>
          <w:rFonts w:eastAsia="Calibri" w:cs="Calibri"/>
          <w:kern w:val="2"/>
          <w:szCs w:val="24"/>
          <w14:ligatures w14:val="standardContextual"/>
        </w:rPr>
        <w:t>4.6</w:t>
      </w:r>
      <w:r w:rsidRPr="00D84504">
        <w:rPr>
          <w:rFonts w:eastAsia="Calibri" w:cs="Calibri"/>
          <w:kern w:val="2"/>
          <w:szCs w:val="24"/>
          <w14:ligatures w14:val="standardContextual"/>
        </w:rPr>
        <w:tab/>
      </w:r>
      <w:r w:rsidRPr="00D84504">
        <w:rPr>
          <w:rFonts w:eastAsia="Calibri"/>
        </w:rPr>
        <w:t>Several</w:t>
      </w:r>
      <w:r w:rsidRPr="00D84504">
        <w:rPr>
          <w:rFonts w:eastAsia="Calibri" w:cs="Calibri"/>
          <w:kern w:val="2"/>
          <w:szCs w:val="24"/>
          <w14:ligatures w14:val="standardContextual"/>
        </w:rPr>
        <w:t xml:space="preserve"> councillors, two of them speaking on behalf of their regional telecommunication organizations, praised the Chair for his patience and leadership during the 2024 session of the Council. They also thanked the Vice-Chair of the Council, the Chair and Vice-Chair of ADM, the </w:t>
      </w:r>
      <w:r w:rsidRPr="00D84504">
        <w:rPr>
          <w:rFonts w:eastAsia="Calibri" w:cs="Calibri"/>
          <w:kern w:val="2"/>
          <w:szCs w:val="24"/>
          <w14:ligatures w14:val="standardContextual"/>
        </w:rPr>
        <w:lastRenderedPageBreak/>
        <w:t xml:space="preserve">elected officials, the Secretary of the Plenary and the entire secretariat for their valuable support, as well as the technical teams such as the interpreters and technicians who had helped to ensure the smooth running of the session. </w:t>
      </w:r>
    </w:p>
    <w:p w14:paraId="2A603C7D" w14:textId="6915238D" w:rsidR="00F2696D" w:rsidRPr="00D84504" w:rsidRDefault="006812EF" w:rsidP="00074FA0">
      <w:pPr>
        <w:jc w:val="both"/>
        <w:rPr>
          <w:rFonts w:eastAsia="Calibri" w:cs="Calibri"/>
          <w:kern w:val="2"/>
          <w:sz w:val="22"/>
          <w:szCs w:val="24"/>
          <w14:ligatures w14:val="standardContextual"/>
        </w:rPr>
      </w:pPr>
      <w:r w:rsidRPr="00D84504">
        <w:rPr>
          <w:rFonts w:eastAsia="Calibri" w:cs="Calibri"/>
          <w:kern w:val="2"/>
          <w:szCs w:val="24"/>
          <w14:ligatures w14:val="standardContextual"/>
        </w:rPr>
        <w:t>4.7</w:t>
      </w:r>
      <w:r w:rsidR="00F2696D" w:rsidRPr="00D84504">
        <w:rPr>
          <w:rFonts w:eastAsia="Calibri" w:cs="Calibri"/>
          <w:kern w:val="2"/>
          <w:szCs w:val="24"/>
          <w14:ligatures w14:val="standardContextual"/>
        </w:rPr>
        <w:tab/>
        <w:t>The Chair declared the 202</w:t>
      </w:r>
      <w:r w:rsidRPr="00D84504">
        <w:rPr>
          <w:rFonts w:eastAsia="Calibri" w:cs="Calibri"/>
          <w:kern w:val="2"/>
          <w:szCs w:val="24"/>
          <w14:ligatures w14:val="standardContextual"/>
        </w:rPr>
        <w:t>4</w:t>
      </w:r>
      <w:r w:rsidR="00F2696D" w:rsidRPr="00D84504">
        <w:rPr>
          <w:rFonts w:eastAsia="Calibri" w:cs="Calibri"/>
          <w:kern w:val="2"/>
          <w:szCs w:val="24"/>
          <w14:ligatures w14:val="standardContextual"/>
        </w:rPr>
        <w:t xml:space="preserve"> session of the Council closed.</w:t>
      </w:r>
      <w:bookmarkEnd w:id="17"/>
    </w:p>
    <w:p w14:paraId="5ABABD84" w14:textId="63B3AD1C" w:rsidR="00390154" w:rsidRPr="00D84504" w:rsidRDefault="00390154" w:rsidP="00074FA0">
      <w:pPr>
        <w:tabs>
          <w:tab w:val="clear" w:pos="567"/>
          <w:tab w:val="clear" w:pos="1134"/>
          <w:tab w:val="clear" w:pos="1701"/>
          <w:tab w:val="clear" w:pos="2268"/>
          <w:tab w:val="clear" w:pos="2835"/>
          <w:tab w:val="left" w:pos="6237"/>
        </w:tabs>
        <w:spacing w:before="840"/>
        <w:jc w:val="both"/>
        <w:rPr>
          <w:szCs w:val="24"/>
        </w:rPr>
      </w:pPr>
      <w:r w:rsidRPr="00D84504">
        <w:rPr>
          <w:szCs w:val="24"/>
        </w:rPr>
        <w:t>The Secretary-General</w:t>
      </w:r>
      <w:r w:rsidR="00EA358F" w:rsidRPr="00D84504">
        <w:rPr>
          <w:szCs w:val="24"/>
        </w:rPr>
        <w:t>:</w:t>
      </w:r>
      <w:r w:rsidRPr="00D84504">
        <w:rPr>
          <w:szCs w:val="24"/>
        </w:rPr>
        <w:tab/>
        <w:t>The Chair:</w:t>
      </w:r>
    </w:p>
    <w:p w14:paraId="49055415" w14:textId="6C4FEFFB" w:rsidR="00390154" w:rsidRPr="00D84504" w:rsidRDefault="00390154" w:rsidP="00390154">
      <w:pPr>
        <w:tabs>
          <w:tab w:val="clear" w:pos="567"/>
          <w:tab w:val="clear" w:pos="1134"/>
          <w:tab w:val="clear" w:pos="1701"/>
          <w:tab w:val="clear" w:pos="2268"/>
          <w:tab w:val="clear" w:pos="2835"/>
          <w:tab w:val="left" w:pos="6237"/>
        </w:tabs>
        <w:spacing w:before="0" w:after="120"/>
        <w:jc w:val="both"/>
        <w:rPr>
          <w:szCs w:val="24"/>
        </w:rPr>
      </w:pPr>
      <w:r w:rsidRPr="00D84504">
        <w:rPr>
          <w:szCs w:val="24"/>
        </w:rPr>
        <w:t>D. BOGDAN-MARTIN</w:t>
      </w:r>
      <w:r w:rsidRPr="00D84504">
        <w:rPr>
          <w:szCs w:val="24"/>
        </w:rPr>
        <w:tab/>
        <w:t>F. SAUVAGE</w:t>
      </w:r>
    </w:p>
    <w:p w14:paraId="257674B4" w14:textId="099B2197" w:rsidR="00A514A4" w:rsidRPr="00D84504" w:rsidRDefault="00390154" w:rsidP="00074FA0">
      <w:pPr>
        <w:tabs>
          <w:tab w:val="clear" w:pos="567"/>
          <w:tab w:val="clear" w:pos="1134"/>
          <w:tab w:val="clear" w:pos="1701"/>
          <w:tab w:val="clear" w:pos="2268"/>
          <w:tab w:val="clear" w:pos="2835"/>
          <w:tab w:val="left" w:pos="6237"/>
        </w:tabs>
        <w:overflowPunct/>
        <w:autoSpaceDE/>
        <w:autoSpaceDN/>
        <w:adjustRightInd/>
        <w:spacing w:before="840"/>
        <w:jc w:val="center"/>
        <w:textAlignment w:val="auto"/>
      </w:pPr>
      <w:r w:rsidRPr="00D84504">
        <w:t>_______________</w:t>
      </w:r>
    </w:p>
    <w:sectPr w:rsidR="00A514A4" w:rsidRPr="00D84504" w:rsidSect="00AF00D0">
      <w:footerReference w:type="default" r:id="rId25"/>
      <w:headerReference w:type="first" r:id="rId26"/>
      <w:footerReference w:type="first" r:id="rId27"/>
      <w:pgSz w:w="11907" w:h="16834"/>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DD2B" w14:textId="77777777" w:rsidR="00CC4287" w:rsidRDefault="00CC4287">
      <w:r>
        <w:separator/>
      </w:r>
    </w:p>
  </w:endnote>
  <w:endnote w:type="continuationSeparator" w:id="0">
    <w:p w14:paraId="2613BEBD" w14:textId="77777777" w:rsidR="00CC4287" w:rsidRDefault="00CC4287">
      <w:r>
        <w:continuationSeparator/>
      </w:r>
    </w:p>
  </w:endnote>
  <w:endnote w:type="continuationNotice" w:id="1">
    <w:p w14:paraId="4C8656A9" w14:textId="77777777" w:rsidR="00CC4287" w:rsidRDefault="00CC42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F00D0" w:rsidRPr="00AF00D0" w14:paraId="50AFB848" w14:textId="77777777" w:rsidTr="000E09E2">
      <w:trPr>
        <w:jc w:val="center"/>
      </w:trPr>
      <w:tc>
        <w:tcPr>
          <w:tcW w:w="1803" w:type="dxa"/>
          <w:vAlign w:val="center"/>
        </w:tcPr>
        <w:p w14:paraId="6EC76EBA" w14:textId="77777777" w:rsidR="00AF00D0" w:rsidRPr="00AF00D0" w:rsidRDefault="00AF00D0" w:rsidP="00AF00D0">
          <w:pPr>
            <w:pStyle w:val="Footer"/>
            <w:rPr>
              <w:rFonts w:eastAsia="Times New Roman" w:cs="Times New Roman"/>
              <w:szCs w:val="20"/>
            </w:rPr>
          </w:pPr>
        </w:p>
      </w:tc>
      <w:tc>
        <w:tcPr>
          <w:tcW w:w="8261" w:type="dxa"/>
        </w:tcPr>
        <w:p w14:paraId="73EFC6EF" w14:textId="77777777" w:rsidR="00AF00D0" w:rsidRPr="00AF00D0" w:rsidRDefault="00AF00D0" w:rsidP="00413B31">
          <w:pPr>
            <w:pStyle w:val="Footer"/>
            <w:tabs>
              <w:tab w:val="clear" w:pos="5954"/>
              <w:tab w:val="left" w:pos="7015"/>
            </w:tabs>
            <w:rPr>
              <w:rFonts w:eastAsia="Times New Roman" w:cs="Times New Roman"/>
              <w:b/>
              <w:bCs/>
              <w:szCs w:val="20"/>
            </w:rPr>
          </w:pPr>
          <w:r w:rsidRPr="00AF00D0">
            <w:rPr>
              <w:rFonts w:eastAsia="Times New Roman" w:cs="Times New Roman"/>
              <w:bCs/>
              <w:szCs w:val="20"/>
            </w:rPr>
            <w:tab/>
            <w:t>C24/122-E</w:t>
          </w:r>
          <w:r w:rsidRPr="00AF00D0">
            <w:rPr>
              <w:rFonts w:eastAsia="Times New Roman" w:cs="Times New Roman"/>
              <w:bCs/>
              <w:szCs w:val="20"/>
            </w:rPr>
            <w:tab/>
          </w:r>
          <w:r w:rsidRPr="00AF00D0">
            <w:fldChar w:fldCharType="begin"/>
          </w:r>
          <w:r w:rsidRPr="00AF00D0">
            <w:rPr>
              <w:rFonts w:eastAsia="Times New Roman" w:cs="Times New Roman"/>
              <w:szCs w:val="20"/>
            </w:rPr>
            <w:instrText>PAGE</w:instrText>
          </w:r>
          <w:r w:rsidRPr="00AF00D0">
            <w:fldChar w:fldCharType="separate"/>
          </w:r>
          <w:r w:rsidRPr="00AF00D0">
            <w:rPr>
              <w:rFonts w:eastAsia="Times New Roman" w:cs="Times New Roman"/>
              <w:szCs w:val="20"/>
            </w:rPr>
            <w:t>1</w:t>
          </w:r>
          <w:r w:rsidRPr="00AF00D0">
            <w:fldChar w:fldCharType="end"/>
          </w:r>
        </w:p>
      </w:tc>
    </w:tr>
  </w:tbl>
  <w:p w14:paraId="518C160F" w14:textId="77777777" w:rsidR="00AF00D0" w:rsidRPr="00AF00D0" w:rsidRDefault="00AF00D0" w:rsidP="00AF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A3BDC" w:rsidRPr="00784011" w14:paraId="41A75AFB" w14:textId="77777777" w:rsidTr="000E09E2">
      <w:trPr>
        <w:jc w:val="center"/>
      </w:trPr>
      <w:tc>
        <w:tcPr>
          <w:tcW w:w="1803" w:type="dxa"/>
          <w:vAlign w:val="center"/>
        </w:tcPr>
        <w:p w14:paraId="018CF727" w14:textId="77777777" w:rsidR="003A3BDC" w:rsidRDefault="00F46644" w:rsidP="003A3BDC">
          <w:pPr>
            <w:pStyle w:val="Header"/>
            <w:jc w:val="left"/>
            <w:rPr>
              <w:noProof/>
            </w:rPr>
          </w:pPr>
          <w:hyperlink r:id="rId1" w:history="1">
            <w:r w:rsidR="003A3BDC" w:rsidRPr="00A514A4">
              <w:rPr>
                <w:rStyle w:val="Hyperlink"/>
                <w:szCs w:val="14"/>
                <w:u w:val="none"/>
              </w:rPr>
              <w:t>www.itu.int/council</w:t>
            </w:r>
          </w:hyperlink>
        </w:p>
      </w:tc>
      <w:tc>
        <w:tcPr>
          <w:tcW w:w="8261" w:type="dxa"/>
        </w:tcPr>
        <w:p w14:paraId="17F23351" w14:textId="77777777" w:rsidR="003A3BDC" w:rsidRPr="003A3BDC" w:rsidRDefault="003A3BDC" w:rsidP="00413B31">
          <w:pPr>
            <w:pStyle w:val="Header"/>
            <w:tabs>
              <w:tab w:val="left" w:pos="7015"/>
              <w:tab w:val="right" w:pos="8505"/>
              <w:tab w:val="right" w:pos="9639"/>
            </w:tabs>
            <w:jc w:val="left"/>
            <w:rPr>
              <w:rFonts w:ascii="Arial" w:hAnsi="Arial" w:cs="Arial"/>
              <w:b/>
              <w:bCs/>
              <w:sz w:val="16"/>
              <w:szCs w:val="16"/>
            </w:rPr>
          </w:pPr>
          <w:r>
            <w:rPr>
              <w:bCs/>
            </w:rPr>
            <w:tab/>
          </w:r>
          <w:r w:rsidRPr="003A3BDC">
            <w:rPr>
              <w:bCs/>
              <w:sz w:val="16"/>
              <w:szCs w:val="16"/>
            </w:rPr>
            <w:t>C24/122-E</w:t>
          </w:r>
          <w:r w:rsidRPr="003A3BDC">
            <w:rPr>
              <w:bCs/>
              <w:sz w:val="16"/>
              <w:szCs w:val="16"/>
            </w:rPr>
            <w:tab/>
          </w:r>
          <w:r w:rsidRPr="003A3BDC">
            <w:rPr>
              <w:sz w:val="16"/>
              <w:szCs w:val="16"/>
            </w:rPr>
            <w:fldChar w:fldCharType="begin"/>
          </w:r>
          <w:r w:rsidRPr="003A3BDC">
            <w:rPr>
              <w:sz w:val="16"/>
              <w:szCs w:val="16"/>
            </w:rPr>
            <w:instrText>PAGE</w:instrText>
          </w:r>
          <w:r w:rsidRPr="003A3BDC">
            <w:rPr>
              <w:sz w:val="16"/>
              <w:szCs w:val="16"/>
            </w:rPr>
            <w:fldChar w:fldCharType="separate"/>
          </w:r>
          <w:r w:rsidRPr="003A3BDC">
            <w:rPr>
              <w:sz w:val="16"/>
              <w:szCs w:val="16"/>
            </w:rPr>
            <w:t>1</w:t>
          </w:r>
          <w:r w:rsidRPr="003A3BDC">
            <w:rPr>
              <w:noProof/>
              <w:sz w:val="16"/>
              <w:szCs w:val="16"/>
            </w:rPr>
            <w:fldChar w:fldCharType="end"/>
          </w:r>
        </w:p>
      </w:tc>
    </w:tr>
  </w:tbl>
  <w:p w14:paraId="4E1884F8" w14:textId="77777777" w:rsidR="00EA1D83" w:rsidRPr="003A3BDC" w:rsidRDefault="00EA1D83" w:rsidP="003A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998D6" w14:textId="77777777" w:rsidR="00CC4287" w:rsidRDefault="00CC4287">
      <w:r>
        <w:t>____________________</w:t>
      </w:r>
    </w:p>
  </w:footnote>
  <w:footnote w:type="continuationSeparator" w:id="0">
    <w:p w14:paraId="764483C9" w14:textId="77777777" w:rsidR="00CC4287" w:rsidRDefault="00CC4287">
      <w:r>
        <w:continuationSeparator/>
      </w:r>
    </w:p>
  </w:footnote>
  <w:footnote w:type="continuationNotice" w:id="1">
    <w:p w14:paraId="0A0186BE" w14:textId="77777777" w:rsidR="00CC4287" w:rsidRDefault="00CC428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905336" w:rsidRPr="00784011" w14:paraId="439FF91B" w14:textId="77777777" w:rsidTr="000E09E2">
      <w:trPr>
        <w:trHeight w:val="1104"/>
        <w:jc w:val="center"/>
      </w:trPr>
      <w:tc>
        <w:tcPr>
          <w:tcW w:w="4390" w:type="dxa"/>
          <w:vAlign w:val="center"/>
        </w:tcPr>
        <w:p w14:paraId="688532F9" w14:textId="1388D8EB" w:rsidR="00905336" w:rsidRPr="009621F8" w:rsidRDefault="00905336" w:rsidP="00905336">
          <w:pPr>
            <w:pStyle w:val="Header"/>
            <w:jc w:val="left"/>
            <w:rPr>
              <w:rFonts w:ascii="Arial" w:hAnsi="Arial" w:cs="Arial"/>
              <w:b/>
              <w:bCs/>
              <w:color w:val="009CD6"/>
              <w:sz w:val="36"/>
              <w:szCs w:val="36"/>
            </w:rPr>
          </w:pPr>
          <w:bookmarkStart w:id="18" w:name="_Hlk133422111"/>
          <w:r>
            <w:rPr>
              <w:noProof/>
            </w:rPr>
            <w:drawing>
              <wp:inline distT="0" distB="0" distL="0" distR="0" wp14:anchorId="6B24490A" wp14:editId="1F37E520">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59017ABC" w14:textId="77777777" w:rsidR="00905336" w:rsidRDefault="00905336" w:rsidP="00905336">
          <w:pPr>
            <w:pStyle w:val="Header"/>
            <w:jc w:val="right"/>
            <w:rPr>
              <w:rFonts w:ascii="Arial" w:hAnsi="Arial" w:cs="Arial"/>
              <w:b/>
              <w:bCs/>
              <w:color w:val="009CD6"/>
              <w:szCs w:val="18"/>
            </w:rPr>
          </w:pPr>
        </w:p>
        <w:p w14:paraId="28CE56F0" w14:textId="77777777" w:rsidR="00905336" w:rsidRDefault="00905336" w:rsidP="00905336">
          <w:pPr>
            <w:pStyle w:val="Header"/>
            <w:jc w:val="right"/>
            <w:rPr>
              <w:rFonts w:ascii="Arial" w:hAnsi="Arial" w:cs="Arial"/>
              <w:b/>
              <w:bCs/>
              <w:color w:val="009CD6"/>
              <w:szCs w:val="18"/>
            </w:rPr>
          </w:pPr>
        </w:p>
        <w:p w14:paraId="0EEA0A76" w14:textId="77777777" w:rsidR="00905336" w:rsidRPr="00784011" w:rsidRDefault="00905336" w:rsidP="0090533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8"/>
  <w:p w14:paraId="7B71BF44" w14:textId="03F66972" w:rsidR="00EA1D83" w:rsidRDefault="00197DD2">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BA838C0" wp14:editId="6920FF90">
              <wp:simplePos x="0" y="0"/>
              <wp:positionH relativeFrom="page">
                <wp:posOffset>24130</wp:posOffset>
              </wp:positionH>
              <wp:positionV relativeFrom="topMargin">
                <wp:posOffset>652780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4288C" id="Rectangle 5" o:spid="_x0000_s1026" style="position:absolute;margin-left:1.9pt;margin-top:51.4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1884950">
    <w:abstractNumId w:val="2"/>
  </w:num>
  <w:num w:numId="3" w16cid:durableId="1210730298">
    <w:abstractNumId w:val="1"/>
  </w:num>
  <w:num w:numId="4" w16cid:durableId="942224820">
    <w:abstractNumId w:val="13"/>
  </w:num>
  <w:num w:numId="5" w16cid:durableId="1478301495">
    <w:abstractNumId w:val="6"/>
  </w:num>
  <w:num w:numId="6" w16cid:durableId="2045328376">
    <w:abstractNumId w:val="7"/>
  </w:num>
  <w:num w:numId="7" w16cid:durableId="650913780">
    <w:abstractNumId w:val="12"/>
  </w:num>
  <w:num w:numId="8" w16cid:durableId="1079475666">
    <w:abstractNumId w:val="5"/>
  </w:num>
  <w:num w:numId="9" w16cid:durableId="108011777">
    <w:abstractNumId w:val="10"/>
  </w:num>
  <w:num w:numId="10" w16cid:durableId="449980474">
    <w:abstractNumId w:val="14"/>
  </w:num>
  <w:num w:numId="11" w16cid:durableId="768937311">
    <w:abstractNumId w:val="3"/>
  </w:num>
  <w:num w:numId="12" w16cid:durableId="422576947">
    <w:abstractNumId w:val="8"/>
  </w:num>
  <w:num w:numId="13" w16cid:durableId="1855724044">
    <w:abstractNumId w:val="11"/>
  </w:num>
  <w:num w:numId="14" w16cid:durableId="752051971">
    <w:abstractNumId w:val="4"/>
  </w:num>
  <w:num w:numId="15" w16cid:durableId="2034186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47E35"/>
    <w:rsid w:val="00063016"/>
    <w:rsid w:val="00066795"/>
    <w:rsid w:val="00074FA0"/>
    <w:rsid w:val="00076AF6"/>
    <w:rsid w:val="00085CF2"/>
    <w:rsid w:val="00093A91"/>
    <w:rsid w:val="00094460"/>
    <w:rsid w:val="000B1705"/>
    <w:rsid w:val="000D75B2"/>
    <w:rsid w:val="0010202B"/>
    <w:rsid w:val="001121F5"/>
    <w:rsid w:val="0013114B"/>
    <w:rsid w:val="001400DC"/>
    <w:rsid w:val="00140CE1"/>
    <w:rsid w:val="00153171"/>
    <w:rsid w:val="0015770D"/>
    <w:rsid w:val="00170C41"/>
    <w:rsid w:val="001722A2"/>
    <w:rsid w:val="0017539C"/>
    <w:rsid w:val="00175AC2"/>
    <w:rsid w:val="0017609F"/>
    <w:rsid w:val="00177DFC"/>
    <w:rsid w:val="001836BB"/>
    <w:rsid w:val="00193DAC"/>
    <w:rsid w:val="00194073"/>
    <w:rsid w:val="00197DD2"/>
    <w:rsid w:val="001A7D1D"/>
    <w:rsid w:val="001B0A82"/>
    <w:rsid w:val="001B51DD"/>
    <w:rsid w:val="001C628E"/>
    <w:rsid w:val="001E0F7B"/>
    <w:rsid w:val="001F074A"/>
    <w:rsid w:val="001F1A27"/>
    <w:rsid w:val="002119FD"/>
    <w:rsid w:val="002130E0"/>
    <w:rsid w:val="00231A68"/>
    <w:rsid w:val="002521BA"/>
    <w:rsid w:val="00253BA0"/>
    <w:rsid w:val="00264425"/>
    <w:rsid w:val="00265875"/>
    <w:rsid w:val="0027303B"/>
    <w:rsid w:val="0028109B"/>
    <w:rsid w:val="002A2188"/>
    <w:rsid w:val="002B1F58"/>
    <w:rsid w:val="002B512C"/>
    <w:rsid w:val="002B6471"/>
    <w:rsid w:val="002C1C7A"/>
    <w:rsid w:val="002C49F1"/>
    <w:rsid w:val="002C54E2"/>
    <w:rsid w:val="002D136B"/>
    <w:rsid w:val="002D5F25"/>
    <w:rsid w:val="0030160F"/>
    <w:rsid w:val="003075D8"/>
    <w:rsid w:val="00312322"/>
    <w:rsid w:val="00320223"/>
    <w:rsid w:val="00322D0D"/>
    <w:rsid w:val="00361465"/>
    <w:rsid w:val="00374DD6"/>
    <w:rsid w:val="00383647"/>
    <w:rsid w:val="00386D4D"/>
    <w:rsid w:val="003877F5"/>
    <w:rsid w:val="00390154"/>
    <w:rsid w:val="003942D4"/>
    <w:rsid w:val="003958A8"/>
    <w:rsid w:val="003A3BDC"/>
    <w:rsid w:val="003A7542"/>
    <w:rsid w:val="003B773A"/>
    <w:rsid w:val="003C2533"/>
    <w:rsid w:val="003D5A7F"/>
    <w:rsid w:val="004016E2"/>
    <w:rsid w:val="0040435A"/>
    <w:rsid w:val="00410F8B"/>
    <w:rsid w:val="00413B31"/>
    <w:rsid w:val="00416A24"/>
    <w:rsid w:val="00431D9E"/>
    <w:rsid w:val="00433C73"/>
    <w:rsid w:val="00433CE8"/>
    <w:rsid w:val="00434A5C"/>
    <w:rsid w:val="00446A30"/>
    <w:rsid w:val="004544D9"/>
    <w:rsid w:val="00472BAD"/>
    <w:rsid w:val="004822C4"/>
    <w:rsid w:val="00484009"/>
    <w:rsid w:val="00490E72"/>
    <w:rsid w:val="00491157"/>
    <w:rsid w:val="004921C8"/>
    <w:rsid w:val="0049489B"/>
    <w:rsid w:val="00495B0B"/>
    <w:rsid w:val="004A1980"/>
    <w:rsid w:val="004A1B8B"/>
    <w:rsid w:val="004B7E0F"/>
    <w:rsid w:val="004D1851"/>
    <w:rsid w:val="004D599D"/>
    <w:rsid w:val="004E0E39"/>
    <w:rsid w:val="004E2EA5"/>
    <w:rsid w:val="004E3AEB"/>
    <w:rsid w:val="004F3803"/>
    <w:rsid w:val="004F7742"/>
    <w:rsid w:val="0050223C"/>
    <w:rsid w:val="0051181E"/>
    <w:rsid w:val="005243FF"/>
    <w:rsid w:val="0056361C"/>
    <w:rsid w:val="00564FBC"/>
    <w:rsid w:val="00566BE4"/>
    <w:rsid w:val="00573EB5"/>
    <w:rsid w:val="005800BC"/>
    <w:rsid w:val="00582442"/>
    <w:rsid w:val="005B766E"/>
    <w:rsid w:val="005C0658"/>
    <w:rsid w:val="005D018B"/>
    <w:rsid w:val="005D2437"/>
    <w:rsid w:val="005D26C5"/>
    <w:rsid w:val="005D3EFA"/>
    <w:rsid w:val="005D65B6"/>
    <w:rsid w:val="005E3201"/>
    <w:rsid w:val="005F3269"/>
    <w:rsid w:val="00601AB4"/>
    <w:rsid w:val="006057F8"/>
    <w:rsid w:val="00611253"/>
    <w:rsid w:val="006224F8"/>
    <w:rsid w:val="00623AE3"/>
    <w:rsid w:val="00624D20"/>
    <w:rsid w:val="00627E8B"/>
    <w:rsid w:val="0064233E"/>
    <w:rsid w:val="00642D44"/>
    <w:rsid w:val="0064737F"/>
    <w:rsid w:val="00651377"/>
    <w:rsid w:val="006535F1"/>
    <w:rsid w:val="0065557D"/>
    <w:rsid w:val="00660D50"/>
    <w:rsid w:val="006627D0"/>
    <w:rsid w:val="00662984"/>
    <w:rsid w:val="006714F4"/>
    <w:rsid w:val="006716BB"/>
    <w:rsid w:val="006812EF"/>
    <w:rsid w:val="006850BE"/>
    <w:rsid w:val="006918AC"/>
    <w:rsid w:val="006A51FC"/>
    <w:rsid w:val="006B1751"/>
    <w:rsid w:val="006B1859"/>
    <w:rsid w:val="006B3002"/>
    <w:rsid w:val="006B6680"/>
    <w:rsid w:val="006B6DCC"/>
    <w:rsid w:val="006E107F"/>
    <w:rsid w:val="00702DEF"/>
    <w:rsid w:val="007041DA"/>
    <w:rsid w:val="00705104"/>
    <w:rsid w:val="00706861"/>
    <w:rsid w:val="00715501"/>
    <w:rsid w:val="007244B9"/>
    <w:rsid w:val="007405E4"/>
    <w:rsid w:val="0074567B"/>
    <w:rsid w:val="0075051B"/>
    <w:rsid w:val="00793188"/>
    <w:rsid w:val="00794D34"/>
    <w:rsid w:val="007C03A7"/>
    <w:rsid w:val="007C129D"/>
    <w:rsid w:val="007C4D79"/>
    <w:rsid w:val="007F3093"/>
    <w:rsid w:val="007F59B3"/>
    <w:rsid w:val="007F63F7"/>
    <w:rsid w:val="007F6ADD"/>
    <w:rsid w:val="00813E5E"/>
    <w:rsid w:val="00824B00"/>
    <w:rsid w:val="0083581B"/>
    <w:rsid w:val="00863874"/>
    <w:rsid w:val="00864AFF"/>
    <w:rsid w:val="00865925"/>
    <w:rsid w:val="00885029"/>
    <w:rsid w:val="008A2630"/>
    <w:rsid w:val="008B4A6A"/>
    <w:rsid w:val="008C2D09"/>
    <w:rsid w:val="008C7E27"/>
    <w:rsid w:val="008D70E8"/>
    <w:rsid w:val="008E5A4A"/>
    <w:rsid w:val="008F4F2E"/>
    <w:rsid w:val="008F7448"/>
    <w:rsid w:val="0090147A"/>
    <w:rsid w:val="00905336"/>
    <w:rsid w:val="009156F1"/>
    <w:rsid w:val="009173EF"/>
    <w:rsid w:val="00932906"/>
    <w:rsid w:val="00936B01"/>
    <w:rsid w:val="009370FB"/>
    <w:rsid w:val="00961B0B"/>
    <w:rsid w:val="0096298C"/>
    <w:rsid w:val="00962D33"/>
    <w:rsid w:val="009A18D9"/>
    <w:rsid w:val="009B38C3"/>
    <w:rsid w:val="009C2762"/>
    <w:rsid w:val="009D4F14"/>
    <w:rsid w:val="009E17BD"/>
    <w:rsid w:val="009E485A"/>
    <w:rsid w:val="00A04CEC"/>
    <w:rsid w:val="00A27F92"/>
    <w:rsid w:val="00A31F3F"/>
    <w:rsid w:val="00A32257"/>
    <w:rsid w:val="00A36D20"/>
    <w:rsid w:val="00A514A4"/>
    <w:rsid w:val="00A55622"/>
    <w:rsid w:val="00A70A90"/>
    <w:rsid w:val="00A83502"/>
    <w:rsid w:val="00A90E7E"/>
    <w:rsid w:val="00AB2A25"/>
    <w:rsid w:val="00AB3CF1"/>
    <w:rsid w:val="00AC1BE6"/>
    <w:rsid w:val="00AD15B3"/>
    <w:rsid w:val="00AD3606"/>
    <w:rsid w:val="00AD4A3D"/>
    <w:rsid w:val="00AE1DFF"/>
    <w:rsid w:val="00AF00D0"/>
    <w:rsid w:val="00AF2F6B"/>
    <w:rsid w:val="00AF302F"/>
    <w:rsid w:val="00AF6E49"/>
    <w:rsid w:val="00B04A67"/>
    <w:rsid w:val="00B0583C"/>
    <w:rsid w:val="00B17D78"/>
    <w:rsid w:val="00B2144B"/>
    <w:rsid w:val="00B27D64"/>
    <w:rsid w:val="00B32A93"/>
    <w:rsid w:val="00B40A81"/>
    <w:rsid w:val="00B44910"/>
    <w:rsid w:val="00B464CD"/>
    <w:rsid w:val="00B72267"/>
    <w:rsid w:val="00B76EB6"/>
    <w:rsid w:val="00B7737B"/>
    <w:rsid w:val="00B824C8"/>
    <w:rsid w:val="00B84B9D"/>
    <w:rsid w:val="00BC251A"/>
    <w:rsid w:val="00BD032B"/>
    <w:rsid w:val="00BD207C"/>
    <w:rsid w:val="00BE2640"/>
    <w:rsid w:val="00C01189"/>
    <w:rsid w:val="00C374DE"/>
    <w:rsid w:val="00C4602D"/>
    <w:rsid w:val="00C47AD4"/>
    <w:rsid w:val="00C52D81"/>
    <w:rsid w:val="00C55198"/>
    <w:rsid w:val="00C72166"/>
    <w:rsid w:val="00C81318"/>
    <w:rsid w:val="00CA6393"/>
    <w:rsid w:val="00CB18FF"/>
    <w:rsid w:val="00CB1AD4"/>
    <w:rsid w:val="00CC4287"/>
    <w:rsid w:val="00CD0C08"/>
    <w:rsid w:val="00CD2596"/>
    <w:rsid w:val="00CD7065"/>
    <w:rsid w:val="00CE03FB"/>
    <w:rsid w:val="00CE433C"/>
    <w:rsid w:val="00CF0161"/>
    <w:rsid w:val="00CF0AC4"/>
    <w:rsid w:val="00CF33F3"/>
    <w:rsid w:val="00CF5223"/>
    <w:rsid w:val="00D06183"/>
    <w:rsid w:val="00D15E83"/>
    <w:rsid w:val="00D22C42"/>
    <w:rsid w:val="00D65041"/>
    <w:rsid w:val="00D65BC1"/>
    <w:rsid w:val="00D70025"/>
    <w:rsid w:val="00D74C0A"/>
    <w:rsid w:val="00D8227D"/>
    <w:rsid w:val="00D84504"/>
    <w:rsid w:val="00DB1936"/>
    <w:rsid w:val="00DB384B"/>
    <w:rsid w:val="00DB6BDD"/>
    <w:rsid w:val="00DF0189"/>
    <w:rsid w:val="00DF5B1D"/>
    <w:rsid w:val="00E06FD5"/>
    <w:rsid w:val="00E10E80"/>
    <w:rsid w:val="00E124F0"/>
    <w:rsid w:val="00E13863"/>
    <w:rsid w:val="00E224F8"/>
    <w:rsid w:val="00E227F3"/>
    <w:rsid w:val="00E23618"/>
    <w:rsid w:val="00E23832"/>
    <w:rsid w:val="00E335C6"/>
    <w:rsid w:val="00E545C6"/>
    <w:rsid w:val="00E60F04"/>
    <w:rsid w:val="00E65B24"/>
    <w:rsid w:val="00E854E4"/>
    <w:rsid w:val="00E86DBF"/>
    <w:rsid w:val="00E94CDB"/>
    <w:rsid w:val="00E96D2A"/>
    <w:rsid w:val="00EA1D83"/>
    <w:rsid w:val="00EA358F"/>
    <w:rsid w:val="00EB0D6F"/>
    <w:rsid w:val="00EB2232"/>
    <w:rsid w:val="00EC5337"/>
    <w:rsid w:val="00ED6829"/>
    <w:rsid w:val="00ED6D46"/>
    <w:rsid w:val="00ED7E64"/>
    <w:rsid w:val="00EE49E8"/>
    <w:rsid w:val="00F16724"/>
    <w:rsid w:val="00F16BAB"/>
    <w:rsid w:val="00F2150A"/>
    <w:rsid w:val="00F231D8"/>
    <w:rsid w:val="00F24BB9"/>
    <w:rsid w:val="00F2696D"/>
    <w:rsid w:val="00F32D3D"/>
    <w:rsid w:val="00F44C00"/>
    <w:rsid w:val="00F45D2C"/>
    <w:rsid w:val="00F46644"/>
    <w:rsid w:val="00F46C5F"/>
    <w:rsid w:val="00F57722"/>
    <w:rsid w:val="00F632C0"/>
    <w:rsid w:val="00F658AF"/>
    <w:rsid w:val="00F66005"/>
    <w:rsid w:val="00F74710"/>
    <w:rsid w:val="00F82E1E"/>
    <w:rsid w:val="00F94A63"/>
    <w:rsid w:val="00F96FD5"/>
    <w:rsid w:val="00FA1C28"/>
    <w:rsid w:val="00FB1279"/>
    <w:rsid w:val="00FB6B76"/>
    <w:rsid w:val="00FB7596"/>
    <w:rsid w:val="00FE4077"/>
    <w:rsid w:val="00FE500D"/>
    <w:rsid w:val="00FE6522"/>
    <w:rsid w:val="00FE77D2"/>
    <w:rsid w:val="058AC576"/>
    <w:rsid w:val="19AA7067"/>
    <w:rsid w:val="1C796D00"/>
    <w:rsid w:val="1E2D52C8"/>
    <w:rsid w:val="28EA9D13"/>
    <w:rsid w:val="3BD6A6F4"/>
    <w:rsid w:val="4022AFA4"/>
    <w:rsid w:val="42CF1146"/>
    <w:rsid w:val="481758D4"/>
    <w:rsid w:val="56C39A5B"/>
    <w:rsid w:val="56D196FD"/>
    <w:rsid w:val="5D22BD84"/>
    <w:rsid w:val="62D8C77F"/>
    <w:rsid w:val="63EF51C3"/>
    <w:rsid w:val="72634E97"/>
    <w:rsid w:val="7A27DD6A"/>
    <w:rsid w:val="7F82D1F1"/>
    <w:rsid w:val="7F8E2677"/>
    <w:rsid w:val="7FF38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87E0054-B899-4984-802C-A6F1570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4B7E0F"/>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D8227D"/>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D8227D"/>
    <w:rPr>
      <w:rFonts w:ascii="Calibri" w:hAnsi="Calibri"/>
      <w:b/>
      <w:bCs/>
      <w:lang w:val="en-GB" w:eastAsia="en-US"/>
    </w:rPr>
  </w:style>
  <w:style w:type="character" w:styleId="Mention">
    <w:name w:val="Mention"/>
    <w:basedOn w:val="DefaultParagraphFont"/>
    <w:uiPriority w:val="99"/>
    <w:unhideWhenUsed/>
    <w:rsid w:val="00D822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240604-TD-0011/en" TargetMode="External"/><Relationship Id="rId18" Type="http://schemas.openxmlformats.org/officeDocument/2006/relationships/hyperlink" Target="https://www.itu.int/md/S24-CL-C-0088/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24-CL-240604-TD-0013/en" TargetMode="External"/><Relationship Id="rId7" Type="http://schemas.openxmlformats.org/officeDocument/2006/relationships/settings" Target="settings.xml"/><Relationship Id="rId12" Type="http://schemas.openxmlformats.org/officeDocument/2006/relationships/hyperlink" Target="https://www.itu.int/md/S24-CL-C-0088/en" TargetMode="External"/><Relationship Id="rId17" Type="http://schemas.openxmlformats.org/officeDocument/2006/relationships/hyperlink" Target="https://www.itu.int/md/S24-CL-C-0072/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4-CL-C-0021/en" TargetMode="External"/><Relationship Id="rId20" Type="http://schemas.openxmlformats.org/officeDocument/2006/relationships/hyperlink" Target="https://www.itu.int/md/S24-CL-C-000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72/en" TargetMode="External"/><Relationship Id="rId24" Type="http://schemas.openxmlformats.org/officeDocument/2006/relationships/hyperlink" Target="http://council.itu.int/2024/wp-content/uploads/sites/4/2024/08/C24-Statement-Chair-Council_closing-e.docx" TargetMode="External"/><Relationship Id="rId5" Type="http://schemas.openxmlformats.org/officeDocument/2006/relationships/numbering" Target="numbering.xml"/><Relationship Id="rId15" Type="http://schemas.openxmlformats.org/officeDocument/2006/relationships/hyperlink" Target="https://www.itu.int/md/S24-CL-240604-TD-0013/en" TargetMode="External"/><Relationship Id="rId23" Type="http://schemas.openxmlformats.org/officeDocument/2006/relationships/hyperlink" Target="http://council.itu.int/2024/wp-content/uploads/sites/4/2024/07/C24-ITU-SG-closing-speech.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4-CL-240604-TD-001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02/en" TargetMode="External"/><Relationship Id="rId22" Type="http://schemas.openxmlformats.org/officeDocument/2006/relationships/hyperlink" Target="https://www.itu.int/md/S24-CL-C-0021/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234F0C96-A37C-4F44-BF33-21127A1643FB}">
  <ds:schemaRefs>
    <ds:schemaRef ds:uri="http://schemas.microsoft.com/sharepoint/v3/contenttype/forms"/>
  </ds:schemaRefs>
</ds:datastoreItem>
</file>

<file path=customXml/itemProps3.xml><?xml version="1.0" encoding="utf-8"?>
<ds:datastoreItem xmlns:ds="http://schemas.openxmlformats.org/officeDocument/2006/customXml" ds:itemID="{0117C09E-7F0E-4902-8DBD-FCD22B13F606}">
  <ds:schemaRefs>
    <ds:schemaRef ds:uri="http://purl.org/dc/terms/"/>
    <ds:schemaRef ds:uri="http://purl.org/dc/dcmitype/"/>
    <ds:schemaRef ds:uri="http://www.w3.org/XML/1998/namespace"/>
    <ds:schemaRef ds:uri="085b46e1-7f22-4e81-9ba5-912dc5a5fd9a"/>
    <ds:schemaRef ds:uri="98b04e1e-0540-4930-9623-702d547a0a3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D75A107-67CE-44E2-A209-5AF4FA70A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Summary record of the twelfth and last Plenary meeting</vt:lpstr>
    </vt:vector>
  </TitlesOfParts>
  <Manager/>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twelfth and last Plenary meeting</dc:title>
  <dc:subject>ITU Council 2024</dc:subject>
  <cp:keywords>C2024, C24, Council-24</cp:keywords>
  <dc:description/>
  <cp:revision>3</cp:revision>
  <dcterms:created xsi:type="dcterms:W3CDTF">2024-08-28T16:38:00Z</dcterms:created>
  <dcterms:modified xsi:type="dcterms:W3CDTF">2024-08-28T16:38:00Z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