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7F6E24" w14:paraId="16C8DD02" w14:textId="77777777" w:rsidTr="00C538FC">
        <w:trPr>
          <w:cantSplit/>
          <w:trHeight w:val="23"/>
        </w:trPr>
        <w:tc>
          <w:tcPr>
            <w:tcW w:w="3969" w:type="dxa"/>
            <w:vMerge w:val="restart"/>
            <w:tcMar>
              <w:left w:w="0" w:type="dxa"/>
            </w:tcMar>
          </w:tcPr>
          <w:p w14:paraId="380780FF" w14:textId="08B233AD" w:rsidR="00FE57F6" w:rsidRPr="007F6E24" w:rsidRDefault="00FE57F6" w:rsidP="00A17117">
            <w:pPr>
              <w:tabs>
                <w:tab w:val="left" w:pos="851"/>
              </w:tabs>
              <w:spacing w:before="0" w:line="240" w:lineRule="atLeast"/>
              <w:jc w:val="both"/>
              <w:rPr>
                <w:b/>
              </w:rPr>
            </w:pPr>
            <w:bookmarkStart w:id="0" w:name="_Hlk133421839"/>
          </w:p>
        </w:tc>
        <w:tc>
          <w:tcPr>
            <w:tcW w:w="5245" w:type="dxa"/>
          </w:tcPr>
          <w:p w14:paraId="12EC8577" w14:textId="71B1C32B" w:rsidR="00FE57F6" w:rsidRPr="007F6E24" w:rsidRDefault="00FE57F6" w:rsidP="00F53B8D">
            <w:pPr>
              <w:tabs>
                <w:tab w:val="left" w:pos="851"/>
              </w:tabs>
              <w:spacing w:before="0" w:line="240" w:lineRule="atLeast"/>
              <w:jc w:val="right"/>
              <w:rPr>
                <w:b/>
              </w:rPr>
            </w:pPr>
            <w:r w:rsidRPr="007F6E24">
              <w:rPr>
                <w:b/>
              </w:rPr>
              <w:t>Document</w:t>
            </w:r>
            <w:r w:rsidR="00F24B71" w:rsidRPr="007F6E24">
              <w:rPr>
                <w:b/>
              </w:rPr>
              <w:t>o</w:t>
            </w:r>
            <w:r w:rsidRPr="007F6E24">
              <w:rPr>
                <w:b/>
              </w:rPr>
              <w:t xml:space="preserve"> </w:t>
            </w:r>
            <w:proofErr w:type="spellStart"/>
            <w:r w:rsidRPr="007F6E24">
              <w:rPr>
                <w:b/>
              </w:rPr>
              <w:t>C2</w:t>
            </w:r>
            <w:r w:rsidR="0064481D" w:rsidRPr="007F6E24">
              <w:rPr>
                <w:b/>
              </w:rPr>
              <w:t>4</w:t>
            </w:r>
            <w:proofErr w:type="spellEnd"/>
            <w:r w:rsidRPr="007F6E24">
              <w:rPr>
                <w:b/>
              </w:rPr>
              <w:t>/</w:t>
            </w:r>
            <w:r w:rsidR="00907ADD" w:rsidRPr="007F6E24">
              <w:rPr>
                <w:b/>
              </w:rPr>
              <w:t>122</w:t>
            </w:r>
            <w:r w:rsidRPr="007F6E24">
              <w:rPr>
                <w:b/>
              </w:rPr>
              <w:t>-</w:t>
            </w:r>
            <w:r w:rsidR="00F24B71" w:rsidRPr="007F6E24">
              <w:rPr>
                <w:b/>
              </w:rPr>
              <w:t>S</w:t>
            </w:r>
          </w:p>
        </w:tc>
      </w:tr>
      <w:tr w:rsidR="00FE57F6" w:rsidRPr="007F6E24" w14:paraId="2F7BAD0F" w14:textId="77777777" w:rsidTr="00C538FC">
        <w:trPr>
          <w:cantSplit/>
        </w:trPr>
        <w:tc>
          <w:tcPr>
            <w:tcW w:w="3969" w:type="dxa"/>
            <w:vMerge/>
          </w:tcPr>
          <w:p w14:paraId="32D340BD" w14:textId="77777777" w:rsidR="00FE57F6" w:rsidRPr="007F6E24" w:rsidRDefault="00FE57F6" w:rsidP="00A17117">
            <w:pPr>
              <w:tabs>
                <w:tab w:val="left" w:pos="851"/>
              </w:tabs>
              <w:spacing w:line="240" w:lineRule="atLeast"/>
              <w:jc w:val="both"/>
              <w:rPr>
                <w:b/>
              </w:rPr>
            </w:pPr>
          </w:p>
        </w:tc>
        <w:tc>
          <w:tcPr>
            <w:tcW w:w="5245" w:type="dxa"/>
          </w:tcPr>
          <w:p w14:paraId="6D67502D" w14:textId="7E7F23F1" w:rsidR="00FE57F6" w:rsidRPr="007F6E24" w:rsidRDefault="00D16036" w:rsidP="00F53B8D">
            <w:pPr>
              <w:tabs>
                <w:tab w:val="left" w:pos="851"/>
              </w:tabs>
              <w:spacing w:before="0"/>
              <w:jc w:val="right"/>
              <w:rPr>
                <w:b/>
              </w:rPr>
            </w:pPr>
            <w:r w:rsidRPr="004440BA">
              <w:rPr>
                <w:b/>
              </w:rPr>
              <w:t>29 de agosto</w:t>
            </w:r>
            <w:r w:rsidR="00907ADD" w:rsidRPr="007F6E24">
              <w:rPr>
                <w:b/>
              </w:rPr>
              <w:t xml:space="preserve"> de</w:t>
            </w:r>
            <w:r w:rsidR="00FE57F6" w:rsidRPr="007F6E24">
              <w:rPr>
                <w:b/>
              </w:rPr>
              <w:t xml:space="preserve"> 202</w:t>
            </w:r>
            <w:r w:rsidR="0064481D" w:rsidRPr="007F6E24">
              <w:rPr>
                <w:b/>
              </w:rPr>
              <w:t>4</w:t>
            </w:r>
          </w:p>
        </w:tc>
      </w:tr>
      <w:tr w:rsidR="00FE57F6" w:rsidRPr="007F6E24" w14:paraId="14ED61B8" w14:textId="77777777" w:rsidTr="00C538FC">
        <w:trPr>
          <w:cantSplit/>
          <w:trHeight w:val="23"/>
        </w:trPr>
        <w:tc>
          <w:tcPr>
            <w:tcW w:w="3969" w:type="dxa"/>
            <w:vMerge/>
          </w:tcPr>
          <w:p w14:paraId="36AAE2B4" w14:textId="77777777" w:rsidR="00FE57F6" w:rsidRPr="007F6E24" w:rsidRDefault="00FE57F6" w:rsidP="00A17117">
            <w:pPr>
              <w:tabs>
                <w:tab w:val="left" w:pos="851"/>
              </w:tabs>
              <w:spacing w:line="240" w:lineRule="atLeast"/>
              <w:jc w:val="both"/>
              <w:rPr>
                <w:b/>
              </w:rPr>
            </w:pPr>
          </w:p>
        </w:tc>
        <w:tc>
          <w:tcPr>
            <w:tcW w:w="5245" w:type="dxa"/>
          </w:tcPr>
          <w:p w14:paraId="54C7ED74" w14:textId="77777777" w:rsidR="00FE57F6" w:rsidRPr="007F6E24" w:rsidRDefault="00F24B71" w:rsidP="00F53B8D">
            <w:pPr>
              <w:tabs>
                <w:tab w:val="left" w:pos="851"/>
              </w:tabs>
              <w:spacing w:before="0" w:line="240" w:lineRule="atLeast"/>
              <w:jc w:val="right"/>
              <w:rPr>
                <w:b/>
                <w:bCs/>
              </w:rPr>
            </w:pPr>
            <w:r w:rsidRPr="007F6E24">
              <w:rPr>
                <w:rFonts w:cstheme="minorHAnsi"/>
                <w:b/>
                <w:bCs/>
              </w:rPr>
              <w:t>Original: inglés</w:t>
            </w:r>
          </w:p>
        </w:tc>
      </w:tr>
      <w:tr w:rsidR="00FE57F6" w:rsidRPr="007F6E24" w14:paraId="28C23F0D" w14:textId="77777777" w:rsidTr="00C538FC">
        <w:trPr>
          <w:cantSplit/>
          <w:trHeight w:val="23"/>
        </w:trPr>
        <w:tc>
          <w:tcPr>
            <w:tcW w:w="3969" w:type="dxa"/>
          </w:tcPr>
          <w:p w14:paraId="71CA9CDE" w14:textId="77777777" w:rsidR="00FE57F6" w:rsidRPr="007F6E24" w:rsidRDefault="00FE57F6" w:rsidP="00A17117">
            <w:pPr>
              <w:tabs>
                <w:tab w:val="left" w:pos="851"/>
              </w:tabs>
              <w:spacing w:line="240" w:lineRule="atLeast"/>
              <w:jc w:val="both"/>
              <w:rPr>
                <w:b/>
              </w:rPr>
            </w:pPr>
          </w:p>
        </w:tc>
        <w:tc>
          <w:tcPr>
            <w:tcW w:w="5245" w:type="dxa"/>
          </w:tcPr>
          <w:p w14:paraId="04F0E65D" w14:textId="77777777" w:rsidR="00FE57F6" w:rsidRPr="007F6E24" w:rsidRDefault="00FE57F6" w:rsidP="00A17117">
            <w:pPr>
              <w:tabs>
                <w:tab w:val="left" w:pos="851"/>
              </w:tabs>
              <w:spacing w:before="0" w:line="240" w:lineRule="atLeast"/>
              <w:jc w:val="both"/>
              <w:rPr>
                <w:b/>
              </w:rPr>
            </w:pPr>
          </w:p>
        </w:tc>
      </w:tr>
      <w:tr w:rsidR="00FE57F6" w:rsidRPr="007F6E24" w14:paraId="0744CD5D" w14:textId="77777777" w:rsidTr="00C538FC">
        <w:trPr>
          <w:cantSplit/>
        </w:trPr>
        <w:tc>
          <w:tcPr>
            <w:tcW w:w="9214" w:type="dxa"/>
            <w:gridSpan w:val="2"/>
            <w:tcMar>
              <w:left w:w="0" w:type="dxa"/>
            </w:tcMar>
          </w:tcPr>
          <w:p w14:paraId="55BC25B1" w14:textId="77777777" w:rsidR="00907ADD" w:rsidRPr="00230A3A" w:rsidRDefault="00907ADD" w:rsidP="00F53B8D">
            <w:pPr>
              <w:jc w:val="center"/>
              <w:rPr>
                <w:b/>
                <w:bCs/>
                <w:sz w:val="34"/>
                <w:szCs w:val="34"/>
              </w:rPr>
            </w:pPr>
            <w:r w:rsidRPr="00230A3A">
              <w:rPr>
                <w:b/>
                <w:bCs/>
                <w:sz w:val="34"/>
                <w:szCs w:val="34"/>
              </w:rPr>
              <w:t>RESUMEN DE LOS DEBATES</w:t>
            </w:r>
          </w:p>
          <w:p w14:paraId="3FB6D2B0" w14:textId="77777777" w:rsidR="00907ADD" w:rsidRPr="00230A3A" w:rsidRDefault="00907ADD" w:rsidP="00F53B8D">
            <w:pPr>
              <w:jc w:val="center"/>
              <w:rPr>
                <w:b/>
                <w:bCs/>
                <w:sz w:val="34"/>
                <w:szCs w:val="34"/>
              </w:rPr>
            </w:pPr>
            <w:r w:rsidRPr="00230A3A">
              <w:rPr>
                <w:b/>
                <w:bCs/>
                <w:sz w:val="34"/>
                <w:szCs w:val="34"/>
              </w:rPr>
              <w:t>DE LA</w:t>
            </w:r>
          </w:p>
          <w:p w14:paraId="3EF99137" w14:textId="3274A3A6" w:rsidR="00FE57F6" w:rsidRPr="007F6E24" w:rsidRDefault="00907ADD" w:rsidP="00F53B8D">
            <w:pPr>
              <w:jc w:val="center"/>
              <w:rPr>
                <w:szCs w:val="34"/>
              </w:rPr>
            </w:pPr>
            <w:r w:rsidRPr="00230A3A">
              <w:rPr>
                <w:b/>
                <w:bCs/>
                <w:sz w:val="34"/>
                <w:szCs w:val="34"/>
              </w:rPr>
              <w:t>DUODÉCIMA Y ÚLTIMA SESIÓN PLENARIA</w:t>
            </w:r>
          </w:p>
        </w:tc>
      </w:tr>
      <w:tr w:rsidR="00FE57F6" w:rsidRPr="007F6E24" w14:paraId="5E2B474A" w14:textId="77777777" w:rsidTr="00C538FC">
        <w:trPr>
          <w:cantSplit/>
        </w:trPr>
        <w:tc>
          <w:tcPr>
            <w:tcW w:w="9214" w:type="dxa"/>
            <w:gridSpan w:val="2"/>
            <w:tcMar>
              <w:left w:w="0" w:type="dxa"/>
            </w:tcMar>
          </w:tcPr>
          <w:p w14:paraId="6793C4F7" w14:textId="60800BD3" w:rsidR="00907ADD" w:rsidRPr="007F6E24" w:rsidRDefault="00907ADD" w:rsidP="00F53B8D">
            <w:pPr>
              <w:tabs>
                <w:tab w:val="clear" w:pos="567"/>
                <w:tab w:val="clear" w:pos="1134"/>
                <w:tab w:val="clear" w:pos="1701"/>
                <w:tab w:val="clear" w:pos="2268"/>
                <w:tab w:val="clear" w:pos="2835"/>
              </w:tabs>
              <w:overflowPunct/>
              <w:autoSpaceDE/>
              <w:autoSpaceDN/>
              <w:adjustRightInd/>
              <w:spacing w:after="240"/>
              <w:jc w:val="center"/>
              <w:textAlignment w:val="auto"/>
            </w:pPr>
            <w:r w:rsidRPr="007F6E24">
              <w:t>Viernes 14 de junio de 2024, de 14.30 a 16.00 horas</w:t>
            </w:r>
          </w:p>
          <w:p w14:paraId="75872F37" w14:textId="7C230C17" w:rsidR="00FE57F6" w:rsidRPr="007F6E24" w:rsidRDefault="00907ADD" w:rsidP="00F53B8D">
            <w:pPr>
              <w:tabs>
                <w:tab w:val="clear" w:pos="567"/>
                <w:tab w:val="clear" w:pos="1134"/>
                <w:tab w:val="clear" w:pos="1701"/>
                <w:tab w:val="clear" w:pos="2268"/>
                <w:tab w:val="clear" w:pos="2835"/>
              </w:tabs>
              <w:overflowPunct/>
              <w:autoSpaceDE/>
              <w:autoSpaceDN/>
              <w:adjustRightInd/>
              <w:spacing w:after="240"/>
              <w:jc w:val="center"/>
              <w:textAlignment w:val="auto"/>
            </w:pPr>
            <w:r w:rsidRPr="00230A3A">
              <w:rPr>
                <w:b/>
                <w:bCs/>
              </w:rPr>
              <w:t>Presidente</w:t>
            </w:r>
            <w:r w:rsidRPr="007F6E24">
              <w:t xml:space="preserve">: Sr. F. </w:t>
            </w:r>
            <w:proofErr w:type="spellStart"/>
            <w:r w:rsidRPr="007F6E24">
              <w:t>SAUVAGE</w:t>
            </w:r>
            <w:proofErr w:type="spellEnd"/>
            <w:r w:rsidRPr="007F6E24">
              <w:t xml:space="preserve"> (Francia)</w:t>
            </w:r>
          </w:p>
        </w:tc>
      </w:tr>
      <w:tr w:rsidR="00FE57F6" w:rsidRPr="007F6E24" w14:paraId="4DC483B4" w14:textId="77777777" w:rsidTr="00C538FC">
        <w:trPr>
          <w:cantSplit/>
        </w:trPr>
        <w:tc>
          <w:tcPr>
            <w:tcW w:w="9214" w:type="dxa"/>
            <w:gridSpan w:val="2"/>
            <w:tcBorders>
              <w:top w:val="single" w:sz="4" w:space="0" w:color="auto"/>
              <w:bottom w:val="single" w:sz="4" w:space="0" w:color="auto"/>
            </w:tcBorders>
            <w:tcMar>
              <w:left w:w="0" w:type="dxa"/>
            </w:tcMar>
          </w:tcPr>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907ADD" w:rsidRPr="007F6E24" w14:paraId="33792FAF" w14:textId="77777777" w:rsidTr="006F7E4E">
              <w:tc>
                <w:tcPr>
                  <w:tcW w:w="242" w:type="pct"/>
                </w:tcPr>
                <w:p w14:paraId="6B169FC0" w14:textId="77777777" w:rsidR="00907ADD" w:rsidRPr="00230A3A" w:rsidRDefault="00907ADD" w:rsidP="00A17117">
                  <w:pPr>
                    <w:spacing w:before="480"/>
                    <w:jc w:val="both"/>
                    <w:rPr>
                      <w:b/>
                      <w:bCs/>
                    </w:rPr>
                  </w:pPr>
                  <w:bookmarkStart w:id="1" w:name="_Hlk141438382"/>
                  <w:r w:rsidRPr="00230A3A">
                    <w:rPr>
                      <w:b/>
                      <w:bCs/>
                    </w:rPr>
                    <w:br w:type="page"/>
                  </w:r>
                  <w:r w:rsidRPr="00230A3A">
                    <w:rPr>
                      <w:b/>
                      <w:bCs/>
                    </w:rPr>
                    <w:br w:type="page"/>
                  </w:r>
                </w:p>
              </w:tc>
              <w:tc>
                <w:tcPr>
                  <w:tcW w:w="3580" w:type="pct"/>
                  <w:hideMark/>
                </w:tcPr>
                <w:p w14:paraId="5DFB6DFA" w14:textId="77777777" w:rsidR="00907ADD" w:rsidRPr="00230A3A" w:rsidRDefault="00907ADD" w:rsidP="00A17117">
                  <w:pPr>
                    <w:spacing w:before="480"/>
                    <w:jc w:val="both"/>
                    <w:rPr>
                      <w:b/>
                      <w:bCs/>
                    </w:rPr>
                  </w:pPr>
                  <w:r w:rsidRPr="00230A3A">
                    <w:rPr>
                      <w:b/>
                      <w:bCs/>
                    </w:rPr>
                    <w:t>Asuntos tratados</w:t>
                  </w:r>
                </w:p>
              </w:tc>
              <w:tc>
                <w:tcPr>
                  <w:tcW w:w="1178" w:type="pct"/>
                  <w:hideMark/>
                </w:tcPr>
                <w:p w14:paraId="11B6F8F3" w14:textId="77777777" w:rsidR="00907ADD" w:rsidRPr="00230A3A" w:rsidRDefault="00907ADD" w:rsidP="004440BA">
                  <w:pPr>
                    <w:spacing w:before="480"/>
                    <w:jc w:val="center"/>
                    <w:rPr>
                      <w:b/>
                      <w:bCs/>
                    </w:rPr>
                  </w:pPr>
                  <w:r w:rsidRPr="00230A3A">
                    <w:rPr>
                      <w:b/>
                      <w:bCs/>
                    </w:rPr>
                    <w:t>Documentos</w:t>
                  </w:r>
                </w:p>
              </w:tc>
            </w:tr>
            <w:tr w:rsidR="00907ADD" w:rsidRPr="007F6E24" w14:paraId="02A5B361" w14:textId="77777777" w:rsidTr="006F7E4E">
              <w:trPr>
                <w:trHeight w:val="20"/>
              </w:trPr>
              <w:tc>
                <w:tcPr>
                  <w:tcW w:w="242" w:type="pct"/>
                  <w:hideMark/>
                </w:tcPr>
                <w:p w14:paraId="4B272943" w14:textId="77777777" w:rsidR="00907ADD" w:rsidRPr="00230A3A" w:rsidRDefault="00907ADD" w:rsidP="00A17117">
                  <w:pPr>
                    <w:jc w:val="both"/>
                  </w:pPr>
                  <w:r w:rsidRPr="00230A3A">
                    <w:t>1</w:t>
                  </w:r>
                </w:p>
              </w:tc>
              <w:tc>
                <w:tcPr>
                  <w:tcW w:w="3580" w:type="pct"/>
                </w:tcPr>
                <w:p w14:paraId="3866BD44" w14:textId="77777777" w:rsidR="00907ADD" w:rsidRPr="00230A3A" w:rsidRDefault="00907ADD" w:rsidP="00A17117">
                  <w:pPr>
                    <w:jc w:val="both"/>
                  </w:pPr>
                  <w:bookmarkStart w:id="2" w:name="_Hlk169783802"/>
                  <w:r w:rsidRPr="00230A3A">
                    <w:t>La transformación digital ecológica: las actividades de la UIT sobre cambio climático y sostenibilidad (</w:t>
                  </w:r>
                  <w:r w:rsidRPr="00A17117">
                    <w:rPr>
                      <w:i/>
                      <w:iCs/>
                    </w:rPr>
                    <w:t>continuación</w:t>
                  </w:r>
                  <w:r w:rsidRPr="00230A3A">
                    <w:t>)</w:t>
                  </w:r>
                  <w:bookmarkEnd w:id="2"/>
                </w:p>
              </w:tc>
              <w:tc>
                <w:tcPr>
                  <w:tcW w:w="1178" w:type="pct"/>
                </w:tcPr>
                <w:p w14:paraId="5877AFF2" w14:textId="77777777" w:rsidR="00907ADD" w:rsidRPr="00230A3A" w:rsidRDefault="00000000" w:rsidP="004440BA">
                  <w:pPr>
                    <w:jc w:val="center"/>
                    <w:rPr>
                      <w:szCs w:val="24"/>
                    </w:rPr>
                  </w:pPr>
                  <w:hyperlink r:id="rId7" w:history="1">
                    <w:proofErr w:type="spellStart"/>
                    <w:r w:rsidR="00907ADD" w:rsidRPr="00230A3A">
                      <w:rPr>
                        <w:rStyle w:val="Hyperlink"/>
                        <w:szCs w:val="24"/>
                      </w:rPr>
                      <w:t>C24</w:t>
                    </w:r>
                    <w:proofErr w:type="spellEnd"/>
                    <w:r w:rsidR="00907ADD" w:rsidRPr="00230A3A">
                      <w:rPr>
                        <w:rStyle w:val="Hyperlink"/>
                        <w:szCs w:val="24"/>
                      </w:rPr>
                      <w:t>/72</w:t>
                    </w:r>
                  </w:hyperlink>
                  <w:r w:rsidR="00907ADD" w:rsidRPr="00230A3A">
                    <w:t xml:space="preserve">, </w:t>
                  </w:r>
                  <w:hyperlink r:id="rId8">
                    <w:proofErr w:type="spellStart"/>
                    <w:r w:rsidR="00907ADD" w:rsidRPr="00230A3A">
                      <w:rPr>
                        <w:rStyle w:val="Hyperlink"/>
                        <w:szCs w:val="24"/>
                      </w:rPr>
                      <w:t>C24</w:t>
                    </w:r>
                    <w:proofErr w:type="spellEnd"/>
                    <w:r w:rsidR="00907ADD" w:rsidRPr="00230A3A">
                      <w:rPr>
                        <w:rStyle w:val="Hyperlink"/>
                        <w:szCs w:val="24"/>
                      </w:rPr>
                      <w:t>/88</w:t>
                    </w:r>
                  </w:hyperlink>
                  <w:r w:rsidR="00907ADD" w:rsidRPr="00230A3A">
                    <w:t xml:space="preserve">, </w:t>
                  </w:r>
                  <w:hyperlink r:id="rId9">
                    <w:proofErr w:type="spellStart"/>
                    <w:r w:rsidR="00907ADD" w:rsidRPr="00230A3A">
                      <w:rPr>
                        <w:rStyle w:val="Hyperlink"/>
                        <w:szCs w:val="24"/>
                      </w:rPr>
                      <w:t>C24</w:t>
                    </w:r>
                    <w:proofErr w:type="spellEnd"/>
                    <w:r w:rsidR="00907ADD" w:rsidRPr="00230A3A">
                      <w:rPr>
                        <w:rStyle w:val="Hyperlink"/>
                        <w:szCs w:val="24"/>
                      </w:rPr>
                      <w:t>/</w:t>
                    </w:r>
                    <w:proofErr w:type="spellStart"/>
                    <w:r w:rsidR="00907ADD" w:rsidRPr="00230A3A">
                      <w:rPr>
                        <w:rStyle w:val="Hyperlink"/>
                        <w:szCs w:val="24"/>
                      </w:rPr>
                      <w:t>DT</w:t>
                    </w:r>
                    <w:proofErr w:type="spellEnd"/>
                    <w:r w:rsidR="00907ADD" w:rsidRPr="00230A3A">
                      <w:rPr>
                        <w:rStyle w:val="Hyperlink"/>
                        <w:szCs w:val="24"/>
                      </w:rPr>
                      <w:t>/11</w:t>
                    </w:r>
                  </w:hyperlink>
                </w:p>
              </w:tc>
            </w:tr>
            <w:tr w:rsidR="00907ADD" w:rsidRPr="007F6E24" w14:paraId="6FC72DA0" w14:textId="77777777" w:rsidTr="006F7E4E">
              <w:trPr>
                <w:trHeight w:val="20"/>
              </w:trPr>
              <w:tc>
                <w:tcPr>
                  <w:tcW w:w="242" w:type="pct"/>
                </w:tcPr>
                <w:p w14:paraId="29DF4943" w14:textId="77777777" w:rsidR="00907ADD" w:rsidRPr="00230A3A" w:rsidRDefault="00907ADD" w:rsidP="00A17117">
                  <w:pPr>
                    <w:jc w:val="both"/>
                  </w:pPr>
                  <w:r w:rsidRPr="00230A3A">
                    <w:t>2</w:t>
                  </w:r>
                </w:p>
              </w:tc>
              <w:tc>
                <w:tcPr>
                  <w:tcW w:w="3580" w:type="pct"/>
                </w:tcPr>
                <w:p w14:paraId="760A4B95" w14:textId="77777777" w:rsidR="00907ADD" w:rsidRPr="007F6E24" w:rsidRDefault="00907ADD" w:rsidP="00A17117">
                  <w:pPr>
                    <w:jc w:val="both"/>
                    <w:rPr>
                      <w:rFonts w:asciiTheme="minorHAnsi" w:hAnsiTheme="minorHAnsi" w:cstheme="minorHAnsi"/>
                      <w:color w:val="2F2F2F"/>
                      <w:szCs w:val="22"/>
                      <w:shd w:val="clear" w:color="auto" w:fill="FFFFFF"/>
                    </w:rPr>
                  </w:pPr>
                  <w:r w:rsidRPr="007F6E24">
                    <w:t>Fechas y duración propuestas para las reuniones de 2025, 2026 y 2027 de los Grupos de Trabajo del Consejo y los Grupos de Expertos (</w:t>
                  </w:r>
                  <w:r w:rsidRPr="00A17117">
                    <w:rPr>
                      <w:i/>
                      <w:iCs/>
                    </w:rPr>
                    <w:t>continuación</w:t>
                  </w:r>
                  <w:r w:rsidRPr="007F6E24">
                    <w:t>)</w:t>
                  </w:r>
                </w:p>
              </w:tc>
              <w:tc>
                <w:tcPr>
                  <w:tcW w:w="1178" w:type="pct"/>
                </w:tcPr>
                <w:p w14:paraId="04028579" w14:textId="77777777" w:rsidR="00907ADD" w:rsidRPr="00230A3A" w:rsidRDefault="00000000" w:rsidP="004440BA">
                  <w:pPr>
                    <w:jc w:val="center"/>
                    <w:rPr>
                      <w:szCs w:val="24"/>
                    </w:rPr>
                  </w:pPr>
                  <w:hyperlink r:id="rId10" w:history="1">
                    <w:proofErr w:type="spellStart"/>
                    <w:r w:rsidR="00907ADD" w:rsidRPr="00230A3A">
                      <w:rPr>
                        <w:rStyle w:val="Hyperlink"/>
                        <w:szCs w:val="24"/>
                      </w:rPr>
                      <w:t>C24</w:t>
                    </w:r>
                    <w:proofErr w:type="spellEnd"/>
                    <w:r w:rsidR="00907ADD" w:rsidRPr="00230A3A">
                      <w:rPr>
                        <w:rStyle w:val="Hyperlink"/>
                        <w:szCs w:val="24"/>
                      </w:rPr>
                      <w:t>/2</w:t>
                    </w:r>
                  </w:hyperlink>
                  <w:r w:rsidR="00907ADD" w:rsidRPr="00230A3A">
                    <w:t xml:space="preserve">, </w:t>
                  </w:r>
                  <w:hyperlink r:id="rId11" w:history="1">
                    <w:proofErr w:type="spellStart"/>
                    <w:r w:rsidR="00907ADD" w:rsidRPr="00230A3A">
                      <w:rPr>
                        <w:rStyle w:val="Hyperlink"/>
                        <w:szCs w:val="24"/>
                      </w:rPr>
                      <w:t>C24</w:t>
                    </w:r>
                    <w:proofErr w:type="spellEnd"/>
                    <w:r w:rsidR="00907ADD" w:rsidRPr="00230A3A">
                      <w:rPr>
                        <w:rStyle w:val="Hyperlink"/>
                        <w:szCs w:val="24"/>
                      </w:rPr>
                      <w:t>/</w:t>
                    </w:r>
                    <w:proofErr w:type="spellStart"/>
                    <w:r w:rsidR="00907ADD" w:rsidRPr="00230A3A">
                      <w:rPr>
                        <w:rStyle w:val="Hyperlink"/>
                        <w:szCs w:val="24"/>
                      </w:rPr>
                      <w:t>DT</w:t>
                    </w:r>
                    <w:proofErr w:type="spellEnd"/>
                    <w:r w:rsidR="00907ADD" w:rsidRPr="00230A3A">
                      <w:rPr>
                        <w:rStyle w:val="Hyperlink"/>
                        <w:szCs w:val="24"/>
                      </w:rPr>
                      <w:t>/13</w:t>
                    </w:r>
                  </w:hyperlink>
                </w:p>
              </w:tc>
            </w:tr>
            <w:tr w:rsidR="00907ADD" w:rsidRPr="007F6E24" w14:paraId="489EEF86" w14:textId="77777777" w:rsidTr="006F7E4E">
              <w:trPr>
                <w:trHeight w:val="20"/>
              </w:trPr>
              <w:tc>
                <w:tcPr>
                  <w:tcW w:w="242" w:type="pct"/>
                </w:tcPr>
                <w:p w14:paraId="472E3595" w14:textId="77777777" w:rsidR="00907ADD" w:rsidRPr="00230A3A" w:rsidRDefault="00907ADD" w:rsidP="00A17117">
                  <w:pPr>
                    <w:jc w:val="both"/>
                  </w:pPr>
                  <w:r w:rsidRPr="00230A3A">
                    <w:t>3</w:t>
                  </w:r>
                </w:p>
              </w:tc>
              <w:tc>
                <w:tcPr>
                  <w:tcW w:w="3580" w:type="pct"/>
                </w:tcPr>
                <w:p w14:paraId="52CA62AE" w14:textId="77777777" w:rsidR="00907ADD" w:rsidRPr="00230A3A" w:rsidRDefault="00907ADD" w:rsidP="00A17117">
                  <w:pPr>
                    <w:jc w:val="both"/>
                  </w:pPr>
                  <w:r w:rsidRPr="00230A3A">
                    <w:t>Lista de los Presidentes y Vicepresidentes de los Grupos de Trabajo del Consejo y los Grupos de Expertos (</w:t>
                  </w:r>
                  <w:r w:rsidRPr="00A17117">
                    <w:rPr>
                      <w:i/>
                      <w:iCs/>
                    </w:rPr>
                    <w:t>continuación</w:t>
                  </w:r>
                  <w:r w:rsidRPr="00230A3A">
                    <w:t>)</w:t>
                  </w:r>
                </w:p>
              </w:tc>
              <w:tc>
                <w:tcPr>
                  <w:tcW w:w="1178" w:type="pct"/>
                </w:tcPr>
                <w:p w14:paraId="393886FA" w14:textId="77777777" w:rsidR="00907ADD" w:rsidRPr="00230A3A" w:rsidRDefault="00000000" w:rsidP="004440BA">
                  <w:pPr>
                    <w:jc w:val="center"/>
                    <w:rPr>
                      <w:szCs w:val="24"/>
                    </w:rPr>
                  </w:pPr>
                  <w:hyperlink r:id="rId12" w:history="1">
                    <w:proofErr w:type="spellStart"/>
                    <w:r w:rsidR="00907ADD" w:rsidRPr="00230A3A">
                      <w:rPr>
                        <w:rStyle w:val="Hyperlink"/>
                        <w:szCs w:val="24"/>
                      </w:rPr>
                      <w:t>C24</w:t>
                    </w:r>
                    <w:proofErr w:type="spellEnd"/>
                    <w:r w:rsidR="00907ADD" w:rsidRPr="00230A3A">
                      <w:rPr>
                        <w:rStyle w:val="Hyperlink"/>
                        <w:szCs w:val="24"/>
                      </w:rPr>
                      <w:t>/21(</w:t>
                    </w:r>
                    <w:proofErr w:type="spellStart"/>
                    <w:r w:rsidR="00907ADD" w:rsidRPr="00230A3A">
                      <w:rPr>
                        <w:rStyle w:val="Hyperlink"/>
                        <w:szCs w:val="24"/>
                      </w:rPr>
                      <w:t>Rev.5</w:t>
                    </w:r>
                    <w:proofErr w:type="spellEnd"/>
                    <w:r w:rsidR="00907ADD" w:rsidRPr="00230A3A">
                      <w:rPr>
                        <w:rStyle w:val="Hyperlink"/>
                        <w:szCs w:val="24"/>
                      </w:rPr>
                      <w:t>)</w:t>
                    </w:r>
                  </w:hyperlink>
                </w:p>
              </w:tc>
            </w:tr>
            <w:tr w:rsidR="00907ADD" w:rsidRPr="007F6E24" w14:paraId="294E4523" w14:textId="77777777" w:rsidTr="006F7E4E">
              <w:trPr>
                <w:trHeight w:val="20"/>
              </w:trPr>
              <w:tc>
                <w:tcPr>
                  <w:tcW w:w="242" w:type="pct"/>
                </w:tcPr>
                <w:p w14:paraId="1457C531" w14:textId="77777777" w:rsidR="00907ADD" w:rsidRPr="00230A3A" w:rsidRDefault="00907ADD" w:rsidP="00A17117">
                  <w:pPr>
                    <w:spacing w:after="120"/>
                    <w:jc w:val="both"/>
                  </w:pPr>
                  <w:r w:rsidRPr="00230A3A">
                    <w:t>4</w:t>
                  </w:r>
                </w:p>
              </w:tc>
              <w:tc>
                <w:tcPr>
                  <w:tcW w:w="3580" w:type="pct"/>
                </w:tcPr>
                <w:p w14:paraId="0634B6A8" w14:textId="77777777" w:rsidR="00907ADD" w:rsidRPr="00230A3A" w:rsidRDefault="00907ADD" w:rsidP="00A17117">
                  <w:pPr>
                    <w:jc w:val="both"/>
                  </w:pPr>
                  <w:r w:rsidRPr="00230A3A">
                    <w:t>Clausura de la reunión del Consejo</w:t>
                  </w:r>
                </w:p>
              </w:tc>
              <w:tc>
                <w:tcPr>
                  <w:tcW w:w="1178" w:type="pct"/>
                </w:tcPr>
                <w:p w14:paraId="2F4FF3F2" w14:textId="2667EDEA" w:rsidR="00907ADD" w:rsidRPr="00230A3A" w:rsidRDefault="00907ADD" w:rsidP="00A17117">
                  <w:pPr>
                    <w:jc w:val="both"/>
                  </w:pPr>
                  <w:r w:rsidRPr="00230A3A">
                    <w:t>–</w:t>
                  </w:r>
                </w:p>
              </w:tc>
            </w:tr>
            <w:bookmarkEnd w:id="1"/>
          </w:tbl>
          <w:p w14:paraId="58339413" w14:textId="77777777" w:rsidR="00FE57F6" w:rsidRPr="007F6E24" w:rsidRDefault="00FE57F6" w:rsidP="00A17117">
            <w:pPr>
              <w:spacing w:after="160"/>
              <w:jc w:val="both"/>
            </w:pPr>
          </w:p>
        </w:tc>
      </w:tr>
      <w:bookmarkEnd w:id="0"/>
    </w:tbl>
    <w:p w14:paraId="44179D23" w14:textId="77777777" w:rsidR="001559F5" w:rsidRPr="007F6E24" w:rsidRDefault="001559F5" w:rsidP="00A17117">
      <w:pPr>
        <w:jc w:val="both"/>
      </w:pPr>
      <w:r w:rsidRPr="007F6E24">
        <w:br w:type="page"/>
      </w:r>
    </w:p>
    <w:p w14:paraId="1EE86EED" w14:textId="00E66E10" w:rsidR="00907ADD" w:rsidRPr="007F6E24" w:rsidRDefault="00907ADD" w:rsidP="00A17117">
      <w:pPr>
        <w:pStyle w:val="Heading1"/>
        <w:jc w:val="both"/>
        <w:rPr>
          <w:rFonts w:eastAsia="Calibri"/>
          <w:bCs/>
          <w:kern w:val="2"/>
          <w:szCs w:val="28"/>
          <w14:ligatures w14:val="standardContextual"/>
        </w:rPr>
      </w:pPr>
      <w:r w:rsidRPr="007F6E24">
        <w:lastRenderedPageBreak/>
        <w:t>1</w:t>
      </w:r>
      <w:r w:rsidRPr="007F6E24">
        <w:tab/>
        <w:t>La transformación digital ecológica: las actividades de la UIT sobre cambio climático y sostenibilidad (</w:t>
      </w:r>
      <w:r w:rsidRPr="00A17117">
        <w:rPr>
          <w:i/>
          <w:iCs/>
        </w:rPr>
        <w:t>continuación</w:t>
      </w:r>
      <w:r w:rsidRPr="007F6E24">
        <w:t>)</w:t>
      </w:r>
      <w:r w:rsidR="00366A4D">
        <w:br/>
      </w:r>
      <w:r w:rsidRPr="007F6E24">
        <w:t>(Documentos </w:t>
      </w:r>
      <w:proofErr w:type="spellStart"/>
      <w:r w:rsidR="00000000">
        <w:fldChar w:fldCharType="begin"/>
      </w:r>
      <w:r w:rsidR="00000000">
        <w:instrText>HYPERLINK "https://www.itu.int/md/S24-CL-C-0072/es"</w:instrText>
      </w:r>
      <w:r w:rsidR="00000000">
        <w:fldChar w:fldCharType="separate"/>
      </w:r>
      <w:r w:rsidRPr="007F6E24">
        <w:rPr>
          <w:rStyle w:val="Hyperlink"/>
        </w:rPr>
        <w:t>C24</w:t>
      </w:r>
      <w:proofErr w:type="spellEnd"/>
      <w:r w:rsidRPr="007F6E24">
        <w:rPr>
          <w:rStyle w:val="Hyperlink"/>
        </w:rPr>
        <w:t>/72</w:t>
      </w:r>
      <w:r w:rsidR="00000000">
        <w:rPr>
          <w:rStyle w:val="Hyperlink"/>
        </w:rPr>
        <w:fldChar w:fldCharType="end"/>
      </w:r>
      <w:r w:rsidRPr="007F6E24">
        <w:t xml:space="preserve">, </w:t>
      </w:r>
      <w:hyperlink r:id="rId13" w:history="1">
        <w:proofErr w:type="spellStart"/>
        <w:r w:rsidRPr="007F6E24">
          <w:rPr>
            <w:rStyle w:val="Hyperlink"/>
          </w:rPr>
          <w:t>C24</w:t>
        </w:r>
        <w:proofErr w:type="spellEnd"/>
        <w:r w:rsidRPr="007F6E24">
          <w:rPr>
            <w:rStyle w:val="Hyperlink"/>
          </w:rPr>
          <w:t>/88</w:t>
        </w:r>
      </w:hyperlink>
      <w:r w:rsidRPr="007F6E24">
        <w:t xml:space="preserve"> y </w:t>
      </w:r>
      <w:hyperlink r:id="rId14" w:history="1">
        <w:proofErr w:type="spellStart"/>
        <w:r w:rsidRPr="007F6E24">
          <w:rPr>
            <w:rStyle w:val="Hyperlink"/>
          </w:rPr>
          <w:t>C24</w:t>
        </w:r>
        <w:proofErr w:type="spellEnd"/>
        <w:r w:rsidRPr="007F6E24">
          <w:rPr>
            <w:rStyle w:val="Hyperlink"/>
          </w:rPr>
          <w:t>/</w:t>
        </w:r>
        <w:proofErr w:type="spellStart"/>
        <w:r w:rsidRPr="007F6E24">
          <w:rPr>
            <w:rStyle w:val="Hyperlink"/>
          </w:rPr>
          <w:t>DT</w:t>
        </w:r>
        <w:proofErr w:type="spellEnd"/>
        <w:r w:rsidRPr="007F6E24">
          <w:rPr>
            <w:rStyle w:val="Hyperlink"/>
          </w:rPr>
          <w:t>/11</w:t>
        </w:r>
      </w:hyperlink>
      <w:r w:rsidRPr="007F6E24">
        <w:t>)</w:t>
      </w:r>
    </w:p>
    <w:p w14:paraId="55F44134" w14:textId="3F6AF81A" w:rsidR="00907ADD" w:rsidRPr="007F6E24" w:rsidRDefault="00907ADD" w:rsidP="00A17117">
      <w:pPr>
        <w:jc w:val="both"/>
        <w:rPr>
          <w:rFonts w:eastAsia="Calibri"/>
          <w:kern w:val="2"/>
          <w:szCs w:val="24"/>
          <w14:ligatures w14:val="standardContextual"/>
        </w:rPr>
      </w:pPr>
      <w:r w:rsidRPr="007F6E24">
        <w:t>1.1</w:t>
      </w:r>
      <w:r w:rsidRPr="007F6E24">
        <w:tab/>
        <w:t xml:space="preserve">El consejero de Francia señala que en el Documento </w:t>
      </w:r>
      <w:proofErr w:type="spellStart"/>
      <w:r w:rsidRPr="007F6E24">
        <w:t>C24</w:t>
      </w:r>
      <w:proofErr w:type="spellEnd"/>
      <w:r w:rsidRPr="007F6E24">
        <w:t>/</w:t>
      </w:r>
      <w:proofErr w:type="spellStart"/>
      <w:r w:rsidRPr="007F6E24">
        <w:t>DT</w:t>
      </w:r>
      <w:proofErr w:type="spellEnd"/>
      <w:r w:rsidRPr="007F6E24">
        <w:t xml:space="preserve">/11 figura un proyecto de resolución sobre la función de la UIT para facilitar la contribución de las TIC a la acción por el clima y la sostenibilidad, sobre la cual se ha alcanzado un consenso tras las consultas oficiosas iniciadas en la tercera sesión plenaria. El texto refleja las diferentes visiones compartidas durante las consultas, entre otras cosas en relación con un enfoque equilibrado de la contribución de las TIC </w:t>
      </w:r>
      <w:r w:rsidR="00A905F1" w:rsidRPr="00A905F1">
        <w:rPr>
          <w:lang w:val="es-ES"/>
        </w:rPr>
        <w:t>−</w:t>
      </w:r>
      <w:r w:rsidRPr="007F6E24">
        <w:t>en aspectos positivos y negativos</w:t>
      </w:r>
      <w:r w:rsidR="00A905F1" w:rsidRPr="00A905F1">
        <w:rPr>
          <w:lang w:val="es-ES"/>
        </w:rPr>
        <w:t>−</w:t>
      </w:r>
      <w:r w:rsidRPr="007F6E24">
        <w:t xml:space="preserve"> para hacer frente a los retos medioambientales; la importancia de compartir estudios y buenas prácticas; la necesidad de adoptar una visión más amplia de la sostenibilidad, que incluya las dimensiones social y económica; y la atención a las necesidades específicas de los países en desarrollo. El proyecto de resolución se suma de manera coherente a otros textos de la UIT, como la Resolución</w:t>
      </w:r>
      <w:r w:rsidR="00A905F1">
        <w:t> </w:t>
      </w:r>
      <w:r w:rsidRPr="007F6E24">
        <w:t>182 (Rev. Bucarest, 2022) de la Conferencia de Plenipotenciarios y la Resolución</w:t>
      </w:r>
      <w:r w:rsidR="00A905F1">
        <w:t> </w:t>
      </w:r>
      <w:r w:rsidRPr="007F6E24">
        <w:t xml:space="preserve">73 (Rev. Ginebra, 2022) de la Asamblea Mundial de Normalización de las Telecomunicaciones, lo que posiciona a la UIT como un actor clave en las iniciativas </w:t>
      </w:r>
      <w:proofErr w:type="spellStart"/>
      <w:r w:rsidRPr="007F6E24">
        <w:t>multipartitas</w:t>
      </w:r>
      <w:proofErr w:type="spellEnd"/>
      <w:r w:rsidRPr="007F6E24">
        <w:t xml:space="preserve"> para abordar las cuestiones del cambio climático y la sostenibilidad medioambiental.</w:t>
      </w:r>
    </w:p>
    <w:p w14:paraId="16765032" w14:textId="53EBFAD2" w:rsidR="00907ADD" w:rsidRPr="007F6E24" w:rsidRDefault="00907ADD" w:rsidP="00A17117">
      <w:pPr>
        <w:jc w:val="both"/>
        <w:rPr>
          <w:rFonts w:eastAsia="Calibri"/>
          <w:kern w:val="2"/>
          <w:szCs w:val="24"/>
          <w14:ligatures w14:val="standardContextual"/>
        </w:rPr>
      </w:pPr>
      <w:r w:rsidRPr="007F6E24">
        <w:t>1.2</w:t>
      </w:r>
      <w:r w:rsidRPr="007F6E24">
        <w:tab/>
        <w:t>Los consejeros manifiestan su apoyo al proyecto de resolución y acogen favorablemente, en particular, el equilibrio reflejado entre el impacto medioambiental de las</w:t>
      </w:r>
      <w:r w:rsidR="00A905F1">
        <w:t> </w:t>
      </w:r>
      <w:r w:rsidRPr="007F6E24">
        <w:t xml:space="preserve">TIC, por una parte, y su potencial para ayudar a otros sectores, por otra; la referencia a las mejores prácticas; y la atención prestada a la capacitación de los países en desarrollo. Sobre este último punto, dos consejeras de la </w:t>
      </w:r>
      <w:r w:rsidR="00631969" w:rsidRPr="007F6E24">
        <w:t xml:space="preserve">Región </w:t>
      </w:r>
      <w:r w:rsidRPr="007F6E24">
        <w:t>de África expresan su interés en que la resolución vaya aún más lejos al tratar de abordar los retos singulares a que se enfrentan los países africanos y otras regiones en desarrollo, que son los lugares más expuestos a la crisis climática, dando también prioridad a soluciones de adaptación al cambio climático adaptadas a las regiones vulnerables, a la capacitación y al intercambio de conocimientos sobre la gestión de residuos, a mecanismos de financiación específicos y a asociaciones inclusivas.</w:t>
      </w:r>
    </w:p>
    <w:p w14:paraId="53EF3BA5" w14:textId="77777777" w:rsidR="00907ADD" w:rsidRPr="007F6E24" w:rsidRDefault="00907ADD" w:rsidP="00A17117">
      <w:pPr>
        <w:jc w:val="both"/>
        <w:rPr>
          <w:rFonts w:eastAsia="Calibri"/>
          <w:kern w:val="2"/>
          <w:szCs w:val="24"/>
          <w14:ligatures w14:val="standardContextual"/>
        </w:rPr>
      </w:pPr>
      <w:r w:rsidRPr="007F6E24">
        <w:t>1.3</w:t>
      </w:r>
      <w:r w:rsidRPr="007F6E24">
        <w:tab/>
        <w:t xml:space="preserve">El Consejo </w:t>
      </w:r>
      <w:r w:rsidRPr="00230A3A">
        <w:rPr>
          <w:b/>
          <w:bCs/>
        </w:rPr>
        <w:t>adopta</w:t>
      </w:r>
      <w:r w:rsidRPr="00230A3A">
        <w:t xml:space="preserve"> </w:t>
      </w:r>
      <w:r w:rsidRPr="007F6E24">
        <w:t>la nueva resolución que figura en el Documento </w:t>
      </w:r>
      <w:proofErr w:type="spellStart"/>
      <w:r w:rsidRPr="007F6E24">
        <w:t>C24</w:t>
      </w:r>
      <w:proofErr w:type="spellEnd"/>
      <w:r w:rsidRPr="007F6E24">
        <w:t>/</w:t>
      </w:r>
      <w:proofErr w:type="spellStart"/>
      <w:r w:rsidRPr="007F6E24">
        <w:t>DT</w:t>
      </w:r>
      <w:proofErr w:type="spellEnd"/>
      <w:r w:rsidRPr="007F6E24">
        <w:t>/11.</w:t>
      </w:r>
    </w:p>
    <w:p w14:paraId="1BD00C99" w14:textId="37E2D706" w:rsidR="00907ADD" w:rsidRPr="007F6E24" w:rsidRDefault="00907ADD" w:rsidP="00A17117">
      <w:pPr>
        <w:jc w:val="both"/>
        <w:rPr>
          <w:rFonts w:eastAsia="Calibri" w:cs="Calibri"/>
          <w:kern w:val="2"/>
          <w:szCs w:val="24"/>
          <w14:ligatures w14:val="standardContextual"/>
        </w:rPr>
      </w:pPr>
      <w:r w:rsidRPr="007F6E24">
        <w:t>1.4</w:t>
      </w:r>
      <w:r w:rsidRPr="007F6E24">
        <w:tab/>
        <w:t xml:space="preserve">El Vicesecretario General señala que ya se están realizando esfuerzos para consolidar la labor de la UIT en materia de sostenibilidad medioambiental en el marco de la iniciativa Green Digital </w:t>
      </w:r>
      <w:proofErr w:type="spellStart"/>
      <w:r w:rsidRPr="007F6E24">
        <w:t>Action</w:t>
      </w:r>
      <w:proofErr w:type="spellEnd"/>
      <w:r w:rsidRPr="007F6E24">
        <w:t xml:space="preserve">, incluidos los esfuerzos de movilización de recursos, y pide a los Estados Miembros que contribuyan a esas iniciativas. La UIT se esforzará por dotar a todas las regiones y países de la capacidad necesaria para abordar los problemas de la sostenibilidad digital. El Vicesecretario General elogia la estrecha colaboración </w:t>
      </w:r>
      <w:r w:rsidR="00D16036">
        <w:t xml:space="preserve">entre la UIT y los países anfitriones </w:t>
      </w:r>
      <w:r w:rsidRPr="007F6E24">
        <w:t>de las futuras Conferencia</w:t>
      </w:r>
      <w:r w:rsidR="00D16036">
        <w:t>s</w:t>
      </w:r>
      <w:r w:rsidRPr="007F6E24">
        <w:t xml:space="preserve"> de las Naciones Unidas sobre el Cambio Climático, Azerbaiyán y Brasil, en </w:t>
      </w:r>
      <w:r w:rsidR="00D16036">
        <w:t xml:space="preserve">cuanto a </w:t>
      </w:r>
      <w:r w:rsidRPr="007F6E24">
        <w:t>la agenda digital e invita a que haya una alta participación de responsables de las políticas digitales en las próximas conferencias.</w:t>
      </w:r>
    </w:p>
    <w:p w14:paraId="17801364" w14:textId="3A599C58" w:rsidR="00907ADD" w:rsidRPr="007F6E24" w:rsidRDefault="00907ADD" w:rsidP="00A17117">
      <w:pPr>
        <w:pStyle w:val="Heading1"/>
        <w:jc w:val="both"/>
        <w:rPr>
          <w:rFonts w:eastAsia="Calibri"/>
          <w:bCs/>
          <w:kern w:val="2"/>
          <w:szCs w:val="28"/>
          <w14:ligatures w14:val="standardContextual"/>
        </w:rPr>
      </w:pPr>
      <w:bookmarkStart w:id="3" w:name="_Hlk169780888"/>
      <w:r w:rsidRPr="007F6E24">
        <w:t>2</w:t>
      </w:r>
      <w:r w:rsidRPr="007F6E24">
        <w:tab/>
        <w:t xml:space="preserve">Fechas y </w:t>
      </w:r>
      <w:proofErr w:type="gramStart"/>
      <w:r w:rsidRPr="007F6E24">
        <w:t>duración propuestas</w:t>
      </w:r>
      <w:proofErr w:type="gramEnd"/>
      <w:r w:rsidRPr="007F6E24">
        <w:t xml:space="preserve"> para las reuniones de 2025, 2026 y 2027 de los Grupos de Trabajo del Consejo y los Grupos de Expertos (</w:t>
      </w:r>
      <w:r w:rsidRPr="004440BA">
        <w:rPr>
          <w:i/>
          <w:iCs/>
        </w:rPr>
        <w:t>continuación</w:t>
      </w:r>
      <w:r w:rsidRPr="007F6E24">
        <w:t>)</w:t>
      </w:r>
      <w:r w:rsidR="00366A4D">
        <w:br/>
      </w:r>
      <w:r w:rsidRPr="007F6E24">
        <w:t>(Documentos </w:t>
      </w:r>
      <w:proofErr w:type="spellStart"/>
      <w:r w:rsidR="00000000">
        <w:fldChar w:fldCharType="begin"/>
      </w:r>
      <w:r w:rsidR="00000000">
        <w:instrText>HYPERLINK "https://www.itu.int/md/S24-CL-C-0002/es"</w:instrText>
      </w:r>
      <w:r w:rsidR="00000000">
        <w:fldChar w:fldCharType="separate"/>
      </w:r>
      <w:r w:rsidRPr="007F6E24">
        <w:rPr>
          <w:rStyle w:val="Hyperlink"/>
        </w:rPr>
        <w:t>C24</w:t>
      </w:r>
      <w:proofErr w:type="spellEnd"/>
      <w:r w:rsidRPr="007F6E24">
        <w:rPr>
          <w:rStyle w:val="Hyperlink"/>
        </w:rPr>
        <w:t>/2</w:t>
      </w:r>
      <w:r w:rsidR="00000000">
        <w:rPr>
          <w:rStyle w:val="Hyperlink"/>
        </w:rPr>
        <w:fldChar w:fldCharType="end"/>
      </w:r>
      <w:r w:rsidRPr="007F6E24">
        <w:t xml:space="preserve"> y </w:t>
      </w:r>
      <w:hyperlink r:id="rId15" w:history="1">
        <w:proofErr w:type="spellStart"/>
        <w:r w:rsidRPr="007F6E24">
          <w:rPr>
            <w:rStyle w:val="Hyperlink"/>
          </w:rPr>
          <w:t>C24</w:t>
        </w:r>
        <w:proofErr w:type="spellEnd"/>
        <w:r w:rsidRPr="007F6E24">
          <w:rPr>
            <w:rStyle w:val="Hyperlink"/>
          </w:rPr>
          <w:t>/</w:t>
        </w:r>
        <w:proofErr w:type="spellStart"/>
        <w:r w:rsidRPr="007F6E24">
          <w:rPr>
            <w:rStyle w:val="Hyperlink"/>
          </w:rPr>
          <w:t>DT</w:t>
        </w:r>
        <w:proofErr w:type="spellEnd"/>
        <w:r w:rsidRPr="007F6E24">
          <w:rPr>
            <w:rStyle w:val="Hyperlink"/>
          </w:rPr>
          <w:t>/13</w:t>
        </w:r>
      </w:hyperlink>
      <w:r w:rsidRPr="007F6E24">
        <w:t>)</w:t>
      </w:r>
    </w:p>
    <w:p w14:paraId="27749395" w14:textId="510EBCF0" w:rsidR="00907ADD" w:rsidRPr="007F6E24" w:rsidRDefault="00907ADD" w:rsidP="00A17117">
      <w:pPr>
        <w:jc w:val="both"/>
        <w:rPr>
          <w:rFonts w:eastAsia="Calibri"/>
          <w:kern w:val="2"/>
          <w:szCs w:val="24"/>
          <w14:ligatures w14:val="standardContextual"/>
        </w:rPr>
      </w:pPr>
      <w:bookmarkStart w:id="4" w:name="_Hlk169782126"/>
      <w:r w:rsidRPr="007F6E24">
        <w:t>2.1</w:t>
      </w:r>
      <w:r w:rsidRPr="007F6E24">
        <w:tab/>
        <w:t xml:space="preserve">La Secretaria de la Plenaria indica que, en respuesta a las dos peticiones formuladas en la undécima sesión plenaria de la mañana, se ha encontrado una solución que permite adelantar dos semanas la reunión de 2025 del Consejo, que se celebrará en junio en lugar de </w:t>
      </w:r>
      <w:r w:rsidRPr="007F6E24">
        <w:lastRenderedPageBreak/>
        <w:t xml:space="preserve">julio, y adelantar una semana la primera serie de reuniones de los </w:t>
      </w:r>
      <w:proofErr w:type="spellStart"/>
      <w:r w:rsidRPr="007F6E24">
        <w:t>GTC</w:t>
      </w:r>
      <w:proofErr w:type="spellEnd"/>
      <w:r w:rsidR="003C74BB">
        <w:t xml:space="preserve"> en 2027</w:t>
      </w:r>
      <w:r w:rsidRPr="007F6E24">
        <w:t>. Estos cambios se reflejan en una versión revisada del proyecto de nuevo acuerdo, que figura en el Documento</w:t>
      </w:r>
      <w:r w:rsidR="00E90EB4" w:rsidRPr="007F6E24">
        <w:t> </w:t>
      </w:r>
      <w:proofErr w:type="spellStart"/>
      <w:r w:rsidRPr="007F6E24">
        <w:t>C24</w:t>
      </w:r>
      <w:proofErr w:type="spellEnd"/>
      <w:r w:rsidRPr="007F6E24">
        <w:t>/</w:t>
      </w:r>
      <w:proofErr w:type="spellStart"/>
      <w:r w:rsidRPr="007F6E24">
        <w:t>DT</w:t>
      </w:r>
      <w:proofErr w:type="spellEnd"/>
      <w:r w:rsidRPr="007F6E24">
        <w:t>/13.</w:t>
      </w:r>
    </w:p>
    <w:p w14:paraId="3E4E9412" w14:textId="77777777" w:rsidR="00907ADD" w:rsidRPr="007F6E24" w:rsidRDefault="00907ADD" w:rsidP="00A17117">
      <w:pPr>
        <w:jc w:val="both"/>
        <w:rPr>
          <w:rFonts w:eastAsia="Calibri"/>
          <w:kern w:val="2"/>
          <w:szCs w:val="24"/>
          <w14:ligatures w14:val="standardContextual"/>
        </w:rPr>
      </w:pPr>
      <w:r w:rsidRPr="007F6E24">
        <w:t>2.2</w:t>
      </w:r>
      <w:r w:rsidRPr="007F6E24">
        <w:tab/>
        <w:t xml:space="preserve">El Consejo </w:t>
      </w:r>
      <w:r w:rsidRPr="00230A3A">
        <w:rPr>
          <w:b/>
          <w:bCs/>
        </w:rPr>
        <w:t>confirma</w:t>
      </w:r>
      <w:r w:rsidRPr="007F6E24">
        <w:t xml:space="preserve"> las fechas de sus reuniones de 2025, 2026 y 2027, así como las fechas propuestas para la serie de reuniones de los </w:t>
      </w:r>
      <w:proofErr w:type="spellStart"/>
      <w:r w:rsidRPr="007F6E24">
        <w:t>GTC</w:t>
      </w:r>
      <w:proofErr w:type="spellEnd"/>
      <w:r w:rsidRPr="007F6E24">
        <w:t xml:space="preserve"> y los GE en el mismo periodo, y </w:t>
      </w:r>
      <w:r w:rsidRPr="00230A3A">
        <w:rPr>
          <w:b/>
          <w:bCs/>
        </w:rPr>
        <w:t>adopta</w:t>
      </w:r>
      <w:r w:rsidRPr="007F6E24">
        <w:t xml:space="preserve"> el acuerdo en el Documento </w:t>
      </w:r>
      <w:proofErr w:type="spellStart"/>
      <w:r w:rsidRPr="007F6E24">
        <w:t>C24</w:t>
      </w:r>
      <w:proofErr w:type="spellEnd"/>
      <w:r w:rsidRPr="007F6E24">
        <w:t>/</w:t>
      </w:r>
      <w:proofErr w:type="spellStart"/>
      <w:r w:rsidRPr="007F6E24">
        <w:t>DT</w:t>
      </w:r>
      <w:proofErr w:type="spellEnd"/>
      <w:r w:rsidRPr="007F6E24">
        <w:t>/13.</w:t>
      </w:r>
    </w:p>
    <w:p w14:paraId="67934151" w14:textId="15A581F4" w:rsidR="00907ADD" w:rsidRPr="007F6E24" w:rsidRDefault="00907ADD" w:rsidP="00A17117">
      <w:pPr>
        <w:pStyle w:val="Heading1"/>
        <w:jc w:val="both"/>
        <w:rPr>
          <w:rFonts w:eastAsia="Calibri"/>
          <w:bCs/>
          <w:kern w:val="2"/>
          <w:szCs w:val="28"/>
          <w14:ligatures w14:val="standardContextual"/>
        </w:rPr>
      </w:pPr>
      <w:bookmarkStart w:id="5" w:name="_Hlk169779495"/>
      <w:bookmarkEnd w:id="3"/>
      <w:bookmarkEnd w:id="4"/>
      <w:r w:rsidRPr="007F6E24">
        <w:t>3</w:t>
      </w:r>
      <w:r w:rsidRPr="007F6E24">
        <w:tab/>
        <w:t>Lista de los Presidentes y Vicepresidentes de los Grupos de Trabajo del Consejo y los Grupos de Expertos (</w:t>
      </w:r>
      <w:r w:rsidRPr="004440BA">
        <w:rPr>
          <w:i/>
          <w:iCs/>
        </w:rPr>
        <w:t>continuación</w:t>
      </w:r>
      <w:r w:rsidRPr="007F6E24">
        <w:t>)</w:t>
      </w:r>
      <w:r w:rsidR="00366A4D">
        <w:br/>
      </w:r>
      <w:r w:rsidRPr="007F6E24">
        <w:t>(Documento </w:t>
      </w:r>
      <w:proofErr w:type="spellStart"/>
      <w:r w:rsidR="00000000">
        <w:fldChar w:fldCharType="begin"/>
      </w:r>
      <w:r w:rsidR="00000000">
        <w:instrText>HYPERLINK "https://www.itu.int/md/S24-CL-C-0021/es"</w:instrText>
      </w:r>
      <w:r w:rsidR="00000000">
        <w:fldChar w:fldCharType="separate"/>
      </w:r>
      <w:r w:rsidRPr="007F6E24">
        <w:rPr>
          <w:rStyle w:val="Hyperlink"/>
        </w:rPr>
        <w:t>C24</w:t>
      </w:r>
      <w:proofErr w:type="spellEnd"/>
      <w:r w:rsidRPr="007F6E24">
        <w:rPr>
          <w:rStyle w:val="Hyperlink"/>
        </w:rPr>
        <w:t>/21(</w:t>
      </w:r>
      <w:proofErr w:type="spellStart"/>
      <w:r w:rsidRPr="007F6E24">
        <w:rPr>
          <w:rStyle w:val="Hyperlink"/>
        </w:rPr>
        <w:t>Rev.5</w:t>
      </w:r>
      <w:proofErr w:type="spellEnd"/>
      <w:r w:rsidRPr="007F6E24">
        <w:rPr>
          <w:rStyle w:val="Hyperlink"/>
        </w:rPr>
        <w:t>)</w:t>
      </w:r>
      <w:r w:rsidR="00000000">
        <w:rPr>
          <w:rStyle w:val="Hyperlink"/>
        </w:rPr>
        <w:fldChar w:fldCharType="end"/>
      </w:r>
      <w:r w:rsidRPr="007F6E24">
        <w:t>)</w:t>
      </w:r>
    </w:p>
    <w:p w14:paraId="173DA4E8" w14:textId="77777777" w:rsidR="00907ADD" w:rsidRPr="007F6E24" w:rsidRDefault="00907ADD" w:rsidP="00A17117">
      <w:pPr>
        <w:jc w:val="both"/>
        <w:rPr>
          <w:rFonts w:eastAsia="Calibri"/>
          <w:kern w:val="2"/>
          <w:szCs w:val="24"/>
          <w14:ligatures w14:val="standardContextual"/>
        </w:rPr>
      </w:pPr>
      <w:r w:rsidRPr="007F6E24">
        <w:t>3.1</w:t>
      </w:r>
      <w:r w:rsidRPr="007F6E24">
        <w:tab/>
        <w:t>El Presidente informa a los asistentes de que, lamentablemente, las conversaciones que ha mantenido con las partes interesadas en el tiempo disponible desde la sesión plenaria anterior no han permitido alcanzar un consenso sobre el nombramiento del Vicepresidente del Grupo de Trabajo del Consejo sobre la utilización de los seis idiomas oficiales de la Unión (</w:t>
      </w:r>
      <w:proofErr w:type="spellStart"/>
      <w:r w:rsidRPr="007F6E24">
        <w:t>GTC</w:t>
      </w:r>
      <w:proofErr w:type="spellEnd"/>
      <w:r w:rsidRPr="007F6E24">
        <w:t>-IDIOMAS). Por lo tanto, no ve otra opción que aplazar el examen de la cuestión hasta la reunión de 2025 del Consejo.</w:t>
      </w:r>
    </w:p>
    <w:p w14:paraId="32EC2203" w14:textId="77777777" w:rsidR="00907ADD" w:rsidRPr="007F6E24" w:rsidRDefault="00907ADD" w:rsidP="00A17117">
      <w:pPr>
        <w:jc w:val="both"/>
        <w:rPr>
          <w:rFonts w:eastAsia="Calibri"/>
          <w:kern w:val="2"/>
          <w:szCs w:val="24"/>
          <w14:ligatures w14:val="standardContextual"/>
        </w:rPr>
      </w:pPr>
      <w:r w:rsidRPr="007F6E24">
        <w:t>3.2</w:t>
      </w:r>
      <w:r w:rsidRPr="007F6E24">
        <w:tab/>
        <w:t xml:space="preserve">Así se </w:t>
      </w:r>
      <w:r w:rsidRPr="00230A3A">
        <w:rPr>
          <w:b/>
          <w:bCs/>
        </w:rPr>
        <w:t>acuerda</w:t>
      </w:r>
      <w:r w:rsidRPr="007F6E24">
        <w:t>.</w:t>
      </w:r>
    </w:p>
    <w:p w14:paraId="27E19CBE" w14:textId="77777777" w:rsidR="00907ADD" w:rsidRPr="007F6E24" w:rsidRDefault="00907ADD" w:rsidP="00A17117">
      <w:pPr>
        <w:jc w:val="both"/>
        <w:rPr>
          <w:rFonts w:eastAsia="Calibri"/>
          <w:kern w:val="2"/>
          <w:szCs w:val="24"/>
          <w14:ligatures w14:val="standardContextual"/>
        </w:rPr>
      </w:pPr>
      <w:r w:rsidRPr="007F6E24">
        <w:t>3.3</w:t>
      </w:r>
      <w:r w:rsidRPr="007F6E24">
        <w:tab/>
        <w:t xml:space="preserve">En respuesta a la pregunta de un consejero, como continuación de la sesión plenaria anterior, sobre las consecuencias de que el </w:t>
      </w:r>
      <w:proofErr w:type="spellStart"/>
      <w:r w:rsidRPr="007F6E24">
        <w:t>GTC</w:t>
      </w:r>
      <w:proofErr w:type="spellEnd"/>
      <w:r w:rsidRPr="007F6E24">
        <w:t xml:space="preserve">-IDIOMAS funcione sin vicepresidente para un determinado idioma, la Secretaria de la Plenaria señala que varios grupos se han encontrado en una situación similar durante cierto tiempo. Corresponde a los Estados Miembros evaluar los trabajos de los grupos específicos y extraer conclusiones. No obstante, de acuerdo con su mandato, todos los Estados Miembros tienen derecho a participar en el </w:t>
      </w:r>
      <w:proofErr w:type="spellStart"/>
      <w:r w:rsidRPr="007F6E24">
        <w:t>GTC</w:t>
      </w:r>
      <w:proofErr w:type="spellEnd"/>
      <w:r w:rsidRPr="007F6E24">
        <w:t>-IDIOMAS.</w:t>
      </w:r>
    </w:p>
    <w:p w14:paraId="1546DBB9" w14:textId="408EE5E2" w:rsidR="00907ADD" w:rsidRPr="007F6E24" w:rsidRDefault="00907ADD" w:rsidP="00A17117">
      <w:pPr>
        <w:jc w:val="both"/>
        <w:rPr>
          <w:rFonts w:eastAsia="Calibri"/>
          <w:kern w:val="2"/>
          <w:sz w:val="28"/>
          <w:szCs w:val="28"/>
          <w14:ligatures w14:val="standardContextual"/>
        </w:rPr>
      </w:pPr>
      <w:bookmarkStart w:id="6" w:name="_Hlk169985550"/>
      <w:bookmarkStart w:id="7" w:name="_Hlk169985577"/>
      <w:r w:rsidRPr="007F6E24">
        <w:t>3.4</w:t>
      </w:r>
      <w:r w:rsidRPr="007F6E24">
        <w:tab/>
        <w:t xml:space="preserve">La consejera de Sudáfrica señala que su país considera que la cuestión del </w:t>
      </w:r>
      <w:bookmarkEnd w:id="6"/>
      <w:r w:rsidRPr="007F6E24">
        <w:t xml:space="preserve">nombramiento del vicepresidente del </w:t>
      </w:r>
      <w:proofErr w:type="spellStart"/>
      <w:r w:rsidRPr="007F6E24">
        <w:t>GTC</w:t>
      </w:r>
      <w:proofErr w:type="spellEnd"/>
      <w:r w:rsidRPr="007F6E24">
        <w:t xml:space="preserve">-IDIOMAS para el ruso podría haberse gestionado mejor. Opina que se ha estado cerca de llegar a una avenencia y que no se han dado suficientes oportunidades para concluir el asunto, por ejemplo, considerando la propuesta de un observador de nombrar </w:t>
      </w:r>
      <w:r w:rsidR="00622689" w:rsidRPr="007F6E24">
        <w:t>"</w:t>
      </w:r>
      <w:r w:rsidRPr="007F6E24">
        <w:t>vicepresidentes en funciones</w:t>
      </w:r>
      <w:r w:rsidR="00622689" w:rsidRPr="007F6E24">
        <w:t>"</w:t>
      </w:r>
      <w:r w:rsidRPr="007F6E24">
        <w:t>. Comparte esta opinión la consejera de Cuba, quien también expresa su apoyo a esta última propuesta.</w:t>
      </w:r>
      <w:bookmarkEnd w:id="5"/>
    </w:p>
    <w:p w14:paraId="5A68129C" w14:textId="77777777" w:rsidR="00907ADD" w:rsidRPr="007F6E24" w:rsidRDefault="00907ADD" w:rsidP="00A17117">
      <w:pPr>
        <w:pStyle w:val="Heading1"/>
        <w:jc w:val="both"/>
        <w:rPr>
          <w:rFonts w:eastAsia="Calibri"/>
          <w:bCs/>
          <w:kern w:val="2"/>
          <w:szCs w:val="24"/>
          <w14:ligatures w14:val="standardContextual"/>
        </w:rPr>
      </w:pPr>
      <w:bookmarkStart w:id="8" w:name="_Hlk169782064"/>
      <w:bookmarkStart w:id="9" w:name="_Hlk169782079"/>
      <w:bookmarkEnd w:id="7"/>
      <w:r w:rsidRPr="007F6E24">
        <w:t>4</w:t>
      </w:r>
      <w:r w:rsidRPr="007F6E24">
        <w:tab/>
        <w:t>Clausura de la reunión del Consejo</w:t>
      </w:r>
    </w:p>
    <w:bookmarkEnd w:id="8"/>
    <w:p w14:paraId="042BBE5A" w14:textId="1574943B" w:rsidR="008858E7" w:rsidRPr="00F2696D" w:rsidRDefault="00907ADD" w:rsidP="004440BA">
      <w:pPr>
        <w:jc w:val="both"/>
        <w:rPr>
          <w:rFonts w:eastAsia="Calibri"/>
          <w:kern w:val="2"/>
          <w:szCs w:val="24"/>
          <w14:ligatures w14:val="standardContextual"/>
        </w:rPr>
      </w:pPr>
      <w:r w:rsidRPr="007F6E24">
        <w:t>4.1</w:t>
      </w:r>
      <w:r w:rsidRPr="007F6E24">
        <w:tab/>
        <w:t>La Secretaria General pronuncia el discurso que puede consultarse en:</w:t>
      </w:r>
      <w:r w:rsidR="004440BA">
        <w:br/>
      </w:r>
      <w:hyperlink r:id="rId16" w:history="1">
        <w:r w:rsidR="008858E7" w:rsidRPr="00912157">
          <w:rPr>
            <w:rStyle w:val="Hyperlink"/>
            <w:rFonts w:eastAsia="Calibri" w:cs="Calibri"/>
            <w:kern w:val="2"/>
            <w:szCs w:val="24"/>
            <w14:ligatures w14:val="standardContextual"/>
          </w:rPr>
          <w:t>http://council.itu.int/2024/wp-content/uploads/sites/4/2024/07/C24-ITU-SG-closing-speech.docx</w:t>
        </w:r>
      </w:hyperlink>
      <w:r w:rsidR="008858E7">
        <w:rPr>
          <w:rFonts w:eastAsia="Calibri" w:cs="Calibri"/>
          <w:kern w:val="2"/>
          <w:szCs w:val="24"/>
          <w14:ligatures w14:val="standardContextual"/>
        </w:rPr>
        <w:t>.</w:t>
      </w:r>
    </w:p>
    <w:p w14:paraId="6D4ABC10" w14:textId="46EA0E54" w:rsidR="00907ADD" w:rsidRPr="007F6E24" w:rsidRDefault="00907ADD" w:rsidP="00A17117">
      <w:pPr>
        <w:keepNext/>
        <w:keepLines/>
        <w:jc w:val="both"/>
        <w:rPr>
          <w:rFonts w:eastAsia="Calibri" w:cs="Calibri"/>
          <w:kern w:val="2"/>
          <w:szCs w:val="24"/>
          <w14:ligatures w14:val="standardContextual"/>
        </w:rPr>
      </w:pPr>
      <w:r w:rsidRPr="007F6E24">
        <w:t>4.2</w:t>
      </w:r>
      <w:r w:rsidRPr="007F6E24">
        <w:tab/>
        <w:t>El Presidente pronuncia el discurso que puede consultarse en:</w:t>
      </w:r>
      <w:r w:rsidR="00D16036">
        <w:t xml:space="preserve"> </w:t>
      </w:r>
      <w:r w:rsidR="004440BA">
        <w:br/>
      </w:r>
      <w:hyperlink r:id="rId17" w:history="1">
        <w:r w:rsidR="004440BA" w:rsidRPr="006C71D0">
          <w:rPr>
            <w:rStyle w:val="Hyperlink"/>
            <w:rFonts w:eastAsia="Calibri" w:cs="Calibri"/>
            <w:kern w:val="2"/>
            <w:szCs w:val="24"/>
            <w14:ligatures w14:val="standardContextual"/>
          </w:rPr>
          <w:t>http://council.itu.int/2024/wp-content/uploads/sites/4/2024/08/C24-Statement-Chair-Council_closing-e.docx</w:t>
        </w:r>
      </w:hyperlink>
      <w:r w:rsidR="00D16036" w:rsidRPr="00D84504">
        <w:rPr>
          <w:rFonts w:eastAsia="Calibri" w:cs="Calibri"/>
          <w:kern w:val="2"/>
          <w:szCs w:val="24"/>
          <w14:ligatures w14:val="standardContextual"/>
        </w:rPr>
        <w:t>.</w:t>
      </w:r>
    </w:p>
    <w:p w14:paraId="76A27376" w14:textId="77777777" w:rsidR="00907ADD" w:rsidRPr="007F6E24" w:rsidRDefault="00907ADD" w:rsidP="00A17117">
      <w:pPr>
        <w:jc w:val="both"/>
        <w:rPr>
          <w:rFonts w:eastAsia="Calibri" w:cs="Calibri"/>
          <w:kern w:val="2"/>
          <w:szCs w:val="24"/>
          <w14:ligatures w14:val="standardContextual"/>
        </w:rPr>
      </w:pPr>
      <w:r w:rsidRPr="007F6E24">
        <w:t>4.3</w:t>
      </w:r>
      <w:r w:rsidRPr="007F6E24">
        <w:tab/>
        <w:t>Se proyecta un vídeo en el que se recogen los momentos más destacados de la reunión del Consejo de 2024.</w:t>
      </w:r>
    </w:p>
    <w:p w14:paraId="51345B78" w14:textId="18DD3AD1" w:rsidR="00907ADD" w:rsidRPr="007F6E24" w:rsidRDefault="00907ADD" w:rsidP="00A17117">
      <w:pPr>
        <w:jc w:val="both"/>
        <w:rPr>
          <w:rFonts w:eastAsia="Calibri" w:cs="Calibri"/>
          <w:kern w:val="2"/>
          <w:szCs w:val="24"/>
          <w14:ligatures w14:val="standardContextual"/>
        </w:rPr>
      </w:pPr>
      <w:r w:rsidRPr="007F6E24">
        <w:t>4.4</w:t>
      </w:r>
      <w:r w:rsidRPr="007F6E24">
        <w:tab/>
        <w:t xml:space="preserve">El Presidente de la Comisión Permanente de Administración y Gestión (ADM), al término de su mandato de dos años como Presidente de la ADM, que ha sido una experiencia muy intensa pero enriquecedora, desea expresar su más sincero agradecimiento a todas las </w:t>
      </w:r>
      <w:r w:rsidRPr="007F6E24">
        <w:lastRenderedPageBreak/>
        <w:t xml:space="preserve">personas que le han brindado su apoyo: al Vicepresidente, a los cargos electos, a toda la Secretaría, con especial mención al Secretario de la Comisión y a los redactores de informes por sus hercúleos esfuerzos, a sus predecesores, a los consejeros que han demostrado un gran dinamismo en los trabajos preparatorios y/o han presidido grupos </w:t>
      </w:r>
      <w:r w:rsidRPr="007F6E24">
        <w:rPr>
          <w:i/>
          <w:iCs/>
        </w:rPr>
        <w:t>ad</w:t>
      </w:r>
      <w:r w:rsidR="007F6E24" w:rsidRPr="007F6E24">
        <w:rPr>
          <w:i/>
          <w:iCs/>
        </w:rPr>
        <w:t> </w:t>
      </w:r>
      <w:r w:rsidRPr="007F6E24">
        <w:rPr>
          <w:i/>
          <w:iCs/>
        </w:rPr>
        <w:t>hoc</w:t>
      </w:r>
      <w:r w:rsidRPr="007F6E24">
        <w:t>, al Presidente del Consejo y a su predecesor, a la delegación suiza y, por último, pero no por ello menos importante, a su familia, que tanto le ha apoyado.</w:t>
      </w:r>
    </w:p>
    <w:p w14:paraId="60A5F01F" w14:textId="777ED1E8" w:rsidR="00907ADD" w:rsidRPr="007F6E24" w:rsidRDefault="00907ADD" w:rsidP="00A17117">
      <w:pPr>
        <w:jc w:val="both"/>
        <w:rPr>
          <w:rFonts w:eastAsia="Calibri" w:cs="Calibri"/>
          <w:kern w:val="2"/>
          <w:szCs w:val="24"/>
          <w14:ligatures w14:val="standardContextual"/>
        </w:rPr>
      </w:pPr>
      <w:r w:rsidRPr="007F6E24">
        <w:t>4.5</w:t>
      </w:r>
      <w:r w:rsidRPr="007F6E24">
        <w:tab/>
        <w:t xml:space="preserve">La Secretaria General concede al Presidente del Consejo la medalla </w:t>
      </w:r>
      <w:r w:rsidR="00C4668F">
        <w:t xml:space="preserve">de oro </w:t>
      </w:r>
      <w:r w:rsidRPr="007F6E24">
        <w:t>de la UIT</w:t>
      </w:r>
      <w:r w:rsidR="00C4668F">
        <w:t>,</w:t>
      </w:r>
      <w:r w:rsidRPr="007F6E24">
        <w:t xml:space="preserve"> y</w:t>
      </w:r>
      <w:r w:rsidR="00C4668F" w:rsidRPr="00C4668F">
        <w:t xml:space="preserve"> </w:t>
      </w:r>
      <w:r w:rsidR="00C4668F">
        <w:t xml:space="preserve">tanto a él como </w:t>
      </w:r>
      <w:r w:rsidR="00C4668F" w:rsidRPr="007F6E24">
        <w:t>al Vicepresidente de la Comisión ADM</w:t>
      </w:r>
      <w:r w:rsidRPr="007F6E24">
        <w:t xml:space="preserve"> un certificado de agradecimiento por su excelente liderazgo al frente del Consejo y de la Comisión.</w:t>
      </w:r>
    </w:p>
    <w:p w14:paraId="58F9B3D2" w14:textId="31861A19" w:rsidR="00907ADD" w:rsidRPr="007F6E24" w:rsidRDefault="00907ADD" w:rsidP="00A17117">
      <w:pPr>
        <w:jc w:val="both"/>
        <w:rPr>
          <w:rFonts w:eastAsia="Calibri" w:cs="Calibri"/>
          <w:kern w:val="2"/>
          <w:szCs w:val="24"/>
          <w14:ligatures w14:val="standardContextual"/>
        </w:rPr>
      </w:pPr>
      <w:r w:rsidRPr="007F6E24">
        <w:t>4.6</w:t>
      </w:r>
      <w:r w:rsidRPr="007F6E24">
        <w:tab/>
        <w:t>Varios consejeros, dos de ellos hablando en nombre de sus organizaciones regionales de telecomunicaciones, elogian al Presidente por su paciencia y liderazgo durante la reunión del Consejo de 2024. También dan las gracias al Vicepresidente del Consejo, al Presidente y Vicepresidente del ADM, a los cargos electos, a la Secretaria de la Plenaria y a toda la Secretaría por su valioso apoyo, así como a los equipos técnicos, como los intérpretes y técnicos, que han contribuido a la fluidez de la reunión.</w:t>
      </w:r>
    </w:p>
    <w:p w14:paraId="7E7461F7" w14:textId="715D173A" w:rsidR="00907ADD" w:rsidRPr="007F6E24" w:rsidRDefault="00424ED2" w:rsidP="00A17117">
      <w:pPr>
        <w:jc w:val="both"/>
        <w:rPr>
          <w:rFonts w:eastAsia="Calibri" w:cs="Calibri"/>
          <w:kern w:val="2"/>
          <w:sz w:val="22"/>
          <w:szCs w:val="24"/>
          <w14:ligatures w14:val="standardContextual"/>
        </w:rPr>
      </w:pPr>
      <w:r>
        <w:t>4.7</w:t>
      </w:r>
      <w:r w:rsidR="00907ADD" w:rsidRPr="007F6E24">
        <w:tab/>
        <w:t>El Presidente declara clausurada la reunión del Consejo de 202</w:t>
      </w:r>
      <w:r w:rsidR="00C4668F">
        <w:t>4</w:t>
      </w:r>
      <w:r w:rsidR="00907ADD" w:rsidRPr="007F6E24">
        <w:t>.</w:t>
      </w:r>
      <w:bookmarkEnd w:id="9"/>
    </w:p>
    <w:p w14:paraId="7E0FB3E1" w14:textId="2AA36377" w:rsidR="00907ADD" w:rsidRPr="00230A3A" w:rsidRDefault="00907ADD" w:rsidP="00A17117">
      <w:pPr>
        <w:tabs>
          <w:tab w:val="clear" w:pos="567"/>
          <w:tab w:val="clear" w:pos="1134"/>
          <w:tab w:val="clear" w:pos="1701"/>
          <w:tab w:val="clear" w:pos="2268"/>
          <w:tab w:val="clear" w:pos="2835"/>
          <w:tab w:val="left" w:pos="6237"/>
        </w:tabs>
        <w:spacing w:before="840"/>
        <w:jc w:val="both"/>
      </w:pPr>
      <w:r w:rsidRPr="007F6E24">
        <w:t>La Secretaria General</w:t>
      </w:r>
      <w:r w:rsidR="00622689" w:rsidRPr="007F6E24">
        <w:t>:</w:t>
      </w:r>
      <w:r w:rsidRPr="007F6E24">
        <w:tab/>
        <w:t>El Presidente:</w:t>
      </w:r>
      <w:r w:rsidR="00230A3A">
        <w:br/>
      </w:r>
      <w:r w:rsidRPr="007F6E24">
        <w:t>D. BOGDAN-MARTIN</w:t>
      </w:r>
      <w:r w:rsidRPr="007F6E24">
        <w:tab/>
        <w:t xml:space="preserve">F. </w:t>
      </w:r>
      <w:proofErr w:type="spellStart"/>
      <w:r w:rsidRPr="007F6E24">
        <w:t>SAUVAGE</w:t>
      </w:r>
      <w:proofErr w:type="spellEnd"/>
    </w:p>
    <w:sectPr w:rsidR="00907ADD" w:rsidRPr="00230A3A" w:rsidSect="00C538F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ADDEF" w14:textId="77777777" w:rsidR="00173C60" w:rsidRDefault="00173C60">
      <w:r>
        <w:separator/>
      </w:r>
    </w:p>
  </w:endnote>
  <w:endnote w:type="continuationSeparator" w:id="0">
    <w:p w14:paraId="15214F20" w14:textId="77777777" w:rsidR="00173C60" w:rsidRDefault="0017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0ADC81C" w:rsidR="003273A4" w:rsidRDefault="00230A3A" w:rsidP="003273A4">
          <w:pPr>
            <w:pStyle w:val="Header"/>
            <w:jc w:val="left"/>
            <w:rPr>
              <w:noProof/>
            </w:rPr>
          </w:pPr>
          <w:r>
            <w:rPr>
              <w:noProof/>
            </w:rPr>
            <w:t>2401211</w:t>
          </w:r>
        </w:p>
      </w:tc>
      <w:tc>
        <w:tcPr>
          <w:tcW w:w="8261" w:type="dxa"/>
        </w:tcPr>
        <w:p w14:paraId="31328314" w14:textId="0E1993B1"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622689">
            <w:rPr>
              <w:bCs/>
            </w:rPr>
            <w:t>122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proofErr w:type="spellStart"/>
          <w:r w:rsidRPr="0064481D">
            <w:rPr>
              <w:color w:val="0563C1"/>
              <w:szCs w:val="14"/>
            </w:rPr>
            <w:t>www.itu.int</w:t>
          </w:r>
          <w:proofErr w:type="spellEnd"/>
          <w:r w:rsidRPr="0064481D">
            <w:rPr>
              <w:color w:val="0563C1"/>
              <w:szCs w:val="14"/>
            </w:rPr>
            <w:t>/</w:t>
          </w:r>
          <w:proofErr w:type="spellStart"/>
          <w:r w:rsidRPr="0064481D">
            <w:rPr>
              <w:color w:val="0563C1"/>
              <w:szCs w:val="14"/>
            </w:rPr>
            <w:t>council</w:t>
          </w:r>
          <w:proofErr w:type="spellEnd"/>
        </w:p>
      </w:tc>
      <w:tc>
        <w:tcPr>
          <w:tcW w:w="8261" w:type="dxa"/>
        </w:tcPr>
        <w:p w14:paraId="20F74E99" w14:textId="4C834A22"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907ADD">
            <w:rPr>
              <w:bCs/>
            </w:rPr>
            <w:t>122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B7C3E" w14:textId="77777777" w:rsidR="00173C60" w:rsidRDefault="00173C60">
      <w:r>
        <w:t>____________________</w:t>
      </w:r>
    </w:p>
  </w:footnote>
  <w:footnote w:type="continuationSeparator" w:id="0">
    <w:p w14:paraId="3CACA5C4" w14:textId="77777777" w:rsidR="00173C60" w:rsidRDefault="0017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0"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73C60"/>
    <w:rsid w:val="001A5454"/>
    <w:rsid w:val="001F14A2"/>
    <w:rsid w:val="00230A3A"/>
    <w:rsid w:val="002801AA"/>
    <w:rsid w:val="002C4676"/>
    <w:rsid w:val="002C70B0"/>
    <w:rsid w:val="002F3CC4"/>
    <w:rsid w:val="003273A4"/>
    <w:rsid w:val="00340AB4"/>
    <w:rsid w:val="00366A4D"/>
    <w:rsid w:val="003C74BB"/>
    <w:rsid w:val="00424ED2"/>
    <w:rsid w:val="004440BA"/>
    <w:rsid w:val="004511AA"/>
    <w:rsid w:val="00473962"/>
    <w:rsid w:val="004B5D49"/>
    <w:rsid w:val="004B64FC"/>
    <w:rsid w:val="00513630"/>
    <w:rsid w:val="00560125"/>
    <w:rsid w:val="005847DF"/>
    <w:rsid w:val="00585553"/>
    <w:rsid w:val="005B34D9"/>
    <w:rsid w:val="005D0CCF"/>
    <w:rsid w:val="005F3BCB"/>
    <w:rsid w:val="005F410F"/>
    <w:rsid w:val="0060149A"/>
    <w:rsid w:val="00601924"/>
    <w:rsid w:val="00622689"/>
    <w:rsid w:val="00631969"/>
    <w:rsid w:val="006447EA"/>
    <w:rsid w:val="0064481D"/>
    <w:rsid w:val="0064731F"/>
    <w:rsid w:val="00654594"/>
    <w:rsid w:val="00664572"/>
    <w:rsid w:val="006710F6"/>
    <w:rsid w:val="00677A97"/>
    <w:rsid w:val="006C1B56"/>
    <w:rsid w:val="006D4761"/>
    <w:rsid w:val="00726872"/>
    <w:rsid w:val="00760F1C"/>
    <w:rsid w:val="007657F0"/>
    <w:rsid w:val="0077252D"/>
    <w:rsid w:val="007765EA"/>
    <w:rsid w:val="007955DA"/>
    <w:rsid w:val="007E5DD3"/>
    <w:rsid w:val="007F350B"/>
    <w:rsid w:val="007F6E24"/>
    <w:rsid w:val="00820BE4"/>
    <w:rsid w:val="008451E8"/>
    <w:rsid w:val="00854242"/>
    <w:rsid w:val="008858E7"/>
    <w:rsid w:val="00907ADD"/>
    <w:rsid w:val="00913B9C"/>
    <w:rsid w:val="00927F93"/>
    <w:rsid w:val="00956E77"/>
    <w:rsid w:val="009F4811"/>
    <w:rsid w:val="00A17117"/>
    <w:rsid w:val="00A905F1"/>
    <w:rsid w:val="00AA390C"/>
    <w:rsid w:val="00B0200A"/>
    <w:rsid w:val="00B574DB"/>
    <w:rsid w:val="00B826C2"/>
    <w:rsid w:val="00B8298E"/>
    <w:rsid w:val="00BD0723"/>
    <w:rsid w:val="00BD2518"/>
    <w:rsid w:val="00BF1D1C"/>
    <w:rsid w:val="00C20C59"/>
    <w:rsid w:val="00C2727F"/>
    <w:rsid w:val="00C4668F"/>
    <w:rsid w:val="00C538FC"/>
    <w:rsid w:val="00C55B1F"/>
    <w:rsid w:val="00C90E68"/>
    <w:rsid w:val="00CB421D"/>
    <w:rsid w:val="00CD3F35"/>
    <w:rsid w:val="00CF1A67"/>
    <w:rsid w:val="00D16036"/>
    <w:rsid w:val="00D2750E"/>
    <w:rsid w:val="00D43B85"/>
    <w:rsid w:val="00D50A36"/>
    <w:rsid w:val="00D62446"/>
    <w:rsid w:val="00DA4EA2"/>
    <w:rsid w:val="00DC3D3E"/>
    <w:rsid w:val="00DE2C90"/>
    <w:rsid w:val="00DE3B24"/>
    <w:rsid w:val="00E06947"/>
    <w:rsid w:val="00E34072"/>
    <w:rsid w:val="00E3592D"/>
    <w:rsid w:val="00E50D76"/>
    <w:rsid w:val="00E90EB4"/>
    <w:rsid w:val="00E92DE8"/>
    <w:rsid w:val="00EB1212"/>
    <w:rsid w:val="00ED65AB"/>
    <w:rsid w:val="00F12850"/>
    <w:rsid w:val="00F23FA2"/>
    <w:rsid w:val="00F24B71"/>
    <w:rsid w:val="00F33BF4"/>
    <w:rsid w:val="00F53B8D"/>
    <w:rsid w:val="00F7105E"/>
    <w:rsid w:val="00F75F57"/>
    <w:rsid w:val="00F7640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907ADD"/>
    <w:pPr>
      <w:suppressAutoHyphens/>
      <w:overflowPunct/>
      <w:autoSpaceDE/>
      <w:autoSpaceDN/>
      <w:adjustRightInd/>
    </w:pPr>
    <w:rPr>
      <w:sz w:val="20"/>
      <w:lang w:val="es-ES"/>
    </w:rPr>
  </w:style>
  <w:style w:type="character" w:customStyle="1" w:styleId="CommentTextChar">
    <w:name w:val="Comment Text Char"/>
    <w:basedOn w:val="DefaultParagraphFont"/>
    <w:link w:val="CommentText"/>
    <w:rsid w:val="00907ADD"/>
    <w:rPr>
      <w:rFonts w:ascii="Calibri" w:hAnsi="Calibri"/>
      <w:lang w:val="es-ES" w:eastAsia="en-US"/>
    </w:rPr>
  </w:style>
  <w:style w:type="paragraph" w:styleId="Revision">
    <w:name w:val="Revision"/>
    <w:hidden/>
    <w:uiPriority w:val="99"/>
    <w:semiHidden/>
    <w:rsid w:val="00631969"/>
    <w:rPr>
      <w:rFonts w:ascii="Calibri" w:hAnsi="Calibri"/>
      <w:sz w:val="24"/>
      <w:lang w:val="es-ES_tradnl" w:eastAsia="en-US"/>
    </w:rPr>
  </w:style>
  <w:style w:type="character" w:styleId="UnresolvedMention">
    <w:name w:val="Unresolved Mention"/>
    <w:basedOn w:val="DefaultParagraphFont"/>
    <w:uiPriority w:val="99"/>
    <w:semiHidden/>
    <w:unhideWhenUsed/>
    <w:rsid w:val="0044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88/es" TargetMode="External"/><Relationship Id="rId13" Type="http://schemas.openxmlformats.org/officeDocument/2006/relationships/hyperlink" Target="https://www.itu.int/md/S24-CL-C-0088/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tu.int/md/S24-CL-C-0072/es" TargetMode="External"/><Relationship Id="rId12" Type="http://schemas.openxmlformats.org/officeDocument/2006/relationships/hyperlink" Target="https://www.itu.int/md/S24-CL-C-0021/es" TargetMode="External"/><Relationship Id="rId17" Type="http://schemas.openxmlformats.org/officeDocument/2006/relationships/hyperlink" Target="http://council.itu.int/2024/wp-content/uploads/sites/4/2024/08/C24-Statement-Chair-Council_closing-e.docx" TargetMode="External"/><Relationship Id="rId2" Type="http://schemas.openxmlformats.org/officeDocument/2006/relationships/styles" Target="styles.xml"/><Relationship Id="rId16" Type="http://schemas.openxmlformats.org/officeDocument/2006/relationships/hyperlink" Target="http://council.itu.int/2024/wp-content/uploads/sites/4/2024/07/C24-ITU-SG-closing-speech.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4-CL-240604-TD-0013/es" TargetMode="External"/><Relationship Id="rId5" Type="http://schemas.openxmlformats.org/officeDocument/2006/relationships/footnotes" Target="footnotes.xml"/><Relationship Id="rId15" Type="http://schemas.openxmlformats.org/officeDocument/2006/relationships/hyperlink" Target="https://www.itu.int/md/S24-CL-240604-TD-0013/es" TargetMode="External"/><Relationship Id="rId10" Type="http://schemas.openxmlformats.org/officeDocument/2006/relationships/hyperlink" Target="https://www.itu.int/md/S24-CL-C-0002/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4-CL-240604-TD-0011/es" TargetMode="External"/><Relationship Id="rId14" Type="http://schemas.openxmlformats.org/officeDocument/2006/relationships/hyperlink" Target="https://www.itu.int/md/S24-CL-240604-TD-0011/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FB59-DED6-48AF-99DD-51174054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1430</Words>
  <Characters>8155</Characters>
  <Application>Microsoft Office Word</Application>
  <DocSecurity>0</DocSecurity>
  <Lines>67</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9566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twelfth and final Plenary meeting</dc:title>
  <dc:subject>Consejo 2024 de la UIT</dc:subject>
  <cp:keywords>C2024, C24, Council-24</cp:keywords>
  <dc:description/>
  <cp:revision>3</cp:revision>
  <cp:lastPrinted>2006-03-24T09:51:00Z</cp:lastPrinted>
  <dcterms:created xsi:type="dcterms:W3CDTF">2024-09-04T09:10:00Z</dcterms:created>
  <dcterms:modified xsi:type="dcterms:W3CDTF">2024-09-09T06:56:00Z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