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596191A" w14:textId="77777777" w:rsidTr="00F363FE">
        <w:tc>
          <w:tcPr>
            <w:tcW w:w="6512" w:type="dxa"/>
          </w:tcPr>
          <w:p w14:paraId="716E9F67" w14:textId="5A7DE2D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3BE61A92" w14:textId="1A46070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D821FC">
              <w:rPr>
                <w:b/>
                <w:bCs/>
                <w:lang w:bidi="ar-EG"/>
              </w:rPr>
              <w:t>123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7EC2E76" w14:textId="77777777" w:rsidTr="00F363FE">
        <w:tc>
          <w:tcPr>
            <w:tcW w:w="6512" w:type="dxa"/>
          </w:tcPr>
          <w:p w14:paraId="6A4DA78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21B366" w14:textId="11FDAF79" w:rsidR="007B0AA0" w:rsidRPr="007B0AA0" w:rsidRDefault="00D821F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52A35" w:rsidRPr="00F52A35">
              <w:rPr>
                <w:b/>
                <w:bCs/>
                <w:rtl/>
                <w:lang w:bidi="ar-EG"/>
              </w:rPr>
              <w:t xml:space="preserve">يونيو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6B731170" w14:textId="77777777" w:rsidTr="00F363FE">
        <w:tc>
          <w:tcPr>
            <w:tcW w:w="6512" w:type="dxa"/>
          </w:tcPr>
          <w:p w14:paraId="6ABF5FF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AD1BE01" w14:textId="0D7AF91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AD1C4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47D7F908" w14:textId="77777777" w:rsidTr="00F363FE">
        <w:tc>
          <w:tcPr>
            <w:tcW w:w="6512" w:type="dxa"/>
          </w:tcPr>
          <w:p w14:paraId="3870F72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0C6DB4D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7C8B7FB3" w14:textId="633AA3EE" w:rsidR="00F45A22" w:rsidRDefault="00304878" w:rsidP="00304878">
      <w:pPr>
        <w:pStyle w:val="ResNo"/>
        <w:spacing w:before="720"/>
        <w:rPr>
          <w:lang w:bidi="ar-EG"/>
        </w:rPr>
      </w:pPr>
      <w:r>
        <w:rPr>
          <w:rFonts w:hint="cs"/>
          <w:rtl/>
        </w:rPr>
        <w:t>ال</w:t>
      </w:r>
      <w:r w:rsidR="00F45A22" w:rsidRPr="00006242">
        <w:rPr>
          <w:rFonts w:hint="cs"/>
          <w:rtl/>
        </w:rPr>
        <w:t>قرار</w:t>
      </w:r>
      <w:r w:rsidR="00F45A22" w:rsidRPr="00006242">
        <w:rPr>
          <w:rFonts w:hint="cs"/>
          <w:rtl/>
          <w:lang w:bidi="ar-EG"/>
        </w:rPr>
        <w:t xml:space="preserve"> </w:t>
      </w:r>
      <w:r w:rsidR="00F94E11">
        <w:rPr>
          <w:lang w:bidi="ar-EG"/>
        </w:rPr>
        <w:t>1421</w:t>
      </w:r>
    </w:p>
    <w:p w14:paraId="37DFE2C0" w14:textId="318CCDE9" w:rsidR="00F94E11" w:rsidRPr="00006242" w:rsidRDefault="00F52A35" w:rsidP="00F52A35">
      <w:pPr>
        <w:jc w:val="center"/>
        <w:rPr>
          <w:lang w:bidi="ar-EG"/>
        </w:rPr>
      </w:pPr>
      <w:r w:rsidRPr="00F52A35">
        <w:rPr>
          <w:rtl/>
          <w:lang w:bidi="ar-EG"/>
        </w:rPr>
        <w:t>(المعتمَد في الجلسة العامة الافتتاحية)</w:t>
      </w:r>
    </w:p>
    <w:p w14:paraId="0EAEFE2D" w14:textId="6E7E909D" w:rsidR="00F45A22" w:rsidRPr="00006242" w:rsidRDefault="00F45A22" w:rsidP="00F52A35">
      <w:pPr>
        <w:pStyle w:val="Restitle"/>
        <w:rPr>
          <w:rtl/>
          <w:lang w:bidi="ar-EG"/>
        </w:rPr>
      </w:pPr>
      <w:bookmarkStart w:id="0" w:name="_Toc39054007"/>
      <w:r w:rsidRPr="00006242">
        <w:rPr>
          <w:rFonts w:hint="cs"/>
          <w:rtl/>
        </w:rPr>
        <w:t xml:space="preserve">الخطة </w:t>
      </w:r>
      <w:r w:rsidRPr="00006242">
        <w:rPr>
          <w:rtl/>
        </w:rPr>
        <w:t xml:space="preserve">التشغيلية </w:t>
      </w:r>
      <w:r w:rsidRPr="00006242">
        <w:rPr>
          <w:rFonts w:hint="cs"/>
          <w:rtl/>
        </w:rPr>
        <w:t>للاتحاد</w:t>
      </w:r>
      <w:r>
        <w:rPr>
          <w:rFonts w:hint="cs"/>
          <w:rtl/>
        </w:rPr>
        <w:t xml:space="preserve"> للفترة </w:t>
      </w:r>
      <w:bookmarkEnd w:id="0"/>
      <w:r w:rsidR="00C9764E">
        <w:t>2028-2025</w:t>
      </w:r>
    </w:p>
    <w:p w14:paraId="6A59B978" w14:textId="77777777" w:rsidR="00F45A22" w:rsidRPr="00006242" w:rsidRDefault="00F45A22" w:rsidP="00F45A22">
      <w:pPr>
        <w:pStyle w:val="Normalaftertitle"/>
        <w:rPr>
          <w:rtl/>
        </w:rPr>
      </w:pPr>
      <w:r w:rsidRPr="00006242">
        <w:rPr>
          <w:rFonts w:hint="cs"/>
          <w:rtl/>
        </w:rPr>
        <w:t xml:space="preserve">إن مجلس </w:t>
      </w:r>
      <w:r>
        <w:rPr>
          <w:rFonts w:hint="cs"/>
          <w:rtl/>
        </w:rPr>
        <w:t>الاتحاد الدولي للاتصالات</w:t>
      </w:r>
      <w:r w:rsidRPr="00006242">
        <w:rPr>
          <w:rFonts w:hint="cs"/>
          <w:rtl/>
        </w:rPr>
        <w:t>،</w:t>
      </w:r>
    </w:p>
    <w:p w14:paraId="0F2D287B" w14:textId="77777777" w:rsidR="00F45A22" w:rsidRPr="00006242" w:rsidRDefault="00F45A22" w:rsidP="00F45A22">
      <w:pPr>
        <w:pStyle w:val="Call"/>
        <w:rPr>
          <w:rtl/>
        </w:rPr>
      </w:pPr>
      <w:r w:rsidRPr="00006242">
        <w:rPr>
          <w:rFonts w:hint="cs"/>
          <w:rtl/>
          <w:lang w:bidi="ar-EG"/>
        </w:rPr>
        <w:t>إقراراً منه</w:t>
      </w:r>
    </w:p>
    <w:p w14:paraId="5276C223" w14:textId="7813AC67" w:rsidR="00F45A22" w:rsidRPr="00006242" w:rsidRDefault="00F45A22" w:rsidP="00F45A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</w:pPr>
      <w:r w:rsidRPr="00006242">
        <w:rPr>
          <w:rFonts w:hint="cs"/>
          <w:rtl/>
          <w:lang w:bidi="ar-EG"/>
        </w:rPr>
        <w:t>ب</w:t>
      </w:r>
      <w:r w:rsidRPr="00006242">
        <w:rPr>
          <w:rFonts w:hint="cs"/>
          <w:rtl/>
        </w:rPr>
        <w:t>أحكام المواد</w:t>
      </w:r>
      <w:r w:rsidRPr="00006242">
        <w:rPr>
          <w:rtl/>
        </w:rPr>
        <w:t xml:space="preserve"> </w:t>
      </w:r>
      <w:r w:rsidRPr="00006242">
        <w:rPr>
          <w:lang w:bidi="ar-SY"/>
        </w:rPr>
        <w:t>5</w:t>
      </w:r>
      <w:r w:rsidRPr="00006242">
        <w:rPr>
          <w:rFonts w:hint="cs"/>
          <w:rtl/>
        </w:rPr>
        <w:t xml:space="preserve"> و</w:t>
      </w:r>
      <w:r w:rsidRPr="00006242">
        <w:rPr>
          <w:lang w:val="en-GB" w:bidi="ar-SY"/>
        </w:rPr>
        <w:t>11A</w:t>
      </w:r>
      <w:r w:rsidRPr="00006242">
        <w:rPr>
          <w:rFonts w:hint="cs"/>
          <w:rtl/>
        </w:rPr>
        <w:t xml:space="preserve"> و</w:t>
      </w:r>
      <w:r w:rsidRPr="00006242">
        <w:rPr>
          <w:lang w:bidi="ar-SY"/>
        </w:rPr>
        <w:t>12</w:t>
      </w:r>
      <w:r w:rsidRPr="00006242">
        <w:rPr>
          <w:rFonts w:hint="cs"/>
          <w:rtl/>
        </w:rPr>
        <w:t xml:space="preserve"> و</w:t>
      </w:r>
      <w:r w:rsidRPr="00006242">
        <w:rPr>
          <w:lang w:val="en-GB" w:bidi="ar-SY"/>
        </w:rPr>
        <w:t>14A</w:t>
      </w:r>
      <w:r w:rsidRPr="00006242">
        <w:rPr>
          <w:rFonts w:hint="cs"/>
          <w:rtl/>
        </w:rPr>
        <w:t xml:space="preserve"> و</w:t>
      </w:r>
      <w:r w:rsidRPr="00006242">
        <w:rPr>
          <w:lang w:bidi="ar-SY"/>
        </w:rPr>
        <w:t>15</w:t>
      </w:r>
      <w:r w:rsidRPr="00006242">
        <w:rPr>
          <w:rFonts w:hint="cs"/>
          <w:rtl/>
        </w:rPr>
        <w:t xml:space="preserve"> و</w:t>
      </w:r>
      <w:r w:rsidRPr="00006242">
        <w:rPr>
          <w:lang w:bidi="ar-SY"/>
        </w:rPr>
        <w:t>18</w:t>
      </w:r>
      <w:r w:rsidRPr="00006242">
        <w:rPr>
          <w:rtl/>
        </w:rPr>
        <w:t xml:space="preserve"> من </w:t>
      </w:r>
      <w:r w:rsidRPr="00006242">
        <w:rPr>
          <w:rFonts w:hint="cs"/>
          <w:rtl/>
        </w:rPr>
        <w:t>اتفاقية الاتحاد،</w:t>
      </w:r>
    </w:p>
    <w:p w14:paraId="31028F2F" w14:textId="77777777" w:rsidR="00F45A22" w:rsidRPr="00006242" w:rsidRDefault="00F45A22" w:rsidP="00F45A22">
      <w:pPr>
        <w:pStyle w:val="Call"/>
        <w:rPr>
          <w:rtl/>
        </w:rPr>
      </w:pPr>
      <w:r w:rsidRPr="00006242">
        <w:rPr>
          <w:rFonts w:hint="cs"/>
          <w:rtl/>
        </w:rPr>
        <w:t>وإذ يذكّ</w:t>
      </w:r>
      <w:r>
        <w:rPr>
          <w:rFonts w:hint="cs"/>
          <w:rtl/>
        </w:rPr>
        <w:t>ِ</w:t>
      </w:r>
      <w:r w:rsidRPr="00006242">
        <w:rPr>
          <w:rFonts w:hint="cs"/>
          <w:rtl/>
        </w:rPr>
        <w:t>ر</w:t>
      </w:r>
    </w:p>
    <w:p w14:paraId="4A3BC914" w14:textId="5C8878A3" w:rsidR="00F45A22" w:rsidRPr="00006242" w:rsidRDefault="00B21028" w:rsidP="00F45A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B21028">
        <w:rPr>
          <w:rtl/>
        </w:rPr>
        <w:t>بالقرار 71 (المراجَع في بوخارست، 2022)</w:t>
      </w:r>
      <w:r>
        <w:rPr>
          <w:rFonts w:hint="cs"/>
          <w:rtl/>
          <w:lang w:bidi="ar-EG"/>
        </w:rPr>
        <w:t xml:space="preserve"> </w:t>
      </w:r>
      <w:r w:rsidR="00304878" w:rsidRPr="00B21028">
        <w:rPr>
          <w:rtl/>
        </w:rPr>
        <w:t xml:space="preserve">لمؤتمر المندوبين المفوضين </w:t>
      </w:r>
      <w:r w:rsidR="00F45A22" w:rsidRPr="00006242">
        <w:rPr>
          <w:rFonts w:hint="cs"/>
          <w:rtl/>
          <w:lang w:bidi="ar-EG"/>
        </w:rPr>
        <w:t xml:space="preserve">بشأن </w:t>
      </w:r>
      <w:r w:rsidR="00F45A22" w:rsidRPr="00006242">
        <w:rPr>
          <w:color w:val="000000"/>
          <w:rtl/>
        </w:rPr>
        <w:t xml:space="preserve">الخطة الاستراتيجية </w:t>
      </w:r>
      <w:r w:rsidR="00F45A22" w:rsidRPr="009A5275">
        <w:rPr>
          <w:color w:val="000000"/>
          <w:rtl/>
        </w:rPr>
        <w:t>للاتحاد للفترة 2024-2027</w:t>
      </w:r>
      <w:r w:rsidR="00F45A22" w:rsidRPr="009A5275">
        <w:rPr>
          <w:rFonts w:hint="cs"/>
          <w:color w:val="000000"/>
          <w:rtl/>
          <w:lang w:bidi="ar-EG"/>
        </w:rPr>
        <w:t xml:space="preserve"> </w:t>
      </w:r>
      <w:r w:rsidRPr="009A5275">
        <w:rPr>
          <w:rFonts w:hint="cs"/>
          <w:rtl/>
          <w:lang w:bidi="ar-EG"/>
        </w:rPr>
        <w:t>والقرار</w:t>
      </w:r>
      <w:r w:rsidRPr="00006242">
        <w:rPr>
          <w:rFonts w:hint="cs"/>
          <w:rtl/>
          <w:lang w:bidi="ar-EG"/>
        </w:rPr>
        <w:t xml:space="preserve"> </w:t>
      </w:r>
      <w:r w:rsidRPr="00006242">
        <w:rPr>
          <w:lang w:bidi="ar-EG"/>
        </w:rPr>
        <w:t>151</w:t>
      </w:r>
      <w:r w:rsidRPr="00006242">
        <w:rPr>
          <w:rFonts w:hint="cs"/>
          <w:rtl/>
        </w:rPr>
        <w:t xml:space="preserve"> (المراجَع في</w:t>
      </w:r>
      <w:r>
        <w:rPr>
          <w:rFonts w:hint="eastAsia"/>
          <w:rtl/>
        </w:rPr>
        <w:t> </w:t>
      </w:r>
      <w:r>
        <w:rPr>
          <w:rFonts w:hint="cs"/>
          <w:rtl/>
          <w:lang w:bidi="ar-EG"/>
        </w:rPr>
        <w:t>بوخارست، 2022</w:t>
      </w:r>
      <w:r w:rsidRPr="00006242">
        <w:rPr>
          <w:rFonts w:hint="cs"/>
          <w:rtl/>
        </w:rPr>
        <w:t>)</w:t>
      </w:r>
      <w:r w:rsidR="00304878" w:rsidRPr="00304878">
        <w:rPr>
          <w:rFonts w:hint="cs"/>
          <w:rtl/>
          <w:lang w:bidi="ar-EG"/>
        </w:rPr>
        <w:t xml:space="preserve"> </w:t>
      </w:r>
      <w:r w:rsidR="00304878" w:rsidRPr="00F32EC9">
        <w:rPr>
          <w:rFonts w:hint="cs"/>
          <w:rtl/>
          <w:lang w:bidi="ar-EG"/>
        </w:rPr>
        <w:t>لمؤتمر المندوبين المفوضين</w:t>
      </w:r>
      <w:r w:rsidRPr="00006242">
        <w:rPr>
          <w:rFonts w:hint="cs"/>
          <w:rtl/>
        </w:rPr>
        <w:t xml:space="preserve"> </w:t>
      </w:r>
      <w:r w:rsidR="00F45A22" w:rsidRPr="00006242">
        <w:rPr>
          <w:rFonts w:hint="cs"/>
          <w:rtl/>
          <w:lang w:bidi="ar-EG"/>
        </w:rPr>
        <w:t xml:space="preserve">بشأن </w:t>
      </w:r>
      <w:r w:rsidR="00F45A22">
        <w:rPr>
          <w:rFonts w:hint="cs"/>
          <w:rtl/>
          <w:lang w:bidi="ar-EG"/>
        </w:rPr>
        <w:t xml:space="preserve">تنفيذ </w:t>
      </w:r>
      <w:r w:rsidR="00F45A22" w:rsidRPr="00006242">
        <w:rPr>
          <w:color w:val="000000"/>
          <w:rtl/>
        </w:rPr>
        <w:t>الإدارة على أساس النتائج</w:t>
      </w:r>
      <w:r w:rsidR="00F45A22" w:rsidRPr="00006242">
        <w:rPr>
          <w:rFonts w:hint="cs"/>
          <w:color w:val="000000"/>
          <w:rtl/>
        </w:rPr>
        <w:t>،</w:t>
      </w:r>
    </w:p>
    <w:p w14:paraId="729DD749" w14:textId="77777777" w:rsidR="00F45A22" w:rsidRPr="00006242" w:rsidRDefault="00F45A22" w:rsidP="00F45A22">
      <w:pPr>
        <w:pStyle w:val="Call"/>
        <w:rPr>
          <w:lang w:bidi="ar-EG"/>
        </w:rPr>
      </w:pPr>
      <w:r w:rsidRPr="00006242">
        <w:rPr>
          <w:rFonts w:hint="cs"/>
          <w:rtl/>
          <w:lang w:bidi="ar-EG"/>
        </w:rPr>
        <w:t>وقد نظر</w:t>
      </w:r>
    </w:p>
    <w:p w14:paraId="2C58EF40" w14:textId="5E78B614" w:rsidR="00F45A22" w:rsidRPr="00006242" w:rsidRDefault="00F45A22" w:rsidP="00F45A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06242">
        <w:rPr>
          <w:rFonts w:hint="cs"/>
          <w:rtl/>
          <w:lang w:bidi="ar-EG"/>
        </w:rPr>
        <w:t xml:space="preserve">في </w:t>
      </w:r>
      <w:r w:rsidRPr="00006242">
        <w:rPr>
          <w:rFonts w:hint="cs"/>
          <w:rtl/>
        </w:rPr>
        <w:t>الخطة</w:t>
      </w:r>
      <w:r w:rsidRPr="00006242">
        <w:rPr>
          <w:rtl/>
          <w:lang w:bidi="ar-EG"/>
        </w:rPr>
        <w:t xml:space="preserve"> </w:t>
      </w:r>
      <w:r w:rsidRPr="00006242">
        <w:rPr>
          <w:rFonts w:hint="eastAsia"/>
          <w:rtl/>
          <w:lang w:bidi="ar-EG"/>
        </w:rPr>
        <w:t>التشغيلية</w:t>
      </w:r>
      <w:r w:rsidRPr="0000624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للاتحاد للفترة </w:t>
      </w:r>
      <w:r w:rsidR="00580BEB">
        <w:rPr>
          <w:lang w:bidi="ar-EG"/>
        </w:rPr>
        <w:t>2028-2025</w:t>
      </w:r>
      <w:r w:rsidRPr="00006242">
        <w:rPr>
          <w:rFonts w:hint="cs"/>
          <w:rtl/>
          <w:lang w:val="en-GB" w:bidi="ar-EG"/>
        </w:rPr>
        <w:t xml:space="preserve"> </w:t>
      </w:r>
      <w:r w:rsidRPr="00006242">
        <w:rPr>
          <w:rFonts w:hint="cs"/>
          <w:rtl/>
          <w:lang w:bidi="ar-EG"/>
        </w:rPr>
        <w:t>(</w:t>
      </w:r>
      <w:r w:rsidRPr="00006242">
        <w:rPr>
          <w:rFonts w:hint="cs"/>
          <w:spacing w:val="2"/>
          <w:rtl/>
          <w:lang w:bidi="ar-EG"/>
        </w:rPr>
        <w:t>الوثيقة</w:t>
      </w:r>
      <w:r w:rsidRPr="00006242">
        <w:rPr>
          <w:rFonts w:hint="eastAsia"/>
          <w:spacing w:val="2"/>
          <w:rtl/>
          <w:lang w:bidi="ar-EG"/>
        </w:rPr>
        <w:t> </w:t>
      </w:r>
      <w:hyperlink r:id="rId8" w:history="1">
        <w:r w:rsidR="002868A6" w:rsidRPr="00C72AE4">
          <w:rPr>
            <w:rStyle w:val="Hyperlink"/>
            <w:lang w:eastAsia="en-GB"/>
          </w:rPr>
          <w:t>C24/28</w:t>
        </w:r>
      </w:hyperlink>
      <w:r w:rsidRPr="00006242">
        <w:rPr>
          <w:rFonts w:hint="cs"/>
          <w:rtl/>
          <w:lang w:bidi="ar-EG"/>
        </w:rPr>
        <w:t>)،</w:t>
      </w:r>
    </w:p>
    <w:p w14:paraId="6ADF3B18" w14:textId="77777777" w:rsidR="00F45A22" w:rsidRPr="00006242" w:rsidRDefault="00F45A22" w:rsidP="00F45A22">
      <w:pPr>
        <w:pStyle w:val="Call"/>
        <w:rPr>
          <w:rtl/>
          <w:lang w:bidi="ar-EG"/>
        </w:rPr>
      </w:pPr>
      <w:r w:rsidRPr="00006242">
        <w:rPr>
          <w:rFonts w:hint="cs"/>
          <w:rtl/>
          <w:lang w:bidi="ar-EG"/>
        </w:rPr>
        <w:t>وقد نظر أيضاً</w:t>
      </w:r>
    </w:p>
    <w:p w14:paraId="10EB078D" w14:textId="3803BB2D" w:rsidR="00F45A22" w:rsidRPr="00006242" w:rsidRDefault="00F45A22" w:rsidP="00F45A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06242">
        <w:rPr>
          <w:rFonts w:hint="cs"/>
          <w:rtl/>
          <w:lang w:bidi="ar-EG"/>
        </w:rPr>
        <w:t>في ضرورة أن يكون للأمين</w:t>
      </w:r>
      <w:r w:rsidR="004770BF">
        <w:rPr>
          <w:rFonts w:hint="cs"/>
          <w:rtl/>
          <w:lang w:bidi="ar-EG"/>
        </w:rPr>
        <w:t>ة</w:t>
      </w:r>
      <w:r w:rsidRPr="00006242">
        <w:rPr>
          <w:rFonts w:hint="cs"/>
          <w:rtl/>
          <w:lang w:bidi="ar-EG"/>
        </w:rPr>
        <w:t xml:space="preserve"> العام</w:t>
      </w:r>
      <w:r w:rsidR="004770BF">
        <w:rPr>
          <w:rFonts w:hint="cs"/>
          <w:rtl/>
          <w:lang w:bidi="ar-EG"/>
        </w:rPr>
        <w:t>ة</w:t>
      </w:r>
      <w:r w:rsidRPr="00006242">
        <w:rPr>
          <w:rFonts w:hint="cs"/>
          <w:rtl/>
          <w:lang w:bidi="ar-EG"/>
        </w:rPr>
        <w:t xml:space="preserve"> ومديري المكاتب قدر من المرونة في تنفيذ الأقسام المكلّف بها كل منهم من الخطة التشغيلية مراعاةً لأي تغييرات قد تحدث أثناء الفترة الفاصلة بين كل دورتين من دورات المجلس،</w:t>
      </w:r>
    </w:p>
    <w:p w14:paraId="238D5B34" w14:textId="77777777" w:rsidR="00F45A22" w:rsidRPr="00006242" w:rsidRDefault="00F45A22" w:rsidP="00F45A22">
      <w:pPr>
        <w:pStyle w:val="Call"/>
        <w:rPr>
          <w:lang w:bidi="ar-EG"/>
        </w:rPr>
      </w:pPr>
      <w:r w:rsidRPr="00006242">
        <w:rPr>
          <w:rFonts w:hint="cs"/>
          <w:rtl/>
          <w:lang w:bidi="ar-EG"/>
        </w:rPr>
        <w:t>يقرر</w:t>
      </w:r>
    </w:p>
    <w:p w14:paraId="00F0AF77" w14:textId="334A0B8E" w:rsidR="00F45A22" w:rsidRPr="00006242" w:rsidRDefault="00F45A22" w:rsidP="00F45A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006242">
        <w:rPr>
          <w:spacing w:val="-4"/>
          <w:lang w:bidi="ar-SY"/>
        </w:rPr>
        <w:t>1</w:t>
      </w:r>
      <w:r w:rsidRPr="00006242">
        <w:rPr>
          <w:spacing w:val="-4"/>
          <w:lang w:bidi="ar-SY"/>
        </w:rPr>
        <w:tab/>
      </w:r>
      <w:r w:rsidRPr="00006242">
        <w:rPr>
          <w:rFonts w:hint="cs"/>
          <w:spacing w:val="-4"/>
          <w:rtl/>
          <w:lang w:bidi="ar-EG"/>
        </w:rPr>
        <w:t xml:space="preserve">الموافقة على </w:t>
      </w:r>
      <w:r w:rsidRPr="00006242">
        <w:rPr>
          <w:rFonts w:hint="cs"/>
          <w:rtl/>
          <w:lang w:bidi="ar-EG"/>
        </w:rPr>
        <w:t>الخطة التشغيلية للاتحاد</w:t>
      </w:r>
      <w:r>
        <w:rPr>
          <w:rFonts w:hint="cs"/>
          <w:rtl/>
          <w:lang w:bidi="ar-EG"/>
        </w:rPr>
        <w:t xml:space="preserve"> للفترة </w:t>
      </w:r>
      <w:proofErr w:type="gramStart"/>
      <w:r w:rsidR="00580BEB">
        <w:rPr>
          <w:lang w:bidi="ar-EG"/>
        </w:rPr>
        <w:t>2028-2025</w:t>
      </w:r>
      <w:r w:rsidRPr="00006242">
        <w:rPr>
          <w:rFonts w:hint="cs"/>
          <w:rtl/>
          <w:lang w:bidi="ar-EG"/>
        </w:rPr>
        <w:t>؛</w:t>
      </w:r>
      <w:proofErr w:type="gramEnd"/>
    </w:p>
    <w:p w14:paraId="2C8805FB" w14:textId="187D481B" w:rsidR="00F45A22" w:rsidRPr="00006242" w:rsidRDefault="00F45A22" w:rsidP="00F45A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06242">
        <w:rPr>
          <w:lang w:bidi="ar-SY"/>
        </w:rPr>
        <w:t>2</w:t>
      </w:r>
      <w:r w:rsidRPr="00006242">
        <w:rPr>
          <w:lang w:bidi="ar-SY"/>
        </w:rPr>
        <w:tab/>
      </w:r>
      <w:r w:rsidRPr="00006242">
        <w:rPr>
          <w:rFonts w:hint="eastAsia"/>
          <w:rtl/>
        </w:rPr>
        <w:t>إتاحة</w:t>
      </w:r>
      <w:r w:rsidRPr="00006242">
        <w:rPr>
          <w:rtl/>
          <w:lang w:bidi="ar-EG"/>
        </w:rPr>
        <w:t xml:space="preserve"> </w:t>
      </w:r>
      <w:r w:rsidRPr="00006242">
        <w:rPr>
          <w:rFonts w:hint="eastAsia"/>
          <w:rtl/>
          <w:lang w:bidi="ar-EG"/>
        </w:rPr>
        <w:t>المرونة</w:t>
      </w:r>
      <w:r w:rsidRPr="00006242">
        <w:rPr>
          <w:rtl/>
          <w:lang w:bidi="ar-EG"/>
        </w:rPr>
        <w:t xml:space="preserve"> </w:t>
      </w:r>
      <w:r w:rsidRPr="00006242">
        <w:rPr>
          <w:rFonts w:hint="eastAsia"/>
          <w:rtl/>
          <w:lang w:bidi="ar-EG"/>
        </w:rPr>
        <w:t>اللازمة</w:t>
      </w:r>
      <w:r w:rsidRPr="00006242">
        <w:rPr>
          <w:rtl/>
          <w:lang w:bidi="ar-EG"/>
        </w:rPr>
        <w:t xml:space="preserve"> </w:t>
      </w:r>
      <w:r w:rsidRPr="00006242">
        <w:rPr>
          <w:rFonts w:hint="eastAsia"/>
          <w:rtl/>
          <w:lang w:bidi="ar-EG"/>
        </w:rPr>
        <w:t>للأمين</w:t>
      </w:r>
      <w:r w:rsidR="004770BF">
        <w:rPr>
          <w:rFonts w:hint="cs"/>
          <w:rtl/>
          <w:lang w:bidi="ar-EG"/>
        </w:rPr>
        <w:t>ة</w:t>
      </w:r>
      <w:r w:rsidRPr="00006242">
        <w:rPr>
          <w:rtl/>
          <w:lang w:bidi="ar-EG"/>
        </w:rPr>
        <w:t xml:space="preserve"> </w:t>
      </w:r>
      <w:r w:rsidRPr="00006242">
        <w:rPr>
          <w:rFonts w:hint="eastAsia"/>
          <w:rtl/>
          <w:lang w:bidi="ar-EG"/>
        </w:rPr>
        <w:t>العام</w:t>
      </w:r>
      <w:r w:rsidR="004770BF">
        <w:rPr>
          <w:rFonts w:hint="cs"/>
          <w:rtl/>
          <w:lang w:bidi="ar-EG"/>
        </w:rPr>
        <w:t>ة</w:t>
      </w:r>
      <w:r w:rsidRPr="00006242">
        <w:rPr>
          <w:rFonts w:hint="cs"/>
          <w:rtl/>
          <w:lang w:bidi="ar-EG"/>
        </w:rPr>
        <w:t xml:space="preserve"> والمديرين</w:t>
      </w:r>
      <w:r w:rsidRPr="00006242">
        <w:rPr>
          <w:rtl/>
          <w:lang w:bidi="ar-EG"/>
        </w:rPr>
        <w:t xml:space="preserve"> </w:t>
      </w:r>
      <w:r w:rsidRPr="00006242">
        <w:rPr>
          <w:rFonts w:hint="cs"/>
          <w:rtl/>
          <w:lang w:bidi="ar-EG"/>
        </w:rPr>
        <w:t xml:space="preserve">في </w:t>
      </w:r>
      <w:r w:rsidRPr="00006242">
        <w:rPr>
          <w:rFonts w:hint="eastAsia"/>
          <w:rtl/>
          <w:lang w:bidi="ar-EG"/>
        </w:rPr>
        <w:t>تنفيذ</w:t>
      </w:r>
      <w:r w:rsidRPr="00006242">
        <w:rPr>
          <w:rFonts w:hint="cs"/>
          <w:rtl/>
          <w:lang w:bidi="ar-EG"/>
        </w:rPr>
        <w:t xml:space="preserve"> الأقسام المكلّف بها كل منهم من الخطة التشغيلية </w:t>
      </w:r>
      <w:r>
        <w:rPr>
          <w:rFonts w:hint="cs"/>
          <w:rtl/>
          <w:lang w:bidi="ar-EG"/>
        </w:rPr>
        <w:t xml:space="preserve">للاتحاد للفترة </w:t>
      </w:r>
      <w:r w:rsidR="00580BEB">
        <w:rPr>
          <w:lang w:bidi="ar-EG"/>
        </w:rPr>
        <w:t>2028-2025</w:t>
      </w:r>
      <w:r w:rsidRPr="00006242">
        <w:rPr>
          <w:rtl/>
          <w:lang w:bidi="ar-EG"/>
        </w:rPr>
        <w:t>.</w:t>
      </w:r>
    </w:p>
    <w:p w14:paraId="795A25EE" w14:textId="31D54315" w:rsidR="00F45A22" w:rsidRDefault="00B21028" w:rsidP="00B2102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F45A22" w:rsidSect="00F45A22">
      <w:headerReference w:type="default" r:id="rId9"/>
      <w:footerReference w:type="default" r:id="rId10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A8F8" w14:textId="77777777" w:rsidR="00F946BD" w:rsidRDefault="00F946BD" w:rsidP="006C3242">
      <w:pPr>
        <w:spacing w:before="0" w:line="240" w:lineRule="auto"/>
      </w:pPr>
      <w:r>
        <w:separator/>
      </w:r>
    </w:p>
  </w:endnote>
  <w:endnote w:type="continuationSeparator" w:id="0">
    <w:p w14:paraId="44415C02" w14:textId="77777777" w:rsidR="00F946BD" w:rsidRDefault="00F946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D821FC" w:rsidRPr="007B0AA0" w14:paraId="3BADDF35" w14:textId="77777777" w:rsidTr="00E53A30">
      <w:trPr>
        <w:jc w:val="center"/>
      </w:trPr>
      <w:tc>
        <w:tcPr>
          <w:tcW w:w="868" w:type="pct"/>
          <w:vAlign w:val="center"/>
        </w:tcPr>
        <w:p w14:paraId="64E8A58D" w14:textId="77777777" w:rsidR="00D821FC" w:rsidRPr="007B0AA0" w:rsidRDefault="009F450F" w:rsidP="00D821F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D821FC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C24113A" w14:textId="735C6492" w:rsidR="00D821FC" w:rsidRPr="007B0AA0" w:rsidRDefault="00D821FC" w:rsidP="00D821F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94E11">
            <w:rPr>
              <w:rFonts w:ascii="Calibri" w:hAnsi="Calibri" w:cs="Arial"/>
              <w:bCs/>
              <w:color w:val="7F7F7F"/>
              <w:sz w:val="18"/>
            </w:rPr>
            <w:t>123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EB5B357" w14:textId="77777777" w:rsidR="00D821FC" w:rsidRPr="007B0AA0" w:rsidRDefault="00D821FC" w:rsidP="00D821F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F5D8A4A" w14:textId="77777777" w:rsidR="002A15DB" w:rsidRPr="00304878" w:rsidRDefault="002A15DB" w:rsidP="00D821F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FB09" w14:textId="77777777" w:rsidR="00F946BD" w:rsidRDefault="00F946BD" w:rsidP="006C3242">
      <w:pPr>
        <w:spacing w:before="0" w:line="240" w:lineRule="auto"/>
      </w:pPr>
      <w:r>
        <w:separator/>
      </w:r>
    </w:p>
  </w:footnote>
  <w:footnote w:type="continuationSeparator" w:id="0">
    <w:p w14:paraId="5FE2C640" w14:textId="77777777" w:rsidR="00F946BD" w:rsidRDefault="00F946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5255" w14:textId="269FF73D" w:rsidR="00D821FC" w:rsidRDefault="00D821FC" w:rsidP="00D821FC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00022" wp14:editId="7992097D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281D1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72830B66" wp14:editId="28594629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BD"/>
    <w:rsid w:val="00033C45"/>
    <w:rsid w:val="00034162"/>
    <w:rsid w:val="00041073"/>
    <w:rsid w:val="00047790"/>
    <w:rsid w:val="0005359A"/>
    <w:rsid w:val="0006468A"/>
    <w:rsid w:val="00087896"/>
    <w:rsid w:val="00090574"/>
    <w:rsid w:val="0009186A"/>
    <w:rsid w:val="000A103D"/>
    <w:rsid w:val="000C1C0E"/>
    <w:rsid w:val="000C548A"/>
    <w:rsid w:val="000F1F97"/>
    <w:rsid w:val="00134741"/>
    <w:rsid w:val="0017088B"/>
    <w:rsid w:val="00185ABA"/>
    <w:rsid w:val="001861A8"/>
    <w:rsid w:val="00194A8B"/>
    <w:rsid w:val="00195A01"/>
    <w:rsid w:val="00195B5F"/>
    <w:rsid w:val="001A0C0E"/>
    <w:rsid w:val="001C0169"/>
    <w:rsid w:val="001D1D50"/>
    <w:rsid w:val="001D6745"/>
    <w:rsid w:val="001E446E"/>
    <w:rsid w:val="0020389A"/>
    <w:rsid w:val="002154EE"/>
    <w:rsid w:val="002168F2"/>
    <w:rsid w:val="00220F4C"/>
    <w:rsid w:val="002228C4"/>
    <w:rsid w:val="002276D2"/>
    <w:rsid w:val="00231354"/>
    <w:rsid w:val="0023283D"/>
    <w:rsid w:val="00260950"/>
    <w:rsid w:val="00260E5A"/>
    <w:rsid w:val="0026373E"/>
    <w:rsid w:val="00271C43"/>
    <w:rsid w:val="00281A6B"/>
    <w:rsid w:val="002868A6"/>
    <w:rsid w:val="00290728"/>
    <w:rsid w:val="002978F4"/>
    <w:rsid w:val="002A15DB"/>
    <w:rsid w:val="002A2AB3"/>
    <w:rsid w:val="002B028D"/>
    <w:rsid w:val="002B76EC"/>
    <w:rsid w:val="002E5F11"/>
    <w:rsid w:val="002E6541"/>
    <w:rsid w:val="002F4597"/>
    <w:rsid w:val="00304878"/>
    <w:rsid w:val="00314E85"/>
    <w:rsid w:val="00334924"/>
    <w:rsid w:val="003409BC"/>
    <w:rsid w:val="00355150"/>
    <w:rsid w:val="00357185"/>
    <w:rsid w:val="0037329C"/>
    <w:rsid w:val="00383829"/>
    <w:rsid w:val="00383D10"/>
    <w:rsid w:val="00387876"/>
    <w:rsid w:val="003B730F"/>
    <w:rsid w:val="003F4B29"/>
    <w:rsid w:val="00416D2E"/>
    <w:rsid w:val="00425443"/>
    <w:rsid w:val="0042686F"/>
    <w:rsid w:val="00427AFC"/>
    <w:rsid w:val="004317D8"/>
    <w:rsid w:val="00434183"/>
    <w:rsid w:val="004425FB"/>
    <w:rsid w:val="00443869"/>
    <w:rsid w:val="00447C41"/>
    <w:rsid w:val="00447F32"/>
    <w:rsid w:val="004500A2"/>
    <w:rsid w:val="00456B1F"/>
    <w:rsid w:val="0045785C"/>
    <w:rsid w:val="004659F9"/>
    <w:rsid w:val="004727CD"/>
    <w:rsid w:val="004770BF"/>
    <w:rsid w:val="0048304E"/>
    <w:rsid w:val="0049790C"/>
    <w:rsid w:val="004A0EAD"/>
    <w:rsid w:val="004A3975"/>
    <w:rsid w:val="004A697F"/>
    <w:rsid w:val="004B7334"/>
    <w:rsid w:val="004C1F11"/>
    <w:rsid w:val="004E11DC"/>
    <w:rsid w:val="004E6A9C"/>
    <w:rsid w:val="004F38D0"/>
    <w:rsid w:val="00525DDD"/>
    <w:rsid w:val="00526AE4"/>
    <w:rsid w:val="00536E65"/>
    <w:rsid w:val="005409AC"/>
    <w:rsid w:val="00545760"/>
    <w:rsid w:val="00545AC6"/>
    <w:rsid w:val="00550129"/>
    <w:rsid w:val="0055516A"/>
    <w:rsid w:val="00562A38"/>
    <w:rsid w:val="005727BC"/>
    <w:rsid w:val="0058079F"/>
    <w:rsid w:val="00580BEB"/>
    <w:rsid w:val="0058491B"/>
    <w:rsid w:val="005867F5"/>
    <w:rsid w:val="00592EA5"/>
    <w:rsid w:val="005A3170"/>
    <w:rsid w:val="005B05F4"/>
    <w:rsid w:val="005C04C0"/>
    <w:rsid w:val="005C2A1F"/>
    <w:rsid w:val="005C4E0C"/>
    <w:rsid w:val="005E3EE9"/>
    <w:rsid w:val="00610CB7"/>
    <w:rsid w:val="006121DA"/>
    <w:rsid w:val="00612521"/>
    <w:rsid w:val="006235B3"/>
    <w:rsid w:val="00624CE9"/>
    <w:rsid w:val="00646F27"/>
    <w:rsid w:val="00661F84"/>
    <w:rsid w:val="00663236"/>
    <w:rsid w:val="00665D76"/>
    <w:rsid w:val="00666205"/>
    <w:rsid w:val="00677396"/>
    <w:rsid w:val="0069171F"/>
    <w:rsid w:val="0069200F"/>
    <w:rsid w:val="006A6323"/>
    <w:rsid w:val="006A65CB"/>
    <w:rsid w:val="006B518B"/>
    <w:rsid w:val="006C3242"/>
    <w:rsid w:val="006C7CC0"/>
    <w:rsid w:val="006D2915"/>
    <w:rsid w:val="006E2E41"/>
    <w:rsid w:val="006E6FAB"/>
    <w:rsid w:val="006F63F7"/>
    <w:rsid w:val="007025C7"/>
    <w:rsid w:val="00706D7A"/>
    <w:rsid w:val="007070C2"/>
    <w:rsid w:val="0071374B"/>
    <w:rsid w:val="00720D0B"/>
    <w:rsid w:val="00722F0D"/>
    <w:rsid w:val="007363D4"/>
    <w:rsid w:val="0074420E"/>
    <w:rsid w:val="00744BED"/>
    <w:rsid w:val="007724A7"/>
    <w:rsid w:val="0078252B"/>
    <w:rsid w:val="00783E26"/>
    <w:rsid w:val="00784C0D"/>
    <w:rsid w:val="00787446"/>
    <w:rsid w:val="00795D98"/>
    <w:rsid w:val="007A224E"/>
    <w:rsid w:val="007B0AA0"/>
    <w:rsid w:val="007B2F70"/>
    <w:rsid w:val="007B6F1A"/>
    <w:rsid w:val="007B79B5"/>
    <w:rsid w:val="007C08FF"/>
    <w:rsid w:val="007C3BC7"/>
    <w:rsid w:val="007C3BCD"/>
    <w:rsid w:val="007D4ACF"/>
    <w:rsid w:val="007E1EB7"/>
    <w:rsid w:val="007E2222"/>
    <w:rsid w:val="007E69D4"/>
    <w:rsid w:val="007F0787"/>
    <w:rsid w:val="00810B7B"/>
    <w:rsid w:val="0082358A"/>
    <w:rsid w:val="008235CD"/>
    <w:rsid w:val="008247DE"/>
    <w:rsid w:val="008339C0"/>
    <w:rsid w:val="00840B10"/>
    <w:rsid w:val="008513CB"/>
    <w:rsid w:val="00860304"/>
    <w:rsid w:val="00866484"/>
    <w:rsid w:val="00872E4E"/>
    <w:rsid w:val="008812F3"/>
    <w:rsid w:val="00894623"/>
    <w:rsid w:val="008A717B"/>
    <w:rsid w:val="008A7F84"/>
    <w:rsid w:val="008F2AF1"/>
    <w:rsid w:val="00914E7E"/>
    <w:rsid w:val="0091702E"/>
    <w:rsid w:val="00923B0C"/>
    <w:rsid w:val="009278E6"/>
    <w:rsid w:val="0094021C"/>
    <w:rsid w:val="00952F86"/>
    <w:rsid w:val="0096017F"/>
    <w:rsid w:val="00966649"/>
    <w:rsid w:val="00974B51"/>
    <w:rsid w:val="00982B28"/>
    <w:rsid w:val="00992A2D"/>
    <w:rsid w:val="00995A84"/>
    <w:rsid w:val="009A5096"/>
    <w:rsid w:val="009C0A3F"/>
    <w:rsid w:val="009D313F"/>
    <w:rsid w:val="009E3DA5"/>
    <w:rsid w:val="009E4B7F"/>
    <w:rsid w:val="009E6BAB"/>
    <w:rsid w:val="009F450F"/>
    <w:rsid w:val="00A22453"/>
    <w:rsid w:val="00A3154F"/>
    <w:rsid w:val="00A33B2B"/>
    <w:rsid w:val="00A45FF1"/>
    <w:rsid w:val="00A46136"/>
    <w:rsid w:val="00A47A5A"/>
    <w:rsid w:val="00A508EB"/>
    <w:rsid w:val="00A6683B"/>
    <w:rsid w:val="00A90EAB"/>
    <w:rsid w:val="00A97F94"/>
    <w:rsid w:val="00AA7EA2"/>
    <w:rsid w:val="00AB1C71"/>
    <w:rsid w:val="00AB647C"/>
    <w:rsid w:val="00AB68D8"/>
    <w:rsid w:val="00AC227F"/>
    <w:rsid w:val="00AD195A"/>
    <w:rsid w:val="00AD1C4A"/>
    <w:rsid w:val="00AD4923"/>
    <w:rsid w:val="00AD5626"/>
    <w:rsid w:val="00AD7743"/>
    <w:rsid w:val="00AD7803"/>
    <w:rsid w:val="00AE4E31"/>
    <w:rsid w:val="00AF2A3E"/>
    <w:rsid w:val="00B013D3"/>
    <w:rsid w:val="00B03099"/>
    <w:rsid w:val="00B05BC8"/>
    <w:rsid w:val="00B11E90"/>
    <w:rsid w:val="00B21028"/>
    <w:rsid w:val="00B232D6"/>
    <w:rsid w:val="00B34AB3"/>
    <w:rsid w:val="00B6080B"/>
    <w:rsid w:val="00B64B47"/>
    <w:rsid w:val="00B76919"/>
    <w:rsid w:val="00B80229"/>
    <w:rsid w:val="00B91B14"/>
    <w:rsid w:val="00B95654"/>
    <w:rsid w:val="00BA5102"/>
    <w:rsid w:val="00BA6BCF"/>
    <w:rsid w:val="00BC0C0C"/>
    <w:rsid w:val="00BC1F95"/>
    <w:rsid w:val="00BC5BDD"/>
    <w:rsid w:val="00BD54B2"/>
    <w:rsid w:val="00BE5FB2"/>
    <w:rsid w:val="00C002DE"/>
    <w:rsid w:val="00C04F94"/>
    <w:rsid w:val="00C06C02"/>
    <w:rsid w:val="00C100B3"/>
    <w:rsid w:val="00C108E6"/>
    <w:rsid w:val="00C165A4"/>
    <w:rsid w:val="00C22256"/>
    <w:rsid w:val="00C25125"/>
    <w:rsid w:val="00C262F0"/>
    <w:rsid w:val="00C44D15"/>
    <w:rsid w:val="00C53BF8"/>
    <w:rsid w:val="00C65368"/>
    <w:rsid w:val="00C66157"/>
    <w:rsid w:val="00C674FE"/>
    <w:rsid w:val="00C67501"/>
    <w:rsid w:val="00C75633"/>
    <w:rsid w:val="00C9764E"/>
    <w:rsid w:val="00CA078D"/>
    <w:rsid w:val="00CB086A"/>
    <w:rsid w:val="00CE2A54"/>
    <w:rsid w:val="00CE2EE1"/>
    <w:rsid w:val="00CE3349"/>
    <w:rsid w:val="00CE36E5"/>
    <w:rsid w:val="00CF27F5"/>
    <w:rsid w:val="00CF3FFD"/>
    <w:rsid w:val="00D10CCF"/>
    <w:rsid w:val="00D12BE3"/>
    <w:rsid w:val="00D13941"/>
    <w:rsid w:val="00D456AE"/>
    <w:rsid w:val="00D63735"/>
    <w:rsid w:val="00D6459B"/>
    <w:rsid w:val="00D75E0F"/>
    <w:rsid w:val="00D77D0F"/>
    <w:rsid w:val="00D821FC"/>
    <w:rsid w:val="00DA1CF0"/>
    <w:rsid w:val="00DB2FFC"/>
    <w:rsid w:val="00DC0B64"/>
    <w:rsid w:val="00DC1E02"/>
    <w:rsid w:val="00DC24B4"/>
    <w:rsid w:val="00DC40BD"/>
    <w:rsid w:val="00DC5FB0"/>
    <w:rsid w:val="00DD031E"/>
    <w:rsid w:val="00DD7612"/>
    <w:rsid w:val="00DE5B15"/>
    <w:rsid w:val="00DE6677"/>
    <w:rsid w:val="00DF16DC"/>
    <w:rsid w:val="00DF2631"/>
    <w:rsid w:val="00DF2A3B"/>
    <w:rsid w:val="00E171E7"/>
    <w:rsid w:val="00E25A21"/>
    <w:rsid w:val="00E30706"/>
    <w:rsid w:val="00E45211"/>
    <w:rsid w:val="00E47144"/>
    <w:rsid w:val="00E473C5"/>
    <w:rsid w:val="00E51C4B"/>
    <w:rsid w:val="00E61BE8"/>
    <w:rsid w:val="00E65963"/>
    <w:rsid w:val="00E7471D"/>
    <w:rsid w:val="00E754EC"/>
    <w:rsid w:val="00E7574F"/>
    <w:rsid w:val="00E84C73"/>
    <w:rsid w:val="00E91F3F"/>
    <w:rsid w:val="00E92863"/>
    <w:rsid w:val="00E95327"/>
    <w:rsid w:val="00EB6A74"/>
    <w:rsid w:val="00EB796D"/>
    <w:rsid w:val="00ED32E5"/>
    <w:rsid w:val="00ED4865"/>
    <w:rsid w:val="00EE08B2"/>
    <w:rsid w:val="00EE5274"/>
    <w:rsid w:val="00EE716C"/>
    <w:rsid w:val="00EE7D7B"/>
    <w:rsid w:val="00EF740D"/>
    <w:rsid w:val="00F00CEC"/>
    <w:rsid w:val="00F058DC"/>
    <w:rsid w:val="00F10257"/>
    <w:rsid w:val="00F2233B"/>
    <w:rsid w:val="00F24FC4"/>
    <w:rsid w:val="00F2676C"/>
    <w:rsid w:val="00F363FE"/>
    <w:rsid w:val="00F45A22"/>
    <w:rsid w:val="00F4723F"/>
    <w:rsid w:val="00F50E3F"/>
    <w:rsid w:val="00F52A35"/>
    <w:rsid w:val="00F655B1"/>
    <w:rsid w:val="00F6593D"/>
    <w:rsid w:val="00F84366"/>
    <w:rsid w:val="00F84400"/>
    <w:rsid w:val="00F85089"/>
    <w:rsid w:val="00F85851"/>
    <w:rsid w:val="00F91E17"/>
    <w:rsid w:val="00F946BD"/>
    <w:rsid w:val="00F94E11"/>
    <w:rsid w:val="00F974C5"/>
    <w:rsid w:val="00FA03BD"/>
    <w:rsid w:val="00FA1C0E"/>
    <w:rsid w:val="00FA6F46"/>
    <w:rsid w:val="00FB1721"/>
    <w:rsid w:val="00FC4592"/>
    <w:rsid w:val="00FD0D3A"/>
    <w:rsid w:val="00FD1D0F"/>
    <w:rsid w:val="00FD4770"/>
    <w:rsid w:val="00FD527F"/>
    <w:rsid w:val="00FE193A"/>
    <w:rsid w:val="00FE29A3"/>
    <w:rsid w:val="00FE5872"/>
    <w:rsid w:val="00FE7461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2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8A717B"/>
    <w:rPr>
      <w:color w:val="605E5C"/>
      <w:shd w:val="clear" w:color="auto" w:fill="E1DFDD"/>
    </w:rPr>
  </w:style>
  <w:style w:type="paragraph" w:customStyle="1" w:styleId="Figure">
    <w:name w:val="Figure"/>
    <w:basedOn w:val="Normal"/>
    <w:autoRedefine/>
    <w:qFormat/>
    <w:rsid w:val="00F10257"/>
    <w:pPr>
      <w:spacing w:before="100" w:beforeAutospacing="1" w:after="100" w:afterAutospacing="1" w:line="240" w:lineRule="auto"/>
      <w:jc w:val="center"/>
    </w:pPr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28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1421 - Operational plan for the Union for 2025-2028</vt:lpstr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1421 - Operational plan for the Union for 2025-2028</dc:title>
  <dc:subject>2024 session of the Council</dc:subject>
  <dc:creator/>
  <cp:keywords>Council-24, C24, Council 2024</cp:keywords>
  <dc:description/>
  <cp:lastModifiedBy/>
  <cp:revision>1</cp:revision>
  <dcterms:created xsi:type="dcterms:W3CDTF">2024-06-26T08:39:00Z</dcterms:created>
  <dcterms:modified xsi:type="dcterms:W3CDTF">2024-07-18T09:45:00Z</dcterms:modified>
  <cp:category>Conference document</cp:category>
</cp:coreProperties>
</file>