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1353C6" w:rsidRPr="00C30030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41ACB972" w:rsidR="001353C6" w:rsidRPr="00C30030" w:rsidRDefault="001353C6" w:rsidP="001353C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6A8BB927" w:rsidR="001353C6" w:rsidRPr="00C30030" w:rsidRDefault="001353C6" w:rsidP="000A2F16">
            <w:pPr>
              <w:spacing w:before="0" w:line="240" w:lineRule="atLeast"/>
              <w:jc w:val="right"/>
              <w:rPr>
                <w:b/>
              </w:rPr>
            </w:pPr>
            <w:r w:rsidRPr="00C30030">
              <w:rPr>
                <w:b/>
              </w:rPr>
              <w:t>Documento C24/</w:t>
            </w:r>
            <w:r w:rsidR="001B4FF0">
              <w:rPr>
                <w:b/>
              </w:rPr>
              <w:t>125</w:t>
            </w:r>
            <w:r w:rsidRPr="00C30030">
              <w:rPr>
                <w:b/>
              </w:rPr>
              <w:t>-S</w:t>
            </w:r>
          </w:p>
        </w:tc>
      </w:tr>
      <w:tr w:rsidR="001353C6" w:rsidRPr="00C30030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1353C6" w:rsidRPr="00C30030" w:rsidRDefault="001353C6" w:rsidP="001353C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46A0790B" w:rsidR="001353C6" w:rsidRPr="00C30030" w:rsidRDefault="001A5BA2" w:rsidP="001353C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30030">
              <w:rPr>
                <w:b/>
              </w:rPr>
              <w:t>14</w:t>
            </w:r>
            <w:r w:rsidR="001353C6" w:rsidRPr="00C30030">
              <w:rPr>
                <w:b/>
              </w:rPr>
              <w:t xml:space="preserve"> de</w:t>
            </w:r>
            <w:r w:rsidR="00884B68" w:rsidRPr="00C30030">
              <w:rPr>
                <w:b/>
              </w:rPr>
              <w:t xml:space="preserve"> junio</w:t>
            </w:r>
            <w:r w:rsidR="001353C6" w:rsidRPr="00C30030">
              <w:rPr>
                <w:b/>
              </w:rPr>
              <w:t xml:space="preserve"> de 2024</w:t>
            </w:r>
          </w:p>
        </w:tc>
      </w:tr>
      <w:tr w:rsidR="001353C6" w:rsidRPr="00C30030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1353C6" w:rsidRPr="00C30030" w:rsidRDefault="001353C6" w:rsidP="001353C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619DA1B6" w:rsidR="001353C6" w:rsidRPr="00C30030" w:rsidRDefault="001353C6" w:rsidP="001353C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30030">
              <w:rPr>
                <w:rFonts w:cstheme="minorHAnsi"/>
                <w:b/>
                <w:bCs/>
              </w:rPr>
              <w:t>Original: inglés</w:t>
            </w:r>
          </w:p>
        </w:tc>
      </w:tr>
    </w:tbl>
    <w:bookmarkEnd w:id="0"/>
    <w:p w14:paraId="11BD952F" w14:textId="71606FA9" w:rsidR="001353C6" w:rsidRDefault="001353C6" w:rsidP="001353C6">
      <w:pPr>
        <w:pStyle w:val="ResNo"/>
      </w:pPr>
      <w:r w:rsidRPr="00C30030">
        <w:t xml:space="preserve">RESOLUCIÓN </w:t>
      </w:r>
      <w:r w:rsidR="001B4FF0">
        <w:t>1422</w:t>
      </w:r>
    </w:p>
    <w:p w14:paraId="69C64FE1" w14:textId="25CBA13F" w:rsidR="004A67AF" w:rsidRPr="004A67AF" w:rsidRDefault="004A67AF" w:rsidP="004A67AF">
      <w:pPr>
        <w:pStyle w:val="Resref"/>
        <w:rPr>
          <w:rFonts w:asciiTheme="minorHAnsi" w:hAnsiTheme="minorHAnsi" w:cstheme="minorHAnsi"/>
        </w:rPr>
      </w:pPr>
      <w:r w:rsidRPr="004A67AF">
        <w:rPr>
          <w:rFonts w:asciiTheme="minorHAnsi" w:hAnsiTheme="minorHAnsi" w:cstheme="minorHAnsi"/>
        </w:rPr>
        <w:t xml:space="preserve">(adoptada en la </w:t>
      </w:r>
      <w:r>
        <w:rPr>
          <w:rFonts w:asciiTheme="minorHAnsi" w:hAnsiTheme="minorHAnsi" w:cstheme="minorHAnsi"/>
        </w:rPr>
        <w:t xml:space="preserve">quinta </w:t>
      </w:r>
      <w:r w:rsidRPr="004A67AF">
        <w:rPr>
          <w:rFonts w:asciiTheme="minorHAnsi" w:hAnsiTheme="minorHAnsi" w:cstheme="minorHAnsi"/>
        </w:rPr>
        <w:t>Sesión Plenaria)</w:t>
      </w:r>
    </w:p>
    <w:p w14:paraId="3110F74E" w14:textId="77777777" w:rsidR="001353C6" w:rsidRPr="00C30030" w:rsidRDefault="001353C6" w:rsidP="001353C6">
      <w:pPr>
        <w:pStyle w:val="Restitle"/>
      </w:pPr>
      <w:r w:rsidRPr="00C30030">
        <w:t>Orden del día de la Conferencia Mundial de Radiocomunicaciones de 2027</w:t>
      </w:r>
      <w:r w:rsidRPr="00C30030">
        <w:br/>
        <w:t>(CMR-27)</w:t>
      </w:r>
    </w:p>
    <w:p w14:paraId="72EC2CE5" w14:textId="77777777" w:rsidR="001353C6" w:rsidRPr="00C30030" w:rsidRDefault="001353C6" w:rsidP="001353C6">
      <w:pPr>
        <w:pStyle w:val="Normalaftertitle"/>
      </w:pPr>
      <w:r w:rsidRPr="00C30030">
        <w:t>El Consejo de la UIT,</w:t>
      </w:r>
    </w:p>
    <w:p w14:paraId="69834AEB" w14:textId="77777777" w:rsidR="001353C6" w:rsidRPr="00C30030" w:rsidRDefault="001353C6" w:rsidP="001353C6">
      <w:pPr>
        <w:pStyle w:val="Call"/>
      </w:pPr>
      <w:r w:rsidRPr="00C30030">
        <w:t>observando</w:t>
      </w:r>
    </w:p>
    <w:p w14:paraId="6CDE11C7" w14:textId="77777777" w:rsidR="001353C6" w:rsidRPr="00C30030" w:rsidRDefault="001353C6" w:rsidP="001353C6">
      <w:r w:rsidRPr="00C30030">
        <w:t>que en la Resolución 813 de la Conferencia Mundial de Radiocomunicaciones (Dubái, 2023):</w:t>
      </w:r>
    </w:p>
    <w:p w14:paraId="1E5CFB87" w14:textId="77777777" w:rsidR="001353C6" w:rsidRPr="00C30030" w:rsidRDefault="001353C6" w:rsidP="001353C6">
      <w:r w:rsidRPr="00C30030">
        <w:rPr>
          <w:i/>
          <w:iCs/>
        </w:rPr>
        <w:t>a)</w:t>
      </w:r>
      <w:r w:rsidRPr="00C30030">
        <w:tab/>
        <w:t>se resuelve recomendar al Consejo la celebración de una Conferencia Mundial de Radiocomunicaciones en 2027 con una duración máxima de cuatro semanas;</w:t>
      </w:r>
    </w:p>
    <w:p w14:paraId="702A23CF" w14:textId="77777777" w:rsidR="001353C6" w:rsidRPr="00C30030" w:rsidRDefault="001353C6" w:rsidP="001353C6">
      <w:r w:rsidRPr="00C30030">
        <w:rPr>
          <w:i/>
          <w:iCs/>
        </w:rPr>
        <w:t>b)</w:t>
      </w:r>
      <w:r w:rsidRPr="00C30030">
        <w:tab/>
        <w:t>recomienda su orden del día e invita al Consejo a ultimarlo y a tomar las disposiciones necesarias para convocar la CMR</w:t>
      </w:r>
      <w:r w:rsidRPr="00C30030">
        <w:noBreakHyphen/>
        <w:t>27 y a iniciar lo antes posible las consultas necesarias con los Estados Miembros,</w:t>
      </w:r>
    </w:p>
    <w:p w14:paraId="1BACBE21" w14:textId="77777777" w:rsidR="001353C6" w:rsidRPr="00C30030" w:rsidRDefault="001353C6" w:rsidP="001353C6">
      <w:pPr>
        <w:pStyle w:val="Call"/>
      </w:pPr>
      <w:r w:rsidRPr="00C30030">
        <w:t>resuelve</w:t>
      </w:r>
    </w:p>
    <w:p w14:paraId="4D06AA44" w14:textId="77777777" w:rsidR="001353C6" w:rsidRPr="00C30030" w:rsidRDefault="001353C6" w:rsidP="001353C6">
      <w:r w:rsidRPr="00C30030">
        <w:t>convocar una Conferencia Mundial de Radiocomunicaciones (CMR</w:t>
      </w:r>
      <w:r w:rsidRPr="00C30030">
        <w:noBreakHyphen/>
        <w:t>27) en 2027, precedida por la Asamblea de Radiocomunicaciones, con el siguiente orden del día:</w:t>
      </w:r>
    </w:p>
    <w:p w14:paraId="13BEC7F9" w14:textId="77777777" w:rsidR="001353C6" w:rsidRPr="00C30030" w:rsidRDefault="001353C6" w:rsidP="001353C6">
      <w:r w:rsidRPr="00C30030">
        <w:t>1</w:t>
      </w:r>
      <w:r w:rsidRPr="00C30030">
        <w:tab/>
        <w:t>sobre la base de las propuestas de las administraciones, teniendo en cuenta los resultados de la CMR</w:t>
      </w:r>
      <w:r w:rsidRPr="00C30030">
        <w:noBreakHyphen/>
        <w:t>23 y el Informe de la Reunión Preparatoria de la Conferencia, y teniendo debidamente en cuenta las necesidades de los servicios existentes y futuros en las bandas de frecuencias consideradas, considerar y tomar las medidas oportunas con respecto a los temas siguientes:</w:t>
      </w:r>
    </w:p>
    <w:p w14:paraId="190A6A0F" w14:textId="6C628FE4" w:rsidR="001353C6" w:rsidRPr="00C30030" w:rsidRDefault="001353C6" w:rsidP="001353C6">
      <w:r w:rsidRPr="00C30030">
        <w:t>1.1</w:t>
      </w:r>
      <w:r w:rsidRPr="00C30030">
        <w:tab/>
        <w:t>considerar las condiciones técnicas y operativas para la utilización de las bandas de frecuencias 47,2</w:t>
      </w:r>
      <w:r w:rsidRPr="00C30030">
        <w:noBreakHyphen/>
        <w:t>50,2 GHz y 50,4</w:t>
      </w:r>
      <w:r w:rsidRPr="00C30030">
        <w:noBreakHyphen/>
        <w:t>51,4 GHz (Tierra</w:t>
      </w:r>
      <w:r w:rsidRPr="00C30030">
        <w:noBreakHyphen/>
        <w:t>espacio), o partes de las mismas, por estaciones terrenas en movimiento aeronáuticas y marítimas que se comunican con estaciones espaciales del servicio fijo por satélite y elaborar medidas reglamentarias, según proceda, para facilitar la utilización de las bandas de frecuencias 47,2</w:t>
      </w:r>
      <w:r w:rsidRPr="00C30030">
        <w:noBreakHyphen/>
        <w:t>50,2 GHz y 50,4</w:t>
      </w:r>
      <w:r w:rsidRPr="00C30030">
        <w:noBreakHyphen/>
        <w:t>51,4 GHz (Tierra-espacio), o partes de las mismas, por estaciones terrenas en movimiento aeronáuticas y marítimas que se comunican con estaciones espaciales geoestacionarias y estaciones espaciales no geoestacionarias del servicio fijo por satélite, de conformidad con la Resolución </w:t>
      </w:r>
      <w:r w:rsidRPr="00C30030">
        <w:rPr>
          <w:b/>
          <w:bCs/>
        </w:rPr>
        <w:t>176 (Rev.CMR-23)</w:t>
      </w:r>
      <w:r w:rsidRPr="00C30030">
        <w:t>;</w:t>
      </w:r>
    </w:p>
    <w:p w14:paraId="3F9389AE" w14:textId="77777777" w:rsidR="001353C6" w:rsidRPr="00C30030" w:rsidRDefault="001353C6" w:rsidP="001353C6">
      <w:r w:rsidRPr="00C30030">
        <w:t>1.2</w:t>
      </w:r>
      <w:r w:rsidRPr="00C30030">
        <w:tab/>
        <w:t>considerar la posible revisión de las condiciones de compartición en la banda de frecuencias 13,75</w:t>
      </w:r>
      <w:r w:rsidRPr="00C30030">
        <w:noBreakHyphen/>
        <w:t xml:space="preserve">14 GHz para permitir la utilización de estaciones terrenas de enlace </w:t>
      </w:r>
      <w:r w:rsidRPr="00C30030">
        <w:lastRenderedPageBreak/>
        <w:t>ascendente del servicio fijo por satélite con antenas de menor tamaño, de conformidad con la Resolución </w:t>
      </w:r>
      <w:r w:rsidRPr="00C30030">
        <w:rPr>
          <w:b/>
          <w:bCs/>
        </w:rPr>
        <w:t>129 (CMR-23)</w:t>
      </w:r>
      <w:r w:rsidRPr="00C30030">
        <w:t>;</w:t>
      </w:r>
    </w:p>
    <w:p w14:paraId="1A15B5F3" w14:textId="77777777" w:rsidR="001353C6" w:rsidRPr="00C30030" w:rsidRDefault="001353C6" w:rsidP="001353C6">
      <w:r w:rsidRPr="00C30030">
        <w:t>1.3</w:t>
      </w:r>
      <w:r w:rsidRPr="00C30030">
        <w:tab/>
        <w:t>considerar estudios sobre la utilización de la banda de frecuencias 51,4</w:t>
      </w:r>
      <w:r w:rsidRPr="00C30030">
        <w:noBreakHyphen/>
        <w:t>52,4 GHz para permitir su utilización por las estaciones terrenas de pasarela que transmitan a sistemas en la órbita de los satélites no geoestacionarios del servicio fijo por satélite (Tierra</w:t>
      </w:r>
      <w:r w:rsidRPr="00C30030">
        <w:noBreakHyphen/>
        <w:t>espacio), de conformidad con la Resolución </w:t>
      </w:r>
      <w:r w:rsidRPr="00C30030">
        <w:rPr>
          <w:b/>
          <w:bCs/>
        </w:rPr>
        <w:t>130 (CMR-23)</w:t>
      </w:r>
      <w:r w:rsidRPr="00C30030">
        <w:t>;</w:t>
      </w:r>
    </w:p>
    <w:p w14:paraId="4DF1E7AB" w14:textId="2ED87B18" w:rsidR="001353C6" w:rsidRPr="00C30030" w:rsidRDefault="001353C6" w:rsidP="001353C6">
      <w:r w:rsidRPr="00C30030">
        <w:t>1.4</w:t>
      </w:r>
      <w:r w:rsidRPr="00C30030">
        <w:tab/>
        <w:t>considerar una posible nueva atribución a título primario al servicio fijo por satélite (espacio-Tierra) en la banda de frecuencias 17,3</w:t>
      </w:r>
      <w:r w:rsidRPr="00C30030">
        <w:noBreakHyphen/>
        <w:t>17,7 GHz y una posible nueva atribución a título primario al servicio de radiodifusión por satélite (espacio-Tierra) en la banda de frecuencias 17,3</w:t>
      </w:r>
      <w:r w:rsidRPr="00C30030">
        <w:noBreakHyphen/>
        <w:t>17,8 GHz en la Región 3, garantizando a su vez la protección de las atribuciones existentes a título primario en la misma banda de frecuencias y en las bandas de frecuencias adyacentes, y considerar los límites de densidad de flujo de potencia equivalente que habrán de aplicarse en las Regiones 1 y 3 a los sistemas de satélites no geoestacionarios del servicio fijo por satélite (espacio-Tierra) en la banda de frecuencias 17,3</w:t>
      </w:r>
      <w:r w:rsidRPr="00C30030">
        <w:noBreakHyphen/>
        <w:t>17,7 GHz, de conformidad con la Resolución </w:t>
      </w:r>
      <w:r w:rsidRPr="00C30030">
        <w:rPr>
          <w:b/>
          <w:bCs/>
        </w:rPr>
        <w:t>726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54517465" w14:textId="3DD57EE5" w:rsidR="001353C6" w:rsidRPr="00C30030" w:rsidRDefault="001353C6" w:rsidP="001353C6">
      <w:r w:rsidRPr="00C30030">
        <w:t>1.5</w:t>
      </w:r>
      <w:r w:rsidRPr="00C30030">
        <w:tab/>
        <w:t>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satélite, de conformidad con la Resolución </w:t>
      </w:r>
      <w:r w:rsidRPr="00C30030">
        <w:rPr>
          <w:b/>
          <w:bCs/>
        </w:rPr>
        <w:t>14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53EB2866" w14:textId="251695A9" w:rsidR="001353C6" w:rsidRPr="00C30030" w:rsidRDefault="001353C6" w:rsidP="001353C6">
      <w:r w:rsidRPr="00C30030">
        <w:t>1.6</w:t>
      </w:r>
      <w:r w:rsidRPr="00C30030">
        <w:tab/>
        <w:t>considerar las medidas técnicas y reglamentarias aplicables a las redes/sistemas de satélites del servicio fijo por satélite en las bandas de frecuencias 37,5</w:t>
      </w:r>
      <w:r w:rsidRPr="00C30030">
        <w:noBreakHyphen/>
        <w:t>42,5 GHz (espacio</w:t>
      </w:r>
      <w:r w:rsidRPr="00C30030">
        <w:noBreakHyphen/>
        <w:t>Tierra), 42,5</w:t>
      </w:r>
      <w:r w:rsidRPr="00C30030">
        <w:noBreakHyphen/>
        <w:t>43,5 GHz (Tierra-espacio), 47,2</w:t>
      </w:r>
      <w:r w:rsidRPr="00C30030">
        <w:noBreakHyphen/>
        <w:t>50,2 GHz (Tierra-espacio) y 50,4</w:t>
      </w:r>
      <w:r w:rsidRPr="00C30030">
        <w:noBreakHyphen/>
        <w:t>51,4 GHz (Tierra</w:t>
      </w:r>
      <w:r w:rsidRPr="00C30030">
        <w:noBreakHyphen/>
        <w:t>espacio) para lograr el acceso equitativo a estas bandas de frecuencias, de conformidad con la Resolución </w:t>
      </w:r>
      <w:r w:rsidRPr="00C30030">
        <w:rPr>
          <w:b/>
          <w:bCs/>
        </w:rPr>
        <w:t>131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7F79A57F" w14:textId="1821C830" w:rsidR="001353C6" w:rsidRPr="00C30030" w:rsidRDefault="001353C6" w:rsidP="001353C6">
      <w:r w:rsidRPr="00C30030">
        <w:t>1.7</w:t>
      </w:r>
      <w:r w:rsidRPr="00C30030">
        <w:tab/>
        <w:t>considerar estudios de compartición y compatibilidad y determinar las condiciones técnicas necesarias para la utilización de las Telecomunicaciones Móviles Internacionales (IMT) en las bandas de frecuencias 4 400</w:t>
      </w:r>
      <w:r w:rsidRPr="00C30030">
        <w:noBreakHyphen/>
        <w:t>4 800 MHz, 7 125</w:t>
      </w:r>
      <w:r w:rsidRPr="00C30030">
        <w:noBreakHyphen/>
        <w:t xml:space="preserve">8 400 MHz (o partes de </w:t>
      </w:r>
      <w:proofErr w:type="gramStart"/>
      <w:r w:rsidRPr="00C30030">
        <w:t>la misma</w:t>
      </w:r>
      <w:proofErr w:type="gramEnd"/>
      <w:r w:rsidRPr="00C30030">
        <w:t>) y 14,8</w:t>
      </w:r>
      <w:r w:rsidRPr="00C30030">
        <w:noBreakHyphen/>
        <w:t>15,35 GHz, teniendo en cuenta los servicios primarios existentes en dichas bandas de frecuencias, así como en bandas adyacentes, de conformidad con la Resolución </w:t>
      </w:r>
      <w:r w:rsidRPr="00C30030">
        <w:rPr>
          <w:b/>
          <w:bCs/>
        </w:rPr>
        <w:t>256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78CEEE2C" w14:textId="01D9EE64" w:rsidR="001353C6" w:rsidRPr="00C30030" w:rsidRDefault="001353C6" w:rsidP="001353C6">
      <w:r w:rsidRPr="00C30030">
        <w:t>1.8</w:t>
      </w:r>
      <w:r w:rsidRPr="00C30030">
        <w:tab/>
        <w:t xml:space="preserve">considerar posibles atribuciones adicionales de espectro al servicio de radiolocalización a título </w:t>
      </w:r>
      <w:proofErr w:type="spellStart"/>
      <w:r w:rsidRPr="00C30030">
        <w:t>coprimario</w:t>
      </w:r>
      <w:proofErr w:type="spellEnd"/>
      <w:r w:rsidRPr="00C30030">
        <w:t xml:space="preserve"> en la banda de frecuencias 231,5</w:t>
      </w:r>
      <w:r w:rsidRPr="00C30030">
        <w:noBreakHyphen/>
        <w:t>275 GHz y posibles nuevas identificaciones para aplicaciones de radiolocalización en bandas de frecuencias dentro de la gama de frecuencias 275</w:t>
      </w:r>
      <w:r w:rsidRPr="00C30030">
        <w:noBreakHyphen/>
        <w:t>700 GHz para sistemas de imágenes en ondas milimétricas y submilimétricas, de conformidad con la Resolución </w:t>
      </w:r>
      <w:r w:rsidRPr="00C30030">
        <w:rPr>
          <w:b/>
          <w:bCs/>
        </w:rPr>
        <w:t>663 (Rev.CMR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359403B3" w14:textId="77E145B8" w:rsidR="001353C6" w:rsidRPr="00C30030" w:rsidRDefault="001353C6" w:rsidP="001353C6">
      <w:r w:rsidRPr="00C30030">
        <w:t>1.9</w:t>
      </w:r>
      <w:r w:rsidRPr="00C30030">
        <w:tab/>
        <w:t>considerar las acciones reglamentarias pertinentes para actualizar el Apéndice </w:t>
      </w:r>
      <w:r w:rsidRPr="00C30030">
        <w:rPr>
          <w:b/>
          <w:bCs/>
        </w:rPr>
        <w:t>26</w:t>
      </w:r>
      <w:r w:rsidRPr="00C30030">
        <w:t xml:space="preserve"> del Reglamento de Radiocomunicaciones en pro de la modernización del servicio móvil aeronáutico (OR) en ondas </w:t>
      </w:r>
      <w:proofErr w:type="spellStart"/>
      <w:r w:rsidRPr="00C30030">
        <w:t>decamétricas</w:t>
      </w:r>
      <w:proofErr w:type="spellEnd"/>
      <w:r w:rsidRPr="00C30030">
        <w:t>, de conformidad con la Resolución </w:t>
      </w:r>
      <w:r w:rsidRPr="00C30030">
        <w:rPr>
          <w:b/>
          <w:bCs/>
        </w:rPr>
        <w:t>411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0A5EAB4B" w14:textId="6782A825" w:rsidR="001353C6" w:rsidRPr="00C30030" w:rsidRDefault="001353C6" w:rsidP="001353C6">
      <w:r w:rsidRPr="00C30030">
        <w:t>1.10</w:t>
      </w:r>
      <w:r w:rsidRPr="00C30030">
        <w:tab/>
        <w:t>considerar la posibilidad de establecer límites de densidad de flujo de potencia y de potencia isótropa radiada equivalente para su inclusión en el Artículo </w:t>
      </w:r>
      <w:r w:rsidRPr="00C30030">
        <w:rPr>
          <w:b/>
          <w:bCs/>
        </w:rPr>
        <w:t>21</w:t>
      </w:r>
      <w:r w:rsidRPr="00C30030">
        <w:t xml:space="preserve"> del Reglamento de Radiocomunicaciones para los servicios fijo por satélite, móvil por satélite y de radiodifusión por satélite a fin de proteger los servicios fijo y móvil en las bandas de frecuencias 71</w:t>
      </w:r>
      <w:r w:rsidRPr="00C30030">
        <w:noBreakHyphen/>
        <w:t>76 GHz y 81</w:t>
      </w:r>
      <w:r w:rsidRPr="00C30030">
        <w:noBreakHyphen/>
        <w:t>86 GHz, de conformidad con la Resolución </w:t>
      </w:r>
      <w:r w:rsidRPr="00C30030">
        <w:rPr>
          <w:b/>
          <w:bCs/>
        </w:rPr>
        <w:t>775 (Rev.CMR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6CDE17BD" w14:textId="41703D29" w:rsidR="001353C6" w:rsidRPr="00C30030" w:rsidRDefault="001353C6" w:rsidP="001353C6">
      <w:r w:rsidRPr="00C30030">
        <w:lastRenderedPageBreak/>
        <w:t>1.11</w:t>
      </w:r>
      <w:r w:rsidRPr="00C30030">
        <w:tab/>
        <w:t>considerar las cuestiones técnicas y operativas y las disposiciones reglamentarias para los enlaces espacio-espacio entre satélites no geoestacionarios y geoestacionarios en las bandas de frecuencias 1 518</w:t>
      </w:r>
      <w:r w:rsidRPr="00C30030">
        <w:noBreakHyphen/>
        <w:t>1 544 MHz, 1 545</w:t>
      </w:r>
      <w:r w:rsidRPr="00C30030">
        <w:noBreakHyphen/>
        <w:t>1 559 MHz, 1 610</w:t>
      </w:r>
      <w:r w:rsidRPr="00C30030">
        <w:noBreakHyphen/>
        <w:t>1 645,5 MHz, 1 646,5</w:t>
      </w:r>
      <w:r w:rsidRPr="00C30030">
        <w:noBreakHyphen/>
        <w:t>1 660 MHz, 1 670</w:t>
      </w:r>
      <w:r w:rsidRPr="00C30030">
        <w:noBreakHyphen/>
        <w:t>1 675 MHz y 2 483,5</w:t>
      </w:r>
      <w:r w:rsidRPr="00C30030">
        <w:noBreakHyphen/>
        <w:t>2 500 MHz atribuidas al servicio móvil por satélite, de conformidad con la Resolución </w:t>
      </w:r>
      <w:r w:rsidRPr="00C30030">
        <w:rPr>
          <w:b/>
          <w:bCs/>
        </w:rPr>
        <w:t>249 (Rev.CMR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1F41900B" w14:textId="05D1F31E" w:rsidR="001353C6" w:rsidRPr="00C30030" w:rsidRDefault="001353C6" w:rsidP="001353C6">
      <w:r w:rsidRPr="00C30030">
        <w:t>1.12</w:t>
      </w:r>
      <w:r w:rsidRPr="00C30030">
        <w:tab/>
        <w:t>a considerar, basándose en los resultados de los estudios, las posibles nuevas atribuciones al servicio móvil por satélite y las posibles medidas reglamentarias en las bandas de frecuencias 1 427</w:t>
      </w:r>
      <w:r w:rsidRPr="00C30030">
        <w:noBreakHyphen/>
        <w:t>1 432 MHz (espacio-Tierra), 1 645,5</w:t>
      </w:r>
      <w:r w:rsidRPr="00C30030">
        <w:noBreakHyphen/>
        <w:t>1 646,5 MHz (espacio</w:t>
      </w:r>
      <w:r w:rsidRPr="00C30030">
        <w:noBreakHyphen/>
        <w:t>Tierra) (Tierra-espacio), 1 880</w:t>
      </w:r>
      <w:r w:rsidRPr="00C30030">
        <w:noBreakHyphen/>
        <w:t>1 920 MHz (espacio-Tierra) (Tierra</w:t>
      </w:r>
      <w:r w:rsidRPr="00C30030">
        <w:noBreakHyphen/>
        <w:t>espacio) y 2 010</w:t>
      </w:r>
      <w:r w:rsidRPr="00C30030">
        <w:noBreakHyphen/>
        <w:t>2 025 MHz (espacio</w:t>
      </w:r>
      <w:r w:rsidRPr="00C30030">
        <w:noBreakHyphen/>
        <w:t>Tierra) (Tierra</w:t>
      </w:r>
      <w:r w:rsidRPr="00C30030">
        <w:noBreakHyphen/>
        <w:t>espacio) necesarias para el futuro desarrollo de los sistemas de satélites móviles no geoestacionarios de baja velocidad de datos, de conformidad con la Resolución </w:t>
      </w:r>
      <w:r w:rsidRPr="00C30030">
        <w:rPr>
          <w:b/>
          <w:bCs/>
        </w:rPr>
        <w:t>252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313FBC81" w14:textId="5C10D48A" w:rsidR="001353C6" w:rsidRPr="00C30030" w:rsidRDefault="001353C6" w:rsidP="001353C6">
      <w:r w:rsidRPr="00C30030">
        <w:t>1.13</w:t>
      </w:r>
      <w:r w:rsidRPr="00C30030">
        <w:tab/>
        <w:t>considerar estudios sobre posibles nuevas atribuciones al servicio móvil por satélite para la conectividad directa entre estaciones espaciales y equipos de usuario de las Telecomunicaciones Móviles Internacionales (IMT) a fin de complementar la cobertura de la red IMT terrenal, de conformidad con la Resolución </w:t>
      </w:r>
      <w:r w:rsidRPr="00C30030">
        <w:rPr>
          <w:b/>
          <w:bCs/>
        </w:rPr>
        <w:t>253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752F77C7" w14:textId="52D3F93D" w:rsidR="001353C6" w:rsidRPr="00C30030" w:rsidRDefault="001353C6" w:rsidP="001353C6">
      <w:r w:rsidRPr="00C30030">
        <w:t>1.14</w:t>
      </w:r>
      <w:r w:rsidRPr="00C30030">
        <w:tab/>
        <w:t>considerar la posibilidad de otorgar atribuciones adicionales al servicio móvil por satélite, de conformidad con la Resolución </w:t>
      </w:r>
      <w:r w:rsidRPr="00C30030">
        <w:rPr>
          <w:b/>
          <w:bCs/>
        </w:rPr>
        <w:t>254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3913021B" w14:textId="06829BD6" w:rsidR="001353C6" w:rsidRPr="00C30030" w:rsidRDefault="001353C6" w:rsidP="001353C6">
      <w:r w:rsidRPr="00C30030">
        <w:t>1.15</w:t>
      </w:r>
      <w:r w:rsidRPr="00C30030">
        <w:tab/>
        <w:t>considerar estudios sobre asuntos relacionados con las frecuencias, incluidas posibles atribuciones nuevas o modificadas al servicio de investigación espacial (espacio</w:t>
      </w:r>
      <w:r w:rsidRPr="00C30030">
        <w:noBreakHyphen/>
        <w:t xml:space="preserve">espacio), para el futuro desarrollo de las comunicaciones en la superficie lunar y entre la </w:t>
      </w:r>
      <w:proofErr w:type="gramStart"/>
      <w:r w:rsidRPr="00C30030">
        <w:t>órbita lunar y la superficie lunar</w:t>
      </w:r>
      <w:proofErr w:type="gramEnd"/>
      <w:r w:rsidRPr="00C30030">
        <w:t>, de conformidad con la Resolución </w:t>
      </w:r>
      <w:r w:rsidRPr="00C30030">
        <w:rPr>
          <w:b/>
          <w:bCs/>
        </w:rPr>
        <w:t>680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2944A68B" w14:textId="4DC257D1" w:rsidR="001353C6" w:rsidRPr="00C30030" w:rsidRDefault="001353C6" w:rsidP="001353C6">
      <w:r w:rsidRPr="00C30030">
        <w:t>1.16</w:t>
      </w:r>
      <w:r w:rsidRPr="00C30030">
        <w:tab/>
        <w:t>considerar los estudios sobre las disposiciones técnicas y reglamentarias necesarias para proteger la radioastronomía que funciona en zonas radioeléctricamente tranquilas específicas y en bandas de frecuencias atribuidas al servicio de radioastronomía a título primario en todo el mundo, contra la interferencia combinada de frecuencias radioeléctricas causada por sistemas de la órbita de satélites no geoestacionarios, de conformidad con la Resolución </w:t>
      </w:r>
      <w:r w:rsidRPr="00C30030">
        <w:rPr>
          <w:b/>
          <w:bCs/>
        </w:rPr>
        <w:t>681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49B5E914" w14:textId="7A57B423" w:rsidR="001353C6" w:rsidRPr="00C30030" w:rsidRDefault="001353C6" w:rsidP="001353C6">
      <w:r w:rsidRPr="00C30030">
        <w:t>1.17</w:t>
      </w:r>
      <w:r w:rsidRPr="00C30030">
        <w:tab/>
        <w:t>considerar las disposiciones reglamentarias para los sensores de meteorología espacial de sólo recepción y su protección en el Reglamento de Radiocomunicaciones, teniendo en cuenta los resultados de los estudios del Sector de Radiocomunicaciones de la UIT de conformidad con la Resolución </w:t>
      </w:r>
      <w:r w:rsidRPr="00C30030">
        <w:rPr>
          <w:b/>
          <w:bCs/>
        </w:rPr>
        <w:t>682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62BB8226" w14:textId="412F3E42" w:rsidR="001353C6" w:rsidRPr="00C30030" w:rsidRDefault="001353C6" w:rsidP="001353C6">
      <w:r w:rsidRPr="00C30030">
        <w:t>1.18</w:t>
      </w:r>
      <w:r w:rsidRPr="00C30030">
        <w:tab/>
        <w:t>considerar, basándose en los resultados de los estudios del Sector de Radiocomunicaciones de la UIT, posibles medidas reglamentarias relativas a la protección del servicio de exploración de la Tierra por satélite (pasivo) y del servicio de radioastronomía en determinadas bandas de frecuencias por encima de 76 GHz contra las emisiones no deseadas de los servicios activos, de conformidad con la Resolución </w:t>
      </w:r>
      <w:r w:rsidRPr="00C30030">
        <w:rPr>
          <w:b/>
          <w:bCs/>
        </w:rPr>
        <w:t>712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4E7CDC7F" w14:textId="236E99B2" w:rsidR="001353C6" w:rsidRPr="00C30030" w:rsidRDefault="001353C6" w:rsidP="001353C6">
      <w:pPr>
        <w:rPr>
          <w:b/>
          <w:bCs/>
        </w:rPr>
      </w:pPr>
      <w:r w:rsidRPr="00C30030">
        <w:t>1.19</w:t>
      </w:r>
      <w:r w:rsidRPr="00C30030">
        <w:tab/>
        <w:t>considerar posibles atribuciones a título primario en todas las Regiones al servicio de exploración de la Tierra por satélite (pasivo) en las bandas de frecuencias 4 200</w:t>
      </w:r>
      <w:r w:rsidRPr="00C30030">
        <w:noBreakHyphen/>
        <w:t>4 400 MHz y 8 400</w:t>
      </w:r>
      <w:r w:rsidRPr="00C30030">
        <w:noBreakHyphen/>
        <w:t>8 500 MHz, de conformidad con la Resolución </w:t>
      </w:r>
      <w:r w:rsidRPr="00C30030">
        <w:rPr>
          <w:b/>
          <w:bCs/>
        </w:rPr>
        <w:t>674 (CMR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;</w:t>
      </w:r>
    </w:p>
    <w:p w14:paraId="2723D52C" w14:textId="71C70819" w:rsidR="001353C6" w:rsidRPr="00C30030" w:rsidRDefault="001353C6" w:rsidP="001353C6">
      <w:r w:rsidRPr="00C30030">
        <w:t>2</w:t>
      </w:r>
      <w:r w:rsidRPr="00C30030">
        <w:tab/>
        <w:t xml:space="preserve">examinar las Recomendaciones revisadas del Sector de Radiocomunicaciones de la UIT incorporadas por referencia al Reglamento de Radiocomunicaciones comunicadas por la Asamblea de Radiocomunicaciones de conformidad con el </w:t>
      </w:r>
      <w:r w:rsidRPr="00C30030">
        <w:rPr>
          <w:i/>
          <w:iCs/>
        </w:rPr>
        <w:t>resuelve además</w:t>
      </w:r>
      <w:r w:rsidRPr="00C30030">
        <w:t xml:space="preserve"> de la Resolución </w:t>
      </w:r>
      <w:r w:rsidRPr="00C30030">
        <w:rPr>
          <w:b/>
          <w:bCs/>
        </w:rPr>
        <w:t>27 (Rev.CMR</w:t>
      </w:r>
      <w:r w:rsidR="001B4FF0">
        <w:rPr>
          <w:b/>
          <w:bCs/>
        </w:rPr>
        <w:t>-</w:t>
      </w:r>
      <w:r w:rsidRPr="00C30030">
        <w:rPr>
          <w:b/>
          <w:bCs/>
        </w:rPr>
        <w:t>19)</w:t>
      </w:r>
      <w:r w:rsidRPr="00C30030">
        <w:t xml:space="preserve">, y decidir si se actualizan o no las referencias correspondientes </w:t>
      </w:r>
      <w:r w:rsidRPr="00C30030">
        <w:lastRenderedPageBreak/>
        <w:t xml:space="preserve">en el Reglamento de Radiocomunicaciones, de conformidad con los principios contenidos en el </w:t>
      </w:r>
      <w:r w:rsidRPr="00C30030">
        <w:rPr>
          <w:i/>
          <w:iCs/>
        </w:rPr>
        <w:t>resuelve</w:t>
      </w:r>
      <w:r w:rsidRPr="00C30030">
        <w:t xml:space="preserve"> de dicha Resolución;</w:t>
      </w:r>
    </w:p>
    <w:p w14:paraId="24B5B514" w14:textId="77777777" w:rsidR="001353C6" w:rsidRPr="00C30030" w:rsidRDefault="001353C6" w:rsidP="001353C6">
      <w:r w:rsidRPr="00C30030">
        <w:t>3</w:t>
      </w:r>
      <w:r w:rsidRPr="00C30030">
        <w:tab/>
        <w:t>que considere los cambios y enmiendas consiguientes al Reglamento de Radiocomunicaciones que exijan las decisiones de la Conferencia;</w:t>
      </w:r>
    </w:p>
    <w:p w14:paraId="69F08DAA" w14:textId="2AA60DFD" w:rsidR="001353C6" w:rsidRPr="00C30030" w:rsidRDefault="001353C6" w:rsidP="001353C6">
      <w:r w:rsidRPr="00C30030">
        <w:t>4</w:t>
      </w:r>
      <w:r w:rsidRPr="00C30030">
        <w:tab/>
        <w:t>considerar, de conformidad con la Resolución </w:t>
      </w:r>
      <w:r w:rsidRPr="00C30030">
        <w:rPr>
          <w:b/>
          <w:bCs/>
        </w:rPr>
        <w:t>95 (Rev.CMR</w:t>
      </w:r>
      <w:r w:rsidR="001B4FF0">
        <w:rPr>
          <w:b/>
          <w:bCs/>
        </w:rPr>
        <w:t>-</w:t>
      </w:r>
      <w:r w:rsidRPr="00C30030">
        <w:rPr>
          <w:b/>
          <w:bCs/>
        </w:rPr>
        <w:t>19)</w:t>
      </w:r>
      <w:r w:rsidRPr="00C30030">
        <w:t>, las Resoluciones y Recomendaciones de las Conferencias anteriores para su posible revisión, sustitución o supresión;</w:t>
      </w:r>
    </w:p>
    <w:p w14:paraId="4C77A4F3" w14:textId="77777777" w:rsidR="001353C6" w:rsidRPr="00C30030" w:rsidRDefault="001353C6" w:rsidP="001353C6">
      <w:r w:rsidRPr="00C30030">
        <w:t>5</w:t>
      </w:r>
      <w:r w:rsidRPr="00C30030">
        <w:tab/>
        <w:t>que examine el Informe de la Asamblea de Radiocomunicaciones presentado de acuerdo con los números 135 y 136 del Convenio de la UIT y tome las medidas adecuadas al respecto;</w:t>
      </w:r>
    </w:p>
    <w:p w14:paraId="24FFD13A" w14:textId="77777777" w:rsidR="001353C6" w:rsidRPr="00C30030" w:rsidRDefault="001353C6" w:rsidP="001353C6">
      <w:r w:rsidRPr="00C30030">
        <w:t>6</w:t>
      </w:r>
      <w:r w:rsidRPr="00C30030">
        <w:tab/>
        <w:t>identificar los temas que exigen la intervención inmediata de las Comisiones de Estudio de Radiocomunicaciones para la preparación de la próxima Conferencia Mundial de Radiocomunicaciones;</w:t>
      </w:r>
    </w:p>
    <w:p w14:paraId="050A5479" w14:textId="4BE4AAAA" w:rsidR="001353C6" w:rsidRPr="00C30030" w:rsidRDefault="001353C6" w:rsidP="001353C6">
      <w:r w:rsidRPr="00C30030">
        <w:t>7</w:t>
      </w:r>
      <w:r w:rsidRPr="00C30030">
        <w:tab/>
        <w:t>considerar posibles cambios en respuesta a la Resolución 86 (Rev. Marrakech, 2002) de la Conferencia de Plenipotenciarios sobre procedimientos de publicación anticipada, de coordinación, de notificación y de inscripción de asignaciones de frecuencias de redes de satélite, de conformidad con la Resolución </w:t>
      </w:r>
      <w:r w:rsidRPr="00C30030">
        <w:rPr>
          <w:b/>
          <w:bCs/>
        </w:rPr>
        <w:t>86 (Rev.CMR</w:t>
      </w:r>
      <w:r w:rsidR="001B4FF0">
        <w:rPr>
          <w:b/>
          <w:bCs/>
        </w:rPr>
        <w:t>-</w:t>
      </w:r>
      <w:r w:rsidRPr="00C30030">
        <w:rPr>
          <w:b/>
          <w:bCs/>
        </w:rPr>
        <w:t>07)</w:t>
      </w:r>
      <w:r w:rsidRPr="00C30030">
        <w:t>, a fin de facilitar la utilización racional, eficiente y económica de las frecuencias radioeléctricas y cualquier órbita asociada, incluida la órbita de los satélites geoestacionarios;</w:t>
      </w:r>
    </w:p>
    <w:p w14:paraId="7857547C" w14:textId="66731FFE" w:rsidR="001353C6" w:rsidRPr="00C30030" w:rsidRDefault="001353C6" w:rsidP="001353C6">
      <w:r w:rsidRPr="00C30030">
        <w:t>8</w:t>
      </w:r>
      <w:r w:rsidRPr="00C30030">
        <w:tab/>
        <w:t>examinar las peticiones de las administraciones de suprimir las notas de sus países o de que se suprima el nombre de sus países de las notas, si ya no es necesario, teniendo en cuenta la Resolución </w:t>
      </w:r>
      <w:r w:rsidRPr="00C30030">
        <w:rPr>
          <w:b/>
          <w:bCs/>
        </w:rPr>
        <w:t>26 (Rev.CMR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, y adoptar las medidas oportunas al respecto;</w:t>
      </w:r>
    </w:p>
    <w:p w14:paraId="49511188" w14:textId="77777777" w:rsidR="001353C6" w:rsidRPr="00C30030" w:rsidRDefault="001353C6" w:rsidP="001353C6">
      <w:r w:rsidRPr="00C30030">
        <w:t>9</w:t>
      </w:r>
      <w:r w:rsidRPr="00C30030">
        <w:tab/>
        <w:t>examinar y aprobar el Informe del Director de la Oficina de Radiocomunicaciones, de conformidad con el Artículo 7 del Convenio de la UIT:</w:t>
      </w:r>
    </w:p>
    <w:p w14:paraId="461A6B3E" w14:textId="77777777" w:rsidR="001353C6" w:rsidRPr="00C30030" w:rsidRDefault="001353C6" w:rsidP="001353C6">
      <w:r w:rsidRPr="00C30030">
        <w:t>9.1</w:t>
      </w:r>
      <w:r w:rsidRPr="00C30030">
        <w:tab/>
        <w:t>sobre las actividades del Sector de Radiocomunicaciones desde la CMR-23</w:t>
      </w:r>
      <w:r w:rsidRPr="00C30030">
        <w:rPr>
          <w:rStyle w:val="FootnoteReference"/>
        </w:rPr>
        <w:footnoteReference w:customMarkFollows="1" w:id="1"/>
        <w:t>1</w:t>
      </w:r>
      <w:r w:rsidRPr="00C30030">
        <w:t>;</w:t>
      </w:r>
    </w:p>
    <w:p w14:paraId="7E910562" w14:textId="77777777" w:rsidR="001353C6" w:rsidRPr="00C30030" w:rsidRDefault="001353C6" w:rsidP="001353C6">
      <w:r w:rsidRPr="00C30030">
        <w:t>9.2</w:t>
      </w:r>
      <w:r w:rsidRPr="00C30030">
        <w:tab/>
        <w:t>sobre las dificultades o incoherencias observadas en la aplicación del Reglamento de Radiocomunicaciones</w:t>
      </w:r>
      <w:r w:rsidRPr="00C30030">
        <w:rPr>
          <w:rStyle w:val="FootnoteReference"/>
        </w:rPr>
        <w:footnoteReference w:customMarkFollows="1" w:id="2"/>
        <w:t>2</w:t>
      </w:r>
      <w:r w:rsidRPr="00C30030">
        <w:t>; y</w:t>
      </w:r>
    </w:p>
    <w:p w14:paraId="1C8874F8" w14:textId="1F04CFFF" w:rsidR="001353C6" w:rsidRPr="00C30030" w:rsidRDefault="001353C6" w:rsidP="001353C6">
      <w:r w:rsidRPr="00C30030">
        <w:t>9.3</w:t>
      </w:r>
      <w:r w:rsidRPr="00C30030">
        <w:tab/>
        <w:t>sobre las medidas adoptadas en respuesta a la Resolución </w:t>
      </w:r>
      <w:r w:rsidRPr="00C30030">
        <w:rPr>
          <w:b/>
          <w:bCs/>
        </w:rPr>
        <w:t>80 (Rev.CMR</w:t>
      </w:r>
      <w:r w:rsidR="001B4FF0">
        <w:rPr>
          <w:b/>
          <w:bCs/>
        </w:rPr>
        <w:t>-</w:t>
      </w:r>
      <w:r w:rsidRPr="00C30030">
        <w:rPr>
          <w:b/>
          <w:bCs/>
        </w:rPr>
        <w:t>07)</w:t>
      </w:r>
      <w:r w:rsidRPr="00C30030">
        <w:t>;</w:t>
      </w:r>
    </w:p>
    <w:p w14:paraId="39FC0504" w14:textId="667AD576" w:rsidR="001353C6" w:rsidRPr="00C30030" w:rsidRDefault="001353C6" w:rsidP="001353C6">
      <w:r w:rsidRPr="00C30030">
        <w:t>10</w:t>
      </w:r>
      <w:r w:rsidRPr="00C30030">
        <w:tab/>
        <w:t>recomendar al Consejo de la UIT los puntos que han de incluirse en el orden del día de la próxima Conferencia Mundial de Radiocomunicaciones y los puntos del orden del día preliminar de futuras conferencias, de conformidad con el Artículo 7 del Convenio de la UIT y la Resolución </w:t>
      </w:r>
      <w:r w:rsidRPr="00C30030">
        <w:rPr>
          <w:b/>
          <w:bCs/>
        </w:rPr>
        <w:t>804 (Rev.CMR</w:t>
      </w:r>
      <w:r w:rsidR="001B4FF0">
        <w:rPr>
          <w:b/>
          <w:bCs/>
        </w:rPr>
        <w:t>-</w:t>
      </w:r>
      <w:r w:rsidRPr="00C30030">
        <w:rPr>
          <w:b/>
          <w:bCs/>
        </w:rPr>
        <w:t>23)</w:t>
      </w:r>
      <w:r w:rsidRPr="00C30030">
        <w:t>.</w:t>
      </w:r>
    </w:p>
    <w:p w14:paraId="406F997A" w14:textId="5017B153" w:rsidR="000E459C" w:rsidRPr="00C30030" w:rsidRDefault="001A5BA2" w:rsidP="001B4FF0">
      <w:pPr>
        <w:spacing w:before="0"/>
        <w:jc w:val="center"/>
      </w:pPr>
      <w:r w:rsidRPr="00C30030">
        <w:t>______________</w:t>
      </w:r>
    </w:p>
    <w:sectPr w:rsidR="000E459C" w:rsidRPr="00C30030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8386"/>
    </w:tblGrid>
    <w:tr w:rsidR="001F436B" w:rsidRPr="00784011" w14:paraId="79DB5C18" w14:textId="77777777" w:rsidTr="001F436B">
      <w:trPr>
        <w:jc w:val="center"/>
      </w:trPr>
      <w:tc>
        <w:tcPr>
          <w:tcW w:w="1678" w:type="dxa"/>
          <w:vAlign w:val="center"/>
        </w:tcPr>
        <w:p w14:paraId="06DEECE3" w14:textId="7211179E" w:rsidR="001F436B" w:rsidRDefault="001F436B" w:rsidP="001F436B">
          <w:pPr>
            <w:pStyle w:val="Header"/>
            <w:jc w:val="left"/>
            <w:rPr>
              <w:noProof/>
            </w:rPr>
          </w:pPr>
        </w:p>
      </w:tc>
      <w:tc>
        <w:tcPr>
          <w:tcW w:w="8386" w:type="dxa"/>
        </w:tcPr>
        <w:p w14:paraId="31328314" w14:textId="589BF4F4" w:rsidR="001F436B" w:rsidRPr="00E06FD5" w:rsidRDefault="001F436B" w:rsidP="004A67AF">
          <w:pPr>
            <w:pStyle w:val="Header"/>
            <w:tabs>
              <w:tab w:val="left" w:pos="7004"/>
              <w:tab w:val="right" w:pos="8430"/>
              <w:tab w:val="right" w:pos="9639"/>
            </w:tabs>
            <w:jc w:val="both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1B4FF0">
            <w:rPr>
              <w:bCs/>
            </w:rPr>
            <w:t>125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1F436B">
    <w:pPr>
      <w:pStyle w:val="Footer"/>
      <w:jc w:val="right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691D7988" w:rsidR="00F24B71" w:rsidRPr="00E06FD5" w:rsidRDefault="004A67AF" w:rsidP="004A67AF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F24B71" w:rsidRPr="00623AE3">
            <w:rPr>
              <w:bCs/>
            </w:rPr>
            <w:t>C</w:t>
          </w:r>
          <w:r w:rsidR="00F24B71">
            <w:rPr>
              <w:bCs/>
            </w:rPr>
            <w:t>2</w:t>
          </w:r>
          <w:r w:rsidR="0064481D">
            <w:rPr>
              <w:bCs/>
            </w:rPr>
            <w:t>4</w:t>
          </w:r>
          <w:r w:rsidR="00F24B71" w:rsidRPr="00623AE3">
            <w:rPr>
              <w:bCs/>
            </w:rPr>
            <w:t>/</w:t>
          </w:r>
          <w:r w:rsidR="001B4FF0">
            <w:rPr>
              <w:bCs/>
            </w:rPr>
            <w:t>125</w:t>
          </w:r>
          <w:r w:rsidR="004A021E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 w:rsidR="00F24B71">
            <w:fldChar w:fldCharType="begin"/>
          </w:r>
          <w:r w:rsidR="00F24B71">
            <w:instrText>PAGE</w:instrText>
          </w:r>
          <w:r w:rsidR="00F24B71">
            <w:fldChar w:fldCharType="separate"/>
          </w:r>
          <w:r w:rsidR="00F24B71">
            <w:t>1</w:t>
          </w:r>
          <w:r w:rsidR="00F24B71"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  <w:footnote w:id="1">
    <w:p w14:paraId="0F182C4F" w14:textId="77777777" w:rsidR="001353C6" w:rsidRPr="000E459C" w:rsidRDefault="001353C6" w:rsidP="001353C6">
      <w:pPr>
        <w:pStyle w:val="FootnoteText"/>
        <w:rPr>
          <w:sz w:val="20"/>
        </w:rPr>
      </w:pPr>
      <w:r w:rsidRPr="000E459C">
        <w:rPr>
          <w:rStyle w:val="FootnoteReference"/>
          <w:sz w:val="20"/>
        </w:rPr>
        <w:t>1</w:t>
      </w:r>
      <w:r w:rsidRPr="000E459C">
        <w:rPr>
          <w:sz w:val="20"/>
        </w:rPr>
        <w:tab/>
      </w:r>
      <w:r w:rsidRPr="000E459C">
        <w:rPr>
          <w:sz w:val="20"/>
          <w:lang w:val="es-ES"/>
        </w:rPr>
        <w:t>El subpunto permanente del orden del día de esta CMR se limita estrictamente al Informe del Director sobre las actividades del UIT</w:t>
      </w:r>
      <w:r w:rsidRPr="000E459C">
        <w:rPr>
          <w:sz w:val="20"/>
          <w:lang w:val="es-ES"/>
        </w:rPr>
        <w:noBreakHyphen/>
        <w:t>R desde la última CMR; y se evitará estrictamente cualquier tema distinto de los 1.1 a 1.19 enumerados anteriormente, en particular aquellos que exijan algún cambio/modificación del Reglamento de Radiocomunicaciones.</w:t>
      </w:r>
    </w:p>
  </w:footnote>
  <w:footnote w:id="2">
    <w:p w14:paraId="2D688727" w14:textId="77777777" w:rsidR="001353C6" w:rsidRPr="002D3548" w:rsidRDefault="001353C6" w:rsidP="001353C6">
      <w:pPr>
        <w:pStyle w:val="FootnoteText"/>
      </w:pPr>
      <w:r w:rsidRPr="000E459C">
        <w:rPr>
          <w:rStyle w:val="FootnoteReference"/>
          <w:sz w:val="20"/>
        </w:rPr>
        <w:t>2</w:t>
      </w:r>
      <w:r w:rsidRPr="000E459C">
        <w:rPr>
          <w:sz w:val="20"/>
        </w:rPr>
        <w:tab/>
      </w:r>
      <w:r w:rsidRPr="000E459C">
        <w:rPr>
          <w:sz w:val="20"/>
          <w:lang w:val="es-ES"/>
        </w:rPr>
        <w:t>El subpunto permanente del orden del día de esta CMR se limita estrictamente al Informe del Director sobre las dificultades o incoherencias observadas en la aplicación del Reglamento de Radiocomunicaciones y a los comentarios de las administraciones. Se invita a las administraciones a que informen al Director de la Oficina de Radiocomunicaciones de 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A2F16"/>
    <w:rsid w:val="000B0D00"/>
    <w:rsid w:val="000B2EC6"/>
    <w:rsid w:val="000B7C15"/>
    <w:rsid w:val="000C4670"/>
    <w:rsid w:val="000D1D0F"/>
    <w:rsid w:val="000D2C1F"/>
    <w:rsid w:val="000E459C"/>
    <w:rsid w:val="000F5290"/>
    <w:rsid w:val="00100462"/>
    <w:rsid w:val="0010165C"/>
    <w:rsid w:val="001353C6"/>
    <w:rsid w:val="00146BFB"/>
    <w:rsid w:val="001559F5"/>
    <w:rsid w:val="001A5BA2"/>
    <w:rsid w:val="001B4FF0"/>
    <w:rsid w:val="001B6925"/>
    <w:rsid w:val="001F14A2"/>
    <w:rsid w:val="001F436B"/>
    <w:rsid w:val="002801AA"/>
    <w:rsid w:val="002C0781"/>
    <w:rsid w:val="002C4676"/>
    <w:rsid w:val="002C70B0"/>
    <w:rsid w:val="002F3CC4"/>
    <w:rsid w:val="003273A4"/>
    <w:rsid w:val="003A1A81"/>
    <w:rsid w:val="003C0E15"/>
    <w:rsid w:val="00473962"/>
    <w:rsid w:val="00481571"/>
    <w:rsid w:val="004874A2"/>
    <w:rsid w:val="004A021E"/>
    <w:rsid w:val="004A67AF"/>
    <w:rsid w:val="004B5D49"/>
    <w:rsid w:val="00513630"/>
    <w:rsid w:val="00525FF5"/>
    <w:rsid w:val="00560125"/>
    <w:rsid w:val="00585553"/>
    <w:rsid w:val="005B34D9"/>
    <w:rsid w:val="005C1429"/>
    <w:rsid w:val="005D0CCF"/>
    <w:rsid w:val="005F3BCB"/>
    <w:rsid w:val="005F410F"/>
    <w:rsid w:val="0060149A"/>
    <w:rsid w:val="00601924"/>
    <w:rsid w:val="00604FDA"/>
    <w:rsid w:val="00641231"/>
    <w:rsid w:val="006447EA"/>
    <w:rsid w:val="0064481D"/>
    <w:rsid w:val="0064731F"/>
    <w:rsid w:val="0066055D"/>
    <w:rsid w:val="00664572"/>
    <w:rsid w:val="006710F6"/>
    <w:rsid w:val="00676597"/>
    <w:rsid w:val="00677A97"/>
    <w:rsid w:val="006C1B56"/>
    <w:rsid w:val="006D4761"/>
    <w:rsid w:val="00720119"/>
    <w:rsid w:val="00726872"/>
    <w:rsid w:val="00735017"/>
    <w:rsid w:val="00760F1C"/>
    <w:rsid w:val="007657F0"/>
    <w:rsid w:val="0077252D"/>
    <w:rsid w:val="00772EDB"/>
    <w:rsid w:val="007841BA"/>
    <w:rsid w:val="007955DA"/>
    <w:rsid w:val="007E5DD3"/>
    <w:rsid w:val="007F350B"/>
    <w:rsid w:val="00820BE4"/>
    <w:rsid w:val="008451E8"/>
    <w:rsid w:val="00884B68"/>
    <w:rsid w:val="008D1D5C"/>
    <w:rsid w:val="00913B9C"/>
    <w:rsid w:val="00927F93"/>
    <w:rsid w:val="00956E77"/>
    <w:rsid w:val="009D4C52"/>
    <w:rsid w:val="009F4811"/>
    <w:rsid w:val="00A30B5D"/>
    <w:rsid w:val="00A30C4C"/>
    <w:rsid w:val="00A97D2E"/>
    <w:rsid w:val="00AA390C"/>
    <w:rsid w:val="00B0200A"/>
    <w:rsid w:val="00B07CAF"/>
    <w:rsid w:val="00B27A34"/>
    <w:rsid w:val="00B574DB"/>
    <w:rsid w:val="00B826C2"/>
    <w:rsid w:val="00B8298E"/>
    <w:rsid w:val="00BD0723"/>
    <w:rsid w:val="00BD2518"/>
    <w:rsid w:val="00BF1D1C"/>
    <w:rsid w:val="00C20C59"/>
    <w:rsid w:val="00C2727F"/>
    <w:rsid w:val="00C30030"/>
    <w:rsid w:val="00C538FC"/>
    <w:rsid w:val="00C55B1F"/>
    <w:rsid w:val="00CB421D"/>
    <w:rsid w:val="00CF1A67"/>
    <w:rsid w:val="00D2750E"/>
    <w:rsid w:val="00D43B85"/>
    <w:rsid w:val="00D50A36"/>
    <w:rsid w:val="00D57E33"/>
    <w:rsid w:val="00D62446"/>
    <w:rsid w:val="00D76440"/>
    <w:rsid w:val="00DA4EA2"/>
    <w:rsid w:val="00DC2623"/>
    <w:rsid w:val="00DC3D3E"/>
    <w:rsid w:val="00DE2C90"/>
    <w:rsid w:val="00DE3B24"/>
    <w:rsid w:val="00E06947"/>
    <w:rsid w:val="00E34072"/>
    <w:rsid w:val="00E3592D"/>
    <w:rsid w:val="00E50D76"/>
    <w:rsid w:val="00E55BAB"/>
    <w:rsid w:val="00E92DE8"/>
    <w:rsid w:val="00EB1212"/>
    <w:rsid w:val="00ED65AB"/>
    <w:rsid w:val="00F12850"/>
    <w:rsid w:val="00F24030"/>
    <w:rsid w:val="00F24B71"/>
    <w:rsid w:val="00F33BF4"/>
    <w:rsid w:val="00F7105E"/>
    <w:rsid w:val="00F75F57"/>
    <w:rsid w:val="00F82FEE"/>
    <w:rsid w:val="00F94963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,Char"/>
    <w:basedOn w:val="Normal"/>
    <w:qFormat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1353C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A459-F048-4E72-93F6-72D2C3EC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1720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1422 - Agenda of the World Radiocommunication Conference 2027 (WRC-27)</dc:title>
  <dc:subject>2024 session of the Council</dc:subject>
  <dc:creator/>
  <cp:keywords>Council-24, C24, Council 2024</cp:keywords>
  <dc:description/>
  <cp:lastModifiedBy/>
  <cp:revision>1</cp:revision>
  <dcterms:created xsi:type="dcterms:W3CDTF">2024-06-18T06:57:00Z</dcterms:created>
  <dcterms:modified xsi:type="dcterms:W3CDTF">2024-06-18T06:58:00Z</dcterms:modified>
  <cp:category>Conference document</cp:category>
</cp:coreProperties>
</file>