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93D51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687069D" w:rsidR="00796BD3" w:rsidRPr="00393D51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69883E27" w:rsidR="00796BD3" w:rsidRPr="00393D51" w:rsidRDefault="0033025A" w:rsidP="005219D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93D51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393D51">
              <w:rPr>
                <w:b/>
                <w:lang w:val="ru-RU"/>
              </w:rPr>
              <w:t>C2</w:t>
            </w:r>
            <w:r w:rsidR="00660449" w:rsidRPr="00393D51">
              <w:rPr>
                <w:b/>
                <w:lang w:val="ru-RU"/>
              </w:rPr>
              <w:t>4</w:t>
            </w:r>
            <w:proofErr w:type="spellEnd"/>
            <w:r w:rsidR="00796BD3" w:rsidRPr="00393D51">
              <w:rPr>
                <w:b/>
                <w:lang w:val="ru-RU"/>
              </w:rPr>
              <w:t>/</w:t>
            </w:r>
            <w:r w:rsidR="00C61FB2" w:rsidRPr="00393D51">
              <w:rPr>
                <w:b/>
                <w:lang w:val="ru-RU"/>
              </w:rPr>
              <w:t>132</w:t>
            </w:r>
            <w:r w:rsidR="00796BD3" w:rsidRPr="00393D51">
              <w:rPr>
                <w:b/>
                <w:lang w:val="ru-RU"/>
              </w:rPr>
              <w:t>-R</w:t>
            </w:r>
          </w:p>
        </w:tc>
      </w:tr>
      <w:tr w:rsidR="00796BD3" w:rsidRPr="00393D51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393D5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60E20419" w:rsidR="00796BD3" w:rsidRPr="00393D51" w:rsidRDefault="005771D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93D51">
              <w:rPr>
                <w:b/>
                <w:lang w:val="ru-RU"/>
              </w:rPr>
              <w:t>1</w:t>
            </w:r>
            <w:r w:rsidR="007A6C09" w:rsidRPr="00393D51">
              <w:rPr>
                <w:b/>
                <w:lang w:val="ru-RU"/>
              </w:rPr>
              <w:t>4</w:t>
            </w:r>
            <w:r w:rsidR="0055137D" w:rsidRPr="00393D51">
              <w:rPr>
                <w:b/>
                <w:lang w:val="ru-RU"/>
              </w:rPr>
              <w:t xml:space="preserve"> </w:t>
            </w:r>
            <w:r w:rsidRPr="00393D51">
              <w:rPr>
                <w:b/>
                <w:lang w:val="ru-RU"/>
              </w:rPr>
              <w:t>июня</w:t>
            </w:r>
            <w:r w:rsidR="00796BD3" w:rsidRPr="00393D51">
              <w:rPr>
                <w:b/>
                <w:lang w:val="ru-RU"/>
              </w:rPr>
              <w:t xml:space="preserve"> 202</w:t>
            </w:r>
            <w:r w:rsidR="00660449" w:rsidRPr="00393D51">
              <w:rPr>
                <w:b/>
                <w:lang w:val="ru-RU"/>
              </w:rPr>
              <w:t>4</w:t>
            </w:r>
            <w:r w:rsidR="00590C07" w:rsidRPr="00393D51">
              <w:rPr>
                <w:b/>
                <w:lang w:val="ru-RU"/>
              </w:rPr>
              <w:t xml:space="preserve"> года</w:t>
            </w:r>
          </w:p>
        </w:tc>
      </w:tr>
      <w:tr w:rsidR="00796BD3" w:rsidRPr="00393D51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393D5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393D5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93D5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93D51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393D5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393D5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50387FFF" w14:textId="27A7C047" w:rsidR="000E7DE9" w:rsidRPr="00393D51" w:rsidRDefault="000E7DE9" w:rsidP="000E7DE9">
      <w:pPr>
        <w:pStyle w:val="ResNo"/>
        <w:rPr>
          <w:lang w:val="ru-RU"/>
        </w:rPr>
      </w:pPr>
      <w:r w:rsidRPr="00393D51">
        <w:rPr>
          <w:lang w:val="ru-RU"/>
        </w:rPr>
        <w:t>РЕШЕНИ</w:t>
      </w:r>
      <w:r w:rsidR="005771DB" w:rsidRPr="00393D51">
        <w:rPr>
          <w:lang w:val="ru-RU"/>
        </w:rPr>
        <w:t>е</w:t>
      </w:r>
      <w:r w:rsidRPr="00393D51">
        <w:rPr>
          <w:lang w:val="ru-RU"/>
        </w:rPr>
        <w:t xml:space="preserve"> </w:t>
      </w:r>
      <w:r w:rsidR="00C61FB2" w:rsidRPr="00393D51">
        <w:rPr>
          <w:lang w:val="ru-RU"/>
        </w:rPr>
        <w:t>640</w:t>
      </w:r>
    </w:p>
    <w:p w14:paraId="3D524001" w14:textId="221F4939" w:rsidR="003C4A60" w:rsidRPr="00393D51" w:rsidRDefault="005771DB" w:rsidP="00A20284">
      <w:pPr>
        <w:pStyle w:val="Resref"/>
        <w:rPr>
          <w:b/>
          <w:lang w:val="ru-RU"/>
        </w:rPr>
      </w:pPr>
      <w:r w:rsidRPr="00393D51">
        <w:rPr>
          <w:lang w:val="ru-RU"/>
        </w:rPr>
        <w:t>(принято на десятом пленарном заседании)</w:t>
      </w:r>
    </w:p>
    <w:p w14:paraId="36C2C638" w14:textId="77777777" w:rsidR="00C61FB2" w:rsidRPr="00393D51" w:rsidRDefault="00C61FB2" w:rsidP="00C61FB2">
      <w:pPr>
        <w:pStyle w:val="Restitle"/>
        <w:rPr>
          <w:lang w:val="ru-RU"/>
        </w:rPr>
      </w:pPr>
      <w:r w:rsidRPr="00393D51">
        <w:rPr>
          <w:lang w:val="ru-RU"/>
        </w:rPr>
        <w:t>Альтернативный проект помещений штаб-квартиры МСЭ с переоценкой</w:t>
      </w:r>
    </w:p>
    <w:p w14:paraId="693B1BC5" w14:textId="77777777" w:rsidR="00C61FB2" w:rsidRPr="00393D51" w:rsidRDefault="00C61FB2" w:rsidP="00C61FB2">
      <w:pPr>
        <w:pStyle w:val="Normalaftertitle"/>
        <w:rPr>
          <w:lang w:val="ru-RU"/>
        </w:rPr>
      </w:pPr>
      <w:r w:rsidRPr="00393D51">
        <w:rPr>
          <w:lang w:val="ru-RU"/>
        </w:rPr>
        <w:t>Совет МСЭ,</w:t>
      </w:r>
    </w:p>
    <w:p w14:paraId="1BA55512" w14:textId="77777777" w:rsidR="00C61FB2" w:rsidRPr="00393D51" w:rsidRDefault="00C61FB2" w:rsidP="00C61FB2">
      <w:pPr>
        <w:pStyle w:val="Call"/>
        <w:rPr>
          <w:lang w:val="ru-RU"/>
        </w:rPr>
      </w:pPr>
      <w:r w:rsidRPr="00393D51">
        <w:rPr>
          <w:lang w:val="ru-RU"/>
        </w:rPr>
        <w:t>напоминая</w:t>
      </w:r>
    </w:p>
    <w:p w14:paraId="30BD5AB9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Резолюцию 212 (</w:t>
      </w:r>
      <w:proofErr w:type="spellStart"/>
      <w:r w:rsidRPr="00393D51">
        <w:rPr>
          <w:lang w:val="ru-RU"/>
        </w:rPr>
        <w:t>Пересм</w:t>
      </w:r>
      <w:proofErr w:type="spellEnd"/>
      <w:r w:rsidRPr="00393D51">
        <w:rPr>
          <w:lang w:val="ru-RU"/>
        </w:rPr>
        <w:t>. Бухарест, 2022 г.) Полномочной конференции о будущих помещениях штаб-квартиры Союза и Решения 588 и 619 Совета о помещениях штаб-квартиры,</w:t>
      </w:r>
    </w:p>
    <w:p w14:paraId="6B4E341C" w14:textId="77777777" w:rsidR="00C61FB2" w:rsidRPr="00393D51" w:rsidRDefault="00C61FB2" w:rsidP="00C61FB2">
      <w:pPr>
        <w:pStyle w:val="Call"/>
        <w:rPr>
          <w:i w:val="0"/>
          <w:iCs/>
          <w:lang w:val="ru-RU"/>
        </w:rPr>
      </w:pPr>
      <w:r w:rsidRPr="00393D51">
        <w:rPr>
          <w:lang w:val="ru-RU"/>
        </w:rPr>
        <w:t>признавая</w:t>
      </w:r>
      <w:r w:rsidRPr="00393D51">
        <w:rPr>
          <w:i w:val="0"/>
          <w:iCs/>
          <w:lang w:val="ru-RU"/>
        </w:rPr>
        <w:t>,</w:t>
      </w:r>
    </w:p>
    <w:p w14:paraId="32320C43" w14:textId="77777777" w:rsidR="00C61FB2" w:rsidRPr="00393D51" w:rsidRDefault="00C61FB2" w:rsidP="00C61FB2">
      <w:pPr>
        <w:rPr>
          <w:lang w:val="ru-RU"/>
        </w:rPr>
      </w:pPr>
      <w:r w:rsidRPr="00393D51">
        <w:rPr>
          <w:i/>
          <w:iCs/>
          <w:lang w:val="ru-RU"/>
        </w:rPr>
        <w:t>a)</w:t>
      </w:r>
      <w:r w:rsidRPr="00393D51">
        <w:rPr>
          <w:lang w:val="ru-RU"/>
        </w:rPr>
        <w:tab/>
        <w:t>что предложения, представленные в отношении назначения генерального подрядчика для проекта по помещениям штаб-квартиры, значительно превышают утвержденный бюджет в размере 172,69 </w:t>
      </w:r>
      <w:proofErr w:type="gramStart"/>
      <w:r w:rsidRPr="00393D51">
        <w:rPr>
          <w:lang w:val="ru-RU"/>
        </w:rPr>
        <w:t>млн.</w:t>
      </w:r>
      <w:proofErr w:type="gramEnd"/>
      <w:r w:rsidRPr="00393D51">
        <w:rPr>
          <w:lang w:val="ru-RU"/>
        </w:rPr>
        <w:t xml:space="preserve"> швейцарских франков;</w:t>
      </w:r>
    </w:p>
    <w:p w14:paraId="450D2401" w14:textId="77777777" w:rsidR="00C61FB2" w:rsidRPr="00393D51" w:rsidRDefault="00C61FB2" w:rsidP="00C61FB2">
      <w:pPr>
        <w:rPr>
          <w:lang w:val="ru-RU"/>
        </w:rPr>
      </w:pPr>
      <w:r w:rsidRPr="00393D51">
        <w:rPr>
          <w:i/>
          <w:iCs/>
          <w:lang w:val="ru-RU"/>
        </w:rPr>
        <w:t>b)</w:t>
      </w:r>
      <w:r w:rsidRPr="00393D51">
        <w:rPr>
          <w:lang w:val="ru-RU"/>
        </w:rPr>
        <w:tab/>
        <w:t>что два призыва о добровольных взносах и дополнительной спонсорской поддержке не вызвали какой-либо заинтересованности;</w:t>
      </w:r>
    </w:p>
    <w:p w14:paraId="242B2703" w14:textId="77777777" w:rsidR="00C61FB2" w:rsidRPr="00393D51" w:rsidRDefault="00C61FB2" w:rsidP="00C61FB2">
      <w:pPr>
        <w:rPr>
          <w:lang w:val="ru-RU"/>
        </w:rPr>
      </w:pPr>
      <w:r w:rsidRPr="00393D51">
        <w:rPr>
          <w:i/>
          <w:iCs/>
          <w:lang w:val="ru-RU"/>
        </w:rPr>
        <w:t>c)</w:t>
      </w:r>
      <w:r w:rsidRPr="00393D51">
        <w:rPr>
          <w:lang w:val="ru-RU"/>
        </w:rPr>
        <w:tab/>
        <w:t>настоятельную необходимость принять решение о замене здания "</w:t>
      </w:r>
      <w:proofErr w:type="spellStart"/>
      <w:r w:rsidRPr="00393D51">
        <w:rPr>
          <w:lang w:val="ru-RU"/>
        </w:rPr>
        <w:t>Варембе</w:t>
      </w:r>
      <w:proofErr w:type="spellEnd"/>
      <w:r w:rsidRPr="00393D51">
        <w:rPr>
          <w:lang w:val="ru-RU"/>
        </w:rPr>
        <w:t>", срок службы которого подходит к концу,</w:t>
      </w:r>
    </w:p>
    <w:p w14:paraId="2684601B" w14:textId="77777777" w:rsidR="00C61FB2" w:rsidRPr="00393D51" w:rsidRDefault="00C61FB2" w:rsidP="00C61FB2">
      <w:pPr>
        <w:pStyle w:val="Call"/>
        <w:rPr>
          <w:lang w:val="ru-RU"/>
        </w:rPr>
      </w:pPr>
      <w:r w:rsidRPr="00393D51">
        <w:rPr>
          <w:lang w:val="ru-RU"/>
        </w:rPr>
        <w:t>отмечая</w:t>
      </w:r>
    </w:p>
    <w:p w14:paraId="3F67A042" w14:textId="35C2BBF3" w:rsidR="00C61FB2" w:rsidRPr="00393D51" w:rsidRDefault="00C61FB2" w:rsidP="00C61FB2">
      <w:pPr>
        <w:rPr>
          <w:lang w:val="ru-RU"/>
        </w:rPr>
      </w:pPr>
      <w:r w:rsidRPr="00393D51">
        <w:rPr>
          <w:i/>
          <w:iCs/>
          <w:lang w:val="ru-RU"/>
        </w:rPr>
        <w:t>a)</w:t>
      </w:r>
      <w:r w:rsidRPr="00393D51">
        <w:rPr>
          <w:lang w:val="ru-RU"/>
        </w:rPr>
        <w:tab/>
        <w:t>предложение Генерального секретаря об альтернативном проекте с переоценкой, в котором учитываются потребности Членов и сотрудников МСЭ в рамках текущего бюджета, как это отражено в Таблице</w:t>
      </w:r>
      <w:r w:rsidR="003C78A9">
        <w:rPr>
          <w:lang w:val="ru-RU"/>
        </w:rPr>
        <w:t> </w:t>
      </w:r>
      <w:r w:rsidRPr="00393D51">
        <w:rPr>
          <w:lang w:val="ru-RU"/>
        </w:rPr>
        <w:t>4 Документа</w:t>
      </w:r>
      <w:r w:rsidR="003C78A9">
        <w:rPr>
          <w:lang w:val="ru-RU"/>
        </w:rPr>
        <w:t> </w:t>
      </w:r>
      <w:hyperlink r:id="rId8" w:history="1">
        <w:proofErr w:type="spellStart"/>
        <w:r w:rsidRPr="00393D51">
          <w:rPr>
            <w:rStyle w:val="Hyperlink"/>
            <w:lang w:val="ru-RU"/>
          </w:rPr>
          <w:t>C24</w:t>
        </w:r>
        <w:proofErr w:type="spellEnd"/>
        <w:r w:rsidRPr="00393D51">
          <w:rPr>
            <w:rStyle w:val="Hyperlink"/>
            <w:lang w:val="ru-RU"/>
          </w:rPr>
          <w:t>/7</w:t>
        </w:r>
      </w:hyperlink>
      <w:r w:rsidRPr="00393D51">
        <w:rPr>
          <w:lang w:val="ru-RU"/>
        </w:rPr>
        <w:t xml:space="preserve"> Совета;</w:t>
      </w:r>
    </w:p>
    <w:p w14:paraId="057BE384" w14:textId="77777777" w:rsidR="00C61FB2" w:rsidRPr="00393D51" w:rsidRDefault="00C61FB2" w:rsidP="00C61FB2">
      <w:pPr>
        <w:rPr>
          <w:lang w:val="ru-RU"/>
        </w:rPr>
      </w:pPr>
      <w:r w:rsidRPr="00393D51">
        <w:rPr>
          <w:i/>
          <w:iCs/>
          <w:lang w:val="ru-RU"/>
        </w:rPr>
        <w:t>b)</w:t>
      </w:r>
      <w:r w:rsidRPr="00393D51">
        <w:rPr>
          <w:lang w:val="ru-RU"/>
        </w:rPr>
        <w:tab/>
        <w:t>отчеты Консультативной группы Государств-Членов (</w:t>
      </w:r>
      <w:proofErr w:type="spellStart"/>
      <w:r w:rsidRPr="00393D51">
        <w:rPr>
          <w:lang w:val="ru-RU"/>
        </w:rPr>
        <w:t>КГГЧ</w:t>
      </w:r>
      <w:proofErr w:type="spellEnd"/>
      <w:r w:rsidRPr="00393D51">
        <w:rPr>
          <w:lang w:val="ru-RU"/>
        </w:rPr>
        <w:t>) и Председателя Рабочей группы Совета по финансовым и людским ресурсам (РГС-</w:t>
      </w:r>
      <w:proofErr w:type="spellStart"/>
      <w:r w:rsidRPr="00393D51">
        <w:rPr>
          <w:lang w:val="ru-RU"/>
        </w:rPr>
        <w:t>ФЛР</w:t>
      </w:r>
      <w:proofErr w:type="spellEnd"/>
      <w:r w:rsidRPr="00393D51">
        <w:rPr>
          <w:lang w:val="ru-RU"/>
        </w:rPr>
        <w:t>) сессии Совета 2024 года в поддержку предложенного Генеральным секретарем альтернативного проекта с переоценкой,</w:t>
      </w:r>
    </w:p>
    <w:p w14:paraId="7CD3E2C4" w14:textId="77777777" w:rsidR="00C61FB2" w:rsidRPr="00393D51" w:rsidRDefault="00C61FB2" w:rsidP="00C61FB2">
      <w:pPr>
        <w:pStyle w:val="Call"/>
        <w:rPr>
          <w:i w:val="0"/>
          <w:iCs/>
          <w:lang w:val="ru-RU"/>
        </w:rPr>
      </w:pPr>
      <w:r w:rsidRPr="00393D51">
        <w:rPr>
          <w:lang w:val="ru-RU"/>
        </w:rPr>
        <w:t>решает</w:t>
      </w:r>
    </w:p>
    <w:p w14:paraId="67AF72A9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утвердить, при условии согласия большинства Государств – Членов МСЭ в соответствии с п. 79 Конвенции, альтернативный проект с переоценкой, бюджет которого не должен превышать 172,69 </w:t>
      </w:r>
      <w:proofErr w:type="gramStart"/>
      <w:r w:rsidRPr="00393D51">
        <w:rPr>
          <w:lang w:val="ru-RU"/>
        </w:rPr>
        <w:t>млн.</w:t>
      </w:r>
      <w:proofErr w:type="gramEnd"/>
      <w:r w:rsidRPr="00393D51">
        <w:rPr>
          <w:lang w:val="ru-RU"/>
        </w:rPr>
        <w:t xml:space="preserve"> швейцарских франков,</w:t>
      </w:r>
    </w:p>
    <w:p w14:paraId="50CEA82B" w14:textId="4A3F605D" w:rsidR="00C61FB2" w:rsidRPr="00393D51" w:rsidRDefault="00C61FB2" w:rsidP="00C61FB2">
      <w:pPr>
        <w:pStyle w:val="Call"/>
        <w:rPr>
          <w:lang w:val="ru-RU"/>
        </w:rPr>
      </w:pPr>
      <w:r w:rsidRPr="00393D51">
        <w:rPr>
          <w:lang w:val="ru-RU"/>
        </w:rPr>
        <w:t>поручает Генеральному секретарю при условии вышеуказанного согласия большинства Государств</w:t>
      </w:r>
      <w:r w:rsidR="003C78A9">
        <w:rPr>
          <w:lang w:val="ru-RU"/>
        </w:rPr>
        <w:t> </w:t>
      </w:r>
      <w:r w:rsidRPr="00393D51">
        <w:rPr>
          <w:lang w:val="ru-RU"/>
        </w:rPr>
        <w:t>– Членов МСЭ</w:t>
      </w:r>
    </w:p>
    <w:p w14:paraId="23164D3E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1</w:t>
      </w:r>
      <w:r w:rsidRPr="00393D51">
        <w:rPr>
          <w:lang w:val="ru-RU"/>
        </w:rPr>
        <w:tab/>
        <w:t>предпринять все необходимые шаги для реализации альтернативного проекта с переоценкой, чтобы удовлетворить потребности Членов и сотрудников МСЭ, как это отражено в Приложении;</w:t>
      </w:r>
    </w:p>
    <w:p w14:paraId="299E1246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lastRenderedPageBreak/>
        <w:t>2</w:t>
      </w:r>
      <w:r w:rsidRPr="00393D51">
        <w:rPr>
          <w:lang w:val="ru-RU"/>
        </w:rPr>
        <w:tab/>
        <w:t>обратиться к стране пребывания и принять необходимые меры для перепрофилирования ссуды в размере 150 </w:t>
      </w:r>
      <w:proofErr w:type="gramStart"/>
      <w:r w:rsidRPr="00393D51">
        <w:rPr>
          <w:lang w:val="ru-RU"/>
        </w:rPr>
        <w:t>млн.</w:t>
      </w:r>
      <w:proofErr w:type="gramEnd"/>
      <w:r w:rsidRPr="00393D51">
        <w:rPr>
          <w:lang w:val="ru-RU"/>
        </w:rPr>
        <w:t xml:space="preserve"> швейцарских франков для альтернативного проекта с переоценкой;</w:t>
      </w:r>
    </w:p>
    <w:p w14:paraId="302FDD99" w14:textId="25075D66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3</w:t>
      </w:r>
      <w:r w:rsidRPr="00393D51">
        <w:rPr>
          <w:lang w:val="ru-RU"/>
        </w:rPr>
        <w:tab/>
        <w:t>взаимодействовать со спонсорами и заинтересованными сторонами с целью сохранения обязательств по предоставлению спонсорской поддержки и других договоренностей, как указано в Резолюции 212 (</w:t>
      </w:r>
      <w:proofErr w:type="spellStart"/>
      <w:r w:rsidRPr="00393D51">
        <w:rPr>
          <w:lang w:val="ru-RU"/>
        </w:rPr>
        <w:t>Пересм</w:t>
      </w:r>
      <w:proofErr w:type="spellEnd"/>
      <w:r w:rsidRPr="00393D51">
        <w:rPr>
          <w:lang w:val="ru-RU"/>
        </w:rPr>
        <w:t>. Бухарест, 2022</w:t>
      </w:r>
      <w:r w:rsidR="003C78A9">
        <w:rPr>
          <w:lang w:val="ru-RU"/>
        </w:rPr>
        <w:t> </w:t>
      </w:r>
      <w:r w:rsidRPr="00393D51">
        <w:rPr>
          <w:lang w:val="ru-RU"/>
        </w:rPr>
        <w:t>г.), и поиска взаимоприемлемых решений для выполнения обязательств, которые могут оказаться невыполнимыми в рамках альтернативного проекта с переоценкой;</w:t>
      </w:r>
    </w:p>
    <w:p w14:paraId="37550C13" w14:textId="77777777" w:rsidR="00C61FB2" w:rsidRPr="00393D51" w:rsidRDefault="00C61FB2" w:rsidP="00393D51">
      <w:pPr>
        <w:keepNext/>
        <w:keepLines/>
        <w:rPr>
          <w:lang w:val="ru-RU"/>
        </w:rPr>
      </w:pPr>
      <w:r w:rsidRPr="00393D51">
        <w:rPr>
          <w:lang w:val="ru-RU"/>
        </w:rPr>
        <w:t>4</w:t>
      </w:r>
      <w:r w:rsidRPr="00393D51">
        <w:rPr>
          <w:lang w:val="ru-RU"/>
        </w:rPr>
        <w:tab/>
        <w:t xml:space="preserve">обеспечить, чтобы концепция и реализация альтернативного проекта с переоценкой соответствовала потребностям Союза, путем проведения консультаций с </w:t>
      </w:r>
      <w:proofErr w:type="spellStart"/>
      <w:r w:rsidRPr="00393D51">
        <w:rPr>
          <w:lang w:val="ru-RU"/>
        </w:rPr>
        <w:t>КГГЧ</w:t>
      </w:r>
      <w:proofErr w:type="spellEnd"/>
      <w:r w:rsidRPr="00393D51">
        <w:rPr>
          <w:lang w:val="ru-RU"/>
        </w:rPr>
        <w:t xml:space="preserve"> и предоставления </w:t>
      </w:r>
      <w:proofErr w:type="spellStart"/>
      <w:r w:rsidRPr="00393D51">
        <w:rPr>
          <w:lang w:val="ru-RU"/>
        </w:rPr>
        <w:t>КГГЧ</w:t>
      </w:r>
      <w:proofErr w:type="spellEnd"/>
      <w:r w:rsidRPr="00393D51">
        <w:rPr>
          <w:lang w:val="ru-RU"/>
        </w:rPr>
        <w:t xml:space="preserve"> информации, необходимой для того, чтобы:</w:t>
      </w:r>
    </w:p>
    <w:p w14:paraId="54BD1868" w14:textId="26C6E922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a)</w:t>
      </w:r>
      <w:r w:rsidRPr="00393D51">
        <w:rPr>
          <w:lang w:val="ru-RU"/>
        </w:rPr>
        <w:tab/>
        <w:t xml:space="preserve">представлять консультации и рекомендации общего характера относительно </w:t>
      </w:r>
      <w:r w:rsidR="002701CF" w:rsidRPr="00393D51">
        <w:rPr>
          <w:lang w:val="ru-RU"/>
        </w:rPr>
        <w:t xml:space="preserve">реализации </w:t>
      </w:r>
      <w:r w:rsidRPr="00393D51">
        <w:rPr>
          <w:lang w:val="ru-RU"/>
        </w:rPr>
        <w:t>проекта, с тем чтобы обеспечивать соблюдение сроков и исполнение бюджета (не выходить за рамки 172,69 </w:t>
      </w:r>
      <w:proofErr w:type="gramStart"/>
      <w:r w:rsidRPr="00393D51">
        <w:rPr>
          <w:lang w:val="ru-RU"/>
        </w:rPr>
        <w:t>млн.</w:t>
      </w:r>
      <w:proofErr w:type="gramEnd"/>
      <w:r w:rsidRPr="00393D51">
        <w:rPr>
          <w:lang w:val="ru-RU"/>
        </w:rPr>
        <w:t xml:space="preserve"> швейцарских франков);</w:t>
      </w:r>
    </w:p>
    <w:p w14:paraId="755E3002" w14:textId="77128F55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b)</w:t>
      </w:r>
      <w:r w:rsidRPr="00393D51">
        <w:rPr>
          <w:lang w:val="ru-RU"/>
        </w:rPr>
        <w:tab/>
        <w:t xml:space="preserve">предоставлять </w:t>
      </w:r>
      <w:r w:rsidR="005771DB" w:rsidRPr="00393D51">
        <w:rPr>
          <w:lang w:val="ru-RU"/>
        </w:rPr>
        <w:t>руководящие указания</w:t>
      </w:r>
      <w:r w:rsidRPr="00393D51">
        <w:rPr>
          <w:lang w:val="ru-RU"/>
        </w:rPr>
        <w:t xml:space="preserve"> относительно любых изменений в финансировании в результате экономии или любых возможных изменений спонсорской поддержки или пожертвований;</w:t>
      </w:r>
    </w:p>
    <w:p w14:paraId="3964C1F3" w14:textId="056BB992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c)</w:t>
      </w:r>
      <w:r w:rsidRPr="00393D51">
        <w:rPr>
          <w:lang w:val="ru-RU"/>
        </w:rPr>
        <w:tab/>
        <w:t xml:space="preserve">предоставить </w:t>
      </w:r>
      <w:r w:rsidR="005771DB" w:rsidRPr="00393D51">
        <w:rPr>
          <w:lang w:val="ru-RU"/>
        </w:rPr>
        <w:t xml:space="preserve">руководящие указания </w:t>
      </w:r>
      <w:r w:rsidRPr="00393D51">
        <w:rPr>
          <w:lang w:val="ru-RU"/>
        </w:rPr>
        <w:t>по взаимодействию со спонсорами и заинтересованными сторонами;</w:t>
      </w:r>
    </w:p>
    <w:p w14:paraId="69715F9E" w14:textId="72A355CE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5</w:t>
      </w:r>
      <w:r w:rsidRPr="00393D51">
        <w:rPr>
          <w:lang w:val="ru-RU"/>
        </w:rPr>
        <w:tab/>
        <w:t xml:space="preserve">регулярно представлять </w:t>
      </w:r>
      <w:proofErr w:type="spellStart"/>
      <w:r w:rsidRPr="00393D51">
        <w:rPr>
          <w:lang w:val="ru-RU"/>
        </w:rPr>
        <w:t>КГГЧ</w:t>
      </w:r>
      <w:proofErr w:type="spellEnd"/>
      <w:r w:rsidRPr="00393D51">
        <w:rPr>
          <w:lang w:val="ru-RU"/>
        </w:rPr>
        <w:t>, РГС-</w:t>
      </w:r>
      <w:proofErr w:type="spellStart"/>
      <w:r w:rsidRPr="00393D51">
        <w:rPr>
          <w:lang w:val="ru-RU"/>
        </w:rPr>
        <w:t>ФЛР</w:t>
      </w:r>
      <w:proofErr w:type="spellEnd"/>
      <w:r w:rsidRPr="00393D51">
        <w:rPr>
          <w:lang w:val="ru-RU"/>
        </w:rPr>
        <w:t xml:space="preserve"> и Совету обновленную информацию о ходе выполнения мероприятий, указанных в </w:t>
      </w:r>
      <w:r w:rsidR="002701CF" w:rsidRPr="00393D51">
        <w:rPr>
          <w:lang w:val="ru-RU"/>
        </w:rPr>
        <w:t>Приложении</w:t>
      </w:r>
      <w:r w:rsidRPr="00393D51">
        <w:rPr>
          <w:lang w:val="ru-RU"/>
        </w:rPr>
        <w:t xml:space="preserve">, </w:t>
      </w:r>
      <w:r w:rsidR="005771DB" w:rsidRPr="00393D51">
        <w:rPr>
          <w:lang w:val="ru-RU"/>
        </w:rPr>
        <w:t>соблюдая при этом правила закупок</w:t>
      </w:r>
      <w:r w:rsidRPr="00393D51">
        <w:rPr>
          <w:lang w:val="ru-RU"/>
        </w:rPr>
        <w:t>;</w:t>
      </w:r>
    </w:p>
    <w:p w14:paraId="3D6E1028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6</w:t>
      </w:r>
      <w:r w:rsidRPr="00393D51">
        <w:rPr>
          <w:lang w:val="ru-RU"/>
        </w:rPr>
        <w:tab/>
        <w:t xml:space="preserve">продолжать консультации с </w:t>
      </w:r>
      <w:proofErr w:type="spellStart"/>
      <w:r w:rsidRPr="00393D51">
        <w:rPr>
          <w:lang w:val="ru-RU"/>
        </w:rPr>
        <w:t>КГГЧ</w:t>
      </w:r>
      <w:proofErr w:type="spellEnd"/>
      <w:r w:rsidRPr="00393D51">
        <w:rPr>
          <w:lang w:val="ru-RU"/>
        </w:rPr>
        <w:t xml:space="preserve"> на протяжении всего процесса проектирования и строительства, соблюдая при этом правила закупок;</w:t>
      </w:r>
    </w:p>
    <w:p w14:paraId="426EAD9E" w14:textId="08DF7DB3" w:rsidR="00C61FB2" w:rsidRPr="00393D51" w:rsidRDefault="00C61FB2" w:rsidP="00393D51">
      <w:pPr>
        <w:keepNext/>
        <w:keepLines/>
        <w:rPr>
          <w:lang w:val="ru-RU"/>
        </w:rPr>
      </w:pPr>
      <w:r w:rsidRPr="00393D51">
        <w:rPr>
          <w:lang w:val="ru-RU"/>
        </w:rPr>
        <w:t>7</w:t>
      </w:r>
      <w:r w:rsidRPr="00393D51">
        <w:rPr>
          <w:lang w:val="ru-RU"/>
        </w:rPr>
        <w:tab/>
      </w:r>
      <w:r w:rsidR="005771DB" w:rsidRPr="00393D51">
        <w:rPr>
          <w:lang w:val="ru-RU"/>
        </w:rPr>
        <w:t>подготовить</w:t>
      </w:r>
      <w:r w:rsidRPr="00393D51">
        <w:rPr>
          <w:lang w:val="ru-RU"/>
        </w:rPr>
        <w:t xml:space="preserve"> оценку и стратегический план </w:t>
      </w:r>
      <w:r w:rsidR="002701CF" w:rsidRPr="00393D51">
        <w:rPr>
          <w:lang w:val="ru-RU"/>
        </w:rPr>
        <w:t xml:space="preserve">на основе </w:t>
      </w:r>
      <w:r w:rsidRPr="00393D51">
        <w:rPr>
          <w:lang w:val="ru-RU"/>
        </w:rPr>
        <w:t>консультаци</w:t>
      </w:r>
      <w:r w:rsidR="002701CF" w:rsidRPr="00393D51">
        <w:rPr>
          <w:lang w:val="ru-RU"/>
        </w:rPr>
        <w:t>й</w:t>
      </w:r>
      <w:r w:rsidRPr="00393D51">
        <w:rPr>
          <w:lang w:val="ru-RU"/>
        </w:rPr>
        <w:t xml:space="preserve"> с соответствующими внутренними заинтересованными сторонами, включая Совет персонала МСЭ, а также представить на сессии РГС-</w:t>
      </w:r>
      <w:proofErr w:type="spellStart"/>
      <w:r w:rsidRPr="00393D51">
        <w:rPr>
          <w:lang w:val="ru-RU"/>
        </w:rPr>
        <w:t>ФЛР</w:t>
      </w:r>
      <w:proofErr w:type="spellEnd"/>
      <w:r w:rsidRPr="00393D51">
        <w:rPr>
          <w:lang w:val="ru-RU"/>
        </w:rPr>
        <w:t xml:space="preserve"> в январе 2025 года первоначальный проект долгосрочной концепции всего комплекса зданий МСЭ в Женеве, учитывая, как минимум, следующие факторы:</w:t>
      </w:r>
    </w:p>
    <w:p w14:paraId="2B074D22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a)</w:t>
      </w:r>
      <w:r w:rsidRPr="00393D51">
        <w:rPr>
          <w:lang w:val="ru-RU"/>
        </w:rPr>
        <w:tab/>
        <w:t>общее финансовое воздействие и устойчивость комплекса зданий МСЭ в Женеве;</w:t>
      </w:r>
    </w:p>
    <w:p w14:paraId="5226D6CF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b)</w:t>
      </w:r>
      <w:r w:rsidRPr="00393D51">
        <w:rPr>
          <w:lang w:val="ru-RU"/>
        </w:rPr>
        <w:tab/>
        <w:t>требования к безопасности и защите;</w:t>
      </w:r>
    </w:p>
    <w:p w14:paraId="370BABA6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c)</w:t>
      </w:r>
      <w:r w:rsidRPr="00393D51">
        <w:rPr>
          <w:lang w:val="ru-RU"/>
        </w:rPr>
        <w:tab/>
        <w:t>требования к управлению и эксплуатационные требования;</w:t>
      </w:r>
    </w:p>
    <w:p w14:paraId="55C4E116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d)</w:t>
      </w:r>
      <w:r w:rsidRPr="00393D51">
        <w:rPr>
          <w:lang w:val="ru-RU"/>
        </w:rPr>
        <w:tab/>
        <w:t>оптимизация использования всех помещений;</w:t>
      </w:r>
    </w:p>
    <w:p w14:paraId="7CFBE467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e)</w:t>
      </w:r>
      <w:r w:rsidRPr="00393D51">
        <w:rPr>
          <w:lang w:val="ru-RU"/>
        </w:rPr>
        <w:tab/>
        <w:t>обеспечение непрерывности ведения деятельности;</w:t>
      </w:r>
    </w:p>
    <w:p w14:paraId="66763455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f)</w:t>
      </w:r>
      <w:r w:rsidRPr="00393D51">
        <w:rPr>
          <w:lang w:val="ru-RU"/>
        </w:rPr>
        <w:tab/>
        <w:t>обеспечение выделения средств из регулярного бюджета на техническое обслуживание всего комплекса зданий МСЭ в Женеве;</w:t>
      </w:r>
    </w:p>
    <w:p w14:paraId="5FC296E4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g)</w:t>
      </w:r>
      <w:r w:rsidRPr="00393D51">
        <w:rPr>
          <w:lang w:val="ru-RU"/>
        </w:rPr>
        <w:tab/>
        <w:t>гибкость работы сотрудников (например, смешанные режимы работы);</w:t>
      </w:r>
    </w:p>
    <w:p w14:paraId="472385E4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h)</w:t>
      </w:r>
      <w:r w:rsidRPr="00393D51">
        <w:rPr>
          <w:lang w:val="ru-RU"/>
        </w:rPr>
        <w:tab/>
        <w:t>варианты альтернативных мест проведения собраний МСЭ за пределами комплекса зданий МСЭ в Женеве;</w:t>
      </w:r>
    </w:p>
    <w:p w14:paraId="38D4463C" w14:textId="77777777" w:rsidR="00C61FB2" w:rsidRPr="00393D51" w:rsidRDefault="00C61FB2" w:rsidP="00C61FB2">
      <w:pPr>
        <w:pStyle w:val="enumlev1"/>
        <w:rPr>
          <w:lang w:val="ru-RU"/>
        </w:rPr>
      </w:pPr>
      <w:r w:rsidRPr="00393D51">
        <w:rPr>
          <w:lang w:val="ru-RU"/>
        </w:rPr>
        <w:t>i)</w:t>
      </w:r>
      <w:r w:rsidRPr="00393D51">
        <w:rPr>
          <w:lang w:val="ru-RU"/>
        </w:rPr>
        <w:tab/>
        <w:t>взаимодействие при необходимости с Рабочей группой по разработке Стратегического и Финансового планов;</w:t>
      </w:r>
    </w:p>
    <w:p w14:paraId="42972D6F" w14:textId="3D047056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8</w:t>
      </w:r>
      <w:r w:rsidRPr="00393D51">
        <w:rPr>
          <w:lang w:val="ru-RU"/>
        </w:rPr>
        <w:tab/>
        <w:t>представлять Совету МСЭ для рассмотрения все отчеты о выполнении пункта</w:t>
      </w:r>
      <w:r w:rsidR="00393D51">
        <w:rPr>
          <w:lang w:val="en-US"/>
        </w:rPr>
        <w:t> </w:t>
      </w:r>
      <w:r w:rsidRPr="00393D51">
        <w:rPr>
          <w:lang w:val="ru-RU"/>
        </w:rPr>
        <w:t xml:space="preserve">7 раздела </w:t>
      </w:r>
      <w:r w:rsidRPr="00393D51">
        <w:rPr>
          <w:i/>
          <w:iCs/>
          <w:lang w:val="ru-RU"/>
        </w:rPr>
        <w:t>поручает Генеральному секретарю</w:t>
      </w:r>
      <w:r w:rsidRPr="00393D51">
        <w:rPr>
          <w:lang w:val="ru-RU"/>
        </w:rPr>
        <w:t>,</w:t>
      </w:r>
    </w:p>
    <w:p w14:paraId="3CB6D9A9" w14:textId="77777777" w:rsidR="00C61FB2" w:rsidRPr="00393D51" w:rsidRDefault="00C61FB2" w:rsidP="00C61FB2">
      <w:pPr>
        <w:pStyle w:val="Call"/>
        <w:rPr>
          <w:lang w:val="ru-RU"/>
        </w:rPr>
      </w:pPr>
      <w:r w:rsidRPr="00393D51">
        <w:rPr>
          <w:lang w:val="ru-RU"/>
        </w:rPr>
        <w:lastRenderedPageBreak/>
        <w:t>далее поручает Генеральному секретарю</w:t>
      </w:r>
    </w:p>
    <w:p w14:paraId="4DC8F62B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провести консультации со всеми Государствами – Членами Союза по настоящему Решению в соответствии с п. 79 Конвенции,</w:t>
      </w:r>
    </w:p>
    <w:p w14:paraId="3198BE4B" w14:textId="77777777" w:rsidR="00C61FB2" w:rsidRPr="00393D51" w:rsidRDefault="00C61FB2" w:rsidP="00C61FB2">
      <w:pPr>
        <w:pStyle w:val="Call"/>
        <w:rPr>
          <w:lang w:val="ru-RU"/>
        </w:rPr>
      </w:pPr>
      <w:r w:rsidRPr="00393D51">
        <w:rPr>
          <w:lang w:val="ru-RU"/>
        </w:rPr>
        <w:t>поручает Консультативной группе Государств-Членов</w:t>
      </w:r>
    </w:p>
    <w:p w14:paraId="4BC90196" w14:textId="77777777" w:rsidR="00C61FB2" w:rsidRPr="00393D51" w:rsidRDefault="00C61FB2" w:rsidP="00C61FB2">
      <w:pPr>
        <w:rPr>
          <w:lang w:val="ru-RU"/>
        </w:rPr>
      </w:pPr>
      <w:r w:rsidRPr="00393D51">
        <w:rPr>
          <w:lang w:val="ru-RU"/>
        </w:rPr>
        <w:t>привести свой круг ведения в соответствие с настоящим Решением и регулярно представлять обновленные сведения и отчеты РГС-</w:t>
      </w:r>
      <w:proofErr w:type="spellStart"/>
      <w:r w:rsidRPr="00393D51">
        <w:rPr>
          <w:lang w:val="ru-RU"/>
        </w:rPr>
        <w:t>ФЛР</w:t>
      </w:r>
      <w:proofErr w:type="spellEnd"/>
      <w:r w:rsidRPr="00393D51">
        <w:rPr>
          <w:lang w:val="ru-RU"/>
        </w:rPr>
        <w:t>.</w:t>
      </w:r>
    </w:p>
    <w:p w14:paraId="2162E87B" w14:textId="77777777" w:rsidR="00393D51" w:rsidRPr="00393D51" w:rsidRDefault="00C61FB2" w:rsidP="00393D51">
      <w:pPr>
        <w:spacing w:before="1440"/>
        <w:rPr>
          <w:lang w:val="ru-RU"/>
        </w:rPr>
      </w:pPr>
      <w:r w:rsidRPr="00393D51">
        <w:rPr>
          <w:b/>
          <w:bCs/>
          <w:lang w:val="ru-RU"/>
        </w:rPr>
        <w:t>Приложение</w:t>
      </w:r>
      <w:r w:rsidRPr="00393D51">
        <w:rPr>
          <w:lang w:val="ru-RU"/>
        </w:rPr>
        <w:t>: 1</w:t>
      </w:r>
    </w:p>
    <w:p w14:paraId="794EB620" w14:textId="31583E83" w:rsidR="00C61FB2" w:rsidRPr="00393D51" w:rsidRDefault="00C61FB2" w:rsidP="00393D51">
      <w:pPr>
        <w:rPr>
          <w:lang w:val="ru-RU"/>
        </w:rPr>
      </w:pPr>
      <w:r w:rsidRPr="00393D51">
        <w:rPr>
          <w:lang w:val="ru-RU"/>
        </w:rPr>
        <w:br w:type="page"/>
      </w:r>
    </w:p>
    <w:p w14:paraId="5BADD346" w14:textId="77777777" w:rsidR="00C61FB2" w:rsidRPr="00393D51" w:rsidRDefault="00C61FB2" w:rsidP="00C61FB2">
      <w:pPr>
        <w:pStyle w:val="AnnexNo"/>
        <w:spacing w:after="240"/>
        <w:rPr>
          <w:lang w:val="ru-RU"/>
        </w:rPr>
      </w:pPr>
      <w:r w:rsidRPr="00393D51">
        <w:rPr>
          <w:lang w:val="ru-RU"/>
        </w:rPr>
        <w:lastRenderedPageBreak/>
        <w:t>Приложение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C61FB2" w:rsidRPr="00393D51" w14:paraId="2769E6FB" w14:textId="77777777" w:rsidTr="00E53A30">
        <w:trPr>
          <w:trHeight w:val="381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02C4" w14:textId="77777777" w:rsidR="00C61FB2" w:rsidRPr="00393D51" w:rsidRDefault="00C61FB2" w:rsidP="00E53A30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Объем работ по альтернативному проекту с переоценкой</w:t>
            </w:r>
          </w:p>
        </w:tc>
      </w:tr>
      <w:tr w:rsidR="00C61FB2" w:rsidRPr="00393D51" w14:paraId="3255B545" w14:textId="77777777" w:rsidTr="00E53A30">
        <w:trPr>
          <w:trHeight w:val="8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F37E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Помещения для проведения конференций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E71D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b/>
                <w:bCs/>
                <w:lang w:val="ru-RU"/>
              </w:rPr>
              <w:t xml:space="preserve">Большой конференц-зал (спонсируется Саудовской Аравией) </w:t>
            </w:r>
            <w:r w:rsidRPr="00393D51">
              <w:rPr>
                <w:b/>
                <w:bCs/>
                <w:lang w:val="ru-RU"/>
              </w:rPr>
              <w:br/>
            </w:r>
            <w:r w:rsidRPr="00393D51">
              <w:rPr>
                <w:lang w:val="ru-RU"/>
              </w:rPr>
              <w:t>Приблизительно 500 мест</w:t>
            </w:r>
          </w:p>
          <w:p w14:paraId="2432222C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b/>
                <w:bCs/>
                <w:lang w:val="ru-RU"/>
              </w:rPr>
              <w:t>Прилегающая зона конференц-зала</w:t>
            </w:r>
            <w:r w:rsidRPr="00393D51">
              <w:rPr>
                <w:lang w:val="ru-RU"/>
              </w:rPr>
              <w:t xml:space="preserve"> </w:t>
            </w:r>
            <w:r w:rsidRPr="00393D51">
              <w:rPr>
                <w:lang w:val="ru-RU"/>
              </w:rPr>
              <w:br/>
              <w:t>Пропорциональный размер</w:t>
            </w:r>
          </w:p>
        </w:tc>
      </w:tr>
      <w:tr w:rsidR="00C61FB2" w:rsidRPr="00393D51" w14:paraId="1E2460E5" w14:textId="77777777" w:rsidTr="00E53A30">
        <w:trPr>
          <w:trHeight w:val="7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F641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Обеспечение 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DB74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b/>
                <w:bCs/>
                <w:lang w:val="ru-RU"/>
              </w:rPr>
              <w:t>Кафетерий</w:t>
            </w:r>
            <w:r w:rsidRPr="00393D51">
              <w:rPr>
                <w:lang w:val="ru-RU"/>
              </w:rPr>
              <w:br/>
              <w:t>Обеденный зал приблизительно на 150 мест</w:t>
            </w:r>
          </w:p>
          <w:p w14:paraId="5B45C1B0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b/>
                <w:bCs/>
                <w:lang w:val="ru-RU"/>
              </w:rPr>
              <w:t>Зона отдыха для делегатов</w:t>
            </w:r>
            <w:r w:rsidRPr="00393D51">
              <w:rPr>
                <w:lang w:val="ru-RU"/>
              </w:rPr>
              <w:t xml:space="preserve"> </w:t>
            </w:r>
            <w:r w:rsidRPr="00393D51">
              <w:rPr>
                <w:lang w:val="ru-RU"/>
              </w:rPr>
              <w:br/>
              <w:t>Приблизительно 120 мест</w:t>
            </w:r>
          </w:p>
        </w:tc>
      </w:tr>
      <w:tr w:rsidR="00C61FB2" w:rsidRPr="00393D51" w14:paraId="67F1B0DC" w14:textId="77777777" w:rsidTr="00E53A30">
        <w:trPr>
          <w:trHeight w:val="18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F081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Залы заседаний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15D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lang w:val="ru-RU"/>
              </w:rPr>
              <w:t>Приблизительно 23 зала</w:t>
            </w:r>
          </w:p>
        </w:tc>
      </w:tr>
      <w:tr w:rsidR="00C61FB2" w:rsidRPr="00393D51" w14:paraId="35358688" w14:textId="77777777" w:rsidTr="00E53A30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AFA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Рабочие места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79B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lang w:val="ru-RU"/>
              </w:rPr>
              <w:t>Приблизительно 200 мест</w:t>
            </w:r>
          </w:p>
        </w:tc>
      </w:tr>
      <w:tr w:rsidR="00C61FB2" w:rsidRPr="00393D51" w14:paraId="0118B007" w14:textId="77777777" w:rsidTr="00E53A30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E559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Необходимые вспомогательные помещения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6E49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lang w:val="ru-RU"/>
              </w:rPr>
              <w:t>Достаточное количество для поддержки функционирования этих объектов</w:t>
            </w:r>
          </w:p>
        </w:tc>
      </w:tr>
      <w:tr w:rsidR="00C61FB2" w:rsidRPr="00393D51" w14:paraId="3EC89CB2" w14:textId="77777777" w:rsidTr="00E53A30">
        <w:trPr>
          <w:trHeight w:val="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B74A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Проектный размер здания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54F1" w14:textId="77777777" w:rsidR="00C61FB2" w:rsidRPr="00393D51" w:rsidRDefault="00C61FB2" w:rsidP="00E53A30">
            <w:pPr>
              <w:spacing w:before="60" w:after="60"/>
              <w:rPr>
                <w:lang w:val="ru-RU"/>
              </w:rPr>
            </w:pPr>
            <w:r w:rsidRPr="00393D51">
              <w:rPr>
                <w:lang w:val="ru-RU"/>
              </w:rPr>
              <w:t>Приблизительно 15 000 кв. м (аналогично проекту, который будет заменен)</w:t>
            </w:r>
          </w:p>
        </w:tc>
      </w:tr>
    </w:tbl>
    <w:p w14:paraId="3130337A" w14:textId="77777777" w:rsidR="00C61FB2" w:rsidRPr="00393D51" w:rsidRDefault="00C61FB2" w:rsidP="00C61FB2">
      <w:pPr>
        <w:rPr>
          <w:lang w:val="ru-RU"/>
        </w:rPr>
      </w:pPr>
    </w:p>
    <w:tbl>
      <w:tblPr>
        <w:tblStyle w:val="TableGrid"/>
        <w:tblW w:w="9214" w:type="dxa"/>
        <w:jc w:val="center"/>
        <w:tblLayout w:type="fixed"/>
        <w:tblLook w:val="0420" w:firstRow="1" w:lastRow="0" w:firstColumn="0" w:lastColumn="0" w:noHBand="0" w:noVBand="1"/>
      </w:tblPr>
      <w:tblGrid>
        <w:gridCol w:w="4531"/>
        <w:gridCol w:w="4683"/>
      </w:tblGrid>
      <w:tr w:rsidR="00C61FB2" w:rsidRPr="00393D51" w14:paraId="56C7D1BD" w14:textId="77777777" w:rsidTr="00E53A30">
        <w:trPr>
          <w:trHeight w:val="47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EDB" w14:textId="77777777" w:rsidR="00C61FB2" w:rsidRPr="00393D51" w:rsidRDefault="00C61FB2" w:rsidP="00E53A30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Основные этапы альтернативного проекта с переоценкой,</w:t>
            </w:r>
            <w:r w:rsidRPr="00393D51">
              <w:rPr>
                <w:b/>
                <w:bCs/>
                <w:lang w:val="ru-RU"/>
              </w:rPr>
              <w:br/>
              <w:t>которые должны соблюдаться Секретариатом</w:t>
            </w:r>
          </w:p>
        </w:tc>
      </w:tr>
      <w:tr w:rsidR="00C61FB2" w:rsidRPr="00393D51" w14:paraId="0DF0D838" w14:textId="77777777" w:rsidTr="00393D51">
        <w:trPr>
          <w:trHeight w:val="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2C1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Процесс консультаций для принятия решения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0D0" w14:textId="14035D5D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3-й квартал 2024 г</w:t>
            </w:r>
            <w:r w:rsidR="00393D51">
              <w:rPr>
                <w:lang w:val="en-US"/>
              </w:rPr>
              <w:t>.</w:t>
            </w:r>
          </w:p>
        </w:tc>
      </w:tr>
      <w:tr w:rsidR="00C61FB2" w:rsidRPr="00393D51" w14:paraId="72880AFF" w14:textId="77777777" w:rsidTr="00393D51">
        <w:trPr>
          <w:trHeight w:val="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8D9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Планирование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8FC" w14:textId="6468787C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proofErr w:type="gramStart"/>
            <w:r w:rsidRPr="00393D51">
              <w:rPr>
                <w:lang w:val="ru-RU"/>
              </w:rPr>
              <w:t>2024</w:t>
            </w:r>
            <w:r w:rsidR="00393D51">
              <w:rPr>
                <w:lang w:val="ru-RU"/>
              </w:rPr>
              <w:t>−</w:t>
            </w:r>
            <w:r w:rsidRPr="00393D51">
              <w:rPr>
                <w:lang w:val="ru-RU"/>
              </w:rPr>
              <w:t>2025</w:t>
            </w:r>
            <w:proofErr w:type="gramEnd"/>
            <w:r w:rsidRPr="00393D51">
              <w:rPr>
                <w:lang w:val="ru-RU"/>
              </w:rPr>
              <w:t xml:space="preserve"> гг.</w:t>
            </w:r>
          </w:p>
        </w:tc>
      </w:tr>
      <w:tr w:rsidR="00C61FB2" w:rsidRPr="00393D51" w14:paraId="58919E15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7CA" w14:textId="77777777" w:rsidR="00C61FB2" w:rsidRPr="00393D51" w:rsidRDefault="00C61FB2" w:rsidP="00E53A30">
            <w:pPr>
              <w:spacing w:before="60" w:after="60"/>
              <w:ind w:left="567"/>
              <w:rPr>
                <w:lang w:val="ru-RU"/>
              </w:rPr>
            </w:pPr>
            <w:r w:rsidRPr="00393D51">
              <w:rPr>
                <w:lang w:val="ru-RU"/>
              </w:rPr>
              <w:t>Предварительный отбор архитекторов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3A9" w14:textId="77777777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4-й квартал 2024 г.</w:t>
            </w:r>
          </w:p>
        </w:tc>
      </w:tr>
      <w:tr w:rsidR="00C61FB2" w:rsidRPr="00393D51" w14:paraId="7F9FC6B9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6D9" w14:textId="77777777" w:rsidR="00C61FB2" w:rsidRPr="00393D51" w:rsidRDefault="00C61FB2" w:rsidP="00E53A30">
            <w:pPr>
              <w:spacing w:before="60" w:after="60"/>
              <w:ind w:left="567"/>
              <w:rPr>
                <w:lang w:val="ru-RU"/>
              </w:rPr>
            </w:pPr>
            <w:r w:rsidRPr="00393D51">
              <w:rPr>
                <w:lang w:val="ru-RU"/>
              </w:rPr>
              <w:t>Выбор архитектора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043" w14:textId="50737411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1</w:t>
            </w:r>
            <w:r w:rsidR="00393D51">
              <w:rPr>
                <w:lang w:val="ru-RU"/>
              </w:rPr>
              <w:t>-й</w:t>
            </w:r>
            <w:r w:rsidRPr="00393D51">
              <w:rPr>
                <w:lang w:val="ru-RU"/>
              </w:rPr>
              <w:t xml:space="preserve"> квартал 2025 г.</w:t>
            </w:r>
          </w:p>
        </w:tc>
      </w:tr>
      <w:tr w:rsidR="00C61FB2" w:rsidRPr="00393D51" w14:paraId="6F9CA764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5FD" w14:textId="77777777" w:rsidR="00C61FB2" w:rsidRPr="00393D51" w:rsidRDefault="00C61FB2" w:rsidP="00E53A30">
            <w:pPr>
              <w:spacing w:before="60" w:after="60"/>
              <w:ind w:left="567"/>
              <w:rPr>
                <w:lang w:val="ru-RU"/>
              </w:rPr>
            </w:pPr>
            <w:r w:rsidRPr="00393D51">
              <w:rPr>
                <w:lang w:val="ru-RU"/>
              </w:rPr>
              <w:t>Технико-экономическое обоснование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B45" w14:textId="77777777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2-й квартал 2025 г.</w:t>
            </w:r>
          </w:p>
        </w:tc>
      </w:tr>
      <w:tr w:rsidR="00C61FB2" w:rsidRPr="00393D51" w14:paraId="5E7CF5DC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4CC" w14:textId="77777777" w:rsidR="00C61FB2" w:rsidRPr="00393D51" w:rsidRDefault="00C61FB2" w:rsidP="00E53A30">
            <w:pPr>
              <w:spacing w:before="60" w:after="60"/>
              <w:ind w:left="567"/>
              <w:rPr>
                <w:lang w:val="ru-RU"/>
              </w:rPr>
            </w:pPr>
            <w:r w:rsidRPr="00393D51">
              <w:rPr>
                <w:lang w:val="ru-RU"/>
              </w:rPr>
              <w:t>Концептуальный проект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E7B" w14:textId="77777777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4-й квартал 2025 г.</w:t>
            </w:r>
          </w:p>
        </w:tc>
      </w:tr>
      <w:tr w:rsidR="00C61FB2" w:rsidRPr="00393D51" w14:paraId="73E86ED1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874" w14:textId="4DD2319F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Проектная документация/тендер/контракт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AB0" w14:textId="70927BBD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proofErr w:type="gramStart"/>
            <w:r w:rsidRPr="00393D51">
              <w:rPr>
                <w:lang w:val="ru-RU"/>
              </w:rPr>
              <w:t>2026</w:t>
            </w:r>
            <w:r w:rsidR="00393D51">
              <w:rPr>
                <w:lang w:val="ru-RU"/>
              </w:rPr>
              <w:t>−</w:t>
            </w:r>
            <w:r w:rsidRPr="00393D51">
              <w:rPr>
                <w:lang w:val="ru-RU"/>
              </w:rPr>
              <w:t>2027</w:t>
            </w:r>
            <w:proofErr w:type="gramEnd"/>
            <w:r w:rsidRPr="00393D51">
              <w:rPr>
                <w:lang w:val="ru-RU"/>
              </w:rPr>
              <w:t xml:space="preserve"> гг.</w:t>
            </w:r>
          </w:p>
        </w:tc>
      </w:tr>
      <w:tr w:rsidR="00C61FB2" w:rsidRPr="00393D51" w14:paraId="519A8491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090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Реализация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98DF" w14:textId="215C6F69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proofErr w:type="gramStart"/>
            <w:r w:rsidRPr="00393D51">
              <w:rPr>
                <w:lang w:val="ru-RU"/>
              </w:rPr>
              <w:t>2028</w:t>
            </w:r>
            <w:r w:rsidR="00393D51">
              <w:rPr>
                <w:lang w:val="ru-RU"/>
              </w:rPr>
              <w:t>−</w:t>
            </w:r>
            <w:r w:rsidRPr="00393D51">
              <w:rPr>
                <w:lang w:val="ru-RU"/>
              </w:rPr>
              <w:t>2031</w:t>
            </w:r>
            <w:proofErr w:type="gramEnd"/>
            <w:r w:rsidRPr="00393D51">
              <w:rPr>
                <w:lang w:val="ru-RU"/>
              </w:rPr>
              <w:t xml:space="preserve"> гг.</w:t>
            </w:r>
          </w:p>
        </w:tc>
      </w:tr>
      <w:tr w:rsidR="00C61FB2" w:rsidRPr="00393D51" w14:paraId="131E40BF" w14:textId="77777777" w:rsidTr="00393D51">
        <w:trPr>
          <w:trHeight w:val="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B8C" w14:textId="77777777" w:rsidR="00C61FB2" w:rsidRPr="00393D51" w:rsidRDefault="00C61FB2" w:rsidP="00E53A30">
            <w:pPr>
              <w:spacing w:before="60" w:after="60"/>
              <w:rPr>
                <w:b/>
                <w:bCs/>
                <w:lang w:val="ru-RU"/>
              </w:rPr>
            </w:pPr>
            <w:r w:rsidRPr="00393D51">
              <w:rPr>
                <w:b/>
                <w:bCs/>
                <w:lang w:val="ru-RU"/>
              </w:rPr>
              <w:t>Передача объекта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0C7" w14:textId="77777777" w:rsidR="00C61FB2" w:rsidRPr="00393D51" w:rsidRDefault="00C61FB2" w:rsidP="00E53A30">
            <w:pPr>
              <w:spacing w:before="60" w:after="60"/>
              <w:jc w:val="center"/>
              <w:rPr>
                <w:lang w:val="ru-RU"/>
              </w:rPr>
            </w:pPr>
            <w:r w:rsidRPr="00393D51">
              <w:rPr>
                <w:lang w:val="ru-RU"/>
              </w:rPr>
              <w:t>2031 г.</w:t>
            </w:r>
          </w:p>
        </w:tc>
      </w:tr>
    </w:tbl>
    <w:p w14:paraId="69767EBE" w14:textId="58D7F7C1" w:rsidR="00796BD3" w:rsidRPr="00393D51" w:rsidRDefault="0055137D" w:rsidP="003E7254">
      <w:pPr>
        <w:spacing w:before="720"/>
        <w:jc w:val="center"/>
        <w:rPr>
          <w:lang w:val="ru-RU"/>
        </w:rPr>
      </w:pPr>
      <w:r w:rsidRPr="00393D51">
        <w:rPr>
          <w:lang w:val="ru-RU"/>
        </w:rPr>
        <w:t>______________</w:t>
      </w:r>
    </w:p>
    <w:sectPr w:rsidR="00796BD3" w:rsidRPr="00393D51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4647" w14:textId="77777777" w:rsidR="00B8268C" w:rsidRDefault="00B8268C">
      <w:r>
        <w:separator/>
      </w:r>
    </w:p>
  </w:endnote>
  <w:endnote w:type="continuationSeparator" w:id="0">
    <w:p w14:paraId="659A289C" w14:textId="77777777" w:rsidR="00B8268C" w:rsidRDefault="00B8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4A146988" w:rsidR="00672F8A" w:rsidRPr="00E06FD5" w:rsidRDefault="00672F8A" w:rsidP="00C61FB2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61FB2">
            <w:rPr>
              <w:bCs/>
              <w:lang w:val="en-GB"/>
            </w:rPr>
            <w:t>132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1DA985DF" w:rsidR="00672F8A" w:rsidRPr="00E06FD5" w:rsidRDefault="00672F8A" w:rsidP="003C4A60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61FB2">
            <w:rPr>
              <w:bCs/>
            </w:rPr>
            <w:t>132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5A3D" w14:textId="77777777" w:rsidR="00B8268C" w:rsidRDefault="00B8268C">
      <w:r>
        <w:t>____________________</w:t>
      </w:r>
    </w:p>
  </w:footnote>
  <w:footnote w:type="continuationSeparator" w:id="0">
    <w:p w14:paraId="67C2C3AF" w14:textId="77777777" w:rsidR="00B8268C" w:rsidRDefault="00B8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A7DB8"/>
    <w:rsid w:val="000B03D0"/>
    <w:rsid w:val="000B2DE7"/>
    <w:rsid w:val="000D251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07379"/>
    <w:rsid w:val="00225368"/>
    <w:rsid w:val="00227FF0"/>
    <w:rsid w:val="002701CF"/>
    <w:rsid w:val="0028309F"/>
    <w:rsid w:val="00291EB6"/>
    <w:rsid w:val="002B14D4"/>
    <w:rsid w:val="002B5D73"/>
    <w:rsid w:val="002B7DD4"/>
    <w:rsid w:val="002D2F57"/>
    <w:rsid w:val="002D48C5"/>
    <w:rsid w:val="0033025A"/>
    <w:rsid w:val="00330605"/>
    <w:rsid w:val="00393D51"/>
    <w:rsid w:val="003C4A60"/>
    <w:rsid w:val="003C78A9"/>
    <w:rsid w:val="003E7254"/>
    <w:rsid w:val="003F099E"/>
    <w:rsid w:val="003F235E"/>
    <w:rsid w:val="003F5CF7"/>
    <w:rsid w:val="004023E0"/>
    <w:rsid w:val="00403DD8"/>
    <w:rsid w:val="00442515"/>
    <w:rsid w:val="0045686C"/>
    <w:rsid w:val="004918C4"/>
    <w:rsid w:val="004968AA"/>
    <w:rsid w:val="00497703"/>
    <w:rsid w:val="004A0374"/>
    <w:rsid w:val="004A243E"/>
    <w:rsid w:val="004A45B5"/>
    <w:rsid w:val="004D0129"/>
    <w:rsid w:val="005219D3"/>
    <w:rsid w:val="005416A9"/>
    <w:rsid w:val="00545760"/>
    <w:rsid w:val="0055137D"/>
    <w:rsid w:val="00561DEE"/>
    <w:rsid w:val="005771DB"/>
    <w:rsid w:val="00590C07"/>
    <w:rsid w:val="005A64D5"/>
    <w:rsid w:val="005B3DEC"/>
    <w:rsid w:val="005F244A"/>
    <w:rsid w:val="00601662"/>
    <w:rsid w:val="00601994"/>
    <w:rsid w:val="00660449"/>
    <w:rsid w:val="00672F8A"/>
    <w:rsid w:val="006867EB"/>
    <w:rsid w:val="006A0BC4"/>
    <w:rsid w:val="006E2D42"/>
    <w:rsid w:val="00703676"/>
    <w:rsid w:val="00707304"/>
    <w:rsid w:val="00723B99"/>
    <w:rsid w:val="00732269"/>
    <w:rsid w:val="00733045"/>
    <w:rsid w:val="00762555"/>
    <w:rsid w:val="00785ABD"/>
    <w:rsid w:val="00796BD3"/>
    <w:rsid w:val="007A2DD4"/>
    <w:rsid w:val="007A6C09"/>
    <w:rsid w:val="007B63CA"/>
    <w:rsid w:val="007D38B5"/>
    <w:rsid w:val="007E7EA0"/>
    <w:rsid w:val="00807255"/>
    <w:rsid w:val="0081023E"/>
    <w:rsid w:val="008173AA"/>
    <w:rsid w:val="00840A14"/>
    <w:rsid w:val="00893749"/>
    <w:rsid w:val="008B62B4"/>
    <w:rsid w:val="008C6349"/>
    <w:rsid w:val="008D21F1"/>
    <w:rsid w:val="008D2D7B"/>
    <w:rsid w:val="008E0737"/>
    <w:rsid w:val="008F7C2C"/>
    <w:rsid w:val="009014BD"/>
    <w:rsid w:val="0092695C"/>
    <w:rsid w:val="00940E96"/>
    <w:rsid w:val="009938BD"/>
    <w:rsid w:val="009B0BAE"/>
    <w:rsid w:val="009B6009"/>
    <w:rsid w:val="009C1C89"/>
    <w:rsid w:val="009F3448"/>
    <w:rsid w:val="00A01CF9"/>
    <w:rsid w:val="00A0383F"/>
    <w:rsid w:val="00A20284"/>
    <w:rsid w:val="00A20F9E"/>
    <w:rsid w:val="00A71773"/>
    <w:rsid w:val="00AE2C85"/>
    <w:rsid w:val="00B11C9D"/>
    <w:rsid w:val="00B12A37"/>
    <w:rsid w:val="00B41837"/>
    <w:rsid w:val="00B63EF2"/>
    <w:rsid w:val="00B8268C"/>
    <w:rsid w:val="00BA7D89"/>
    <w:rsid w:val="00BC0D39"/>
    <w:rsid w:val="00BC7BC0"/>
    <w:rsid w:val="00BD57B7"/>
    <w:rsid w:val="00BE1B5D"/>
    <w:rsid w:val="00BE63E2"/>
    <w:rsid w:val="00BF06B0"/>
    <w:rsid w:val="00C55DA7"/>
    <w:rsid w:val="00C61FB2"/>
    <w:rsid w:val="00C775D9"/>
    <w:rsid w:val="00CB2460"/>
    <w:rsid w:val="00CD2009"/>
    <w:rsid w:val="00CF629C"/>
    <w:rsid w:val="00D06B3E"/>
    <w:rsid w:val="00D30C68"/>
    <w:rsid w:val="00D45691"/>
    <w:rsid w:val="00D92EEA"/>
    <w:rsid w:val="00DA5D4E"/>
    <w:rsid w:val="00DE37BE"/>
    <w:rsid w:val="00E176BA"/>
    <w:rsid w:val="00E423EC"/>
    <w:rsid w:val="00E55121"/>
    <w:rsid w:val="00EB4FCB"/>
    <w:rsid w:val="00EC6BC5"/>
    <w:rsid w:val="00F26FEA"/>
    <w:rsid w:val="00F35898"/>
    <w:rsid w:val="00F403AC"/>
    <w:rsid w:val="00F5225B"/>
    <w:rsid w:val="00F60ED8"/>
    <w:rsid w:val="00F84E77"/>
    <w:rsid w:val="00FC27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A2028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NormalaftertitleChar">
    <w:name w:val="Normal after title Char"/>
    <w:link w:val="Normalaftertitle"/>
    <w:locked/>
    <w:rsid w:val="00C61FB2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C61FB2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61FB2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07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FFF-CCAB-4A5E-83BB-AA9ECA1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LRT</cp:lastModifiedBy>
  <cp:revision>2</cp:revision>
  <cp:lastPrinted>2006-03-28T16:12:00Z</cp:lastPrinted>
  <dcterms:created xsi:type="dcterms:W3CDTF">2024-06-20T14:13:00Z</dcterms:created>
  <dcterms:modified xsi:type="dcterms:W3CDTF">2024-06-20T14:13:00Z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