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C15FF1" w14:paraId="16C8DD02" w14:textId="77777777" w:rsidTr="00C538FC">
        <w:trPr>
          <w:cantSplit/>
          <w:trHeight w:val="23"/>
        </w:trPr>
        <w:tc>
          <w:tcPr>
            <w:tcW w:w="3969" w:type="dxa"/>
            <w:vMerge w:val="restart"/>
            <w:tcMar>
              <w:left w:w="0" w:type="dxa"/>
            </w:tcMar>
          </w:tcPr>
          <w:p w14:paraId="380780FF" w14:textId="2F3FBC5F" w:rsidR="00FE57F6" w:rsidRPr="00C15FF1" w:rsidRDefault="00FE57F6" w:rsidP="00C538FC">
            <w:pPr>
              <w:tabs>
                <w:tab w:val="left" w:pos="851"/>
              </w:tabs>
              <w:spacing w:before="0" w:line="240" w:lineRule="atLeast"/>
              <w:rPr>
                <w:b/>
              </w:rPr>
            </w:pPr>
            <w:bookmarkStart w:id="0" w:name="_Hlk133421839"/>
          </w:p>
        </w:tc>
        <w:tc>
          <w:tcPr>
            <w:tcW w:w="5245" w:type="dxa"/>
          </w:tcPr>
          <w:p w14:paraId="12EC8577" w14:textId="67B5F7DE" w:rsidR="00FE57F6" w:rsidRPr="00C15FF1" w:rsidRDefault="00F56B6E" w:rsidP="00C538FC">
            <w:pPr>
              <w:tabs>
                <w:tab w:val="left" w:pos="851"/>
              </w:tabs>
              <w:spacing w:before="0" w:line="240" w:lineRule="atLeast"/>
              <w:jc w:val="right"/>
              <w:rPr>
                <w:b/>
              </w:rPr>
            </w:pPr>
            <w:r w:rsidRPr="00C15FF1">
              <w:rPr>
                <w:b/>
                <w:bCs/>
              </w:rPr>
              <w:t>Documento C24/</w:t>
            </w:r>
            <w:r w:rsidR="00E412CF">
              <w:rPr>
                <w:b/>
                <w:bCs/>
              </w:rPr>
              <w:t>137</w:t>
            </w:r>
            <w:r w:rsidRPr="00C15FF1">
              <w:rPr>
                <w:b/>
                <w:bCs/>
              </w:rPr>
              <w:t>-S</w:t>
            </w:r>
          </w:p>
        </w:tc>
      </w:tr>
      <w:tr w:rsidR="00FE57F6" w:rsidRPr="00C15FF1" w14:paraId="2F7BAD0F" w14:textId="77777777" w:rsidTr="00C538FC">
        <w:trPr>
          <w:cantSplit/>
        </w:trPr>
        <w:tc>
          <w:tcPr>
            <w:tcW w:w="3969" w:type="dxa"/>
            <w:vMerge/>
          </w:tcPr>
          <w:p w14:paraId="32D340BD" w14:textId="77777777" w:rsidR="00FE57F6" w:rsidRPr="00C15FF1" w:rsidRDefault="00FE57F6" w:rsidP="00C538FC">
            <w:pPr>
              <w:tabs>
                <w:tab w:val="left" w:pos="851"/>
              </w:tabs>
              <w:spacing w:line="240" w:lineRule="atLeast"/>
              <w:rPr>
                <w:b/>
              </w:rPr>
            </w:pPr>
          </w:p>
        </w:tc>
        <w:tc>
          <w:tcPr>
            <w:tcW w:w="5245" w:type="dxa"/>
          </w:tcPr>
          <w:p w14:paraId="6D67502D" w14:textId="73D81B94" w:rsidR="00FE57F6" w:rsidRPr="00C15FF1" w:rsidRDefault="00AA1793" w:rsidP="00C538FC">
            <w:pPr>
              <w:tabs>
                <w:tab w:val="left" w:pos="851"/>
              </w:tabs>
              <w:spacing w:before="0"/>
              <w:jc w:val="right"/>
              <w:rPr>
                <w:b/>
              </w:rPr>
            </w:pPr>
            <w:r w:rsidRPr="00C15FF1">
              <w:rPr>
                <w:b/>
                <w:bCs/>
              </w:rPr>
              <w:t xml:space="preserve">14 de junio </w:t>
            </w:r>
            <w:r w:rsidR="00F56B6E" w:rsidRPr="00C15FF1">
              <w:rPr>
                <w:b/>
                <w:bCs/>
              </w:rPr>
              <w:t>de 2024</w:t>
            </w:r>
          </w:p>
        </w:tc>
      </w:tr>
      <w:tr w:rsidR="00FE57F6" w:rsidRPr="00C15FF1" w14:paraId="14ED61B8" w14:textId="77777777" w:rsidTr="00C538FC">
        <w:trPr>
          <w:cantSplit/>
          <w:trHeight w:val="23"/>
        </w:trPr>
        <w:tc>
          <w:tcPr>
            <w:tcW w:w="3969" w:type="dxa"/>
            <w:vMerge/>
          </w:tcPr>
          <w:p w14:paraId="36AAE2B4" w14:textId="77777777" w:rsidR="00FE57F6" w:rsidRPr="00C15FF1" w:rsidRDefault="00FE57F6" w:rsidP="00C538FC">
            <w:pPr>
              <w:tabs>
                <w:tab w:val="left" w:pos="851"/>
              </w:tabs>
              <w:spacing w:line="240" w:lineRule="atLeast"/>
              <w:rPr>
                <w:b/>
              </w:rPr>
            </w:pPr>
          </w:p>
        </w:tc>
        <w:tc>
          <w:tcPr>
            <w:tcW w:w="5245" w:type="dxa"/>
          </w:tcPr>
          <w:p w14:paraId="54C7ED74" w14:textId="77777777" w:rsidR="00FE57F6" w:rsidRPr="00C15FF1" w:rsidRDefault="00F24B71" w:rsidP="00C538FC">
            <w:pPr>
              <w:tabs>
                <w:tab w:val="left" w:pos="851"/>
              </w:tabs>
              <w:spacing w:before="0" w:line="240" w:lineRule="atLeast"/>
              <w:jc w:val="right"/>
              <w:rPr>
                <w:b/>
                <w:bCs/>
              </w:rPr>
            </w:pPr>
            <w:r w:rsidRPr="00C15FF1">
              <w:rPr>
                <w:rFonts w:cstheme="minorHAnsi"/>
                <w:b/>
                <w:bCs/>
              </w:rPr>
              <w:t>Original: inglés</w:t>
            </w:r>
          </w:p>
        </w:tc>
      </w:tr>
      <w:tr w:rsidR="00FE57F6" w:rsidRPr="00C15FF1" w14:paraId="28C23F0D" w14:textId="77777777" w:rsidTr="00C538FC">
        <w:trPr>
          <w:cantSplit/>
          <w:trHeight w:val="23"/>
        </w:trPr>
        <w:tc>
          <w:tcPr>
            <w:tcW w:w="3969" w:type="dxa"/>
          </w:tcPr>
          <w:p w14:paraId="71CA9CDE" w14:textId="77777777" w:rsidR="00FE57F6" w:rsidRPr="00C15FF1" w:rsidRDefault="00FE57F6" w:rsidP="00C538FC">
            <w:pPr>
              <w:tabs>
                <w:tab w:val="left" w:pos="851"/>
              </w:tabs>
              <w:spacing w:line="240" w:lineRule="atLeast"/>
              <w:rPr>
                <w:b/>
              </w:rPr>
            </w:pPr>
          </w:p>
        </w:tc>
        <w:tc>
          <w:tcPr>
            <w:tcW w:w="5245" w:type="dxa"/>
          </w:tcPr>
          <w:p w14:paraId="04F0E65D" w14:textId="77777777" w:rsidR="00FE57F6" w:rsidRPr="00C15FF1" w:rsidRDefault="00FE57F6" w:rsidP="00C538FC">
            <w:pPr>
              <w:tabs>
                <w:tab w:val="left" w:pos="851"/>
              </w:tabs>
              <w:spacing w:before="0" w:line="240" w:lineRule="atLeast"/>
              <w:jc w:val="right"/>
              <w:rPr>
                <w:b/>
              </w:rPr>
            </w:pPr>
          </w:p>
        </w:tc>
      </w:tr>
    </w:tbl>
    <w:bookmarkEnd w:id="0"/>
    <w:p w14:paraId="49D50E1B" w14:textId="25D4354B" w:rsidR="007A3464" w:rsidRDefault="007A3464" w:rsidP="007A3464">
      <w:pPr>
        <w:pStyle w:val="ResNo"/>
      </w:pPr>
      <w:r w:rsidRPr="00C15FF1">
        <w:t xml:space="preserve">RESOLUCIÓN 1386 </w:t>
      </w:r>
      <w:bookmarkStart w:id="1" w:name="_Hlk169266201"/>
      <w:r w:rsidRPr="00C15FF1">
        <w:t xml:space="preserve">(C17, </w:t>
      </w:r>
      <w:r w:rsidR="0069615D" w:rsidRPr="00C15FF1">
        <w:rPr>
          <w:caps w:val="0"/>
        </w:rPr>
        <w:t xml:space="preserve">modificada por última vez </w:t>
      </w:r>
      <w:r w:rsidR="0069615D" w:rsidRPr="00C15FF1">
        <w:t>C</w:t>
      </w:r>
      <w:r w:rsidRPr="00C15FF1">
        <w:t>24)</w:t>
      </w:r>
      <w:bookmarkEnd w:id="1"/>
    </w:p>
    <w:p w14:paraId="1197A49A" w14:textId="77777777" w:rsidR="00557D3C" w:rsidRPr="001F0175" w:rsidRDefault="00557D3C" w:rsidP="00557D3C">
      <w:pPr>
        <w:pStyle w:val="Resref"/>
        <w:rPr>
          <w:rFonts w:asciiTheme="minorHAnsi" w:hAnsiTheme="minorHAnsi" w:cstheme="minorHAnsi"/>
        </w:rPr>
      </w:pPr>
      <w:r w:rsidRPr="001F0175">
        <w:rPr>
          <w:rFonts w:asciiTheme="minorHAnsi" w:hAnsiTheme="minorHAnsi" w:cstheme="minorHAnsi"/>
        </w:rPr>
        <w:t xml:space="preserve">(adoptada en la </w:t>
      </w:r>
      <w:r>
        <w:rPr>
          <w:rFonts w:asciiTheme="minorHAnsi" w:hAnsiTheme="minorHAnsi" w:cstheme="minorHAnsi"/>
        </w:rPr>
        <w:t>décima</w:t>
      </w:r>
      <w:r w:rsidRPr="001F0175">
        <w:rPr>
          <w:rFonts w:asciiTheme="minorHAnsi" w:hAnsiTheme="minorHAnsi" w:cstheme="minorHAnsi"/>
        </w:rPr>
        <w:t xml:space="preserve"> Sesión Plenaria)</w:t>
      </w:r>
    </w:p>
    <w:p w14:paraId="29B0CC49" w14:textId="77777777" w:rsidR="007A3464" w:rsidRPr="00C15FF1" w:rsidRDefault="007A3464" w:rsidP="007A3464">
      <w:pPr>
        <w:pStyle w:val="Restitle"/>
      </w:pPr>
      <w:r w:rsidRPr="00C15FF1">
        <w:t>Comité de Coordinación de la Terminología de la UIT (CCT UIT)</w:t>
      </w:r>
    </w:p>
    <w:p w14:paraId="7E99DEB6" w14:textId="7EF6B4A2" w:rsidR="007A3464" w:rsidRPr="00C15FF1" w:rsidRDefault="007A3464" w:rsidP="007A3464">
      <w:pPr>
        <w:pStyle w:val="Normalaftertitle"/>
      </w:pPr>
      <w:r w:rsidRPr="00C15FF1">
        <w:t>El Consejo de la UIT,</w:t>
      </w:r>
    </w:p>
    <w:p w14:paraId="7001F648" w14:textId="77777777" w:rsidR="007A3464" w:rsidRPr="00C15FF1" w:rsidRDefault="007A3464" w:rsidP="007A3464">
      <w:pPr>
        <w:pStyle w:val="Call"/>
      </w:pPr>
      <w:r w:rsidRPr="00C15FF1">
        <w:t>recordando</w:t>
      </w:r>
    </w:p>
    <w:p w14:paraId="16522643" w14:textId="0E2D85E7" w:rsidR="007A3464" w:rsidRPr="00C15FF1" w:rsidRDefault="007A3464" w:rsidP="007A3464">
      <w:r w:rsidRPr="00C15FF1">
        <w:rPr>
          <w:i/>
          <w:iCs/>
        </w:rPr>
        <w:t>a)</w:t>
      </w:r>
      <w:r w:rsidRPr="00C15FF1">
        <w:tab/>
        <w:t>la Resolución 154 (Rev. Bucarest, 2022) de la Conferencia de Plenipotenciarios (PP) sobre la utilización de los seis idiomas oficiales de la Unión en igualdad de condiciones;</w:t>
      </w:r>
    </w:p>
    <w:p w14:paraId="6892A6CA" w14:textId="7B4916F4" w:rsidR="007A3464" w:rsidRPr="00C15FF1" w:rsidRDefault="007A3464" w:rsidP="006D6677">
      <w:r w:rsidRPr="00C15FF1">
        <w:rPr>
          <w:i/>
          <w:iCs/>
        </w:rPr>
        <w:t>b)</w:t>
      </w:r>
      <w:r w:rsidRPr="00C15FF1">
        <w:tab/>
        <w:t>la Resolución 1372 del Consejo, en su forma revisada en la reunión de 2024 sobre el Grupo de Trabajo del Consejo sobre los Idiomas (GTC-IDIOMAS);</w:t>
      </w:r>
    </w:p>
    <w:p w14:paraId="5D15740A" w14:textId="77777777" w:rsidR="007A3464" w:rsidRPr="00C15FF1" w:rsidRDefault="007A3464" w:rsidP="007A3464">
      <w:r w:rsidRPr="00C15FF1">
        <w:rPr>
          <w:i/>
          <w:iCs/>
        </w:rPr>
        <w:t>c)</w:t>
      </w:r>
      <w:r w:rsidRPr="00C15FF1">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1B11899D" w14:textId="0091046D" w:rsidR="007A3464" w:rsidRPr="00C15FF1" w:rsidRDefault="007A3464" w:rsidP="007A3464">
      <w:r w:rsidRPr="00C15FF1">
        <w:rPr>
          <w:i/>
          <w:iCs/>
        </w:rPr>
        <w:t>d)</w:t>
      </w:r>
      <w:r w:rsidRPr="00C15FF1">
        <w:tab/>
        <w:t>la Resolución UIT-R 36</w:t>
      </w:r>
      <w:r w:rsidR="006D6677" w:rsidRPr="00C15FF1">
        <w:t>-</w:t>
      </w:r>
      <w:r w:rsidRPr="00C15FF1">
        <w:t>6 de la Asamblea de Radiocomunicaciones (AR) de la UIT sobre la coordinación del vocabulario;</w:t>
      </w:r>
    </w:p>
    <w:p w14:paraId="0AD907AF" w14:textId="43F29A5B" w:rsidR="007A3464" w:rsidRPr="00C15FF1" w:rsidRDefault="007A3464" w:rsidP="007A3464">
      <w:r w:rsidRPr="00C15FF1">
        <w:rPr>
          <w:i/>
          <w:iCs/>
        </w:rPr>
        <w:t>e)</w:t>
      </w:r>
      <w:r w:rsidRPr="00C15FF1">
        <w:tab/>
        <w:t>la Resolución 67 (Rev. Ginebra, 2022) de la Asamblea Mundial de Normalización de las Telecomunicaciones (AMNT) relativa a la utilización en el Sector de Normalización de las Telecomunicaciones de la UIT de los idiomas de la Unión en igualdad de condiciones,</w:t>
      </w:r>
    </w:p>
    <w:p w14:paraId="4308682A" w14:textId="77777777" w:rsidR="007A3464" w:rsidRPr="00C15FF1" w:rsidRDefault="007A3464" w:rsidP="007A3464">
      <w:pPr>
        <w:pStyle w:val="Call"/>
      </w:pPr>
      <w:r w:rsidRPr="00C15FF1">
        <w:t>considerando</w:t>
      </w:r>
    </w:p>
    <w:p w14:paraId="16A650DF" w14:textId="04D1C8E6" w:rsidR="007A3464" w:rsidRPr="00C15FF1" w:rsidRDefault="007A3464" w:rsidP="007A3464">
      <w:proofErr w:type="gramStart"/>
      <w:r w:rsidRPr="00C15FF1">
        <w:t>que</w:t>
      </w:r>
      <w:proofErr w:type="gramEnd"/>
      <w:r w:rsidRPr="00C15FF1">
        <w:t xml:space="preserve"> en sus reuniones de 2017, todos los Grupos Asesores refrendaron la creación de crear un </w:t>
      </w:r>
      <w:r w:rsidRPr="00C15FF1">
        <w:rPr>
          <w:color w:val="000000"/>
        </w:rPr>
        <w:t>"</w:t>
      </w:r>
      <w:r w:rsidRPr="00C15FF1">
        <w:t>Comité de Coordinación del Vocabulario de la UIT</w:t>
      </w:r>
      <w:r w:rsidRPr="00C15FF1">
        <w:rPr>
          <w:color w:val="000000"/>
        </w:rPr>
        <w:t>",</w:t>
      </w:r>
    </w:p>
    <w:p w14:paraId="05793217" w14:textId="77777777" w:rsidR="007A3464" w:rsidRPr="00C15FF1" w:rsidRDefault="007A3464" w:rsidP="007A3464">
      <w:pPr>
        <w:pStyle w:val="Call"/>
      </w:pPr>
      <w:proofErr w:type="gramStart"/>
      <w:r w:rsidRPr="00C15FF1">
        <w:t>considerando</w:t>
      </w:r>
      <w:proofErr w:type="gramEnd"/>
      <w:r w:rsidRPr="00C15FF1">
        <w:t xml:space="preserve"> además</w:t>
      </w:r>
    </w:p>
    <w:p w14:paraId="15833CE1" w14:textId="2E0601BB" w:rsidR="007A3464" w:rsidRPr="00C15FF1" w:rsidRDefault="007A3464" w:rsidP="007A3464">
      <w:r w:rsidRPr="00C15FF1">
        <w:rPr>
          <w:i/>
          <w:iCs/>
        </w:rPr>
        <w:t>a)</w:t>
      </w:r>
      <w:r w:rsidRPr="00C15FF1">
        <w:tab/>
        <w:t xml:space="preserve">que en su Resolución 1372 </w:t>
      </w:r>
      <w:r w:rsidR="001B6F45" w:rsidRPr="001B6F45">
        <w:t>(</w:t>
      </w:r>
      <w:proofErr w:type="spellStart"/>
      <w:r w:rsidR="001B6F45" w:rsidRPr="001B6F45">
        <w:t>C15</w:t>
      </w:r>
      <w:proofErr w:type="spellEnd"/>
      <w:r w:rsidR="001B6F45" w:rsidRPr="001B6F45">
        <w:t xml:space="preserve">, modificada por última vez </w:t>
      </w:r>
      <w:proofErr w:type="spellStart"/>
      <w:r w:rsidR="001B6F45" w:rsidRPr="001B6F45">
        <w:t>C</w:t>
      </w:r>
      <w:r w:rsidR="001B6F45">
        <w:t>24</w:t>
      </w:r>
      <w:proofErr w:type="spellEnd"/>
      <w:r w:rsidR="001B6F45">
        <w:t>)</w:t>
      </w:r>
      <w:r w:rsidRPr="00C15FF1">
        <w:t xml:space="preserve">, a raíz de la decisión de la Conferencia de Plenipotenciarios, el Consejo resolvió continuar la labor del </w:t>
      </w:r>
      <w:proofErr w:type="spellStart"/>
      <w:r w:rsidRPr="00C15FF1">
        <w:t>GTC</w:t>
      </w:r>
      <w:proofErr w:type="spellEnd"/>
      <w:r w:rsidRPr="00C15FF1">
        <w:t>-</w:t>
      </w:r>
      <w:r w:rsidR="00AF4810" w:rsidRPr="00C15FF1">
        <w:t>IDIOMAS</w:t>
      </w:r>
      <w:r w:rsidRPr="00C15FF1">
        <w:t>, con el fin de supervisar los progresos logrados e informar al Consejo sobre la aplicación de la Resolución 154 (Rev. Bucarest, 2022) de la PP;</w:t>
      </w:r>
    </w:p>
    <w:p w14:paraId="66C330C5" w14:textId="77777777" w:rsidR="007A3464" w:rsidRPr="00C15FF1" w:rsidRDefault="007A3464" w:rsidP="007A3464">
      <w:r w:rsidRPr="00C15FF1">
        <w:rPr>
          <w:i/>
          <w:iCs/>
        </w:rPr>
        <w:t>b)</w:t>
      </w:r>
      <w:r w:rsidRPr="00C15FF1">
        <w:tab/>
        <w:t xml:space="preserve">que es importante para el trabajo de la UIT, y en particular para el Sector de Radiocomunicaciones (UIT-R), que exista una coordinación con otros organismos interesados sobre términos y definiciones, símbolos gráficos para la documentación, las letras utilizadas </w:t>
      </w:r>
      <w:r w:rsidRPr="00C15FF1">
        <w:lastRenderedPageBreak/>
        <w:t>como símbolos y otros medios de expresión, las unidades de medida, etc., a fin de normalizar estos elementos;</w:t>
      </w:r>
    </w:p>
    <w:p w14:paraId="6932D5C6" w14:textId="77777777" w:rsidR="007A3464" w:rsidRPr="00C15FF1" w:rsidRDefault="007A3464" w:rsidP="007A3464">
      <w:r w:rsidRPr="00C15FF1">
        <w:rPr>
          <w:i/>
          <w:iCs/>
        </w:rPr>
        <w:t>c)</w:t>
      </w:r>
      <w:r w:rsidRPr="00C15FF1">
        <w:tab/>
        <w:t>la dificultad de llegar a acuerdos sobre definiciones cuando están implicadas varias Comisiones de Estudio de Radiocomunicaciones, especialmente de distintos Sectores;</w:t>
      </w:r>
    </w:p>
    <w:p w14:paraId="5E3FEF75" w14:textId="77777777" w:rsidR="007A3464" w:rsidRPr="00C15FF1" w:rsidRDefault="007A3464" w:rsidP="007A3464">
      <w:r w:rsidRPr="00C15FF1">
        <w:rPr>
          <w:i/>
          <w:iCs/>
        </w:rPr>
        <w:t>d)</w:t>
      </w:r>
      <w:r w:rsidRPr="00C15FF1">
        <w:tab/>
        <w:t>que la UIT colabora con la Comisión Electrotécnica Internacional (CEI) para establecer y mantener un vocabulario internacionalmente acordado de telecomunicaciones/TIC y con el fin de crear símbolos gráficos internacionalmente acordados para los diagramas y para la utilización de los equipos, así como unas normas aprobadas para la preparación de la documentación y la designación de elementos;</w:t>
      </w:r>
    </w:p>
    <w:p w14:paraId="55D2563C" w14:textId="77777777" w:rsidR="007A3464" w:rsidRPr="00C15FF1" w:rsidRDefault="007A3464" w:rsidP="007A3464">
      <w:r w:rsidRPr="00C15FF1">
        <w:rPr>
          <w:i/>
          <w:iCs/>
        </w:rPr>
        <w:t>e)</w:t>
      </w:r>
      <w:r w:rsidRPr="00C15FF1">
        <w:tab/>
        <w:t>que la UIT colabora con la CEI (TC 25) para establecer un conjunto de letras internacionalmente acordadas empleadas como símbolos y unidades;</w:t>
      </w:r>
    </w:p>
    <w:p w14:paraId="014329DF" w14:textId="77777777" w:rsidR="007A3464" w:rsidRPr="00C15FF1" w:rsidRDefault="007A3464" w:rsidP="007A3464">
      <w:r w:rsidRPr="00C15FF1">
        <w:rPr>
          <w:i/>
          <w:iCs/>
        </w:rPr>
        <w:t>f)</w:t>
      </w:r>
      <w:r w:rsidRPr="00C15FF1">
        <w:tab/>
        <w:t>que existe una necesidad constante de publicación de términos y definiciones apropiados para las tareas de la UIT;</w:t>
      </w:r>
    </w:p>
    <w:p w14:paraId="08A9FCF9" w14:textId="77777777" w:rsidR="007A3464" w:rsidRPr="00C15FF1" w:rsidRDefault="007A3464" w:rsidP="007A3464">
      <w:r w:rsidRPr="00C15FF1">
        <w:rPr>
          <w:i/>
          <w:iCs/>
        </w:rPr>
        <w:t>g)</w:t>
      </w:r>
      <w:r w:rsidRPr="00C15FF1">
        <w:tab/>
        <w:t>que puede evitarse el trabajo innecesario o duplicado mediante una coordinación y adopción eficaz de todas las tareas sobre vocabulario y temas conexos, efectuadas por las Comisiones de Estudio de la UIT;</w:t>
      </w:r>
    </w:p>
    <w:p w14:paraId="7C5A8F55" w14:textId="77777777" w:rsidR="007A3464" w:rsidRPr="00C15FF1" w:rsidRDefault="007A3464" w:rsidP="007A3464">
      <w:r w:rsidRPr="00C15FF1">
        <w:rPr>
          <w:i/>
          <w:iCs/>
        </w:rPr>
        <w:t>h)</w:t>
      </w:r>
      <w:r w:rsidRPr="00C15FF1">
        <w:tab/>
        <w:t>que el objetivo a largo plazo de la labor terminológica debe ser la preparación de un amplio vocabulario de las telecomunicaciones/TIC en los idiomas oficiales de la UIT,</w:t>
      </w:r>
    </w:p>
    <w:p w14:paraId="3939A208" w14:textId="77777777" w:rsidR="007A3464" w:rsidRPr="00C15FF1" w:rsidRDefault="007A3464" w:rsidP="007A3464">
      <w:pPr>
        <w:pStyle w:val="Call"/>
      </w:pPr>
      <w:r w:rsidRPr="00C15FF1">
        <w:t>reconociendo</w:t>
      </w:r>
    </w:p>
    <w:p w14:paraId="7309EF96" w14:textId="77777777" w:rsidR="007A3464" w:rsidRPr="00C15FF1" w:rsidRDefault="007A3464" w:rsidP="007A3464">
      <w:r w:rsidRPr="00C15FF1">
        <w:t>la labor realizada por el CCV del UIT-R y el CNV del UIT-T con respecto a la adopción y concertación de términos y definiciones en el campo de las telecomunicaciones/TIC en los seis idiomas oficiales de la Unión,</w:t>
      </w:r>
    </w:p>
    <w:p w14:paraId="5F392FCC" w14:textId="77777777" w:rsidR="007A3464" w:rsidRPr="00C15FF1" w:rsidRDefault="007A3464" w:rsidP="007A3464">
      <w:pPr>
        <w:pStyle w:val="Call"/>
      </w:pPr>
      <w:r w:rsidRPr="00C15FF1">
        <w:t>resuelve</w:t>
      </w:r>
    </w:p>
    <w:p w14:paraId="39DC6E70" w14:textId="6D60DDA0" w:rsidR="007A3464" w:rsidRPr="00C15FF1" w:rsidRDefault="007A3464" w:rsidP="00A7267F">
      <w:r w:rsidRPr="00C15FF1">
        <w:t>1</w:t>
      </w:r>
      <w:r w:rsidRPr="00C15FF1">
        <w:tab/>
        <w:t>que el Comité de Coordinación de la Terminología (CCT) de la UIT está formado por el CCV del UIT-R y el CNV del UIT-T, cuyo funcionamiento se rige por las Resoluciones pertinentes del UIT-R y la AMNT, y por representantes del UIT-D, en estrecha colaboración con la Secretaría y es responsable de coordinar las labores terminológicas de la UIT y de definir y promover la terminología de las telecomunicaciones y las TIC;</w:t>
      </w:r>
    </w:p>
    <w:p w14:paraId="4F7C1A0D" w14:textId="77777777" w:rsidR="007A3464" w:rsidRPr="00C15FF1" w:rsidRDefault="007A3464" w:rsidP="00A7267F">
      <w:r w:rsidRPr="00C15FF1">
        <w:t>2</w:t>
      </w:r>
      <w:r w:rsidRPr="00C15FF1">
        <w:tab/>
        <w:t>que el CCT UIT se guiará por las decisiones de la Resolución 154 (Rev. Bucarest, 2022) de la Conferencia de Plenipotenciarios y examinará las propuestas presentadas por las Comisiones de Estudio y los Grupos de Trabajo del Consejo en inglés, y validará las traducciones a los demás idiomas oficiales;</w:t>
      </w:r>
    </w:p>
    <w:p w14:paraId="7A3DED41" w14:textId="45668298" w:rsidR="007A3464" w:rsidRPr="00C15FF1" w:rsidRDefault="007A3464" w:rsidP="00A7267F">
      <w:r w:rsidRPr="00C15FF1">
        <w:t>3</w:t>
      </w:r>
      <w:r w:rsidRPr="00C15FF1">
        <w:tab/>
        <w:t>que, en el marco de sus mandatos, las Comisiones de Estudio del UIT-R y el UIT-T prosigan su labor en relación con los términos técnicos y de explotación y sus definiciones, únicamente en inglés;</w:t>
      </w:r>
    </w:p>
    <w:p w14:paraId="56EFAEDD" w14:textId="77777777" w:rsidR="007A3464" w:rsidRPr="00C15FF1" w:rsidRDefault="007A3464" w:rsidP="007A3464">
      <w:r w:rsidRPr="00C15FF1">
        <w:t>4</w:t>
      </w:r>
      <w:r w:rsidRPr="00C15FF1">
        <w:tab/>
        <w:t>que, cuando varias Comisiones de Estudio de la UIT estén definiendo los mismos términos y/o conceptos, se esfuercen por escoger un sólo término y una sola definición que resulten aceptables para las demás Comisiones de Estudio interesadas;</w:t>
      </w:r>
    </w:p>
    <w:p w14:paraId="441432FF" w14:textId="7BF487B6" w:rsidR="007A3464" w:rsidRPr="00C15FF1" w:rsidRDefault="007A3464" w:rsidP="007A3464">
      <w:r w:rsidRPr="00C15FF1">
        <w:t>5</w:t>
      </w:r>
      <w:r w:rsidRPr="00C15FF1">
        <w:tab/>
        <w:t xml:space="preserve">que, al seleccionar términos y preparar definiciones, las Comisiones de Estudio y luego el CCT UIT tengan en cuenta el uso establecido de los términos y definiciones existentes en </w:t>
      </w:r>
      <w:r w:rsidRPr="00C15FF1">
        <w:lastRenderedPageBreak/>
        <w:t>la UIT, especialmente aquellos que están consignados en la base de datos en línea de términos y definiciones de la UIT;</w:t>
      </w:r>
    </w:p>
    <w:p w14:paraId="55F52AE4" w14:textId="77777777" w:rsidR="007A3464" w:rsidRPr="00C15FF1" w:rsidRDefault="007A3464" w:rsidP="007A3464">
      <w:pPr>
        <w:rPr>
          <w:rtl/>
        </w:rPr>
      </w:pPr>
      <w:r w:rsidRPr="00C15FF1">
        <w:t>6</w:t>
      </w:r>
      <w:r w:rsidRPr="00C15FF1">
        <w:tab/>
        <w:t>que el CCV del UIT-R siga viendo y revisando cuando sea necesario las actuales Recomendaciones de la Serie V. Las nuevas Recomendaciones y las revisadas serían adoptadas por el CCV del UIT-R y sometidas para aprobación de acuerdo con la Resolución UIT</w:t>
      </w:r>
      <w:r w:rsidRPr="00C15FF1">
        <w:noBreakHyphen/>
        <w:t xml:space="preserve">R 1, a través del </w:t>
      </w:r>
      <w:proofErr w:type="gramStart"/>
      <w:r w:rsidRPr="00C15FF1">
        <w:t>Director</w:t>
      </w:r>
      <w:proofErr w:type="gramEnd"/>
      <w:r w:rsidRPr="00C15FF1">
        <w:t xml:space="preserve"> de la BR;</w:t>
      </w:r>
    </w:p>
    <w:p w14:paraId="397B46E5" w14:textId="77777777" w:rsidR="007A3464" w:rsidRPr="00C15FF1" w:rsidRDefault="007A3464" w:rsidP="007A3464">
      <w:r w:rsidRPr="00C15FF1">
        <w:t>7</w:t>
      </w:r>
      <w:r w:rsidRPr="00C15FF1">
        <w:tab/>
        <w:t>que cada Oficina recopile los nuevos términos y definiciones propuestos por las Comisiones de Estudio de la UIT, tras consultar al CCT UIT, y los incorporen a la base de datos en línea de términos y definiciones de la UIT;</w:t>
      </w:r>
    </w:p>
    <w:p w14:paraId="495B7F68" w14:textId="5749EF5D" w:rsidR="007A3464" w:rsidRPr="00C15FF1" w:rsidRDefault="007A3464" w:rsidP="007A3464">
      <w:r w:rsidRPr="00C15FF1">
        <w:t>8</w:t>
      </w:r>
      <w:r w:rsidRPr="00C15FF1">
        <w:tab/>
        <w:t xml:space="preserve">que el CCT UIT colabore estrechamente con el </w:t>
      </w:r>
      <w:proofErr w:type="spellStart"/>
      <w:r w:rsidRPr="00C15FF1">
        <w:t>GTC</w:t>
      </w:r>
      <w:proofErr w:type="spellEnd"/>
      <w:r w:rsidRPr="00C15FF1">
        <w:t>-</w:t>
      </w:r>
      <w:r w:rsidR="00AF4810" w:rsidRPr="00C15FF1">
        <w:t>IDIOMAS</w:t>
      </w:r>
      <w:r w:rsidRPr="00C15FF1">
        <w:t>;</w:t>
      </w:r>
    </w:p>
    <w:p w14:paraId="693A69A7" w14:textId="77777777" w:rsidR="007A3464" w:rsidRPr="00C15FF1" w:rsidRDefault="007A3464" w:rsidP="00A7267F">
      <w:r w:rsidRPr="00C15FF1">
        <w:t>9</w:t>
      </w:r>
      <w:r w:rsidRPr="00C15FF1">
        <w:tab/>
        <w:t>que la información sobre las actividades del CCT UIT debe mostrarse en un sitio web independiente del CCT UIT con enlaces a los sitios web del CCV del UIT-R y el CNV del UIT-T;</w:t>
      </w:r>
    </w:p>
    <w:p w14:paraId="563385CE" w14:textId="56BA35E0" w:rsidR="007A3464" w:rsidRPr="00C15FF1" w:rsidRDefault="007A3464" w:rsidP="007A3464">
      <w:r w:rsidRPr="00C15FF1">
        <w:t>10</w:t>
      </w:r>
      <w:r w:rsidRPr="00C15FF1">
        <w:tab/>
        <w:t xml:space="preserve">que la Asamblea de Radiocomunicaciones y la Asamblea Mundial de Normalización de las Telecomunicaciones nombren al </w:t>
      </w:r>
      <w:proofErr w:type="gramStart"/>
      <w:r w:rsidRPr="00C15FF1">
        <w:t>Presidente</w:t>
      </w:r>
      <w:proofErr w:type="gramEnd"/>
      <w:r w:rsidRPr="00C15FF1">
        <w:t xml:space="preserve"> y a seis Vicepresidentes, un representante por cada uno de los idiomas oficiales de cada Sector; si los Sectores nombran a dos Presidentes, éstos actuarán de Copresidentes del CCT UIT;</w:t>
      </w:r>
    </w:p>
    <w:p w14:paraId="11A1258D" w14:textId="40B1C17E" w:rsidR="007A3464" w:rsidRPr="00C15FF1" w:rsidRDefault="007A3464" w:rsidP="007A3464">
      <w:r w:rsidRPr="00C15FF1">
        <w:t>11</w:t>
      </w:r>
      <w:r w:rsidRPr="00C15FF1">
        <w:tab/>
        <w:t xml:space="preserve">que la Conferencia Mundial de Desarrollo de las Telecomunicaciones nombre a dos </w:t>
      </w:r>
      <w:proofErr w:type="gramStart"/>
      <w:r w:rsidRPr="00C15FF1">
        <w:t>Vicepresidentes</w:t>
      </w:r>
      <w:proofErr w:type="gramEnd"/>
      <w:r w:rsidRPr="00C15FF1">
        <w:t xml:space="preserve"> que representarán al UIT-D en el CCT UIT;</w:t>
      </w:r>
    </w:p>
    <w:p w14:paraId="6BE5D68E" w14:textId="1DAD275B" w:rsidR="004B0E21" w:rsidRPr="00C15FF1" w:rsidRDefault="007A3464" w:rsidP="004B0E21">
      <w:pPr>
        <w:jc w:val="both"/>
      </w:pPr>
      <w:r w:rsidRPr="00C15FF1">
        <w:t>12</w:t>
      </w:r>
      <w:r w:rsidRPr="00C15FF1">
        <w:tab/>
      </w:r>
      <w:r w:rsidR="004B0E21" w:rsidRPr="00C15FF1">
        <w:t>que en el Anexo a la presente Resolución se define el mandato del CCT UIT,</w:t>
      </w:r>
    </w:p>
    <w:p w14:paraId="6E2A5368" w14:textId="38232FD9" w:rsidR="007A3464" w:rsidRPr="00C15FF1" w:rsidRDefault="007A3464" w:rsidP="00A7267F">
      <w:pPr>
        <w:pStyle w:val="Call"/>
      </w:pPr>
      <w:r w:rsidRPr="00C15FF1">
        <w:t xml:space="preserve">encarga al </w:t>
      </w:r>
      <w:proofErr w:type="gramStart"/>
      <w:r w:rsidRPr="00C15FF1">
        <w:t>Secretario General</w:t>
      </w:r>
      <w:proofErr w:type="gramEnd"/>
      <w:r w:rsidRPr="00C15FF1">
        <w:t>, en estrecha coordinación con los Directores de las Oficinas y con el asesoramiento del Grupo de Trabajo del Consejo sobre los idiomas</w:t>
      </w:r>
      <w:r w:rsidR="00886679" w:rsidRPr="00C15FF1">
        <w:t>,</w:t>
      </w:r>
    </w:p>
    <w:p w14:paraId="68CEBE08" w14:textId="77777777" w:rsidR="007A3464" w:rsidRPr="00C15FF1" w:rsidRDefault="007A3464" w:rsidP="00A92B09">
      <w:r w:rsidRPr="00C15FF1">
        <w:t>1</w:t>
      </w:r>
      <w:r w:rsidRPr="00C15FF1">
        <w:tab/>
        <w:t>que suministre al CCT UIT toda la información pertinente y asistencia;</w:t>
      </w:r>
    </w:p>
    <w:p w14:paraId="5E5D1F7B" w14:textId="77777777" w:rsidR="007A3464" w:rsidRPr="00C15FF1" w:rsidRDefault="007A3464" w:rsidP="00A92B09">
      <w:r w:rsidRPr="00C15FF1">
        <w:t>2</w:t>
      </w:r>
      <w:r w:rsidRPr="00C15FF1">
        <w:tab/>
        <w:t>que supervise la calidad de la traducción y los correspondientes costes.</w:t>
      </w:r>
    </w:p>
    <w:p w14:paraId="3780F470" w14:textId="21ED1ECB" w:rsidR="00C15FF1" w:rsidRPr="00C15FF1" w:rsidRDefault="00C15FF1" w:rsidP="00C15FF1">
      <w:pPr>
        <w:pStyle w:val="Normalaftertitle"/>
        <w:spacing w:before="600"/>
      </w:pPr>
      <w:r w:rsidRPr="00C15FF1">
        <w:rPr>
          <w:b/>
          <w:bCs/>
        </w:rPr>
        <w:t>Anexo</w:t>
      </w:r>
      <w:r w:rsidRPr="00C15FF1">
        <w:t>: 1</w:t>
      </w:r>
    </w:p>
    <w:p w14:paraId="1F367F91" w14:textId="77777777" w:rsidR="00F56B6E" w:rsidRPr="00C15FF1" w:rsidRDefault="00F56B6E" w:rsidP="00F56B6E">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rPr>
      </w:pPr>
      <w:r w:rsidRPr="00C15FF1">
        <w:br w:type="page"/>
      </w:r>
    </w:p>
    <w:p w14:paraId="4E3A8133" w14:textId="77777777" w:rsidR="004B0E21" w:rsidRPr="00C15FF1" w:rsidRDefault="004B0E21" w:rsidP="004B0E21">
      <w:pPr>
        <w:pStyle w:val="AnnexNo"/>
      </w:pPr>
      <w:r w:rsidRPr="00C15FF1">
        <w:lastRenderedPageBreak/>
        <w:t>ANEXO</w:t>
      </w:r>
    </w:p>
    <w:p w14:paraId="357B6C4D" w14:textId="18068D18" w:rsidR="004B0E21" w:rsidRPr="00C15FF1" w:rsidRDefault="004B0E21" w:rsidP="004B0E21">
      <w:pPr>
        <w:pStyle w:val="Annextitle"/>
      </w:pPr>
      <w:r w:rsidRPr="00C15FF1">
        <w:rPr>
          <w:bCs/>
        </w:rPr>
        <w:t xml:space="preserve">Mandato del Comité de Coordinación de la Terminología de la UIT </w:t>
      </w:r>
      <w:r w:rsidR="00AF4810">
        <w:rPr>
          <w:bCs/>
        </w:rPr>
        <w:br/>
      </w:r>
      <w:r w:rsidRPr="00C15FF1">
        <w:rPr>
          <w:bCs/>
        </w:rPr>
        <w:t>(CCT UIT)</w:t>
      </w:r>
    </w:p>
    <w:p w14:paraId="5AF69997" w14:textId="77777777" w:rsidR="004B0E21" w:rsidRPr="00C15FF1" w:rsidRDefault="004B0E21" w:rsidP="00A92B09">
      <w:pPr>
        <w:pStyle w:val="Normalaftertitle"/>
        <w:rPr>
          <w:szCs w:val="24"/>
        </w:rPr>
      </w:pPr>
      <w:r w:rsidRPr="00C15FF1">
        <w:t>1</w:t>
      </w:r>
      <w:r w:rsidRPr="00C15FF1">
        <w:tab/>
        <w:t>Ofrecer asesoramiento sobre los términos y definiciones y validarlos para cumplir con la labor de la UIT en relación con el vocabulario en los seis idiomas oficiales, incluidos los símbolos gráficos para la documentación, las letras utilizadas como símbolos y otros medios de expresión, unidades de medida, etc., en estrecha colaboración con la Secretaría General (Departamento de Conferencias y Publicaciones), las Oficinas de los Sectores, los editores de inglés y los correspondientes Relatores para el vocabulario de las Comisiones de Estudio, y tratar de lograr la armonización entre todas las Comisiones de Estudio de la UIT interesadas en lo tocante a los términos y definiciones.</w:t>
      </w:r>
    </w:p>
    <w:p w14:paraId="416F2AF8" w14:textId="77777777" w:rsidR="004B0E21" w:rsidRPr="00C15FF1" w:rsidRDefault="004B0E21" w:rsidP="00A92B09">
      <w:pPr>
        <w:rPr>
          <w:szCs w:val="24"/>
        </w:rPr>
      </w:pPr>
      <w:r w:rsidRPr="00C15FF1">
        <w:t>2</w:t>
      </w:r>
      <w:r w:rsidRPr="00C15FF1">
        <w:tab/>
      </w:r>
      <w:proofErr w:type="gramStart"/>
      <w:r w:rsidRPr="00C15FF1">
        <w:t>Coordinarse</w:t>
      </w:r>
      <w:proofErr w:type="gramEnd"/>
      <w:r w:rsidRPr="00C15FF1">
        <w:t xml:space="preserve"> con otras organizaciones que se encargan de la labor relativa al vocabulario en el ámbito de las telecomunicaciones, por ejemplo la Organización Internacional de Normalización (ISO) y la Comisión Electrónica Internacional (CEI), así como con el Comité Técnico Mixto para las tecnologías de la información de la ISO/CEI (JTC 1 de la ISO/CEI), con el fin de evitar duplicaciones de términos y definiciones.</w:t>
      </w:r>
    </w:p>
    <w:p w14:paraId="60D04242" w14:textId="77777777" w:rsidR="004B0E21" w:rsidRPr="00C15FF1" w:rsidRDefault="004B0E21" w:rsidP="00A92B09">
      <w:pPr>
        <w:rPr>
          <w:szCs w:val="24"/>
        </w:rPr>
      </w:pPr>
      <w:r w:rsidRPr="00C15FF1">
        <w:t>3</w:t>
      </w:r>
      <w:r w:rsidRPr="00C15FF1">
        <w:tab/>
      </w:r>
      <w:proofErr w:type="gramStart"/>
      <w:r w:rsidRPr="00C15FF1">
        <w:t>Guiarse</w:t>
      </w:r>
      <w:proofErr w:type="gramEnd"/>
      <w:r w:rsidRPr="00C15FF1">
        <w:t xml:space="preserve"> en su labor por las decisiones de la Resolución 154 (Rev. Bucarest, 2022) de la Conferencia de Plenipotenciarios y esta Resolución.</w:t>
      </w:r>
    </w:p>
    <w:p w14:paraId="308AD9D6" w14:textId="77777777" w:rsidR="004B0E21" w:rsidRPr="00C15FF1" w:rsidRDefault="004B0E21" w:rsidP="00A92B09">
      <w:pPr>
        <w:rPr>
          <w:szCs w:val="24"/>
        </w:rPr>
      </w:pPr>
      <w:r w:rsidRPr="00C15FF1">
        <w:t>4</w:t>
      </w:r>
      <w:r w:rsidRPr="00C15FF1">
        <w:tab/>
      </w:r>
      <w:proofErr w:type="gramStart"/>
      <w:r w:rsidRPr="00C15FF1">
        <w:t>Informar</w:t>
      </w:r>
      <w:proofErr w:type="gramEnd"/>
      <w:r w:rsidRPr="00C15FF1">
        <w:t xml:space="preserve"> anualmente a los Grupos Asesores y al GTC-IDIOMAS sobre las actividades del CCT UIT, en particular por conducto del CCV del UIT-R y el CNV del UIT-T.</w:t>
      </w:r>
    </w:p>
    <w:p w14:paraId="26CCCE36" w14:textId="77777777" w:rsidR="007263CD" w:rsidRPr="00C15FF1" w:rsidRDefault="007263CD" w:rsidP="0032202E">
      <w:pPr>
        <w:pStyle w:val="Reasons"/>
      </w:pPr>
    </w:p>
    <w:p w14:paraId="47422BFB" w14:textId="06C53AAA" w:rsidR="00F56B6E" w:rsidRPr="00C15FF1" w:rsidRDefault="007263CD" w:rsidP="007263CD">
      <w:pPr>
        <w:jc w:val="center"/>
      </w:pPr>
      <w:r w:rsidRPr="00C15FF1">
        <w:t>______________</w:t>
      </w:r>
    </w:p>
    <w:sectPr w:rsidR="00F56B6E" w:rsidRPr="00C15FF1"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39C6" w14:textId="77777777" w:rsidR="00171E7D" w:rsidRDefault="00171E7D">
      <w:r>
        <w:separator/>
      </w:r>
    </w:p>
  </w:endnote>
  <w:endnote w:type="continuationSeparator" w:id="0">
    <w:p w14:paraId="284E0CEF" w14:textId="77777777" w:rsidR="00171E7D" w:rsidRDefault="0017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A3464" w:rsidRPr="00784011" w14:paraId="79DB5C18" w14:textId="77777777" w:rsidTr="007A3464">
      <w:trPr>
        <w:jc w:val="center"/>
      </w:trPr>
      <w:tc>
        <w:tcPr>
          <w:tcW w:w="1803" w:type="dxa"/>
          <w:vAlign w:val="center"/>
        </w:tcPr>
        <w:p w14:paraId="06DEECE3" w14:textId="1FF2BA21" w:rsidR="007A3464" w:rsidRDefault="00715B14" w:rsidP="003273A4">
          <w:pPr>
            <w:pStyle w:val="Header"/>
            <w:jc w:val="left"/>
            <w:rPr>
              <w:noProof/>
            </w:rPr>
          </w:pPr>
          <w:r w:rsidRPr="00715B14">
            <w:rPr>
              <w:noProof/>
            </w:rPr>
            <w:t>R2401105</w:t>
          </w:r>
        </w:p>
      </w:tc>
      <w:tc>
        <w:tcPr>
          <w:tcW w:w="8261" w:type="dxa"/>
        </w:tcPr>
        <w:p w14:paraId="31328314" w14:textId="738ED195" w:rsidR="007A3464" w:rsidRPr="00E06FD5" w:rsidRDefault="007A3464" w:rsidP="00E412CF">
          <w:pPr>
            <w:pStyle w:val="Header"/>
            <w:tabs>
              <w:tab w:val="left" w:pos="6742"/>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E412CF">
            <w:rPr>
              <w:bCs/>
            </w:rPr>
            <w:t>137</w:t>
          </w:r>
          <w:r w:rsidRPr="00623AE3">
            <w:rPr>
              <w:bCs/>
            </w:rPr>
            <w:t>-</w:t>
          </w:r>
          <w:r>
            <w:rPr>
              <w:bCs/>
            </w:rPr>
            <w:t>S</w:t>
          </w:r>
          <w:r>
            <w:rPr>
              <w:bCs/>
            </w:rPr>
            <w:tab/>
          </w:r>
          <w:r>
            <w:fldChar w:fldCharType="begin"/>
          </w:r>
          <w:r>
            <w:instrText>PAGE</w:instrText>
          </w:r>
          <w:r>
            <w:fldChar w:fldCharType="separate"/>
          </w:r>
          <w:r w:rsidR="00362194">
            <w:rPr>
              <w:noProof/>
            </w:rPr>
            <w:t>31</w:t>
          </w:r>
          <w:r>
            <w:rPr>
              <w:noProof/>
            </w:rPr>
            <w:fldChar w:fldCharType="end"/>
          </w:r>
        </w:p>
      </w:tc>
    </w:tr>
  </w:tbl>
  <w:p w14:paraId="6F691002" w14:textId="77777777" w:rsidR="007A3464" w:rsidRPr="003273A4" w:rsidRDefault="007A3464"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263CD" w14:paraId="4344BCE7" w14:textId="77777777" w:rsidTr="00D424CA">
      <w:trPr>
        <w:jc w:val="center"/>
      </w:trPr>
      <w:tc>
        <w:tcPr>
          <w:tcW w:w="1803" w:type="dxa"/>
          <w:vAlign w:val="center"/>
        </w:tcPr>
        <w:p w14:paraId="0A2DDD62" w14:textId="77777777" w:rsidR="007263CD" w:rsidRPr="007263CD" w:rsidRDefault="00B47184" w:rsidP="007263CD">
          <w:pPr>
            <w:pStyle w:val="Header"/>
            <w:tabs>
              <w:tab w:val="left" w:pos="8080"/>
              <w:tab w:val="right" w:pos="9072"/>
            </w:tabs>
            <w:jc w:val="right"/>
            <w:rPr>
              <w:rStyle w:val="Hyperlink"/>
            </w:rPr>
          </w:pPr>
          <w:hyperlink r:id="rId1" w:history="1">
            <w:r w:rsidR="007263CD" w:rsidRPr="007263CD">
              <w:rPr>
                <w:rStyle w:val="Hyperlink"/>
              </w:rPr>
              <w:t>www.itu.int/council</w:t>
            </w:r>
          </w:hyperlink>
        </w:p>
      </w:tc>
      <w:tc>
        <w:tcPr>
          <w:tcW w:w="8261" w:type="dxa"/>
        </w:tcPr>
        <w:p w14:paraId="1C92B55F" w14:textId="21EE0277" w:rsidR="007263CD" w:rsidRDefault="007263CD" w:rsidP="00E412CF">
          <w:pPr>
            <w:pStyle w:val="Header"/>
            <w:tabs>
              <w:tab w:val="left" w:pos="6742"/>
              <w:tab w:val="right" w:pos="9072"/>
            </w:tabs>
            <w:jc w:val="right"/>
            <w:rPr>
              <w:rFonts w:eastAsia="Times New Roman" w:cs="Times New Roman"/>
              <w:b/>
              <w:bCs/>
              <w:szCs w:val="20"/>
            </w:rPr>
          </w:pPr>
          <w:r>
            <w:rPr>
              <w:rFonts w:eastAsia="Times New Roman" w:cs="Times New Roman"/>
              <w:bCs/>
              <w:szCs w:val="20"/>
            </w:rPr>
            <w:tab/>
            <w:t>C24/</w:t>
          </w:r>
          <w:r w:rsidR="00E412CF">
            <w:rPr>
              <w:rFonts w:eastAsia="Times New Roman" w:cs="Times New Roman"/>
              <w:bCs/>
              <w:szCs w:val="20"/>
            </w:rPr>
            <w:t>137</w:t>
          </w:r>
          <w:r>
            <w:rPr>
              <w:rFonts w:eastAsia="Times New Roman" w:cs="Times New Roman"/>
              <w:bCs/>
              <w:szCs w:val="20"/>
            </w:rPr>
            <w:t>-S</w:t>
          </w:r>
          <w:r>
            <w:rPr>
              <w:rFonts w:eastAsia="Times New Roman" w:cs="Times New Roman"/>
              <w:bCs/>
              <w:szCs w:val="20"/>
            </w:rPr>
            <w:tab/>
          </w:r>
          <w:r>
            <w:rPr>
              <w:bCs/>
              <w:lang w:val="en-GB"/>
            </w:rPr>
            <w:fldChar w:fldCharType="begin"/>
          </w:r>
          <w:r>
            <w:rPr>
              <w:rFonts w:eastAsia="Times New Roman" w:cs="Times New Roman"/>
              <w:bCs/>
              <w:szCs w:val="20"/>
            </w:rPr>
            <w:instrText>PAGE</w:instrText>
          </w:r>
          <w:r>
            <w:rPr>
              <w:bCs/>
              <w:lang w:val="en-GB"/>
            </w:rPr>
            <w:fldChar w:fldCharType="separate"/>
          </w:r>
          <w:r>
            <w:rPr>
              <w:bCs/>
              <w:lang w:val="en-GB"/>
            </w:rPr>
            <w:t>1</w:t>
          </w:r>
          <w:r>
            <w:rPr>
              <w:bCs/>
              <w:lang w:val="fr-CH"/>
            </w:rPr>
            <w:fldChar w:fldCharType="end"/>
          </w:r>
        </w:p>
      </w:tc>
    </w:tr>
  </w:tbl>
  <w:p w14:paraId="3F0FB705" w14:textId="77777777" w:rsidR="007263CD" w:rsidRDefault="007263CD" w:rsidP="007263CD">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6690C" w14:textId="77777777" w:rsidR="00171E7D" w:rsidRDefault="00171E7D">
      <w:r>
        <w:t>____________________</w:t>
      </w:r>
    </w:p>
  </w:footnote>
  <w:footnote w:type="continuationSeparator" w:id="0">
    <w:p w14:paraId="7DCE565C" w14:textId="77777777" w:rsidR="00171E7D" w:rsidRDefault="0017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263CD" w14:paraId="5D796A47" w14:textId="77777777" w:rsidTr="00D424CA">
      <w:trPr>
        <w:trHeight w:val="1104"/>
        <w:jc w:val="center"/>
      </w:trPr>
      <w:tc>
        <w:tcPr>
          <w:tcW w:w="4390" w:type="dxa"/>
          <w:vAlign w:val="center"/>
        </w:tcPr>
        <w:p w14:paraId="47B1D008" w14:textId="77777777" w:rsidR="007263CD" w:rsidRDefault="007263CD" w:rsidP="007263CD">
          <w:pPr>
            <w:pStyle w:val="Header"/>
            <w:jc w:val="left"/>
            <w:rPr>
              <w:rFonts w:ascii="Arial" w:hAnsi="Arial" w:cs="Arial"/>
              <w:b/>
              <w:bCs/>
              <w:color w:val="009CD6"/>
              <w:sz w:val="36"/>
              <w:szCs w:val="36"/>
            </w:rPr>
          </w:pPr>
          <w:bookmarkStart w:id="2" w:name="_Hlk169265938"/>
          <w:bookmarkStart w:id="3" w:name="_Hlk169265939"/>
          <w:r>
            <w:rPr>
              <w:noProof/>
            </w:rPr>
            <w:drawing>
              <wp:inline distT="0" distB="0" distL="0" distR="0" wp14:anchorId="112A297A" wp14:editId="1985F0C2">
                <wp:extent cx="2368800" cy="558000"/>
                <wp:effectExtent l="0" t="0" r="0" b="0"/>
                <wp:docPr id="1205964815"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64815"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B86B10E" w14:textId="77777777" w:rsidR="007263CD" w:rsidRDefault="007263CD" w:rsidP="007263CD">
          <w:pPr>
            <w:pStyle w:val="Header"/>
            <w:jc w:val="right"/>
            <w:rPr>
              <w:rFonts w:ascii="Arial" w:hAnsi="Arial" w:cs="Arial"/>
              <w:b/>
              <w:bCs/>
              <w:color w:val="009CD6"/>
              <w:szCs w:val="18"/>
            </w:rPr>
          </w:pPr>
        </w:p>
        <w:p w14:paraId="49431A03" w14:textId="77777777" w:rsidR="007263CD" w:rsidRDefault="007263CD" w:rsidP="007263CD">
          <w:pPr>
            <w:pStyle w:val="Header"/>
            <w:jc w:val="right"/>
            <w:rPr>
              <w:rFonts w:ascii="Arial" w:hAnsi="Arial" w:cs="Arial"/>
              <w:b/>
              <w:bCs/>
              <w:color w:val="009CD6"/>
              <w:szCs w:val="18"/>
            </w:rPr>
          </w:pPr>
        </w:p>
        <w:p w14:paraId="2E49BA36" w14:textId="77777777" w:rsidR="007263CD" w:rsidRDefault="007263CD" w:rsidP="007263CD">
          <w:pPr>
            <w:pStyle w:val="Header"/>
            <w:jc w:val="right"/>
            <w:rPr>
              <w:rFonts w:ascii="Arial" w:hAnsi="Arial" w:cs="Arial"/>
              <w:color w:val="009CD6"/>
              <w:szCs w:val="18"/>
            </w:rPr>
          </w:pPr>
          <w:r>
            <w:rPr>
              <w:rFonts w:ascii="Arial" w:hAnsi="Arial" w:cs="Arial"/>
              <w:b/>
              <w:bCs/>
              <w:color w:val="009CD6"/>
              <w:szCs w:val="18"/>
            </w:rPr>
            <w:t xml:space="preserve"> </w:t>
          </w:r>
        </w:p>
      </w:tc>
    </w:tr>
  </w:tbl>
  <w:p w14:paraId="15EF1CA2" w14:textId="77777777" w:rsidR="007263CD" w:rsidRDefault="007263CD" w:rsidP="007263CD">
    <w:pPr>
      <w:pStyle w:val="Header"/>
    </w:pPr>
    <w:r>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4272083C" wp14:editId="2BB2C3C2">
              <wp:simplePos x="0" y="0"/>
              <wp:positionH relativeFrom="page">
                <wp:posOffset>14605</wp:posOffset>
              </wp:positionH>
              <wp:positionV relativeFrom="topMargin">
                <wp:posOffset>644525</wp:posOffset>
              </wp:positionV>
              <wp:extent cx="93600" cy="360000"/>
              <wp:effectExtent l="0" t="0" r="190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60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9A1B0" id="Rectangle 2" o:spid="_x0000_s1026" style="position:absolute;margin-left:1.15pt;margin-top:50.75pt;width:7.3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" fillcolor="#009cd5" stroked="f">
              <w10:wrap anchorx="page" anchory="margin"/>
            </v:rect>
          </w:pict>
        </mc:Fallback>
      </mc:AlternateConten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34A6A"/>
    <w:multiLevelType w:val="multilevel"/>
    <w:tmpl w:val="393C265A"/>
    <w:lvl w:ilvl="0">
      <w:start w:val="1"/>
      <w:numFmt w:val="decimal"/>
      <w:lvlText w:val="%1."/>
      <w:lvlJc w:val="left"/>
      <w:pPr>
        <w:ind w:left="1070" w:hanging="360"/>
      </w:pPr>
      <w:rPr>
        <w:b/>
        <w:bCs w:val="0"/>
        <w:color w:val="auto"/>
      </w:rPr>
    </w:lvl>
    <w:lvl w:ilvl="1">
      <w:start w:val="1"/>
      <w:numFmt w:val="decimal"/>
      <w:isLgl/>
      <w:lvlText w:val="%1.%2"/>
      <w:lvlJc w:val="left"/>
      <w:pPr>
        <w:ind w:left="800"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70266">
    <w:abstractNumId w:val="1"/>
  </w:num>
  <w:num w:numId="2" w16cid:durableId="771048728">
    <w:abstractNumId w:val="0"/>
  </w:num>
  <w:num w:numId="3" w16cid:durableId="61317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123E4"/>
    <w:rsid w:val="00026C50"/>
    <w:rsid w:val="00093EEB"/>
    <w:rsid w:val="00094C0F"/>
    <w:rsid w:val="000B0D00"/>
    <w:rsid w:val="000B7C15"/>
    <w:rsid w:val="000D1D0F"/>
    <w:rsid w:val="000E7285"/>
    <w:rsid w:val="000F5290"/>
    <w:rsid w:val="0010165C"/>
    <w:rsid w:val="00120BAE"/>
    <w:rsid w:val="00146BFB"/>
    <w:rsid w:val="001559F5"/>
    <w:rsid w:val="00171E7D"/>
    <w:rsid w:val="00177B6D"/>
    <w:rsid w:val="00180559"/>
    <w:rsid w:val="001B609C"/>
    <w:rsid w:val="001B6F45"/>
    <w:rsid w:val="001F14A2"/>
    <w:rsid w:val="00203069"/>
    <w:rsid w:val="00231A68"/>
    <w:rsid w:val="00240CC2"/>
    <w:rsid w:val="002801AA"/>
    <w:rsid w:val="002C4676"/>
    <w:rsid w:val="002C70B0"/>
    <w:rsid w:val="002F3CC4"/>
    <w:rsid w:val="0030528B"/>
    <w:rsid w:val="003273A4"/>
    <w:rsid w:val="00362194"/>
    <w:rsid w:val="003D3A01"/>
    <w:rsid w:val="00425291"/>
    <w:rsid w:val="0043529D"/>
    <w:rsid w:val="00464865"/>
    <w:rsid w:val="00473962"/>
    <w:rsid w:val="00480E8F"/>
    <w:rsid w:val="004B0E21"/>
    <w:rsid w:val="004B5D49"/>
    <w:rsid w:val="004F61D1"/>
    <w:rsid w:val="00513630"/>
    <w:rsid w:val="00557D3C"/>
    <w:rsid w:val="00560125"/>
    <w:rsid w:val="00585553"/>
    <w:rsid w:val="00585B4C"/>
    <w:rsid w:val="005B34D9"/>
    <w:rsid w:val="005C23EB"/>
    <w:rsid w:val="005C5112"/>
    <w:rsid w:val="005D0CCF"/>
    <w:rsid w:val="005F3BCB"/>
    <w:rsid w:val="005F410F"/>
    <w:rsid w:val="0060149A"/>
    <w:rsid w:val="00601924"/>
    <w:rsid w:val="006447EA"/>
    <w:rsid w:val="0064481D"/>
    <w:rsid w:val="0064731F"/>
    <w:rsid w:val="00664572"/>
    <w:rsid w:val="006710F6"/>
    <w:rsid w:val="00671A81"/>
    <w:rsid w:val="00677A97"/>
    <w:rsid w:val="0069615D"/>
    <w:rsid w:val="006C1B56"/>
    <w:rsid w:val="006D4761"/>
    <w:rsid w:val="006D6677"/>
    <w:rsid w:val="006F7CA6"/>
    <w:rsid w:val="00703E6F"/>
    <w:rsid w:val="00707B49"/>
    <w:rsid w:val="00715B14"/>
    <w:rsid w:val="007263CD"/>
    <w:rsid w:val="00726872"/>
    <w:rsid w:val="00760F1C"/>
    <w:rsid w:val="007657F0"/>
    <w:rsid w:val="0077252D"/>
    <w:rsid w:val="007955DA"/>
    <w:rsid w:val="007A3464"/>
    <w:rsid w:val="007E5DD3"/>
    <w:rsid w:val="007F350B"/>
    <w:rsid w:val="00800CAA"/>
    <w:rsid w:val="00820BE4"/>
    <w:rsid w:val="008451E8"/>
    <w:rsid w:val="00871FB5"/>
    <w:rsid w:val="008750E6"/>
    <w:rsid w:val="00886679"/>
    <w:rsid w:val="008B6847"/>
    <w:rsid w:val="008C7C0A"/>
    <w:rsid w:val="008D7745"/>
    <w:rsid w:val="00902B3A"/>
    <w:rsid w:val="00913B9C"/>
    <w:rsid w:val="009155B3"/>
    <w:rsid w:val="00927F93"/>
    <w:rsid w:val="00956E77"/>
    <w:rsid w:val="009743F9"/>
    <w:rsid w:val="009D4C75"/>
    <w:rsid w:val="009F4811"/>
    <w:rsid w:val="00A7267F"/>
    <w:rsid w:val="00A92B09"/>
    <w:rsid w:val="00A94AA1"/>
    <w:rsid w:val="00AA1793"/>
    <w:rsid w:val="00AA390C"/>
    <w:rsid w:val="00AF4810"/>
    <w:rsid w:val="00B0200A"/>
    <w:rsid w:val="00B073C9"/>
    <w:rsid w:val="00B251C3"/>
    <w:rsid w:val="00B47184"/>
    <w:rsid w:val="00B574DB"/>
    <w:rsid w:val="00B57677"/>
    <w:rsid w:val="00B826C2"/>
    <w:rsid w:val="00B8298E"/>
    <w:rsid w:val="00BD0723"/>
    <w:rsid w:val="00BD2518"/>
    <w:rsid w:val="00BF1D1C"/>
    <w:rsid w:val="00C15FF1"/>
    <w:rsid w:val="00C20C59"/>
    <w:rsid w:val="00C2727F"/>
    <w:rsid w:val="00C327D2"/>
    <w:rsid w:val="00C538FC"/>
    <w:rsid w:val="00C55B1F"/>
    <w:rsid w:val="00CB421D"/>
    <w:rsid w:val="00CE75EF"/>
    <w:rsid w:val="00CF1A67"/>
    <w:rsid w:val="00D10C94"/>
    <w:rsid w:val="00D2750E"/>
    <w:rsid w:val="00D50A36"/>
    <w:rsid w:val="00D54E29"/>
    <w:rsid w:val="00D62446"/>
    <w:rsid w:val="00D96D10"/>
    <w:rsid w:val="00DA4EA2"/>
    <w:rsid w:val="00DB3B6F"/>
    <w:rsid w:val="00DC3D3E"/>
    <w:rsid w:val="00DE2C90"/>
    <w:rsid w:val="00DE3B24"/>
    <w:rsid w:val="00E06947"/>
    <w:rsid w:val="00E34072"/>
    <w:rsid w:val="00E3592D"/>
    <w:rsid w:val="00E412CF"/>
    <w:rsid w:val="00E50D76"/>
    <w:rsid w:val="00E92DE8"/>
    <w:rsid w:val="00EB1212"/>
    <w:rsid w:val="00ED65AB"/>
    <w:rsid w:val="00ED7F05"/>
    <w:rsid w:val="00F0066B"/>
    <w:rsid w:val="00F12850"/>
    <w:rsid w:val="00F24B71"/>
    <w:rsid w:val="00F33BF4"/>
    <w:rsid w:val="00F55393"/>
    <w:rsid w:val="00F56B6E"/>
    <w:rsid w:val="00F6254E"/>
    <w:rsid w:val="00F7105E"/>
    <w:rsid w:val="00F75F57"/>
    <w:rsid w:val="00F8252D"/>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F011FC"/>
  <w15:docId w15:val="{A4D7B8D8-4582-4D84-9C9B-2E3CCDE5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F56B6E"/>
    <w:pPr>
      <w:ind w:left="720"/>
      <w:contextualSpacing/>
    </w:pPr>
    <w:rPr>
      <w:lang w:val="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56B6E"/>
    <w:rPr>
      <w:rFonts w:ascii="Calibri" w:hAnsi="Calibri"/>
      <w:sz w:val="24"/>
      <w:lang w:val="en-GB" w:eastAsia="en-US"/>
    </w:rPr>
  </w:style>
  <w:style w:type="character" w:customStyle="1" w:styleId="ResNoChar">
    <w:name w:val="Res_No Char"/>
    <w:basedOn w:val="DefaultParagraphFont"/>
    <w:link w:val="ResNo"/>
    <w:locked/>
    <w:rsid w:val="00F56B6E"/>
    <w:rPr>
      <w:rFonts w:ascii="Calibri" w:hAnsi="Calibri"/>
      <w:caps/>
      <w:sz w:val="28"/>
      <w:lang w:val="es-ES_tradnl" w:eastAsia="en-US"/>
    </w:rPr>
  </w:style>
  <w:style w:type="character" w:customStyle="1" w:styleId="normaltextrun">
    <w:name w:val="normaltextrun"/>
    <w:basedOn w:val="DefaultParagraphFont"/>
    <w:rsid w:val="00F56B6E"/>
  </w:style>
  <w:style w:type="paragraph" w:customStyle="1" w:styleId="Normalaftertitle0">
    <w:name w:val="Normal_after_title"/>
    <w:basedOn w:val="Normal"/>
    <w:next w:val="Normal"/>
    <w:rsid w:val="00F56B6E"/>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lang w:val="en-GB"/>
    </w:rPr>
  </w:style>
  <w:style w:type="paragraph" w:customStyle="1" w:styleId="AppendixNotitle">
    <w:name w:val="Appendix_No &amp; title"/>
    <w:basedOn w:val="AnnexNotitle"/>
    <w:next w:val="Normalaftertitle0"/>
    <w:rsid w:val="00F56B6E"/>
  </w:style>
  <w:style w:type="paragraph" w:customStyle="1" w:styleId="AnnexNotitle">
    <w:name w:val="Annex_No &amp; title"/>
    <w:basedOn w:val="Normal"/>
    <w:next w:val="Normalaftertitle0"/>
    <w:rsid w:val="00F56B6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hAnsiTheme="minorHAnsi"/>
      <w:b/>
      <w:sz w:val="28"/>
      <w:lang w:val="en-GB"/>
    </w:rPr>
  </w:style>
  <w:style w:type="character" w:customStyle="1" w:styleId="FooterChar">
    <w:name w:val="Footer Char"/>
    <w:basedOn w:val="DefaultParagraphFont"/>
    <w:link w:val="Footer"/>
    <w:uiPriority w:val="99"/>
    <w:rsid w:val="00F56B6E"/>
    <w:rPr>
      <w:rFonts w:ascii="Calibri" w:hAnsi="Calibri"/>
      <w:caps/>
      <w:noProof/>
      <w:sz w:val="16"/>
      <w:lang w:val="es-ES_tradnl" w:eastAsia="en-US"/>
    </w:rPr>
  </w:style>
  <w:style w:type="character" w:customStyle="1" w:styleId="RestitleChar">
    <w:name w:val="Res_title Char"/>
    <w:basedOn w:val="DefaultParagraphFont"/>
    <w:link w:val="Restitle"/>
    <w:rsid w:val="00F56B6E"/>
    <w:rPr>
      <w:rFonts w:ascii="Calibri" w:hAnsi="Calibri"/>
      <w:b/>
      <w:sz w:val="28"/>
      <w:lang w:val="es-ES_tradnl" w:eastAsia="en-US"/>
    </w:rPr>
  </w:style>
  <w:style w:type="character" w:customStyle="1" w:styleId="NormalaftertitleChar">
    <w:name w:val="Normal after title Char"/>
    <w:basedOn w:val="DefaultParagraphFont"/>
    <w:link w:val="Normalaftertitle"/>
    <w:rsid w:val="00F56B6E"/>
    <w:rPr>
      <w:rFonts w:ascii="Calibri" w:hAnsi="Calibri"/>
      <w:sz w:val="24"/>
      <w:lang w:val="es-ES_tradnl" w:eastAsia="en-US"/>
    </w:rPr>
  </w:style>
  <w:style w:type="character" w:customStyle="1" w:styleId="CallChar">
    <w:name w:val="Call Char"/>
    <w:basedOn w:val="DefaultParagraphFont"/>
    <w:link w:val="Call"/>
    <w:rsid w:val="00F56B6E"/>
    <w:rPr>
      <w:rFonts w:ascii="Calibri" w:hAnsi="Calibri"/>
      <w:i/>
      <w:sz w:val="24"/>
      <w:lang w:val="es-ES_tradnl" w:eastAsia="en-US"/>
    </w:rPr>
  </w:style>
  <w:style w:type="character" w:customStyle="1" w:styleId="AnnexNoChar">
    <w:name w:val="Annex_No Char"/>
    <w:basedOn w:val="DefaultParagraphFont"/>
    <w:link w:val="AnnexNo"/>
    <w:rsid w:val="00F56B6E"/>
    <w:rPr>
      <w:rFonts w:ascii="Calibri" w:hAnsi="Calibri"/>
      <w:caps/>
      <w:sz w:val="28"/>
      <w:lang w:val="es-ES_tradnl" w:eastAsia="en-US"/>
    </w:rPr>
  </w:style>
  <w:style w:type="character" w:customStyle="1" w:styleId="AnnextitleChar">
    <w:name w:val="Annex_title Char"/>
    <w:basedOn w:val="DefaultParagraphFont"/>
    <w:link w:val="Annextitle"/>
    <w:rsid w:val="00F56B6E"/>
    <w:rPr>
      <w:rFonts w:ascii="Calibri" w:hAnsi="Calibri"/>
      <w:b/>
      <w:sz w:val="28"/>
      <w:lang w:val="es-ES_tradnl" w:eastAsia="en-US"/>
    </w:rPr>
  </w:style>
  <w:style w:type="paragraph" w:styleId="BalloonText">
    <w:name w:val="Balloon Text"/>
    <w:basedOn w:val="Normal"/>
    <w:link w:val="BalloonTextChar"/>
    <w:semiHidden/>
    <w:unhideWhenUsed/>
    <w:rsid w:val="007A346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A3464"/>
    <w:rPr>
      <w:rFonts w:ascii="Tahoma" w:hAnsi="Tahoma" w:cs="Tahoma"/>
      <w:sz w:val="16"/>
      <w:szCs w:val="16"/>
      <w:lang w:val="es-ES_tradnl" w:eastAsia="en-US"/>
    </w:rPr>
  </w:style>
  <w:style w:type="character" w:styleId="CommentReference">
    <w:name w:val="annotation reference"/>
    <w:basedOn w:val="DefaultParagraphFont"/>
    <w:semiHidden/>
    <w:unhideWhenUsed/>
    <w:rsid w:val="0030528B"/>
    <w:rPr>
      <w:sz w:val="16"/>
      <w:szCs w:val="16"/>
    </w:rPr>
  </w:style>
  <w:style w:type="paragraph" w:styleId="CommentText">
    <w:name w:val="annotation text"/>
    <w:basedOn w:val="Normal"/>
    <w:link w:val="CommentTextChar"/>
    <w:semiHidden/>
    <w:unhideWhenUsed/>
    <w:rsid w:val="0030528B"/>
    <w:rPr>
      <w:sz w:val="20"/>
    </w:rPr>
  </w:style>
  <w:style w:type="character" w:customStyle="1" w:styleId="CommentTextChar">
    <w:name w:val="Comment Text Char"/>
    <w:basedOn w:val="DefaultParagraphFont"/>
    <w:link w:val="CommentText"/>
    <w:semiHidden/>
    <w:rsid w:val="0030528B"/>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0528B"/>
    <w:rPr>
      <w:b/>
      <w:bCs/>
    </w:rPr>
  </w:style>
  <w:style w:type="character" w:customStyle="1" w:styleId="CommentSubjectChar">
    <w:name w:val="Comment Subject Char"/>
    <w:basedOn w:val="CommentTextChar"/>
    <w:link w:val="CommentSubject"/>
    <w:semiHidden/>
    <w:rsid w:val="0030528B"/>
    <w:rPr>
      <w:rFonts w:ascii="Calibri" w:hAnsi="Calibri"/>
      <w:b/>
      <w:bCs/>
      <w:lang w:val="es-ES_tradnl" w:eastAsia="en-US"/>
    </w:rPr>
  </w:style>
  <w:style w:type="paragraph" w:styleId="Revision">
    <w:name w:val="Revision"/>
    <w:hidden/>
    <w:uiPriority w:val="99"/>
    <w:semiHidden/>
    <w:rsid w:val="006D6677"/>
    <w:rPr>
      <w:rFonts w:ascii="Calibri" w:hAnsi="Calibri"/>
      <w:sz w:val="24"/>
      <w:lang w:val="es-ES_tradnl" w:eastAsia="en-US"/>
    </w:rPr>
  </w:style>
  <w:style w:type="paragraph" w:styleId="NormalWeb">
    <w:name w:val="Normal (Web)"/>
    <w:basedOn w:val="Normal"/>
    <w:uiPriority w:val="99"/>
    <w:unhideWhenUsed/>
    <w:rsid w:val="0020306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UnresolvedMention">
    <w:name w:val="Unresolved Mention"/>
    <w:basedOn w:val="DefaultParagraphFont"/>
    <w:uiPriority w:val="99"/>
    <w:semiHidden/>
    <w:unhideWhenUsed/>
    <w:rsid w:val="00CE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19872">
      <w:bodyDiv w:val="1"/>
      <w:marLeft w:val="0"/>
      <w:marRight w:val="0"/>
      <w:marTop w:val="0"/>
      <w:marBottom w:val="0"/>
      <w:divBdr>
        <w:top w:val="none" w:sz="0" w:space="0" w:color="auto"/>
        <w:left w:val="none" w:sz="0" w:space="0" w:color="auto"/>
        <w:bottom w:val="none" w:sz="0" w:space="0" w:color="auto"/>
        <w:right w:val="none" w:sz="0" w:space="0" w:color="auto"/>
      </w:divBdr>
    </w:div>
    <w:div w:id="1660648110">
      <w:bodyDiv w:val="1"/>
      <w:marLeft w:val="0"/>
      <w:marRight w:val="0"/>
      <w:marTop w:val="0"/>
      <w:marBottom w:val="0"/>
      <w:divBdr>
        <w:top w:val="none" w:sz="0" w:space="0" w:color="auto"/>
        <w:left w:val="none" w:sz="0" w:space="0" w:color="auto"/>
        <w:bottom w:val="none" w:sz="0" w:space="0" w:color="auto"/>
        <w:right w:val="none" w:sz="0" w:space="0" w:color="auto"/>
      </w:divBdr>
    </w:div>
    <w:div w:id="21360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4B9D-6449-4AD9-9939-72F747A6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1330</Words>
  <Characters>6878</Characters>
  <Application>Microsoft Office Word</Application>
  <DocSecurity>0</DocSecurity>
  <Lines>57</Lines>
  <Paragraphs>16</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Company>International Telecommunication Union</Company>
  <LinksUpToDate>false</LinksUpToDate>
  <CharactersWithSpaces>8192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1386 - ITU CTT</dc:title>
  <dc:subject>2024 session of the Council</dc:subject>
  <cp:keywords>Council-24; C24; Council 2024</cp:keywords>
  <dc:description/>
  <cp:lastPrinted>2006-03-24T09:51:00Z</cp:lastPrinted>
  <dcterms:created xsi:type="dcterms:W3CDTF">2024-06-14T11:52:00Z</dcterms:created>
  <dcterms:modified xsi:type="dcterms:W3CDTF">2024-06-27T10:31:00Z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