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3202FB" w:rsidRPr="00F630BA" w14:paraId="03778E2C" w14:textId="77777777">
        <w:trPr>
          <w:cantSplit/>
          <w:trHeight w:val="23"/>
        </w:trPr>
        <w:tc>
          <w:tcPr>
            <w:tcW w:w="3969" w:type="dxa"/>
            <w:vMerge w:val="restart"/>
            <w:tcMar>
              <w:left w:w="0" w:type="dxa"/>
            </w:tcMar>
          </w:tcPr>
          <w:p w14:paraId="3FF71E75" w14:textId="77777777" w:rsidR="003202FB" w:rsidRPr="00F630BA" w:rsidRDefault="003202FB">
            <w:pPr>
              <w:tabs>
                <w:tab w:val="left" w:pos="851"/>
              </w:tabs>
              <w:spacing w:before="0" w:line="240" w:lineRule="atLeast"/>
              <w:rPr>
                <w:rFonts w:asciiTheme="minorHAnsi" w:hAnsiTheme="minorHAnsi" w:cstheme="minorHAnsi"/>
                <w:b/>
                <w:sz w:val="22"/>
                <w:szCs w:val="22"/>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65845B9" w14:textId="7196B2D8" w:rsidR="003202FB" w:rsidRPr="00F630BA" w:rsidRDefault="00720F92">
            <w:pPr>
              <w:tabs>
                <w:tab w:val="left" w:pos="851"/>
              </w:tabs>
              <w:spacing w:before="0" w:line="240" w:lineRule="atLeast"/>
              <w:jc w:val="right"/>
              <w:rPr>
                <w:rFonts w:asciiTheme="minorHAnsi" w:hAnsiTheme="minorHAnsi" w:cstheme="minorHAnsi"/>
                <w:b/>
                <w:sz w:val="22"/>
                <w:szCs w:val="22"/>
              </w:rPr>
            </w:pPr>
            <w:r w:rsidRPr="00F630BA">
              <w:rPr>
                <w:rFonts w:asciiTheme="minorHAnsi" w:hAnsiTheme="minorHAnsi" w:cstheme="minorHAnsi"/>
                <w:b/>
                <w:sz w:val="22"/>
                <w:szCs w:val="22"/>
              </w:rPr>
              <w:t>Document C24/</w:t>
            </w:r>
            <w:r w:rsidR="00C64EAE">
              <w:rPr>
                <w:rFonts w:asciiTheme="minorHAnsi" w:hAnsiTheme="minorHAnsi" w:cstheme="minorHAnsi"/>
                <w:b/>
                <w:sz w:val="22"/>
                <w:szCs w:val="22"/>
              </w:rPr>
              <w:t>142</w:t>
            </w:r>
            <w:r w:rsidRPr="00F630BA">
              <w:rPr>
                <w:rFonts w:asciiTheme="minorHAnsi" w:hAnsiTheme="minorHAnsi" w:cstheme="minorHAnsi"/>
                <w:b/>
                <w:sz w:val="22"/>
                <w:szCs w:val="22"/>
              </w:rPr>
              <w:t>-E</w:t>
            </w:r>
          </w:p>
        </w:tc>
      </w:tr>
      <w:tr w:rsidR="003202FB" w:rsidRPr="00F630BA" w14:paraId="628554A0" w14:textId="77777777">
        <w:trPr>
          <w:cantSplit/>
        </w:trPr>
        <w:tc>
          <w:tcPr>
            <w:tcW w:w="3969" w:type="dxa"/>
            <w:vMerge/>
          </w:tcPr>
          <w:p w14:paraId="1C95D7CC" w14:textId="77777777" w:rsidR="003202FB" w:rsidRPr="00F630BA" w:rsidRDefault="003202FB">
            <w:pPr>
              <w:tabs>
                <w:tab w:val="left" w:pos="851"/>
              </w:tabs>
              <w:spacing w:line="240" w:lineRule="atLeast"/>
              <w:rPr>
                <w:rFonts w:asciiTheme="minorHAnsi" w:hAnsiTheme="minorHAnsi" w:cstheme="minorHAnsi"/>
                <w:b/>
                <w:sz w:val="22"/>
                <w:szCs w:val="22"/>
              </w:rPr>
            </w:pPr>
            <w:bookmarkStart w:id="6" w:name="ddate" w:colFirst="1" w:colLast="1"/>
            <w:bookmarkEnd w:id="0"/>
            <w:bookmarkEnd w:id="1"/>
          </w:p>
        </w:tc>
        <w:tc>
          <w:tcPr>
            <w:tcW w:w="5245" w:type="dxa"/>
          </w:tcPr>
          <w:p w14:paraId="3B846E39" w14:textId="7ED65B6F" w:rsidR="003202FB" w:rsidRPr="00F630BA" w:rsidRDefault="004522FE">
            <w:pPr>
              <w:tabs>
                <w:tab w:val="left" w:pos="851"/>
              </w:tabs>
              <w:spacing w:before="0"/>
              <w:jc w:val="right"/>
              <w:rPr>
                <w:rFonts w:asciiTheme="minorHAnsi" w:hAnsiTheme="minorHAnsi" w:cstheme="minorHAnsi"/>
                <w:b/>
                <w:sz w:val="22"/>
                <w:szCs w:val="22"/>
              </w:rPr>
            </w:pPr>
            <w:r w:rsidRPr="00F630BA">
              <w:rPr>
                <w:rFonts w:asciiTheme="minorHAnsi" w:hAnsiTheme="minorHAnsi" w:cstheme="minorHAnsi"/>
                <w:b/>
                <w:sz w:val="22"/>
                <w:szCs w:val="22"/>
              </w:rPr>
              <w:t>14</w:t>
            </w:r>
            <w:r w:rsidR="00720F92" w:rsidRPr="00F630BA">
              <w:rPr>
                <w:rFonts w:asciiTheme="minorHAnsi" w:hAnsiTheme="minorHAnsi" w:cstheme="minorHAnsi"/>
                <w:b/>
                <w:sz w:val="22"/>
                <w:szCs w:val="22"/>
              </w:rPr>
              <w:t xml:space="preserve"> June 2024</w:t>
            </w:r>
          </w:p>
        </w:tc>
      </w:tr>
      <w:tr w:rsidR="003202FB" w:rsidRPr="00F630BA" w14:paraId="1E5CA051" w14:textId="77777777">
        <w:trPr>
          <w:cantSplit/>
          <w:trHeight w:val="23"/>
        </w:trPr>
        <w:tc>
          <w:tcPr>
            <w:tcW w:w="3969" w:type="dxa"/>
            <w:vMerge/>
          </w:tcPr>
          <w:p w14:paraId="300C68C0" w14:textId="77777777" w:rsidR="003202FB" w:rsidRPr="00F630BA" w:rsidRDefault="003202FB">
            <w:pPr>
              <w:tabs>
                <w:tab w:val="left" w:pos="851"/>
              </w:tabs>
              <w:spacing w:line="240" w:lineRule="atLeast"/>
              <w:rPr>
                <w:rFonts w:asciiTheme="minorHAnsi" w:hAnsiTheme="minorHAnsi" w:cstheme="minorHAnsi"/>
                <w:b/>
                <w:sz w:val="22"/>
                <w:szCs w:val="22"/>
              </w:rPr>
            </w:pPr>
            <w:bookmarkStart w:id="7" w:name="dorlang" w:colFirst="1" w:colLast="1"/>
            <w:bookmarkEnd w:id="6"/>
          </w:p>
        </w:tc>
        <w:tc>
          <w:tcPr>
            <w:tcW w:w="5245" w:type="dxa"/>
          </w:tcPr>
          <w:p w14:paraId="671B536E" w14:textId="3902052F" w:rsidR="003202FB" w:rsidRPr="00F630BA" w:rsidRDefault="004522FE">
            <w:pPr>
              <w:tabs>
                <w:tab w:val="left" w:pos="851"/>
              </w:tabs>
              <w:spacing w:before="0" w:line="240" w:lineRule="atLeast"/>
              <w:jc w:val="right"/>
              <w:rPr>
                <w:rFonts w:asciiTheme="minorHAnsi" w:hAnsiTheme="minorHAnsi" w:cstheme="minorHAnsi"/>
                <w:b/>
                <w:sz w:val="22"/>
                <w:szCs w:val="22"/>
              </w:rPr>
            </w:pPr>
            <w:r w:rsidRPr="00F630BA">
              <w:rPr>
                <w:rFonts w:asciiTheme="minorHAnsi" w:hAnsiTheme="minorHAnsi" w:cstheme="minorHAnsi"/>
                <w:b/>
                <w:sz w:val="22"/>
                <w:szCs w:val="22"/>
              </w:rPr>
              <w:t xml:space="preserve">Original: </w:t>
            </w:r>
            <w:r w:rsidR="00720F92" w:rsidRPr="00F630BA">
              <w:rPr>
                <w:rFonts w:asciiTheme="minorHAnsi" w:hAnsiTheme="minorHAnsi" w:cstheme="minorHAnsi"/>
                <w:b/>
                <w:sz w:val="22"/>
                <w:szCs w:val="22"/>
              </w:rPr>
              <w:t>English</w:t>
            </w:r>
          </w:p>
        </w:tc>
      </w:tr>
      <w:tr w:rsidR="003202FB" w:rsidRPr="00F630BA" w14:paraId="43BF53B7" w14:textId="77777777">
        <w:trPr>
          <w:cantSplit/>
          <w:trHeight w:val="23"/>
        </w:trPr>
        <w:tc>
          <w:tcPr>
            <w:tcW w:w="3969" w:type="dxa"/>
          </w:tcPr>
          <w:p w14:paraId="627F18D8" w14:textId="77777777" w:rsidR="003202FB" w:rsidRPr="00F630BA" w:rsidRDefault="003202FB">
            <w:pPr>
              <w:tabs>
                <w:tab w:val="left" w:pos="851"/>
              </w:tabs>
              <w:spacing w:line="240" w:lineRule="atLeast"/>
              <w:rPr>
                <w:rFonts w:asciiTheme="minorHAnsi" w:hAnsiTheme="minorHAnsi" w:cstheme="minorHAnsi"/>
                <w:b/>
                <w:sz w:val="22"/>
                <w:szCs w:val="22"/>
              </w:rPr>
            </w:pPr>
          </w:p>
        </w:tc>
        <w:tc>
          <w:tcPr>
            <w:tcW w:w="5245" w:type="dxa"/>
          </w:tcPr>
          <w:p w14:paraId="40E8F301" w14:textId="77777777" w:rsidR="003202FB" w:rsidRPr="00F630BA" w:rsidRDefault="003202FB">
            <w:pPr>
              <w:tabs>
                <w:tab w:val="left" w:pos="851"/>
              </w:tabs>
              <w:spacing w:before="0" w:line="240" w:lineRule="atLeast"/>
              <w:jc w:val="right"/>
              <w:rPr>
                <w:rFonts w:asciiTheme="minorHAnsi" w:hAnsiTheme="minorHAnsi" w:cstheme="minorHAnsi"/>
                <w:b/>
                <w:sz w:val="22"/>
                <w:szCs w:val="22"/>
              </w:rPr>
            </w:pPr>
          </w:p>
        </w:tc>
      </w:tr>
    </w:tbl>
    <w:bookmarkEnd w:id="2"/>
    <w:bookmarkEnd w:id="3"/>
    <w:bookmarkEnd w:id="4"/>
    <w:bookmarkEnd w:id="5"/>
    <w:bookmarkEnd w:id="7"/>
    <w:p w14:paraId="1DFB71F8" w14:textId="67DDE92E" w:rsidR="003202FB" w:rsidRPr="00F630BA" w:rsidRDefault="00720F92" w:rsidP="000A0327">
      <w:pPr>
        <w:pStyle w:val="ResNo"/>
      </w:pPr>
      <w:r w:rsidRPr="00F630BA">
        <w:t xml:space="preserve">RESOLUTION </w:t>
      </w:r>
      <w:r w:rsidR="00C64EAE">
        <w:t>1429</w:t>
      </w:r>
    </w:p>
    <w:p w14:paraId="36B84327" w14:textId="3C5CD9DB" w:rsidR="00F630BA" w:rsidRPr="00F630BA" w:rsidRDefault="00F630BA" w:rsidP="00F630BA">
      <w:pPr>
        <w:pStyle w:val="Resref"/>
      </w:pPr>
      <w:r w:rsidRPr="00F630BA">
        <w:t>(adopted at the twelfth Plenary meeting)</w:t>
      </w:r>
    </w:p>
    <w:p w14:paraId="524FEC71" w14:textId="77777777" w:rsidR="003202FB" w:rsidRPr="00F630BA" w:rsidRDefault="00720F92" w:rsidP="000A0327">
      <w:pPr>
        <w:pStyle w:val="Restitle"/>
      </w:pPr>
      <w:r w:rsidRPr="00F630BA">
        <w:t xml:space="preserve">ITU role in facilitating ICTs’ contribution to sustainability and climate action </w:t>
      </w:r>
    </w:p>
    <w:p w14:paraId="5F2E917A" w14:textId="77777777" w:rsidR="003202FB" w:rsidRPr="00F630BA" w:rsidRDefault="00720F92">
      <w:pPr>
        <w:pStyle w:val="Normalaftertitle"/>
        <w:rPr>
          <w:rFonts w:asciiTheme="minorHAnsi" w:hAnsiTheme="minorHAnsi" w:cstheme="minorHAnsi"/>
          <w:sz w:val="22"/>
          <w:szCs w:val="22"/>
        </w:rPr>
      </w:pPr>
      <w:r w:rsidRPr="00F630BA">
        <w:rPr>
          <w:rFonts w:asciiTheme="minorHAnsi" w:hAnsiTheme="minorHAnsi" w:cstheme="minorHAnsi"/>
          <w:sz w:val="22"/>
          <w:szCs w:val="22"/>
        </w:rPr>
        <w:t>The ITU Council,</w:t>
      </w:r>
    </w:p>
    <w:p w14:paraId="188FDAC7" w14:textId="77777777" w:rsidR="003202FB" w:rsidRPr="006B4246" w:rsidRDefault="00720F92" w:rsidP="006B4246">
      <w:pPr>
        <w:pStyle w:val="Call"/>
        <w:rPr>
          <w:rFonts w:eastAsia="Calibri"/>
        </w:rPr>
      </w:pPr>
      <w:r w:rsidRPr="00F630BA">
        <w:rPr>
          <w:rFonts w:eastAsia="Calibri"/>
        </w:rPr>
        <w:t>recalling</w:t>
      </w:r>
    </w:p>
    <w:p w14:paraId="61C8B585"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a)</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Resolution 70/1 of the United Nations General Assembly (UNGA), on transforming our world: the 2030 Agenda for Sustainable Development;</w:t>
      </w:r>
    </w:p>
    <w:p w14:paraId="6BE8961E" w14:textId="77777777" w:rsidR="003202FB" w:rsidRPr="00F630BA" w:rsidRDefault="00720F92">
      <w:pPr>
        <w:rPr>
          <w:rFonts w:asciiTheme="minorHAnsi" w:hAnsiTheme="minorHAnsi" w:cstheme="minorHAnsi"/>
          <w:sz w:val="22"/>
          <w:szCs w:val="22"/>
        </w:rPr>
      </w:pPr>
      <w:r w:rsidRPr="00F630BA">
        <w:rPr>
          <w:rFonts w:asciiTheme="minorHAnsi" w:eastAsia="Calibri" w:hAnsiTheme="minorHAnsi" w:cstheme="minorHAnsi"/>
          <w:i/>
          <w:iCs/>
          <w:sz w:val="22"/>
          <w:szCs w:val="22"/>
        </w:rPr>
        <w:t>b)</w:t>
      </w:r>
      <w:r w:rsidRPr="00F630BA">
        <w:rPr>
          <w:rFonts w:asciiTheme="minorHAnsi" w:eastAsia="Calibri" w:hAnsiTheme="minorHAnsi" w:cstheme="minorHAnsi"/>
          <w:sz w:val="22"/>
          <w:szCs w:val="22"/>
        </w:rPr>
        <w:tab/>
        <w:t>the outcomes of conferences under the United Nations Framework Convention on Climate Change (UNFCCC), in particular the Paris Agreement of COP21, the Glasgow Climate Pact of COP26, and the Dubai COP28 UAE Consensus, in particular the Global Stocktake;</w:t>
      </w:r>
    </w:p>
    <w:p w14:paraId="54D3DED4" w14:textId="4785C4CB"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c)</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 xml:space="preserve">the principles of the Rio Declaration on Environment and Development, including, </w:t>
      </w:r>
      <w:r w:rsidRPr="006B4246">
        <w:rPr>
          <w:rFonts w:asciiTheme="minorHAnsi" w:eastAsia="Calibri" w:hAnsiTheme="minorHAnsi" w:cstheme="minorHAnsi"/>
          <w:i/>
          <w:iCs/>
          <w:sz w:val="22"/>
          <w:szCs w:val="22"/>
        </w:rPr>
        <w:t>inter alia</w:t>
      </w:r>
      <w:r w:rsidRPr="00F630BA">
        <w:rPr>
          <w:rFonts w:asciiTheme="minorHAnsi" w:eastAsia="Calibri" w:hAnsiTheme="minorHAnsi" w:cstheme="minorHAnsi"/>
          <w:sz w:val="22"/>
          <w:szCs w:val="22"/>
        </w:rPr>
        <w:t>, the principle of common but differentiated responsibilities;</w:t>
      </w:r>
    </w:p>
    <w:p w14:paraId="5F185470" w14:textId="77777777" w:rsidR="003202FB" w:rsidRPr="00F630BA" w:rsidRDefault="00720F92">
      <w:pPr>
        <w:rPr>
          <w:rFonts w:asciiTheme="minorHAnsi" w:hAnsiTheme="minorHAnsi" w:cstheme="minorHAnsi"/>
          <w:sz w:val="22"/>
          <w:szCs w:val="22"/>
        </w:rPr>
      </w:pPr>
      <w:r w:rsidRPr="00F630BA">
        <w:rPr>
          <w:rFonts w:asciiTheme="minorHAnsi" w:eastAsia="Calibri" w:hAnsiTheme="minorHAnsi" w:cstheme="minorHAnsi"/>
          <w:i/>
          <w:iCs/>
          <w:sz w:val="22"/>
          <w:szCs w:val="22"/>
        </w:rPr>
        <w:t>d)</w:t>
      </w:r>
      <w:r w:rsidRPr="00F630BA">
        <w:rPr>
          <w:rFonts w:asciiTheme="minorHAnsi" w:eastAsia="Calibri" w:hAnsiTheme="minorHAnsi" w:cstheme="minorHAnsi"/>
          <w:sz w:val="22"/>
          <w:szCs w:val="22"/>
        </w:rPr>
        <w:tab/>
        <w:t>Resolution 71 (Rev. Bucharest, 2022), on the strategic plan for the Union for 2024-2027, particularly ITU Target 2.5 of the Connect 2030 Agenda (Significant improvement of ICTs’ contribution to climate and environment action);</w:t>
      </w:r>
    </w:p>
    <w:p w14:paraId="436C3C55" w14:textId="77777777" w:rsidR="003202FB" w:rsidRPr="00F630BA" w:rsidRDefault="00720F92">
      <w:pPr>
        <w:rPr>
          <w:rFonts w:asciiTheme="minorHAnsi" w:hAnsiTheme="minorHAnsi" w:cstheme="minorHAnsi"/>
          <w:sz w:val="22"/>
          <w:szCs w:val="22"/>
        </w:rPr>
      </w:pPr>
      <w:r w:rsidRPr="00F630BA">
        <w:rPr>
          <w:rFonts w:asciiTheme="minorHAnsi" w:eastAsia="Calibri" w:hAnsiTheme="minorHAnsi" w:cstheme="minorHAnsi"/>
          <w:i/>
          <w:iCs/>
          <w:sz w:val="22"/>
          <w:szCs w:val="22"/>
        </w:rPr>
        <w:t>e)</w:t>
      </w:r>
      <w:r w:rsidRPr="00F630BA">
        <w:rPr>
          <w:rFonts w:asciiTheme="minorHAnsi" w:eastAsia="Calibri" w:hAnsiTheme="minorHAnsi" w:cstheme="minorHAnsi"/>
          <w:sz w:val="22"/>
          <w:szCs w:val="22"/>
        </w:rPr>
        <w:tab/>
        <w:t>Resolution 182 (Rev. Bucharest, 2022) on the role of telecommunications/ICTs in regard to climate change and protection of the environment;</w:t>
      </w:r>
    </w:p>
    <w:p w14:paraId="2A535515"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f)</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Resolution 73 (Rev. Geneva, 2022) of the World Telecommunication Standardization Assembly (WTSA), on information and communication technologies, environment, climate change and circular economy;</w:t>
      </w:r>
    </w:p>
    <w:p w14:paraId="59F3D60D"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g)</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Resolution 79 (Rev. Geneva, 2022) of WTSA, on the role of telecommunications/ ICTs in handling and controlling e-waste from telecommunication and information technology equipment and methods of treating it;</w:t>
      </w:r>
    </w:p>
    <w:p w14:paraId="7A679F3D" w14:textId="7ED41FC2" w:rsidR="003202FB" w:rsidRPr="00F630BA" w:rsidRDefault="00720F92">
      <w:pPr>
        <w:rPr>
          <w:rFonts w:asciiTheme="minorHAnsi" w:hAnsiTheme="minorHAnsi" w:cstheme="minorHAnsi"/>
          <w:sz w:val="22"/>
          <w:szCs w:val="22"/>
        </w:rPr>
      </w:pPr>
      <w:r w:rsidRPr="00F630BA">
        <w:rPr>
          <w:rFonts w:asciiTheme="minorHAnsi" w:eastAsia="Calibri" w:hAnsiTheme="minorHAnsi" w:cstheme="minorHAnsi"/>
          <w:i/>
          <w:iCs/>
          <w:sz w:val="22"/>
          <w:szCs w:val="22"/>
        </w:rPr>
        <w:t>h)</w:t>
      </w:r>
      <w:r w:rsidRPr="00F630BA">
        <w:rPr>
          <w:rFonts w:asciiTheme="minorHAnsi" w:eastAsia="Calibri" w:hAnsiTheme="minorHAnsi" w:cstheme="minorHAnsi"/>
          <w:sz w:val="22"/>
          <w:szCs w:val="22"/>
        </w:rPr>
        <w:tab/>
        <w:t>Resolution 66 (Rev. Kigali, 2022) of the World Telecommunication Development Conference (WTDC), on information and communication technology, environment, climate change and circular economy</w:t>
      </w:r>
      <w:r w:rsidR="006B4246">
        <w:rPr>
          <w:rFonts w:asciiTheme="minorHAnsi" w:eastAsia="Calibri" w:hAnsiTheme="minorHAnsi" w:cstheme="minorHAnsi"/>
          <w:sz w:val="22"/>
          <w:szCs w:val="22"/>
        </w:rPr>
        <w:t>,</w:t>
      </w:r>
    </w:p>
    <w:p w14:paraId="7454E44A" w14:textId="77777777" w:rsidR="003202FB" w:rsidRPr="00F630BA" w:rsidRDefault="00720F92">
      <w:pPr>
        <w:pStyle w:val="Call"/>
        <w:rPr>
          <w:rFonts w:asciiTheme="minorHAnsi" w:eastAsia="Calibri" w:hAnsiTheme="minorHAnsi" w:cstheme="minorHAnsi"/>
          <w:sz w:val="22"/>
          <w:szCs w:val="22"/>
        </w:rPr>
      </w:pPr>
      <w:r w:rsidRPr="00F630BA">
        <w:rPr>
          <w:rFonts w:asciiTheme="minorHAnsi" w:eastAsia="Calibri" w:hAnsiTheme="minorHAnsi" w:cstheme="minorHAnsi"/>
          <w:sz w:val="22"/>
          <w:szCs w:val="22"/>
        </w:rPr>
        <w:t>noting</w:t>
      </w:r>
    </w:p>
    <w:p w14:paraId="77C6D1E8"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a)</w:t>
      </w:r>
      <w:r w:rsidRPr="00F630BA">
        <w:rPr>
          <w:rFonts w:asciiTheme="minorHAnsi" w:eastAsia="Calibri" w:hAnsiTheme="minorHAnsi" w:cstheme="minorHAnsi"/>
          <w:sz w:val="22"/>
          <w:szCs w:val="22"/>
        </w:rPr>
        <w:tab/>
        <w:t>ITU activities on climate change and environmental sustainability such as Green Digital Action and other relevant multi-stakeholder initiatives;</w:t>
      </w:r>
    </w:p>
    <w:p w14:paraId="216FA832"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b)</w:t>
      </w:r>
      <w:r w:rsidRPr="00F630BA">
        <w:rPr>
          <w:rFonts w:asciiTheme="minorHAnsi" w:eastAsia="Calibri" w:hAnsiTheme="minorHAnsi" w:cstheme="minorHAnsi"/>
          <w:sz w:val="22"/>
          <w:szCs w:val="22"/>
        </w:rPr>
        <w:tab/>
        <w:t>ITU collaboration with other United Nations entities and relevant stakeholders in this regard; particularly by liaising with the UN Framework Convention on Climate Change (UNFCCC) and Presidencies of the COPs;</w:t>
      </w:r>
    </w:p>
    <w:p w14:paraId="539443D4" w14:textId="16E9A8FA"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lastRenderedPageBreak/>
        <w:t>c)</w:t>
      </w:r>
      <w:r w:rsidRPr="00F630BA">
        <w:rPr>
          <w:rFonts w:asciiTheme="minorHAnsi" w:eastAsia="Calibri" w:hAnsiTheme="minorHAnsi" w:cstheme="minorHAnsi"/>
          <w:sz w:val="22"/>
          <w:szCs w:val="22"/>
        </w:rPr>
        <w:tab/>
        <w:t>ongoing relevant work within ITU-T S</w:t>
      </w:r>
      <w:r w:rsidR="006B4246">
        <w:rPr>
          <w:rFonts w:asciiTheme="minorHAnsi" w:eastAsia="Calibri" w:hAnsiTheme="minorHAnsi" w:cstheme="minorHAnsi"/>
          <w:sz w:val="22"/>
          <w:szCs w:val="22"/>
        </w:rPr>
        <w:t xml:space="preserve">tudy </w:t>
      </w:r>
      <w:r w:rsidRPr="00F630BA">
        <w:rPr>
          <w:rFonts w:asciiTheme="minorHAnsi" w:eastAsia="Calibri" w:hAnsiTheme="minorHAnsi" w:cstheme="minorHAnsi"/>
          <w:sz w:val="22"/>
          <w:szCs w:val="22"/>
        </w:rPr>
        <w:t>G</w:t>
      </w:r>
      <w:r w:rsidR="006B4246">
        <w:rPr>
          <w:rFonts w:asciiTheme="minorHAnsi" w:eastAsia="Calibri" w:hAnsiTheme="minorHAnsi" w:cstheme="minorHAnsi"/>
          <w:sz w:val="22"/>
          <w:szCs w:val="22"/>
        </w:rPr>
        <w:t xml:space="preserve">roup </w:t>
      </w:r>
      <w:r w:rsidRPr="00F630BA">
        <w:rPr>
          <w:rFonts w:asciiTheme="minorHAnsi" w:eastAsia="Calibri" w:hAnsiTheme="minorHAnsi" w:cstheme="minorHAnsi"/>
          <w:sz w:val="22"/>
          <w:szCs w:val="22"/>
        </w:rPr>
        <w:t>5</w:t>
      </w:r>
      <w:r w:rsidR="006B4246">
        <w:rPr>
          <w:rFonts w:asciiTheme="minorHAnsi" w:eastAsia="Calibri" w:hAnsiTheme="minorHAnsi" w:cstheme="minorHAnsi"/>
          <w:sz w:val="22"/>
          <w:szCs w:val="22"/>
        </w:rPr>
        <w:t>,</w:t>
      </w:r>
    </w:p>
    <w:p w14:paraId="2E8823C5" w14:textId="77777777" w:rsidR="003202FB" w:rsidRPr="00F630BA" w:rsidRDefault="00720F92">
      <w:pPr>
        <w:pStyle w:val="Call"/>
        <w:rPr>
          <w:rFonts w:asciiTheme="minorHAnsi" w:eastAsia="Calibri" w:hAnsiTheme="minorHAnsi" w:cstheme="minorHAnsi"/>
          <w:sz w:val="22"/>
          <w:szCs w:val="22"/>
        </w:rPr>
      </w:pPr>
      <w:r w:rsidRPr="00F630BA">
        <w:rPr>
          <w:rFonts w:asciiTheme="minorHAnsi" w:eastAsia="Calibri" w:hAnsiTheme="minorHAnsi" w:cstheme="minorHAnsi"/>
          <w:sz w:val="22"/>
          <w:szCs w:val="22"/>
        </w:rPr>
        <w:t>recognizing</w:t>
      </w:r>
    </w:p>
    <w:p w14:paraId="37D11775"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a)</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that climate change and biodiversity loss and pollution represent significant challenges of our time and that addressing them requires progress towards sustainable development;</w:t>
      </w:r>
    </w:p>
    <w:p w14:paraId="6B7DA3A4" w14:textId="77777777" w:rsidR="003202FB" w:rsidRPr="00F630BA" w:rsidRDefault="00720F92">
      <w:pPr>
        <w:rPr>
          <w:rFonts w:asciiTheme="minorHAnsi" w:hAnsiTheme="minorHAnsi" w:cstheme="minorHAnsi"/>
          <w:sz w:val="22"/>
          <w:szCs w:val="22"/>
        </w:rPr>
      </w:pPr>
      <w:r w:rsidRPr="00F630BA">
        <w:rPr>
          <w:rFonts w:asciiTheme="minorHAnsi" w:eastAsia="Calibri" w:hAnsiTheme="minorHAnsi" w:cstheme="minorHAnsi"/>
          <w:i/>
          <w:iCs/>
          <w:sz w:val="22"/>
          <w:szCs w:val="22"/>
        </w:rPr>
        <w:t>b)</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that environmental issues are part of the broader concept of sustainability including economic and social dimensions;</w:t>
      </w:r>
    </w:p>
    <w:p w14:paraId="4DFBB700"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c)</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that limiting global warming requires rapid, deep and sustained reductions in global greenhouse gas (GHG) emissions, in accordance with the principle of common but differentiated responsibilities and respective capabilities in light of different national circumstances;</w:t>
      </w:r>
    </w:p>
    <w:p w14:paraId="4CA84E8B"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d)</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the importance of leveraging digital technologies for achieving the ultimate objectives of the UNFCCC, in the context of sustainable development;</w:t>
      </w:r>
    </w:p>
    <w:p w14:paraId="6FDA18A3" w14:textId="71DB7F5A"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e)</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that ICTs can have an enabling effect in reducing GHG emissions generated by other sectors of the economy;</w:t>
      </w:r>
    </w:p>
    <w:p w14:paraId="1CF025DF" w14:textId="0CB19736"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i/>
          <w:iCs/>
          <w:sz w:val="22"/>
          <w:szCs w:val="22"/>
        </w:rPr>
        <w:t>f)</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that efforts also need to be taken to reduce emissions of ICTs;</w:t>
      </w:r>
    </w:p>
    <w:p w14:paraId="43E98AD8" w14:textId="77777777" w:rsidR="003202FB" w:rsidRPr="00F630BA" w:rsidRDefault="00720F92">
      <w:pPr>
        <w:rPr>
          <w:rFonts w:asciiTheme="minorHAnsi" w:eastAsia="Calibri" w:hAnsiTheme="minorHAnsi" w:cstheme="minorHAnsi"/>
          <w:iCs/>
          <w:sz w:val="22"/>
          <w:szCs w:val="22"/>
        </w:rPr>
      </w:pPr>
      <w:r w:rsidRPr="00F630BA">
        <w:rPr>
          <w:rFonts w:asciiTheme="minorHAnsi" w:eastAsia="Calibri" w:hAnsiTheme="minorHAnsi" w:cstheme="minorHAnsi"/>
          <w:i/>
          <w:iCs/>
          <w:sz w:val="22"/>
          <w:szCs w:val="22"/>
        </w:rPr>
        <w:t>g)</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that more information and capacity building can enhance the progress towards ITU Target 2.5 for the Union's Connect 2030 Agenda;</w:t>
      </w:r>
    </w:p>
    <w:p w14:paraId="71804819" w14:textId="14029B4E" w:rsidR="003202FB" w:rsidRPr="00F630BA" w:rsidRDefault="00720F92">
      <w:pPr>
        <w:rPr>
          <w:rFonts w:asciiTheme="minorHAnsi" w:eastAsia="Calibri" w:hAnsiTheme="minorHAnsi" w:cstheme="minorHAnsi"/>
          <w:iCs/>
          <w:sz w:val="22"/>
          <w:szCs w:val="22"/>
        </w:rPr>
      </w:pPr>
      <w:r w:rsidRPr="00F630BA">
        <w:rPr>
          <w:rFonts w:asciiTheme="minorHAnsi" w:hAnsiTheme="minorHAnsi" w:cstheme="minorHAnsi"/>
          <w:i/>
          <w:iCs/>
          <w:sz w:val="22"/>
          <w:szCs w:val="22"/>
        </w:rPr>
        <w:t>h)</w:t>
      </w:r>
      <w:r w:rsidRPr="00F630BA">
        <w:rPr>
          <w:rFonts w:asciiTheme="minorHAnsi" w:hAnsiTheme="minorHAnsi" w:cstheme="minorHAnsi"/>
          <w:sz w:val="22"/>
          <w:szCs w:val="22"/>
        </w:rPr>
        <w:tab/>
        <w:t>that it is still challenging to estimate the ICT sector environmental impact, at a worldwide level;</w:t>
      </w:r>
    </w:p>
    <w:p w14:paraId="615AD9CC" w14:textId="19BEDB4D" w:rsidR="003202FB" w:rsidRPr="00F630BA" w:rsidRDefault="00720F92">
      <w:pPr>
        <w:rPr>
          <w:rFonts w:asciiTheme="minorHAnsi" w:eastAsia="Calibri" w:hAnsiTheme="minorHAnsi" w:cstheme="minorHAnsi"/>
          <w:iCs/>
          <w:sz w:val="22"/>
          <w:szCs w:val="22"/>
        </w:rPr>
      </w:pPr>
      <w:r w:rsidRPr="00F630BA">
        <w:rPr>
          <w:rFonts w:asciiTheme="minorHAnsi" w:eastAsia="Calibri" w:hAnsiTheme="minorHAnsi" w:cstheme="minorHAnsi"/>
          <w:i/>
          <w:iCs/>
          <w:sz w:val="22"/>
          <w:szCs w:val="22"/>
        </w:rPr>
        <w:t>i)</w:t>
      </w:r>
      <w:r w:rsidRPr="00F630BA">
        <w:rPr>
          <w:rFonts w:asciiTheme="minorHAnsi" w:eastAsia="Calibri" w:hAnsiTheme="minorHAnsi" w:cstheme="minorHAnsi"/>
          <w:sz w:val="22"/>
          <w:szCs w:val="22"/>
        </w:rPr>
        <w:tab/>
        <w:t>that ITU is uniquely positioned to bring together a wide range of stakeholders to boost ICTs’ contribution to sustainable and climate resilient development activities</w:t>
      </w:r>
      <w:r w:rsidR="0030580E">
        <w:rPr>
          <w:rFonts w:asciiTheme="minorHAnsi" w:eastAsia="Calibri" w:hAnsiTheme="minorHAnsi" w:cstheme="minorHAnsi"/>
          <w:sz w:val="22"/>
          <w:szCs w:val="22"/>
        </w:rPr>
        <w:t>,</w:t>
      </w:r>
    </w:p>
    <w:p w14:paraId="7562448B" w14:textId="77777777" w:rsidR="003202FB" w:rsidRPr="00F630BA" w:rsidRDefault="00720F92">
      <w:pPr>
        <w:pStyle w:val="Call"/>
        <w:rPr>
          <w:rFonts w:asciiTheme="minorHAnsi" w:eastAsia="Calibri" w:hAnsiTheme="minorHAnsi" w:cstheme="minorHAnsi"/>
          <w:sz w:val="22"/>
          <w:szCs w:val="22"/>
        </w:rPr>
      </w:pPr>
      <w:r w:rsidRPr="00F630BA">
        <w:rPr>
          <w:rFonts w:asciiTheme="minorHAnsi" w:eastAsia="Calibri" w:hAnsiTheme="minorHAnsi" w:cstheme="minorHAnsi"/>
          <w:sz w:val="22"/>
          <w:szCs w:val="22"/>
        </w:rPr>
        <w:t>resolves</w:t>
      </w:r>
    </w:p>
    <w:p w14:paraId="55EC75BE" w14:textId="430CCB03"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1</w:t>
      </w:r>
      <w:r w:rsidRPr="00F630BA">
        <w:rPr>
          <w:rFonts w:asciiTheme="minorHAnsi" w:eastAsia="Calibri" w:hAnsiTheme="minorHAnsi" w:cstheme="minorHAnsi"/>
          <w:sz w:val="22"/>
          <w:szCs w:val="22"/>
        </w:rPr>
        <w:tab/>
        <w:t>to encourage ITU to generate awareness and to develop knowledge on both the environmental benefits and</w:t>
      </w:r>
      <w:r w:rsidRPr="00F630BA">
        <w:rPr>
          <w:rFonts w:asciiTheme="minorHAnsi" w:hAnsiTheme="minorHAnsi" w:cstheme="minorHAnsi"/>
          <w:sz w:val="22"/>
          <w:szCs w:val="22"/>
        </w:rPr>
        <w:t xml:space="preserve"> </w:t>
      </w:r>
      <w:r w:rsidRPr="00F630BA">
        <w:rPr>
          <w:rFonts w:asciiTheme="minorHAnsi" w:eastAsia="Calibri" w:hAnsiTheme="minorHAnsi" w:cstheme="minorHAnsi"/>
          <w:sz w:val="22"/>
          <w:szCs w:val="22"/>
        </w:rPr>
        <w:t>improvement of ICTs' contribution to climate and environment action;</w:t>
      </w:r>
    </w:p>
    <w:p w14:paraId="6B6DCD91" w14:textId="3CC448E0"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2</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to encourage ITU efforts, within its mandate, aimed at improvement of ICTs' contribution to climate and environmental action leveraging the ITU’s sustainable development activities;</w:t>
      </w:r>
    </w:p>
    <w:p w14:paraId="6E7421D1" w14:textId="5CD51D76"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3</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to encourage the ICT sector to support the achievement of the Sustainable Development Goals, including through the ITU’s related efforts;</w:t>
      </w:r>
    </w:p>
    <w:p w14:paraId="78424FB9" w14:textId="77777777" w:rsidR="003202FB" w:rsidRPr="00F630BA" w:rsidRDefault="00720F92">
      <w:pPr>
        <w:jc w:val="both"/>
        <w:rPr>
          <w:rFonts w:asciiTheme="minorHAnsi" w:eastAsia="Calibri" w:hAnsiTheme="minorHAnsi" w:cstheme="minorHAnsi"/>
          <w:sz w:val="22"/>
          <w:szCs w:val="22"/>
        </w:rPr>
      </w:pPr>
      <w:r w:rsidRPr="00F630BA">
        <w:rPr>
          <w:rFonts w:asciiTheme="minorHAnsi" w:eastAsia="Calibri" w:hAnsiTheme="minorHAnsi" w:cstheme="minorHAnsi"/>
          <w:sz w:val="22"/>
          <w:szCs w:val="22"/>
        </w:rPr>
        <w:t>4</w:t>
      </w:r>
      <w:r w:rsidRPr="00F630BA">
        <w:rPr>
          <w:rFonts w:asciiTheme="minorHAnsi" w:eastAsia="Calibri" w:hAnsiTheme="minorHAnsi" w:cstheme="minorHAnsi"/>
          <w:sz w:val="22"/>
          <w:szCs w:val="22"/>
        </w:rPr>
        <w:tab/>
        <w:t>to support work towards identifying ICT sustainability best practices including assessing their environmental contribution;</w:t>
      </w:r>
    </w:p>
    <w:p w14:paraId="22F975B4" w14:textId="132C3F4B"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5</w:t>
      </w:r>
      <w:r w:rsidRPr="00F630BA">
        <w:rPr>
          <w:rFonts w:asciiTheme="minorHAnsi" w:eastAsia="Calibri" w:hAnsiTheme="minorHAnsi" w:cstheme="minorHAnsi"/>
          <w:i/>
          <w:iCs/>
          <w:sz w:val="22"/>
          <w:szCs w:val="22"/>
        </w:rPr>
        <w:tab/>
      </w:r>
      <w:r w:rsidRPr="00F630BA">
        <w:rPr>
          <w:rFonts w:asciiTheme="minorHAnsi" w:eastAsia="Calibri" w:hAnsiTheme="minorHAnsi" w:cstheme="minorHAnsi"/>
          <w:sz w:val="22"/>
          <w:szCs w:val="22"/>
        </w:rPr>
        <w:t>to encourage the ITU to continue supporting in particular developing countries in capacity-building for sustainable and climate-resilient development of the ICT sector</w:t>
      </w:r>
      <w:r w:rsidR="0030580E">
        <w:rPr>
          <w:rFonts w:asciiTheme="minorHAnsi" w:eastAsia="Calibri" w:hAnsiTheme="minorHAnsi" w:cstheme="minorHAnsi"/>
          <w:sz w:val="22"/>
          <w:szCs w:val="22"/>
        </w:rPr>
        <w:t>,</w:t>
      </w:r>
    </w:p>
    <w:p w14:paraId="572539DB" w14:textId="77777777" w:rsidR="003202FB" w:rsidRPr="00F630BA" w:rsidRDefault="00720F92">
      <w:pPr>
        <w:pStyle w:val="Call"/>
        <w:rPr>
          <w:rFonts w:asciiTheme="minorHAnsi" w:hAnsiTheme="minorHAnsi" w:cstheme="minorHAnsi"/>
          <w:sz w:val="22"/>
          <w:szCs w:val="22"/>
        </w:rPr>
      </w:pPr>
      <w:r w:rsidRPr="00F630BA">
        <w:rPr>
          <w:rFonts w:asciiTheme="minorHAnsi" w:eastAsia="Calibri" w:hAnsiTheme="minorHAnsi" w:cstheme="minorHAnsi"/>
          <w:sz w:val="22"/>
          <w:szCs w:val="22"/>
        </w:rPr>
        <w:t>instructs the Secretary-General, in collaboration with the Directors of the three Bureaux,</w:t>
      </w:r>
    </w:p>
    <w:p w14:paraId="4A295AA1"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1</w:t>
      </w:r>
      <w:r w:rsidRPr="00F630BA">
        <w:rPr>
          <w:rFonts w:asciiTheme="minorHAnsi" w:eastAsia="Calibri" w:hAnsiTheme="minorHAnsi" w:cstheme="minorHAnsi"/>
          <w:sz w:val="22"/>
          <w:szCs w:val="22"/>
        </w:rPr>
        <w:tab/>
        <w:t>to raise ambition for ITU efforts, within its mandate, in matters related to this resolution, bringing together key stakeholders to scale ITU activities and solutions;</w:t>
      </w:r>
    </w:p>
    <w:p w14:paraId="2F86A4B0" w14:textId="76D81CDE"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2</w:t>
      </w:r>
      <w:r w:rsidRPr="00F630BA">
        <w:rPr>
          <w:rFonts w:asciiTheme="minorHAnsi" w:eastAsia="Calibri" w:hAnsiTheme="minorHAnsi" w:cstheme="minorHAnsi"/>
          <w:sz w:val="22"/>
          <w:szCs w:val="22"/>
        </w:rPr>
        <w:tab/>
        <w:t>to enhance collaboration with other United Nations entities and relevant stakeholders in this regard;</w:t>
      </w:r>
    </w:p>
    <w:p w14:paraId="5B68B161" w14:textId="5BD86B28"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3</w:t>
      </w:r>
      <w:r w:rsidRPr="00F630BA">
        <w:rPr>
          <w:rFonts w:asciiTheme="minorHAnsi" w:eastAsia="Calibri" w:hAnsiTheme="minorHAnsi" w:cstheme="minorHAnsi"/>
          <w:sz w:val="22"/>
          <w:szCs w:val="22"/>
        </w:rPr>
        <w:tab/>
        <w:t>to promote the adoption of new and emerging ICTs across economic sectors to enhance their environmental sustainability;</w:t>
      </w:r>
    </w:p>
    <w:p w14:paraId="5A69ADFA" w14:textId="512C7D69" w:rsidR="003202FB" w:rsidRPr="00F630BA" w:rsidRDefault="00720F92">
      <w:pPr>
        <w:jc w:val="both"/>
        <w:rPr>
          <w:rFonts w:asciiTheme="minorHAnsi" w:eastAsia="Calibri" w:hAnsiTheme="minorHAnsi" w:cstheme="minorHAnsi"/>
          <w:sz w:val="22"/>
          <w:szCs w:val="22"/>
        </w:rPr>
      </w:pPr>
      <w:r w:rsidRPr="00F630BA">
        <w:rPr>
          <w:rFonts w:asciiTheme="minorHAnsi" w:eastAsia="Calibri" w:hAnsiTheme="minorHAnsi" w:cstheme="minorHAnsi"/>
          <w:sz w:val="22"/>
          <w:szCs w:val="22"/>
        </w:rPr>
        <w:t>4</w:t>
      </w:r>
      <w:r w:rsidRPr="00F630BA">
        <w:rPr>
          <w:rFonts w:asciiTheme="minorHAnsi" w:eastAsia="Calibri" w:hAnsiTheme="minorHAnsi" w:cstheme="minorHAnsi"/>
          <w:sz w:val="22"/>
          <w:szCs w:val="22"/>
        </w:rPr>
        <w:tab/>
        <w:t>to further study the contribution of ICTs on climate change and environmental sustainability;</w:t>
      </w:r>
    </w:p>
    <w:p w14:paraId="23444490"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5</w:t>
      </w:r>
      <w:r w:rsidRPr="00F630BA">
        <w:rPr>
          <w:rFonts w:asciiTheme="minorHAnsi" w:eastAsia="Calibri" w:hAnsiTheme="minorHAnsi" w:cstheme="minorHAnsi"/>
          <w:sz w:val="22"/>
          <w:szCs w:val="22"/>
        </w:rPr>
        <w:tab/>
        <w:t>to undertake necessary actions directed towards the involvement of all ITU Membership in the implementation of this resolution and to support ITU Member States, in particular developing countries, in building capacity in this regard;</w:t>
      </w:r>
    </w:p>
    <w:p w14:paraId="0D06FBA4" w14:textId="790EBFE0" w:rsidR="003202FB" w:rsidRPr="00F630BA" w:rsidRDefault="00720F92">
      <w:pPr>
        <w:rPr>
          <w:rFonts w:asciiTheme="minorHAnsi" w:hAnsiTheme="minorHAnsi" w:cstheme="minorHAnsi"/>
          <w:sz w:val="22"/>
          <w:szCs w:val="22"/>
        </w:rPr>
      </w:pPr>
      <w:r w:rsidRPr="00F630BA">
        <w:rPr>
          <w:rFonts w:asciiTheme="minorHAnsi" w:eastAsia="Calibri" w:hAnsiTheme="minorHAnsi" w:cstheme="minorHAnsi"/>
          <w:sz w:val="22"/>
          <w:szCs w:val="22"/>
        </w:rPr>
        <w:lastRenderedPageBreak/>
        <w:t>6</w:t>
      </w:r>
      <w:r w:rsidRPr="00F630BA">
        <w:rPr>
          <w:rFonts w:asciiTheme="minorHAnsi" w:eastAsia="Calibri" w:hAnsiTheme="minorHAnsi" w:cstheme="minorHAnsi"/>
          <w:sz w:val="22"/>
          <w:szCs w:val="22"/>
        </w:rPr>
        <w:tab/>
        <w:t>to report to Council on the implementation of this resolution</w:t>
      </w:r>
      <w:r w:rsidR="0030580E">
        <w:rPr>
          <w:rFonts w:asciiTheme="minorHAnsi" w:eastAsia="Calibri" w:hAnsiTheme="minorHAnsi" w:cstheme="minorHAnsi"/>
          <w:sz w:val="22"/>
          <w:szCs w:val="22"/>
        </w:rPr>
        <w:t>,</w:t>
      </w:r>
    </w:p>
    <w:p w14:paraId="5FF08650" w14:textId="77777777" w:rsidR="003202FB" w:rsidRPr="00F630BA" w:rsidRDefault="00720F92">
      <w:pPr>
        <w:pStyle w:val="Call"/>
        <w:rPr>
          <w:rFonts w:asciiTheme="minorHAnsi" w:hAnsiTheme="minorHAnsi" w:cstheme="minorHAnsi"/>
          <w:sz w:val="22"/>
          <w:szCs w:val="22"/>
        </w:rPr>
      </w:pPr>
      <w:r w:rsidRPr="00F630BA">
        <w:rPr>
          <w:rFonts w:asciiTheme="minorHAnsi" w:hAnsiTheme="minorHAnsi" w:cstheme="minorHAnsi"/>
          <w:sz w:val="22"/>
          <w:szCs w:val="22"/>
        </w:rPr>
        <w:t>invites Member States, Sector Members, Associates, and Academia</w:t>
      </w:r>
    </w:p>
    <w:p w14:paraId="295D8CB2" w14:textId="77777777" w:rsidR="003202FB" w:rsidRPr="00F630BA" w:rsidRDefault="00720F92">
      <w:pPr>
        <w:rPr>
          <w:rFonts w:asciiTheme="minorHAnsi" w:hAnsiTheme="minorHAnsi" w:cstheme="minorHAnsi"/>
          <w:sz w:val="22"/>
          <w:szCs w:val="22"/>
        </w:rPr>
      </w:pPr>
      <w:r w:rsidRPr="00F630BA">
        <w:rPr>
          <w:rFonts w:asciiTheme="minorHAnsi" w:eastAsia="Calibri" w:hAnsiTheme="minorHAnsi" w:cstheme="minorHAnsi"/>
          <w:sz w:val="22"/>
          <w:szCs w:val="22"/>
        </w:rPr>
        <w:t>1</w:t>
      </w:r>
      <w:r w:rsidRPr="00F630BA">
        <w:rPr>
          <w:rFonts w:asciiTheme="minorHAnsi" w:eastAsia="Calibri" w:hAnsiTheme="minorHAnsi" w:cstheme="minorHAnsi"/>
          <w:sz w:val="22"/>
          <w:szCs w:val="22"/>
        </w:rPr>
        <w:tab/>
        <w:t>to promote the adoption of environmentally sustainable new and emerging telecommunications/ICTs across economic sectors;</w:t>
      </w:r>
    </w:p>
    <w:p w14:paraId="04EB5625" w14:textId="77777777" w:rsidR="003202FB" w:rsidRPr="00F630BA" w:rsidRDefault="00720F92">
      <w:pPr>
        <w:rPr>
          <w:rFonts w:asciiTheme="minorHAnsi" w:eastAsia="Calibri" w:hAnsiTheme="minorHAnsi" w:cstheme="minorHAnsi"/>
          <w:sz w:val="22"/>
          <w:szCs w:val="22"/>
        </w:rPr>
      </w:pPr>
      <w:bookmarkStart w:id="8" w:name="_gjdgxs" w:colFirst="0" w:colLast="0"/>
      <w:bookmarkEnd w:id="8"/>
      <w:r w:rsidRPr="00F630BA">
        <w:rPr>
          <w:rFonts w:asciiTheme="minorHAnsi" w:eastAsia="Calibri" w:hAnsiTheme="minorHAnsi" w:cstheme="minorHAnsi"/>
          <w:sz w:val="22"/>
          <w:szCs w:val="22"/>
        </w:rPr>
        <w:t>2</w:t>
      </w:r>
      <w:r w:rsidRPr="00F630BA">
        <w:rPr>
          <w:rFonts w:asciiTheme="minorHAnsi" w:eastAsia="Calibri" w:hAnsiTheme="minorHAnsi" w:cstheme="minorHAnsi"/>
          <w:sz w:val="22"/>
          <w:szCs w:val="22"/>
        </w:rPr>
        <w:tab/>
        <w:t>to acknowledge the importance for sharing studies and best practices, on voluntary basis, on mitigating ICT sector emissions, as well as use ICTs to reduce emissions, to align with national climate and environmental targets;</w:t>
      </w:r>
    </w:p>
    <w:p w14:paraId="535475DF"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3</w:t>
      </w:r>
      <w:r w:rsidRPr="00F630BA">
        <w:rPr>
          <w:rFonts w:asciiTheme="minorHAnsi" w:eastAsia="Calibri" w:hAnsiTheme="minorHAnsi" w:cstheme="minorHAnsi"/>
          <w:sz w:val="22"/>
          <w:szCs w:val="22"/>
        </w:rPr>
        <w:tab/>
        <w:t>to contribute to the studies on facilitating ICT’s contribution to sustainability and climate action;</w:t>
      </w:r>
    </w:p>
    <w:p w14:paraId="6A3AE133" w14:textId="77777777"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4</w:t>
      </w:r>
      <w:r w:rsidRPr="00F630BA">
        <w:rPr>
          <w:rFonts w:asciiTheme="minorHAnsi" w:eastAsia="Calibri" w:hAnsiTheme="minorHAnsi" w:cstheme="minorHAnsi"/>
          <w:sz w:val="22"/>
          <w:szCs w:val="22"/>
        </w:rPr>
        <w:tab/>
        <w:t>to recognize the need for the support for increased innovation capabilities for environmentally sustainable and climate-resilient development of the ICT sector, in particular in developing countries;</w:t>
      </w:r>
      <w:bookmarkStart w:id="9" w:name="_30j0zll" w:colFirst="0" w:colLast="0"/>
      <w:bookmarkEnd w:id="9"/>
    </w:p>
    <w:p w14:paraId="6FDE3EA9" w14:textId="2C3160DA" w:rsidR="003202FB" w:rsidRPr="00F630BA"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5</w:t>
      </w:r>
      <w:r w:rsidRPr="00F630BA">
        <w:rPr>
          <w:rFonts w:asciiTheme="minorHAnsi" w:eastAsia="Calibri" w:hAnsiTheme="minorHAnsi" w:cstheme="minorHAnsi"/>
          <w:sz w:val="22"/>
          <w:szCs w:val="22"/>
        </w:rPr>
        <w:tab/>
        <w:t>to consider supporting and participating actively in the Bureaus activities on sustainable development and the intersectoral related efforts, such as Green Digital Action initiative;</w:t>
      </w:r>
    </w:p>
    <w:p w14:paraId="3C16D121" w14:textId="7DE97644" w:rsidR="003202FB" w:rsidRDefault="00720F92">
      <w:pPr>
        <w:rPr>
          <w:rFonts w:asciiTheme="minorHAnsi" w:eastAsia="Calibri" w:hAnsiTheme="minorHAnsi" w:cstheme="minorHAnsi"/>
          <w:sz w:val="22"/>
          <w:szCs w:val="22"/>
        </w:rPr>
      </w:pPr>
      <w:r w:rsidRPr="00F630BA">
        <w:rPr>
          <w:rFonts w:asciiTheme="minorHAnsi" w:eastAsia="Calibri" w:hAnsiTheme="minorHAnsi" w:cstheme="minorHAnsi"/>
          <w:sz w:val="22"/>
          <w:szCs w:val="22"/>
        </w:rPr>
        <w:t>6</w:t>
      </w:r>
      <w:r w:rsidRPr="00F630BA">
        <w:rPr>
          <w:rFonts w:asciiTheme="minorHAnsi" w:eastAsia="Calibri" w:hAnsiTheme="minorHAnsi" w:cstheme="minorHAnsi"/>
          <w:sz w:val="22"/>
          <w:szCs w:val="22"/>
        </w:rPr>
        <w:tab/>
        <w:t>to consider ITU recommendations to tackle sustainability challenges such as climate-change adaptation and mitigation, enabling the carbon neutrality as well as e-waste and to promote smart sustainable cities and communities.</w:t>
      </w:r>
    </w:p>
    <w:p w14:paraId="69A4E8AB" w14:textId="77777777" w:rsidR="00A57AC4" w:rsidRPr="006118F0" w:rsidRDefault="00A57AC4" w:rsidP="0032202E">
      <w:pPr>
        <w:pStyle w:val="Reasons"/>
        <w:rPr>
          <w:rFonts w:asciiTheme="minorHAnsi" w:hAnsiTheme="minorHAnsi" w:cstheme="minorHAnsi"/>
          <w:lang w:val="en-GB"/>
        </w:rPr>
      </w:pPr>
    </w:p>
    <w:p w14:paraId="09825FE1" w14:textId="47248F21" w:rsidR="00A57AC4" w:rsidRPr="00F630BA" w:rsidRDefault="00A57AC4" w:rsidP="00A57AC4">
      <w:pPr>
        <w:jc w:val="center"/>
      </w:pPr>
      <w:r w:rsidRPr="00F630BA">
        <w:t>______________</w:t>
      </w:r>
    </w:p>
    <w:sectPr w:rsidR="00A57AC4" w:rsidRPr="00F630BA">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B4C8C" w14:textId="77777777" w:rsidR="003202FB" w:rsidRDefault="00720F92">
      <w:r>
        <w:separator/>
      </w:r>
    </w:p>
  </w:endnote>
  <w:endnote w:type="continuationSeparator" w:id="0">
    <w:p w14:paraId="0251A058" w14:textId="77777777" w:rsidR="003202FB" w:rsidRDefault="0072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02FB" w14:paraId="6154B16F" w14:textId="77777777">
      <w:trPr>
        <w:jc w:val="center"/>
      </w:trPr>
      <w:tc>
        <w:tcPr>
          <w:tcW w:w="1803" w:type="dxa"/>
          <w:vAlign w:val="center"/>
        </w:tcPr>
        <w:p w14:paraId="3E7414DA" w14:textId="13C76B7E" w:rsidR="003202FB" w:rsidRDefault="002A3563">
          <w:pPr>
            <w:pStyle w:val="Header"/>
            <w:jc w:val="left"/>
            <w:rPr>
              <w:noProof/>
            </w:rPr>
          </w:pPr>
          <w:r w:rsidRPr="002A3563">
            <w:rPr>
              <w:noProof/>
            </w:rPr>
            <w:t>R2401115</w:t>
          </w:r>
        </w:p>
      </w:tc>
      <w:tc>
        <w:tcPr>
          <w:tcW w:w="8261" w:type="dxa"/>
        </w:tcPr>
        <w:p w14:paraId="0650B5A2" w14:textId="159ABC09" w:rsidR="003202FB" w:rsidRDefault="00720F92" w:rsidP="00F630BA">
          <w:pPr>
            <w:pStyle w:val="Header"/>
            <w:tabs>
              <w:tab w:val="left" w:pos="6881"/>
              <w:tab w:val="right" w:pos="8505"/>
              <w:tab w:val="right" w:pos="9639"/>
            </w:tabs>
            <w:jc w:val="left"/>
            <w:rPr>
              <w:rFonts w:ascii="Arial" w:hAnsi="Arial" w:cs="Arial"/>
              <w:b/>
              <w:bCs/>
              <w:szCs w:val="18"/>
            </w:rPr>
          </w:pPr>
          <w:r>
            <w:rPr>
              <w:bCs/>
            </w:rPr>
            <w:tab/>
            <w:t>C24/</w:t>
          </w:r>
          <w:r w:rsidR="00C64EAE">
            <w:rPr>
              <w:bCs/>
            </w:rPr>
            <w:t>142</w:t>
          </w:r>
          <w:r>
            <w:rPr>
              <w:bCs/>
            </w:rPr>
            <w:t>-E</w:t>
          </w:r>
          <w:r>
            <w:rPr>
              <w:bCs/>
            </w:rPr>
            <w:tab/>
          </w:r>
          <w:r>
            <w:fldChar w:fldCharType="begin"/>
          </w:r>
          <w:r>
            <w:instrText>PAGE</w:instrText>
          </w:r>
          <w:r>
            <w:fldChar w:fldCharType="separate"/>
          </w:r>
          <w:r>
            <w:rPr>
              <w:noProof/>
            </w:rPr>
            <w:t>6</w:t>
          </w:r>
          <w:r>
            <w:rPr>
              <w:noProof/>
            </w:rPr>
            <w:fldChar w:fldCharType="end"/>
          </w:r>
        </w:p>
      </w:tc>
    </w:tr>
  </w:tbl>
  <w:p w14:paraId="0927E843" w14:textId="77777777" w:rsidR="003202FB" w:rsidRDefault="003202FB">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02FB" w14:paraId="6FF8F716" w14:textId="77777777">
      <w:trPr>
        <w:jc w:val="center"/>
      </w:trPr>
      <w:tc>
        <w:tcPr>
          <w:tcW w:w="1803" w:type="dxa"/>
          <w:vAlign w:val="center"/>
        </w:tcPr>
        <w:p w14:paraId="459AF77B" w14:textId="77777777" w:rsidR="003202FB" w:rsidRDefault="004B2CA1">
          <w:pPr>
            <w:pStyle w:val="Header"/>
            <w:jc w:val="left"/>
            <w:rPr>
              <w:noProof/>
            </w:rPr>
          </w:pPr>
          <w:hyperlink r:id="rId1" w:history="1">
            <w:r w:rsidR="00720F92">
              <w:rPr>
                <w:rStyle w:val="Hyperlink"/>
                <w:szCs w:val="14"/>
                <w:u w:val="none"/>
              </w:rPr>
              <w:t>www.itu.int/council</w:t>
            </w:r>
          </w:hyperlink>
        </w:p>
      </w:tc>
      <w:tc>
        <w:tcPr>
          <w:tcW w:w="8261" w:type="dxa"/>
        </w:tcPr>
        <w:p w14:paraId="6514F49C" w14:textId="022FE01A" w:rsidR="003202FB" w:rsidRDefault="00720F92" w:rsidP="00F630BA">
          <w:pPr>
            <w:pStyle w:val="Header"/>
            <w:tabs>
              <w:tab w:val="left" w:pos="6881"/>
              <w:tab w:val="right" w:pos="8505"/>
              <w:tab w:val="right" w:pos="9639"/>
            </w:tabs>
            <w:jc w:val="left"/>
            <w:rPr>
              <w:rFonts w:ascii="Arial" w:hAnsi="Arial" w:cs="Arial"/>
              <w:b/>
              <w:bCs/>
              <w:szCs w:val="18"/>
            </w:rPr>
          </w:pPr>
          <w:r>
            <w:rPr>
              <w:bCs/>
            </w:rPr>
            <w:tab/>
            <w:t>C24/</w:t>
          </w:r>
          <w:r w:rsidR="00C64EAE">
            <w:rPr>
              <w:bCs/>
            </w:rPr>
            <w:t>142</w:t>
          </w:r>
          <w:r>
            <w:rPr>
              <w:bCs/>
            </w:rPr>
            <w:t>-E</w:t>
          </w:r>
          <w:r>
            <w:rPr>
              <w:bCs/>
            </w:rPr>
            <w:tab/>
          </w:r>
          <w:r>
            <w:fldChar w:fldCharType="begin"/>
          </w:r>
          <w:r>
            <w:instrText>PAGE</w:instrText>
          </w:r>
          <w:r>
            <w:fldChar w:fldCharType="separate"/>
          </w:r>
          <w:r>
            <w:rPr>
              <w:noProof/>
            </w:rPr>
            <w:t>1</w:t>
          </w:r>
          <w:r>
            <w:rPr>
              <w:noProof/>
            </w:rPr>
            <w:fldChar w:fldCharType="end"/>
          </w:r>
        </w:p>
      </w:tc>
    </w:tr>
  </w:tbl>
  <w:p w14:paraId="3D2BEED8" w14:textId="77777777" w:rsidR="003202FB" w:rsidRDefault="003202FB">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35D1A" w14:textId="77777777" w:rsidR="003202FB" w:rsidRDefault="00720F92">
      <w:r>
        <w:t>____________________</w:t>
      </w:r>
    </w:p>
  </w:footnote>
  <w:footnote w:type="continuationSeparator" w:id="0">
    <w:p w14:paraId="51C21351" w14:textId="77777777" w:rsidR="003202FB" w:rsidRDefault="0072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3202FB" w14:paraId="659D4D72" w14:textId="77777777">
      <w:trPr>
        <w:trHeight w:val="1104"/>
        <w:jc w:val="center"/>
      </w:trPr>
      <w:tc>
        <w:tcPr>
          <w:tcW w:w="4390" w:type="dxa"/>
          <w:vAlign w:val="center"/>
        </w:tcPr>
        <w:p w14:paraId="1211297B" w14:textId="77777777" w:rsidR="003202FB" w:rsidRDefault="00720F92">
          <w:pPr>
            <w:pStyle w:val="Header"/>
            <w:jc w:val="left"/>
            <w:rPr>
              <w:rFonts w:ascii="Arial" w:hAnsi="Arial" w:cs="Arial"/>
              <w:b/>
              <w:bCs/>
              <w:color w:val="009CD6"/>
              <w:sz w:val="36"/>
              <w:szCs w:val="36"/>
            </w:rPr>
          </w:pPr>
          <w:bookmarkStart w:id="10" w:name="_Hlk133422111"/>
          <w:r>
            <w:rPr>
              <w:noProof/>
              <w:lang w:val="en-US"/>
            </w:rPr>
            <w:drawing>
              <wp:inline distT="0" distB="0" distL="0" distR="0" wp14:anchorId="60897175" wp14:editId="13D28201">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3770FD92" w14:textId="77777777" w:rsidR="003202FB" w:rsidRDefault="003202FB">
          <w:pPr>
            <w:pStyle w:val="Header"/>
            <w:jc w:val="right"/>
            <w:rPr>
              <w:rFonts w:ascii="Arial" w:hAnsi="Arial" w:cs="Arial"/>
              <w:b/>
              <w:bCs/>
              <w:color w:val="009CD6"/>
              <w:szCs w:val="18"/>
            </w:rPr>
          </w:pPr>
        </w:p>
        <w:p w14:paraId="04BC9220" w14:textId="77777777" w:rsidR="003202FB" w:rsidRDefault="003202FB">
          <w:pPr>
            <w:pStyle w:val="Header"/>
            <w:jc w:val="right"/>
            <w:rPr>
              <w:rFonts w:ascii="Arial" w:hAnsi="Arial" w:cs="Arial"/>
              <w:b/>
              <w:bCs/>
              <w:color w:val="009CD6"/>
              <w:szCs w:val="18"/>
            </w:rPr>
          </w:pPr>
        </w:p>
        <w:p w14:paraId="513E7F0F" w14:textId="77777777" w:rsidR="003202FB" w:rsidRDefault="00720F92">
          <w:pPr>
            <w:pStyle w:val="Header"/>
            <w:jc w:val="right"/>
            <w:rPr>
              <w:rFonts w:ascii="Arial" w:hAnsi="Arial" w:cs="Arial"/>
              <w:color w:val="009CD6"/>
              <w:szCs w:val="18"/>
            </w:rPr>
          </w:pPr>
          <w:r>
            <w:rPr>
              <w:rFonts w:ascii="Arial" w:hAnsi="Arial" w:cs="Arial"/>
              <w:b/>
              <w:bCs/>
              <w:color w:val="009CD6"/>
              <w:szCs w:val="18"/>
            </w:rPr>
            <w:t xml:space="preserve"> </w:t>
          </w:r>
        </w:p>
      </w:tc>
    </w:tr>
  </w:tbl>
  <w:bookmarkEnd w:id="10"/>
  <w:p w14:paraId="5EB0F6F0" w14:textId="77777777" w:rsidR="003202FB" w:rsidRDefault="00720F92">
    <w:pPr>
      <w:pStyle w:val="Header"/>
    </w:pPr>
    <w:r>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0DD21471" wp14:editId="4F66EFBE">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B7D3"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646E2"/>
    <w:multiLevelType w:val="multilevel"/>
    <w:tmpl w:val="2C1C9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61489"/>
    <w:multiLevelType w:val="multilevel"/>
    <w:tmpl w:val="DD408E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2340D"/>
    <w:multiLevelType w:val="multilevel"/>
    <w:tmpl w:val="226E54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5446E8"/>
    <w:multiLevelType w:val="multilevel"/>
    <w:tmpl w:val="F7841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BE7BCC"/>
    <w:multiLevelType w:val="multilevel"/>
    <w:tmpl w:val="35542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24AAC"/>
    <w:multiLevelType w:val="multilevel"/>
    <w:tmpl w:val="E79498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9F445B"/>
    <w:multiLevelType w:val="hybridMultilevel"/>
    <w:tmpl w:val="6150B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75608D"/>
    <w:multiLevelType w:val="hybridMultilevel"/>
    <w:tmpl w:val="62082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80E6E"/>
    <w:multiLevelType w:val="hybridMultilevel"/>
    <w:tmpl w:val="736EE2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06CFE"/>
    <w:multiLevelType w:val="multilevel"/>
    <w:tmpl w:val="5268E0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C611C"/>
    <w:multiLevelType w:val="hybridMultilevel"/>
    <w:tmpl w:val="C6ECEC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834D3C"/>
    <w:multiLevelType w:val="hybridMultilevel"/>
    <w:tmpl w:val="54EC53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5E1029"/>
    <w:multiLevelType w:val="hybridMultilevel"/>
    <w:tmpl w:val="E804A9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3784D"/>
    <w:multiLevelType w:val="hybridMultilevel"/>
    <w:tmpl w:val="0EEE31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BA0823"/>
    <w:multiLevelType w:val="hybridMultilevel"/>
    <w:tmpl w:val="FCB66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A06A32"/>
    <w:multiLevelType w:val="hybridMultilevel"/>
    <w:tmpl w:val="A18862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5A4679"/>
    <w:multiLevelType w:val="hybridMultilevel"/>
    <w:tmpl w:val="EBC21480"/>
    <w:lvl w:ilvl="0" w:tplc="1C3EBD4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824476">
    <w:abstractNumId w:val="0"/>
  </w:num>
  <w:num w:numId="2" w16cid:durableId="1609309255">
    <w:abstractNumId w:val="4"/>
  </w:num>
  <w:num w:numId="3" w16cid:durableId="1083256492">
    <w:abstractNumId w:val="2"/>
  </w:num>
  <w:num w:numId="4" w16cid:durableId="2124811581">
    <w:abstractNumId w:val="1"/>
  </w:num>
  <w:num w:numId="5" w16cid:durableId="1672559739">
    <w:abstractNumId w:val="10"/>
  </w:num>
  <w:num w:numId="6" w16cid:durableId="1715931443">
    <w:abstractNumId w:val="6"/>
  </w:num>
  <w:num w:numId="7" w16cid:durableId="151915566">
    <w:abstractNumId w:val="5"/>
  </w:num>
  <w:num w:numId="8" w16cid:durableId="1189106298">
    <w:abstractNumId w:val="3"/>
  </w:num>
  <w:num w:numId="9" w16cid:durableId="1256131143">
    <w:abstractNumId w:val="14"/>
  </w:num>
  <w:num w:numId="10" w16cid:durableId="208806064">
    <w:abstractNumId w:val="13"/>
  </w:num>
  <w:num w:numId="11" w16cid:durableId="454257682">
    <w:abstractNumId w:val="11"/>
  </w:num>
  <w:num w:numId="12" w16cid:durableId="1919752797">
    <w:abstractNumId w:val="16"/>
  </w:num>
  <w:num w:numId="13" w16cid:durableId="1060439644">
    <w:abstractNumId w:val="17"/>
  </w:num>
  <w:num w:numId="14" w16cid:durableId="35399981">
    <w:abstractNumId w:val="7"/>
  </w:num>
  <w:num w:numId="15" w16cid:durableId="379210569">
    <w:abstractNumId w:val="8"/>
  </w:num>
  <w:num w:numId="16" w16cid:durableId="919867592">
    <w:abstractNumId w:val="15"/>
  </w:num>
  <w:num w:numId="17" w16cid:durableId="741950438">
    <w:abstractNumId w:val="12"/>
  </w:num>
  <w:num w:numId="18" w16cid:durableId="2005626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FB"/>
    <w:rsid w:val="000A0327"/>
    <w:rsid w:val="001133C1"/>
    <w:rsid w:val="00233EE4"/>
    <w:rsid w:val="002A3563"/>
    <w:rsid w:val="0030580E"/>
    <w:rsid w:val="003202FB"/>
    <w:rsid w:val="004522FE"/>
    <w:rsid w:val="004B2CA1"/>
    <w:rsid w:val="00562209"/>
    <w:rsid w:val="00572CAB"/>
    <w:rsid w:val="00584814"/>
    <w:rsid w:val="006118F0"/>
    <w:rsid w:val="006B4246"/>
    <w:rsid w:val="00707B49"/>
    <w:rsid w:val="00720F92"/>
    <w:rsid w:val="009D4C75"/>
    <w:rsid w:val="009F5210"/>
    <w:rsid w:val="00A20DB0"/>
    <w:rsid w:val="00A57AC4"/>
    <w:rsid w:val="00B053E3"/>
    <w:rsid w:val="00BA537B"/>
    <w:rsid w:val="00C64EAE"/>
    <w:rsid w:val="00C96AB4"/>
    <w:rsid w:val="00F630BA"/>
    <w:rsid w:val="00F86A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5F186C"/>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character" w:customStyle="1" w:styleId="HeaderChar">
    <w:name w:val="Header Char"/>
    <w:basedOn w:val="DefaultParagraphFont"/>
    <w:link w:val="Header"/>
    <w:uiPriority w:val="99"/>
    <w:rPr>
      <w:rFonts w:ascii="Calibri" w:hAnsi="Calibri"/>
      <w:color w:val="7F7F7F" w:themeColor="text1" w:themeTint="80"/>
      <w:sz w:val="18"/>
      <w:lang w:val="en-GB" w:eastAsia="en-US"/>
    </w:r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pPr>
      <w:framePr w:hSpace="180" w:wrap="around" w:vAnchor="page" w:hAnchor="page" w:x="1821" w:y="2317"/>
      <w:spacing w:before="840"/>
    </w:pPr>
    <w:rPr>
      <w:b/>
      <w:sz w:val="32"/>
      <w:szCs w:val="32"/>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rsid w:val="00F630BA"/>
    <w:rPr>
      <w:rFonts w:asciiTheme="minorHAnsi" w:hAnsiTheme="minorHAnsi" w:cstheme="minorHAnsi"/>
    </w:rPr>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styleId="CommentText">
    <w:name w:val="annotation text"/>
    <w:basedOn w:val="Normal"/>
    <w:link w:val="CommentTextChar"/>
    <w:uiPriority w:val="99"/>
    <w:unhideWhenUsed/>
    <w:pPr>
      <w:tabs>
        <w:tab w:val="clear" w:pos="567"/>
        <w:tab w:val="clear" w:pos="1134"/>
        <w:tab w:val="clear" w:pos="1701"/>
        <w:tab w:val="clear" w:pos="2268"/>
        <w:tab w:val="clear" w:pos="2835"/>
      </w:tabs>
      <w:overflowPunct/>
      <w:autoSpaceDE/>
      <w:autoSpaceDN/>
      <w:adjustRightInd/>
      <w:spacing w:before="240" w:after="60"/>
      <w:jc w:val="both"/>
      <w:textAlignment w:val="auto"/>
    </w:pPr>
    <w:rPr>
      <w:rFonts w:ascii="Arial" w:eastAsia="Arial" w:hAnsi="Arial" w:cs="Arial"/>
      <w:sz w:val="20"/>
      <w:lang w:eastAsia="en-GB"/>
    </w:rPr>
  </w:style>
  <w:style w:type="character" w:customStyle="1" w:styleId="CommentTextChar">
    <w:name w:val="Comment Text Char"/>
    <w:basedOn w:val="DefaultParagraphFont"/>
    <w:link w:val="CommentText"/>
    <w:uiPriority w:val="99"/>
    <w:rPr>
      <w:rFonts w:ascii="Arial" w:eastAsia="Arial" w:hAnsi="Arial" w:cs="Arial"/>
      <w:lang w:val="en-GB" w:eastAsia="en-GB"/>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tabs>
        <w:tab w:val="clear" w:pos="567"/>
        <w:tab w:val="clear" w:pos="1134"/>
        <w:tab w:val="clear" w:pos="1701"/>
        <w:tab w:val="clear" w:pos="2268"/>
        <w:tab w:val="clear" w:pos="2835"/>
      </w:tabs>
      <w:overflowPunct/>
      <w:autoSpaceDE/>
      <w:autoSpaceDN/>
      <w:adjustRightInd/>
      <w:spacing w:before="240" w:after="60"/>
      <w:ind w:left="720"/>
      <w:contextualSpacing/>
      <w:jc w:val="both"/>
      <w:textAlignment w:val="auto"/>
    </w:pPr>
    <w:rPr>
      <w:rFonts w:ascii="Arial" w:eastAsia="Arial" w:hAnsi="Arial" w:cs="Arial"/>
      <w:sz w:val="20"/>
      <w:lang w:eastAsia="en-GB"/>
    </w:rPr>
  </w:style>
  <w:style w:type="paragraph" w:customStyle="1" w:styleId="Reasons">
    <w:name w:val="Reasons"/>
    <w:basedOn w:val="Normal"/>
    <w:qFormat/>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Pr>
      <w:rFonts w:ascii="Calibri" w:hAnsi="Calibri"/>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styleId="CommentSubject">
    <w:name w:val="annotation subject"/>
    <w:basedOn w:val="CommentText"/>
    <w:next w:val="CommentText"/>
    <w:link w:val="CommentSubjectChar"/>
    <w:semiHidden/>
    <w:unhideWhenUsed/>
    <w:pPr>
      <w:tabs>
        <w:tab w:val="left" w:pos="567"/>
        <w:tab w:val="left" w:pos="1134"/>
        <w:tab w:val="left" w:pos="1701"/>
        <w:tab w:val="left" w:pos="2268"/>
        <w:tab w:val="left" w:pos="2835"/>
      </w:tabs>
      <w:overflowPunct w:val="0"/>
      <w:autoSpaceDE w:val="0"/>
      <w:autoSpaceDN w:val="0"/>
      <w:adjustRightInd w:val="0"/>
      <w:spacing w:before="120" w:after="0"/>
      <w:jc w:val="left"/>
      <w:textAlignment w:val="baseline"/>
    </w:pPr>
    <w:rPr>
      <w:rFonts w:ascii="Calibri" w:eastAsia="Times New Roman" w:hAnsi="Calibri" w:cs="Times New Roman"/>
      <w:b/>
      <w:bCs/>
      <w:lang w:eastAsia="en-US"/>
    </w:rPr>
  </w:style>
  <w:style w:type="character" w:customStyle="1" w:styleId="CommentSubjectChar">
    <w:name w:val="Comment Subject Char"/>
    <w:basedOn w:val="CommentTextChar"/>
    <w:link w:val="CommentSubject"/>
    <w:semiHidden/>
    <w:rPr>
      <w:rFonts w:ascii="Calibri" w:eastAsia="Arial" w:hAnsi="Calibri" w:cs="Arial"/>
      <w:b/>
      <w:bCs/>
      <w:lang w:val="en-GB" w:eastAsia="en-US"/>
    </w:rPr>
  </w:style>
  <w:style w:type="paragraph" w:styleId="NormalWeb">
    <w:name w:val="Normal (Web)"/>
    <w:basedOn w:val="Normal"/>
    <w:semiHidden/>
    <w:unhideWhenUse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647285">
      <w:bodyDiv w:val="1"/>
      <w:marLeft w:val="0"/>
      <w:marRight w:val="0"/>
      <w:marTop w:val="0"/>
      <w:marBottom w:val="0"/>
      <w:divBdr>
        <w:top w:val="none" w:sz="0" w:space="0" w:color="auto"/>
        <w:left w:val="none" w:sz="0" w:space="0" w:color="auto"/>
        <w:bottom w:val="none" w:sz="0" w:space="0" w:color="auto"/>
        <w:right w:val="none" w:sz="0" w:space="0" w:color="auto"/>
      </w:divBdr>
    </w:div>
    <w:div w:id="1153761787">
      <w:bodyDiv w:val="1"/>
      <w:marLeft w:val="0"/>
      <w:marRight w:val="0"/>
      <w:marTop w:val="0"/>
      <w:marBottom w:val="0"/>
      <w:divBdr>
        <w:top w:val="none" w:sz="0" w:space="0" w:color="auto"/>
        <w:left w:val="none" w:sz="0" w:space="0" w:color="auto"/>
        <w:bottom w:val="none" w:sz="0" w:space="0" w:color="auto"/>
        <w:right w:val="none" w:sz="0" w:space="0" w:color="auto"/>
      </w:divBdr>
    </w:div>
    <w:div w:id="1162431462">
      <w:bodyDiv w:val="1"/>
      <w:marLeft w:val="0"/>
      <w:marRight w:val="0"/>
      <w:marTop w:val="0"/>
      <w:marBottom w:val="0"/>
      <w:divBdr>
        <w:top w:val="none" w:sz="0" w:space="0" w:color="auto"/>
        <w:left w:val="none" w:sz="0" w:space="0" w:color="auto"/>
        <w:bottom w:val="none" w:sz="0" w:space="0" w:color="auto"/>
        <w:right w:val="none" w:sz="0" w:space="0" w:color="auto"/>
      </w:divBdr>
    </w:div>
    <w:div w:id="12237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3690-8416-47B3-AB99-BFDEF0E2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896</Words>
  <Characters>5429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1429 - ITU role in facilitating ICTs’ contribution to sustainability and climate action</vt:lpstr>
      <vt:lpstr>C2024, C24, Council-24</vt:lpstr>
    </vt:vector>
  </TitlesOfParts>
  <Company>International Telecommunication Union (ITU)</Company>
  <LinksUpToDate>false</LinksUpToDate>
  <CharactersWithSpaces>6313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1429 - ITU role in facilitating ICTs’ contribution to sustainability and climate action</dc:title>
  <dc:subject>2024 session of the Council</dc:subject>
  <cp:keywords>Council-24; C24; Council 2024</cp:keywords>
  <dc:description/>
  <cp:lastModifiedBy>Brouard, Ricarda</cp:lastModifiedBy>
  <cp:revision>2</cp:revision>
  <cp:lastPrinted>2000-07-18T13:30:00Z</cp:lastPrinted>
  <dcterms:created xsi:type="dcterms:W3CDTF">2024-06-17T08:13:00Z</dcterms:created>
  <dcterms:modified xsi:type="dcterms:W3CDTF">2024-07-18T13:12:00Z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