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74F2B49E">
        <w:trPr>
          <w:cantSplit/>
          <w:trHeight w:val="23"/>
        </w:trPr>
        <w:tc>
          <w:tcPr>
            <w:tcW w:w="3969" w:type="dxa"/>
            <w:vMerge w:val="restart"/>
            <w:tcMar>
              <w:left w:w="0" w:type="dxa"/>
            </w:tcMar>
          </w:tcPr>
          <w:p w14:paraId="60A806D3" w14:textId="47B8E5E0"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1CB5450" w:rsidR="00AD3606" w:rsidRPr="00F207E4" w:rsidRDefault="00AD3606" w:rsidP="00472BAD">
            <w:pPr>
              <w:tabs>
                <w:tab w:val="left" w:pos="851"/>
              </w:tabs>
              <w:spacing w:before="0" w:line="240" w:lineRule="atLeast"/>
              <w:jc w:val="right"/>
              <w:rPr>
                <w:b/>
              </w:rPr>
            </w:pPr>
            <w:r w:rsidRPr="00F207E4">
              <w:rPr>
                <w:b/>
              </w:rPr>
              <w:t>Document C2</w:t>
            </w:r>
            <w:r w:rsidR="00E23618" w:rsidRPr="00F207E4">
              <w:rPr>
                <w:b/>
              </w:rPr>
              <w:t>4</w:t>
            </w:r>
            <w:r w:rsidRPr="00F207E4">
              <w:rPr>
                <w:b/>
              </w:rPr>
              <w:t>/</w:t>
            </w:r>
            <w:r w:rsidR="00ED01AB" w:rsidRPr="00F207E4">
              <w:rPr>
                <w:b/>
              </w:rPr>
              <w:t>INF/</w:t>
            </w:r>
            <w:r w:rsidR="00F207E4" w:rsidRPr="00F207E4">
              <w:rPr>
                <w:b/>
              </w:rPr>
              <w:t>14</w:t>
            </w:r>
          </w:p>
        </w:tc>
      </w:tr>
      <w:tr w:rsidR="00AD3606" w:rsidRPr="00813E5E" w14:paraId="789B45BA" w14:textId="77777777" w:rsidTr="74F2B49E">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11294FB" w:rsidR="00AD3606" w:rsidRPr="00F207E4" w:rsidRDefault="007A5825" w:rsidP="00AD3606">
            <w:pPr>
              <w:tabs>
                <w:tab w:val="left" w:pos="851"/>
              </w:tabs>
              <w:spacing w:before="0"/>
              <w:jc w:val="right"/>
              <w:rPr>
                <w:b/>
              </w:rPr>
            </w:pPr>
            <w:r>
              <w:rPr>
                <w:b/>
              </w:rPr>
              <w:t>6 May</w:t>
            </w:r>
            <w:r w:rsidR="00AD3606" w:rsidRPr="00F207E4">
              <w:rPr>
                <w:b/>
              </w:rPr>
              <w:t xml:space="preserve"> 202</w:t>
            </w:r>
            <w:r w:rsidR="00E23618" w:rsidRPr="00F207E4">
              <w:rPr>
                <w:b/>
              </w:rPr>
              <w:t>4</w:t>
            </w:r>
          </w:p>
        </w:tc>
      </w:tr>
      <w:tr w:rsidR="00AD3606" w:rsidRPr="00813E5E" w14:paraId="58A84C4A" w14:textId="77777777" w:rsidTr="74F2B49E">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5EA4DC78" w:rsidR="00AD3606" w:rsidRPr="00F207E4" w:rsidRDefault="00AD3606" w:rsidP="00AD3606">
            <w:pPr>
              <w:tabs>
                <w:tab w:val="left" w:pos="851"/>
              </w:tabs>
              <w:spacing w:before="0" w:line="240" w:lineRule="atLeast"/>
              <w:jc w:val="right"/>
              <w:rPr>
                <w:b/>
              </w:rPr>
            </w:pPr>
            <w:r w:rsidRPr="00F207E4">
              <w:rPr>
                <w:b/>
              </w:rPr>
              <w:t>English</w:t>
            </w:r>
            <w:r w:rsidR="00ED01AB" w:rsidRPr="00F207E4">
              <w:rPr>
                <w:b/>
              </w:rPr>
              <w:t xml:space="preserve"> only</w:t>
            </w:r>
          </w:p>
        </w:tc>
      </w:tr>
      <w:tr w:rsidR="00472BAD" w:rsidRPr="00813E5E" w14:paraId="12C5EF5F" w14:textId="77777777" w:rsidTr="74F2B49E">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74F2B49E">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74F2B49E">
        <w:trPr>
          <w:cantSplit/>
        </w:trPr>
        <w:tc>
          <w:tcPr>
            <w:tcW w:w="9214" w:type="dxa"/>
            <w:gridSpan w:val="2"/>
            <w:tcMar>
              <w:left w:w="0" w:type="dxa"/>
            </w:tcMar>
          </w:tcPr>
          <w:p w14:paraId="47B91AA8" w14:textId="5C9A8B95" w:rsidR="00AD3606" w:rsidRPr="006850BE" w:rsidRDefault="007422A0" w:rsidP="006850BE">
            <w:pPr>
              <w:pStyle w:val="Subtitle1"/>
              <w:framePr w:hSpace="0" w:wrap="auto" w:xAlign="left" w:yAlign="inline"/>
            </w:pPr>
            <w:bookmarkStart w:id="9" w:name="dtitle1" w:colFirst="0" w:colLast="0"/>
            <w:bookmarkEnd w:id="8"/>
            <w:r w:rsidRPr="007901F8">
              <w:t>ITU CAPACITY DEVELOPMENT MANUAL</w:t>
            </w:r>
          </w:p>
        </w:tc>
      </w:tr>
      <w:tr w:rsidR="00AD3606" w:rsidRPr="00813E5E" w14:paraId="1F564D2D" w14:textId="77777777" w:rsidTr="74F2B49E">
        <w:trPr>
          <w:cantSplit/>
        </w:trPr>
        <w:tc>
          <w:tcPr>
            <w:tcW w:w="9214" w:type="dxa"/>
            <w:gridSpan w:val="2"/>
            <w:tcBorders>
              <w:top w:val="single" w:sz="4" w:space="0" w:color="auto"/>
              <w:bottom w:val="single" w:sz="4" w:space="0" w:color="auto"/>
            </w:tcBorders>
            <w:tcMar>
              <w:left w:w="0" w:type="dxa"/>
            </w:tcMar>
          </w:tcPr>
          <w:p w14:paraId="7AD73B47" w14:textId="72508B1D" w:rsidR="00AD3606" w:rsidRPr="00F16BAB" w:rsidRDefault="00F16BAB" w:rsidP="00F16BAB">
            <w:pPr>
              <w:spacing w:before="160"/>
              <w:rPr>
                <w:b/>
                <w:bCs/>
                <w:sz w:val="26"/>
                <w:szCs w:val="26"/>
              </w:rPr>
            </w:pPr>
            <w:r w:rsidRPr="00F16BAB">
              <w:rPr>
                <w:b/>
                <w:bCs/>
                <w:sz w:val="26"/>
                <w:szCs w:val="26"/>
              </w:rPr>
              <w:t>Purpose</w:t>
            </w:r>
          </w:p>
          <w:p w14:paraId="68D66FA0" w14:textId="50EA36D3" w:rsidR="007422A0" w:rsidRDefault="007422A0" w:rsidP="00ED2766">
            <w:pPr>
              <w:jc w:val="both"/>
            </w:pPr>
            <w:r>
              <w:t>This document reports on progress made on</w:t>
            </w:r>
            <w:r w:rsidR="07AEE10A">
              <w:t xml:space="preserve"> the harmonization of</w:t>
            </w:r>
            <w:r>
              <w:t xml:space="preserve"> ITU capacity-development and training activities </w:t>
            </w:r>
            <w:r w:rsidR="46A97CD9">
              <w:t>in accordance with the outcomes of the 2022 session of the ITU Council.</w:t>
            </w:r>
          </w:p>
          <w:p w14:paraId="5076D5C4" w14:textId="08D04CE1" w:rsidR="00AD3606" w:rsidRPr="00F16BAB" w:rsidRDefault="70C906BD" w:rsidP="00F16BAB">
            <w:pPr>
              <w:spacing w:before="160"/>
              <w:rPr>
                <w:b/>
                <w:bCs/>
                <w:sz w:val="26"/>
                <w:szCs w:val="26"/>
              </w:rPr>
            </w:pPr>
            <w:r w:rsidRPr="74F2B49E">
              <w:rPr>
                <w:b/>
                <w:bCs/>
                <w:sz w:val="26"/>
                <w:szCs w:val="26"/>
              </w:rPr>
              <w:t>Action required</w:t>
            </w:r>
            <w:r w:rsidR="21FC446F" w:rsidRPr="74F2B49E">
              <w:rPr>
                <w:b/>
                <w:bCs/>
                <w:sz w:val="26"/>
                <w:szCs w:val="26"/>
              </w:rPr>
              <w:t xml:space="preserve"> by the </w:t>
            </w:r>
            <w:proofErr w:type="gramStart"/>
            <w:r w:rsidR="21FC446F" w:rsidRPr="74F2B49E">
              <w:rPr>
                <w:b/>
                <w:bCs/>
                <w:sz w:val="26"/>
                <w:szCs w:val="26"/>
              </w:rPr>
              <w:t>Council</w:t>
            </w:r>
            <w:proofErr w:type="gramEnd"/>
          </w:p>
          <w:p w14:paraId="632C043A" w14:textId="5BA3BE8A" w:rsidR="00F16BAB" w:rsidRPr="00ED01AB" w:rsidRDefault="00ED01AB" w:rsidP="00ED01AB">
            <w:r>
              <w:t xml:space="preserve">This document is transmitted to the Council </w:t>
            </w:r>
            <w:r w:rsidRPr="00ED01AB">
              <w:rPr>
                <w:b/>
                <w:bCs/>
              </w:rPr>
              <w:t>for information</w:t>
            </w:r>
            <w:r>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10DA5319" w:rsidR="00AD3606" w:rsidRDefault="007422A0" w:rsidP="00F16BAB">
            <w:pPr>
              <w:spacing w:after="160"/>
            </w:pPr>
            <w:r w:rsidRPr="007422A0">
              <w:t xml:space="preserve">Council document </w:t>
            </w:r>
            <w:hyperlink r:id="rId11" w:history="1">
              <w:r w:rsidRPr="007422A0">
                <w:rPr>
                  <w:rStyle w:val="Hyperlink"/>
                </w:rPr>
                <w:t>C22/56</w:t>
              </w:r>
            </w:hyperlink>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rsidP="74F2B49E">
      <w:pPr>
        <w:tabs>
          <w:tab w:val="clear" w:pos="567"/>
          <w:tab w:val="clear" w:pos="1134"/>
          <w:tab w:val="clear" w:pos="1701"/>
          <w:tab w:val="clear" w:pos="2268"/>
          <w:tab w:val="clear" w:pos="2835"/>
        </w:tabs>
        <w:overflowPunct/>
        <w:autoSpaceDE/>
        <w:autoSpaceDN/>
        <w:adjustRightInd/>
        <w:spacing w:before="0"/>
        <w:textAlignment w:val="auto"/>
        <w:rPr>
          <w:b/>
          <w:bCs/>
          <w:lang w:val="es-ES"/>
        </w:rPr>
      </w:pPr>
      <w:r w:rsidRPr="74F2B49E">
        <w:rPr>
          <w:lang w:val="es-ES"/>
        </w:rPr>
        <w:br w:type="page"/>
      </w:r>
      <w:bookmarkEnd w:id="5"/>
      <w:bookmarkEnd w:id="10"/>
    </w:p>
    <w:p w14:paraId="7D80EEEA" w14:textId="0A461315" w:rsidR="2176449B" w:rsidRDefault="2176449B" w:rsidP="74F2B49E">
      <w:pPr>
        <w:spacing w:line="259" w:lineRule="auto"/>
        <w:jc w:val="both"/>
      </w:pPr>
      <w:r w:rsidRPr="74F2B49E">
        <w:rPr>
          <w:b/>
          <w:bCs/>
        </w:rPr>
        <w:lastRenderedPageBreak/>
        <w:t>Background</w:t>
      </w:r>
    </w:p>
    <w:p w14:paraId="0FB2817B" w14:textId="051CB1D8" w:rsidR="007422A0" w:rsidRDefault="007422A0" w:rsidP="00ED2766">
      <w:pPr>
        <w:jc w:val="both"/>
      </w:pPr>
      <w:r w:rsidRPr="00457984">
        <w:t>The ITU Council, at its virtual consultation in June 2021, considered the final report on the feasibility study on establishing an ITU training institute</w:t>
      </w:r>
      <w:r>
        <w:t>.</w:t>
      </w:r>
      <w:r w:rsidR="00ED2766">
        <w:t xml:space="preserve"> The</w:t>
      </w:r>
      <w:r>
        <w:t xml:space="preserve"> Council </w:t>
      </w:r>
      <w:r w:rsidRPr="00457984">
        <w:t>concluded that the secretariat would review ITU’s capacity-development activities and develop a proposal on how they could be improved and strengthened, taking into consideration the findings and recommendations of the report</w:t>
      </w:r>
      <w:r>
        <w:t xml:space="preserve">. </w:t>
      </w:r>
    </w:p>
    <w:p w14:paraId="4E1E04EE" w14:textId="4E941929" w:rsidR="007422A0" w:rsidRDefault="007422A0" w:rsidP="00ED2766">
      <w:pPr>
        <w:jc w:val="both"/>
      </w:pPr>
      <w:r w:rsidRPr="001F6D4D">
        <w:t>One of the main recommendations of the feasibility study report was to harmonize ITU capacity development activities across ITU and to develop a common framework for ITU’s activities. The ITU Academy should be further enhanced and strengthened in this regard, to become the main entry point for ITU capacity development and training. This would reduce duplication of efforts, create synergies across the bureaux, as well as leverage on existing resources and training content. It would also facilitate easier access to training opportunities for ITU</w:t>
      </w:r>
      <w:r>
        <w:t>’s</w:t>
      </w:r>
      <w:r w:rsidRPr="001F6D4D">
        <w:t xml:space="preserve"> membership through the ITU Academy platform and improve the quality of the training delivered by applying a harmonized framework and training delivery process.</w:t>
      </w:r>
    </w:p>
    <w:p w14:paraId="70AFEF9B" w14:textId="0AC3DCA2" w:rsidR="007422A0" w:rsidRDefault="007422A0" w:rsidP="00ED2766">
      <w:pPr>
        <w:jc w:val="both"/>
      </w:pPr>
      <w:r w:rsidRPr="001F6D4D">
        <w:t xml:space="preserve">ITU Council, at its session held in 2022, considered </w:t>
      </w:r>
      <w:r>
        <w:t xml:space="preserve">the </w:t>
      </w:r>
      <w:r w:rsidRPr="001F6D4D">
        <w:t xml:space="preserve">proposal presented by the ITU </w:t>
      </w:r>
      <w:r w:rsidR="00C73CE2">
        <w:t>s</w:t>
      </w:r>
      <w:r w:rsidRPr="001F6D4D">
        <w:t xml:space="preserve">ecretariat </w:t>
      </w:r>
      <w:r>
        <w:t>for working towards a harmonized capacity development framework in ITU, through an internal task force</w:t>
      </w:r>
      <w:r w:rsidR="005E34C2">
        <w:t xml:space="preserve"> established at the beginning of 2022</w:t>
      </w:r>
      <w:r>
        <w:t>, including representatives of the three Bureaux and the General Secretariat, with the objective to oversee the harmonization of capacity development in ITU and work towards consolidating ITU’s capacity development and training activities under the ITU Academy umbrella. Council</w:t>
      </w:r>
      <w:r w:rsidR="00C73CE2">
        <w:t>-</w:t>
      </w:r>
      <w:r>
        <w:t xml:space="preserve">22 approved the proposal </w:t>
      </w:r>
      <w:r w:rsidRPr="001F6D4D">
        <w:t>and invited future Councils to review periodically the implementation of ITU training activities.</w:t>
      </w:r>
    </w:p>
    <w:p w14:paraId="288802A6" w14:textId="77777777" w:rsidR="007422A0" w:rsidRPr="00DA162E" w:rsidRDefault="007422A0" w:rsidP="00ED2766">
      <w:pPr>
        <w:spacing w:before="240" w:after="120"/>
        <w:jc w:val="both"/>
        <w:rPr>
          <w:b/>
          <w:bCs/>
        </w:rPr>
      </w:pPr>
      <w:r w:rsidRPr="00DA162E">
        <w:rPr>
          <w:b/>
          <w:bCs/>
        </w:rPr>
        <w:t xml:space="preserve">Updates on </w:t>
      </w:r>
      <w:r>
        <w:rPr>
          <w:b/>
          <w:bCs/>
        </w:rPr>
        <w:t>w</w:t>
      </w:r>
      <w:r w:rsidRPr="00907422">
        <w:rPr>
          <w:b/>
          <w:bCs/>
        </w:rPr>
        <w:t>orking towards a harmonized capacity-development framework in ITU, under the umbrella of the ITU Academy</w:t>
      </w:r>
    </w:p>
    <w:p w14:paraId="04DA5F2B" w14:textId="16F3E548" w:rsidR="007422A0" w:rsidRPr="004D330D" w:rsidRDefault="007422A0" w:rsidP="00ED2766">
      <w:pPr>
        <w:spacing w:after="120"/>
        <w:jc w:val="both"/>
      </w:pPr>
      <w:r>
        <w:t xml:space="preserve">Between March 2023 and March 2024, the </w:t>
      </w:r>
      <w:r w:rsidR="00F0108D">
        <w:t xml:space="preserve">intersectoral </w:t>
      </w:r>
      <w:r w:rsidR="00495461">
        <w:t>T</w:t>
      </w:r>
      <w:r>
        <w:t xml:space="preserve">ask </w:t>
      </w:r>
      <w:r w:rsidR="00495461">
        <w:t>F</w:t>
      </w:r>
      <w:r>
        <w:t xml:space="preserve">orce </w:t>
      </w:r>
      <w:r w:rsidR="00F0108D">
        <w:t xml:space="preserve">on </w:t>
      </w:r>
      <w:r w:rsidR="00495461">
        <w:t>C</w:t>
      </w:r>
      <w:r w:rsidR="00F0108D">
        <w:t>apacity</w:t>
      </w:r>
      <w:r w:rsidR="00495461">
        <w:t xml:space="preserve"> D</w:t>
      </w:r>
      <w:r w:rsidR="00F0108D">
        <w:t xml:space="preserve">evelopment </w:t>
      </w:r>
      <w:r w:rsidR="006078B2">
        <w:t>continue</w:t>
      </w:r>
      <w:r w:rsidR="00495461">
        <w:t>d</w:t>
      </w:r>
      <w:r w:rsidR="006078B2">
        <w:t xml:space="preserve"> its work on </w:t>
      </w:r>
      <w:r>
        <w:t>develop</w:t>
      </w:r>
      <w:r w:rsidR="006078B2">
        <w:t>ing</w:t>
      </w:r>
      <w:r>
        <w:t xml:space="preserve"> guidelines for harmonizing </w:t>
      </w:r>
      <w:r w:rsidR="004D330D">
        <w:t xml:space="preserve">ITU </w:t>
      </w:r>
      <w:r>
        <w:t>processes related to capacity development, including content development, quality assurance, review</w:t>
      </w:r>
      <w:r w:rsidR="00C73CE2">
        <w:t>,</w:t>
      </w:r>
      <w:r>
        <w:t xml:space="preserve"> and upgrade of content, as well as planning and delivery of courses and workshops. These guidelines were consolidated into an </w:t>
      </w:r>
      <w:r w:rsidRPr="026565BA">
        <w:rPr>
          <w:b/>
          <w:bCs/>
        </w:rPr>
        <w:t xml:space="preserve">ITU </w:t>
      </w:r>
      <w:r w:rsidR="00CF03F0" w:rsidRPr="026565BA">
        <w:rPr>
          <w:b/>
          <w:bCs/>
        </w:rPr>
        <w:t xml:space="preserve">Capacity Development </w:t>
      </w:r>
      <w:r w:rsidRPr="026565BA">
        <w:rPr>
          <w:b/>
          <w:bCs/>
        </w:rPr>
        <w:t>Manual</w:t>
      </w:r>
      <w:r w:rsidR="004D330D" w:rsidRPr="026565BA">
        <w:rPr>
          <w:b/>
          <w:bCs/>
        </w:rPr>
        <w:t xml:space="preserve">, </w:t>
      </w:r>
      <w:r w:rsidR="004D330D">
        <w:t xml:space="preserve">which was finalized in </w:t>
      </w:r>
      <w:r w:rsidR="00744CF9">
        <w:t>March 2024</w:t>
      </w:r>
      <w:r>
        <w:t>.</w:t>
      </w:r>
    </w:p>
    <w:p w14:paraId="4881A553" w14:textId="77777777" w:rsidR="007422A0" w:rsidRPr="00E22DB6" w:rsidRDefault="007422A0" w:rsidP="00ED2766">
      <w:pPr>
        <w:jc w:val="both"/>
        <w:rPr>
          <w:u w:val="single"/>
        </w:rPr>
      </w:pPr>
      <w:bookmarkStart w:id="11" w:name="_Toc151036603"/>
      <w:bookmarkStart w:id="12" w:name="_Toc151036833"/>
      <w:bookmarkStart w:id="13" w:name="_Toc152929048"/>
      <w:bookmarkStart w:id="14" w:name="_Toc152929327"/>
      <w:bookmarkStart w:id="15" w:name="_Toc159397917"/>
      <w:r w:rsidRPr="00E22DB6">
        <w:rPr>
          <w:u w:val="single"/>
        </w:rPr>
        <w:t>Objectives</w:t>
      </w:r>
      <w:bookmarkEnd w:id="11"/>
      <w:bookmarkEnd w:id="12"/>
      <w:bookmarkEnd w:id="13"/>
      <w:bookmarkEnd w:id="14"/>
      <w:bookmarkEnd w:id="15"/>
    </w:p>
    <w:p w14:paraId="30B03D8A" w14:textId="5C363AA4" w:rsidR="007422A0" w:rsidRDefault="007422A0" w:rsidP="00ED2766">
      <w:pPr>
        <w:jc w:val="both"/>
      </w:pPr>
      <w:r w:rsidRPr="006A10CB">
        <w:t>The main objective of th</w:t>
      </w:r>
      <w:r w:rsidR="002C0C19">
        <w:t>e</w:t>
      </w:r>
      <w:r w:rsidRPr="006A10CB">
        <w:t xml:space="preserve"> Manual is to </w:t>
      </w:r>
      <w:r w:rsidR="0021799E">
        <w:t>harmonize</w:t>
      </w:r>
      <w:r w:rsidR="003F4C40">
        <w:t xml:space="preserve"> ITU’s</w:t>
      </w:r>
      <w:r w:rsidR="0021799E">
        <w:t xml:space="preserve"> capacity development </w:t>
      </w:r>
      <w:r w:rsidR="003F4C40">
        <w:t xml:space="preserve">and training </w:t>
      </w:r>
      <w:r w:rsidR="0021799E">
        <w:t xml:space="preserve">activities </w:t>
      </w:r>
      <w:r w:rsidR="003F4C40">
        <w:t>and bring them under the umbrella of the ITU Academy</w:t>
      </w:r>
      <w:r w:rsidRPr="006A10CB">
        <w:t xml:space="preserve">. By offering guidance on how to organize and deliver ITU training activities for the ITU membership, </w:t>
      </w:r>
      <w:r w:rsidR="00AD3FB5">
        <w:t xml:space="preserve">the Manual </w:t>
      </w:r>
      <w:r w:rsidRPr="006A10CB">
        <w:t>will also contribute towards reducing duplication, leveraging existing training material and expertise across the bureaux, creating synergies</w:t>
      </w:r>
      <w:r w:rsidR="0069097F">
        <w:t>,</w:t>
      </w:r>
      <w:r w:rsidRPr="006A10CB">
        <w:t xml:space="preserve"> and improving training delivery. All of this will result in an increase in the quality of ITU’s capacity development activities and higher impact resulting from the training offered to the ITU </w:t>
      </w:r>
      <w:r w:rsidR="0069097F">
        <w:t>m</w:t>
      </w:r>
      <w:r w:rsidRPr="006A10CB">
        <w:t xml:space="preserve">embership. </w:t>
      </w:r>
    </w:p>
    <w:p w14:paraId="7435AF8C" w14:textId="77777777" w:rsidR="007422A0" w:rsidRPr="00E22DB6" w:rsidRDefault="007422A0" w:rsidP="00ED2766">
      <w:pPr>
        <w:jc w:val="both"/>
        <w:rPr>
          <w:u w:val="single"/>
        </w:rPr>
      </w:pPr>
      <w:r w:rsidRPr="00E22DB6">
        <w:rPr>
          <w:u w:val="single"/>
        </w:rPr>
        <w:t>Process</w:t>
      </w:r>
    </w:p>
    <w:p w14:paraId="4A9C7496" w14:textId="77777777" w:rsidR="007422A0" w:rsidRPr="00987CA4" w:rsidRDefault="007422A0" w:rsidP="00ED2766">
      <w:pPr>
        <w:jc w:val="both"/>
      </w:pPr>
      <w:bookmarkStart w:id="16" w:name="_Toc151036604"/>
      <w:bookmarkStart w:id="17" w:name="_Toc151036834"/>
      <w:bookmarkStart w:id="18" w:name="_Toc152929049"/>
      <w:bookmarkStart w:id="19" w:name="_Toc152929328"/>
      <w:bookmarkStart w:id="20" w:name="_Toc159397918"/>
      <w:r w:rsidRPr="00987CA4">
        <w:t>The development of the Manual was an outcome of a thorough and methodical approach, which included:</w:t>
      </w:r>
    </w:p>
    <w:p w14:paraId="6F317987" w14:textId="7C1356B3" w:rsidR="007422A0" w:rsidRPr="00987CA4" w:rsidRDefault="002C0C19" w:rsidP="00ED2766">
      <w:pPr>
        <w:pStyle w:val="ListParagraph"/>
        <w:numPr>
          <w:ilvl w:val="0"/>
          <w:numId w:val="3"/>
        </w:numPr>
        <w:tabs>
          <w:tab w:val="clear" w:pos="567"/>
          <w:tab w:val="clear" w:pos="1134"/>
          <w:tab w:val="clear" w:pos="1701"/>
          <w:tab w:val="clear" w:pos="2268"/>
          <w:tab w:val="clear" w:pos="2835"/>
        </w:tabs>
        <w:overflowPunct/>
        <w:autoSpaceDE/>
        <w:autoSpaceDN/>
        <w:adjustRightInd/>
        <w:spacing w:before="0" w:line="259" w:lineRule="auto"/>
        <w:jc w:val="both"/>
        <w:textAlignment w:val="auto"/>
      </w:pPr>
      <w:r>
        <w:t>A c</w:t>
      </w:r>
      <w:r w:rsidR="007422A0" w:rsidRPr="00987CA4">
        <w:t>omprehensive inventory and assessment of current practices across all bureau</w:t>
      </w:r>
      <w:r w:rsidR="007422A0">
        <w:t>x</w:t>
      </w:r>
    </w:p>
    <w:p w14:paraId="5810247B" w14:textId="77777777" w:rsidR="007422A0" w:rsidRDefault="007422A0" w:rsidP="0069097F">
      <w:pPr>
        <w:pStyle w:val="ListParagraph"/>
        <w:numPr>
          <w:ilvl w:val="0"/>
          <w:numId w:val="3"/>
        </w:numPr>
        <w:tabs>
          <w:tab w:val="clear" w:pos="567"/>
          <w:tab w:val="clear" w:pos="1134"/>
          <w:tab w:val="clear" w:pos="1701"/>
          <w:tab w:val="clear" w:pos="2268"/>
          <w:tab w:val="clear" w:pos="2835"/>
        </w:tabs>
        <w:overflowPunct/>
        <w:autoSpaceDE/>
        <w:autoSpaceDN/>
        <w:adjustRightInd/>
        <w:spacing w:before="0" w:line="259" w:lineRule="auto"/>
        <w:jc w:val="both"/>
        <w:textAlignment w:val="auto"/>
      </w:pPr>
      <w:r w:rsidRPr="00987CA4">
        <w:t>Detailed formulation of guidelines for every component of training initiatives</w:t>
      </w:r>
    </w:p>
    <w:p w14:paraId="7E546702" w14:textId="77777777" w:rsidR="007422A0" w:rsidRPr="00987CA4" w:rsidRDefault="007422A0" w:rsidP="0069097F">
      <w:pPr>
        <w:pStyle w:val="ListParagraph"/>
        <w:numPr>
          <w:ilvl w:val="0"/>
          <w:numId w:val="3"/>
        </w:numPr>
        <w:tabs>
          <w:tab w:val="clear" w:pos="567"/>
          <w:tab w:val="clear" w:pos="1134"/>
          <w:tab w:val="clear" w:pos="1701"/>
          <w:tab w:val="clear" w:pos="2268"/>
          <w:tab w:val="clear" w:pos="2835"/>
        </w:tabs>
        <w:overflowPunct/>
        <w:autoSpaceDE/>
        <w:autoSpaceDN/>
        <w:adjustRightInd/>
        <w:spacing w:before="0" w:line="259" w:lineRule="auto"/>
        <w:jc w:val="both"/>
        <w:textAlignment w:val="auto"/>
      </w:pPr>
      <w:r>
        <w:t>Information sessions for Directors and staff from different bureaux.</w:t>
      </w:r>
    </w:p>
    <w:p w14:paraId="0700C040" w14:textId="77777777" w:rsidR="007422A0" w:rsidRPr="00987CA4" w:rsidRDefault="007422A0" w:rsidP="0069097F">
      <w:pPr>
        <w:pStyle w:val="ListParagraph"/>
        <w:numPr>
          <w:ilvl w:val="0"/>
          <w:numId w:val="3"/>
        </w:numPr>
        <w:tabs>
          <w:tab w:val="clear" w:pos="567"/>
          <w:tab w:val="clear" w:pos="1134"/>
          <w:tab w:val="clear" w:pos="1701"/>
          <w:tab w:val="clear" w:pos="2268"/>
          <w:tab w:val="clear" w:pos="2835"/>
        </w:tabs>
        <w:overflowPunct/>
        <w:autoSpaceDE/>
        <w:autoSpaceDN/>
        <w:adjustRightInd/>
        <w:spacing w:before="0" w:line="259" w:lineRule="auto"/>
        <w:jc w:val="both"/>
        <w:textAlignment w:val="auto"/>
      </w:pPr>
      <w:r w:rsidRPr="00987CA4">
        <w:lastRenderedPageBreak/>
        <w:t>Collaborative refinement and revisions through discussions during Task Force meetings</w:t>
      </w:r>
    </w:p>
    <w:p w14:paraId="42DC08ED" w14:textId="77777777" w:rsidR="007422A0" w:rsidRPr="00987CA4" w:rsidRDefault="007422A0" w:rsidP="0069097F">
      <w:pPr>
        <w:pStyle w:val="ListParagraph"/>
        <w:numPr>
          <w:ilvl w:val="0"/>
          <w:numId w:val="3"/>
        </w:numPr>
        <w:tabs>
          <w:tab w:val="clear" w:pos="567"/>
          <w:tab w:val="clear" w:pos="1134"/>
          <w:tab w:val="clear" w:pos="1701"/>
          <w:tab w:val="clear" w:pos="2268"/>
          <w:tab w:val="clear" w:pos="2835"/>
        </w:tabs>
        <w:overflowPunct/>
        <w:autoSpaceDE/>
        <w:autoSpaceDN/>
        <w:adjustRightInd/>
        <w:spacing w:before="0" w:line="259" w:lineRule="auto"/>
        <w:jc w:val="both"/>
        <w:textAlignment w:val="auto"/>
      </w:pPr>
      <w:r>
        <w:t>Peer review by staff engaged in capacity development efforts across all bureaux and regions</w:t>
      </w:r>
    </w:p>
    <w:p w14:paraId="45C17294" w14:textId="35DBA187" w:rsidR="07589B1F" w:rsidRDefault="07589B1F" w:rsidP="0069097F">
      <w:pPr>
        <w:pStyle w:val="ListParagraph"/>
        <w:numPr>
          <w:ilvl w:val="0"/>
          <w:numId w:val="3"/>
        </w:numPr>
        <w:tabs>
          <w:tab w:val="clear" w:pos="567"/>
          <w:tab w:val="clear" w:pos="1134"/>
          <w:tab w:val="clear" w:pos="1701"/>
          <w:tab w:val="clear" w:pos="2268"/>
          <w:tab w:val="clear" w:pos="2835"/>
        </w:tabs>
        <w:spacing w:before="0" w:line="259" w:lineRule="auto"/>
        <w:jc w:val="both"/>
      </w:pPr>
      <w:r>
        <w:t xml:space="preserve">Presentation to ITU Senior Management </w:t>
      </w:r>
    </w:p>
    <w:p w14:paraId="14B05D8A" w14:textId="44462E18" w:rsidR="007422A0" w:rsidRPr="00E22DB6" w:rsidRDefault="007422A0" w:rsidP="0069097F">
      <w:pPr>
        <w:jc w:val="both"/>
        <w:rPr>
          <w:u w:val="single"/>
        </w:rPr>
      </w:pPr>
      <w:r w:rsidRPr="00E22DB6">
        <w:rPr>
          <w:u w:val="single"/>
        </w:rPr>
        <w:t>Target audience</w:t>
      </w:r>
      <w:bookmarkEnd w:id="16"/>
      <w:bookmarkEnd w:id="17"/>
      <w:bookmarkEnd w:id="18"/>
      <w:bookmarkEnd w:id="19"/>
      <w:bookmarkEnd w:id="20"/>
    </w:p>
    <w:p w14:paraId="4D013C5E" w14:textId="599B5EB2" w:rsidR="007422A0" w:rsidRPr="006A10CB" w:rsidRDefault="007422A0" w:rsidP="0069097F">
      <w:pPr>
        <w:jc w:val="both"/>
      </w:pPr>
      <w:r w:rsidRPr="006A10CB">
        <w:t>The primary target audience of the Manual is the ITU staff across the entire organization</w:t>
      </w:r>
      <w:r w:rsidR="00E54D81">
        <w:t xml:space="preserve"> delivering c</w:t>
      </w:r>
      <w:r w:rsidRPr="006A10CB">
        <w:t xml:space="preserve">apacity development activities </w:t>
      </w:r>
      <w:r w:rsidR="005D2F14">
        <w:t>to</w:t>
      </w:r>
      <w:r w:rsidRPr="006A10CB">
        <w:t xml:space="preserve"> the ITU Membership. </w:t>
      </w:r>
    </w:p>
    <w:p w14:paraId="4375B5B2" w14:textId="77777777" w:rsidR="007422A0" w:rsidRPr="006A10CB" w:rsidRDefault="007422A0" w:rsidP="0069097F">
      <w:pPr>
        <w:jc w:val="both"/>
      </w:pPr>
      <w:r w:rsidRPr="006A10CB">
        <w:t xml:space="preserve">In addition, consultants and experts working with ITU in the organization and delivery of training, are also invited to consult this Manual, not only to ensure a harmonized approach, but also to benefit from clear guidance on the different steps involved in the process of organizing a quality ITU training event. </w:t>
      </w:r>
    </w:p>
    <w:p w14:paraId="15C83573" w14:textId="536328B5" w:rsidR="007422A0" w:rsidRPr="00E22DB6" w:rsidRDefault="007422A0" w:rsidP="0069097F">
      <w:pPr>
        <w:jc w:val="both"/>
        <w:rPr>
          <w:u w:val="single"/>
        </w:rPr>
      </w:pPr>
      <w:bookmarkStart w:id="21" w:name="_Toc151036605"/>
      <w:bookmarkStart w:id="22" w:name="_Toc151036835"/>
      <w:bookmarkStart w:id="23" w:name="_Toc152929050"/>
      <w:bookmarkStart w:id="24" w:name="_Toc152929329"/>
      <w:bookmarkStart w:id="25" w:name="_Toc159397919"/>
      <w:r w:rsidRPr="00E22DB6">
        <w:rPr>
          <w:u w:val="single"/>
        </w:rPr>
        <w:t>Scope of the Manual</w:t>
      </w:r>
      <w:bookmarkEnd w:id="21"/>
      <w:bookmarkEnd w:id="22"/>
      <w:bookmarkEnd w:id="23"/>
      <w:bookmarkEnd w:id="24"/>
      <w:bookmarkEnd w:id="25"/>
    </w:p>
    <w:p w14:paraId="3CB730B4" w14:textId="1CD7DED6" w:rsidR="007422A0" w:rsidRPr="006A10CB" w:rsidRDefault="007422A0" w:rsidP="0069097F">
      <w:pPr>
        <w:jc w:val="both"/>
      </w:pPr>
      <w:r w:rsidRPr="006A10CB">
        <w:t>Capacity development is a broad concept and can encompass a range of different activities, including training, awareness raising, information sharing, co-creation</w:t>
      </w:r>
      <w:r w:rsidR="00715ABC">
        <w:t>,</w:t>
      </w:r>
      <w:r w:rsidRPr="006A10CB">
        <w:t xml:space="preserve"> and other types of activities.</w:t>
      </w:r>
    </w:p>
    <w:p w14:paraId="5AD43E82" w14:textId="208C7795" w:rsidR="007422A0" w:rsidRPr="006A10CB" w:rsidRDefault="007422A0" w:rsidP="0069097F">
      <w:pPr>
        <w:jc w:val="both"/>
      </w:pPr>
      <w:r w:rsidRPr="006A10CB">
        <w:t xml:space="preserve">This Manual is focusing on </w:t>
      </w:r>
      <w:r w:rsidRPr="0070093B">
        <w:t>training activities.</w:t>
      </w:r>
      <w:r w:rsidRPr="006A10CB">
        <w:t xml:space="preserve"> Training is considered to be the most impactful capacity development activity as it aims to increase knowledge and skills of an individual. </w:t>
      </w:r>
      <w:r w:rsidR="00875C84">
        <w:t>F</w:t>
      </w:r>
      <w:r w:rsidRPr="006A10CB">
        <w:t xml:space="preserve">or an activity to be considered a training activity, it should be made up of knowledge transfer elements and include activities that can be used to verify that there has been an increase in knowledge and/or skills of the participants. </w:t>
      </w:r>
      <w:r>
        <w:t xml:space="preserve">Training </w:t>
      </w:r>
      <w:r w:rsidRPr="006A10CB">
        <w:t>activities can have different formats, including face-to-face, online instructor-led, self-paced (authored)</w:t>
      </w:r>
      <w:r w:rsidR="00715ABC">
        <w:t>,</w:t>
      </w:r>
      <w:r w:rsidRPr="006A10CB">
        <w:t xml:space="preserve"> or blended formats. </w:t>
      </w:r>
    </w:p>
    <w:p w14:paraId="1B6EE841" w14:textId="1BC47D9F" w:rsidR="007422A0" w:rsidRPr="006A10CB" w:rsidRDefault="007422A0" w:rsidP="0069097F">
      <w:pPr>
        <w:jc w:val="both"/>
      </w:pPr>
      <w:r>
        <w:t>T</w:t>
      </w:r>
      <w:r w:rsidRPr="006A10CB">
        <w:t>h</w:t>
      </w:r>
      <w:r w:rsidR="007875A0">
        <w:t>e</w:t>
      </w:r>
      <w:r w:rsidRPr="006A10CB">
        <w:t xml:space="preserve"> Manual focuses on training activities that are mainly targeting the ITU membership (primarily professionals working in ICT-related fields). </w:t>
      </w:r>
    </w:p>
    <w:p w14:paraId="08D0D617" w14:textId="77777777" w:rsidR="007422A0" w:rsidRPr="00E22DB6" w:rsidRDefault="007422A0" w:rsidP="0069097F">
      <w:pPr>
        <w:jc w:val="both"/>
        <w:rPr>
          <w:u w:val="single"/>
        </w:rPr>
      </w:pPr>
      <w:bookmarkStart w:id="26" w:name="_Toc151036606"/>
      <w:bookmarkStart w:id="27" w:name="_Toc151036836"/>
      <w:bookmarkStart w:id="28" w:name="_Toc152929051"/>
      <w:bookmarkStart w:id="29" w:name="_Toc152929330"/>
      <w:bookmarkStart w:id="30" w:name="_Toc159397920"/>
      <w:r w:rsidRPr="00E22DB6">
        <w:rPr>
          <w:u w:val="single"/>
        </w:rPr>
        <w:t>Structure of the Manual</w:t>
      </w:r>
      <w:bookmarkEnd w:id="26"/>
      <w:bookmarkEnd w:id="27"/>
      <w:bookmarkEnd w:id="28"/>
      <w:bookmarkEnd w:id="29"/>
      <w:bookmarkEnd w:id="30"/>
    </w:p>
    <w:p w14:paraId="4EB1E6FA" w14:textId="77777777" w:rsidR="007422A0" w:rsidRPr="006A10CB" w:rsidRDefault="007422A0" w:rsidP="0069097F">
      <w:pPr>
        <w:jc w:val="both"/>
      </w:pPr>
      <w:r w:rsidRPr="006A10CB">
        <w:t xml:space="preserve">The Manual encompasses various stages of the activity lifecycle for both training courses and workshops. </w:t>
      </w:r>
    </w:p>
    <w:p w14:paraId="19F6EE9F" w14:textId="1A6F41B0" w:rsidR="007422A0" w:rsidRPr="006A10CB" w:rsidRDefault="007422A0" w:rsidP="0069097F">
      <w:pPr>
        <w:jc w:val="both"/>
      </w:pPr>
      <w:r>
        <w:t xml:space="preserve">It is comprised of two main parts. The first part </w:t>
      </w:r>
      <w:r w:rsidRPr="006A10CB">
        <w:t>contains a</w:t>
      </w:r>
      <w:r>
        <w:t xml:space="preserve"> </w:t>
      </w:r>
      <w:r w:rsidRPr="006A10CB">
        <w:t>“</w:t>
      </w:r>
      <w:r>
        <w:t>Checklist</w:t>
      </w:r>
      <w:r w:rsidRPr="006A10CB">
        <w:t xml:space="preserve">” section for </w:t>
      </w:r>
      <w:r w:rsidR="00E954F2">
        <w:t xml:space="preserve">organizing </w:t>
      </w:r>
      <w:r w:rsidRPr="006A10CB">
        <w:t>training courses and training workshops, which outlines the various steps, described in detail subsequently in each section:</w:t>
      </w:r>
      <w:r>
        <w:t xml:space="preserve"> designing the training, developing materials, promotion, delivery, assessment and awarding of certificates, </w:t>
      </w:r>
      <w:r w:rsidR="00BB4BE7">
        <w:t xml:space="preserve">and </w:t>
      </w:r>
      <w:r>
        <w:t xml:space="preserve">training evaluation and feedback. The second part is an Annex on ITU Academy guidelines, which provides practical tutorials on how to use the platform. </w:t>
      </w:r>
    </w:p>
    <w:p w14:paraId="312D0F85" w14:textId="2F7B3101" w:rsidR="007422A0" w:rsidRPr="00E22DB6" w:rsidRDefault="007422A0" w:rsidP="0069097F">
      <w:pPr>
        <w:spacing w:after="120"/>
        <w:jc w:val="both"/>
        <w:rPr>
          <w:u w:val="single"/>
        </w:rPr>
      </w:pPr>
      <w:r w:rsidRPr="74F2B49E">
        <w:rPr>
          <w:u w:val="single"/>
        </w:rPr>
        <w:t>Next steps</w:t>
      </w:r>
    </w:p>
    <w:p w14:paraId="28B93F47" w14:textId="1E1D875D" w:rsidR="007422A0" w:rsidRPr="00DA162E" w:rsidRDefault="75680349" w:rsidP="0069097F">
      <w:pPr>
        <w:spacing w:after="120"/>
        <w:jc w:val="both"/>
      </w:pPr>
      <w:r>
        <w:t>The Manual will be disseminated to ITU staff t</w:t>
      </w:r>
      <w:r w:rsidR="00B17767">
        <w:t>h</w:t>
      </w:r>
      <w:r>
        <w:t>rough an internal Service Order</w:t>
      </w:r>
      <w:r w:rsidR="4D9FE4ED">
        <w:t xml:space="preserve">. </w:t>
      </w:r>
      <w:r w:rsidR="007422A0">
        <w:t>The Task Force will then work with each Bureau and the General Secretariat to disseminate the Manual to staff and organize information sessions on how to use the Manual for planning training activities.</w:t>
      </w:r>
    </w:p>
    <w:p w14:paraId="257674B4" w14:textId="067AADEB" w:rsidR="00A514A4" w:rsidRPr="0090147A" w:rsidRDefault="007422A0" w:rsidP="00F207E4">
      <w:pPr>
        <w:tabs>
          <w:tab w:val="clear" w:pos="567"/>
          <w:tab w:val="clear" w:pos="1134"/>
          <w:tab w:val="clear" w:pos="1701"/>
          <w:tab w:val="clear" w:pos="2268"/>
          <w:tab w:val="clear" w:pos="2835"/>
        </w:tabs>
        <w:overflowPunct/>
        <w:autoSpaceDE/>
        <w:autoSpaceDN/>
        <w:adjustRightInd/>
        <w:spacing w:before="600"/>
        <w:jc w:val="center"/>
        <w:textAlignment w:val="auto"/>
        <w:rPr>
          <w:lang w:val="es-ES"/>
        </w:rPr>
      </w:pPr>
      <w:r>
        <w:rPr>
          <w:lang w:val="es-ES"/>
        </w:rPr>
        <w:t>____________________</w:t>
      </w:r>
    </w:p>
    <w:sectPr w:rsidR="00A514A4" w:rsidRPr="0090147A" w:rsidSect="002B7704">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6105" w14:textId="77777777" w:rsidR="002B7704" w:rsidRDefault="002B7704">
      <w:r>
        <w:separator/>
      </w:r>
    </w:p>
  </w:endnote>
  <w:endnote w:type="continuationSeparator" w:id="0">
    <w:p w14:paraId="6D164476" w14:textId="77777777" w:rsidR="002B7704" w:rsidRDefault="002B7704">
      <w:r>
        <w:continuationSeparator/>
      </w:r>
    </w:p>
  </w:endnote>
  <w:endnote w:type="continuationNotice" w:id="1">
    <w:p w14:paraId="529CE0CA" w14:textId="77777777" w:rsidR="002B7704" w:rsidRDefault="002B77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7D1605D3" w:rsidR="00EE49E8" w:rsidRDefault="00EE49E8" w:rsidP="00EE49E8">
          <w:pPr>
            <w:pStyle w:val="Header"/>
            <w:jc w:val="left"/>
            <w:rPr>
              <w:noProof/>
            </w:rPr>
          </w:pPr>
        </w:p>
      </w:tc>
      <w:tc>
        <w:tcPr>
          <w:tcW w:w="8261" w:type="dxa"/>
        </w:tcPr>
        <w:p w14:paraId="2D49E76E" w14:textId="323FAFF1" w:rsidR="00EE49E8" w:rsidRPr="00E06FD5" w:rsidRDefault="00EE49E8" w:rsidP="00ED01AB">
          <w:pPr>
            <w:pStyle w:val="Header"/>
            <w:tabs>
              <w:tab w:val="left" w:pos="6731"/>
              <w:tab w:val="right" w:pos="8505"/>
              <w:tab w:val="right" w:pos="9639"/>
            </w:tabs>
            <w:jc w:val="left"/>
            <w:rPr>
              <w:rFonts w:ascii="Arial" w:hAnsi="Arial" w:cs="Arial"/>
              <w:b/>
              <w:bCs/>
              <w:szCs w:val="18"/>
            </w:rPr>
          </w:pPr>
          <w:r>
            <w:rPr>
              <w:bCs/>
            </w:rPr>
            <w:tab/>
          </w:r>
          <w:r w:rsidRPr="00F207E4">
            <w:rPr>
              <w:bCs/>
            </w:rPr>
            <w:t>C2</w:t>
          </w:r>
          <w:r w:rsidR="006850BE" w:rsidRPr="00F207E4">
            <w:rPr>
              <w:bCs/>
            </w:rPr>
            <w:t>4</w:t>
          </w:r>
          <w:r w:rsidRPr="00F207E4">
            <w:rPr>
              <w:bCs/>
            </w:rPr>
            <w:t>/</w:t>
          </w:r>
          <w:r w:rsidR="00ED01AB" w:rsidRPr="00F207E4">
            <w:rPr>
              <w:bCs/>
            </w:rPr>
            <w:t>INF/</w:t>
          </w:r>
          <w:r w:rsidR="00F207E4" w:rsidRPr="00F207E4">
            <w:rPr>
              <w:bCs/>
            </w:rPr>
            <w:t>14</w:t>
          </w:r>
          <w:r w:rsidRPr="00F207E4">
            <w:rPr>
              <w:bCs/>
            </w:rPr>
            <w:t>-E</w:t>
          </w:r>
          <w:r w:rsidRPr="00F207E4">
            <w:rPr>
              <w:bCs/>
            </w:rPr>
            <w:tab/>
          </w:r>
          <w:r w:rsidRPr="00F207E4">
            <w:fldChar w:fldCharType="begin"/>
          </w:r>
          <w:r w:rsidRPr="00F207E4">
            <w:instrText>PAGE</w:instrText>
          </w:r>
          <w:r w:rsidRPr="00F207E4">
            <w:fldChar w:fldCharType="separate"/>
          </w:r>
          <w:r w:rsidRPr="00F207E4">
            <w:t>1</w:t>
          </w:r>
          <w:r w:rsidRPr="00F207E4">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F207E4" w14:paraId="4F588A4C" w14:textId="77777777" w:rsidTr="00F207E4">
      <w:trPr>
        <w:jc w:val="center"/>
      </w:trPr>
      <w:tc>
        <w:tcPr>
          <w:tcW w:w="1803" w:type="dxa"/>
          <w:shd w:val="clear" w:color="auto" w:fill="auto"/>
          <w:vAlign w:val="center"/>
        </w:tcPr>
        <w:p w14:paraId="4E7A2825" w14:textId="77777777" w:rsidR="00EE49E8" w:rsidRPr="00F207E4" w:rsidRDefault="007A5825" w:rsidP="00EE49E8">
          <w:pPr>
            <w:pStyle w:val="Header"/>
            <w:jc w:val="left"/>
            <w:rPr>
              <w:noProof/>
            </w:rPr>
          </w:pPr>
          <w:hyperlink r:id="rId1" w:history="1">
            <w:r w:rsidR="00EE49E8" w:rsidRPr="00F207E4">
              <w:rPr>
                <w:rStyle w:val="Hyperlink"/>
                <w:szCs w:val="14"/>
                <w:u w:val="none"/>
              </w:rPr>
              <w:t>www.itu.int/council</w:t>
            </w:r>
          </w:hyperlink>
        </w:p>
      </w:tc>
      <w:tc>
        <w:tcPr>
          <w:tcW w:w="8261" w:type="dxa"/>
          <w:shd w:val="clear" w:color="auto" w:fill="auto"/>
        </w:tcPr>
        <w:p w14:paraId="3F62E0D8" w14:textId="231315FC" w:rsidR="00EE49E8" w:rsidRPr="00F207E4" w:rsidRDefault="00EE49E8" w:rsidP="00ED01AB">
          <w:pPr>
            <w:pStyle w:val="Header"/>
            <w:tabs>
              <w:tab w:val="left" w:pos="6731"/>
              <w:tab w:val="right" w:pos="8505"/>
              <w:tab w:val="right" w:pos="9639"/>
            </w:tabs>
            <w:jc w:val="left"/>
            <w:rPr>
              <w:rFonts w:ascii="Arial" w:hAnsi="Arial" w:cs="Arial"/>
              <w:b/>
              <w:bCs/>
              <w:szCs w:val="18"/>
            </w:rPr>
          </w:pPr>
          <w:r w:rsidRPr="00F207E4">
            <w:rPr>
              <w:bCs/>
            </w:rPr>
            <w:tab/>
            <w:t>C2</w:t>
          </w:r>
          <w:r w:rsidR="00E23618" w:rsidRPr="00F207E4">
            <w:rPr>
              <w:bCs/>
            </w:rPr>
            <w:t>4</w:t>
          </w:r>
          <w:r w:rsidRPr="00F207E4">
            <w:rPr>
              <w:bCs/>
            </w:rPr>
            <w:t>/</w:t>
          </w:r>
          <w:r w:rsidR="00ED01AB" w:rsidRPr="00F207E4">
            <w:rPr>
              <w:bCs/>
            </w:rPr>
            <w:t>INF/</w:t>
          </w:r>
          <w:r w:rsidR="00F207E4">
            <w:rPr>
              <w:bCs/>
            </w:rPr>
            <w:t>14</w:t>
          </w:r>
          <w:r w:rsidRPr="00F207E4">
            <w:rPr>
              <w:bCs/>
            </w:rPr>
            <w:t>-E</w:t>
          </w:r>
          <w:r w:rsidRPr="00F207E4">
            <w:rPr>
              <w:bCs/>
            </w:rPr>
            <w:tab/>
          </w:r>
          <w:r w:rsidRPr="00F207E4">
            <w:fldChar w:fldCharType="begin"/>
          </w:r>
          <w:r w:rsidRPr="00F207E4">
            <w:instrText>PAGE</w:instrText>
          </w:r>
          <w:r w:rsidRPr="00F207E4">
            <w:fldChar w:fldCharType="separate"/>
          </w:r>
          <w:r w:rsidRPr="00F207E4">
            <w:t>1</w:t>
          </w:r>
          <w:r w:rsidRPr="00F207E4">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C42D" w14:textId="77777777" w:rsidR="002B7704" w:rsidRDefault="002B7704">
      <w:r>
        <w:t>____________________</w:t>
      </w:r>
    </w:p>
  </w:footnote>
  <w:footnote w:type="continuationSeparator" w:id="0">
    <w:p w14:paraId="5584BFB3" w14:textId="77777777" w:rsidR="002B7704" w:rsidRDefault="002B7704">
      <w:r>
        <w:continuationSeparator/>
      </w:r>
    </w:p>
  </w:footnote>
  <w:footnote w:type="continuationNotice" w:id="1">
    <w:p w14:paraId="03B2C572" w14:textId="77777777" w:rsidR="002B7704" w:rsidRDefault="002B770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31"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1"/>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BF07F"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CB5A7B"/>
    <w:multiLevelType w:val="hybridMultilevel"/>
    <w:tmpl w:val="D0DC1D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D373FD"/>
    <w:multiLevelType w:val="hybridMultilevel"/>
    <w:tmpl w:val="E0B4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24352226">
    <w:abstractNumId w:val="1"/>
  </w:num>
  <w:num w:numId="3" w16cid:durableId="1534346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04C1"/>
    <w:rsid w:val="000210D4"/>
    <w:rsid w:val="0004698E"/>
    <w:rsid w:val="00063016"/>
    <w:rsid w:val="00066795"/>
    <w:rsid w:val="00076AF6"/>
    <w:rsid w:val="00085CF2"/>
    <w:rsid w:val="000B1705"/>
    <w:rsid w:val="000D75B2"/>
    <w:rsid w:val="00110CAA"/>
    <w:rsid w:val="001121F5"/>
    <w:rsid w:val="001400DC"/>
    <w:rsid w:val="00140CE1"/>
    <w:rsid w:val="001414FE"/>
    <w:rsid w:val="00156D12"/>
    <w:rsid w:val="0017539C"/>
    <w:rsid w:val="00175AC2"/>
    <w:rsid w:val="0017609F"/>
    <w:rsid w:val="001A7D1D"/>
    <w:rsid w:val="001B51DD"/>
    <w:rsid w:val="001C4B3C"/>
    <w:rsid w:val="001C628E"/>
    <w:rsid w:val="001E0F7B"/>
    <w:rsid w:val="002119FD"/>
    <w:rsid w:val="002130E0"/>
    <w:rsid w:val="0021799E"/>
    <w:rsid w:val="00264425"/>
    <w:rsid w:val="00265875"/>
    <w:rsid w:val="0027303B"/>
    <w:rsid w:val="0028109B"/>
    <w:rsid w:val="002A2188"/>
    <w:rsid w:val="002B1F58"/>
    <w:rsid w:val="002B7704"/>
    <w:rsid w:val="002C0C19"/>
    <w:rsid w:val="002C1C7A"/>
    <w:rsid w:val="002C54E2"/>
    <w:rsid w:val="002D3379"/>
    <w:rsid w:val="002D4727"/>
    <w:rsid w:val="002E0ACB"/>
    <w:rsid w:val="002F30FC"/>
    <w:rsid w:val="0030160F"/>
    <w:rsid w:val="00315A06"/>
    <w:rsid w:val="00320223"/>
    <w:rsid w:val="00321D31"/>
    <w:rsid w:val="00322D0D"/>
    <w:rsid w:val="00324FE4"/>
    <w:rsid w:val="00326BC6"/>
    <w:rsid w:val="00361465"/>
    <w:rsid w:val="003877F5"/>
    <w:rsid w:val="003942D4"/>
    <w:rsid w:val="003958A8"/>
    <w:rsid w:val="003C2533"/>
    <w:rsid w:val="003C6437"/>
    <w:rsid w:val="003D5A7F"/>
    <w:rsid w:val="003F4C40"/>
    <w:rsid w:val="004016E2"/>
    <w:rsid w:val="00402152"/>
    <w:rsid w:val="0040435A"/>
    <w:rsid w:val="004074B3"/>
    <w:rsid w:val="00413547"/>
    <w:rsid w:val="00416A24"/>
    <w:rsid w:val="004172BB"/>
    <w:rsid w:val="00424139"/>
    <w:rsid w:val="00431D9E"/>
    <w:rsid w:val="0043250E"/>
    <w:rsid w:val="00433CE8"/>
    <w:rsid w:val="00434A5C"/>
    <w:rsid w:val="004544D9"/>
    <w:rsid w:val="004578E1"/>
    <w:rsid w:val="00463EB4"/>
    <w:rsid w:val="00466EE7"/>
    <w:rsid w:val="00472BAD"/>
    <w:rsid w:val="00480AC7"/>
    <w:rsid w:val="00484009"/>
    <w:rsid w:val="00490E72"/>
    <w:rsid w:val="00491157"/>
    <w:rsid w:val="004921C8"/>
    <w:rsid w:val="00495461"/>
    <w:rsid w:val="00495B0B"/>
    <w:rsid w:val="004A1B8B"/>
    <w:rsid w:val="004D1851"/>
    <w:rsid w:val="004D330D"/>
    <w:rsid w:val="004D599D"/>
    <w:rsid w:val="004E2EA5"/>
    <w:rsid w:val="004E3AEB"/>
    <w:rsid w:val="004F188E"/>
    <w:rsid w:val="0050223C"/>
    <w:rsid w:val="005152AF"/>
    <w:rsid w:val="005243FF"/>
    <w:rsid w:val="00564FBC"/>
    <w:rsid w:val="005800BC"/>
    <w:rsid w:val="00582442"/>
    <w:rsid w:val="0059002B"/>
    <w:rsid w:val="005C375A"/>
    <w:rsid w:val="005D2F14"/>
    <w:rsid w:val="005E34C2"/>
    <w:rsid w:val="005F3269"/>
    <w:rsid w:val="006078B2"/>
    <w:rsid w:val="00623AE3"/>
    <w:rsid w:val="00634B7C"/>
    <w:rsid w:val="0064737F"/>
    <w:rsid w:val="006535F1"/>
    <w:rsid w:val="0065557D"/>
    <w:rsid w:val="00660D50"/>
    <w:rsid w:val="00662984"/>
    <w:rsid w:val="006716BB"/>
    <w:rsid w:val="006850BE"/>
    <w:rsid w:val="00686807"/>
    <w:rsid w:val="00687E40"/>
    <w:rsid w:val="0069097F"/>
    <w:rsid w:val="006A69AA"/>
    <w:rsid w:val="006B1859"/>
    <w:rsid w:val="006B6680"/>
    <w:rsid w:val="006B6DCC"/>
    <w:rsid w:val="00702DEF"/>
    <w:rsid w:val="00706861"/>
    <w:rsid w:val="007139F9"/>
    <w:rsid w:val="00715ABC"/>
    <w:rsid w:val="007409EF"/>
    <w:rsid w:val="007422A0"/>
    <w:rsid w:val="00744CF9"/>
    <w:rsid w:val="0075051B"/>
    <w:rsid w:val="007875A0"/>
    <w:rsid w:val="00793188"/>
    <w:rsid w:val="00794D34"/>
    <w:rsid w:val="007A5825"/>
    <w:rsid w:val="00813E3C"/>
    <w:rsid w:val="00813E5E"/>
    <w:rsid w:val="00827B38"/>
    <w:rsid w:val="0083581B"/>
    <w:rsid w:val="008374F2"/>
    <w:rsid w:val="00840D60"/>
    <w:rsid w:val="00863874"/>
    <w:rsid w:val="00864AFF"/>
    <w:rsid w:val="00865925"/>
    <w:rsid w:val="00874E77"/>
    <w:rsid w:val="00875C84"/>
    <w:rsid w:val="008B4A6A"/>
    <w:rsid w:val="008B4E52"/>
    <w:rsid w:val="008C2D09"/>
    <w:rsid w:val="008C7E27"/>
    <w:rsid w:val="008E2E89"/>
    <w:rsid w:val="008F7448"/>
    <w:rsid w:val="0090147A"/>
    <w:rsid w:val="009173EF"/>
    <w:rsid w:val="00932906"/>
    <w:rsid w:val="00950D31"/>
    <w:rsid w:val="00961B0B"/>
    <w:rsid w:val="00962D33"/>
    <w:rsid w:val="00967152"/>
    <w:rsid w:val="009724D0"/>
    <w:rsid w:val="00973045"/>
    <w:rsid w:val="009749BB"/>
    <w:rsid w:val="009919AC"/>
    <w:rsid w:val="009A0A14"/>
    <w:rsid w:val="009B38C3"/>
    <w:rsid w:val="009D391F"/>
    <w:rsid w:val="009E17BD"/>
    <w:rsid w:val="009E485A"/>
    <w:rsid w:val="00A04CEC"/>
    <w:rsid w:val="00A27F92"/>
    <w:rsid w:val="00A32257"/>
    <w:rsid w:val="00A349A8"/>
    <w:rsid w:val="00A36D20"/>
    <w:rsid w:val="00A514A4"/>
    <w:rsid w:val="00A55622"/>
    <w:rsid w:val="00A71460"/>
    <w:rsid w:val="00A756C1"/>
    <w:rsid w:val="00A83502"/>
    <w:rsid w:val="00AB1A03"/>
    <w:rsid w:val="00AD15B3"/>
    <w:rsid w:val="00AD3606"/>
    <w:rsid w:val="00AD3FB5"/>
    <w:rsid w:val="00AD4A3D"/>
    <w:rsid w:val="00AF6E49"/>
    <w:rsid w:val="00B04A67"/>
    <w:rsid w:val="00B0583C"/>
    <w:rsid w:val="00B17767"/>
    <w:rsid w:val="00B40A81"/>
    <w:rsid w:val="00B44910"/>
    <w:rsid w:val="00B72267"/>
    <w:rsid w:val="00B76EB6"/>
    <w:rsid w:val="00B7737B"/>
    <w:rsid w:val="00B824C8"/>
    <w:rsid w:val="00B84B9D"/>
    <w:rsid w:val="00BA075A"/>
    <w:rsid w:val="00BB4BE7"/>
    <w:rsid w:val="00BC251A"/>
    <w:rsid w:val="00BD032B"/>
    <w:rsid w:val="00BE2640"/>
    <w:rsid w:val="00BE3688"/>
    <w:rsid w:val="00C01189"/>
    <w:rsid w:val="00C16519"/>
    <w:rsid w:val="00C374DE"/>
    <w:rsid w:val="00C47AD4"/>
    <w:rsid w:val="00C52D81"/>
    <w:rsid w:val="00C55198"/>
    <w:rsid w:val="00C73CE2"/>
    <w:rsid w:val="00C84AE1"/>
    <w:rsid w:val="00CA6393"/>
    <w:rsid w:val="00CB18FF"/>
    <w:rsid w:val="00CC44C3"/>
    <w:rsid w:val="00CD0C08"/>
    <w:rsid w:val="00CE03FB"/>
    <w:rsid w:val="00CE158A"/>
    <w:rsid w:val="00CE433C"/>
    <w:rsid w:val="00CF0161"/>
    <w:rsid w:val="00CF03F0"/>
    <w:rsid w:val="00CF2659"/>
    <w:rsid w:val="00CF33F3"/>
    <w:rsid w:val="00CF69E2"/>
    <w:rsid w:val="00D06183"/>
    <w:rsid w:val="00D22C42"/>
    <w:rsid w:val="00D2434B"/>
    <w:rsid w:val="00D25B60"/>
    <w:rsid w:val="00D65041"/>
    <w:rsid w:val="00D85010"/>
    <w:rsid w:val="00DB1936"/>
    <w:rsid w:val="00DB384B"/>
    <w:rsid w:val="00DF0189"/>
    <w:rsid w:val="00DF5097"/>
    <w:rsid w:val="00E06FD5"/>
    <w:rsid w:val="00E10E80"/>
    <w:rsid w:val="00E124F0"/>
    <w:rsid w:val="00E227F3"/>
    <w:rsid w:val="00E23618"/>
    <w:rsid w:val="00E545C6"/>
    <w:rsid w:val="00E54D81"/>
    <w:rsid w:val="00E60F04"/>
    <w:rsid w:val="00E65B24"/>
    <w:rsid w:val="00E70131"/>
    <w:rsid w:val="00E854E4"/>
    <w:rsid w:val="00E86DBF"/>
    <w:rsid w:val="00E91CA9"/>
    <w:rsid w:val="00E954F2"/>
    <w:rsid w:val="00EB0D6F"/>
    <w:rsid w:val="00EB2232"/>
    <w:rsid w:val="00EC5337"/>
    <w:rsid w:val="00ED01AB"/>
    <w:rsid w:val="00ED2766"/>
    <w:rsid w:val="00EE49E8"/>
    <w:rsid w:val="00EF01FB"/>
    <w:rsid w:val="00F0108D"/>
    <w:rsid w:val="00F07C4C"/>
    <w:rsid w:val="00F16BAB"/>
    <w:rsid w:val="00F207E4"/>
    <w:rsid w:val="00F2150A"/>
    <w:rsid w:val="00F2272C"/>
    <w:rsid w:val="00F231D8"/>
    <w:rsid w:val="00F44C00"/>
    <w:rsid w:val="00F45B3D"/>
    <w:rsid w:val="00F45D2C"/>
    <w:rsid w:val="00F46C5F"/>
    <w:rsid w:val="00F632C0"/>
    <w:rsid w:val="00F74710"/>
    <w:rsid w:val="00F94A63"/>
    <w:rsid w:val="00FA1C28"/>
    <w:rsid w:val="00FB1279"/>
    <w:rsid w:val="00FB6B76"/>
    <w:rsid w:val="00FB7237"/>
    <w:rsid w:val="00FB7596"/>
    <w:rsid w:val="00FE4077"/>
    <w:rsid w:val="00FE500D"/>
    <w:rsid w:val="00FE77D2"/>
    <w:rsid w:val="026565BA"/>
    <w:rsid w:val="07589B1F"/>
    <w:rsid w:val="07AEE10A"/>
    <w:rsid w:val="0CDAEA87"/>
    <w:rsid w:val="0F2A2FF1"/>
    <w:rsid w:val="2176449B"/>
    <w:rsid w:val="21FC446F"/>
    <w:rsid w:val="36404C38"/>
    <w:rsid w:val="37026CFF"/>
    <w:rsid w:val="46A97CD9"/>
    <w:rsid w:val="4D9FE4ED"/>
    <w:rsid w:val="57966ACF"/>
    <w:rsid w:val="5911F9F1"/>
    <w:rsid w:val="68D3B25D"/>
    <w:rsid w:val="70C906BD"/>
    <w:rsid w:val="74F2B49E"/>
    <w:rsid w:val="756803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EE0AD4E-54D6-4B2B-B3A1-B50BE954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styleId="CommentSubject">
    <w:name w:val="annotation subject"/>
    <w:basedOn w:val="CommentText"/>
    <w:next w:val="CommentText"/>
    <w:link w:val="CommentSubjectChar"/>
    <w:semiHidden/>
    <w:unhideWhenUsed/>
    <w:rsid w:val="00CE158A"/>
    <w:rPr>
      <w:b/>
      <w:bCs/>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7422A0"/>
    <w:rPr>
      <w:color w:val="605E5C"/>
      <w:shd w:val="clear" w:color="auto" w:fill="E1DFDD"/>
    </w:rPr>
  </w:style>
  <w:style w:type="paragraph" w:styleId="ListParagraph">
    <w:name w:val="List Paragraph"/>
    <w:basedOn w:val="Normal"/>
    <w:uiPriority w:val="34"/>
    <w:qFormat/>
    <w:rsid w:val="007422A0"/>
    <w:pPr>
      <w:ind w:left="720"/>
      <w:contextualSpacing/>
    </w:pPr>
  </w:style>
  <w:style w:type="paragraph" w:customStyle="1" w:styleId="Subtitle1">
    <w:name w:val="Subtitle1"/>
    <w:basedOn w:val="Title1"/>
    <w:qFormat/>
    <w:rsid w:val="00DF0189"/>
    <w:pPr>
      <w:framePr w:wrap="around" w:vAnchor="margin" w:hAnchor="text"/>
      <w:spacing w:before="120" w:after="160"/>
    </w:pPr>
  </w:style>
  <w:style w:type="paragraph" w:styleId="CommentText">
    <w:name w:val="annotation text"/>
    <w:basedOn w:val="Normal"/>
    <w:link w:val="CommentTextChar"/>
    <w:unhideWhenUsed/>
    <w:rsid w:val="002D4727"/>
    <w:rPr>
      <w:sz w:val="20"/>
    </w:rPr>
  </w:style>
  <w:style w:type="character" w:customStyle="1" w:styleId="CommentTextChar">
    <w:name w:val="Comment Text Char"/>
    <w:basedOn w:val="DefaultParagraphFont"/>
    <w:link w:val="CommentText"/>
    <w:rsid w:val="002D4727"/>
    <w:rPr>
      <w:rFonts w:ascii="Calibri" w:hAnsi="Calibri"/>
      <w:lang w:val="en-GB" w:eastAsia="en-US"/>
    </w:rPr>
  </w:style>
  <w:style w:type="character" w:styleId="CommentReference">
    <w:name w:val="annotation reference"/>
    <w:basedOn w:val="DefaultParagraphFont"/>
    <w:semiHidden/>
    <w:unhideWhenUsed/>
    <w:rsid w:val="002D4727"/>
    <w:rPr>
      <w:sz w:val="16"/>
      <w:szCs w:val="16"/>
    </w:rPr>
  </w:style>
  <w:style w:type="character" w:customStyle="1" w:styleId="CommentSubjectChar">
    <w:name w:val="Comment Subject Char"/>
    <w:basedOn w:val="CommentTextChar"/>
    <w:link w:val="CommentSubject"/>
    <w:semiHidden/>
    <w:rsid w:val="00CE158A"/>
    <w:rPr>
      <w:rFonts w:ascii="Calibri" w:hAnsi="Calibri"/>
      <w:b/>
      <w:bCs/>
      <w:lang w:val="en-GB" w:eastAsia="en-US"/>
    </w:rPr>
  </w:style>
  <w:style w:type="character" w:styleId="Mention">
    <w:name w:val="Mention"/>
    <w:basedOn w:val="DefaultParagraphFont"/>
    <w:uiPriority w:val="99"/>
    <w:unhideWhenUsed/>
    <w:rsid w:val="00A756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2-CL-C-0056/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ée un document." ma:contentTypeScope="" ma:versionID="21eb84d73e7a675104c7fde3a9d4b3aa">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a3edfd7e1c0ee2ea79557039166d9c4a"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74687-16E3-4845-99AD-71BA40E29D30}">
  <ds:schemaRef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98b04e1e-0540-4930-9623-702d547a0a33"/>
    <ds:schemaRef ds:uri="085b46e1-7f22-4e81-9ba5-912dc5a5fd9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C380F4B-BF5C-4802-83D9-AC2EFE5C3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A412BB2-3476-4894-B853-77CD9CD27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915</Words>
  <Characters>5444</Characters>
  <Application>Microsoft Office Word</Application>
  <DocSecurity>0</DocSecurity>
  <Lines>45</Lines>
  <Paragraphs>12</Paragraphs>
  <ScaleCrop>false</ScaleCrop>
  <Manager>General Secretariat - Pool</Manager>
  <Company>International Telecommunication Union (ITU)</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capacity development manual</dc:title>
  <dc:subject>Council 2024</dc:subject>
  <dc:creator>author</dc:creator>
  <cp:keywords>C2024, C24, Council-24</cp:keywords>
  <dc:description/>
  <cp:lastModifiedBy>Brouard, Ricarda</cp:lastModifiedBy>
  <cp:revision>2</cp:revision>
  <cp:lastPrinted>2000-07-18T13:30:00Z</cp:lastPrinted>
  <dcterms:created xsi:type="dcterms:W3CDTF">2024-05-06T12:08:00Z</dcterms:created>
  <dcterms:modified xsi:type="dcterms:W3CDTF">2024-05-06T12:08:00Z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