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D21AD"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25C32BA" w:rsidR="00AD3606" w:rsidRPr="006D21AD" w:rsidRDefault="006D21AD" w:rsidP="00472BAD">
            <w:pPr>
              <w:tabs>
                <w:tab w:val="left" w:pos="851"/>
              </w:tabs>
              <w:spacing w:before="0" w:line="240" w:lineRule="atLeast"/>
              <w:jc w:val="right"/>
              <w:rPr>
                <w:b/>
              </w:rPr>
            </w:pPr>
            <w:r w:rsidRPr="006D21AD">
              <w:rPr>
                <w:b/>
              </w:rPr>
              <w:t>Revision 1 to</w:t>
            </w:r>
            <w:r w:rsidRPr="006D21AD">
              <w:rPr>
                <w:b/>
              </w:rPr>
              <w:br/>
            </w:r>
            <w:r w:rsidR="00AD3606" w:rsidRPr="006D21AD">
              <w:rPr>
                <w:b/>
              </w:rPr>
              <w:t>Document C</w:t>
            </w:r>
            <w:r w:rsidR="00A52C84" w:rsidRPr="006D21AD">
              <w:rPr>
                <w:b/>
              </w:rPr>
              <w:t>WG-</w:t>
            </w:r>
            <w:r w:rsidR="00891503" w:rsidRPr="006D21AD">
              <w:rPr>
                <w:b/>
              </w:rPr>
              <w:t>COP</w:t>
            </w:r>
            <w:r w:rsidR="00A52C84" w:rsidRPr="006D21AD">
              <w:rPr>
                <w:b/>
              </w:rPr>
              <w:t>-</w:t>
            </w:r>
            <w:r w:rsidR="00BC54CD" w:rsidRPr="006D21AD">
              <w:rPr>
                <w:b/>
              </w:rPr>
              <w:t>20</w:t>
            </w:r>
            <w:r w:rsidR="00AD3606" w:rsidRPr="006D21AD">
              <w:rPr>
                <w:b/>
              </w:rPr>
              <w:t>/</w:t>
            </w:r>
            <w:r w:rsidR="00866F4F" w:rsidRPr="006D21AD">
              <w:rPr>
                <w:b/>
              </w:rPr>
              <w:t>INF/</w:t>
            </w:r>
            <w:r w:rsidR="00AC37A2" w:rsidRPr="006D21AD">
              <w:rPr>
                <w:b/>
              </w:rPr>
              <w:t>8</w:t>
            </w:r>
          </w:p>
        </w:tc>
      </w:tr>
      <w:tr w:rsidR="00AD3606" w:rsidRPr="00813E5E" w14:paraId="789B45BA" w14:textId="77777777" w:rsidTr="00AD3606">
        <w:trPr>
          <w:cantSplit/>
        </w:trPr>
        <w:tc>
          <w:tcPr>
            <w:tcW w:w="3969" w:type="dxa"/>
            <w:vMerge/>
          </w:tcPr>
          <w:p w14:paraId="3F3D4E17" w14:textId="77777777" w:rsidR="00AD3606" w:rsidRPr="006D21AD"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5E386C8" w:rsidR="00AD3606" w:rsidRPr="00E85629" w:rsidRDefault="006D21AD" w:rsidP="00AD3606">
            <w:pPr>
              <w:tabs>
                <w:tab w:val="left" w:pos="851"/>
              </w:tabs>
              <w:spacing w:before="0"/>
              <w:jc w:val="right"/>
              <w:rPr>
                <w:b/>
              </w:rPr>
            </w:pPr>
            <w:r>
              <w:rPr>
                <w:b/>
              </w:rPr>
              <w:t>23</w:t>
            </w:r>
            <w:r w:rsidR="005B7446">
              <w:rPr>
                <w:b/>
              </w:rPr>
              <w:t xml:space="preserve">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3615A38" w:rsidR="00AD3606" w:rsidRPr="00F0400D" w:rsidRDefault="003272DE" w:rsidP="00F0400D">
            <w:pPr>
              <w:pStyle w:val="Source"/>
              <w:framePr w:hSpace="0" w:wrap="auto" w:vAnchor="margin" w:hAnchor="text" w:xAlign="left" w:yAlign="inline"/>
            </w:pPr>
            <w:bookmarkStart w:id="8" w:name="dsource" w:colFirst="0" w:colLast="0"/>
            <w:bookmarkEnd w:id="7"/>
            <w:r>
              <w:t>Presentation from the Lanzarote Committee Secretariat, Council of Europe</w:t>
            </w:r>
          </w:p>
        </w:tc>
      </w:tr>
      <w:tr w:rsidR="00AD3606" w:rsidRPr="00813E5E" w14:paraId="2340750D" w14:textId="77777777" w:rsidTr="00AD3606">
        <w:trPr>
          <w:cantSplit/>
        </w:trPr>
        <w:tc>
          <w:tcPr>
            <w:tcW w:w="9214" w:type="dxa"/>
            <w:gridSpan w:val="2"/>
            <w:tcMar>
              <w:left w:w="0" w:type="dxa"/>
            </w:tcMar>
          </w:tcPr>
          <w:p w14:paraId="47B91AA8" w14:textId="28CEFF2C" w:rsidR="00AD3606" w:rsidRPr="00F0400D" w:rsidRDefault="00AD3606" w:rsidP="003272DE">
            <w:pPr>
              <w:pStyle w:val="Subtitle"/>
              <w:framePr w:hSpace="0" w:wrap="auto" w:xAlign="left" w:yAlign="inline"/>
              <w:spacing w:before="0" w:after="0"/>
            </w:pPr>
            <w:bookmarkStart w:id="9" w:name="dtitle1" w:colFirst="0" w:colLast="0"/>
            <w:bookmarkEnd w:id="8"/>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0A76D632" w:rsidR="00AD3606" w:rsidRPr="00813E5E" w:rsidRDefault="003272DE" w:rsidP="00F16BAB">
            <w:r>
              <w:t>O</w:t>
            </w:r>
            <w:r w:rsidRPr="003272DE">
              <w:t>utline of the Council of Europe contribution to the next working group focusing on legal measures for child online protection</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CC1D631" w:rsidR="00891503" w:rsidRDefault="00866F4F" w:rsidP="00F16BAB">
            <w:pPr>
              <w:spacing w:before="160"/>
            </w:pPr>
            <w:r>
              <w:t xml:space="preserve">This report is transmitted to the </w:t>
            </w:r>
            <w:r w:rsidR="00F41345" w:rsidRPr="00F41345">
              <w:t xml:space="preserve">Council Working Group on Child Online Protection </w:t>
            </w:r>
            <w:r>
              <w:rPr>
                <w:b/>
                <w:bCs/>
              </w:rPr>
              <w:t>for information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6CC2018C" w:rsidR="00AD3606" w:rsidRPr="003272DE" w:rsidRDefault="006D21AD" w:rsidP="00F16BAB">
            <w:pPr>
              <w:spacing w:after="160"/>
              <w:rPr>
                <w:i/>
                <w:iCs/>
                <w:szCs w:val="24"/>
              </w:rPr>
            </w:pPr>
            <w:hyperlink r:id="rId8" w:history="1">
              <w:r w:rsidR="003272DE" w:rsidRPr="003272DE">
                <w:rPr>
                  <w:rStyle w:val="Hyperlink"/>
                  <w:i/>
                  <w:iCs/>
                  <w:color w:val="0000FF"/>
                  <w:szCs w:val="24"/>
                  <w:lang w:eastAsia="fr-FR"/>
                </w:rPr>
                <w:t>https://www.coe.int/children</w:t>
              </w:r>
            </w:hyperlink>
          </w:p>
        </w:tc>
      </w:tr>
    </w:tbl>
    <w:p w14:paraId="4CDB8B60" w14:textId="77777777" w:rsidR="00E227F3" w:rsidRPr="00A51F6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A51F6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51F6D">
        <w:br w:type="page"/>
      </w:r>
    </w:p>
    <w:bookmarkEnd w:id="5"/>
    <w:bookmarkEnd w:id="10"/>
    <w:p w14:paraId="727A008C" w14:textId="3BB30AC5"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b/>
          <w:bCs/>
          <w:sz w:val="28"/>
          <w:szCs w:val="28"/>
        </w:rPr>
      </w:pPr>
      <w:r w:rsidRPr="003272DE">
        <w:rPr>
          <w:rFonts w:eastAsia="Calibri"/>
          <w:b/>
          <w:bCs/>
          <w:sz w:val="28"/>
          <w:szCs w:val="28"/>
        </w:rPr>
        <w:lastRenderedPageBreak/>
        <w:t xml:space="preserve">Presentation by Naomi </w:t>
      </w:r>
      <w:proofErr w:type="spellStart"/>
      <w:r w:rsidRPr="003272DE">
        <w:rPr>
          <w:rFonts w:eastAsia="Calibri"/>
          <w:b/>
          <w:bCs/>
          <w:sz w:val="28"/>
          <w:szCs w:val="28"/>
        </w:rPr>
        <w:t>Trewinnard</w:t>
      </w:r>
      <w:proofErr w:type="spellEnd"/>
      <w:r w:rsidRPr="003272DE">
        <w:rPr>
          <w:rFonts w:eastAsia="Calibri"/>
          <w:b/>
          <w:bCs/>
          <w:sz w:val="28"/>
          <w:szCs w:val="28"/>
        </w:rPr>
        <w:t xml:space="preserve">, Legal Advisor, </w:t>
      </w:r>
      <w:r>
        <w:rPr>
          <w:rFonts w:eastAsia="Calibri"/>
          <w:b/>
          <w:bCs/>
          <w:sz w:val="28"/>
          <w:szCs w:val="28"/>
        </w:rPr>
        <w:br/>
      </w:r>
      <w:r w:rsidRPr="003272DE">
        <w:rPr>
          <w:rFonts w:eastAsia="Calibri"/>
          <w:b/>
          <w:bCs/>
          <w:sz w:val="28"/>
          <w:szCs w:val="28"/>
        </w:rPr>
        <w:t>Lanzarote Committee Secretariat, Council of Europe</w:t>
      </w:r>
    </w:p>
    <w:p w14:paraId="4D73F79D"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sz w:val="22"/>
          <w:szCs w:val="22"/>
        </w:rPr>
      </w:pPr>
    </w:p>
    <w:p w14:paraId="74EF2C81"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sz w:val="22"/>
          <w:szCs w:val="22"/>
          <w:u w:val="single"/>
        </w:rPr>
      </w:pPr>
      <w:r w:rsidRPr="003272DE">
        <w:rPr>
          <w:rFonts w:eastAsia="Calibri"/>
          <w:sz w:val="22"/>
          <w:szCs w:val="22"/>
          <w:u w:val="single"/>
        </w:rPr>
        <w:t>Lanzarote Convention / Lanzarote Committee</w:t>
      </w:r>
    </w:p>
    <w:p w14:paraId="168B5557" w14:textId="66DC4C67" w:rsidR="003272DE" w:rsidRPr="003272DE" w:rsidRDefault="00C15FD8"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Calibri"/>
          <w:sz w:val="22"/>
          <w:szCs w:val="22"/>
        </w:rPr>
      </w:pPr>
      <w:r>
        <w:rPr>
          <w:rFonts w:eastAsia="Calibri" w:cs="Calibri"/>
          <w:sz w:val="22"/>
          <w:szCs w:val="22"/>
        </w:rPr>
        <w:t xml:space="preserve">The </w:t>
      </w:r>
      <w:hyperlink r:id="rId9" w:history="1">
        <w:r w:rsidRPr="00C15FD8">
          <w:rPr>
            <w:rStyle w:val="Hyperlink"/>
            <w:rFonts w:eastAsia="Calibri" w:cs="Calibri"/>
            <w:sz w:val="22"/>
            <w:szCs w:val="22"/>
          </w:rPr>
          <w:t>Lanzarote convention</w:t>
        </w:r>
      </w:hyperlink>
      <w:r>
        <w:rPr>
          <w:rFonts w:eastAsia="Calibri" w:cs="Calibri"/>
          <w:sz w:val="22"/>
          <w:szCs w:val="22"/>
        </w:rPr>
        <w:t xml:space="preserve"> was o</w:t>
      </w:r>
      <w:r w:rsidR="003272DE" w:rsidRPr="003272DE">
        <w:rPr>
          <w:rFonts w:eastAsia="Calibri" w:cs="Calibri"/>
          <w:sz w:val="22"/>
          <w:szCs w:val="22"/>
        </w:rPr>
        <w:t>pened for signature in 2007, it is the most comprehensive, legally binding, international instrument on the protection of children against sexual violence.</w:t>
      </w:r>
    </w:p>
    <w:p w14:paraId="7A55A379" w14:textId="60D97011" w:rsidR="003272DE" w:rsidRPr="003272DE" w:rsidRDefault="00C15FD8"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Calibri"/>
          <w:sz w:val="22"/>
          <w:szCs w:val="22"/>
        </w:rPr>
      </w:pPr>
      <w:r>
        <w:rPr>
          <w:rFonts w:eastAsia="Calibri" w:cs="Calibri"/>
          <w:sz w:val="22"/>
          <w:szCs w:val="22"/>
        </w:rPr>
        <w:t xml:space="preserve">It is open to accession by any country in the world, there are currently 48 State Parties and counting. </w:t>
      </w:r>
    </w:p>
    <w:p w14:paraId="426D53FD" w14:textId="543CF882" w:rsidR="003272DE" w:rsidRPr="003272DE" w:rsidRDefault="00C15FD8"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Calibri"/>
          <w:sz w:val="22"/>
          <w:szCs w:val="22"/>
        </w:rPr>
      </w:pPr>
      <w:r>
        <w:rPr>
          <w:rFonts w:eastAsia="Calibri" w:cs="Calibri"/>
          <w:sz w:val="22"/>
          <w:szCs w:val="22"/>
        </w:rPr>
        <w:t xml:space="preserve">The </w:t>
      </w:r>
      <w:hyperlink r:id="rId10" w:history="1">
        <w:r w:rsidR="003272DE" w:rsidRPr="00C15FD8">
          <w:rPr>
            <w:rStyle w:val="Hyperlink"/>
            <w:rFonts w:eastAsia="Calibri" w:cs="Calibri"/>
            <w:sz w:val="22"/>
            <w:szCs w:val="22"/>
          </w:rPr>
          <w:t>Lanzarote Committee</w:t>
        </w:r>
      </w:hyperlink>
      <w:r>
        <w:rPr>
          <w:rFonts w:eastAsia="Calibri" w:cs="Calibri"/>
          <w:sz w:val="22"/>
          <w:szCs w:val="22"/>
        </w:rPr>
        <w:t xml:space="preserve"> is the </w:t>
      </w:r>
      <w:r w:rsidR="003272DE" w:rsidRPr="003272DE">
        <w:rPr>
          <w:rFonts w:eastAsia="Calibri" w:cs="Calibri"/>
          <w:sz w:val="22"/>
          <w:szCs w:val="22"/>
        </w:rPr>
        <w:t>intergovernmental committee of State Parties</w:t>
      </w:r>
      <w:r>
        <w:rPr>
          <w:rFonts w:eastAsia="Calibri" w:cs="Calibri"/>
          <w:sz w:val="22"/>
          <w:szCs w:val="22"/>
        </w:rPr>
        <w:t xml:space="preserve"> and </w:t>
      </w:r>
      <w:r w:rsidR="003272DE" w:rsidRPr="003272DE">
        <w:rPr>
          <w:rFonts w:eastAsia="Calibri" w:cs="Calibri"/>
          <w:sz w:val="22"/>
          <w:szCs w:val="22"/>
        </w:rPr>
        <w:t>observers</w:t>
      </w:r>
      <w:r>
        <w:rPr>
          <w:rFonts w:eastAsia="Calibri" w:cs="Calibri"/>
          <w:sz w:val="22"/>
          <w:szCs w:val="22"/>
        </w:rPr>
        <w:t>. It</w:t>
      </w:r>
      <w:r w:rsidR="003272DE" w:rsidRPr="003272DE">
        <w:rPr>
          <w:rFonts w:eastAsia="Calibri" w:cs="Calibri"/>
          <w:sz w:val="22"/>
          <w:szCs w:val="22"/>
        </w:rPr>
        <w:t xml:space="preserve"> monitors the implementation of the </w:t>
      </w:r>
      <w:proofErr w:type="gramStart"/>
      <w:r w:rsidR="003272DE" w:rsidRPr="003272DE">
        <w:rPr>
          <w:rFonts w:eastAsia="Calibri" w:cs="Calibri"/>
          <w:sz w:val="22"/>
          <w:szCs w:val="22"/>
        </w:rPr>
        <w:t>Convention,</w:t>
      </w:r>
      <w:proofErr w:type="gramEnd"/>
      <w:r w:rsidR="003272DE" w:rsidRPr="003272DE">
        <w:rPr>
          <w:rFonts w:eastAsia="Calibri" w:cs="Calibri"/>
          <w:sz w:val="22"/>
          <w:szCs w:val="22"/>
        </w:rPr>
        <w:t xml:space="preserve"> all Parties </w:t>
      </w:r>
      <w:r>
        <w:rPr>
          <w:rFonts w:eastAsia="Calibri" w:cs="Calibri"/>
          <w:sz w:val="22"/>
          <w:szCs w:val="22"/>
        </w:rPr>
        <w:t xml:space="preserve">are </w:t>
      </w:r>
      <w:r w:rsidR="003272DE" w:rsidRPr="003272DE">
        <w:rPr>
          <w:rFonts w:eastAsia="Calibri" w:cs="Calibri"/>
          <w:sz w:val="22"/>
          <w:szCs w:val="22"/>
        </w:rPr>
        <w:t xml:space="preserve">monitored simultaneously in “thematic” rounds. </w:t>
      </w:r>
      <w:r>
        <w:rPr>
          <w:rFonts w:eastAsia="Calibri" w:cs="Calibri"/>
          <w:sz w:val="22"/>
          <w:szCs w:val="22"/>
        </w:rPr>
        <w:t>The Committee also</w:t>
      </w:r>
      <w:r w:rsidR="003272DE" w:rsidRPr="003272DE">
        <w:rPr>
          <w:rFonts w:eastAsia="Calibri" w:cs="Calibri"/>
          <w:sz w:val="22"/>
          <w:szCs w:val="22"/>
        </w:rPr>
        <w:t xml:space="preserve"> facilitates the collection, analysis and exchange of information and good practices to improve capacit</w:t>
      </w:r>
      <w:r>
        <w:rPr>
          <w:rFonts w:eastAsia="Calibri" w:cs="Calibri"/>
          <w:sz w:val="22"/>
          <w:szCs w:val="22"/>
        </w:rPr>
        <w:t>ies</w:t>
      </w:r>
      <w:r w:rsidR="003272DE" w:rsidRPr="003272DE">
        <w:rPr>
          <w:rFonts w:eastAsia="Calibri"/>
          <w:sz w:val="22"/>
          <w:szCs w:val="22"/>
        </w:rPr>
        <w:t xml:space="preserve"> to prevent and combat sexual violence against children.</w:t>
      </w:r>
    </w:p>
    <w:p w14:paraId="5225085A"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r w:rsidRPr="003272DE">
        <w:rPr>
          <w:rFonts w:eastAsia="Calibri"/>
          <w:sz w:val="22"/>
          <w:szCs w:val="22"/>
        </w:rPr>
        <w:t xml:space="preserve">Since the entry into force of the Convention in 2010, the Committee has continued to interpret the Convention and develop guidance for States to strengthen the protection of children from sexual abuse facilitated by ICTs: </w:t>
      </w:r>
    </w:p>
    <w:p w14:paraId="71BE3757" w14:textId="77777777" w:rsidR="003272DE" w:rsidRPr="003272DE" w:rsidRDefault="006D21AD"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u w:val="single"/>
        </w:rPr>
      </w:pPr>
      <w:hyperlink r:id="rId11" w:history="1">
        <w:r w:rsidR="003272DE" w:rsidRPr="003272DE">
          <w:rPr>
            <w:rFonts w:eastAsia="Calibri"/>
            <w:color w:val="0563C1"/>
            <w:sz w:val="22"/>
            <w:szCs w:val="22"/>
            <w:u w:val="single"/>
            <w:lang w:val="en-US"/>
          </w:rPr>
          <w:t xml:space="preserve">Opinion on Article 23 - Solicitation of children for sexual purposes through </w:t>
        </w:r>
      </w:hyperlink>
      <w:hyperlink r:id="rId12" w:history="1">
        <w:r w:rsidR="003272DE" w:rsidRPr="003272DE">
          <w:rPr>
            <w:rFonts w:eastAsia="Calibri"/>
            <w:color w:val="0563C1"/>
            <w:sz w:val="22"/>
            <w:szCs w:val="22"/>
            <w:u w:val="single"/>
            <w:lang w:val="en-US"/>
          </w:rPr>
          <w:t>ICTs</w:t>
        </w:r>
      </w:hyperlink>
      <w:hyperlink r:id="rId13" w:history="1">
        <w:r w:rsidR="003272DE" w:rsidRPr="003272DE">
          <w:rPr>
            <w:rFonts w:eastAsia="Calibri"/>
            <w:color w:val="0563C1"/>
            <w:sz w:val="22"/>
            <w:szCs w:val="22"/>
            <w:u w:val="single"/>
            <w:lang w:val="en-US"/>
          </w:rPr>
          <w:t xml:space="preserve"> (Grooming) </w:t>
        </w:r>
      </w:hyperlink>
      <w:r w:rsidR="003272DE" w:rsidRPr="003272DE">
        <w:rPr>
          <w:rFonts w:eastAsia="Calibri"/>
          <w:sz w:val="22"/>
          <w:szCs w:val="22"/>
        </w:rPr>
        <w:t>– to respond to evolution in forms of abuse including the increase in grooming and sexual abuse taking place solely online (without a physical meeting) the Committee updated the interpretation of the convention to include grooming behaviours even when this is not followed by material acts in view of a meeting.</w:t>
      </w:r>
    </w:p>
    <w:p w14:paraId="295DEBDC" w14:textId="77777777" w:rsidR="003272DE" w:rsidRPr="003272DE" w:rsidRDefault="006D21AD"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hyperlink r:id="rId14" w:history="1">
        <w:r w:rsidR="003272DE" w:rsidRPr="003272DE">
          <w:rPr>
            <w:rFonts w:eastAsia="Calibri"/>
            <w:color w:val="0563C1"/>
            <w:sz w:val="22"/>
            <w:szCs w:val="22"/>
            <w:u w:val="single"/>
            <w:lang w:val="en-US"/>
          </w:rPr>
          <w:t xml:space="preserve">Interpretative Opinion on the applicability of the Lanzarote Convention to sexual offences against children facilitated through ICTs </w:t>
        </w:r>
      </w:hyperlink>
      <w:r w:rsidR="003272DE" w:rsidRPr="003272DE">
        <w:rPr>
          <w:rFonts w:eastAsia="Calibri"/>
          <w:sz w:val="22"/>
          <w:szCs w:val="22"/>
        </w:rPr>
        <w:t xml:space="preserve">the Committee confirms that sexual exploitation and sexual abuse must be criminalised whatever means are used by the offender to commit the crime, including where this is through ICTs even if the Convention Article does not explicitly refer to ICTs. </w:t>
      </w:r>
    </w:p>
    <w:p w14:paraId="132E1617" w14:textId="32913797" w:rsidR="003272DE" w:rsidRPr="003272DE" w:rsidRDefault="006D21AD"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u w:val="single"/>
        </w:rPr>
      </w:pPr>
      <w:hyperlink r:id="rId15" w:history="1">
        <w:r w:rsidR="003272DE" w:rsidRPr="003272DE">
          <w:rPr>
            <w:rFonts w:eastAsia="Calibri"/>
            <w:color w:val="0563C1"/>
            <w:sz w:val="22"/>
            <w:szCs w:val="22"/>
            <w:u w:val="single"/>
            <w:lang w:val="en-US"/>
          </w:rPr>
          <w:t xml:space="preserve">Opinion on child sexually suggestive or explicit images and/or videos generated, </w:t>
        </w:r>
        <w:proofErr w:type="gramStart"/>
        <w:r w:rsidR="003272DE" w:rsidRPr="003272DE">
          <w:rPr>
            <w:rFonts w:eastAsia="Calibri"/>
            <w:color w:val="0563C1"/>
            <w:sz w:val="22"/>
            <w:szCs w:val="22"/>
            <w:u w:val="single"/>
            <w:lang w:val="en-US"/>
          </w:rPr>
          <w:t>shared</w:t>
        </w:r>
        <w:proofErr w:type="gramEnd"/>
        <w:r w:rsidR="003272DE" w:rsidRPr="003272DE">
          <w:rPr>
            <w:rFonts w:eastAsia="Calibri"/>
            <w:color w:val="0563C1"/>
            <w:sz w:val="22"/>
            <w:szCs w:val="22"/>
            <w:u w:val="single"/>
            <w:lang w:val="en-US"/>
          </w:rPr>
          <w:t xml:space="preserve"> and received by children </w:t>
        </w:r>
      </w:hyperlink>
      <w:r w:rsidR="003272DE" w:rsidRPr="003272DE">
        <w:rPr>
          <w:rFonts w:eastAsia="Calibri"/>
          <w:sz w:val="22"/>
          <w:szCs w:val="22"/>
        </w:rPr>
        <w:t xml:space="preserve">confirms that such images should be considered the result of abusive or exploitative conduct and that children depicted should be referred to victim support services not subject to criminal prosecution. </w:t>
      </w:r>
      <w:r w:rsidR="00C15FD8">
        <w:rPr>
          <w:rFonts w:eastAsia="Calibri"/>
          <w:sz w:val="22"/>
          <w:szCs w:val="22"/>
        </w:rPr>
        <w:t>The Opinion a</w:t>
      </w:r>
      <w:r w:rsidR="003272DE" w:rsidRPr="003272DE">
        <w:rPr>
          <w:rFonts w:eastAsia="Calibri"/>
          <w:sz w:val="22"/>
          <w:szCs w:val="22"/>
        </w:rPr>
        <w:t>lso aims to protect children from criminalisation when they make images or videos for their own private use or consensually share them with their boyfriend/girlfriend, in such cases criminal prosecution should only be a last resort in certain circumstances (</w:t>
      </w:r>
      <w:proofErr w:type="gramStart"/>
      <w:r w:rsidR="003272DE" w:rsidRPr="003272DE">
        <w:rPr>
          <w:rFonts w:eastAsia="Calibri"/>
          <w:sz w:val="22"/>
          <w:szCs w:val="22"/>
        </w:rPr>
        <w:t>e.g.</w:t>
      </w:r>
      <w:proofErr w:type="gramEnd"/>
      <w:r w:rsidR="003272DE" w:rsidRPr="003272DE">
        <w:rPr>
          <w:rFonts w:eastAsia="Calibri"/>
          <w:sz w:val="22"/>
          <w:szCs w:val="22"/>
        </w:rPr>
        <w:t xml:space="preserve"> if they knowingly and intentionally share images or videos). </w:t>
      </w:r>
    </w:p>
    <w:p w14:paraId="6A12288D"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ind w:left="720"/>
        <w:jc w:val="both"/>
        <w:textAlignment w:val="auto"/>
        <w:rPr>
          <w:rFonts w:eastAsia="Calibri"/>
          <w:sz w:val="22"/>
          <w:szCs w:val="22"/>
        </w:rPr>
      </w:pPr>
    </w:p>
    <w:p w14:paraId="55AA8BE7"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sz w:val="22"/>
          <w:szCs w:val="22"/>
          <w:u w:val="single"/>
        </w:rPr>
      </w:pPr>
      <w:r w:rsidRPr="003272DE">
        <w:rPr>
          <w:rFonts w:eastAsia="Calibri"/>
          <w:sz w:val="22"/>
          <w:szCs w:val="22"/>
          <w:u w:val="single"/>
        </w:rPr>
        <w:t xml:space="preserve">Last monitoring round was on child self-generated sexual </w:t>
      </w:r>
      <w:proofErr w:type="gramStart"/>
      <w:r w:rsidRPr="003272DE">
        <w:rPr>
          <w:rFonts w:eastAsia="Calibri"/>
          <w:sz w:val="22"/>
          <w:szCs w:val="22"/>
          <w:u w:val="single"/>
        </w:rPr>
        <w:t>material</w:t>
      </w:r>
      <w:proofErr w:type="gramEnd"/>
    </w:p>
    <w:p w14:paraId="0AC5FF3A" w14:textId="77777777" w:rsidR="003272DE" w:rsidRPr="003272DE" w:rsidRDefault="003272DE" w:rsidP="003272DE">
      <w:pPr>
        <w:numPr>
          <w:ilvl w:val="0"/>
          <w:numId w:val="3"/>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pacing w:val="-1"/>
          <w:sz w:val="22"/>
          <w:szCs w:val="22"/>
        </w:rPr>
      </w:pPr>
      <w:r w:rsidRPr="003272DE">
        <w:rPr>
          <w:rFonts w:eastAsia="Calibri"/>
          <w:spacing w:val="-1"/>
          <w:sz w:val="22"/>
          <w:szCs w:val="22"/>
        </w:rPr>
        <w:t xml:space="preserve">Aware of the increase in new forms of OCSEA, and particularly concerned by the exponential increase in offences committed using </w:t>
      </w:r>
      <w:r w:rsidRPr="003272DE">
        <w:rPr>
          <w:rFonts w:eastAsia="Calibri"/>
          <w:b/>
          <w:bCs/>
          <w:spacing w:val="-1"/>
          <w:sz w:val="22"/>
          <w:szCs w:val="22"/>
        </w:rPr>
        <w:t xml:space="preserve">child self-generated sexual material, </w:t>
      </w:r>
      <w:r w:rsidRPr="003272DE">
        <w:rPr>
          <w:rFonts w:eastAsia="Calibri"/>
          <w:spacing w:val="-1"/>
          <w:sz w:val="22"/>
          <w:szCs w:val="22"/>
        </w:rPr>
        <w:t>the Committee decided to carry its 2</w:t>
      </w:r>
      <w:r w:rsidRPr="003272DE">
        <w:rPr>
          <w:rFonts w:eastAsia="Calibri"/>
          <w:spacing w:val="-1"/>
          <w:sz w:val="22"/>
          <w:szCs w:val="22"/>
          <w:vertAlign w:val="superscript"/>
        </w:rPr>
        <w:t>nd</w:t>
      </w:r>
      <w:r w:rsidRPr="003272DE">
        <w:rPr>
          <w:rFonts w:eastAsia="Calibri"/>
          <w:spacing w:val="-1"/>
          <w:sz w:val="22"/>
          <w:szCs w:val="22"/>
        </w:rPr>
        <w:t xml:space="preserve"> monitoring round on the challenges raised by such material.</w:t>
      </w:r>
      <w:r w:rsidRPr="003272DE">
        <w:rPr>
          <w:rFonts w:eastAsia="Calibri"/>
          <w:b/>
          <w:bCs/>
          <w:spacing w:val="-1"/>
          <w:sz w:val="22"/>
          <w:szCs w:val="22"/>
        </w:rPr>
        <w:t xml:space="preserve"> </w:t>
      </w:r>
    </w:p>
    <w:p w14:paraId="68DD1388" w14:textId="389E7486" w:rsidR="003272DE" w:rsidRPr="003272DE" w:rsidRDefault="003272DE" w:rsidP="003272DE">
      <w:pPr>
        <w:numPr>
          <w:ilvl w:val="0"/>
          <w:numId w:val="3"/>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pacing w:val="-1"/>
          <w:sz w:val="22"/>
          <w:szCs w:val="22"/>
        </w:rPr>
      </w:pPr>
      <w:r w:rsidRPr="003272DE">
        <w:rPr>
          <w:rFonts w:eastAsia="Calibri"/>
          <w:spacing w:val="-1"/>
          <w:sz w:val="22"/>
          <w:szCs w:val="22"/>
        </w:rPr>
        <w:t xml:space="preserve">In October 2023, the Committee published: </w:t>
      </w:r>
      <w:r w:rsidRPr="003272DE">
        <w:rPr>
          <w:rFonts w:eastAsia="Calibri"/>
          <w:b/>
          <w:bCs/>
          <w:spacing w:val="-1"/>
          <w:sz w:val="22"/>
          <w:szCs w:val="22"/>
        </w:rPr>
        <w:t>thematic</w:t>
      </w:r>
      <w:r w:rsidRPr="003272DE">
        <w:rPr>
          <w:rFonts w:eastAsia="Calibri"/>
          <w:spacing w:val="-1"/>
          <w:sz w:val="22"/>
          <w:szCs w:val="22"/>
        </w:rPr>
        <w:t xml:space="preserve"> and </w:t>
      </w:r>
      <w:r w:rsidRPr="003272DE">
        <w:rPr>
          <w:rFonts w:eastAsia="Calibri"/>
          <w:b/>
          <w:bCs/>
          <w:spacing w:val="-1"/>
          <w:sz w:val="22"/>
          <w:szCs w:val="22"/>
        </w:rPr>
        <w:t xml:space="preserve">country </w:t>
      </w:r>
      <w:hyperlink r:id="rId16" w:history="1">
        <w:r w:rsidRPr="00C15FD8">
          <w:rPr>
            <w:rStyle w:val="Hyperlink"/>
            <w:rFonts w:eastAsia="Calibri"/>
            <w:b/>
            <w:bCs/>
            <w:spacing w:val="-1"/>
            <w:sz w:val="22"/>
            <w:szCs w:val="22"/>
          </w:rPr>
          <w:t>factsheets</w:t>
        </w:r>
      </w:hyperlink>
      <w:r w:rsidRPr="003272DE">
        <w:rPr>
          <w:rFonts w:eastAsia="Calibri"/>
          <w:spacing w:val="-1"/>
          <w:sz w:val="22"/>
          <w:szCs w:val="22"/>
        </w:rPr>
        <w:t xml:space="preserve"> containing its main findings on the challenges raised by child self-generated sexual material. </w:t>
      </w:r>
    </w:p>
    <w:p w14:paraId="044342D8"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pacing w:val="-1"/>
          <w:sz w:val="22"/>
          <w:szCs w:val="22"/>
          <w:u w:val="single"/>
        </w:rPr>
      </w:pPr>
      <w:r w:rsidRPr="003272DE">
        <w:rPr>
          <w:rFonts w:eastAsia="Calibri"/>
          <w:spacing w:val="-1"/>
          <w:sz w:val="22"/>
          <w:szCs w:val="22"/>
          <w:u w:val="single"/>
        </w:rPr>
        <w:lastRenderedPageBreak/>
        <w:t xml:space="preserve">Examples of key recommendations, good practices and challenges identified by the </w:t>
      </w:r>
      <w:proofErr w:type="gramStart"/>
      <w:r w:rsidRPr="003272DE">
        <w:rPr>
          <w:rFonts w:eastAsia="Calibri"/>
          <w:spacing w:val="-1"/>
          <w:sz w:val="22"/>
          <w:szCs w:val="22"/>
          <w:u w:val="single"/>
        </w:rPr>
        <w:t>Committee</w:t>
      </w:r>
      <w:proofErr w:type="gramEnd"/>
      <w:r w:rsidRPr="003272DE">
        <w:rPr>
          <w:rFonts w:eastAsia="Calibri"/>
          <w:spacing w:val="-1"/>
          <w:sz w:val="22"/>
          <w:szCs w:val="22"/>
          <w:u w:val="single"/>
        </w:rPr>
        <w:t xml:space="preserve"> </w:t>
      </w:r>
    </w:p>
    <w:p w14:paraId="2368044E" w14:textId="7C1B6F92" w:rsidR="003272DE" w:rsidRPr="003272DE" w:rsidRDefault="00C15FD8" w:rsidP="003272DE">
      <w:pPr>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i/>
          <w:iCs/>
          <w:sz w:val="20"/>
        </w:rPr>
      </w:pPr>
      <w:r>
        <w:rPr>
          <w:rFonts w:eastAsia="Calibri" w:cs="Calibri"/>
          <w:i/>
          <w:iCs/>
          <w:sz w:val="22"/>
          <w:szCs w:val="28"/>
        </w:rPr>
        <w:t>Key r</w:t>
      </w:r>
      <w:r w:rsidR="003272DE" w:rsidRPr="003272DE">
        <w:rPr>
          <w:rFonts w:eastAsia="Calibri" w:cs="Calibri"/>
          <w:i/>
          <w:iCs/>
          <w:sz w:val="22"/>
          <w:szCs w:val="28"/>
        </w:rPr>
        <w:t xml:space="preserve">ecommendations: </w:t>
      </w:r>
    </w:p>
    <w:p w14:paraId="6879E1C6" w14:textId="3CD9D78D"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cs="Calibri"/>
          <w:sz w:val="22"/>
          <w:szCs w:val="28"/>
        </w:rPr>
      </w:pPr>
      <w:r w:rsidRPr="003272DE">
        <w:rPr>
          <w:rFonts w:eastAsia="Calibri" w:cs="Calibri"/>
          <w:sz w:val="22"/>
          <w:szCs w:val="28"/>
        </w:rPr>
        <w:t>Terminology:</w:t>
      </w:r>
      <w:r w:rsidR="00C15FD8">
        <w:rPr>
          <w:rFonts w:eastAsia="Calibri" w:cs="Calibri"/>
          <w:sz w:val="22"/>
          <w:szCs w:val="28"/>
        </w:rPr>
        <w:t xml:space="preserve"> refer to </w:t>
      </w:r>
      <w:r w:rsidRPr="003272DE">
        <w:rPr>
          <w:rFonts w:eastAsia="Calibri" w:cs="Calibri"/>
          <w:sz w:val="22"/>
          <w:szCs w:val="28"/>
        </w:rPr>
        <w:t>child sexual abuse material</w:t>
      </w:r>
      <w:r w:rsidR="00C15FD8">
        <w:rPr>
          <w:rFonts w:eastAsia="Calibri" w:cs="Calibri"/>
          <w:sz w:val="22"/>
          <w:szCs w:val="28"/>
        </w:rPr>
        <w:t xml:space="preserve"> (CSAM)</w:t>
      </w:r>
      <w:r w:rsidRPr="003272DE">
        <w:rPr>
          <w:rFonts w:eastAsia="Calibri" w:cs="Calibri"/>
          <w:sz w:val="22"/>
          <w:szCs w:val="28"/>
        </w:rPr>
        <w:t xml:space="preserve"> rather than </w:t>
      </w:r>
      <w:r w:rsidR="00C15FD8">
        <w:rPr>
          <w:rFonts w:eastAsia="Calibri" w:cs="Calibri"/>
          <w:sz w:val="22"/>
          <w:szCs w:val="28"/>
        </w:rPr>
        <w:t>“</w:t>
      </w:r>
      <w:r w:rsidRPr="003272DE">
        <w:rPr>
          <w:rFonts w:eastAsia="Calibri" w:cs="Calibri"/>
          <w:sz w:val="22"/>
          <w:szCs w:val="28"/>
        </w:rPr>
        <w:t>child pornography</w:t>
      </w:r>
      <w:r w:rsidR="00C15FD8">
        <w:rPr>
          <w:rFonts w:eastAsia="Calibri" w:cs="Calibri"/>
          <w:sz w:val="22"/>
          <w:szCs w:val="28"/>
        </w:rPr>
        <w:t>”</w:t>
      </w:r>
    </w:p>
    <w:p w14:paraId="26D76709" w14:textId="7FB17A70"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cs="Calibri"/>
          <w:sz w:val="22"/>
          <w:szCs w:val="28"/>
        </w:rPr>
      </w:pPr>
      <w:r w:rsidRPr="003272DE">
        <w:rPr>
          <w:rFonts w:eastAsia="Calibri" w:cs="Calibri"/>
          <w:sz w:val="22"/>
          <w:szCs w:val="28"/>
        </w:rPr>
        <w:t>Introduce definitions of child sexual abuse material into legal frameworks</w:t>
      </w:r>
      <w:r w:rsidR="00C15FD8">
        <w:rPr>
          <w:rFonts w:eastAsia="Calibri" w:cs="Calibri"/>
          <w:sz w:val="22"/>
          <w:szCs w:val="28"/>
        </w:rPr>
        <w:t xml:space="preserve"> (see Article 20 of the Convention). </w:t>
      </w:r>
    </w:p>
    <w:p w14:paraId="309892A5"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Children should not be prosecuted for possessing their own material, the material of another child (with his/her informed consent) and the material of another child </w:t>
      </w:r>
      <w:proofErr w:type="gramStart"/>
      <w:r w:rsidRPr="003272DE">
        <w:rPr>
          <w:rFonts w:eastAsia="Calibri" w:cs="Calibri"/>
          <w:sz w:val="22"/>
          <w:szCs w:val="28"/>
        </w:rPr>
        <w:t>as a result of</w:t>
      </w:r>
      <w:proofErr w:type="gramEnd"/>
      <w:r w:rsidRPr="003272DE">
        <w:rPr>
          <w:rFonts w:eastAsia="Calibri" w:cs="Calibri"/>
          <w:sz w:val="22"/>
          <w:szCs w:val="28"/>
        </w:rPr>
        <w:t xml:space="preserve"> receiving such material without actively asking for it. (</w:t>
      </w:r>
      <w:proofErr w:type="gramStart"/>
      <w:r w:rsidRPr="003272DE">
        <w:rPr>
          <w:rFonts w:eastAsia="Calibri" w:cs="Calibri"/>
          <w:sz w:val="22"/>
          <w:szCs w:val="28"/>
        </w:rPr>
        <w:t>e.g.</w:t>
      </w:r>
      <w:proofErr w:type="gramEnd"/>
      <w:r w:rsidRPr="003272DE">
        <w:rPr>
          <w:rFonts w:eastAsia="Calibri" w:cs="Calibri"/>
          <w:sz w:val="22"/>
          <w:szCs w:val="28"/>
        </w:rPr>
        <w:t xml:space="preserve"> as a result of photos being shared among the whole school)</w:t>
      </w:r>
    </w:p>
    <w:p w14:paraId="683E9DA1" w14:textId="3AACF61B"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Ensure that use of self-generated images and/or videos to force, coerce or threaten the child</w:t>
      </w:r>
      <w:r w:rsidR="00C15FD8">
        <w:rPr>
          <w:rFonts w:eastAsia="Calibri" w:cs="Calibri"/>
          <w:sz w:val="22"/>
          <w:szCs w:val="28"/>
        </w:rPr>
        <w:t xml:space="preserve">, for example </w:t>
      </w:r>
      <w:r w:rsidRPr="003272DE">
        <w:rPr>
          <w:rFonts w:eastAsia="Calibri" w:cs="Calibri"/>
          <w:sz w:val="22"/>
          <w:szCs w:val="28"/>
        </w:rPr>
        <w:t xml:space="preserve">to produce more materials, other sexual favours, financial </w:t>
      </w:r>
      <w:proofErr w:type="gramStart"/>
      <w:r w:rsidRPr="003272DE">
        <w:rPr>
          <w:rFonts w:eastAsia="Calibri" w:cs="Calibri"/>
          <w:sz w:val="22"/>
          <w:szCs w:val="28"/>
        </w:rPr>
        <w:t>gain</w:t>
      </w:r>
      <w:proofErr w:type="gramEnd"/>
      <w:r w:rsidRPr="003272DE">
        <w:rPr>
          <w:rFonts w:eastAsia="Calibri" w:cs="Calibri"/>
          <w:sz w:val="22"/>
          <w:szCs w:val="28"/>
        </w:rPr>
        <w:t xml:space="preserve"> or other gain by offenders</w:t>
      </w:r>
      <w:r w:rsidR="00C15FD8">
        <w:rPr>
          <w:rFonts w:eastAsia="Calibri" w:cs="Calibri"/>
          <w:sz w:val="22"/>
          <w:szCs w:val="28"/>
        </w:rPr>
        <w:t xml:space="preserve">, </w:t>
      </w:r>
      <w:r w:rsidRPr="003272DE">
        <w:rPr>
          <w:rFonts w:eastAsia="Calibri" w:cs="Calibri"/>
          <w:sz w:val="22"/>
          <w:szCs w:val="28"/>
        </w:rPr>
        <w:t xml:space="preserve">is criminalised. </w:t>
      </w:r>
    </w:p>
    <w:p w14:paraId="45321396" w14:textId="2ACAA1C6"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Ensure jurisdiction over transnational cases of </w:t>
      </w:r>
      <w:r w:rsidR="00C15FD8">
        <w:rPr>
          <w:rFonts w:eastAsia="Calibri" w:cs="Calibri"/>
          <w:sz w:val="22"/>
          <w:szCs w:val="28"/>
        </w:rPr>
        <w:t>child sexual exploitation and sexual abuse</w:t>
      </w:r>
      <w:r w:rsidRPr="003272DE">
        <w:rPr>
          <w:rFonts w:eastAsia="Calibri" w:cs="Calibri"/>
          <w:sz w:val="22"/>
          <w:szCs w:val="28"/>
        </w:rPr>
        <w:t xml:space="preserve"> (particularly relevant in cases of CSAM/live streaming of abuse</w:t>
      </w:r>
      <w:r w:rsidR="00C15FD8">
        <w:rPr>
          <w:rFonts w:eastAsia="Calibri" w:cs="Calibri"/>
          <w:sz w:val="22"/>
          <w:szCs w:val="28"/>
        </w:rPr>
        <w:t>, see Article 25 of the Convention</w:t>
      </w:r>
      <w:r w:rsidRPr="003272DE">
        <w:rPr>
          <w:rFonts w:eastAsia="Calibri" w:cs="Calibri"/>
          <w:sz w:val="22"/>
          <w:szCs w:val="28"/>
        </w:rPr>
        <w:t>).</w:t>
      </w:r>
    </w:p>
    <w:p w14:paraId="2D264320" w14:textId="7A7A9026"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Ensure that prosecutions can be initiated regardless of </w:t>
      </w:r>
      <w:proofErr w:type="gramStart"/>
      <w:r w:rsidRPr="003272DE">
        <w:rPr>
          <w:rFonts w:eastAsia="Calibri" w:cs="Calibri"/>
          <w:sz w:val="22"/>
          <w:szCs w:val="28"/>
        </w:rPr>
        <w:t>whether or not</w:t>
      </w:r>
      <w:proofErr w:type="gramEnd"/>
      <w:r w:rsidRPr="003272DE">
        <w:rPr>
          <w:rFonts w:eastAsia="Calibri" w:cs="Calibri"/>
          <w:sz w:val="22"/>
          <w:szCs w:val="28"/>
        </w:rPr>
        <w:t xml:space="preserve"> a victim has made a report or registered a complaint (</w:t>
      </w:r>
      <w:r w:rsidRPr="003272DE">
        <w:rPr>
          <w:rFonts w:eastAsia="Calibri" w:cs="Calibri"/>
          <w:i/>
          <w:iCs/>
          <w:sz w:val="22"/>
          <w:szCs w:val="28"/>
        </w:rPr>
        <w:t>ex officio</w:t>
      </w:r>
      <w:r w:rsidRPr="003272DE">
        <w:rPr>
          <w:rFonts w:eastAsia="Calibri" w:cs="Calibri"/>
          <w:sz w:val="22"/>
          <w:szCs w:val="28"/>
        </w:rPr>
        <w:t>)</w:t>
      </w:r>
      <w:r w:rsidR="00C15FD8">
        <w:rPr>
          <w:rFonts w:eastAsia="Calibri" w:cs="Calibri"/>
          <w:sz w:val="22"/>
          <w:szCs w:val="28"/>
        </w:rPr>
        <w:t xml:space="preserve"> (see Article 32 of the Convention)</w:t>
      </w:r>
      <w:r w:rsidRPr="003272DE">
        <w:rPr>
          <w:rFonts w:eastAsia="Calibri" w:cs="Calibri"/>
          <w:sz w:val="22"/>
          <w:szCs w:val="28"/>
        </w:rPr>
        <w:t xml:space="preserve">. </w:t>
      </w:r>
    </w:p>
    <w:p w14:paraId="2FE9F01A" w14:textId="34161A9C" w:rsidR="003272DE" w:rsidRPr="005C6378"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Remove requirements for dual criminality. </w:t>
      </w:r>
    </w:p>
    <w:p w14:paraId="4C849BA4" w14:textId="77777777" w:rsidR="005C6378" w:rsidRPr="003272DE" w:rsidRDefault="005C6378" w:rsidP="005C6378">
      <w:pPr>
        <w:tabs>
          <w:tab w:val="clear" w:pos="567"/>
          <w:tab w:val="clear" w:pos="1134"/>
          <w:tab w:val="clear" w:pos="1701"/>
          <w:tab w:val="clear" w:pos="2268"/>
          <w:tab w:val="clear" w:pos="2835"/>
        </w:tabs>
        <w:overflowPunct/>
        <w:autoSpaceDE/>
        <w:autoSpaceDN/>
        <w:adjustRightInd/>
        <w:spacing w:before="0" w:after="160" w:line="259" w:lineRule="auto"/>
        <w:ind w:left="1440"/>
        <w:contextualSpacing/>
        <w:jc w:val="both"/>
        <w:textAlignment w:val="auto"/>
        <w:rPr>
          <w:rFonts w:eastAsia="Calibri"/>
          <w:sz w:val="20"/>
        </w:rPr>
      </w:pPr>
    </w:p>
    <w:p w14:paraId="3CACE83E" w14:textId="77777777" w:rsidR="003272DE" w:rsidRPr="003272DE" w:rsidRDefault="003272DE" w:rsidP="003272DE">
      <w:pPr>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i/>
          <w:iCs/>
          <w:sz w:val="20"/>
        </w:rPr>
      </w:pPr>
      <w:r w:rsidRPr="003272DE">
        <w:rPr>
          <w:rFonts w:eastAsia="Calibri" w:cs="Calibri"/>
          <w:i/>
          <w:iCs/>
          <w:sz w:val="22"/>
          <w:szCs w:val="28"/>
        </w:rPr>
        <w:t xml:space="preserve">Promising practices: </w:t>
      </w:r>
    </w:p>
    <w:p w14:paraId="50566159"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Most Parties have specialised units dealing with ICT-facilitated offences against children within law enforcement and have training modules in place for law enforcement agents, prosecutors and judges related to aspects of child sexual exploitation and sexual abuse.</w:t>
      </w:r>
    </w:p>
    <w:p w14:paraId="1CE17078" w14:textId="30EC5414"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proofErr w:type="gramStart"/>
      <w:r w:rsidRPr="003272DE">
        <w:rPr>
          <w:rFonts w:eastAsia="Calibri" w:cs="Calibri"/>
          <w:sz w:val="22"/>
          <w:szCs w:val="28"/>
        </w:rPr>
        <w:t>A number of</w:t>
      </w:r>
      <w:proofErr w:type="gramEnd"/>
      <w:r w:rsidRPr="003272DE">
        <w:rPr>
          <w:rFonts w:eastAsia="Calibri" w:cs="Calibri"/>
          <w:sz w:val="22"/>
          <w:szCs w:val="28"/>
        </w:rPr>
        <w:t xml:space="preserve"> Parties apply a </w:t>
      </w:r>
      <w:r w:rsidR="005C6378">
        <w:rPr>
          <w:rFonts w:eastAsia="Calibri" w:cs="Calibri"/>
          <w:sz w:val="22"/>
          <w:szCs w:val="28"/>
        </w:rPr>
        <w:t>form</w:t>
      </w:r>
      <w:r w:rsidRPr="003272DE">
        <w:rPr>
          <w:rFonts w:eastAsia="Calibri" w:cs="Calibri"/>
          <w:sz w:val="22"/>
          <w:szCs w:val="28"/>
        </w:rPr>
        <w:t xml:space="preserve"> of “universal” jurisdiction principle in cases related to CSAM allowing for prosecution to be initiated regardless of whether or not the behaviour is criminalised in the country of the nationality or place of habitual residence of the victim or the perpetrator.</w:t>
      </w:r>
    </w:p>
    <w:p w14:paraId="0FA47CF8" w14:textId="576CFF92" w:rsid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sz w:val="22"/>
          <w:szCs w:val="22"/>
        </w:rPr>
        <w:t xml:space="preserve">Most </w:t>
      </w:r>
      <w:r w:rsidR="005C6378">
        <w:rPr>
          <w:rFonts w:eastAsia="Calibri"/>
          <w:sz w:val="22"/>
          <w:szCs w:val="22"/>
        </w:rPr>
        <w:t>P</w:t>
      </w:r>
      <w:r w:rsidRPr="003272DE">
        <w:rPr>
          <w:rFonts w:eastAsia="Calibri"/>
          <w:sz w:val="22"/>
          <w:szCs w:val="22"/>
        </w:rPr>
        <w:t>arties co-ordinate with civil society partners in the prevention of child sexual abuse and exploitation, including where this is facilitated by ICTs, through victim support services and awareness raising initiatives.</w:t>
      </w:r>
    </w:p>
    <w:p w14:paraId="7B425DCA" w14:textId="77777777" w:rsidR="005C6378" w:rsidRPr="003272DE" w:rsidRDefault="005C6378" w:rsidP="005C6378">
      <w:pPr>
        <w:tabs>
          <w:tab w:val="clear" w:pos="567"/>
          <w:tab w:val="clear" w:pos="1134"/>
          <w:tab w:val="clear" w:pos="1701"/>
          <w:tab w:val="clear" w:pos="2268"/>
          <w:tab w:val="clear" w:pos="2835"/>
        </w:tabs>
        <w:overflowPunct/>
        <w:autoSpaceDE/>
        <w:autoSpaceDN/>
        <w:adjustRightInd/>
        <w:spacing w:before="0" w:after="160" w:line="259" w:lineRule="auto"/>
        <w:ind w:left="1440"/>
        <w:contextualSpacing/>
        <w:jc w:val="both"/>
        <w:textAlignment w:val="auto"/>
        <w:rPr>
          <w:rFonts w:eastAsia="Calibri"/>
          <w:sz w:val="22"/>
          <w:szCs w:val="22"/>
        </w:rPr>
      </w:pPr>
    </w:p>
    <w:p w14:paraId="345AF39C" w14:textId="77777777" w:rsidR="003272DE" w:rsidRPr="003272DE" w:rsidRDefault="003272DE" w:rsidP="003272DE">
      <w:pPr>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i/>
          <w:iCs/>
          <w:sz w:val="20"/>
        </w:rPr>
      </w:pPr>
      <w:proofErr w:type="gramStart"/>
      <w:r w:rsidRPr="003272DE">
        <w:rPr>
          <w:rFonts w:eastAsia="Calibri" w:cs="Calibri"/>
          <w:i/>
          <w:iCs/>
          <w:sz w:val="22"/>
          <w:szCs w:val="28"/>
        </w:rPr>
        <w:t>Particular challenges</w:t>
      </w:r>
      <w:proofErr w:type="gramEnd"/>
      <w:r w:rsidRPr="003272DE">
        <w:rPr>
          <w:rFonts w:eastAsia="Calibri" w:cs="Calibri"/>
          <w:i/>
          <w:iCs/>
          <w:sz w:val="22"/>
          <w:szCs w:val="28"/>
        </w:rPr>
        <w:t xml:space="preserve">: </w:t>
      </w:r>
    </w:p>
    <w:p w14:paraId="20408662"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At the time the report was adopted (March 2022) only 11 Parties referred explicitly to child self-generated sexual material in their legal frameworks, and 8 Parties still did not have definitions of CSAM in the legislation. </w:t>
      </w:r>
    </w:p>
    <w:p w14:paraId="667027DA" w14:textId="22D6A5E1"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sz w:val="22"/>
          <w:szCs w:val="22"/>
        </w:rPr>
        <w:t xml:space="preserve">In </w:t>
      </w:r>
      <w:proofErr w:type="gramStart"/>
      <w:r w:rsidRPr="003272DE">
        <w:rPr>
          <w:rFonts w:eastAsia="Calibri"/>
          <w:sz w:val="22"/>
          <w:szCs w:val="22"/>
        </w:rPr>
        <w:t>the vast</w:t>
      </w:r>
      <w:r w:rsidR="005C6378">
        <w:rPr>
          <w:rFonts w:eastAsia="Calibri"/>
          <w:sz w:val="22"/>
          <w:szCs w:val="22"/>
        </w:rPr>
        <w:t xml:space="preserve"> </w:t>
      </w:r>
      <w:r w:rsidRPr="003272DE">
        <w:rPr>
          <w:rFonts w:eastAsia="Calibri"/>
          <w:sz w:val="22"/>
          <w:szCs w:val="22"/>
        </w:rPr>
        <w:t>majority of</w:t>
      </w:r>
      <w:proofErr w:type="gramEnd"/>
      <w:r w:rsidRPr="003272DE">
        <w:rPr>
          <w:rFonts w:eastAsia="Calibri"/>
          <w:sz w:val="22"/>
          <w:szCs w:val="22"/>
        </w:rPr>
        <w:t xml:space="preserve"> Parties children are still potentially criminally liable for distribution or transmission of images or videos that they have taken of themselves. </w:t>
      </w:r>
    </w:p>
    <w:p w14:paraId="77B5D69F" w14:textId="586704EF"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sz w:val="22"/>
          <w:szCs w:val="22"/>
        </w:rPr>
        <w:t>At the time the report was adopted</w:t>
      </w:r>
      <w:r w:rsidR="005C6378">
        <w:rPr>
          <w:rFonts w:eastAsia="Calibri"/>
          <w:sz w:val="22"/>
          <w:szCs w:val="22"/>
        </w:rPr>
        <w:t xml:space="preserve">, in </w:t>
      </w:r>
      <w:r w:rsidRPr="003272DE">
        <w:rPr>
          <w:rFonts w:eastAsia="Calibri"/>
          <w:sz w:val="22"/>
          <w:szCs w:val="22"/>
        </w:rPr>
        <w:t xml:space="preserve">15 Parties prosecution for offences related to CSAM </w:t>
      </w:r>
      <w:r w:rsidR="005C6378">
        <w:rPr>
          <w:rFonts w:eastAsia="Calibri"/>
          <w:sz w:val="22"/>
          <w:szCs w:val="22"/>
        </w:rPr>
        <w:t>could not</w:t>
      </w:r>
      <w:r w:rsidRPr="003272DE">
        <w:rPr>
          <w:rFonts w:eastAsia="Calibri"/>
          <w:sz w:val="22"/>
          <w:szCs w:val="22"/>
        </w:rPr>
        <w:t xml:space="preserve"> always be brought without the complaint by the victim (for example in 1 state prosecution </w:t>
      </w:r>
      <w:r w:rsidRPr="003272DE">
        <w:rPr>
          <w:rFonts w:eastAsia="Calibri"/>
          <w:i/>
          <w:iCs/>
          <w:sz w:val="22"/>
          <w:szCs w:val="22"/>
        </w:rPr>
        <w:t>ex officio</w:t>
      </w:r>
      <w:r w:rsidRPr="003272DE">
        <w:rPr>
          <w:rFonts w:eastAsia="Calibri"/>
          <w:sz w:val="22"/>
          <w:szCs w:val="22"/>
        </w:rPr>
        <w:t xml:space="preserve"> was only possible where the victim was a national) and 13 Parties still applied a principle of dual criminality for sexual offences against children.</w:t>
      </w:r>
    </w:p>
    <w:p w14:paraId="15F77857" w14:textId="77777777" w:rsidR="003272DE" w:rsidRPr="005C6378"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cs="Calibri"/>
          <w:sz w:val="22"/>
          <w:szCs w:val="28"/>
        </w:rPr>
        <w:t>Only a few Parties have support services specifically designed for child victims of online sexual abuse.</w:t>
      </w:r>
    </w:p>
    <w:p w14:paraId="56C13DB2" w14:textId="77777777" w:rsidR="005C6378" w:rsidRPr="00A51F6D" w:rsidRDefault="005C6378" w:rsidP="005C6378">
      <w:pPr>
        <w:tabs>
          <w:tab w:val="clear" w:pos="567"/>
          <w:tab w:val="clear" w:pos="1134"/>
          <w:tab w:val="clear" w:pos="1701"/>
          <w:tab w:val="clear" w:pos="2268"/>
          <w:tab w:val="clear" w:pos="2835"/>
        </w:tabs>
        <w:overflowPunct/>
        <w:autoSpaceDE/>
        <w:autoSpaceDN/>
        <w:adjustRightInd/>
        <w:spacing w:before="0" w:after="160" w:line="259" w:lineRule="auto"/>
        <w:ind w:left="1440"/>
        <w:contextualSpacing/>
        <w:jc w:val="both"/>
        <w:textAlignment w:val="auto"/>
        <w:rPr>
          <w:rFonts w:eastAsia="Calibri"/>
          <w:sz w:val="22"/>
          <w:szCs w:val="22"/>
        </w:rPr>
      </w:pPr>
    </w:p>
    <w:p w14:paraId="5D79BDF6" w14:textId="2EA228F4" w:rsidR="00A51F6D" w:rsidRDefault="00A51F6D" w:rsidP="00A51F6D">
      <w:p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cs="Calibri"/>
          <w:sz w:val="22"/>
          <w:szCs w:val="28"/>
        </w:rPr>
      </w:pPr>
      <w:r w:rsidRPr="00A51F6D">
        <w:rPr>
          <w:rFonts w:eastAsia="Calibri" w:cs="Calibri"/>
          <w:sz w:val="22"/>
          <w:szCs w:val="28"/>
          <w:u w:val="single"/>
        </w:rPr>
        <w:lastRenderedPageBreak/>
        <w:t>Upcoming</w:t>
      </w:r>
      <w:r>
        <w:rPr>
          <w:rFonts w:eastAsia="Calibri" w:cs="Calibri"/>
          <w:sz w:val="22"/>
          <w:szCs w:val="28"/>
        </w:rPr>
        <w:t xml:space="preserve">: </w:t>
      </w:r>
    </w:p>
    <w:p w14:paraId="7A9D58E9" w14:textId="57DA1EB7" w:rsidR="00A51F6D" w:rsidRDefault="005C6378" w:rsidP="00A51F6D">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r>
        <w:rPr>
          <w:rFonts w:eastAsia="Calibri"/>
          <w:sz w:val="22"/>
          <w:szCs w:val="22"/>
        </w:rPr>
        <w:t xml:space="preserve">The </w:t>
      </w:r>
      <w:r w:rsidR="00A51F6D">
        <w:rPr>
          <w:rFonts w:eastAsia="Calibri"/>
          <w:sz w:val="22"/>
          <w:szCs w:val="22"/>
        </w:rPr>
        <w:t xml:space="preserve">2024 theme of the annual </w:t>
      </w:r>
      <w:hyperlink r:id="rId17" w:history="1">
        <w:r w:rsidR="00A51F6D" w:rsidRPr="005C6378">
          <w:rPr>
            <w:rStyle w:val="Hyperlink"/>
            <w:rFonts w:eastAsia="Calibri"/>
            <w:sz w:val="22"/>
            <w:szCs w:val="22"/>
          </w:rPr>
          <w:t>awareness raising day</w:t>
        </w:r>
      </w:hyperlink>
      <w:r w:rsidR="00A51F6D">
        <w:rPr>
          <w:rFonts w:eastAsia="Calibri"/>
          <w:sz w:val="22"/>
          <w:szCs w:val="22"/>
        </w:rPr>
        <w:t xml:space="preserve"> and capacity building events is: emerging technologies: threats and opportunities to protect children from sexual exploitation and sexual abuse online. </w:t>
      </w:r>
    </w:p>
    <w:p w14:paraId="3B550363" w14:textId="6D63356A" w:rsidR="00A51F6D" w:rsidRPr="005C6378" w:rsidRDefault="00A51F6D" w:rsidP="00A51F6D">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r>
        <w:rPr>
          <w:rFonts w:eastAsia="Calibri"/>
          <w:sz w:val="22"/>
          <w:szCs w:val="22"/>
        </w:rPr>
        <w:t>Current monitoring round looking at sexual exploitation and sexual abuse of children in the “</w:t>
      </w:r>
      <w:hyperlink r:id="rId18" w:history="1">
        <w:r w:rsidRPr="005C6378">
          <w:rPr>
            <w:rStyle w:val="Hyperlink"/>
            <w:rFonts w:eastAsia="Calibri"/>
            <w:sz w:val="22"/>
            <w:szCs w:val="22"/>
          </w:rPr>
          <w:t>circle of trust</w:t>
        </w:r>
      </w:hyperlink>
      <w:r>
        <w:rPr>
          <w:rFonts w:eastAsia="Calibri"/>
          <w:sz w:val="22"/>
          <w:szCs w:val="22"/>
        </w:rPr>
        <w:t xml:space="preserve">” this </w:t>
      </w:r>
      <w:r w:rsidR="005C6378">
        <w:rPr>
          <w:rFonts w:eastAsia="Calibri"/>
          <w:sz w:val="22"/>
          <w:szCs w:val="22"/>
        </w:rPr>
        <w:t>includes</w:t>
      </w:r>
      <w:r>
        <w:rPr>
          <w:rFonts w:eastAsia="Calibri"/>
          <w:sz w:val="22"/>
          <w:szCs w:val="22"/>
        </w:rPr>
        <w:t xml:space="preserve"> persons in </w:t>
      </w:r>
      <w:r w:rsidR="005C6378">
        <w:rPr>
          <w:rFonts w:eastAsia="Calibri"/>
          <w:sz w:val="22"/>
          <w:szCs w:val="22"/>
        </w:rPr>
        <w:t xml:space="preserve">a </w:t>
      </w:r>
      <w:r>
        <w:rPr>
          <w:rFonts w:eastAsia="Calibri"/>
          <w:sz w:val="22"/>
          <w:szCs w:val="22"/>
        </w:rPr>
        <w:t xml:space="preserve">position of trust, authority or influence. </w:t>
      </w:r>
      <w:r w:rsidR="005C6378">
        <w:rPr>
          <w:rFonts w:eastAsia="Calibri"/>
          <w:sz w:val="22"/>
          <w:szCs w:val="22"/>
        </w:rPr>
        <w:t>The Committee is c</w:t>
      </w:r>
      <w:r>
        <w:rPr>
          <w:rFonts w:eastAsia="Calibri"/>
          <w:sz w:val="22"/>
          <w:szCs w:val="22"/>
        </w:rPr>
        <w:t>urrently analysing</w:t>
      </w:r>
      <w:r w:rsidR="005C6378">
        <w:rPr>
          <w:rFonts w:eastAsia="Calibri"/>
          <w:sz w:val="22"/>
          <w:szCs w:val="22"/>
        </w:rPr>
        <w:t xml:space="preserve"> the</w:t>
      </w:r>
      <w:r>
        <w:rPr>
          <w:rFonts w:eastAsia="Calibri"/>
          <w:sz w:val="22"/>
          <w:szCs w:val="22"/>
        </w:rPr>
        <w:t xml:space="preserve"> legal frameworks</w:t>
      </w:r>
      <w:r w:rsidR="005C6378">
        <w:rPr>
          <w:rFonts w:eastAsia="Calibri"/>
          <w:sz w:val="22"/>
          <w:szCs w:val="22"/>
        </w:rPr>
        <w:t xml:space="preserve"> in place</w:t>
      </w:r>
      <w:r>
        <w:rPr>
          <w:rFonts w:eastAsia="Calibri"/>
          <w:sz w:val="22"/>
          <w:szCs w:val="22"/>
        </w:rPr>
        <w:t>, will shortly be issuing a questionnaire to look at policies</w:t>
      </w:r>
      <w:r w:rsidR="005C6378">
        <w:rPr>
          <w:rFonts w:eastAsia="Calibri"/>
          <w:sz w:val="22"/>
          <w:szCs w:val="22"/>
        </w:rPr>
        <w:t xml:space="preserve"> to prevent and protect children</w:t>
      </w:r>
      <w:r>
        <w:rPr>
          <w:rFonts w:eastAsia="Calibri"/>
          <w:sz w:val="22"/>
          <w:szCs w:val="22"/>
        </w:rPr>
        <w:t xml:space="preserve">. We invite partners to contribute information in this context. The questionnaire will be published on our website along with State Parties responses. </w:t>
      </w:r>
      <w:r w:rsidR="005C6378">
        <w:rPr>
          <w:rFonts w:eastAsia="Calibri"/>
          <w:sz w:val="22"/>
          <w:szCs w:val="22"/>
        </w:rPr>
        <w:t>Additional information can be submitted to</w:t>
      </w:r>
      <w:r w:rsidRPr="005C6378">
        <w:rPr>
          <w:rFonts w:eastAsia="Calibri"/>
          <w:sz w:val="22"/>
          <w:szCs w:val="22"/>
        </w:rPr>
        <w:t xml:space="preserve">: </w:t>
      </w:r>
      <w:hyperlink r:id="rId19" w:history="1">
        <w:r w:rsidRPr="005C6378">
          <w:rPr>
            <w:rStyle w:val="Hyperlink"/>
            <w:rFonts w:eastAsia="Calibri"/>
            <w:sz w:val="22"/>
            <w:szCs w:val="22"/>
          </w:rPr>
          <w:t>Lanzarote.committee@coe.int</w:t>
        </w:r>
      </w:hyperlink>
      <w:r w:rsidRPr="005C6378">
        <w:rPr>
          <w:rFonts w:eastAsia="Calibri"/>
          <w:sz w:val="22"/>
          <w:szCs w:val="22"/>
        </w:rPr>
        <w:t xml:space="preserve"> </w:t>
      </w:r>
    </w:p>
    <w:p w14:paraId="51D06EB5"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u w:val="single"/>
        </w:rPr>
      </w:pPr>
      <w:r w:rsidRPr="003272DE">
        <w:rPr>
          <w:rFonts w:eastAsia="Calibri"/>
          <w:sz w:val="22"/>
          <w:szCs w:val="22"/>
          <w:u w:val="single"/>
        </w:rPr>
        <w:t xml:space="preserve">Other resources: </w:t>
      </w:r>
    </w:p>
    <w:p w14:paraId="257674B4" w14:textId="4903101B" w:rsidR="00A514A4" w:rsidRDefault="006D21AD" w:rsidP="003272DE">
      <w:pPr>
        <w:tabs>
          <w:tab w:val="clear" w:pos="567"/>
          <w:tab w:val="clear" w:pos="1134"/>
          <w:tab w:val="clear" w:pos="1701"/>
          <w:tab w:val="clear" w:pos="2268"/>
          <w:tab w:val="clear" w:pos="2835"/>
        </w:tabs>
        <w:overflowPunct/>
        <w:autoSpaceDE/>
        <w:autoSpaceDN/>
        <w:adjustRightInd/>
        <w:spacing w:before="0"/>
        <w:textAlignment w:val="auto"/>
        <w:rPr>
          <w:rFonts w:eastAsia="Calibri"/>
          <w:sz w:val="22"/>
          <w:szCs w:val="22"/>
        </w:rPr>
      </w:pPr>
      <w:hyperlink r:id="rId20" w:history="1">
        <w:r w:rsidR="003272DE" w:rsidRPr="003272DE">
          <w:rPr>
            <w:rFonts w:eastAsia="Calibri"/>
            <w:color w:val="0563C1"/>
            <w:sz w:val="22"/>
            <w:szCs w:val="22"/>
            <w:u w:val="single"/>
            <w:lang w:val="en-US"/>
          </w:rPr>
          <w:t xml:space="preserve">Baseline Mapping of member state responses to prevent and combat online child sexual exploitation and abuse </w:t>
        </w:r>
      </w:hyperlink>
      <w:r w:rsidR="003272DE" w:rsidRPr="003272DE">
        <w:rPr>
          <w:rFonts w:eastAsia="Calibri"/>
          <w:sz w:val="22"/>
          <w:szCs w:val="22"/>
        </w:rPr>
        <w:t>(second edition published June 2021)</w:t>
      </w:r>
      <w:r w:rsidR="003272DE">
        <w:rPr>
          <w:rFonts w:eastAsia="Calibri"/>
          <w:sz w:val="22"/>
          <w:szCs w:val="22"/>
        </w:rPr>
        <w:t>.</w:t>
      </w:r>
    </w:p>
    <w:p w14:paraId="7778DEBE" w14:textId="65D11746" w:rsidR="003272DE" w:rsidRPr="0090147A" w:rsidRDefault="003272DE" w:rsidP="003272DE">
      <w:pPr>
        <w:tabs>
          <w:tab w:val="clear" w:pos="567"/>
          <w:tab w:val="clear" w:pos="1134"/>
          <w:tab w:val="clear" w:pos="1701"/>
          <w:tab w:val="clear" w:pos="2268"/>
          <w:tab w:val="clear" w:pos="2835"/>
        </w:tabs>
        <w:overflowPunct/>
        <w:autoSpaceDE/>
        <w:autoSpaceDN/>
        <w:adjustRightInd/>
        <w:spacing w:before="240"/>
        <w:jc w:val="center"/>
        <w:textAlignment w:val="auto"/>
        <w:rPr>
          <w:lang w:val="es-ES"/>
        </w:rPr>
      </w:pPr>
      <w:r>
        <w:rPr>
          <w:rFonts w:eastAsia="Calibri"/>
          <w:sz w:val="22"/>
          <w:szCs w:val="22"/>
        </w:rPr>
        <w:t>___________________</w:t>
      </w:r>
    </w:p>
    <w:sectPr w:rsidR="003272DE" w:rsidRPr="0090147A"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359C" w14:textId="77777777" w:rsidR="00334136" w:rsidRDefault="00334136">
      <w:r>
        <w:separator/>
      </w:r>
    </w:p>
  </w:endnote>
  <w:endnote w:type="continuationSeparator" w:id="0">
    <w:p w14:paraId="36D24774" w14:textId="77777777" w:rsidR="00334136" w:rsidRDefault="0033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36CD278C" w:rsidR="00EE49E8" w:rsidRPr="00E06FD5" w:rsidRDefault="00EE49E8" w:rsidP="006D21AD">
          <w:pPr>
            <w:pStyle w:val="Header"/>
            <w:tabs>
              <w:tab w:val="left" w:pos="559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AC37A2">
            <w:rPr>
              <w:bCs/>
            </w:rPr>
            <w:t>8</w:t>
          </w:r>
          <w:r w:rsidR="006D21AD">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890EA91" w:rsidR="00EE49E8" w:rsidRPr="00E06FD5" w:rsidRDefault="00EE49E8" w:rsidP="006D21AD">
          <w:pPr>
            <w:pStyle w:val="Header"/>
            <w:tabs>
              <w:tab w:val="left" w:pos="4296"/>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AC37A2">
            <w:rPr>
              <w:bCs/>
            </w:rPr>
            <w:t>8</w:t>
          </w:r>
          <w:r w:rsidR="006D21AD">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C539" w14:textId="77777777" w:rsidR="00334136" w:rsidRDefault="00334136">
      <w:r>
        <w:t>____________________</w:t>
      </w:r>
    </w:p>
  </w:footnote>
  <w:footnote w:type="continuationSeparator" w:id="0">
    <w:p w14:paraId="56E6155A" w14:textId="77777777" w:rsidR="00334136" w:rsidRDefault="0033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883C78F"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883C78F"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83D10"/>
    <w:multiLevelType w:val="hybridMultilevel"/>
    <w:tmpl w:val="B610200C"/>
    <w:lvl w:ilvl="0" w:tplc="C5EA5EA0">
      <w:start w:val="1"/>
      <w:numFmt w:val="bullet"/>
      <w:lvlText w:val="•"/>
      <w:lvlJc w:val="left"/>
      <w:pPr>
        <w:tabs>
          <w:tab w:val="num" w:pos="720"/>
        </w:tabs>
        <w:ind w:left="720" w:hanging="360"/>
      </w:pPr>
      <w:rPr>
        <w:rFonts w:ascii="Arial" w:hAnsi="Arial" w:hint="default"/>
      </w:rPr>
    </w:lvl>
    <w:lvl w:ilvl="1" w:tplc="A47A7566" w:tentative="1">
      <w:start w:val="1"/>
      <w:numFmt w:val="bullet"/>
      <w:lvlText w:val="•"/>
      <w:lvlJc w:val="left"/>
      <w:pPr>
        <w:tabs>
          <w:tab w:val="num" w:pos="1440"/>
        </w:tabs>
        <w:ind w:left="1440" w:hanging="360"/>
      </w:pPr>
      <w:rPr>
        <w:rFonts w:ascii="Arial" w:hAnsi="Arial" w:hint="default"/>
      </w:rPr>
    </w:lvl>
    <w:lvl w:ilvl="2" w:tplc="2BACB84A" w:tentative="1">
      <w:start w:val="1"/>
      <w:numFmt w:val="bullet"/>
      <w:lvlText w:val="•"/>
      <w:lvlJc w:val="left"/>
      <w:pPr>
        <w:tabs>
          <w:tab w:val="num" w:pos="2160"/>
        </w:tabs>
        <w:ind w:left="2160" w:hanging="360"/>
      </w:pPr>
      <w:rPr>
        <w:rFonts w:ascii="Arial" w:hAnsi="Arial" w:hint="default"/>
      </w:rPr>
    </w:lvl>
    <w:lvl w:ilvl="3" w:tplc="A55680C4" w:tentative="1">
      <w:start w:val="1"/>
      <w:numFmt w:val="bullet"/>
      <w:lvlText w:val="•"/>
      <w:lvlJc w:val="left"/>
      <w:pPr>
        <w:tabs>
          <w:tab w:val="num" w:pos="2880"/>
        </w:tabs>
        <w:ind w:left="2880" w:hanging="360"/>
      </w:pPr>
      <w:rPr>
        <w:rFonts w:ascii="Arial" w:hAnsi="Arial" w:hint="default"/>
      </w:rPr>
    </w:lvl>
    <w:lvl w:ilvl="4" w:tplc="545A57FA" w:tentative="1">
      <w:start w:val="1"/>
      <w:numFmt w:val="bullet"/>
      <w:lvlText w:val="•"/>
      <w:lvlJc w:val="left"/>
      <w:pPr>
        <w:tabs>
          <w:tab w:val="num" w:pos="3600"/>
        </w:tabs>
        <w:ind w:left="3600" w:hanging="360"/>
      </w:pPr>
      <w:rPr>
        <w:rFonts w:ascii="Arial" w:hAnsi="Arial" w:hint="default"/>
      </w:rPr>
    </w:lvl>
    <w:lvl w:ilvl="5" w:tplc="9B186F80" w:tentative="1">
      <w:start w:val="1"/>
      <w:numFmt w:val="bullet"/>
      <w:lvlText w:val="•"/>
      <w:lvlJc w:val="left"/>
      <w:pPr>
        <w:tabs>
          <w:tab w:val="num" w:pos="4320"/>
        </w:tabs>
        <w:ind w:left="4320" w:hanging="360"/>
      </w:pPr>
      <w:rPr>
        <w:rFonts w:ascii="Arial" w:hAnsi="Arial" w:hint="default"/>
      </w:rPr>
    </w:lvl>
    <w:lvl w:ilvl="6" w:tplc="E408BFFA" w:tentative="1">
      <w:start w:val="1"/>
      <w:numFmt w:val="bullet"/>
      <w:lvlText w:val="•"/>
      <w:lvlJc w:val="left"/>
      <w:pPr>
        <w:tabs>
          <w:tab w:val="num" w:pos="5040"/>
        </w:tabs>
        <w:ind w:left="5040" w:hanging="360"/>
      </w:pPr>
      <w:rPr>
        <w:rFonts w:ascii="Arial" w:hAnsi="Arial" w:hint="default"/>
      </w:rPr>
    </w:lvl>
    <w:lvl w:ilvl="7" w:tplc="7DB86656" w:tentative="1">
      <w:start w:val="1"/>
      <w:numFmt w:val="bullet"/>
      <w:lvlText w:val="•"/>
      <w:lvlJc w:val="left"/>
      <w:pPr>
        <w:tabs>
          <w:tab w:val="num" w:pos="5760"/>
        </w:tabs>
        <w:ind w:left="5760" w:hanging="360"/>
      </w:pPr>
      <w:rPr>
        <w:rFonts w:ascii="Arial" w:hAnsi="Arial" w:hint="default"/>
      </w:rPr>
    </w:lvl>
    <w:lvl w:ilvl="8" w:tplc="8AC42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C6449"/>
    <w:multiLevelType w:val="hybridMultilevel"/>
    <w:tmpl w:val="908853D4"/>
    <w:lvl w:ilvl="0" w:tplc="0B5C0D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36BB2"/>
    <w:multiLevelType w:val="hybridMultilevel"/>
    <w:tmpl w:val="A26C7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5452CA"/>
    <w:multiLevelType w:val="hybridMultilevel"/>
    <w:tmpl w:val="A8321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A727F9"/>
    <w:multiLevelType w:val="hybridMultilevel"/>
    <w:tmpl w:val="969C890C"/>
    <w:lvl w:ilvl="0" w:tplc="8DB2657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74816267">
    <w:abstractNumId w:val="0"/>
  </w:num>
  <w:num w:numId="2" w16cid:durableId="355885264">
    <w:abstractNumId w:val="1"/>
  </w:num>
  <w:num w:numId="3" w16cid:durableId="1513296113">
    <w:abstractNumId w:val="3"/>
  </w:num>
  <w:num w:numId="4" w16cid:durableId="680157412">
    <w:abstractNumId w:val="4"/>
  </w:num>
  <w:num w:numId="5" w16cid:durableId="1306937448">
    <w:abstractNumId w:val="5"/>
  </w:num>
  <w:num w:numId="6" w16cid:durableId="47267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00719"/>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272DE"/>
    <w:rsid w:val="00334136"/>
    <w:rsid w:val="00361465"/>
    <w:rsid w:val="003877F5"/>
    <w:rsid w:val="003942D4"/>
    <w:rsid w:val="003958A8"/>
    <w:rsid w:val="003A6B30"/>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B7446"/>
    <w:rsid w:val="005C6378"/>
    <w:rsid w:val="005E2BD5"/>
    <w:rsid w:val="005F3269"/>
    <w:rsid w:val="00610DC7"/>
    <w:rsid w:val="00623AE3"/>
    <w:rsid w:val="0064737F"/>
    <w:rsid w:val="006535F1"/>
    <w:rsid w:val="0065557D"/>
    <w:rsid w:val="00660D50"/>
    <w:rsid w:val="00662984"/>
    <w:rsid w:val="006716BB"/>
    <w:rsid w:val="006B1859"/>
    <w:rsid w:val="006B6680"/>
    <w:rsid w:val="006B6DCC"/>
    <w:rsid w:val="006D21AD"/>
    <w:rsid w:val="00702DEF"/>
    <w:rsid w:val="00704416"/>
    <w:rsid w:val="00706861"/>
    <w:rsid w:val="0075051B"/>
    <w:rsid w:val="00775655"/>
    <w:rsid w:val="00793188"/>
    <w:rsid w:val="00794D34"/>
    <w:rsid w:val="00813E5E"/>
    <w:rsid w:val="0083581B"/>
    <w:rsid w:val="00863874"/>
    <w:rsid w:val="00864AFF"/>
    <w:rsid w:val="00865925"/>
    <w:rsid w:val="00866F4F"/>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1F6D"/>
    <w:rsid w:val="00A52C84"/>
    <w:rsid w:val="00A55622"/>
    <w:rsid w:val="00A83502"/>
    <w:rsid w:val="00AC37A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10F2C"/>
    <w:rsid w:val="00C15FD8"/>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283"/>
    <w:rsid w:val="00DB384B"/>
    <w:rsid w:val="00DC648F"/>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 w:val="00FF6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A51F6D"/>
    <w:pPr>
      <w:ind w:left="720"/>
      <w:contextualSpacing/>
    </w:pPr>
  </w:style>
  <w:style w:type="character" w:styleId="UnresolvedMention">
    <w:name w:val="Unresolved Mention"/>
    <w:basedOn w:val="DefaultParagraphFont"/>
    <w:uiPriority w:val="99"/>
    <w:semiHidden/>
    <w:unhideWhenUsed/>
    <w:rsid w:val="00A5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coe.int%2Fchildren&amp;data=05%7C02%7Ccontributions%40itu.int%7Cd3a1bbc21bef42bd46d708dc12b58a0d%7C23e464d704e64b87913c24bd89219fd3%7C0%7C0%7C638405818259235946%7CUnknown%7CTWFpbGZsb3d8eyJWIjoiMC4wLjAwMDAiLCJQIjoiV2luMzIiLCJBTiI6Ik1haWwiLCJXVCI6Mn0%3D%7C3000%7C%7C%7C&amp;sdata=Cv%2F9Y581Jw5L2rH5qxY1mv3RschINXrw2nsMho%2BrUVs%3D&amp;reserved=0" TargetMode="External"/><Relationship Id="rId13" Type="http://schemas.openxmlformats.org/officeDocument/2006/relationships/hyperlink" Target="http://rm.coe.int/CoERMPublicCommonSearchServices/DisplayDCTMContent?documentId=090000168064de98" TargetMode="External"/><Relationship Id="rId18" Type="http://schemas.openxmlformats.org/officeDocument/2006/relationships/hyperlink" Target="https://www.coe.int/en/web/children/3rd-monitoring-rou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m.coe.int/CoERMPublicCommonSearchServices/DisplayDCTMContent?documentId=090000168064de98" TargetMode="External"/><Relationship Id="rId17" Type="http://schemas.openxmlformats.org/officeDocument/2006/relationships/hyperlink" Target="https://www.coe.int/en/web/children/end-child-sex-abuse-da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e.int/en/web/children/key-findings-and-thematic-factsheets" TargetMode="External"/><Relationship Id="rId20" Type="http://schemas.openxmlformats.org/officeDocument/2006/relationships/hyperlink" Target="https://rm.coe.int/2021-baseline-mapping-web/1680a3ba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CoERMPublicCommonSearchServices/DisplayDCTMContent?documentId=090000168064de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m.coe.int/opinion-of-the-lanzarote-committee-on-child-sexually-suggestive-or-exp/168094e72c" TargetMode="External"/><Relationship Id="rId23" Type="http://schemas.openxmlformats.org/officeDocument/2006/relationships/footer" Target="footer2.xml"/><Relationship Id="rId10" Type="http://schemas.openxmlformats.org/officeDocument/2006/relationships/hyperlink" Target="https://www.coe.int/en/web/children/lanzarote-committee" TargetMode="External"/><Relationship Id="rId19" Type="http://schemas.openxmlformats.org/officeDocument/2006/relationships/hyperlink" Target="mailto:Lanzarote.committee@coe.int" TargetMode="External"/><Relationship Id="rId4" Type="http://schemas.openxmlformats.org/officeDocument/2006/relationships/settings" Target="settings.xml"/><Relationship Id="rId9" Type="http://schemas.openxmlformats.org/officeDocument/2006/relationships/hyperlink" Target="http://www.coe.int/en/web/children/lanzarote-convention" TargetMode="External"/><Relationship Id="rId14" Type="http://schemas.openxmlformats.org/officeDocument/2006/relationships/hyperlink" Target="http://rm.coe.int/t-es-2017-03-en-final-interpretative-opinion/168071cb4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7728</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Presentation from the Lanzarote Committee Secretariat, Council of Europe</vt:lpstr>
    </vt:vector>
  </TitlesOfParts>
  <Manager/>
  <Company/>
  <LinksUpToDate>false</LinksUpToDate>
  <CharactersWithSpaces>8804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from the Lanzarote Committee Secretariat, Council of Europe</dc:title>
  <dc:subject>Council Working Group on Child Onlinie Protection</dc:subject>
  <dc:creator/>
  <cp:keywords>CWG-COP, C24, Council-24</cp:keywords>
  <dc:description/>
  <cp:lastModifiedBy/>
  <cp:revision>1</cp:revision>
  <dcterms:created xsi:type="dcterms:W3CDTF">2024-01-23T11:56:00Z</dcterms:created>
  <dcterms:modified xsi:type="dcterms:W3CDTF">2024-01-23T11:56:00Z</dcterms:modified>
  <cp:category>Conference document</cp:category>
</cp:coreProperties>
</file>