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F7F961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F60A4F">
              <w:rPr>
                <w:rFonts w:eastAsia="Times New Roman"/>
                <w:b/>
                <w:lang w:val="fr-CH"/>
              </w:rPr>
              <w:t>INF/27</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BD42279" w:rsidR="00AD3606" w:rsidRPr="00E85629" w:rsidRDefault="00F60A4F" w:rsidP="00AD3606">
            <w:pPr>
              <w:tabs>
                <w:tab w:val="left" w:pos="851"/>
              </w:tabs>
              <w:spacing w:before="0"/>
              <w:jc w:val="right"/>
              <w:rPr>
                <w:b/>
              </w:rPr>
            </w:pPr>
            <w:r>
              <w:rPr>
                <w:b/>
              </w:rPr>
              <w:t>13 February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9AE8E87" w:rsidR="00AD3606" w:rsidRPr="004405AB" w:rsidRDefault="00F60A4F" w:rsidP="004405AB">
            <w:pPr>
              <w:pStyle w:val="Source"/>
              <w:framePr w:hSpace="0" w:wrap="auto" w:vAnchor="margin" w:hAnchor="text" w:xAlign="left" w:yAlign="inline"/>
            </w:pPr>
            <w:bookmarkStart w:id="8" w:name="dsource" w:colFirst="0" w:colLast="0"/>
            <w:bookmarkEnd w:id="7"/>
            <w:r>
              <w:t>Chair, CWG-COP</w:t>
            </w:r>
          </w:p>
        </w:tc>
      </w:tr>
      <w:tr w:rsidR="00AD3606" w:rsidRPr="00813E5E" w14:paraId="2340750D" w14:textId="77777777" w:rsidTr="00AD3606">
        <w:trPr>
          <w:cantSplit/>
        </w:trPr>
        <w:tc>
          <w:tcPr>
            <w:tcW w:w="9214" w:type="dxa"/>
            <w:gridSpan w:val="2"/>
            <w:tcMar>
              <w:left w:w="0" w:type="dxa"/>
            </w:tcMar>
          </w:tcPr>
          <w:p w14:paraId="47B91AA8" w14:textId="194AF0AB" w:rsidR="00AD3606" w:rsidRPr="004405AB" w:rsidRDefault="00F60A4F" w:rsidP="004405AB">
            <w:pPr>
              <w:pStyle w:val="Subtitle"/>
              <w:framePr w:hSpace="0" w:wrap="auto" w:xAlign="left" w:yAlign="inline"/>
            </w:pPr>
            <w:bookmarkStart w:id="9" w:name="dtitle1" w:colFirst="0" w:colLast="0"/>
            <w:bookmarkEnd w:id="8"/>
            <w:r w:rsidRPr="00F60A4F">
              <w:t>LIAISON STATEMENT FROM ITU COUNCIL WORKING GROUP ON C</w:t>
            </w:r>
            <w:r>
              <w:t>HILD ONLINE PROTECTION (CWG-C</w:t>
            </w:r>
            <w:r w:rsidRPr="00F60A4F">
              <w:t>OP</w:t>
            </w:r>
            <w:r>
              <w:t>)</w:t>
            </w:r>
            <w:r w:rsidRPr="00F60A4F">
              <w:t xml:space="preserve"> TO ITU-T STUDY GROUP 17 ON SECURITY</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p w14:paraId="0ED7E858" w14:textId="1A03BDA6"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line="120" w:lineRule="atLeast"/>
        <w:rPr>
          <w:rFonts w:eastAsia="Times New Roman"/>
          <w:lang w:val="en-AU" w:eastAsia="zh-CN"/>
        </w:rPr>
      </w:pPr>
      <w:r w:rsidRPr="00F60A4F">
        <w:rPr>
          <w:rFonts w:eastAsia="Times New Roman"/>
          <w:lang w:val="en-AU" w:eastAsia="zh-CN"/>
        </w:rPr>
        <w:t>Following</w:t>
      </w:r>
      <w:r>
        <w:rPr>
          <w:rFonts w:eastAsia="Times New Roman"/>
          <w:lang w:val="en-AU" w:eastAsia="zh-CN"/>
        </w:rPr>
        <w:t xml:space="preserve"> </w:t>
      </w:r>
      <w:r w:rsidRPr="00F60A4F">
        <w:rPr>
          <w:rFonts w:eastAsia="Times New Roman"/>
          <w:lang w:val="en-AU" w:eastAsia="zh-CN"/>
        </w:rPr>
        <w:t>the 20</w:t>
      </w:r>
      <w:r w:rsidRPr="00F60A4F">
        <w:rPr>
          <w:rFonts w:eastAsia="Times New Roman"/>
          <w:vertAlign w:val="superscript"/>
          <w:lang w:val="en-AU" w:eastAsia="zh-CN"/>
        </w:rPr>
        <w:t>th</w:t>
      </w:r>
      <w:r w:rsidRPr="00F60A4F">
        <w:rPr>
          <w:rFonts w:eastAsia="Times New Roman"/>
          <w:lang w:val="en-AU" w:eastAsia="zh-CN"/>
        </w:rPr>
        <w:t xml:space="preserve"> meeting of the CWG</w:t>
      </w:r>
      <w:r>
        <w:rPr>
          <w:rFonts w:eastAsia="Times New Roman"/>
          <w:lang w:val="en-AU" w:eastAsia="zh-CN"/>
        </w:rPr>
        <w:t>-</w:t>
      </w:r>
      <w:r w:rsidRPr="00F60A4F">
        <w:rPr>
          <w:rFonts w:eastAsia="Times New Roman"/>
          <w:lang w:val="en-AU" w:eastAsia="zh-CN"/>
        </w:rPr>
        <w:t xml:space="preserve">COP and the contributions from </w:t>
      </w:r>
      <w:hyperlink r:id="rId8" w:history="1">
        <w:proofErr w:type="spellStart"/>
        <w:r w:rsidRPr="00F60A4F">
          <w:rPr>
            <w:rFonts w:eastAsia="Times New Roman"/>
            <w:color w:val="0000FF"/>
            <w:u w:val="single"/>
            <w:lang w:val="en-AU" w:eastAsia="zh-CN"/>
          </w:rPr>
          <w:t>euCO</w:t>
        </w:r>
        <w:r w:rsidRPr="00F60A4F">
          <w:rPr>
            <w:rFonts w:eastAsia="Times New Roman"/>
            <w:color w:val="0000FF"/>
            <w:u w:val="single"/>
            <w:lang w:val="en-AU" w:eastAsia="zh-CN"/>
          </w:rPr>
          <w:t>N</w:t>
        </w:r>
        <w:r w:rsidRPr="00F60A4F">
          <w:rPr>
            <w:rFonts w:eastAsia="Times New Roman"/>
            <w:color w:val="0000FF"/>
            <w:u w:val="single"/>
            <w:lang w:val="en-AU" w:eastAsia="zh-CN"/>
          </w:rPr>
          <w:t>SENT</w:t>
        </w:r>
        <w:proofErr w:type="spellEnd"/>
        <w:r w:rsidRPr="00F60A4F">
          <w:rPr>
            <w:rFonts w:eastAsia="Times New Roman"/>
            <w:color w:val="0000FF"/>
            <w:u w:val="single"/>
            <w:lang w:val="en-AU" w:eastAsia="zh-CN"/>
          </w:rPr>
          <w:t xml:space="preserve"> - Making the Internet age-aware</w:t>
        </w:r>
      </w:hyperlink>
      <w:r w:rsidRPr="00F60A4F">
        <w:rPr>
          <w:rFonts w:eastAsia="Times New Roman"/>
          <w:color w:val="0000FF"/>
          <w:u w:val="single"/>
          <w:lang w:val="en-AU" w:eastAsia="zh-CN"/>
        </w:rPr>
        <w:t xml:space="preserve"> </w:t>
      </w:r>
      <w:r w:rsidRPr="00F60A4F">
        <w:rPr>
          <w:rFonts w:ascii="Times New Roman" w:eastAsia="Times New Roman" w:hAnsi="Times New Roman"/>
        </w:rPr>
        <w:t xml:space="preserve">and </w:t>
      </w:r>
      <w:hyperlink r:id="rId9" w:history="1">
        <w:r w:rsidRPr="00F60A4F">
          <w:rPr>
            <w:rFonts w:eastAsia="Times New Roman"/>
            <w:color w:val="0000FF"/>
            <w:u w:val="single"/>
            <w:lang w:val="en-AU" w:eastAsia="zh-CN"/>
          </w:rPr>
          <w:t xml:space="preserve">South West Grid for </w:t>
        </w:r>
        <w:r w:rsidRPr="00F60A4F">
          <w:rPr>
            <w:rFonts w:eastAsia="Times New Roman"/>
            <w:color w:val="0000FF"/>
            <w:u w:val="single"/>
            <w:lang w:val="en-AU" w:eastAsia="zh-CN"/>
          </w:rPr>
          <w:t>L</w:t>
        </w:r>
        <w:r w:rsidRPr="00F60A4F">
          <w:rPr>
            <w:rFonts w:eastAsia="Times New Roman"/>
            <w:color w:val="0000FF"/>
            <w:u w:val="single"/>
            <w:lang w:val="en-AU" w:eastAsia="zh-CN"/>
          </w:rPr>
          <w:t>ear</w:t>
        </w:r>
        <w:r w:rsidRPr="00F60A4F">
          <w:rPr>
            <w:rFonts w:eastAsia="Times New Roman"/>
            <w:color w:val="0000FF"/>
            <w:u w:val="single"/>
            <w:lang w:val="en-AU" w:eastAsia="zh-CN"/>
          </w:rPr>
          <w:t>n</w:t>
        </w:r>
        <w:r w:rsidRPr="00F60A4F">
          <w:rPr>
            <w:rFonts w:eastAsia="Times New Roman"/>
            <w:color w:val="0000FF"/>
            <w:u w:val="single"/>
            <w:lang w:val="en-AU" w:eastAsia="zh-CN"/>
          </w:rPr>
          <w:t>ing</w:t>
        </w:r>
      </w:hyperlink>
      <w:r w:rsidRPr="00F60A4F">
        <w:rPr>
          <w:rFonts w:eastAsia="Times New Roman"/>
          <w:lang w:val="en-AU" w:eastAsia="zh-CN"/>
        </w:rPr>
        <w:t xml:space="preserve"> on online age assurance and overall technical standards on child online protection, the group sends this liaison statement for information.</w:t>
      </w:r>
    </w:p>
    <w:p w14:paraId="0BF921A2" w14:textId="40D046B3" w:rsidR="00F60A4F" w:rsidRDefault="00F60A4F">
      <w:pPr>
        <w:tabs>
          <w:tab w:val="clear" w:pos="567"/>
          <w:tab w:val="clear" w:pos="1134"/>
          <w:tab w:val="clear" w:pos="1701"/>
          <w:tab w:val="clear" w:pos="2268"/>
          <w:tab w:val="clear" w:pos="2835"/>
        </w:tabs>
        <w:overflowPunct/>
        <w:autoSpaceDE/>
        <w:autoSpaceDN/>
        <w:adjustRightInd/>
        <w:spacing w:before="0"/>
        <w:textAlignment w:val="auto"/>
        <w:rPr>
          <w:rFonts w:eastAsia="Times New Roman"/>
          <w:lang w:val="en-AU" w:eastAsia="zh-CN"/>
        </w:rPr>
      </w:pPr>
      <w:r>
        <w:rPr>
          <w:rFonts w:eastAsia="Times New Roman"/>
          <w:lang w:val="en-AU" w:eastAsia="zh-CN"/>
        </w:rPr>
        <w:br w:type="page"/>
      </w:r>
    </w:p>
    <w:p w14:paraId="4D2D6C74" w14:textId="1DA22D72"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before="40"/>
        <w:jc w:val="center"/>
        <w:rPr>
          <w:rFonts w:eastAsia="Times New Roman" w:cs="Calibri"/>
          <w:b/>
          <w:bCs/>
          <w:sz w:val="28"/>
          <w:szCs w:val="28"/>
          <w:lang w:val="en-AU"/>
        </w:rPr>
      </w:pPr>
      <w:r w:rsidRPr="00F60A4F">
        <w:rPr>
          <w:rFonts w:eastAsia="Times New Roman" w:cs="Calibri"/>
          <w:b/>
          <w:bCs/>
          <w:sz w:val="28"/>
          <w:szCs w:val="28"/>
          <w:lang w:val="en-AU"/>
        </w:rPr>
        <w:lastRenderedPageBreak/>
        <w:t>LIAISON STATEMENT FROM CWG</w:t>
      </w:r>
      <w:r>
        <w:rPr>
          <w:rFonts w:eastAsia="Times New Roman" w:cs="Calibri"/>
          <w:b/>
          <w:bCs/>
          <w:sz w:val="28"/>
          <w:szCs w:val="28"/>
          <w:lang w:val="en-AU"/>
        </w:rPr>
        <w:t>-</w:t>
      </w:r>
      <w:r w:rsidRPr="00F60A4F">
        <w:rPr>
          <w:rFonts w:eastAsia="Times New Roman" w:cs="Calibri"/>
          <w:b/>
          <w:bCs/>
          <w:sz w:val="28"/>
          <w:szCs w:val="28"/>
          <w:lang w:val="en-AU"/>
        </w:rPr>
        <w:t xml:space="preserve">COP to </w:t>
      </w:r>
      <w:r w:rsidRPr="00F60A4F">
        <w:rPr>
          <w:rFonts w:eastAsia="Times New Roman" w:cs="Calibri"/>
          <w:b/>
          <w:sz w:val="28"/>
          <w:szCs w:val="28"/>
          <w:lang w:val="en-AU"/>
        </w:rPr>
        <w:t xml:space="preserve">ITU-T STUDY GROUP 17 </w:t>
      </w:r>
      <w:r w:rsidRPr="00F60A4F">
        <w:rPr>
          <w:rFonts w:eastAsia="Times New Roman" w:cs="Calibri"/>
          <w:b/>
          <w:sz w:val="28"/>
          <w:szCs w:val="28"/>
          <w:lang w:val="en-AU"/>
        </w:rPr>
        <w:br/>
        <w:t>on Security</w:t>
      </w:r>
      <w:r w:rsidRPr="00F60A4F">
        <w:rPr>
          <w:rFonts w:eastAsia="Times New Roman" w:cs="Calibri"/>
          <w:b/>
          <w:bCs/>
          <w:sz w:val="28"/>
          <w:szCs w:val="28"/>
          <w:lang w:val="en-AU"/>
        </w:rPr>
        <w:t xml:space="preserve"> </w:t>
      </w:r>
    </w:p>
    <w:p w14:paraId="62A680E5"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before="40"/>
        <w:jc w:val="center"/>
        <w:rPr>
          <w:rFonts w:eastAsia="Times New Roman" w:cs="Calibri"/>
          <w:b/>
          <w:bCs/>
          <w:lang w:val="en-AU"/>
        </w:rPr>
      </w:pPr>
    </w:p>
    <w:p w14:paraId="28ABBA78"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before="0"/>
        <w:jc w:val="right"/>
        <w:rPr>
          <w:rFonts w:eastAsia="Times New Roman" w:cs="Calibri"/>
          <w:szCs w:val="24"/>
          <w:lang w:val="en-AU"/>
        </w:rPr>
      </w:pPr>
      <w:r w:rsidRPr="00F60A4F">
        <w:rPr>
          <w:rFonts w:eastAsia="Times New Roman" w:cs="Calibri"/>
          <w:szCs w:val="24"/>
          <w:lang w:val="en-AU"/>
        </w:rPr>
        <w:t>23 January 2024</w:t>
      </w:r>
    </w:p>
    <w:tbl>
      <w:tblPr>
        <w:tblW w:w="5000" w:type="pct"/>
        <w:tblCellMar>
          <w:left w:w="107" w:type="dxa"/>
          <w:right w:w="107" w:type="dxa"/>
        </w:tblCellMar>
        <w:tblLook w:val="04A0" w:firstRow="1" w:lastRow="0" w:firstColumn="1" w:lastColumn="0" w:noHBand="0" w:noVBand="1"/>
      </w:tblPr>
      <w:tblGrid>
        <w:gridCol w:w="1821"/>
        <w:gridCol w:w="7250"/>
      </w:tblGrid>
      <w:tr w:rsidR="00F60A4F" w:rsidRPr="00F60A4F" w14:paraId="3E265C87" w14:textId="77777777" w:rsidTr="00ED10D0">
        <w:trPr>
          <w:trHeight w:val="112"/>
        </w:trPr>
        <w:tc>
          <w:tcPr>
            <w:tcW w:w="1004" w:type="pct"/>
            <w:hideMark/>
          </w:tcPr>
          <w:p w14:paraId="5F1D48EF"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b/>
                <w:szCs w:val="24"/>
                <w:lang w:val="en-AU"/>
              </w:rPr>
            </w:pPr>
            <w:r w:rsidRPr="00F60A4F">
              <w:rPr>
                <w:rFonts w:cs="Calibri"/>
                <w:b/>
                <w:szCs w:val="24"/>
                <w:lang w:val="en-AU"/>
              </w:rPr>
              <w:t>To:</w:t>
            </w:r>
          </w:p>
        </w:tc>
        <w:tc>
          <w:tcPr>
            <w:tcW w:w="3996" w:type="pct"/>
            <w:hideMark/>
          </w:tcPr>
          <w:p w14:paraId="0183F3A3"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szCs w:val="24"/>
                <w:lang w:val="en-AU"/>
              </w:rPr>
            </w:pPr>
            <w:r w:rsidRPr="00F60A4F">
              <w:rPr>
                <w:rFonts w:cs="Calibri"/>
                <w:szCs w:val="24"/>
                <w:lang w:val="en-AU"/>
              </w:rPr>
              <w:t>ITU-T Study Group 17</w:t>
            </w:r>
          </w:p>
        </w:tc>
      </w:tr>
      <w:tr w:rsidR="00F60A4F" w:rsidRPr="00F60A4F" w14:paraId="671FA80E" w14:textId="77777777" w:rsidTr="00ED10D0">
        <w:trPr>
          <w:trHeight w:val="20"/>
        </w:trPr>
        <w:tc>
          <w:tcPr>
            <w:tcW w:w="1004" w:type="pct"/>
            <w:hideMark/>
          </w:tcPr>
          <w:p w14:paraId="60B8763E"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b/>
                <w:szCs w:val="24"/>
                <w:lang w:val="en-AU"/>
              </w:rPr>
            </w:pPr>
            <w:r w:rsidRPr="00F60A4F">
              <w:rPr>
                <w:rFonts w:cs="Calibri"/>
                <w:b/>
                <w:szCs w:val="24"/>
                <w:lang w:val="en-AU"/>
              </w:rPr>
              <w:t>From:</w:t>
            </w:r>
          </w:p>
        </w:tc>
        <w:tc>
          <w:tcPr>
            <w:tcW w:w="3996" w:type="pct"/>
            <w:hideMark/>
          </w:tcPr>
          <w:p w14:paraId="1F9D0D9B"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szCs w:val="24"/>
                <w:lang w:val="en-AU"/>
              </w:rPr>
            </w:pPr>
            <w:r w:rsidRPr="00F60A4F">
              <w:rPr>
                <w:rFonts w:cs="Calibri"/>
                <w:szCs w:val="24"/>
                <w:lang w:val="en-AU"/>
              </w:rPr>
              <w:t>CWG COP</w:t>
            </w:r>
          </w:p>
        </w:tc>
      </w:tr>
      <w:tr w:rsidR="00F60A4F" w:rsidRPr="00F60A4F" w14:paraId="2FD4D8F9" w14:textId="77777777" w:rsidTr="00ED10D0">
        <w:trPr>
          <w:trHeight w:val="20"/>
        </w:trPr>
        <w:tc>
          <w:tcPr>
            <w:tcW w:w="1004" w:type="pct"/>
            <w:hideMark/>
          </w:tcPr>
          <w:p w14:paraId="447F1C7E"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b/>
                <w:szCs w:val="24"/>
                <w:lang w:val="en-AU"/>
              </w:rPr>
            </w:pPr>
            <w:r w:rsidRPr="00F60A4F">
              <w:rPr>
                <w:rFonts w:cs="Calibri"/>
                <w:b/>
                <w:szCs w:val="24"/>
                <w:lang w:val="en-AU"/>
              </w:rPr>
              <w:t>For:</w:t>
            </w:r>
          </w:p>
        </w:tc>
        <w:tc>
          <w:tcPr>
            <w:tcW w:w="3996" w:type="pct"/>
            <w:hideMark/>
          </w:tcPr>
          <w:p w14:paraId="5B74EDD5"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szCs w:val="24"/>
                <w:lang w:val="en-AU"/>
              </w:rPr>
            </w:pPr>
            <w:r w:rsidRPr="00F60A4F">
              <w:rPr>
                <w:rFonts w:cs="Calibri"/>
                <w:szCs w:val="24"/>
                <w:lang w:val="en-AU"/>
              </w:rPr>
              <w:t>Information</w:t>
            </w:r>
          </w:p>
        </w:tc>
      </w:tr>
      <w:tr w:rsidR="00F60A4F" w:rsidRPr="00F60A4F" w14:paraId="743B647F" w14:textId="77777777" w:rsidTr="00ED10D0">
        <w:trPr>
          <w:trHeight w:val="20"/>
        </w:trPr>
        <w:tc>
          <w:tcPr>
            <w:tcW w:w="1004" w:type="pct"/>
            <w:hideMark/>
          </w:tcPr>
          <w:p w14:paraId="1394A512"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b/>
                <w:szCs w:val="24"/>
                <w:lang w:val="en-AU"/>
              </w:rPr>
            </w:pPr>
            <w:r w:rsidRPr="00F60A4F">
              <w:rPr>
                <w:rFonts w:cs="Calibri"/>
                <w:b/>
                <w:szCs w:val="24"/>
                <w:lang w:val="en-AU"/>
              </w:rPr>
              <w:t>Approval:</w:t>
            </w:r>
          </w:p>
        </w:tc>
        <w:tc>
          <w:tcPr>
            <w:tcW w:w="3996" w:type="pct"/>
          </w:tcPr>
          <w:p w14:paraId="488D6A7F"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szCs w:val="24"/>
                <w:lang w:val="en-AU"/>
              </w:rPr>
            </w:pPr>
            <w:r w:rsidRPr="00F60A4F">
              <w:rPr>
                <w:rFonts w:cs="Calibri"/>
                <w:szCs w:val="24"/>
                <w:lang w:val="en-AU"/>
              </w:rPr>
              <w:t xml:space="preserve">CWG COP on 23 January 2024 </w:t>
            </w:r>
          </w:p>
        </w:tc>
      </w:tr>
      <w:tr w:rsidR="00F60A4F" w:rsidRPr="00F60A4F" w14:paraId="53EF0442" w14:textId="77777777" w:rsidTr="00ED10D0">
        <w:trPr>
          <w:trHeight w:val="20"/>
        </w:trPr>
        <w:tc>
          <w:tcPr>
            <w:tcW w:w="1004" w:type="pct"/>
            <w:hideMark/>
          </w:tcPr>
          <w:p w14:paraId="258B5E97" w14:textId="77777777" w:rsidR="00F60A4F" w:rsidRPr="00F60A4F" w:rsidRDefault="00F60A4F" w:rsidP="00F60A4F">
            <w:pPr>
              <w:tabs>
                <w:tab w:val="clear" w:pos="567"/>
                <w:tab w:val="clear" w:pos="1134"/>
                <w:tab w:val="clear" w:pos="1701"/>
                <w:tab w:val="clear" w:pos="2268"/>
                <w:tab w:val="clear" w:pos="2835"/>
                <w:tab w:val="left" w:pos="720"/>
                <w:tab w:val="left" w:pos="993"/>
              </w:tabs>
              <w:ind w:left="-15"/>
              <w:textAlignment w:val="auto"/>
              <w:rPr>
                <w:rFonts w:cs="Calibri"/>
                <w:b/>
                <w:szCs w:val="24"/>
                <w:lang w:val="en-AU"/>
              </w:rPr>
            </w:pPr>
            <w:r w:rsidRPr="00F60A4F">
              <w:rPr>
                <w:rFonts w:cs="Calibri"/>
                <w:b/>
                <w:szCs w:val="24"/>
                <w:lang w:val="en-AU"/>
              </w:rPr>
              <w:t>Contacts:</w:t>
            </w:r>
          </w:p>
        </w:tc>
        <w:tc>
          <w:tcPr>
            <w:tcW w:w="3996" w:type="pct"/>
            <w:hideMark/>
          </w:tcPr>
          <w:p w14:paraId="6EB88378"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ind w:left="-17"/>
              <w:rPr>
                <w:rFonts w:cs="Calibri"/>
                <w:szCs w:val="24"/>
                <w:lang w:val="en-AU"/>
              </w:rPr>
            </w:pPr>
            <w:r w:rsidRPr="00F60A4F">
              <w:rPr>
                <w:rFonts w:cs="Calibri"/>
                <w:szCs w:val="24"/>
                <w:lang w:val="en-AU"/>
              </w:rPr>
              <w:t>Mr Abdelaziz Al Zarooni</w:t>
            </w:r>
          </w:p>
          <w:p w14:paraId="379890C6"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ind w:left="-17"/>
              <w:rPr>
                <w:rFonts w:cs="Calibri"/>
                <w:szCs w:val="24"/>
                <w:lang w:val="en-AU"/>
              </w:rPr>
            </w:pPr>
            <w:r w:rsidRPr="00F60A4F">
              <w:rPr>
                <w:rFonts w:cs="Calibri"/>
                <w:szCs w:val="24"/>
                <w:lang w:val="en-AU"/>
              </w:rPr>
              <w:t>United Arab Emirates</w:t>
            </w:r>
            <w:r w:rsidRPr="00F60A4F">
              <w:rPr>
                <w:rFonts w:cs="Calibri"/>
                <w:szCs w:val="24"/>
                <w:lang w:val="en-AU"/>
              </w:rPr>
              <w:br/>
              <w:t>Tel.: +971 4 777 4363</w:t>
            </w:r>
          </w:p>
          <w:p w14:paraId="72F6D145"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ind w:left="-17"/>
              <w:rPr>
                <w:rFonts w:eastAsia="Times New Roman" w:cs="Calibri"/>
                <w:lang w:val="en-AU"/>
              </w:rPr>
            </w:pPr>
            <w:r w:rsidRPr="00F60A4F">
              <w:rPr>
                <w:rFonts w:eastAsia="Times New Roman" w:cs="Calibri"/>
                <w:szCs w:val="24"/>
                <w:lang w:val="en-AU"/>
              </w:rPr>
              <w:t xml:space="preserve">E-mail: </w:t>
            </w:r>
            <w:r w:rsidRPr="00F60A4F">
              <w:rPr>
                <w:rFonts w:eastAsia="Times New Roman" w:cs="Calibri"/>
                <w:color w:val="0000FF"/>
                <w:u w:val="single"/>
                <w:lang w:val="en-AU"/>
              </w:rPr>
              <w:t>abdelaziz.alzarooni@aecert.ae</w:t>
            </w:r>
          </w:p>
          <w:p w14:paraId="01C74000"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ind w:left="-17"/>
              <w:rPr>
                <w:rFonts w:eastAsia="Times New Roman" w:cs="Calibri"/>
                <w:color w:val="0000FF"/>
                <w:u w:val="single"/>
                <w:lang w:val="en-AU"/>
              </w:rPr>
            </w:pPr>
          </w:p>
        </w:tc>
      </w:tr>
      <w:tr w:rsidR="00F60A4F" w:rsidRPr="00F60A4F" w14:paraId="73D5F2B2" w14:textId="77777777" w:rsidTr="00ED10D0">
        <w:trPr>
          <w:trHeight w:val="20"/>
        </w:trPr>
        <w:tc>
          <w:tcPr>
            <w:tcW w:w="1004" w:type="pct"/>
            <w:hideMark/>
          </w:tcPr>
          <w:p w14:paraId="13834407" w14:textId="77777777" w:rsidR="00F60A4F" w:rsidRPr="00F60A4F" w:rsidRDefault="00F60A4F" w:rsidP="00F60A4F">
            <w:pPr>
              <w:tabs>
                <w:tab w:val="clear" w:pos="567"/>
                <w:tab w:val="clear" w:pos="1134"/>
                <w:tab w:val="clear" w:pos="1701"/>
                <w:tab w:val="clear" w:pos="2268"/>
                <w:tab w:val="clear" w:pos="2835"/>
                <w:tab w:val="left" w:pos="720"/>
                <w:tab w:val="left" w:pos="993"/>
              </w:tabs>
              <w:textAlignment w:val="auto"/>
              <w:rPr>
                <w:rFonts w:cs="Calibri"/>
                <w:b/>
                <w:szCs w:val="24"/>
                <w:lang w:val="en-AU"/>
              </w:rPr>
            </w:pPr>
            <w:r w:rsidRPr="00F60A4F">
              <w:rPr>
                <w:rFonts w:cs="Calibri"/>
                <w:b/>
                <w:szCs w:val="24"/>
                <w:lang w:val="en-AU"/>
              </w:rPr>
              <w:t>BDT Focal Point:</w:t>
            </w:r>
          </w:p>
        </w:tc>
        <w:tc>
          <w:tcPr>
            <w:tcW w:w="3996" w:type="pct"/>
            <w:hideMark/>
          </w:tcPr>
          <w:p w14:paraId="2DD5882D" w14:textId="77777777" w:rsidR="00F60A4F" w:rsidRPr="00F60A4F" w:rsidRDefault="00F60A4F" w:rsidP="00F60A4F">
            <w:pPr>
              <w:tabs>
                <w:tab w:val="clear" w:pos="567"/>
                <w:tab w:val="clear" w:pos="1134"/>
                <w:tab w:val="clear" w:pos="1701"/>
                <w:tab w:val="clear" w:pos="2268"/>
                <w:tab w:val="clear" w:pos="2835"/>
                <w:tab w:val="left" w:pos="928"/>
                <w:tab w:val="left" w:pos="993"/>
              </w:tabs>
              <w:spacing w:after="120"/>
              <w:textAlignment w:val="auto"/>
              <w:rPr>
                <w:rFonts w:cs="Calibri"/>
                <w:szCs w:val="24"/>
                <w:lang w:val="it-IT"/>
              </w:rPr>
            </w:pPr>
            <w:r w:rsidRPr="00F60A4F">
              <w:rPr>
                <w:rFonts w:cs="Calibri"/>
                <w:szCs w:val="24"/>
                <w:lang w:val="it-IT"/>
              </w:rPr>
              <w:t>Mr Carla Licciardello</w:t>
            </w:r>
            <w:r w:rsidRPr="00F60A4F">
              <w:rPr>
                <w:rFonts w:cs="Calibri"/>
                <w:szCs w:val="24"/>
                <w:lang w:val="it-IT"/>
              </w:rPr>
              <w:br/>
              <w:t>Tel.: +41 22 730 5232</w:t>
            </w:r>
            <w:r w:rsidRPr="00F60A4F">
              <w:rPr>
                <w:rFonts w:cs="Calibri"/>
                <w:szCs w:val="24"/>
                <w:lang w:val="it-IT"/>
              </w:rPr>
              <w:br/>
              <w:t xml:space="preserve">E-mail: </w:t>
            </w:r>
            <w:r w:rsidRPr="00F60A4F">
              <w:rPr>
                <w:rFonts w:ascii="Arial" w:hAnsi="Arial"/>
                <w:sz w:val="22"/>
                <w:szCs w:val="22"/>
              </w:rPr>
              <w:fldChar w:fldCharType="begin"/>
            </w:r>
            <w:r w:rsidRPr="00F60A4F">
              <w:rPr>
                <w:rFonts w:ascii="Arial" w:hAnsi="Arial"/>
                <w:sz w:val="22"/>
                <w:szCs w:val="22"/>
                <w:lang w:val="it-IT"/>
              </w:rPr>
              <w:instrText>HYPERLINK "mailto:carla.licciardello@itu.int"</w:instrText>
            </w:r>
            <w:r w:rsidRPr="00F60A4F">
              <w:rPr>
                <w:rFonts w:ascii="Arial" w:hAnsi="Arial"/>
                <w:sz w:val="22"/>
                <w:szCs w:val="22"/>
              </w:rPr>
            </w:r>
            <w:r w:rsidRPr="00F60A4F">
              <w:rPr>
                <w:rFonts w:ascii="Arial" w:hAnsi="Arial"/>
                <w:sz w:val="22"/>
                <w:szCs w:val="22"/>
              </w:rPr>
              <w:fldChar w:fldCharType="separate"/>
            </w:r>
            <w:r w:rsidRPr="00F60A4F">
              <w:rPr>
                <w:rFonts w:cs="Calibri"/>
                <w:color w:val="0000FF"/>
                <w:u w:val="single"/>
                <w:lang w:val="it-IT"/>
              </w:rPr>
              <w:t>carla.licciardello@itu.int</w:t>
            </w:r>
            <w:r w:rsidRPr="00F60A4F">
              <w:rPr>
                <w:rFonts w:cs="Calibri"/>
                <w:color w:val="0000FF"/>
                <w:u w:val="single"/>
                <w:lang w:val="it-IT"/>
              </w:rPr>
              <w:fldChar w:fldCharType="end"/>
            </w:r>
          </w:p>
        </w:tc>
      </w:tr>
    </w:tbl>
    <w:p w14:paraId="71CC9A63"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line="120" w:lineRule="atLeast"/>
        <w:rPr>
          <w:rFonts w:eastAsia="Times New Roman" w:cs="Calibri"/>
          <w:b/>
          <w:bCs/>
          <w:szCs w:val="19"/>
          <w:lang w:val="it-IT"/>
        </w:rPr>
      </w:pPr>
    </w:p>
    <w:p w14:paraId="5F6E17DB" w14:textId="1C1BA313"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line="120" w:lineRule="atLeast"/>
        <w:rPr>
          <w:rFonts w:eastAsia="Times New Roman"/>
          <w:lang w:val="en-AU" w:eastAsia="zh-CN"/>
        </w:rPr>
      </w:pPr>
      <w:r w:rsidRPr="00F60A4F">
        <w:rPr>
          <w:rFonts w:eastAsia="Times New Roman"/>
          <w:lang w:val="en-AU" w:eastAsia="zh-CN"/>
        </w:rPr>
        <w:t>Following</w:t>
      </w:r>
      <w:r w:rsidR="001E297A">
        <w:rPr>
          <w:rFonts w:eastAsia="Times New Roman"/>
          <w:lang w:val="en-AU" w:eastAsia="zh-CN"/>
        </w:rPr>
        <w:t xml:space="preserve"> </w:t>
      </w:r>
      <w:r w:rsidRPr="00F60A4F">
        <w:rPr>
          <w:rFonts w:eastAsia="Times New Roman"/>
          <w:lang w:val="en-AU" w:eastAsia="zh-CN"/>
        </w:rPr>
        <w:t>the 20</w:t>
      </w:r>
      <w:r w:rsidRPr="00F60A4F">
        <w:rPr>
          <w:rFonts w:eastAsia="Times New Roman"/>
          <w:vertAlign w:val="superscript"/>
          <w:lang w:val="en-AU" w:eastAsia="zh-CN"/>
        </w:rPr>
        <w:t>th</w:t>
      </w:r>
      <w:r w:rsidRPr="00F60A4F">
        <w:rPr>
          <w:rFonts w:eastAsia="Times New Roman"/>
          <w:lang w:val="en-AU" w:eastAsia="zh-CN"/>
        </w:rPr>
        <w:t xml:space="preserve"> meeting of the CWG COP and the contributions from </w:t>
      </w:r>
      <w:hyperlink r:id="rId10" w:history="1">
        <w:proofErr w:type="spellStart"/>
        <w:r w:rsidRPr="00F60A4F">
          <w:rPr>
            <w:rFonts w:eastAsia="Times New Roman"/>
            <w:color w:val="0000FF"/>
            <w:u w:val="single"/>
            <w:lang w:val="en-AU" w:eastAsia="zh-CN"/>
          </w:rPr>
          <w:t>euCONSENT</w:t>
        </w:r>
        <w:proofErr w:type="spellEnd"/>
        <w:r w:rsidRPr="00F60A4F">
          <w:rPr>
            <w:rFonts w:eastAsia="Times New Roman"/>
            <w:color w:val="0000FF"/>
            <w:u w:val="single"/>
            <w:lang w:val="en-AU" w:eastAsia="zh-CN"/>
          </w:rPr>
          <w:t xml:space="preserve"> - Making the Internet age-aware</w:t>
        </w:r>
      </w:hyperlink>
      <w:r w:rsidRPr="00F60A4F">
        <w:rPr>
          <w:rFonts w:eastAsia="Times New Roman"/>
          <w:color w:val="0000FF"/>
          <w:u w:val="single"/>
          <w:lang w:val="en-AU" w:eastAsia="zh-CN"/>
        </w:rPr>
        <w:t xml:space="preserve"> </w:t>
      </w:r>
      <w:r w:rsidRPr="00F60A4F">
        <w:rPr>
          <w:rFonts w:ascii="Times New Roman" w:eastAsia="Times New Roman" w:hAnsi="Times New Roman"/>
        </w:rPr>
        <w:t xml:space="preserve">and </w:t>
      </w:r>
      <w:hyperlink r:id="rId11" w:history="1">
        <w:r w:rsidRPr="00F60A4F">
          <w:rPr>
            <w:rFonts w:eastAsia="Times New Roman"/>
            <w:color w:val="0000FF"/>
            <w:u w:val="single"/>
            <w:lang w:val="en-AU" w:eastAsia="zh-CN"/>
          </w:rPr>
          <w:t>South West Grid for Learning</w:t>
        </w:r>
      </w:hyperlink>
      <w:r w:rsidRPr="00F60A4F">
        <w:rPr>
          <w:rFonts w:eastAsia="Times New Roman"/>
          <w:lang w:val="en-AU" w:eastAsia="zh-CN"/>
        </w:rPr>
        <w:t xml:space="preserve"> on online age assurance and overall technical standards on child online protection, the group sends this liaison statement for information.</w:t>
      </w:r>
    </w:p>
    <w:p w14:paraId="1D960B1F" w14:textId="6B4BE16C"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line="120" w:lineRule="atLeast"/>
        <w:rPr>
          <w:rFonts w:eastAsia="Times New Roman"/>
          <w:lang w:val="en-AU" w:eastAsia="zh-CN"/>
        </w:rPr>
      </w:pPr>
      <w:proofErr w:type="spellStart"/>
      <w:r w:rsidRPr="00F60A4F">
        <w:rPr>
          <w:rFonts w:eastAsia="Times New Roman"/>
          <w:lang w:val="en-AU" w:eastAsia="zh-CN"/>
        </w:rPr>
        <w:t>euCONSENT</w:t>
      </w:r>
      <w:proofErr w:type="spellEnd"/>
      <w:r w:rsidRPr="00F60A4F">
        <w:rPr>
          <w:rFonts w:eastAsia="Times New Roman"/>
          <w:lang w:val="en-AU" w:eastAsia="zh-CN"/>
        </w:rPr>
        <w:t xml:space="preserve"> is a non-governmental organisation, initiated and originally funded by the European Union to develop a privacy-preserving, international standards-based mechanism for the interoperable use of online age checks – both age verification and AI-based age estimation – across multiple relying party services. It delivered a successful pilot across five countries with 1,600 users navigating dummy websites without needing to complete more than one age check. Phase 2 of the project will put this network into live operation with leading platforms, creating an open and competitive market for certified providers of age assurance, and a convenient verify-once-use-many-times age check for users. </w:t>
      </w:r>
      <w:proofErr w:type="spellStart"/>
      <w:r w:rsidRPr="00F60A4F">
        <w:rPr>
          <w:rFonts w:eastAsia="Times New Roman"/>
          <w:lang w:val="en-AU" w:eastAsia="zh-CN"/>
        </w:rPr>
        <w:t>euCONSENT’s</w:t>
      </w:r>
      <w:proofErr w:type="spellEnd"/>
      <w:r w:rsidRPr="00F60A4F">
        <w:rPr>
          <w:rFonts w:eastAsia="Times New Roman"/>
          <w:lang w:val="en-AU" w:eastAsia="zh-CN"/>
        </w:rPr>
        <w:t xml:space="preserve"> mission to make the Internet age aware </w:t>
      </w:r>
      <w:proofErr w:type="gramStart"/>
      <w:r w:rsidRPr="00F60A4F">
        <w:rPr>
          <w:rFonts w:eastAsia="Times New Roman"/>
          <w:lang w:val="en-AU" w:eastAsia="zh-CN"/>
        </w:rPr>
        <w:t>in order to</w:t>
      </w:r>
      <w:proofErr w:type="gramEnd"/>
      <w:r w:rsidRPr="00F60A4F">
        <w:rPr>
          <w:rFonts w:eastAsia="Times New Roman"/>
          <w:lang w:val="en-AU" w:eastAsia="zh-CN"/>
        </w:rPr>
        <w:t xml:space="preserve"> enable more effective child online protection would benefit greatly from extending its partnership with the ITU.</w:t>
      </w:r>
    </w:p>
    <w:p w14:paraId="20356095" w14:textId="575AD26D"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line="120" w:lineRule="atLeast"/>
        <w:rPr>
          <w:rFonts w:eastAsia="Times New Roman"/>
          <w:lang w:val="en-AU" w:eastAsia="zh-CN"/>
        </w:rPr>
      </w:pPr>
      <w:proofErr w:type="spellStart"/>
      <w:r w:rsidRPr="00F60A4F">
        <w:rPr>
          <w:rFonts w:eastAsia="Times New Roman"/>
          <w:lang w:val="en-AU" w:eastAsia="zh-CN"/>
        </w:rPr>
        <w:t>SWGfL</w:t>
      </w:r>
      <w:proofErr w:type="spellEnd"/>
      <w:r w:rsidRPr="00F60A4F">
        <w:rPr>
          <w:rFonts w:eastAsia="Times New Roman"/>
          <w:lang w:val="en-AU" w:eastAsia="zh-CN"/>
        </w:rPr>
        <w:t xml:space="preserve"> presented end-to-end encryption (E2EE) as a technology that secures digital </w:t>
      </w:r>
      <w:r w:rsidR="001E297A">
        <w:rPr>
          <w:rFonts w:eastAsia="Times New Roman"/>
          <w:lang w:val="en-AU" w:eastAsia="zh-CN"/>
        </w:rPr>
        <w:t>c</w:t>
      </w:r>
      <w:r w:rsidRPr="00F60A4F">
        <w:rPr>
          <w:rFonts w:eastAsia="Times New Roman"/>
          <w:lang w:val="en-AU" w:eastAsia="zh-CN"/>
        </w:rPr>
        <w:t xml:space="preserve">ommunication so that only the sender and recipient can access the information. While E2EE is essential for privacy and security, it presents challenges for law enforcement agencies and child protection advocates, as it can potentially impede efforts to detect and prevent online threats against children. </w:t>
      </w:r>
    </w:p>
    <w:p w14:paraId="3AC6F012" w14:textId="77777777" w:rsidR="00F60A4F" w:rsidRPr="00F60A4F" w:rsidRDefault="00F60A4F" w:rsidP="00F60A4F">
      <w:pPr>
        <w:tabs>
          <w:tab w:val="clear" w:pos="567"/>
          <w:tab w:val="clear" w:pos="1134"/>
          <w:tab w:val="clear" w:pos="1701"/>
          <w:tab w:val="clear" w:pos="2268"/>
          <w:tab w:val="clear" w:pos="2835"/>
          <w:tab w:val="left" w:pos="794"/>
          <w:tab w:val="left" w:pos="1191"/>
          <w:tab w:val="left" w:pos="1588"/>
          <w:tab w:val="left" w:pos="1985"/>
        </w:tabs>
        <w:spacing w:line="120" w:lineRule="atLeast"/>
        <w:rPr>
          <w:rFonts w:eastAsia="Times New Roman"/>
          <w:lang w:val="en-AU" w:eastAsia="zh-CN"/>
        </w:rPr>
      </w:pPr>
      <w:r w:rsidRPr="00F60A4F">
        <w:rPr>
          <w:rFonts w:eastAsia="Times New Roman"/>
          <w:lang w:val="en-AU" w:eastAsia="zh-CN"/>
        </w:rPr>
        <w:t xml:space="preserve">The CWG COP sends this statement for information. </w:t>
      </w:r>
    </w:p>
    <w:p w14:paraId="257674B4" w14:textId="3CFFCCDE" w:rsidR="00A514A4" w:rsidRPr="0090147A" w:rsidRDefault="00F60A4F" w:rsidP="00F60A4F">
      <w:pPr>
        <w:tabs>
          <w:tab w:val="clear" w:pos="567"/>
          <w:tab w:val="clear" w:pos="1134"/>
          <w:tab w:val="clear" w:pos="1701"/>
          <w:tab w:val="clear" w:pos="2268"/>
          <w:tab w:val="clear" w:pos="2835"/>
          <w:tab w:val="left" w:pos="794"/>
          <w:tab w:val="left" w:pos="1191"/>
          <w:tab w:val="left" w:pos="1588"/>
          <w:tab w:val="left" w:pos="1985"/>
        </w:tabs>
        <w:spacing w:before="360" w:after="120"/>
        <w:jc w:val="center"/>
        <w:rPr>
          <w:lang w:val="es-ES"/>
        </w:rPr>
      </w:pPr>
      <w:r w:rsidRPr="00F60A4F">
        <w:rPr>
          <w:rFonts w:eastAsia="Times New Roman" w:cs="Calibri"/>
          <w:lang w:val="en-AU"/>
        </w:rPr>
        <w:t>________________</w:t>
      </w:r>
      <w:bookmarkEnd w:id="3"/>
      <w:bookmarkEnd w:id="4"/>
      <w:bookmarkEnd w:id="5"/>
      <w:bookmarkEnd w:id="10"/>
    </w:p>
    <w:sectPr w:rsidR="00A514A4" w:rsidRPr="0090147A"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58A4AEBC"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F60A4F">
            <w:rPr>
              <w:bCs/>
            </w:rPr>
            <w:t>INF/27-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36C1AA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F60A4F">
            <w:rPr>
              <w:bCs/>
            </w:rPr>
            <w:t>INF/27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1E297A"/>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05AB"/>
    <w:rsid w:val="00444744"/>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254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408F"/>
    <w:rsid w:val="00EC5337"/>
    <w:rsid w:val="00ED454D"/>
    <w:rsid w:val="00EE49E8"/>
    <w:rsid w:val="00F16BAB"/>
    <w:rsid w:val="00F2150A"/>
    <w:rsid w:val="00F231D8"/>
    <w:rsid w:val="00F44C00"/>
    <w:rsid w:val="00F45D2C"/>
    <w:rsid w:val="00F46C5F"/>
    <w:rsid w:val="00F60A4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WGCOP20-INF-0024/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WGCOP20-INF-0012/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4-CLCWGCOP20-INF-0024/en" TargetMode="External"/><Relationship Id="rId4" Type="http://schemas.openxmlformats.org/officeDocument/2006/relationships/settings" Target="settings.xml"/><Relationship Id="rId9" Type="http://schemas.openxmlformats.org/officeDocument/2006/relationships/hyperlink" Target="https://www.itu.int/md/S24-CLCWGCOP20-INF-0012/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
  <cp:keywords>CWG-COP, C24, Council-24</cp:keywords>
  <dc:description/>
  <cp:lastModifiedBy/>
  <cp:revision>1</cp:revision>
  <dcterms:created xsi:type="dcterms:W3CDTF">2024-02-13T11:25:00Z</dcterms:created>
  <dcterms:modified xsi:type="dcterms:W3CDTF">2024-02-13T12:56:00Z</dcterms:modified>
  <cp:category>Conference document</cp:category>
</cp:coreProperties>
</file>