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5D66AEFD">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120FBAB"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260ACE">
              <w:rPr>
                <w:b/>
                <w:lang w:val="it-IT"/>
              </w:rPr>
              <w:t>7</w:t>
            </w:r>
            <w:r w:rsidRPr="009B2D4B">
              <w:rPr>
                <w:b/>
                <w:lang w:val="it-IT"/>
              </w:rPr>
              <w:t>/</w:t>
            </w:r>
            <w:r w:rsidR="00D86EFF">
              <w:rPr>
                <w:b/>
                <w:lang w:val="it-IT"/>
              </w:rPr>
              <w:t>5</w:t>
            </w:r>
          </w:p>
        </w:tc>
      </w:tr>
      <w:tr w:rsidR="00AD3606" w:rsidRPr="00813E5E" w14:paraId="789B45BA" w14:textId="77777777" w:rsidTr="5D66AEFD">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08448B58" w:rsidR="00AD3606" w:rsidRPr="00E85629" w:rsidRDefault="00090C92" w:rsidP="00AD3606">
            <w:pPr>
              <w:tabs>
                <w:tab w:val="left" w:pos="851"/>
              </w:tabs>
              <w:spacing w:before="0"/>
              <w:jc w:val="right"/>
              <w:rPr>
                <w:b/>
              </w:rPr>
            </w:pPr>
            <w:r>
              <w:rPr>
                <w:b/>
              </w:rPr>
              <w:t>20</w:t>
            </w:r>
            <w:r w:rsidRPr="00400A57">
              <w:rPr>
                <w:b/>
              </w:rPr>
              <w:t xml:space="preserve"> </w:t>
            </w:r>
            <w:r w:rsidR="00260ACE" w:rsidRPr="00400A57">
              <w:rPr>
                <w:b/>
              </w:rPr>
              <w:t>December</w:t>
            </w:r>
            <w:r w:rsidR="00AD3606" w:rsidRPr="00400A57">
              <w:rPr>
                <w:b/>
              </w:rPr>
              <w:t xml:space="preserve"> 2023</w:t>
            </w:r>
          </w:p>
        </w:tc>
      </w:tr>
      <w:tr w:rsidR="00AD3606" w:rsidRPr="00813E5E" w14:paraId="58A84C4A" w14:textId="77777777" w:rsidTr="5D66AEFD">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5D66AEFD">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D66AEFD">
        <w:trPr>
          <w:cantSplit/>
        </w:trPr>
        <w:tc>
          <w:tcPr>
            <w:tcW w:w="9214" w:type="dxa"/>
            <w:gridSpan w:val="2"/>
            <w:tcMar>
              <w:left w:w="0" w:type="dxa"/>
            </w:tcMar>
          </w:tcPr>
          <w:p w14:paraId="4E7CDB90" w14:textId="69E3B982" w:rsidR="00AD3606" w:rsidRPr="00676C7D" w:rsidRDefault="00244F7F" w:rsidP="00676C7D">
            <w:pPr>
              <w:pStyle w:val="Source"/>
              <w:framePr w:hSpace="0" w:wrap="auto" w:vAnchor="margin" w:hAnchor="text" w:xAlign="left" w:yAlign="inline"/>
            </w:pPr>
            <w:bookmarkStart w:id="8" w:name="dsource" w:colFirst="0" w:colLast="0"/>
            <w:bookmarkEnd w:id="7"/>
            <w:r w:rsidRPr="00676C7D">
              <w:t>Contribution</w:t>
            </w:r>
            <w:r w:rsidR="00AD3606" w:rsidRPr="00676C7D">
              <w:t xml:space="preserve"> by the </w:t>
            </w:r>
            <w:r w:rsidR="00A52C84" w:rsidRPr="00676C7D">
              <w:t>secretariat</w:t>
            </w:r>
          </w:p>
        </w:tc>
      </w:tr>
      <w:tr w:rsidR="00AD3606" w:rsidRPr="00813E5E" w14:paraId="2340750D" w14:textId="77777777" w:rsidTr="5D66AEFD">
        <w:trPr>
          <w:cantSplit/>
        </w:trPr>
        <w:tc>
          <w:tcPr>
            <w:tcW w:w="9214" w:type="dxa"/>
            <w:gridSpan w:val="2"/>
            <w:tcMar>
              <w:left w:w="0" w:type="dxa"/>
            </w:tcMar>
          </w:tcPr>
          <w:p w14:paraId="47B91AA8" w14:textId="167E14BB" w:rsidR="00AD3606" w:rsidRPr="00676C7D" w:rsidRDefault="0002336B" w:rsidP="00676C7D">
            <w:pPr>
              <w:pStyle w:val="Subtitle1"/>
              <w:framePr w:hSpace="0" w:wrap="auto" w:xAlign="left" w:yAlign="inline"/>
            </w:pPr>
            <w:bookmarkStart w:id="9" w:name="dtitle1"/>
            <w:bookmarkEnd w:id="8"/>
            <w:r>
              <w:t>REPORT ON ESTABLIS</w:t>
            </w:r>
            <w:r w:rsidR="00FE02B6">
              <w:t>H</w:t>
            </w:r>
            <w:r>
              <w:t>ING A GOVERNANCE STRUCTURE FOR CYBER SECURITY, IT AND DATA/INFORMATION</w:t>
            </w:r>
          </w:p>
        </w:tc>
      </w:tr>
      <w:tr w:rsidR="00AD3606" w:rsidRPr="00813E5E" w14:paraId="1F564D2D" w14:textId="77777777" w:rsidTr="5D66AEFD">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AC509F7" w:rsidR="00AD3606" w:rsidRPr="00082099" w:rsidRDefault="00F9078B" w:rsidP="00F16BAB">
            <w:pPr>
              <w:rPr>
                <w:rFonts w:asciiTheme="minorHAnsi" w:hAnsiTheme="minorHAnsi" w:cstheme="minorHAnsi"/>
              </w:rPr>
            </w:pPr>
            <w:r w:rsidRPr="00F9078B">
              <w:rPr>
                <w:rFonts w:asciiTheme="minorHAnsi" w:hAnsiTheme="minorHAnsi" w:cstheme="minorHAnsi"/>
                <w:szCs w:val="24"/>
                <w:shd w:val="clear" w:color="auto" w:fill="FFFFFF"/>
                <w:lang w:val="en-US"/>
              </w:rPr>
              <w:t xml:space="preserve">This document proposes a comprehensive governance framework, responding to the IMAC recommendations regarding the need for a resilient governance structure for IT, </w:t>
            </w:r>
            <w:proofErr w:type="gramStart"/>
            <w:r w:rsidRPr="00F9078B">
              <w:rPr>
                <w:rFonts w:asciiTheme="minorHAnsi" w:hAnsiTheme="minorHAnsi" w:cstheme="minorHAnsi"/>
                <w:szCs w:val="24"/>
                <w:shd w:val="clear" w:color="auto" w:fill="FFFFFF"/>
                <w:lang w:val="en-US"/>
              </w:rPr>
              <w:t>Cybersecurity</w:t>
            </w:r>
            <w:proofErr w:type="gramEnd"/>
            <w:r w:rsidRPr="00F9078B">
              <w:rPr>
                <w:rFonts w:asciiTheme="minorHAnsi" w:hAnsiTheme="minorHAnsi" w:cstheme="minorHAnsi"/>
                <w:szCs w:val="24"/>
                <w:shd w:val="clear" w:color="auto" w:fill="FFFFFF"/>
                <w:lang w:val="en-US"/>
              </w:rPr>
              <w:t xml:space="preserve"> and data, leveraging existing committees like the ICTC, with representatives from the general secretariat and three bureaus. This proposed structure distinctly separates governance and operations for IT, cybersecurity, and data. Governance sets strategic goals, direction, and policies, while operations implement and execute activities to achieve these goals.</w:t>
            </w:r>
          </w:p>
          <w:p w14:paraId="5076D5C4" w14:textId="28F00572" w:rsidR="00AD3606" w:rsidRPr="00082099" w:rsidRDefault="00AD3606" w:rsidP="00F16BAB">
            <w:pPr>
              <w:spacing w:before="160"/>
              <w:rPr>
                <w:rFonts w:asciiTheme="minorHAnsi" w:hAnsiTheme="minorHAnsi" w:cstheme="minorHAnsi"/>
                <w:b/>
                <w:bCs/>
                <w:sz w:val="26"/>
                <w:szCs w:val="26"/>
              </w:rPr>
            </w:pPr>
            <w:r w:rsidRPr="00082099">
              <w:rPr>
                <w:rFonts w:asciiTheme="minorHAnsi" w:hAnsiTheme="minorHAnsi" w:cstheme="minorHAnsi"/>
                <w:b/>
                <w:bCs/>
                <w:sz w:val="26"/>
                <w:szCs w:val="26"/>
              </w:rPr>
              <w:t xml:space="preserve">Action </w:t>
            </w:r>
            <w:proofErr w:type="gramStart"/>
            <w:r w:rsidRPr="00082099">
              <w:rPr>
                <w:rFonts w:asciiTheme="minorHAnsi" w:hAnsiTheme="minorHAnsi" w:cstheme="minorHAnsi"/>
                <w:b/>
                <w:bCs/>
                <w:sz w:val="26"/>
                <w:szCs w:val="26"/>
              </w:rPr>
              <w:t>required</w:t>
            </w:r>
            <w:proofErr w:type="gramEnd"/>
          </w:p>
          <w:p w14:paraId="53A776F1" w14:textId="0410720D" w:rsidR="00891503" w:rsidRPr="00082099" w:rsidRDefault="00082099" w:rsidP="00F16BAB">
            <w:pPr>
              <w:spacing w:before="160"/>
              <w:rPr>
                <w:rFonts w:asciiTheme="minorHAnsi" w:hAnsiTheme="minorHAnsi" w:cstheme="minorHAnsi"/>
              </w:rPr>
            </w:pPr>
            <w:r w:rsidRPr="00784926">
              <w:rPr>
                <w:rFonts w:asciiTheme="minorHAnsi" w:hAnsiTheme="minorHAnsi" w:cstheme="minorHAnsi"/>
              </w:rPr>
              <w:t xml:space="preserve">The CWG-FHR is invited </w:t>
            </w:r>
            <w:r w:rsidRPr="00090C92">
              <w:rPr>
                <w:rFonts w:asciiTheme="minorHAnsi" w:hAnsiTheme="minorHAnsi" w:cstheme="minorHAnsi"/>
                <w:b/>
                <w:bCs/>
              </w:rPr>
              <w:t xml:space="preserve">to </w:t>
            </w:r>
            <w:r w:rsidR="00F9078B" w:rsidRPr="00090C92">
              <w:rPr>
                <w:rFonts w:asciiTheme="minorHAnsi" w:hAnsiTheme="minorHAnsi" w:cstheme="minorHAnsi"/>
                <w:b/>
                <w:bCs/>
              </w:rPr>
              <w:t>n</w:t>
            </w:r>
            <w:r w:rsidR="00F9078B">
              <w:rPr>
                <w:rFonts w:asciiTheme="minorHAnsi" w:hAnsiTheme="minorHAnsi" w:cstheme="minorHAnsi"/>
                <w:b/>
                <w:bCs/>
              </w:rPr>
              <w:t>ote</w:t>
            </w:r>
            <w:r w:rsidRPr="00784926">
              <w:rPr>
                <w:rFonts w:asciiTheme="minorHAnsi" w:hAnsiTheme="minorHAnsi" w:cstheme="minorHAnsi"/>
                <w:b/>
                <w:bCs/>
              </w:rPr>
              <w:t xml:space="preserve"> </w:t>
            </w:r>
            <w:r w:rsidRPr="00784926">
              <w:rPr>
                <w:rFonts w:asciiTheme="minorHAnsi" w:hAnsiTheme="minorHAnsi" w:cstheme="minorHAnsi"/>
              </w:rPr>
              <w:t>the report</w:t>
            </w:r>
            <w:r w:rsidR="00F9078B">
              <w:rPr>
                <w:rFonts w:asciiTheme="minorHAnsi" w:hAnsiTheme="minorHAnsi" w:cstheme="minorHAnsi"/>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DB256EA" w14:textId="7EDED2DC" w:rsidR="00082099" w:rsidRPr="00784926" w:rsidRDefault="00082099" w:rsidP="00784926">
            <w:pPr>
              <w:spacing w:after="60"/>
              <w:rPr>
                <w:i/>
                <w:iCs/>
              </w:rPr>
            </w:pPr>
            <w:r w:rsidRPr="00784926">
              <w:rPr>
                <w:i/>
                <w:iCs/>
              </w:rPr>
              <w:t xml:space="preserve">Council documents </w:t>
            </w:r>
            <w:hyperlink r:id="rId11" w:history="1">
              <w:r w:rsidRPr="00784926">
                <w:rPr>
                  <w:rStyle w:val="Hyperlink"/>
                  <w:i/>
                  <w:iCs/>
                </w:rPr>
                <w:t>C23/22</w:t>
              </w:r>
            </w:hyperlink>
            <w:r w:rsidRPr="00784926">
              <w:rPr>
                <w:i/>
                <w:iCs/>
              </w:rPr>
              <w:t xml:space="preserve">, </w:t>
            </w:r>
            <w:hyperlink r:id="rId12" w:history="1">
              <w:r w:rsidRPr="00784926">
                <w:rPr>
                  <w:rStyle w:val="Hyperlink"/>
                  <w:i/>
                  <w:iCs/>
                </w:rPr>
                <w:t>C23/52</w:t>
              </w:r>
            </w:hyperlink>
            <w:r w:rsidRPr="00784926">
              <w:rPr>
                <w:i/>
                <w:iCs/>
              </w:rPr>
              <w:t xml:space="preserve">, </w:t>
            </w:r>
            <w:hyperlink r:id="rId13" w:history="1">
              <w:r w:rsidRPr="00784926">
                <w:rPr>
                  <w:rStyle w:val="Hyperlink"/>
                  <w:i/>
                  <w:iCs/>
                </w:rPr>
                <w:t>C23/INF/11</w:t>
              </w:r>
            </w:hyperlink>
            <w:r w:rsidRPr="00784926">
              <w:rPr>
                <w:i/>
                <w:iCs/>
              </w:rPr>
              <w:t xml:space="preserve">, </w:t>
            </w:r>
            <w:hyperlink r:id="rId14" w:history="1">
              <w:r w:rsidRPr="00784926">
                <w:rPr>
                  <w:rStyle w:val="Hyperlink"/>
                  <w:i/>
                  <w:iCs/>
                </w:rPr>
                <w:t>C22/57</w:t>
              </w:r>
            </w:hyperlink>
          </w:p>
          <w:p w14:paraId="0175CD6C" w14:textId="1DBD48C5" w:rsidR="00AD3606" w:rsidRDefault="00E62440" w:rsidP="00784926">
            <w:pPr>
              <w:spacing w:before="60" w:after="160"/>
            </w:pPr>
            <w:hyperlink r:id="rId15" w:history="1">
              <w:r w:rsidR="00082099" w:rsidRPr="00784926">
                <w:rPr>
                  <w:rStyle w:val="Hyperlink"/>
                  <w:i/>
                  <w:iCs/>
                </w:rPr>
                <w:t>JIU/REP/2021/3</w:t>
              </w:r>
            </w:hyperlink>
            <w:r w:rsidR="00082099" w:rsidRPr="00784926">
              <w:rPr>
                <w:rStyle w:val="Hyperlink"/>
                <w:i/>
                <w:iCs/>
              </w:rPr>
              <w:t>:</w:t>
            </w:r>
            <w:r w:rsidR="00082099" w:rsidRPr="00784926">
              <w:rPr>
                <w:i/>
                <w:iCs/>
              </w:rPr>
              <w:t xml:space="preserve"> Cybersecurity in the United Nations system organizations</w:t>
            </w:r>
          </w:p>
        </w:tc>
      </w:tr>
    </w:tbl>
    <w:p w14:paraId="1D7ED322" w14:textId="77777777" w:rsidR="0090147A" w:rsidRPr="00082099"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082099">
        <w:br w:type="page"/>
      </w:r>
    </w:p>
    <w:bookmarkEnd w:id="5"/>
    <w:bookmarkEnd w:id="10"/>
    <w:p w14:paraId="7F14696E" w14:textId="77777777" w:rsidR="00082099" w:rsidRPr="00F9078B" w:rsidRDefault="00082099" w:rsidP="00F9078B">
      <w:pPr>
        <w:numPr>
          <w:ilvl w:val="0"/>
          <w:numId w:val="2"/>
        </w:numPr>
        <w:tabs>
          <w:tab w:val="clear" w:pos="567"/>
          <w:tab w:val="clear" w:pos="1134"/>
          <w:tab w:val="clear" w:pos="1701"/>
          <w:tab w:val="clear" w:pos="2268"/>
          <w:tab w:val="clear" w:pos="2835"/>
        </w:tabs>
        <w:spacing w:after="120"/>
        <w:ind w:left="0" w:firstLine="0"/>
        <w:outlineLvl w:val="0"/>
        <w:rPr>
          <w:rFonts w:asciiTheme="minorHAnsi" w:hAnsiTheme="minorHAnsi" w:cstheme="minorHAnsi"/>
          <w:b/>
          <w:sz w:val="26"/>
          <w:szCs w:val="26"/>
        </w:rPr>
      </w:pPr>
      <w:r w:rsidRPr="00F9078B">
        <w:rPr>
          <w:rFonts w:asciiTheme="minorHAnsi" w:hAnsiTheme="minorHAnsi" w:cstheme="minorHAnsi"/>
          <w:b/>
          <w:sz w:val="26"/>
          <w:szCs w:val="26"/>
        </w:rPr>
        <w:lastRenderedPageBreak/>
        <w:t>Background</w:t>
      </w:r>
    </w:p>
    <w:p w14:paraId="653B7AC8" w14:textId="7A5DE7A4" w:rsidR="00082099" w:rsidRPr="00F9078B" w:rsidRDefault="00F9078B" w:rsidP="00F9078B">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F9078B">
        <w:rPr>
          <w:rFonts w:asciiTheme="minorHAnsi" w:hAnsiTheme="minorHAnsi" w:cstheme="minorHAnsi"/>
          <w:szCs w:val="24"/>
          <w:shd w:val="clear" w:color="auto" w:fill="FFFFFF"/>
        </w:rPr>
        <w:t xml:space="preserve">This document addresses recommendations from </w:t>
      </w:r>
      <w:hyperlink r:id="rId16" w:history="1">
        <w:r w:rsidRPr="00F9078B">
          <w:rPr>
            <w:rStyle w:val="Hyperlink"/>
            <w:rFonts w:asciiTheme="minorHAnsi" w:hAnsiTheme="minorHAnsi" w:cstheme="minorHAnsi"/>
            <w:szCs w:val="24"/>
            <w:shd w:val="clear" w:color="auto" w:fill="FFFFFF"/>
          </w:rPr>
          <w:t>CWG-FHR-16/6</w:t>
        </w:r>
      </w:hyperlink>
      <w:r w:rsidRPr="00F9078B">
        <w:rPr>
          <w:rFonts w:asciiTheme="minorHAnsi" w:hAnsiTheme="minorHAnsi" w:cstheme="minorHAnsi"/>
          <w:szCs w:val="24"/>
          <w:shd w:val="clear" w:color="auto" w:fill="FFFFFF"/>
        </w:rPr>
        <w:t>, and those of the Independent Management Advisory Committee's (IMAC) that call for a robust cybersecurity governance structure. IMAC emphasizes the need for a comprehensive framework covering technical and strategic aspects, ensuring decision-making authority, demand management, accountability, and performance incentives.</w:t>
      </w:r>
    </w:p>
    <w:p w14:paraId="25FCF4E9" w14:textId="77777777" w:rsidR="00F9078B" w:rsidRPr="00F9078B" w:rsidRDefault="00082099" w:rsidP="00F9078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9078B">
        <w:rPr>
          <w:rFonts w:asciiTheme="minorHAnsi" w:hAnsiTheme="minorHAnsi" w:cstheme="minorHAnsi"/>
          <w:szCs w:val="24"/>
          <w:shd w:val="clear" w:color="auto" w:fill="FFFFFF"/>
        </w:rPr>
        <w:t xml:space="preserve">Additionally, </w:t>
      </w:r>
      <w:r w:rsidR="00F9078B" w:rsidRPr="00F9078B">
        <w:rPr>
          <w:rFonts w:asciiTheme="minorHAnsi" w:hAnsiTheme="minorHAnsi" w:cstheme="minorHAnsi"/>
          <w:szCs w:val="24"/>
          <w:shd w:val="clear" w:color="auto" w:fill="FFFFFF"/>
        </w:rPr>
        <w:t xml:space="preserve">IMAC recommends a top-down data governance framework with retention policies to safeguard historical data, aligning with </w:t>
      </w:r>
      <w:hyperlink r:id="rId17" w:history="1">
        <w:r w:rsidRPr="00F9078B">
          <w:rPr>
            <w:rFonts w:asciiTheme="minorHAnsi" w:hAnsiTheme="minorHAnsi" w:cstheme="minorHAnsi"/>
            <w:color w:val="0563C1"/>
            <w:szCs w:val="24"/>
            <w:u w:val="single"/>
            <w:shd w:val="clear" w:color="auto" w:fill="FFFFFF"/>
          </w:rPr>
          <w:t>C23/22</w:t>
        </w:r>
      </w:hyperlink>
      <w:r w:rsidRPr="00F9078B">
        <w:rPr>
          <w:rFonts w:asciiTheme="minorHAnsi" w:hAnsiTheme="minorHAnsi" w:cstheme="minorHAnsi"/>
          <w:szCs w:val="24"/>
          <w:shd w:val="clear" w:color="auto" w:fill="FFFFFF"/>
        </w:rPr>
        <w:t xml:space="preserve"> and </w:t>
      </w:r>
      <w:hyperlink r:id="rId18">
        <w:r w:rsidRPr="00F9078B">
          <w:rPr>
            <w:rFonts w:asciiTheme="minorHAnsi" w:hAnsiTheme="minorHAnsi" w:cstheme="minorHAnsi"/>
            <w:color w:val="0563C1"/>
            <w:szCs w:val="24"/>
            <w:u w:val="single"/>
            <w:shd w:val="clear" w:color="auto" w:fill="FFFFFF"/>
          </w:rPr>
          <w:t>C22/57</w:t>
        </w:r>
      </w:hyperlink>
      <w:r w:rsidR="00F9078B" w:rsidRPr="00F9078B">
        <w:rPr>
          <w:rFonts w:asciiTheme="minorHAnsi" w:hAnsiTheme="minorHAnsi" w:cstheme="minorHAnsi"/>
          <w:color w:val="323130"/>
          <w:szCs w:val="24"/>
          <w:shd w:val="clear" w:color="auto" w:fill="FFFFFF"/>
          <w:lang w:val="en-US"/>
        </w:rPr>
        <w:t xml:space="preserve"> </w:t>
      </w:r>
      <w:r w:rsidR="00F9078B" w:rsidRPr="00F9078B">
        <w:rPr>
          <w:rFonts w:asciiTheme="minorHAnsi" w:hAnsiTheme="minorHAnsi" w:cstheme="minorHAnsi"/>
          <w:szCs w:val="24"/>
          <w:shd w:val="clear" w:color="auto" w:fill="FFFFFF"/>
          <w:lang w:val="en-US"/>
        </w:rPr>
        <w:t xml:space="preserve">principles. Document </w:t>
      </w:r>
      <w:hyperlink r:id="rId19" w:history="1">
        <w:r w:rsidRPr="00F9078B">
          <w:rPr>
            <w:rFonts w:asciiTheme="minorHAnsi" w:hAnsiTheme="minorHAnsi" w:cstheme="minorHAnsi"/>
            <w:color w:val="0563C1"/>
            <w:szCs w:val="24"/>
            <w:u w:val="single"/>
          </w:rPr>
          <w:t>C23/INF/11</w:t>
        </w:r>
      </w:hyperlink>
      <w:r w:rsidRPr="00F9078B">
        <w:rPr>
          <w:rFonts w:asciiTheme="minorHAnsi" w:hAnsiTheme="minorHAnsi" w:cstheme="minorHAnsi"/>
          <w:szCs w:val="24"/>
        </w:rPr>
        <w:t xml:space="preserve"> </w:t>
      </w:r>
      <w:r w:rsidR="00F9078B" w:rsidRPr="00F9078B">
        <w:rPr>
          <w:rFonts w:asciiTheme="minorHAnsi" w:hAnsiTheme="minorHAnsi" w:cstheme="minorHAnsi"/>
          <w:szCs w:val="24"/>
        </w:rPr>
        <w:t>highlights technical risks due to the absence of a digital/IT strategy and governance structure, leading to unclear ownership and direction.</w:t>
      </w:r>
    </w:p>
    <w:p w14:paraId="744C499C" w14:textId="77777777" w:rsidR="00F9078B" w:rsidRPr="00F9078B" w:rsidRDefault="00F9078B" w:rsidP="00F9078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9078B">
        <w:rPr>
          <w:rFonts w:asciiTheme="minorHAnsi" w:hAnsiTheme="minorHAnsi" w:cstheme="minorHAnsi"/>
          <w:szCs w:val="24"/>
        </w:rPr>
        <w:t xml:space="preserve">In response, this document proposes an overarching governance framework leveraging existing committees, notably the ICTC, encompassing IT, cybersecurity, and data. The proposed structure explicitly separates governance and operations for these services, with distinct roles and purposes. </w:t>
      </w:r>
    </w:p>
    <w:p w14:paraId="39470B2A" w14:textId="31097E2B" w:rsidR="00082099" w:rsidRPr="00F9078B" w:rsidRDefault="00AD0BC2" w:rsidP="00F9078B">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Pr>
          <w:rFonts w:asciiTheme="minorHAnsi" w:hAnsiTheme="minorHAnsi" w:cstheme="minorHAnsi"/>
          <w:szCs w:val="24"/>
        </w:rPr>
        <w:t>T</w:t>
      </w:r>
      <w:r w:rsidR="00F9078B" w:rsidRPr="00F9078B">
        <w:rPr>
          <w:rFonts w:asciiTheme="minorHAnsi" w:hAnsiTheme="minorHAnsi" w:cstheme="minorHAnsi"/>
          <w:szCs w:val="24"/>
        </w:rPr>
        <w:t xml:space="preserve">he committee </w:t>
      </w:r>
      <w:r>
        <w:rPr>
          <w:rFonts w:asciiTheme="minorHAnsi" w:hAnsiTheme="minorHAnsi" w:cstheme="minorHAnsi"/>
          <w:szCs w:val="24"/>
        </w:rPr>
        <w:t xml:space="preserve">would </w:t>
      </w:r>
      <w:r w:rsidR="00F9078B" w:rsidRPr="00F9078B">
        <w:rPr>
          <w:rFonts w:asciiTheme="minorHAnsi" w:hAnsiTheme="minorHAnsi" w:cstheme="minorHAnsi"/>
          <w:szCs w:val="24"/>
        </w:rPr>
        <w:t>report to the Secretary-General/Deputy Secretary General and receiv</w:t>
      </w:r>
      <w:r>
        <w:rPr>
          <w:rFonts w:asciiTheme="minorHAnsi" w:hAnsiTheme="minorHAnsi" w:cstheme="minorHAnsi"/>
          <w:szCs w:val="24"/>
        </w:rPr>
        <w:t>e</w:t>
      </w:r>
      <w:r w:rsidR="00F9078B" w:rsidRPr="00F9078B">
        <w:rPr>
          <w:rFonts w:asciiTheme="minorHAnsi" w:hAnsiTheme="minorHAnsi" w:cstheme="minorHAnsi"/>
          <w:szCs w:val="24"/>
        </w:rPr>
        <w:t xml:space="preserve"> inputs from the recommendations from the Compliance Dashboard, encompassing internal and external oversight bodies like the newly created oversight unit, IMAC, external auditors, Joint Inspection Unit, Chief Executives </w:t>
      </w:r>
      <w:proofErr w:type="gramStart"/>
      <w:r w:rsidR="00F9078B" w:rsidRPr="00F9078B">
        <w:rPr>
          <w:rFonts w:asciiTheme="minorHAnsi" w:hAnsiTheme="minorHAnsi" w:cstheme="minorHAnsi"/>
          <w:szCs w:val="24"/>
        </w:rPr>
        <w:t>Board</w:t>
      </w:r>
      <w:proofErr w:type="gramEnd"/>
      <w:r w:rsidR="00F9078B" w:rsidRPr="00F9078B">
        <w:rPr>
          <w:rFonts w:asciiTheme="minorHAnsi" w:hAnsiTheme="minorHAnsi" w:cstheme="minorHAnsi"/>
          <w:szCs w:val="24"/>
        </w:rPr>
        <w:t xml:space="preserve"> and finally subject matter experts.</w:t>
      </w:r>
    </w:p>
    <w:p w14:paraId="11A55FAC" w14:textId="7F8C7782" w:rsidR="00F9078B" w:rsidRPr="00F9078B" w:rsidRDefault="00082099" w:rsidP="00F9078B">
      <w:pPr>
        <w:pStyle w:val="Heading1"/>
        <w:keepNext w:val="0"/>
        <w:keepLines w:val="0"/>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F9078B">
        <w:rPr>
          <w:rFonts w:asciiTheme="minorHAnsi" w:hAnsiTheme="minorHAnsi" w:cstheme="minorHAnsi"/>
          <w:sz w:val="26"/>
          <w:szCs w:val="26"/>
        </w:rPr>
        <w:t>2.</w:t>
      </w:r>
      <w:r w:rsidRPr="00F9078B">
        <w:rPr>
          <w:rFonts w:asciiTheme="minorHAnsi" w:hAnsiTheme="minorHAnsi" w:cstheme="minorHAnsi"/>
          <w:sz w:val="26"/>
          <w:szCs w:val="26"/>
        </w:rPr>
        <w:tab/>
        <w:t>Cyber security governance</w:t>
      </w:r>
    </w:p>
    <w:p w14:paraId="00CBBEAA" w14:textId="77777777" w:rsidR="00F9078B" w:rsidRPr="00F9078B" w:rsidRDefault="00F9078B" w:rsidP="00F9078B">
      <w:pPr>
        <w:tabs>
          <w:tab w:val="clear" w:pos="567"/>
          <w:tab w:val="clear" w:pos="1134"/>
          <w:tab w:val="clear" w:pos="1701"/>
          <w:tab w:val="clear" w:pos="2268"/>
          <w:tab w:val="clear" w:pos="2835"/>
        </w:tabs>
        <w:spacing w:after="120"/>
        <w:rPr>
          <w:rFonts w:asciiTheme="minorHAnsi" w:hAnsiTheme="minorHAnsi" w:cstheme="minorHAnsi"/>
          <w:szCs w:val="24"/>
          <w:lang w:val="en-US"/>
        </w:rPr>
      </w:pPr>
      <w:r w:rsidRPr="00F9078B">
        <w:rPr>
          <w:rFonts w:asciiTheme="minorHAnsi" w:hAnsiTheme="minorHAnsi" w:cstheme="minorHAnsi"/>
          <w:szCs w:val="24"/>
          <w:lang w:val="en-US"/>
        </w:rPr>
        <w:t>The Cybersecurity Governance Committee oversees end-to-end business and IT responsibilities for cybersecurity, aligning with organizational strategic goals. Key functions include:</w:t>
      </w:r>
    </w:p>
    <w:p w14:paraId="235E3316"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Strategy Development:</w:t>
      </w:r>
      <w:r w:rsidRPr="00F9078B">
        <w:rPr>
          <w:rFonts w:asciiTheme="minorHAnsi" w:hAnsiTheme="minorHAnsi" w:cstheme="minorHAnsi"/>
          <w:szCs w:val="24"/>
          <w:lang w:val="en-US"/>
        </w:rPr>
        <w:t xml:space="preserve"> Establishes the strategic direction for cybersecurity initiatives, aligning with business objectives, identifying critical assets, and guiding resource allocation.</w:t>
      </w:r>
    </w:p>
    <w:p w14:paraId="6FDA96BA" w14:textId="359A48C9" w:rsidR="00F9078B" w:rsidRPr="009F7D41" w:rsidRDefault="00F9078B" w:rsidP="009F7D41">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Policy Formulation:</w:t>
      </w:r>
      <w:r w:rsidRPr="00F9078B">
        <w:rPr>
          <w:rFonts w:asciiTheme="minorHAnsi" w:hAnsiTheme="minorHAnsi" w:cstheme="minorHAnsi"/>
          <w:szCs w:val="24"/>
          <w:lang w:val="en-US"/>
        </w:rPr>
        <w:t xml:space="preserve"> Develops and updates cybersecurity policies</w:t>
      </w:r>
      <w:r w:rsidRPr="009F7D41">
        <w:rPr>
          <w:rFonts w:asciiTheme="minorHAnsi" w:hAnsiTheme="minorHAnsi" w:cstheme="minorHAnsi"/>
          <w:szCs w:val="24"/>
          <w:lang w:val="en-US"/>
        </w:rPr>
        <w:t>, ensuring adherence to best practices, legal requirements, and organizational objectives.</w:t>
      </w:r>
    </w:p>
    <w:p w14:paraId="2FD54AB4"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Risk Management:</w:t>
      </w:r>
      <w:r w:rsidRPr="00F9078B">
        <w:rPr>
          <w:rFonts w:asciiTheme="minorHAnsi" w:hAnsiTheme="minorHAnsi" w:cstheme="minorHAnsi"/>
          <w:szCs w:val="24"/>
          <w:lang w:val="en-US"/>
        </w:rPr>
        <w:t xml:space="preserve"> Oversees cybersecurity risk management, maintaining an acceptable risk level, setting tolerance thresholds, and conducting regular risk assessments and audits.</w:t>
      </w:r>
    </w:p>
    <w:p w14:paraId="249FB7A1"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Compliance and Regulatory Oversight:</w:t>
      </w:r>
      <w:r w:rsidRPr="00F9078B">
        <w:rPr>
          <w:rFonts w:asciiTheme="minorHAnsi" w:hAnsiTheme="minorHAnsi" w:cstheme="minorHAnsi"/>
          <w:szCs w:val="24"/>
          <w:lang w:val="en-US"/>
        </w:rPr>
        <w:t xml:space="preserve"> Ensures adherence to regulations and internal policies, providing advice on oversight recommendations.</w:t>
      </w:r>
    </w:p>
    <w:p w14:paraId="1E5465F8"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Incident Response and Crisis Management:</w:t>
      </w:r>
      <w:r w:rsidRPr="00F9078B">
        <w:rPr>
          <w:rFonts w:asciiTheme="minorHAnsi" w:hAnsiTheme="minorHAnsi" w:cstheme="minorHAnsi"/>
          <w:szCs w:val="24"/>
          <w:lang w:val="en-US"/>
        </w:rPr>
        <w:t xml:space="preserve"> Supervises the organization's response to incidents, developing and maintaining a comprehensive incident response plan.</w:t>
      </w:r>
    </w:p>
    <w:p w14:paraId="26D8A3B3"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Performance Monitoring:</w:t>
      </w:r>
      <w:r w:rsidRPr="00F9078B">
        <w:rPr>
          <w:rFonts w:asciiTheme="minorHAnsi" w:hAnsiTheme="minorHAnsi" w:cstheme="minorHAnsi"/>
          <w:szCs w:val="24"/>
          <w:lang w:val="en-US"/>
        </w:rPr>
        <w:t xml:space="preserve"> Establishes KPIs and metrics to measure the effectiveness of the cybersecurity governance framework, providing regular reports to executives.</w:t>
      </w:r>
    </w:p>
    <w:p w14:paraId="600CE43D"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t>Stakeholder Engagement:</w:t>
      </w:r>
      <w:r w:rsidRPr="00F9078B">
        <w:rPr>
          <w:rFonts w:asciiTheme="minorHAnsi" w:hAnsiTheme="minorHAnsi" w:cstheme="minorHAnsi"/>
          <w:szCs w:val="24"/>
          <w:lang w:val="en-US"/>
        </w:rPr>
        <w:t xml:space="preserve"> Fosters collaboration among IT, legal, compliance, risk management, bureaus, and business units, ensuring alignment with cybersecurity objectives.</w:t>
      </w:r>
    </w:p>
    <w:p w14:paraId="699CECAC" w14:textId="77777777" w:rsidR="00F9078B" w:rsidRPr="00F9078B" w:rsidRDefault="00F9078B"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F9078B">
        <w:rPr>
          <w:rFonts w:asciiTheme="minorHAnsi" w:hAnsiTheme="minorHAnsi" w:cstheme="minorHAnsi"/>
          <w:b/>
          <w:bCs/>
          <w:szCs w:val="24"/>
          <w:lang w:val="en-US"/>
        </w:rPr>
        <w:lastRenderedPageBreak/>
        <w:t>Business Continuity:</w:t>
      </w:r>
      <w:r w:rsidRPr="00F9078B">
        <w:rPr>
          <w:rFonts w:asciiTheme="minorHAnsi" w:hAnsiTheme="minorHAnsi" w:cstheme="minorHAnsi"/>
          <w:szCs w:val="24"/>
          <w:lang w:val="en-US"/>
        </w:rPr>
        <w:t xml:space="preserve"> Ensures the organization's resilience against cybersecurity incidents, maintaining continuous services and implementing business continuity measures for timely recovery.</w:t>
      </w:r>
    </w:p>
    <w:p w14:paraId="44306DA2" w14:textId="2950C610" w:rsidR="00F9078B" w:rsidRPr="00F9078B" w:rsidRDefault="009F7D41" w:rsidP="00F9078B">
      <w:pPr>
        <w:numPr>
          <w:ilvl w:val="0"/>
          <w:numId w:val="5"/>
        </w:numPr>
        <w:tabs>
          <w:tab w:val="clear" w:pos="567"/>
          <w:tab w:val="clear" w:pos="720"/>
          <w:tab w:val="clear" w:pos="1134"/>
          <w:tab w:val="clear" w:pos="1701"/>
          <w:tab w:val="clear" w:pos="2268"/>
          <w:tab w:val="clear" w:pos="2835"/>
        </w:tabs>
        <w:overflowPunct/>
        <w:autoSpaceDE/>
        <w:autoSpaceDN/>
        <w:adjustRightInd/>
        <w:spacing w:after="120"/>
        <w:ind w:left="709" w:hanging="425"/>
        <w:textAlignment w:val="auto"/>
        <w:rPr>
          <w:rFonts w:asciiTheme="minorHAnsi" w:hAnsiTheme="minorHAnsi" w:cstheme="minorHAnsi"/>
          <w:szCs w:val="24"/>
          <w:lang w:val="en-US"/>
        </w:rPr>
      </w:pPr>
      <w:r w:rsidRPr="009F7D41">
        <w:rPr>
          <w:rFonts w:asciiTheme="minorHAnsi" w:hAnsiTheme="minorHAnsi" w:cstheme="minorHAnsi"/>
          <w:b/>
          <w:bCs/>
          <w:color w:val="323130"/>
          <w:szCs w:val="24"/>
          <w:shd w:val="clear" w:color="auto" w:fill="FFFFFF"/>
        </w:rPr>
        <w:t>Fields Offices</w:t>
      </w:r>
      <w:r>
        <w:rPr>
          <w:rFonts w:asciiTheme="minorHAnsi" w:hAnsiTheme="minorHAnsi" w:cstheme="minorHAnsi"/>
          <w:color w:val="323130"/>
          <w:szCs w:val="24"/>
          <w:shd w:val="clear" w:color="auto" w:fill="FFFFFF"/>
        </w:rPr>
        <w:t>: Address s</w:t>
      </w:r>
      <w:r w:rsidR="00F9078B" w:rsidRPr="00F9078B">
        <w:rPr>
          <w:rFonts w:asciiTheme="minorHAnsi" w:hAnsiTheme="minorHAnsi" w:cstheme="minorHAnsi"/>
          <w:color w:val="323130"/>
          <w:szCs w:val="24"/>
          <w:shd w:val="clear" w:color="auto" w:fill="FFFFFF"/>
        </w:rPr>
        <w:t xml:space="preserve">ecurity concerns </w:t>
      </w:r>
      <w:r>
        <w:rPr>
          <w:rFonts w:asciiTheme="minorHAnsi" w:hAnsiTheme="minorHAnsi" w:cstheme="minorHAnsi"/>
          <w:color w:val="323130"/>
          <w:szCs w:val="24"/>
          <w:shd w:val="clear" w:color="auto" w:fill="FFFFFF"/>
        </w:rPr>
        <w:t>and the</w:t>
      </w:r>
      <w:r w:rsidR="00F9078B" w:rsidRPr="00F9078B">
        <w:rPr>
          <w:rFonts w:asciiTheme="minorHAnsi" w:hAnsiTheme="minorHAnsi" w:cstheme="minorHAnsi"/>
          <w:color w:val="323130"/>
          <w:szCs w:val="24"/>
          <w:shd w:val="clear" w:color="auto" w:fill="FFFFFF"/>
        </w:rPr>
        <w:t xml:space="preserve"> review of risk mitigations</w:t>
      </w:r>
      <w:r>
        <w:rPr>
          <w:rFonts w:asciiTheme="minorHAnsi" w:hAnsiTheme="minorHAnsi" w:cstheme="minorHAnsi"/>
          <w:color w:val="323130"/>
          <w:szCs w:val="24"/>
          <w:shd w:val="clear" w:color="auto" w:fill="FFFFFF"/>
        </w:rPr>
        <w:t xml:space="preserve"> related to the field offices and ensure consistent e</w:t>
      </w:r>
      <w:r w:rsidR="00F9078B" w:rsidRPr="00F9078B">
        <w:rPr>
          <w:rFonts w:asciiTheme="minorHAnsi" w:hAnsiTheme="minorHAnsi" w:cstheme="minorHAnsi"/>
          <w:color w:val="323130"/>
          <w:szCs w:val="24"/>
          <w:shd w:val="clear" w:color="auto" w:fill="FFFFFF"/>
        </w:rPr>
        <w:t>nforcement of cybersecurity across the organization and at ITU events.</w:t>
      </w:r>
    </w:p>
    <w:p w14:paraId="10EAAFF4" w14:textId="51E97438" w:rsidR="00F9078B" w:rsidRPr="00F9078B" w:rsidRDefault="00F9078B" w:rsidP="00F9078B">
      <w:pPr>
        <w:pStyle w:val="Heading1"/>
        <w:keepNext w:val="0"/>
        <w:keepLines w:val="0"/>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F9078B">
        <w:rPr>
          <w:rFonts w:asciiTheme="minorHAnsi" w:hAnsiTheme="minorHAnsi" w:cstheme="minorHAnsi"/>
          <w:sz w:val="26"/>
          <w:szCs w:val="26"/>
        </w:rPr>
        <w:t>3.</w:t>
      </w:r>
      <w:r w:rsidRPr="00F9078B">
        <w:rPr>
          <w:rFonts w:asciiTheme="minorHAnsi" w:hAnsiTheme="minorHAnsi" w:cstheme="minorHAnsi"/>
          <w:sz w:val="26"/>
          <w:szCs w:val="26"/>
        </w:rPr>
        <w:tab/>
        <w:t>IT governance</w:t>
      </w:r>
    </w:p>
    <w:p w14:paraId="6985400F" w14:textId="77777777" w:rsidR="00F9078B" w:rsidRPr="00F9078B" w:rsidRDefault="00F9078B" w:rsidP="00F9078B">
      <w:pPr>
        <w:tabs>
          <w:tab w:val="clear" w:pos="567"/>
          <w:tab w:val="clear" w:pos="1134"/>
          <w:tab w:val="clear" w:pos="1701"/>
          <w:tab w:val="clear" w:pos="2268"/>
          <w:tab w:val="clear" w:pos="2835"/>
        </w:tabs>
        <w:spacing w:after="120"/>
        <w:rPr>
          <w:rFonts w:asciiTheme="minorHAnsi" w:hAnsiTheme="minorHAnsi" w:cstheme="minorHAnsi"/>
          <w:szCs w:val="24"/>
          <w:lang w:val="en-US"/>
        </w:rPr>
      </w:pPr>
      <w:r w:rsidRPr="00F9078B">
        <w:rPr>
          <w:rFonts w:asciiTheme="minorHAnsi" w:hAnsiTheme="minorHAnsi" w:cstheme="minorHAnsi"/>
          <w:szCs w:val="24"/>
          <w:lang w:val="en-US"/>
        </w:rPr>
        <w:t>In addition to cybersecurity governance, the Committee oversees IT governance, focusing on strategic alignment, resource optimization, and risk management. Key activities include:</w:t>
      </w:r>
    </w:p>
    <w:p w14:paraId="37F769B3"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IT Strategy Development:</w:t>
      </w:r>
      <w:r w:rsidRPr="00F9078B">
        <w:rPr>
          <w:rFonts w:asciiTheme="minorHAnsi" w:hAnsiTheme="minorHAnsi" w:cstheme="minorHAnsi"/>
          <w:szCs w:val="24"/>
          <w:lang w:val="en-US"/>
        </w:rPr>
        <w:t xml:space="preserve"> Defines the organization's IT strategy, aligning with overall goals and supporting digital transformation and innovation initiatives.</w:t>
      </w:r>
    </w:p>
    <w:p w14:paraId="299EC13C"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Resource Oversight:</w:t>
      </w:r>
      <w:r w:rsidRPr="00F9078B">
        <w:rPr>
          <w:rFonts w:asciiTheme="minorHAnsi" w:hAnsiTheme="minorHAnsi" w:cstheme="minorHAnsi"/>
          <w:szCs w:val="24"/>
          <w:lang w:val="en-US"/>
        </w:rPr>
        <w:t xml:space="preserve"> Ensures optimal allocation of IT resources, including budget, personnel, and infrastructure.</w:t>
      </w:r>
    </w:p>
    <w:p w14:paraId="4A67E008"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Service Performance:</w:t>
      </w:r>
      <w:r w:rsidRPr="00F9078B">
        <w:rPr>
          <w:rFonts w:asciiTheme="minorHAnsi" w:hAnsiTheme="minorHAnsi" w:cstheme="minorHAnsi"/>
          <w:szCs w:val="24"/>
          <w:lang w:val="en-US"/>
        </w:rPr>
        <w:t xml:space="preserve"> Ensures reliable, responsive, and cost-effective IT services meeting internal and external stakeholder needs.</w:t>
      </w:r>
    </w:p>
    <w:p w14:paraId="0E0A6674"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IT Risk Management:</w:t>
      </w:r>
      <w:r w:rsidRPr="00F9078B">
        <w:rPr>
          <w:rFonts w:asciiTheme="minorHAnsi" w:hAnsiTheme="minorHAnsi" w:cstheme="minorHAnsi"/>
          <w:szCs w:val="24"/>
          <w:lang w:val="en-US"/>
        </w:rPr>
        <w:t xml:space="preserve"> Collaborates with the risk management team to oversee IT risk mitigation within the organization's risk appetite, integrating it into the overall risk management framework.</w:t>
      </w:r>
    </w:p>
    <w:p w14:paraId="400937EC"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Compliance Oversight:</w:t>
      </w:r>
      <w:r w:rsidRPr="00F9078B">
        <w:rPr>
          <w:rFonts w:asciiTheme="minorHAnsi" w:hAnsiTheme="minorHAnsi" w:cstheme="minorHAnsi"/>
          <w:szCs w:val="24"/>
          <w:lang w:val="en-US"/>
        </w:rPr>
        <w:t xml:space="preserve"> Ensures IT policies, processes, and systems comply with ITU service orders, regulations, and contractual requirements.</w:t>
      </w:r>
    </w:p>
    <w:p w14:paraId="3CB33306"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Project and Portfolio Oversight:</w:t>
      </w:r>
      <w:r w:rsidRPr="00F9078B">
        <w:rPr>
          <w:rFonts w:asciiTheme="minorHAnsi" w:hAnsiTheme="minorHAnsi" w:cstheme="minorHAnsi"/>
          <w:szCs w:val="24"/>
          <w:lang w:val="en-US"/>
        </w:rPr>
        <w:t xml:space="preserve"> Manages IT projects and portfolios, ensuring alignment with strategic objectives, resource adequacy, budget adherence, and successful outcomes.</w:t>
      </w:r>
    </w:p>
    <w:p w14:paraId="41B9424C"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Innovation and Emerging Technologies:</w:t>
      </w:r>
      <w:r w:rsidRPr="00F9078B">
        <w:rPr>
          <w:rFonts w:asciiTheme="minorHAnsi" w:hAnsiTheme="minorHAnsi" w:cstheme="minorHAnsi"/>
          <w:szCs w:val="24"/>
          <w:lang w:val="en-US"/>
        </w:rPr>
        <w:t xml:space="preserve"> Fosters an innovative culture, encouraging exploration and adoption of emerging technologies for resilience, process improvement, enhanced customer experiences, and competitive advantage.</w:t>
      </w:r>
    </w:p>
    <w:p w14:paraId="7B3144A2"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Governance Integration:</w:t>
      </w:r>
      <w:r w:rsidRPr="00F9078B">
        <w:rPr>
          <w:rFonts w:asciiTheme="minorHAnsi" w:hAnsiTheme="minorHAnsi" w:cstheme="minorHAnsi"/>
          <w:szCs w:val="24"/>
          <w:lang w:val="en-US"/>
        </w:rPr>
        <w:t xml:space="preserve"> Promotes the integration of IT, </w:t>
      </w:r>
      <w:proofErr w:type="gramStart"/>
      <w:r w:rsidRPr="00F9078B">
        <w:rPr>
          <w:rFonts w:asciiTheme="minorHAnsi" w:hAnsiTheme="minorHAnsi" w:cstheme="minorHAnsi"/>
          <w:szCs w:val="24"/>
          <w:lang w:val="en-US"/>
        </w:rPr>
        <w:t>cybersecurity</w:t>
      </w:r>
      <w:proofErr w:type="gramEnd"/>
      <w:r w:rsidRPr="00F9078B">
        <w:rPr>
          <w:rFonts w:asciiTheme="minorHAnsi" w:hAnsiTheme="minorHAnsi" w:cstheme="minorHAnsi"/>
          <w:szCs w:val="24"/>
          <w:lang w:val="en-US"/>
        </w:rPr>
        <w:t xml:space="preserve"> and data governance, ensuring a holistic approach to managing technology risks.</w:t>
      </w:r>
    </w:p>
    <w:p w14:paraId="2C22F1B0" w14:textId="77777777" w:rsidR="00F9078B" w:rsidRPr="00F9078B" w:rsidRDefault="00F9078B" w:rsidP="00F9078B">
      <w:pPr>
        <w:numPr>
          <w:ilvl w:val="0"/>
          <w:numId w:val="6"/>
        </w:numPr>
        <w:tabs>
          <w:tab w:val="clear" w:pos="567"/>
          <w:tab w:val="clear" w:pos="720"/>
          <w:tab w:val="clear" w:pos="1134"/>
          <w:tab w:val="clear" w:pos="1701"/>
          <w:tab w:val="clear" w:pos="2268"/>
          <w:tab w:val="clear" w:pos="2835"/>
        </w:tabs>
        <w:overflowPunct/>
        <w:autoSpaceDE/>
        <w:autoSpaceDN/>
        <w:adjustRightInd/>
        <w:spacing w:after="120"/>
        <w:ind w:left="709" w:hanging="436"/>
        <w:textAlignment w:val="auto"/>
        <w:rPr>
          <w:rFonts w:asciiTheme="minorHAnsi" w:hAnsiTheme="minorHAnsi" w:cstheme="minorHAnsi"/>
          <w:szCs w:val="24"/>
          <w:lang w:val="en-US"/>
        </w:rPr>
      </w:pPr>
      <w:r w:rsidRPr="00F9078B">
        <w:rPr>
          <w:rFonts w:asciiTheme="minorHAnsi" w:hAnsiTheme="minorHAnsi" w:cstheme="minorHAnsi"/>
          <w:b/>
          <w:bCs/>
          <w:szCs w:val="24"/>
          <w:lang w:val="en-US"/>
        </w:rPr>
        <w:t>Auditing and Accountability:</w:t>
      </w:r>
      <w:r w:rsidRPr="00F9078B">
        <w:rPr>
          <w:rFonts w:asciiTheme="minorHAnsi" w:hAnsiTheme="minorHAnsi" w:cstheme="minorHAnsi"/>
          <w:szCs w:val="24"/>
          <w:lang w:val="en-US"/>
        </w:rPr>
        <w:t xml:space="preserve"> Establishes a robust IT audit and accountability framework for effective, efficient, and compliant IT processes and systems.</w:t>
      </w:r>
    </w:p>
    <w:p w14:paraId="0DBB0C47" w14:textId="77777777" w:rsidR="00F9078B" w:rsidRPr="00F9078B" w:rsidRDefault="00F9078B" w:rsidP="00F9078B">
      <w:pPr>
        <w:pStyle w:val="Heading1"/>
        <w:keepNext w:val="0"/>
        <w:keepLines w:val="0"/>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F9078B">
        <w:rPr>
          <w:rFonts w:asciiTheme="minorHAnsi" w:hAnsiTheme="minorHAnsi" w:cstheme="minorHAnsi"/>
          <w:sz w:val="26"/>
          <w:szCs w:val="26"/>
        </w:rPr>
        <w:t>4.</w:t>
      </w:r>
      <w:r w:rsidRPr="00F9078B">
        <w:rPr>
          <w:rFonts w:asciiTheme="minorHAnsi" w:hAnsiTheme="minorHAnsi" w:cstheme="minorHAnsi"/>
          <w:sz w:val="26"/>
          <w:szCs w:val="26"/>
        </w:rPr>
        <w:tab/>
        <w:t>Data/information Governance</w:t>
      </w:r>
    </w:p>
    <w:p w14:paraId="5BD2BD4F" w14:textId="77777777" w:rsidR="00F9078B" w:rsidRPr="00F9078B" w:rsidRDefault="00F9078B" w:rsidP="00F9078B">
      <w:pPr>
        <w:tabs>
          <w:tab w:val="clear" w:pos="567"/>
          <w:tab w:val="clear" w:pos="1134"/>
          <w:tab w:val="clear" w:pos="1701"/>
          <w:tab w:val="clear" w:pos="2268"/>
          <w:tab w:val="clear" w:pos="2835"/>
        </w:tabs>
        <w:spacing w:after="120"/>
        <w:rPr>
          <w:rFonts w:asciiTheme="minorHAnsi" w:hAnsiTheme="minorHAnsi" w:cstheme="minorHAnsi"/>
          <w:color w:val="323130"/>
          <w:szCs w:val="24"/>
          <w:shd w:val="clear" w:color="auto" w:fill="FFFFFF"/>
          <w:lang w:val="en-US"/>
        </w:rPr>
      </w:pPr>
      <w:r w:rsidRPr="00F9078B">
        <w:rPr>
          <w:rFonts w:asciiTheme="minorHAnsi" w:hAnsiTheme="minorHAnsi" w:cstheme="minorHAnsi"/>
          <w:color w:val="323130"/>
          <w:szCs w:val="24"/>
          <w:shd w:val="clear" w:color="auto" w:fill="FFFFFF"/>
          <w:lang w:val="en-US"/>
        </w:rPr>
        <w:t>In addition to its roles in IT and cybersecurity governance, the committee will also manage the oversight of data/information governance. As part of this responsibility, the committee is actively engaged in ITU's comprehensive information governance program for Microsoft 365. The program is designed to foster organization-wide information management practices, behaviors, and processes, with a focus on unlocking the value of our information assets.</w:t>
      </w:r>
    </w:p>
    <w:p w14:paraId="3EB55E69" w14:textId="77777777" w:rsidR="00F9078B" w:rsidRPr="00F9078B" w:rsidRDefault="00F9078B" w:rsidP="00F9078B">
      <w:pPr>
        <w:tabs>
          <w:tab w:val="clear" w:pos="567"/>
          <w:tab w:val="clear" w:pos="1134"/>
          <w:tab w:val="clear" w:pos="1701"/>
          <w:tab w:val="clear" w:pos="2268"/>
          <w:tab w:val="clear" w:pos="2835"/>
        </w:tabs>
        <w:spacing w:after="120"/>
        <w:rPr>
          <w:rFonts w:asciiTheme="minorHAnsi" w:hAnsiTheme="minorHAnsi" w:cstheme="minorHAnsi"/>
          <w:color w:val="323130"/>
          <w:szCs w:val="24"/>
          <w:shd w:val="clear" w:color="auto" w:fill="FFFFFF"/>
          <w:lang w:val="en-US"/>
        </w:rPr>
      </w:pPr>
      <w:r w:rsidRPr="00F9078B">
        <w:rPr>
          <w:rFonts w:asciiTheme="minorHAnsi" w:hAnsiTheme="minorHAnsi" w:cstheme="minorHAnsi"/>
          <w:color w:val="323130"/>
          <w:szCs w:val="24"/>
          <w:shd w:val="clear" w:color="auto" w:fill="FFFFFF"/>
          <w:lang w:val="en-US"/>
        </w:rPr>
        <w:t>Key tasks within this initiative include:</w:t>
      </w:r>
    </w:p>
    <w:p w14:paraId="4EF3AC66" w14:textId="77777777" w:rsidR="00F9078B" w:rsidRPr="00F9078B" w:rsidRDefault="00F9078B" w:rsidP="00F9078B">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Data Security:</w:t>
      </w:r>
      <w:r w:rsidRPr="00F9078B">
        <w:rPr>
          <w:rFonts w:asciiTheme="minorHAnsi" w:hAnsiTheme="minorHAnsi" w:cstheme="minorHAnsi"/>
          <w:color w:val="323130"/>
          <w:szCs w:val="24"/>
          <w:shd w:val="clear" w:color="auto" w:fill="FFFFFF"/>
          <w:lang w:val="en-US"/>
        </w:rPr>
        <w:t xml:space="preserve"> Preventing accidental sharing of sensitive information to ensure robust data protection.</w:t>
      </w:r>
    </w:p>
    <w:p w14:paraId="75299F1E" w14:textId="77777777" w:rsidR="00F9078B" w:rsidRPr="00F9078B" w:rsidRDefault="00F9078B" w:rsidP="00F9078B">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Data Classification:</w:t>
      </w:r>
      <w:r w:rsidRPr="00F9078B">
        <w:rPr>
          <w:rFonts w:asciiTheme="minorHAnsi" w:hAnsiTheme="minorHAnsi" w:cstheme="minorHAnsi"/>
          <w:color w:val="323130"/>
          <w:szCs w:val="24"/>
          <w:shd w:val="clear" w:color="auto" w:fill="FFFFFF"/>
          <w:lang w:val="en-US"/>
        </w:rPr>
        <w:t xml:space="preserve"> Implementing a system for categorizing data to enhance its understanding, accessibility, and security.</w:t>
      </w:r>
    </w:p>
    <w:p w14:paraId="58CA2879" w14:textId="77777777" w:rsidR="00F9078B" w:rsidRPr="00F9078B" w:rsidRDefault="00F9078B" w:rsidP="00F9078B">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External Access Management:</w:t>
      </w:r>
      <w:r w:rsidRPr="00F9078B">
        <w:rPr>
          <w:rFonts w:asciiTheme="minorHAnsi" w:hAnsiTheme="minorHAnsi" w:cstheme="minorHAnsi"/>
          <w:color w:val="323130"/>
          <w:szCs w:val="24"/>
          <w:shd w:val="clear" w:color="auto" w:fill="FFFFFF"/>
          <w:lang w:val="en-US"/>
        </w:rPr>
        <w:t xml:space="preserve"> Safeguarding data through controlled access, particularly when shared externally.</w:t>
      </w:r>
    </w:p>
    <w:p w14:paraId="5E7F9D6C" w14:textId="77777777" w:rsidR="00F9078B" w:rsidRPr="00F9078B" w:rsidRDefault="00F9078B" w:rsidP="00F9078B">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Provisioning of Data Storage Collections:</w:t>
      </w:r>
      <w:r w:rsidRPr="00F9078B">
        <w:rPr>
          <w:rFonts w:asciiTheme="minorHAnsi" w:hAnsiTheme="minorHAnsi" w:cstheme="minorHAnsi"/>
          <w:color w:val="323130"/>
          <w:szCs w:val="24"/>
          <w:shd w:val="clear" w:color="auto" w:fill="FFFFFF"/>
          <w:lang w:val="en-US"/>
        </w:rPr>
        <w:t xml:space="preserve"> Ensuring secure data storage with well-defined security measures, metadata, and governance controls.</w:t>
      </w:r>
    </w:p>
    <w:p w14:paraId="60C70E8D" w14:textId="77777777" w:rsidR="00F9078B" w:rsidRPr="00F9078B" w:rsidRDefault="00F9078B" w:rsidP="00F9078B">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Information Discovery:</w:t>
      </w:r>
      <w:r w:rsidRPr="00F9078B">
        <w:rPr>
          <w:rFonts w:asciiTheme="minorHAnsi" w:hAnsiTheme="minorHAnsi" w:cstheme="minorHAnsi"/>
          <w:color w:val="323130"/>
          <w:szCs w:val="24"/>
          <w:shd w:val="clear" w:color="auto" w:fill="FFFFFF"/>
          <w:lang w:val="en-US"/>
        </w:rPr>
        <w:t xml:space="preserve"> Facilitating the efficient discovery of information within the organization.</w:t>
      </w:r>
    </w:p>
    <w:p w14:paraId="1D7A5006" w14:textId="69FAFEFB" w:rsidR="00F9078B" w:rsidRDefault="00F9078B" w:rsidP="00090C92">
      <w:pPr>
        <w:numPr>
          <w:ilvl w:val="0"/>
          <w:numId w:val="7"/>
        </w:numPr>
        <w:tabs>
          <w:tab w:val="clear" w:pos="567"/>
          <w:tab w:val="clear" w:pos="720"/>
          <w:tab w:val="clear" w:pos="1134"/>
          <w:tab w:val="clear" w:pos="1701"/>
          <w:tab w:val="clear" w:pos="2268"/>
          <w:tab w:val="clear" w:pos="2835"/>
        </w:tabs>
        <w:spacing w:after="120"/>
        <w:ind w:left="709" w:hanging="436"/>
        <w:rPr>
          <w:rFonts w:asciiTheme="minorHAnsi" w:hAnsiTheme="minorHAnsi" w:cstheme="minorHAnsi"/>
          <w:color w:val="323130"/>
          <w:szCs w:val="24"/>
          <w:shd w:val="clear" w:color="auto" w:fill="FFFFFF"/>
          <w:lang w:val="en-US"/>
        </w:rPr>
      </w:pPr>
      <w:r w:rsidRPr="00F9078B">
        <w:rPr>
          <w:rFonts w:asciiTheme="minorHAnsi" w:hAnsiTheme="minorHAnsi" w:cstheme="minorHAnsi"/>
          <w:b/>
          <w:bCs/>
          <w:color w:val="323130"/>
          <w:szCs w:val="24"/>
          <w:shd w:val="clear" w:color="auto" w:fill="FFFFFF"/>
          <w:lang w:val="en-US"/>
        </w:rPr>
        <w:t>Lifecycle Management:</w:t>
      </w:r>
      <w:r w:rsidRPr="00F9078B">
        <w:rPr>
          <w:rFonts w:asciiTheme="minorHAnsi" w:hAnsiTheme="minorHAnsi" w:cstheme="minorHAnsi"/>
          <w:color w:val="323130"/>
          <w:szCs w:val="24"/>
          <w:shd w:val="clear" w:color="auto" w:fill="FFFFFF"/>
          <w:lang w:val="en-US"/>
        </w:rPr>
        <w:t xml:space="preserve"> Implementing strategies to manage the entire lifecycle of information effectively.</w:t>
      </w:r>
    </w:p>
    <w:p w14:paraId="021144EC" w14:textId="15B5BCC7" w:rsidR="00090C92" w:rsidRPr="00090C92" w:rsidRDefault="00090C92" w:rsidP="00090C92">
      <w:pPr>
        <w:tabs>
          <w:tab w:val="clear" w:pos="567"/>
          <w:tab w:val="clear" w:pos="1134"/>
          <w:tab w:val="clear" w:pos="1701"/>
          <w:tab w:val="clear" w:pos="2268"/>
          <w:tab w:val="clear" w:pos="2835"/>
        </w:tabs>
        <w:spacing w:before="840" w:after="120"/>
        <w:ind w:left="709"/>
        <w:jc w:val="center"/>
        <w:rPr>
          <w:rFonts w:asciiTheme="minorHAnsi" w:hAnsiTheme="minorHAnsi" w:cstheme="minorHAnsi"/>
          <w:color w:val="323130"/>
          <w:szCs w:val="24"/>
          <w:shd w:val="clear" w:color="auto" w:fill="FFFFFF"/>
          <w:lang w:val="en-US"/>
        </w:rPr>
      </w:pPr>
      <w:r>
        <w:rPr>
          <w:rFonts w:asciiTheme="minorHAnsi" w:hAnsiTheme="minorHAnsi" w:cstheme="minorHAnsi"/>
          <w:color w:val="323130"/>
          <w:szCs w:val="24"/>
          <w:shd w:val="clear" w:color="auto" w:fill="FFFFFF"/>
          <w:lang w:val="en-US"/>
        </w:rPr>
        <w:t>_______________</w:t>
      </w:r>
    </w:p>
    <w:sectPr w:rsidR="00090C92" w:rsidRPr="00090C92"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F29A" w14:textId="77777777" w:rsidR="00505321" w:rsidRDefault="00505321">
      <w:r>
        <w:separator/>
      </w:r>
    </w:p>
  </w:endnote>
  <w:endnote w:type="continuationSeparator" w:id="0">
    <w:p w14:paraId="52C597A5" w14:textId="77777777" w:rsidR="00505321" w:rsidRDefault="0050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35C9353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D86EFF">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A46CE36"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260ACE">
            <w:rPr>
              <w:bCs/>
            </w:rPr>
            <w:t>7</w:t>
          </w:r>
          <w:r w:rsidRPr="00623AE3">
            <w:rPr>
              <w:bCs/>
            </w:rPr>
            <w:t>/</w:t>
          </w:r>
          <w:r w:rsidR="00D86EFF">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AA21" w14:textId="77777777" w:rsidR="00505321" w:rsidRDefault="00505321">
      <w:r>
        <w:t>____________________</w:t>
      </w:r>
    </w:p>
  </w:footnote>
  <w:footnote w:type="continuationSeparator" w:id="0">
    <w:p w14:paraId="084EDA18" w14:textId="77777777" w:rsidR="00505321" w:rsidRDefault="0050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CCA905">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60E07F">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4FCB03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BD1693" w:rsidRPr="00BD1693">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CFA770">
            <v:shapetype id="_x0000_t202" coordsize="21600,21600" o:spt="202" path="m,l,21600r21600,l21600,xe" w14:anchorId="4E9A2C87">
              <v:stroke joinstyle="miter"/>
              <v:path gradientshapeok="t" o:connecttype="rect"/>
            </v:shapetype>
            <v:shape id="Text Box 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130599" w:rsidP="00130599" w:rsidRDefault="00130599" w14:paraId="21F833A4" w14:textId="04FCB03C">
                    <w:pPr>
                      <w:spacing w:before="0"/>
                    </w:pPr>
                    <w:r w:rsidRPr="00F74694">
                      <w:rPr>
                        <w:b/>
                        <w:bCs/>
                        <w:szCs w:val="24"/>
                      </w:rPr>
                      <w:t xml:space="preserve">Council Working Group </w:t>
                    </w:r>
                    <w:r w:rsidRPr="00F74694" w:rsid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Pr="00BD1693" w:rsidR="00BD1693">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E7D43"/>
    <w:multiLevelType w:val="multilevel"/>
    <w:tmpl w:val="8368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434CD"/>
    <w:multiLevelType w:val="multilevel"/>
    <w:tmpl w:val="CF06D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160B44"/>
    <w:multiLevelType w:val="multilevel"/>
    <w:tmpl w:val="C670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04155C"/>
    <w:multiLevelType w:val="multilevel"/>
    <w:tmpl w:val="14069BA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772D7F"/>
    <w:multiLevelType w:val="hybridMultilevel"/>
    <w:tmpl w:val="7ECCFB60"/>
    <w:lvl w:ilvl="0" w:tplc="6B3C611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D15CD2"/>
    <w:multiLevelType w:val="multilevel"/>
    <w:tmpl w:val="674C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109781647">
    <w:abstractNumId w:val="5"/>
  </w:num>
  <w:num w:numId="3" w16cid:durableId="2004963538">
    <w:abstractNumId w:val="6"/>
  </w:num>
  <w:num w:numId="4" w16cid:durableId="1579365842">
    <w:abstractNumId w:val="4"/>
  </w:num>
  <w:num w:numId="5" w16cid:durableId="1004362951">
    <w:abstractNumId w:val="2"/>
  </w:num>
  <w:num w:numId="6" w16cid:durableId="795639781">
    <w:abstractNumId w:val="1"/>
  </w:num>
  <w:num w:numId="7" w16cid:durableId="1420174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336B"/>
    <w:rsid w:val="00063016"/>
    <w:rsid w:val="00066795"/>
    <w:rsid w:val="00076AF6"/>
    <w:rsid w:val="00082099"/>
    <w:rsid w:val="00085CF2"/>
    <w:rsid w:val="00090C9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2119FD"/>
    <w:rsid w:val="002130E0"/>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405A2"/>
    <w:rsid w:val="00361465"/>
    <w:rsid w:val="003877F5"/>
    <w:rsid w:val="003942D4"/>
    <w:rsid w:val="003958A8"/>
    <w:rsid w:val="003C2533"/>
    <w:rsid w:val="003D55B9"/>
    <w:rsid w:val="003D5A7F"/>
    <w:rsid w:val="00400A57"/>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5321"/>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B1859"/>
    <w:rsid w:val="006B6680"/>
    <w:rsid w:val="006B6DCC"/>
    <w:rsid w:val="00702DEF"/>
    <w:rsid w:val="00706861"/>
    <w:rsid w:val="0075051B"/>
    <w:rsid w:val="00775655"/>
    <w:rsid w:val="00784926"/>
    <w:rsid w:val="00793188"/>
    <w:rsid w:val="00794D34"/>
    <w:rsid w:val="007A5EC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71C28"/>
    <w:rsid w:val="009B2D4B"/>
    <w:rsid w:val="009B38C3"/>
    <w:rsid w:val="009C253A"/>
    <w:rsid w:val="009E17BD"/>
    <w:rsid w:val="009E485A"/>
    <w:rsid w:val="009F347C"/>
    <w:rsid w:val="009F641D"/>
    <w:rsid w:val="009F7D41"/>
    <w:rsid w:val="00A04CEC"/>
    <w:rsid w:val="00A27F92"/>
    <w:rsid w:val="00A32257"/>
    <w:rsid w:val="00A34664"/>
    <w:rsid w:val="00A36D20"/>
    <w:rsid w:val="00A514A4"/>
    <w:rsid w:val="00A52C84"/>
    <w:rsid w:val="00A55622"/>
    <w:rsid w:val="00A83502"/>
    <w:rsid w:val="00AD0BC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D1693"/>
    <w:rsid w:val="00BE2640"/>
    <w:rsid w:val="00C01189"/>
    <w:rsid w:val="00C374DE"/>
    <w:rsid w:val="00C47AD4"/>
    <w:rsid w:val="00C52D81"/>
    <w:rsid w:val="00C55198"/>
    <w:rsid w:val="00CA6393"/>
    <w:rsid w:val="00CA7CB8"/>
    <w:rsid w:val="00CB18FF"/>
    <w:rsid w:val="00CD0C08"/>
    <w:rsid w:val="00CE03FB"/>
    <w:rsid w:val="00CE433C"/>
    <w:rsid w:val="00CF0161"/>
    <w:rsid w:val="00CF33F3"/>
    <w:rsid w:val="00D06183"/>
    <w:rsid w:val="00D22C42"/>
    <w:rsid w:val="00D464CC"/>
    <w:rsid w:val="00D65041"/>
    <w:rsid w:val="00D86EFF"/>
    <w:rsid w:val="00DB00D5"/>
    <w:rsid w:val="00DB1936"/>
    <w:rsid w:val="00DB384B"/>
    <w:rsid w:val="00DF0189"/>
    <w:rsid w:val="00E06FD5"/>
    <w:rsid w:val="00E10E80"/>
    <w:rsid w:val="00E124F0"/>
    <w:rsid w:val="00E227F3"/>
    <w:rsid w:val="00E545C6"/>
    <w:rsid w:val="00E60F04"/>
    <w:rsid w:val="00E62440"/>
    <w:rsid w:val="00E65B24"/>
    <w:rsid w:val="00E854E4"/>
    <w:rsid w:val="00E86DBF"/>
    <w:rsid w:val="00EB0055"/>
    <w:rsid w:val="00EB0D6F"/>
    <w:rsid w:val="00EB2232"/>
    <w:rsid w:val="00EC5337"/>
    <w:rsid w:val="00ED454D"/>
    <w:rsid w:val="00EE49E8"/>
    <w:rsid w:val="00F16BAB"/>
    <w:rsid w:val="00F2150A"/>
    <w:rsid w:val="00F231D8"/>
    <w:rsid w:val="00F44C00"/>
    <w:rsid w:val="00F45D2C"/>
    <w:rsid w:val="00F46C5F"/>
    <w:rsid w:val="00F632C0"/>
    <w:rsid w:val="00F74694"/>
    <w:rsid w:val="00F9078B"/>
    <w:rsid w:val="00F94A63"/>
    <w:rsid w:val="00FA1C28"/>
    <w:rsid w:val="00FB1279"/>
    <w:rsid w:val="00FB6B76"/>
    <w:rsid w:val="00FB7596"/>
    <w:rsid w:val="00FD7016"/>
    <w:rsid w:val="00FE02B6"/>
    <w:rsid w:val="00FE4077"/>
    <w:rsid w:val="00FE500D"/>
    <w:rsid w:val="00FE77D2"/>
    <w:rsid w:val="3938CF70"/>
    <w:rsid w:val="5D66A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Reasons">
    <w:name w:val="Reasons"/>
    <w:basedOn w:val="Normal"/>
    <w:qFormat/>
    <w:rsid w:val="00082099"/>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 w:type="paragraph" w:styleId="ListParagraph">
    <w:name w:val="List Paragraph"/>
    <w:basedOn w:val="Normal"/>
    <w:uiPriority w:val="34"/>
    <w:qFormat/>
    <w:rsid w:val="00EB0055"/>
    <w:pPr>
      <w:ind w:left="720"/>
      <w:contextualSpacing/>
    </w:pPr>
  </w:style>
  <w:style w:type="paragraph" w:styleId="PlainText">
    <w:name w:val="Plain Text"/>
    <w:basedOn w:val="Normal"/>
    <w:link w:val="PlainTextChar"/>
    <w:uiPriority w:val="99"/>
    <w:unhideWhenUsed/>
    <w:rsid w:val="00F9078B"/>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F9078B"/>
    <w:rPr>
      <w:rFonts w:ascii="Calibri" w:eastAsiaTheme="minorHAnsi" w:hAnsi="Calibri" w:cs="Calibri"/>
      <w:sz w:val="24"/>
      <w:szCs w:val="21"/>
      <w:lang w:val="en-GB" w:eastAsia="en-US"/>
    </w:rPr>
  </w:style>
  <w:style w:type="paragraph" w:styleId="Revision">
    <w:name w:val="Revision"/>
    <w:hidden/>
    <w:uiPriority w:val="99"/>
    <w:semiHidden/>
    <w:rsid w:val="00AD0BC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INF-0011/en" TargetMode="External"/><Relationship Id="rId18" Type="http://schemas.openxmlformats.org/officeDocument/2006/relationships/hyperlink" Target="https://www.itu.int/md/S22-CL-C-0057/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3-CL-C-0052/en" TargetMode="External"/><Relationship Id="rId17" Type="http://schemas.openxmlformats.org/officeDocument/2006/relationships/hyperlink" Target="https://www.itu.int/md/S23-CL-C-0022/en" TargetMode="External"/><Relationship Id="rId2" Type="http://schemas.openxmlformats.org/officeDocument/2006/relationships/customXml" Target="../customXml/item2.xml"/><Relationship Id="rId16" Type="http://schemas.openxmlformats.org/officeDocument/2006/relationships/hyperlink" Target="https://www.itu.int/md/S23-CWGFHR16-C-00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22/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jiu.org/sites/www.unjiu.org/files/jiu_rep_2021_3_english.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INF-001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57/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A0B4-B3AA-4FB1-B504-6225B2E1B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74B35-014E-41EB-9848-591F7996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54FD8-0432-4160-96B0-DB619E1EA012}">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6618</Characters>
  <Application>Microsoft Office Word</Application>
  <DocSecurity>0</DocSecurity>
  <Lines>55</Lines>
  <Paragraphs>14</Paragraphs>
  <ScaleCrop>false</ScaleCrop>
  <Manager/>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GOVERNANCE STRUCTURE FOR CYBER SECURITY, IT</dc:title>
  <dc:subject>Council Working Group on Financial and Human Resources</dc:subject>
  <dc:creator/>
  <cp:keywords>CWG-FHR, C24, Council-24</cp:keywords>
  <dc:description/>
  <cp:lastModifiedBy/>
  <cp:revision>1</cp:revision>
  <dcterms:created xsi:type="dcterms:W3CDTF">2023-12-20T15:55:00Z</dcterms:created>
  <dcterms:modified xsi:type="dcterms:W3CDTF">2023-12-20T16:24:00Z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