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8E40CA" w14:paraId="0043AC80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0A806D3" w14:textId="6316C87D" w:rsidR="00AD3606" w:rsidRPr="00E85629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291AB2A2" w14:textId="1C95B41A" w:rsidR="00AD3606" w:rsidRPr="00A52C84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CH"/>
              </w:rPr>
            </w:pPr>
            <w:r w:rsidRPr="00A52C84">
              <w:rPr>
                <w:b/>
                <w:lang w:val="fr-CH"/>
              </w:rPr>
              <w:t>Document C</w:t>
            </w:r>
            <w:r w:rsidR="00A52C84" w:rsidRPr="00A52C84">
              <w:rPr>
                <w:b/>
                <w:lang w:val="fr-CH"/>
              </w:rPr>
              <w:t>WG-FHR-</w:t>
            </w:r>
            <w:r w:rsidR="009238D3">
              <w:rPr>
                <w:b/>
                <w:lang w:val="fr-CH"/>
              </w:rPr>
              <w:t>1</w:t>
            </w:r>
            <w:r w:rsidR="006416E9">
              <w:rPr>
                <w:b/>
                <w:lang w:val="fr-CH"/>
              </w:rPr>
              <w:t>7</w:t>
            </w:r>
            <w:r w:rsidRPr="00A52C84">
              <w:rPr>
                <w:b/>
                <w:lang w:val="fr-CH"/>
              </w:rPr>
              <w:t>/</w:t>
            </w:r>
            <w:r w:rsidR="005A335D">
              <w:rPr>
                <w:b/>
                <w:lang w:val="fr-CH"/>
              </w:rPr>
              <w:t>INF</w:t>
            </w:r>
            <w:r w:rsidR="008657C8">
              <w:rPr>
                <w:b/>
                <w:lang w:val="fr-CH"/>
              </w:rPr>
              <w:t>/2</w:t>
            </w:r>
          </w:p>
        </w:tc>
      </w:tr>
      <w:tr w:rsidR="00AD3606" w:rsidRPr="00813E5E" w14:paraId="789B45BA" w14:textId="77777777" w:rsidTr="00AD3606">
        <w:trPr>
          <w:cantSplit/>
        </w:trPr>
        <w:tc>
          <w:tcPr>
            <w:tcW w:w="3969" w:type="dxa"/>
            <w:vMerge/>
          </w:tcPr>
          <w:p w14:paraId="3F3D4E17" w14:textId="77777777" w:rsidR="00AD3606" w:rsidRPr="00A52C8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CH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E9ACEA" w14:textId="39055439" w:rsidR="00AD3606" w:rsidRPr="00E85629" w:rsidRDefault="002C323B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>22</w:t>
            </w:r>
            <w:r w:rsidR="00AD3606">
              <w:rPr>
                <w:b/>
              </w:rPr>
              <w:t xml:space="preserve"> </w:t>
            </w:r>
            <w:r w:rsidR="00A0159E">
              <w:rPr>
                <w:b/>
              </w:rPr>
              <w:t>December</w:t>
            </w:r>
            <w:r w:rsidR="00AD3606">
              <w:rPr>
                <w:b/>
              </w:rPr>
              <w:t xml:space="preserve"> 2023</w:t>
            </w:r>
          </w:p>
        </w:tc>
      </w:tr>
      <w:tr w:rsidR="00AD3606" w:rsidRPr="00813E5E" w14:paraId="58A84C4A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7CEDDAA" w14:textId="77777777" w:rsidR="00AD3606" w:rsidRPr="00813E5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561AAE94" w14:textId="316A7294" w:rsidR="00AD3606" w:rsidRPr="00E85629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>
              <w:rPr>
                <w:b/>
              </w:rPr>
              <w:t>English</w:t>
            </w:r>
            <w:r w:rsidR="00667ADC">
              <w:rPr>
                <w:b/>
              </w:rPr>
              <w:t xml:space="preserve"> only</w:t>
            </w:r>
          </w:p>
        </w:tc>
      </w:tr>
      <w:tr w:rsidR="00472BAD" w:rsidRPr="00813E5E" w14:paraId="12C5EF5F" w14:textId="77777777" w:rsidTr="00AD3606">
        <w:trPr>
          <w:cantSplit/>
          <w:trHeight w:val="23"/>
        </w:trPr>
        <w:tc>
          <w:tcPr>
            <w:tcW w:w="3969" w:type="dxa"/>
          </w:tcPr>
          <w:p w14:paraId="4B839BA2" w14:textId="77777777" w:rsidR="00472BAD" w:rsidRPr="00813E5E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2F66D25" w14:textId="77777777" w:rsidR="00472BAD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813E5E" w14:paraId="27000B2A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E7CDB90" w14:textId="69E3B982" w:rsidR="00AD3606" w:rsidRPr="00813E5E" w:rsidRDefault="00244F7F" w:rsidP="00AD3606">
            <w:pPr>
              <w:pStyle w:val="Source"/>
              <w:framePr w:hSpace="0" w:wrap="auto" w:vAnchor="margin" w:hAnchor="text" w:yAlign="inline"/>
            </w:pPr>
            <w:bookmarkStart w:id="8" w:name="dsource" w:colFirst="0" w:colLast="0"/>
            <w:bookmarkEnd w:id="7"/>
            <w:r>
              <w:t>Contribution</w:t>
            </w:r>
            <w:r w:rsidR="00AD3606" w:rsidRPr="002C54E2">
              <w:t xml:space="preserve"> </w:t>
            </w:r>
            <w:r w:rsidR="00AD3606">
              <w:t>by</w:t>
            </w:r>
            <w:r w:rsidR="00AD3606" w:rsidRPr="002C54E2">
              <w:t xml:space="preserve"> </w:t>
            </w:r>
            <w:r w:rsidR="00AD3606">
              <w:t>the</w:t>
            </w:r>
            <w:r w:rsidR="00AD3606" w:rsidRPr="002C54E2">
              <w:t xml:space="preserve"> </w:t>
            </w:r>
            <w:r w:rsidR="00A52C84">
              <w:t>secretariat</w:t>
            </w:r>
          </w:p>
        </w:tc>
      </w:tr>
      <w:tr w:rsidR="00AD3606" w:rsidRPr="00813E5E" w14:paraId="2340750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7B91AA8" w14:textId="708EBE7F" w:rsidR="00AD3606" w:rsidRPr="00813E5E" w:rsidRDefault="006416E9" w:rsidP="00DF0189">
            <w:pPr>
              <w:pStyle w:val="Subtitle"/>
              <w:framePr w:hSpace="0" w:wrap="auto" w:hAnchor="text" w:xAlign="left" w:yAlign="inline"/>
            </w:pPr>
            <w:bookmarkStart w:id="9" w:name="dtitle1" w:colFirst="0" w:colLast="0"/>
            <w:bookmarkEnd w:id="8"/>
            <w:r>
              <w:t>Geographical Distribution at ITU</w:t>
            </w:r>
          </w:p>
        </w:tc>
      </w:tr>
      <w:tr w:rsidR="00AD3606" w:rsidRPr="00813E5E" w14:paraId="1F564D2D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7AD73B47" w14:textId="3A59D05A" w:rsidR="00AD3606" w:rsidRPr="00F16BAB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Purpose</w:t>
            </w:r>
          </w:p>
          <w:p w14:paraId="2E09FE8B" w14:textId="06645658" w:rsidR="00AD3606" w:rsidRPr="00813E5E" w:rsidRDefault="008E40CA" w:rsidP="006416E9">
            <w:r w:rsidRPr="008E40CA">
              <w:t>This document aims to provide an overview of the current geographical distribution at the International Telecommunication Union (ITU) at the Professional and higher category and to</w:t>
            </w:r>
            <w:r w:rsidR="008657C8">
              <w:t> </w:t>
            </w:r>
            <w:r w:rsidRPr="008E40CA">
              <w:t>provide information on what is being implemented to achieve a more diverse and geographically equitable workforce.</w:t>
            </w:r>
          </w:p>
          <w:p w14:paraId="5076D5C4" w14:textId="4FCB17A3" w:rsidR="00AD3606" w:rsidRPr="00F16BAB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 xml:space="preserve">Action </w:t>
            </w:r>
            <w:proofErr w:type="gramStart"/>
            <w:r w:rsidRPr="00F16BAB">
              <w:rPr>
                <w:b/>
                <w:bCs/>
                <w:sz w:val="26"/>
                <w:szCs w:val="26"/>
              </w:rPr>
              <w:t>required</w:t>
            </w:r>
            <w:proofErr w:type="gramEnd"/>
          </w:p>
          <w:p w14:paraId="79F38DAD" w14:textId="7FFE84F4" w:rsidR="00AD3606" w:rsidRPr="00484009" w:rsidRDefault="005A335D" w:rsidP="00AD3606">
            <w:r w:rsidRPr="005A335D">
              <w:t xml:space="preserve">This report is transmitted to the CWG-FHR </w:t>
            </w:r>
            <w:r w:rsidRPr="005A335D">
              <w:rPr>
                <w:b/>
                <w:bCs/>
              </w:rPr>
              <w:t>for information</w:t>
            </w:r>
            <w:r w:rsidRPr="005A335D">
              <w:t>.</w:t>
            </w:r>
          </w:p>
          <w:p w14:paraId="2AAB18B0" w14:textId="77777777" w:rsidR="00AD3606" w:rsidRPr="00813E5E" w:rsidRDefault="00AD3606" w:rsidP="00F16BAB">
            <w:pPr>
              <w:spacing w:before="160"/>
              <w:rPr>
                <w:caps/>
                <w:sz w:val="22"/>
              </w:rPr>
            </w:pPr>
            <w:r w:rsidRPr="00813E5E">
              <w:rPr>
                <w:sz w:val="22"/>
              </w:rPr>
              <w:t>____________</w:t>
            </w:r>
            <w:r>
              <w:rPr>
                <w:sz w:val="22"/>
              </w:rPr>
              <w:t>______</w:t>
            </w:r>
          </w:p>
          <w:p w14:paraId="00DEE14C" w14:textId="4BAACCEC" w:rsidR="00AD3606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F16BAB">
              <w:rPr>
                <w:b/>
                <w:bCs/>
                <w:sz w:val="26"/>
                <w:szCs w:val="26"/>
              </w:rPr>
              <w:t>References</w:t>
            </w:r>
          </w:p>
          <w:p w14:paraId="703C2887" w14:textId="1B931589" w:rsidR="006416E9" w:rsidRPr="00F7251C" w:rsidRDefault="002C323B" w:rsidP="004F7A6A">
            <w:pPr>
              <w:spacing w:before="0"/>
              <w:rPr>
                <w:rFonts w:asciiTheme="minorHAnsi" w:hAnsiTheme="minorHAnsi" w:cstheme="minorHAnsi"/>
                <w:color w:val="000000"/>
                <w:szCs w:val="24"/>
              </w:rPr>
            </w:pPr>
            <w:hyperlink r:id="rId11" w:history="1">
              <w:r w:rsidR="006416E9" w:rsidRPr="00F7251C">
                <w:rPr>
                  <w:color w:val="0070C0"/>
                  <w:u w:val="single"/>
                </w:rPr>
                <w:t>Resolution 48</w:t>
              </w:r>
            </w:hyperlink>
            <w:r w:rsidR="005E6335">
              <w:rPr>
                <w:rFonts w:asciiTheme="minorHAnsi" w:hAnsiTheme="minorHAnsi" w:cstheme="minorHAnsi"/>
                <w:color w:val="000000"/>
                <w:szCs w:val="24"/>
              </w:rPr>
              <w:t xml:space="preserve"> </w:t>
            </w:r>
            <w:r w:rsidR="006416E9" w:rsidRPr="00F7251C">
              <w:rPr>
                <w:rFonts w:asciiTheme="minorHAnsi" w:hAnsiTheme="minorHAnsi" w:cstheme="minorHAnsi"/>
                <w:color w:val="000000"/>
                <w:szCs w:val="24"/>
              </w:rPr>
              <w:t>(Rev. Bucharest, 2022)</w:t>
            </w:r>
            <w:r w:rsidR="006416E9" w:rsidRPr="00F7251C">
              <w:t xml:space="preserve"> </w:t>
            </w:r>
            <w:r w:rsidR="006416E9" w:rsidRPr="00F7251C">
              <w:rPr>
                <w:rFonts w:asciiTheme="minorHAnsi" w:hAnsiTheme="minorHAnsi" w:cstheme="minorHAnsi"/>
                <w:color w:val="000000"/>
                <w:szCs w:val="24"/>
              </w:rPr>
              <w:t>of the Plenipotentiary Conference</w:t>
            </w:r>
          </w:p>
          <w:p w14:paraId="0175CD6C" w14:textId="3880FB72" w:rsidR="006416E9" w:rsidRPr="006416E9" w:rsidRDefault="006416E9" w:rsidP="005E6335">
            <w:pPr>
              <w:spacing w:before="0" w:after="60"/>
              <w:rPr>
                <w:i/>
                <w:iCs/>
                <w:color w:val="0563C1"/>
                <w:u w:val="single"/>
                <w:lang w:eastAsia="ko-KR"/>
              </w:rPr>
            </w:pPr>
            <w:r w:rsidRPr="00F7251C">
              <w:rPr>
                <w:lang w:eastAsia="ko-KR"/>
              </w:rPr>
              <w:t xml:space="preserve">Human Resources Report: </w:t>
            </w:r>
            <w:hyperlink r:id="rId12" w:history="1">
              <w:r w:rsidRPr="00F7251C">
                <w:rPr>
                  <w:rStyle w:val="Hyperlink"/>
                  <w:color w:val="0070C0"/>
                  <w:lang w:eastAsia="ko-KR"/>
                </w:rPr>
                <w:t>Nationality</w:t>
              </w:r>
            </w:hyperlink>
          </w:p>
        </w:tc>
      </w:tr>
    </w:tbl>
    <w:p w14:paraId="4CDB8B60" w14:textId="50DB0109" w:rsidR="00E227F3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bookmarkStart w:id="10" w:name="_Hlk133421428"/>
      <w:bookmarkEnd w:id="2"/>
      <w:bookmarkEnd w:id="9"/>
    </w:p>
    <w:bookmarkEnd w:id="3"/>
    <w:bookmarkEnd w:id="4"/>
    <w:p w14:paraId="1D7ED322" w14:textId="77777777" w:rsidR="0090147A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es-ES"/>
        </w:rPr>
      </w:pPr>
      <w:r>
        <w:rPr>
          <w:lang w:val="es-ES"/>
        </w:rPr>
        <w:br w:type="page"/>
      </w:r>
    </w:p>
    <w:bookmarkEnd w:id="5"/>
    <w:bookmarkEnd w:id="10"/>
    <w:p w14:paraId="60BD0184" w14:textId="5D804D01" w:rsidR="006416E9" w:rsidRPr="00AC07B5" w:rsidRDefault="006416E9" w:rsidP="000E14D6">
      <w:pPr>
        <w:numPr>
          <w:ilvl w:val="0"/>
          <w:numId w:val="7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/>
        <w:ind w:left="709" w:hanging="709"/>
        <w:textAlignment w:val="auto"/>
        <w:rPr>
          <w:rFonts w:asciiTheme="minorHAnsi" w:eastAsia="Times New Roman" w:hAnsiTheme="minorHAnsi" w:cstheme="minorHAnsi"/>
          <w:b/>
          <w:bCs/>
          <w:lang w:val="en-AU"/>
        </w:rPr>
      </w:pPr>
      <w:r w:rsidRPr="00AC07B5">
        <w:rPr>
          <w:rFonts w:asciiTheme="minorHAnsi" w:eastAsia="Times New Roman" w:hAnsiTheme="minorHAnsi" w:cstheme="minorHAnsi"/>
          <w:b/>
          <w:bCs/>
          <w:lang w:val="en-AU"/>
        </w:rPr>
        <w:lastRenderedPageBreak/>
        <w:t>Background</w:t>
      </w:r>
    </w:p>
    <w:p w14:paraId="3BDDF95E" w14:textId="26E43F5C" w:rsidR="006416E9" w:rsidRDefault="006416E9" w:rsidP="00BD10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</w:pPr>
      <w:r w:rsidRPr="0062302C">
        <w:t>Geographical diversity</w:t>
      </w:r>
      <w:r>
        <w:t xml:space="preserve"> and equitable geographic distribution, especially increased staff recruitment from developing countries,</w:t>
      </w:r>
      <w:r w:rsidRPr="0062302C">
        <w:t xml:space="preserve"> </w:t>
      </w:r>
      <w:r>
        <w:t>are</w:t>
      </w:r>
      <w:r w:rsidRPr="0062302C">
        <w:t xml:space="preserve"> crucial for fostering a global perspective, promoting inclusivity, and ensuring </w:t>
      </w:r>
      <w:r>
        <w:t xml:space="preserve">a wide </w:t>
      </w:r>
      <w:r w:rsidRPr="0062302C">
        <w:t xml:space="preserve">representation within </w:t>
      </w:r>
      <w:r>
        <w:t>ITU</w:t>
      </w:r>
      <w:r w:rsidRPr="0062302C">
        <w:t>.</w:t>
      </w:r>
      <w:r w:rsidRPr="007F1BE7">
        <w:t xml:space="preserve"> </w:t>
      </w:r>
      <w:r>
        <w:t>Due regard is paid to the importance of recruiting the staff on as wide a geographical basis as possible.</w:t>
      </w:r>
    </w:p>
    <w:p w14:paraId="1BC13906" w14:textId="353CFE9A" w:rsidR="006416E9" w:rsidRPr="00B94EF0" w:rsidRDefault="006416E9" w:rsidP="00B94EF0">
      <w:pPr>
        <w:numPr>
          <w:ilvl w:val="0"/>
          <w:numId w:val="7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/>
        <w:ind w:left="709" w:hanging="709"/>
        <w:jc w:val="both"/>
        <w:textAlignment w:val="auto"/>
        <w:rPr>
          <w:rFonts w:asciiTheme="minorHAnsi" w:hAnsiTheme="minorHAnsi" w:cstheme="minorHAnsi"/>
          <w:b/>
          <w:bCs/>
        </w:rPr>
      </w:pPr>
      <w:r w:rsidRPr="00B94EF0">
        <w:rPr>
          <w:rFonts w:asciiTheme="minorHAnsi" w:hAnsiTheme="minorHAnsi" w:cstheme="minorHAnsi"/>
          <w:b/>
          <w:bCs/>
        </w:rPr>
        <w:t>Current Geographical Distribution</w:t>
      </w:r>
    </w:p>
    <w:p w14:paraId="41820056" w14:textId="27F7671E" w:rsidR="008829B2" w:rsidRDefault="008829B2" w:rsidP="00BD1012">
      <w:pPr>
        <w:jc w:val="both"/>
      </w:pPr>
      <w:r>
        <w:t xml:space="preserve">As of 4 December 2023, the ITU workforce </w:t>
      </w:r>
      <w:r w:rsidR="002551BF">
        <w:t>includes</w:t>
      </w:r>
      <w:r>
        <w:t xml:space="preserve"> 439 staff members in the professional and higher category, representing 100 nationalities. The distribution of staff from the six ITU defined regions:</w:t>
      </w:r>
    </w:p>
    <w:p w14:paraId="3353B4FD" w14:textId="77777777" w:rsidR="008829B2" w:rsidRDefault="008829B2" w:rsidP="00BD1012">
      <w:pPr>
        <w:pStyle w:val="ListParagraph"/>
        <w:numPr>
          <w:ilvl w:val="0"/>
          <w:numId w:val="4"/>
        </w:numPr>
        <w:tabs>
          <w:tab w:val="clear" w:pos="1134"/>
        </w:tabs>
        <w:spacing w:after="120"/>
        <w:ind w:left="0" w:firstLine="0"/>
        <w:jc w:val="both"/>
      </w:pPr>
      <w:r>
        <w:t xml:space="preserve">Europe: 175 staff members, 40% </w:t>
      </w:r>
    </w:p>
    <w:p w14:paraId="2D532E45" w14:textId="77777777" w:rsidR="008829B2" w:rsidRDefault="008829B2" w:rsidP="00BD1012">
      <w:pPr>
        <w:pStyle w:val="ListParagraph"/>
        <w:numPr>
          <w:ilvl w:val="0"/>
          <w:numId w:val="4"/>
        </w:numPr>
        <w:tabs>
          <w:tab w:val="clear" w:pos="1134"/>
        </w:tabs>
        <w:spacing w:after="120"/>
        <w:ind w:left="0" w:firstLine="0"/>
        <w:jc w:val="both"/>
      </w:pPr>
      <w:r>
        <w:t xml:space="preserve">Asia and Pacific: 92 staff members, 21% </w:t>
      </w:r>
    </w:p>
    <w:p w14:paraId="6B22D72B" w14:textId="77777777" w:rsidR="008829B2" w:rsidRDefault="008829B2" w:rsidP="00BD1012">
      <w:pPr>
        <w:pStyle w:val="ListParagraph"/>
        <w:numPr>
          <w:ilvl w:val="0"/>
          <w:numId w:val="4"/>
        </w:numPr>
        <w:tabs>
          <w:tab w:val="clear" w:pos="1134"/>
        </w:tabs>
        <w:spacing w:after="120"/>
        <w:ind w:left="0" w:firstLine="0"/>
        <w:jc w:val="both"/>
      </w:pPr>
      <w:r>
        <w:t xml:space="preserve">Americas: 70 staff members, 16% </w:t>
      </w:r>
    </w:p>
    <w:p w14:paraId="32A57F1D" w14:textId="77777777" w:rsidR="008829B2" w:rsidRDefault="008829B2" w:rsidP="00BD1012">
      <w:pPr>
        <w:pStyle w:val="ListParagraph"/>
        <w:numPr>
          <w:ilvl w:val="0"/>
          <w:numId w:val="4"/>
        </w:numPr>
        <w:tabs>
          <w:tab w:val="clear" w:pos="1134"/>
        </w:tabs>
        <w:spacing w:after="120"/>
        <w:ind w:left="0" w:firstLine="0"/>
        <w:jc w:val="both"/>
      </w:pPr>
      <w:r>
        <w:t xml:space="preserve">Africa: 48 staff members, 11% </w:t>
      </w:r>
    </w:p>
    <w:p w14:paraId="120A43FE" w14:textId="77777777" w:rsidR="008829B2" w:rsidRDefault="008829B2" w:rsidP="00BD1012">
      <w:pPr>
        <w:pStyle w:val="ListParagraph"/>
        <w:numPr>
          <w:ilvl w:val="0"/>
          <w:numId w:val="4"/>
        </w:numPr>
        <w:tabs>
          <w:tab w:val="clear" w:pos="1134"/>
        </w:tabs>
        <w:spacing w:after="120"/>
        <w:ind w:left="0" w:firstLine="0"/>
        <w:jc w:val="both"/>
      </w:pPr>
      <w:r>
        <w:t>Arab States: 27 staff members, 6%</w:t>
      </w:r>
    </w:p>
    <w:p w14:paraId="2EDF338D" w14:textId="77777777" w:rsidR="008829B2" w:rsidRDefault="008829B2" w:rsidP="00BD1012">
      <w:pPr>
        <w:pStyle w:val="ListParagraph"/>
        <w:numPr>
          <w:ilvl w:val="0"/>
          <w:numId w:val="4"/>
        </w:numPr>
        <w:tabs>
          <w:tab w:val="clear" w:pos="1134"/>
        </w:tabs>
        <w:spacing w:after="120"/>
        <w:ind w:left="0" w:firstLine="0"/>
        <w:jc w:val="both"/>
      </w:pPr>
      <w:r>
        <w:t xml:space="preserve">CIS: 27 staff members, 6% </w:t>
      </w:r>
    </w:p>
    <w:p w14:paraId="02207109" w14:textId="43C97E9D" w:rsidR="008829B2" w:rsidRPr="008829B2" w:rsidRDefault="008829B2" w:rsidP="00BD10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lang w:val="en-US"/>
        </w:rPr>
      </w:pPr>
      <w:r w:rsidRPr="008829B2">
        <w:rPr>
          <w:lang w:val="en-US"/>
        </w:rPr>
        <w:t>It should be noted that the ITU workforce includes staff with dual nationality, but only the first nationality is reported.</w:t>
      </w:r>
    </w:p>
    <w:p w14:paraId="76BF369E" w14:textId="080EBE5B" w:rsidR="00496352" w:rsidRPr="00496352" w:rsidRDefault="006416E9" w:rsidP="002C323B">
      <w:pPr>
        <w:numPr>
          <w:ilvl w:val="0"/>
          <w:numId w:val="7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/>
        <w:ind w:left="709" w:hanging="709"/>
        <w:jc w:val="both"/>
        <w:textAlignment w:val="auto"/>
        <w:rPr>
          <w:rFonts w:asciiTheme="minorHAnsi" w:hAnsiTheme="minorHAnsi" w:cstheme="minorHAnsi"/>
          <w:b/>
          <w:bCs/>
        </w:rPr>
      </w:pPr>
      <w:r w:rsidRPr="00B94EF0">
        <w:rPr>
          <w:rFonts w:asciiTheme="minorHAnsi" w:hAnsiTheme="minorHAnsi" w:cstheme="minorHAnsi"/>
          <w:b/>
          <w:bCs/>
        </w:rPr>
        <w:t>Hiring Decisions</w:t>
      </w:r>
    </w:p>
    <w:p w14:paraId="3A91D487" w14:textId="77777777" w:rsidR="002C323B" w:rsidRDefault="00CB5748" w:rsidP="002C323B">
      <w:pPr>
        <w:jc w:val="both"/>
        <w:rPr>
          <w:lang w:val="en-US"/>
        </w:rPr>
      </w:pPr>
      <w:r>
        <w:rPr>
          <w:lang w:val="en-US"/>
        </w:rPr>
        <w:t>To</w:t>
      </w:r>
      <w:r w:rsidR="0052740C">
        <w:rPr>
          <w:lang w:val="en-US"/>
        </w:rPr>
        <w:t xml:space="preserve"> </w:t>
      </w:r>
      <w:r w:rsidR="00522B7A">
        <w:rPr>
          <w:lang w:val="en-US"/>
        </w:rPr>
        <w:t xml:space="preserve">ensure that </w:t>
      </w:r>
      <w:r w:rsidR="0052740C">
        <w:rPr>
          <w:lang w:val="en-US"/>
        </w:rPr>
        <w:t>ITU</w:t>
      </w:r>
      <w:r w:rsidR="00522B7A">
        <w:rPr>
          <w:lang w:val="en-US"/>
        </w:rPr>
        <w:t xml:space="preserve"> remains at the forefront of ICT innovation and technology,</w:t>
      </w:r>
      <w:r w:rsidR="0052740C">
        <w:rPr>
          <w:lang w:val="en-US"/>
        </w:rPr>
        <w:t xml:space="preserve"> </w:t>
      </w:r>
      <w:r w:rsidR="00522B7A">
        <w:rPr>
          <w:lang w:val="en-US"/>
        </w:rPr>
        <w:t xml:space="preserve">it is the </w:t>
      </w:r>
      <w:r w:rsidR="006416E9" w:rsidRPr="002C323B">
        <w:rPr>
          <w:lang w:val="en-US"/>
        </w:rPr>
        <w:t>Human Resources Management Department</w:t>
      </w:r>
      <w:r w:rsidR="00522B7A">
        <w:rPr>
          <w:lang w:val="en-US"/>
        </w:rPr>
        <w:t>’s</w:t>
      </w:r>
      <w:r w:rsidR="006416E9" w:rsidRPr="002C323B">
        <w:rPr>
          <w:lang w:val="en-US"/>
        </w:rPr>
        <w:t xml:space="preserve"> (HRMD)</w:t>
      </w:r>
      <w:r w:rsidR="00496352">
        <w:rPr>
          <w:lang w:val="en-US"/>
        </w:rPr>
        <w:t xml:space="preserve"> </w:t>
      </w:r>
      <w:r w:rsidR="00522B7A">
        <w:rPr>
          <w:lang w:val="en-US"/>
        </w:rPr>
        <w:t xml:space="preserve">priority to support ITU’s forward movement by </w:t>
      </w:r>
      <w:r w:rsidR="00496352">
        <w:rPr>
          <w:lang w:val="en-US"/>
        </w:rPr>
        <w:t xml:space="preserve">attracting </w:t>
      </w:r>
      <w:r w:rsidR="0052740C">
        <w:rPr>
          <w:lang w:val="en-US"/>
        </w:rPr>
        <w:t>diverse</w:t>
      </w:r>
      <w:r w:rsidR="00522B7A">
        <w:rPr>
          <w:lang w:val="en-US"/>
        </w:rPr>
        <w:t>,</w:t>
      </w:r>
      <w:r w:rsidR="0052740C">
        <w:rPr>
          <w:lang w:val="en-US"/>
        </w:rPr>
        <w:t xml:space="preserve"> industry</w:t>
      </w:r>
      <w:r w:rsidR="00522B7A">
        <w:rPr>
          <w:lang w:val="en-US"/>
        </w:rPr>
        <w:t>-</w:t>
      </w:r>
      <w:r w:rsidR="0052740C">
        <w:rPr>
          <w:lang w:val="en-US"/>
        </w:rPr>
        <w:t>leading specialists</w:t>
      </w:r>
      <w:r w:rsidR="00496352">
        <w:rPr>
          <w:lang w:val="en-US"/>
        </w:rPr>
        <w:t>.</w:t>
      </w:r>
      <w:r w:rsidR="00294B50">
        <w:rPr>
          <w:lang w:val="en-US"/>
        </w:rPr>
        <w:t xml:space="preserve"> </w:t>
      </w:r>
      <w:r w:rsidR="00522B7A">
        <w:rPr>
          <w:lang w:val="en-US"/>
        </w:rPr>
        <w:t>To allow for hiring managers to make informed recruitment decisions, HRMD pr</w:t>
      </w:r>
      <w:r w:rsidR="006416E9" w:rsidRPr="002C323B">
        <w:rPr>
          <w:lang w:val="en-US"/>
        </w:rPr>
        <w:t xml:space="preserve">ovides statistics </w:t>
      </w:r>
      <w:r w:rsidR="00522B7A">
        <w:rPr>
          <w:lang w:val="en-US"/>
        </w:rPr>
        <w:t xml:space="preserve">on </w:t>
      </w:r>
      <w:r w:rsidR="00522B7A" w:rsidRPr="00E46412">
        <w:rPr>
          <w:lang w:val="en-US"/>
        </w:rPr>
        <w:t xml:space="preserve">geographical </w:t>
      </w:r>
      <w:r w:rsidR="00522B7A">
        <w:rPr>
          <w:lang w:val="en-US"/>
        </w:rPr>
        <w:t xml:space="preserve">distribution and gender </w:t>
      </w:r>
      <w:r w:rsidR="006416E9" w:rsidRPr="002C323B">
        <w:rPr>
          <w:lang w:val="en-US"/>
        </w:rPr>
        <w:t>for all recruitment</w:t>
      </w:r>
      <w:r w:rsidR="00522B7A">
        <w:rPr>
          <w:lang w:val="en-US"/>
        </w:rPr>
        <w:t>s</w:t>
      </w:r>
      <w:r w:rsidR="006416E9" w:rsidRPr="002C323B">
        <w:rPr>
          <w:lang w:val="en-US"/>
        </w:rPr>
        <w:t xml:space="preserve"> </w:t>
      </w:r>
      <w:r w:rsidR="00522B7A">
        <w:rPr>
          <w:lang w:val="en-US"/>
        </w:rPr>
        <w:t xml:space="preserve">in </w:t>
      </w:r>
      <w:r w:rsidR="006416E9" w:rsidRPr="002C323B">
        <w:rPr>
          <w:lang w:val="en-US"/>
        </w:rPr>
        <w:t>professional and higher categories.</w:t>
      </w:r>
    </w:p>
    <w:p w14:paraId="6FDD4C8A" w14:textId="36D8E9E5" w:rsidR="006416E9" w:rsidRPr="002C323B" w:rsidRDefault="0052740C" w:rsidP="002C323B">
      <w:pPr>
        <w:spacing w:before="240"/>
        <w:jc w:val="both"/>
        <w:rPr>
          <w:lang w:val="en-US"/>
        </w:rPr>
      </w:pPr>
      <w:r>
        <w:rPr>
          <w:rFonts w:asciiTheme="minorHAnsi" w:hAnsiTheme="minorHAnsi" w:cstheme="minorHAnsi"/>
          <w:b/>
          <w:bCs/>
        </w:rPr>
        <w:t>4.</w:t>
      </w:r>
      <w:r>
        <w:rPr>
          <w:rFonts w:asciiTheme="minorHAnsi" w:hAnsiTheme="minorHAnsi" w:cstheme="minorHAnsi"/>
          <w:b/>
          <w:bCs/>
        </w:rPr>
        <w:tab/>
      </w:r>
      <w:r w:rsidR="006416E9" w:rsidRPr="00B94EF0">
        <w:rPr>
          <w:rFonts w:asciiTheme="minorHAnsi" w:hAnsiTheme="minorHAnsi" w:cstheme="minorHAnsi"/>
          <w:b/>
          <w:bCs/>
        </w:rPr>
        <w:t xml:space="preserve">Desired </w:t>
      </w:r>
      <w:r w:rsidR="00777EEE">
        <w:rPr>
          <w:rFonts w:asciiTheme="minorHAnsi" w:hAnsiTheme="minorHAnsi" w:cstheme="minorHAnsi"/>
          <w:b/>
          <w:bCs/>
        </w:rPr>
        <w:t>E</w:t>
      </w:r>
      <w:r w:rsidR="006416E9" w:rsidRPr="00B94EF0">
        <w:rPr>
          <w:rFonts w:asciiTheme="minorHAnsi" w:hAnsiTheme="minorHAnsi" w:cstheme="minorHAnsi"/>
          <w:b/>
          <w:bCs/>
        </w:rPr>
        <w:t>quitable Geographical Distribution</w:t>
      </w:r>
    </w:p>
    <w:p w14:paraId="5B522D1A" w14:textId="5B38F215" w:rsidR="006416E9" w:rsidRPr="0002505B" w:rsidRDefault="006416E9" w:rsidP="00BD10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  <w:rPr>
          <w:lang w:val="en-US"/>
        </w:rPr>
      </w:pPr>
      <w:r w:rsidRPr="6A3A5AEE">
        <w:rPr>
          <w:lang w:val="en-US"/>
        </w:rPr>
        <w:t xml:space="preserve">At ITU, we recognize that a diverse workforce is essential for success, and we are committed to promoting geographical </w:t>
      </w:r>
      <w:r w:rsidR="00CB5748">
        <w:rPr>
          <w:lang w:val="en-US"/>
        </w:rPr>
        <w:t xml:space="preserve">diversity </w:t>
      </w:r>
      <w:r w:rsidRPr="6A3A5AEE">
        <w:rPr>
          <w:lang w:val="en-US"/>
        </w:rPr>
        <w:t>in our professional and higher category positions.</w:t>
      </w:r>
      <w:r w:rsidR="00CB5748">
        <w:rPr>
          <w:lang w:val="en-US"/>
        </w:rPr>
        <w:t xml:space="preserve"> </w:t>
      </w:r>
      <w:r w:rsidRPr="6A3A5AEE">
        <w:rPr>
          <w:lang w:val="en-US"/>
        </w:rPr>
        <w:t>In 2024, the Human Resources Management Department will take the following actions to</w:t>
      </w:r>
      <w:r w:rsidR="00CB5748">
        <w:rPr>
          <w:lang w:val="en-US"/>
        </w:rPr>
        <w:t xml:space="preserve"> towards this end</w:t>
      </w:r>
      <w:r w:rsidRPr="6A3A5AEE">
        <w:rPr>
          <w:lang w:val="en-US"/>
        </w:rPr>
        <w:t xml:space="preserve">: </w:t>
      </w:r>
    </w:p>
    <w:p w14:paraId="33CEFC4C" w14:textId="112F2189" w:rsidR="00380D82" w:rsidRDefault="0076698B" w:rsidP="00380D82">
      <w:pPr>
        <w:numPr>
          <w:ilvl w:val="1"/>
          <w:numId w:val="7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ind w:left="0" w:firstLine="0"/>
        <w:jc w:val="both"/>
        <w:textAlignment w:val="auto"/>
      </w:pPr>
      <w:bookmarkStart w:id="11" w:name="_Hlk152580045"/>
      <w:r>
        <w:t>Ensur</w:t>
      </w:r>
      <w:r w:rsidR="002551BF">
        <w:t>e</w:t>
      </w:r>
      <w:r>
        <w:t xml:space="preserve"> that information on geographical distribution</w:t>
      </w:r>
      <w:r w:rsidR="00CB5748">
        <w:t xml:space="preserve"> statistics</w:t>
      </w:r>
      <w:r>
        <w:t xml:space="preserve"> is provided at every level of the hiring process.</w:t>
      </w:r>
      <w:r w:rsidR="00380D82">
        <w:t xml:space="preserve"> </w:t>
      </w:r>
    </w:p>
    <w:p w14:paraId="62602ADE" w14:textId="3454FC11" w:rsidR="0076698B" w:rsidRDefault="00380D82" w:rsidP="00380D82">
      <w:pPr>
        <w:numPr>
          <w:ilvl w:val="1"/>
          <w:numId w:val="7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ind w:left="0" w:firstLine="0"/>
        <w:jc w:val="both"/>
        <w:textAlignment w:val="auto"/>
      </w:pPr>
      <w:r>
        <w:t>Introduction of a new form requiring a justification by the hiring manage</w:t>
      </w:r>
      <w:r w:rsidR="002551BF">
        <w:t>r</w:t>
      </w:r>
      <w:r w:rsidR="0094599A">
        <w:t xml:space="preserve"> </w:t>
      </w:r>
      <w:r w:rsidR="003C0468">
        <w:t xml:space="preserve">where geographical distribution and gender are not </w:t>
      </w:r>
      <w:r w:rsidR="0094599A">
        <w:t>considered</w:t>
      </w:r>
      <w:r>
        <w:t xml:space="preserve">. </w:t>
      </w:r>
    </w:p>
    <w:p w14:paraId="51642569" w14:textId="4D1D710C" w:rsidR="00332A25" w:rsidRDefault="006416E9" w:rsidP="00BD1012">
      <w:pPr>
        <w:numPr>
          <w:ilvl w:val="1"/>
          <w:numId w:val="7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ind w:left="0" w:firstLine="0"/>
        <w:jc w:val="both"/>
        <w:textAlignment w:val="auto"/>
      </w:pPr>
      <w:r>
        <w:t xml:space="preserve">Research geographical distribution policies and guidelines across the UN common system to compare </w:t>
      </w:r>
      <w:r w:rsidR="00CB5748">
        <w:t xml:space="preserve">policies </w:t>
      </w:r>
      <w:proofErr w:type="gramStart"/>
      <w:r w:rsidR="00CB5748">
        <w:t>in order to</w:t>
      </w:r>
      <w:proofErr w:type="gramEnd"/>
      <w:r>
        <w:t xml:space="preserve"> develop actionable recommendations for</w:t>
      </w:r>
      <w:r w:rsidR="00CB5748">
        <w:t xml:space="preserve"> consideration by ITU’s</w:t>
      </w:r>
      <w:r>
        <w:t xml:space="preserve"> senior</w:t>
      </w:r>
      <w:r w:rsidR="001260C3">
        <w:t xml:space="preserve"> </w:t>
      </w:r>
      <w:r>
        <w:t>management.</w:t>
      </w:r>
    </w:p>
    <w:p w14:paraId="43054CB2" w14:textId="1AA5C24D" w:rsidR="006416E9" w:rsidRPr="008829B2" w:rsidRDefault="006416E9" w:rsidP="00BD1012">
      <w:pPr>
        <w:numPr>
          <w:ilvl w:val="1"/>
          <w:numId w:val="7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after="120"/>
        <w:ind w:left="0" w:firstLine="0"/>
        <w:jc w:val="both"/>
        <w:textAlignment w:val="auto"/>
      </w:pPr>
      <w:r>
        <w:t>Maintain and develop the Partnership Programmes: Funds in Trust</w:t>
      </w:r>
      <w:r w:rsidR="00BD1012">
        <w:t xml:space="preserve"> </w:t>
      </w:r>
      <w:r>
        <w:t xml:space="preserve">(FIT)/Secondments, </w:t>
      </w:r>
      <w:r w:rsidR="001F5381">
        <w:t>L</w:t>
      </w:r>
      <w:r>
        <w:t xml:space="preserve">oans, Junior Professional Officers (JPOs), and sponsored and un-sponsored interns, aligned with the Youth </w:t>
      </w:r>
      <w:r w:rsidR="009C1E3C">
        <w:t>Task Force i</w:t>
      </w:r>
      <w:r>
        <w:t xml:space="preserve">nitiative. </w:t>
      </w:r>
      <w:r w:rsidR="00BF2D50">
        <w:t>The</w:t>
      </w:r>
      <w:r>
        <w:t xml:space="preserve"> new </w:t>
      </w:r>
      <w:r w:rsidR="00BF2D50">
        <w:t xml:space="preserve">Young Professional Program (YPP) </w:t>
      </w:r>
      <w:r>
        <w:t>launched</w:t>
      </w:r>
      <w:r w:rsidR="00BF2D50">
        <w:t xml:space="preserve"> in 2023</w:t>
      </w:r>
      <w:r>
        <w:t xml:space="preserve">, </w:t>
      </w:r>
      <w:r w:rsidR="00BF2D50">
        <w:t>will continue</w:t>
      </w:r>
      <w:r w:rsidR="00FC1ACA">
        <w:t xml:space="preserve"> with</w:t>
      </w:r>
      <w:r w:rsidR="00BF2D50">
        <w:t xml:space="preserve"> </w:t>
      </w:r>
      <w:r w:rsidR="00FC1ACA">
        <w:t>targeted recruitment</w:t>
      </w:r>
      <w:r w:rsidR="00FC1ACA" w:rsidRPr="00FC1ACA">
        <w:t xml:space="preserve"> </w:t>
      </w:r>
      <w:r w:rsidR="00FC1ACA">
        <w:t xml:space="preserve">from least-developed countries for </w:t>
      </w:r>
      <w:r>
        <w:t>entry-level positions at</w:t>
      </w:r>
      <w:r w:rsidR="00FC1ACA">
        <w:t xml:space="preserve"> the</w:t>
      </w:r>
      <w:r>
        <w:t xml:space="preserve"> P1 level. </w:t>
      </w:r>
      <w:bookmarkEnd w:id="11"/>
    </w:p>
    <w:p w14:paraId="107119E3" w14:textId="4502B8A4" w:rsidR="006416E9" w:rsidRPr="00332A25" w:rsidRDefault="006416E9" w:rsidP="00332A25">
      <w:pPr>
        <w:numPr>
          <w:ilvl w:val="0"/>
          <w:numId w:val="7"/>
        </w:num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snapToGrid w:val="0"/>
        <w:spacing w:before="240"/>
        <w:ind w:left="709" w:hanging="709"/>
        <w:jc w:val="both"/>
        <w:textAlignment w:val="auto"/>
        <w:rPr>
          <w:rFonts w:asciiTheme="minorHAnsi" w:hAnsiTheme="minorHAnsi" w:cstheme="minorHAnsi"/>
          <w:b/>
          <w:bCs/>
        </w:rPr>
      </w:pPr>
      <w:r w:rsidRPr="00332A25">
        <w:rPr>
          <w:rFonts w:asciiTheme="minorHAnsi" w:hAnsiTheme="minorHAnsi" w:cstheme="minorHAnsi"/>
          <w:b/>
          <w:bCs/>
        </w:rPr>
        <w:lastRenderedPageBreak/>
        <w:t>Conclusion</w:t>
      </w:r>
    </w:p>
    <w:p w14:paraId="5DFACE96" w14:textId="2E83CFAB" w:rsidR="006416E9" w:rsidRPr="00BD1012" w:rsidRDefault="006416E9" w:rsidP="00BD101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after="120"/>
        <w:jc w:val="both"/>
        <w:textAlignment w:val="auto"/>
      </w:pPr>
      <w:r w:rsidRPr="00BD1012">
        <w:t>Achieving a more equitable geographical distribution at the ITU is crucial for promoting</w:t>
      </w:r>
      <w:r w:rsidR="001260C3" w:rsidRPr="00BD1012">
        <w:t xml:space="preserve"> </w:t>
      </w:r>
      <w:r w:rsidRPr="00BD1012">
        <w:t>inclusivity, representation, and a global perspective. Through various initiatives, the ITU</w:t>
      </w:r>
      <w:r w:rsidR="001260C3" w:rsidRPr="00BD1012">
        <w:t xml:space="preserve"> </w:t>
      </w:r>
      <w:r w:rsidRPr="00BD1012">
        <w:t>aspires to create a workforce that reflects the diversity of its member countries. This will</w:t>
      </w:r>
      <w:r w:rsidR="001260C3" w:rsidRPr="00BD1012">
        <w:t xml:space="preserve"> </w:t>
      </w:r>
      <w:r w:rsidRPr="00BD1012">
        <w:t xml:space="preserve">contribute to a more </w:t>
      </w:r>
      <w:r w:rsidR="00FC1ACA">
        <w:t xml:space="preserve">dynamic </w:t>
      </w:r>
      <w:r w:rsidRPr="00BD1012">
        <w:t>global perspective and ensure that the organization remains relevant</w:t>
      </w:r>
      <w:r w:rsidR="001260C3" w:rsidRPr="00BD1012">
        <w:t xml:space="preserve"> </w:t>
      </w:r>
      <w:r w:rsidRPr="00BD1012">
        <w:t xml:space="preserve">and responsive to the needs of its diverse stakeholders. ITU </w:t>
      </w:r>
      <w:r w:rsidR="00FC1ACA">
        <w:t xml:space="preserve">will </w:t>
      </w:r>
      <w:r w:rsidRPr="00BD1012">
        <w:t>continue to focus on recruit</w:t>
      </w:r>
      <w:r w:rsidR="00FC1ACA">
        <w:t>ment of</w:t>
      </w:r>
      <w:r w:rsidR="001260C3" w:rsidRPr="00BD1012">
        <w:t xml:space="preserve"> </w:t>
      </w:r>
      <w:r w:rsidRPr="00BD1012">
        <w:t>staff on as wide a geographical basis as possible.</w:t>
      </w:r>
    </w:p>
    <w:p w14:paraId="5F722E51" w14:textId="77777777" w:rsidR="001260C3" w:rsidRPr="00880CB0" w:rsidRDefault="001260C3" w:rsidP="001260C3">
      <w:pPr>
        <w:tabs>
          <w:tab w:val="clear" w:pos="1134"/>
          <w:tab w:val="left" w:pos="0"/>
        </w:tabs>
        <w:spacing w:before="840"/>
        <w:jc w:val="center"/>
      </w:pPr>
      <w:r w:rsidRPr="00880CB0">
        <w:t>______________________</w:t>
      </w:r>
    </w:p>
    <w:sectPr w:rsidR="001260C3" w:rsidRPr="00880CB0" w:rsidSect="00AD3606">
      <w:footerReference w:type="default" r:id="rId13"/>
      <w:headerReference w:type="first" r:id="rId14"/>
      <w:footerReference w:type="first" r:id="rId15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9E246" w14:textId="77777777" w:rsidR="007E1987" w:rsidRDefault="007E1987">
      <w:r>
        <w:separator/>
      </w:r>
    </w:p>
  </w:endnote>
  <w:endnote w:type="continuationSeparator" w:id="0">
    <w:p w14:paraId="13CA58EB" w14:textId="77777777" w:rsidR="007E1987" w:rsidRDefault="007E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9023ED" w14:paraId="07402CB9" w14:textId="77777777" w:rsidTr="0042469C">
      <w:trPr>
        <w:jc w:val="center"/>
      </w:trPr>
      <w:tc>
        <w:tcPr>
          <w:tcW w:w="1803" w:type="dxa"/>
          <w:vAlign w:val="center"/>
        </w:tcPr>
        <w:p w14:paraId="727FD637" w14:textId="35A935B2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2D49E76E" w14:textId="3D796962" w:rsidR="00EE49E8" w:rsidRPr="00667ADC" w:rsidRDefault="00EE49E8" w:rsidP="00A52C84">
          <w:pPr>
            <w:pStyle w:val="Header"/>
            <w:tabs>
              <w:tab w:val="left" w:pos="602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it-IT"/>
            </w:rPr>
          </w:pPr>
          <w:r w:rsidRPr="00667ADC">
            <w:rPr>
              <w:bCs/>
              <w:lang w:val="it-IT"/>
            </w:rPr>
            <w:tab/>
          </w:r>
          <w:r w:rsidR="00A52C84" w:rsidRPr="00667ADC">
            <w:rPr>
              <w:bCs/>
              <w:lang w:val="it-IT"/>
            </w:rPr>
            <w:t>CWG-FHR-</w:t>
          </w:r>
          <w:r w:rsidR="009238D3" w:rsidRPr="00667ADC">
            <w:rPr>
              <w:bCs/>
              <w:lang w:val="it-IT"/>
            </w:rPr>
            <w:t>1</w:t>
          </w:r>
          <w:r w:rsidR="00A8120A">
            <w:rPr>
              <w:bCs/>
              <w:lang w:val="it-IT"/>
            </w:rPr>
            <w:t>7</w:t>
          </w:r>
          <w:r w:rsidR="00A52C84" w:rsidRPr="00667ADC">
            <w:rPr>
              <w:bCs/>
              <w:lang w:val="it-IT"/>
            </w:rPr>
            <w:t>/</w:t>
          </w:r>
          <w:r w:rsidR="005A335D" w:rsidRPr="00667ADC">
            <w:rPr>
              <w:bCs/>
              <w:lang w:val="it-IT"/>
            </w:rPr>
            <w:t>INF</w:t>
          </w:r>
          <w:r w:rsidR="008657C8">
            <w:rPr>
              <w:bCs/>
              <w:lang w:val="it-IT"/>
            </w:rPr>
            <w:t>/2</w:t>
          </w:r>
          <w:r w:rsidR="00A52C84" w:rsidRPr="00667ADC">
            <w:rPr>
              <w:bCs/>
              <w:lang w:val="it-IT"/>
            </w:rPr>
            <w:t>-E</w:t>
          </w:r>
          <w:r w:rsidRPr="00667ADC">
            <w:rPr>
              <w:bCs/>
              <w:lang w:val="it-IT"/>
            </w:rPr>
            <w:tab/>
          </w:r>
          <w:r>
            <w:fldChar w:fldCharType="begin"/>
          </w:r>
          <w:r w:rsidRPr="00667ADC">
            <w:rPr>
              <w:lang w:val="it-IT"/>
            </w:rPr>
            <w:instrText>PAGE</w:instrText>
          </w:r>
          <w:r>
            <w:fldChar w:fldCharType="separate"/>
          </w:r>
          <w:r w:rsidRPr="00667ADC">
            <w:rPr>
              <w:lang w:val="it-IT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4006CCE" w14:textId="77777777" w:rsidR="00EE49E8" w:rsidRPr="00667ADC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9023ED" w14:paraId="4F588A4C" w14:textId="77777777" w:rsidTr="00A52C84">
      <w:trPr>
        <w:jc w:val="center"/>
      </w:trPr>
      <w:tc>
        <w:tcPr>
          <w:tcW w:w="3107" w:type="dxa"/>
          <w:vAlign w:val="center"/>
        </w:tcPr>
        <w:p w14:paraId="4E7A2825" w14:textId="68C83E22" w:rsidR="00EE49E8" w:rsidRDefault="00A52C84" w:rsidP="00EE49E8">
          <w:pPr>
            <w:pStyle w:val="Header"/>
            <w:jc w:val="left"/>
            <w:rPr>
              <w:noProof/>
            </w:rPr>
          </w:pPr>
          <w:r w:rsidRPr="00293B38">
            <w:rPr>
              <w:color w:val="0070C0"/>
            </w:rPr>
            <w:t>https://council.itu.int/working-groups</w:t>
          </w:r>
        </w:p>
      </w:tc>
      <w:tc>
        <w:tcPr>
          <w:tcW w:w="6957" w:type="dxa"/>
        </w:tcPr>
        <w:p w14:paraId="3F62E0D8" w14:textId="1336EDBA" w:rsidR="00EE49E8" w:rsidRPr="00667ADC" w:rsidRDefault="00EE49E8" w:rsidP="00A52C84">
          <w:pPr>
            <w:pStyle w:val="Header"/>
            <w:tabs>
              <w:tab w:val="left" w:pos="471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it-IT"/>
            </w:rPr>
          </w:pPr>
          <w:r>
            <w:rPr>
              <w:bCs/>
            </w:rPr>
            <w:tab/>
          </w:r>
          <w:r w:rsidRPr="00667ADC">
            <w:rPr>
              <w:bCs/>
              <w:lang w:val="it-IT"/>
            </w:rPr>
            <w:t>C</w:t>
          </w:r>
          <w:r w:rsidR="00A52C84" w:rsidRPr="00667ADC">
            <w:rPr>
              <w:bCs/>
              <w:lang w:val="it-IT"/>
            </w:rPr>
            <w:t>WG-FHR-</w:t>
          </w:r>
          <w:r w:rsidR="009238D3" w:rsidRPr="00667ADC">
            <w:rPr>
              <w:bCs/>
              <w:lang w:val="it-IT"/>
            </w:rPr>
            <w:t>1</w:t>
          </w:r>
          <w:r w:rsidR="006416E9">
            <w:rPr>
              <w:bCs/>
              <w:lang w:val="it-IT"/>
            </w:rPr>
            <w:t>7</w:t>
          </w:r>
          <w:r w:rsidRPr="00667ADC">
            <w:rPr>
              <w:bCs/>
              <w:lang w:val="it-IT"/>
            </w:rPr>
            <w:t>/</w:t>
          </w:r>
          <w:r w:rsidR="005A335D" w:rsidRPr="00667ADC">
            <w:rPr>
              <w:bCs/>
              <w:lang w:val="it-IT"/>
            </w:rPr>
            <w:t>INF</w:t>
          </w:r>
          <w:r w:rsidR="008657C8">
            <w:rPr>
              <w:bCs/>
              <w:lang w:val="it-IT"/>
            </w:rPr>
            <w:t>/2</w:t>
          </w:r>
          <w:r w:rsidR="008657C8" w:rsidRPr="00667ADC">
            <w:rPr>
              <w:bCs/>
              <w:lang w:val="it-IT"/>
            </w:rPr>
            <w:t xml:space="preserve"> </w:t>
          </w:r>
          <w:r w:rsidRPr="00667ADC">
            <w:rPr>
              <w:bCs/>
              <w:lang w:val="it-IT"/>
            </w:rPr>
            <w:t>-E</w:t>
          </w:r>
          <w:r w:rsidRPr="00667ADC">
            <w:rPr>
              <w:bCs/>
              <w:lang w:val="it-IT"/>
            </w:rPr>
            <w:tab/>
          </w:r>
          <w:r>
            <w:fldChar w:fldCharType="begin"/>
          </w:r>
          <w:r w:rsidRPr="00667ADC">
            <w:rPr>
              <w:lang w:val="it-IT"/>
            </w:rPr>
            <w:instrText>PAGE</w:instrText>
          </w:r>
          <w:r>
            <w:fldChar w:fldCharType="separate"/>
          </w:r>
          <w:r w:rsidRPr="00667ADC">
            <w:rPr>
              <w:lang w:val="it-IT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2BE588F" w14:textId="77777777" w:rsidR="00A514A4" w:rsidRPr="00667ADC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90B41" w14:textId="77777777" w:rsidR="007E1987" w:rsidRDefault="007E1987">
      <w:r>
        <w:t>____________________</w:t>
      </w:r>
    </w:p>
  </w:footnote>
  <w:footnote w:type="continuationSeparator" w:id="0">
    <w:p w14:paraId="1E8BBE2D" w14:textId="77777777" w:rsidR="007E1987" w:rsidRDefault="007E1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6D4BB9D4" w14:textId="77777777" w:rsidTr="00F74694">
      <w:trPr>
        <w:trHeight w:val="1304"/>
        <w:jc w:val="center"/>
      </w:trPr>
      <w:tc>
        <w:tcPr>
          <w:tcW w:w="6546" w:type="dxa"/>
        </w:tcPr>
        <w:bookmarkStart w:id="12" w:name="_Hlk133422111"/>
        <w:p w14:paraId="3E21B143" w14:textId="178FA05C" w:rsidR="00AD3606" w:rsidRPr="009621F8" w:rsidRDefault="00DB00D5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r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3E8A9757" wp14:editId="68E7D9A6">
                    <wp:simplePos x="0" y="0"/>
                    <wp:positionH relativeFrom="column">
                      <wp:posOffset>569937</wp:posOffset>
                    </wp:positionH>
                    <wp:positionV relativeFrom="paragraph">
                      <wp:posOffset>63305</wp:posOffset>
                    </wp:positionV>
                    <wp:extent cx="1652954" cy="541215"/>
                    <wp:effectExtent l="0" t="0" r="4445" b="0"/>
                    <wp:wrapNone/>
                    <wp:docPr id="2" name="Rectang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652954" cy="5412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>
                <w:pict>
                  <v:rect id="Rectangle 2" style="position:absolute;margin-left:44.9pt;margin-top:5pt;width:130.15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d="f" strokeweight="2pt" w14:anchorId="51D1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"/>
                </w:pict>
              </mc:Fallback>
            </mc:AlternateContent>
          </w:r>
          <w:r w:rsidR="00AD3606">
            <w:rPr>
              <w:noProof/>
            </w:rPr>
            <w:drawing>
              <wp:inline distT="0" distB="0" distL="0" distR="0" wp14:anchorId="4ED31E31" wp14:editId="6AF75EA6">
                <wp:extent cx="2250000" cy="6228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Graphic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0000" cy="62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2D9A3A2C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10B673DE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4287C2DF" w14:textId="0D65FB02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2"/>
  <w:p w14:paraId="0D24EB89" w14:textId="5739948F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CBB14" wp14:editId="6AD82C93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>
            <v:rect id="Rectangle 5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spid="_x0000_s1026" fillcolor="#009cd5" stroked="f" w14:anchorId="3441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>
              <w10:wrap anchorx="page" anchory="margin"/>
            </v:rect>
          </w:pict>
        </mc:Fallback>
      </mc:AlternateContent>
    </w:r>
    <w:r w:rsidRPr="00130599">
      <w:rPr>
        <w:rFonts w:ascii="Arial" w:eastAsiaTheme="minorHAnsi" w:hAnsi="Arial" w:cs="Arial"/>
        <w:b/>
        <w:bCs/>
        <w:noProof/>
        <w:color w:val="009CD6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9A2C87" wp14:editId="3E001D8E">
              <wp:simplePos x="0" y="0"/>
              <wp:positionH relativeFrom="column">
                <wp:posOffset>306754</wp:posOffset>
              </wp:positionH>
              <wp:positionV relativeFrom="paragraph">
                <wp:posOffset>-835660</wp:posOffset>
              </wp:positionV>
              <wp:extent cx="3999230" cy="471170"/>
              <wp:effectExtent l="0" t="0" r="0" b="127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9230" cy="4711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4A3EE" w14:textId="3D17EE21" w:rsidR="00130599" w:rsidRDefault="00130599" w:rsidP="00130599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="00F74694"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>on Financial and Human Resources</w:t>
                          </w:r>
                          <w:r>
                            <w:br/>
                          </w:r>
                          <w:r w:rsidRPr="00130599">
                            <w:rPr>
                              <w:sz w:val="20"/>
                            </w:rPr>
                            <w:t>S</w:t>
                          </w:r>
                          <w:r w:rsidR="006416E9">
                            <w:rPr>
                              <w:sz w:val="20"/>
                            </w:rPr>
                            <w:t>eventeenth</w:t>
                          </w:r>
                          <w:r w:rsidRPr="00130599">
                            <w:rPr>
                              <w:sz w:val="20"/>
                            </w:rPr>
                            <w:t xml:space="preserve"> meeting - </w:t>
                          </w:r>
                          <w:r w:rsidR="006416E9">
                            <w:rPr>
                              <w:sz w:val="20"/>
                            </w:rPr>
                            <w:t>24</w:t>
                          </w:r>
                          <w:r w:rsidRPr="00130599">
                            <w:rPr>
                              <w:sz w:val="20"/>
                            </w:rPr>
                            <w:t xml:space="preserve"> to </w:t>
                          </w:r>
                          <w:r w:rsidR="006416E9">
                            <w:rPr>
                              <w:sz w:val="20"/>
                            </w:rPr>
                            <w:t>26</w:t>
                          </w:r>
                          <w:r w:rsidRPr="00130599">
                            <w:rPr>
                              <w:sz w:val="20"/>
                            </w:rPr>
                            <w:t xml:space="preserve"> </w:t>
                          </w:r>
                          <w:r w:rsidR="006416E9">
                            <w:rPr>
                              <w:sz w:val="20"/>
                            </w:rPr>
                            <w:t>January</w:t>
                          </w:r>
                          <w:r w:rsidRPr="00130599">
                            <w:rPr>
                              <w:sz w:val="20"/>
                            </w:rPr>
                            <w:t xml:space="preserve"> 202</w:t>
                          </w:r>
                          <w:r w:rsidR="006416E9">
                            <w:rPr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A2C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.15pt;margin-top:-65.8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" filled="f" stroked="f">
              <v:textbox style="mso-fit-shape-to-text:t">
                <w:txbxContent>
                  <w:p w14:paraId="0B44A3EE" w14:textId="3D17EE21" w:rsidR="00130599" w:rsidRDefault="00130599" w:rsidP="00130599">
                    <w:pPr>
                      <w:spacing w:before="0"/>
                    </w:pPr>
                    <w:r w:rsidRPr="00F74694">
                      <w:rPr>
                        <w:b/>
                        <w:bCs/>
                        <w:szCs w:val="24"/>
                      </w:rPr>
                      <w:t xml:space="preserve">Council Working Group </w:t>
                    </w:r>
                    <w:r w:rsidR="00F74694" w:rsidRPr="00F74694">
                      <w:rPr>
                        <w:b/>
                        <w:bCs/>
                        <w:szCs w:val="24"/>
                      </w:rPr>
                      <w:br/>
                    </w:r>
                    <w:r w:rsidRPr="00F74694">
                      <w:rPr>
                        <w:b/>
                        <w:bCs/>
                        <w:szCs w:val="24"/>
                      </w:rPr>
                      <w:t>on Financial and Human Resources</w:t>
                    </w:r>
                    <w:r>
                      <w:br/>
                    </w:r>
                    <w:r w:rsidRPr="00130599">
                      <w:rPr>
                        <w:sz w:val="20"/>
                      </w:rPr>
                      <w:t>S</w:t>
                    </w:r>
                    <w:r w:rsidR="006416E9">
                      <w:rPr>
                        <w:sz w:val="20"/>
                      </w:rPr>
                      <w:t>eventeenth</w:t>
                    </w:r>
                    <w:r w:rsidRPr="00130599">
                      <w:rPr>
                        <w:sz w:val="20"/>
                      </w:rPr>
                      <w:t xml:space="preserve"> meeting - </w:t>
                    </w:r>
                    <w:r w:rsidR="006416E9">
                      <w:rPr>
                        <w:sz w:val="20"/>
                      </w:rPr>
                      <w:t>24</w:t>
                    </w:r>
                    <w:r w:rsidRPr="00130599">
                      <w:rPr>
                        <w:sz w:val="20"/>
                      </w:rPr>
                      <w:t xml:space="preserve"> to </w:t>
                    </w:r>
                    <w:r w:rsidR="006416E9">
                      <w:rPr>
                        <w:sz w:val="20"/>
                      </w:rPr>
                      <w:t>26</w:t>
                    </w:r>
                    <w:r w:rsidRPr="00130599">
                      <w:rPr>
                        <w:sz w:val="20"/>
                      </w:rPr>
                      <w:t xml:space="preserve"> </w:t>
                    </w:r>
                    <w:r w:rsidR="006416E9">
                      <w:rPr>
                        <w:sz w:val="20"/>
                      </w:rPr>
                      <w:t>January</w:t>
                    </w:r>
                    <w:r w:rsidRPr="00130599">
                      <w:rPr>
                        <w:sz w:val="20"/>
                      </w:rPr>
                      <w:t xml:space="preserve"> 202</w:t>
                    </w:r>
                    <w:r w:rsidR="006416E9"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0A5D59"/>
    <w:multiLevelType w:val="hybridMultilevel"/>
    <w:tmpl w:val="E46248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4D1AD1"/>
    <w:multiLevelType w:val="hybridMultilevel"/>
    <w:tmpl w:val="10F28F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51894"/>
    <w:multiLevelType w:val="multilevel"/>
    <w:tmpl w:val="6CFC717C"/>
    <w:lvl w:ilvl="0">
      <w:start w:val="1"/>
      <w:numFmt w:val="decimal"/>
      <w:lvlText w:val="%1"/>
      <w:lvlJc w:val="left"/>
      <w:pPr>
        <w:ind w:left="1848" w:hanging="360"/>
      </w:pPr>
      <w:rPr>
        <w:rFonts w:cs="Times New Roman" w:hint="default"/>
        <w:b/>
        <w:b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2103" w:hanging="615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2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0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6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92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2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88" w:hanging="1800"/>
      </w:pPr>
      <w:rPr>
        <w:rFonts w:cs="Times New Roman" w:hint="default"/>
      </w:rPr>
    </w:lvl>
  </w:abstractNum>
  <w:abstractNum w:abstractNumId="4" w15:restartNumberingAfterBreak="0">
    <w:nsid w:val="62BE6802"/>
    <w:multiLevelType w:val="hybridMultilevel"/>
    <w:tmpl w:val="C2F6E4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6241BB"/>
    <w:multiLevelType w:val="hybridMultilevel"/>
    <w:tmpl w:val="CA9C5A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23A97"/>
    <w:multiLevelType w:val="hybridMultilevel"/>
    <w:tmpl w:val="D696F3C2"/>
    <w:lvl w:ilvl="0" w:tplc="6A0CE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868725">
    <w:abstractNumId w:val="0"/>
  </w:num>
  <w:num w:numId="2" w16cid:durableId="2072462579">
    <w:abstractNumId w:val="2"/>
  </w:num>
  <w:num w:numId="3" w16cid:durableId="945232731">
    <w:abstractNumId w:val="4"/>
  </w:num>
  <w:num w:numId="4" w16cid:durableId="1532187276">
    <w:abstractNumId w:val="5"/>
  </w:num>
  <w:num w:numId="5" w16cid:durableId="812721632">
    <w:abstractNumId w:val="1"/>
  </w:num>
  <w:num w:numId="6" w16cid:durableId="325401670">
    <w:abstractNumId w:val="6"/>
  </w:num>
  <w:num w:numId="7" w16cid:durableId="5020862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c1MTQwMjY0Mrc0MzJQ0lEKTi0uzszPAykwrAUAdcUenCwAAAA="/>
  </w:docVars>
  <w:rsids>
    <w:rsidRoot w:val="004016E2"/>
    <w:rsid w:val="000210D4"/>
    <w:rsid w:val="00031E3D"/>
    <w:rsid w:val="00063016"/>
    <w:rsid w:val="00066795"/>
    <w:rsid w:val="00076AF6"/>
    <w:rsid w:val="00077BD8"/>
    <w:rsid w:val="00085CF2"/>
    <w:rsid w:val="000B1705"/>
    <w:rsid w:val="000D75B2"/>
    <w:rsid w:val="000F0233"/>
    <w:rsid w:val="001121F5"/>
    <w:rsid w:val="001163C8"/>
    <w:rsid w:val="001260C3"/>
    <w:rsid w:val="00130599"/>
    <w:rsid w:val="001400DC"/>
    <w:rsid w:val="00140CE1"/>
    <w:rsid w:val="0017539C"/>
    <w:rsid w:val="0017558B"/>
    <w:rsid w:val="00175AC2"/>
    <w:rsid w:val="0017609F"/>
    <w:rsid w:val="001A7D1D"/>
    <w:rsid w:val="001B51DD"/>
    <w:rsid w:val="001C628E"/>
    <w:rsid w:val="001C6756"/>
    <w:rsid w:val="001E0F7B"/>
    <w:rsid w:val="001F00B8"/>
    <w:rsid w:val="001F5381"/>
    <w:rsid w:val="002119FD"/>
    <w:rsid w:val="002130E0"/>
    <w:rsid w:val="00244F7F"/>
    <w:rsid w:val="002551BF"/>
    <w:rsid w:val="00264425"/>
    <w:rsid w:val="00265875"/>
    <w:rsid w:val="0027303B"/>
    <w:rsid w:val="0028109B"/>
    <w:rsid w:val="00293B38"/>
    <w:rsid w:val="00294B50"/>
    <w:rsid w:val="002A2188"/>
    <w:rsid w:val="002B1F58"/>
    <w:rsid w:val="002C1C7A"/>
    <w:rsid w:val="002C323B"/>
    <w:rsid w:val="002C54E2"/>
    <w:rsid w:val="002F3D13"/>
    <w:rsid w:val="0030160F"/>
    <w:rsid w:val="00320223"/>
    <w:rsid w:val="00322D0D"/>
    <w:rsid w:val="00332A25"/>
    <w:rsid w:val="00361465"/>
    <w:rsid w:val="00361CFB"/>
    <w:rsid w:val="00380D82"/>
    <w:rsid w:val="003877F5"/>
    <w:rsid w:val="003942D4"/>
    <w:rsid w:val="003958A8"/>
    <w:rsid w:val="003C0468"/>
    <w:rsid w:val="003C2533"/>
    <w:rsid w:val="003D5A7F"/>
    <w:rsid w:val="004016E2"/>
    <w:rsid w:val="0040435A"/>
    <w:rsid w:val="00416A24"/>
    <w:rsid w:val="00431D9E"/>
    <w:rsid w:val="00433CE8"/>
    <w:rsid w:val="00434A5C"/>
    <w:rsid w:val="00446033"/>
    <w:rsid w:val="004544D9"/>
    <w:rsid w:val="00472BAD"/>
    <w:rsid w:val="00484009"/>
    <w:rsid w:val="00490E72"/>
    <w:rsid w:val="00491157"/>
    <w:rsid w:val="004921C8"/>
    <w:rsid w:val="00495B0B"/>
    <w:rsid w:val="00496352"/>
    <w:rsid w:val="004A1B8B"/>
    <w:rsid w:val="004A4EB8"/>
    <w:rsid w:val="004D1851"/>
    <w:rsid w:val="004D599D"/>
    <w:rsid w:val="004E2EA5"/>
    <w:rsid w:val="004E3AEB"/>
    <w:rsid w:val="004F7A6A"/>
    <w:rsid w:val="0050223C"/>
    <w:rsid w:val="00522B7A"/>
    <w:rsid w:val="005243FF"/>
    <w:rsid w:val="0052740C"/>
    <w:rsid w:val="00564FBC"/>
    <w:rsid w:val="005800BC"/>
    <w:rsid w:val="00582442"/>
    <w:rsid w:val="00585FE8"/>
    <w:rsid w:val="005A335D"/>
    <w:rsid w:val="005C3AA7"/>
    <w:rsid w:val="005E2BD5"/>
    <w:rsid w:val="005E6335"/>
    <w:rsid w:val="005F3269"/>
    <w:rsid w:val="00623AE3"/>
    <w:rsid w:val="006416E9"/>
    <w:rsid w:val="0064737F"/>
    <w:rsid w:val="006535F1"/>
    <w:rsid w:val="0065557D"/>
    <w:rsid w:val="00660D50"/>
    <w:rsid w:val="00662984"/>
    <w:rsid w:val="00667ADC"/>
    <w:rsid w:val="006716BB"/>
    <w:rsid w:val="006B1859"/>
    <w:rsid w:val="006B6680"/>
    <w:rsid w:val="006B6DCC"/>
    <w:rsid w:val="00702DEF"/>
    <w:rsid w:val="00706861"/>
    <w:rsid w:val="007431CA"/>
    <w:rsid w:val="0075051B"/>
    <w:rsid w:val="0076698B"/>
    <w:rsid w:val="00775655"/>
    <w:rsid w:val="00777EEE"/>
    <w:rsid w:val="00793188"/>
    <w:rsid w:val="00794B55"/>
    <w:rsid w:val="00794D34"/>
    <w:rsid w:val="007E1987"/>
    <w:rsid w:val="00813E5E"/>
    <w:rsid w:val="008171E2"/>
    <w:rsid w:val="0083581B"/>
    <w:rsid w:val="008469F0"/>
    <w:rsid w:val="00863874"/>
    <w:rsid w:val="00864AFF"/>
    <w:rsid w:val="008657C8"/>
    <w:rsid w:val="00865925"/>
    <w:rsid w:val="008829B2"/>
    <w:rsid w:val="008B4A6A"/>
    <w:rsid w:val="008C7E27"/>
    <w:rsid w:val="008E40CA"/>
    <w:rsid w:val="008F7448"/>
    <w:rsid w:val="0090147A"/>
    <w:rsid w:val="009023ED"/>
    <w:rsid w:val="009173EF"/>
    <w:rsid w:val="009238D3"/>
    <w:rsid w:val="00932906"/>
    <w:rsid w:val="0094599A"/>
    <w:rsid w:val="00961B0B"/>
    <w:rsid w:val="00962D33"/>
    <w:rsid w:val="00976202"/>
    <w:rsid w:val="009B38C3"/>
    <w:rsid w:val="009C1E3C"/>
    <w:rsid w:val="009E17BD"/>
    <w:rsid w:val="009E485A"/>
    <w:rsid w:val="00A0159E"/>
    <w:rsid w:val="00A04CEC"/>
    <w:rsid w:val="00A15602"/>
    <w:rsid w:val="00A27F92"/>
    <w:rsid w:val="00A32257"/>
    <w:rsid w:val="00A36D20"/>
    <w:rsid w:val="00A514A4"/>
    <w:rsid w:val="00A52C84"/>
    <w:rsid w:val="00A55622"/>
    <w:rsid w:val="00A8120A"/>
    <w:rsid w:val="00A83502"/>
    <w:rsid w:val="00AC07B5"/>
    <w:rsid w:val="00AD15B3"/>
    <w:rsid w:val="00AD3606"/>
    <w:rsid w:val="00AD4A3D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94EF0"/>
    <w:rsid w:val="00BC251A"/>
    <w:rsid w:val="00BD032B"/>
    <w:rsid w:val="00BD1012"/>
    <w:rsid w:val="00BE2640"/>
    <w:rsid w:val="00BF05C9"/>
    <w:rsid w:val="00BF2D50"/>
    <w:rsid w:val="00C01189"/>
    <w:rsid w:val="00C374DE"/>
    <w:rsid w:val="00C377E4"/>
    <w:rsid w:val="00C47AD4"/>
    <w:rsid w:val="00C52D81"/>
    <w:rsid w:val="00C55198"/>
    <w:rsid w:val="00CA6393"/>
    <w:rsid w:val="00CB18FF"/>
    <w:rsid w:val="00CB5748"/>
    <w:rsid w:val="00CD0C08"/>
    <w:rsid w:val="00CE03FB"/>
    <w:rsid w:val="00CE433C"/>
    <w:rsid w:val="00CF0161"/>
    <w:rsid w:val="00CF33F3"/>
    <w:rsid w:val="00D06183"/>
    <w:rsid w:val="00D22C42"/>
    <w:rsid w:val="00D464CC"/>
    <w:rsid w:val="00D65041"/>
    <w:rsid w:val="00D979A9"/>
    <w:rsid w:val="00DB00D5"/>
    <w:rsid w:val="00DB1936"/>
    <w:rsid w:val="00DB384B"/>
    <w:rsid w:val="00DF0189"/>
    <w:rsid w:val="00E06FD5"/>
    <w:rsid w:val="00E10E80"/>
    <w:rsid w:val="00E124F0"/>
    <w:rsid w:val="00E227F3"/>
    <w:rsid w:val="00E525A9"/>
    <w:rsid w:val="00E545C6"/>
    <w:rsid w:val="00E60F04"/>
    <w:rsid w:val="00E65B24"/>
    <w:rsid w:val="00E854E4"/>
    <w:rsid w:val="00E86DBF"/>
    <w:rsid w:val="00EB0D6F"/>
    <w:rsid w:val="00EB2232"/>
    <w:rsid w:val="00EC5337"/>
    <w:rsid w:val="00EE49E8"/>
    <w:rsid w:val="00F16BAB"/>
    <w:rsid w:val="00F2150A"/>
    <w:rsid w:val="00F231D8"/>
    <w:rsid w:val="00F44C00"/>
    <w:rsid w:val="00F45D2C"/>
    <w:rsid w:val="00F46C5F"/>
    <w:rsid w:val="00F632C0"/>
    <w:rsid w:val="00F7251C"/>
    <w:rsid w:val="00F74694"/>
    <w:rsid w:val="00F94A63"/>
    <w:rsid w:val="00FA1C28"/>
    <w:rsid w:val="00FB1279"/>
    <w:rsid w:val="00FB6B76"/>
    <w:rsid w:val="00FB7596"/>
    <w:rsid w:val="00FC1ACA"/>
    <w:rsid w:val="00FE4077"/>
    <w:rsid w:val="00FE500D"/>
    <w:rsid w:val="00FE77D2"/>
    <w:rsid w:val="098C445B"/>
    <w:rsid w:val="23D0DB64"/>
    <w:rsid w:val="39156774"/>
    <w:rsid w:val="4CACB676"/>
    <w:rsid w:val="4D1754D9"/>
    <w:rsid w:val="4DEE5902"/>
    <w:rsid w:val="5E8388C7"/>
    <w:rsid w:val="67AEF57F"/>
    <w:rsid w:val="689E8A8D"/>
    <w:rsid w:val="6A3A5AEE"/>
    <w:rsid w:val="6B2BF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E63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2C54E2"/>
    <w:pPr>
      <w:framePr w:hSpace="180" w:wrap="around" w:vAnchor="page" w:hAnchor="margin" w:y="2101"/>
      <w:spacing w:before="840"/>
    </w:pPr>
    <w:rPr>
      <w:b/>
      <w:sz w:val="34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page" w:x="1821" w:y="2317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paragraph" w:styleId="ListParagraph">
    <w:name w:val="List Paragraph"/>
    <w:basedOn w:val="Normal"/>
    <w:uiPriority w:val="34"/>
    <w:qFormat/>
    <w:rsid w:val="006416E9"/>
    <w:pPr>
      <w:ind w:left="720"/>
      <w:contextualSpacing/>
    </w:pPr>
  </w:style>
  <w:style w:type="paragraph" w:styleId="CommentText">
    <w:name w:val="annotation text"/>
    <w:basedOn w:val="Normal"/>
    <w:link w:val="CommentTextChar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hAnsi="Calibri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F3D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F3D13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698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698B"/>
    <w:rPr>
      <w:rFonts w:ascii="Calibri" w:hAnsi="Calibri"/>
      <w:sz w:val="24"/>
      <w:lang w:val="en-GB" w:eastAsia="en-US"/>
    </w:rPr>
  </w:style>
  <w:style w:type="paragraph" w:customStyle="1" w:styleId="Pa2">
    <w:name w:val="Pa2"/>
    <w:basedOn w:val="Normal"/>
    <w:next w:val="Normal"/>
    <w:uiPriority w:val="99"/>
    <w:rsid w:val="0049635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spacing w:before="0" w:line="201" w:lineRule="atLeast"/>
      <w:textAlignment w:val="auto"/>
    </w:pPr>
    <w:rPr>
      <w:rFonts w:ascii="Calibri Light" w:hAnsi="Calibri Light" w:cs="Calibri Light"/>
      <w:szCs w:val="24"/>
      <w:lang w:eastAsia="zh-CN"/>
    </w:rPr>
  </w:style>
  <w:style w:type="paragraph" w:styleId="BalloonText">
    <w:name w:val="Balloon Text"/>
    <w:basedOn w:val="Normal"/>
    <w:link w:val="BalloonTextChar"/>
    <w:semiHidden/>
    <w:unhideWhenUsed/>
    <w:rsid w:val="00294B5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94B5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9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p.powerbi.com/view?r=eyJrIjoiNTNlMzVkYmItZWE5ZC00NTMwLTk2ZTgtZjJiM2IxZmJjY2UyIiwidCI6IjIzZTQ2NGQ3LTA0ZTYtNGI4Ny05MTNjLTI0YmQ4OTIxOWZkMyIsImMiOjl9&amp;pageName=ReportSection0425efe0206eca9600e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en/council/Documents/basic-texts-2023/RES-048-E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A014BF6FE3A4AB656F5985E3C82C4" ma:contentTypeVersion="3" ma:contentTypeDescription="Create a new document." ma:contentTypeScope="" ma:versionID="b463d01d744cd3e118a3270eabc75631">
  <xsd:schema xmlns:xsd="http://www.w3.org/2001/XMLSchema" xmlns:xs="http://www.w3.org/2001/XMLSchema" xmlns:p="http://schemas.microsoft.com/office/2006/metadata/properties" xmlns:ns2="085b46e1-7f22-4e81-9ba5-912dc5a5fd9a" targetNamespace="http://schemas.microsoft.com/office/2006/metadata/properties" ma:root="true" ma:fieldsID="5d4088d9f3955b72ef584b3d432ce6a6" ns2:_="">
    <xsd:import namespace="085b46e1-7f22-4e81-9ba5-912dc5a5fd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46e1-7f22-4e81-9ba5-912dc5a5f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4A725D-41F5-4015-A521-3AFB39CBDB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39179-B7E2-4593-A502-6108FFA497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5E10AD-6A7E-4538-A15D-9B9FC53D6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46e1-7f22-4e81-9ba5-912dc5a5f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B2A4E8-C0A3-4D6F-9103-638B84C6BC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536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Geographical distribution at ITU</vt:lpstr>
    </vt:vector>
  </TitlesOfParts>
  <Manager/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Geographical distribution at ITU</dc:title>
  <dc:subject>Council Working Group on Financial and Human Resources</dc:subject>
  <dc:creator/>
  <cp:keywords>CWG-FHR, C24, Council-24</cp:keywords>
  <dc:description/>
  <cp:lastModifiedBy/>
  <cp:revision>1</cp:revision>
  <dcterms:created xsi:type="dcterms:W3CDTF">2023-12-22T07:51:00Z</dcterms:created>
  <dcterms:modified xsi:type="dcterms:W3CDTF">2023-12-22T08:02:00Z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0x010100927A014BF6FE3A4AB656F5985E3C82C4</vt:lpwstr>
  </property>
</Properties>
</file>