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E1CE9" w14:paraId="66992BDC" w14:textId="77777777">
        <w:trPr>
          <w:cantSplit/>
          <w:trHeight w:val="23"/>
        </w:trPr>
        <w:tc>
          <w:tcPr>
            <w:tcW w:w="3969" w:type="dxa"/>
            <w:vMerge w:val="restart"/>
            <w:tcMar>
              <w:left w:w="0" w:type="dxa"/>
            </w:tcMar>
          </w:tcPr>
          <w:p w14:paraId="09A52FC8" w14:textId="77777777" w:rsidR="00EE1CE9" w:rsidRDefault="00EE1CE9">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126BFCF" w14:textId="22E21C92" w:rsidR="00EE1CE9" w:rsidRPr="00261CB6" w:rsidRDefault="002A2925">
            <w:pPr>
              <w:tabs>
                <w:tab w:val="left" w:pos="851"/>
              </w:tabs>
              <w:spacing w:before="0" w:line="240" w:lineRule="atLeast"/>
              <w:jc w:val="right"/>
              <w:rPr>
                <w:b/>
                <w:lang w:val="fr-CH"/>
              </w:rPr>
            </w:pPr>
            <w:r w:rsidRPr="00261CB6">
              <w:rPr>
                <w:b/>
                <w:lang w:val="fr-CH"/>
              </w:rPr>
              <w:t>Document EG-DEC482-1/</w:t>
            </w:r>
            <w:r w:rsidR="00261CB6" w:rsidRPr="00261CB6">
              <w:rPr>
                <w:b/>
                <w:lang w:val="fr-CH"/>
              </w:rPr>
              <w:t>3</w:t>
            </w:r>
          </w:p>
        </w:tc>
      </w:tr>
      <w:tr w:rsidR="00EE1CE9" w14:paraId="28C499C7" w14:textId="77777777">
        <w:trPr>
          <w:cantSplit/>
        </w:trPr>
        <w:tc>
          <w:tcPr>
            <w:tcW w:w="3969" w:type="dxa"/>
            <w:vMerge/>
          </w:tcPr>
          <w:p w14:paraId="1D347196" w14:textId="77777777" w:rsidR="00EE1CE9" w:rsidRDefault="00EE1CE9">
            <w:pPr>
              <w:tabs>
                <w:tab w:val="left" w:pos="851"/>
              </w:tabs>
              <w:spacing w:line="240" w:lineRule="atLeast"/>
              <w:rPr>
                <w:b/>
                <w:lang w:val="fr-CH"/>
              </w:rPr>
            </w:pPr>
            <w:bookmarkStart w:id="6" w:name="ddate" w:colFirst="1" w:colLast="1"/>
            <w:bookmarkEnd w:id="0"/>
            <w:bookmarkEnd w:id="1"/>
          </w:p>
        </w:tc>
        <w:tc>
          <w:tcPr>
            <w:tcW w:w="5245" w:type="dxa"/>
          </w:tcPr>
          <w:p w14:paraId="7FF65916" w14:textId="79B87C36" w:rsidR="00EE1CE9" w:rsidRPr="00261CB6" w:rsidRDefault="00261CB6">
            <w:pPr>
              <w:tabs>
                <w:tab w:val="left" w:pos="851"/>
              </w:tabs>
              <w:spacing w:before="0"/>
              <w:jc w:val="right"/>
              <w:rPr>
                <w:b/>
              </w:rPr>
            </w:pPr>
            <w:r w:rsidRPr="00261CB6">
              <w:rPr>
                <w:b/>
              </w:rPr>
              <w:t>10</w:t>
            </w:r>
            <w:r w:rsidR="002A2925" w:rsidRPr="00261CB6">
              <w:rPr>
                <w:b/>
              </w:rPr>
              <w:t xml:space="preserve"> </w:t>
            </w:r>
            <w:r w:rsidR="002A2925" w:rsidRPr="00261CB6">
              <w:rPr>
                <w:b/>
              </w:rPr>
              <w:t>January 2024</w:t>
            </w:r>
          </w:p>
        </w:tc>
      </w:tr>
      <w:tr w:rsidR="00EE1CE9" w14:paraId="2DA66D81" w14:textId="77777777">
        <w:trPr>
          <w:cantSplit/>
          <w:trHeight w:val="23"/>
        </w:trPr>
        <w:tc>
          <w:tcPr>
            <w:tcW w:w="3969" w:type="dxa"/>
            <w:vMerge/>
          </w:tcPr>
          <w:p w14:paraId="194C39A4" w14:textId="77777777" w:rsidR="00EE1CE9" w:rsidRDefault="00EE1CE9">
            <w:pPr>
              <w:tabs>
                <w:tab w:val="left" w:pos="851"/>
              </w:tabs>
              <w:spacing w:line="240" w:lineRule="atLeast"/>
              <w:rPr>
                <w:b/>
              </w:rPr>
            </w:pPr>
            <w:bookmarkStart w:id="7" w:name="dorlang" w:colFirst="1" w:colLast="1"/>
            <w:bookmarkEnd w:id="6"/>
          </w:p>
        </w:tc>
        <w:tc>
          <w:tcPr>
            <w:tcW w:w="5245" w:type="dxa"/>
          </w:tcPr>
          <w:p w14:paraId="1C4C13F5" w14:textId="77777777" w:rsidR="00EE1CE9" w:rsidRDefault="002A2925">
            <w:pPr>
              <w:tabs>
                <w:tab w:val="left" w:pos="851"/>
              </w:tabs>
              <w:spacing w:before="0" w:line="240" w:lineRule="atLeast"/>
              <w:jc w:val="right"/>
              <w:rPr>
                <w:b/>
              </w:rPr>
            </w:pPr>
            <w:r>
              <w:rPr>
                <w:b/>
              </w:rPr>
              <w:t>English only</w:t>
            </w:r>
          </w:p>
        </w:tc>
      </w:tr>
      <w:tr w:rsidR="00EE1CE9" w14:paraId="67F316D6" w14:textId="77777777">
        <w:trPr>
          <w:cantSplit/>
          <w:trHeight w:val="23"/>
        </w:trPr>
        <w:tc>
          <w:tcPr>
            <w:tcW w:w="3969" w:type="dxa"/>
          </w:tcPr>
          <w:p w14:paraId="64C3BCFC" w14:textId="77777777" w:rsidR="00EE1CE9" w:rsidRDefault="00EE1CE9">
            <w:pPr>
              <w:tabs>
                <w:tab w:val="left" w:pos="851"/>
              </w:tabs>
              <w:spacing w:line="240" w:lineRule="atLeast"/>
              <w:rPr>
                <w:b/>
              </w:rPr>
            </w:pPr>
          </w:p>
        </w:tc>
        <w:tc>
          <w:tcPr>
            <w:tcW w:w="5245" w:type="dxa"/>
          </w:tcPr>
          <w:p w14:paraId="4436088E" w14:textId="77777777" w:rsidR="00EE1CE9" w:rsidRDefault="00EE1CE9">
            <w:pPr>
              <w:tabs>
                <w:tab w:val="left" w:pos="851"/>
              </w:tabs>
              <w:spacing w:before="0" w:line="240" w:lineRule="atLeast"/>
              <w:jc w:val="right"/>
              <w:rPr>
                <w:b/>
              </w:rPr>
            </w:pPr>
          </w:p>
        </w:tc>
      </w:tr>
      <w:tr w:rsidR="00EE1CE9" w14:paraId="262B76E3" w14:textId="77777777">
        <w:trPr>
          <w:cantSplit/>
        </w:trPr>
        <w:tc>
          <w:tcPr>
            <w:tcW w:w="9214" w:type="dxa"/>
            <w:gridSpan w:val="2"/>
            <w:tcMar>
              <w:left w:w="0" w:type="dxa"/>
            </w:tcMar>
          </w:tcPr>
          <w:p w14:paraId="73BFF51E" w14:textId="77777777" w:rsidR="00EE1CE9" w:rsidRDefault="002A2925">
            <w:pPr>
              <w:pStyle w:val="Source"/>
              <w:framePr w:hSpace="0" w:wrap="auto" w:vAnchor="margin" w:hAnchor="text" w:xAlign="left" w:yAlign="inline"/>
            </w:pPr>
            <w:bookmarkStart w:id="8" w:name="dsource" w:colFirst="0" w:colLast="0"/>
            <w:bookmarkEnd w:id="7"/>
            <w:r>
              <w:t>Contribution</w:t>
            </w:r>
            <w:r>
              <w:rPr>
                <w:b w:val="0"/>
                <w:sz w:val="24"/>
                <w:szCs w:val="20"/>
              </w:rPr>
              <w:t xml:space="preserve"> </w:t>
            </w:r>
            <w:r>
              <w:t>from the Russian Federation</w:t>
            </w:r>
          </w:p>
        </w:tc>
      </w:tr>
      <w:tr w:rsidR="00EE1CE9" w14:paraId="052072BE" w14:textId="77777777">
        <w:trPr>
          <w:cantSplit/>
        </w:trPr>
        <w:tc>
          <w:tcPr>
            <w:tcW w:w="9214" w:type="dxa"/>
            <w:gridSpan w:val="2"/>
            <w:tcMar>
              <w:left w:w="0" w:type="dxa"/>
            </w:tcMar>
          </w:tcPr>
          <w:p w14:paraId="6C7CA706" w14:textId="6C0B9A0D" w:rsidR="00EE1CE9" w:rsidRDefault="00261CB6">
            <w:pPr>
              <w:pStyle w:val="Subtitle"/>
              <w:framePr w:hSpace="0" w:wrap="auto" w:xAlign="left" w:yAlign="inline"/>
            </w:pPr>
            <w:bookmarkStart w:id="9" w:name="dtitle1" w:colFirst="0" w:colLast="0"/>
            <w:bookmarkEnd w:id="8"/>
            <w:r>
              <w:t xml:space="preserve">COST RECOVERY </w:t>
            </w:r>
          </w:p>
        </w:tc>
      </w:tr>
      <w:tr w:rsidR="00EE1CE9" w14:paraId="7DA9AF63" w14:textId="77777777">
        <w:trPr>
          <w:cantSplit/>
        </w:trPr>
        <w:tc>
          <w:tcPr>
            <w:tcW w:w="9214" w:type="dxa"/>
            <w:gridSpan w:val="2"/>
            <w:tcBorders>
              <w:top w:val="single" w:sz="4" w:space="0" w:color="auto"/>
              <w:bottom w:val="single" w:sz="4" w:space="0" w:color="auto"/>
            </w:tcBorders>
            <w:tcMar>
              <w:left w:w="0" w:type="dxa"/>
            </w:tcMar>
          </w:tcPr>
          <w:p w14:paraId="48DE8351" w14:textId="1421DBA3" w:rsidR="00EE1CE9" w:rsidRPr="00F06D22" w:rsidRDefault="002A2925">
            <w:pPr>
              <w:spacing w:before="160"/>
              <w:rPr>
                <w:i/>
                <w:iCs/>
                <w:sz w:val="26"/>
                <w:szCs w:val="26"/>
                <w:lang w:val="en-US"/>
              </w:rPr>
            </w:pPr>
            <w:r>
              <w:rPr>
                <w:b/>
                <w:bCs/>
                <w:sz w:val="26"/>
                <w:szCs w:val="26"/>
              </w:rPr>
              <w:t>Purpose</w:t>
            </w:r>
          </w:p>
          <w:p w14:paraId="64CB535D" w14:textId="480A80E4" w:rsidR="00EE1CE9" w:rsidRDefault="002A2925" w:rsidP="002A2925">
            <w:pPr>
              <w:rPr>
                <w:lang w:val="en-US"/>
              </w:rPr>
            </w:pPr>
            <w:r>
              <w:rPr>
                <w:lang w:val="en-US"/>
              </w:rPr>
              <w:t xml:space="preserve">The 2023 Council adopted Decision 632 </w:t>
            </w:r>
            <w:r>
              <w:t xml:space="preserve">creates an Expert Group on Decision 482 (EG-DEC482) with the Terms of Reference shown in Annex </w:t>
            </w:r>
            <w:r>
              <w:rPr>
                <w:lang w:val="en-US"/>
              </w:rPr>
              <w:t xml:space="preserve">to Document </w:t>
            </w:r>
            <w:hyperlink r:id="rId11" w:history="1">
              <w:r>
                <w:rPr>
                  <w:rStyle w:val="Hyperlink"/>
                </w:rPr>
                <w:t>C</w:t>
              </w:r>
              <w:r>
                <w:rPr>
                  <w:rStyle w:val="Hyperlink"/>
                  <w:lang w:val="en-US"/>
                </w:rPr>
                <w:t>23/126</w:t>
              </w:r>
            </w:hyperlink>
            <w:r>
              <w:rPr>
                <w:lang w:val="en-US"/>
              </w:rPr>
              <w:t>.</w:t>
            </w:r>
          </w:p>
          <w:p w14:paraId="3F979334" w14:textId="37235A2C" w:rsidR="00EE1CE9" w:rsidRDefault="002A2925" w:rsidP="002A2925">
            <w:pPr>
              <w:tabs>
                <w:tab w:val="clear" w:pos="567"/>
                <w:tab w:val="clear" w:pos="1134"/>
                <w:tab w:val="clear" w:pos="1701"/>
                <w:tab w:val="clear" w:pos="2268"/>
                <w:tab w:val="clear" w:pos="2835"/>
              </w:tabs>
              <w:overflowPunct/>
              <w:autoSpaceDE/>
              <w:autoSpaceDN/>
              <w:adjustRightInd/>
              <w:textAlignment w:val="auto"/>
              <w:rPr>
                <w:lang w:val="en-US"/>
              </w:rPr>
            </w:pPr>
            <w:r>
              <w:rPr>
                <w:lang w:val="en-US"/>
              </w:rPr>
              <w:t xml:space="preserve">The Administration of the Russian Federation submits its comments and proposals regarding the study of issues </w:t>
            </w:r>
            <w:r w:rsidR="00D33439">
              <w:rPr>
                <w:lang w:val="en-US"/>
              </w:rPr>
              <w:t xml:space="preserve">set </w:t>
            </w:r>
            <w:r>
              <w:rPr>
                <w:lang w:val="en-US"/>
              </w:rPr>
              <w:t>in the</w:t>
            </w:r>
            <w:r w:rsidR="00D33439">
              <w:rPr>
                <w:lang w:val="en-US"/>
              </w:rPr>
              <w:t xml:space="preserve"> </w:t>
            </w:r>
            <w:r w:rsidR="00D33439">
              <w:t>EG-DEC482</w:t>
            </w:r>
            <w:r>
              <w:rPr>
                <w:lang w:val="en-US"/>
              </w:rPr>
              <w:t xml:space="preserve"> </w:t>
            </w:r>
            <w:r>
              <w:t>Terms of Reference</w:t>
            </w:r>
            <w:r>
              <w:rPr>
                <w:lang w:val="en-US"/>
              </w:rPr>
              <w:t>.</w:t>
            </w:r>
          </w:p>
          <w:p w14:paraId="069D9EAF" w14:textId="77777777" w:rsidR="00EE1CE9" w:rsidRPr="00F06D22" w:rsidRDefault="002A2925">
            <w:pPr>
              <w:spacing w:before="160"/>
              <w:rPr>
                <w:b/>
                <w:bCs/>
                <w:sz w:val="26"/>
                <w:szCs w:val="26"/>
                <w:lang w:val="en-US"/>
              </w:rPr>
            </w:pPr>
            <w:r>
              <w:rPr>
                <w:b/>
                <w:bCs/>
                <w:sz w:val="26"/>
                <w:szCs w:val="26"/>
              </w:rPr>
              <w:t>Action</w:t>
            </w:r>
            <w:r w:rsidRPr="00F06D22">
              <w:rPr>
                <w:b/>
                <w:bCs/>
                <w:sz w:val="26"/>
                <w:szCs w:val="26"/>
                <w:lang w:val="en-US"/>
              </w:rPr>
              <w:t xml:space="preserve"> </w:t>
            </w:r>
            <w:proofErr w:type="gramStart"/>
            <w:r>
              <w:rPr>
                <w:b/>
                <w:bCs/>
                <w:sz w:val="26"/>
                <w:szCs w:val="26"/>
              </w:rPr>
              <w:t>required</w:t>
            </w:r>
            <w:proofErr w:type="gramEnd"/>
          </w:p>
          <w:p w14:paraId="317183C4" w14:textId="77777777" w:rsidR="00EE1CE9" w:rsidRDefault="002A2925">
            <w:pPr>
              <w:spacing w:before="160"/>
            </w:pPr>
            <w:r>
              <w:t xml:space="preserve">The Expert Group on Decision 482 is invited </w:t>
            </w:r>
            <w:r w:rsidRPr="00261CB6">
              <w:rPr>
                <w:b/>
                <w:bCs/>
              </w:rPr>
              <w:t>to consider</w:t>
            </w:r>
            <w:r>
              <w:t xml:space="preserve"> proposals in this document and </w:t>
            </w:r>
            <w:r w:rsidRPr="00261CB6">
              <w:rPr>
                <w:b/>
                <w:bCs/>
              </w:rPr>
              <w:t xml:space="preserve">take appropriate actions </w:t>
            </w:r>
            <w:r>
              <w:t xml:space="preserve">for preparation an </w:t>
            </w:r>
            <w:r>
              <w:t>interim report containing recommendations for the possible revision of Decision 482 for submission to the 2024 session of the ITU Council.</w:t>
            </w:r>
          </w:p>
          <w:p w14:paraId="6AD8C2A1" w14:textId="77777777" w:rsidR="00EE1CE9" w:rsidRDefault="002A2925">
            <w:pPr>
              <w:spacing w:before="160"/>
              <w:rPr>
                <w:caps/>
                <w:sz w:val="22"/>
              </w:rPr>
            </w:pPr>
            <w:r>
              <w:rPr>
                <w:sz w:val="22"/>
              </w:rPr>
              <w:t>____________________________________</w:t>
            </w:r>
          </w:p>
          <w:p w14:paraId="18AF7ED2" w14:textId="77777777" w:rsidR="00EE1CE9" w:rsidRDefault="002A2925">
            <w:pPr>
              <w:spacing w:before="160"/>
              <w:rPr>
                <w:b/>
                <w:bCs/>
                <w:sz w:val="26"/>
                <w:szCs w:val="26"/>
              </w:rPr>
            </w:pPr>
            <w:r>
              <w:rPr>
                <w:b/>
                <w:bCs/>
                <w:sz w:val="26"/>
                <w:szCs w:val="26"/>
              </w:rPr>
              <w:t>References</w:t>
            </w:r>
          </w:p>
          <w:p w14:paraId="1FA0FA29" w14:textId="77777777" w:rsidR="00EE1CE9" w:rsidRDefault="002A2925">
            <w:pPr>
              <w:spacing w:after="160"/>
            </w:pPr>
            <w:hyperlink r:id="rId12" w:history="1">
              <w:r>
                <w:rPr>
                  <w:rStyle w:val="Hyperlink"/>
                  <w:i/>
                  <w:iCs/>
                </w:rPr>
                <w:t>Resolution 91 (Rev. Guadal</w:t>
              </w:r>
              <w:r>
                <w:rPr>
                  <w:rStyle w:val="Hyperlink"/>
                  <w:i/>
                  <w:iCs/>
                </w:rPr>
                <w:t>a</w:t>
              </w:r>
              <w:r>
                <w:rPr>
                  <w:rStyle w:val="Hyperlink"/>
                  <w:i/>
                  <w:iCs/>
                </w:rPr>
                <w:t>jara, 2010)</w:t>
              </w:r>
            </w:hyperlink>
            <w:r>
              <w:rPr>
                <w:rStyle w:val="Hyperlink"/>
                <w:i/>
                <w:iCs/>
              </w:rPr>
              <w:t xml:space="preserve"> of the Plenipotentiary Conference</w:t>
            </w:r>
            <w:r>
              <w:rPr>
                <w:i/>
                <w:iCs/>
                <w:szCs w:val="24"/>
              </w:rPr>
              <w:t xml:space="preserve">; </w:t>
            </w:r>
            <w:hyperlink r:id="rId13" w:history="1">
              <w:r>
                <w:rPr>
                  <w:rStyle w:val="Hyperlink"/>
                  <w:i/>
                  <w:iCs/>
                  <w:szCs w:val="24"/>
                </w:rPr>
                <w:t>Council De</w:t>
              </w:r>
              <w:r>
                <w:rPr>
                  <w:rStyle w:val="Hyperlink"/>
                  <w:i/>
                  <w:iCs/>
                  <w:szCs w:val="24"/>
                </w:rPr>
                <w:t>c</w:t>
              </w:r>
              <w:r>
                <w:rPr>
                  <w:rStyle w:val="Hyperlink"/>
                  <w:i/>
                  <w:iCs/>
                  <w:szCs w:val="24"/>
                </w:rPr>
                <w:t>ision 482 (C01, last amended C20)</w:t>
              </w:r>
            </w:hyperlink>
            <w:r>
              <w:rPr>
                <w:i/>
                <w:iCs/>
                <w:szCs w:val="24"/>
              </w:rPr>
              <w:t xml:space="preserve">; </w:t>
            </w:r>
            <w:hyperlink r:id="rId14" w:history="1">
              <w:r>
                <w:rPr>
                  <w:rStyle w:val="Hyperlink"/>
                  <w:i/>
                  <w:iCs/>
                  <w:szCs w:val="24"/>
                </w:rPr>
                <w:t>C22/16</w:t>
              </w:r>
            </w:hyperlink>
            <w:r>
              <w:rPr>
                <w:i/>
                <w:iCs/>
                <w:szCs w:val="24"/>
              </w:rPr>
              <w:t xml:space="preserve">, </w:t>
            </w:r>
            <w:hyperlink r:id="rId15" w:history="1">
              <w:r>
                <w:rPr>
                  <w:rStyle w:val="Hyperlink"/>
                  <w:i/>
                  <w:iCs/>
                  <w:szCs w:val="24"/>
                </w:rPr>
                <w:t>C23/16</w:t>
              </w:r>
            </w:hyperlink>
            <w:r>
              <w:t xml:space="preserve">, </w:t>
            </w:r>
            <w:hyperlink r:id="rId16" w:history="1">
              <w:r>
                <w:rPr>
                  <w:rStyle w:val="Hyperlink"/>
                </w:rPr>
                <w:t>C23/19</w:t>
              </w:r>
            </w:hyperlink>
            <w:r>
              <w:t xml:space="preserve">, </w:t>
            </w:r>
            <w:hyperlink r:id="rId17" w:history="1">
              <w:r>
                <w:rPr>
                  <w:rStyle w:val="Hyperlink"/>
                </w:rPr>
                <w:t>C23/126</w:t>
              </w:r>
            </w:hyperlink>
          </w:p>
        </w:tc>
      </w:tr>
    </w:tbl>
    <w:p w14:paraId="71BA6784" w14:textId="77777777" w:rsidR="00EE1CE9" w:rsidRPr="00261CB6" w:rsidRDefault="00EE1CE9">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7222B37" w14:textId="77777777" w:rsidR="00EE1CE9" w:rsidRPr="00261CB6" w:rsidRDefault="002A2925">
      <w:pPr>
        <w:tabs>
          <w:tab w:val="clear" w:pos="567"/>
          <w:tab w:val="clear" w:pos="1134"/>
          <w:tab w:val="clear" w:pos="1701"/>
          <w:tab w:val="clear" w:pos="2268"/>
          <w:tab w:val="clear" w:pos="2835"/>
        </w:tabs>
        <w:overflowPunct/>
        <w:autoSpaceDE/>
        <w:autoSpaceDN/>
        <w:adjustRightInd/>
        <w:spacing w:before="0"/>
        <w:textAlignment w:val="auto"/>
        <w:rPr>
          <w:b/>
        </w:rPr>
      </w:pPr>
      <w:r w:rsidRPr="00261CB6">
        <w:br w:type="page"/>
      </w:r>
    </w:p>
    <w:bookmarkEnd w:id="5"/>
    <w:bookmarkEnd w:id="10"/>
    <w:p w14:paraId="092646BE" w14:textId="77777777" w:rsidR="00EE1CE9" w:rsidRDefault="002A2925" w:rsidP="002A2925">
      <w:pPr>
        <w:tabs>
          <w:tab w:val="clear" w:pos="567"/>
          <w:tab w:val="clear" w:pos="1134"/>
          <w:tab w:val="clear" w:pos="1701"/>
          <w:tab w:val="clear" w:pos="2268"/>
          <w:tab w:val="clear" w:pos="2835"/>
        </w:tabs>
        <w:overflowPunct/>
        <w:autoSpaceDE/>
        <w:autoSpaceDN/>
        <w:adjustRightInd/>
        <w:spacing w:before="240" w:after="120"/>
        <w:ind w:firstLine="709"/>
        <w:jc w:val="both"/>
        <w:textAlignment w:val="auto"/>
        <w:rPr>
          <w:b/>
          <w:bCs/>
          <w:lang w:val="ru-RU"/>
        </w:rPr>
      </w:pPr>
      <w:r>
        <w:rPr>
          <w:b/>
          <w:bCs/>
          <w:lang w:val="en-US"/>
        </w:rPr>
        <w:lastRenderedPageBreak/>
        <w:t>Introduction</w:t>
      </w:r>
    </w:p>
    <w:p w14:paraId="5F0FD452" w14:textId="5AF828D4" w:rsidR="00EE1CE9" w:rsidRDefault="002A2925" w:rsidP="002A2925">
      <w:pPr>
        <w:rPr>
          <w:lang w:val="en-US"/>
        </w:rPr>
      </w:pPr>
      <w:r>
        <w:rPr>
          <w:lang w:val="en-US"/>
        </w:rPr>
        <w:t xml:space="preserve">The 2023 Council adopted Decision 632 on creation of </w:t>
      </w:r>
      <w:r>
        <w:t xml:space="preserve">an Expert Group on Decision 482 (EG-DEC482) with the Terms of Reference shown in Annex </w:t>
      </w:r>
      <w:r>
        <w:rPr>
          <w:lang w:val="en-US"/>
        </w:rPr>
        <w:t xml:space="preserve">to Document </w:t>
      </w:r>
      <w:hyperlink r:id="rId18" w:history="1">
        <w:r>
          <w:rPr>
            <w:rStyle w:val="Hyperlink"/>
          </w:rPr>
          <w:t>C</w:t>
        </w:r>
        <w:r>
          <w:rPr>
            <w:rStyle w:val="Hyperlink"/>
            <w:lang w:val="en-US"/>
          </w:rPr>
          <w:t>23/126</w:t>
        </w:r>
      </w:hyperlink>
      <w:r>
        <w:rPr>
          <w:lang w:val="en-US"/>
        </w:rPr>
        <w:t>.</w:t>
      </w:r>
    </w:p>
    <w:p w14:paraId="2B373703" w14:textId="49477335" w:rsidR="00EE1CE9" w:rsidRDefault="002A2925" w:rsidP="002A2925">
      <w:pPr>
        <w:tabs>
          <w:tab w:val="clear" w:pos="567"/>
          <w:tab w:val="clear" w:pos="1134"/>
          <w:tab w:val="clear" w:pos="1701"/>
          <w:tab w:val="clear" w:pos="2268"/>
          <w:tab w:val="clear" w:pos="2835"/>
        </w:tabs>
        <w:overflowPunct/>
        <w:autoSpaceDE/>
        <w:autoSpaceDN/>
        <w:adjustRightInd/>
        <w:textAlignment w:val="auto"/>
        <w:rPr>
          <w:lang w:val="en-US"/>
        </w:rPr>
      </w:pPr>
      <w:r>
        <w:rPr>
          <w:lang w:val="en-US"/>
        </w:rPr>
        <w:t xml:space="preserve">The Administration of the Russian Federation submits its comments and proposals regarding the study of issues set in the </w:t>
      </w:r>
      <w:r>
        <w:t>EG-DEC482Terms of Reference</w:t>
      </w:r>
      <w:r>
        <w:rPr>
          <w:lang w:val="en-US"/>
        </w:rPr>
        <w:t>.</w:t>
      </w:r>
    </w:p>
    <w:p w14:paraId="76972DB5" w14:textId="77777777" w:rsidR="00EE1CE9" w:rsidRPr="00F06D22" w:rsidRDefault="002A2925" w:rsidP="002A2925">
      <w:pPr>
        <w:tabs>
          <w:tab w:val="clear" w:pos="567"/>
          <w:tab w:val="clear" w:pos="1134"/>
          <w:tab w:val="clear" w:pos="1701"/>
          <w:tab w:val="clear" w:pos="2268"/>
          <w:tab w:val="clear" w:pos="2835"/>
        </w:tabs>
        <w:overflowPunct/>
        <w:autoSpaceDE/>
        <w:autoSpaceDN/>
        <w:adjustRightInd/>
        <w:spacing w:before="240" w:after="120"/>
        <w:ind w:firstLine="709"/>
        <w:jc w:val="both"/>
        <w:textAlignment w:val="auto"/>
        <w:rPr>
          <w:b/>
          <w:bCs/>
          <w:lang w:val="en-US"/>
        </w:rPr>
      </w:pPr>
      <w:r>
        <w:rPr>
          <w:b/>
          <w:bCs/>
          <w:lang w:val="en-US"/>
        </w:rPr>
        <w:t>Discussion</w:t>
      </w:r>
    </w:p>
    <w:p w14:paraId="1CD8E8FD" w14:textId="6AE14659" w:rsidR="00EE1CE9" w:rsidRPr="007B13B5" w:rsidRDefault="002A2925" w:rsidP="002A2925">
      <w:pPr>
        <w:tabs>
          <w:tab w:val="clear" w:pos="567"/>
          <w:tab w:val="clear" w:pos="1134"/>
          <w:tab w:val="clear" w:pos="1701"/>
          <w:tab w:val="clear" w:pos="2268"/>
          <w:tab w:val="clear" w:pos="2835"/>
        </w:tabs>
        <w:overflowPunct/>
        <w:autoSpaceDE/>
        <w:autoSpaceDN/>
        <w:adjustRightInd/>
        <w:ind w:firstLine="709"/>
        <w:jc w:val="both"/>
        <w:textAlignment w:val="auto"/>
        <w:rPr>
          <w:lang w:val="en-US"/>
        </w:rPr>
      </w:pPr>
      <w:r>
        <w:rPr>
          <w:lang w:val="en-US"/>
        </w:rPr>
        <w:t xml:space="preserve">Cost recovery for processing fillings </w:t>
      </w:r>
      <w:r w:rsidRPr="007B13B5">
        <w:rPr>
          <w:lang w:val="en-US"/>
        </w:rPr>
        <w:t xml:space="preserve">for frequency assignments </w:t>
      </w:r>
      <w:r>
        <w:rPr>
          <w:lang w:val="en-US"/>
        </w:rPr>
        <w:t>to</w:t>
      </w:r>
      <w:r w:rsidRPr="007B13B5">
        <w:rPr>
          <w:lang w:val="en-US"/>
        </w:rPr>
        <w:t xml:space="preserve"> space and terrestrial services, including </w:t>
      </w:r>
      <w:r>
        <w:rPr>
          <w:lang w:val="en-US"/>
        </w:rPr>
        <w:t>filings</w:t>
      </w:r>
      <w:r w:rsidRPr="007B13B5">
        <w:rPr>
          <w:lang w:val="en-US"/>
        </w:rPr>
        <w:t xml:space="preserve"> for satellite networks or systems, </w:t>
      </w:r>
      <w:r>
        <w:rPr>
          <w:lang w:val="en-US"/>
        </w:rPr>
        <w:t>should</w:t>
      </w:r>
      <w:r w:rsidRPr="007B13B5">
        <w:rPr>
          <w:lang w:val="en-US"/>
        </w:rPr>
        <w:t xml:space="preserve"> be carried out through contributions </w:t>
      </w:r>
      <w:r>
        <w:rPr>
          <w:lang w:val="en-US"/>
        </w:rPr>
        <w:t>of</w:t>
      </w:r>
      <w:r w:rsidRPr="007B13B5">
        <w:rPr>
          <w:lang w:val="en-US"/>
        </w:rPr>
        <w:t xml:space="preserve"> the </w:t>
      </w:r>
      <w:r>
        <w:rPr>
          <w:lang w:val="en-US"/>
        </w:rPr>
        <w:t xml:space="preserve">Union’s </w:t>
      </w:r>
      <w:r w:rsidRPr="007B13B5">
        <w:rPr>
          <w:lang w:val="en-US"/>
        </w:rPr>
        <w:t>Member States.</w:t>
      </w:r>
    </w:p>
    <w:p w14:paraId="65C3E633" w14:textId="6E6925B8" w:rsidR="00EE1CE9" w:rsidRDefault="002A2925" w:rsidP="002A2925">
      <w:pPr>
        <w:tabs>
          <w:tab w:val="clear" w:pos="567"/>
          <w:tab w:val="clear" w:pos="1134"/>
          <w:tab w:val="clear" w:pos="1701"/>
          <w:tab w:val="clear" w:pos="2268"/>
          <w:tab w:val="clear" w:pos="2835"/>
        </w:tabs>
        <w:overflowPunct/>
        <w:autoSpaceDE/>
        <w:autoSpaceDN/>
        <w:adjustRightInd/>
        <w:ind w:firstLine="709"/>
        <w:jc w:val="both"/>
        <w:textAlignment w:val="auto"/>
        <w:rPr>
          <w:lang w:val="en-US"/>
        </w:rPr>
      </w:pPr>
      <w:r>
        <w:rPr>
          <w:lang w:val="en-US"/>
        </w:rPr>
        <w:t xml:space="preserve">Funds received from the cost recovery for satellite network/system fillings should not </w:t>
      </w:r>
      <w:r>
        <w:rPr>
          <w:lang w:val="en-US"/>
        </w:rPr>
        <w:t>substitute funds contributed by Member States for the operational activities of the Union and should only be used by BR for satellite network/system fillings’ processing</w:t>
      </w:r>
      <w:r w:rsidR="0019260A" w:rsidRPr="0019260A">
        <w:t xml:space="preserve"> </w:t>
      </w:r>
      <w:r w:rsidR="0019260A" w:rsidRPr="0019260A">
        <w:rPr>
          <w:lang w:val="en-US"/>
        </w:rPr>
        <w:t>including software upgrade and temporarily increase staff to speed up filings processing</w:t>
      </w:r>
      <w:r>
        <w:rPr>
          <w:lang w:val="en-US"/>
        </w:rPr>
        <w:t>.</w:t>
      </w:r>
    </w:p>
    <w:p w14:paraId="6A33FB89" w14:textId="4D9240BB" w:rsidR="00EE1CE9" w:rsidRDefault="002A2925" w:rsidP="002A2925">
      <w:pPr>
        <w:tabs>
          <w:tab w:val="clear" w:pos="567"/>
          <w:tab w:val="clear" w:pos="1134"/>
          <w:tab w:val="clear" w:pos="1701"/>
          <w:tab w:val="clear" w:pos="2268"/>
          <w:tab w:val="clear" w:pos="2835"/>
        </w:tabs>
        <w:overflowPunct/>
        <w:autoSpaceDE/>
        <w:autoSpaceDN/>
        <w:adjustRightInd/>
        <w:ind w:firstLine="709"/>
        <w:jc w:val="both"/>
        <w:textAlignment w:val="auto"/>
        <w:rPr>
          <w:lang w:val="en-US"/>
        </w:rPr>
      </w:pPr>
      <w:r w:rsidRPr="007B13B5">
        <w:rPr>
          <w:lang w:val="en-US"/>
        </w:rPr>
        <w:t xml:space="preserve">Initially, when introducing </w:t>
      </w:r>
      <w:r>
        <w:rPr>
          <w:lang w:val="en-US"/>
        </w:rPr>
        <w:t>the cost recovery for satellite network fillings</w:t>
      </w:r>
      <w:r w:rsidRPr="007B13B5">
        <w:rPr>
          <w:lang w:val="en-US"/>
        </w:rPr>
        <w:t xml:space="preserve">, it was not intended to directly pay all the costs of the </w:t>
      </w:r>
      <w:r>
        <w:rPr>
          <w:lang w:val="en-US"/>
        </w:rPr>
        <w:t>B</w:t>
      </w:r>
      <w:r w:rsidRPr="007B13B5">
        <w:rPr>
          <w:lang w:val="en-US"/>
        </w:rPr>
        <w:t xml:space="preserve">R for such activities, since such activities are the functional responsibility of the staff of the </w:t>
      </w:r>
      <w:r>
        <w:rPr>
          <w:lang w:val="en-US"/>
        </w:rPr>
        <w:t>B</w:t>
      </w:r>
      <w:r w:rsidRPr="007B13B5">
        <w:rPr>
          <w:lang w:val="en-US"/>
        </w:rPr>
        <w:t xml:space="preserve">R in accordance with the requirements of the </w:t>
      </w:r>
      <w:r>
        <w:rPr>
          <w:lang w:val="en-US"/>
        </w:rPr>
        <w:t xml:space="preserve">instruments </w:t>
      </w:r>
      <w:r w:rsidRPr="007B13B5">
        <w:rPr>
          <w:lang w:val="en-US"/>
        </w:rPr>
        <w:t>of the Union.</w:t>
      </w:r>
      <w:r w:rsidR="007B13B5">
        <w:rPr>
          <w:lang w:val="en-US"/>
        </w:rPr>
        <w:t xml:space="preserve"> </w:t>
      </w:r>
      <w:r w:rsidRPr="007B13B5">
        <w:rPr>
          <w:lang w:val="en-US"/>
        </w:rPr>
        <w:t xml:space="preserve">For example, there is no </w:t>
      </w:r>
      <w:r>
        <w:rPr>
          <w:lang w:val="en-US"/>
        </w:rPr>
        <w:t>cost recovery for processing fillings for frequency assignments to terrestrial services</w:t>
      </w:r>
      <w:r w:rsidRPr="007B13B5">
        <w:rPr>
          <w:lang w:val="en-US"/>
        </w:rPr>
        <w:t xml:space="preserve">, and in addition, administrations are entitled to free </w:t>
      </w:r>
      <w:r>
        <w:rPr>
          <w:lang w:val="en-US"/>
        </w:rPr>
        <w:t xml:space="preserve">publication </w:t>
      </w:r>
      <w:r w:rsidRPr="007B13B5">
        <w:rPr>
          <w:lang w:val="en-US"/>
        </w:rPr>
        <w:t xml:space="preserve">of one </w:t>
      </w:r>
      <w:r>
        <w:rPr>
          <w:lang w:val="en-US"/>
        </w:rPr>
        <w:t xml:space="preserve">filing </w:t>
      </w:r>
      <w:r w:rsidRPr="007B13B5">
        <w:rPr>
          <w:lang w:val="en-US"/>
        </w:rPr>
        <w:t>for a satellite network each year.</w:t>
      </w:r>
    </w:p>
    <w:p w14:paraId="566B2C57" w14:textId="6C2C2673" w:rsidR="00EE1CE9" w:rsidRPr="007B13B5" w:rsidRDefault="002A2925" w:rsidP="002A2925">
      <w:pPr>
        <w:tabs>
          <w:tab w:val="clear" w:pos="567"/>
          <w:tab w:val="clear" w:pos="1134"/>
          <w:tab w:val="clear" w:pos="1701"/>
          <w:tab w:val="clear" w:pos="2268"/>
          <w:tab w:val="clear" w:pos="2835"/>
        </w:tabs>
        <w:overflowPunct/>
        <w:autoSpaceDE/>
        <w:autoSpaceDN/>
        <w:adjustRightInd/>
        <w:ind w:firstLine="709"/>
        <w:jc w:val="both"/>
        <w:textAlignment w:val="auto"/>
        <w:rPr>
          <w:lang w:val="en-US"/>
        </w:rPr>
      </w:pPr>
      <w:r>
        <w:rPr>
          <w:lang w:val="en-US"/>
        </w:rPr>
        <w:t>Cost recovery for satellite network fillings,</w:t>
      </w:r>
      <w:r>
        <w:t xml:space="preserve"> </w:t>
      </w:r>
      <w:r>
        <w:rPr>
          <w:lang w:val="en-US"/>
        </w:rPr>
        <w:t xml:space="preserve">inter alia, </w:t>
      </w:r>
      <w:r w:rsidRPr="007B13B5">
        <w:rPr>
          <w:lang w:val="en-US"/>
        </w:rPr>
        <w:t xml:space="preserve">was introduced to </w:t>
      </w:r>
      <w:r>
        <w:rPr>
          <w:lang w:val="en-US"/>
        </w:rPr>
        <w:t xml:space="preserve">prevent </w:t>
      </w:r>
      <w:r w:rsidRPr="007B13B5">
        <w:rPr>
          <w:lang w:val="en-US"/>
        </w:rPr>
        <w:t xml:space="preserve">the submission of applications for satellite networks </w:t>
      </w:r>
      <w:r>
        <w:rPr>
          <w:lang w:val="en-US"/>
        </w:rPr>
        <w:t>for</w:t>
      </w:r>
      <w:r w:rsidRPr="007B13B5">
        <w:rPr>
          <w:lang w:val="en-US"/>
        </w:rPr>
        <w:t xml:space="preserve"> reserv</w:t>
      </w:r>
      <w:r>
        <w:rPr>
          <w:lang w:val="en-US"/>
        </w:rPr>
        <w:t xml:space="preserve">ation of </w:t>
      </w:r>
      <w:r w:rsidRPr="007B13B5">
        <w:rPr>
          <w:lang w:val="en-US"/>
        </w:rPr>
        <w:t>frequency-orbital resource without its actual use.</w:t>
      </w:r>
      <w:r w:rsidR="007B13B5">
        <w:rPr>
          <w:lang w:val="en-US"/>
        </w:rPr>
        <w:t xml:space="preserve"> </w:t>
      </w:r>
      <w:r>
        <w:rPr>
          <w:lang w:val="en-US"/>
        </w:rPr>
        <w:t xml:space="preserve">For this </w:t>
      </w:r>
      <w:proofErr w:type="gramStart"/>
      <w:r>
        <w:rPr>
          <w:lang w:val="en-US"/>
        </w:rPr>
        <w:t>reason</w:t>
      </w:r>
      <w:proofErr w:type="gramEnd"/>
      <w:r>
        <w:rPr>
          <w:lang w:val="en-US"/>
        </w:rPr>
        <w:t xml:space="preserve"> such</w:t>
      </w:r>
      <w:r w:rsidRPr="007B13B5">
        <w:rPr>
          <w:lang w:val="en-US"/>
        </w:rPr>
        <w:t xml:space="preserve"> </w:t>
      </w:r>
      <w:r>
        <w:rPr>
          <w:lang w:val="en-US"/>
        </w:rPr>
        <w:t xml:space="preserve">cost recovery </w:t>
      </w:r>
      <w:r w:rsidRPr="007B13B5">
        <w:rPr>
          <w:lang w:val="en-US"/>
        </w:rPr>
        <w:t>fee</w:t>
      </w:r>
      <w:r>
        <w:rPr>
          <w:lang w:val="en-US"/>
        </w:rPr>
        <w:t>s</w:t>
      </w:r>
      <w:r w:rsidRPr="007B13B5">
        <w:rPr>
          <w:lang w:val="en-US"/>
        </w:rPr>
        <w:t xml:space="preserve"> was assigned empirically, </w:t>
      </w:r>
      <w:r>
        <w:rPr>
          <w:lang w:val="en-US"/>
        </w:rPr>
        <w:t>with</w:t>
      </w:r>
      <w:r w:rsidRPr="007B13B5">
        <w:rPr>
          <w:lang w:val="en-US"/>
        </w:rPr>
        <w:t xml:space="preserve"> a requirement not to impose excessive restrictions on operators of real satellite networks, but to put a barrier for </w:t>
      </w:r>
      <w:r>
        <w:rPr>
          <w:lang w:val="en-US"/>
        </w:rPr>
        <w:t>the</w:t>
      </w:r>
      <w:r w:rsidRPr="007B13B5">
        <w:rPr>
          <w:lang w:val="en-US"/>
        </w:rPr>
        <w:t xml:space="preserve"> so-called “paper” </w:t>
      </w:r>
      <w:r>
        <w:rPr>
          <w:lang w:val="en-US"/>
        </w:rPr>
        <w:t xml:space="preserve">satellite </w:t>
      </w:r>
      <w:r w:rsidRPr="007B13B5">
        <w:rPr>
          <w:lang w:val="en-US"/>
        </w:rPr>
        <w:t>networks.</w:t>
      </w:r>
      <w:r w:rsidR="007B13B5">
        <w:rPr>
          <w:lang w:val="en-US"/>
        </w:rPr>
        <w:t xml:space="preserve"> </w:t>
      </w:r>
      <w:r w:rsidRPr="007B13B5">
        <w:rPr>
          <w:lang w:val="en-US"/>
        </w:rPr>
        <w:t xml:space="preserve">This measure made it possible to reduce the flow of </w:t>
      </w:r>
      <w:r>
        <w:rPr>
          <w:lang w:val="en-US"/>
        </w:rPr>
        <w:t>filings</w:t>
      </w:r>
      <w:r w:rsidRPr="007B13B5">
        <w:rPr>
          <w:lang w:val="en-US"/>
        </w:rPr>
        <w:t xml:space="preserve"> from administrations and thereby reduce the </w:t>
      </w:r>
      <w:r>
        <w:rPr>
          <w:lang w:val="en-US"/>
        </w:rPr>
        <w:t xml:space="preserve">backlog </w:t>
      </w:r>
      <w:r w:rsidRPr="007B13B5">
        <w:rPr>
          <w:lang w:val="en-US"/>
        </w:rPr>
        <w:t>and cos</w:t>
      </w:r>
      <w:r w:rsidRPr="007B13B5">
        <w:rPr>
          <w:lang w:val="en-US"/>
        </w:rPr>
        <w:t>ts of the Radiocommunication Bureau for processing satellite network</w:t>
      </w:r>
      <w:r>
        <w:rPr>
          <w:lang w:val="en-US"/>
        </w:rPr>
        <w:t xml:space="preserve"> filings</w:t>
      </w:r>
      <w:r w:rsidRPr="007B13B5">
        <w:rPr>
          <w:lang w:val="en-US"/>
        </w:rPr>
        <w:t>.</w:t>
      </w:r>
    </w:p>
    <w:p w14:paraId="60B79FE6" w14:textId="52D8E819" w:rsidR="00EE1CE9" w:rsidRDefault="002A2925" w:rsidP="002A2925">
      <w:pPr>
        <w:tabs>
          <w:tab w:val="clear" w:pos="567"/>
          <w:tab w:val="clear" w:pos="1134"/>
          <w:tab w:val="clear" w:pos="1701"/>
          <w:tab w:val="clear" w:pos="2268"/>
          <w:tab w:val="clear" w:pos="2835"/>
        </w:tabs>
        <w:overflowPunct/>
        <w:autoSpaceDE/>
        <w:autoSpaceDN/>
        <w:adjustRightInd/>
        <w:ind w:firstLine="709"/>
        <w:jc w:val="both"/>
        <w:textAlignment w:val="auto"/>
        <w:rPr>
          <w:lang w:val="en-US"/>
        </w:rPr>
      </w:pPr>
      <w:r w:rsidRPr="007B13B5">
        <w:rPr>
          <w:lang w:val="en-US"/>
        </w:rPr>
        <w:t xml:space="preserve">The chosen threshold </w:t>
      </w:r>
      <w:r>
        <w:rPr>
          <w:lang w:val="en-US"/>
        </w:rPr>
        <w:t xml:space="preserve">fees </w:t>
      </w:r>
      <w:r w:rsidRPr="007B13B5">
        <w:rPr>
          <w:lang w:val="en-US"/>
        </w:rPr>
        <w:t xml:space="preserve">met the interests of all parties and, together with the application of </w:t>
      </w:r>
      <w:r>
        <w:rPr>
          <w:lang w:val="en-US"/>
        </w:rPr>
        <w:t>No.</w:t>
      </w:r>
      <w:r w:rsidRPr="007B13B5">
        <w:rPr>
          <w:lang w:val="en-US"/>
        </w:rPr>
        <w:t xml:space="preserve"> 13.6 RR, the </w:t>
      </w:r>
      <w:r>
        <w:rPr>
          <w:lang w:val="en-US"/>
        </w:rPr>
        <w:t xml:space="preserve">notification </w:t>
      </w:r>
      <w:r w:rsidRPr="007B13B5">
        <w:rPr>
          <w:lang w:val="en-US"/>
        </w:rPr>
        <w:t xml:space="preserve">of “paper” GSO satellite networks </w:t>
      </w:r>
      <w:proofErr w:type="gramStart"/>
      <w:r w:rsidRPr="007B13B5">
        <w:rPr>
          <w:lang w:val="en-US"/>
        </w:rPr>
        <w:t>was</w:t>
      </w:r>
      <w:proofErr w:type="gramEnd"/>
      <w:r w:rsidRPr="007B13B5">
        <w:rPr>
          <w:lang w:val="en-US"/>
        </w:rPr>
        <w:t xml:space="preserve"> practically excluded.</w:t>
      </w:r>
      <w:r w:rsidR="007B13B5">
        <w:rPr>
          <w:lang w:val="en-US"/>
        </w:rPr>
        <w:t xml:space="preserve"> </w:t>
      </w:r>
      <w:r w:rsidRPr="007B13B5">
        <w:rPr>
          <w:lang w:val="en-US"/>
        </w:rPr>
        <w:t xml:space="preserve">These funds should cover the costs of the </w:t>
      </w:r>
      <w:r>
        <w:rPr>
          <w:lang w:val="en-US"/>
        </w:rPr>
        <w:t>B</w:t>
      </w:r>
      <w:r w:rsidRPr="007B13B5">
        <w:rPr>
          <w:lang w:val="en-US"/>
        </w:rPr>
        <w:t xml:space="preserve">R </w:t>
      </w:r>
      <w:r>
        <w:rPr>
          <w:lang w:val="en-US"/>
        </w:rPr>
        <w:t xml:space="preserve">for </w:t>
      </w:r>
      <w:r w:rsidRPr="007B13B5">
        <w:rPr>
          <w:lang w:val="en-US"/>
        </w:rPr>
        <w:t>develop</w:t>
      </w:r>
      <w:r>
        <w:rPr>
          <w:lang w:val="en-US"/>
        </w:rPr>
        <w:t>ment</w:t>
      </w:r>
      <w:r w:rsidRPr="007B13B5">
        <w:rPr>
          <w:lang w:val="en-US"/>
        </w:rPr>
        <w:t xml:space="preserve"> and </w:t>
      </w:r>
      <w:r w:rsidR="0019260A" w:rsidRPr="0019260A">
        <w:rPr>
          <w:lang w:val="en-US"/>
        </w:rPr>
        <w:t>improv</w:t>
      </w:r>
      <w:r w:rsidR="0019260A">
        <w:rPr>
          <w:lang w:val="en-US"/>
        </w:rPr>
        <w:t>ement</w:t>
      </w:r>
      <w:r w:rsidRPr="007B13B5">
        <w:rPr>
          <w:lang w:val="en-US"/>
        </w:rPr>
        <w:t xml:space="preserve"> </w:t>
      </w:r>
      <w:r>
        <w:rPr>
          <w:lang w:val="en-US"/>
        </w:rPr>
        <w:t xml:space="preserve">the </w:t>
      </w:r>
      <w:r w:rsidRPr="007B13B5">
        <w:rPr>
          <w:lang w:val="en-US"/>
        </w:rPr>
        <w:t xml:space="preserve">satellite </w:t>
      </w:r>
      <w:r>
        <w:rPr>
          <w:lang w:val="en-US"/>
        </w:rPr>
        <w:t>system</w:t>
      </w:r>
      <w:r w:rsidRPr="007B13B5">
        <w:rPr>
          <w:lang w:val="en-US"/>
        </w:rPr>
        <w:t xml:space="preserve"> examination software and cover the costs of additional staffing depending on workload.</w:t>
      </w:r>
    </w:p>
    <w:p w14:paraId="654F2E77" w14:textId="42B2FC9C" w:rsidR="00EE1CE9" w:rsidRDefault="002A2925" w:rsidP="002A2925">
      <w:pPr>
        <w:tabs>
          <w:tab w:val="clear" w:pos="567"/>
          <w:tab w:val="clear" w:pos="1134"/>
          <w:tab w:val="clear" w:pos="1701"/>
          <w:tab w:val="clear" w:pos="2268"/>
          <w:tab w:val="clear" w:pos="2835"/>
        </w:tabs>
        <w:overflowPunct/>
        <w:autoSpaceDE/>
        <w:autoSpaceDN/>
        <w:adjustRightInd/>
        <w:ind w:firstLine="709"/>
        <w:jc w:val="both"/>
        <w:textAlignment w:val="auto"/>
        <w:rPr>
          <w:lang w:val="en-US"/>
        </w:rPr>
      </w:pPr>
      <w:r w:rsidRPr="007B13B5">
        <w:rPr>
          <w:lang w:val="en-US"/>
        </w:rPr>
        <w:t xml:space="preserve">Currently, the situation has changed radically due to the emergence of constellations with </w:t>
      </w:r>
      <w:proofErr w:type="gramStart"/>
      <w:r w:rsidRPr="007B13B5">
        <w:rPr>
          <w:lang w:val="en-US"/>
        </w:rPr>
        <w:t>a large number of</w:t>
      </w:r>
      <w:proofErr w:type="gramEnd"/>
      <w:r w:rsidRPr="007B13B5">
        <w:rPr>
          <w:lang w:val="en-US"/>
        </w:rPr>
        <w:t xml:space="preserve"> satellites in different orbits.</w:t>
      </w:r>
      <w:r w:rsidR="007B13B5">
        <w:rPr>
          <w:lang w:val="en-US"/>
        </w:rPr>
        <w:t xml:space="preserve"> </w:t>
      </w:r>
      <w:r w:rsidRPr="007B13B5">
        <w:rPr>
          <w:lang w:val="en-US"/>
        </w:rPr>
        <w:t xml:space="preserve">Operators of such non-GSO systems </w:t>
      </w:r>
      <w:r>
        <w:rPr>
          <w:lang w:val="en-US"/>
        </w:rPr>
        <w:t xml:space="preserve">do not almost </w:t>
      </w:r>
      <w:r w:rsidRPr="007B13B5">
        <w:rPr>
          <w:lang w:val="en-US"/>
        </w:rPr>
        <w:t xml:space="preserve">experience financial restrictions (thresholds) provided by Council Decision 482 and repeatedly </w:t>
      </w:r>
      <w:r>
        <w:rPr>
          <w:lang w:val="en-US"/>
        </w:rPr>
        <w:t>notify</w:t>
      </w:r>
      <w:r w:rsidRPr="007B13B5">
        <w:rPr>
          <w:lang w:val="en-US"/>
        </w:rPr>
        <w:t xml:space="preserve"> complex constellations in various orbits </w:t>
      </w:r>
      <w:r>
        <w:rPr>
          <w:lang w:val="en-US"/>
        </w:rPr>
        <w:t xml:space="preserve">for </w:t>
      </w:r>
      <w:r w:rsidRPr="007B13B5">
        <w:rPr>
          <w:lang w:val="en-US"/>
        </w:rPr>
        <w:t>a particular non-GSO system.</w:t>
      </w:r>
    </w:p>
    <w:p w14:paraId="0D4B453E" w14:textId="664CE26B" w:rsidR="00EE1CE9" w:rsidRPr="007B13B5" w:rsidRDefault="002A2925" w:rsidP="002A2925">
      <w:pPr>
        <w:tabs>
          <w:tab w:val="clear" w:pos="567"/>
          <w:tab w:val="clear" w:pos="1134"/>
          <w:tab w:val="clear" w:pos="1701"/>
          <w:tab w:val="clear" w:pos="2268"/>
          <w:tab w:val="clear" w:pos="2835"/>
        </w:tabs>
        <w:overflowPunct/>
        <w:autoSpaceDE/>
        <w:autoSpaceDN/>
        <w:adjustRightInd/>
        <w:ind w:firstLine="709"/>
        <w:jc w:val="both"/>
        <w:textAlignment w:val="auto"/>
        <w:rPr>
          <w:lang w:val="en-US"/>
        </w:rPr>
      </w:pPr>
      <w:r w:rsidRPr="007B13B5">
        <w:rPr>
          <w:lang w:val="en-US"/>
        </w:rPr>
        <w:t xml:space="preserve">Thus, from 20 to 30 </w:t>
      </w:r>
      <w:r>
        <w:rPr>
          <w:lang w:val="en-US"/>
        </w:rPr>
        <w:t>filings</w:t>
      </w:r>
      <w:r w:rsidRPr="007B13B5">
        <w:rPr>
          <w:lang w:val="en-US"/>
        </w:rPr>
        <w:t xml:space="preserve"> are submitted to the </w:t>
      </w:r>
      <w:r>
        <w:rPr>
          <w:lang w:val="en-US"/>
        </w:rPr>
        <w:t>B</w:t>
      </w:r>
      <w:r w:rsidRPr="007B13B5">
        <w:rPr>
          <w:lang w:val="en-US"/>
        </w:rPr>
        <w:t>R for the same</w:t>
      </w:r>
      <w:r>
        <w:rPr>
          <w:lang w:val="en-US"/>
        </w:rPr>
        <w:t xml:space="preserve"> physical </w:t>
      </w:r>
      <w:r w:rsidRPr="007B13B5">
        <w:rPr>
          <w:lang w:val="en-US"/>
        </w:rPr>
        <w:t xml:space="preserve">non-GSO FSS system, </w:t>
      </w:r>
      <w:r>
        <w:rPr>
          <w:lang w:val="en-US"/>
        </w:rPr>
        <w:t>this</w:t>
      </w:r>
      <w:r w:rsidRPr="007B13B5">
        <w:rPr>
          <w:lang w:val="en-US"/>
        </w:rPr>
        <w:t xml:space="preserve"> leads to </w:t>
      </w:r>
      <w:r>
        <w:rPr>
          <w:lang w:val="en-US"/>
        </w:rPr>
        <w:t xml:space="preserve">work </w:t>
      </w:r>
      <w:r w:rsidRPr="007B13B5">
        <w:rPr>
          <w:lang w:val="en-US"/>
        </w:rPr>
        <w:t xml:space="preserve">overload of the BR, and the lack of appropriate software creates problems, including temporary ones, in processing </w:t>
      </w:r>
      <w:r>
        <w:rPr>
          <w:lang w:val="en-US"/>
        </w:rPr>
        <w:t>filings</w:t>
      </w:r>
      <w:r w:rsidRPr="007B13B5">
        <w:rPr>
          <w:lang w:val="en-US"/>
        </w:rPr>
        <w:t>.</w:t>
      </w:r>
      <w:r w:rsidR="007B13B5">
        <w:rPr>
          <w:lang w:val="en-US"/>
        </w:rPr>
        <w:t xml:space="preserve"> </w:t>
      </w:r>
      <w:r w:rsidRPr="007B13B5">
        <w:rPr>
          <w:lang w:val="en-US"/>
        </w:rPr>
        <w:t xml:space="preserve">The issue of revising the methodology for determining the amount of fees for processing </w:t>
      </w:r>
      <w:r>
        <w:rPr>
          <w:lang w:val="en-US"/>
        </w:rPr>
        <w:t>filings</w:t>
      </w:r>
      <w:r w:rsidRPr="007B13B5">
        <w:rPr>
          <w:lang w:val="en-US"/>
        </w:rPr>
        <w:t xml:space="preserve"> for non-GSO systems should be considered to </w:t>
      </w:r>
      <w:proofErr w:type="gramStart"/>
      <w:r w:rsidRPr="007B13B5">
        <w:rPr>
          <w:lang w:val="en-US"/>
        </w:rPr>
        <w:t>take into account</w:t>
      </w:r>
      <w:proofErr w:type="gramEnd"/>
      <w:r w:rsidRPr="007B13B5">
        <w:rPr>
          <w:lang w:val="en-US"/>
        </w:rPr>
        <w:t xml:space="preserve"> the number of </w:t>
      </w:r>
      <w:r>
        <w:rPr>
          <w:lang w:val="en-US"/>
        </w:rPr>
        <w:t>filings submitted</w:t>
      </w:r>
      <w:r w:rsidRPr="007B13B5">
        <w:rPr>
          <w:lang w:val="en-US"/>
        </w:rPr>
        <w:t xml:space="preserve"> to the </w:t>
      </w:r>
      <w:r>
        <w:rPr>
          <w:lang w:val="en-US"/>
        </w:rPr>
        <w:t>B</w:t>
      </w:r>
      <w:r w:rsidRPr="007B13B5">
        <w:rPr>
          <w:lang w:val="en-US"/>
        </w:rPr>
        <w:t xml:space="preserve">R for a specific non-GSO system and the </w:t>
      </w:r>
      <w:r>
        <w:rPr>
          <w:lang w:val="en-US"/>
        </w:rPr>
        <w:t xml:space="preserve">threshold </w:t>
      </w:r>
      <w:r w:rsidRPr="007B13B5">
        <w:rPr>
          <w:lang w:val="en-US"/>
        </w:rPr>
        <w:t xml:space="preserve">cost for such applications should be increased </w:t>
      </w:r>
      <w:r>
        <w:rPr>
          <w:lang w:val="en-US"/>
        </w:rPr>
        <w:t xml:space="preserve">after </w:t>
      </w:r>
      <w:r w:rsidRPr="007B13B5">
        <w:rPr>
          <w:lang w:val="en-US"/>
        </w:rPr>
        <w:t xml:space="preserve">submission of a subsequent </w:t>
      </w:r>
      <w:r>
        <w:rPr>
          <w:lang w:val="en-US"/>
        </w:rPr>
        <w:t>filing</w:t>
      </w:r>
      <w:r w:rsidRPr="007B13B5">
        <w:rPr>
          <w:lang w:val="en-US"/>
        </w:rPr>
        <w:t>.</w:t>
      </w:r>
    </w:p>
    <w:p w14:paraId="7165667F" w14:textId="77777777" w:rsidR="00EE1CE9" w:rsidRPr="007B13B5" w:rsidRDefault="002A2925" w:rsidP="002A2925">
      <w:pPr>
        <w:tabs>
          <w:tab w:val="clear" w:pos="567"/>
          <w:tab w:val="clear" w:pos="1134"/>
          <w:tab w:val="clear" w:pos="1701"/>
          <w:tab w:val="clear" w:pos="2268"/>
          <w:tab w:val="clear" w:pos="2835"/>
        </w:tabs>
        <w:overflowPunct/>
        <w:autoSpaceDE/>
        <w:autoSpaceDN/>
        <w:adjustRightInd/>
        <w:ind w:firstLine="709"/>
        <w:contextualSpacing/>
        <w:jc w:val="both"/>
        <w:textAlignment w:val="auto"/>
        <w:rPr>
          <w:lang w:val="en-US"/>
        </w:rPr>
      </w:pPr>
      <w:r w:rsidRPr="007B13B5">
        <w:rPr>
          <w:lang w:val="en-US"/>
        </w:rPr>
        <w:lastRenderedPageBreak/>
        <w:t xml:space="preserve">Therefore, when considering the issue of cost recovery when examining </w:t>
      </w:r>
      <w:r>
        <w:rPr>
          <w:lang w:val="en-US"/>
        </w:rPr>
        <w:t>filings</w:t>
      </w:r>
      <w:r w:rsidRPr="007B13B5">
        <w:rPr>
          <w:lang w:val="en-US"/>
        </w:rPr>
        <w:t xml:space="preserve"> for satellite </w:t>
      </w:r>
      <w:r>
        <w:rPr>
          <w:lang w:val="en-US"/>
        </w:rPr>
        <w:t>systems</w:t>
      </w:r>
      <w:r w:rsidRPr="007B13B5">
        <w:rPr>
          <w:lang w:val="en-US"/>
        </w:rPr>
        <w:t xml:space="preserve">, the following fundamental principles should be </w:t>
      </w:r>
      <w:proofErr w:type="gramStart"/>
      <w:r w:rsidRPr="007B13B5">
        <w:rPr>
          <w:lang w:val="en-US"/>
        </w:rPr>
        <w:t>taken into account</w:t>
      </w:r>
      <w:proofErr w:type="gramEnd"/>
      <w:r w:rsidRPr="007B13B5">
        <w:rPr>
          <w:lang w:val="en-US"/>
        </w:rPr>
        <w:t>:</w:t>
      </w:r>
    </w:p>
    <w:p w14:paraId="32C15CD8" w14:textId="601A5221" w:rsidR="00EE1CE9" w:rsidRPr="007B13B5" w:rsidRDefault="002A2925" w:rsidP="002A2925">
      <w:pPr>
        <w:pStyle w:val="ListParagraph"/>
        <w:numPr>
          <w:ilvl w:val="0"/>
          <w:numId w:val="5"/>
        </w:numPr>
        <w:tabs>
          <w:tab w:val="clear" w:pos="567"/>
          <w:tab w:val="clear" w:pos="1134"/>
          <w:tab w:val="clear" w:pos="1701"/>
          <w:tab w:val="clear" w:pos="2268"/>
          <w:tab w:val="clear" w:pos="2835"/>
        </w:tabs>
        <w:overflowPunct/>
        <w:autoSpaceDE/>
        <w:autoSpaceDN/>
        <w:adjustRightInd/>
        <w:ind w:left="993"/>
        <w:jc w:val="both"/>
        <w:textAlignment w:val="auto"/>
        <w:rPr>
          <w:lang w:val="en-US"/>
        </w:rPr>
      </w:pPr>
      <w:r w:rsidRPr="007B13B5">
        <w:rPr>
          <w:lang w:val="en-US"/>
        </w:rPr>
        <w:t xml:space="preserve">effective and equitable access of all ITU Member States to the limited resources of satellite orbits and associated radio frequency </w:t>
      </w:r>
      <w:proofErr w:type="gramStart"/>
      <w:r w:rsidRPr="007B13B5">
        <w:rPr>
          <w:lang w:val="en-US"/>
        </w:rPr>
        <w:t>spectrum;</w:t>
      </w:r>
      <w:proofErr w:type="gramEnd"/>
    </w:p>
    <w:p w14:paraId="6CDE7B89" w14:textId="29245338" w:rsidR="00EE1CE9" w:rsidRPr="007B13B5" w:rsidRDefault="002A2925" w:rsidP="002A2925">
      <w:pPr>
        <w:pStyle w:val="ListParagraph"/>
        <w:numPr>
          <w:ilvl w:val="0"/>
          <w:numId w:val="5"/>
        </w:numPr>
        <w:tabs>
          <w:tab w:val="clear" w:pos="567"/>
          <w:tab w:val="clear" w:pos="1134"/>
          <w:tab w:val="clear" w:pos="1701"/>
          <w:tab w:val="clear" w:pos="2268"/>
          <w:tab w:val="clear" w:pos="2835"/>
        </w:tabs>
        <w:overflowPunct/>
        <w:autoSpaceDE/>
        <w:autoSpaceDN/>
        <w:adjustRightInd/>
        <w:ind w:left="993"/>
        <w:jc w:val="both"/>
        <w:textAlignment w:val="auto"/>
        <w:rPr>
          <w:lang w:val="en-US"/>
        </w:rPr>
      </w:pPr>
      <w:r w:rsidRPr="007B13B5">
        <w:rPr>
          <w:lang w:val="en-US"/>
        </w:rPr>
        <w:t>absence of excessive restrictions on administrations and operators implementing satellite systems/</w:t>
      </w:r>
      <w:proofErr w:type="gramStart"/>
      <w:r w:rsidRPr="007B13B5">
        <w:rPr>
          <w:lang w:val="en-US"/>
        </w:rPr>
        <w:t>networks;</w:t>
      </w:r>
      <w:proofErr w:type="gramEnd"/>
    </w:p>
    <w:p w14:paraId="7032A846" w14:textId="230B21EC" w:rsidR="00EE1CE9" w:rsidRPr="007B13B5" w:rsidRDefault="002A2925" w:rsidP="002A2925">
      <w:pPr>
        <w:pStyle w:val="ListParagraph"/>
        <w:numPr>
          <w:ilvl w:val="0"/>
          <w:numId w:val="5"/>
        </w:numPr>
        <w:tabs>
          <w:tab w:val="clear" w:pos="567"/>
          <w:tab w:val="clear" w:pos="1134"/>
          <w:tab w:val="clear" w:pos="1701"/>
          <w:tab w:val="clear" w:pos="2268"/>
          <w:tab w:val="clear" w:pos="2835"/>
        </w:tabs>
        <w:overflowPunct/>
        <w:autoSpaceDE/>
        <w:autoSpaceDN/>
        <w:adjustRightInd/>
        <w:ind w:left="993"/>
        <w:jc w:val="both"/>
        <w:textAlignment w:val="auto"/>
        <w:rPr>
          <w:lang w:val="en-US"/>
        </w:rPr>
      </w:pPr>
      <w:r w:rsidRPr="007B13B5">
        <w:rPr>
          <w:lang w:val="en-US"/>
        </w:rPr>
        <w:t xml:space="preserve">funds received from </w:t>
      </w:r>
      <w:r>
        <w:rPr>
          <w:lang w:val="en-US"/>
        </w:rPr>
        <w:t>cost recovery for satellite network/system fillings</w:t>
      </w:r>
      <w:r w:rsidRPr="007B13B5">
        <w:rPr>
          <w:lang w:val="en-US"/>
        </w:rPr>
        <w:t xml:space="preserve"> should not be considered as a </w:t>
      </w:r>
      <w:r>
        <w:rPr>
          <w:lang w:val="en-US"/>
        </w:rPr>
        <w:t xml:space="preserve">regular part of </w:t>
      </w:r>
      <w:r w:rsidRPr="007B13B5">
        <w:rPr>
          <w:lang w:val="en-US"/>
        </w:rPr>
        <w:t xml:space="preserve">Union budget, but should cover the costs of the </w:t>
      </w:r>
      <w:r>
        <w:rPr>
          <w:lang w:val="en-US"/>
        </w:rPr>
        <w:t>B</w:t>
      </w:r>
      <w:r w:rsidRPr="007B13B5">
        <w:rPr>
          <w:lang w:val="en-US"/>
        </w:rPr>
        <w:t xml:space="preserve">R for the development and improvement of satellite network examination software and the costs of attracting additional staff depending on from </w:t>
      </w:r>
      <w:r>
        <w:rPr>
          <w:lang w:val="en-US"/>
        </w:rPr>
        <w:t xml:space="preserve">work </w:t>
      </w:r>
      <w:proofErr w:type="gramStart"/>
      <w:r>
        <w:rPr>
          <w:lang w:val="en-US"/>
        </w:rPr>
        <w:t>loading</w:t>
      </w:r>
      <w:r w:rsidRPr="007B13B5">
        <w:rPr>
          <w:lang w:val="en-US"/>
        </w:rPr>
        <w:t>;</w:t>
      </w:r>
      <w:proofErr w:type="gramEnd"/>
    </w:p>
    <w:p w14:paraId="43A219D7" w14:textId="7C7ACDA0" w:rsidR="00EE1CE9" w:rsidRPr="007B13B5" w:rsidRDefault="002A2925" w:rsidP="002A2925">
      <w:pPr>
        <w:pStyle w:val="ListParagraph"/>
        <w:numPr>
          <w:ilvl w:val="0"/>
          <w:numId w:val="5"/>
        </w:numPr>
        <w:tabs>
          <w:tab w:val="clear" w:pos="567"/>
          <w:tab w:val="clear" w:pos="1134"/>
          <w:tab w:val="clear" w:pos="1701"/>
          <w:tab w:val="clear" w:pos="2268"/>
          <w:tab w:val="clear" w:pos="2835"/>
        </w:tabs>
        <w:overflowPunct/>
        <w:autoSpaceDE/>
        <w:autoSpaceDN/>
        <w:adjustRightInd/>
        <w:ind w:left="993"/>
        <w:jc w:val="both"/>
        <w:textAlignment w:val="auto"/>
        <w:rPr>
          <w:lang w:val="en-US"/>
        </w:rPr>
      </w:pPr>
      <w:r w:rsidRPr="007B13B5">
        <w:rPr>
          <w:lang w:val="en-US"/>
        </w:rPr>
        <w:t xml:space="preserve">the amount of the fee for </w:t>
      </w:r>
      <w:r>
        <w:rPr>
          <w:lang w:val="en-US"/>
        </w:rPr>
        <w:t xml:space="preserve">cost recovery for non-GSO system fillings </w:t>
      </w:r>
      <w:r w:rsidRPr="007B13B5">
        <w:rPr>
          <w:lang w:val="en-US"/>
        </w:rPr>
        <w:t xml:space="preserve">should depend on the number of </w:t>
      </w:r>
      <w:r>
        <w:rPr>
          <w:lang w:val="en-US"/>
        </w:rPr>
        <w:t>filings</w:t>
      </w:r>
      <w:r w:rsidRPr="007B13B5">
        <w:rPr>
          <w:lang w:val="en-US"/>
        </w:rPr>
        <w:t xml:space="preserve"> to the </w:t>
      </w:r>
      <w:r>
        <w:rPr>
          <w:lang w:val="en-US"/>
        </w:rPr>
        <w:t>B</w:t>
      </w:r>
      <w:r w:rsidRPr="007B13B5">
        <w:rPr>
          <w:lang w:val="en-US"/>
        </w:rPr>
        <w:t>R for a specific non-GSO system and the</w:t>
      </w:r>
      <w:r w:rsidR="0019260A">
        <w:rPr>
          <w:lang w:val="en-US"/>
        </w:rPr>
        <w:t xml:space="preserve"> </w:t>
      </w:r>
      <w:r w:rsidRPr="007B13B5">
        <w:rPr>
          <w:lang w:val="en-US"/>
        </w:rPr>
        <w:t xml:space="preserve">threshold </w:t>
      </w:r>
      <w:r>
        <w:rPr>
          <w:lang w:val="en-US"/>
        </w:rPr>
        <w:t xml:space="preserve">cost </w:t>
      </w:r>
      <w:r w:rsidRPr="007B13B5">
        <w:rPr>
          <w:lang w:val="en-US"/>
        </w:rPr>
        <w:t xml:space="preserve">for such applications should be increased </w:t>
      </w:r>
      <w:r>
        <w:rPr>
          <w:lang w:val="en-US"/>
        </w:rPr>
        <w:t xml:space="preserve">after </w:t>
      </w:r>
      <w:r w:rsidRPr="007B13B5">
        <w:rPr>
          <w:lang w:val="en-US"/>
        </w:rPr>
        <w:t xml:space="preserve">submission of a subsequent </w:t>
      </w:r>
      <w:proofErr w:type="gramStart"/>
      <w:r>
        <w:rPr>
          <w:lang w:val="en-US"/>
        </w:rPr>
        <w:t>filings</w:t>
      </w:r>
      <w:r w:rsidRPr="007B13B5">
        <w:rPr>
          <w:lang w:val="en-US"/>
        </w:rPr>
        <w:t>;</w:t>
      </w:r>
      <w:proofErr w:type="gramEnd"/>
    </w:p>
    <w:p w14:paraId="178C1234" w14:textId="4BECC055" w:rsidR="00EE1CE9" w:rsidRPr="007B13B5" w:rsidRDefault="002A2925" w:rsidP="002A2925">
      <w:pPr>
        <w:pStyle w:val="ListParagraph"/>
        <w:numPr>
          <w:ilvl w:val="0"/>
          <w:numId w:val="5"/>
        </w:numPr>
        <w:tabs>
          <w:tab w:val="clear" w:pos="567"/>
          <w:tab w:val="clear" w:pos="1134"/>
          <w:tab w:val="clear" w:pos="1701"/>
          <w:tab w:val="clear" w:pos="2268"/>
          <w:tab w:val="clear" w:pos="2835"/>
        </w:tabs>
        <w:overflowPunct/>
        <w:autoSpaceDE/>
        <w:autoSpaceDN/>
        <w:adjustRightInd/>
        <w:ind w:left="993"/>
        <w:jc w:val="both"/>
        <w:textAlignment w:val="auto"/>
        <w:rPr>
          <w:lang w:val="en-US"/>
        </w:rPr>
      </w:pPr>
      <w:r w:rsidRPr="007B13B5">
        <w:rPr>
          <w:lang w:val="en-US"/>
        </w:rPr>
        <w:t xml:space="preserve">avoiding </w:t>
      </w:r>
      <w:r>
        <w:rPr>
          <w:lang w:val="en-US"/>
        </w:rPr>
        <w:t xml:space="preserve">violation </w:t>
      </w:r>
      <w:r w:rsidRPr="007B13B5">
        <w:rPr>
          <w:lang w:val="en-US"/>
        </w:rPr>
        <w:t xml:space="preserve">when </w:t>
      </w:r>
      <w:r>
        <w:rPr>
          <w:lang w:val="en-US"/>
        </w:rPr>
        <w:t>notifying</w:t>
      </w:r>
      <w:r w:rsidRPr="007B13B5">
        <w:rPr>
          <w:lang w:val="en-US"/>
        </w:rPr>
        <w:t xml:space="preserve"> a specific non-GSO system on behalf of different administrations or on behalf of an administration that does not have the ability to regulate the operational aspects of the non-GSO system.</w:t>
      </w:r>
    </w:p>
    <w:p w14:paraId="120667A6" w14:textId="6C61EA25" w:rsidR="00EE1CE9" w:rsidRDefault="002A2925" w:rsidP="002A2925">
      <w:pPr>
        <w:tabs>
          <w:tab w:val="clear" w:pos="567"/>
          <w:tab w:val="clear" w:pos="1134"/>
          <w:tab w:val="clear" w:pos="1701"/>
          <w:tab w:val="clear" w:pos="2268"/>
          <w:tab w:val="clear" w:pos="2835"/>
        </w:tabs>
        <w:overflowPunct/>
        <w:autoSpaceDE/>
        <w:autoSpaceDN/>
        <w:adjustRightInd/>
        <w:ind w:firstLine="709"/>
        <w:jc w:val="both"/>
        <w:textAlignment w:val="auto"/>
        <w:rPr>
          <w:lang w:val="en-US"/>
        </w:rPr>
      </w:pPr>
      <w:r>
        <w:rPr>
          <w:lang w:val="en-US"/>
        </w:rPr>
        <w:t xml:space="preserve">Cost recovery for satellite network fillings should be used to cover the direct costs of the BR for the tasks associated with filings’ </w:t>
      </w:r>
      <w:proofErr w:type="gramStart"/>
      <w:r>
        <w:rPr>
          <w:lang w:val="en-US"/>
        </w:rPr>
        <w:t>processing, and</w:t>
      </w:r>
      <w:proofErr w:type="gramEnd"/>
      <w:r>
        <w:rPr>
          <w:lang w:val="en-US"/>
        </w:rPr>
        <w:t xml:space="preserve"> should not be a burden to Administrations to cover indirect costs associated with ITU operating activities, the construction of a new ITU Headquarters building, or any expenses of the Union not related to the filings’ processing.</w:t>
      </w:r>
    </w:p>
    <w:p w14:paraId="48A90E51" w14:textId="77777777" w:rsidR="00EE1CE9" w:rsidRDefault="002A2925" w:rsidP="002A2925">
      <w:pPr>
        <w:tabs>
          <w:tab w:val="clear" w:pos="567"/>
          <w:tab w:val="clear" w:pos="1134"/>
          <w:tab w:val="clear" w:pos="1701"/>
          <w:tab w:val="clear" w:pos="2268"/>
          <w:tab w:val="clear" w:pos="2835"/>
        </w:tabs>
        <w:overflowPunct/>
        <w:autoSpaceDE/>
        <w:autoSpaceDN/>
        <w:adjustRightInd/>
        <w:ind w:firstLine="709"/>
        <w:jc w:val="both"/>
        <w:textAlignment w:val="auto"/>
        <w:rPr>
          <w:lang w:val="en-US"/>
        </w:rPr>
      </w:pPr>
      <w:r>
        <w:rPr>
          <w:lang w:val="en-US"/>
        </w:rPr>
        <w:t>We propose to analyze the expenditure of funds received from cost recovery for satellite network/system fillings during last 8 years.</w:t>
      </w:r>
    </w:p>
    <w:p w14:paraId="7546DAD5" w14:textId="77777777" w:rsidR="00EE1CE9" w:rsidRDefault="002A2925" w:rsidP="002A2925">
      <w:pPr>
        <w:tabs>
          <w:tab w:val="clear" w:pos="567"/>
          <w:tab w:val="clear" w:pos="1134"/>
          <w:tab w:val="clear" w:pos="1701"/>
          <w:tab w:val="clear" w:pos="2268"/>
          <w:tab w:val="clear" w:pos="2835"/>
        </w:tabs>
        <w:overflowPunct/>
        <w:autoSpaceDE/>
        <w:autoSpaceDN/>
        <w:adjustRightInd/>
        <w:ind w:firstLine="709"/>
        <w:jc w:val="both"/>
        <w:textAlignment w:val="auto"/>
        <w:rPr>
          <w:lang w:val="en-US"/>
        </w:rPr>
      </w:pPr>
      <w:r>
        <w:rPr>
          <w:lang w:val="en-US"/>
        </w:rPr>
        <w:t xml:space="preserve">Further comments by this Administration on the issues reflected in the Terms of Reference of the </w:t>
      </w:r>
      <w:r>
        <w:t>EG-DEC482</w:t>
      </w:r>
      <w:r>
        <w:rPr>
          <w:lang w:val="en-US"/>
        </w:rPr>
        <w:t xml:space="preserve"> </w:t>
      </w:r>
      <w:r>
        <w:rPr>
          <w:i/>
          <w:iCs/>
          <w:lang w:val="en-US"/>
        </w:rPr>
        <w:t>marked by italic style</w:t>
      </w:r>
      <w:r>
        <w:rPr>
          <w:lang w:val="en-US"/>
        </w:rPr>
        <w:t xml:space="preserve"> (</w:t>
      </w:r>
      <w:r>
        <w:t xml:space="preserve">Annex </w:t>
      </w:r>
      <w:r>
        <w:rPr>
          <w:lang w:val="en-US"/>
        </w:rPr>
        <w:t xml:space="preserve">to Document </w:t>
      </w:r>
      <w:hyperlink r:id="rId19" w:history="1">
        <w:r>
          <w:rPr>
            <w:rStyle w:val="Hyperlink"/>
          </w:rPr>
          <w:t>C</w:t>
        </w:r>
        <w:r>
          <w:rPr>
            <w:rStyle w:val="Hyperlink"/>
            <w:lang w:val="en-US"/>
          </w:rPr>
          <w:t>23/126</w:t>
        </w:r>
      </w:hyperlink>
      <w:r>
        <w:rPr>
          <w:lang w:val="en-US"/>
        </w:rPr>
        <w:t>) are given below.</w:t>
      </w:r>
    </w:p>
    <w:p w14:paraId="3A460A07" w14:textId="77777777" w:rsidR="00EE1CE9" w:rsidRDefault="002A2925" w:rsidP="002A2925">
      <w:pPr>
        <w:tabs>
          <w:tab w:val="left" w:pos="851"/>
        </w:tabs>
        <w:rPr>
          <w:i/>
          <w:iCs/>
        </w:rPr>
      </w:pPr>
      <w:r>
        <w:tab/>
      </w:r>
      <w:r>
        <w:rPr>
          <w:i/>
          <w:iCs/>
        </w:rPr>
        <w:t>a.</w:t>
      </w:r>
      <w:r>
        <w:rPr>
          <w:i/>
          <w:iCs/>
        </w:rPr>
        <w:tab/>
        <w:t xml:space="preserve">In the case of non-receivable filings, the appropriateness or otherwise of charging a fraction of the amount of an equivalent receivable filing for such cases, </w:t>
      </w:r>
      <w:proofErr w:type="gramStart"/>
      <w:r>
        <w:rPr>
          <w:i/>
          <w:iCs/>
        </w:rPr>
        <w:t>taking into account</w:t>
      </w:r>
      <w:proofErr w:type="gramEnd"/>
      <w:r>
        <w:rPr>
          <w:i/>
          <w:iCs/>
        </w:rPr>
        <w:t xml:space="preserve"> the needs of developing countries.</w:t>
      </w:r>
    </w:p>
    <w:p w14:paraId="23367571" w14:textId="40F9C17D" w:rsidR="00EE1CE9" w:rsidRDefault="002A2925" w:rsidP="002A2925">
      <w:pPr>
        <w:pStyle w:val="enumlev1"/>
        <w:tabs>
          <w:tab w:val="clear" w:pos="567"/>
        </w:tabs>
        <w:spacing w:before="120"/>
        <w:ind w:left="0" w:firstLine="709"/>
        <w:jc w:val="both"/>
        <w:rPr>
          <w:lang w:val="en-US" w:bidi="ru-RU"/>
        </w:rPr>
      </w:pPr>
      <w:r>
        <w:rPr>
          <w:lang w:val="en-US" w:bidi="ru-RU"/>
        </w:rPr>
        <w:t xml:space="preserve">This Administration is of the view that, </w:t>
      </w:r>
      <w:proofErr w:type="gramStart"/>
      <w:r>
        <w:rPr>
          <w:lang w:val="en-US" w:bidi="ru-RU"/>
        </w:rPr>
        <w:t xml:space="preserve">for  </w:t>
      </w:r>
      <w:r>
        <w:t>non</w:t>
      </w:r>
      <w:proofErr w:type="gramEnd"/>
      <w:r>
        <w:t>-receivable filings</w:t>
      </w:r>
      <w:r>
        <w:rPr>
          <w:lang w:val="en-US" w:bidi="ru-RU"/>
        </w:rPr>
        <w:t xml:space="preserve">, the appropriateness or otherwise of charging </w:t>
      </w:r>
      <w:r>
        <w:t xml:space="preserve">a fraction of the amount of an equivalent </w:t>
      </w:r>
      <w:r>
        <w:rPr>
          <w:lang w:val="en-US"/>
        </w:rPr>
        <w:t xml:space="preserve">for </w:t>
      </w:r>
      <w:r>
        <w:t>receivable filing for such cases</w:t>
      </w:r>
      <w:r>
        <w:rPr>
          <w:lang w:val="en-US" w:bidi="ru-RU"/>
        </w:rPr>
        <w:t xml:space="preserve"> should be determined depending on  the man-hours spent  by the BR.</w:t>
      </w:r>
      <w:r w:rsidR="007B13B5">
        <w:rPr>
          <w:lang w:val="en-US" w:bidi="ru-RU"/>
        </w:rPr>
        <w:t xml:space="preserve"> </w:t>
      </w:r>
      <w:r>
        <w:rPr>
          <w:lang w:val="en-US" w:bidi="ru-RU"/>
        </w:rPr>
        <w:t xml:space="preserve">For example, if a usual filing for a GSO network or </w:t>
      </w:r>
      <w:r>
        <w:t>non-GSO satellite system</w:t>
      </w:r>
      <w:r>
        <w:rPr>
          <w:lang w:val="en-US" w:bidi="ru-RU"/>
        </w:rPr>
        <w:t xml:space="preserve"> is submitted, the cost of expenses should be covered by annual contributions from Member States to the ITU budget.</w:t>
      </w:r>
    </w:p>
    <w:p w14:paraId="03C2994D" w14:textId="77777777" w:rsidR="00EE1CE9" w:rsidRDefault="002A2925" w:rsidP="002A2925">
      <w:pPr>
        <w:pStyle w:val="enumlev1"/>
        <w:tabs>
          <w:tab w:val="clear" w:pos="567"/>
        </w:tabs>
        <w:spacing w:before="120"/>
        <w:ind w:left="0" w:firstLine="709"/>
        <w:jc w:val="both"/>
        <w:rPr>
          <w:lang w:val="en-US"/>
        </w:rPr>
      </w:pPr>
      <w:r>
        <w:rPr>
          <w:lang w:val="en-US"/>
        </w:rPr>
        <w:t xml:space="preserve">For </w:t>
      </w:r>
      <w:r>
        <w:t>non-receivable filings</w:t>
      </w:r>
      <w:r>
        <w:rPr>
          <w:lang w:val="en-US"/>
        </w:rPr>
        <w:t xml:space="preserve"> for GSO networks or </w:t>
      </w:r>
      <w:r>
        <w:t>non-GSO satellite systems</w:t>
      </w:r>
      <w:r>
        <w:rPr>
          <w:lang w:val="en-US" w:bidi="ru-RU"/>
        </w:rPr>
        <w:t xml:space="preserve"> </w:t>
      </w:r>
      <w:r>
        <w:rPr>
          <w:lang w:val="en-US"/>
        </w:rPr>
        <w:t xml:space="preserve">with a large number of units or large number of filings for one physical </w:t>
      </w:r>
      <w:r>
        <w:t xml:space="preserve">non-GSO satellite </w:t>
      </w:r>
      <w:proofErr w:type="gramStart"/>
      <w:r>
        <w:t>system</w:t>
      </w:r>
      <w:r>
        <w:rPr>
          <w:lang w:val="en-US"/>
        </w:rPr>
        <w:t xml:space="preserve"> ,</w:t>
      </w:r>
      <w:proofErr w:type="gramEnd"/>
      <w:r>
        <w:rPr>
          <w:lang w:val="en-US"/>
        </w:rPr>
        <w:t xml:space="preserve"> it is necessary to determine the fee and the number of units above which the cost recovery are begins to applied. </w:t>
      </w:r>
    </w:p>
    <w:p w14:paraId="5B7FC928" w14:textId="77777777" w:rsidR="00EE1CE9" w:rsidRDefault="002A2925" w:rsidP="002A2925">
      <w:pPr>
        <w:keepNext/>
        <w:tabs>
          <w:tab w:val="left" w:pos="851"/>
        </w:tabs>
        <w:rPr>
          <w:i/>
          <w:iCs/>
        </w:rPr>
      </w:pPr>
      <w:r>
        <w:rPr>
          <w:lang w:val="en-US"/>
        </w:rPr>
        <w:lastRenderedPageBreak/>
        <w:tab/>
      </w:r>
      <w:r>
        <w:rPr>
          <w:i/>
          <w:iCs/>
        </w:rPr>
        <w:t xml:space="preserve">b. </w:t>
      </w:r>
      <w:r>
        <w:rPr>
          <w:i/>
          <w:iCs/>
        </w:rPr>
        <w:tab/>
        <w:t>Whether there are categories of filings for non-GSO satellite systems that, due to their complexity, should not be eligible to free entitlement.</w:t>
      </w:r>
    </w:p>
    <w:p w14:paraId="644165B9" w14:textId="4541AD7E" w:rsidR="00EE1CE9" w:rsidRDefault="002A2925" w:rsidP="002A2925">
      <w:pPr>
        <w:pStyle w:val="enumlev1"/>
        <w:tabs>
          <w:tab w:val="clear" w:pos="567"/>
        </w:tabs>
        <w:spacing w:before="120"/>
        <w:ind w:left="0" w:firstLine="709"/>
        <w:jc w:val="both"/>
        <w:rPr>
          <w:lang w:val="en-US"/>
        </w:rPr>
      </w:pPr>
      <w:r>
        <w:rPr>
          <w:lang w:val="en-US"/>
        </w:rPr>
        <w:t>Non GSO filings for registration</w:t>
      </w:r>
      <w:r>
        <w:rPr>
          <w:lang w:val="en-US"/>
        </w:rPr>
        <w:t>, having number of units that exceed a defined limit set by the Council should not be eligible for annual free publication.</w:t>
      </w:r>
    </w:p>
    <w:p w14:paraId="3BE856B4" w14:textId="77777777" w:rsidR="00EE1CE9" w:rsidRDefault="002A2925" w:rsidP="002A2925">
      <w:pPr>
        <w:tabs>
          <w:tab w:val="left" w:pos="851"/>
        </w:tabs>
        <w:rPr>
          <w:i/>
          <w:iCs/>
        </w:rPr>
      </w:pPr>
      <w:r>
        <w:tab/>
      </w:r>
      <w:r>
        <w:rPr>
          <w:i/>
          <w:iCs/>
        </w:rPr>
        <w:t xml:space="preserve">c. </w:t>
      </w:r>
      <w:r>
        <w:rPr>
          <w:i/>
          <w:iCs/>
        </w:rPr>
        <w:tab/>
        <w:t xml:space="preserve">Whether specific fees should be paid for processing submissions related to earth stations in motion, while avoiding double invoicing. </w:t>
      </w:r>
    </w:p>
    <w:p w14:paraId="1CDFD513" w14:textId="1A9B7EF1" w:rsidR="00EE1CE9" w:rsidRDefault="002A2925" w:rsidP="002A2925">
      <w:pPr>
        <w:pStyle w:val="enumlev1"/>
        <w:tabs>
          <w:tab w:val="clear" w:pos="567"/>
        </w:tabs>
        <w:spacing w:before="120"/>
        <w:ind w:left="0" w:firstLine="709"/>
        <w:jc w:val="both"/>
        <w:rPr>
          <w:lang w:val="en-US"/>
        </w:rPr>
      </w:pPr>
      <w:r>
        <w:rPr>
          <w:lang w:val="en-US"/>
        </w:rPr>
        <w:t>The charge of specific fees for</w:t>
      </w:r>
      <w:r>
        <w:rPr>
          <w:lang w:val="en-US"/>
        </w:rPr>
        <w:t xml:space="preserve"> processing </w:t>
      </w:r>
      <w:r>
        <w:rPr>
          <w:lang w:val="en-US"/>
        </w:rPr>
        <w:t xml:space="preserve">submissions related to earth stations in motion should depend on the BR’s workload for such filings’ processing. No fees should be taken for submissions for specific earth stations, as this will lead to additional difficulties for administrations, </w:t>
      </w:r>
      <w:proofErr w:type="gramStart"/>
      <w:r>
        <w:rPr>
          <w:lang w:val="en-US"/>
        </w:rPr>
        <w:t>operators</w:t>
      </w:r>
      <w:proofErr w:type="gramEnd"/>
      <w:r>
        <w:rPr>
          <w:lang w:val="en-US"/>
        </w:rPr>
        <w:t xml:space="preserve"> and the BR in implementing cost recovery.</w:t>
      </w:r>
    </w:p>
    <w:p w14:paraId="51FDF253" w14:textId="77777777" w:rsidR="00EE1CE9" w:rsidRDefault="002A2925" w:rsidP="002A2925">
      <w:pPr>
        <w:tabs>
          <w:tab w:val="left" w:pos="851"/>
        </w:tabs>
        <w:rPr>
          <w:i/>
          <w:iCs/>
        </w:rPr>
      </w:pPr>
      <w:r>
        <w:rPr>
          <w:i/>
          <w:iCs/>
        </w:rPr>
        <w:tab/>
        <w:t xml:space="preserve">d. </w:t>
      </w:r>
      <w:r>
        <w:rPr>
          <w:i/>
          <w:iCs/>
        </w:rPr>
        <w:tab/>
        <w:t>The cost of processing resubmissions of notification requests.</w:t>
      </w:r>
    </w:p>
    <w:p w14:paraId="1CFAD7D2" w14:textId="5A61936E" w:rsidR="00EE1CE9" w:rsidRDefault="002A2925" w:rsidP="002A2925">
      <w:pPr>
        <w:pStyle w:val="enumlev1"/>
        <w:tabs>
          <w:tab w:val="clear" w:pos="567"/>
        </w:tabs>
        <w:spacing w:before="120"/>
        <w:ind w:left="0" w:firstLine="709"/>
        <w:jc w:val="both"/>
        <w:rPr>
          <w:lang w:val="en-US"/>
        </w:rPr>
      </w:pPr>
      <w:r>
        <w:rPr>
          <w:lang w:val="en-US"/>
        </w:rPr>
        <w:t xml:space="preserve">Detailed information from the BR on such cases and determination of the BR’s staff workload </w:t>
      </w:r>
      <w:r>
        <w:rPr>
          <w:lang w:val="en-US"/>
        </w:rPr>
        <w:t>is required.</w:t>
      </w:r>
    </w:p>
    <w:p w14:paraId="5E3653E0" w14:textId="77777777" w:rsidR="00EE1CE9" w:rsidRDefault="002A2925" w:rsidP="002A2925">
      <w:pPr>
        <w:tabs>
          <w:tab w:val="left" w:pos="851"/>
        </w:tabs>
        <w:rPr>
          <w:i/>
          <w:iCs/>
        </w:rPr>
      </w:pPr>
      <w:r>
        <w:rPr>
          <w:i/>
          <w:iCs/>
        </w:rPr>
        <w:tab/>
        <w:t xml:space="preserve">e. </w:t>
      </w:r>
      <w:r>
        <w:rPr>
          <w:i/>
          <w:iCs/>
        </w:rPr>
        <w:tab/>
        <w:t xml:space="preserve">The costs associated with the BR’s implementation of additional provisions: Resolutions </w:t>
      </w:r>
      <w:r>
        <w:rPr>
          <w:b/>
          <w:bCs/>
          <w:i/>
          <w:iCs/>
        </w:rPr>
        <w:t>4</w:t>
      </w:r>
      <w:r>
        <w:rPr>
          <w:i/>
          <w:iCs/>
        </w:rPr>
        <w:t xml:space="preserve"> and </w:t>
      </w:r>
      <w:r>
        <w:rPr>
          <w:b/>
          <w:bCs/>
          <w:i/>
          <w:iCs/>
        </w:rPr>
        <w:t>49</w:t>
      </w:r>
      <w:r>
        <w:rPr>
          <w:i/>
          <w:iCs/>
        </w:rPr>
        <w:t xml:space="preserve">, Nos. </w:t>
      </w:r>
      <w:r>
        <w:rPr>
          <w:b/>
          <w:bCs/>
          <w:i/>
          <w:iCs/>
        </w:rPr>
        <w:t>11.32A</w:t>
      </w:r>
      <w:r>
        <w:rPr>
          <w:i/>
          <w:iCs/>
        </w:rPr>
        <w:t xml:space="preserve"> (see footnote a), </w:t>
      </w:r>
      <w:r>
        <w:rPr>
          <w:b/>
          <w:bCs/>
          <w:i/>
          <w:iCs/>
        </w:rPr>
        <w:t>11.41</w:t>
      </w:r>
      <w:r>
        <w:rPr>
          <w:i/>
          <w:iCs/>
        </w:rPr>
        <w:t xml:space="preserve">, </w:t>
      </w:r>
      <w:r>
        <w:rPr>
          <w:b/>
          <w:bCs/>
          <w:i/>
          <w:iCs/>
        </w:rPr>
        <w:t>11.47</w:t>
      </w:r>
      <w:r>
        <w:rPr>
          <w:i/>
          <w:iCs/>
        </w:rPr>
        <w:t xml:space="preserve">, </w:t>
      </w:r>
      <w:r>
        <w:rPr>
          <w:b/>
          <w:bCs/>
          <w:i/>
          <w:iCs/>
        </w:rPr>
        <w:t>11.49</w:t>
      </w:r>
      <w:r>
        <w:rPr>
          <w:i/>
          <w:iCs/>
        </w:rPr>
        <w:t xml:space="preserve">, Subsection IID of Article </w:t>
      </w:r>
      <w:r>
        <w:rPr>
          <w:b/>
          <w:bCs/>
          <w:i/>
          <w:iCs/>
        </w:rPr>
        <w:t>9</w:t>
      </w:r>
      <w:r>
        <w:rPr>
          <w:i/>
          <w:iCs/>
        </w:rPr>
        <w:t xml:space="preserve">, Sections 1 and 2 of Article </w:t>
      </w:r>
      <w:r>
        <w:rPr>
          <w:b/>
          <w:bCs/>
          <w:i/>
          <w:iCs/>
        </w:rPr>
        <w:t>13</w:t>
      </w:r>
      <w:r>
        <w:rPr>
          <w:i/>
          <w:iCs/>
        </w:rPr>
        <w:t xml:space="preserve">, Article </w:t>
      </w:r>
      <w:r>
        <w:rPr>
          <w:b/>
          <w:bCs/>
          <w:i/>
          <w:iCs/>
        </w:rPr>
        <w:t>14</w:t>
      </w:r>
      <w:r>
        <w:rPr>
          <w:i/>
          <w:iCs/>
        </w:rPr>
        <w:t>. The Bureau is invited to provide information on the cases already submitted.</w:t>
      </w:r>
    </w:p>
    <w:p w14:paraId="630F33A1" w14:textId="0D6B259B" w:rsidR="00EE1CE9" w:rsidRDefault="002A2925" w:rsidP="002A2925">
      <w:pPr>
        <w:pStyle w:val="enumlev1"/>
        <w:tabs>
          <w:tab w:val="clear" w:pos="567"/>
        </w:tabs>
        <w:spacing w:before="120"/>
        <w:ind w:left="0" w:firstLine="709"/>
        <w:jc w:val="both"/>
        <w:rPr>
          <w:lang w:val="en-US"/>
        </w:rPr>
      </w:pPr>
      <w:r>
        <w:rPr>
          <w:lang w:val="en-US"/>
        </w:rPr>
        <w:t xml:space="preserve">Detailed </w:t>
      </w:r>
      <w:r>
        <w:rPr>
          <w:lang w:val="en-US"/>
        </w:rPr>
        <w:t>information from the BR on such cases and determination of the BR’s staff workload is required.</w:t>
      </w:r>
    </w:p>
    <w:p w14:paraId="593C90E9" w14:textId="77777777" w:rsidR="00EE1CE9" w:rsidRDefault="002A2925" w:rsidP="002A2925">
      <w:pPr>
        <w:tabs>
          <w:tab w:val="left" w:pos="851"/>
        </w:tabs>
        <w:rPr>
          <w:i/>
          <w:iCs/>
        </w:rPr>
      </w:pPr>
      <w:r>
        <w:rPr>
          <w:i/>
          <w:iCs/>
        </w:rPr>
        <w:tab/>
        <w:t xml:space="preserve">f. </w:t>
      </w:r>
      <w:r>
        <w:rPr>
          <w:i/>
          <w:iCs/>
        </w:rPr>
        <w:tab/>
        <w:t xml:space="preserve">The costs of processing non-GSO filings having more than 75 000 units or, alternatively, whether the formula to compute units for such non-GSO </w:t>
      </w:r>
      <w:r>
        <w:rPr>
          <w:i/>
          <w:iCs/>
        </w:rPr>
        <w:t xml:space="preserve">satellite systems should </w:t>
      </w:r>
      <w:proofErr w:type="gramStart"/>
      <w:r>
        <w:rPr>
          <w:i/>
          <w:iCs/>
        </w:rPr>
        <w:t>take into account</w:t>
      </w:r>
      <w:proofErr w:type="gramEnd"/>
      <w:r>
        <w:rPr>
          <w:i/>
          <w:iCs/>
        </w:rPr>
        <w:t xml:space="preserve"> the impact of the number of different orbital altitudes, number of satellites, number of earth stations, or other characteristics affecting workload associated with the processing of non-GSO systems.</w:t>
      </w:r>
    </w:p>
    <w:p w14:paraId="4CB32516" w14:textId="77777777" w:rsidR="00EE1CE9" w:rsidRDefault="002A2925" w:rsidP="002A2925">
      <w:pPr>
        <w:pStyle w:val="enumlev1"/>
        <w:tabs>
          <w:tab w:val="clear" w:pos="567"/>
        </w:tabs>
        <w:spacing w:before="120"/>
        <w:ind w:left="0" w:firstLine="709"/>
        <w:jc w:val="both"/>
        <w:rPr>
          <w:lang w:val="en-US"/>
        </w:rPr>
      </w:pPr>
      <w:r>
        <w:rPr>
          <w:lang w:val="en-US"/>
        </w:rPr>
        <w:t xml:space="preserve">Processing of </w:t>
      </w:r>
      <w:r>
        <w:t xml:space="preserve">non-GSO filings having more than 75 000 units or, alternatively, whether the formula to compute units for such non-GSO satellite systems should take into account the impact of the number of different orbital altitudes, number of satellites, number of earth stations, or other characteristics, including those that require to update software, affecting workload associated with the processing of non-GSO systems, </w:t>
      </w:r>
      <w:r>
        <w:rPr>
          <w:lang w:val="en-US"/>
        </w:rPr>
        <w:t xml:space="preserve"> should be carry out in proportion to the workload costs of the BR.</w:t>
      </w:r>
    </w:p>
    <w:p w14:paraId="0FA28C6B" w14:textId="77777777" w:rsidR="00EE1CE9" w:rsidRDefault="002A2925" w:rsidP="002A2925">
      <w:pPr>
        <w:tabs>
          <w:tab w:val="left" w:pos="851"/>
        </w:tabs>
        <w:rPr>
          <w:i/>
          <w:iCs/>
        </w:rPr>
      </w:pPr>
      <w:r>
        <w:rPr>
          <w:i/>
          <w:iCs/>
        </w:rPr>
        <w:tab/>
        <w:t xml:space="preserve">g. </w:t>
      </w:r>
      <w:r>
        <w:rPr>
          <w:i/>
          <w:iCs/>
        </w:rPr>
        <w:tab/>
        <w:t>Consider the introduction of units in categories A1 and N4, with a different fee being charged for more complex or larger systems, depending on the number of units.</w:t>
      </w:r>
    </w:p>
    <w:p w14:paraId="7787BC4F" w14:textId="77777777" w:rsidR="00EE1CE9" w:rsidRDefault="002A2925" w:rsidP="002A2925">
      <w:pPr>
        <w:pStyle w:val="enumlev1"/>
        <w:tabs>
          <w:tab w:val="clear" w:pos="567"/>
        </w:tabs>
        <w:spacing w:before="120"/>
        <w:ind w:left="0" w:firstLine="709"/>
        <w:jc w:val="both"/>
        <w:rPr>
          <w:lang w:val="en-US"/>
        </w:rPr>
      </w:pPr>
      <w:r>
        <w:rPr>
          <w:lang w:val="en-US"/>
        </w:rPr>
        <w:t xml:space="preserve">Detailed information from the BR on such cases and determination of the BR’s </w:t>
      </w:r>
      <w:proofErr w:type="gramStart"/>
      <w:r>
        <w:rPr>
          <w:lang w:val="en-US"/>
        </w:rPr>
        <w:t>workloads  is</w:t>
      </w:r>
      <w:proofErr w:type="gramEnd"/>
      <w:r>
        <w:rPr>
          <w:lang w:val="en-US"/>
        </w:rPr>
        <w:t xml:space="preserve"> required.</w:t>
      </w:r>
    </w:p>
    <w:p w14:paraId="2D500994" w14:textId="77777777" w:rsidR="00EE1CE9" w:rsidRDefault="002A2925" w:rsidP="002A2925">
      <w:pPr>
        <w:tabs>
          <w:tab w:val="left" w:pos="851"/>
        </w:tabs>
        <w:rPr>
          <w:i/>
          <w:iCs/>
        </w:rPr>
      </w:pPr>
      <w:r>
        <w:rPr>
          <w:i/>
          <w:iCs/>
        </w:rPr>
        <w:tab/>
        <w:t xml:space="preserve">h. </w:t>
      </w:r>
      <w:r>
        <w:rPr>
          <w:i/>
          <w:iCs/>
        </w:rPr>
        <w:tab/>
        <w:t xml:space="preserve">An additional fee for recovering the costs of </w:t>
      </w:r>
      <w:proofErr w:type="spellStart"/>
      <w:r>
        <w:rPr>
          <w:i/>
          <w:iCs/>
        </w:rPr>
        <w:t>epfd</w:t>
      </w:r>
      <w:proofErr w:type="spellEnd"/>
      <w:r>
        <w:rPr>
          <w:i/>
          <w:iCs/>
        </w:rPr>
        <w:t xml:space="preserve"> examination of coordination requests and notifications.  </w:t>
      </w:r>
    </w:p>
    <w:p w14:paraId="07E89013" w14:textId="6C61BF6C" w:rsidR="00EE1CE9" w:rsidRDefault="002A2925" w:rsidP="002A2925">
      <w:pPr>
        <w:pStyle w:val="enumlev1"/>
        <w:tabs>
          <w:tab w:val="clear" w:pos="567"/>
        </w:tabs>
        <w:spacing w:before="120"/>
        <w:ind w:left="0" w:firstLine="709"/>
        <w:jc w:val="both"/>
        <w:rPr>
          <w:lang w:val="en-US"/>
        </w:rPr>
      </w:pPr>
      <w:proofErr w:type="gramStart"/>
      <w:r>
        <w:rPr>
          <w:lang w:val="en-US"/>
        </w:rPr>
        <w:t>Taking into account</w:t>
      </w:r>
      <w:proofErr w:type="gramEnd"/>
      <w:r>
        <w:rPr>
          <w:lang w:val="en-US"/>
        </w:rPr>
        <w:t xml:space="preserve"> that</w:t>
      </w:r>
      <w:r>
        <w:t xml:space="preserve"> </w:t>
      </w:r>
      <w:proofErr w:type="spellStart"/>
      <w:r>
        <w:t>epfd</w:t>
      </w:r>
      <w:proofErr w:type="spellEnd"/>
      <w:r>
        <w:rPr>
          <w:lang w:val="en-US"/>
        </w:rPr>
        <w:t xml:space="preserve"> calculations for large constellations of </w:t>
      </w:r>
      <w:r>
        <w:t xml:space="preserve">non-GSO </w:t>
      </w:r>
      <w:r>
        <w:rPr>
          <w:lang w:val="en-US"/>
        </w:rPr>
        <w:t>satellite systems is time-consuming</w:t>
      </w:r>
      <w:r>
        <w:rPr>
          <w:lang w:val="en-US"/>
        </w:rPr>
        <w:t>, it is necessary to consider this issue on the basis of statistics provided by BR.</w:t>
      </w:r>
    </w:p>
    <w:p w14:paraId="7FEBE777" w14:textId="77777777" w:rsidR="00EE1CE9" w:rsidRDefault="002A2925" w:rsidP="002A2925">
      <w:pPr>
        <w:keepNext/>
        <w:tabs>
          <w:tab w:val="left" w:pos="851"/>
        </w:tabs>
        <w:rPr>
          <w:i/>
          <w:iCs/>
        </w:rPr>
      </w:pPr>
      <w:r>
        <w:rPr>
          <w:i/>
          <w:iCs/>
        </w:rPr>
        <w:lastRenderedPageBreak/>
        <w:tab/>
        <w:t xml:space="preserve">i. </w:t>
      </w:r>
      <w:r>
        <w:rPr>
          <w:i/>
          <w:iCs/>
        </w:rPr>
        <w:tab/>
        <w:t>Consequences of modifications introduced by any WRC after WRC-2000, if any, to regulatory provisions governing the Space Plans.</w:t>
      </w:r>
    </w:p>
    <w:p w14:paraId="79CC6A00" w14:textId="4D0D69D8" w:rsidR="00EE1CE9" w:rsidRDefault="002A2925">
      <w:pPr>
        <w:pStyle w:val="enumlev1"/>
        <w:tabs>
          <w:tab w:val="clear" w:pos="567"/>
        </w:tabs>
        <w:ind w:left="0" w:firstLine="709"/>
        <w:jc w:val="both"/>
        <w:rPr>
          <w:lang w:val="en-US"/>
        </w:rPr>
      </w:pPr>
      <w:proofErr w:type="gramStart"/>
      <w:r>
        <w:rPr>
          <w:lang w:val="en-US"/>
        </w:rPr>
        <w:t>Taking into account</w:t>
      </w:r>
      <w:proofErr w:type="gramEnd"/>
      <w:r>
        <w:rPr>
          <w:lang w:val="en-US"/>
        </w:rPr>
        <w:t xml:space="preserve"> the objectives of the introduction of the Space Plans, a more detailed study of this issue is needed</w:t>
      </w:r>
      <w:r>
        <w:rPr>
          <w:lang w:val="en-US"/>
        </w:rPr>
        <w:t xml:space="preserve"> to meet the provisions of Article 44 of the ITU Constitution, taking into account </w:t>
      </w:r>
      <w:r>
        <w:rPr>
          <w:lang w:val="en-US"/>
        </w:rPr>
        <w:t>the need to ensure equitable and rational access to the radio-frequency spectrum and its associated orbits.</w:t>
      </w:r>
    </w:p>
    <w:p w14:paraId="320B6F3F" w14:textId="77777777" w:rsidR="00EE1CE9" w:rsidRDefault="002A2925">
      <w:pPr>
        <w:tabs>
          <w:tab w:val="left" w:pos="851"/>
        </w:tabs>
        <w:rPr>
          <w:i/>
          <w:iCs/>
        </w:rPr>
      </w:pPr>
      <w:r>
        <w:rPr>
          <w:i/>
          <w:iCs/>
        </w:rPr>
        <w:tab/>
        <w:t xml:space="preserve">j. </w:t>
      </w:r>
      <w:r>
        <w:rPr>
          <w:i/>
          <w:iCs/>
        </w:rPr>
        <w:tab/>
        <w:t>The cost of dedicated resources needed to continually update and modernize the Bureau software applications used for satellite filings. However, satellite cost recovery should not be used to fund development of software tools for processing terrestrial filings.</w:t>
      </w:r>
    </w:p>
    <w:p w14:paraId="4D39451B" w14:textId="309DE44C" w:rsidR="00EE1CE9" w:rsidRDefault="002A2925">
      <w:pPr>
        <w:pStyle w:val="enumlev1"/>
        <w:tabs>
          <w:tab w:val="clear" w:pos="567"/>
        </w:tabs>
        <w:ind w:left="0" w:firstLine="709"/>
        <w:jc w:val="both"/>
        <w:rPr>
          <w:lang w:val="en-US"/>
        </w:rPr>
      </w:pPr>
      <w:r>
        <w:t>Satellite cost recovery should not be used to fund development of software tools for processing terrestrial filings</w:t>
      </w:r>
      <w:r>
        <w:rPr>
          <w:lang w:val="en-US"/>
        </w:rPr>
        <w:t>.</w:t>
      </w:r>
    </w:p>
    <w:p w14:paraId="57460EF1" w14:textId="568F9EC9" w:rsidR="00EE1CE9" w:rsidRDefault="00BA42C6" w:rsidP="002A2925">
      <w:pPr>
        <w:tabs>
          <w:tab w:val="clear" w:pos="567"/>
          <w:tab w:val="clear" w:pos="1134"/>
          <w:tab w:val="clear" w:pos="1701"/>
          <w:tab w:val="clear" w:pos="2268"/>
          <w:tab w:val="clear" w:pos="2835"/>
        </w:tabs>
        <w:overflowPunct/>
        <w:autoSpaceDE/>
        <w:autoSpaceDN/>
        <w:adjustRightInd/>
        <w:spacing w:before="240" w:after="120"/>
        <w:ind w:firstLine="709"/>
        <w:jc w:val="both"/>
        <w:textAlignment w:val="auto"/>
        <w:rPr>
          <w:b/>
          <w:bCs/>
          <w:lang w:val="en-US"/>
        </w:rPr>
      </w:pPr>
      <w:r>
        <w:rPr>
          <w:b/>
          <w:bCs/>
          <w:lang w:val="en-US"/>
        </w:rPr>
        <w:t>Proposals</w:t>
      </w:r>
    </w:p>
    <w:p w14:paraId="35B81256" w14:textId="77777777" w:rsidR="00EE1CE9" w:rsidRDefault="002A2925" w:rsidP="002A2925">
      <w:pPr>
        <w:tabs>
          <w:tab w:val="clear" w:pos="567"/>
        </w:tabs>
        <w:ind w:firstLine="709"/>
        <w:jc w:val="both"/>
      </w:pPr>
      <w:r>
        <w:t>The Expert Group on Decision 482 is invited to consider proposals set in this document and take appropriate actions for preparation an interim report containing recommendations for the possible revision of Decision 482 for submission to the 2024 session of the ITU Council.</w:t>
      </w:r>
    </w:p>
    <w:p w14:paraId="71A43E76" w14:textId="643AE679" w:rsidR="00EE1CE9" w:rsidRDefault="002A2925" w:rsidP="002A2925">
      <w:pPr>
        <w:tabs>
          <w:tab w:val="clear" w:pos="567"/>
          <w:tab w:val="clear" w:pos="1134"/>
          <w:tab w:val="clear" w:pos="1701"/>
          <w:tab w:val="clear" w:pos="2268"/>
          <w:tab w:val="clear" w:pos="2835"/>
        </w:tabs>
        <w:overflowPunct/>
        <w:autoSpaceDE/>
        <w:autoSpaceDN/>
        <w:adjustRightInd/>
        <w:ind w:firstLine="709"/>
        <w:jc w:val="both"/>
        <w:textAlignment w:val="auto"/>
      </w:pPr>
      <w:r>
        <w:rPr>
          <w:lang w:val="en-US"/>
        </w:rPr>
        <w:t xml:space="preserve">The BR </w:t>
      </w:r>
      <w:r>
        <w:t>is invited to provide addition information required for Expert Group on Decision</w:t>
      </w:r>
      <w:r w:rsidR="007B13B5">
        <w:t> </w:t>
      </w:r>
      <w:r>
        <w:t xml:space="preserve">482 </w:t>
      </w:r>
      <w:proofErr w:type="gramStart"/>
      <w:r>
        <w:t>in order to</w:t>
      </w:r>
      <w:proofErr w:type="gramEnd"/>
      <w:r>
        <w:t xml:space="preserve"> complete its Terms of Reference.</w:t>
      </w:r>
    </w:p>
    <w:p w14:paraId="6BAF5321" w14:textId="4C974300" w:rsidR="002A2925" w:rsidRDefault="002A2925" w:rsidP="002A2925">
      <w:pPr>
        <w:tabs>
          <w:tab w:val="clear" w:pos="567"/>
          <w:tab w:val="clear" w:pos="1134"/>
          <w:tab w:val="clear" w:pos="1701"/>
          <w:tab w:val="clear" w:pos="2268"/>
          <w:tab w:val="clear" w:pos="2835"/>
        </w:tabs>
        <w:overflowPunct/>
        <w:autoSpaceDE/>
        <w:autoSpaceDN/>
        <w:adjustRightInd/>
        <w:spacing w:before="840"/>
        <w:ind w:firstLine="709"/>
        <w:jc w:val="center"/>
        <w:textAlignment w:val="auto"/>
        <w:rPr>
          <w:lang w:val="en-US"/>
        </w:rPr>
      </w:pPr>
      <w:r>
        <w:t>_______________</w:t>
      </w:r>
    </w:p>
    <w:sectPr w:rsidR="002A2925">
      <w:footerReference w:type="default" r:id="rId20"/>
      <w:headerReference w:type="first" r:id="rId21"/>
      <w:footerReference w:type="first" r:id="rId2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A2273" w14:textId="77777777" w:rsidR="004A4605" w:rsidRDefault="004A4605">
      <w:r>
        <w:separator/>
      </w:r>
    </w:p>
  </w:endnote>
  <w:endnote w:type="continuationSeparator" w:id="0">
    <w:p w14:paraId="677ED838" w14:textId="77777777" w:rsidR="004A4605" w:rsidRDefault="004A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1CE9" w14:paraId="0B109D89" w14:textId="77777777">
      <w:trPr>
        <w:jc w:val="center"/>
      </w:trPr>
      <w:tc>
        <w:tcPr>
          <w:tcW w:w="1803" w:type="dxa"/>
          <w:vAlign w:val="center"/>
        </w:tcPr>
        <w:p w14:paraId="76242B8C" w14:textId="77777777" w:rsidR="00EE1CE9" w:rsidRDefault="00EE1CE9">
          <w:pPr>
            <w:pStyle w:val="Header"/>
            <w:jc w:val="left"/>
            <w:rPr>
              <w:noProof/>
            </w:rPr>
          </w:pPr>
        </w:p>
      </w:tc>
      <w:tc>
        <w:tcPr>
          <w:tcW w:w="8261" w:type="dxa"/>
        </w:tcPr>
        <w:p w14:paraId="64A78E72" w14:textId="31A26F04" w:rsidR="00EE1CE9" w:rsidRDefault="002A2925">
          <w:pPr>
            <w:pStyle w:val="Header"/>
            <w:tabs>
              <w:tab w:val="left" w:pos="6028"/>
              <w:tab w:val="right" w:pos="8505"/>
              <w:tab w:val="right" w:pos="9639"/>
            </w:tabs>
            <w:jc w:val="left"/>
            <w:rPr>
              <w:rFonts w:ascii="Arial" w:hAnsi="Arial" w:cs="Arial"/>
              <w:b/>
              <w:bCs/>
              <w:szCs w:val="18"/>
              <w:lang w:val="fr-CH"/>
            </w:rPr>
          </w:pPr>
          <w:r>
            <w:rPr>
              <w:bCs/>
              <w:lang w:val="fr-CH"/>
            </w:rPr>
            <w:tab/>
            <w:t>EG-DEC482-1/</w:t>
          </w:r>
          <w:r w:rsidR="00261CB6">
            <w:rPr>
              <w:bCs/>
              <w:lang w:val="fr-CH"/>
            </w:rPr>
            <w:t>3</w:t>
          </w:r>
          <w:r>
            <w:rPr>
              <w:bCs/>
              <w:lang w:val="fr-CH"/>
            </w:rPr>
            <w:t>-E</w:t>
          </w:r>
          <w:r>
            <w:rPr>
              <w:bCs/>
              <w:lang w:val="fr-CH"/>
            </w:rPr>
            <w:tab/>
          </w:r>
          <w:r>
            <w:fldChar w:fldCharType="begin"/>
          </w:r>
          <w:r>
            <w:rPr>
              <w:lang w:val="fr-CH"/>
            </w:rPr>
            <w:instrText>PAGE</w:instrText>
          </w:r>
          <w:r>
            <w:fldChar w:fldCharType="separate"/>
          </w:r>
          <w:r>
            <w:rPr>
              <w:noProof/>
              <w:lang w:val="fr-CH"/>
            </w:rPr>
            <w:t>3</w:t>
          </w:r>
          <w:r>
            <w:rPr>
              <w:noProof/>
            </w:rPr>
            <w:fldChar w:fldCharType="end"/>
          </w:r>
        </w:p>
      </w:tc>
    </w:tr>
  </w:tbl>
  <w:p w14:paraId="17783663" w14:textId="77777777" w:rsidR="00EE1CE9" w:rsidRDefault="00EE1CE9">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1CE9" w14:paraId="5EDCB08C" w14:textId="77777777">
      <w:trPr>
        <w:jc w:val="center"/>
      </w:trPr>
      <w:tc>
        <w:tcPr>
          <w:tcW w:w="3107" w:type="dxa"/>
          <w:vAlign w:val="center"/>
        </w:tcPr>
        <w:p w14:paraId="28A3FBA9" w14:textId="77777777" w:rsidR="00EE1CE9" w:rsidRDefault="002A2925">
          <w:pPr>
            <w:pStyle w:val="Header"/>
            <w:jc w:val="left"/>
            <w:rPr>
              <w:noProof/>
            </w:rPr>
          </w:pPr>
          <w:r>
            <w:t>https://council.itu.int/working-groups</w:t>
          </w:r>
        </w:p>
      </w:tc>
      <w:tc>
        <w:tcPr>
          <w:tcW w:w="6957" w:type="dxa"/>
        </w:tcPr>
        <w:p w14:paraId="35FA5005" w14:textId="08C59949" w:rsidR="00EE1CE9" w:rsidRDefault="002A2925">
          <w:pPr>
            <w:pStyle w:val="Header"/>
            <w:tabs>
              <w:tab w:val="left" w:pos="4718"/>
              <w:tab w:val="right" w:pos="8505"/>
              <w:tab w:val="right" w:pos="9639"/>
            </w:tabs>
            <w:jc w:val="left"/>
            <w:rPr>
              <w:rFonts w:ascii="Arial" w:hAnsi="Arial" w:cs="Arial"/>
              <w:b/>
              <w:bCs/>
              <w:szCs w:val="18"/>
              <w:lang w:val="fr-CH"/>
            </w:rPr>
          </w:pPr>
          <w:r>
            <w:rPr>
              <w:bCs/>
            </w:rPr>
            <w:tab/>
          </w:r>
          <w:r>
            <w:rPr>
              <w:bCs/>
              <w:lang w:val="fr-CH"/>
            </w:rPr>
            <w:t>EG-DEC482-1/</w:t>
          </w:r>
          <w:r w:rsidR="00261CB6">
            <w:rPr>
              <w:bCs/>
              <w:lang w:val="fr-CH"/>
            </w:rPr>
            <w:t>3</w:t>
          </w:r>
          <w:r>
            <w:rPr>
              <w:bCs/>
              <w:lang w:val="fr-CH"/>
            </w:rPr>
            <w:t>-E</w:t>
          </w:r>
          <w:r>
            <w:rPr>
              <w:bCs/>
              <w:lang w:val="fr-CH"/>
            </w:rPr>
            <w:tab/>
          </w:r>
          <w:r>
            <w:fldChar w:fldCharType="begin"/>
          </w:r>
          <w:r>
            <w:rPr>
              <w:lang w:val="fr-CH"/>
            </w:rPr>
            <w:instrText>PAGE</w:instrText>
          </w:r>
          <w:r>
            <w:fldChar w:fldCharType="separate"/>
          </w:r>
          <w:r>
            <w:rPr>
              <w:noProof/>
              <w:lang w:val="fr-CH"/>
            </w:rPr>
            <w:t>1</w:t>
          </w:r>
          <w:r>
            <w:rPr>
              <w:noProof/>
            </w:rPr>
            <w:fldChar w:fldCharType="end"/>
          </w:r>
        </w:p>
      </w:tc>
    </w:tr>
  </w:tbl>
  <w:p w14:paraId="536DD7CE" w14:textId="77777777" w:rsidR="00EE1CE9" w:rsidRDefault="00EE1CE9">
    <w:pPr>
      <w:pStyle w:val="Header"/>
      <w:tabs>
        <w:tab w:val="left" w:pos="8080"/>
        <w:tab w:val="right" w:pos="9072"/>
      </w:tabs>
      <w:jc w:val="righ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5914E" w14:textId="77777777" w:rsidR="004A4605" w:rsidRDefault="004A4605">
      <w:r>
        <w:t>____________________</w:t>
      </w:r>
    </w:p>
  </w:footnote>
  <w:footnote w:type="continuationSeparator" w:id="0">
    <w:p w14:paraId="3143D9D2" w14:textId="77777777" w:rsidR="004A4605" w:rsidRDefault="004A4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EE1CE9" w14:paraId="68337E1E" w14:textId="77777777">
      <w:trPr>
        <w:trHeight w:val="1304"/>
        <w:jc w:val="center"/>
      </w:trPr>
      <w:tc>
        <w:tcPr>
          <w:tcW w:w="6546" w:type="dxa"/>
        </w:tcPr>
        <w:bookmarkStart w:id="11" w:name="_Hlk133422111"/>
        <w:p w14:paraId="02C31F92" w14:textId="77777777" w:rsidR="00EE1CE9" w:rsidRDefault="002A2925">
          <w:pPr>
            <w:pStyle w:val="Header"/>
            <w:jc w:val="left"/>
            <w:rPr>
              <w:rFonts w:ascii="Arial" w:hAnsi="Arial" w:cs="Arial"/>
              <w:b/>
              <w:bCs/>
              <w:color w:val="009CD6"/>
              <w:sz w:val="36"/>
              <w:szCs w:val="36"/>
            </w:rPr>
          </w:pPr>
          <w:r>
            <w:rPr>
              <w:rFonts w:ascii="Arial" w:hAnsi="Arial" w:cs="Arial"/>
              <w:b/>
              <w:bCs/>
              <w:noProof/>
              <w:color w:val="009CD6"/>
              <w:szCs w:val="18"/>
              <w:lang w:val="ru-RU" w:eastAsia="ru-RU"/>
            </w:rPr>
            <mc:AlternateContent>
              <mc:Choice Requires="wps">
                <w:drawing>
                  <wp:anchor distT="0" distB="0" distL="114300" distR="114300" simplePos="0" relativeHeight="251661312" behindDoc="0" locked="0" layoutInCell="1" allowOverlap="1" wp14:anchorId="058ACECE" wp14:editId="392C7101">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39C22"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Pr>
              <w:noProof/>
              <w:lang w:val="ru-RU" w:eastAsia="ru-RU"/>
            </w:rPr>
            <w:drawing>
              <wp:inline distT="0" distB="0" distL="0" distR="0" wp14:anchorId="78F807BB" wp14:editId="5E4D7F00">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129ED352" w14:textId="77777777" w:rsidR="00EE1CE9" w:rsidRDefault="00EE1CE9">
          <w:pPr>
            <w:pStyle w:val="Header"/>
            <w:jc w:val="right"/>
            <w:rPr>
              <w:rFonts w:ascii="Arial" w:hAnsi="Arial" w:cs="Arial"/>
              <w:b/>
              <w:bCs/>
              <w:color w:val="009CD6"/>
              <w:szCs w:val="18"/>
            </w:rPr>
          </w:pPr>
        </w:p>
        <w:p w14:paraId="721DBBDE" w14:textId="77777777" w:rsidR="00EE1CE9" w:rsidRDefault="00EE1CE9">
          <w:pPr>
            <w:pStyle w:val="Header"/>
            <w:jc w:val="right"/>
            <w:rPr>
              <w:rFonts w:ascii="Arial" w:hAnsi="Arial" w:cs="Arial"/>
              <w:b/>
              <w:bCs/>
              <w:color w:val="009CD6"/>
              <w:szCs w:val="18"/>
            </w:rPr>
          </w:pPr>
        </w:p>
        <w:p w14:paraId="79BD24A3" w14:textId="77777777" w:rsidR="00EE1CE9" w:rsidRDefault="002A2925">
          <w:pPr>
            <w:pStyle w:val="Header"/>
            <w:jc w:val="right"/>
            <w:rPr>
              <w:rFonts w:ascii="Arial" w:hAnsi="Arial" w:cs="Arial"/>
              <w:color w:val="009CD6"/>
              <w:szCs w:val="18"/>
            </w:rPr>
          </w:pPr>
          <w:r>
            <w:rPr>
              <w:rFonts w:ascii="Arial" w:hAnsi="Arial" w:cs="Arial"/>
              <w:b/>
              <w:bCs/>
              <w:color w:val="009CD6"/>
              <w:szCs w:val="18"/>
            </w:rPr>
            <w:t xml:space="preserve"> </w:t>
          </w:r>
        </w:p>
      </w:tc>
    </w:tr>
  </w:tbl>
  <w:bookmarkEnd w:id="11"/>
  <w:p w14:paraId="1A7A3D50" w14:textId="77777777" w:rsidR="00EE1CE9" w:rsidRDefault="002A2925">
    <w:pPr>
      <w:pStyle w:val="Header"/>
    </w:pPr>
    <w:r>
      <w:rPr>
        <w:rFonts w:ascii="Avenir Nxt2 W1G Medium" w:eastAsia="Avenir Nxt2 W1G Medium" w:hAnsi="Avenir Nxt2 W1G Medium" w:cs="Avenir Nxt2 W1G Medium"/>
        <w:noProof/>
        <w:lang w:val="ru-RU" w:eastAsia="ru-RU"/>
      </w:rPr>
      <mc:AlternateContent>
        <mc:Choice Requires="wps">
          <w:drawing>
            <wp:anchor distT="0" distB="0" distL="114300" distR="114300" simplePos="0" relativeHeight="251659264" behindDoc="0" locked="0" layoutInCell="1" allowOverlap="1" wp14:anchorId="5E0E1CC2" wp14:editId="5E721EAF">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C3026"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Pr>
        <w:rFonts w:ascii="Arial" w:eastAsiaTheme="minorHAnsi" w:hAnsi="Arial" w:cs="Arial"/>
        <w:b/>
        <w:bCs/>
        <w:noProof/>
        <w:color w:val="009CD6"/>
        <w:szCs w:val="18"/>
        <w:lang w:val="ru-RU" w:eastAsia="ru-RU"/>
      </w:rPr>
      <mc:AlternateContent>
        <mc:Choice Requires="wps">
          <w:drawing>
            <wp:anchor distT="0" distB="0" distL="114300" distR="114300" simplePos="0" relativeHeight="251662336" behindDoc="0" locked="0" layoutInCell="1" allowOverlap="1" wp14:anchorId="5B10021B" wp14:editId="102D9A2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40809E6B" w14:textId="77777777" w:rsidR="00EE1CE9" w:rsidRDefault="002A2925">
                          <w:pPr>
                            <w:spacing w:before="0"/>
                          </w:pPr>
                          <w:r>
                            <w:rPr>
                              <w:b/>
                              <w:bCs/>
                              <w:szCs w:val="24"/>
                            </w:rPr>
                            <w:t xml:space="preserve">Expert Group </w:t>
                          </w:r>
                          <w:r>
                            <w:rPr>
                              <w:b/>
                              <w:bCs/>
                              <w:szCs w:val="24"/>
                            </w:rPr>
                            <w:br/>
                            <w:t>on Decision 482</w:t>
                          </w:r>
                          <w:r>
                            <w:br/>
                          </w:r>
                          <w:r>
                            <w:rPr>
                              <w:sz w:val="20"/>
                            </w:rPr>
                            <w:t>First meeting - From 22 to 23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B10021B"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40809E6B" w14:textId="77777777" w:rsidR="00EE1CE9" w:rsidRDefault="002A2925">
                    <w:pPr>
                      <w:spacing w:before="0"/>
                    </w:pPr>
                    <w:r>
                      <w:rPr>
                        <w:b/>
                        <w:bCs/>
                        <w:szCs w:val="24"/>
                      </w:rPr>
                      <w:t xml:space="preserve">Expert Group </w:t>
                    </w:r>
                    <w:r>
                      <w:rPr>
                        <w:b/>
                        <w:bCs/>
                        <w:szCs w:val="24"/>
                      </w:rPr>
                      <w:br/>
                      <w:t>on Decision 482</w:t>
                    </w:r>
                    <w:r>
                      <w:br/>
                    </w:r>
                    <w:r>
                      <w:rPr>
                        <w:sz w:val="20"/>
                      </w:rPr>
                      <w:t>First meeting - From 22 to 23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005A39"/>
    <w:multiLevelType w:val="hybridMultilevel"/>
    <w:tmpl w:val="A0D830B8"/>
    <w:lvl w:ilvl="0" w:tplc="F7B8EAA0">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7E63AE"/>
    <w:multiLevelType w:val="hybridMultilevel"/>
    <w:tmpl w:val="D6668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E26C07"/>
    <w:multiLevelType w:val="hybridMultilevel"/>
    <w:tmpl w:val="0B868B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0854A8C"/>
    <w:multiLevelType w:val="hybridMultilevel"/>
    <w:tmpl w:val="5EFA0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21895115">
    <w:abstractNumId w:val="0"/>
  </w:num>
  <w:num w:numId="2" w16cid:durableId="2043480512">
    <w:abstractNumId w:val="2"/>
  </w:num>
  <w:num w:numId="3" w16cid:durableId="150802797">
    <w:abstractNumId w:val="4"/>
  </w:num>
  <w:num w:numId="4" w16cid:durableId="594678545">
    <w:abstractNumId w:val="1"/>
  </w:num>
  <w:num w:numId="5" w16cid:durableId="14660018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E9"/>
    <w:rsid w:val="0019260A"/>
    <w:rsid w:val="00261CB6"/>
    <w:rsid w:val="002A2925"/>
    <w:rsid w:val="004A4605"/>
    <w:rsid w:val="007B13B5"/>
    <w:rsid w:val="008C499D"/>
    <w:rsid w:val="009B1A98"/>
    <w:rsid w:val="00BA42C6"/>
    <w:rsid w:val="00D33439"/>
    <w:rsid w:val="00D6741A"/>
    <w:rsid w:val="00DE630E"/>
    <w:rsid w:val="00EE1CE9"/>
    <w:rsid w:val="00F06D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19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Pr>
      <w:rFonts w:ascii="Calibri" w:hAnsi="Calibri"/>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567"/>
    </w:pPr>
  </w:style>
  <w:style w:type="paragraph" w:customStyle="1" w:styleId="enumlev1">
    <w:name w:val="enumlev1"/>
    <w:basedOn w:val="Normal"/>
    <w:link w:val="enumlev1Char"/>
    <w:pPr>
      <w:spacing w:before="86"/>
      <w:ind w:left="567" w:hanging="567"/>
    </w:pPr>
  </w:style>
  <w:style w:type="paragraph" w:customStyle="1" w:styleId="enumlev2">
    <w:name w:val="enumlev2"/>
    <w:basedOn w:val="enumlev1"/>
    <w:pPr>
      <w:ind w:left="1134"/>
    </w:pPr>
  </w:style>
  <w:style w:type="paragraph" w:customStyle="1" w:styleId="enumlev3">
    <w:name w:val="enumlev3"/>
    <w:basedOn w:val="enumlev2"/>
    <w:pPr>
      <w:ind w:left="1701"/>
    </w:pPr>
  </w:style>
  <w:style w:type="paragraph" w:customStyle="1" w:styleId="Normalaftertitle">
    <w:name w:val="Normal after title"/>
    <w:basedOn w:val="Normal"/>
    <w:next w:val="Normal"/>
    <w:link w:val="NormalaftertitleChar"/>
    <w:qFormat/>
    <w:pPr>
      <w:spacing w:before="240"/>
    </w:pPr>
  </w:style>
  <w:style w:type="character" w:customStyle="1" w:styleId="HeaderChar">
    <w:name w:val="Header Char"/>
    <w:basedOn w:val="DefaultParagraphFont"/>
    <w:link w:val="Header"/>
    <w:uiPriority w:val="99"/>
    <w:rPr>
      <w:rFonts w:ascii="Calibri" w:hAnsi="Calibri"/>
      <w:color w:val="7F7F7F" w:themeColor="text1" w:themeTint="80"/>
      <w:sz w:val="18"/>
      <w:lang w:val="en-GB" w:eastAsia="en-US"/>
    </w:r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567"/>
        <w:tab w:val="clear" w:pos="1134"/>
        <w:tab w:val="clear" w:pos="1701"/>
        <w:tab w:val="clear" w:pos="2268"/>
        <w:tab w:val="clear" w:pos="2835"/>
        <w:tab w:val="right" w:pos="9781"/>
      </w:tabs>
    </w:pPr>
    <w:rPr>
      <w:b/>
    </w:rPr>
  </w:style>
  <w:style w:type="paragraph" w:styleId="List">
    <w:name w:val="List"/>
    <w:basedOn w:val="Normal"/>
    <w:pPr>
      <w:tabs>
        <w:tab w:val="left" w:pos="2127"/>
      </w:tabs>
      <w:ind w:left="2127" w:hanging="2127"/>
    </w:pPr>
  </w:style>
  <w:style w:type="paragraph" w:customStyle="1" w:styleId="Part">
    <w:name w:val="Part"/>
    <w:basedOn w:val="Normal"/>
    <w:next w:val="Normal"/>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pPr>
      <w:framePr w:hSpace="180" w:wrap="around" w:vAnchor="page" w:hAnchor="page" w:x="1821" w:y="2317"/>
      <w:spacing w:before="840"/>
    </w:pPr>
    <w:rPr>
      <w:b/>
      <w:sz w:val="32"/>
      <w:szCs w:val="32"/>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table" w:styleId="TableGrid">
    <w:name w:val="Table Grid"/>
    <w:basedOn w:val="TableNormal"/>
    <w:uiPriority w:val="3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Pr>
      <w:color w:val="0563C1"/>
      <w:u w:val="single"/>
    </w:rPr>
  </w:style>
  <w:style w:type="paragraph" w:customStyle="1" w:styleId="FirstFooter">
    <w:name w:val="FirstFooter"/>
    <w:basedOn w:val="Footer"/>
    <w:rPr>
      <w:caps w:val="0"/>
    </w:rPr>
  </w:style>
  <w:style w:type="paragraph" w:customStyle="1" w:styleId="Note">
    <w:name w:val="Note"/>
    <w:basedOn w:val="Normal"/>
    <w:pPr>
      <w:tabs>
        <w:tab w:val="clear" w:pos="567"/>
        <w:tab w:val="left" w:pos="851"/>
      </w:tabs>
    </w:pPr>
  </w:style>
  <w:style w:type="paragraph" w:styleId="TOC9">
    <w:name w:val="toc 9"/>
    <w:basedOn w:val="TOC4"/>
  </w:style>
  <w:style w:type="paragraph" w:customStyle="1" w:styleId="Headingb">
    <w:name w:val="Heading_b"/>
    <w:basedOn w:val="Heading3"/>
    <w:next w:val="Normal"/>
    <w:pPr>
      <w:spacing w:before="160"/>
      <w:outlineLvl w:val="0"/>
    </w:pPr>
  </w:style>
  <w:style w:type="character" w:styleId="FollowedHyperlink">
    <w:name w:val="FollowedHyperlink"/>
    <w:basedOn w:val="DefaultParagraphFont"/>
    <w:rPr>
      <w:color w:val="800080"/>
      <w:u w:val="single"/>
    </w:rPr>
  </w:style>
  <w:style w:type="paragraph" w:customStyle="1" w:styleId="Title1">
    <w:name w:val="Title 1"/>
    <w:basedOn w:val="Source"/>
    <w:next w:val="Title2"/>
    <w:pPr>
      <w:framePr w:wrap="around"/>
      <w:spacing w:before="240"/>
    </w:pPr>
    <w:rPr>
      <w:b w:val="0"/>
    </w:rPr>
  </w:style>
  <w:style w:type="paragraph" w:customStyle="1" w:styleId="Title2">
    <w:name w:val="Title 2"/>
    <w:basedOn w:val="Source"/>
    <w:next w:val="Title3"/>
    <w:pPr>
      <w:framePr w:wrap="around"/>
      <w:spacing w:before="240"/>
    </w:pPr>
    <w:rPr>
      <w:b w:val="0"/>
      <w:caps/>
    </w:rPr>
  </w:style>
  <w:style w:type="paragraph" w:customStyle="1" w:styleId="Title3">
    <w:name w:val="Title 3"/>
    <w:basedOn w:val="Title2"/>
    <w:next w:val="Normalaftertitle"/>
    <w:pPr>
      <w:framePr w:wrap="around"/>
    </w:pPr>
    <w:rPr>
      <w:caps w:val="0"/>
    </w:rPr>
  </w:style>
  <w:style w:type="paragraph" w:customStyle="1" w:styleId="Title4">
    <w:name w:val="Title 4"/>
    <w:basedOn w:val="Title3"/>
    <w:next w:val="Heading1"/>
    <w:pPr>
      <w:framePr w:wrap="around"/>
    </w:pPr>
    <w:rPr>
      <w:b/>
    </w:rPr>
  </w:style>
  <w:style w:type="paragraph" w:customStyle="1" w:styleId="dnum">
    <w:name w:val="dnum"/>
    <w:basedOn w:val="Normal"/>
    <w:pPr>
      <w:framePr w:hSpace="181" w:wrap="around" w:vAnchor="page" w:hAnchor="margin" w:y="852"/>
      <w:shd w:val="solid" w:color="FFFFFF" w:fill="FFFFFF"/>
      <w:tabs>
        <w:tab w:val="left" w:pos="1871"/>
      </w:tabs>
    </w:pPr>
    <w:rPr>
      <w:b/>
      <w:bCs/>
    </w:rPr>
  </w:style>
  <w:style w:type="paragraph" w:customStyle="1" w:styleId="ddate">
    <w:name w:val="ddate"/>
    <w:basedOn w:val="Normal"/>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pPr>
      <w:spacing w:before="720"/>
      <w:jc w:val="center"/>
    </w:pPr>
    <w:rPr>
      <w:caps/>
      <w:sz w:val="28"/>
    </w:rPr>
  </w:style>
  <w:style w:type="paragraph" w:customStyle="1" w:styleId="Annextitle">
    <w:name w:val="Annex_title"/>
    <w:basedOn w:val="Normal"/>
    <w:next w:val="Normal"/>
    <w:link w:val="AnnextitleChar"/>
    <w:pPr>
      <w:spacing w:before="240" w:after="240"/>
      <w:jc w:val="center"/>
    </w:pPr>
    <w:rPr>
      <w:b/>
      <w:sz w:val="28"/>
    </w:rPr>
  </w:style>
  <w:style w:type="paragraph" w:customStyle="1" w:styleId="Annexref">
    <w:name w:val="Annex_ref"/>
    <w:basedOn w:val="Normal"/>
    <w:next w:val="Annextitle"/>
    <w:pPr>
      <w:jc w:val="center"/>
    </w:pPr>
  </w:style>
  <w:style w:type="paragraph" w:customStyle="1" w:styleId="AppendixNo">
    <w:name w:val="Appendix_No"/>
    <w:basedOn w:val="AnnexNo"/>
    <w:next w:val="Appendixref"/>
  </w:style>
  <w:style w:type="paragraph" w:customStyle="1" w:styleId="Appendixtitle">
    <w:name w:val="Appendix_title"/>
    <w:basedOn w:val="Annextitle"/>
    <w:next w:val="Normal"/>
  </w:style>
  <w:style w:type="paragraph" w:customStyle="1" w:styleId="Appendixref">
    <w:name w:val="Appendix_ref"/>
    <w:basedOn w:val="Annexref"/>
    <w:next w:val="Appendixtitle"/>
  </w:style>
  <w:style w:type="paragraph" w:customStyle="1" w:styleId="Call">
    <w:name w:val="Call"/>
    <w:basedOn w:val="Normal"/>
    <w:next w:val="Normal"/>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pPr>
      <w:framePr w:wrap="around" w:vAnchor="margin" w:hAnchor="text"/>
      <w:spacing w:before="120" w:after="160"/>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pPr>
      <w:keepNext/>
      <w:spacing w:before="560" w:after="120"/>
      <w:jc w:val="center"/>
    </w:pPr>
    <w:rPr>
      <w:caps/>
    </w:rPr>
  </w:style>
  <w:style w:type="paragraph" w:customStyle="1" w:styleId="Tabletext">
    <w:name w:val="Table_text"/>
    <w:basedOn w:val="Normal"/>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outlineLvl w:val="0"/>
    </w:pPr>
    <w:rPr>
      <w:rFonts w:asciiTheme="minorHAnsi" w:hAnsiTheme="minorHAnsi"/>
      <w:b w:val="0"/>
      <w:i/>
    </w:rPr>
  </w:style>
  <w:style w:type="character" w:styleId="PageNumber">
    <w:name w:val="page number"/>
    <w:basedOn w:val="DefaultParagraphFont"/>
    <w:rPr>
      <w:rFonts w:ascii="Calibri" w:hAnsi="Calibri"/>
    </w:rPr>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spacing w:before="720"/>
      <w:jc w:val="center"/>
    </w:pPr>
    <w:rPr>
      <w:caps/>
      <w:sz w:val="28"/>
    </w:rPr>
  </w:style>
  <w:style w:type="paragraph" w:customStyle="1" w:styleId="Rectitle">
    <w:name w:val="Rec_title"/>
    <w:basedOn w:val="Normal"/>
    <w:next w:val="Heading1"/>
    <w:pPr>
      <w:spacing w:before="240"/>
      <w:jc w:val="center"/>
    </w:pPr>
    <w:rPr>
      <w:b/>
      <w:sz w:val="28"/>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567" w:hanging="567"/>
    </w:pPr>
  </w:style>
  <w:style w:type="paragraph" w:customStyle="1" w:styleId="Reftitle">
    <w:name w:val="Ref_title"/>
    <w:basedOn w:val="Normal"/>
    <w:next w:val="Reftext"/>
    <w:pPr>
      <w:spacing w:before="480"/>
      <w:jc w:val="center"/>
    </w:pPr>
    <w:rPr>
      <w:caps/>
      <w:sz w:val="28"/>
    </w:rPr>
  </w:style>
  <w:style w:type="paragraph" w:customStyle="1" w:styleId="Resdate">
    <w:name w:val="Res_date"/>
    <w:basedOn w:val="Recdate"/>
    <w:next w:val="Normalaftertitle"/>
  </w:style>
  <w:style w:type="paragraph" w:customStyle="1" w:styleId="ResNo">
    <w:name w:val="Res_No"/>
    <w:basedOn w:val="AnnexNo"/>
    <w:next w:val="Restitle"/>
    <w:link w:val="ResNoChar"/>
  </w:style>
  <w:style w:type="paragraph" w:customStyle="1" w:styleId="Restitle">
    <w:name w:val="Res_title"/>
    <w:basedOn w:val="Annextitle"/>
    <w:next w:val="Normal"/>
    <w:link w:val="RestitleChar"/>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Tablehead">
    <w:name w:val="Table_head"/>
    <w:basedOn w:val="Tabletext"/>
    <w:pPr>
      <w:spacing w:before="120" w:after="12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style>
  <w:style w:type="paragraph" w:customStyle="1" w:styleId="Chaptitle">
    <w:name w:val="Chap_title"/>
    <w:basedOn w:val="Arttitle"/>
    <w:next w:val="Normal"/>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ResNoChar">
    <w:name w:val="Res_No Char"/>
    <w:basedOn w:val="DefaultParagraphFont"/>
    <w:link w:val="ResNo"/>
    <w:locked/>
    <w:rPr>
      <w:rFonts w:ascii="Calibri" w:hAnsi="Calibri"/>
      <w:caps/>
      <w:sz w:val="28"/>
      <w:lang w:val="en-GB" w:eastAsia="en-US"/>
    </w:rPr>
  </w:style>
  <w:style w:type="character" w:customStyle="1" w:styleId="RestitleChar">
    <w:name w:val="Res_title Char"/>
    <w:basedOn w:val="DefaultParagraphFont"/>
    <w:link w:val="Restitle"/>
    <w:locked/>
    <w:rPr>
      <w:rFonts w:ascii="Calibri" w:hAnsi="Calibri"/>
      <w:b/>
      <w:sz w:val="28"/>
      <w:lang w:val="en-GB" w:eastAsia="en-US"/>
    </w:rPr>
  </w:style>
  <w:style w:type="character" w:customStyle="1" w:styleId="enumlev1Char">
    <w:name w:val="enumlev1 Char"/>
    <w:basedOn w:val="DefaultParagraphFont"/>
    <w:link w:val="enumlev1"/>
    <w:locked/>
    <w:rPr>
      <w:rFonts w:ascii="Calibri" w:hAnsi="Calibri"/>
      <w:sz w:val="24"/>
      <w:lang w:val="en-GB" w:eastAsia="en-US"/>
    </w:rPr>
  </w:style>
  <w:style w:type="character" w:customStyle="1" w:styleId="NormalaftertitleChar">
    <w:name w:val="Normal after title Char"/>
    <w:basedOn w:val="DefaultParagraphFont"/>
    <w:link w:val="Normalaftertitle"/>
    <w:locked/>
    <w:rPr>
      <w:rFonts w:ascii="Calibri" w:hAnsi="Calibri"/>
      <w:sz w:val="24"/>
      <w:lang w:val="en-GB" w:eastAsia="en-US"/>
    </w:rPr>
  </w:style>
  <w:style w:type="character" w:customStyle="1" w:styleId="AnnextitleChar">
    <w:name w:val="Annex_title Char"/>
    <w:basedOn w:val="DefaultParagraphFont"/>
    <w:link w:val="Annextitle"/>
    <w:locked/>
    <w:rPr>
      <w:rFonts w:ascii="Calibri" w:hAnsi="Calibri"/>
      <w:b/>
      <w:sz w:val="28"/>
      <w:lang w:val="en-GB" w:eastAsia="en-US"/>
    </w:rPr>
  </w:style>
  <w:style w:type="paragraph" w:styleId="BalloonText">
    <w:name w:val="Balloon Text"/>
    <w:basedOn w:val="Normal"/>
    <w:link w:val="BalloonTextChar"/>
    <w:semiHidden/>
    <w:unhideWhenUsed/>
    <w:pPr>
      <w:spacing w:before="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paragraph" w:styleId="Revision">
    <w:name w:val="Revision"/>
    <w:hidden/>
    <w:uiPriority w:val="99"/>
    <w:semiHidden/>
    <w:rPr>
      <w:rFonts w:ascii="Calibri" w:hAnsi="Calibri"/>
      <w:sz w:val="24"/>
      <w:lang w:val="en-GB"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28317">
      <w:bodyDiv w:val="1"/>
      <w:marLeft w:val="0"/>
      <w:marRight w:val="0"/>
      <w:marTop w:val="0"/>
      <w:marBottom w:val="0"/>
      <w:divBdr>
        <w:top w:val="none" w:sz="0" w:space="0" w:color="auto"/>
        <w:left w:val="none" w:sz="0" w:space="0" w:color="auto"/>
        <w:bottom w:val="none" w:sz="0" w:space="0" w:color="auto"/>
        <w:right w:val="none" w:sz="0" w:space="0" w:color="auto"/>
      </w:divBdr>
    </w:div>
    <w:div w:id="1561282833">
      <w:bodyDiv w:val="1"/>
      <w:marLeft w:val="0"/>
      <w:marRight w:val="0"/>
      <w:marTop w:val="0"/>
      <w:marBottom w:val="0"/>
      <w:divBdr>
        <w:top w:val="none" w:sz="0" w:space="0" w:color="auto"/>
        <w:left w:val="none" w:sz="0" w:space="0" w:color="auto"/>
        <w:bottom w:val="none" w:sz="0" w:space="0" w:color="auto"/>
        <w:right w:val="none" w:sz="0" w:space="0" w:color="auto"/>
      </w:divBdr>
    </w:div>
    <w:div w:id="1950115152">
      <w:bodyDiv w:val="1"/>
      <w:marLeft w:val="0"/>
      <w:marRight w:val="0"/>
      <w:marTop w:val="0"/>
      <w:marBottom w:val="0"/>
      <w:divBdr>
        <w:top w:val="none" w:sz="0" w:space="0" w:color="auto"/>
        <w:left w:val="none" w:sz="0" w:space="0" w:color="auto"/>
        <w:bottom w:val="none" w:sz="0" w:space="0" w:color="auto"/>
        <w:right w:val="none" w:sz="0" w:space="0" w:color="auto"/>
      </w:divBdr>
      <w:divsChild>
        <w:div w:id="1198472188">
          <w:marLeft w:val="0"/>
          <w:marRight w:val="0"/>
          <w:marTop w:val="0"/>
          <w:marBottom w:val="0"/>
          <w:divBdr>
            <w:top w:val="none" w:sz="0" w:space="0" w:color="auto"/>
            <w:left w:val="none" w:sz="0" w:space="0" w:color="auto"/>
            <w:bottom w:val="none" w:sz="0" w:space="0" w:color="auto"/>
            <w:right w:val="none" w:sz="0" w:space="0" w:color="auto"/>
          </w:divBdr>
          <w:divsChild>
            <w:div w:id="134686574">
              <w:marLeft w:val="0"/>
              <w:marRight w:val="0"/>
              <w:marTop w:val="0"/>
              <w:marBottom w:val="0"/>
              <w:divBdr>
                <w:top w:val="none" w:sz="0" w:space="0" w:color="auto"/>
                <w:left w:val="none" w:sz="0" w:space="0" w:color="auto"/>
                <w:bottom w:val="none" w:sz="0" w:space="0" w:color="auto"/>
                <w:right w:val="none" w:sz="0" w:space="0" w:color="auto"/>
              </w:divBdr>
            </w:div>
          </w:divsChild>
        </w:div>
        <w:div w:id="1991979173">
          <w:marLeft w:val="0"/>
          <w:marRight w:val="0"/>
          <w:marTop w:val="0"/>
          <w:marBottom w:val="0"/>
          <w:divBdr>
            <w:top w:val="none" w:sz="0" w:space="0" w:color="auto"/>
            <w:left w:val="none" w:sz="0" w:space="0" w:color="auto"/>
            <w:bottom w:val="none" w:sz="0" w:space="0" w:color="auto"/>
            <w:right w:val="none" w:sz="0" w:space="0" w:color="auto"/>
          </w:divBdr>
          <w:divsChild>
            <w:div w:id="262029516">
              <w:marLeft w:val="0"/>
              <w:marRight w:val="0"/>
              <w:marTop w:val="0"/>
              <w:marBottom w:val="0"/>
              <w:divBdr>
                <w:top w:val="none" w:sz="0" w:space="0" w:color="auto"/>
                <w:left w:val="none" w:sz="0" w:space="0" w:color="auto"/>
                <w:bottom w:val="none" w:sz="0" w:space="0" w:color="auto"/>
                <w:right w:val="none" w:sz="0" w:space="0" w:color="auto"/>
              </w:divBdr>
              <w:divsChild>
                <w:div w:id="14527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7966">
          <w:marLeft w:val="0"/>
          <w:marRight w:val="0"/>
          <w:marTop w:val="100"/>
          <w:marBottom w:val="0"/>
          <w:divBdr>
            <w:top w:val="none" w:sz="0" w:space="0" w:color="auto"/>
            <w:left w:val="none" w:sz="0" w:space="0" w:color="auto"/>
            <w:bottom w:val="none" w:sz="0" w:space="0" w:color="auto"/>
            <w:right w:val="none" w:sz="0" w:space="0" w:color="auto"/>
          </w:divBdr>
          <w:divsChild>
            <w:div w:id="1360203920">
              <w:marLeft w:val="0"/>
              <w:marRight w:val="0"/>
              <w:marTop w:val="0"/>
              <w:marBottom w:val="0"/>
              <w:divBdr>
                <w:top w:val="none" w:sz="0" w:space="0" w:color="auto"/>
                <w:left w:val="none" w:sz="0" w:space="0" w:color="auto"/>
                <w:bottom w:val="none" w:sz="0" w:space="0" w:color="auto"/>
                <w:right w:val="none" w:sz="0" w:space="0" w:color="auto"/>
              </w:divBdr>
            </w:div>
            <w:div w:id="1633097639">
              <w:marLeft w:val="0"/>
              <w:marRight w:val="0"/>
              <w:marTop w:val="0"/>
              <w:marBottom w:val="0"/>
              <w:divBdr>
                <w:top w:val="none" w:sz="0" w:space="0" w:color="auto"/>
                <w:left w:val="none" w:sz="0" w:space="0" w:color="auto"/>
                <w:bottom w:val="none" w:sz="0" w:space="0" w:color="auto"/>
                <w:right w:val="none" w:sz="0" w:space="0" w:color="auto"/>
              </w:divBdr>
            </w:div>
          </w:divsChild>
        </w:div>
        <w:div w:id="528026391">
          <w:marLeft w:val="0"/>
          <w:marRight w:val="0"/>
          <w:marTop w:val="0"/>
          <w:marBottom w:val="0"/>
          <w:divBdr>
            <w:top w:val="none" w:sz="0" w:space="0" w:color="auto"/>
            <w:left w:val="none" w:sz="0" w:space="0" w:color="auto"/>
            <w:bottom w:val="none" w:sz="0" w:space="0" w:color="auto"/>
            <w:right w:val="none" w:sz="0" w:space="0" w:color="auto"/>
          </w:divBdr>
          <w:divsChild>
            <w:div w:id="188103645">
              <w:marLeft w:val="0"/>
              <w:marRight w:val="0"/>
              <w:marTop w:val="60"/>
              <w:marBottom w:val="0"/>
              <w:divBdr>
                <w:top w:val="none" w:sz="0" w:space="0" w:color="auto"/>
                <w:left w:val="none" w:sz="0" w:space="0" w:color="auto"/>
                <w:bottom w:val="none" w:sz="0" w:space="0" w:color="auto"/>
                <w:right w:val="none" w:sz="0" w:space="0" w:color="auto"/>
              </w:divBdr>
            </w:div>
          </w:divsChild>
        </w:div>
        <w:div w:id="2128813321">
          <w:marLeft w:val="0"/>
          <w:marRight w:val="0"/>
          <w:marTop w:val="0"/>
          <w:marBottom w:val="0"/>
          <w:divBdr>
            <w:top w:val="none" w:sz="0" w:space="0" w:color="auto"/>
            <w:left w:val="none" w:sz="0" w:space="0" w:color="auto"/>
            <w:bottom w:val="none" w:sz="0" w:space="0" w:color="auto"/>
            <w:right w:val="none" w:sz="0" w:space="0" w:color="auto"/>
          </w:divBdr>
        </w:div>
        <w:div w:id="1383558438">
          <w:marLeft w:val="0"/>
          <w:marRight w:val="0"/>
          <w:marTop w:val="0"/>
          <w:marBottom w:val="0"/>
          <w:divBdr>
            <w:top w:val="none" w:sz="0" w:space="0" w:color="auto"/>
            <w:left w:val="none" w:sz="0" w:space="0" w:color="auto"/>
            <w:bottom w:val="none" w:sz="0" w:space="0" w:color="auto"/>
            <w:right w:val="none" w:sz="0" w:space="0" w:color="auto"/>
          </w:divBdr>
          <w:divsChild>
            <w:div w:id="2010477305">
              <w:marLeft w:val="0"/>
              <w:marRight w:val="0"/>
              <w:marTop w:val="0"/>
              <w:marBottom w:val="0"/>
              <w:divBdr>
                <w:top w:val="none" w:sz="0" w:space="0" w:color="auto"/>
                <w:left w:val="none" w:sz="0" w:space="0" w:color="auto"/>
                <w:bottom w:val="none" w:sz="0" w:space="0" w:color="auto"/>
                <w:right w:val="none" w:sz="0" w:space="0" w:color="auto"/>
              </w:divBdr>
              <w:divsChild>
                <w:div w:id="1441873020">
                  <w:marLeft w:val="0"/>
                  <w:marRight w:val="0"/>
                  <w:marTop w:val="0"/>
                  <w:marBottom w:val="0"/>
                  <w:divBdr>
                    <w:top w:val="none" w:sz="0" w:space="0" w:color="auto"/>
                    <w:left w:val="none" w:sz="0" w:space="0" w:color="auto"/>
                    <w:bottom w:val="none" w:sz="0" w:space="0" w:color="auto"/>
                    <w:right w:val="none" w:sz="0" w:space="0" w:color="auto"/>
                  </w:divBdr>
                  <w:divsChild>
                    <w:div w:id="19639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0-CL-C-0070/en" TargetMode="External"/><Relationship Id="rId18" Type="http://schemas.openxmlformats.org/officeDocument/2006/relationships/hyperlink" Target="https://www.itu.int/md/S23-CL-C-0126/e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en/council/Documents/basic-texts/RES-091-E.pdf" TargetMode="External"/><Relationship Id="rId17" Type="http://schemas.openxmlformats.org/officeDocument/2006/relationships/hyperlink" Target="https://www.itu.int/md/S23-CL-C-0126/en" TargetMode="External"/><Relationship Id="rId2" Type="http://schemas.openxmlformats.org/officeDocument/2006/relationships/customXml" Target="../customXml/item2.xml"/><Relationship Id="rId16" Type="http://schemas.openxmlformats.org/officeDocument/2006/relationships/hyperlink" Target="https://www.itu.int/md/S23-CL-C-0019/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3-CL-C-0126/e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S23-CL-C-0016/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S23-CL-C-0126/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2-CL-C-0016/en"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13DFAD-D5B8-4929-84CA-F02F6337C9BC}">
  <ds:schemaRefs>
    <ds:schemaRef ds:uri="http://schemas.openxmlformats.org/officeDocument/2006/bibliography"/>
  </ds:schemaRefs>
</ds:datastoreItem>
</file>

<file path=customXml/itemProps2.xml><?xml version="1.0" encoding="utf-8"?>
<ds:datastoreItem xmlns:ds="http://schemas.openxmlformats.org/officeDocument/2006/customXml" ds:itemID="{C1FFEEEA-B561-404A-9292-EC6806AD8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9D4461-D2E0-44E1-8B15-26A6B5354CDC}">
  <ds:schemaRefs>
    <ds:schemaRef ds:uri="http://schemas.microsoft.com/sharepoint/v3/contenttype/forms"/>
  </ds:schemaRefs>
</ds:datastoreItem>
</file>

<file path=customXml/itemProps4.xml><?xml version="1.0" encoding="utf-8"?>
<ds:datastoreItem xmlns:ds="http://schemas.openxmlformats.org/officeDocument/2006/customXml" ds:itemID="{CB8B0F82-270C-483D-B84F-30D08AFE0231}">
  <ds:schemaRefs>
    <ds:schemaRef ds:uri="http://www.w3.org/XML/1998/namespace"/>
    <ds:schemaRef ds:uri="http://schemas.microsoft.com/sharepoint/v3"/>
    <ds:schemaRef ds:uri="http://schemas.microsoft.com/office/2006/documentManagement/types"/>
    <ds:schemaRef ds:uri="http://schemas.microsoft.com/office/2006/metadata/properties"/>
    <ds:schemaRef ds:uri="http://purl.org/dc/elements/1.1/"/>
    <ds:schemaRef ds:uri="1aaea1ea-72e4-4374-b05e-72e2f16fb7ae"/>
    <ds:schemaRef ds:uri="http://purl.org/dc/dcmityp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1716</Words>
  <Characters>10090</Characters>
  <Application>Microsoft Office Word</Application>
  <DocSecurity>0</DocSecurity>
  <Lines>84</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11783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Expert Group on Decision 482</dc:subject>
  <dc:creator/>
  <cp:keywords>EG-DEC482, C24, Council-24</cp:keywords>
  <cp:lastModifiedBy/>
  <cp:revision>1</cp:revision>
  <dcterms:created xsi:type="dcterms:W3CDTF">2024-01-10T13:09:00Z</dcterms:created>
  <dcterms:modified xsi:type="dcterms:W3CDTF">2024-01-10T13:15:00Z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0x0101001E46BE2403204D4E844191C3480CD35B</vt:lpwstr>
  </property>
</Properties>
</file>