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4B8693B4" w14:textId="77777777" w:rsidTr="00AD3606">
        <w:trPr>
          <w:cantSplit/>
          <w:trHeight w:val="23"/>
        </w:trPr>
        <w:tc>
          <w:tcPr>
            <w:tcW w:w="3969" w:type="dxa"/>
            <w:vMerge w:val="restart"/>
            <w:tcMar>
              <w:left w:w="0" w:type="dxa"/>
            </w:tcMar>
          </w:tcPr>
          <w:p w14:paraId="46B03246" w14:textId="7777777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085792C" w14:textId="77777777" w:rsidR="00AD3606" w:rsidRPr="00A52C84" w:rsidRDefault="00AD3606" w:rsidP="007B08D6">
            <w:pPr>
              <w:tabs>
                <w:tab w:val="left" w:pos="851"/>
              </w:tabs>
              <w:spacing w:before="0" w:line="240" w:lineRule="atLeast"/>
              <w:jc w:val="right"/>
              <w:rPr>
                <w:b/>
                <w:lang w:val="fr-CH"/>
              </w:rPr>
            </w:pPr>
            <w:r w:rsidRPr="00A52C84">
              <w:rPr>
                <w:b/>
                <w:lang w:val="fr-CH"/>
              </w:rPr>
              <w:t xml:space="preserve">Document </w:t>
            </w:r>
            <w:r w:rsidR="00A028B5">
              <w:rPr>
                <w:b/>
                <w:lang w:val="fr-CH"/>
              </w:rPr>
              <w:t>EG-ITRs</w:t>
            </w:r>
            <w:r w:rsidR="00A52C84" w:rsidRPr="00A52C84">
              <w:rPr>
                <w:b/>
                <w:lang w:val="fr-CH"/>
              </w:rPr>
              <w:t>-</w:t>
            </w:r>
            <w:r w:rsidR="007B08D6">
              <w:rPr>
                <w:b/>
                <w:lang w:val="fr-CH"/>
              </w:rPr>
              <w:t>2</w:t>
            </w:r>
            <w:r w:rsidRPr="00A52C84">
              <w:rPr>
                <w:b/>
                <w:lang w:val="fr-CH"/>
              </w:rPr>
              <w:t>/</w:t>
            </w:r>
            <w:r w:rsidR="007B08D6" w:rsidRPr="008E28CE">
              <w:rPr>
                <w:b/>
                <w:lang w:val="fr-CH"/>
              </w:rPr>
              <w:t>2</w:t>
            </w:r>
          </w:p>
        </w:tc>
      </w:tr>
      <w:tr w:rsidR="00AD3606" w:rsidRPr="00813E5E" w14:paraId="082792F7" w14:textId="77777777" w:rsidTr="00AD3606">
        <w:trPr>
          <w:cantSplit/>
        </w:trPr>
        <w:tc>
          <w:tcPr>
            <w:tcW w:w="3969" w:type="dxa"/>
            <w:vMerge/>
          </w:tcPr>
          <w:p w14:paraId="04DD5103"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397993CB" w14:textId="77777777" w:rsidR="00AD3606" w:rsidRPr="00E85629" w:rsidRDefault="00B03613" w:rsidP="00B03613">
            <w:pPr>
              <w:tabs>
                <w:tab w:val="left" w:pos="851"/>
              </w:tabs>
              <w:spacing w:before="0"/>
              <w:jc w:val="right"/>
              <w:rPr>
                <w:b/>
              </w:rPr>
            </w:pPr>
            <w:r w:rsidRPr="00B03613">
              <w:rPr>
                <w:b/>
              </w:rPr>
              <w:t>8 November</w:t>
            </w:r>
            <w:r w:rsidR="00AD3606">
              <w:rPr>
                <w:b/>
              </w:rPr>
              <w:t xml:space="preserve"> 2023</w:t>
            </w:r>
          </w:p>
        </w:tc>
      </w:tr>
      <w:tr w:rsidR="00AD3606" w:rsidRPr="00813E5E" w14:paraId="5D77A542" w14:textId="77777777" w:rsidTr="00AD3606">
        <w:trPr>
          <w:cantSplit/>
          <w:trHeight w:val="23"/>
        </w:trPr>
        <w:tc>
          <w:tcPr>
            <w:tcW w:w="3969" w:type="dxa"/>
            <w:vMerge/>
          </w:tcPr>
          <w:p w14:paraId="713DB464"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673E560A" w14:textId="77777777" w:rsidR="00AD3606" w:rsidRPr="00E85629" w:rsidRDefault="00A028B5" w:rsidP="00AD3606">
            <w:pPr>
              <w:tabs>
                <w:tab w:val="left" w:pos="851"/>
              </w:tabs>
              <w:spacing w:before="0" w:line="240" w:lineRule="atLeast"/>
              <w:jc w:val="right"/>
              <w:rPr>
                <w:b/>
              </w:rPr>
            </w:pPr>
            <w:r>
              <w:rPr>
                <w:b/>
              </w:rPr>
              <w:t>English</w:t>
            </w:r>
            <w:r w:rsidR="00291CBF">
              <w:rPr>
                <w:b/>
              </w:rPr>
              <w:t xml:space="preserve"> only</w:t>
            </w:r>
          </w:p>
        </w:tc>
      </w:tr>
      <w:tr w:rsidR="00472BAD" w:rsidRPr="00813E5E" w14:paraId="7B6E5E45" w14:textId="77777777" w:rsidTr="00AD3606">
        <w:trPr>
          <w:cantSplit/>
          <w:trHeight w:val="23"/>
        </w:trPr>
        <w:tc>
          <w:tcPr>
            <w:tcW w:w="3969" w:type="dxa"/>
          </w:tcPr>
          <w:p w14:paraId="520BB6D5" w14:textId="77777777" w:rsidR="00472BAD" w:rsidRPr="00813E5E" w:rsidRDefault="00472BAD" w:rsidP="00AD3606">
            <w:pPr>
              <w:tabs>
                <w:tab w:val="left" w:pos="851"/>
              </w:tabs>
              <w:spacing w:line="240" w:lineRule="atLeast"/>
              <w:rPr>
                <w:b/>
              </w:rPr>
            </w:pPr>
          </w:p>
        </w:tc>
        <w:tc>
          <w:tcPr>
            <w:tcW w:w="5245" w:type="dxa"/>
          </w:tcPr>
          <w:p w14:paraId="2671EBC3" w14:textId="77777777" w:rsidR="00472BAD" w:rsidRDefault="00472BAD" w:rsidP="00AD3606">
            <w:pPr>
              <w:tabs>
                <w:tab w:val="left" w:pos="851"/>
              </w:tabs>
              <w:spacing w:before="0" w:line="240" w:lineRule="atLeast"/>
              <w:jc w:val="right"/>
              <w:rPr>
                <w:b/>
              </w:rPr>
            </w:pPr>
          </w:p>
        </w:tc>
      </w:tr>
      <w:tr w:rsidR="00AD3606" w:rsidRPr="00813E5E" w14:paraId="6F0E22E2" w14:textId="77777777" w:rsidTr="00AD3606">
        <w:trPr>
          <w:cantSplit/>
        </w:trPr>
        <w:tc>
          <w:tcPr>
            <w:tcW w:w="9214" w:type="dxa"/>
            <w:gridSpan w:val="2"/>
            <w:tcMar>
              <w:left w:w="0" w:type="dxa"/>
            </w:tcMar>
          </w:tcPr>
          <w:p w14:paraId="54237361" w14:textId="77777777" w:rsidR="00AD3606" w:rsidRPr="00813E5E" w:rsidRDefault="00244F7F" w:rsidP="00E15C3A">
            <w:pPr>
              <w:pStyle w:val="Source"/>
              <w:framePr w:hSpace="0" w:wrap="auto" w:vAnchor="margin" w:hAnchor="text" w:yAlign="inline"/>
            </w:pPr>
            <w:bookmarkStart w:id="8" w:name="dsource" w:colFirst="0" w:colLast="0"/>
            <w:bookmarkEnd w:id="7"/>
            <w:r>
              <w:t>Contribution</w:t>
            </w:r>
            <w:r w:rsidR="00AD3606" w:rsidRPr="002C54E2">
              <w:t xml:space="preserve"> </w:t>
            </w:r>
            <w:r w:rsidR="00864283">
              <w:t xml:space="preserve">from </w:t>
            </w:r>
            <w:r w:rsidR="00E15C3A">
              <w:t>Hill</w:t>
            </w:r>
          </w:p>
        </w:tc>
      </w:tr>
      <w:tr w:rsidR="00AD3606" w:rsidRPr="00813E5E" w14:paraId="6B88A539" w14:textId="77777777" w:rsidTr="00AD3606">
        <w:trPr>
          <w:cantSplit/>
        </w:trPr>
        <w:tc>
          <w:tcPr>
            <w:tcW w:w="9214" w:type="dxa"/>
            <w:gridSpan w:val="2"/>
            <w:tcMar>
              <w:left w:w="0" w:type="dxa"/>
            </w:tcMar>
          </w:tcPr>
          <w:p w14:paraId="0C5D1F5B" w14:textId="77777777" w:rsidR="00AD3606" w:rsidRPr="00813E5E" w:rsidRDefault="0053640F" w:rsidP="004374A9">
            <w:pPr>
              <w:pStyle w:val="Subtitle"/>
              <w:framePr w:hSpace="0" w:wrap="auto" w:hAnchor="text" w:xAlign="left" w:yAlign="inline"/>
            </w:pPr>
            <w:bookmarkStart w:id="9" w:name="dtitle1" w:colFirst="0" w:colLast="0"/>
            <w:bookmarkEnd w:id="8"/>
            <w:r>
              <w:t xml:space="preserve">PROPOSAL FOR </w:t>
            </w:r>
            <w:r w:rsidR="004374A9">
              <w:t>REQUEST FOR EMPIRICAL DATA</w:t>
            </w:r>
          </w:p>
        </w:tc>
      </w:tr>
      <w:tr w:rsidR="00AD3606" w:rsidRPr="00813E5E" w14:paraId="18D30482" w14:textId="77777777" w:rsidTr="00AD3606">
        <w:trPr>
          <w:cantSplit/>
        </w:trPr>
        <w:tc>
          <w:tcPr>
            <w:tcW w:w="9214" w:type="dxa"/>
            <w:gridSpan w:val="2"/>
            <w:tcBorders>
              <w:top w:val="single" w:sz="4" w:space="0" w:color="auto"/>
              <w:bottom w:val="single" w:sz="4" w:space="0" w:color="auto"/>
            </w:tcBorders>
            <w:tcMar>
              <w:left w:w="0" w:type="dxa"/>
            </w:tcMar>
          </w:tcPr>
          <w:p w14:paraId="74375A44" w14:textId="77777777" w:rsidR="004D648B" w:rsidRPr="004D648B" w:rsidRDefault="004D648B" w:rsidP="004D648B">
            <w:pPr>
              <w:spacing w:before="160"/>
              <w:rPr>
                <w:b/>
                <w:bCs/>
                <w:sz w:val="26"/>
                <w:szCs w:val="26"/>
              </w:rPr>
            </w:pPr>
            <w:r w:rsidRPr="004D648B">
              <w:rPr>
                <w:b/>
                <w:bCs/>
                <w:sz w:val="26"/>
                <w:szCs w:val="26"/>
              </w:rPr>
              <w:t>Purpose</w:t>
            </w:r>
          </w:p>
          <w:p w14:paraId="0A8EC58A" w14:textId="77777777" w:rsidR="004D648B" w:rsidRPr="0053640F" w:rsidRDefault="007B08D6" w:rsidP="004D648B">
            <w:pPr>
              <w:spacing w:before="160"/>
              <w:rPr>
                <w:szCs w:val="24"/>
              </w:rPr>
            </w:pPr>
            <w:r>
              <w:rPr>
                <w:szCs w:val="24"/>
              </w:rPr>
              <w:t>This is a resubmission of</w:t>
            </w:r>
            <w:r w:rsidR="001560FA">
              <w:rPr>
                <w:szCs w:val="24"/>
              </w:rPr>
              <w:t xml:space="preserve"> the main body of</w:t>
            </w:r>
            <w:r>
              <w:rPr>
                <w:szCs w:val="24"/>
              </w:rPr>
              <w:t xml:space="preserve"> EG-ITRs-1/10, which was submitted too late to be discussed at the previous meeting of the group</w:t>
            </w:r>
            <w:r w:rsidR="001560FA">
              <w:rPr>
                <w:szCs w:val="24"/>
              </w:rPr>
              <w:t>, with the addition of a draft request for empirical data</w:t>
            </w:r>
            <w:r>
              <w:rPr>
                <w:szCs w:val="24"/>
              </w:rPr>
              <w:t>.</w:t>
            </w:r>
          </w:p>
          <w:p w14:paraId="223CE2BA" w14:textId="77777777" w:rsidR="004D648B" w:rsidRPr="004D648B" w:rsidRDefault="004D648B" w:rsidP="004D648B">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14D2B7C4" w14:textId="77777777" w:rsidR="004D648B" w:rsidRPr="00B03613" w:rsidRDefault="00B03613" w:rsidP="004D648B">
            <w:pPr>
              <w:spacing w:before="160"/>
              <w:rPr>
                <w:bCs/>
                <w:szCs w:val="24"/>
              </w:rPr>
            </w:pPr>
            <w:r w:rsidRPr="00B03613">
              <w:rPr>
                <w:bCs/>
                <w:szCs w:val="24"/>
              </w:rPr>
              <w:t xml:space="preserve">The Expert Group on the International Telecommunication Regulations is invited to </w:t>
            </w:r>
            <w:r>
              <w:rPr>
                <w:b/>
                <w:bCs/>
                <w:szCs w:val="24"/>
              </w:rPr>
              <w:t>discuss</w:t>
            </w:r>
            <w:r w:rsidRPr="00B03613">
              <w:rPr>
                <w:bCs/>
                <w:szCs w:val="24"/>
              </w:rPr>
              <w:t xml:space="preserve"> this document</w:t>
            </w:r>
            <w:r>
              <w:rPr>
                <w:bCs/>
                <w:szCs w:val="24"/>
              </w:rPr>
              <w:t>.</w:t>
            </w:r>
          </w:p>
          <w:p w14:paraId="72E08489" w14:textId="77777777" w:rsidR="004D648B" w:rsidRPr="0052249C" w:rsidRDefault="004D648B" w:rsidP="004D648B">
            <w:pPr>
              <w:spacing w:before="160"/>
              <w:rPr>
                <w:sz w:val="26"/>
                <w:szCs w:val="26"/>
              </w:rPr>
            </w:pPr>
            <w:r w:rsidRPr="0052249C">
              <w:rPr>
                <w:sz w:val="26"/>
                <w:szCs w:val="26"/>
              </w:rPr>
              <w:t>____________________________________</w:t>
            </w:r>
          </w:p>
          <w:p w14:paraId="2A496DAA" w14:textId="77777777" w:rsidR="00AD3606" w:rsidRDefault="004D648B" w:rsidP="004D648B">
            <w:pPr>
              <w:spacing w:before="160"/>
              <w:rPr>
                <w:b/>
                <w:bCs/>
                <w:sz w:val="26"/>
                <w:szCs w:val="26"/>
              </w:rPr>
            </w:pPr>
            <w:r w:rsidRPr="004D648B">
              <w:rPr>
                <w:b/>
                <w:bCs/>
                <w:sz w:val="26"/>
                <w:szCs w:val="26"/>
              </w:rPr>
              <w:t>Reference</w:t>
            </w:r>
          </w:p>
          <w:p w14:paraId="5E00C9D4" w14:textId="77777777" w:rsidR="00DE71FF" w:rsidRPr="005F6C56" w:rsidRDefault="005F6C56" w:rsidP="005F6C56">
            <w:pPr>
              <w:spacing w:after="120"/>
              <w:rPr>
                <w:i/>
                <w:iCs/>
                <w:sz w:val="22"/>
                <w:szCs w:val="22"/>
              </w:rPr>
            </w:pPr>
            <w:hyperlink r:id="rId8" w:history="1">
              <w:r w:rsidR="00AF6C7D" w:rsidRPr="005F6C56">
                <w:rPr>
                  <w:rStyle w:val="Hyperlink"/>
                  <w:rFonts w:asciiTheme="minorHAnsi" w:hAnsiTheme="minorHAnsi" w:cstheme="minorHAnsi"/>
                  <w:i/>
                  <w:iCs/>
                  <w:sz w:val="22"/>
                  <w:szCs w:val="22"/>
                </w:rPr>
                <w:t xml:space="preserve"> EG-ITRs-1/2: Contribution from Hill: Overall considerations</w:t>
              </w:r>
            </w:hyperlink>
          </w:p>
          <w:p w14:paraId="5F4BB742" w14:textId="77777777" w:rsidR="001648F9" w:rsidRPr="005F6C56" w:rsidRDefault="005F6C56" w:rsidP="005F6C56">
            <w:pPr>
              <w:spacing w:after="120"/>
              <w:rPr>
                <w:i/>
                <w:iCs/>
                <w:sz w:val="22"/>
                <w:szCs w:val="22"/>
                <w:lang w:val="en-US"/>
              </w:rPr>
            </w:pPr>
            <w:hyperlink r:id="rId9" w:history="1">
              <w:r w:rsidR="001648F9" w:rsidRPr="005F6C56">
                <w:rPr>
                  <w:rStyle w:val="Hyperlink"/>
                  <w:i/>
                  <w:iCs/>
                  <w:sz w:val="22"/>
                  <w:szCs w:val="22"/>
                  <w:lang w:val="en-US"/>
                </w:rPr>
                <w:t>EG-ITRs-1/5: Multi-country contribution: Review of the International Telecommunication Regulations and working methods</w:t>
              </w:r>
            </w:hyperlink>
          </w:p>
          <w:p w14:paraId="76C258BB" w14:textId="07FA98C7" w:rsidR="001648F9" w:rsidRPr="00DE71FF" w:rsidRDefault="005F6C56" w:rsidP="001648F9">
            <w:pPr>
              <w:spacing w:after="160"/>
            </w:pPr>
            <w:hyperlink r:id="rId10" w:history="1">
              <w:r w:rsidR="001648F9" w:rsidRPr="005F6C56">
                <w:rPr>
                  <w:rStyle w:val="Hyperlink"/>
                  <w:rFonts w:asciiTheme="minorHAnsi" w:hAnsiTheme="minorHAnsi" w:cstheme="minorHAnsi"/>
                  <w:i/>
                  <w:iCs/>
                  <w:sz w:val="22"/>
                  <w:szCs w:val="22"/>
                </w:rPr>
                <w:t xml:space="preserve">EG-ITRs-1/6: </w:t>
              </w:r>
              <w:proofErr w:type="gramStart"/>
              <w:r w:rsidR="001648F9" w:rsidRPr="005F6C56">
                <w:rPr>
                  <w:rStyle w:val="Hyperlink"/>
                  <w:rFonts w:asciiTheme="minorHAnsi" w:hAnsiTheme="minorHAnsi" w:cstheme="minorHAnsi"/>
                  <w:i/>
                  <w:iCs/>
                  <w:sz w:val="22"/>
                  <w:szCs w:val="22"/>
                </w:rPr>
                <w:t>Multi-country</w:t>
              </w:r>
              <w:proofErr w:type="gramEnd"/>
              <w:r w:rsidR="001648F9" w:rsidRPr="005F6C56">
                <w:rPr>
                  <w:rStyle w:val="Hyperlink"/>
                  <w:rFonts w:asciiTheme="minorHAnsi" w:hAnsiTheme="minorHAnsi" w:cstheme="minorHAnsi"/>
                  <w:i/>
                  <w:iCs/>
                  <w:sz w:val="22"/>
                  <w:szCs w:val="22"/>
                </w:rPr>
                <w:t xml:space="preserve"> contribution: Work plan proposal for EG-ITRs</w:t>
              </w:r>
              <w:r w:rsidR="001648F9" w:rsidRPr="00DE71FF">
                <w:rPr>
                  <w:rStyle w:val="Hyperlink"/>
                  <w:rFonts w:asciiTheme="minorHAnsi" w:hAnsiTheme="minorHAnsi" w:cstheme="minorHAnsi"/>
                  <w:szCs w:val="22"/>
                </w:rPr>
                <w:t xml:space="preserve"> </w:t>
              </w:r>
            </w:hyperlink>
          </w:p>
        </w:tc>
      </w:tr>
    </w:tbl>
    <w:p w14:paraId="7260AB64" w14:textId="77777777" w:rsidR="00E227F3" w:rsidRPr="0053640F"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019C1611" w14:textId="77777777" w:rsidR="0090147A" w:rsidRPr="0053640F"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53640F">
        <w:br w:type="page"/>
      </w:r>
    </w:p>
    <w:bookmarkEnd w:id="5"/>
    <w:bookmarkEnd w:id="10"/>
    <w:p w14:paraId="5C072BAB" w14:textId="77777777" w:rsidR="0017569B" w:rsidRDefault="0017569B"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b/>
        </w:rPr>
      </w:pPr>
      <w:r>
        <w:rPr>
          <w:rFonts w:asciiTheme="minorHAnsi" w:hAnsiTheme="minorHAnsi" w:cstheme="minorHAnsi"/>
          <w:b/>
        </w:rPr>
        <w:lastRenderedPageBreak/>
        <w:t>Summary</w:t>
      </w:r>
    </w:p>
    <w:p w14:paraId="1A232062" w14:textId="77777777" w:rsidR="0017569B" w:rsidRPr="0017569B" w:rsidRDefault="0017569B"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rPr>
      </w:pPr>
      <w:proofErr w:type="gramStart"/>
      <w:r>
        <w:rPr>
          <w:rFonts w:asciiTheme="minorHAnsi" w:hAnsiTheme="minorHAnsi" w:cstheme="minorHAnsi"/>
        </w:rPr>
        <w:t>This contributions</w:t>
      </w:r>
      <w:proofErr w:type="gramEnd"/>
      <w:r>
        <w:rPr>
          <w:rFonts w:asciiTheme="minorHAnsi" w:hAnsiTheme="minorHAnsi" w:cstheme="minorHAnsi"/>
        </w:rPr>
        <w:t xml:space="preserve"> presents a draft request for empirical data that could be sent to Member States and Sector Members, if the EG-ITRs is of the view that there is a need to request </w:t>
      </w:r>
      <w:r>
        <w:rPr>
          <w:lang w:val="en-US"/>
        </w:rPr>
        <w:t xml:space="preserve">empirical data </w:t>
      </w:r>
      <w:r w:rsidRPr="0011159B">
        <w:rPr>
          <w:rFonts w:asciiTheme="minorHAnsi" w:hAnsiTheme="minorHAnsi" w:cstheme="minorHAnsi"/>
          <w:szCs w:val="22"/>
        </w:rPr>
        <w:t>on the current use of the ITRs by operating agencies and/or administrations and the proportion of global telecommunication services which now rely on the ITRs</w:t>
      </w:r>
      <w:r>
        <w:rPr>
          <w:rFonts w:asciiTheme="minorHAnsi" w:hAnsiTheme="minorHAnsi" w:cstheme="minorHAnsi"/>
          <w:szCs w:val="22"/>
        </w:rPr>
        <w:t>.</w:t>
      </w:r>
    </w:p>
    <w:p w14:paraId="509E05B3" w14:textId="77777777" w:rsidR="00AF29E2" w:rsidRPr="0053640F" w:rsidRDefault="00AF29E2"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b/>
        </w:rPr>
      </w:pPr>
      <w:r w:rsidRPr="0053640F">
        <w:rPr>
          <w:rFonts w:asciiTheme="minorHAnsi" w:hAnsiTheme="minorHAnsi" w:cstheme="minorHAnsi"/>
          <w:b/>
        </w:rPr>
        <w:t>Background</w:t>
      </w:r>
    </w:p>
    <w:p w14:paraId="594D8369" w14:textId="77777777" w:rsidR="00AC30A5" w:rsidRDefault="009A3498"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rPr>
      </w:pPr>
      <w:r>
        <w:t xml:space="preserve">1. </w:t>
      </w:r>
      <w:hyperlink r:id="rId11" w:history="1">
        <w:r w:rsidR="001648F9">
          <w:rPr>
            <w:rStyle w:val="Hyperlink"/>
            <w:lang w:val="en-US"/>
          </w:rPr>
          <w:t>Contribution EG-ITRs-1/5</w:t>
        </w:r>
      </w:hyperlink>
      <w:r w:rsidR="00AC30A5">
        <w:rPr>
          <w:lang w:val="en-US"/>
        </w:rPr>
        <w:t xml:space="preserve"> </w:t>
      </w:r>
      <w:r>
        <w:rPr>
          <w:lang w:val="en-US"/>
        </w:rPr>
        <w:t>states: “</w:t>
      </w:r>
      <w:r w:rsidR="00AC30A5">
        <w:rPr>
          <w:lang w:val="en-US"/>
        </w:rPr>
        <w:t xml:space="preserve">We suggest that one of the core activities should cover a </w:t>
      </w:r>
      <w:r w:rsidR="00AC30A5">
        <w:rPr>
          <w:i/>
          <w:lang w:val="en-US"/>
        </w:rPr>
        <w:t>call for evidence</w:t>
      </w:r>
      <w:r w:rsidR="00AC30A5">
        <w:rPr>
          <w:lang w:val="en-US"/>
        </w:rPr>
        <w:t xml:space="preserve"> for empirical data </w:t>
      </w:r>
      <w:r w:rsidR="00AC30A5" w:rsidRPr="0011159B">
        <w:rPr>
          <w:rFonts w:asciiTheme="minorHAnsi" w:hAnsiTheme="minorHAnsi" w:cstheme="minorHAnsi"/>
          <w:szCs w:val="22"/>
        </w:rPr>
        <w:t>on the current use of the ITRs by operating agencies and/or administrations and the proportion of global telecommunication services which now rely on the ITRs</w:t>
      </w:r>
      <w:r>
        <w:rPr>
          <w:rFonts w:asciiTheme="minorHAnsi" w:hAnsiTheme="minorHAnsi" w:cstheme="minorHAnsi"/>
          <w:szCs w:val="22"/>
        </w:rPr>
        <w:t>.”</w:t>
      </w:r>
    </w:p>
    <w:p w14:paraId="0DB735C1" w14:textId="77777777" w:rsidR="00AC30A5" w:rsidRDefault="009A3498"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2"/>
        </w:rPr>
      </w:pPr>
      <w:r>
        <w:rPr>
          <w:rFonts w:asciiTheme="minorHAnsi" w:hAnsiTheme="minorHAnsi" w:cstheme="minorHAnsi"/>
          <w:szCs w:val="22"/>
        </w:rPr>
        <w:t xml:space="preserve">2. </w:t>
      </w:r>
      <w:hyperlink r:id="rId12" w:history="1">
        <w:r w:rsidR="001648F9">
          <w:rPr>
            <w:rStyle w:val="Hyperlink"/>
            <w:rFonts w:asciiTheme="minorHAnsi" w:hAnsiTheme="minorHAnsi" w:cstheme="minorHAnsi"/>
            <w:szCs w:val="22"/>
          </w:rPr>
          <w:t>Contribution EG-ITRs-1/6</w:t>
        </w:r>
      </w:hyperlink>
      <w:r w:rsidR="00AC30A5">
        <w:rPr>
          <w:rFonts w:asciiTheme="minorHAnsi" w:hAnsiTheme="minorHAnsi" w:cstheme="minorHAnsi"/>
          <w:szCs w:val="22"/>
        </w:rPr>
        <w:t xml:space="preserve"> </w:t>
      </w:r>
      <w:r w:rsidR="001648F9">
        <w:rPr>
          <w:rFonts w:asciiTheme="minorHAnsi" w:hAnsiTheme="minorHAnsi" w:cstheme="minorHAnsi"/>
          <w:szCs w:val="22"/>
        </w:rPr>
        <w:t>proposes “</w:t>
      </w:r>
      <w:r w:rsidR="00AC30A5" w:rsidRPr="0011159B">
        <w:rPr>
          <w:rFonts w:asciiTheme="minorHAnsi" w:hAnsiTheme="minorHAnsi" w:cstheme="minorHAnsi"/>
          <w:szCs w:val="22"/>
        </w:rPr>
        <w:t>a ‘call for evidence’ for empirical data on the current use of the ITRs by operating agencies and/or administrations and the proportion of global telecommunication services which now rely on the ITRs</w:t>
      </w:r>
      <w:r w:rsidR="001648F9">
        <w:rPr>
          <w:rFonts w:asciiTheme="minorHAnsi" w:hAnsiTheme="minorHAnsi" w:cstheme="minorHAnsi"/>
          <w:szCs w:val="22"/>
        </w:rPr>
        <w:t xml:space="preserve">.” </w:t>
      </w:r>
    </w:p>
    <w:p w14:paraId="4895E216" w14:textId="77777777" w:rsidR="009A3498" w:rsidRDefault="009A3498" w:rsidP="0053640F">
      <w:pPr>
        <w:tabs>
          <w:tab w:val="clear" w:pos="567"/>
          <w:tab w:val="clear" w:pos="1134"/>
          <w:tab w:val="clear" w:pos="1701"/>
          <w:tab w:val="clear" w:pos="2268"/>
          <w:tab w:val="clear" w:pos="2835"/>
        </w:tabs>
        <w:overflowPunct/>
        <w:autoSpaceDE/>
        <w:autoSpaceDN/>
        <w:adjustRightInd/>
        <w:textAlignment w:val="auto"/>
        <w:rPr>
          <w:rFonts w:eastAsiaTheme="minorHAnsi" w:cs="Calibri"/>
          <w:szCs w:val="24"/>
        </w:rPr>
      </w:pPr>
      <w:r>
        <w:rPr>
          <w:rFonts w:asciiTheme="minorHAnsi" w:hAnsiTheme="minorHAnsi" w:cstheme="minorHAnsi"/>
          <w:szCs w:val="22"/>
        </w:rPr>
        <w:t xml:space="preserve">3. As stated 1.9 of our </w:t>
      </w:r>
      <w:hyperlink r:id="rId13" w:history="1">
        <w:r>
          <w:rPr>
            <w:rStyle w:val="Hyperlink"/>
            <w:rFonts w:asciiTheme="minorHAnsi" w:hAnsiTheme="minorHAnsi" w:cstheme="minorHAnsi"/>
            <w:szCs w:val="22"/>
          </w:rPr>
          <w:t>Contribution EG-ITRs-1/2</w:t>
        </w:r>
      </w:hyperlink>
      <w:r>
        <w:rPr>
          <w:rFonts w:asciiTheme="minorHAnsi" w:hAnsiTheme="minorHAnsi" w:cstheme="minorHAnsi"/>
          <w:szCs w:val="22"/>
        </w:rPr>
        <w:t>, “</w:t>
      </w:r>
      <w:r w:rsidRPr="007832AD">
        <w:rPr>
          <w:rFonts w:eastAsiaTheme="minorHAnsi" w:cs="Calibri"/>
          <w:szCs w:val="24"/>
          <w:lang w:val="en-US"/>
        </w:rPr>
        <w:t xml:space="preserve">Requests for </w:t>
      </w:r>
      <w:r w:rsidRPr="007832AD">
        <w:rPr>
          <w:rFonts w:eastAsiaTheme="minorHAnsi" w:cs="Calibri"/>
          <w:szCs w:val="24"/>
        </w:rPr>
        <w:t>empirical data on the current use of the ITRs by operating agencies will inevitably result in replies to the effect that the ITRs are not used by operating agencies, because, in the current environment, operating agencies are mostly private companies and thus not directly bound by the ITRs, which are a treaty. While some provisions of the ITRs might be transposed to national law, operating agencies have no reason to know that they are indirectly affected by the ITRs.</w:t>
      </w:r>
      <w:r>
        <w:rPr>
          <w:rFonts w:eastAsiaTheme="minorHAnsi" w:cs="Calibri"/>
          <w:szCs w:val="24"/>
        </w:rPr>
        <w:t>”</w:t>
      </w:r>
    </w:p>
    <w:p w14:paraId="390F4FF1" w14:textId="77777777" w:rsidR="009A3498" w:rsidRDefault="009A3498" w:rsidP="0053640F">
      <w:pPr>
        <w:tabs>
          <w:tab w:val="clear" w:pos="567"/>
          <w:tab w:val="clear" w:pos="1134"/>
          <w:tab w:val="clear" w:pos="1701"/>
          <w:tab w:val="clear" w:pos="2268"/>
          <w:tab w:val="clear" w:pos="2835"/>
        </w:tabs>
        <w:overflowPunct/>
        <w:autoSpaceDE/>
        <w:autoSpaceDN/>
        <w:adjustRightInd/>
        <w:textAlignment w:val="auto"/>
        <w:rPr>
          <w:rFonts w:eastAsiaTheme="minorHAnsi" w:cs="Calibri"/>
          <w:szCs w:val="24"/>
        </w:rPr>
      </w:pPr>
      <w:r>
        <w:rPr>
          <w:rFonts w:eastAsiaTheme="minorHAnsi" w:cs="Calibri"/>
          <w:szCs w:val="24"/>
        </w:rPr>
        <w:t>4. Indeed the situation is comparable to that of other treaties, such as the New York Convention on the Recognition and Enforcement of Foreign Arbitral Awards</w:t>
      </w:r>
      <w:r>
        <w:rPr>
          <w:rStyle w:val="FootnoteReference"/>
          <w:rFonts w:eastAsiaTheme="minorHAnsi" w:cs="Calibri"/>
          <w:szCs w:val="24"/>
        </w:rPr>
        <w:footnoteReference w:id="1"/>
      </w:r>
      <w:r>
        <w:rPr>
          <w:rFonts w:eastAsiaTheme="minorHAnsi" w:cs="Calibri"/>
          <w:szCs w:val="24"/>
        </w:rPr>
        <w:t>, and the Vienna Convention on the International Sale of Goods</w:t>
      </w:r>
      <w:r>
        <w:rPr>
          <w:rStyle w:val="FootnoteReference"/>
          <w:rFonts w:eastAsiaTheme="minorHAnsi" w:cs="Calibri"/>
          <w:szCs w:val="24"/>
        </w:rPr>
        <w:footnoteReference w:id="2"/>
      </w:r>
      <w:r>
        <w:rPr>
          <w:rFonts w:eastAsiaTheme="minorHAnsi" w:cs="Calibri"/>
          <w:szCs w:val="24"/>
        </w:rPr>
        <w:t>.</w:t>
      </w:r>
    </w:p>
    <w:p w14:paraId="1B7AA440" w14:textId="77777777" w:rsidR="009A3498" w:rsidRDefault="009A3498" w:rsidP="0053640F">
      <w:pPr>
        <w:tabs>
          <w:tab w:val="clear" w:pos="567"/>
          <w:tab w:val="clear" w:pos="1134"/>
          <w:tab w:val="clear" w:pos="1701"/>
          <w:tab w:val="clear" w:pos="2268"/>
          <w:tab w:val="clear" w:pos="2835"/>
        </w:tabs>
        <w:overflowPunct/>
        <w:autoSpaceDE/>
        <w:autoSpaceDN/>
        <w:adjustRightInd/>
        <w:textAlignment w:val="auto"/>
        <w:rPr>
          <w:rFonts w:eastAsiaTheme="minorHAnsi" w:cs="Calibri"/>
          <w:szCs w:val="24"/>
        </w:rPr>
      </w:pPr>
      <w:r>
        <w:rPr>
          <w:rFonts w:eastAsiaTheme="minorHAnsi" w:cs="Calibri"/>
          <w:szCs w:val="24"/>
        </w:rPr>
        <w:t xml:space="preserve">5. Both of those treaties underpin much international commerce and are </w:t>
      </w:r>
      <w:r w:rsidR="004E31A8">
        <w:rPr>
          <w:rFonts w:eastAsiaTheme="minorHAnsi" w:cs="Calibri"/>
          <w:szCs w:val="24"/>
        </w:rPr>
        <w:t xml:space="preserve">extensively </w:t>
      </w:r>
      <w:r>
        <w:rPr>
          <w:rFonts w:eastAsiaTheme="minorHAnsi" w:cs="Calibri"/>
          <w:szCs w:val="24"/>
        </w:rPr>
        <w:t xml:space="preserve">relied upon by commercial parties. However, </w:t>
      </w:r>
      <w:proofErr w:type="gramStart"/>
      <w:r>
        <w:rPr>
          <w:rFonts w:eastAsiaTheme="minorHAnsi" w:cs="Calibri"/>
          <w:szCs w:val="24"/>
        </w:rPr>
        <w:t>business people</w:t>
      </w:r>
      <w:proofErr w:type="gramEnd"/>
      <w:r>
        <w:rPr>
          <w:rFonts w:eastAsiaTheme="minorHAnsi" w:cs="Calibri"/>
          <w:szCs w:val="24"/>
        </w:rPr>
        <w:t xml:space="preserve"> agreeing</w:t>
      </w:r>
      <w:r w:rsidR="004E31A8">
        <w:rPr>
          <w:rFonts w:eastAsiaTheme="minorHAnsi" w:cs="Calibri"/>
          <w:szCs w:val="24"/>
        </w:rPr>
        <w:t xml:space="preserve"> international</w:t>
      </w:r>
      <w:r>
        <w:rPr>
          <w:rFonts w:eastAsiaTheme="minorHAnsi" w:cs="Calibri"/>
          <w:szCs w:val="24"/>
        </w:rPr>
        <w:t xml:space="preserve"> contracts and/or arbitration clauses are not necessarily aware of the fact that those contracts and arbitration clauses are governed by the cited treaties, because the treaties are transposed into national law. Direct references in contract</w:t>
      </w:r>
      <w:r w:rsidR="004E31A8">
        <w:rPr>
          <w:rFonts w:eastAsiaTheme="minorHAnsi" w:cs="Calibri"/>
          <w:szCs w:val="24"/>
        </w:rPr>
        <w:t>s</w:t>
      </w:r>
      <w:r>
        <w:rPr>
          <w:rFonts w:eastAsiaTheme="minorHAnsi" w:cs="Calibri"/>
          <w:szCs w:val="24"/>
        </w:rPr>
        <w:t xml:space="preserve"> to the treaties would be unusual. </w:t>
      </w:r>
    </w:p>
    <w:p w14:paraId="4AFBDA9B" w14:textId="77777777" w:rsidR="009A3498" w:rsidRDefault="009A3498" w:rsidP="0053640F">
      <w:pPr>
        <w:tabs>
          <w:tab w:val="clear" w:pos="567"/>
          <w:tab w:val="clear" w:pos="1134"/>
          <w:tab w:val="clear" w:pos="1701"/>
          <w:tab w:val="clear" w:pos="2268"/>
          <w:tab w:val="clear" w:pos="2835"/>
        </w:tabs>
        <w:overflowPunct/>
        <w:autoSpaceDE/>
        <w:autoSpaceDN/>
        <w:adjustRightInd/>
        <w:textAlignment w:val="auto"/>
      </w:pPr>
      <w:r>
        <w:rPr>
          <w:rFonts w:eastAsiaTheme="minorHAnsi" w:cs="Calibri"/>
          <w:szCs w:val="24"/>
        </w:rPr>
        <w:t>6. For example, for arbitration, a typical model clause is “</w:t>
      </w:r>
      <w:r>
        <w:t>All disputes arising out of or in connection with the present contract shall be finally settled under the Rules of Arbitration of the International Chamber of Commerce by one or more arbitrators appointed in accordance with the said Rules.”</w:t>
      </w:r>
      <w:r>
        <w:rPr>
          <w:rStyle w:val="FootnoteReference"/>
        </w:rPr>
        <w:footnoteReference w:id="3"/>
      </w:r>
    </w:p>
    <w:p w14:paraId="3AFE3E5B" w14:textId="77777777" w:rsidR="009A3498" w:rsidRDefault="009A3498"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rPr>
      </w:pPr>
      <w:r>
        <w:t xml:space="preserve">7. Furthermore, as outlined in </w:t>
      </w:r>
      <w:hyperlink r:id="rId14" w:history="1">
        <w:r w:rsidR="00DE71FF">
          <w:rPr>
            <w:rStyle w:val="Hyperlink"/>
            <w:rFonts w:asciiTheme="minorHAnsi" w:hAnsiTheme="minorHAnsi" w:cstheme="minorHAnsi"/>
            <w:szCs w:val="22"/>
          </w:rPr>
          <w:t>Contribution EG-ITRs-1/2</w:t>
        </w:r>
      </w:hyperlink>
      <w:r>
        <w:rPr>
          <w:rFonts w:asciiTheme="minorHAnsi" w:hAnsiTheme="minorHAnsi" w:cstheme="minorHAnsi"/>
          <w:szCs w:val="22"/>
        </w:rPr>
        <w:t xml:space="preserve"> and its Addendum 15, there may be </w:t>
      </w:r>
      <w:r w:rsidR="007F268B" w:rsidRPr="0053640F">
        <w:rPr>
          <w:rFonts w:asciiTheme="minorHAnsi" w:hAnsiTheme="minorHAnsi" w:cstheme="minorHAnsi"/>
        </w:rPr>
        <w:t>new trends in telecommunications/ICT</w:t>
      </w:r>
      <w:r w:rsidR="004E31A8">
        <w:rPr>
          <w:rFonts w:asciiTheme="minorHAnsi" w:hAnsiTheme="minorHAnsi" w:cstheme="minorHAnsi"/>
        </w:rPr>
        <w:t>,</w:t>
      </w:r>
      <w:r w:rsidR="007F268B" w:rsidRPr="0053640F">
        <w:rPr>
          <w:rFonts w:asciiTheme="minorHAnsi" w:hAnsiTheme="minorHAnsi" w:cstheme="minorHAnsi"/>
        </w:rPr>
        <w:t xml:space="preserve"> </w:t>
      </w:r>
      <w:r w:rsidR="007F268B">
        <w:rPr>
          <w:rFonts w:asciiTheme="minorHAnsi" w:hAnsiTheme="minorHAnsi" w:cstheme="minorHAnsi"/>
        </w:rPr>
        <w:t>or</w:t>
      </w:r>
      <w:r w:rsidR="007F268B" w:rsidRPr="0053640F">
        <w:rPr>
          <w:rFonts w:asciiTheme="minorHAnsi" w:hAnsiTheme="minorHAnsi" w:cstheme="minorHAnsi"/>
        </w:rPr>
        <w:t xml:space="preserve"> emerging issues in international telecommunications/ICT environment</w:t>
      </w:r>
      <w:r w:rsidR="004E31A8">
        <w:rPr>
          <w:rFonts w:asciiTheme="minorHAnsi" w:hAnsiTheme="minorHAnsi" w:cstheme="minorHAnsi"/>
        </w:rPr>
        <w:t>,</w:t>
      </w:r>
      <w:r w:rsidR="007F268B">
        <w:rPr>
          <w:rFonts w:asciiTheme="minorHAnsi" w:hAnsiTheme="minorHAnsi" w:cstheme="minorHAnsi"/>
        </w:rPr>
        <w:t xml:space="preserve"> which may warrant consideration for inclusion in the ITRs</w:t>
      </w:r>
      <w:r w:rsidR="004E31A8">
        <w:rPr>
          <w:rFonts w:asciiTheme="minorHAnsi" w:hAnsiTheme="minorHAnsi" w:cstheme="minorHAnsi"/>
        </w:rPr>
        <w:t xml:space="preserve"> in the future</w:t>
      </w:r>
      <w:r w:rsidR="007F268B">
        <w:rPr>
          <w:rFonts w:asciiTheme="minorHAnsi" w:hAnsiTheme="minorHAnsi" w:cstheme="minorHAnsi"/>
        </w:rPr>
        <w:t>.</w:t>
      </w:r>
    </w:p>
    <w:p w14:paraId="46AAFEED" w14:textId="77777777" w:rsidR="004E31A8" w:rsidRDefault="004E31A8"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rPr>
      </w:pPr>
      <w:r>
        <w:rPr>
          <w:rFonts w:asciiTheme="minorHAnsi" w:hAnsiTheme="minorHAnsi" w:cstheme="minorHAnsi"/>
        </w:rPr>
        <w:t xml:space="preserve">9. In particular, as noted in 1.3, 1.13-1.17, and 1.23-1.27 of </w:t>
      </w:r>
      <w:hyperlink r:id="rId15" w:history="1">
        <w:r w:rsidR="00DE71FF">
          <w:rPr>
            <w:rStyle w:val="Hyperlink"/>
            <w:rFonts w:asciiTheme="minorHAnsi" w:hAnsiTheme="minorHAnsi" w:cstheme="minorHAnsi"/>
            <w:szCs w:val="22"/>
          </w:rPr>
          <w:t>Contribution EG-ITRs-1/2</w:t>
        </w:r>
      </w:hyperlink>
      <w:r>
        <w:rPr>
          <w:rFonts w:asciiTheme="minorHAnsi" w:hAnsiTheme="minorHAnsi" w:cstheme="minorHAnsi"/>
        </w:rPr>
        <w:t xml:space="preserve">, some countries apparently are of the view that treaty-level provisions are needed for matters such </w:t>
      </w:r>
      <w:r>
        <w:rPr>
          <w:rFonts w:asciiTheme="minorHAnsi" w:hAnsiTheme="minorHAnsi" w:cstheme="minorHAnsi"/>
        </w:rPr>
        <w:lastRenderedPageBreak/>
        <w:t>as spam and cybersecurity, because they have agreed such provision in trade agreements, and/or proposed that they be included in forthcoming trade agreements.</w:t>
      </w:r>
    </w:p>
    <w:p w14:paraId="2902AA15" w14:textId="77777777" w:rsidR="007F268B" w:rsidRDefault="004E31A8" w:rsidP="0053640F">
      <w:pPr>
        <w:tabs>
          <w:tab w:val="clear" w:pos="567"/>
          <w:tab w:val="clear" w:pos="1134"/>
          <w:tab w:val="clear" w:pos="1701"/>
          <w:tab w:val="clear" w:pos="2268"/>
          <w:tab w:val="clear" w:pos="2835"/>
        </w:tabs>
        <w:overflowPunct/>
        <w:autoSpaceDE/>
        <w:autoSpaceDN/>
        <w:adjustRightInd/>
        <w:textAlignment w:val="auto"/>
        <w:rPr>
          <w:rFonts w:eastAsiaTheme="minorHAnsi" w:cs="Calibri"/>
          <w:szCs w:val="24"/>
        </w:rPr>
      </w:pPr>
      <w:r>
        <w:rPr>
          <w:rFonts w:asciiTheme="minorHAnsi" w:hAnsiTheme="minorHAnsi" w:cstheme="minorHAnsi"/>
        </w:rPr>
        <w:t>10</w:t>
      </w:r>
      <w:r w:rsidR="007F268B">
        <w:rPr>
          <w:rFonts w:asciiTheme="minorHAnsi" w:hAnsiTheme="minorHAnsi" w:cstheme="minorHAnsi"/>
        </w:rPr>
        <w:t xml:space="preserve">. Thus it is proposed that </w:t>
      </w:r>
      <w:r>
        <w:rPr>
          <w:rFonts w:asciiTheme="minorHAnsi" w:hAnsiTheme="minorHAnsi" w:cstheme="minorHAnsi"/>
        </w:rPr>
        <w:t xml:space="preserve">a </w:t>
      </w:r>
      <w:r w:rsidR="007F268B">
        <w:rPr>
          <w:rFonts w:asciiTheme="minorHAnsi" w:hAnsiTheme="minorHAnsi" w:cstheme="minorHAnsi"/>
        </w:rPr>
        <w:t xml:space="preserve">request for empirical data </w:t>
      </w:r>
      <w:proofErr w:type="gramStart"/>
      <w:r w:rsidR="007F268B">
        <w:rPr>
          <w:rFonts w:asciiTheme="minorHAnsi" w:hAnsiTheme="minorHAnsi" w:cstheme="minorHAnsi"/>
        </w:rPr>
        <w:t>take into account</w:t>
      </w:r>
      <w:proofErr w:type="gramEnd"/>
      <w:r w:rsidR="007F268B">
        <w:rPr>
          <w:rFonts w:asciiTheme="minorHAnsi" w:hAnsiTheme="minorHAnsi" w:cstheme="minorHAnsi"/>
        </w:rPr>
        <w:t xml:space="preserve"> the matters referred to above. A draft </w:t>
      </w:r>
      <w:r>
        <w:rPr>
          <w:rFonts w:asciiTheme="minorHAnsi" w:hAnsiTheme="minorHAnsi" w:cstheme="minorHAnsi"/>
        </w:rPr>
        <w:t xml:space="preserve">outline of a </w:t>
      </w:r>
      <w:r w:rsidR="007F268B">
        <w:rPr>
          <w:rFonts w:asciiTheme="minorHAnsi" w:hAnsiTheme="minorHAnsi" w:cstheme="minorHAnsi"/>
        </w:rPr>
        <w:t xml:space="preserve">proposed request </w:t>
      </w:r>
      <w:r>
        <w:rPr>
          <w:rFonts w:asciiTheme="minorHAnsi" w:hAnsiTheme="minorHAnsi" w:cstheme="minorHAnsi"/>
        </w:rPr>
        <w:t>is</w:t>
      </w:r>
      <w:r w:rsidR="007F268B">
        <w:rPr>
          <w:rFonts w:asciiTheme="minorHAnsi" w:hAnsiTheme="minorHAnsi" w:cstheme="minorHAnsi"/>
        </w:rPr>
        <w:t xml:space="preserve"> presented below.</w:t>
      </w:r>
    </w:p>
    <w:p w14:paraId="6643B541" w14:textId="77777777" w:rsidR="009A3498" w:rsidRPr="0053640F" w:rsidRDefault="009A3498"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rPr>
      </w:pPr>
    </w:p>
    <w:p w14:paraId="4E8D5F58" w14:textId="77777777" w:rsidR="00AF29E2" w:rsidRPr="0053640F" w:rsidRDefault="00AF29E2" w:rsidP="004E31A8">
      <w:pPr>
        <w:keepNext/>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b/>
          <w:lang w:val="en-US"/>
        </w:rPr>
      </w:pPr>
      <w:r w:rsidRPr="0053640F">
        <w:rPr>
          <w:rFonts w:asciiTheme="minorHAnsi" w:hAnsiTheme="minorHAnsi" w:cstheme="minorHAnsi"/>
          <w:b/>
          <w:lang w:val="en-US"/>
        </w:rPr>
        <w:t>Proposal</w:t>
      </w:r>
    </w:p>
    <w:p w14:paraId="208F9FEB" w14:textId="77777777" w:rsidR="00AF29E2" w:rsidRPr="0053640F" w:rsidRDefault="004E31A8" w:rsidP="004E31A8">
      <w:pPr>
        <w:keepNext/>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lang w:val="en-US"/>
        </w:rPr>
      </w:pPr>
      <w:r>
        <w:rPr>
          <w:rFonts w:asciiTheme="minorHAnsi" w:hAnsiTheme="minorHAnsi" w:cstheme="minorHAnsi"/>
          <w:lang w:val="en-US"/>
        </w:rPr>
        <w:t>11</w:t>
      </w:r>
      <w:r w:rsidR="00AF29E2" w:rsidRPr="0053640F">
        <w:rPr>
          <w:rFonts w:asciiTheme="minorHAnsi" w:hAnsiTheme="minorHAnsi" w:cstheme="minorHAnsi"/>
          <w:lang w:val="en-US"/>
        </w:rPr>
        <w:t xml:space="preserve">. </w:t>
      </w:r>
      <w:proofErr w:type="gramStart"/>
      <w:r w:rsidR="00AF29E2" w:rsidRPr="0053640F">
        <w:rPr>
          <w:rFonts w:asciiTheme="minorHAnsi" w:hAnsiTheme="minorHAnsi" w:cstheme="minorHAnsi"/>
          <w:lang w:val="en-US"/>
        </w:rPr>
        <w:t>In light of</w:t>
      </w:r>
      <w:proofErr w:type="gramEnd"/>
      <w:r w:rsidR="00AF29E2" w:rsidRPr="0053640F">
        <w:rPr>
          <w:rFonts w:asciiTheme="minorHAnsi" w:hAnsiTheme="minorHAnsi" w:cstheme="minorHAnsi"/>
          <w:lang w:val="en-US"/>
        </w:rPr>
        <w:t xml:space="preserve"> the above, </w:t>
      </w:r>
      <w:r w:rsidR="007F268B">
        <w:rPr>
          <w:rFonts w:asciiTheme="minorHAnsi" w:hAnsiTheme="minorHAnsi" w:cstheme="minorHAnsi"/>
          <w:lang w:val="en-US"/>
        </w:rPr>
        <w:t>it is proposed that, if the EG-ITRs decides to issue a request for empirical data, then</w:t>
      </w:r>
      <w:r w:rsidR="00AF29E2" w:rsidRPr="0053640F">
        <w:rPr>
          <w:rFonts w:asciiTheme="minorHAnsi" w:hAnsiTheme="minorHAnsi" w:cstheme="minorHAnsi"/>
          <w:lang w:val="en-US"/>
        </w:rPr>
        <w:t>:</w:t>
      </w:r>
    </w:p>
    <w:p w14:paraId="40F6B1E5" w14:textId="77777777" w:rsidR="007F268B" w:rsidRDefault="001569E7" w:rsidP="0053640F">
      <w:pPr>
        <w:pStyle w:val="ListParagraph"/>
        <w:numPr>
          <w:ilvl w:val="0"/>
          <w:numId w:val="7"/>
        </w:numPr>
        <w:tabs>
          <w:tab w:val="clear" w:pos="567"/>
          <w:tab w:val="clear" w:pos="1134"/>
          <w:tab w:val="clear" w:pos="1701"/>
          <w:tab w:val="clear" w:pos="2268"/>
          <w:tab w:val="clear" w:pos="2835"/>
        </w:tabs>
        <w:overflowPunct/>
        <w:autoSpaceDE/>
        <w:autoSpaceDN/>
        <w:adjustRightInd/>
        <w:contextualSpacing w:val="0"/>
        <w:textAlignment w:val="auto"/>
        <w:rPr>
          <w:rFonts w:asciiTheme="minorHAnsi" w:hAnsiTheme="minorHAnsi" w:cstheme="minorHAnsi"/>
          <w:lang w:val="en-US"/>
        </w:rPr>
      </w:pPr>
      <w:r>
        <w:rPr>
          <w:rFonts w:asciiTheme="minorHAnsi" w:hAnsiTheme="minorHAnsi" w:cstheme="minorHAnsi"/>
          <w:lang w:val="en-US"/>
        </w:rPr>
        <w:t>The request should b</w:t>
      </w:r>
      <w:r w:rsidR="002F7555">
        <w:rPr>
          <w:rFonts w:asciiTheme="minorHAnsi" w:hAnsiTheme="minorHAnsi" w:cstheme="minorHAnsi"/>
          <w:lang w:val="en-US"/>
        </w:rPr>
        <w:t>e sent to all A</w:t>
      </w:r>
      <w:r w:rsidR="007F268B">
        <w:rPr>
          <w:rFonts w:asciiTheme="minorHAnsi" w:hAnsiTheme="minorHAnsi" w:cstheme="minorHAnsi"/>
          <w:lang w:val="en-US"/>
        </w:rPr>
        <w:t xml:space="preserve">dministrations and </w:t>
      </w:r>
      <w:r>
        <w:rPr>
          <w:rFonts w:asciiTheme="minorHAnsi" w:hAnsiTheme="minorHAnsi" w:cstheme="minorHAnsi"/>
          <w:lang w:val="en-US"/>
        </w:rPr>
        <w:t xml:space="preserve">to </w:t>
      </w:r>
      <w:r w:rsidR="007F268B">
        <w:rPr>
          <w:rFonts w:asciiTheme="minorHAnsi" w:hAnsiTheme="minorHAnsi" w:cstheme="minorHAnsi"/>
          <w:lang w:val="en-US"/>
        </w:rPr>
        <w:t>all Sector Members.</w:t>
      </w:r>
    </w:p>
    <w:p w14:paraId="53136885" w14:textId="77777777" w:rsidR="007F6EFC" w:rsidRDefault="007F268B" w:rsidP="0053640F">
      <w:pPr>
        <w:pStyle w:val="ListParagraph"/>
        <w:numPr>
          <w:ilvl w:val="0"/>
          <w:numId w:val="7"/>
        </w:numPr>
        <w:tabs>
          <w:tab w:val="clear" w:pos="567"/>
          <w:tab w:val="clear" w:pos="1134"/>
          <w:tab w:val="clear" w:pos="1701"/>
          <w:tab w:val="clear" w:pos="2268"/>
          <w:tab w:val="clear" w:pos="2835"/>
        </w:tabs>
        <w:overflowPunct/>
        <w:autoSpaceDE/>
        <w:autoSpaceDN/>
        <w:adjustRightInd/>
        <w:contextualSpacing w:val="0"/>
        <w:textAlignment w:val="auto"/>
        <w:rPr>
          <w:rFonts w:asciiTheme="minorHAnsi" w:hAnsiTheme="minorHAnsi" w:cstheme="minorHAnsi"/>
          <w:lang w:val="en-US"/>
        </w:rPr>
      </w:pPr>
      <w:r>
        <w:rPr>
          <w:rFonts w:asciiTheme="minorHAnsi" w:hAnsiTheme="minorHAnsi" w:cstheme="minorHAnsi"/>
          <w:lang w:val="en-US"/>
        </w:rPr>
        <w:t xml:space="preserve">Administrations be invited to forward the request to </w:t>
      </w:r>
      <w:r w:rsidR="002F7555">
        <w:rPr>
          <w:rFonts w:asciiTheme="minorHAnsi" w:hAnsiTheme="minorHAnsi" w:cstheme="minorHAnsi"/>
          <w:lang w:val="en-US"/>
        </w:rPr>
        <w:t>O</w:t>
      </w:r>
      <w:r>
        <w:rPr>
          <w:rFonts w:asciiTheme="minorHAnsi" w:hAnsiTheme="minorHAnsi" w:cstheme="minorHAnsi"/>
          <w:lang w:val="en-US"/>
        </w:rPr>
        <w:t xml:space="preserve">perating </w:t>
      </w:r>
      <w:r w:rsidR="002F7555">
        <w:rPr>
          <w:rFonts w:asciiTheme="minorHAnsi" w:hAnsiTheme="minorHAnsi" w:cstheme="minorHAnsi"/>
          <w:lang w:val="en-US"/>
        </w:rPr>
        <w:t>A</w:t>
      </w:r>
      <w:r>
        <w:rPr>
          <w:rFonts w:asciiTheme="minorHAnsi" w:hAnsiTheme="minorHAnsi" w:cstheme="minorHAnsi"/>
          <w:lang w:val="en-US"/>
        </w:rPr>
        <w:t>gencies.</w:t>
      </w:r>
    </w:p>
    <w:p w14:paraId="2A9D975A" w14:textId="77777777" w:rsidR="007F268B" w:rsidRPr="0053640F" w:rsidRDefault="007F268B" w:rsidP="0053640F">
      <w:pPr>
        <w:pStyle w:val="ListParagraph"/>
        <w:numPr>
          <w:ilvl w:val="0"/>
          <w:numId w:val="7"/>
        </w:numPr>
        <w:tabs>
          <w:tab w:val="clear" w:pos="567"/>
          <w:tab w:val="clear" w:pos="1134"/>
          <w:tab w:val="clear" w:pos="1701"/>
          <w:tab w:val="clear" w:pos="2268"/>
          <w:tab w:val="clear" w:pos="2835"/>
        </w:tabs>
        <w:overflowPunct/>
        <w:autoSpaceDE/>
        <w:autoSpaceDN/>
        <w:adjustRightInd/>
        <w:contextualSpacing w:val="0"/>
        <w:textAlignment w:val="auto"/>
        <w:rPr>
          <w:rFonts w:asciiTheme="minorHAnsi" w:hAnsiTheme="minorHAnsi" w:cstheme="minorHAnsi"/>
          <w:lang w:val="en-US"/>
        </w:rPr>
      </w:pPr>
      <w:r>
        <w:rPr>
          <w:rFonts w:asciiTheme="minorHAnsi" w:hAnsiTheme="minorHAnsi" w:cstheme="minorHAnsi"/>
          <w:lang w:val="en-US"/>
        </w:rPr>
        <w:t xml:space="preserve">The request </w:t>
      </w:r>
      <w:proofErr w:type="gramStart"/>
      <w:r>
        <w:rPr>
          <w:rFonts w:asciiTheme="minorHAnsi" w:hAnsiTheme="minorHAnsi" w:cstheme="minorHAnsi"/>
          <w:lang w:val="en-US"/>
        </w:rPr>
        <w:t>contain</w:t>
      </w:r>
      <w:proofErr w:type="gramEnd"/>
      <w:r>
        <w:rPr>
          <w:rFonts w:asciiTheme="minorHAnsi" w:hAnsiTheme="minorHAnsi" w:cstheme="minorHAnsi"/>
          <w:lang w:val="en-US"/>
        </w:rPr>
        <w:t xml:space="preserve"> the following elements:</w:t>
      </w:r>
    </w:p>
    <w:p w14:paraId="7AC413C9" w14:textId="77777777" w:rsidR="00AF29E2" w:rsidRDefault="007F268B" w:rsidP="0053640F">
      <w:pPr>
        <w:pStyle w:val="ListParagraph"/>
        <w:numPr>
          <w:ilvl w:val="1"/>
          <w:numId w:val="7"/>
        </w:numPr>
        <w:tabs>
          <w:tab w:val="clear" w:pos="567"/>
          <w:tab w:val="clear" w:pos="1134"/>
          <w:tab w:val="clear" w:pos="1701"/>
          <w:tab w:val="clear" w:pos="2268"/>
          <w:tab w:val="clear" w:pos="2835"/>
        </w:tabs>
        <w:overflowPunct/>
        <w:autoSpaceDE/>
        <w:autoSpaceDN/>
        <w:adjustRightInd/>
        <w:contextualSpacing w:val="0"/>
        <w:textAlignment w:val="auto"/>
        <w:rPr>
          <w:rFonts w:asciiTheme="minorHAnsi" w:hAnsiTheme="minorHAnsi" w:cstheme="minorHAnsi"/>
          <w:lang w:val="en-US"/>
        </w:rPr>
      </w:pPr>
      <w:r>
        <w:rPr>
          <w:rFonts w:asciiTheme="minorHAnsi" w:hAnsiTheme="minorHAnsi" w:cstheme="minorHAnsi"/>
          <w:lang w:val="en-US"/>
        </w:rPr>
        <w:t>A preamble explaining that treaties bind states, so they do not directly bind private parties, but they may bind private parties by being transposed to national law.</w:t>
      </w:r>
    </w:p>
    <w:p w14:paraId="4F37F9C8" w14:textId="77777777" w:rsidR="007F268B" w:rsidRDefault="007F268B" w:rsidP="0053640F">
      <w:pPr>
        <w:pStyle w:val="ListParagraph"/>
        <w:numPr>
          <w:ilvl w:val="1"/>
          <w:numId w:val="7"/>
        </w:numPr>
        <w:tabs>
          <w:tab w:val="clear" w:pos="567"/>
          <w:tab w:val="clear" w:pos="1134"/>
          <w:tab w:val="clear" w:pos="1701"/>
          <w:tab w:val="clear" w:pos="2268"/>
          <w:tab w:val="clear" w:pos="2835"/>
        </w:tabs>
        <w:overflowPunct/>
        <w:autoSpaceDE/>
        <w:autoSpaceDN/>
        <w:adjustRightInd/>
        <w:contextualSpacing w:val="0"/>
        <w:textAlignment w:val="auto"/>
        <w:rPr>
          <w:rFonts w:asciiTheme="minorHAnsi" w:hAnsiTheme="minorHAnsi" w:cstheme="minorHAnsi"/>
          <w:lang w:val="en-US"/>
        </w:rPr>
      </w:pPr>
      <w:r>
        <w:rPr>
          <w:rFonts w:asciiTheme="minorHAnsi" w:hAnsiTheme="minorHAnsi" w:cstheme="minorHAnsi"/>
          <w:lang w:val="en-US"/>
        </w:rPr>
        <w:t>A short history of the ITRs.</w:t>
      </w:r>
    </w:p>
    <w:p w14:paraId="31765FEC" w14:textId="77777777" w:rsidR="007F268B" w:rsidRDefault="007F268B" w:rsidP="0053640F">
      <w:pPr>
        <w:pStyle w:val="ListParagraph"/>
        <w:numPr>
          <w:ilvl w:val="1"/>
          <w:numId w:val="7"/>
        </w:numPr>
        <w:tabs>
          <w:tab w:val="clear" w:pos="567"/>
          <w:tab w:val="clear" w:pos="1134"/>
          <w:tab w:val="clear" w:pos="1701"/>
          <w:tab w:val="clear" w:pos="2268"/>
          <w:tab w:val="clear" w:pos="2835"/>
        </w:tabs>
        <w:overflowPunct/>
        <w:autoSpaceDE/>
        <w:autoSpaceDN/>
        <w:adjustRightInd/>
        <w:contextualSpacing w:val="0"/>
        <w:textAlignment w:val="auto"/>
        <w:rPr>
          <w:rFonts w:asciiTheme="minorHAnsi" w:hAnsiTheme="minorHAnsi" w:cstheme="minorHAnsi"/>
          <w:lang w:val="en-US"/>
        </w:rPr>
      </w:pPr>
      <w:r>
        <w:rPr>
          <w:rFonts w:asciiTheme="minorHAnsi" w:hAnsiTheme="minorHAnsi" w:cstheme="minorHAnsi"/>
          <w:lang w:val="en-US"/>
        </w:rPr>
        <w:t xml:space="preserve">An explanation of why </w:t>
      </w:r>
      <w:r w:rsidR="002F7555">
        <w:rPr>
          <w:rFonts w:asciiTheme="minorHAnsi" w:hAnsiTheme="minorHAnsi" w:cstheme="minorHAnsi"/>
          <w:lang w:val="en-US"/>
        </w:rPr>
        <w:t xml:space="preserve">– as </w:t>
      </w:r>
      <w:r w:rsidR="00C67880">
        <w:rPr>
          <w:rFonts w:asciiTheme="minorHAnsi" w:hAnsiTheme="minorHAnsi" w:cstheme="minorHAnsi"/>
          <w:lang w:val="en-US"/>
        </w:rPr>
        <w:t xml:space="preserve">implicitly </w:t>
      </w:r>
      <w:r w:rsidR="002F7555">
        <w:rPr>
          <w:rFonts w:asciiTheme="minorHAnsi" w:hAnsiTheme="minorHAnsi" w:cstheme="minorHAnsi"/>
          <w:lang w:val="en-US"/>
        </w:rPr>
        <w:t xml:space="preserve">recognized in article 8 of the 2012 ITRs – </w:t>
      </w:r>
      <w:r>
        <w:rPr>
          <w:rFonts w:asciiTheme="minorHAnsi" w:hAnsiTheme="minorHAnsi" w:cstheme="minorHAnsi"/>
          <w:lang w:val="en-US"/>
        </w:rPr>
        <w:t xml:space="preserve">the accounting </w:t>
      </w:r>
      <w:r w:rsidR="002F7555">
        <w:rPr>
          <w:rFonts w:asciiTheme="minorHAnsi" w:hAnsiTheme="minorHAnsi" w:cstheme="minorHAnsi"/>
          <w:lang w:val="en-US"/>
        </w:rPr>
        <w:t>rates</w:t>
      </w:r>
      <w:r>
        <w:rPr>
          <w:rFonts w:asciiTheme="minorHAnsi" w:hAnsiTheme="minorHAnsi" w:cstheme="minorHAnsi"/>
          <w:lang w:val="en-US"/>
        </w:rPr>
        <w:t xml:space="preserve"> of article 6 of the 1988 ITRs are no longer </w:t>
      </w:r>
      <w:r w:rsidR="002F7555">
        <w:rPr>
          <w:rFonts w:asciiTheme="minorHAnsi" w:hAnsiTheme="minorHAnsi" w:cstheme="minorHAnsi"/>
          <w:lang w:val="en-US"/>
        </w:rPr>
        <w:t>used for most international telecommunication services</w:t>
      </w:r>
      <w:r w:rsidR="00C67880">
        <w:rPr>
          <w:rFonts w:asciiTheme="minorHAnsi" w:hAnsiTheme="minorHAnsi" w:cstheme="minorHAnsi"/>
          <w:lang w:val="en-US"/>
        </w:rPr>
        <w:t xml:space="preserve"> (see in this respect the discussion in 3 to 7 of Addendum 8 of </w:t>
      </w:r>
      <w:r w:rsidR="00C67880">
        <w:rPr>
          <w:rFonts w:asciiTheme="minorHAnsi" w:hAnsiTheme="minorHAnsi" w:cstheme="minorHAnsi"/>
          <w:szCs w:val="22"/>
        </w:rPr>
        <w:t xml:space="preserve">our </w:t>
      </w:r>
      <w:hyperlink r:id="rId16" w:history="1">
        <w:r w:rsidR="00C67880">
          <w:rPr>
            <w:rStyle w:val="Hyperlink"/>
            <w:rFonts w:asciiTheme="minorHAnsi" w:hAnsiTheme="minorHAnsi" w:cstheme="minorHAnsi"/>
            <w:szCs w:val="22"/>
          </w:rPr>
          <w:t>Contribution EG-ITRs-1/2</w:t>
        </w:r>
      </w:hyperlink>
      <w:r w:rsidR="00C67880">
        <w:rPr>
          <w:rFonts w:asciiTheme="minorHAnsi" w:hAnsiTheme="minorHAnsi" w:cstheme="minorHAnsi"/>
          <w:szCs w:val="22"/>
        </w:rPr>
        <w:t>)</w:t>
      </w:r>
      <w:r>
        <w:rPr>
          <w:rFonts w:asciiTheme="minorHAnsi" w:hAnsiTheme="minorHAnsi" w:cstheme="minorHAnsi"/>
          <w:lang w:val="en-US"/>
        </w:rPr>
        <w:t>.</w:t>
      </w:r>
    </w:p>
    <w:p w14:paraId="254ABAA6" w14:textId="77777777" w:rsidR="00CD743D" w:rsidRDefault="007F268B" w:rsidP="0053640F">
      <w:pPr>
        <w:pStyle w:val="ListParagraph"/>
        <w:numPr>
          <w:ilvl w:val="1"/>
          <w:numId w:val="7"/>
        </w:numPr>
        <w:tabs>
          <w:tab w:val="clear" w:pos="567"/>
          <w:tab w:val="clear" w:pos="1134"/>
          <w:tab w:val="clear" w:pos="1701"/>
          <w:tab w:val="clear" w:pos="2268"/>
          <w:tab w:val="clear" w:pos="2835"/>
        </w:tabs>
        <w:overflowPunct/>
        <w:autoSpaceDE/>
        <w:autoSpaceDN/>
        <w:adjustRightInd/>
        <w:contextualSpacing w:val="0"/>
        <w:textAlignment w:val="auto"/>
        <w:rPr>
          <w:rFonts w:asciiTheme="minorHAnsi" w:hAnsiTheme="minorHAnsi" w:cstheme="minorHAnsi"/>
          <w:lang w:val="en-US"/>
        </w:rPr>
      </w:pPr>
      <w:r>
        <w:rPr>
          <w:rFonts w:asciiTheme="minorHAnsi" w:hAnsiTheme="minorHAnsi" w:cstheme="minorHAnsi"/>
          <w:lang w:val="en-US"/>
        </w:rPr>
        <w:t>An invitation to comment on whether other provisions of the 1988 and/or 2012 ITRs</w:t>
      </w:r>
      <w:r w:rsidR="002F7555">
        <w:rPr>
          <w:rFonts w:asciiTheme="minorHAnsi" w:hAnsiTheme="minorHAnsi" w:cstheme="minorHAnsi"/>
          <w:lang w:val="en-US"/>
        </w:rPr>
        <w:t>:</w:t>
      </w:r>
    </w:p>
    <w:p w14:paraId="3EE74AF2" w14:textId="77777777" w:rsidR="007F268B" w:rsidRDefault="007F268B" w:rsidP="002F7555">
      <w:pPr>
        <w:pStyle w:val="ListParagraph"/>
        <w:numPr>
          <w:ilvl w:val="2"/>
          <w:numId w:val="7"/>
        </w:numPr>
        <w:tabs>
          <w:tab w:val="clear" w:pos="567"/>
          <w:tab w:val="clear" w:pos="1134"/>
          <w:tab w:val="clear" w:pos="1701"/>
          <w:tab w:val="clear" w:pos="2268"/>
          <w:tab w:val="clear" w:pos="2835"/>
        </w:tabs>
        <w:overflowPunct/>
        <w:autoSpaceDE/>
        <w:autoSpaceDN/>
        <w:adjustRightInd/>
        <w:ind w:left="1797" w:hanging="720"/>
        <w:contextualSpacing w:val="0"/>
        <w:textAlignment w:val="auto"/>
        <w:rPr>
          <w:rFonts w:asciiTheme="minorHAnsi" w:hAnsiTheme="minorHAnsi" w:cstheme="minorHAnsi"/>
          <w:lang w:val="en-US"/>
        </w:rPr>
      </w:pPr>
      <w:r>
        <w:rPr>
          <w:rFonts w:asciiTheme="minorHAnsi" w:hAnsiTheme="minorHAnsi" w:cstheme="minorHAnsi"/>
          <w:lang w:val="en-US"/>
        </w:rPr>
        <w:t>are</w:t>
      </w:r>
      <w:r w:rsidR="001569E7">
        <w:rPr>
          <w:rFonts w:asciiTheme="minorHAnsi" w:hAnsiTheme="minorHAnsi" w:cstheme="minorHAnsi"/>
          <w:lang w:val="en-US"/>
        </w:rPr>
        <w:t xml:space="preserve"> </w:t>
      </w:r>
      <w:r>
        <w:rPr>
          <w:rFonts w:asciiTheme="minorHAnsi" w:hAnsiTheme="minorHAnsi" w:cstheme="minorHAnsi"/>
          <w:lang w:val="en-US"/>
        </w:rPr>
        <w:t xml:space="preserve">relevant or useful </w:t>
      </w:r>
      <w:r w:rsidR="00CD743D">
        <w:rPr>
          <w:rFonts w:asciiTheme="minorHAnsi" w:hAnsiTheme="minorHAnsi" w:cstheme="minorHAnsi"/>
          <w:lang w:val="en-US"/>
        </w:rPr>
        <w:t>because they have been</w:t>
      </w:r>
      <w:r w:rsidR="001569E7">
        <w:rPr>
          <w:rFonts w:asciiTheme="minorHAnsi" w:hAnsiTheme="minorHAnsi" w:cstheme="minorHAnsi"/>
          <w:lang w:val="en-US"/>
        </w:rPr>
        <w:t xml:space="preserve"> </w:t>
      </w:r>
      <w:r>
        <w:rPr>
          <w:rFonts w:asciiTheme="minorHAnsi" w:hAnsiTheme="minorHAnsi" w:cstheme="minorHAnsi"/>
          <w:lang w:val="en-US"/>
        </w:rPr>
        <w:t xml:space="preserve">transposed to national </w:t>
      </w:r>
      <w:proofErr w:type="gramStart"/>
      <w:r>
        <w:rPr>
          <w:rFonts w:asciiTheme="minorHAnsi" w:hAnsiTheme="minorHAnsi" w:cstheme="minorHAnsi"/>
          <w:lang w:val="en-US"/>
        </w:rPr>
        <w:t>law</w:t>
      </w:r>
      <w:r w:rsidR="00CD743D">
        <w:rPr>
          <w:rFonts w:asciiTheme="minorHAnsi" w:hAnsiTheme="minorHAnsi" w:cstheme="minorHAnsi"/>
          <w:lang w:val="en-US"/>
        </w:rPr>
        <w:t>;</w:t>
      </w:r>
      <w:proofErr w:type="gramEnd"/>
    </w:p>
    <w:p w14:paraId="4A32FB2F" w14:textId="77777777" w:rsidR="002F7555" w:rsidRDefault="00CD743D" w:rsidP="002F7555">
      <w:pPr>
        <w:pStyle w:val="ListParagraph"/>
        <w:numPr>
          <w:ilvl w:val="2"/>
          <w:numId w:val="7"/>
        </w:numPr>
        <w:tabs>
          <w:tab w:val="clear" w:pos="567"/>
          <w:tab w:val="clear" w:pos="1134"/>
          <w:tab w:val="clear" w:pos="1701"/>
          <w:tab w:val="clear" w:pos="2268"/>
          <w:tab w:val="clear" w:pos="2835"/>
        </w:tabs>
        <w:overflowPunct/>
        <w:autoSpaceDE/>
        <w:autoSpaceDN/>
        <w:adjustRightInd/>
        <w:ind w:left="1797" w:hanging="720"/>
        <w:contextualSpacing w:val="0"/>
        <w:textAlignment w:val="auto"/>
        <w:rPr>
          <w:rFonts w:asciiTheme="minorHAnsi" w:hAnsiTheme="minorHAnsi" w:cstheme="minorHAnsi"/>
          <w:lang w:val="en-US"/>
        </w:rPr>
      </w:pPr>
      <w:r>
        <w:rPr>
          <w:rFonts w:asciiTheme="minorHAnsi" w:hAnsiTheme="minorHAnsi" w:cstheme="minorHAnsi"/>
          <w:lang w:val="en-US"/>
        </w:rPr>
        <w:t xml:space="preserve">would be relevant or useful if they </w:t>
      </w:r>
      <w:r w:rsidR="002F7555">
        <w:rPr>
          <w:rFonts w:asciiTheme="minorHAnsi" w:hAnsiTheme="minorHAnsi" w:cstheme="minorHAnsi"/>
          <w:lang w:val="en-US"/>
        </w:rPr>
        <w:t>were</w:t>
      </w:r>
      <w:r>
        <w:rPr>
          <w:rFonts w:asciiTheme="minorHAnsi" w:hAnsiTheme="minorHAnsi" w:cstheme="minorHAnsi"/>
          <w:lang w:val="en-US"/>
        </w:rPr>
        <w:t xml:space="preserve"> transposed to national </w:t>
      </w:r>
      <w:proofErr w:type="gramStart"/>
      <w:r>
        <w:rPr>
          <w:rFonts w:asciiTheme="minorHAnsi" w:hAnsiTheme="minorHAnsi" w:cstheme="minorHAnsi"/>
          <w:lang w:val="en-US"/>
        </w:rPr>
        <w:t>law;</w:t>
      </w:r>
      <w:proofErr w:type="gramEnd"/>
      <w:r>
        <w:rPr>
          <w:rFonts w:asciiTheme="minorHAnsi" w:hAnsiTheme="minorHAnsi" w:cstheme="minorHAnsi"/>
          <w:lang w:val="en-US"/>
        </w:rPr>
        <w:t xml:space="preserve"> </w:t>
      </w:r>
    </w:p>
    <w:p w14:paraId="20DB08AD" w14:textId="77777777" w:rsidR="002F7555" w:rsidRDefault="00CD743D" w:rsidP="002F7555">
      <w:pPr>
        <w:pStyle w:val="ListParagraph"/>
        <w:numPr>
          <w:ilvl w:val="2"/>
          <w:numId w:val="7"/>
        </w:numPr>
        <w:tabs>
          <w:tab w:val="clear" w:pos="567"/>
          <w:tab w:val="clear" w:pos="1134"/>
          <w:tab w:val="clear" w:pos="1701"/>
          <w:tab w:val="clear" w:pos="2268"/>
          <w:tab w:val="clear" w:pos="2835"/>
        </w:tabs>
        <w:overflowPunct/>
        <w:autoSpaceDE/>
        <w:autoSpaceDN/>
        <w:adjustRightInd/>
        <w:ind w:left="1797" w:hanging="720"/>
        <w:contextualSpacing w:val="0"/>
        <w:textAlignment w:val="auto"/>
        <w:rPr>
          <w:rFonts w:asciiTheme="minorHAnsi" w:hAnsiTheme="minorHAnsi" w:cstheme="minorHAnsi"/>
          <w:lang w:val="en-US"/>
        </w:rPr>
      </w:pPr>
      <w:r>
        <w:rPr>
          <w:rFonts w:asciiTheme="minorHAnsi" w:hAnsiTheme="minorHAnsi" w:cstheme="minorHAnsi"/>
          <w:lang w:val="en-US"/>
        </w:rPr>
        <w:t>are redundant because they have been implemented in national law independently of the ITRs</w:t>
      </w:r>
      <w:r w:rsidR="002F7555">
        <w:rPr>
          <w:rFonts w:asciiTheme="minorHAnsi" w:hAnsiTheme="minorHAnsi" w:cstheme="minorHAnsi"/>
          <w:lang w:val="en-US"/>
        </w:rPr>
        <w:t>; or</w:t>
      </w:r>
    </w:p>
    <w:p w14:paraId="0DE89D15" w14:textId="77777777" w:rsidR="002F7555" w:rsidRDefault="002F7555" w:rsidP="002F7555">
      <w:pPr>
        <w:pStyle w:val="ListParagraph"/>
        <w:numPr>
          <w:ilvl w:val="2"/>
          <w:numId w:val="7"/>
        </w:numPr>
        <w:tabs>
          <w:tab w:val="clear" w:pos="567"/>
          <w:tab w:val="clear" w:pos="1134"/>
          <w:tab w:val="clear" w:pos="1701"/>
          <w:tab w:val="clear" w:pos="2268"/>
          <w:tab w:val="clear" w:pos="2835"/>
        </w:tabs>
        <w:overflowPunct/>
        <w:autoSpaceDE/>
        <w:autoSpaceDN/>
        <w:adjustRightInd/>
        <w:ind w:left="1797" w:hanging="720"/>
        <w:contextualSpacing w:val="0"/>
        <w:textAlignment w:val="auto"/>
        <w:rPr>
          <w:rFonts w:asciiTheme="minorHAnsi" w:hAnsiTheme="minorHAnsi" w:cstheme="minorHAnsi"/>
          <w:lang w:val="en-US"/>
        </w:rPr>
      </w:pPr>
      <w:r>
        <w:rPr>
          <w:rFonts w:asciiTheme="minorHAnsi" w:hAnsiTheme="minorHAnsi" w:cstheme="minorHAnsi"/>
          <w:lang w:val="en-US"/>
        </w:rPr>
        <w:t>are not needed because there is no need to bind states to transpose such provisions to national law.</w:t>
      </w:r>
      <w:r w:rsidRPr="002F7555">
        <w:rPr>
          <w:rFonts w:asciiTheme="minorHAnsi" w:hAnsiTheme="minorHAnsi" w:cstheme="minorHAnsi"/>
          <w:lang w:val="en-US"/>
        </w:rPr>
        <w:t xml:space="preserve"> </w:t>
      </w:r>
    </w:p>
    <w:p w14:paraId="2FDEE601" w14:textId="77777777" w:rsidR="007F268B" w:rsidRPr="0053640F" w:rsidRDefault="007F268B" w:rsidP="0053640F">
      <w:pPr>
        <w:pStyle w:val="ListParagraph"/>
        <w:numPr>
          <w:ilvl w:val="1"/>
          <w:numId w:val="7"/>
        </w:numPr>
        <w:tabs>
          <w:tab w:val="clear" w:pos="567"/>
          <w:tab w:val="clear" w:pos="1134"/>
          <w:tab w:val="clear" w:pos="1701"/>
          <w:tab w:val="clear" w:pos="2268"/>
          <w:tab w:val="clear" w:pos="2835"/>
        </w:tabs>
        <w:overflowPunct/>
        <w:autoSpaceDE/>
        <w:autoSpaceDN/>
        <w:adjustRightInd/>
        <w:contextualSpacing w:val="0"/>
        <w:textAlignment w:val="auto"/>
        <w:rPr>
          <w:rFonts w:asciiTheme="minorHAnsi" w:hAnsiTheme="minorHAnsi" w:cstheme="minorHAnsi"/>
          <w:lang w:val="en-US"/>
        </w:rPr>
      </w:pPr>
      <w:r>
        <w:rPr>
          <w:rFonts w:asciiTheme="minorHAnsi" w:hAnsiTheme="minorHAnsi" w:cstheme="minorHAnsi"/>
          <w:lang w:val="en-US"/>
        </w:rPr>
        <w:t xml:space="preserve">An invitation to comment on whether new provisions </w:t>
      </w:r>
      <w:r w:rsidR="00405C77">
        <w:rPr>
          <w:rFonts w:asciiTheme="minorHAnsi" w:hAnsiTheme="minorHAnsi" w:cstheme="minorHAnsi"/>
          <w:lang w:val="en-US"/>
        </w:rPr>
        <w:t>in</w:t>
      </w:r>
      <w:r>
        <w:rPr>
          <w:rFonts w:asciiTheme="minorHAnsi" w:hAnsiTheme="minorHAnsi" w:cstheme="minorHAnsi"/>
          <w:lang w:val="en-US"/>
        </w:rPr>
        <w:t xml:space="preserve"> the ITRs would be relevant or useful if they </w:t>
      </w:r>
      <w:r w:rsidR="002F7555">
        <w:rPr>
          <w:rFonts w:asciiTheme="minorHAnsi" w:hAnsiTheme="minorHAnsi" w:cstheme="minorHAnsi"/>
          <w:lang w:val="en-US"/>
        </w:rPr>
        <w:t>were</w:t>
      </w:r>
      <w:r>
        <w:rPr>
          <w:rFonts w:asciiTheme="minorHAnsi" w:hAnsiTheme="minorHAnsi" w:cstheme="minorHAnsi"/>
          <w:lang w:val="en-US"/>
        </w:rPr>
        <w:t xml:space="preserve"> transposed to national law, for example regarding spam, cybersecurity, artificial intelligence, </w:t>
      </w:r>
      <w:r w:rsidR="00405C77" w:rsidRPr="00405C77">
        <w:rPr>
          <w:rFonts w:asciiTheme="minorHAnsi" w:hAnsiTheme="minorHAnsi" w:cstheme="minorHAnsi"/>
          <w:lang w:val="en-US"/>
        </w:rPr>
        <w:t>build</w:t>
      </w:r>
      <w:r w:rsidR="00405C77">
        <w:rPr>
          <w:rFonts w:asciiTheme="minorHAnsi" w:hAnsiTheme="minorHAnsi" w:cstheme="minorHAnsi"/>
          <w:lang w:val="en-US"/>
        </w:rPr>
        <w:t>ing</w:t>
      </w:r>
      <w:r w:rsidR="00405C77" w:rsidRPr="00405C77">
        <w:rPr>
          <w:rFonts w:asciiTheme="minorHAnsi" w:hAnsiTheme="minorHAnsi" w:cstheme="minorHAnsi"/>
          <w:lang w:val="en-US"/>
        </w:rPr>
        <w:t xml:space="preserve"> a digital public infrastructure</w:t>
      </w:r>
      <w:r w:rsidR="00405C77">
        <w:rPr>
          <w:rFonts w:asciiTheme="minorHAnsi" w:hAnsiTheme="minorHAnsi" w:cstheme="minorHAnsi"/>
          <w:lang w:val="en-US"/>
        </w:rPr>
        <w:t>,</w:t>
      </w:r>
      <w:r w:rsidR="00405C77" w:rsidRPr="00405C77">
        <w:rPr>
          <w:rFonts w:asciiTheme="minorHAnsi" w:hAnsiTheme="minorHAnsi" w:cstheme="minorHAnsi"/>
          <w:lang w:val="en-US"/>
        </w:rPr>
        <w:t xml:space="preserve"> </w:t>
      </w:r>
      <w:r>
        <w:rPr>
          <w:rFonts w:asciiTheme="minorHAnsi" w:hAnsiTheme="minorHAnsi" w:cstheme="minorHAnsi"/>
          <w:lang w:val="en-US"/>
        </w:rPr>
        <w:t>bridging the digital gender gap, etc.</w:t>
      </w:r>
    </w:p>
    <w:p w14:paraId="152A70C2" w14:textId="77777777" w:rsidR="007F268B" w:rsidRDefault="004E31A8" w:rsidP="007F268B">
      <w:pPr>
        <w:tabs>
          <w:tab w:val="clear" w:pos="567"/>
          <w:tab w:val="clear" w:pos="1134"/>
          <w:tab w:val="clear" w:pos="1701"/>
          <w:tab w:val="clear" w:pos="2268"/>
          <w:tab w:val="clear" w:pos="2835"/>
        </w:tabs>
        <w:overflowPunct/>
        <w:autoSpaceDE/>
        <w:autoSpaceDN/>
        <w:adjustRightInd/>
        <w:textAlignment w:val="auto"/>
        <w:rPr>
          <w:rFonts w:cs="Calibri"/>
          <w:lang w:val="en-US"/>
        </w:rPr>
      </w:pPr>
      <w:r w:rsidRPr="004E31A8">
        <w:rPr>
          <w:rFonts w:cs="Calibri"/>
          <w:lang w:val="en-US"/>
        </w:rPr>
        <w:t>1</w:t>
      </w:r>
      <w:r>
        <w:rPr>
          <w:rFonts w:cs="Calibri"/>
          <w:lang w:val="en-US"/>
        </w:rPr>
        <w:t>2</w:t>
      </w:r>
      <w:r w:rsidRPr="004E31A8">
        <w:rPr>
          <w:rFonts w:cs="Calibri"/>
          <w:lang w:val="en-US"/>
        </w:rPr>
        <w:t xml:space="preserve">. </w:t>
      </w:r>
      <w:r>
        <w:rPr>
          <w:rFonts w:cs="Calibri"/>
          <w:lang w:val="en-US"/>
        </w:rPr>
        <w:t>If the EG-ITRs decides to issue a request for empirical data, then we would, if the group agrees, be pleased to participate in the formulation of such a request</w:t>
      </w:r>
      <w:r w:rsidRPr="004E31A8">
        <w:rPr>
          <w:rFonts w:cs="Calibri"/>
          <w:lang w:val="en-US"/>
        </w:rPr>
        <w:t xml:space="preserve">. </w:t>
      </w:r>
    </w:p>
    <w:p w14:paraId="18348564" w14:textId="77777777" w:rsidR="007B08D6" w:rsidRDefault="007B08D6" w:rsidP="007F268B">
      <w:pPr>
        <w:tabs>
          <w:tab w:val="clear" w:pos="567"/>
          <w:tab w:val="clear" w:pos="1134"/>
          <w:tab w:val="clear" w:pos="1701"/>
          <w:tab w:val="clear" w:pos="2268"/>
          <w:tab w:val="clear" w:pos="2835"/>
        </w:tabs>
        <w:overflowPunct/>
        <w:autoSpaceDE/>
        <w:autoSpaceDN/>
        <w:adjustRightInd/>
        <w:textAlignment w:val="auto"/>
        <w:rPr>
          <w:rFonts w:cs="Calibri"/>
          <w:lang w:val="en-US"/>
        </w:rPr>
      </w:pPr>
      <w:r>
        <w:rPr>
          <w:rFonts w:cs="Calibri"/>
          <w:lang w:val="en-US"/>
        </w:rPr>
        <w:t>13. A proposed first draft, for comment and discussion, of an actual request for empirical data is shown in Annex 1 below.</w:t>
      </w:r>
    </w:p>
    <w:p w14:paraId="31EE08AC" w14:textId="77777777" w:rsidR="007B08D6" w:rsidRDefault="007B08D6">
      <w:pPr>
        <w:tabs>
          <w:tab w:val="clear" w:pos="567"/>
          <w:tab w:val="clear" w:pos="1134"/>
          <w:tab w:val="clear" w:pos="1701"/>
          <w:tab w:val="clear" w:pos="2268"/>
          <w:tab w:val="clear" w:pos="2835"/>
        </w:tabs>
        <w:overflowPunct/>
        <w:autoSpaceDE/>
        <w:autoSpaceDN/>
        <w:adjustRightInd/>
        <w:spacing w:before="0"/>
        <w:textAlignment w:val="auto"/>
        <w:rPr>
          <w:rFonts w:cs="Calibri"/>
          <w:lang w:val="en-US"/>
        </w:rPr>
      </w:pPr>
      <w:r>
        <w:rPr>
          <w:rFonts w:cs="Calibri"/>
          <w:lang w:val="en-US"/>
        </w:rPr>
        <w:br w:type="page"/>
      </w:r>
    </w:p>
    <w:p w14:paraId="13CF82EE" w14:textId="77777777" w:rsidR="007B08D6" w:rsidRPr="007B08D6" w:rsidRDefault="007B08D6" w:rsidP="007B08D6">
      <w:pPr>
        <w:tabs>
          <w:tab w:val="clear" w:pos="567"/>
          <w:tab w:val="clear" w:pos="1134"/>
          <w:tab w:val="clear" w:pos="1701"/>
          <w:tab w:val="clear" w:pos="2268"/>
          <w:tab w:val="clear" w:pos="2835"/>
        </w:tabs>
        <w:overflowPunct/>
        <w:autoSpaceDE/>
        <w:autoSpaceDN/>
        <w:adjustRightInd/>
        <w:jc w:val="center"/>
        <w:textAlignment w:val="auto"/>
        <w:rPr>
          <w:rFonts w:cs="Calibri"/>
          <w:b/>
          <w:lang w:val="en-US"/>
        </w:rPr>
      </w:pPr>
      <w:r w:rsidRPr="007B08D6">
        <w:rPr>
          <w:rFonts w:cs="Calibri"/>
          <w:b/>
          <w:lang w:val="en-US"/>
        </w:rPr>
        <w:t>Annex 1 to EG-ITRs 2/</w:t>
      </w:r>
      <w:r w:rsidRPr="008E28CE">
        <w:rPr>
          <w:rFonts w:cs="Calibri"/>
          <w:b/>
          <w:lang w:val="en-US"/>
        </w:rPr>
        <w:t>2</w:t>
      </w:r>
      <w:r w:rsidRPr="007B08D6">
        <w:rPr>
          <w:rFonts w:cs="Calibri"/>
          <w:b/>
          <w:lang w:val="en-US"/>
        </w:rPr>
        <w:br/>
        <w:t>Draft request for empirical data</w:t>
      </w:r>
    </w:p>
    <w:p w14:paraId="1ADEB323" w14:textId="77777777" w:rsidR="007B08D6" w:rsidRDefault="007B08D6" w:rsidP="007F268B">
      <w:pPr>
        <w:tabs>
          <w:tab w:val="clear" w:pos="567"/>
          <w:tab w:val="clear" w:pos="1134"/>
          <w:tab w:val="clear" w:pos="1701"/>
          <w:tab w:val="clear" w:pos="2268"/>
          <w:tab w:val="clear" w:pos="2835"/>
        </w:tabs>
        <w:overflowPunct/>
        <w:autoSpaceDE/>
        <w:autoSpaceDN/>
        <w:adjustRightInd/>
        <w:textAlignment w:val="auto"/>
        <w:rPr>
          <w:rFonts w:cs="Calibri"/>
          <w:lang w:val="en-US"/>
        </w:rPr>
      </w:pPr>
      <w:r w:rsidRPr="0069699A">
        <w:rPr>
          <w:rFonts w:cs="Calibri"/>
          <w:b/>
          <w:lang w:val="en-US"/>
        </w:rPr>
        <w:t>TO</w:t>
      </w:r>
      <w:r>
        <w:rPr>
          <w:rFonts w:cs="Calibri"/>
          <w:lang w:val="en-US"/>
        </w:rPr>
        <w:t>: Member States and Sector Members</w:t>
      </w:r>
    </w:p>
    <w:p w14:paraId="6C8B14E9" w14:textId="77777777" w:rsidR="007B08D6" w:rsidRDefault="007B08D6" w:rsidP="007F268B">
      <w:pPr>
        <w:tabs>
          <w:tab w:val="clear" w:pos="567"/>
          <w:tab w:val="clear" w:pos="1134"/>
          <w:tab w:val="clear" w:pos="1701"/>
          <w:tab w:val="clear" w:pos="2268"/>
          <w:tab w:val="clear" w:pos="2835"/>
        </w:tabs>
        <w:overflowPunct/>
        <w:autoSpaceDE/>
        <w:autoSpaceDN/>
        <w:adjustRightInd/>
        <w:textAlignment w:val="auto"/>
        <w:rPr>
          <w:rFonts w:cs="Calibri"/>
          <w:lang w:val="en-US"/>
        </w:rPr>
      </w:pPr>
      <w:r>
        <w:rPr>
          <w:rFonts w:cs="Calibri"/>
          <w:lang w:val="en-US"/>
        </w:rPr>
        <w:t>Member States are invited to forward this request to their Operating Agencies</w:t>
      </w:r>
    </w:p>
    <w:p w14:paraId="2EAE2EA0" w14:textId="77777777" w:rsidR="007B08D6" w:rsidRDefault="007B08D6" w:rsidP="007F268B">
      <w:pPr>
        <w:tabs>
          <w:tab w:val="clear" w:pos="567"/>
          <w:tab w:val="clear" w:pos="1134"/>
          <w:tab w:val="clear" w:pos="1701"/>
          <w:tab w:val="clear" w:pos="2268"/>
          <w:tab w:val="clear" w:pos="2835"/>
        </w:tabs>
        <w:overflowPunct/>
        <w:autoSpaceDE/>
        <w:autoSpaceDN/>
        <w:adjustRightInd/>
        <w:textAlignment w:val="auto"/>
        <w:rPr>
          <w:rFonts w:cs="Calibri"/>
          <w:lang w:val="en-US"/>
        </w:rPr>
      </w:pPr>
      <w:r w:rsidRPr="0069699A">
        <w:rPr>
          <w:rFonts w:cs="Calibri"/>
          <w:b/>
          <w:lang w:val="en-US"/>
        </w:rPr>
        <w:t>Subject</w:t>
      </w:r>
      <w:r>
        <w:rPr>
          <w:rFonts w:cs="Calibri"/>
          <w:lang w:val="en-US"/>
        </w:rPr>
        <w:t>: Request for empirical data</w:t>
      </w:r>
    </w:p>
    <w:p w14:paraId="6B3F6CE4" w14:textId="77777777" w:rsidR="00A73CD8" w:rsidRDefault="00A73CD8" w:rsidP="007F268B">
      <w:pPr>
        <w:tabs>
          <w:tab w:val="clear" w:pos="567"/>
          <w:tab w:val="clear" w:pos="1134"/>
          <w:tab w:val="clear" w:pos="1701"/>
          <w:tab w:val="clear" w:pos="2268"/>
          <w:tab w:val="clear" w:pos="2835"/>
        </w:tabs>
        <w:overflowPunct/>
        <w:autoSpaceDE/>
        <w:autoSpaceDN/>
        <w:adjustRightInd/>
        <w:textAlignment w:val="auto"/>
        <w:rPr>
          <w:rFonts w:cs="Calibri"/>
          <w:lang w:val="en-US"/>
        </w:rPr>
      </w:pPr>
      <w:r>
        <w:rPr>
          <w:rFonts w:cs="Calibri"/>
          <w:lang w:val="en-US"/>
        </w:rPr>
        <w:t xml:space="preserve">The purpose of this request is to obtain </w:t>
      </w:r>
      <w:r w:rsidRPr="00A73CD8">
        <w:rPr>
          <w:rFonts w:cs="Calibri"/>
          <w:lang w:val="en-US"/>
        </w:rPr>
        <w:t>empirical data on the current use of the ITRs by operating agencies and/or administrations and the proportion of global telecommunication services which now rely on the ITRs</w:t>
      </w:r>
      <w:r>
        <w:rPr>
          <w:rFonts w:cs="Calibri"/>
          <w:lang w:val="en-US"/>
        </w:rPr>
        <w:t>.</w:t>
      </w:r>
    </w:p>
    <w:p w14:paraId="7B414C94" w14:textId="77777777" w:rsidR="0069699A" w:rsidRDefault="0069699A" w:rsidP="007F268B">
      <w:pPr>
        <w:tabs>
          <w:tab w:val="clear" w:pos="567"/>
          <w:tab w:val="clear" w:pos="1134"/>
          <w:tab w:val="clear" w:pos="1701"/>
          <w:tab w:val="clear" w:pos="2268"/>
          <w:tab w:val="clear" w:pos="2835"/>
        </w:tabs>
        <w:overflowPunct/>
        <w:autoSpaceDE/>
        <w:autoSpaceDN/>
        <w:adjustRightInd/>
        <w:textAlignment w:val="auto"/>
        <w:rPr>
          <w:rFonts w:cs="Calibri"/>
          <w:lang w:val="en-US"/>
        </w:rPr>
      </w:pPr>
      <w:r>
        <w:rPr>
          <w:rFonts w:cs="Calibri"/>
          <w:lang w:val="en-US"/>
        </w:rPr>
        <w:t>Specific questions for recipients are shown in boxes in the text. Recipients are of course invited to submit any other comments which they deem useful for the work described below.</w:t>
      </w:r>
    </w:p>
    <w:p w14:paraId="1323BD62" w14:textId="77777777" w:rsidR="007B08D6" w:rsidRPr="007B08D6" w:rsidRDefault="007B08D6" w:rsidP="007F268B">
      <w:pPr>
        <w:tabs>
          <w:tab w:val="clear" w:pos="567"/>
          <w:tab w:val="clear" w:pos="1134"/>
          <w:tab w:val="clear" w:pos="1701"/>
          <w:tab w:val="clear" w:pos="2268"/>
          <w:tab w:val="clear" w:pos="2835"/>
        </w:tabs>
        <w:overflowPunct/>
        <w:autoSpaceDE/>
        <w:autoSpaceDN/>
        <w:adjustRightInd/>
        <w:textAlignment w:val="auto"/>
        <w:rPr>
          <w:rFonts w:cs="Calibri"/>
          <w:b/>
          <w:lang w:val="en-US"/>
        </w:rPr>
      </w:pPr>
      <w:r w:rsidRPr="007B08D6">
        <w:rPr>
          <w:rFonts w:cs="Calibri"/>
          <w:b/>
          <w:lang w:val="en-US"/>
        </w:rPr>
        <w:t>1. Background</w:t>
      </w:r>
    </w:p>
    <w:p w14:paraId="5D251691" w14:textId="77777777" w:rsidR="007B08D6" w:rsidRDefault="007B08D6" w:rsidP="00A73CD8">
      <w:pPr>
        <w:tabs>
          <w:tab w:val="clear" w:pos="567"/>
          <w:tab w:val="clear" w:pos="1134"/>
          <w:tab w:val="clear" w:pos="1701"/>
          <w:tab w:val="clear" w:pos="2268"/>
          <w:tab w:val="clear" w:pos="2835"/>
        </w:tabs>
        <w:overflowPunct/>
        <w:autoSpaceDE/>
        <w:autoSpaceDN/>
        <w:adjustRightInd/>
        <w:textAlignment w:val="auto"/>
        <w:rPr>
          <w:rFonts w:cs="Calibri"/>
          <w:lang w:val="en-US"/>
        </w:rPr>
      </w:pPr>
      <w:r>
        <w:rPr>
          <w:rFonts w:cs="Calibri"/>
          <w:lang w:val="en-US"/>
        </w:rPr>
        <w:t>The International Telecommunication Regulations (ITRs)</w:t>
      </w:r>
      <w:r>
        <w:rPr>
          <w:rStyle w:val="FootnoteReference"/>
          <w:rFonts w:cs="Calibri"/>
          <w:lang w:val="en-US"/>
        </w:rPr>
        <w:footnoteReference w:id="4"/>
      </w:r>
      <w:r>
        <w:rPr>
          <w:rFonts w:cs="Calibri"/>
          <w:lang w:val="en-US"/>
        </w:rPr>
        <w:t xml:space="preserve"> are one of the four basic instruments of the International Telecommunication Union.</w:t>
      </w:r>
      <w:r w:rsidR="00A73CD8">
        <w:rPr>
          <w:rFonts w:cs="Calibri"/>
          <w:lang w:val="en-US"/>
        </w:rPr>
        <w:t xml:space="preserve"> They </w:t>
      </w:r>
      <w:r w:rsidR="00A73CD8" w:rsidRPr="00A73CD8">
        <w:rPr>
          <w:rFonts w:cs="Calibri"/>
          <w:lang w:val="en-US"/>
        </w:rPr>
        <w:t>are established with a view to facilitating global</w:t>
      </w:r>
      <w:r w:rsidR="00A73CD8">
        <w:rPr>
          <w:rFonts w:cs="Calibri"/>
          <w:lang w:val="en-US"/>
        </w:rPr>
        <w:t xml:space="preserve"> </w:t>
      </w:r>
      <w:r w:rsidR="00A73CD8" w:rsidRPr="00A73CD8">
        <w:rPr>
          <w:rFonts w:cs="Calibri"/>
          <w:lang w:val="en-US"/>
        </w:rPr>
        <w:t>interconnection and interoperability of telecommunication facilities and to promoting the</w:t>
      </w:r>
      <w:r w:rsidR="00A73CD8">
        <w:rPr>
          <w:rFonts w:cs="Calibri"/>
          <w:lang w:val="en-US"/>
        </w:rPr>
        <w:t xml:space="preserve"> </w:t>
      </w:r>
      <w:r w:rsidR="00A73CD8" w:rsidRPr="00A73CD8">
        <w:rPr>
          <w:rFonts w:cs="Calibri"/>
          <w:lang w:val="en-US"/>
        </w:rPr>
        <w:t>harmonious development and efficient operation of technical facilities, as well as the efficiency,</w:t>
      </w:r>
      <w:r w:rsidR="00A73CD8">
        <w:rPr>
          <w:rFonts w:cs="Calibri"/>
          <w:lang w:val="en-US"/>
        </w:rPr>
        <w:t xml:space="preserve"> </w:t>
      </w:r>
      <w:proofErr w:type="gramStart"/>
      <w:r w:rsidR="00A73CD8" w:rsidRPr="00A73CD8">
        <w:rPr>
          <w:rFonts w:cs="Calibri"/>
          <w:lang w:val="en-US"/>
        </w:rPr>
        <w:t>usefulness</w:t>
      </w:r>
      <w:proofErr w:type="gramEnd"/>
      <w:r w:rsidR="00A73CD8" w:rsidRPr="00A73CD8">
        <w:rPr>
          <w:rFonts w:cs="Calibri"/>
          <w:lang w:val="en-US"/>
        </w:rPr>
        <w:t xml:space="preserve"> and availability to the public of international telecommunication services</w:t>
      </w:r>
      <w:r w:rsidR="00A73CD8">
        <w:rPr>
          <w:rFonts w:cs="Calibri"/>
          <w:lang w:val="en-US"/>
        </w:rPr>
        <w:t>.</w:t>
      </w:r>
      <w:r w:rsidR="00A73CD8">
        <w:rPr>
          <w:rStyle w:val="FootnoteReference"/>
          <w:rFonts w:cs="Calibri"/>
          <w:lang w:val="en-US"/>
        </w:rPr>
        <w:footnoteReference w:id="5"/>
      </w:r>
    </w:p>
    <w:p w14:paraId="72DF9AD4" w14:textId="77777777" w:rsidR="00A73CD8" w:rsidRDefault="00A73CD8" w:rsidP="00A73CD8">
      <w:pPr>
        <w:tabs>
          <w:tab w:val="clear" w:pos="567"/>
          <w:tab w:val="clear" w:pos="1134"/>
          <w:tab w:val="clear" w:pos="1701"/>
          <w:tab w:val="clear" w:pos="2268"/>
          <w:tab w:val="clear" w:pos="2835"/>
        </w:tabs>
        <w:overflowPunct/>
        <w:autoSpaceDE/>
        <w:autoSpaceDN/>
        <w:adjustRightInd/>
        <w:textAlignment w:val="auto"/>
        <w:rPr>
          <w:rFonts w:cs="Calibri"/>
          <w:lang w:val="en-US"/>
        </w:rPr>
      </w:pPr>
      <w:r>
        <w:rPr>
          <w:rFonts w:cs="Calibri"/>
          <w:lang w:val="en-US"/>
        </w:rPr>
        <w:t>At present, there are two versions of the ITRs, one agreed in 1988 which binds all ITU Member States, and another agreed in 2012 which binds 91</w:t>
      </w:r>
      <w:r>
        <w:rPr>
          <w:rStyle w:val="FootnoteReference"/>
          <w:rFonts w:cs="Calibri"/>
          <w:lang w:val="en-US"/>
        </w:rPr>
        <w:footnoteReference w:id="6"/>
      </w:r>
      <w:r>
        <w:rPr>
          <w:rFonts w:cs="Calibri"/>
          <w:lang w:val="en-US"/>
        </w:rPr>
        <w:t xml:space="preserve"> Member States.</w:t>
      </w:r>
    </w:p>
    <w:p w14:paraId="0743B546" w14:textId="77777777" w:rsidR="00A73CD8" w:rsidRDefault="00A73CD8" w:rsidP="00A73CD8">
      <w:pPr>
        <w:tabs>
          <w:tab w:val="clear" w:pos="567"/>
          <w:tab w:val="clear" w:pos="1134"/>
          <w:tab w:val="clear" w:pos="1701"/>
          <w:tab w:val="clear" w:pos="2268"/>
          <w:tab w:val="clear" w:pos="2835"/>
        </w:tabs>
        <w:overflowPunct/>
        <w:autoSpaceDE/>
        <w:autoSpaceDN/>
        <w:adjustRightInd/>
        <w:textAlignment w:val="auto"/>
        <w:rPr>
          <w:rFonts w:cs="Calibri"/>
        </w:rPr>
      </w:pPr>
      <w:r w:rsidRPr="00A73CD8">
        <w:rPr>
          <w:rFonts w:cs="Calibri"/>
        </w:rPr>
        <w:t xml:space="preserve">PP </w:t>
      </w:r>
      <w:hyperlink r:id="rId17" w:history="1">
        <w:r w:rsidRPr="00A73CD8">
          <w:rPr>
            <w:rStyle w:val="Hyperlink"/>
            <w:rFonts w:cs="Calibri"/>
          </w:rPr>
          <w:t>Resolution 146 (Rev. Bucharest, 2022)</w:t>
        </w:r>
      </w:hyperlink>
      <w:r w:rsidRPr="00A73CD8">
        <w:rPr>
          <w:rFonts w:cs="Calibri"/>
        </w:rPr>
        <w:t xml:space="preserve"> </w:t>
      </w:r>
      <w:r w:rsidRPr="00A73CD8">
        <w:rPr>
          <w:rFonts w:cs="Calibri"/>
          <w:i/>
          <w:iCs/>
        </w:rPr>
        <w:t>instructs </w:t>
      </w:r>
      <w:r w:rsidRPr="00A73CD8">
        <w:rPr>
          <w:rFonts w:cs="Calibri"/>
        </w:rPr>
        <w:t>the Secretary-General:</w:t>
      </w:r>
      <w:r w:rsidRPr="00A73CD8">
        <w:rPr>
          <w:rFonts w:cs="Calibri"/>
        </w:rPr>
        <w:br/>
        <w:t>1  to reconvene an EG</w:t>
      </w:r>
      <w:r w:rsidRPr="00A73CD8">
        <w:rPr>
          <w:rFonts w:cs="Calibri"/>
        </w:rPr>
        <w:noBreakHyphen/>
        <w:t>ITR</w:t>
      </w:r>
      <w:r>
        <w:rPr>
          <w:rFonts w:cs="Calibri"/>
        </w:rPr>
        <w:t xml:space="preserve"> [Expert Group on the ITRs]</w:t>
      </w:r>
      <w:r w:rsidRPr="00A73CD8">
        <w:rPr>
          <w:rFonts w:cs="Calibri"/>
        </w:rPr>
        <w:t>, open to the ITU Member States and Sector Members, with terms of reference and working methods established by the ITU Council</w:t>
      </w:r>
      <w:r w:rsidRPr="00A73CD8">
        <w:rPr>
          <w:rFonts w:cs="Calibri"/>
        </w:rPr>
        <w:br/>
        <w:t>2  to submit the report of EG</w:t>
      </w:r>
      <w:r w:rsidRPr="00A73CD8">
        <w:rPr>
          <w:rFonts w:cs="Calibri"/>
        </w:rPr>
        <w:noBreakHyphen/>
        <w:t>ITR on the outcome of the review to the Council for consideration, publication and subsequent submission to the 2026 plenipotentiary conference</w:t>
      </w:r>
      <w:r>
        <w:rPr>
          <w:rFonts w:cs="Calibri"/>
        </w:rPr>
        <w:t>.</w:t>
      </w:r>
    </w:p>
    <w:p w14:paraId="4B8DF474" w14:textId="77777777" w:rsidR="00A73CD8" w:rsidRPr="00A73CD8" w:rsidRDefault="00A73CD8" w:rsidP="00A73CD8">
      <w:pPr>
        <w:tabs>
          <w:tab w:val="clear" w:pos="567"/>
          <w:tab w:val="clear" w:pos="1134"/>
          <w:tab w:val="clear" w:pos="1701"/>
          <w:tab w:val="clear" w:pos="2268"/>
          <w:tab w:val="clear" w:pos="2835"/>
        </w:tabs>
        <w:overflowPunct/>
        <w:autoSpaceDE/>
        <w:autoSpaceDN/>
        <w:adjustRightInd/>
        <w:textAlignment w:val="auto"/>
        <w:rPr>
          <w:rFonts w:cs="Calibri"/>
          <w:lang w:val="en-US"/>
        </w:rPr>
      </w:pPr>
      <w:r w:rsidRPr="00A73CD8">
        <w:rPr>
          <w:rFonts w:cs="Calibri"/>
        </w:rPr>
        <w:t>The 2023 Session of ITU Council modified </w:t>
      </w:r>
      <w:hyperlink r:id="rId18" w:history="1">
        <w:r w:rsidRPr="00A73CD8">
          <w:rPr>
            <w:rStyle w:val="Hyperlink"/>
            <w:rFonts w:cs="Calibri"/>
          </w:rPr>
          <w:t>Resolution 1379​</w:t>
        </w:r>
      </w:hyperlink>
      <w:r w:rsidRPr="00A73CD8">
        <w:rPr>
          <w:rFonts w:cs="Calibri"/>
        </w:rPr>
        <w:t>: Expert Group on the International Tel​</w:t>
      </w:r>
      <w:proofErr w:type="spellStart"/>
      <w:r w:rsidRPr="00A73CD8">
        <w:rPr>
          <w:rFonts w:cs="Calibri"/>
        </w:rPr>
        <w:t>ecommunication</w:t>
      </w:r>
      <w:proofErr w:type="spellEnd"/>
      <w:r w:rsidRPr="00A73CD8">
        <w:rPr>
          <w:rFonts w:cs="Calibri"/>
        </w:rPr>
        <w:t xml:space="preserve"> Regulations (EG-ITRs)</w:t>
      </w:r>
      <w:r>
        <w:rPr>
          <w:rFonts w:cs="Calibri"/>
        </w:rPr>
        <w:t xml:space="preserve"> and approved </w:t>
      </w:r>
      <w:r w:rsidR="00BC3DED">
        <w:rPr>
          <w:rFonts w:cs="Calibri"/>
          <w:lang w:val="en-US"/>
        </w:rPr>
        <w:t>the following Terms of R</w:t>
      </w:r>
      <w:r w:rsidRPr="00A73CD8">
        <w:rPr>
          <w:rFonts w:cs="Calibri"/>
          <w:lang w:val="en-US"/>
        </w:rPr>
        <w:t>eference:</w:t>
      </w:r>
    </w:p>
    <w:p w14:paraId="1FE7DE8F" w14:textId="77777777" w:rsidR="00A73CD8" w:rsidRPr="00A73CD8" w:rsidRDefault="00A73CD8" w:rsidP="00A73CD8">
      <w:pPr>
        <w:tabs>
          <w:tab w:val="clear" w:pos="567"/>
          <w:tab w:val="clear" w:pos="1134"/>
          <w:tab w:val="clear" w:pos="1701"/>
          <w:tab w:val="clear" w:pos="2268"/>
          <w:tab w:val="clear" w:pos="2835"/>
        </w:tabs>
        <w:overflowPunct/>
        <w:autoSpaceDE/>
        <w:autoSpaceDN/>
        <w:adjustRightInd/>
        <w:ind w:left="720"/>
        <w:textAlignment w:val="auto"/>
        <w:rPr>
          <w:rFonts w:cs="Calibri"/>
          <w:lang w:val="en-US"/>
        </w:rPr>
      </w:pPr>
      <w:r w:rsidRPr="00A73CD8">
        <w:rPr>
          <w:rFonts w:cs="Calibri"/>
          <w:lang w:val="en-US"/>
        </w:rPr>
        <w:t xml:space="preserve">1 On the basis of contributions submitted by Member States, Sector Members and inputs from the Directors of the </w:t>
      </w:r>
      <w:proofErr w:type="spellStart"/>
      <w:proofErr w:type="gramStart"/>
      <w:r w:rsidRPr="00A73CD8">
        <w:rPr>
          <w:rFonts w:cs="Calibri"/>
          <w:lang w:val="en-US"/>
        </w:rPr>
        <w:t>Bureaux</w:t>
      </w:r>
      <w:proofErr w:type="spellEnd"/>
      <w:proofErr w:type="gramEnd"/>
      <w:r w:rsidRPr="00A73CD8">
        <w:rPr>
          <w:rFonts w:cs="Calibri"/>
          <w:lang w:val="en-US"/>
        </w:rPr>
        <w:t xml:space="preserve"> if necessary, the EG-ITRs shall continue to review the ITRs.</w:t>
      </w:r>
    </w:p>
    <w:p w14:paraId="1D51D451" w14:textId="77777777" w:rsidR="00A73CD8" w:rsidRPr="00A73CD8" w:rsidRDefault="00A73CD8" w:rsidP="00A73CD8">
      <w:pPr>
        <w:tabs>
          <w:tab w:val="clear" w:pos="567"/>
          <w:tab w:val="clear" w:pos="1134"/>
          <w:tab w:val="clear" w:pos="1701"/>
          <w:tab w:val="clear" w:pos="2268"/>
          <w:tab w:val="clear" w:pos="2835"/>
        </w:tabs>
        <w:overflowPunct/>
        <w:autoSpaceDE/>
        <w:autoSpaceDN/>
        <w:adjustRightInd/>
        <w:ind w:left="720"/>
        <w:textAlignment w:val="auto"/>
        <w:rPr>
          <w:rFonts w:cs="Calibri"/>
          <w:lang w:val="en-US"/>
        </w:rPr>
      </w:pPr>
      <w:r w:rsidRPr="00A73CD8">
        <w:rPr>
          <w:rFonts w:cs="Calibri"/>
          <w:lang w:val="en-US"/>
        </w:rPr>
        <w:t xml:space="preserve">2 Taking into consideration the work of the previous two Expert Groups, the review may consider, among others: </w:t>
      </w:r>
    </w:p>
    <w:p w14:paraId="674ADC06" w14:textId="77777777" w:rsidR="00A73CD8" w:rsidRPr="00A73CD8" w:rsidRDefault="00A73CD8" w:rsidP="00A73CD8">
      <w:pPr>
        <w:tabs>
          <w:tab w:val="clear" w:pos="567"/>
          <w:tab w:val="clear" w:pos="1134"/>
          <w:tab w:val="clear" w:pos="1701"/>
          <w:tab w:val="clear" w:pos="2268"/>
          <w:tab w:val="clear" w:pos="2835"/>
        </w:tabs>
        <w:overflowPunct/>
        <w:autoSpaceDE/>
        <w:autoSpaceDN/>
        <w:adjustRightInd/>
        <w:ind w:left="1440"/>
        <w:textAlignment w:val="auto"/>
        <w:rPr>
          <w:rFonts w:cs="Calibri"/>
          <w:lang w:val="en-US"/>
        </w:rPr>
      </w:pPr>
      <w:r w:rsidRPr="00A73CD8">
        <w:rPr>
          <w:rFonts w:cs="Calibri"/>
          <w:lang w:val="en-US"/>
        </w:rPr>
        <w:t>a) new trends in telecommunications/ICT and emerging issues in international telecommunications/ICT environment which may impact the ITRs,</w:t>
      </w:r>
    </w:p>
    <w:p w14:paraId="3DE7BFA6" w14:textId="77777777" w:rsidR="00A73CD8" w:rsidRPr="00A73CD8" w:rsidRDefault="00A73CD8" w:rsidP="00A73CD8">
      <w:pPr>
        <w:tabs>
          <w:tab w:val="clear" w:pos="567"/>
          <w:tab w:val="clear" w:pos="1134"/>
          <w:tab w:val="clear" w:pos="1701"/>
          <w:tab w:val="clear" w:pos="2268"/>
          <w:tab w:val="clear" w:pos="2835"/>
        </w:tabs>
        <w:overflowPunct/>
        <w:autoSpaceDE/>
        <w:autoSpaceDN/>
        <w:adjustRightInd/>
        <w:ind w:left="1440"/>
        <w:textAlignment w:val="auto"/>
        <w:rPr>
          <w:rFonts w:cs="Calibri"/>
          <w:lang w:val="en-US"/>
        </w:rPr>
      </w:pPr>
      <w:r w:rsidRPr="00A73CD8">
        <w:rPr>
          <w:rFonts w:cs="Calibri"/>
          <w:lang w:val="en-US"/>
        </w:rPr>
        <w:t>b) empirical data on the current use of the ITRs by operating agencies and/or administrations and the proportion of global telecommunication services which now rely on the ITRs, and</w:t>
      </w:r>
    </w:p>
    <w:p w14:paraId="7EB02B9A" w14:textId="77777777" w:rsidR="00A73CD8" w:rsidRDefault="00A73CD8" w:rsidP="00A73CD8">
      <w:pPr>
        <w:tabs>
          <w:tab w:val="clear" w:pos="567"/>
          <w:tab w:val="clear" w:pos="1134"/>
          <w:tab w:val="clear" w:pos="1701"/>
          <w:tab w:val="clear" w:pos="2268"/>
          <w:tab w:val="clear" w:pos="2835"/>
        </w:tabs>
        <w:overflowPunct/>
        <w:autoSpaceDE/>
        <w:autoSpaceDN/>
        <w:adjustRightInd/>
        <w:ind w:left="1440"/>
        <w:textAlignment w:val="auto"/>
        <w:rPr>
          <w:rFonts w:cs="Calibri"/>
          <w:lang w:val="en-US"/>
        </w:rPr>
      </w:pPr>
      <w:r w:rsidRPr="00A73CD8">
        <w:rPr>
          <w:rFonts w:cs="Calibri"/>
          <w:lang w:val="en-US"/>
        </w:rPr>
        <w:t>c) the relevance of the ITRs which “consist of high-level guiding principles" in the current telecommunication/ICT environment.</w:t>
      </w:r>
    </w:p>
    <w:p w14:paraId="4785AD27" w14:textId="77777777" w:rsidR="00A73CD8" w:rsidRDefault="00A73CD8" w:rsidP="00A73CD8">
      <w:pPr>
        <w:tabs>
          <w:tab w:val="clear" w:pos="567"/>
          <w:tab w:val="clear" w:pos="1134"/>
          <w:tab w:val="clear" w:pos="1701"/>
          <w:tab w:val="clear" w:pos="2268"/>
          <w:tab w:val="clear" w:pos="2835"/>
        </w:tabs>
        <w:overflowPunct/>
        <w:autoSpaceDE/>
        <w:autoSpaceDN/>
        <w:adjustRightInd/>
        <w:textAlignment w:val="auto"/>
        <w:rPr>
          <w:rFonts w:cs="Calibri"/>
          <w:lang w:val="en-US"/>
        </w:rPr>
      </w:pPr>
      <w:r>
        <w:rPr>
          <w:rFonts w:cs="Calibri"/>
          <w:lang w:val="en-US"/>
        </w:rPr>
        <w:t>As mentioned above, this request for information is being sent pursuant to item 2(b) of the above Term</w:t>
      </w:r>
      <w:r w:rsidR="00BC3DED">
        <w:rPr>
          <w:rFonts w:cs="Calibri"/>
          <w:lang w:val="en-US"/>
        </w:rPr>
        <w:t>s of Reference.</w:t>
      </w:r>
    </w:p>
    <w:p w14:paraId="6E5094E5" w14:textId="77777777" w:rsidR="007B08D6" w:rsidRPr="007B08D6" w:rsidRDefault="007B08D6" w:rsidP="007F268B">
      <w:pPr>
        <w:tabs>
          <w:tab w:val="clear" w:pos="567"/>
          <w:tab w:val="clear" w:pos="1134"/>
          <w:tab w:val="clear" w:pos="1701"/>
          <w:tab w:val="clear" w:pos="2268"/>
          <w:tab w:val="clear" w:pos="2835"/>
        </w:tabs>
        <w:overflowPunct/>
        <w:autoSpaceDE/>
        <w:autoSpaceDN/>
        <w:adjustRightInd/>
        <w:textAlignment w:val="auto"/>
        <w:rPr>
          <w:rFonts w:cs="Calibri"/>
          <w:b/>
          <w:lang w:val="en-US"/>
        </w:rPr>
      </w:pPr>
      <w:r w:rsidRPr="007B08D6">
        <w:rPr>
          <w:rFonts w:cs="Calibri"/>
          <w:b/>
          <w:lang w:val="en-US"/>
        </w:rPr>
        <w:t>2. Preamble</w:t>
      </w:r>
    </w:p>
    <w:p w14:paraId="246D0C54" w14:textId="77777777" w:rsidR="007B08D6" w:rsidRDefault="005C3BE5" w:rsidP="007F268B">
      <w:pPr>
        <w:tabs>
          <w:tab w:val="clear" w:pos="567"/>
          <w:tab w:val="clear" w:pos="1134"/>
          <w:tab w:val="clear" w:pos="1701"/>
          <w:tab w:val="clear" w:pos="2268"/>
          <w:tab w:val="clear" w:pos="2835"/>
        </w:tabs>
        <w:overflowPunct/>
        <w:autoSpaceDE/>
        <w:autoSpaceDN/>
        <w:adjustRightInd/>
        <w:textAlignment w:val="auto"/>
        <w:rPr>
          <w:rFonts w:cs="Calibri"/>
          <w:lang w:val="en-US"/>
        </w:rPr>
      </w:pPr>
      <w:r>
        <w:rPr>
          <w:rFonts w:cs="Calibri"/>
          <w:lang w:val="en-US"/>
        </w:rPr>
        <w:t>The ITRs is a treaty. As such, it binds Member States, but does not directly apply to or bind private-sector entities, such as most Operating Agencies in most Members States.</w:t>
      </w:r>
    </w:p>
    <w:p w14:paraId="067EC52A" w14:textId="77777777" w:rsidR="005C3BE5" w:rsidRDefault="005C3BE5" w:rsidP="007F268B">
      <w:pPr>
        <w:tabs>
          <w:tab w:val="clear" w:pos="567"/>
          <w:tab w:val="clear" w:pos="1134"/>
          <w:tab w:val="clear" w:pos="1701"/>
          <w:tab w:val="clear" w:pos="2268"/>
          <w:tab w:val="clear" w:pos="2835"/>
        </w:tabs>
        <w:overflowPunct/>
        <w:autoSpaceDE/>
        <w:autoSpaceDN/>
        <w:adjustRightInd/>
        <w:textAlignment w:val="auto"/>
        <w:rPr>
          <w:rFonts w:cs="Calibri"/>
          <w:lang w:val="en-US"/>
        </w:rPr>
      </w:pPr>
      <w:r>
        <w:rPr>
          <w:rFonts w:cs="Calibri"/>
          <w:lang w:val="en-US"/>
        </w:rPr>
        <w:t>Member States may transpose provisions of the ITRs into national law, so, in that sense, the ITRs might impact Operating Agencies.</w:t>
      </w:r>
    </w:p>
    <w:p w14:paraId="485E9D25" w14:textId="77777777" w:rsidR="007B08D6" w:rsidRPr="007B08D6" w:rsidRDefault="007B08D6" w:rsidP="007F268B">
      <w:pPr>
        <w:tabs>
          <w:tab w:val="clear" w:pos="567"/>
          <w:tab w:val="clear" w:pos="1134"/>
          <w:tab w:val="clear" w:pos="1701"/>
          <w:tab w:val="clear" w:pos="2268"/>
          <w:tab w:val="clear" w:pos="2835"/>
        </w:tabs>
        <w:overflowPunct/>
        <w:autoSpaceDE/>
        <w:autoSpaceDN/>
        <w:adjustRightInd/>
        <w:textAlignment w:val="auto"/>
        <w:rPr>
          <w:rFonts w:cs="Calibri"/>
          <w:b/>
          <w:lang w:val="en-US"/>
        </w:rPr>
      </w:pPr>
      <w:r w:rsidRPr="007B08D6">
        <w:rPr>
          <w:rFonts w:cs="Calibri"/>
          <w:b/>
          <w:lang w:val="en-US"/>
        </w:rPr>
        <w:t xml:space="preserve">3. Brief history of the ITRs </w:t>
      </w:r>
    </w:p>
    <w:p w14:paraId="70BF79D1" w14:textId="77777777" w:rsidR="007B08D6" w:rsidRDefault="0080358A" w:rsidP="007F268B">
      <w:pPr>
        <w:tabs>
          <w:tab w:val="clear" w:pos="567"/>
          <w:tab w:val="clear" w:pos="1134"/>
          <w:tab w:val="clear" w:pos="1701"/>
          <w:tab w:val="clear" w:pos="2268"/>
          <w:tab w:val="clear" w:pos="2835"/>
        </w:tabs>
        <w:overflowPunct/>
        <w:autoSpaceDE/>
        <w:autoSpaceDN/>
        <w:adjustRightInd/>
        <w:textAlignment w:val="auto"/>
      </w:pPr>
      <w:r>
        <w:t>The purpose of the first international agreements regarding telecommunications was to allow cross-border transmission of telegrams. Such agreements were negotiated amongst European countries starting in 1849, and were continually revised over the years, resulting in the agreement of Telegraph Regulations and the Telephone Regulations</w:t>
      </w:r>
      <w:r w:rsidR="00AF6C7D">
        <w:t>,</w:t>
      </w:r>
      <w:r>
        <w:t xml:space="preserve"> which were last revised in 1973. Throughout all these developments, the basic principles dealing with tariffs remained unchanged, including that the rate for a communication between two countries</w:t>
      </w:r>
      <w:r w:rsidR="00BD4122">
        <w:t xml:space="preserve"> would be the same no matter what the route (thus preventing price competition).</w:t>
      </w:r>
    </w:p>
    <w:p w14:paraId="7CB13DE9" w14:textId="77777777" w:rsidR="00BD4122" w:rsidRDefault="00BD4122" w:rsidP="007F268B">
      <w:pPr>
        <w:tabs>
          <w:tab w:val="clear" w:pos="567"/>
          <w:tab w:val="clear" w:pos="1134"/>
          <w:tab w:val="clear" w:pos="1701"/>
          <w:tab w:val="clear" w:pos="2268"/>
          <w:tab w:val="clear" w:pos="2835"/>
        </w:tabs>
        <w:overflowPunct/>
        <w:autoSpaceDE/>
        <w:autoSpaceDN/>
        <w:adjustRightInd/>
        <w:textAlignment w:val="auto"/>
      </w:pPr>
      <w:r>
        <w:t xml:space="preserve">The Telegraph Regulations and Telephone Regulations were superseded in 1988 by the International Telecommunication Regulations, which were greatly influenced by the increasingly strong trend, at the time, towards privatization, </w:t>
      </w:r>
      <w:proofErr w:type="gramStart"/>
      <w:r>
        <w:t>liberalization</w:t>
      </w:r>
      <w:proofErr w:type="gramEnd"/>
      <w:r>
        <w:t xml:space="preserve"> and convergence of services.</w:t>
      </w:r>
    </w:p>
    <w:p w14:paraId="36A0FE91" w14:textId="77777777" w:rsidR="00BD4122" w:rsidRDefault="00BD4122" w:rsidP="007F268B">
      <w:pPr>
        <w:tabs>
          <w:tab w:val="clear" w:pos="567"/>
          <w:tab w:val="clear" w:pos="1134"/>
          <w:tab w:val="clear" w:pos="1701"/>
          <w:tab w:val="clear" w:pos="2268"/>
          <w:tab w:val="clear" w:pos="2835"/>
        </w:tabs>
        <w:overflowPunct/>
        <w:autoSpaceDE/>
        <w:autoSpaceDN/>
        <w:adjustRightInd/>
        <w:textAlignment w:val="auto"/>
        <w:rPr>
          <w:rFonts w:cs="Calibri"/>
          <w:lang w:val="en-US"/>
        </w:rPr>
      </w:pPr>
      <w:r>
        <w:t xml:space="preserve">The 1988 ITRs contained a key provision in </w:t>
      </w:r>
      <w:r w:rsidR="0069699A">
        <w:t>a</w:t>
      </w:r>
      <w:r>
        <w:t xml:space="preserve">rticle 9, Special Arrangements, which </w:t>
      </w:r>
      <w:r>
        <w:rPr>
          <w:rFonts w:cs="Calibri"/>
        </w:rPr>
        <w:t>–</w:t>
      </w:r>
      <w:r>
        <w:t xml:space="preserve"> for the first time in the history of these treaties </w:t>
      </w:r>
      <w:r>
        <w:rPr>
          <w:rFonts w:cs="Calibri"/>
        </w:rPr>
        <w:t>–</w:t>
      </w:r>
      <w:r>
        <w:t xml:space="preserve"> explicitly allowed private operators to use leased lines to provide services, including data services. This provision facilitated the expansion of networks based on the TCP/IP protocol and of the services popularly referred to as the Internet: it did so by removing restrictions that could have impeded the expansion of such services. These trends were further facilitated by agreements made in the Global Agreement on Trade in Services (GATS) in 1994 (Annex on Telecommunications) and in 1996 (Reference Paper on Basic Telecommunication Services).</w:t>
      </w:r>
    </w:p>
    <w:p w14:paraId="5952E24E" w14:textId="77777777" w:rsidR="007B08D6" w:rsidRPr="007B08D6" w:rsidRDefault="007B08D6" w:rsidP="007F268B">
      <w:pPr>
        <w:tabs>
          <w:tab w:val="clear" w:pos="567"/>
          <w:tab w:val="clear" w:pos="1134"/>
          <w:tab w:val="clear" w:pos="1701"/>
          <w:tab w:val="clear" w:pos="2268"/>
          <w:tab w:val="clear" w:pos="2835"/>
        </w:tabs>
        <w:overflowPunct/>
        <w:autoSpaceDE/>
        <w:autoSpaceDN/>
        <w:adjustRightInd/>
        <w:textAlignment w:val="auto"/>
        <w:rPr>
          <w:rFonts w:cs="Calibri"/>
          <w:b/>
          <w:lang w:val="en-US"/>
        </w:rPr>
      </w:pPr>
      <w:r w:rsidRPr="007B08D6">
        <w:rPr>
          <w:rFonts w:cs="Calibri"/>
          <w:b/>
          <w:lang w:val="en-US"/>
        </w:rPr>
        <w:t>4. Accounting rates</w:t>
      </w:r>
    </w:p>
    <w:p w14:paraId="5BC0BE2C" w14:textId="77777777" w:rsidR="00BD4122" w:rsidRDefault="00BD4122" w:rsidP="007F268B">
      <w:pPr>
        <w:tabs>
          <w:tab w:val="clear" w:pos="567"/>
          <w:tab w:val="clear" w:pos="1134"/>
          <w:tab w:val="clear" w:pos="1701"/>
          <w:tab w:val="clear" w:pos="2268"/>
          <w:tab w:val="clear" w:pos="2835"/>
        </w:tabs>
        <w:overflowPunct/>
        <w:autoSpaceDE/>
        <w:autoSpaceDN/>
        <w:adjustRightInd/>
        <w:textAlignment w:val="auto"/>
        <w:rPr>
          <w:lang w:val="en-US"/>
        </w:rPr>
      </w:pPr>
      <w:r>
        <w:t xml:space="preserve">The accounting rate system was the traditional accounting regime that had been in force since 1865 for telegraphy, whereby interconnected operators shared their international revenues </w:t>
      </w:r>
      <w:proofErr w:type="gramStart"/>
      <w:r>
        <w:t>on the basis of</w:t>
      </w:r>
      <w:proofErr w:type="gramEnd"/>
      <w:r>
        <w:t xml:space="preserve"> agreements between their respective governments. Since most operators were state-owned monopolies, this amounted to a revenue sharing agreement between governments. Although tariffs were supposed to be based on costs, in practice they often were not: high prices for international connections were used to subsidize national connections. That system came under increasing pressure in the mid-1980’s, when it became clear that prices were not declining as fast as costs (the cost declines were largely due to the dramatic technological advances that also resulted in the rapid growth of the information technology industry).</w:t>
      </w:r>
    </w:p>
    <w:p w14:paraId="0C4C9726" w14:textId="77777777" w:rsidR="007B08D6" w:rsidRDefault="00BD4122" w:rsidP="007F268B">
      <w:pPr>
        <w:tabs>
          <w:tab w:val="clear" w:pos="567"/>
          <w:tab w:val="clear" w:pos="1134"/>
          <w:tab w:val="clear" w:pos="1701"/>
          <w:tab w:val="clear" w:pos="2268"/>
          <w:tab w:val="clear" w:pos="2835"/>
        </w:tabs>
        <w:overflowPunct/>
        <w:autoSpaceDE/>
        <w:autoSpaceDN/>
        <w:adjustRightInd/>
        <w:textAlignment w:val="auto"/>
      </w:pPr>
      <w:r>
        <w:rPr>
          <w:lang w:val="en-US"/>
        </w:rPr>
        <w:t>T</w:t>
      </w:r>
      <w:r>
        <w:t>he developments enabled by the 1988 ITRs rapidly led to the demise of the traditional “accounting rate” system: although it was enshrined in article 6 of the ITRs, the special arrangements provision of article 9 allowed Member States to allow operators to bypass the accounting rate system.</w:t>
      </w:r>
    </w:p>
    <w:p w14:paraId="714F3543" w14:textId="77777777" w:rsidR="00BD4122" w:rsidRDefault="00BD4122" w:rsidP="007F268B">
      <w:pPr>
        <w:tabs>
          <w:tab w:val="clear" w:pos="567"/>
          <w:tab w:val="clear" w:pos="1134"/>
          <w:tab w:val="clear" w:pos="1701"/>
          <w:tab w:val="clear" w:pos="2268"/>
          <w:tab w:val="clear" w:pos="2835"/>
        </w:tabs>
        <w:overflowPunct/>
        <w:autoSpaceDE/>
        <w:autoSpaceDN/>
        <w:adjustRightInd/>
        <w:textAlignment w:val="auto"/>
        <w:rPr>
          <w:lang w:val="en-US"/>
        </w:rPr>
      </w:pPr>
      <w:r>
        <w:t>Consequently, the</w:t>
      </w:r>
      <w:r w:rsidRPr="00BD4122">
        <w:rPr>
          <w:lang w:val="en-US"/>
        </w:rPr>
        <w:t xml:space="preserve"> accounting and charging methods </w:t>
      </w:r>
      <w:r>
        <w:rPr>
          <w:lang w:val="en-US"/>
        </w:rPr>
        <w:t>referred to, and described, in article 6 of the 1988 ITRs (and article 8 of the 2012 ITRs) are no longer universally used</w:t>
      </w:r>
      <w:r w:rsidRPr="00BD4122">
        <w:rPr>
          <w:lang w:val="en-US"/>
        </w:rPr>
        <w:t>.</w:t>
      </w:r>
    </w:p>
    <w:p w14:paraId="06BB4ED8" w14:textId="77777777" w:rsidR="00BD4122" w:rsidRDefault="0069699A" w:rsidP="0069699A">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adjustRightInd/>
        <w:textAlignment w:val="auto"/>
        <w:rPr>
          <w:rFonts w:cs="Calibri"/>
          <w:lang w:val="en-US"/>
        </w:rPr>
      </w:pPr>
      <w:r w:rsidRPr="0069699A">
        <w:rPr>
          <w:b/>
          <w:lang w:val="en-US"/>
        </w:rPr>
        <w:t>Question 1</w:t>
      </w:r>
      <w:r>
        <w:rPr>
          <w:lang w:val="en-US"/>
        </w:rPr>
        <w:t>: Recipients are invited to comment on whether the said accounting and char</w:t>
      </w:r>
      <w:r w:rsidR="00DE71FF">
        <w:rPr>
          <w:lang w:val="en-US"/>
        </w:rPr>
        <w:t>g</w:t>
      </w:r>
      <w:r>
        <w:rPr>
          <w:lang w:val="en-US"/>
        </w:rPr>
        <w:t xml:space="preserve">ing provisions of the ITRs are </w:t>
      </w:r>
      <w:r w:rsidRPr="00A73CD8">
        <w:rPr>
          <w:rFonts w:cs="Calibri"/>
          <w:lang w:val="en-US"/>
        </w:rPr>
        <w:t>current</w:t>
      </w:r>
      <w:r>
        <w:rPr>
          <w:rFonts w:cs="Calibri"/>
          <w:lang w:val="en-US"/>
        </w:rPr>
        <w:t>ly</w:t>
      </w:r>
      <w:r w:rsidRPr="00A73CD8">
        <w:rPr>
          <w:rFonts w:cs="Calibri"/>
          <w:lang w:val="en-US"/>
        </w:rPr>
        <w:t xml:space="preserve"> use</w:t>
      </w:r>
      <w:r>
        <w:rPr>
          <w:rFonts w:cs="Calibri"/>
          <w:lang w:val="en-US"/>
        </w:rPr>
        <w:t>d</w:t>
      </w:r>
      <w:r w:rsidRPr="00A73CD8">
        <w:rPr>
          <w:rFonts w:cs="Calibri"/>
          <w:lang w:val="en-US"/>
        </w:rPr>
        <w:t xml:space="preserve"> by operating agencies and/or administrations and </w:t>
      </w:r>
      <w:r>
        <w:rPr>
          <w:rFonts w:cs="Calibri"/>
          <w:lang w:val="en-US"/>
        </w:rPr>
        <w:t xml:space="preserve">on </w:t>
      </w:r>
      <w:r w:rsidRPr="00A73CD8">
        <w:rPr>
          <w:rFonts w:cs="Calibri"/>
          <w:lang w:val="en-US"/>
        </w:rPr>
        <w:t>the proportion of global telecommunication services which now rely on the</w:t>
      </w:r>
      <w:r>
        <w:rPr>
          <w:rFonts w:cs="Calibri"/>
          <w:lang w:val="en-US"/>
        </w:rPr>
        <w:t>m.</w:t>
      </w:r>
    </w:p>
    <w:p w14:paraId="5ACC5F8D" w14:textId="77777777" w:rsidR="0069699A" w:rsidRDefault="0069699A" w:rsidP="0069699A">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adjustRightInd/>
        <w:textAlignment w:val="auto"/>
        <w:rPr>
          <w:rFonts w:cs="Calibri"/>
          <w:lang w:val="en-US"/>
        </w:rPr>
      </w:pPr>
      <w:r w:rsidRPr="0069699A">
        <w:rPr>
          <w:rFonts w:cs="Calibri"/>
          <w:b/>
          <w:lang w:val="en-US"/>
        </w:rPr>
        <w:t>Question 2</w:t>
      </w:r>
      <w:r>
        <w:rPr>
          <w:rFonts w:cs="Calibri"/>
          <w:lang w:val="en-US"/>
        </w:rPr>
        <w:t xml:space="preserve">: </w:t>
      </w:r>
      <w:r>
        <w:rPr>
          <w:lang w:val="en-US"/>
        </w:rPr>
        <w:t xml:space="preserve">Recipients are invited to comment on whether the special arrangements provisions of the ITRs (article 9 of the 1988 ITRs; article 13 of the 2012 ITRs) are </w:t>
      </w:r>
      <w:r w:rsidRPr="00A73CD8">
        <w:rPr>
          <w:rFonts w:cs="Calibri"/>
          <w:lang w:val="en-US"/>
        </w:rPr>
        <w:t>current</w:t>
      </w:r>
      <w:r>
        <w:rPr>
          <w:rFonts w:cs="Calibri"/>
          <w:lang w:val="en-US"/>
        </w:rPr>
        <w:t>ly</w:t>
      </w:r>
      <w:r w:rsidRPr="00A73CD8">
        <w:rPr>
          <w:rFonts w:cs="Calibri"/>
          <w:lang w:val="en-US"/>
        </w:rPr>
        <w:t xml:space="preserve"> use</w:t>
      </w:r>
      <w:r>
        <w:rPr>
          <w:rFonts w:cs="Calibri"/>
          <w:lang w:val="en-US"/>
        </w:rPr>
        <w:t>d</w:t>
      </w:r>
      <w:r w:rsidRPr="00A73CD8">
        <w:rPr>
          <w:rFonts w:cs="Calibri"/>
          <w:lang w:val="en-US"/>
        </w:rPr>
        <w:t xml:space="preserve"> by operating agencies and/or administrations and </w:t>
      </w:r>
      <w:r>
        <w:rPr>
          <w:rFonts w:cs="Calibri"/>
          <w:lang w:val="en-US"/>
        </w:rPr>
        <w:t xml:space="preserve">on </w:t>
      </w:r>
      <w:r w:rsidRPr="00A73CD8">
        <w:rPr>
          <w:rFonts w:cs="Calibri"/>
          <w:lang w:val="en-US"/>
        </w:rPr>
        <w:t>the proportion of global telecommunication services which now rely on the</w:t>
      </w:r>
      <w:r>
        <w:rPr>
          <w:rFonts w:cs="Calibri"/>
          <w:lang w:val="en-US"/>
        </w:rPr>
        <w:t>m.</w:t>
      </w:r>
    </w:p>
    <w:p w14:paraId="6D7A8F11" w14:textId="77777777" w:rsidR="007B08D6" w:rsidRDefault="007B08D6" w:rsidP="007F268B">
      <w:pPr>
        <w:tabs>
          <w:tab w:val="clear" w:pos="567"/>
          <w:tab w:val="clear" w:pos="1134"/>
          <w:tab w:val="clear" w:pos="1701"/>
          <w:tab w:val="clear" w:pos="2268"/>
          <w:tab w:val="clear" w:pos="2835"/>
        </w:tabs>
        <w:overflowPunct/>
        <w:autoSpaceDE/>
        <w:autoSpaceDN/>
        <w:adjustRightInd/>
        <w:textAlignment w:val="auto"/>
        <w:rPr>
          <w:rFonts w:cs="Calibri"/>
          <w:b/>
          <w:lang w:val="en-US"/>
        </w:rPr>
      </w:pPr>
      <w:r w:rsidRPr="007B08D6">
        <w:rPr>
          <w:rFonts w:cs="Calibri"/>
          <w:b/>
          <w:lang w:val="en-US"/>
        </w:rPr>
        <w:t>5. Invitation to comment on other provisions of the ITRs</w:t>
      </w:r>
    </w:p>
    <w:p w14:paraId="11CF8021" w14:textId="77777777" w:rsidR="0069699A" w:rsidRDefault="0069699A" w:rsidP="007F268B">
      <w:pPr>
        <w:tabs>
          <w:tab w:val="clear" w:pos="567"/>
          <w:tab w:val="clear" w:pos="1134"/>
          <w:tab w:val="clear" w:pos="1701"/>
          <w:tab w:val="clear" w:pos="2268"/>
          <w:tab w:val="clear" w:pos="2835"/>
        </w:tabs>
        <w:overflowPunct/>
        <w:autoSpaceDE/>
        <w:autoSpaceDN/>
        <w:adjustRightInd/>
        <w:textAlignment w:val="auto"/>
        <w:rPr>
          <w:rFonts w:cs="Calibri"/>
          <w:lang w:val="en-US"/>
        </w:rPr>
      </w:pPr>
      <w:r w:rsidRPr="0069699A">
        <w:rPr>
          <w:rFonts w:cs="Calibri"/>
          <w:lang w:val="en-US"/>
        </w:rPr>
        <w:t>The text of the ITRs is found at:</w:t>
      </w:r>
    </w:p>
    <w:p w14:paraId="60733CB1" w14:textId="77777777" w:rsidR="0069699A" w:rsidRDefault="0069699A" w:rsidP="007F268B">
      <w:pPr>
        <w:tabs>
          <w:tab w:val="clear" w:pos="567"/>
          <w:tab w:val="clear" w:pos="1134"/>
          <w:tab w:val="clear" w:pos="1701"/>
          <w:tab w:val="clear" w:pos="2268"/>
          <w:tab w:val="clear" w:pos="2835"/>
        </w:tabs>
        <w:overflowPunct/>
        <w:autoSpaceDE/>
        <w:autoSpaceDN/>
        <w:adjustRightInd/>
        <w:textAlignment w:val="auto"/>
        <w:rPr>
          <w:rFonts w:cs="Calibri"/>
          <w:lang w:val="en-US"/>
        </w:rPr>
      </w:pPr>
      <w:r>
        <w:rPr>
          <w:rFonts w:cs="Calibri"/>
          <w:lang w:val="en-US"/>
        </w:rPr>
        <w:t xml:space="preserve">  </w:t>
      </w:r>
      <w:hyperlink r:id="rId19" w:history="1">
        <w:r w:rsidRPr="00DB4F03">
          <w:rPr>
            <w:rStyle w:val="Hyperlink"/>
            <w:rFonts w:cs="Calibri"/>
            <w:lang w:val="en-US"/>
          </w:rPr>
          <w:t>https://www.itu.int/en/wcit-12/Pages/itrs.aspx</w:t>
        </w:r>
      </w:hyperlink>
      <w:r>
        <w:rPr>
          <w:rFonts w:cs="Calibri"/>
          <w:lang w:val="en-US"/>
        </w:rPr>
        <w:t xml:space="preserve"> </w:t>
      </w:r>
    </w:p>
    <w:p w14:paraId="3FEC2FD0" w14:textId="77777777" w:rsidR="0069699A" w:rsidRPr="0069699A" w:rsidRDefault="0069699A" w:rsidP="007F268B">
      <w:pPr>
        <w:tabs>
          <w:tab w:val="clear" w:pos="567"/>
          <w:tab w:val="clear" w:pos="1134"/>
          <w:tab w:val="clear" w:pos="1701"/>
          <w:tab w:val="clear" w:pos="2268"/>
          <w:tab w:val="clear" w:pos="2835"/>
        </w:tabs>
        <w:overflowPunct/>
        <w:autoSpaceDE/>
        <w:autoSpaceDN/>
        <w:adjustRightInd/>
        <w:textAlignment w:val="auto"/>
        <w:rPr>
          <w:rFonts w:cs="Calibri"/>
          <w:lang w:val="en-US"/>
        </w:rPr>
      </w:pPr>
      <w:r>
        <w:rPr>
          <w:rFonts w:cs="Calibri"/>
          <w:lang w:val="en-US"/>
        </w:rPr>
        <w:t>For convenience, the 2012 version is reproduced as an annex to this request for empirical data.</w:t>
      </w:r>
    </w:p>
    <w:p w14:paraId="62F30C69" w14:textId="77777777" w:rsidR="0069699A" w:rsidRDefault="0069699A" w:rsidP="0069699A">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lang w:val="en-US"/>
        </w:rPr>
      </w:pPr>
      <w:r w:rsidRPr="0069699A">
        <w:rPr>
          <w:rFonts w:cs="Calibri"/>
          <w:b/>
          <w:lang w:val="en-US"/>
        </w:rPr>
        <w:t>Question 3</w:t>
      </w:r>
      <w:r>
        <w:rPr>
          <w:rFonts w:cs="Calibri"/>
          <w:lang w:val="en-US"/>
        </w:rPr>
        <w:t xml:space="preserve">: Recipients are invited to comment on </w:t>
      </w:r>
      <w:r>
        <w:rPr>
          <w:rFonts w:asciiTheme="minorHAnsi" w:hAnsiTheme="minorHAnsi" w:cstheme="minorHAnsi"/>
          <w:lang w:val="en-US"/>
        </w:rPr>
        <w:t>whether other provisions of the 1988 and/or 2012 ITRs:</w:t>
      </w:r>
    </w:p>
    <w:p w14:paraId="21300DC9" w14:textId="77777777" w:rsidR="0069699A" w:rsidRDefault="0069699A" w:rsidP="0069699A">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lang w:val="en-US"/>
        </w:rPr>
      </w:pPr>
      <w:r>
        <w:rPr>
          <w:rFonts w:asciiTheme="minorHAnsi" w:hAnsiTheme="minorHAnsi" w:cstheme="minorHAnsi"/>
          <w:lang w:val="en-US"/>
        </w:rPr>
        <w:t xml:space="preserve">   (a) are relevant or useful because they have been transposed to national </w:t>
      </w:r>
      <w:proofErr w:type="gramStart"/>
      <w:r>
        <w:rPr>
          <w:rFonts w:asciiTheme="minorHAnsi" w:hAnsiTheme="minorHAnsi" w:cstheme="minorHAnsi"/>
          <w:lang w:val="en-US"/>
        </w:rPr>
        <w:t>law;</w:t>
      </w:r>
      <w:proofErr w:type="gramEnd"/>
      <w:r w:rsidRPr="0069699A">
        <w:rPr>
          <w:rFonts w:asciiTheme="minorHAnsi" w:hAnsiTheme="minorHAnsi" w:cstheme="minorHAnsi"/>
          <w:lang w:val="en-US"/>
        </w:rPr>
        <w:t xml:space="preserve"> </w:t>
      </w:r>
    </w:p>
    <w:p w14:paraId="4B8D923D" w14:textId="77777777" w:rsidR="0069699A" w:rsidRDefault="0069699A" w:rsidP="0069699A">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lang w:val="en-US"/>
        </w:rPr>
      </w:pPr>
      <w:r>
        <w:rPr>
          <w:rFonts w:asciiTheme="minorHAnsi" w:hAnsiTheme="minorHAnsi" w:cstheme="minorHAnsi"/>
          <w:lang w:val="en-US"/>
        </w:rPr>
        <w:t xml:space="preserve">   (b) would be relevant or useful if they were transposed to national </w:t>
      </w:r>
      <w:proofErr w:type="gramStart"/>
      <w:r>
        <w:rPr>
          <w:rFonts w:asciiTheme="minorHAnsi" w:hAnsiTheme="minorHAnsi" w:cstheme="minorHAnsi"/>
          <w:lang w:val="en-US"/>
        </w:rPr>
        <w:t>law;</w:t>
      </w:r>
      <w:proofErr w:type="gramEnd"/>
      <w:r>
        <w:rPr>
          <w:rFonts w:asciiTheme="minorHAnsi" w:hAnsiTheme="minorHAnsi" w:cstheme="minorHAnsi"/>
          <w:lang w:val="en-US"/>
        </w:rPr>
        <w:t xml:space="preserve"> </w:t>
      </w:r>
    </w:p>
    <w:p w14:paraId="11300D2C" w14:textId="77777777" w:rsidR="0069699A" w:rsidRDefault="0069699A" w:rsidP="0069699A">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lang w:val="en-US"/>
        </w:rPr>
      </w:pPr>
      <w:r>
        <w:rPr>
          <w:rFonts w:asciiTheme="minorHAnsi" w:hAnsiTheme="minorHAnsi" w:cstheme="minorHAnsi"/>
          <w:lang w:val="en-US"/>
        </w:rPr>
        <w:t xml:space="preserve">   (c) are redundant because they have been implemented in national law independently of the ITRs; or</w:t>
      </w:r>
    </w:p>
    <w:p w14:paraId="7B7610BF" w14:textId="77777777" w:rsidR="0069699A" w:rsidRDefault="0069699A" w:rsidP="0069699A">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lang w:val="en-US"/>
        </w:rPr>
      </w:pPr>
      <w:r>
        <w:rPr>
          <w:rFonts w:asciiTheme="minorHAnsi" w:hAnsiTheme="minorHAnsi" w:cstheme="minorHAnsi"/>
          <w:lang w:val="en-US"/>
        </w:rPr>
        <w:t xml:space="preserve">   (d) are not needed because there is no need to bind states to transpose such provisions to national law.</w:t>
      </w:r>
      <w:r w:rsidRPr="002F7555">
        <w:rPr>
          <w:rFonts w:asciiTheme="minorHAnsi" w:hAnsiTheme="minorHAnsi" w:cstheme="minorHAnsi"/>
          <w:lang w:val="en-US"/>
        </w:rPr>
        <w:t xml:space="preserve"> </w:t>
      </w:r>
    </w:p>
    <w:p w14:paraId="7B6D5F54" w14:textId="77777777" w:rsidR="007B08D6" w:rsidRPr="007B08D6" w:rsidRDefault="007B08D6" w:rsidP="007F268B">
      <w:pPr>
        <w:tabs>
          <w:tab w:val="clear" w:pos="567"/>
          <w:tab w:val="clear" w:pos="1134"/>
          <w:tab w:val="clear" w:pos="1701"/>
          <w:tab w:val="clear" w:pos="2268"/>
          <w:tab w:val="clear" w:pos="2835"/>
        </w:tabs>
        <w:overflowPunct/>
        <w:autoSpaceDE/>
        <w:autoSpaceDN/>
        <w:adjustRightInd/>
        <w:textAlignment w:val="auto"/>
        <w:rPr>
          <w:rFonts w:cs="Calibri"/>
          <w:b/>
          <w:lang w:val="en-US"/>
        </w:rPr>
      </w:pPr>
      <w:r w:rsidRPr="007B08D6">
        <w:rPr>
          <w:rFonts w:cs="Calibri"/>
          <w:b/>
          <w:lang w:val="en-US"/>
        </w:rPr>
        <w:t>6. Invitation to comment regarding new provisions</w:t>
      </w:r>
    </w:p>
    <w:p w14:paraId="2DEF01BE" w14:textId="77777777" w:rsidR="001560FA" w:rsidRDefault="001560FA" w:rsidP="007F268B">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lang w:val="en-US"/>
        </w:rPr>
      </w:pPr>
      <w:r>
        <w:rPr>
          <w:rFonts w:asciiTheme="minorHAnsi" w:hAnsiTheme="minorHAnsi" w:cstheme="minorHAnsi"/>
          <w:lang w:val="en-US"/>
        </w:rPr>
        <w:t xml:space="preserve">The 2012 ITRs introduced new articles on issues not covered in the 1988 ITRs, </w:t>
      </w:r>
      <w:proofErr w:type="gramStart"/>
      <w:r>
        <w:rPr>
          <w:rFonts w:asciiTheme="minorHAnsi" w:hAnsiTheme="minorHAnsi" w:cstheme="minorHAnsi"/>
          <w:lang w:val="en-US"/>
        </w:rPr>
        <w:t>in particular regarding</w:t>
      </w:r>
      <w:proofErr w:type="gramEnd"/>
      <w:r>
        <w:rPr>
          <w:rFonts w:asciiTheme="minorHAnsi" w:hAnsiTheme="minorHAnsi" w:cstheme="minorHAnsi"/>
          <w:lang w:val="en-US"/>
        </w:rPr>
        <w:t xml:space="preserve"> security and robustness of networks, unsolicited bulk electronic communications (spam), energy efficiency/e-waste, and accessibility.</w:t>
      </w:r>
    </w:p>
    <w:p w14:paraId="4522A2FA" w14:textId="77777777" w:rsidR="001560FA" w:rsidRDefault="001560FA" w:rsidP="007F268B">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lang w:val="en-US"/>
        </w:rPr>
      </w:pPr>
      <w:r>
        <w:rPr>
          <w:rFonts w:asciiTheme="minorHAnsi" w:hAnsiTheme="minorHAnsi" w:cstheme="minorHAnsi"/>
          <w:lang w:val="en-US"/>
        </w:rPr>
        <w:t>During the review of the 2012 ITRs, various suggestions have been made regarding additional new issues that might be considered if there were an agreement to revise the ITRs again.</w:t>
      </w:r>
    </w:p>
    <w:p w14:paraId="5CD31933" w14:textId="77777777" w:rsidR="007B08D6" w:rsidRDefault="001560FA" w:rsidP="001560FA">
      <w:pPr>
        <w:keepLines/>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adjustRightInd/>
        <w:textAlignment w:val="auto"/>
        <w:rPr>
          <w:rFonts w:cs="Calibri"/>
          <w:lang w:val="en-US"/>
        </w:rPr>
      </w:pPr>
      <w:r w:rsidRPr="001560FA">
        <w:rPr>
          <w:rFonts w:asciiTheme="minorHAnsi" w:hAnsiTheme="minorHAnsi" w:cstheme="minorHAnsi"/>
          <w:b/>
          <w:lang w:val="en-US"/>
        </w:rPr>
        <w:t>Question 4</w:t>
      </w:r>
      <w:r>
        <w:rPr>
          <w:rFonts w:asciiTheme="minorHAnsi" w:hAnsiTheme="minorHAnsi" w:cstheme="minorHAnsi"/>
          <w:lang w:val="en-US"/>
        </w:rPr>
        <w:t xml:space="preserve">: Recipients are invited to comment on whether new provisions in the ITRs would be relevant or useful if they were transposed to national law, for example regarding cybersecurity, spam, </w:t>
      </w:r>
      <w:r w:rsidR="00264E02">
        <w:rPr>
          <w:rFonts w:asciiTheme="minorHAnsi" w:hAnsiTheme="minorHAnsi" w:cstheme="minorHAnsi"/>
          <w:lang w:val="en-US"/>
        </w:rPr>
        <w:t xml:space="preserve">energy efficiency/e-waste, accessibility, </w:t>
      </w:r>
      <w:r w:rsidR="00C7612E">
        <w:rPr>
          <w:rFonts w:asciiTheme="minorHAnsi" w:hAnsiTheme="minorHAnsi" w:cstheme="minorHAnsi"/>
          <w:lang w:val="en-US"/>
        </w:rPr>
        <w:t xml:space="preserve">use of </w:t>
      </w:r>
      <w:r>
        <w:rPr>
          <w:rFonts w:asciiTheme="minorHAnsi" w:hAnsiTheme="minorHAnsi" w:cstheme="minorHAnsi"/>
          <w:lang w:val="en-US"/>
        </w:rPr>
        <w:t>artificial intelligence</w:t>
      </w:r>
      <w:r w:rsidR="00C7612E">
        <w:rPr>
          <w:rFonts w:asciiTheme="minorHAnsi" w:hAnsiTheme="minorHAnsi" w:cstheme="minorHAnsi"/>
          <w:lang w:val="en-US"/>
        </w:rPr>
        <w:t xml:space="preserve"> in international telecommunications services</w:t>
      </w:r>
      <w:r>
        <w:rPr>
          <w:rFonts w:asciiTheme="minorHAnsi" w:hAnsiTheme="minorHAnsi" w:cstheme="minorHAnsi"/>
          <w:lang w:val="en-US"/>
        </w:rPr>
        <w:t xml:space="preserve">, </w:t>
      </w:r>
      <w:r w:rsidRPr="00405C77">
        <w:rPr>
          <w:rFonts w:asciiTheme="minorHAnsi" w:hAnsiTheme="minorHAnsi" w:cstheme="minorHAnsi"/>
          <w:lang w:val="en-US"/>
        </w:rPr>
        <w:t>build</w:t>
      </w:r>
      <w:r>
        <w:rPr>
          <w:rFonts w:asciiTheme="minorHAnsi" w:hAnsiTheme="minorHAnsi" w:cstheme="minorHAnsi"/>
          <w:lang w:val="en-US"/>
        </w:rPr>
        <w:t>ing</w:t>
      </w:r>
      <w:r w:rsidRPr="00405C77">
        <w:rPr>
          <w:rFonts w:asciiTheme="minorHAnsi" w:hAnsiTheme="minorHAnsi" w:cstheme="minorHAnsi"/>
          <w:lang w:val="en-US"/>
        </w:rPr>
        <w:t xml:space="preserve"> a digital public infrastructure</w:t>
      </w:r>
      <w:r>
        <w:rPr>
          <w:rFonts w:asciiTheme="minorHAnsi" w:hAnsiTheme="minorHAnsi" w:cstheme="minorHAnsi"/>
          <w:lang w:val="en-US"/>
        </w:rPr>
        <w:t>,</w:t>
      </w:r>
      <w:r w:rsidRPr="00405C77">
        <w:rPr>
          <w:rFonts w:asciiTheme="minorHAnsi" w:hAnsiTheme="minorHAnsi" w:cstheme="minorHAnsi"/>
          <w:lang w:val="en-US"/>
        </w:rPr>
        <w:t xml:space="preserve"> </w:t>
      </w:r>
      <w:r>
        <w:rPr>
          <w:rFonts w:asciiTheme="minorHAnsi" w:hAnsiTheme="minorHAnsi" w:cstheme="minorHAnsi"/>
          <w:lang w:val="en-US"/>
        </w:rPr>
        <w:t xml:space="preserve">bridging the digital gender gap, </w:t>
      </w:r>
      <w:r w:rsidR="00AC3FB0">
        <w:rPr>
          <w:rFonts w:asciiTheme="minorHAnsi" w:hAnsiTheme="minorHAnsi" w:cstheme="minorHAnsi"/>
          <w:lang w:val="en-US"/>
        </w:rPr>
        <w:t>Universal Acceptance</w:t>
      </w:r>
      <w:r w:rsidR="00AC3FB0">
        <w:rPr>
          <w:rStyle w:val="FootnoteReference"/>
          <w:rFonts w:cstheme="minorHAnsi"/>
          <w:lang w:val="en-US"/>
        </w:rPr>
        <w:footnoteReference w:id="7"/>
      </w:r>
      <w:r w:rsidR="00AC3FB0">
        <w:rPr>
          <w:rFonts w:asciiTheme="minorHAnsi" w:hAnsiTheme="minorHAnsi" w:cstheme="minorHAnsi"/>
          <w:lang w:val="en-US"/>
        </w:rPr>
        <w:t xml:space="preserve">, </w:t>
      </w:r>
      <w:r>
        <w:rPr>
          <w:rFonts w:asciiTheme="minorHAnsi" w:hAnsiTheme="minorHAnsi" w:cstheme="minorHAnsi"/>
          <w:lang w:val="en-US"/>
        </w:rPr>
        <w:t>or any other issues that the recipients consider appropriate for inclusion in the ITRs.</w:t>
      </w:r>
    </w:p>
    <w:p w14:paraId="297AA533" w14:textId="77777777" w:rsidR="0069699A" w:rsidRDefault="0069699A">
      <w:pPr>
        <w:tabs>
          <w:tab w:val="clear" w:pos="567"/>
          <w:tab w:val="clear" w:pos="1134"/>
          <w:tab w:val="clear" w:pos="1701"/>
          <w:tab w:val="clear" w:pos="2268"/>
          <w:tab w:val="clear" w:pos="2835"/>
        </w:tabs>
        <w:overflowPunct/>
        <w:autoSpaceDE/>
        <w:autoSpaceDN/>
        <w:adjustRightInd/>
        <w:spacing w:before="0"/>
        <w:textAlignment w:val="auto"/>
        <w:rPr>
          <w:rFonts w:cs="Calibri"/>
          <w:lang w:val="en-US"/>
        </w:rPr>
      </w:pPr>
      <w:r>
        <w:rPr>
          <w:rFonts w:cs="Calibri"/>
          <w:lang w:val="en-US"/>
        </w:rPr>
        <w:br w:type="page"/>
      </w:r>
    </w:p>
    <w:p w14:paraId="6120700A" w14:textId="77777777" w:rsidR="007B08D6" w:rsidRDefault="007B08D6" w:rsidP="007F268B">
      <w:pPr>
        <w:tabs>
          <w:tab w:val="clear" w:pos="567"/>
          <w:tab w:val="clear" w:pos="1134"/>
          <w:tab w:val="clear" w:pos="1701"/>
          <w:tab w:val="clear" w:pos="2268"/>
          <w:tab w:val="clear" w:pos="2835"/>
        </w:tabs>
        <w:overflowPunct/>
        <w:autoSpaceDE/>
        <w:autoSpaceDN/>
        <w:adjustRightInd/>
        <w:textAlignment w:val="auto"/>
        <w:rPr>
          <w:rFonts w:cs="Calibri"/>
          <w:lang w:val="en-US"/>
        </w:rPr>
      </w:pPr>
    </w:p>
    <w:p w14:paraId="347719A8" w14:textId="77777777" w:rsidR="0069699A" w:rsidRPr="007D7CEA" w:rsidRDefault="0069699A" w:rsidP="0069699A">
      <w:pPr>
        <w:tabs>
          <w:tab w:val="clear" w:pos="567"/>
          <w:tab w:val="clear" w:pos="1134"/>
          <w:tab w:val="clear" w:pos="1701"/>
          <w:tab w:val="clear" w:pos="2268"/>
          <w:tab w:val="clear" w:pos="2835"/>
        </w:tabs>
        <w:overflowPunct/>
        <w:autoSpaceDE/>
        <w:autoSpaceDN/>
        <w:adjustRightInd/>
        <w:jc w:val="center"/>
        <w:textAlignment w:val="auto"/>
        <w:rPr>
          <w:rFonts w:cs="Calibri"/>
          <w:b/>
          <w:sz w:val="28"/>
          <w:szCs w:val="28"/>
          <w:lang w:val="en-US"/>
        </w:rPr>
      </w:pPr>
      <w:r w:rsidRPr="007D7CEA">
        <w:rPr>
          <w:rFonts w:cs="Calibri"/>
          <w:b/>
          <w:sz w:val="28"/>
          <w:szCs w:val="28"/>
          <w:lang w:val="en-US"/>
        </w:rPr>
        <w:t>Annex to</w:t>
      </w:r>
      <w:r w:rsidRPr="007D7CEA">
        <w:rPr>
          <w:rFonts w:cs="Calibri"/>
          <w:b/>
          <w:sz w:val="28"/>
          <w:szCs w:val="28"/>
          <w:lang w:val="en-US"/>
        </w:rPr>
        <w:br/>
        <w:t>Request for empirical data</w:t>
      </w:r>
    </w:p>
    <w:p w14:paraId="58201CB1" w14:textId="4082B64D" w:rsidR="0069699A" w:rsidRPr="004E31A8" w:rsidRDefault="005F6C56" w:rsidP="005C64ED">
      <w:pPr>
        <w:tabs>
          <w:tab w:val="clear" w:pos="567"/>
          <w:tab w:val="clear" w:pos="1134"/>
          <w:tab w:val="clear" w:pos="1701"/>
          <w:tab w:val="clear" w:pos="2268"/>
          <w:tab w:val="clear" w:pos="2835"/>
        </w:tabs>
        <w:overflowPunct/>
        <w:autoSpaceDE/>
        <w:autoSpaceDN/>
        <w:adjustRightInd/>
        <w:spacing w:before="720"/>
        <w:textAlignment w:val="auto"/>
        <w:rPr>
          <w:rFonts w:cs="Calibri"/>
          <w:lang w:val="en-US"/>
        </w:rPr>
      </w:pPr>
      <w:hyperlink r:id="rId20" w:history="1">
        <w:r w:rsidR="005C64ED" w:rsidRPr="008E28CE">
          <w:rPr>
            <w:rStyle w:val="Hyperlink"/>
            <w:rFonts w:cs="Calibri"/>
            <w:lang w:val="en-US"/>
          </w:rPr>
          <w:t>Final Acts of the World Conference on International Telecommunications (Dubai, 2012)</w:t>
        </w:r>
      </w:hyperlink>
    </w:p>
    <w:p w14:paraId="62F9AA42" w14:textId="77777777" w:rsidR="0053640F" w:rsidRPr="0053640F" w:rsidRDefault="0053640F" w:rsidP="0053640F">
      <w:pPr>
        <w:pStyle w:val="ListParagraph"/>
        <w:tabs>
          <w:tab w:val="clear" w:pos="567"/>
          <w:tab w:val="clear" w:pos="1134"/>
          <w:tab w:val="clear" w:pos="1701"/>
          <w:tab w:val="clear" w:pos="2268"/>
          <w:tab w:val="clear" w:pos="2835"/>
        </w:tabs>
        <w:overflowPunct/>
        <w:autoSpaceDE/>
        <w:autoSpaceDN/>
        <w:adjustRightInd/>
        <w:spacing w:before="840"/>
        <w:contextualSpacing w:val="0"/>
        <w:jc w:val="center"/>
        <w:textAlignment w:val="auto"/>
        <w:rPr>
          <w:rFonts w:ascii="Times New Roman" w:hAnsi="Times New Roman"/>
          <w:lang w:val="en-US"/>
        </w:rPr>
      </w:pPr>
      <w:r>
        <w:rPr>
          <w:rFonts w:ascii="Times New Roman" w:hAnsi="Times New Roman"/>
          <w:lang w:val="en-US"/>
        </w:rPr>
        <w:t>_____________________</w:t>
      </w:r>
    </w:p>
    <w:sectPr w:rsidR="0053640F" w:rsidRPr="0053640F" w:rsidSect="00AD3606">
      <w:footerReference w:type="default" r:id="rId21"/>
      <w:headerReference w:type="first" r:id="rId22"/>
      <w:footerReference w:type="first" r:id="rId2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32B9" w14:textId="77777777" w:rsidR="00544D79" w:rsidRDefault="00544D79">
      <w:r>
        <w:separator/>
      </w:r>
    </w:p>
  </w:endnote>
  <w:endnote w:type="continuationSeparator" w:id="0">
    <w:p w14:paraId="2F455373" w14:textId="77777777" w:rsidR="00544D79" w:rsidRDefault="0054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726B218" w14:textId="77777777" w:rsidTr="0042469C">
      <w:trPr>
        <w:jc w:val="center"/>
      </w:trPr>
      <w:tc>
        <w:tcPr>
          <w:tcW w:w="1803" w:type="dxa"/>
          <w:vAlign w:val="center"/>
        </w:tcPr>
        <w:p w14:paraId="20E0395F" w14:textId="60AA980C" w:rsidR="00EE49E8" w:rsidRDefault="00EE49E8" w:rsidP="00EE49E8">
          <w:pPr>
            <w:pStyle w:val="Header"/>
            <w:jc w:val="left"/>
            <w:rPr>
              <w:noProof/>
            </w:rPr>
          </w:pPr>
        </w:p>
      </w:tc>
      <w:tc>
        <w:tcPr>
          <w:tcW w:w="8261" w:type="dxa"/>
        </w:tcPr>
        <w:p w14:paraId="5505B612" w14:textId="77777777" w:rsidR="00EE49E8" w:rsidRPr="00E06FD5" w:rsidRDefault="00EE49E8" w:rsidP="007B08D6">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7B08D6">
            <w:rPr>
              <w:bCs/>
            </w:rPr>
            <w:t>2</w:t>
          </w:r>
          <w:r w:rsidR="00A52C84" w:rsidRPr="00623AE3">
            <w:rPr>
              <w:bCs/>
            </w:rPr>
            <w:t>/</w:t>
          </w:r>
          <w:r w:rsidR="007B08D6" w:rsidRPr="008E28CE">
            <w:rPr>
              <w:bCs/>
            </w:rPr>
            <w:t>2</w:t>
          </w:r>
          <w:r>
            <w:rPr>
              <w:bCs/>
            </w:rPr>
            <w:tab/>
          </w:r>
          <w:r w:rsidR="00F26866">
            <w:fldChar w:fldCharType="begin"/>
          </w:r>
          <w:r>
            <w:instrText>PAGE</w:instrText>
          </w:r>
          <w:r w:rsidR="00F26866">
            <w:fldChar w:fldCharType="separate"/>
          </w:r>
          <w:r w:rsidR="00AF6C7D">
            <w:rPr>
              <w:noProof/>
            </w:rPr>
            <w:t>8</w:t>
          </w:r>
          <w:r w:rsidR="00F26866">
            <w:rPr>
              <w:noProof/>
            </w:rPr>
            <w:fldChar w:fldCharType="end"/>
          </w:r>
        </w:p>
      </w:tc>
    </w:tr>
  </w:tbl>
  <w:p w14:paraId="028B2F9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2F97638A" w14:textId="77777777" w:rsidTr="00A52C84">
      <w:trPr>
        <w:jc w:val="center"/>
      </w:trPr>
      <w:tc>
        <w:tcPr>
          <w:tcW w:w="3107" w:type="dxa"/>
          <w:vAlign w:val="center"/>
        </w:tcPr>
        <w:p w14:paraId="2F5C7EAD" w14:textId="77777777" w:rsidR="00EE49E8" w:rsidRDefault="00A52C84" w:rsidP="00EE49E8">
          <w:pPr>
            <w:pStyle w:val="Header"/>
            <w:jc w:val="left"/>
            <w:rPr>
              <w:noProof/>
            </w:rPr>
          </w:pPr>
          <w:r w:rsidRPr="00293B38">
            <w:rPr>
              <w:color w:val="0070C0"/>
            </w:rPr>
            <w:t>https://council.itu.int/working-groups</w:t>
          </w:r>
        </w:p>
      </w:tc>
      <w:tc>
        <w:tcPr>
          <w:tcW w:w="6957" w:type="dxa"/>
        </w:tcPr>
        <w:p w14:paraId="0A746D72" w14:textId="77777777" w:rsidR="00EE49E8" w:rsidRPr="00E06FD5" w:rsidRDefault="00EE49E8" w:rsidP="007B08D6">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7B08D6">
            <w:rPr>
              <w:bCs/>
            </w:rPr>
            <w:t>2</w:t>
          </w:r>
          <w:r w:rsidRPr="008E28CE">
            <w:rPr>
              <w:bCs/>
            </w:rPr>
            <w:t>/</w:t>
          </w:r>
          <w:r w:rsidR="007B08D6" w:rsidRPr="008E28CE">
            <w:rPr>
              <w:bCs/>
            </w:rPr>
            <w:t>2</w:t>
          </w:r>
          <w:r>
            <w:rPr>
              <w:bCs/>
            </w:rPr>
            <w:tab/>
          </w:r>
          <w:r w:rsidR="00F26866">
            <w:fldChar w:fldCharType="begin"/>
          </w:r>
          <w:r>
            <w:instrText>PAGE</w:instrText>
          </w:r>
          <w:r w:rsidR="00F26866">
            <w:fldChar w:fldCharType="separate"/>
          </w:r>
          <w:r w:rsidR="00AF6C7D">
            <w:rPr>
              <w:noProof/>
            </w:rPr>
            <w:t>1</w:t>
          </w:r>
          <w:r w:rsidR="00F26866">
            <w:rPr>
              <w:noProof/>
            </w:rPr>
            <w:fldChar w:fldCharType="end"/>
          </w:r>
        </w:p>
      </w:tc>
    </w:tr>
  </w:tbl>
  <w:p w14:paraId="5DD276A7"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59EC3" w14:textId="77777777" w:rsidR="00544D79" w:rsidRDefault="00544D79">
      <w:r>
        <w:t>____________________</w:t>
      </w:r>
    </w:p>
  </w:footnote>
  <w:footnote w:type="continuationSeparator" w:id="0">
    <w:p w14:paraId="1A0B09D1" w14:textId="77777777" w:rsidR="00544D79" w:rsidRDefault="00544D79">
      <w:r>
        <w:continuationSeparator/>
      </w:r>
    </w:p>
  </w:footnote>
  <w:footnote w:id="1">
    <w:p w14:paraId="56A49946" w14:textId="41DE9405" w:rsidR="009A3498" w:rsidRPr="009A3498" w:rsidRDefault="009A3498" w:rsidP="007D7CEA">
      <w:pPr>
        <w:pStyle w:val="FootnoteText"/>
        <w:tabs>
          <w:tab w:val="clear" w:pos="256"/>
          <w:tab w:val="clear" w:pos="567"/>
          <w:tab w:val="clear" w:pos="1134"/>
          <w:tab w:val="clear" w:pos="1701"/>
          <w:tab w:val="clear" w:pos="2268"/>
          <w:tab w:val="clear" w:pos="2835"/>
        </w:tabs>
        <w:spacing w:before="60"/>
        <w:ind w:left="284" w:hanging="284"/>
        <w:rPr>
          <w:lang w:val="en-US"/>
        </w:rPr>
      </w:pPr>
      <w:r>
        <w:rPr>
          <w:rStyle w:val="FootnoteReference"/>
        </w:rPr>
        <w:footnoteRef/>
      </w:r>
      <w:r>
        <w:t xml:space="preserve"> </w:t>
      </w:r>
      <w:r w:rsidR="007D7CEA">
        <w:tab/>
      </w:r>
      <w:hyperlink r:id="rId1" w:history="1">
        <w:r w:rsidR="007D7CEA" w:rsidRPr="008A4F65">
          <w:rPr>
            <w:rStyle w:val="Hyperlink"/>
            <w:sz w:val="20"/>
          </w:rPr>
          <w:t>https://www.newyorkconvention.org/</w:t>
        </w:r>
      </w:hyperlink>
      <w:r>
        <w:t xml:space="preserve"> </w:t>
      </w:r>
    </w:p>
  </w:footnote>
  <w:footnote w:id="2">
    <w:p w14:paraId="039903CD" w14:textId="3228B8C9" w:rsidR="009A3498" w:rsidRPr="009A3498" w:rsidRDefault="009A3498" w:rsidP="007D7CEA">
      <w:pPr>
        <w:pStyle w:val="FootnoteText"/>
        <w:tabs>
          <w:tab w:val="clear" w:pos="256"/>
          <w:tab w:val="clear" w:pos="567"/>
          <w:tab w:val="clear" w:pos="1134"/>
          <w:tab w:val="clear" w:pos="1701"/>
          <w:tab w:val="clear" w:pos="2268"/>
          <w:tab w:val="clear" w:pos="2835"/>
        </w:tabs>
        <w:spacing w:before="60"/>
        <w:ind w:left="284" w:hanging="284"/>
        <w:rPr>
          <w:lang w:val="en-US"/>
        </w:rPr>
      </w:pPr>
      <w:r>
        <w:rPr>
          <w:rStyle w:val="FootnoteReference"/>
        </w:rPr>
        <w:footnoteRef/>
      </w:r>
      <w:r>
        <w:t xml:space="preserve"> </w:t>
      </w:r>
      <w:r w:rsidR="007D7CEA">
        <w:tab/>
      </w:r>
      <w:hyperlink r:id="rId2" w:history="1">
        <w:r w:rsidR="007D7CEA" w:rsidRPr="008A4F65">
          <w:rPr>
            <w:rStyle w:val="Hyperlink"/>
            <w:sz w:val="20"/>
          </w:rPr>
          <w:t>https://uncitral.un.org/en/texts/salegoods/conventions/sale_of_goods/cisg</w:t>
        </w:r>
      </w:hyperlink>
      <w:r>
        <w:t xml:space="preserve"> </w:t>
      </w:r>
    </w:p>
  </w:footnote>
  <w:footnote w:id="3">
    <w:p w14:paraId="20337C22" w14:textId="11FAEA88" w:rsidR="009A3498" w:rsidRPr="009A3498" w:rsidRDefault="009A3498" w:rsidP="007D7CEA">
      <w:pPr>
        <w:pStyle w:val="FootnoteText"/>
        <w:tabs>
          <w:tab w:val="clear" w:pos="256"/>
          <w:tab w:val="clear" w:pos="567"/>
          <w:tab w:val="clear" w:pos="1134"/>
          <w:tab w:val="clear" w:pos="1701"/>
          <w:tab w:val="clear" w:pos="2268"/>
          <w:tab w:val="clear" w:pos="2835"/>
        </w:tabs>
        <w:spacing w:before="60"/>
        <w:ind w:left="284" w:hanging="284"/>
        <w:rPr>
          <w:lang w:val="en-US"/>
        </w:rPr>
      </w:pPr>
      <w:r>
        <w:rPr>
          <w:rStyle w:val="FootnoteReference"/>
        </w:rPr>
        <w:footnoteRef/>
      </w:r>
      <w:r>
        <w:t xml:space="preserve"> </w:t>
      </w:r>
      <w:r w:rsidR="007D7CEA">
        <w:tab/>
      </w:r>
      <w:hyperlink r:id="rId3" w:history="1">
        <w:r w:rsidR="007D7CEA" w:rsidRPr="008A4F65">
          <w:rPr>
            <w:rStyle w:val="Hyperlink"/>
            <w:sz w:val="20"/>
          </w:rPr>
          <w:t>https://iccwbo.org/dispute-resolution/dispute-resolution-services/arbitration/rules-procedure/arbitration-clause/</w:t>
        </w:r>
      </w:hyperlink>
      <w:r>
        <w:t xml:space="preserve"> </w:t>
      </w:r>
    </w:p>
  </w:footnote>
  <w:footnote w:id="4">
    <w:p w14:paraId="722DE1B7" w14:textId="7437EBE1" w:rsidR="007B08D6" w:rsidRPr="007B08D6" w:rsidRDefault="007B08D6" w:rsidP="007D7CEA">
      <w:pPr>
        <w:pStyle w:val="FootnoteText"/>
        <w:tabs>
          <w:tab w:val="clear" w:pos="256"/>
        </w:tabs>
        <w:spacing w:before="60"/>
        <w:ind w:left="255" w:hanging="255"/>
        <w:rPr>
          <w:lang w:val="en-US"/>
        </w:rPr>
      </w:pPr>
      <w:r>
        <w:rPr>
          <w:rStyle w:val="FootnoteReference"/>
        </w:rPr>
        <w:footnoteRef/>
      </w:r>
      <w:r>
        <w:t xml:space="preserve"> </w:t>
      </w:r>
      <w:r w:rsidR="007D7CEA">
        <w:tab/>
      </w:r>
      <w:hyperlink r:id="rId4" w:history="1">
        <w:r w:rsidR="007D7CEA" w:rsidRPr="008A4F65">
          <w:rPr>
            <w:rStyle w:val="Hyperlink"/>
            <w:sz w:val="20"/>
          </w:rPr>
          <w:t>https://www.itu.int/en/wcit-12/Pages/itrs.aspx</w:t>
        </w:r>
      </w:hyperlink>
      <w:r>
        <w:t xml:space="preserve"> </w:t>
      </w:r>
    </w:p>
  </w:footnote>
  <w:footnote w:id="5">
    <w:p w14:paraId="6539209D" w14:textId="2060FCDE" w:rsidR="00A73CD8" w:rsidRPr="00A73CD8" w:rsidRDefault="00A73CD8" w:rsidP="007D7CEA">
      <w:pPr>
        <w:pStyle w:val="FootnoteText"/>
        <w:tabs>
          <w:tab w:val="clear" w:pos="256"/>
        </w:tabs>
        <w:spacing w:before="60"/>
        <w:rPr>
          <w:lang w:val="en-US"/>
        </w:rPr>
      </w:pPr>
      <w:r>
        <w:rPr>
          <w:rStyle w:val="FootnoteReference"/>
        </w:rPr>
        <w:footnoteRef/>
      </w:r>
      <w:r>
        <w:t xml:space="preserve"> </w:t>
      </w:r>
      <w:r w:rsidR="007D7CEA">
        <w:tab/>
      </w:r>
      <w:r w:rsidRPr="007D7CEA">
        <w:rPr>
          <w:sz w:val="20"/>
          <w:lang w:val="en-US"/>
        </w:rPr>
        <w:t>Article 1.3 of the ITRs</w:t>
      </w:r>
    </w:p>
  </w:footnote>
  <w:footnote w:id="6">
    <w:p w14:paraId="5BA5200B" w14:textId="2BAC3A49" w:rsidR="00A73CD8" w:rsidRPr="00A73CD8" w:rsidRDefault="00A73CD8" w:rsidP="007D7CEA">
      <w:pPr>
        <w:pStyle w:val="FootnoteText"/>
        <w:tabs>
          <w:tab w:val="clear" w:pos="256"/>
        </w:tabs>
        <w:spacing w:before="60"/>
        <w:rPr>
          <w:lang w:val="en-US"/>
        </w:rPr>
      </w:pPr>
      <w:r>
        <w:rPr>
          <w:rStyle w:val="FootnoteReference"/>
        </w:rPr>
        <w:footnoteRef/>
      </w:r>
      <w:r>
        <w:t xml:space="preserve"> </w:t>
      </w:r>
      <w:r w:rsidR="007D7CEA">
        <w:tab/>
      </w:r>
      <w:hyperlink r:id="rId5" w:history="1">
        <w:r w:rsidR="007D7CEA" w:rsidRPr="008A4F65">
          <w:rPr>
            <w:rStyle w:val="Hyperlink"/>
            <w:sz w:val="20"/>
          </w:rPr>
          <w:t>https://www.itu.int/online/mm/scripts/gensel25?agrmtid=0000925268</w:t>
        </w:r>
      </w:hyperlink>
      <w:r>
        <w:t xml:space="preserve"> </w:t>
      </w:r>
    </w:p>
  </w:footnote>
  <w:footnote w:id="7">
    <w:p w14:paraId="68CB2D3F" w14:textId="05551E33" w:rsidR="00AC3FB0" w:rsidRPr="00AC3FB0" w:rsidRDefault="00AC3FB0" w:rsidP="007D7CEA">
      <w:pPr>
        <w:pStyle w:val="FootnoteText"/>
        <w:tabs>
          <w:tab w:val="clear" w:pos="256"/>
        </w:tabs>
        <w:spacing w:before="60"/>
        <w:rPr>
          <w:lang w:val="en-US"/>
        </w:rPr>
      </w:pPr>
      <w:r>
        <w:rPr>
          <w:rStyle w:val="FootnoteReference"/>
        </w:rPr>
        <w:footnoteRef/>
      </w:r>
      <w:r>
        <w:t xml:space="preserve"> </w:t>
      </w:r>
      <w:r w:rsidR="007D7CEA">
        <w:tab/>
      </w:r>
      <w:hyperlink r:id="rId6" w:history="1">
        <w:r w:rsidR="007D7CEA" w:rsidRPr="008A4F65">
          <w:rPr>
            <w:rStyle w:val="Hyperlink"/>
          </w:rPr>
          <w:t>https://www.icann.org/ua</w:t>
        </w:r>
      </w:hyperlink>
      <w:r>
        <w:t xml:space="preserve"> . This topic has been proposed for the 2024 open consultation of the Council Working Group on International Intern</w:t>
      </w:r>
      <w:r w:rsidR="00264E02">
        <w:t>et-related Public Policy Issues, see</w:t>
      </w:r>
      <w:r w:rsidR="00264E02">
        <w:br/>
        <w:t xml:space="preserve"> </w:t>
      </w:r>
      <w:hyperlink r:id="rId7" w:history="1">
        <w:r w:rsidR="00264E02" w:rsidRPr="00A35FEE">
          <w:rPr>
            <w:rStyle w:val="Hyperlink"/>
          </w:rPr>
          <w:t>https://www.itu.int/md/S23-RCLINTPOL18-231018-DL</w:t>
        </w:r>
      </w:hyperlink>
      <w:r w:rsidR="00264E0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5002D7B1" w14:textId="77777777" w:rsidTr="00F74694">
      <w:trPr>
        <w:trHeight w:val="1304"/>
        <w:jc w:val="center"/>
      </w:trPr>
      <w:tc>
        <w:tcPr>
          <w:tcW w:w="6546" w:type="dxa"/>
        </w:tcPr>
        <w:bookmarkStart w:id="11" w:name="_Hlk133422111"/>
        <w:p w14:paraId="0CB19C63" w14:textId="02D95A52" w:rsidR="00AD3606" w:rsidRPr="009621F8" w:rsidRDefault="008E28CE"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03A0781C" wp14:editId="459BBE1E">
                    <wp:simplePos x="0" y="0"/>
                    <wp:positionH relativeFrom="column">
                      <wp:posOffset>570230</wp:posOffset>
                    </wp:positionH>
                    <wp:positionV relativeFrom="paragraph">
                      <wp:posOffset>63500</wp:posOffset>
                    </wp:positionV>
                    <wp:extent cx="1652905" cy="541020"/>
                    <wp:effectExtent l="0" t="0" r="0" b="0"/>
                    <wp:wrapNone/>
                    <wp:docPr id="115386987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5410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669D3" id="Rectangle 3"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" fillcolor="white [3212]" stroked="f" strokeweight="2pt"/>
                </w:pict>
              </mc:Fallback>
            </mc:AlternateContent>
          </w:r>
          <w:r w:rsidR="00AD3606">
            <w:rPr>
              <w:noProof/>
              <w:lang w:val="en-US"/>
            </w:rPr>
            <w:drawing>
              <wp:inline distT="0" distB="0" distL="0" distR="0" wp14:anchorId="3E2C84C4" wp14:editId="4CEE2EB1">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14C92CE7" w14:textId="77777777" w:rsidR="00AD3606" w:rsidRDefault="00AD3606" w:rsidP="00AD3606">
          <w:pPr>
            <w:pStyle w:val="Header"/>
            <w:jc w:val="right"/>
            <w:rPr>
              <w:rFonts w:ascii="Arial" w:hAnsi="Arial" w:cs="Arial"/>
              <w:b/>
              <w:bCs/>
              <w:color w:val="009CD6"/>
              <w:szCs w:val="18"/>
            </w:rPr>
          </w:pPr>
        </w:p>
        <w:p w14:paraId="04CC5078" w14:textId="77777777" w:rsidR="00AD3606" w:rsidRDefault="00AD3606" w:rsidP="00AD3606">
          <w:pPr>
            <w:pStyle w:val="Header"/>
            <w:jc w:val="right"/>
            <w:rPr>
              <w:rFonts w:ascii="Arial" w:hAnsi="Arial" w:cs="Arial"/>
              <w:b/>
              <w:bCs/>
              <w:color w:val="009CD6"/>
              <w:szCs w:val="18"/>
            </w:rPr>
          </w:pPr>
        </w:p>
        <w:p w14:paraId="2D37C810"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18197EE4" w14:textId="5D6DFF75" w:rsidR="00AD3606" w:rsidRDefault="008E28CE">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8820DD2" wp14:editId="211C802D">
              <wp:simplePos x="0" y="0"/>
              <wp:positionH relativeFrom="page">
                <wp:posOffset>14605</wp:posOffset>
              </wp:positionH>
              <wp:positionV relativeFrom="topMargin">
                <wp:posOffset>555625</wp:posOffset>
              </wp:positionV>
              <wp:extent cx="93345" cy="431800"/>
              <wp:effectExtent l="0" t="0" r="0" b="0"/>
              <wp:wrapNone/>
              <wp:docPr id="14102998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59291" id="Rectangle 2"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6059231A" wp14:editId="78D828AE">
              <wp:simplePos x="0" y="0"/>
              <wp:positionH relativeFrom="column">
                <wp:posOffset>306705</wp:posOffset>
              </wp:positionH>
              <wp:positionV relativeFrom="paragraph">
                <wp:posOffset>-835660</wp:posOffset>
              </wp:positionV>
              <wp:extent cx="3999230" cy="618490"/>
              <wp:effectExtent l="0" t="0" r="0" b="0"/>
              <wp:wrapNone/>
              <wp:docPr id="6456012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8490"/>
                      </a:xfrm>
                      <a:prstGeom prst="rect">
                        <a:avLst/>
                      </a:prstGeom>
                      <a:noFill/>
                      <a:ln w="9525">
                        <a:noFill/>
                        <a:miter lim="800000"/>
                        <a:headEnd/>
                        <a:tailEnd/>
                      </a:ln>
                    </wps:spPr>
                    <wps:txbx>
                      <w:txbxContent>
                        <w:p w14:paraId="1DB79454" w14:textId="779F5B3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257648">
                            <w:rPr>
                              <w:sz w:val="20"/>
                            </w:rPr>
                            <w:t>Second</w:t>
                          </w:r>
                          <w:r w:rsidR="00257648" w:rsidRPr="00130599">
                            <w:rPr>
                              <w:sz w:val="20"/>
                            </w:rPr>
                            <w:t xml:space="preserve"> meeting - </w:t>
                          </w:r>
                          <w:r w:rsidR="00257648">
                            <w:rPr>
                              <w:sz w:val="20"/>
                            </w:rPr>
                            <w:t>From 29 to 30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059231A" id="_x0000_t202" coordsize="21600,21600" o:spt="202" path="m,l,21600r21600,l21600,xe">
              <v:stroke joinstyle="miter"/>
              <v:path gradientshapeok="t" o:connecttype="rect"/>
            </v:shapetype>
            <v:shape id="Text Box 1" o:spid="_x0000_s1026" type="#_x0000_t202" style="position:absolute;left:0;text-align:left;margin-left:24.15pt;margin-top:-65.8pt;width:314.9pt;height: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" filled="f" stroked="f">
              <v:textbox style="mso-fit-shape-to-text:t">
                <w:txbxContent>
                  <w:p w14:paraId="1DB79454" w14:textId="779F5B3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257648">
                      <w:rPr>
                        <w:sz w:val="20"/>
                      </w:rPr>
                      <w:t>Second</w:t>
                    </w:r>
                    <w:r w:rsidR="00257648" w:rsidRPr="00130599">
                      <w:rPr>
                        <w:sz w:val="20"/>
                      </w:rPr>
                      <w:t xml:space="preserve"> meeting - </w:t>
                    </w:r>
                    <w:r w:rsidR="00257648">
                      <w:rPr>
                        <w:sz w:val="20"/>
                      </w:rPr>
                      <w:t>From 29 to 30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CC63B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EB12C4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37A270DA"/>
    <w:multiLevelType w:val="hybridMultilevel"/>
    <w:tmpl w:val="D12AD46C"/>
    <w:lvl w:ilvl="0" w:tplc="4CBA0AF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763511"/>
    <w:multiLevelType w:val="hybridMultilevel"/>
    <w:tmpl w:val="05E2F4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B10E7A"/>
    <w:multiLevelType w:val="hybridMultilevel"/>
    <w:tmpl w:val="19CE7B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D72258"/>
    <w:multiLevelType w:val="hybridMultilevel"/>
    <w:tmpl w:val="74F2E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AEB01D9"/>
    <w:multiLevelType w:val="hybridMultilevel"/>
    <w:tmpl w:val="F43EA5AA"/>
    <w:lvl w:ilvl="0" w:tplc="B84E13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6284015">
    <w:abstractNumId w:val="0"/>
  </w:num>
  <w:num w:numId="2" w16cid:durableId="553741280">
    <w:abstractNumId w:val="6"/>
  </w:num>
  <w:num w:numId="3" w16cid:durableId="688215305">
    <w:abstractNumId w:val="7"/>
  </w:num>
  <w:num w:numId="4" w16cid:durableId="1790783007">
    <w:abstractNumId w:val="3"/>
  </w:num>
  <w:num w:numId="5" w16cid:durableId="1043212397">
    <w:abstractNumId w:val="4"/>
  </w:num>
  <w:num w:numId="6" w16cid:durableId="78795515">
    <w:abstractNumId w:val="5"/>
  </w:num>
  <w:num w:numId="7" w16cid:durableId="1703749459">
    <w:abstractNumId w:val="2"/>
  </w:num>
  <w:num w:numId="8" w16cid:durableId="1781487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2B40"/>
    <w:rsid w:val="000210D4"/>
    <w:rsid w:val="000334F2"/>
    <w:rsid w:val="00063016"/>
    <w:rsid w:val="00064F94"/>
    <w:rsid w:val="000650E2"/>
    <w:rsid w:val="00066795"/>
    <w:rsid w:val="00076AF6"/>
    <w:rsid w:val="00085CF2"/>
    <w:rsid w:val="00092079"/>
    <w:rsid w:val="000B1705"/>
    <w:rsid w:val="000D75B2"/>
    <w:rsid w:val="000E4EE7"/>
    <w:rsid w:val="001121F5"/>
    <w:rsid w:val="00130599"/>
    <w:rsid w:val="001400DC"/>
    <w:rsid w:val="00140CE1"/>
    <w:rsid w:val="001560FA"/>
    <w:rsid w:val="001569E7"/>
    <w:rsid w:val="001648F9"/>
    <w:rsid w:val="00170B8D"/>
    <w:rsid w:val="0017539C"/>
    <w:rsid w:val="0017569B"/>
    <w:rsid w:val="00175AC2"/>
    <w:rsid w:val="0017609F"/>
    <w:rsid w:val="001A7D1D"/>
    <w:rsid w:val="001B51DD"/>
    <w:rsid w:val="001C628E"/>
    <w:rsid w:val="001E0F7B"/>
    <w:rsid w:val="002119FD"/>
    <w:rsid w:val="002130E0"/>
    <w:rsid w:val="00244F7F"/>
    <w:rsid w:val="00257648"/>
    <w:rsid w:val="00257973"/>
    <w:rsid w:val="00264425"/>
    <w:rsid w:val="00264E02"/>
    <w:rsid w:val="00265875"/>
    <w:rsid w:val="0027303B"/>
    <w:rsid w:val="00275CBF"/>
    <w:rsid w:val="0028109B"/>
    <w:rsid w:val="00291CBF"/>
    <w:rsid w:val="00293B38"/>
    <w:rsid w:val="002A2188"/>
    <w:rsid w:val="002A7B2C"/>
    <w:rsid w:val="002B1F58"/>
    <w:rsid w:val="002C1C7A"/>
    <w:rsid w:val="002C54E2"/>
    <w:rsid w:val="002F6AF6"/>
    <w:rsid w:val="002F7555"/>
    <w:rsid w:val="0030160F"/>
    <w:rsid w:val="00320223"/>
    <w:rsid w:val="00322D0D"/>
    <w:rsid w:val="003425F0"/>
    <w:rsid w:val="00361465"/>
    <w:rsid w:val="003877F5"/>
    <w:rsid w:val="003942D4"/>
    <w:rsid w:val="003958A8"/>
    <w:rsid w:val="003C2533"/>
    <w:rsid w:val="003D5A7F"/>
    <w:rsid w:val="004016E2"/>
    <w:rsid w:val="0040435A"/>
    <w:rsid w:val="00405C77"/>
    <w:rsid w:val="00416A24"/>
    <w:rsid w:val="00431D9E"/>
    <w:rsid w:val="00433CE8"/>
    <w:rsid w:val="00434A5C"/>
    <w:rsid w:val="004374A9"/>
    <w:rsid w:val="00450E6F"/>
    <w:rsid w:val="004544D9"/>
    <w:rsid w:val="00467314"/>
    <w:rsid w:val="00472BAD"/>
    <w:rsid w:val="00484009"/>
    <w:rsid w:val="00490E72"/>
    <w:rsid w:val="00491157"/>
    <w:rsid w:val="004921C8"/>
    <w:rsid w:val="00495B0B"/>
    <w:rsid w:val="004A1B8B"/>
    <w:rsid w:val="004C0206"/>
    <w:rsid w:val="004D1851"/>
    <w:rsid w:val="004D4C94"/>
    <w:rsid w:val="004D599D"/>
    <w:rsid w:val="004D648B"/>
    <w:rsid w:val="004E2EA5"/>
    <w:rsid w:val="004E31A8"/>
    <w:rsid w:val="004E3AEB"/>
    <w:rsid w:val="0050223C"/>
    <w:rsid w:val="0051705A"/>
    <w:rsid w:val="00520AC3"/>
    <w:rsid w:val="0052249C"/>
    <w:rsid w:val="005243FF"/>
    <w:rsid w:val="0053640F"/>
    <w:rsid w:val="00544D79"/>
    <w:rsid w:val="00564FBC"/>
    <w:rsid w:val="005800BC"/>
    <w:rsid w:val="00582442"/>
    <w:rsid w:val="005A335D"/>
    <w:rsid w:val="005C3BE5"/>
    <w:rsid w:val="005C64ED"/>
    <w:rsid w:val="005D0B88"/>
    <w:rsid w:val="005E2BD5"/>
    <w:rsid w:val="005F3269"/>
    <w:rsid w:val="005F6C56"/>
    <w:rsid w:val="006035C0"/>
    <w:rsid w:val="00616C10"/>
    <w:rsid w:val="00623AE3"/>
    <w:rsid w:val="00636853"/>
    <w:rsid w:val="0064737F"/>
    <w:rsid w:val="006535F1"/>
    <w:rsid w:val="0065557D"/>
    <w:rsid w:val="00660D50"/>
    <w:rsid w:val="00662984"/>
    <w:rsid w:val="006638C3"/>
    <w:rsid w:val="00671594"/>
    <w:rsid w:val="006716BB"/>
    <w:rsid w:val="006819A4"/>
    <w:rsid w:val="0069699A"/>
    <w:rsid w:val="006B1859"/>
    <w:rsid w:val="006B6680"/>
    <w:rsid w:val="006B6DCC"/>
    <w:rsid w:val="006C11BB"/>
    <w:rsid w:val="006C3B8A"/>
    <w:rsid w:val="00702DEF"/>
    <w:rsid w:val="00706861"/>
    <w:rsid w:val="00716A74"/>
    <w:rsid w:val="00734FAC"/>
    <w:rsid w:val="00745D44"/>
    <w:rsid w:val="0075051B"/>
    <w:rsid w:val="00775655"/>
    <w:rsid w:val="00777028"/>
    <w:rsid w:val="00793188"/>
    <w:rsid w:val="00794D34"/>
    <w:rsid w:val="00794DFC"/>
    <w:rsid w:val="007A649D"/>
    <w:rsid w:val="007B08D6"/>
    <w:rsid w:val="007C01FB"/>
    <w:rsid w:val="007D1FE4"/>
    <w:rsid w:val="007D7CEA"/>
    <w:rsid w:val="007F268B"/>
    <w:rsid w:val="007F6EFC"/>
    <w:rsid w:val="0080358A"/>
    <w:rsid w:val="00813E5E"/>
    <w:rsid w:val="008169FA"/>
    <w:rsid w:val="0083581B"/>
    <w:rsid w:val="00847E0C"/>
    <w:rsid w:val="00863874"/>
    <w:rsid w:val="00864283"/>
    <w:rsid w:val="00864AFF"/>
    <w:rsid w:val="00865925"/>
    <w:rsid w:val="008743C7"/>
    <w:rsid w:val="008754A0"/>
    <w:rsid w:val="0088630E"/>
    <w:rsid w:val="008B056B"/>
    <w:rsid w:val="008B4A6A"/>
    <w:rsid w:val="008B56F6"/>
    <w:rsid w:val="008C7E27"/>
    <w:rsid w:val="008D146D"/>
    <w:rsid w:val="008E28CE"/>
    <w:rsid w:val="008E38AB"/>
    <w:rsid w:val="008F7448"/>
    <w:rsid w:val="0090147A"/>
    <w:rsid w:val="009173EF"/>
    <w:rsid w:val="00932906"/>
    <w:rsid w:val="00950BC7"/>
    <w:rsid w:val="00961B0B"/>
    <w:rsid w:val="00962D33"/>
    <w:rsid w:val="009A3498"/>
    <w:rsid w:val="009B38C3"/>
    <w:rsid w:val="009E17BD"/>
    <w:rsid w:val="009E485A"/>
    <w:rsid w:val="00A028B5"/>
    <w:rsid w:val="00A04CEC"/>
    <w:rsid w:val="00A27F92"/>
    <w:rsid w:val="00A32257"/>
    <w:rsid w:val="00A36D20"/>
    <w:rsid w:val="00A377D7"/>
    <w:rsid w:val="00A514A4"/>
    <w:rsid w:val="00A52C84"/>
    <w:rsid w:val="00A55622"/>
    <w:rsid w:val="00A73CD8"/>
    <w:rsid w:val="00A83502"/>
    <w:rsid w:val="00A9437B"/>
    <w:rsid w:val="00AB0085"/>
    <w:rsid w:val="00AC30A5"/>
    <w:rsid w:val="00AC3FB0"/>
    <w:rsid w:val="00AD15B3"/>
    <w:rsid w:val="00AD3606"/>
    <w:rsid w:val="00AD4A3D"/>
    <w:rsid w:val="00AF1EE7"/>
    <w:rsid w:val="00AF29E2"/>
    <w:rsid w:val="00AF6C7D"/>
    <w:rsid w:val="00AF6E49"/>
    <w:rsid w:val="00B03613"/>
    <w:rsid w:val="00B04A67"/>
    <w:rsid w:val="00B0583C"/>
    <w:rsid w:val="00B40A81"/>
    <w:rsid w:val="00B4436B"/>
    <w:rsid w:val="00B44910"/>
    <w:rsid w:val="00B72267"/>
    <w:rsid w:val="00B76EB6"/>
    <w:rsid w:val="00B7737B"/>
    <w:rsid w:val="00B824C8"/>
    <w:rsid w:val="00B84B9D"/>
    <w:rsid w:val="00B90C7D"/>
    <w:rsid w:val="00BC251A"/>
    <w:rsid w:val="00BC3DED"/>
    <w:rsid w:val="00BD032B"/>
    <w:rsid w:val="00BD4122"/>
    <w:rsid w:val="00BE2640"/>
    <w:rsid w:val="00BF0749"/>
    <w:rsid w:val="00BF7279"/>
    <w:rsid w:val="00C01189"/>
    <w:rsid w:val="00C258FB"/>
    <w:rsid w:val="00C33177"/>
    <w:rsid w:val="00C374DE"/>
    <w:rsid w:val="00C47AD4"/>
    <w:rsid w:val="00C52D81"/>
    <w:rsid w:val="00C55198"/>
    <w:rsid w:val="00C67880"/>
    <w:rsid w:val="00C7612E"/>
    <w:rsid w:val="00CA6393"/>
    <w:rsid w:val="00CB18FF"/>
    <w:rsid w:val="00CC3D47"/>
    <w:rsid w:val="00CD0C08"/>
    <w:rsid w:val="00CD743D"/>
    <w:rsid w:val="00CE03FB"/>
    <w:rsid w:val="00CE433C"/>
    <w:rsid w:val="00CF0161"/>
    <w:rsid w:val="00CF33F3"/>
    <w:rsid w:val="00D06183"/>
    <w:rsid w:val="00D22C42"/>
    <w:rsid w:val="00D464CC"/>
    <w:rsid w:val="00D65041"/>
    <w:rsid w:val="00D97BD9"/>
    <w:rsid w:val="00DB00D5"/>
    <w:rsid w:val="00DB1936"/>
    <w:rsid w:val="00DB384B"/>
    <w:rsid w:val="00DE71FF"/>
    <w:rsid w:val="00DF0189"/>
    <w:rsid w:val="00E06FD5"/>
    <w:rsid w:val="00E10E80"/>
    <w:rsid w:val="00E124F0"/>
    <w:rsid w:val="00E15C3A"/>
    <w:rsid w:val="00E227F3"/>
    <w:rsid w:val="00E32C21"/>
    <w:rsid w:val="00E545C6"/>
    <w:rsid w:val="00E60F04"/>
    <w:rsid w:val="00E65B24"/>
    <w:rsid w:val="00E849FB"/>
    <w:rsid w:val="00E854E4"/>
    <w:rsid w:val="00E86DBF"/>
    <w:rsid w:val="00EB0D6F"/>
    <w:rsid w:val="00EB2232"/>
    <w:rsid w:val="00EC5337"/>
    <w:rsid w:val="00ED398B"/>
    <w:rsid w:val="00EE49E8"/>
    <w:rsid w:val="00F16BAB"/>
    <w:rsid w:val="00F2150A"/>
    <w:rsid w:val="00F231D8"/>
    <w:rsid w:val="00F23745"/>
    <w:rsid w:val="00F23870"/>
    <w:rsid w:val="00F26866"/>
    <w:rsid w:val="00F44C00"/>
    <w:rsid w:val="00F45D2C"/>
    <w:rsid w:val="00F46C5F"/>
    <w:rsid w:val="00F52F6E"/>
    <w:rsid w:val="00F632C0"/>
    <w:rsid w:val="00F73CC7"/>
    <w:rsid w:val="00F74694"/>
    <w:rsid w:val="00F94A63"/>
    <w:rsid w:val="00FA1C28"/>
    <w:rsid w:val="00FB1279"/>
    <w:rsid w:val="00FB6B76"/>
    <w:rsid w:val="00FB7596"/>
    <w:rsid w:val="00FC72BD"/>
    <w:rsid w:val="00FD7A98"/>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7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3425F0"/>
    <w:pPr>
      <w:ind w:left="720"/>
      <w:contextualSpacing/>
    </w:pPr>
  </w:style>
  <w:style w:type="character" w:customStyle="1" w:styleId="UnresolvedMention1">
    <w:name w:val="Unresolved Mention1"/>
    <w:basedOn w:val="DefaultParagraphFont"/>
    <w:uiPriority w:val="99"/>
    <w:semiHidden/>
    <w:unhideWhenUsed/>
    <w:rsid w:val="0053640F"/>
    <w:rPr>
      <w:color w:val="605E5C"/>
      <w:shd w:val="clear" w:color="auto" w:fill="E1DFDD"/>
    </w:rPr>
  </w:style>
  <w:style w:type="character" w:styleId="UnresolvedMention">
    <w:name w:val="Unresolved Mention"/>
    <w:basedOn w:val="DefaultParagraphFont"/>
    <w:uiPriority w:val="99"/>
    <w:semiHidden/>
    <w:unhideWhenUsed/>
    <w:rsid w:val="008E2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89566">
      <w:bodyDiv w:val="1"/>
      <w:marLeft w:val="0"/>
      <w:marRight w:val="0"/>
      <w:marTop w:val="0"/>
      <w:marBottom w:val="0"/>
      <w:divBdr>
        <w:top w:val="none" w:sz="0" w:space="0" w:color="auto"/>
        <w:left w:val="none" w:sz="0" w:space="0" w:color="auto"/>
        <w:bottom w:val="none" w:sz="0" w:space="0" w:color="auto"/>
        <w:right w:val="none" w:sz="0" w:space="0" w:color="auto"/>
      </w:divBdr>
      <w:divsChild>
        <w:div w:id="2010908884">
          <w:marLeft w:val="0"/>
          <w:marRight w:val="0"/>
          <w:marTop w:val="0"/>
          <w:marBottom w:val="0"/>
          <w:divBdr>
            <w:top w:val="none" w:sz="0" w:space="0" w:color="auto"/>
            <w:left w:val="none" w:sz="0" w:space="0" w:color="auto"/>
            <w:bottom w:val="none" w:sz="0" w:space="0" w:color="auto"/>
            <w:right w:val="none" w:sz="0" w:space="0" w:color="auto"/>
          </w:divBdr>
        </w:div>
      </w:divsChild>
    </w:div>
    <w:div w:id="987516165">
      <w:bodyDiv w:val="1"/>
      <w:marLeft w:val="0"/>
      <w:marRight w:val="0"/>
      <w:marTop w:val="0"/>
      <w:marBottom w:val="0"/>
      <w:divBdr>
        <w:top w:val="none" w:sz="0" w:space="0" w:color="auto"/>
        <w:left w:val="none" w:sz="0" w:space="0" w:color="auto"/>
        <w:bottom w:val="none" w:sz="0" w:space="0" w:color="auto"/>
        <w:right w:val="none" w:sz="0" w:space="0" w:color="auto"/>
      </w:divBdr>
    </w:div>
    <w:div w:id="1398479477">
      <w:bodyDiv w:val="1"/>
      <w:marLeft w:val="0"/>
      <w:marRight w:val="0"/>
      <w:marTop w:val="0"/>
      <w:marBottom w:val="0"/>
      <w:divBdr>
        <w:top w:val="none" w:sz="0" w:space="0" w:color="auto"/>
        <w:left w:val="none" w:sz="0" w:space="0" w:color="auto"/>
        <w:bottom w:val="none" w:sz="0" w:space="0" w:color="auto"/>
        <w:right w:val="none" w:sz="0" w:space="0" w:color="auto"/>
      </w:divBdr>
      <w:divsChild>
        <w:div w:id="764694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EGITRS1-C-0002/en" TargetMode="External"/><Relationship Id="rId13" Type="http://schemas.openxmlformats.org/officeDocument/2006/relationships/hyperlink" Target="https://www.itu.int/md/S23-EGITRS1-C-0002/en" TargetMode="External"/><Relationship Id="rId18" Type="http://schemas.openxmlformats.org/officeDocument/2006/relationships/hyperlink" Target="https://www.itu.int/md/S23-CL-C-0121/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23-EGITRS1-C-0006/en" TargetMode="External"/><Relationship Id="rId17" Type="http://schemas.openxmlformats.org/officeDocument/2006/relationships/hyperlink" Target="https://www.itu.int/en/council/Documents/basic-texts-2023/RES-146-E.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3-EGITRS1-C-0002/en" TargetMode="External"/><Relationship Id="rId20" Type="http://schemas.openxmlformats.org/officeDocument/2006/relationships/hyperlink" Target="https://www.itu.int/en/council/Documents/S-CONF-WCIT-2012-MSW-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EGITRS1-C-0005/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3-EGITRS1-C-0002/en" TargetMode="External"/><Relationship Id="rId23" Type="http://schemas.openxmlformats.org/officeDocument/2006/relationships/footer" Target="footer2.xml"/><Relationship Id="rId10" Type="http://schemas.openxmlformats.org/officeDocument/2006/relationships/hyperlink" Target="https://www.itu.int/md/S23-EGITRS1-C-0006/en" TargetMode="External"/><Relationship Id="rId19" Type="http://schemas.openxmlformats.org/officeDocument/2006/relationships/hyperlink" Target="https://www.itu.int/en/wcit-12/Pages/itrs.aspx" TargetMode="External"/><Relationship Id="rId4" Type="http://schemas.openxmlformats.org/officeDocument/2006/relationships/settings" Target="settings.xml"/><Relationship Id="rId9" Type="http://schemas.openxmlformats.org/officeDocument/2006/relationships/hyperlink" Target="https://www.itu.int/md/S23-EGITRS1-C-0005/en" TargetMode="External"/><Relationship Id="rId14" Type="http://schemas.openxmlformats.org/officeDocument/2006/relationships/hyperlink" Target="https://www.itu.int/md/S23-EGITRS1-C-0002/en"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iccwbo.org/dispute-resolution/dispute-resolution-services/arbitration/rules-procedure/arbitration-clause/" TargetMode="External"/><Relationship Id="rId7" Type="http://schemas.openxmlformats.org/officeDocument/2006/relationships/hyperlink" Target="https://www.itu.int/md/S23-RCLINTPOL18-231018-DL" TargetMode="External"/><Relationship Id="rId2" Type="http://schemas.openxmlformats.org/officeDocument/2006/relationships/hyperlink" Target="https://uncitral.un.org/en/texts/salegoods/conventions/sale_of_goods/cisg" TargetMode="External"/><Relationship Id="rId1" Type="http://schemas.openxmlformats.org/officeDocument/2006/relationships/hyperlink" Target="https://www.newyorkconvention.org/" TargetMode="External"/><Relationship Id="rId6" Type="http://schemas.openxmlformats.org/officeDocument/2006/relationships/hyperlink" Target="https://www.icann.org/ua" TargetMode="External"/><Relationship Id="rId5" Type="http://schemas.openxmlformats.org/officeDocument/2006/relationships/hyperlink" Target="https://www.itu.int/online/mm/scripts/gensel25?agrmtid=0000925268" TargetMode="External"/><Relationship Id="rId4" Type="http://schemas.openxmlformats.org/officeDocument/2006/relationships/hyperlink" Target="https://www.itu.int/en/wcit-12/Pages/itr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73DB6-A7B9-4E31-838B-B4B4BD2E9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2155</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Contribution from Hill: Proposal for working methods and work plan of EG-ITRs</vt:lpstr>
    </vt:vector>
  </TitlesOfParts>
  <Manager/>
  <Company/>
  <LinksUpToDate>false</LinksUpToDate>
  <CharactersWithSpaces>14902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Hill: Proposal for working methods and work plan of EG-ITRs</dc:title>
  <dc:subject>Expert Group on the International Telecommunication Regulations</dc:subject>
  <dc:creator/>
  <cp:keywords>EG-ITRs, C23, Council-23, C23-ADD</cp:keywords>
  <dc:description/>
  <cp:lastModifiedBy/>
  <cp:revision>1</cp:revision>
  <dcterms:created xsi:type="dcterms:W3CDTF">2023-11-28T11:49:00Z</dcterms:created>
  <dcterms:modified xsi:type="dcterms:W3CDTF">2023-12-14T08:18:00Z</dcterms:modified>
  <cp:category>Conference document</cp:category>
</cp:coreProperties>
</file>