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45D44" w14:paraId="086252E1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FDF94A8" w14:textId="77777777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0F569A18" w14:textId="77777777" w:rsidR="00AD3606" w:rsidRPr="00A52C84" w:rsidRDefault="00AD3606" w:rsidP="00A21F8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 w:rsidR="00A028B5">
              <w:rPr>
                <w:b/>
                <w:lang w:val="fr-CH"/>
              </w:rPr>
              <w:t>EG-ITRs</w:t>
            </w:r>
            <w:r w:rsidR="00A52C84" w:rsidRPr="00A52C84">
              <w:rPr>
                <w:b/>
                <w:lang w:val="fr-CH"/>
              </w:rPr>
              <w:t>-</w:t>
            </w:r>
            <w:r w:rsidR="007B08D6">
              <w:rPr>
                <w:b/>
                <w:lang w:val="fr-CH"/>
              </w:rPr>
              <w:t>2</w:t>
            </w:r>
            <w:r w:rsidRPr="00A52C84">
              <w:rPr>
                <w:b/>
                <w:lang w:val="fr-CH"/>
              </w:rPr>
              <w:t>/</w:t>
            </w:r>
            <w:r w:rsidR="00A21F8F" w:rsidRPr="00E01BD0">
              <w:rPr>
                <w:b/>
                <w:lang w:val="fr-CH"/>
              </w:rPr>
              <w:t>3</w:t>
            </w:r>
          </w:p>
        </w:tc>
      </w:tr>
      <w:tr w:rsidR="00AD3606" w:rsidRPr="00813E5E" w14:paraId="6A2BFA8A" w14:textId="77777777" w:rsidTr="00AD3606">
        <w:trPr>
          <w:cantSplit/>
        </w:trPr>
        <w:tc>
          <w:tcPr>
            <w:tcW w:w="3969" w:type="dxa"/>
            <w:vMerge/>
          </w:tcPr>
          <w:p w14:paraId="3F123224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81A75F5" w14:textId="77777777" w:rsidR="00AD3606" w:rsidRPr="00E85629" w:rsidRDefault="00EE1AEE" w:rsidP="00EE1AE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E1AEE">
              <w:rPr>
                <w:b/>
              </w:rPr>
              <w:t>8 November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2A4CE5C3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3437655D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4C386379" w14:textId="77777777" w:rsidR="00AD3606" w:rsidRPr="00E85629" w:rsidRDefault="00A028B5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291CBF">
              <w:rPr>
                <w:b/>
              </w:rPr>
              <w:t xml:space="preserve"> only</w:t>
            </w:r>
          </w:p>
        </w:tc>
      </w:tr>
      <w:tr w:rsidR="00472BAD" w:rsidRPr="00813E5E" w14:paraId="37A2D64E" w14:textId="77777777" w:rsidTr="00AD3606">
        <w:trPr>
          <w:cantSplit/>
          <w:trHeight w:val="23"/>
        </w:trPr>
        <w:tc>
          <w:tcPr>
            <w:tcW w:w="3969" w:type="dxa"/>
          </w:tcPr>
          <w:p w14:paraId="63172448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9D7D213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60D1225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D043909" w14:textId="77777777" w:rsidR="00AD3606" w:rsidRPr="00813E5E" w:rsidRDefault="00244F7F" w:rsidP="00E15C3A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>
              <w:t>Contribution</w:t>
            </w:r>
            <w:r w:rsidR="00AD3606" w:rsidRPr="002C54E2">
              <w:t xml:space="preserve"> </w:t>
            </w:r>
            <w:r w:rsidR="00864283">
              <w:t xml:space="preserve">from </w:t>
            </w:r>
            <w:r w:rsidR="00E15C3A">
              <w:t>Hill</w:t>
            </w:r>
          </w:p>
        </w:tc>
      </w:tr>
      <w:tr w:rsidR="00AD3606" w:rsidRPr="00813E5E" w14:paraId="1E858386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E7DE34A" w14:textId="4BD2345D" w:rsidR="00AD3606" w:rsidRPr="00813E5E" w:rsidRDefault="005842DF" w:rsidP="0082723D">
            <w:pPr>
              <w:pStyle w:val="Subtitle"/>
              <w:framePr w:hSpace="0" w:wrap="auto" w:hAnchor="text" w:xAlign="left" w:yAlign="inline"/>
            </w:pPr>
            <w:bookmarkStart w:id="9" w:name="dtitle1" w:colFirst="0" w:colLast="0"/>
            <w:bookmarkEnd w:id="8"/>
            <w:r>
              <w:t>EMPIRICAL DATA ON INDUSTRY REQUESTS</w:t>
            </w:r>
          </w:p>
        </w:tc>
      </w:tr>
      <w:tr w:rsidR="00AD3606" w:rsidRPr="00813E5E" w14:paraId="73FFAC6C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31365E7" w14:textId="77777777" w:rsidR="004D648B" w:rsidRPr="004D648B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Purpose</w:t>
            </w:r>
          </w:p>
          <w:p w14:paraId="1A390791" w14:textId="77777777" w:rsidR="004D648B" w:rsidRPr="0053640F" w:rsidRDefault="0082723D" w:rsidP="004D648B">
            <w:pPr>
              <w:spacing w:before="160"/>
              <w:rPr>
                <w:szCs w:val="24"/>
              </w:rPr>
            </w:pPr>
            <w:r>
              <w:rPr>
                <w:szCs w:val="24"/>
              </w:rPr>
              <w:t>To present some empirical data regarding industry requests for binding treaty-level provisions on certain topics covered in the 2012 ITRs.</w:t>
            </w:r>
            <w:r w:rsidR="007B08D6">
              <w:rPr>
                <w:szCs w:val="24"/>
              </w:rPr>
              <w:t xml:space="preserve"> </w:t>
            </w:r>
          </w:p>
          <w:p w14:paraId="18E40572" w14:textId="77777777" w:rsidR="004D648B" w:rsidRPr="004D648B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 xml:space="preserve">Action </w:t>
            </w:r>
            <w:proofErr w:type="gramStart"/>
            <w:r w:rsidRPr="004D648B">
              <w:rPr>
                <w:b/>
                <w:bCs/>
                <w:sz w:val="26"/>
                <w:szCs w:val="26"/>
              </w:rPr>
              <w:t>required</w:t>
            </w:r>
            <w:proofErr w:type="gramEnd"/>
          </w:p>
          <w:p w14:paraId="7EB1A0A1" w14:textId="77777777" w:rsidR="00EE1AEE" w:rsidRDefault="00EE1AEE" w:rsidP="00EE1AEE">
            <w:pPr>
              <w:spacing w:before="16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Expert Group on the International Telecommunication Regulations is invited to </w:t>
            </w:r>
            <w:r>
              <w:rPr>
                <w:b/>
                <w:bCs/>
                <w:szCs w:val="24"/>
              </w:rPr>
              <w:t>discuss</w:t>
            </w:r>
            <w:r>
              <w:rPr>
                <w:bCs/>
                <w:szCs w:val="24"/>
              </w:rPr>
              <w:t xml:space="preserve"> this document.</w:t>
            </w:r>
          </w:p>
          <w:p w14:paraId="7F6C45DB" w14:textId="77777777" w:rsidR="004D648B" w:rsidRPr="0052249C" w:rsidRDefault="004D648B" w:rsidP="004D648B">
            <w:pPr>
              <w:spacing w:before="160"/>
              <w:rPr>
                <w:sz w:val="26"/>
                <w:szCs w:val="26"/>
              </w:rPr>
            </w:pPr>
            <w:r w:rsidRPr="0052249C">
              <w:rPr>
                <w:sz w:val="26"/>
                <w:szCs w:val="26"/>
              </w:rPr>
              <w:t>____________________________________</w:t>
            </w:r>
          </w:p>
          <w:p w14:paraId="77C0EF0C" w14:textId="77777777" w:rsidR="00AD3606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Reference</w:t>
            </w:r>
          </w:p>
          <w:p w14:paraId="3F9F8F61" w14:textId="77777777" w:rsidR="001648F9" w:rsidRPr="00E01BD0" w:rsidRDefault="0082723D" w:rsidP="001648F9">
            <w:pPr>
              <w:spacing w:after="1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01B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Council </w:t>
            </w:r>
            <w:hyperlink r:id="rId8" w:history="1">
              <w:r w:rsidRPr="00E01BD0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Resolution 1379</w:t>
              </w:r>
            </w:hyperlink>
            <w:r w:rsidRPr="00E01B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(Terms of Reference)</w:t>
            </w:r>
            <w:r w:rsidR="001648F9" w:rsidRPr="00E01B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674C44FE" w14:textId="77777777" w:rsidR="00112DDE" w:rsidRDefault="005842DF" w:rsidP="00D14787">
            <w:pPr>
              <w:spacing w:after="160"/>
            </w:pPr>
            <w:hyperlink r:id="rId9" w:history="1">
              <w:r w:rsidR="00F709ED" w:rsidRPr="00E01BD0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 xml:space="preserve"> EG-ITRs-1/2: Contribution from Hill: Overall considerations</w:t>
              </w:r>
            </w:hyperlink>
          </w:p>
        </w:tc>
      </w:tr>
    </w:tbl>
    <w:p w14:paraId="32869782" w14:textId="77777777" w:rsidR="00E227F3" w:rsidRPr="0053640F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706F1BD5" w14:textId="77777777" w:rsidR="0090147A" w:rsidRPr="0053640F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53640F">
        <w:br w:type="page"/>
      </w:r>
    </w:p>
    <w:bookmarkEnd w:id="5"/>
    <w:bookmarkEnd w:id="10"/>
    <w:p w14:paraId="718BB0C3" w14:textId="77777777" w:rsidR="006E5AA6" w:rsidRDefault="006E5AA6" w:rsidP="005364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Summary</w:t>
      </w:r>
    </w:p>
    <w:p w14:paraId="170928BF" w14:textId="77777777" w:rsidR="006E5AA6" w:rsidRPr="006E5AA6" w:rsidRDefault="006E5AA6" w:rsidP="005364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contribution presents evidence to the effect that </w:t>
      </w:r>
      <w:r>
        <w:rPr>
          <w:rFonts w:cs="Calibri"/>
          <w:lang w:val="en-US"/>
        </w:rPr>
        <w:t xml:space="preserve">that </w:t>
      </w:r>
      <w:proofErr w:type="gramStart"/>
      <w:r>
        <w:rPr>
          <w:rFonts w:cs="Calibri"/>
          <w:lang w:val="en-US"/>
        </w:rPr>
        <w:t>a large number of</w:t>
      </w:r>
      <w:proofErr w:type="gramEnd"/>
      <w:r>
        <w:rPr>
          <w:rFonts w:cs="Calibri"/>
          <w:lang w:val="en-US"/>
        </w:rPr>
        <w:t xml:space="preserve"> international companies are of the view that binding treaty-level provisions are needed for cybersecurity and spam.</w:t>
      </w:r>
      <w:r>
        <w:rPr>
          <w:rFonts w:asciiTheme="minorHAnsi" w:hAnsiTheme="minorHAnsi" w:cstheme="minorHAnsi"/>
        </w:rPr>
        <w:t xml:space="preserve"> </w:t>
      </w:r>
      <w:r w:rsidR="00781EBE">
        <w:rPr>
          <w:rFonts w:asciiTheme="minorHAnsi" w:hAnsiTheme="minorHAnsi" w:cstheme="minorHAnsi"/>
        </w:rPr>
        <w:t xml:space="preserve">It argues that it is preferable to hold discussions on such matters in the ITU, rather than the WTO, because </w:t>
      </w:r>
      <w:r w:rsidR="00781EBE">
        <w:t xml:space="preserve">the ITU’s technical and regulatory expertise </w:t>
      </w:r>
      <w:r w:rsidR="00CA00B5">
        <w:t xml:space="preserve">can </w:t>
      </w:r>
      <w:r w:rsidR="00781EBE">
        <w:t>ensure that the actual language agreed is consistent with the intended goals of the agreements, and that the language does not have unintended side-effects</w:t>
      </w:r>
      <w:r w:rsidR="00CA00B5">
        <w:t>.</w:t>
      </w:r>
      <w:r w:rsidR="00781EBE">
        <w:t xml:space="preserve"> </w:t>
      </w:r>
      <w:r w:rsidR="00CA00B5">
        <w:t xml:space="preserve">For example, of inadvertently permitting targeted advertising when the intent is to combat </w:t>
      </w:r>
      <w:r w:rsidR="00CA00B5" w:rsidRPr="00CA00B5">
        <w:rPr>
          <w:rFonts w:asciiTheme="minorHAnsi" w:hAnsiTheme="minorHAnsi" w:cstheme="minorHAnsi"/>
        </w:rPr>
        <w:t xml:space="preserve">spam; or of inadvertently broadening </w:t>
      </w:r>
      <w:r w:rsidR="00CA00B5">
        <w:rPr>
          <w:rFonts w:asciiTheme="minorHAnsi" w:hAnsiTheme="minorHAnsi" w:cstheme="minorHAnsi"/>
        </w:rPr>
        <w:t xml:space="preserve">provisions on </w:t>
      </w:r>
      <w:r w:rsidR="00CA00B5" w:rsidRPr="00CA00B5">
        <w:rPr>
          <w:rFonts w:asciiTheme="minorHAnsi" w:hAnsiTheme="minorHAnsi" w:cstheme="minorHAnsi"/>
        </w:rPr>
        <w:t xml:space="preserve">security to include </w:t>
      </w:r>
      <w:r w:rsidR="00CA00B5" w:rsidRPr="00CA00B5">
        <w:rPr>
          <w:rFonts w:asciiTheme="minorHAnsi" w:eastAsiaTheme="minorHAnsi" w:hAnsiTheme="minorHAnsi" w:cstheme="minorHAnsi"/>
          <w:szCs w:val="24"/>
          <w:lang w:val="en-US"/>
        </w:rPr>
        <w:t>content-related aspects of ICT security, such as combating so-called disinformation</w:t>
      </w:r>
      <w:r w:rsidR="00CA00B5">
        <w:rPr>
          <w:rFonts w:asciiTheme="minorHAnsi" w:eastAsiaTheme="minorHAnsi" w:hAnsiTheme="minorHAnsi" w:cstheme="minorHAnsi"/>
          <w:szCs w:val="24"/>
          <w:lang w:val="en-US"/>
        </w:rPr>
        <w:t xml:space="preserve">. </w:t>
      </w:r>
    </w:p>
    <w:p w14:paraId="556CDD42" w14:textId="77777777" w:rsidR="00AF29E2" w:rsidRPr="0053640F" w:rsidRDefault="00AF29E2" w:rsidP="005364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  <w:r w:rsidRPr="0053640F">
        <w:rPr>
          <w:rFonts w:asciiTheme="minorHAnsi" w:hAnsiTheme="minorHAnsi" w:cstheme="minorHAnsi"/>
          <w:b/>
        </w:rPr>
        <w:t>Background</w:t>
      </w:r>
    </w:p>
    <w:p w14:paraId="4C711DD1" w14:textId="77777777" w:rsidR="0082723D" w:rsidRDefault="009A3498" w:rsidP="005364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lang w:val="en-US"/>
        </w:rPr>
      </w:pPr>
      <w:r>
        <w:t xml:space="preserve">1. </w:t>
      </w:r>
      <w:r w:rsidR="0082723D">
        <w:t xml:space="preserve">Pursuant to its Terms of Reference, the EG-ITRs may consider, among others, </w:t>
      </w:r>
      <w:r w:rsidR="0082723D" w:rsidRPr="00A73CD8">
        <w:rPr>
          <w:rFonts w:cs="Calibri"/>
          <w:lang w:val="en-US"/>
        </w:rPr>
        <w:t>new trends in telecommunications/ICT and emerging issues in international telecommunications/ICT environment which may impact the ITRs</w:t>
      </w:r>
      <w:r w:rsidR="0082723D">
        <w:rPr>
          <w:rFonts w:cs="Calibri"/>
          <w:lang w:val="en-US"/>
        </w:rPr>
        <w:t>.</w:t>
      </w:r>
    </w:p>
    <w:p w14:paraId="2A91C9E5" w14:textId="77777777" w:rsidR="0082723D" w:rsidRDefault="0082723D" w:rsidP="005364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lang w:val="en-US"/>
        </w:rPr>
      </w:pPr>
      <w:r>
        <w:rPr>
          <w:rFonts w:cs="Calibri"/>
          <w:lang w:val="en-US"/>
        </w:rPr>
        <w:t xml:space="preserve">2. It appears that </w:t>
      </w:r>
      <w:proofErr w:type="gramStart"/>
      <w:r>
        <w:rPr>
          <w:rFonts w:cs="Calibri"/>
          <w:lang w:val="en-US"/>
        </w:rPr>
        <w:t>a large number of</w:t>
      </w:r>
      <w:proofErr w:type="gramEnd"/>
      <w:r>
        <w:rPr>
          <w:rFonts w:cs="Calibri"/>
          <w:lang w:val="en-US"/>
        </w:rPr>
        <w:t xml:space="preserve"> international companies are of the view that binding treaty-level provisions are needed for cybersecurity and spam.</w:t>
      </w:r>
    </w:p>
    <w:p w14:paraId="35FB3068" w14:textId="77777777" w:rsidR="0082723D" w:rsidRDefault="0082723D" w:rsidP="005364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lang w:val="en-US"/>
        </w:rPr>
      </w:pPr>
      <w:r>
        <w:rPr>
          <w:rFonts w:cs="Calibri"/>
          <w:lang w:val="en-US"/>
        </w:rPr>
        <w:t>3. In 2019, the International Chamber of Commerce called for agreements to be made in WTO</w:t>
      </w:r>
      <w:r w:rsidR="00112DDE">
        <w:rPr>
          <w:rFonts w:cs="Calibri"/>
          <w:lang w:val="en-US"/>
        </w:rPr>
        <w:t xml:space="preserve"> (see attachment 1)</w:t>
      </w:r>
      <w:r>
        <w:rPr>
          <w:rFonts w:cs="Calibri"/>
          <w:lang w:val="en-US"/>
        </w:rPr>
        <w:t>:</w:t>
      </w:r>
    </w:p>
    <w:p w14:paraId="007CD3F0" w14:textId="77777777" w:rsidR="0082723D" w:rsidRPr="00112DDE" w:rsidRDefault="0082723D" w:rsidP="00112DDE">
      <w:pPr>
        <w:pStyle w:val="ListParagraph"/>
        <w:numPr>
          <w:ilvl w:val="0"/>
          <w:numId w:val="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lang w:val="en-US"/>
        </w:rPr>
      </w:pPr>
      <w:r w:rsidRPr="00112DDE">
        <w:rPr>
          <w:rFonts w:cs="Calibri"/>
          <w:lang w:val="en-US"/>
        </w:rPr>
        <w:t xml:space="preserve">to promote technological innovation to enhance online security and reliability based on broadly agreed industry </w:t>
      </w:r>
      <w:proofErr w:type="gramStart"/>
      <w:r w:rsidRPr="00112DDE">
        <w:rPr>
          <w:rFonts w:cs="Calibri"/>
          <w:lang w:val="en-US"/>
        </w:rPr>
        <w:t>guidelines</w:t>
      </w:r>
      <w:proofErr w:type="gramEnd"/>
    </w:p>
    <w:p w14:paraId="4FDB3C9C" w14:textId="77777777" w:rsidR="0082723D" w:rsidRPr="00112DDE" w:rsidRDefault="0082723D" w:rsidP="00112DDE">
      <w:pPr>
        <w:pStyle w:val="ListParagraph"/>
        <w:numPr>
          <w:ilvl w:val="0"/>
          <w:numId w:val="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lang w:val="en-US"/>
        </w:rPr>
      </w:pPr>
      <w:r w:rsidRPr="00112DDE">
        <w:rPr>
          <w:rFonts w:cs="Calibri"/>
          <w:lang w:val="en-US"/>
        </w:rPr>
        <w:t>to address cybersecurity challenges utilizing a risk management framework approach</w:t>
      </w:r>
    </w:p>
    <w:p w14:paraId="28B0FCC6" w14:textId="77777777" w:rsidR="00112DDE" w:rsidRDefault="00112DDE" w:rsidP="0082723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lang w:val="en-US"/>
        </w:rPr>
      </w:pPr>
      <w:r>
        <w:rPr>
          <w:rFonts w:cs="Calibri"/>
          <w:lang w:val="en-US"/>
        </w:rPr>
        <w:t xml:space="preserve">4. Also in 2019, several industry groups active in the ICT </w:t>
      </w:r>
      <w:r w:rsidR="00F241E9">
        <w:rPr>
          <w:rFonts w:cs="Calibri"/>
          <w:lang w:val="en-US"/>
        </w:rPr>
        <w:t>sector</w:t>
      </w:r>
      <w:r>
        <w:rPr>
          <w:rFonts w:cs="Calibri"/>
          <w:lang w:val="en-US"/>
        </w:rPr>
        <w:t xml:space="preserve"> also called for agreements to be made in WTO (see attachment 2):</w:t>
      </w:r>
    </w:p>
    <w:p w14:paraId="28DDFD8A" w14:textId="77777777" w:rsidR="00112DDE" w:rsidRPr="00112DDE" w:rsidRDefault="00112DDE" w:rsidP="00112DDE">
      <w:pPr>
        <w:pStyle w:val="ListParagraph"/>
        <w:numPr>
          <w:ilvl w:val="0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lang w:val="en-US"/>
        </w:rPr>
      </w:pPr>
      <w:r w:rsidRPr="00112DDE">
        <w:rPr>
          <w:rFonts w:cs="Calibri"/>
          <w:lang w:val="en-US"/>
        </w:rPr>
        <w:t>Support Ongoing Work at the World Trade Organization (WTO</w:t>
      </w:r>
      <w:r>
        <w:rPr>
          <w:rFonts w:cs="Calibri"/>
          <w:lang w:val="en-US"/>
        </w:rPr>
        <w:t>)</w:t>
      </w:r>
      <w:r w:rsidRPr="00112DDE">
        <w:rPr>
          <w:rFonts w:cs="Calibri"/>
          <w:lang w:val="en-US"/>
        </w:rPr>
        <w:t xml:space="preserve"> </w:t>
      </w:r>
    </w:p>
    <w:p w14:paraId="67546727" w14:textId="77777777" w:rsidR="00112DDE" w:rsidRDefault="00112DDE" w:rsidP="00112DDE">
      <w:pPr>
        <w:pStyle w:val="ListParagraph"/>
        <w:numPr>
          <w:ilvl w:val="0"/>
          <w:numId w:val="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lang w:val="en-US"/>
        </w:rPr>
      </w:pPr>
      <w:r w:rsidRPr="00112DDE">
        <w:rPr>
          <w:rFonts w:cs="Calibri"/>
          <w:lang w:val="en-US"/>
        </w:rPr>
        <w:t>Reach early agreement on ambitious and inclusive international rules through the WTO Joint Statement Initiative on E-Commerce</w:t>
      </w:r>
    </w:p>
    <w:p w14:paraId="2C064312" w14:textId="77777777" w:rsidR="00112DDE" w:rsidRDefault="00112DDE" w:rsidP="00112D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lang w:val="en-US"/>
        </w:rPr>
      </w:pPr>
      <w:r>
        <w:rPr>
          <w:rFonts w:cs="Calibri"/>
          <w:lang w:val="en-US"/>
        </w:rPr>
        <w:t xml:space="preserve">As noted in 1.16 and 1.17 of our contribution </w:t>
      </w:r>
      <w:hyperlink r:id="rId10" w:history="1">
        <w:r w:rsidR="00D14787">
          <w:rPr>
            <w:rStyle w:val="Hyperlink"/>
            <w:rFonts w:cs="Calibri"/>
            <w:lang w:val="en-US"/>
          </w:rPr>
          <w:t>EG-ITRs-1/2</w:t>
        </w:r>
      </w:hyperlink>
      <w:r>
        <w:rPr>
          <w:rFonts w:cs="Calibri"/>
          <w:lang w:val="en-US"/>
        </w:rPr>
        <w:t>, the work in WTO referred to above includes treaty-level provisions on cybersecurity and spam.</w:t>
      </w:r>
    </w:p>
    <w:p w14:paraId="0747E5B4" w14:textId="77777777" w:rsidR="00112DDE" w:rsidRDefault="00112DDE" w:rsidP="00112D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lang w:val="en-US"/>
        </w:rPr>
      </w:pPr>
      <w:r>
        <w:rPr>
          <w:rFonts w:cs="Calibri"/>
          <w:lang w:val="en-US"/>
        </w:rPr>
        <w:t>5.</w:t>
      </w:r>
      <w:r w:rsidR="00F241E9">
        <w:rPr>
          <w:rFonts w:cs="Calibri"/>
          <w:lang w:val="en-US"/>
        </w:rPr>
        <w:t xml:space="preserve"> In December 2021, the International Chamber of Commerce </w:t>
      </w:r>
      <w:r w:rsidR="00F241E9">
        <w:t>welcomed progress in work in the WTO Joint Statement Initiative on E-commerce on unsolicited commercial electronic messages (see attachment 3).</w:t>
      </w:r>
    </w:p>
    <w:p w14:paraId="6C43EDE6" w14:textId="77777777" w:rsidR="00F241E9" w:rsidRDefault="00F241E9" w:rsidP="00112D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lang w:val="en-US"/>
        </w:rPr>
      </w:pPr>
      <w:r>
        <w:rPr>
          <w:rFonts w:cs="Calibri"/>
          <w:lang w:val="en-US"/>
        </w:rPr>
        <w:t xml:space="preserve">6. In 2023, the Global Services Coalition, a coalition of industry groups active in the ICT sector, stated that </w:t>
      </w:r>
      <w:r w:rsidRPr="00F241E9">
        <w:rPr>
          <w:rFonts w:cs="Calibri"/>
          <w:lang w:val="en-US"/>
        </w:rPr>
        <w:t xml:space="preserve">states that </w:t>
      </w:r>
      <w:r>
        <w:rPr>
          <w:rFonts w:cs="Calibri"/>
          <w:lang w:val="en-US"/>
        </w:rPr>
        <w:t xml:space="preserve">the </w:t>
      </w:r>
      <w:r w:rsidRPr="00F241E9">
        <w:rPr>
          <w:rFonts w:cs="Calibri"/>
          <w:lang w:val="en-US"/>
        </w:rPr>
        <w:t>WTO e-commerce agreement must “Promote cooperation, coordination and harmonization on cybersecurity</w:t>
      </w:r>
      <w:r>
        <w:rPr>
          <w:rFonts w:cs="Calibri"/>
          <w:lang w:val="en-US"/>
        </w:rPr>
        <w:t>” (see attachment 4).</w:t>
      </w:r>
    </w:p>
    <w:p w14:paraId="050A83A6" w14:textId="77777777" w:rsidR="00E530D9" w:rsidRDefault="00E530D9" w:rsidP="00112D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lang w:val="en-US"/>
        </w:rPr>
      </w:pPr>
      <w:r>
        <w:rPr>
          <w:rFonts w:cs="Calibri"/>
          <w:lang w:val="en-US"/>
        </w:rPr>
        <w:t xml:space="preserve">7. This empirical data suggests that binding treaty-level provisions regarding cybersecurity and spam, more detailed that the one in the 2012 ITRs, are being requested by </w:t>
      </w:r>
      <w:proofErr w:type="gramStart"/>
      <w:r>
        <w:rPr>
          <w:rFonts w:cs="Calibri"/>
          <w:lang w:val="en-US"/>
        </w:rPr>
        <w:t>a large number of</w:t>
      </w:r>
      <w:proofErr w:type="gramEnd"/>
      <w:r>
        <w:rPr>
          <w:rFonts w:cs="Calibri"/>
          <w:lang w:val="en-US"/>
        </w:rPr>
        <w:t xml:space="preserve"> private companies.</w:t>
      </w:r>
    </w:p>
    <w:p w14:paraId="7F692AC7" w14:textId="77777777" w:rsidR="00781EBE" w:rsidRPr="00112DDE" w:rsidRDefault="00781EBE" w:rsidP="00112D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lang w:val="en-US"/>
        </w:rPr>
      </w:pPr>
      <w:r>
        <w:rPr>
          <w:rFonts w:cs="Calibri"/>
          <w:lang w:val="en-US"/>
        </w:rPr>
        <w:t xml:space="preserve">8. </w:t>
      </w:r>
      <w:r>
        <w:rPr>
          <w:rFonts w:asciiTheme="minorHAnsi" w:hAnsiTheme="minorHAnsi" w:cstheme="minorHAnsi"/>
        </w:rPr>
        <w:t xml:space="preserve">We submit that it is preferable to hold discussions on such matters in the ITU, rather than the WTO, because </w:t>
      </w:r>
      <w:r>
        <w:t xml:space="preserve">the ITU’s technical and regulatory expertise </w:t>
      </w:r>
      <w:r w:rsidR="00CA00B5">
        <w:t xml:space="preserve">can </w:t>
      </w:r>
      <w:r>
        <w:t>ensure that the actual language agreed is consistent with the intended goals of the agreements, and that the language does not have unintended side-effects</w:t>
      </w:r>
      <w:r w:rsidR="00CA00B5">
        <w:t>. F</w:t>
      </w:r>
      <w:r>
        <w:t xml:space="preserve">or example, of inadvertently permitting targeted advertising when the intent is to combat </w:t>
      </w:r>
      <w:r w:rsidRPr="00CA00B5">
        <w:rPr>
          <w:rFonts w:asciiTheme="minorHAnsi" w:hAnsiTheme="minorHAnsi" w:cstheme="minorHAnsi"/>
        </w:rPr>
        <w:t>spam</w:t>
      </w:r>
      <w:r w:rsidR="00CA00B5" w:rsidRPr="00CA00B5">
        <w:rPr>
          <w:rFonts w:asciiTheme="minorHAnsi" w:hAnsiTheme="minorHAnsi" w:cstheme="minorHAnsi"/>
        </w:rPr>
        <w:t xml:space="preserve">; or of inadvertently broadening </w:t>
      </w:r>
      <w:r w:rsidR="00CA00B5">
        <w:rPr>
          <w:rFonts w:asciiTheme="minorHAnsi" w:hAnsiTheme="minorHAnsi" w:cstheme="minorHAnsi"/>
        </w:rPr>
        <w:lastRenderedPageBreak/>
        <w:t xml:space="preserve">provisions on </w:t>
      </w:r>
      <w:r w:rsidR="00CA00B5" w:rsidRPr="00CA00B5">
        <w:rPr>
          <w:rFonts w:asciiTheme="minorHAnsi" w:hAnsiTheme="minorHAnsi" w:cstheme="minorHAnsi"/>
        </w:rPr>
        <w:t xml:space="preserve">security to include </w:t>
      </w:r>
      <w:r w:rsidR="00CA00B5" w:rsidRPr="00CA00B5">
        <w:rPr>
          <w:rFonts w:asciiTheme="minorHAnsi" w:eastAsiaTheme="minorHAnsi" w:hAnsiTheme="minorHAnsi" w:cstheme="minorHAnsi"/>
          <w:szCs w:val="24"/>
          <w:lang w:val="en-US"/>
        </w:rPr>
        <w:t>content-related aspects of ICT security, such as combating so-called disinformation</w:t>
      </w:r>
      <w:r w:rsidR="00CA00B5">
        <w:rPr>
          <w:rFonts w:asciiTheme="minorHAnsi" w:eastAsiaTheme="minorHAnsi" w:hAnsiTheme="minorHAnsi" w:cstheme="minorHAnsi"/>
          <w:szCs w:val="24"/>
          <w:lang w:val="en-US"/>
        </w:rPr>
        <w:t>. See in this respect</w:t>
      </w:r>
      <w:r w:rsidR="00CA00B5" w:rsidRPr="00CA00B5">
        <w:rPr>
          <w:rFonts w:asciiTheme="minorHAnsi" w:eastAsiaTheme="minorHAnsi" w:hAnsiTheme="minorHAnsi" w:cstheme="minorHAnsi"/>
          <w:szCs w:val="24"/>
          <w:lang w:val="en-US"/>
        </w:rPr>
        <w:t xml:space="preserve"> 1.16 and 1.17 of our contribution </w:t>
      </w:r>
      <w:hyperlink r:id="rId11" w:history="1">
        <w:r w:rsidR="00CA00B5" w:rsidRPr="00CA00B5">
          <w:rPr>
            <w:rStyle w:val="Hyperlink"/>
            <w:rFonts w:asciiTheme="minorHAnsi" w:hAnsiTheme="minorHAnsi" w:cstheme="minorHAnsi"/>
            <w:lang w:val="en-US"/>
          </w:rPr>
          <w:t>EG-ITRs-1/2</w:t>
        </w:r>
      </w:hyperlink>
      <w:r w:rsidR="00CA00B5" w:rsidRPr="00CA00B5">
        <w:rPr>
          <w:rFonts w:asciiTheme="minorHAnsi" w:hAnsiTheme="minorHAnsi" w:cstheme="minorHAnsi"/>
        </w:rPr>
        <w:t xml:space="preserve"> and its addendums 6 and 7.</w:t>
      </w:r>
    </w:p>
    <w:p w14:paraId="009B0C55" w14:textId="77777777" w:rsidR="00112DDE" w:rsidRPr="00112DDE" w:rsidRDefault="00112DDE" w:rsidP="00CA00B5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b/>
          <w:lang w:val="en-US"/>
        </w:rPr>
      </w:pPr>
      <w:r w:rsidRPr="00112DDE">
        <w:rPr>
          <w:rFonts w:cs="Calibri"/>
          <w:b/>
          <w:lang w:val="en-US"/>
        </w:rPr>
        <w:t>Attachments:</w:t>
      </w:r>
    </w:p>
    <w:p w14:paraId="5734CC0E" w14:textId="77777777" w:rsidR="00112DDE" w:rsidRDefault="00112DDE" w:rsidP="00112D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lang w:val="en-US"/>
        </w:rPr>
      </w:pPr>
      <w:r w:rsidRPr="00F241E9">
        <w:rPr>
          <w:rFonts w:cs="Calibri"/>
          <w:b/>
          <w:lang w:val="en-US"/>
        </w:rPr>
        <w:t>1.</w:t>
      </w:r>
      <w:r>
        <w:rPr>
          <w:rFonts w:cs="Calibri"/>
          <w:lang w:val="en-US"/>
        </w:rPr>
        <w:t xml:space="preserve"> </w:t>
      </w:r>
      <w:r w:rsidR="00E530D9">
        <w:rPr>
          <w:rFonts w:cs="Calibri"/>
          <w:lang w:val="en-US"/>
        </w:rPr>
        <w:t>“</w:t>
      </w:r>
      <w:r w:rsidRPr="00112DDE">
        <w:rPr>
          <w:rFonts w:cs="Calibri"/>
          <w:lang w:val="en-US"/>
        </w:rPr>
        <w:t>WTO P</w:t>
      </w:r>
      <w:r>
        <w:rPr>
          <w:rFonts w:cs="Calibri"/>
          <w:lang w:val="en-US"/>
        </w:rPr>
        <w:t>lurilateral negotiations on trade-related aspects of electronic commerce: ICC Baseline Position</w:t>
      </w:r>
      <w:r w:rsidR="00E530D9">
        <w:rPr>
          <w:rFonts w:cs="Calibri"/>
          <w:lang w:val="en-US"/>
        </w:rPr>
        <w:t>”</w:t>
      </w:r>
      <w:r>
        <w:rPr>
          <w:rFonts w:cs="Calibri"/>
          <w:lang w:val="en-US"/>
        </w:rPr>
        <w:t>, downloaded on 15 October 2023, from:</w:t>
      </w:r>
    </w:p>
    <w:p w14:paraId="1F851140" w14:textId="3F62084D" w:rsidR="00112DDE" w:rsidRDefault="005842DF" w:rsidP="003351DE">
      <w:pPr>
        <w:ind w:left="142"/>
      </w:pPr>
      <w:hyperlink r:id="rId12" w:history="1">
        <w:r w:rsidR="003351DE" w:rsidRPr="008A4F65">
          <w:rPr>
            <w:rStyle w:val="Hyperlink"/>
          </w:rPr>
          <w:t>https://iccwbo.org/news-publications/policies-reports/wto-plurilateral-negotiations-trade-related-aspects-electronic-commerce-icc-baseline-position/</w:t>
        </w:r>
      </w:hyperlink>
      <w:r w:rsidR="00112DDE">
        <w:t xml:space="preserve"> </w:t>
      </w:r>
    </w:p>
    <w:p w14:paraId="4EF39339" w14:textId="77777777" w:rsidR="00112DDE" w:rsidRDefault="00112DDE" w:rsidP="00112D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</w:rPr>
      </w:pPr>
      <w:r w:rsidRPr="00F241E9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="00E530D9">
        <w:rPr>
          <w:rFonts w:cs="Calibri"/>
        </w:rPr>
        <w:t>“</w:t>
      </w:r>
      <w:r w:rsidRPr="00112DDE">
        <w:rPr>
          <w:rFonts w:cs="Calibri"/>
        </w:rPr>
        <w:t>2019 G20 Ministerial Meeting on Trade and Digital Economy</w:t>
      </w:r>
      <w:r>
        <w:rPr>
          <w:rFonts w:cs="Calibri"/>
        </w:rPr>
        <w:t xml:space="preserve"> </w:t>
      </w:r>
      <w:r w:rsidRPr="00112DDE">
        <w:rPr>
          <w:rFonts w:cs="Calibri"/>
        </w:rPr>
        <w:t>Recommendations for Promoting Innovation, Digital Technologies, and Trade</w:t>
      </w:r>
      <w:r w:rsidR="00E530D9">
        <w:rPr>
          <w:rFonts w:cs="Calibri"/>
        </w:rPr>
        <w:t>”</w:t>
      </w:r>
      <w:r>
        <w:rPr>
          <w:rFonts w:cs="Calibri"/>
        </w:rPr>
        <w:t>, downloaded on 15 October 2023, from:</w:t>
      </w:r>
    </w:p>
    <w:p w14:paraId="7163DCC7" w14:textId="6191B607" w:rsidR="00112DDE" w:rsidRPr="003351DE" w:rsidRDefault="005842DF" w:rsidP="003351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42"/>
        <w:textAlignment w:val="auto"/>
        <w:rPr>
          <w:spacing w:val="-4"/>
          <w:szCs w:val="24"/>
        </w:rPr>
      </w:pPr>
      <w:hyperlink r:id="rId13" w:history="1">
        <w:r w:rsidR="003351DE" w:rsidRPr="003351DE">
          <w:rPr>
            <w:rStyle w:val="Hyperlink"/>
            <w:spacing w:val="-4"/>
            <w:szCs w:val="24"/>
          </w:rPr>
          <w:t>https://cdn.digitaleurope.org/uploads/2019/05/May9JointIndustryG20Recommendations.pdf</w:t>
        </w:r>
      </w:hyperlink>
      <w:r w:rsidR="00F241E9" w:rsidRPr="003351DE">
        <w:rPr>
          <w:spacing w:val="-4"/>
          <w:szCs w:val="24"/>
        </w:rPr>
        <w:t xml:space="preserve"> </w:t>
      </w:r>
    </w:p>
    <w:p w14:paraId="1F19ADCA" w14:textId="77777777" w:rsidR="00F241E9" w:rsidRDefault="00E530D9" w:rsidP="00112D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  <w:szCs w:val="24"/>
          <w:lang w:val="en-US"/>
        </w:rPr>
      </w:pPr>
      <w:r w:rsidRPr="00E530D9">
        <w:rPr>
          <w:rFonts w:cs="Calibri"/>
          <w:b/>
          <w:szCs w:val="24"/>
          <w:lang w:val="en-US"/>
        </w:rPr>
        <w:t>3.</w:t>
      </w:r>
      <w:r>
        <w:rPr>
          <w:rFonts w:cs="Calibri"/>
          <w:szCs w:val="24"/>
          <w:lang w:val="en-US"/>
        </w:rPr>
        <w:t xml:space="preserve"> “</w:t>
      </w:r>
      <w:r w:rsidRPr="00E530D9">
        <w:rPr>
          <w:rFonts w:cs="Calibri"/>
          <w:szCs w:val="24"/>
          <w:lang w:val="en-US"/>
        </w:rPr>
        <w:t>ICC welcomes progress on e-commerce at the WTO</w:t>
      </w:r>
      <w:r>
        <w:rPr>
          <w:rFonts w:cs="Calibri"/>
          <w:szCs w:val="24"/>
          <w:lang w:val="en-US"/>
        </w:rPr>
        <w:t>”, downloaded on 22 October 2023, from:</w:t>
      </w:r>
    </w:p>
    <w:p w14:paraId="372CDCA6" w14:textId="2A1EB38E" w:rsidR="00E530D9" w:rsidRPr="00E530D9" w:rsidRDefault="005842DF" w:rsidP="003351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42"/>
        <w:textAlignment w:val="auto"/>
        <w:rPr>
          <w:rFonts w:cs="Calibri"/>
          <w:szCs w:val="24"/>
          <w:lang w:val="en-US"/>
        </w:rPr>
      </w:pPr>
      <w:hyperlink r:id="rId14" w:history="1">
        <w:r w:rsidR="00E530D9" w:rsidRPr="00DB4F03">
          <w:rPr>
            <w:rStyle w:val="Hyperlink"/>
            <w:rFonts w:cs="Calibri"/>
            <w:szCs w:val="24"/>
            <w:lang w:val="en-US"/>
          </w:rPr>
          <w:t>https://iccwbo.org/news-publications/news/icc-welcomes-progress-on-e-commerce-at-the-wto/</w:t>
        </w:r>
      </w:hyperlink>
      <w:r w:rsidR="00E530D9">
        <w:rPr>
          <w:rFonts w:cs="Calibri"/>
          <w:szCs w:val="24"/>
          <w:lang w:val="en-US"/>
        </w:rPr>
        <w:t xml:space="preserve"> </w:t>
      </w:r>
    </w:p>
    <w:p w14:paraId="4F19A3F8" w14:textId="77777777" w:rsidR="00112DDE" w:rsidRDefault="00F241E9" w:rsidP="00112D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cs="Calibri"/>
        </w:rPr>
      </w:pPr>
      <w:r w:rsidRPr="00F241E9">
        <w:rPr>
          <w:rFonts w:cs="Calibri"/>
          <w:b/>
        </w:rPr>
        <w:t>4.</w:t>
      </w:r>
      <w:r>
        <w:rPr>
          <w:rFonts w:cs="Calibri"/>
        </w:rPr>
        <w:t xml:space="preserve"> </w:t>
      </w:r>
      <w:r w:rsidR="00E530D9">
        <w:rPr>
          <w:rFonts w:cs="Calibri"/>
        </w:rPr>
        <w:t>“</w:t>
      </w:r>
      <w:r w:rsidRPr="00F241E9">
        <w:rPr>
          <w:rFonts w:cs="Calibri"/>
        </w:rPr>
        <w:t>Paper on Global Services Coalition Priorities for WTO MC 13</w:t>
      </w:r>
      <w:r w:rsidR="00E530D9">
        <w:rPr>
          <w:rFonts w:cs="Calibri"/>
        </w:rPr>
        <w:t>”</w:t>
      </w:r>
      <w:r>
        <w:rPr>
          <w:rFonts w:cs="Calibri"/>
        </w:rPr>
        <w:t>, downloaded on 15 October 2023, from:</w:t>
      </w:r>
    </w:p>
    <w:p w14:paraId="25B44EDE" w14:textId="10B7A0A7" w:rsidR="00F241E9" w:rsidRPr="003351DE" w:rsidRDefault="005842DF" w:rsidP="003351DE">
      <w:pPr>
        <w:pStyle w:val="Default"/>
        <w:ind w:left="142"/>
      </w:pPr>
      <w:hyperlink r:id="rId15" w:history="1">
        <w:r w:rsidR="003351DE" w:rsidRPr="008A4F65">
          <w:rPr>
            <w:rStyle w:val="Hyperlink"/>
          </w:rPr>
          <w:t>https://www.thecityuk.com/news/global-services-coalition-priorities-for-wto-ministerial-conference-13-in-2024</w:t>
        </w:r>
      </w:hyperlink>
      <w:r w:rsidR="00F241E9" w:rsidRPr="003351DE">
        <w:t xml:space="preserve"> </w:t>
      </w:r>
    </w:p>
    <w:p w14:paraId="11425219" w14:textId="77777777" w:rsidR="0053640F" w:rsidRPr="0053640F" w:rsidRDefault="0053640F" w:rsidP="0053640F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contextualSpacing w:val="0"/>
        <w:jc w:val="center"/>
        <w:textAlignment w:val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</w:t>
      </w:r>
    </w:p>
    <w:sectPr w:rsidR="0053640F" w:rsidRPr="0053640F" w:rsidSect="00AD3606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A2AC" w14:textId="77777777" w:rsidR="006213B8" w:rsidRDefault="006213B8">
      <w:r>
        <w:separator/>
      </w:r>
    </w:p>
  </w:endnote>
  <w:endnote w:type="continuationSeparator" w:id="0">
    <w:p w14:paraId="74BB42F4" w14:textId="77777777" w:rsidR="006213B8" w:rsidRDefault="0062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11993F2" w14:textId="77777777" w:rsidTr="0042469C">
      <w:trPr>
        <w:jc w:val="center"/>
      </w:trPr>
      <w:tc>
        <w:tcPr>
          <w:tcW w:w="1803" w:type="dxa"/>
          <w:vAlign w:val="center"/>
        </w:tcPr>
        <w:p w14:paraId="79C2CF7F" w14:textId="032A7080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19F234A" w14:textId="77777777" w:rsidR="00EE49E8" w:rsidRPr="00E06FD5" w:rsidRDefault="00EE49E8" w:rsidP="00A21F8F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7B08D6">
            <w:rPr>
              <w:bCs/>
            </w:rPr>
            <w:t>2</w:t>
          </w:r>
          <w:r w:rsidR="00A52C84" w:rsidRPr="00623AE3">
            <w:rPr>
              <w:bCs/>
            </w:rPr>
            <w:t>/</w:t>
          </w:r>
          <w:r w:rsidR="00A21F8F" w:rsidRPr="00E01BD0">
            <w:rPr>
              <w:bCs/>
            </w:rPr>
            <w:t>3</w:t>
          </w:r>
          <w:r>
            <w:rPr>
              <w:bCs/>
            </w:rPr>
            <w:tab/>
          </w:r>
          <w:r w:rsidR="002B18F1">
            <w:fldChar w:fldCharType="begin"/>
          </w:r>
          <w:r>
            <w:instrText>PAGE</w:instrText>
          </w:r>
          <w:r w:rsidR="002B18F1">
            <w:fldChar w:fldCharType="separate"/>
          </w:r>
          <w:r w:rsidR="00F709ED">
            <w:rPr>
              <w:noProof/>
            </w:rPr>
            <w:t>2</w:t>
          </w:r>
          <w:r w:rsidR="002B18F1">
            <w:rPr>
              <w:noProof/>
            </w:rPr>
            <w:fldChar w:fldCharType="end"/>
          </w:r>
        </w:p>
      </w:tc>
    </w:tr>
  </w:tbl>
  <w:p w14:paraId="1D4D5806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244B177D" w14:textId="77777777" w:rsidTr="00A52C84">
      <w:trPr>
        <w:jc w:val="center"/>
      </w:trPr>
      <w:tc>
        <w:tcPr>
          <w:tcW w:w="3107" w:type="dxa"/>
          <w:vAlign w:val="center"/>
        </w:tcPr>
        <w:p w14:paraId="2241E73F" w14:textId="77777777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55512025" w14:textId="77777777" w:rsidR="00EE49E8" w:rsidRPr="00E06FD5" w:rsidRDefault="00EE49E8" w:rsidP="00A21F8F">
          <w:pPr>
            <w:pStyle w:val="Header"/>
            <w:tabs>
              <w:tab w:val="left" w:pos="48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7B08D6">
            <w:rPr>
              <w:bCs/>
            </w:rPr>
            <w:t>2</w:t>
          </w:r>
          <w:r w:rsidRPr="00623AE3">
            <w:rPr>
              <w:bCs/>
            </w:rPr>
            <w:t>/</w:t>
          </w:r>
          <w:r w:rsidR="00A21F8F" w:rsidRPr="00E01BD0">
            <w:rPr>
              <w:bCs/>
            </w:rPr>
            <w:t>3</w:t>
          </w:r>
          <w:r>
            <w:rPr>
              <w:bCs/>
            </w:rPr>
            <w:tab/>
          </w:r>
          <w:r w:rsidR="002B18F1">
            <w:fldChar w:fldCharType="begin"/>
          </w:r>
          <w:r>
            <w:instrText>PAGE</w:instrText>
          </w:r>
          <w:r w:rsidR="002B18F1">
            <w:fldChar w:fldCharType="separate"/>
          </w:r>
          <w:r w:rsidR="00F709ED">
            <w:rPr>
              <w:noProof/>
            </w:rPr>
            <w:t>1</w:t>
          </w:r>
          <w:r w:rsidR="002B18F1">
            <w:rPr>
              <w:noProof/>
            </w:rPr>
            <w:fldChar w:fldCharType="end"/>
          </w:r>
        </w:p>
      </w:tc>
    </w:tr>
  </w:tbl>
  <w:p w14:paraId="6FD0ED66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4C72" w14:textId="77777777" w:rsidR="006213B8" w:rsidRDefault="006213B8">
      <w:r>
        <w:t>____________________</w:t>
      </w:r>
    </w:p>
  </w:footnote>
  <w:footnote w:type="continuationSeparator" w:id="0">
    <w:p w14:paraId="0CAE5CFA" w14:textId="77777777" w:rsidR="006213B8" w:rsidRDefault="0062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4122B2E2" w14:textId="77777777" w:rsidTr="00F74694">
      <w:trPr>
        <w:trHeight w:val="1304"/>
        <w:jc w:val="center"/>
      </w:trPr>
      <w:tc>
        <w:tcPr>
          <w:tcW w:w="6546" w:type="dxa"/>
        </w:tcPr>
        <w:p w14:paraId="397E54AF" w14:textId="77777777" w:rsidR="00AD3606" w:rsidRPr="009621F8" w:rsidRDefault="005842DF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w:pict w14:anchorId="48600525">
              <v:rect id="Rectangle 3" o:spid="_x0000_s1026" style="position:absolute;margin-left:44.9pt;margin-top:5pt;width:130.15pt;height:42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" fillcolor="white [3212]" stroked="f" strokeweight="2pt"/>
            </w:pict>
          </w:r>
          <w:r w:rsidR="00AD3606">
            <w:rPr>
              <w:noProof/>
              <w:lang w:val="en-US"/>
            </w:rPr>
            <w:drawing>
              <wp:inline distT="0" distB="0" distL="0" distR="0" wp14:anchorId="26B23AEE" wp14:editId="1E8B71D0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3E839252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89117F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1519089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6B355D25" w14:textId="77777777" w:rsidR="00AD3606" w:rsidRDefault="005842DF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w:pict w14:anchorId="6699F8A0">
        <v:rect id="Rectangle 2" o:spid="_x0000_s1028" style="position:absolute;left:0;text-align:left;margin-left:1.15pt;margin-top:43.75pt;width:7.35pt;height:34pt;z-index:251659264;visibility:visible;mso-position-horizontal-relative:page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<w10:wrap anchorx="page" anchory="margin"/>
        </v:rect>
      </w:pict>
    </w:r>
    <w:r>
      <w:rPr>
        <w:rFonts w:ascii="Arial" w:eastAsiaTheme="minorHAnsi" w:hAnsi="Arial" w:cs="Arial"/>
        <w:b/>
        <w:bCs/>
        <w:noProof/>
        <w:color w:val="009CD6"/>
        <w:szCs w:val="18"/>
      </w:rPr>
      <w:pict w14:anchorId="3BE3F79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24.15pt;margin-top:-65.8pt;width:314.9pt;height:48.7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" filled="f" stroked="f">
          <v:textbox style="mso-fit-shape-to-text:t">
            <w:txbxContent>
              <w:p w14:paraId="339DC05C" w14:textId="79BEAE1D" w:rsidR="00130599" w:rsidRDefault="00A028B5" w:rsidP="00130599">
                <w:pPr>
                  <w:spacing w:before="0"/>
                </w:pPr>
                <w:r>
                  <w:rPr>
                    <w:b/>
                    <w:bCs/>
                    <w:szCs w:val="24"/>
                  </w:rPr>
                  <w:t>Expert</w:t>
                </w:r>
                <w:r w:rsidR="00130599" w:rsidRPr="00F74694">
                  <w:rPr>
                    <w:b/>
                    <w:bCs/>
                    <w:szCs w:val="24"/>
                  </w:rPr>
                  <w:t xml:space="preserve"> Group</w:t>
                </w:r>
                <w:r w:rsidR="00F74694" w:rsidRPr="00F74694">
                  <w:rPr>
                    <w:b/>
                    <w:bCs/>
                    <w:szCs w:val="24"/>
                  </w:rPr>
                  <w:br/>
                </w:r>
                <w:r w:rsidR="00130599" w:rsidRPr="00636853">
                  <w:rPr>
                    <w:b/>
                    <w:bCs/>
                    <w:spacing w:val="6"/>
                    <w:szCs w:val="24"/>
                  </w:rPr>
                  <w:t xml:space="preserve">on </w:t>
                </w:r>
                <w:r>
                  <w:rPr>
                    <w:b/>
                    <w:bCs/>
                    <w:spacing w:val="6"/>
                    <w:szCs w:val="24"/>
                  </w:rPr>
                  <w:t>the International Telecommunication Regulations</w:t>
                </w:r>
                <w:r w:rsidR="00130599">
                  <w:br/>
                </w:r>
                <w:r w:rsidR="001A2D4F">
                  <w:rPr>
                    <w:sz w:val="20"/>
                  </w:rPr>
                  <w:t>Second meeting - From 29 to 30 January 2024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E37EB"/>
    <w:multiLevelType w:val="hybridMultilevel"/>
    <w:tmpl w:val="7556CF78"/>
    <w:lvl w:ilvl="0" w:tplc="B7FE09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100B"/>
    <w:multiLevelType w:val="hybridMultilevel"/>
    <w:tmpl w:val="7556CF78"/>
    <w:lvl w:ilvl="0" w:tplc="B7FE09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63B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EB12C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37A270DA"/>
    <w:multiLevelType w:val="hybridMultilevel"/>
    <w:tmpl w:val="D12AD46C"/>
    <w:lvl w:ilvl="0" w:tplc="4CBA0A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763511"/>
    <w:multiLevelType w:val="hybridMultilevel"/>
    <w:tmpl w:val="05E2F4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B10E7A"/>
    <w:multiLevelType w:val="hybridMultilevel"/>
    <w:tmpl w:val="19CE7B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72258"/>
    <w:multiLevelType w:val="hybridMultilevel"/>
    <w:tmpl w:val="74F2E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EB01D9"/>
    <w:multiLevelType w:val="hybridMultilevel"/>
    <w:tmpl w:val="F43EA5AA"/>
    <w:lvl w:ilvl="0" w:tplc="B84E13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9129091">
    <w:abstractNumId w:val="0"/>
  </w:num>
  <w:num w:numId="2" w16cid:durableId="214391731">
    <w:abstractNumId w:val="8"/>
  </w:num>
  <w:num w:numId="3" w16cid:durableId="1497452244">
    <w:abstractNumId w:val="9"/>
  </w:num>
  <w:num w:numId="4" w16cid:durableId="636688413">
    <w:abstractNumId w:val="5"/>
  </w:num>
  <w:num w:numId="5" w16cid:durableId="986519051">
    <w:abstractNumId w:val="6"/>
  </w:num>
  <w:num w:numId="6" w16cid:durableId="1711757278">
    <w:abstractNumId w:val="7"/>
  </w:num>
  <w:num w:numId="7" w16cid:durableId="1907908448">
    <w:abstractNumId w:val="4"/>
  </w:num>
  <w:num w:numId="8" w16cid:durableId="673186808">
    <w:abstractNumId w:val="3"/>
  </w:num>
  <w:num w:numId="9" w16cid:durableId="625627922">
    <w:abstractNumId w:val="2"/>
  </w:num>
  <w:num w:numId="10" w16cid:durableId="72340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6E2"/>
    <w:rsid w:val="000210D4"/>
    <w:rsid w:val="000334F2"/>
    <w:rsid w:val="00063016"/>
    <w:rsid w:val="00066795"/>
    <w:rsid w:val="00076AF6"/>
    <w:rsid w:val="00085CF2"/>
    <w:rsid w:val="000B1705"/>
    <w:rsid w:val="000B6417"/>
    <w:rsid w:val="000D75B2"/>
    <w:rsid w:val="000E4EE7"/>
    <w:rsid w:val="001121F5"/>
    <w:rsid w:val="00112DDE"/>
    <w:rsid w:val="00115291"/>
    <w:rsid w:val="00130599"/>
    <w:rsid w:val="001400DC"/>
    <w:rsid w:val="00140CE1"/>
    <w:rsid w:val="00145A74"/>
    <w:rsid w:val="001560FA"/>
    <w:rsid w:val="001569E7"/>
    <w:rsid w:val="001648F9"/>
    <w:rsid w:val="00170B8D"/>
    <w:rsid w:val="0017539C"/>
    <w:rsid w:val="00175AC2"/>
    <w:rsid w:val="0017609F"/>
    <w:rsid w:val="001A2D4F"/>
    <w:rsid w:val="001A7D1D"/>
    <w:rsid w:val="001B51DD"/>
    <w:rsid w:val="001C628E"/>
    <w:rsid w:val="001E0F7B"/>
    <w:rsid w:val="00206301"/>
    <w:rsid w:val="002119FD"/>
    <w:rsid w:val="002130E0"/>
    <w:rsid w:val="00244F7F"/>
    <w:rsid w:val="00257973"/>
    <w:rsid w:val="00264425"/>
    <w:rsid w:val="00265875"/>
    <w:rsid w:val="0027303B"/>
    <w:rsid w:val="00275CBF"/>
    <w:rsid w:val="0028109B"/>
    <w:rsid w:val="00291CBF"/>
    <w:rsid w:val="00293B38"/>
    <w:rsid w:val="002A2188"/>
    <w:rsid w:val="002A7B2C"/>
    <w:rsid w:val="002B18F1"/>
    <w:rsid w:val="002B1F58"/>
    <w:rsid w:val="002C1C7A"/>
    <w:rsid w:val="002C54E2"/>
    <w:rsid w:val="002F6AF6"/>
    <w:rsid w:val="002F7555"/>
    <w:rsid w:val="0030160F"/>
    <w:rsid w:val="00320223"/>
    <w:rsid w:val="00322D0D"/>
    <w:rsid w:val="003339A6"/>
    <w:rsid w:val="003351DE"/>
    <w:rsid w:val="003425F0"/>
    <w:rsid w:val="00361465"/>
    <w:rsid w:val="003877F5"/>
    <w:rsid w:val="003942D4"/>
    <w:rsid w:val="003958A8"/>
    <w:rsid w:val="003C2533"/>
    <w:rsid w:val="003D5A7F"/>
    <w:rsid w:val="003F668C"/>
    <w:rsid w:val="004016E2"/>
    <w:rsid w:val="00403B7F"/>
    <w:rsid w:val="0040435A"/>
    <w:rsid w:val="00405C77"/>
    <w:rsid w:val="00416A24"/>
    <w:rsid w:val="00431D9E"/>
    <w:rsid w:val="00433CE8"/>
    <w:rsid w:val="00434A5C"/>
    <w:rsid w:val="004544D9"/>
    <w:rsid w:val="00457206"/>
    <w:rsid w:val="00467314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1A8"/>
    <w:rsid w:val="004E3AEB"/>
    <w:rsid w:val="0050223C"/>
    <w:rsid w:val="0051705A"/>
    <w:rsid w:val="00520AC3"/>
    <w:rsid w:val="0052249C"/>
    <w:rsid w:val="005243FF"/>
    <w:rsid w:val="0053640F"/>
    <w:rsid w:val="00564FBC"/>
    <w:rsid w:val="005800BC"/>
    <w:rsid w:val="00582442"/>
    <w:rsid w:val="005842DF"/>
    <w:rsid w:val="005956BE"/>
    <w:rsid w:val="005A335D"/>
    <w:rsid w:val="005B461F"/>
    <w:rsid w:val="005C3BE5"/>
    <w:rsid w:val="005D0B88"/>
    <w:rsid w:val="005E2BD5"/>
    <w:rsid w:val="005F3269"/>
    <w:rsid w:val="006035C0"/>
    <w:rsid w:val="00616C10"/>
    <w:rsid w:val="006213B8"/>
    <w:rsid w:val="00623AE3"/>
    <w:rsid w:val="00636853"/>
    <w:rsid w:val="0064737F"/>
    <w:rsid w:val="006535F1"/>
    <w:rsid w:val="0065557D"/>
    <w:rsid w:val="00660D50"/>
    <w:rsid w:val="00662984"/>
    <w:rsid w:val="006638C3"/>
    <w:rsid w:val="006716BB"/>
    <w:rsid w:val="006819A4"/>
    <w:rsid w:val="0069699A"/>
    <w:rsid w:val="006B1859"/>
    <w:rsid w:val="006B6680"/>
    <w:rsid w:val="006B6DCC"/>
    <w:rsid w:val="006C11BB"/>
    <w:rsid w:val="006E5AA6"/>
    <w:rsid w:val="00702DEF"/>
    <w:rsid w:val="00706861"/>
    <w:rsid w:val="00734FAC"/>
    <w:rsid w:val="00745D44"/>
    <w:rsid w:val="0075051B"/>
    <w:rsid w:val="00775655"/>
    <w:rsid w:val="00777028"/>
    <w:rsid w:val="00781EBE"/>
    <w:rsid w:val="00793188"/>
    <w:rsid w:val="00794D34"/>
    <w:rsid w:val="00794DFC"/>
    <w:rsid w:val="007B08D6"/>
    <w:rsid w:val="007C01FB"/>
    <w:rsid w:val="007E2824"/>
    <w:rsid w:val="007F268B"/>
    <w:rsid w:val="007F6EFC"/>
    <w:rsid w:val="0080358A"/>
    <w:rsid w:val="00813E5E"/>
    <w:rsid w:val="008169FA"/>
    <w:rsid w:val="0082723D"/>
    <w:rsid w:val="0083581B"/>
    <w:rsid w:val="00847E0C"/>
    <w:rsid w:val="00863874"/>
    <w:rsid w:val="00864283"/>
    <w:rsid w:val="00864AFF"/>
    <w:rsid w:val="00865925"/>
    <w:rsid w:val="0088630E"/>
    <w:rsid w:val="008B056B"/>
    <w:rsid w:val="008B4A6A"/>
    <w:rsid w:val="008B56F6"/>
    <w:rsid w:val="008C7E27"/>
    <w:rsid w:val="008D146D"/>
    <w:rsid w:val="008F7448"/>
    <w:rsid w:val="0090147A"/>
    <w:rsid w:val="009173EF"/>
    <w:rsid w:val="00932906"/>
    <w:rsid w:val="00947471"/>
    <w:rsid w:val="00950BC7"/>
    <w:rsid w:val="00961B0B"/>
    <w:rsid w:val="00962D33"/>
    <w:rsid w:val="009A3498"/>
    <w:rsid w:val="009B38C3"/>
    <w:rsid w:val="009E17BD"/>
    <w:rsid w:val="009E485A"/>
    <w:rsid w:val="00A028B5"/>
    <w:rsid w:val="00A04CEC"/>
    <w:rsid w:val="00A21F8F"/>
    <w:rsid w:val="00A27F92"/>
    <w:rsid w:val="00A32257"/>
    <w:rsid w:val="00A36D20"/>
    <w:rsid w:val="00A377D7"/>
    <w:rsid w:val="00A514A4"/>
    <w:rsid w:val="00A52C84"/>
    <w:rsid w:val="00A55622"/>
    <w:rsid w:val="00A73CD8"/>
    <w:rsid w:val="00A83502"/>
    <w:rsid w:val="00AC30A5"/>
    <w:rsid w:val="00AD15B3"/>
    <w:rsid w:val="00AD3606"/>
    <w:rsid w:val="00AD4A3D"/>
    <w:rsid w:val="00AF1EE7"/>
    <w:rsid w:val="00AF29E2"/>
    <w:rsid w:val="00AF6E49"/>
    <w:rsid w:val="00B04A67"/>
    <w:rsid w:val="00B0583C"/>
    <w:rsid w:val="00B40A81"/>
    <w:rsid w:val="00B4436B"/>
    <w:rsid w:val="00B44910"/>
    <w:rsid w:val="00B72267"/>
    <w:rsid w:val="00B76EB6"/>
    <w:rsid w:val="00B7737B"/>
    <w:rsid w:val="00B824C8"/>
    <w:rsid w:val="00B84B9D"/>
    <w:rsid w:val="00B90C7D"/>
    <w:rsid w:val="00BC251A"/>
    <w:rsid w:val="00BC3DED"/>
    <w:rsid w:val="00BD032B"/>
    <w:rsid w:val="00BD4122"/>
    <w:rsid w:val="00BE2640"/>
    <w:rsid w:val="00BF0749"/>
    <w:rsid w:val="00BF7279"/>
    <w:rsid w:val="00C01189"/>
    <w:rsid w:val="00C258FB"/>
    <w:rsid w:val="00C33177"/>
    <w:rsid w:val="00C374DE"/>
    <w:rsid w:val="00C47AD4"/>
    <w:rsid w:val="00C52D81"/>
    <w:rsid w:val="00C55198"/>
    <w:rsid w:val="00C67880"/>
    <w:rsid w:val="00CA00B5"/>
    <w:rsid w:val="00CA6393"/>
    <w:rsid w:val="00CB18FF"/>
    <w:rsid w:val="00CC3D47"/>
    <w:rsid w:val="00CD0C08"/>
    <w:rsid w:val="00CD743D"/>
    <w:rsid w:val="00CE03FB"/>
    <w:rsid w:val="00CE433C"/>
    <w:rsid w:val="00CF0161"/>
    <w:rsid w:val="00CF33F3"/>
    <w:rsid w:val="00D06183"/>
    <w:rsid w:val="00D14787"/>
    <w:rsid w:val="00D22C42"/>
    <w:rsid w:val="00D464CC"/>
    <w:rsid w:val="00D65041"/>
    <w:rsid w:val="00D80949"/>
    <w:rsid w:val="00DB00D5"/>
    <w:rsid w:val="00DB1936"/>
    <w:rsid w:val="00DB384B"/>
    <w:rsid w:val="00DE2C44"/>
    <w:rsid w:val="00DF0189"/>
    <w:rsid w:val="00E01BD0"/>
    <w:rsid w:val="00E06FD5"/>
    <w:rsid w:val="00E10E80"/>
    <w:rsid w:val="00E124F0"/>
    <w:rsid w:val="00E15C3A"/>
    <w:rsid w:val="00E227F3"/>
    <w:rsid w:val="00E32C21"/>
    <w:rsid w:val="00E530D9"/>
    <w:rsid w:val="00E545C6"/>
    <w:rsid w:val="00E60F04"/>
    <w:rsid w:val="00E65B24"/>
    <w:rsid w:val="00E849FB"/>
    <w:rsid w:val="00E854E4"/>
    <w:rsid w:val="00E86DBF"/>
    <w:rsid w:val="00EA0803"/>
    <w:rsid w:val="00EB0D6F"/>
    <w:rsid w:val="00EB2232"/>
    <w:rsid w:val="00EC5337"/>
    <w:rsid w:val="00ED398B"/>
    <w:rsid w:val="00EE1AEE"/>
    <w:rsid w:val="00EE49E8"/>
    <w:rsid w:val="00F16BAB"/>
    <w:rsid w:val="00F2150A"/>
    <w:rsid w:val="00F231D8"/>
    <w:rsid w:val="00F23745"/>
    <w:rsid w:val="00F23870"/>
    <w:rsid w:val="00F241E9"/>
    <w:rsid w:val="00F44C00"/>
    <w:rsid w:val="00F45D2C"/>
    <w:rsid w:val="00F46C5F"/>
    <w:rsid w:val="00F632C0"/>
    <w:rsid w:val="00F709ED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734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3425F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640F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F241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Theme="minorHAnsi" w:cs="Calibri"/>
      <w:color w:val="00000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5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21/en" TargetMode="External"/><Relationship Id="rId13" Type="http://schemas.openxmlformats.org/officeDocument/2006/relationships/hyperlink" Target="https://cdn.digitaleurope.org/uploads/2019/05/May9JointIndustryG20Recommendations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cwbo.org/news-publications/policies-reports/wto-plurilateral-negotiations-trade-related-aspects-electronic-commerce-icc-baseline-position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EGITRS1-C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ecityuk.com/news/global-services-coalition-priorities-for-wto-ministerial-conference-13-in-2024" TargetMode="External"/><Relationship Id="rId10" Type="http://schemas.openxmlformats.org/officeDocument/2006/relationships/hyperlink" Target="https://www.itu.int/md/S23-EGITRS1-C-000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EGITRS1-C-0002/en" TargetMode="External"/><Relationship Id="rId14" Type="http://schemas.openxmlformats.org/officeDocument/2006/relationships/hyperlink" Target="https://iccwbo.org/news-publications/news/icc-welcomes-progress-on-e-commerce-at-the-wt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32DF-A9CE-4D08-8D81-012D41A5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Hill: Proposal for working methods and work plan of EG-ITRs</vt:lpstr>
    </vt:vector>
  </TitlesOfParts>
  <Manager/>
  <Company/>
  <LinksUpToDate>false</LinksUpToDate>
  <CharactersWithSpaces>5501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Hill: Proposal for working methods and work plan of EG-ITRs</dc:title>
  <dc:subject>Expert Group on the International Telecommunication Regulations</dc:subject>
  <dc:creator/>
  <cp:keywords>EG-ITRs, C23, Council-23, C23-ADD</cp:keywords>
  <dc:description/>
  <cp:lastModifiedBy/>
  <cp:revision>1</cp:revision>
  <dcterms:created xsi:type="dcterms:W3CDTF">2023-10-22T16:30:00Z</dcterms:created>
  <dcterms:modified xsi:type="dcterms:W3CDTF">2023-12-14T08:22:00Z</dcterms:modified>
  <cp:category>Conference document</cp:category>
</cp:coreProperties>
</file>