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4601380F" w14:textId="77777777" w:rsidTr="00AD3606">
        <w:trPr>
          <w:cantSplit/>
          <w:trHeight w:val="23"/>
        </w:trPr>
        <w:tc>
          <w:tcPr>
            <w:tcW w:w="3969" w:type="dxa"/>
            <w:vMerge w:val="restart"/>
            <w:tcMar>
              <w:left w:w="0" w:type="dxa"/>
            </w:tcMar>
          </w:tcPr>
          <w:p w14:paraId="1F8742B6"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3170AAC" w14:textId="77777777" w:rsidR="00AD3606" w:rsidRPr="00A52C84" w:rsidRDefault="00AD3606" w:rsidP="009A4ED2">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7B08D6">
              <w:rPr>
                <w:b/>
                <w:lang w:val="fr-CH"/>
              </w:rPr>
              <w:t>2</w:t>
            </w:r>
            <w:r w:rsidRPr="00A52C84">
              <w:rPr>
                <w:b/>
                <w:lang w:val="fr-CH"/>
              </w:rPr>
              <w:t>/</w:t>
            </w:r>
            <w:r w:rsidR="009A4ED2" w:rsidRPr="005758BD">
              <w:rPr>
                <w:b/>
                <w:lang w:val="fr-CH"/>
              </w:rPr>
              <w:t>4</w:t>
            </w:r>
          </w:p>
        </w:tc>
      </w:tr>
      <w:tr w:rsidR="00AD3606" w:rsidRPr="00813E5E" w14:paraId="7A967370" w14:textId="77777777" w:rsidTr="00AD3606">
        <w:trPr>
          <w:cantSplit/>
        </w:trPr>
        <w:tc>
          <w:tcPr>
            <w:tcW w:w="3969" w:type="dxa"/>
            <w:vMerge/>
          </w:tcPr>
          <w:p w14:paraId="37D06D8B"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52073C05" w14:textId="77777777" w:rsidR="00AD3606" w:rsidRPr="00E85629" w:rsidRDefault="00A26802" w:rsidP="00AC30A5">
            <w:pPr>
              <w:tabs>
                <w:tab w:val="left" w:pos="851"/>
              </w:tabs>
              <w:spacing w:before="0"/>
              <w:jc w:val="right"/>
              <w:rPr>
                <w:b/>
              </w:rPr>
            </w:pPr>
            <w:r>
              <w:rPr>
                <w:b/>
              </w:rPr>
              <w:t>8 November</w:t>
            </w:r>
            <w:r w:rsidR="00AD3606">
              <w:rPr>
                <w:b/>
              </w:rPr>
              <w:t xml:space="preserve"> 2023</w:t>
            </w:r>
          </w:p>
        </w:tc>
      </w:tr>
      <w:tr w:rsidR="00AD3606" w:rsidRPr="00813E5E" w14:paraId="42DFDD02" w14:textId="77777777" w:rsidTr="00AD3606">
        <w:trPr>
          <w:cantSplit/>
          <w:trHeight w:val="23"/>
        </w:trPr>
        <w:tc>
          <w:tcPr>
            <w:tcW w:w="3969" w:type="dxa"/>
            <w:vMerge/>
          </w:tcPr>
          <w:p w14:paraId="78D797E7"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01EB81D1"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124E0950" w14:textId="77777777" w:rsidTr="00AD3606">
        <w:trPr>
          <w:cantSplit/>
          <w:trHeight w:val="23"/>
        </w:trPr>
        <w:tc>
          <w:tcPr>
            <w:tcW w:w="3969" w:type="dxa"/>
          </w:tcPr>
          <w:p w14:paraId="212E6468" w14:textId="77777777" w:rsidR="00472BAD" w:rsidRPr="00813E5E" w:rsidRDefault="00472BAD" w:rsidP="00AD3606">
            <w:pPr>
              <w:tabs>
                <w:tab w:val="left" w:pos="851"/>
              </w:tabs>
              <w:spacing w:line="240" w:lineRule="atLeast"/>
              <w:rPr>
                <w:b/>
              </w:rPr>
            </w:pPr>
          </w:p>
        </w:tc>
        <w:tc>
          <w:tcPr>
            <w:tcW w:w="5245" w:type="dxa"/>
          </w:tcPr>
          <w:p w14:paraId="0BCEA9A0" w14:textId="77777777" w:rsidR="00472BAD" w:rsidRDefault="00472BAD" w:rsidP="00AD3606">
            <w:pPr>
              <w:tabs>
                <w:tab w:val="left" w:pos="851"/>
              </w:tabs>
              <w:spacing w:before="0" w:line="240" w:lineRule="atLeast"/>
              <w:jc w:val="right"/>
              <w:rPr>
                <w:b/>
              </w:rPr>
            </w:pPr>
          </w:p>
        </w:tc>
      </w:tr>
      <w:tr w:rsidR="00AD3606" w:rsidRPr="00813E5E" w14:paraId="51A78F58" w14:textId="77777777" w:rsidTr="00AD3606">
        <w:trPr>
          <w:cantSplit/>
        </w:trPr>
        <w:tc>
          <w:tcPr>
            <w:tcW w:w="9214" w:type="dxa"/>
            <w:gridSpan w:val="2"/>
            <w:tcMar>
              <w:left w:w="0" w:type="dxa"/>
            </w:tcMar>
          </w:tcPr>
          <w:p w14:paraId="56C7FFA7" w14:textId="77777777" w:rsidR="00AD3606" w:rsidRPr="00813E5E" w:rsidRDefault="00244F7F" w:rsidP="00E15C3A">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E15C3A">
              <w:t>Hill</w:t>
            </w:r>
          </w:p>
        </w:tc>
      </w:tr>
      <w:tr w:rsidR="00AD3606" w:rsidRPr="00813E5E" w14:paraId="55E522AB" w14:textId="77777777" w:rsidTr="00AD3606">
        <w:trPr>
          <w:cantSplit/>
        </w:trPr>
        <w:tc>
          <w:tcPr>
            <w:tcW w:w="9214" w:type="dxa"/>
            <w:gridSpan w:val="2"/>
            <w:tcMar>
              <w:left w:w="0" w:type="dxa"/>
            </w:tcMar>
          </w:tcPr>
          <w:p w14:paraId="24330F78" w14:textId="63A8A01B" w:rsidR="00AD3606" w:rsidRPr="00813E5E" w:rsidRDefault="005915C9" w:rsidP="0082723D">
            <w:pPr>
              <w:pStyle w:val="Subtitle"/>
              <w:framePr w:hSpace="0" w:wrap="auto" w:hAnchor="text" w:xAlign="left" w:yAlign="inline"/>
            </w:pPr>
            <w:bookmarkStart w:id="9" w:name="dtitle1" w:colFirst="0" w:colLast="0"/>
            <w:bookmarkEnd w:id="8"/>
            <w:r>
              <w:t>LIAISING WITH WTO</w:t>
            </w:r>
          </w:p>
        </w:tc>
      </w:tr>
      <w:tr w:rsidR="00AD3606" w:rsidRPr="00813E5E" w14:paraId="505F0B44" w14:textId="77777777" w:rsidTr="00AD3606">
        <w:trPr>
          <w:cantSplit/>
        </w:trPr>
        <w:tc>
          <w:tcPr>
            <w:tcW w:w="9214" w:type="dxa"/>
            <w:gridSpan w:val="2"/>
            <w:tcBorders>
              <w:top w:val="single" w:sz="4" w:space="0" w:color="auto"/>
              <w:bottom w:val="single" w:sz="4" w:space="0" w:color="auto"/>
            </w:tcBorders>
            <w:tcMar>
              <w:left w:w="0" w:type="dxa"/>
            </w:tcMar>
          </w:tcPr>
          <w:p w14:paraId="526FDD2D" w14:textId="77777777" w:rsidR="004D648B" w:rsidRPr="004D648B" w:rsidRDefault="004D648B" w:rsidP="004D648B">
            <w:pPr>
              <w:spacing w:before="160"/>
              <w:rPr>
                <w:b/>
                <w:bCs/>
                <w:sz w:val="26"/>
                <w:szCs w:val="26"/>
              </w:rPr>
            </w:pPr>
            <w:r w:rsidRPr="004D648B">
              <w:rPr>
                <w:b/>
                <w:bCs/>
                <w:sz w:val="26"/>
                <w:szCs w:val="26"/>
              </w:rPr>
              <w:t>Purpose</w:t>
            </w:r>
          </w:p>
          <w:p w14:paraId="2884E622" w14:textId="77777777" w:rsidR="004D648B" w:rsidRPr="0053640F" w:rsidRDefault="0082723D" w:rsidP="004D648B">
            <w:pPr>
              <w:spacing w:before="160"/>
              <w:rPr>
                <w:szCs w:val="24"/>
              </w:rPr>
            </w:pPr>
            <w:r>
              <w:rPr>
                <w:szCs w:val="24"/>
              </w:rPr>
              <w:t xml:space="preserve">To </w:t>
            </w:r>
            <w:r w:rsidR="009A4ED2">
              <w:rPr>
                <w:szCs w:val="24"/>
              </w:rPr>
              <w:t>propose to liaise with the World Trade Organization regarding possible overlapping work</w:t>
            </w:r>
            <w:r>
              <w:rPr>
                <w:szCs w:val="24"/>
              </w:rPr>
              <w:t>.</w:t>
            </w:r>
            <w:r w:rsidR="007B08D6">
              <w:rPr>
                <w:szCs w:val="24"/>
              </w:rPr>
              <w:t xml:space="preserve"> </w:t>
            </w:r>
          </w:p>
          <w:p w14:paraId="0D7D7794"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21611859" w14:textId="77777777" w:rsidR="00856DA7" w:rsidRPr="00B03613" w:rsidRDefault="00856DA7" w:rsidP="00856DA7">
            <w:pPr>
              <w:spacing w:before="160"/>
              <w:rPr>
                <w:bCs/>
                <w:szCs w:val="24"/>
              </w:rPr>
            </w:pPr>
            <w:r w:rsidRPr="00B03613">
              <w:rPr>
                <w:bCs/>
                <w:szCs w:val="24"/>
              </w:rPr>
              <w:t xml:space="preserve">The Expert Group on the International Telecommunication Regulations is invited to </w:t>
            </w:r>
            <w:r>
              <w:rPr>
                <w:b/>
                <w:bCs/>
                <w:szCs w:val="24"/>
              </w:rPr>
              <w:t>discuss</w:t>
            </w:r>
            <w:r w:rsidRPr="00B03613">
              <w:rPr>
                <w:bCs/>
                <w:szCs w:val="24"/>
              </w:rPr>
              <w:t xml:space="preserve"> this document</w:t>
            </w:r>
            <w:r>
              <w:rPr>
                <w:bCs/>
                <w:szCs w:val="24"/>
              </w:rPr>
              <w:t>.</w:t>
            </w:r>
          </w:p>
          <w:p w14:paraId="24EFCEEC" w14:textId="77777777" w:rsidR="004D648B" w:rsidRPr="0052249C" w:rsidRDefault="004D648B" w:rsidP="004D648B">
            <w:pPr>
              <w:spacing w:before="160"/>
              <w:rPr>
                <w:sz w:val="26"/>
                <w:szCs w:val="26"/>
              </w:rPr>
            </w:pPr>
            <w:r w:rsidRPr="0052249C">
              <w:rPr>
                <w:sz w:val="26"/>
                <w:szCs w:val="26"/>
              </w:rPr>
              <w:t>____________________________________</w:t>
            </w:r>
          </w:p>
          <w:p w14:paraId="1EE1FD3E" w14:textId="77777777" w:rsidR="00AD3606" w:rsidRDefault="004D648B" w:rsidP="004D648B">
            <w:pPr>
              <w:spacing w:before="160"/>
              <w:rPr>
                <w:b/>
                <w:bCs/>
                <w:sz w:val="26"/>
                <w:szCs w:val="26"/>
              </w:rPr>
            </w:pPr>
            <w:r w:rsidRPr="004D648B">
              <w:rPr>
                <w:b/>
                <w:bCs/>
                <w:sz w:val="26"/>
                <w:szCs w:val="26"/>
              </w:rPr>
              <w:t>Reference</w:t>
            </w:r>
          </w:p>
          <w:p w14:paraId="5EBCEE44" w14:textId="77777777" w:rsidR="001648F9" w:rsidRPr="005915C9" w:rsidRDefault="0082723D" w:rsidP="005915C9">
            <w:pPr>
              <w:spacing w:after="120"/>
              <w:rPr>
                <w:rFonts w:asciiTheme="minorHAnsi" w:hAnsiTheme="minorHAnsi" w:cstheme="minorHAnsi"/>
                <w:i/>
                <w:iCs/>
                <w:sz w:val="22"/>
                <w:szCs w:val="22"/>
              </w:rPr>
            </w:pPr>
            <w:r w:rsidRPr="005915C9">
              <w:rPr>
                <w:rFonts w:asciiTheme="minorHAnsi" w:hAnsiTheme="minorHAnsi" w:cstheme="minorHAnsi"/>
                <w:i/>
                <w:iCs/>
                <w:sz w:val="22"/>
                <w:szCs w:val="22"/>
              </w:rPr>
              <w:t xml:space="preserve">Council </w:t>
            </w:r>
            <w:hyperlink r:id="rId8" w:history="1">
              <w:r w:rsidRPr="005915C9">
                <w:rPr>
                  <w:rStyle w:val="Hyperlink"/>
                  <w:rFonts w:asciiTheme="minorHAnsi" w:hAnsiTheme="minorHAnsi" w:cstheme="minorHAnsi"/>
                  <w:i/>
                  <w:iCs/>
                  <w:sz w:val="22"/>
                  <w:szCs w:val="22"/>
                </w:rPr>
                <w:t>Resolution 1379</w:t>
              </w:r>
            </w:hyperlink>
            <w:r w:rsidRPr="005915C9">
              <w:rPr>
                <w:rFonts w:asciiTheme="minorHAnsi" w:hAnsiTheme="minorHAnsi" w:cstheme="minorHAnsi"/>
                <w:i/>
                <w:iCs/>
                <w:sz w:val="22"/>
                <w:szCs w:val="22"/>
              </w:rPr>
              <w:t xml:space="preserve"> (Terms of Reference)</w:t>
            </w:r>
            <w:r w:rsidR="001648F9" w:rsidRPr="005915C9">
              <w:rPr>
                <w:rFonts w:asciiTheme="minorHAnsi" w:hAnsiTheme="minorHAnsi" w:cstheme="minorHAnsi"/>
                <w:i/>
                <w:iCs/>
                <w:sz w:val="22"/>
                <w:szCs w:val="22"/>
              </w:rPr>
              <w:t xml:space="preserve"> </w:t>
            </w:r>
          </w:p>
          <w:p w14:paraId="110D9021" w14:textId="77777777" w:rsidR="00112DDE" w:rsidRDefault="005915C9" w:rsidP="00D14787">
            <w:pPr>
              <w:spacing w:after="160"/>
            </w:pPr>
            <w:hyperlink r:id="rId9" w:history="1">
              <w:r w:rsidR="008E2868" w:rsidRPr="005915C9">
                <w:rPr>
                  <w:rStyle w:val="Hyperlink"/>
                  <w:rFonts w:asciiTheme="minorHAnsi" w:hAnsiTheme="minorHAnsi" w:cstheme="minorHAnsi"/>
                  <w:i/>
                  <w:iCs/>
                  <w:sz w:val="22"/>
                  <w:szCs w:val="22"/>
                </w:rPr>
                <w:t xml:space="preserve"> EG-ITRs-1/2: Contribution from Hill: Overall considerations</w:t>
              </w:r>
            </w:hyperlink>
          </w:p>
        </w:tc>
      </w:tr>
    </w:tbl>
    <w:p w14:paraId="69402244" w14:textId="77777777" w:rsidR="00E227F3" w:rsidRPr="005364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C6F807D" w14:textId="77777777" w:rsidR="0090147A" w:rsidRPr="005364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3640F">
        <w:br w:type="page"/>
      </w:r>
    </w:p>
    <w:bookmarkEnd w:id="5"/>
    <w:bookmarkEnd w:id="10"/>
    <w:p w14:paraId="3CA129EE" w14:textId="77777777" w:rsidR="00346962" w:rsidRPr="0053640F" w:rsidRDefault="00346962" w:rsidP="00346962">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Pr>
          <w:rFonts w:asciiTheme="minorHAnsi" w:hAnsiTheme="minorHAnsi" w:cstheme="minorHAnsi"/>
          <w:b/>
        </w:rPr>
        <w:lastRenderedPageBreak/>
        <w:t>Summary</w:t>
      </w:r>
    </w:p>
    <w:p w14:paraId="0DD2663B" w14:textId="77777777" w:rsidR="00346962" w:rsidRPr="00346962" w:rsidRDefault="0034696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Pr>
          <w:rFonts w:asciiTheme="minorHAnsi" w:hAnsiTheme="minorHAnsi" w:cstheme="minorHAnsi"/>
        </w:rPr>
        <w:t xml:space="preserve">This contribution proposes that – pursuant to the collaboration agreement between ITU and WTO – a liaison statement be sent to WTO inviting collaboration with respect to matters of common interest, in particular </w:t>
      </w:r>
      <w:r>
        <w:t>on technical and regulatory and development matters concerning telecommunications that have arisen in the context of discussions on binding treaty-level provisions that are taking place in the WTO Joint Statement Initiative on e-commerce, such as security and spam. The ITU’s technical and regulatory expertise could assist participants in WTO meeting to ensure that the actual language in WTO agreements is consistent with the intended goals of the agreements, and that the language does not have unintended side-effects (for example, of inadvertently permitting targeted advertising when the intent is to combat spam).</w:t>
      </w:r>
    </w:p>
    <w:p w14:paraId="5BA8A5F2" w14:textId="77777777" w:rsidR="00AF29E2"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sidRPr="0053640F">
        <w:rPr>
          <w:rFonts w:asciiTheme="minorHAnsi" w:hAnsiTheme="minorHAnsi" w:cstheme="minorHAnsi"/>
          <w:b/>
        </w:rPr>
        <w:t>Background</w:t>
      </w:r>
    </w:p>
    <w:p w14:paraId="6FF31DD0" w14:textId="77777777" w:rsidR="0082723D" w:rsidRDefault="009A3498" w:rsidP="0053640F">
      <w:pPr>
        <w:tabs>
          <w:tab w:val="clear" w:pos="567"/>
          <w:tab w:val="clear" w:pos="1134"/>
          <w:tab w:val="clear" w:pos="1701"/>
          <w:tab w:val="clear" w:pos="2268"/>
          <w:tab w:val="clear" w:pos="2835"/>
        </w:tabs>
        <w:overflowPunct/>
        <w:autoSpaceDE/>
        <w:autoSpaceDN/>
        <w:adjustRightInd/>
        <w:textAlignment w:val="auto"/>
        <w:rPr>
          <w:rFonts w:cs="Calibri"/>
          <w:lang w:val="en-US"/>
        </w:rPr>
      </w:pPr>
      <w:r>
        <w:t xml:space="preserve">1. </w:t>
      </w:r>
      <w:r w:rsidR="0082723D">
        <w:t xml:space="preserve">Pursuant to its Terms of Reference, the EG-ITRs may consider, among others, </w:t>
      </w:r>
      <w:r w:rsidR="00FC3541" w:rsidRPr="00A73CD8">
        <w:rPr>
          <w:rFonts w:cs="Calibri"/>
          <w:lang w:val="en-US"/>
        </w:rPr>
        <w:t>the relevance of the ITRs which “consist of high-level guiding principles" in the current telecommunication/ICT environment.</w:t>
      </w:r>
    </w:p>
    <w:p w14:paraId="5CCB99CA" w14:textId="77777777" w:rsidR="009A611D" w:rsidRDefault="00FC3541" w:rsidP="00112DDE">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 xml:space="preserve">2. </w:t>
      </w:r>
      <w:r w:rsidR="00112DDE">
        <w:rPr>
          <w:rFonts w:cs="Calibri"/>
          <w:lang w:val="en-US"/>
        </w:rPr>
        <w:t>As noted in 1.</w:t>
      </w:r>
      <w:r>
        <w:rPr>
          <w:rFonts w:cs="Calibri"/>
          <w:lang w:val="en-US"/>
        </w:rPr>
        <w:t>13-</w:t>
      </w:r>
      <w:r w:rsidR="00112DDE">
        <w:rPr>
          <w:rFonts w:cs="Calibri"/>
          <w:lang w:val="en-US"/>
        </w:rPr>
        <w:t>1.1</w:t>
      </w:r>
      <w:r>
        <w:rPr>
          <w:rFonts w:cs="Calibri"/>
          <w:lang w:val="en-US"/>
        </w:rPr>
        <w:t>8; 1.23-1.27; and 2.1-11.3</w:t>
      </w:r>
      <w:r w:rsidR="00112DDE">
        <w:rPr>
          <w:rFonts w:cs="Calibri"/>
          <w:lang w:val="en-US"/>
        </w:rPr>
        <w:t xml:space="preserve"> of our contribution </w:t>
      </w:r>
      <w:hyperlink r:id="rId10" w:history="1">
        <w:r w:rsidR="00D14787">
          <w:rPr>
            <w:rStyle w:val="Hyperlink"/>
            <w:rFonts w:cs="Calibri"/>
            <w:lang w:val="en-US"/>
          </w:rPr>
          <w:t>EG-ITRs-1/2</w:t>
        </w:r>
      </w:hyperlink>
      <w:r w:rsidR="00112DDE">
        <w:rPr>
          <w:rFonts w:cs="Calibri"/>
          <w:lang w:val="en-US"/>
        </w:rPr>
        <w:t xml:space="preserve">, </w:t>
      </w:r>
      <w:r w:rsidR="006C2CD7">
        <w:rPr>
          <w:rFonts w:cs="Calibri"/>
          <w:lang w:val="en-US"/>
        </w:rPr>
        <w:t>there</w:t>
      </w:r>
      <w:r>
        <w:rPr>
          <w:rFonts w:cs="Calibri"/>
          <w:lang w:val="en-US"/>
        </w:rPr>
        <w:t xml:space="preserve"> appear to be numerous </w:t>
      </w:r>
      <w:r w:rsidRPr="00FC3541">
        <w:rPr>
          <w:rFonts w:cs="Calibri"/>
          <w:lang w:val="en-US"/>
        </w:rPr>
        <w:t>overlaps between work carried out in the ITU and trade-related proposals regarding e-commerce and telecommunications are being proposed for discussion in the context of the World Trade Organization (WTO) work on e-commerce</w:t>
      </w:r>
      <w:r w:rsidR="006C2CD7">
        <w:rPr>
          <w:rFonts w:cs="Calibri"/>
          <w:lang w:val="en-US"/>
        </w:rPr>
        <w:t>, including in particular work on</w:t>
      </w:r>
      <w:r w:rsidR="009A611D">
        <w:rPr>
          <w:rFonts w:cs="Calibri"/>
          <w:lang w:val="en-US"/>
        </w:rPr>
        <w:t>:</w:t>
      </w:r>
    </w:p>
    <w:p w14:paraId="09D7C383" w14:textId="77777777" w:rsid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r w:rsidRPr="009A611D">
        <w:rPr>
          <w:rFonts w:cs="Calibri"/>
          <w:lang w:val="en-US"/>
        </w:rPr>
        <w:t xml:space="preserve">allocation and use of frequencies and </w:t>
      </w:r>
      <w:proofErr w:type="gramStart"/>
      <w:r w:rsidRPr="009A611D">
        <w:rPr>
          <w:rFonts w:cs="Calibri"/>
          <w:lang w:val="en-US"/>
        </w:rPr>
        <w:t>numbers;</w:t>
      </w:r>
      <w:proofErr w:type="gramEnd"/>
      <w:r w:rsidRPr="009A611D">
        <w:rPr>
          <w:rFonts w:cs="Calibri"/>
          <w:lang w:val="en-US"/>
        </w:rPr>
        <w:t xml:space="preserve"> </w:t>
      </w:r>
    </w:p>
    <w:p w14:paraId="357425FF" w14:textId="77777777" w:rsid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r w:rsidRPr="009A611D">
        <w:rPr>
          <w:rFonts w:cs="Calibri"/>
          <w:lang w:val="en-US"/>
        </w:rPr>
        <w:t xml:space="preserve">access to infrastructure and </w:t>
      </w:r>
      <w:proofErr w:type="gramStart"/>
      <w:r w:rsidRPr="009A611D">
        <w:rPr>
          <w:rFonts w:cs="Calibri"/>
          <w:lang w:val="en-US"/>
        </w:rPr>
        <w:t>interconnection;</w:t>
      </w:r>
      <w:proofErr w:type="gramEnd"/>
      <w:r w:rsidRPr="009A611D">
        <w:rPr>
          <w:rFonts w:cs="Calibri"/>
          <w:lang w:val="en-US"/>
        </w:rPr>
        <w:t xml:space="preserve"> </w:t>
      </w:r>
    </w:p>
    <w:p w14:paraId="43E28453" w14:textId="77777777" w:rsid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proofErr w:type="gramStart"/>
      <w:r w:rsidRPr="009A611D">
        <w:rPr>
          <w:rFonts w:cs="Calibri"/>
          <w:lang w:val="en-US"/>
        </w:rPr>
        <w:t>security;</w:t>
      </w:r>
      <w:proofErr w:type="gramEnd"/>
      <w:r w:rsidRPr="009A611D">
        <w:rPr>
          <w:rFonts w:cs="Calibri"/>
          <w:lang w:val="en-US"/>
        </w:rPr>
        <w:t xml:space="preserve"> </w:t>
      </w:r>
    </w:p>
    <w:p w14:paraId="63FB3213" w14:textId="77777777" w:rsid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proofErr w:type="gramStart"/>
      <w:r w:rsidRPr="009A611D">
        <w:rPr>
          <w:rFonts w:cs="Calibri"/>
          <w:lang w:val="en-US"/>
        </w:rPr>
        <w:t>spam;</w:t>
      </w:r>
      <w:proofErr w:type="gramEnd"/>
      <w:r w:rsidRPr="009A611D">
        <w:rPr>
          <w:rFonts w:cs="Calibri"/>
          <w:lang w:val="en-US"/>
        </w:rPr>
        <w:t xml:space="preserve"> </w:t>
      </w:r>
    </w:p>
    <w:p w14:paraId="36BCFF82" w14:textId="77777777" w:rsid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r w:rsidRPr="009A611D">
        <w:rPr>
          <w:rFonts w:cs="Calibri"/>
          <w:lang w:val="en-US"/>
        </w:rPr>
        <w:t xml:space="preserve">open source </w:t>
      </w:r>
      <w:proofErr w:type="gramStart"/>
      <w:r w:rsidRPr="009A611D">
        <w:rPr>
          <w:rFonts w:cs="Calibri"/>
          <w:lang w:val="en-US"/>
        </w:rPr>
        <w:t>software;</w:t>
      </w:r>
      <w:proofErr w:type="gramEnd"/>
      <w:r w:rsidRPr="009A611D">
        <w:rPr>
          <w:rFonts w:cs="Calibri"/>
          <w:lang w:val="en-US"/>
        </w:rPr>
        <w:t xml:space="preserve"> </w:t>
      </w:r>
    </w:p>
    <w:p w14:paraId="0BA2FAB1" w14:textId="77777777" w:rsid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r w:rsidRPr="009A611D">
        <w:rPr>
          <w:rFonts w:cs="Calibri"/>
          <w:lang w:val="en-US"/>
        </w:rPr>
        <w:t xml:space="preserve">universal service and net </w:t>
      </w:r>
      <w:proofErr w:type="gramStart"/>
      <w:r w:rsidRPr="009A611D">
        <w:rPr>
          <w:rFonts w:cs="Calibri"/>
          <w:lang w:val="en-US"/>
        </w:rPr>
        <w:t>neutrality;</w:t>
      </w:r>
      <w:proofErr w:type="gramEnd"/>
      <w:r w:rsidRPr="009A611D">
        <w:rPr>
          <w:rFonts w:cs="Calibri"/>
          <w:lang w:val="en-US"/>
        </w:rPr>
        <w:t xml:space="preserve"> </w:t>
      </w:r>
    </w:p>
    <w:p w14:paraId="06781153" w14:textId="77777777" w:rsid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r w:rsidRPr="009A611D">
        <w:rPr>
          <w:rFonts w:cs="Calibri"/>
          <w:lang w:val="en-US"/>
        </w:rPr>
        <w:t xml:space="preserve">regulatory body and </w:t>
      </w:r>
      <w:proofErr w:type="gramStart"/>
      <w:r w:rsidRPr="009A611D">
        <w:rPr>
          <w:rFonts w:cs="Calibri"/>
          <w:lang w:val="en-US"/>
        </w:rPr>
        <w:t>licensing;</w:t>
      </w:r>
      <w:proofErr w:type="gramEnd"/>
      <w:r w:rsidRPr="009A611D">
        <w:rPr>
          <w:rFonts w:cs="Calibri"/>
          <w:lang w:val="en-US"/>
        </w:rPr>
        <w:t xml:space="preserve"> </w:t>
      </w:r>
    </w:p>
    <w:p w14:paraId="473D5965" w14:textId="77777777" w:rsidR="00112DDE" w:rsidRPr="009A611D" w:rsidRDefault="006C2CD7" w:rsidP="009A611D">
      <w:pPr>
        <w:pStyle w:val="ListParagraph"/>
        <w:numPr>
          <w:ilvl w:val="0"/>
          <w:numId w:val="12"/>
        </w:numPr>
        <w:tabs>
          <w:tab w:val="clear" w:pos="567"/>
          <w:tab w:val="clear" w:pos="1134"/>
          <w:tab w:val="clear" w:pos="1701"/>
          <w:tab w:val="clear" w:pos="2268"/>
          <w:tab w:val="clear" w:pos="2835"/>
        </w:tabs>
        <w:overflowPunct/>
        <w:autoSpaceDE/>
        <w:autoSpaceDN/>
        <w:adjustRightInd/>
        <w:textAlignment w:val="auto"/>
        <w:rPr>
          <w:rFonts w:cs="Calibri"/>
          <w:lang w:val="en-US"/>
        </w:rPr>
      </w:pPr>
      <w:r w:rsidRPr="009A611D">
        <w:rPr>
          <w:rFonts w:cs="Calibri"/>
          <w:lang w:val="en-US"/>
        </w:rPr>
        <w:t>recourse.</w:t>
      </w:r>
    </w:p>
    <w:p w14:paraId="179B5308" w14:textId="77777777" w:rsidR="00346962" w:rsidRDefault="00346962" w:rsidP="00112DDE">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 xml:space="preserve">3. Thus it appears appropriate to ensure that the ITRs remain relevant </w:t>
      </w:r>
      <w:proofErr w:type="gramStart"/>
      <w:r>
        <w:rPr>
          <w:rFonts w:cs="Calibri"/>
          <w:lang w:val="en-US"/>
        </w:rPr>
        <w:t>in light of</w:t>
      </w:r>
      <w:proofErr w:type="gramEnd"/>
      <w:r>
        <w:rPr>
          <w:rFonts w:cs="Calibri"/>
          <w:lang w:val="en-US"/>
        </w:rPr>
        <w:t xml:space="preserve"> what may be agreed in WTO, since WTO agreements may affect the current telecommunication/ICT environment.</w:t>
      </w:r>
    </w:p>
    <w:p w14:paraId="3CCD1D7E" w14:textId="77777777" w:rsidR="006C2CD7" w:rsidRDefault="00346962" w:rsidP="00112DDE">
      <w:pPr>
        <w:tabs>
          <w:tab w:val="clear" w:pos="567"/>
          <w:tab w:val="clear" w:pos="1134"/>
          <w:tab w:val="clear" w:pos="1701"/>
          <w:tab w:val="clear" w:pos="2268"/>
          <w:tab w:val="clear" w:pos="2835"/>
        </w:tabs>
        <w:overflowPunct/>
        <w:autoSpaceDE/>
        <w:autoSpaceDN/>
        <w:adjustRightInd/>
        <w:textAlignment w:val="auto"/>
      </w:pPr>
      <w:r>
        <w:rPr>
          <w:rFonts w:cs="Calibri"/>
          <w:lang w:val="en-US"/>
        </w:rPr>
        <w:t>4</w:t>
      </w:r>
      <w:r w:rsidR="006C2CD7">
        <w:rPr>
          <w:rFonts w:cs="Calibri"/>
          <w:lang w:val="en-US"/>
        </w:rPr>
        <w:t>. The GATS Annex on Telecommunications mandates</w:t>
      </w:r>
      <w:r w:rsidR="00EA0CE2">
        <w:rPr>
          <w:rFonts w:cs="Calibri"/>
          <w:lang w:val="en-US"/>
        </w:rPr>
        <w:t>, in its Article 6,</w:t>
      </w:r>
      <w:r w:rsidR="006C2CD7">
        <w:rPr>
          <w:rFonts w:cs="Calibri"/>
          <w:lang w:val="en-US"/>
        </w:rPr>
        <w:t xml:space="preserve"> collaboration between </w:t>
      </w:r>
      <w:r w:rsidR="00EA0CE2">
        <w:rPr>
          <w:rFonts w:cs="Calibri"/>
          <w:lang w:val="en-US"/>
        </w:rPr>
        <w:t>the World Trade Organization (</w:t>
      </w:r>
      <w:r w:rsidR="006C2CD7">
        <w:rPr>
          <w:rFonts w:cs="Calibri"/>
          <w:lang w:val="en-US"/>
        </w:rPr>
        <w:t>WTO</w:t>
      </w:r>
      <w:r w:rsidR="00EA0CE2">
        <w:rPr>
          <w:rFonts w:cs="Calibri"/>
          <w:lang w:val="en-US"/>
        </w:rPr>
        <w:t>)</w:t>
      </w:r>
      <w:r w:rsidR="006C2CD7">
        <w:rPr>
          <w:rFonts w:cs="Calibri"/>
          <w:lang w:val="en-US"/>
        </w:rPr>
        <w:t xml:space="preserve"> and ITU</w:t>
      </w:r>
      <w:r w:rsidR="00EA0CE2">
        <w:rPr>
          <w:rStyle w:val="FootnoteReference"/>
          <w:rFonts w:cs="Calibri"/>
          <w:lang w:val="en-US"/>
        </w:rPr>
        <w:footnoteReference w:id="1"/>
      </w:r>
      <w:r w:rsidR="00EA0CE2">
        <w:rPr>
          <w:rFonts w:cs="Calibri"/>
          <w:lang w:val="en-US"/>
        </w:rPr>
        <w:t>. Pursuant to that mandate, the two organizations have concluded a collaboration agreement</w:t>
      </w:r>
      <w:r w:rsidR="00EA0CE2">
        <w:rPr>
          <w:rStyle w:val="FootnoteReference"/>
          <w:rFonts w:cs="Calibri"/>
          <w:lang w:val="en-US"/>
        </w:rPr>
        <w:footnoteReference w:id="2"/>
      </w:r>
      <w:r w:rsidR="00EA0CE2">
        <w:rPr>
          <w:rFonts w:cs="Calibri"/>
          <w:lang w:val="en-US"/>
        </w:rPr>
        <w:t xml:space="preserve">, pursuant to which </w:t>
      </w:r>
      <w:r w:rsidR="00EA0CE2">
        <w:t xml:space="preserve">the two organizations participate as observers in </w:t>
      </w:r>
      <w:proofErr w:type="spellStart"/>
      <w:r w:rsidR="00EA0CE2">
        <w:t>each others'</w:t>
      </w:r>
      <w:proofErr w:type="spellEnd"/>
      <w:r w:rsidR="00EA0CE2">
        <w:t xml:space="preserve"> meetings and collaborate at the staff level on such activities as research, publications, </w:t>
      </w:r>
      <w:proofErr w:type="gramStart"/>
      <w:r w:rsidR="00EA0CE2">
        <w:t>conferences</w:t>
      </w:r>
      <w:proofErr w:type="gramEnd"/>
      <w:r w:rsidR="00EA0CE2">
        <w:t xml:space="preserve"> and workshops. For example, during 2006 the WTO Secretariat provided technical and drafting comments on portions of an ICT Regulation Toolkit being prepared by the ITU.</w:t>
      </w:r>
    </w:p>
    <w:p w14:paraId="23F13E78" w14:textId="77777777" w:rsidR="00F32C97" w:rsidRDefault="00346962" w:rsidP="00346962">
      <w:pPr>
        <w:keepNext/>
        <w:tabs>
          <w:tab w:val="clear" w:pos="567"/>
          <w:tab w:val="clear" w:pos="1134"/>
          <w:tab w:val="clear" w:pos="1701"/>
          <w:tab w:val="clear" w:pos="2268"/>
          <w:tab w:val="clear" w:pos="2835"/>
        </w:tabs>
        <w:overflowPunct/>
        <w:autoSpaceDE/>
        <w:autoSpaceDN/>
        <w:adjustRightInd/>
        <w:textAlignment w:val="auto"/>
      </w:pPr>
      <w:r>
        <w:lastRenderedPageBreak/>
        <w:t>5</w:t>
      </w:r>
      <w:r w:rsidR="00F32C97">
        <w:t>. The collaboration agreement is attached to this contribution. It provides in particular:</w:t>
      </w:r>
    </w:p>
    <w:p w14:paraId="78F6574F" w14:textId="77777777" w:rsidR="00F32C97" w:rsidRDefault="00F32C97" w:rsidP="00F32C97">
      <w:pPr>
        <w:pStyle w:val="ListParagraph"/>
        <w:numPr>
          <w:ilvl w:val="0"/>
          <w:numId w:val="11"/>
        </w:numPr>
        <w:tabs>
          <w:tab w:val="clear" w:pos="567"/>
          <w:tab w:val="clear" w:pos="1134"/>
          <w:tab w:val="clear" w:pos="1701"/>
          <w:tab w:val="clear" w:pos="2268"/>
          <w:tab w:val="clear" w:pos="2835"/>
        </w:tabs>
        <w:overflowPunct/>
        <w:autoSpaceDE/>
        <w:autoSpaceDN/>
        <w:adjustRightInd/>
        <w:textAlignment w:val="auto"/>
      </w:pPr>
      <w:r>
        <w:t>The ITU and the WTO shall cooperate in the discharge of their respective mandates in accordance with the provisions of this Agreement.</w:t>
      </w:r>
    </w:p>
    <w:p w14:paraId="1D806A1D" w14:textId="77777777" w:rsidR="00F32C97" w:rsidRDefault="00F32C97" w:rsidP="00F32C97">
      <w:pPr>
        <w:pStyle w:val="ListParagraph"/>
        <w:numPr>
          <w:ilvl w:val="0"/>
          <w:numId w:val="11"/>
        </w:numPr>
        <w:tabs>
          <w:tab w:val="clear" w:pos="567"/>
          <w:tab w:val="clear" w:pos="1134"/>
          <w:tab w:val="clear" w:pos="1701"/>
          <w:tab w:val="clear" w:pos="2268"/>
          <w:tab w:val="clear" w:pos="2835"/>
        </w:tabs>
        <w:overflowPunct/>
        <w:autoSpaceDE/>
        <w:autoSpaceDN/>
        <w:adjustRightInd/>
        <w:textAlignment w:val="auto"/>
      </w:pPr>
      <w:r>
        <w:t>The ITU and the WTO shall identify areas of common interest within their respective mandates, with particular emphasis on technical, regulatory and development matters concerning trade in telecommunications, in which cooperation may foster the purposes of both organizations.</w:t>
      </w:r>
    </w:p>
    <w:p w14:paraId="62738A1D" w14:textId="77777777" w:rsidR="00F32C97" w:rsidRDefault="00F32C97" w:rsidP="00F32C97">
      <w:pPr>
        <w:pStyle w:val="ListParagraph"/>
        <w:numPr>
          <w:ilvl w:val="0"/>
          <w:numId w:val="11"/>
        </w:numPr>
        <w:tabs>
          <w:tab w:val="clear" w:pos="567"/>
          <w:tab w:val="clear" w:pos="1134"/>
          <w:tab w:val="clear" w:pos="1701"/>
          <w:tab w:val="clear" w:pos="2268"/>
          <w:tab w:val="clear" w:pos="2835"/>
        </w:tabs>
        <w:overflowPunct/>
        <w:autoSpaceDE/>
        <w:autoSpaceDN/>
        <w:adjustRightInd/>
        <w:textAlignment w:val="auto"/>
      </w:pPr>
      <w:r>
        <w:t xml:space="preserve">The ITU Secretariat shall also be invited as an Observer to meetings of other relevant WTO bodies (excluding the Committee on Budget, Finance and Administration, the Dispute Settlement Body, the Appellate </w:t>
      </w:r>
      <w:proofErr w:type="gramStart"/>
      <w:r>
        <w:t>Body</w:t>
      </w:r>
      <w:proofErr w:type="gramEnd"/>
      <w:r>
        <w:t xml:space="preserve"> and dispute settlement panels) where that body considers that matters of common interest to both organizations will be under discussion.</w:t>
      </w:r>
    </w:p>
    <w:p w14:paraId="0586617E" w14:textId="77777777" w:rsidR="00F32C97" w:rsidRDefault="00F32C97" w:rsidP="00F32C97">
      <w:pPr>
        <w:pStyle w:val="ListParagraph"/>
        <w:numPr>
          <w:ilvl w:val="0"/>
          <w:numId w:val="11"/>
        </w:numPr>
        <w:tabs>
          <w:tab w:val="clear" w:pos="567"/>
          <w:tab w:val="clear" w:pos="1134"/>
          <w:tab w:val="clear" w:pos="1701"/>
          <w:tab w:val="clear" w:pos="2268"/>
          <w:tab w:val="clear" w:pos="2835"/>
        </w:tabs>
        <w:overflowPunct/>
        <w:autoSpaceDE/>
        <w:autoSpaceDN/>
        <w:adjustRightInd/>
        <w:textAlignment w:val="auto"/>
      </w:pPr>
      <w:r>
        <w:t>...</w:t>
      </w:r>
    </w:p>
    <w:p w14:paraId="0F56C1EB" w14:textId="77777777" w:rsidR="00F32C97" w:rsidRDefault="00F32C97" w:rsidP="00F32C97">
      <w:pPr>
        <w:pStyle w:val="ListParagraph"/>
        <w:numPr>
          <w:ilvl w:val="0"/>
          <w:numId w:val="11"/>
        </w:numPr>
        <w:tabs>
          <w:tab w:val="clear" w:pos="567"/>
          <w:tab w:val="clear" w:pos="1134"/>
          <w:tab w:val="clear" w:pos="1701"/>
          <w:tab w:val="clear" w:pos="2268"/>
          <w:tab w:val="clear" w:pos="2835"/>
        </w:tabs>
        <w:overflowPunct/>
        <w:autoSpaceDE/>
        <w:autoSpaceDN/>
        <w:adjustRightInd/>
        <w:textAlignment w:val="auto"/>
      </w:pPr>
      <w:r>
        <w:t>The WTO Secretariat shall make available to the ITU Secretariat the agenda of any WTO</w:t>
      </w:r>
      <w:r w:rsidR="009224F5">
        <w:t xml:space="preserve"> </w:t>
      </w:r>
      <w:r>
        <w:t>meeting to which it is an observer at the time of its circulation in the WTO, and for other meetings</w:t>
      </w:r>
      <w:r w:rsidR="009224F5">
        <w:t xml:space="preserve"> </w:t>
      </w:r>
      <w:r>
        <w:t>(other than those of the Committee on Budget, Finance and Administration, the Dispute Settlement</w:t>
      </w:r>
      <w:r w:rsidR="009224F5">
        <w:t xml:space="preserve"> </w:t>
      </w:r>
      <w:r>
        <w:t>Body, the Appellate Body and dispute settlement panels) if the agenda includes a telecommunications</w:t>
      </w:r>
      <w:r w:rsidR="009224F5">
        <w:t xml:space="preserve"> </w:t>
      </w:r>
      <w:r>
        <w:t>matter that may be of interest to the ITU.</w:t>
      </w:r>
      <w:r w:rsidR="009224F5">
        <w:br/>
        <w:t>...</w:t>
      </w:r>
    </w:p>
    <w:p w14:paraId="0E5A0F1E" w14:textId="77777777" w:rsidR="009224F5" w:rsidRDefault="00346962" w:rsidP="009224F5">
      <w:pPr>
        <w:keepNext/>
        <w:tabs>
          <w:tab w:val="clear" w:pos="567"/>
          <w:tab w:val="clear" w:pos="1134"/>
          <w:tab w:val="clear" w:pos="1701"/>
          <w:tab w:val="clear" w:pos="2268"/>
          <w:tab w:val="clear" w:pos="2835"/>
        </w:tabs>
        <w:overflowPunct/>
        <w:autoSpaceDE/>
        <w:autoSpaceDN/>
        <w:adjustRightInd/>
        <w:textAlignment w:val="auto"/>
      </w:pPr>
      <w:r>
        <w:t>6</w:t>
      </w:r>
      <w:r w:rsidR="009224F5">
        <w:t>. Pursuant to Annex of the Tunis Agenda, ITU is identified as a possible moderator/facilitator of the following action lines:</w:t>
      </w:r>
    </w:p>
    <w:p w14:paraId="3002B4F6" w14:textId="77777777" w:rsidR="009224F5" w:rsidRDefault="009224F5" w:rsidP="009224F5">
      <w:pPr>
        <w:tabs>
          <w:tab w:val="clear" w:pos="567"/>
          <w:tab w:val="clear" w:pos="1134"/>
          <w:tab w:val="clear" w:pos="1701"/>
          <w:tab w:val="clear" w:pos="2268"/>
          <w:tab w:val="clear" w:pos="2835"/>
        </w:tabs>
        <w:overflowPunct/>
        <w:autoSpaceDE/>
        <w:autoSpaceDN/>
        <w:adjustRightInd/>
        <w:spacing w:before="0"/>
        <w:ind w:left="720"/>
        <w:textAlignment w:val="auto"/>
      </w:pPr>
      <w:r>
        <w:rPr>
          <w:rFonts w:ascii="Verdana" w:hAnsi="Verdana"/>
          <w:sz w:val="20"/>
        </w:rPr>
        <w:t>С</w:t>
      </w:r>
      <w:r w:rsidRPr="009224F5">
        <w:rPr>
          <w:rFonts w:ascii="Verdana" w:hAnsi="Verdana"/>
          <w:sz w:val="20"/>
          <w:lang w:val="fr-CH"/>
        </w:rPr>
        <w:t>2. Information and communication infrastructure</w:t>
      </w:r>
      <w:r w:rsidRPr="009224F5">
        <w:rPr>
          <w:rFonts w:ascii="Verdana" w:hAnsi="Verdana"/>
          <w:sz w:val="20"/>
          <w:lang w:val="fr-CH"/>
        </w:rPr>
        <w:br/>
        <w:t xml:space="preserve">C5. </w:t>
      </w:r>
      <w:r>
        <w:rPr>
          <w:rFonts w:ascii="Verdana" w:hAnsi="Verdana"/>
          <w:sz w:val="20"/>
        </w:rPr>
        <w:t>Building confidence and security in the use of ICTs</w:t>
      </w:r>
    </w:p>
    <w:p w14:paraId="72E50AA5" w14:textId="77777777" w:rsidR="009224F5" w:rsidRDefault="00346962" w:rsidP="009224F5">
      <w:pPr>
        <w:tabs>
          <w:tab w:val="clear" w:pos="567"/>
          <w:tab w:val="clear" w:pos="1134"/>
          <w:tab w:val="clear" w:pos="1701"/>
          <w:tab w:val="clear" w:pos="2268"/>
          <w:tab w:val="clear" w:pos="2835"/>
        </w:tabs>
        <w:overflowPunct/>
        <w:autoSpaceDE/>
        <w:autoSpaceDN/>
        <w:adjustRightInd/>
        <w:textAlignment w:val="auto"/>
        <w:rPr>
          <w:rFonts w:cs="Calibri"/>
          <w:lang w:val="en-US"/>
        </w:rPr>
      </w:pPr>
      <w:r>
        <w:t>7</w:t>
      </w:r>
      <w:r w:rsidR="009224F5">
        <w:t xml:space="preserve">. There are numerous activities and studies in the ITU regarding those action lines, </w:t>
      </w:r>
      <w:proofErr w:type="gramStart"/>
      <w:r w:rsidR="009224F5">
        <w:t>and also</w:t>
      </w:r>
      <w:proofErr w:type="gramEnd"/>
      <w:r w:rsidR="009224F5">
        <w:t xml:space="preserve"> regarding </w:t>
      </w:r>
      <w:r w:rsidR="009224F5">
        <w:rPr>
          <w:rFonts w:cs="Calibri"/>
          <w:lang w:val="en-US"/>
        </w:rPr>
        <w:t>allocation and use of frequencies and numbers; spam; universal service and net neutrality; regulatory body and licensing.</w:t>
      </w:r>
    </w:p>
    <w:p w14:paraId="57D64E81" w14:textId="77777777" w:rsidR="009224F5" w:rsidRDefault="00346962" w:rsidP="009224F5">
      <w:pPr>
        <w:tabs>
          <w:tab w:val="clear" w:pos="567"/>
          <w:tab w:val="clear" w:pos="1134"/>
          <w:tab w:val="clear" w:pos="1701"/>
          <w:tab w:val="clear" w:pos="2268"/>
          <w:tab w:val="clear" w:pos="2835"/>
        </w:tabs>
        <w:overflowPunct/>
        <w:autoSpaceDE/>
        <w:autoSpaceDN/>
        <w:adjustRightInd/>
        <w:textAlignment w:val="auto"/>
      </w:pPr>
      <w:r>
        <w:rPr>
          <w:rFonts w:cs="Calibri"/>
          <w:lang w:val="en-US"/>
        </w:rPr>
        <w:t>8</w:t>
      </w:r>
      <w:r w:rsidR="009224F5">
        <w:rPr>
          <w:rFonts w:cs="Calibri"/>
          <w:lang w:val="en-US"/>
        </w:rPr>
        <w:t xml:space="preserve">. </w:t>
      </w:r>
      <w:proofErr w:type="gramStart"/>
      <w:r w:rsidR="009224F5">
        <w:rPr>
          <w:rFonts w:cs="Calibri"/>
          <w:lang w:val="en-US"/>
        </w:rPr>
        <w:t>In light of</w:t>
      </w:r>
      <w:proofErr w:type="gramEnd"/>
      <w:r w:rsidR="009224F5">
        <w:rPr>
          <w:rFonts w:cs="Calibri"/>
          <w:lang w:val="en-US"/>
        </w:rPr>
        <w:t xml:space="preserve"> the above, and in order to ensure cooperation in accordance with Article 1 of the cited Agreement between ITU and WTO, it is proposed that the Secretary-General send a liaison to WTO. A draft is proposed in the Annex to this contribution.</w:t>
      </w:r>
    </w:p>
    <w:p w14:paraId="538EA0BA" w14:textId="77777777" w:rsidR="00F32C97" w:rsidRDefault="00F32C97" w:rsidP="00F32C97">
      <w:pPr>
        <w:tabs>
          <w:tab w:val="clear" w:pos="567"/>
          <w:tab w:val="clear" w:pos="1134"/>
          <w:tab w:val="clear" w:pos="1701"/>
          <w:tab w:val="clear" w:pos="2268"/>
          <w:tab w:val="clear" w:pos="2835"/>
        </w:tabs>
        <w:overflowPunct/>
        <w:autoSpaceDE/>
        <w:autoSpaceDN/>
        <w:adjustRightInd/>
        <w:textAlignment w:val="auto"/>
      </w:pPr>
      <w:r w:rsidRPr="00F32C97">
        <w:rPr>
          <w:b/>
        </w:rPr>
        <w:t>Attachment:</w:t>
      </w:r>
      <w:r>
        <w:t xml:space="preserve"> Agreement between the International Telecommunication Union and the World Trade Organization</w:t>
      </w:r>
    </w:p>
    <w:p w14:paraId="21B8CEB2" w14:textId="77777777" w:rsidR="009224F5" w:rsidRDefault="009224F5">
      <w:pPr>
        <w:tabs>
          <w:tab w:val="clear" w:pos="567"/>
          <w:tab w:val="clear" w:pos="1134"/>
          <w:tab w:val="clear" w:pos="1701"/>
          <w:tab w:val="clear" w:pos="2268"/>
          <w:tab w:val="clear" w:pos="2835"/>
        </w:tabs>
        <w:overflowPunct/>
        <w:autoSpaceDE/>
        <w:autoSpaceDN/>
        <w:adjustRightInd/>
        <w:spacing w:before="0"/>
        <w:textAlignment w:val="auto"/>
      </w:pPr>
      <w:r>
        <w:br w:type="page"/>
      </w:r>
    </w:p>
    <w:p w14:paraId="49DE554F" w14:textId="77777777" w:rsidR="009224F5" w:rsidRPr="009224F5" w:rsidRDefault="009224F5" w:rsidP="009224F5">
      <w:pPr>
        <w:tabs>
          <w:tab w:val="clear" w:pos="567"/>
          <w:tab w:val="clear" w:pos="1134"/>
          <w:tab w:val="clear" w:pos="1701"/>
          <w:tab w:val="clear" w:pos="2268"/>
          <w:tab w:val="clear" w:pos="2835"/>
        </w:tabs>
        <w:overflowPunct/>
        <w:autoSpaceDE/>
        <w:autoSpaceDN/>
        <w:adjustRightInd/>
        <w:jc w:val="center"/>
        <w:textAlignment w:val="auto"/>
        <w:rPr>
          <w:b/>
        </w:rPr>
      </w:pPr>
      <w:r w:rsidRPr="009224F5">
        <w:rPr>
          <w:b/>
        </w:rPr>
        <w:lastRenderedPageBreak/>
        <w:t>Annex to</w:t>
      </w:r>
      <w:r w:rsidRPr="009224F5">
        <w:rPr>
          <w:b/>
        </w:rPr>
        <w:br/>
        <w:t>Liaising with WTO</w:t>
      </w:r>
    </w:p>
    <w:p w14:paraId="717B9EF3" w14:textId="77777777" w:rsidR="009224F5" w:rsidRDefault="009224F5" w:rsidP="00F32C97">
      <w:pPr>
        <w:tabs>
          <w:tab w:val="clear" w:pos="567"/>
          <w:tab w:val="clear" w:pos="1134"/>
          <w:tab w:val="clear" w:pos="1701"/>
          <w:tab w:val="clear" w:pos="2268"/>
          <w:tab w:val="clear" w:pos="2835"/>
        </w:tabs>
        <w:overflowPunct/>
        <w:autoSpaceDE/>
        <w:autoSpaceDN/>
        <w:adjustRightInd/>
        <w:textAlignment w:val="auto"/>
      </w:pPr>
      <w:r>
        <w:t>From: Secretary-General, ITU</w:t>
      </w:r>
    </w:p>
    <w:p w14:paraId="2E8DB5A8" w14:textId="77777777" w:rsidR="009224F5" w:rsidRDefault="009224F5" w:rsidP="00F32C97">
      <w:pPr>
        <w:tabs>
          <w:tab w:val="clear" w:pos="567"/>
          <w:tab w:val="clear" w:pos="1134"/>
          <w:tab w:val="clear" w:pos="1701"/>
          <w:tab w:val="clear" w:pos="2268"/>
          <w:tab w:val="clear" w:pos="2835"/>
        </w:tabs>
        <w:overflowPunct/>
        <w:autoSpaceDE/>
        <w:autoSpaceDN/>
        <w:adjustRightInd/>
        <w:textAlignment w:val="auto"/>
      </w:pPr>
      <w:r>
        <w:t>To: Director-General, WTO</w:t>
      </w:r>
    </w:p>
    <w:p w14:paraId="0D7EBEBC" w14:textId="77777777" w:rsidR="00F93094" w:rsidRDefault="00F93094" w:rsidP="00F32C97">
      <w:pPr>
        <w:tabs>
          <w:tab w:val="clear" w:pos="567"/>
          <w:tab w:val="clear" w:pos="1134"/>
          <w:tab w:val="clear" w:pos="1701"/>
          <w:tab w:val="clear" w:pos="2268"/>
          <w:tab w:val="clear" w:pos="2835"/>
        </w:tabs>
        <w:overflowPunct/>
        <w:autoSpaceDE/>
        <w:autoSpaceDN/>
        <w:adjustRightInd/>
        <w:textAlignment w:val="auto"/>
      </w:pPr>
      <w:r>
        <w:t>Subject: Collaboration between WTO and ITU</w:t>
      </w:r>
    </w:p>
    <w:p w14:paraId="5267D776" w14:textId="77777777" w:rsidR="009224F5" w:rsidRDefault="00FD1071" w:rsidP="00F32C97">
      <w:pPr>
        <w:tabs>
          <w:tab w:val="clear" w:pos="567"/>
          <w:tab w:val="clear" w:pos="1134"/>
          <w:tab w:val="clear" w:pos="1701"/>
          <w:tab w:val="clear" w:pos="2268"/>
          <w:tab w:val="clear" w:pos="2835"/>
        </w:tabs>
        <w:overflowPunct/>
        <w:autoSpaceDE/>
        <w:autoSpaceDN/>
        <w:adjustRightInd/>
        <w:textAlignment w:val="auto"/>
      </w:pPr>
      <w:r>
        <w:rPr>
          <w:rFonts w:cs="Calibri"/>
          <w:lang w:val="en-US"/>
        </w:rPr>
        <w:t>The GATS Annex on Telecommunications mandates, in its Article 6, collaboration between the World Trade Organization (WTO) and ITU</w:t>
      </w:r>
      <w:r>
        <w:rPr>
          <w:rStyle w:val="FootnoteReference"/>
          <w:rFonts w:cs="Calibri"/>
          <w:lang w:val="en-US"/>
        </w:rPr>
        <w:footnoteReference w:id="3"/>
      </w:r>
      <w:r>
        <w:rPr>
          <w:rFonts w:cs="Calibri"/>
          <w:lang w:val="en-US"/>
        </w:rPr>
        <w:t>. Pursuant to that mandate, the two organizations have concluded a collaboration agreement</w:t>
      </w:r>
      <w:r>
        <w:rPr>
          <w:rStyle w:val="FootnoteReference"/>
          <w:rFonts w:cs="Calibri"/>
          <w:lang w:val="en-US"/>
        </w:rPr>
        <w:footnoteReference w:id="4"/>
      </w:r>
      <w:r>
        <w:rPr>
          <w:rFonts w:cs="Calibri"/>
          <w:lang w:val="en-US"/>
        </w:rPr>
        <w:t xml:space="preserve">, pursuant to which </w:t>
      </w:r>
      <w:r>
        <w:t xml:space="preserve">the two organizations participate as observers in </w:t>
      </w:r>
      <w:proofErr w:type="spellStart"/>
      <w:r>
        <w:t>each others</w:t>
      </w:r>
      <w:r w:rsidR="008E2868">
        <w:t>’</w:t>
      </w:r>
      <w:proofErr w:type="spellEnd"/>
      <w:r>
        <w:t xml:space="preserve"> meetings and collaborate at the staff level on such activities as research, publications, </w:t>
      </w:r>
      <w:proofErr w:type="gramStart"/>
      <w:r>
        <w:t>conferences</w:t>
      </w:r>
      <w:proofErr w:type="gramEnd"/>
      <w:r>
        <w:t xml:space="preserve"> and workshops.</w:t>
      </w:r>
    </w:p>
    <w:p w14:paraId="74C1A74D" w14:textId="77777777" w:rsidR="00FD1071" w:rsidRDefault="00FD1071" w:rsidP="00F32C97">
      <w:pPr>
        <w:tabs>
          <w:tab w:val="clear" w:pos="567"/>
          <w:tab w:val="clear" w:pos="1134"/>
          <w:tab w:val="clear" w:pos="1701"/>
          <w:tab w:val="clear" w:pos="2268"/>
          <w:tab w:val="clear" w:pos="2835"/>
        </w:tabs>
        <w:overflowPunct/>
        <w:autoSpaceDE/>
        <w:autoSpaceDN/>
        <w:adjustRightInd/>
        <w:textAlignment w:val="auto"/>
      </w:pPr>
      <w:r>
        <w:t>The collaboration agreement provides in particular that the ITU and the WTO shall cooperate in the discharge of their respective mandates in accordance with the provisions of this Agreement; that the ITU and the WTO shall identify areas of common interest within their respective mandates; that the ITU Secretariat shall be invited as an Observer to meetings of relevant WTO bodies where that body considers that matters of common interest to both organizations will be under discussion; that the WTO Secretariat shall make available to the ITU Secretariat the agenda of WTO meetings if the agenda includes a telecommunications matter that may be of interest to the ITU.</w:t>
      </w:r>
    </w:p>
    <w:p w14:paraId="443C2238" w14:textId="77777777" w:rsidR="00FD1071" w:rsidRDefault="00FD1071" w:rsidP="00F32C97">
      <w:pPr>
        <w:tabs>
          <w:tab w:val="clear" w:pos="567"/>
          <w:tab w:val="clear" w:pos="1134"/>
          <w:tab w:val="clear" w:pos="1701"/>
          <w:tab w:val="clear" w:pos="2268"/>
          <w:tab w:val="clear" w:pos="2835"/>
        </w:tabs>
        <w:overflowPunct/>
        <w:autoSpaceDE/>
        <w:autoSpaceDN/>
        <w:adjustRightInd/>
        <w:textAlignment w:val="auto"/>
        <w:rPr>
          <w:rFonts w:cs="Calibri"/>
          <w:lang w:val="en-US"/>
        </w:rPr>
      </w:pPr>
      <w:r>
        <w:t xml:space="preserve">It has been brought to the attention of ITU that </w:t>
      </w:r>
      <w:r>
        <w:rPr>
          <w:rFonts w:cs="Calibri"/>
          <w:lang w:val="en-US"/>
        </w:rPr>
        <w:t xml:space="preserve">there appear to be numerous </w:t>
      </w:r>
      <w:r w:rsidRPr="00FC3541">
        <w:rPr>
          <w:rFonts w:cs="Calibri"/>
          <w:lang w:val="en-US"/>
        </w:rPr>
        <w:t xml:space="preserve">overlaps between work carried out in the ITU and trade-related proposals regarding e-commerce and telecommunications </w:t>
      </w:r>
      <w:r w:rsidR="008E2868">
        <w:rPr>
          <w:rFonts w:cs="Calibri"/>
          <w:lang w:val="en-US"/>
        </w:rPr>
        <w:t xml:space="preserve">that </w:t>
      </w:r>
      <w:r w:rsidRPr="00FC3541">
        <w:rPr>
          <w:rFonts w:cs="Calibri"/>
          <w:lang w:val="en-US"/>
        </w:rPr>
        <w:t>are being proposed for discussion in the context of the WTO work on e-commerce</w:t>
      </w:r>
      <w:r>
        <w:rPr>
          <w:rFonts w:cs="Calibri"/>
          <w:lang w:val="en-US"/>
        </w:rPr>
        <w:t>, including in particular work on allocation and use of frequencies and numbers; access to infrastructure and interconnection; security; spam; open source software; universal service and net neutrality; regulatory body and licensing; recourse.</w:t>
      </w:r>
    </w:p>
    <w:p w14:paraId="51F991E3" w14:textId="77777777" w:rsidR="00FD1071" w:rsidRDefault="008E2868" w:rsidP="00FD1071">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P</w:t>
      </w:r>
      <w:proofErr w:type="spellStart"/>
      <w:r w:rsidR="00FD1071">
        <w:t>ursuant</w:t>
      </w:r>
      <w:proofErr w:type="spellEnd"/>
      <w:r w:rsidR="00FD1071">
        <w:t xml:space="preserve"> to Annex of the Tunis Agenda, ITU is identified as a possible moderator/facilitator of the action lines </w:t>
      </w:r>
      <w:r w:rsidR="00FD1071">
        <w:rPr>
          <w:rFonts w:ascii="Verdana" w:hAnsi="Verdana"/>
          <w:sz w:val="20"/>
        </w:rPr>
        <w:t>С</w:t>
      </w:r>
      <w:r w:rsidR="00FD1071" w:rsidRPr="00FD1071">
        <w:rPr>
          <w:rFonts w:ascii="Verdana" w:hAnsi="Verdana"/>
          <w:sz w:val="20"/>
          <w:lang w:val="en-US"/>
        </w:rPr>
        <w:t xml:space="preserve">2. Information and communication infrastructure ; and C5. </w:t>
      </w:r>
      <w:r w:rsidR="00FD1071">
        <w:rPr>
          <w:rFonts w:ascii="Verdana" w:hAnsi="Verdana"/>
          <w:sz w:val="20"/>
        </w:rPr>
        <w:t xml:space="preserve">Building confidence and security in the use of ICTs. </w:t>
      </w:r>
      <w:r>
        <w:rPr>
          <w:rFonts w:ascii="Verdana" w:hAnsi="Verdana"/>
          <w:sz w:val="20"/>
        </w:rPr>
        <w:t>T</w:t>
      </w:r>
      <w:r w:rsidR="00FD1071">
        <w:t xml:space="preserve">here are numerous activities and studies in the ITU regarding those action lines, </w:t>
      </w:r>
      <w:proofErr w:type="gramStart"/>
      <w:r w:rsidR="00FD1071">
        <w:t>and also</w:t>
      </w:r>
      <w:proofErr w:type="gramEnd"/>
      <w:r w:rsidR="00FD1071">
        <w:t xml:space="preserve"> regarding </w:t>
      </w:r>
      <w:r w:rsidR="00FD1071">
        <w:rPr>
          <w:rFonts w:cs="Calibri"/>
          <w:lang w:val="en-US"/>
        </w:rPr>
        <w:t>allocation and use of frequencies and numbers; spam; universal service and net neutrality; regulatory body and licensing.</w:t>
      </w:r>
    </w:p>
    <w:p w14:paraId="6E5E9F9B" w14:textId="77777777" w:rsidR="00FD1071" w:rsidRDefault="00FD1071" w:rsidP="00F32C97">
      <w:pPr>
        <w:tabs>
          <w:tab w:val="clear" w:pos="567"/>
          <w:tab w:val="clear" w:pos="1134"/>
          <w:tab w:val="clear" w:pos="1701"/>
          <w:tab w:val="clear" w:pos="2268"/>
          <w:tab w:val="clear" w:pos="2835"/>
        </w:tabs>
        <w:overflowPunct/>
        <w:autoSpaceDE/>
        <w:autoSpaceDN/>
        <w:adjustRightInd/>
        <w:textAlignment w:val="auto"/>
      </w:pPr>
      <w:r>
        <w:rPr>
          <w:rFonts w:cs="Calibri"/>
          <w:lang w:val="en-US"/>
        </w:rPr>
        <w:t>Consequently, the ITU kindly requests that it be invited as an Observer to meetings of the WTO Joint Statement Initiative on e-commerce, and that the WTO Secretariat make available to the ITU Secretariat the agenda of those meetings, when they include a telecommunications matter that may be of interest to ITU, including in particular the matters referred to a</w:t>
      </w:r>
      <w:r w:rsidR="009A611D">
        <w:rPr>
          <w:rFonts w:cs="Calibri"/>
          <w:lang w:val="en-US"/>
        </w:rPr>
        <w:t xml:space="preserve">bove, and this in order to ensure that ITU’s expertise in </w:t>
      </w:r>
      <w:r w:rsidR="009A611D">
        <w:t>technical, regulatory and development matters concerning telecommunications is made available to participants in WTO meetings.</w:t>
      </w:r>
    </w:p>
    <w:p w14:paraId="3F1DFDF6" w14:textId="77777777" w:rsidR="004E0D81" w:rsidRDefault="004E0D81" w:rsidP="00F32C97">
      <w:pPr>
        <w:tabs>
          <w:tab w:val="clear" w:pos="567"/>
          <w:tab w:val="clear" w:pos="1134"/>
          <w:tab w:val="clear" w:pos="1701"/>
          <w:tab w:val="clear" w:pos="2268"/>
          <w:tab w:val="clear" w:pos="2835"/>
        </w:tabs>
        <w:overflowPunct/>
        <w:autoSpaceDE/>
        <w:autoSpaceDN/>
        <w:adjustRightInd/>
        <w:textAlignment w:val="auto"/>
        <w:rPr>
          <w:rFonts w:cs="Calibri"/>
          <w:lang w:val="en-US"/>
        </w:rPr>
      </w:pPr>
      <w:r>
        <w:t>The ITU’s technical and regulatory expertise could assist participants in WTO meeting to ensure that the actual language in WTO agreements is consistent with the intended goals of the agreements, and that the language does not have unintended side-effects (for example, of inadvertently permitting targeted advertising when the intent is to combat spam).</w:t>
      </w:r>
    </w:p>
    <w:p w14:paraId="7CA49B8F" w14:textId="77777777" w:rsidR="00FD1071" w:rsidRDefault="00FD1071" w:rsidP="00F32C97">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lastRenderedPageBreak/>
        <w:t xml:space="preserve">We would also invite you to consider whether it would be useful and appropriate to envisage mutual briefing sessions, in which the respective work of the two organizations regarding these matters could be presented </w:t>
      </w:r>
      <w:r w:rsidR="009A611D">
        <w:rPr>
          <w:rFonts w:cs="Calibri"/>
          <w:lang w:val="en-US"/>
        </w:rPr>
        <w:t xml:space="preserve">to their respective memberships, again </w:t>
      </w:r>
      <w:proofErr w:type="gramStart"/>
      <w:r w:rsidR="009A611D">
        <w:rPr>
          <w:rFonts w:cs="Calibri"/>
          <w:lang w:val="en-US"/>
        </w:rPr>
        <w:t>in order to</w:t>
      </w:r>
      <w:proofErr w:type="gramEnd"/>
      <w:r w:rsidR="009A611D">
        <w:rPr>
          <w:rFonts w:cs="Calibri"/>
          <w:lang w:val="en-US"/>
        </w:rPr>
        <w:t xml:space="preserve"> ensure that ITU’s expertise in </w:t>
      </w:r>
      <w:r w:rsidR="009A611D">
        <w:t>technical, regulatory and development matters concerning telecommunications is made available to participants in WTO meetings.</w:t>
      </w:r>
    </w:p>
    <w:p w14:paraId="51F0AAF1" w14:textId="77777777" w:rsidR="00FD1071" w:rsidRDefault="00FD1071" w:rsidP="00F32C97">
      <w:pPr>
        <w:tabs>
          <w:tab w:val="clear" w:pos="567"/>
          <w:tab w:val="clear" w:pos="1134"/>
          <w:tab w:val="clear" w:pos="1701"/>
          <w:tab w:val="clear" w:pos="2268"/>
          <w:tab w:val="clear" w:pos="2835"/>
        </w:tabs>
        <w:overflowPunct/>
        <w:autoSpaceDE/>
        <w:autoSpaceDN/>
        <w:adjustRightInd/>
        <w:textAlignment w:val="auto"/>
      </w:pPr>
      <w:r>
        <w:rPr>
          <w:rFonts w:cs="Calibri"/>
          <w:lang w:val="en-US"/>
        </w:rPr>
        <w:t xml:space="preserve">And </w:t>
      </w:r>
      <w:r w:rsidR="009A611D">
        <w:rPr>
          <w:rFonts w:cs="Calibri"/>
          <w:lang w:val="en-US"/>
        </w:rPr>
        <w:t xml:space="preserve">we would invite you to consider </w:t>
      </w:r>
      <w:r>
        <w:rPr>
          <w:rFonts w:cs="Calibri"/>
          <w:lang w:val="en-US"/>
        </w:rPr>
        <w:t xml:space="preserve">whether it would be useful and appropriate for WTO to transmit to ITU, for information and possible comment, drafts of texts on topics where ITU has specific technical expertise, such as </w:t>
      </w:r>
      <w:r w:rsidR="00F93094">
        <w:rPr>
          <w:rFonts w:cs="Calibri"/>
          <w:lang w:val="en-US"/>
        </w:rPr>
        <w:t>i</w:t>
      </w:r>
      <w:r w:rsidR="00F93094" w:rsidRPr="00FD1071">
        <w:rPr>
          <w:rFonts w:ascii="Verdana" w:hAnsi="Verdana"/>
          <w:sz w:val="20"/>
          <w:lang w:val="en-US"/>
        </w:rPr>
        <w:t>nformation and comm</w:t>
      </w:r>
      <w:r w:rsidR="00346962">
        <w:rPr>
          <w:rFonts w:ascii="Verdana" w:hAnsi="Verdana"/>
          <w:sz w:val="20"/>
          <w:lang w:val="en-US"/>
        </w:rPr>
        <w:t>unication infrastructure; building</w:t>
      </w:r>
      <w:r w:rsidR="00F93094">
        <w:rPr>
          <w:rFonts w:ascii="Verdana" w:hAnsi="Verdana"/>
          <w:sz w:val="20"/>
        </w:rPr>
        <w:t xml:space="preserve"> confidence and security in the use of ICTs;</w:t>
      </w:r>
      <w:r w:rsidR="00F93094">
        <w:rPr>
          <w:rFonts w:cs="Calibri"/>
          <w:lang w:val="en-US"/>
        </w:rPr>
        <w:t xml:space="preserve"> allocation and use of frequencies and numbers; spam; universal service and net neutrality; regulatory body</w:t>
      </w:r>
      <w:r w:rsidR="009A611D">
        <w:rPr>
          <w:rFonts w:cs="Calibri"/>
          <w:lang w:val="en-US"/>
        </w:rPr>
        <w:t>;</w:t>
      </w:r>
      <w:r w:rsidR="00F93094">
        <w:rPr>
          <w:rFonts w:cs="Calibri"/>
          <w:lang w:val="en-US"/>
        </w:rPr>
        <w:t xml:space="preserve"> and licensing.</w:t>
      </w:r>
    </w:p>
    <w:p w14:paraId="18DAD245" w14:textId="77777777" w:rsidR="0053640F" w:rsidRPr="0053640F" w:rsidRDefault="0053640F" w:rsidP="0053640F">
      <w:pPr>
        <w:pStyle w:val="ListParagraph"/>
        <w:tabs>
          <w:tab w:val="clear" w:pos="567"/>
          <w:tab w:val="clear" w:pos="1134"/>
          <w:tab w:val="clear" w:pos="1701"/>
          <w:tab w:val="clear" w:pos="2268"/>
          <w:tab w:val="clear" w:pos="2835"/>
        </w:tabs>
        <w:overflowPunct/>
        <w:autoSpaceDE/>
        <w:autoSpaceDN/>
        <w:adjustRightInd/>
        <w:spacing w:before="840"/>
        <w:contextualSpacing w:val="0"/>
        <w:jc w:val="center"/>
        <w:textAlignment w:val="auto"/>
        <w:rPr>
          <w:rFonts w:ascii="Times New Roman" w:hAnsi="Times New Roman"/>
          <w:lang w:val="en-US"/>
        </w:rPr>
      </w:pPr>
      <w:r>
        <w:rPr>
          <w:rFonts w:ascii="Times New Roman" w:hAnsi="Times New Roman"/>
          <w:lang w:val="en-US"/>
        </w:rPr>
        <w:t>_____________________</w:t>
      </w:r>
    </w:p>
    <w:sectPr w:rsidR="0053640F" w:rsidRPr="0053640F"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CB98" w14:textId="77777777" w:rsidR="00A5271F" w:rsidRDefault="00A5271F">
      <w:r>
        <w:separator/>
      </w:r>
    </w:p>
  </w:endnote>
  <w:endnote w:type="continuationSeparator" w:id="0">
    <w:p w14:paraId="5FB1EAF8" w14:textId="77777777" w:rsidR="00A5271F" w:rsidRDefault="00A5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BC9E3BF" w14:textId="77777777" w:rsidTr="0042469C">
      <w:trPr>
        <w:jc w:val="center"/>
      </w:trPr>
      <w:tc>
        <w:tcPr>
          <w:tcW w:w="1803" w:type="dxa"/>
          <w:vAlign w:val="center"/>
        </w:tcPr>
        <w:p w14:paraId="1724488B" w14:textId="5E12840E" w:rsidR="00EE49E8" w:rsidRDefault="00EE49E8" w:rsidP="00EE49E8">
          <w:pPr>
            <w:pStyle w:val="Header"/>
            <w:jc w:val="left"/>
            <w:rPr>
              <w:noProof/>
            </w:rPr>
          </w:pPr>
        </w:p>
      </w:tc>
      <w:tc>
        <w:tcPr>
          <w:tcW w:w="8261" w:type="dxa"/>
        </w:tcPr>
        <w:p w14:paraId="65FFA781" w14:textId="77777777" w:rsidR="00EE49E8" w:rsidRPr="00E06FD5" w:rsidRDefault="00EE49E8" w:rsidP="009A4ED2">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00A52C84" w:rsidRPr="00623AE3">
            <w:rPr>
              <w:bCs/>
            </w:rPr>
            <w:t>/</w:t>
          </w:r>
          <w:r w:rsidR="009A4ED2" w:rsidRPr="005758BD">
            <w:rPr>
              <w:bCs/>
            </w:rPr>
            <w:t>4</w:t>
          </w:r>
          <w:r>
            <w:rPr>
              <w:bCs/>
            </w:rPr>
            <w:tab/>
          </w:r>
          <w:r w:rsidR="00BA344D">
            <w:fldChar w:fldCharType="begin"/>
          </w:r>
          <w:r>
            <w:instrText>PAGE</w:instrText>
          </w:r>
          <w:r w:rsidR="00BA344D">
            <w:fldChar w:fldCharType="separate"/>
          </w:r>
          <w:r w:rsidR="008E2868">
            <w:rPr>
              <w:noProof/>
            </w:rPr>
            <w:t>2</w:t>
          </w:r>
          <w:r w:rsidR="00BA344D">
            <w:rPr>
              <w:noProof/>
            </w:rPr>
            <w:fldChar w:fldCharType="end"/>
          </w:r>
        </w:p>
      </w:tc>
    </w:tr>
  </w:tbl>
  <w:p w14:paraId="2B32CEBC"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541B7CEA" w14:textId="77777777" w:rsidTr="00A52C84">
      <w:trPr>
        <w:jc w:val="center"/>
      </w:trPr>
      <w:tc>
        <w:tcPr>
          <w:tcW w:w="3107" w:type="dxa"/>
          <w:vAlign w:val="center"/>
        </w:tcPr>
        <w:p w14:paraId="4FD4087D" w14:textId="77777777" w:rsidR="00EE49E8" w:rsidRDefault="00A52C84" w:rsidP="00EE49E8">
          <w:pPr>
            <w:pStyle w:val="Header"/>
            <w:jc w:val="left"/>
            <w:rPr>
              <w:noProof/>
            </w:rPr>
          </w:pPr>
          <w:r w:rsidRPr="00293B38">
            <w:rPr>
              <w:color w:val="0070C0"/>
            </w:rPr>
            <w:t>https://council.itu.int/working-groups</w:t>
          </w:r>
        </w:p>
      </w:tc>
      <w:tc>
        <w:tcPr>
          <w:tcW w:w="6957" w:type="dxa"/>
        </w:tcPr>
        <w:p w14:paraId="145676E2" w14:textId="77777777" w:rsidR="00EE49E8" w:rsidRPr="00E06FD5" w:rsidRDefault="00EE49E8" w:rsidP="009A4ED2">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Pr="00623AE3">
            <w:rPr>
              <w:bCs/>
            </w:rPr>
            <w:t>/</w:t>
          </w:r>
          <w:r w:rsidR="009A4ED2" w:rsidRPr="005758BD">
            <w:rPr>
              <w:bCs/>
            </w:rPr>
            <w:t>4</w:t>
          </w:r>
          <w:r>
            <w:rPr>
              <w:bCs/>
            </w:rPr>
            <w:tab/>
          </w:r>
          <w:r w:rsidR="00BA344D">
            <w:fldChar w:fldCharType="begin"/>
          </w:r>
          <w:r>
            <w:instrText>PAGE</w:instrText>
          </w:r>
          <w:r w:rsidR="00BA344D">
            <w:fldChar w:fldCharType="separate"/>
          </w:r>
          <w:r w:rsidR="008E2868">
            <w:rPr>
              <w:noProof/>
            </w:rPr>
            <w:t>1</w:t>
          </w:r>
          <w:r w:rsidR="00BA344D">
            <w:rPr>
              <w:noProof/>
            </w:rPr>
            <w:fldChar w:fldCharType="end"/>
          </w:r>
        </w:p>
      </w:tc>
    </w:tr>
  </w:tbl>
  <w:p w14:paraId="3D93FB6B"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5811" w14:textId="77777777" w:rsidR="00A5271F" w:rsidRDefault="00A5271F">
      <w:r>
        <w:t>____________________</w:t>
      </w:r>
    </w:p>
  </w:footnote>
  <w:footnote w:type="continuationSeparator" w:id="0">
    <w:p w14:paraId="77ACFDDE" w14:textId="77777777" w:rsidR="00A5271F" w:rsidRDefault="00A5271F">
      <w:r>
        <w:continuationSeparator/>
      </w:r>
    </w:p>
  </w:footnote>
  <w:footnote w:id="1">
    <w:p w14:paraId="77C06273" w14:textId="50D60C3B" w:rsidR="00EA0CE2" w:rsidRPr="00EA0CE2" w:rsidRDefault="00EA0CE2" w:rsidP="005915C9">
      <w:pPr>
        <w:pStyle w:val="FootnoteText"/>
        <w:spacing w:before="60"/>
        <w:rPr>
          <w:lang w:val="en-US"/>
        </w:rPr>
      </w:pPr>
      <w:r>
        <w:rPr>
          <w:rStyle w:val="FootnoteReference"/>
        </w:rPr>
        <w:footnoteRef/>
      </w:r>
      <w:r>
        <w:t xml:space="preserve"> </w:t>
      </w:r>
      <w:r w:rsidR="005915C9">
        <w:tab/>
      </w:r>
      <w:hyperlink r:id="rId1" w:history="1">
        <w:r w:rsidR="005915C9" w:rsidRPr="008A4F65">
          <w:rPr>
            <w:rStyle w:val="Hyperlink"/>
            <w:sz w:val="20"/>
          </w:rPr>
          <w:t>https://www.wto.org/english/thewto_e/coher_e/wto_itu_e.htm</w:t>
        </w:r>
      </w:hyperlink>
      <w:r>
        <w:t xml:space="preserve"> </w:t>
      </w:r>
    </w:p>
  </w:footnote>
  <w:footnote w:id="2">
    <w:p w14:paraId="2A8DCDD0" w14:textId="10026CE8" w:rsidR="00EA0CE2" w:rsidRPr="00EA0CE2" w:rsidRDefault="00EA0CE2" w:rsidP="005915C9">
      <w:pPr>
        <w:pStyle w:val="FootnoteText"/>
        <w:tabs>
          <w:tab w:val="clear" w:pos="256"/>
        </w:tabs>
        <w:spacing w:before="60"/>
        <w:rPr>
          <w:lang w:val="en-US"/>
        </w:rPr>
      </w:pPr>
      <w:r>
        <w:rPr>
          <w:rStyle w:val="FootnoteReference"/>
        </w:rPr>
        <w:footnoteRef/>
      </w:r>
      <w:r>
        <w:t xml:space="preserve"> </w:t>
      </w:r>
      <w:r w:rsidR="005915C9">
        <w:tab/>
      </w:r>
      <w:hyperlink r:id="rId2" w:history="1">
        <w:r w:rsidR="005915C9" w:rsidRPr="008A4F65">
          <w:rPr>
            <w:rStyle w:val="Hyperlink"/>
            <w:sz w:val="20"/>
          </w:rPr>
          <w:t>https://docs.wto.org/dol2fe/Pages/SS/directdoc.aspx?filename=q:/S/C/11.pdf</w:t>
        </w:r>
      </w:hyperlink>
      <w:r>
        <w:t xml:space="preserve"> </w:t>
      </w:r>
    </w:p>
  </w:footnote>
  <w:footnote w:id="3">
    <w:p w14:paraId="1D1D7E1B" w14:textId="69B57AE5" w:rsidR="00FD1071" w:rsidRPr="00EA0CE2" w:rsidRDefault="00FD1071" w:rsidP="005915C9">
      <w:pPr>
        <w:pStyle w:val="FootnoteText"/>
        <w:tabs>
          <w:tab w:val="clear" w:pos="256"/>
        </w:tabs>
        <w:spacing w:before="60"/>
        <w:rPr>
          <w:lang w:val="en-US"/>
        </w:rPr>
      </w:pPr>
      <w:r>
        <w:rPr>
          <w:rStyle w:val="FootnoteReference"/>
        </w:rPr>
        <w:footnoteRef/>
      </w:r>
      <w:r>
        <w:t xml:space="preserve"> </w:t>
      </w:r>
      <w:r w:rsidR="005915C9">
        <w:tab/>
      </w:r>
      <w:hyperlink r:id="rId3" w:history="1">
        <w:r w:rsidR="005915C9" w:rsidRPr="008A4F65">
          <w:rPr>
            <w:rStyle w:val="Hyperlink"/>
            <w:sz w:val="20"/>
          </w:rPr>
          <w:t>https://www.wto.org/english/thewto_e/coher_e/wto_itu_e.htm</w:t>
        </w:r>
      </w:hyperlink>
      <w:r>
        <w:t xml:space="preserve"> </w:t>
      </w:r>
    </w:p>
  </w:footnote>
  <w:footnote w:id="4">
    <w:p w14:paraId="0F7B879C" w14:textId="031F2CEB" w:rsidR="00FD1071" w:rsidRPr="00EA0CE2" w:rsidRDefault="00FD1071" w:rsidP="005915C9">
      <w:pPr>
        <w:pStyle w:val="FootnoteText"/>
        <w:tabs>
          <w:tab w:val="clear" w:pos="256"/>
        </w:tabs>
        <w:spacing w:before="60"/>
        <w:rPr>
          <w:lang w:val="en-US"/>
        </w:rPr>
      </w:pPr>
      <w:r>
        <w:rPr>
          <w:rStyle w:val="FootnoteReference"/>
        </w:rPr>
        <w:footnoteRef/>
      </w:r>
      <w:r>
        <w:t xml:space="preserve"> </w:t>
      </w:r>
      <w:r w:rsidR="005915C9">
        <w:tab/>
      </w:r>
      <w:hyperlink r:id="rId4" w:history="1">
        <w:r w:rsidR="005915C9" w:rsidRPr="008A4F65">
          <w:rPr>
            <w:rStyle w:val="Hyperlink"/>
            <w:sz w:val="20"/>
          </w:rPr>
          <w:t>https://docs.wto.org/dol2fe/Pages/SS/directdoc.aspx?filename=q:/S/C/11.pdf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3E218DE" w14:textId="77777777" w:rsidTr="00F74694">
      <w:trPr>
        <w:trHeight w:val="1304"/>
        <w:jc w:val="center"/>
      </w:trPr>
      <w:tc>
        <w:tcPr>
          <w:tcW w:w="6546" w:type="dxa"/>
        </w:tcPr>
        <w:p w14:paraId="2C81174A" w14:textId="77777777" w:rsidR="00AD3606" w:rsidRPr="009621F8" w:rsidRDefault="005915C9"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w:pict w14:anchorId="0CF4B25C">
              <v:rect id="Rectangle 3" o:spid="_x0000_s1026" style="position:absolute;margin-left:44.9pt;margin-top:5pt;width:130.15pt;height:42.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w:r>
          <w:r w:rsidR="00AD3606">
            <w:rPr>
              <w:noProof/>
              <w:lang w:val="en-US"/>
            </w:rPr>
            <w:drawing>
              <wp:inline distT="0" distB="0" distL="0" distR="0" wp14:anchorId="226B361C" wp14:editId="06079CFA">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6F673218" w14:textId="77777777" w:rsidR="00AD3606" w:rsidRDefault="00AD3606" w:rsidP="00AD3606">
          <w:pPr>
            <w:pStyle w:val="Header"/>
            <w:jc w:val="right"/>
            <w:rPr>
              <w:rFonts w:ascii="Arial" w:hAnsi="Arial" w:cs="Arial"/>
              <w:b/>
              <w:bCs/>
              <w:color w:val="009CD6"/>
              <w:szCs w:val="18"/>
            </w:rPr>
          </w:pPr>
        </w:p>
        <w:p w14:paraId="64F9B61B" w14:textId="77777777" w:rsidR="00AD3606" w:rsidRDefault="00AD3606" w:rsidP="00AD3606">
          <w:pPr>
            <w:pStyle w:val="Header"/>
            <w:jc w:val="right"/>
            <w:rPr>
              <w:rFonts w:ascii="Arial" w:hAnsi="Arial" w:cs="Arial"/>
              <w:b/>
              <w:bCs/>
              <w:color w:val="009CD6"/>
              <w:szCs w:val="18"/>
            </w:rPr>
          </w:pPr>
        </w:p>
        <w:p w14:paraId="5ACC1F85"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3E0D789" w14:textId="77777777" w:rsidR="00AD3606" w:rsidRDefault="005915C9">
    <w:pPr>
      <w:pStyle w:val="Header"/>
    </w:pPr>
    <w:r>
      <w:rPr>
        <w:rFonts w:ascii="Avenir Nxt2 W1G Medium" w:eastAsia="Avenir Nxt2 W1G Medium" w:hAnsi="Avenir Nxt2 W1G Medium" w:cs="Avenir Nxt2 W1G Medium"/>
        <w:noProof/>
      </w:rPr>
      <w:pict w14:anchorId="6D1DDD43">
        <v:rect id="Rectangle 2" o:spid="_x0000_s1028" style="position:absolute;left:0;text-align:left;margin-left:1.15pt;margin-top:43.75pt;width:7.35pt;height:34pt;z-index:251659264;visibility:visible;mso-position-horizontal-relative:pag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w:r>
    <w:r>
      <w:rPr>
        <w:rFonts w:ascii="Arial" w:eastAsiaTheme="minorHAnsi" w:hAnsi="Arial" w:cs="Arial"/>
        <w:b/>
        <w:bCs/>
        <w:noProof/>
        <w:color w:val="009CD6"/>
        <w:szCs w:val="18"/>
      </w:rPr>
      <w:pict w14:anchorId="2DBE4741">
        <v:shapetype id="_x0000_t202" coordsize="21600,21600" o:spt="202" path="m,l,21600r21600,l21600,xe">
          <v:stroke joinstyle="miter"/>
          <v:path gradientshapeok="t" o:connecttype="rect"/>
        </v:shapetype>
        <v:shape id="Text Box 1" o:spid="_x0000_s1027" type="#_x0000_t202" style="position:absolute;left:0;text-align:left;margin-left:24.15pt;margin-top:-65.8pt;width:314.9pt;height:48.7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6834EACC" w14:textId="15A724F0"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F92704">
                  <w:rPr>
                    <w:sz w:val="20"/>
                  </w:rPr>
                  <w:t>Second meeting - From 29 to 30 January 2024</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E37E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8100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63B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CEA4BB3"/>
    <w:multiLevelType w:val="hybridMultilevel"/>
    <w:tmpl w:val="D2221988"/>
    <w:lvl w:ilvl="0" w:tplc="B7FE09B8">
      <w:start w:val="1"/>
      <w:numFmt w:val="lowerLetter"/>
      <w:lvlText w:val="%1)"/>
      <w:lvlJc w:val="left"/>
      <w:pPr>
        <w:ind w:left="761" w:hanging="360"/>
      </w:pPr>
      <w:rPr>
        <w:rFonts w:ascii="Times New Roman" w:hAnsi="Times New Roman" w:hint="default"/>
        <w:sz w:val="24"/>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6"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C10831"/>
    <w:multiLevelType w:val="hybridMultilevel"/>
    <w:tmpl w:val="E03E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3983412">
    <w:abstractNumId w:val="0"/>
  </w:num>
  <w:num w:numId="2" w16cid:durableId="885801490">
    <w:abstractNumId w:val="10"/>
  </w:num>
  <w:num w:numId="3" w16cid:durableId="2126730474">
    <w:abstractNumId w:val="11"/>
  </w:num>
  <w:num w:numId="4" w16cid:durableId="1659730387">
    <w:abstractNumId w:val="6"/>
  </w:num>
  <w:num w:numId="5" w16cid:durableId="1707749844">
    <w:abstractNumId w:val="7"/>
  </w:num>
  <w:num w:numId="6" w16cid:durableId="1650209304">
    <w:abstractNumId w:val="9"/>
  </w:num>
  <w:num w:numId="7" w16cid:durableId="2036535579">
    <w:abstractNumId w:val="4"/>
  </w:num>
  <w:num w:numId="8" w16cid:durableId="1913657531">
    <w:abstractNumId w:val="3"/>
  </w:num>
  <w:num w:numId="9" w16cid:durableId="208953520">
    <w:abstractNumId w:val="2"/>
  </w:num>
  <w:num w:numId="10" w16cid:durableId="303194380">
    <w:abstractNumId w:val="1"/>
  </w:num>
  <w:num w:numId="11" w16cid:durableId="1607614323">
    <w:abstractNumId w:val="8"/>
  </w:num>
  <w:num w:numId="12" w16cid:durableId="464667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016E2"/>
    <w:rsid w:val="000018D3"/>
    <w:rsid w:val="000064E3"/>
    <w:rsid w:val="000210D4"/>
    <w:rsid w:val="000334F2"/>
    <w:rsid w:val="00063016"/>
    <w:rsid w:val="00066795"/>
    <w:rsid w:val="00076AF6"/>
    <w:rsid w:val="00085CF2"/>
    <w:rsid w:val="000B15D4"/>
    <w:rsid w:val="000B1705"/>
    <w:rsid w:val="000B2AAF"/>
    <w:rsid w:val="000D75B2"/>
    <w:rsid w:val="000E4EE7"/>
    <w:rsid w:val="001121F5"/>
    <w:rsid w:val="00112DDE"/>
    <w:rsid w:val="00130599"/>
    <w:rsid w:val="001400DC"/>
    <w:rsid w:val="00140CE1"/>
    <w:rsid w:val="001560FA"/>
    <w:rsid w:val="001569E7"/>
    <w:rsid w:val="001648F9"/>
    <w:rsid w:val="00170B8D"/>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75CBF"/>
    <w:rsid w:val="0028109B"/>
    <w:rsid w:val="00291CBF"/>
    <w:rsid w:val="00293B38"/>
    <w:rsid w:val="00296C9E"/>
    <w:rsid w:val="002A2188"/>
    <w:rsid w:val="002A7B2C"/>
    <w:rsid w:val="002B1F58"/>
    <w:rsid w:val="002C1C7A"/>
    <w:rsid w:val="002C54E2"/>
    <w:rsid w:val="002F6AF6"/>
    <w:rsid w:val="002F7555"/>
    <w:rsid w:val="0030160F"/>
    <w:rsid w:val="00320223"/>
    <w:rsid w:val="00322D0D"/>
    <w:rsid w:val="003425F0"/>
    <w:rsid w:val="00346962"/>
    <w:rsid w:val="00361465"/>
    <w:rsid w:val="00385A85"/>
    <w:rsid w:val="003877F5"/>
    <w:rsid w:val="003942D4"/>
    <w:rsid w:val="003958A8"/>
    <w:rsid w:val="003C063A"/>
    <w:rsid w:val="003C2533"/>
    <w:rsid w:val="003D5A7F"/>
    <w:rsid w:val="003D6854"/>
    <w:rsid w:val="004016E2"/>
    <w:rsid w:val="00403B7F"/>
    <w:rsid w:val="0040435A"/>
    <w:rsid w:val="00405C77"/>
    <w:rsid w:val="00416A24"/>
    <w:rsid w:val="00431D9E"/>
    <w:rsid w:val="00433CE8"/>
    <w:rsid w:val="00434A5C"/>
    <w:rsid w:val="004544D9"/>
    <w:rsid w:val="00467314"/>
    <w:rsid w:val="00472BAD"/>
    <w:rsid w:val="00484009"/>
    <w:rsid w:val="0048484B"/>
    <w:rsid w:val="00484FF9"/>
    <w:rsid w:val="00490E72"/>
    <w:rsid w:val="00491157"/>
    <w:rsid w:val="004921C8"/>
    <w:rsid w:val="00495B0B"/>
    <w:rsid w:val="004A1B8B"/>
    <w:rsid w:val="004A5564"/>
    <w:rsid w:val="004D1851"/>
    <w:rsid w:val="004D599D"/>
    <w:rsid w:val="004D648B"/>
    <w:rsid w:val="004E0D81"/>
    <w:rsid w:val="004E2EA5"/>
    <w:rsid w:val="004E31A8"/>
    <w:rsid w:val="004E3AEB"/>
    <w:rsid w:val="0050223C"/>
    <w:rsid w:val="0051705A"/>
    <w:rsid w:val="00520AC3"/>
    <w:rsid w:val="0052249C"/>
    <w:rsid w:val="005243FF"/>
    <w:rsid w:val="0053640F"/>
    <w:rsid w:val="00545D07"/>
    <w:rsid w:val="00564FBC"/>
    <w:rsid w:val="005758BD"/>
    <w:rsid w:val="005800BC"/>
    <w:rsid w:val="005801BA"/>
    <w:rsid w:val="00582442"/>
    <w:rsid w:val="005915C9"/>
    <w:rsid w:val="005A335D"/>
    <w:rsid w:val="005B461F"/>
    <w:rsid w:val="005C3BE5"/>
    <w:rsid w:val="005D0B88"/>
    <w:rsid w:val="005E2BD5"/>
    <w:rsid w:val="005F3269"/>
    <w:rsid w:val="006035C0"/>
    <w:rsid w:val="00616C10"/>
    <w:rsid w:val="00623AE3"/>
    <w:rsid w:val="00636853"/>
    <w:rsid w:val="0064737F"/>
    <w:rsid w:val="006535F1"/>
    <w:rsid w:val="0065557D"/>
    <w:rsid w:val="00660D50"/>
    <w:rsid w:val="00662984"/>
    <w:rsid w:val="006638C3"/>
    <w:rsid w:val="00664A2C"/>
    <w:rsid w:val="006716BB"/>
    <w:rsid w:val="006819A4"/>
    <w:rsid w:val="0069699A"/>
    <w:rsid w:val="006B1859"/>
    <w:rsid w:val="006B6680"/>
    <w:rsid w:val="006B6DCC"/>
    <w:rsid w:val="006C11BB"/>
    <w:rsid w:val="006C2CD7"/>
    <w:rsid w:val="00702DEF"/>
    <w:rsid w:val="00706861"/>
    <w:rsid w:val="00734FAC"/>
    <w:rsid w:val="00745D44"/>
    <w:rsid w:val="0075051B"/>
    <w:rsid w:val="00775655"/>
    <w:rsid w:val="00777028"/>
    <w:rsid w:val="00793188"/>
    <w:rsid w:val="00794D34"/>
    <w:rsid w:val="00794DFC"/>
    <w:rsid w:val="007B08D6"/>
    <w:rsid w:val="007C01FB"/>
    <w:rsid w:val="007F268B"/>
    <w:rsid w:val="007F6EFC"/>
    <w:rsid w:val="0080358A"/>
    <w:rsid w:val="00813E5E"/>
    <w:rsid w:val="008169FA"/>
    <w:rsid w:val="0082723D"/>
    <w:rsid w:val="0083581B"/>
    <w:rsid w:val="008428DC"/>
    <w:rsid w:val="00847E0C"/>
    <w:rsid w:val="00856DA7"/>
    <w:rsid w:val="00863874"/>
    <w:rsid w:val="00864283"/>
    <w:rsid w:val="00864AFF"/>
    <w:rsid w:val="00865925"/>
    <w:rsid w:val="0088630E"/>
    <w:rsid w:val="008976CD"/>
    <w:rsid w:val="008A3BA6"/>
    <w:rsid w:val="008B056B"/>
    <w:rsid w:val="008B4A6A"/>
    <w:rsid w:val="008B56F6"/>
    <w:rsid w:val="008C7E27"/>
    <w:rsid w:val="008D146D"/>
    <w:rsid w:val="008E2868"/>
    <w:rsid w:val="008F7448"/>
    <w:rsid w:val="0090147A"/>
    <w:rsid w:val="009173EF"/>
    <w:rsid w:val="009224F5"/>
    <w:rsid w:val="00932906"/>
    <w:rsid w:val="00950BC7"/>
    <w:rsid w:val="00961B0B"/>
    <w:rsid w:val="00962D33"/>
    <w:rsid w:val="009A3498"/>
    <w:rsid w:val="009A4ED2"/>
    <w:rsid w:val="009A611D"/>
    <w:rsid w:val="009B38C3"/>
    <w:rsid w:val="009E17BD"/>
    <w:rsid w:val="009E485A"/>
    <w:rsid w:val="00A028B5"/>
    <w:rsid w:val="00A04CEC"/>
    <w:rsid w:val="00A21F8F"/>
    <w:rsid w:val="00A26802"/>
    <w:rsid w:val="00A27F92"/>
    <w:rsid w:val="00A32257"/>
    <w:rsid w:val="00A36D20"/>
    <w:rsid w:val="00A377D7"/>
    <w:rsid w:val="00A514A4"/>
    <w:rsid w:val="00A5271F"/>
    <w:rsid w:val="00A52C84"/>
    <w:rsid w:val="00A55622"/>
    <w:rsid w:val="00A73CD8"/>
    <w:rsid w:val="00A83502"/>
    <w:rsid w:val="00AC30A5"/>
    <w:rsid w:val="00AD15B3"/>
    <w:rsid w:val="00AD3606"/>
    <w:rsid w:val="00AD4A3D"/>
    <w:rsid w:val="00AF1EE7"/>
    <w:rsid w:val="00AF29E2"/>
    <w:rsid w:val="00AF6E49"/>
    <w:rsid w:val="00B04A67"/>
    <w:rsid w:val="00B0583C"/>
    <w:rsid w:val="00B40A81"/>
    <w:rsid w:val="00B4436B"/>
    <w:rsid w:val="00B44910"/>
    <w:rsid w:val="00B72267"/>
    <w:rsid w:val="00B76EB6"/>
    <w:rsid w:val="00B7737B"/>
    <w:rsid w:val="00B824C8"/>
    <w:rsid w:val="00B84B9D"/>
    <w:rsid w:val="00B90C7D"/>
    <w:rsid w:val="00BA344D"/>
    <w:rsid w:val="00BA5337"/>
    <w:rsid w:val="00BC251A"/>
    <w:rsid w:val="00BC3DED"/>
    <w:rsid w:val="00BD032B"/>
    <w:rsid w:val="00BD4122"/>
    <w:rsid w:val="00BE10C8"/>
    <w:rsid w:val="00BE2640"/>
    <w:rsid w:val="00BF0749"/>
    <w:rsid w:val="00BF7279"/>
    <w:rsid w:val="00C01189"/>
    <w:rsid w:val="00C258FB"/>
    <w:rsid w:val="00C33177"/>
    <w:rsid w:val="00C374DE"/>
    <w:rsid w:val="00C47AD4"/>
    <w:rsid w:val="00C52D81"/>
    <w:rsid w:val="00C55198"/>
    <w:rsid w:val="00C67880"/>
    <w:rsid w:val="00CA6393"/>
    <w:rsid w:val="00CB18FF"/>
    <w:rsid w:val="00CC3D47"/>
    <w:rsid w:val="00CD0C08"/>
    <w:rsid w:val="00CD743D"/>
    <w:rsid w:val="00CE03FB"/>
    <w:rsid w:val="00CE433C"/>
    <w:rsid w:val="00CF0161"/>
    <w:rsid w:val="00CF33F3"/>
    <w:rsid w:val="00D06183"/>
    <w:rsid w:val="00D14787"/>
    <w:rsid w:val="00D22C42"/>
    <w:rsid w:val="00D464CC"/>
    <w:rsid w:val="00D65041"/>
    <w:rsid w:val="00DB00D5"/>
    <w:rsid w:val="00DB1936"/>
    <w:rsid w:val="00DB384B"/>
    <w:rsid w:val="00DE2C44"/>
    <w:rsid w:val="00DF0189"/>
    <w:rsid w:val="00E06FD5"/>
    <w:rsid w:val="00E10E80"/>
    <w:rsid w:val="00E124F0"/>
    <w:rsid w:val="00E15C3A"/>
    <w:rsid w:val="00E227F3"/>
    <w:rsid w:val="00E32C21"/>
    <w:rsid w:val="00E530D9"/>
    <w:rsid w:val="00E545C6"/>
    <w:rsid w:val="00E60F04"/>
    <w:rsid w:val="00E65B24"/>
    <w:rsid w:val="00E849FB"/>
    <w:rsid w:val="00E854E4"/>
    <w:rsid w:val="00E86DBF"/>
    <w:rsid w:val="00EA0CE2"/>
    <w:rsid w:val="00EB0D6F"/>
    <w:rsid w:val="00EB2232"/>
    <w:rsid w:val="00EC5337"/>
    <w:rsid w:val="00ED398B"/>
    <w:rsid w:val="00EE49E8"/>
    <w:rsid w:val="00F16BAB"/>
    <w:rsid w:val="00F2150A"/>
    <w:rsid w:val="00F231D8"/>
    <w:rsid w:val="00F23745"/>
    <w:rsid w:val="00F23870"/>
    <w:rsid w:val="00F241E9"/>
    <w:rsid w:val="00F32C97"/>
    <w:rsid w:val="00F44C00"/>
    <w:rsid w:val="00F45D2C"/>
    <w:rsid w:val="00F46C5F"/>
    <w:rsid w:val="00F632C0"/>
    <w:rsid w:val="00F74694"/>
    <w:rsid w:val="00F92704"/>
    <w:rsid w:val="00F93094"/>
    <w:rsid w:val="00F94A63"/>
    <w:rsid w:val="00FA1C28"/>
    <w:rsid w:val="00FB1279"/>
    <w:rsid w:val="00FB6B76"/>
    <w:rsid w:val="00FB7596"/>
    <w:rsid w:val="00FC3541"/>
    <w:rsid w:val="00FD1071"/>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E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 w:type="paragraph" w:customStyle="1" w:styleId="Default">
    <w:name w:val="Default"/>
    <w:basedOn w:val="Normal"/>
    <w:rsid w:val="00F241E9"/>
    <w:pPr>
      <w:tabs>
        <w:tab w:val="clear" w:pos="567"/>
        <w:tab w:val="clear" w:pos="1134"/>
        <w:tab w:val="clear" w:pos="1701"/>
        <w:tab w:val="clear" w:pos="2268"/>
        <w:tab w:val="clear" w:pos="2835"/>
      </w:tabs>
      <w:overflowPunct/>
      <w:adjustRightInd/>
      <w:spacing w:before="0"/>
      <w:textAlignment w:val="auto"/>
    </w:pPr>
    <w:rPr>
      <w:rFonts w:eastAsiaTheme="minorHAnsi" w:cs="Calibri"/>
      <w:color w:val="000000"/>
      <w:szCs w:val="24"/>
      <w:lang w:val="en-US"/>
    </w:rPr>
  </w:style>
  <w:style w:type="character" w:styleId="UnresolvedMention">
    <w:name w:val="Unresolved Mention"/>
    <w:basedOn w:val="DefaultParagraphFont"/>
    <w:uiPriority w:val="99"/>
    <w:semiHidden/>
    <w:unhideWhenUsed/>
    <w:rsid w:val="00591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1082">
      <w:bodyDiv w:val="1"/>
      <w:marLeft w:val="0"/>
      <w:marRight w:val="0"/>
      <w:marTop w:val="0"/>
      <w:marBottom w:val="0"/>
      <w:divBdr>
        <w:top w:val="none" w:sz="0" w:space="0" w:color="auto"/>
        <w:left w:val="none" w:sz="0" w:space="0" w:color="auto"/>
        <w:bottom w:val="none" w:sz="0" w:space="0" w:color="auto"/>
        <w:right w:val="none" w:sz="0" w:space="0" w:color="auto"/>
      </w:divBdr>
    </w:div>
    <w:div w:id="223954409">
      <w:bodyDiv w:val="1"/>
      <w:marLeft w:val="0"/>
      <w:marRight w:val="0"/>
      <w:marTop w:val="0"/>
      <w:marBottom w:val="0"/>
      <w:divBdr>
        <w:top w:val="none" w:sz="0" w:space="0" w:color="auto"/>
        <w:left w:val="none" w:sz="0" w:space="0" w:color="auto"/>
        <w:bottom w:val="none" w:sz="0" w:space="0" w:color="auto"/>
        <w:right w:val="none" w:sz="0" w:space="0" w:color="auto"/>
      </w:divBdr>
    </w:div>
    <w:div w:id="767889566">
      <w:bodyDiv w:val="1"/>
      <w:marLeft w:val="0"/>
      <w:marRight w:val="0"/>
      <w:marTop w:val="0"/>
      <w:marBottom w:val="0"/>
      <w:divBdr>
        <w:top w:val="none" w:sz="0" w:space="0" w:color="auto"/>
        <w:left w:val="none" w:sz="0" w:space="0" w:color="auto"/>
        <w:bottom w:val="none" w:sz="0" w:space="0" w:color="auto"/>
        <w:right w:val="none" w:sz="0" w:space="0" w:color="auto"/>
      </w:divBdr>
      <w:divsChild>
        <w:div w:id="2010908884">
          <w:marLeft w:val="0"/>
          <w:marRight w:val="0"/>
          <w:marTop w:val="0"/>
          <w:marBottom w:val="0"/>
          <w:divBdr>
            <w:top w:val="none" w:sz="0" w:space="0" w:color="auto"/>
            <w:left w:val="none" w:sz="0" w:space="0" w:color="auto"/>
            <w:bottom w:val="none" w:sz="0" w:space="0" w:color="auto"/>
            <w:right w:val="none" w:sz="0" w:space="0" w:color="auto"/>
          </w:divBdr>
        </w:div>
      </w:divsChild>
    </w:div>
    <w:div w:id="987516165">
      <w:bodyDiv w:val="1"/>
      <w:marLeft w:val="0"/>
      <w:marRight w:val="0"/>
      <w:marTop w:val="0"/>
      <w:marBottom w:val="0"/>
      <w:divBdr>
        <w:top w:val="none" w:sz="0" w:space="0" w:color="auto"/>
        <w:left w:val="none" w:sz="0" w:space="0" w:color="auto"/>
        <w:bottom w:val="none" w:sz="0" w:space="0" w:color="auto"/>
        <w:right w:val="none" w:sz="0" w:space="0" w:color="auto"/>
      </w:divBdr>
    </w:div>
    <w:div w:id="1238632204">
      <w:bodyDiv w:val="1"/>
      <w:marLeft w:val="0"/>
      <w:marRight w:val="0"/>
      <w:marTop w:val="0"/>
      <w:marBottom w:val="0"/>
      <w:divBdr>
        <w:top w:val="none" w:sz="0" w:space="0" w:color="auto"/>
        <w:left w:val="none" w:sz="0" w:space="0" w:color="auto"/>
        <w:bottom w:val="none" w:sz="0" w:space="0" w:color="auto"/>
        <w:right w:val="none" w:sz="0" w:space="0" w:color="auto"/>
      </w:divBdr>
    </w:div>
    <w:div w:id="1358577591">
      <w:bodyDiv w:val="1"/>
      <w:marLeft w:val="0"/>
      <w:marRight w:val="0"/>
      <w:marTop w:val="0"/>
      <w:marBottom w:val="0"/>
      <w:divBdr>
        <w:top w:val="none" w:sz="0" w:space="0" w:color="auto"/>
        <w:left w:val="none" w:sz="0" w:space="0" w:color="auto"/>
        <w:bottom w:val="none" w:sz="0" w:space="0" w:color="auto"/>
        <w:right w:val="none" w:sz="0" w:space="0" w:color="auto"/>
      </w:divBdr>
    </w:div>
    <w:div w:id="1398479477">
      <w:bodyDiv w:val="1"/>
      <w:marLeft w:val="0"/>
      <w:marRight w:val="0"/>
      <w:marTop w:val="0"/>
      <w:marBottom w:val="0"/>
      <w:divBdr>
        <w:top w:val="none" w:sz="0" w:space="0" w:color="auto"/>
        <w:left w:val="none" w:sz="0" w:space="0" w:color="auto"/>
        <w:bottom w:val="none" w:sz="0" w:space="0" w:color="auto"/>
        <w:right w:val="none" w:sz="0" w:space="0" w:color="auto"/>
      </w:divBdr>
      <w:divsChild>
        <w:div w:id="764694469">
          <w:marLeft w:val="0"/>
          <w:marRight w:val="0"/>
          <w:marTop w:val="0"/>
          <w:marBottom w:val="0"/>
          <w:divBdr>
            <w:top w:val="none" w:sz="0" w:space="0" w:color="auto"/>
            <w:left w:val="none" w:sz="0" w:space="0" w:color="auto"/>
            <w:bottom w:val="none" w:sz="0" w:space="0" w:color="auto"/>
            <w:right w:val="none" w:sz="0" w:space="0" w:color="auto"/>
          </w:divBdr>
        </w:div>
      </w:divsChild>
    </w:div>
    <w:div w:id="2104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3-EGITRS1-C-0002/en" TargetMode="Externa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hewto_e/coher_e/wto_itu_e.htm" TargetMode="External"/><Relationship Id="rId2" Type="http://schemas.openxmlformats.org/officeDocument/2006/relationships/hyperlink" Target="https://docs.wto.org/dol2fe/Pages/SS/directdoc.aspx?filename=q:/S/C/11.pdf" TargetMode="External"/><Relationship Id="rId1" Type="http://schemas.openxmlformats.org/officeDocument/2006/relationships/hyperlink" Target="https://www.wto.org/english/thewto_e/coher_e/wto_itu_e.htm" TargetMode="External"/><Relationship Id="rId4" Type="http://schemas.openxmlformats.org/officeDocument/2006/relationships/hyperlink" Target="https://docs.wto.org/dol2fe/Pages/SS/directdoc.aspx?filename=q:/S/C/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3B31-FA5A-4901-9482-E6E5D43F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9131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
  <cp:keywords>EG-ITRs, C23, Council-23, C23-ADD</cp:keywords>
  <dc:description/>
  <cp:lastModifiedBy/>
  <cp:revision>1</cp:revision>
  <dcterms:created xsi:type="dcterms:W3CDTF">2023-10-26T12:52:00Z</dcterms:created>
  <dcterms:modified xsi:type="dcterms:W3CDTF">2023-12-14T08:24:00Z</dcterms:modified>
  <cp:category>Conference document</cp:category>
</cp:coreProperties>
</file>